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73" w:rsidRPr="005C7810" w:rsidRDefault="00FD7F73" w:rsidP="00CD380F">
      <w:pPr>
        <w:shd w:val="clear" w:color="auto" w:fill="FFFFFF"/>
        <w:snapToGrid w:val="0"/>
        <w:spacing w:after="0" w:line="360" w:lineRule="auto"/>
        <w:jc w:val="both"/>
        <w:rPr>
          <w:rFonts w:ascii="Book Antiqua" w:hAnsi="Book Antiqua" w:cs="Times New Roman"/>
          <w:b/>
          <w:sz w:val="24"/>
          <w:szCs w:val="24"/>
          <w:lang w:val="en-US"/>
        </w:rPr>
      </w:pPr>
      <w:bookmarkStart w:id="0" w:name="_GoBack"/>
      <w:bookmarkEnd w:id="0"/>
      <w:r w:rsidRPr="005C7810">
        <w:rPr>
          <w:rFonts w:ascii="Book Antiqua" w:hAnsi="Book Antiqua" w:cs="Times New Roman"/>
          <w:b/>
          <w:sz w:val="24"/>
          <w:szCs w:val="24"/>
          <w:lang w:val="en-US"/>
        </w:rPr>
        <w:t xml:space="preserve">Name of Journal: </w:t>
      </w:r>
      <w:r w:rsidRPr="005C7810">
        <w:rPr>
          <w:rFonts w:ascii="Book Antiqua" w:hAnsi="Book Antiqua" w:cs="Times New Roman"/>
          <w:i/>
          <w:sz w:val="24"/>
          <w:szCs w:val="24"/>
          <w:lang w:val="en-US"/>
        </w:rPr>
        <w:t>World Journal of Gastrointestinal Oncology</w:t>
      </w:r>
    </w:p>
    <w:p w:rsidR="00026570" w:rsidRPr="005C7810" w:rsidRDefault="00FD7F73" w:rsidP="00CD380F">
      <w:pPr>
        <w:shd w:val="clear" w:color="auto" w:fill="FFFFFF"/>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b/>
          <w:sz w:val="24"/>
          <w:szCs w:val="24"/>
          <w:lang w:val="en-US"/>
        </w:rPr>
        <w:t xml:space="preserve">Manuscript </w:t>
      </w:r>
      <w:r w:rsidR="00E21AE9" w:rsidRPr="005C7810">
        <w:rPr>
          <w:rFonts w:ascii="Book Antiqua" w:hAnsi="Book Antiqua" w:cs="Times New Roman"/>
          <w:b/>
          <w:sz w:val="24"/>
          <w:szCs w:val="24"/>
          <w:lang w:val="en-US"/>
        </w:rPr>
        <w:t>NO</w:t>
      </w:r>
      <w:r w:rsidR="003026BC" w:rsidRPr="005C7810">
        <w:rPr>
          <w:rFonts w:ascii="Book Antiqua" w:hAnsi="Book Antiqua" w:cs="Times New Roman"/>
          <w:b/>
          <w:sz w:val="24"/>
          <w:szCs w:val="24"/>
          <w:lang w:val="en-US"/>
        </w:rPr>
        <w:t>:</w:t>
      </w:r>
      <w:r w:rsidRPr="005C7810">
        <w:rPr>
          <w:rFonts w:ascii="Book Antiqua" w:hAnsi="Book Antiqua" w:cs="Times New Roman"/>
          <w:b/>
          <w:sz w:val="24"/>
          <w:szCs w:val="24"/>
          <w:lang w:val="en-US"/>
        </w:rPr>
        <w:t xml:space="preserve"> </w:t>
      </w:r>
      <w:r w:rsidR="005363F6" w:rsidRPr="005C7810">
        <w:rPr>
          <w:rFonts w:ascii="Book Antiqua" w:hAnsi="Book Antiqua" w:cs="Times New Roman"/>
          <w:sz w:val="24"/>
          <w:szCs w:val="24"/>
          <w:lang w:val="en-US"/>
        </w:rPr>
        <w:t>48065</w:t>
      </w:r>
    </w:p>
    <w:p w:rsidR="00FD7F73" w:rsidRPr="005C7810" w:rsidRDefault="00FD7F73" w:rsidP="00CD380F">
      <w:pPr>
        <w:shd w:val="clear" w:color="auto" w:fill="FFFFFF"/>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b/>
          <w:sz w:val="24"/>
          <w:szCs w:val="24"/>
          <w:lang w:val="en-US"/>
        </w:rPr>
        <w:t xml:space="preserve">Manuscript </w:t>
      </w:r>
      <w:r w:rsidR="00E21AE9" w:rsidRPr="005C7810">
        <w:rPr>
          <w:rFonts w:ascii="Book Antiqua" w:hAnsi="Book Antiqua" w:cs="Times New Roman"/>
          <w:b/>
          <w:sz w:val="24"/>
          <w:szCs w:val="24"/>
          <w:lang w:val="en-US"/>
        </w:rPr>
        <w:t>T</w:t>
      </w:r>
      <w:r w:rsidRPr="005C7810">
        <w:rPr>
          <w:rFonts w:ascii="Book Antiqua" w:hAnsi="Book Antiqua" w:cs="Times New Roman"/>
          <w:b/>
          <w:sz w:val="24"/>
          <w:szCs w:val="24"/>
          <w:lang w:val="en-US"/>
        </w:rPr>
        <w:t xml:space="preserve">ype: </w:t>
      </w:r>
      <w:r w:rsidR="00026570" w:rsidRPr="005C7810">
        <w:rPr>
          <w:rFonts w:ascii="Book Antiqua" w:hAnsi="Book Antiqua" w:cs="Times New Roman"/>
          <w:sz w:val="24"/>
          <w:szCs w:val="24"/>
          <w:lang w:val="en-US"/>
        </w:rPr>
        <w:t>REVIEW</w:t>
      </w:r>
    </w:p>
    <w:p w:rsidR="00FD7F73" w:rsidRPr="005C7810" w:rsidRDefault="00FD7F73" w:rsidP="00CD380F">
      <w:pPr>
        <w:shd w:val="clear" w:color="auto" w:fill="FFFFFF"/>
        <w:snapToGrid w:val="0"/>
        <w:spacing w:after="0" w:line="360" w:lineRule="auto"/>
        <w:jc w:val="both"/>
        <w:rPr>
          <w:rFonts w:ascii="Book Antiqua" w:hAnsi="Book Antiqua" w:cs="Times New Roman"/>
          <w:b/>
          <w:sz w:val="24"/>
          <w:szCs w:val="24"/>
          <w:lang w:val="en-US"/>
        </w:rPr>
      </w:pPr>
    </w:p>
    <w:p w:rsidR="005E4DE5" w:rsidRPr="005C7810" w:rsidRDefault="005E4DE5" w:rsidP="00CD380F">
      <w:pPr>
        <w:shd w:val="clear" w:color="auto" w:fill="FFFFFF"/>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b/>
          <w:sz w:val="24"/>
          <w:szCs w:val="24"/>
          <w:lang w:val="en-US"/>
        </w:rPr>
        <w:t>Preci</w:t>
      </w:r>
      <w:r w:rsidR="00FD7F73" w:rsidRPr="005C7810">
        <w:rPr>
          <w:rFonts w:ascii="Book Antiqua" w:hAnsi="Book Antiqua" w:cs="Times New Roman"/>
          <w:b/>
          <w:sz w:val="24"/>
          <w:szCs w:val="24"/>
          <w:lang w:val="en-US"/>
        </w:rPr>
        <w:t>sion medicine in gastric cancer</w:t>
      </w:r>
    </w:p>
    <w:p w:rsidR="00FD7F73" w:rsidRPr="005C7810" w:rsidRDefault="00FD7F73" w:rsidP="00CD380F">
      <w:pPr>
        <w:shd w:val="clear" w:color="auto" w:fill="FFFFFF"/>
        <w:snapToGrid w:val="0"/>
        <w:spacing w:after="0" w:line="360" w:lineRule="auto"/>
        <w:jc w:val="both"/>
        <w:rPr>
          <w:rFonts w:ascii="Book Antiqua" w:hAnsi="Book Antiqua" w:cs="Times New Roman"/>
          <w:b/>
          <w:sz w:val="24"/>
          <w:szCs w:val="24"/>
          <w:lang w:val="en-US"/>
        </w:rPr>
      </w:pPr>
    </w:p>
    <w:p w:rsidR="00FD7F73" w:rsidRPr="005C7810" w:rsidRDefault="00026570" w:rsidP="00CD380F">
      <w:pPr>
        <w:shd w:val="clear" w:color="auto" w:fill="FFFFFF"/>
        <w:snapToGrid w:val="0"/>
        <w:spacing w:after="0" w:line="360" w:lineRule="auto"/>
        <w:jc w:val="both"/>
        <w:rPr>
          <w:rFonts w:ascii="Book Antiqua" w:hAnsi="Book Antiqua" w:cs="Times New Roman"/>
          <w:sz w:val="24"/>
          <w:szCs w:val="24"/>
        </w:rPr>
      </w:pPr>
      <w:r w:rsidRPr="005C7810">
        <w:rPr>
          <w:rFonts w:ascii="Book Antiqua" w:hAnsi="Book Antiqua" w:cs="Times New Roman"/>
          <w:sz w:val="24"/>
          <w:szCs w:val="24"/>
        </w:rPr>
        <w:t xml:space="preserve">Bonelli P </w:t>
      </w:r>
      <w:r w:rsidRPr="005C7810">
        <w:rPr>
          <w:rFonts w:ascii="Book Antiqua" w:hAnsi="Book Antiqua" w:cs="Times New Roman"/>
          <w:i/>
          <w:sz w:val="24"/>
          <w:szCs w:val="24"/>
        </w:rPr>
        <w:t>et al</w:t>
      </w:r>
      <w:r w:rsidRPr="005C7810">
        <w:rPr>
          <w:rFonts w:ascii="Book Antiqua" w:hAnsi="Book Antiqua" w:cs="Times New Roman"/>
          <w:sz w:val="24"/>
          <w:szCs w:val="24"/>
        </w:rPr>
        <w:t>.</w:t>
      </w:r>
      <w:r w:rsidR="00FD7F73" w:rsidRPr="005C7810">
        <w:rPr>
          <w:rFonts w:ascii="Book Antiqua" w:hAnsi="Book Antiqua" w:cs="Times New Roman"/>
          <w:sz w:val="24"/>
          <w:szCs w:val="24"/>
        </w:rPr>
        <w:t xml:space="preserve"> Precision medicine in GC</w:t>
      </w:r>
    </w:p>
    <w:p w:rsidR="00026570" w:rsidRPr="005C7810" w:rsidRDefault="00026570" w:rsidP="00CD380F">
      <w:pPr>
        <w:shd w:val="clear" w:color="auto" w:fill="FFFFFF"/>
        <w:snapToGrid w:val="0"/>
        <w:spacing w:after="0" w:line="360" w:lineRule="auto"/>
        <w:jc w:val="both"/>
        <w:rPr>
          <w:rFonts w:ascii="Book Antiqua" w:hAnsi="Book Antiqua" w:cs="Times New Roman"/>
          <w:b/>
          <w:sz w:val="24"/>
          <w:szCs w:val="24"/>
        </w:rPr>
      </w:pPr>
    </w:p>
    <w:p w:rsidR="005E4DE5" w:rsidRPr="005C7810" w:rsidRDefault="005E4DE5" w:rsidP="00CD380F">
      <w:pPr>
        <w:shd w:val="clear" w:color="auto" w:fill="FFFFFF"/>
        <w:snapToGrid w:val="0"/>
        <w:spacing w:after="0" w:line="360" w:lineRule="auto"/>
        <w:jc w:val="both"/>
        <w:rPr>
          <w:rFonts w:ascii="Book Antiqua" w:hAnsi="Book Antiqua" w:cs="Times New Roman"/>
          <w:bCs/>
          <w:sz w:val="24"/>
          <w:szCs w:val="24"/>
        </w:rPr>
      </w:pPr>
      <w:r w:rsidRPr="005C7810">
        <w:rPr>
          <w:rFonts w:ascii="Book Antiqua" w:hAnsi="Book Antiqua" w:cs="Times New Roman"/>
          <w:bCs/>
          <w:sz w:val="24"/>
          <w:szCs w:val="24"/>
        </w:rPr>
        <w:t xml:space="preserve">Patrizia Bonelli, Antonella Borrelli, Franca Maria Tuccillo, </w:t>
      </w:r>
      <w:r w:rsidR="00467199" w:rsidRPr="005C7810">
        <w:rPr>
          <w:rFonts w:ascii="Book Antiqua" w:hAnsi="Book Antiqua" w:cs="Times New Roman"/>
          <w:bCs/>
          <w:sz w:val="24"/>
          <w:szCs w:val="24"/>
        </w:rPr>
        <w:t xml:space="preserve">Lucrezia Silvestro, </w:t>
      </w:r>
      <w:r w:rsidRPr="005C7810">
        <w:rPr>
          <w:rFonts w:ascii="Book Antiqua" w:hAnsi="Book Antiqua" w:cs="Times New Roman"/>
          <w:bCs/>
          <w:sz w:val="24"/>
          <w:szCs w:val="24"/>
        </w:rPr>
        <w:t>Raffaele Palaia, Franco Maria Buonaguro</w:t>
      </w:r>
    </w:p>
    <w:p w:rsidR="00026570" w:rsidRPr="005C7810" w:rsidRDefault="00026570" w:rsidP="00CD380F">
      <w:pPr>
        <w:shd w:val="clear" w:color="auto" w:fill="FFFFFF"/>
        <w:snapToGrid w:val="0"/>
        <w:spacing w:after="0" w:line="360" w:lineRule="auto"/>
        <w:jc w:val="both"/>
        <w:rPr>
          <w:rFonts w:ascii="Book Antiqua" w:hAnsi="Book Antiqua" w:cs="Times New Roman"/>
          <w:sz w:val="24"/>
          <w:szCs w:val="24"/>
        </w:rPr>
      </w:pPr>
    </w:p>
    <w:p w:rsidR="005E4DE5" w:rsidRPr="005C7810" w:rsidRDefault="000207BF" w:rsidP="00CD380F">
      <w:pPr>
        <w:shd w:val="clear" w:color="auto" w:fill="FFFFFF"/>
        <w:snapToGrid w:val="0"/>
        <w:spacing w:after="0" w:line="360" w:lineRule="auto"/>
        <w:jc w:val="both"/>
        <w:rPr>
          <w:rFonts w:ascii="Book Antiqua" w:hAnsi="Book Antiqua" w:cs="Times New Roman"/>
          <w:sz w:val="24"/>
          <w:szCs w:val="24"/>
        </w:rPr>
      </w:pPr>
      <w:r w:rsidRPr="005C7810">
        <w:rPr>
          <w:rFonts w:ascii="Book Antiqua" w:hAnsi="Book Antiqua" w:cs="Times New Roman"/>
          <w:b/>
          <w:sz w:val="24"/>
          <w:szCs w:val="24"/>
        </w:rPr>
        <w:t xml:space="preserve">Patrizia Bonelli, Antonella </w:t>
      </w:r>
      <w:r w:rsidR="00C950C3" w:rsidRPr="005C7810">
        <w:rPr>
          <w:rFonts w:ascii="Book Antiqua" w:hAnsi="Book Antiqua" w:cs="Times New Roman"/>
          <w:b/>
          <w:sz w:val="24"/>
          <w:szCs w:val="24"/>
        </w:rPr>
        <w:t>Borrelli, Franca Maria Tuccillo and</w:t>
      </w:r>
      <w:r w:rsidRPr="005C7810">
        <w:rPr>
          <w:rFonts w:ascii="Book Antiqua" w:hAnsi="Book Antiqua" w:cs="Times New Roman"/>
          <w:b/>
          <w:sz w:val="24"/>
          <w:szCs w:val="24"/>
        </w:rPr>
        <w:t xml:space="preserve"> Franco Maria Buonaguro, </w:t>
      </w:r>
      <w:r w:rsidR="00B1570F" w:rsidRPr="005C7810">
        <w:rPr>
          <w:rFonts w:ascii="Book Antiqua" w:hAnsi="Book Antiqua" w:cs="Times New Roman"/>
          <w:sz w:val="24"/>
          <w:szCs w:val="24"/>
        </w:rPr>
        <w:t>Molecul</w:t>
      </w:r>
      <w:r w:rsidR="007C5793" w:rsidRPr="005C7810">
        <w:rPr>
          <w:rFonts w:ascii="Book Antiqua" w:hAnsi="Book Antiqua" w:cs="Times New Roman"/>
          <w:sz w:val="24"/>
          <w:szCs w:val="24"/>
        </w:rPr>
        <w:t>ar Biology and Viral Oncology</w:t>
      </w:r>
      <w:r w:rsidR="00B1570F" w:rsidRPr="005C7810">
        <w:rPr>
          <w:rFonts w:ascii="Book Antiqua" w:hAnsi="Book Antiqua" w:cs="Times New Roman"/>
          <w:sz w:val="24"/>
          <w:szCs w:val="24"/>
        </w:rPr>
        <w:t>, Istituto Nazionale Tumori – IRCCS - Fondazione G Pascale, Napoli</w:t>
      </w:r>
      <w:r w:rsidR="00D522BE" w:rsidRPr="005C7810">
        <w:rPr>
          <w:rFonts w:ascii="Book Antiqua" w:hAnsi="Book Antiqua" w:cs="Times New Roman"/>
          <w:sz w:val="24"/>
          <w:szCs w:val="24"/>
        </w:rPr>
        <w:t xml:space="preserve"> 80131</w:t>
      </w:r>
      <w:r w:rsidR="00B1570F" w:rsidRPr="005C7810">
        <w:rPr>
          <w:rFonts w:ascii="Book Antiqua" w:hAnsi="Book Antiqua" w:cs="Times New Roman"/>
          <w:sz w:val="24"/>
          <w:szCs w:val="24"/>
        </w:rPr>
        <w:t>,</w:t>
      </w:r>
      <w:r w:rsidR="00D522BE" w:rsidRPr="005C7810">
        <w:rPr>
          <w:rFonts w:ascii="Book Antiqua" w:hAnsi="Book Antiqua" w:cs="Times New Roman"/>
          <w:sz w:val="24"/>
          <w:szCs w:val="24"/>
        </w:rPr>
        <w:t xml:space="preserve"> </w:t>
      </w:r>
      <w:r w:rsidR="00E633CD" w:rsidRPr="005C7810">
        <w:rPr>
          <w:rFonts w:ascii="Book Antiqua" w:hAnsi="Book Antiqua" w:cs="Times New Roman"/>
          <w:sz w:val="24"/>
          <w:szCs w:val="24"/>
        </w:rPr>
        <w:t>Italy</w:t>
      </w:r>
    </w:p>
    <w:p w:rsidR="00026570" w:rsidRPr="005C7810" w:rsidRDefault="00026570" w:rsidP="00CD380F">
      <w:pPr>
        <w:shd w:val="clear" w:color="auto" w:fill="FFFFFF"/>
        <w:snapToGrid w:val="0"/>
        <w:spacing w:after="0" w:line="360" w:lineRule="auto"/>
        <w:jc w:val="both"/>
        <w:rPr>
          <w:rFonts w:ascii="Book Antiqua" w:hAnsi="Book Antiqua" w:cs="Times New Roman"/>
          <w:b/>
          <w:color w:val="000000"/>
          <w:sz w:val="24"/>
          <w:szCs w:val="24"/>
        </w:rPr>
      </w:pPr>
    </w:p>
    <w:p w:rsidR="00467199" w:rsidRPr="005C7810" w:rsidRDefault="00467199" w:rsidP="00CD380F">
      <w:pPr>
        <w:shd w:val="clear" w:color="auto" w:fill="FFFFFF"/>
        <w:snapToGrid w:val="0"/>
        <w:spacing w:after="0" w:line="360" w:lineRule="auto"/>
        <w:jc w:val="both"/>
        <w:rPr>
          <w:rFonts w:ascii="Book Antiqua" w:hAnsi="Book Antiqua" w:cs="Times New Roman"/>
          <w:sz w:val="24"/>
          <w:szCs w:val="24"/>
        </w:rPr>
      </w:pPr>
      <w:r w:rsidRPr="005C7810">
        <w:rPr>
          <w:rFonts w:ascii="Book Antiqua" w:hAnsi="Book Antiqua" w:cs="Times New Roman"/>
          <w:b/>
          <w:color w:val="000000"/>
          <w:sz w:val="24"/>
          <w:szCs w:val="24"/>
        </w:rPr>
        <w:t xml:space="preserve">Lucrezia Silvestro, </w:t>
      </w:r>
      <w:r w:rsidRPr="005C7810">
        <w:rPr>
          <w:rFonts w:ascii="Book Antiqua" w:hAnsi="Book Antiqua" w:cs="Times New Roman"/>
          <w:color w:val="000000"/>
          <w:sz w:val="24"/>
          <w:szCs w:val="24"/>
        </w:rPr>
        <w:t xml:space="preserve">Abdominal Medical Oncology, </w:t>
      </w:r>
      <w:r w:rsidRPr="005C7810">
        <w:rPr>
          <w:rFonts w:ascii="Book Antiqua" w:hAnsi="Book Antiqua" w:cs="Times New Roman"/>
          <w:sz w:val="24"/>
          <w:szCs w:val="24"/>
        </w:rPr>
        <w:t>Istituto Nazionale Tumori – IRCCS - Fondazione G Pascale, Napoli</w:t>
      </w:r>
      <w:r w:rsidR="00D522BE" w:rsidRPr="005C7810">
        <w:rPr>
          <w:rFonts w:ascii="Book Antiqua" w:hAnsi="Book Antiqua" w:cs="Times New Roman"/>
          <w:sz w:val="24"/>
          <w:szCs w:val="24"/>
        </w:rPr>
        <w:t xml:space="preserve"> 80131</w:t>
      </w:r>
      <w:r w:rsidRPr="005C7810">
        <w:rPr>
          <w:rFonts w:ascii="Book Antiqua" w:hAnsi="Book Antiqua" w:cs="Times New Roman"/>
          <w:sz w:val="24"/>
          <w:szCs w:val="24"/>
        </w:rPr>
        <w:t>,</w:t>
      </w:r>
      <w:r w:rsidR="00D522BE" w:rsidRPr="005C7810">
        <w:rPr>
          <w:rFonts w:ascii="Book Antiqua" w:hAnsi="Book Antiqua" w:cs="Times New Roman"/>
          <w:sz w:val="24"/>
          <w:szCs w:val="24"/>
        </w:rPr>
        <w:t xml:space="preserve"> </w:t>
      </w:r>
      <w:r w:rsidR="00E633CD" w:rsidRPr="005C7810">
        <w:rPr>
          <w:rFonts w:ascii="Book Antiqua" w:hAnsi="Book Antiqua" w:cs="Times New Roman"/>
          <w:sz w:val="24"/>
          <w:szCs w:val="24"/>
        </w:rPr>
        <w:t>Italy</w:t>
      </w:r>
    </w:p>
    <w:p w:rsidR="00467199" w:rsidRPr="005C7810" w:rsidRDefault="00467199" w:rsidP="00CD380F">
      <w:pPr>
        <w:shd w:val="clear" w:color="auto" w:fill="FFFFFF"/>
        <w:snapToGrid w:val="0"/>
        <w:spacing w:after="0" w:line="360" w:lineRule="auto"/>
        <w:jc w:val="both"/>
        <w:rPr>
          <w:rFonts w:ascii="Book Antiqua" w:hAnsi="Book Antiqua" w:cs="Times New Roman"/>
          <w:b/>
          <w:color w:val="000000"/>
          <w:sz w:val="24"/>
          <w:szCs w:val="24"/>
        </w:rPr>
      </w:pPr>
    </w:p>
    <w:p w:rsidR="000013E8" w:rsidRPr="005C7810" w:rsidRDefault="000207BF" w:rsidP="00CD380F">
      <w:pPr>
        <w:shd w:val="clear" w:color="auto" w:fill="FFFFFF"/>
        <w:snapToGrid w:val="0"/>
        <w:spacing w:after="0" w:line="360" w:lineRule="auto"/>
        <w:jc w:val="both"/>
        <w:rPr>
          <w:rFonts w:ascii="Book Antiqua" w:hAnsi="Book Antiqua" w:cs="Times New Roman"/>
          <w:sz w:val="24"/>
          <w:szCs w:val="24"/>
        </w:rPr>
      </w:pPr>
      <w:r w:rsidRPr="005C7810">
        <w:rPr>
          <w:rFonts w:ascii="Book Antiqua" w:hAnsi="Book Antiqua" w:cs="Times New Roman"/>
          <w:b/>
          <w:color w:val="000000"/>
          <w:sz w:val="24"/>
          <w:szCs w:val="24"/>
        </w:rPr>
        <w:t>Raffaele</w:t>
      </w:r>
      <w:r w:rsidRPr="005C7810">
        <w:rPr>
          <w:rFonts w:ascii="Book Antiqua" w:hAnsi="Book Antiqua" w:cs="Times New Roman"/>
          <w:b/>
          <w:color w:val="000000"/>
          <w:sz w:val="24"/>
          <w:szCs w:val="24"/>
          <w:vertAlign w:val="superscript"/>
        </w:rPr>
        <w:t xml:space="preserve"> </w:t>
      </w:r>
      <w:r w:rsidRPr="005C7810">
        <w:rPr>
          <w:rFonts w:ascii="Book Antiqua" w:hAnsi="Book Antiqua" w:cs="Times New Roman"/>
          <w:b/>
          <w:color w:val="000000"/>
          <w:sz w:val="24"/>
          <w:szCs w:val="24"/>
          <w:lang/>
        </w:rPr>
        <w:t>Palaia,</w:t>
      </w:r>
      <w:r w:rsidRPr="005C7810">
        <w:rPr>
          <w:rFonts w:ascii="Book Antiqua" w:hAnsi="Book Antiqua" w:cs="Times New Roman"/>
          <w:color w:val="000000"/>
          <w:sz w:val="24"/>
          <w:szCs w:val="24"/>
          <w:lang/>
        </w:rPr>
        <w:t xml:space="preserve"> </w:t>
      </w:r>
      <w:r w:rsidR="00652ADE" w:rsidRPr="005C7810">
        <w:rPr>
          <w:rFonts w:ascii="Book Antiqua" w:hAnsi="Book Antiqua" w:cs="Times New Roman"/>
          <w:color w:val="000000"/>
          <w:sz w:val="24"/>
          <w:szCs w:val="24"/>
          <w:lang/>
        </w:rPr>
        <w:t>Gastro-pancreatic</w:t>
      </w:r>
      <w:r w:rsidR="00DF3E6F" w:rsidRPr="005C7810">
        <w:rPr>
          <w:rFonts w:ascii="Book Antiqua" w:hAnsi="Book Antiqua" w:cs="Times New Roman"/>
          <w:color w:val="000000"/>
          <w:sz w:val="24"/>
          <w:szCs w:val="24"/>
          <w:lang/>
        </w:rPr>
        <w:t xml:space="preserve"> Surgery Division</w:t>
      </w:r>
      <w:r w:rsidR="000013E8" w:rsidRPr="005C7810">
        <w:rPr>
          <w:rFonts w:ascii="Book Antiqua" w:hAnsi="Book Antiqua" w:cs="Times New Roman"/>
          <w:bCs/>
          <w:color w:val="323232"/>
          <w:sz w:val="24"/>
          <w:szCs w:val="24"/>
          <w:lang/>
        </w:rPr>
        <w:t xml:space="preserve">, </w:t>
      </w:r>
      <w:r w:rsidR="000013E8" w:rsidRPr="005C7810">
        <w:rPr>
          <w:rFonts w:ascii="Book Antiqua" w:hAnsi="Book Antiqua" w:cs="Times New Roman"/>
          <w:sz w:val="24"/>
          <w:szCs w:val="24"/>
        </w:rPr>
        <w:t>Istituto Nazionale Tumori – IRCCS - Fondazione G Pascale, Napoli</w:t>
      </w:r>
      <w:r w:rsidR="00D522BE" w:rsidRPr="005C7810">
        <w:rPr>
          <w:rFonts w:ascii="Book Antiqua" w:hAnsi="Book Antiqua" w:cs="Times New Roman"/>
          <w:sz w:val="24"/>
          <w:szCs w:val="24"/>
        </w:rPr>
        <w:t xml:space="preserve"> 80131</w:t>
      </w:r>
      <w:r w:rsidR="000013E8" w:rsidRPr="005C7810">
        <w:rPr>
          <w:rFonts w:ascii="Book Antiqua" w:hAnsi="Book Antiqua" w:cs="Times New Roman"/>
          <w:sz w:val="24"/>
          <w:szCs w:val="24"/>
        </w:rPr>
        <w:t>,</w:t>
      </w:r>
      <w:r w:rsidR="00D522BE" w:rsidRPr="005C7810">
        <w:rPr>
          <w:rFonts w:ascii="Book Antiqua" w:hAnsi="Book Antiqua" w:cs="Times New Roman"/>
          <w:sz w:val="24"/>
          <w:szCs w:val="24"/>
        </w:rPr>
        <w:t xml:space="preserve"> </w:t>
      </w:r>
      <w:r w:rsidR="00E633CD" w:rsidRPr="005C7810">
        <w:rPr>
          <w:rFonts w:ascii="Book Antiqua" w:hAnsi="Book Antiqua" w:cs="Times New Roman"/>
          <w:sz w:val="24"/>
          <w:szCs w:val="24"/>
        </w:rPr>
        <w:t>Italy</w:t>
      </w:r>
    </w:p>
    <w:p w:rsidR="00B64178" w:rsidRPr="005C7810" w:rsidRDefault="00B64178" w:rsidP="00CD380F">
      <w:pPr>
        <w:shd w:val="clear" w:color="auto" w:fill="FFFFFF"/>
        <w:snapToGrid w:val="0"/>
        <w:spacing w:after="0" w:line="360" w:lineRule="auto"/>
        <w:jc w:val="both"/>
        <w:rPr>
          <w:rFonts w:ascii="Book Antiqua" w:hAnsi="Book Antiqua" w:cs="Times New Roman"/>
          <w:sz w:val="24"/>
          <w:szCs w:val="24"/>
        </w:rPr>
      </w:pPr>
    </w:p>
    <w:p w:rsidR="008C465E" w:rsidRPr="005C7810" w:rsidRDefault="008C465E" w:rsidP="00CD380F">
      <w:pPr>
        <w:shd w:val="clear" w:color="auto" w:fill="FFFFFF"/>
        <w:snapToGrid w:val="0"/>
        <w:spacing w:after="0" w:line="360" w:lineRule="auto"/>
        <w:jc w:val="both"/>
        <w:rPr>
          <w:rFonts w:ascii="Book Antiqua" w:hAnsi="Book Antiqua" w:cs="Times New Roman"/>
          <w:sz w:val="24"/>
          <w:szCs w:val="24"/>
        </w:rPr>
      </w:pPr>
      <w:r w:rsidRPr="005C7810">
        <w:rPr>
          <w:rFonts w:ascii="Book Antiqua" w:hAnsi="Book Antiqua" w:cs="Times New Roman"/>
          <w:b/>
          <w:sz w:val="24"/>
          <w:szCs w:val="24"/>
        </w:rPr>
        <w:t xml:space="preserve">ORCID number: </w:t>
      </w:r>
      <w:r w:rsidRPr="005C7810">
        <w:rPr>
          <w:rFonts w:ascii="Book Antiqua" w:hAnsi="Book Antiqua" w:cs="Times New Roman"/>
          <w:sz w:val="24"/>
          <w:szCs w:val="24"/>
        </w:rPr>
        <w:t>Patrizia Bonelli (0000-0002-0916-4015); Antonella Borrelli (0000-0002-4439-6882); Franca Maria Tuccillo (</w:t>
      </w:r>
      <w:r w:rsidRPr="005C7810">
        <w:rPr>
          <w:rFonts w:ascii="Book Antiqua" w:hAnsi="Book Antiqua" w:cs="Times New Roman"/>
          <w:color w:val="000000"/>
          <w:sz w:val="24"/>
          <w:szCs w:val="24"/>
          <w:shd w:val="clear" w:color="auto" w:fill="FFFFFF"/>
        </w:rPr>
        <w:t>0000-0003-4167-2535</w:t>
      </w:r>
      <w:r w:rsidRPr="005C7810">
        <w:rPr>
          <w:rFonts w:ascii="Book Antiqua" w:hAnsi="Book Antiqua" w:cs="Times New Roman"/>
          <w:color w:val="000000"/>
          <w:sz w:val="24"/>
          <w:szCs w:val="24"/>
        </w:rPr>
        <w:t>);</w:t>
      </w:r>
      <w:r w:rsidRPr="005C7810">
        <w:rPr>
          <w:rFonts w:ascii="Book Antiqua" w:hAnsi="Book Antiqua" w:cs="Times New Roman"/>
          <w:sz w:val="24"/>
          <w:szCs w:val="24"/>
        </w:rPr>
        <w:t xml:space="preserve"> </w:t>
      </w:r>
      <w:r w:rsidR="000E01A0" w:rsidRPr="005C7810">
        <w:rPr>
          <w:rFonts w:ascii="Book Antiqua" w:hAnsi="Book Antiqua" w:cs="Times New Roman"/>
          <w:sz w:val="24"/>
          <w:szCs w:val="24"/>
        </w:rPr>
        <w:t xml:space="preserve">Lucrezia Silvestro (0000-0002-4209-7694); </w:t>
      </w:r>
      <w:r w:rsidRPr="005C7810">
        <w:rPr>
          <w:rFonts w:ascii="Book Antiqua" w:hAnsi="Book Antiqua" w:cs="Times New Roman"/>
          <w:sz w:val="24"/>
          <w:szCs w:val="24"/>
        </w:rPr>
        <w:t>Raffaele Palaia (0000-0002-4299-3448); Franco Maria Buonaguro (0000-0002-7491-7220).</w:t>
      </w:r>
    </w:p>
    <w:p w:rsidR="00FD7F73" w:rsidRPr="005C7810" w:rsidRDefault="00FD7F73" w:rsidP="00CD380F">
      <w:pPr>
        <w:shd w:val="clear" w:color="auto" w:fill="FFFFFF"/>
        <w:snapToGrid w:val="0"/>
        <w:spacing w:after="0" w:line="360" w:lineRule="auto"/>
        <w:jc w:val="both"/>
        <w:rPr>
          <w:rFonts w:ascii="Book Antiqua" w:hAnsi="Book Antiqua" w:cs="Times New Roman"/>
          <w:b/>
          <w:sz w:val="24"/>
          <w:szCs w:val="24"/>
        </w:rPr>
      </w:pPr>
    </w:p>
    <w:p w:rsidR="00FD7F73" w:rsidRPr="005C7810" w:rsidRDefault="00FD7F73"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Author contributions:</w:t>
      </w:r>
      <w:r w:rsidRPr="005C7810">
        <w:rPr>
          <w:rFonts w:ascii="Book Antiqua" w:hAnsi="Book Antiqua" w:cs="Times New Roman"/>
          <w:sz w:val="24"/>
          <w:szCs w:val="24"/>
          <w:lang w:val="en-US"/>
        </w:rPr>
        <w:t xml:space="preserve"> Bonelli P conducted the literature search, drafted and critically reviewed the manuscript; Borrelli A, Tuccillo FM, </w:t>
      </w:r>
      <w:r w:rsidR="00995850" w:rsidRPr="005C7810">
        <w:rPr>
          <w:rFonts w:ascii="Book Antiqua" w:hAnsi="Book Antiqua" w:cs="Times New Roman"/>
          <w:sz w:val="24"/>
          <w:szCs w:val="24"/>
          <w:lang w:val="en-US"/>
        </w:rPr>
        <w:t xml:space="preserve">Silvestro L </w:t>
      </w:r>
      <w:r w:rsidR="00D87DFB" w:rsidRPr="005C7810">
        <w:rPr>
          <w:rFonts w:ascii="Book Antiqua" w:hAnsi="Book Antiqua" w:cs="Times New Roman"/>
          <w:sz w:val="24"/>
          <w:szCs w:val="24"/>
          <w:lang w:val="en-US"/>
        </w:rPr>
        <w:t xml:space="preserve">and </w:t>
      </w:r>
      <w:r w:rsidRPr="005C7810">
        <w:rPr>
          <w:rFonts w:ascii="Book Antiqua" w:hAnsi="Book Antiqua" w:cs="Times New Roman"/>
          <w:sz w:val="24"/>
          <w:szCs w:val="24"/>
          <w:lang w:val="en-US"/>
        </w:rPr>
        <w:t>Palaia R helped to draft the manuscript; Buonaguro FM critically reviewed the manuscript</w:t>
      </w:r>
      <w:r w:rsidR="00026570"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All authors approved the final manuscript as submitted.</w:t>
      </w:r>
    </w:p>
    <w:p w:rsidR="00026570" w:rsidRPr="005C7810" w:rsidRDefault="00026570" w:rsidP="00CD380F">
      <w:pPr>
        <w:shd w:val="clear" w:color="auto" w:fill="FFFFFF"/>
        <w:snapToGrid w:val="0"/>
        <w:spacing w:after="0" w:line="360" w:lineRule="auto"/>
        <w:jc w:val="both"/>
        <w:rPr>
          <w:rFonts w:ascii="Book Antiqua" w:hAnsi="Book Antiqua" w:cs="Times New Roman"/>
          <w:sz w:val="24"/>
          <w:szCs w:val="24"/>
          <w:lang w:val="en-US"/>
        </w:rPr>
      </w:pPr>
    </w:p>
    <w:p w:rsidR="00FD7F73" w:rsidRPr="005C7810" w:rsidRDefault="00D522BE"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lastRenderedPageBreak/>
        <w:t xml:space="preserve">Conflict-of-interest statement: </w:t>
      </w:r>
      <w:r w:rsidR="00FE5952" w:rsidRPr="005C7810">
        <w:rPr>
          <w:rFonts w:ascii="Book Antiqua" w:hAnsi="Book Antiqua" w:cs="Times New Roman"/>
          <w:sz w:val="24"/>
          <w:szCs w:val="24"/>
          <w:lang w:val="en-US"/>
        </w:rPr>
        <w:t>The authors declare that they have no conflict</w:t>
      </w:r>
      <w:r w:rsidR="00026570" w:rsidRPr="005C7810">
        <w:rPr>
          <w:rFonts w:ascii="Book Antiqua" w:hAnsi="Book Antiqua" w:cs="Times New Roman"/>
          <w:sz w:val="24"/>
          <w:szCs w:val="24"/>
          <w:lang w:val="en-US"/>
        </w:rPr>
        <w:t>s</w:t>
      </w:r>
      <w:r w:rsidR="00FE5952" w:rsidRPr="005C7810">
        <w:rPr>
          <w:rFonts w:ascii="Book Antiqua" w:hAnsi="Book Antiqua" w:cs="Times New Roman"/>
          <w:sz w:val="24"/>
          <w:szCs w:val="24"/>
          <w:lang w:val="en-US"/>
        </w:rPr>
        <w:t xml:space="preserve"> of interest</w:t>
      </w:r>
      <w:r w:rsidR="00DB6C53" w:rsidRPr="005C7810">
        <w:rPr>
          <w:rFonts w:ascii="Book Antiqua" w:hAnsi="Book Antiqua" w:cs="Times New Roman"/>
          <w:sz w:val="24"/>
          <w:szCs w:val="24"/>
          <w:lang w:val="en-US"/>
        </w:rPr>
        <w:t>.</w:t>
      </w:r>
    </w:p>
    <w:p w:rsidR="008C465E" w:rsidRPr="005C7810" w:rsidRDefault="008C465E" w:rsidP="00CD380F">
      <w:pPr>
        <w:shd w:val="clear" w:color="auto" w:fill="FFFFFF"/>
        <w:snapToGrid w:val="0"/>
        <w:spacing w:after="0" w:line="360" w:lineRule="auto"/>
        <w:jc w:val="both"/>
        <w:rPr>
          <w:rFonts w:ascii="Book Antiqua" w:hAnsi="Book Antiqua" w:cs="Times New Roman"/>
          <w:sz w:val="24"/>
          <w:szCs w:val="24"/>
          <w:lang w:val="en-US"/>
        </w:rPr>
      </w:pPr>
    </w:p>
    <w:p w:rsidR="00C4340C" w:rsidRPr="005C7810" w:rsidRDefault="00C4340C" w:rsidP="00CD380F">
      <w:pPr>
        <w:snapToGrid w:val="0"/>
        <w:spacing w:after="0" w:line="360" w:lineRule="auto"/>
        <w:jc w:val="both"/>
        <w:rPr>
          <w:rFonts w:ascii="Book Antiqua" w:hAnsi="Book Antiqua"/>
          <w:color w:val="000000"/>
          <w:sz w:val="24"/>
          <w:szCs w:val="24"/>
        </w:rPr>
      </w:pPr>
      <w:bookmarkStart w:id="1" w:name="OLE_LINK507"/>
      <w:bookmarkStart w:id="2" w:name="OLE_LINK506"/>
      <w:bookmarkStart w:id="3" w:name="OLE_LINK496"/>
      <w:bookmarkStart w:id="4" w:name="OLE_LINK479"/>
      <w:bookmarkStart w:id="5" w:name="OLE_LINK171"/>
      <w:bookmarkStart w:id="6" w:name="OLE_LINK172"/>
      <w:bookmarkStart w:id="7" w:name="OLE_LINK323"/>
      <w:r w:rsidRPr="005C7810">
        <w:rPr>
          <w:rFonts w:ascii="Book Antiqua" w:hAnsi="Book Antiqua"/>
          <w:b/>
          <w:color w:val="000000"/>
          <w:sz w:val="24"/>
          <w:szCs w:val="24"/>
          <w:lang w:val="en-US"/>
        </w:rPr>
        <w:t xml:space="preserve">Open-Access: </w:t>
      </w:r>
      <w:bookmarkStart w:id="8" w:name="OLE_LINK144"/>
      <w:bookmarkStart w:id="9" w:name="OLE_LINK146"/>
      <w:bookmarkStart w:id="10" w:name="OLE_LINK191"/>
      <w:r w:rsidRPr="005C7810">
        <w:rPr>
          <w:rFonts w:ascii="Book Antiqua" w:hAnsi="Book Antiqua"/>
          <w:color w:val="000000"/>
          <w:sz w:val="24"/>
          <w:szCs w:val="24"/>
          <w:lang w:val="en-US"/>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5C7810">
        <w:rPr>
          <w:rFonts w:ascii="Book Antiqua" w:hAnsi="Book Antiqua"/>
          <w:color w:val="000000"/>
          <w:sz w:val="24"/>
          <w:szCs w:val="24"/>
        </w:rPr>
        <w:t>See: http://creativecommons.org/licenses/by-nc/4.0/</w:t>
      </w:r>
      <w:bookmarkEnd w:id="1"/>
      <w:bookmarkEnd w:id="2"/>
      <w:bookmarkEnd w:id="3"/>
      <w:bookmarkEnd w:id="4"/>
    </w:p>
    <w:bookmarkEnd w:id="5"/>
    <w:bookmarkEnd w:id="6"/>
    <w:bookmarkEnd w:id="7"/>
    <w:bookmarkEnd w:id="8"/>
    <w:bookmarkEnd w:id="9"/>
    <w:bookmarkEnd w:id="10"/>
    <w:p w:rsidR="00C4340C" w:rsidRPr="005C7810" w:rsidRDefault="00C4340C" w:rsidP="00CD380F">
      <w:pPr>
        <w:shd w:val="clear" w:color="auto" w:fill="FFFFFF"/>
        <w:snapToGrid w:val="0"/>
        <w:spacing w:after="0" w:line="360" w:lineRule="auto"/>
        <w:jc w:val="both"/>
        <w:rPr>
          <w:rFonts w:ascii="Book Antiqua" w:hAnsi="Book Antiqua" w:cs="Times New Roman"/>
          <w:sz w:val="24"/>
          <w:szCs w:val="24"/>
        </w:rPr>
      </w:pPr>
    </w:p>
    <w:p w:rsidR="00D522BE" w:rsidRPr="005C7810" w:rsidRDefault="00D522BE" w:rsidP="00CD380F">
      <w:pPr>
        <w:spacing w:after="0" w:line="360" w:lineRule="auto"/>
        <w:rPr>
          <w:rFonts w:ascii="Book Antiqua" w:hAnsi="Book Antiqua"/>
          <w:sz w:val="24"/>
        </w:rPr>
      </w:pPr>
      <w:r w:rsidRPr="005C7810">
        <w:rPr>
          <w:rFonts w:ascii="Book Antiqua" w:hAnsi="Book Antiqua"/>
          <w:b/>
          <w:sz w:val="24"/>
        </w:rPr>
        <w:t xml:space="preserve">Manuscript source: </w:t>
      </w:r>
      <w:r w:rsidRPr="005C7810">
        <w:rPr>
          <w:rFonts w:ascii="Book Antiqua" w:hAnsi="Book Antiqua"/>
          <w:sz w:val="24"/>
        </w:rPr>
        <w:t>Invited manuscript</w:t>
      </w:r>
    </w:p>
    <w:p w:rsidR="00D522BE" w:rsidRPr="005C7810" w:rsidRDefault="00D522BE" w:rsidP="00CD380F">
      <w:pPr>
        <w:shd w:val="clear" w:color="auto" w:fill="FFFFFF"/>
        <w:snapToGrid w:val="0"/>
        <w:spacing w:after="0" w:line="360" w:lineRule="auto"/>
        <w:jc w:val="both"/>
        <w:rPr>
          <w:rFonts w:ascii="Book Antiqua" w:hAnsi="Book Antiqua" w:cs="Times New Roman"/>
          <w:sz w:val="24"/>
          <w:szCs w:val="24"/>
        </w:rPr>
      </w:pPr>
    </w:p>
    <w:p w:rsidR="00026570" w:rsidRPr="005C7810" w:rsidRDefault="00654B91"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rPr>
        <w:t>Corresponding author</w:t>
      </w:r>
      <w:r w:rsidR="00150158" w:rsidRPr="005C7810">
        <w:rPr>
          <w:rFonts w:ascii="Book Antiqua" w:hAnsi="Book Antiqua" w:cs="Times New Roman"/>
          <w:b/>
          <w:sz w:val="24"/>
          <w:szCs w:val="24"/>
        </w:rPr>
        <w:t>: Patrizia Bonelli,</w:t>
      </w:r>
      <w:r w:rsidR="00150158" w:rsidRPr="005C7810">
        <w:rPr>
          <w:rFonts w:ascii="Book Antiqua" w:hAnsi="Book Antiqua" w:cs="Times New Roman"/>
          <w:sz w:val="24"/>
          <w:szCs w:val="24"/>
        </w:rPr>
        <w:t xml:space="preserve"> </w:t>
      </w:r>
      <w:r w:rsidR="00D522BE" w:rsidRPr="005C7810">
        <w:rPr>
          <w:rFonts w:ascii="Book Antiqua" w:hAnsi="Book Antiqua" w:cs="Times New Roman"/>
          <w:b/>
          <w:bCs/>
          <w:sz w:val="24"/>
          <w:szCs w:val="24"/>
        </w:rPr>
        <w:t>BSc, Research Scientist,</w:t>
      </w:r>
      <w:r w:rsidR="00D522BE" w:rsidRPr="005C7810">
        <w:rPr>
          <w:rFonts w:ascii="Book Antiqua" w:hAnsi="Book Antiqua" w:cs="Times New Roman"/>
          <w:sz w:val="24"/>
          <w:szCs w:val="24"/>
        </w:rPr>
        <w:t xml:space="preserve"> </w:t>
      </w:r>
      <w:r w:rsidR="00B1570F" w:rsidRPr="005C7810">
        <w:rPr>
          <w:rFonts w:ascii="Book Antiqua" w:hAnsi="Book Antiqua" w:cs="Times New Roman"/>
          <w:sz w:val="24"/>
          <w:szCs w:val="24"/>
        </w:rPr>
        <w:t>Molecular Biology and</w:t>
      </w:r>
      <w:r w:rsidR="009208D3" w:rsidRPr="005C7810">
        <w:rPr>
          <w:rFonts w:ascii="Book Antiqua" w:hAnsi="Book Antiqua" w:cs="Times New Roman"/>
          <w:sz w:val="24"/>
          <w:szCs w:val="24"/>
        </w:rPr>
        <w:t xml:space="preserve"> Viral Oncology</w:t>
      </w:r>
      <w:r w:rsidR="00B1570F" w:rsidRPr="005C7810">
        <w:rPr>
          <w:rFonts w:ascii="Book Antiqua" w:hAnsi="Book Antiqua" w:cs="Times New Roman"/>
          <w:sz w:val="24"/>
          <w:szCs w:val="24"/>
        </w:rPr>
        <w:t>, Istituto Nazionale Tumori – IRCCS - Fondazione G Pascale, via Mariano Semmola</w:t>
      </w:r>
      <w:r w:rsidR="00026570" w:rsidRPr="005C7810">
        <w:rPr>
          <w:rFonts w:ascii="Book Antiqua" w:hAnsi="Book Antiqua" w:cs="Times New Roman"/>
          <w:sz w:val="24"/>
          <w:szCs w:val="24"/>
        </w:rPr>
        <w:t>,</w:t>
      </w:r>
      <w:r w:rsidR="00B1570F" w:rsidRPr="005C7810">
        <w:rPr>
          <w:rFonts w:ascii="Book Antiqua" w:hAnsi="Book Antiqua" w:cs="Times New Roman"/>
          <w:sz w:val="24"/>
          <w:szCs w:val="24"/>
        </w:rPr>
        <w:t xml:space="preserve"> Napoli</w:t>
      </w:r>
      <w:r w:rsidR="00D522BE" w:rsidRPr="005C7810">
        <w:rPr>
          <w:rFonts w:ascii="Book Antiqua" w:hAnsi="Book Antiqua" w:cs="Times New Roman"/>
          <w:sz w:val="24"/>
          <w:szCs w:val="24"/>
        </w:rPr>
        <w:t xml:space="preserve"> 80131</w:t>
      </w:r>
      <w:r w:rsidR="00026570" w:rsidRPr="005C7810">
        <w:rPr>
          <w:rFonts w:ascii="Book Antiqua" w:hAnsi="Book Antiqua" w:cs="Times New Roman"/>
          <w:sz w:val="24"/>
          <w:szCs w:val="24"/>
        </w:rPr>
        <w:t>,</w:t>
      </w:r>
      <w:r w:rsidR="00D522BE" w:rsidRPr="005C7810">
        <w:rPr>
          <w:rFonts w:ascii="Book Antiqua" w:hAnsi="Book Antiqua" w:cs="Times New Roman"/>
          <w:sz w:val="24"/>
          <w:szCs w:val="24"/>
        </w:rPr>
        <w:t xml:space="preserve"> </w:t>
      </w:r>
      <w:r w:rsidR="00E633CD" w:rsidRPr="005C7810">
        <w:rPr>
          <w:rFonts w:ascii="Book Antiqua" w:hAnsi="Book Antiqua" w:cs="Times New Roman"/>
          <w:sz w:val="24"/>
          <w:szCs w:val="24"/>
        </w:rPr>
        <w:t>Italy</w:t>
      </w:r>
      <w:r w:rsidR="00026570" w:rsidRPr="005C7810">
        <w:rPr>
          <w:rFonts w:ascii="Book Antiqua" w:hAnsi="Book Antiqua" w:cs="Times New Roman"/>
          <w:sz w:val="24"/>
          <w:szCs w:val="24"/>
        </w:rPr>
        <w:t>.</w:t>
      </w:r>
      <w:r w:rsidR="005D4A7E" w:rsidRPr="005C7810">
        <w:rPr>
          <w:rFonts w:ascii="Book Antiqua" w:hAnsi="Book Antiqua" w:cs="Times New Roman"/>
          <w:sz w:val="24"/>
          <w:szCs w:val="24"/>
        </w:rPr>
        <w:t xml:space="preserve"> </w:t>
      </w:r>
      <w:r w:rsidR="00B1570F" w:rsidRPr="005C7810">
        <w:rPr>
          <w:rFonts w:ascii="Book Antiqua" w:hAnsi="Book Antiqua" w:cs="Times New Roman"/>
          <w:sz w:val="24"/>
          <w:szCs w:val="24"/>
          <w:lang w:val="en-US"/>
        </w:rPr>
        <w:t>p.bonelli@istitutotumori.na.it</w:t>
      </w:r>
      <w:r w:rsidR="00026570" w:rsidRPr="005C7810">
        <w:rPr>
          <w:rFonts w:ascii="Book Antiqua" w:hAnsi="Book Antiqua" w:cs="Times New Roman"/>
          <w:sz w:val="24"/>
          <w:szCs w:val="24"/>
          <w:lang w:val="en-US"/>
        </w:rPr>
        <w:t xml:space="preserve"> </w:t>
      </w:r>
    </w:p>
    <w:p w:rsidR="005E4DE5" w:rsidRPr="005C7810" w:rsidRDefault="00026570"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Telephone:</w:t>
      </w:r>
      <w:r w:rsidRPr="005C7810">
        <w:rPr>
          <w:rFonts w:ascii="Book Antiqua" w:hAnsi="Book Antiqua" w:cs="Times New Roman"/>
          <w:sz w:val="24"/>
          <w:szCs w:val="24"/>
          <w:lang w:val="en-US"/>
        </w:rPr>
        <w:t xml:space="preserve"> +39</w:t>
      </w:r>
      <w:r w:rsidR="00D522BE" w:rsidRPr="005C7810">
        <w:rPr>
          <w:rFonts w:ascii="Book Antiqua" w:hAnsi="Book Antiqua" w:cs="Times New Roman"/>
          <w:sz w:val="24"/>
          <w:szCs w:val="24"/>
          <w:lang w:val="en-US"/>
        </w:rPr>
        <w:t>-</w:t>
      </w:r>
      <w:r w:rsidRPr="005C7810">
        <w:rPr>
          <w:rFonts w:ascii="Book Antiqua" w:hAnsi="Book Antiqua" w:cs="Times New Roman"/>
          <w:sz w:val="24"/>
          <w:szCs w:val="24"/>
          <w:lang w:val="en-US"/>
        </w:rPr>
        <w:t>81</w:t>
      </w:r>
      <w:r w:rsidR="00D522BE" w:rsidRPr="005C7810">
        <w:rPr>
          <w:rFonts w:ascii="Book Antiqua" w:hAnsi="Book Antiqua" w:cs="Times New Roman"/>
          <w:sz w:val="24"/>
          <w:szCs w:val="24"/>
          <w:lang w:val="en-US"/>
        </w:rPr>
        <w:t>-</w:t>
      </w:r>
      <w:r w:rsidRPr="005C7810">
        <w:rPr>
          <w:rFonts w:ascii="Book Antiqua" w:hAnsi="Book Antiqua" w:cs="Times New Roman"/>
          <w:sz w:val="24"/>
          <w:szCs w:val="24"/>
          <w:lang w:val="en-US"/>
        </w:rPr>
        <w:t>5903270</w:t>
      </w:r>
    </w:p>
    <w:p w:rsidR="00C4340C" w:rsidRPr="005C7810" w:rsidRDefault="00C4340C" w:rsidP="00CD380F">
      <w:pPr>
        <w:shd w:val="clear" w:color="auto" w:fill="FFFFFF"/>
        <w:snapToGrid w:val="0"/>
        <w:spacing w:after="0" w:line="360" w:lineRule="auto"/>
        <w:jc w:val="both"/>
        <w:rPr>
          <w:rFonts w:ascii="Book Antiqua" w:hAnsi="Book Antiqua" w:cs="Times New Roman"/>
          <w:sz w:val="24"/>
          <w:szCs w:val="24"/>
          <w:lang w:val="en-US"/>
        </w:rPr>
      </w:pPr>
    </w:p>
    <w:p w:rsidR="00C4340C" w:rsidRPr="005C7810" w:rsidRDefault="00C4340C" w:rsidP="00CD380F">
      <w:pPr>
        <w:snapToGrid w:val="0"/>
        <w:spacing w:after="0" w:line="360" w:lineRule="auto"/>
        <w:rPr>
          <w:rFonts w:ascii="Book Antiqua" w:hAnsi="Book Antiqua"/>
          <w:bCs/>
          <w:sz w:val="24"/>
          <w:szCs w:val="24"/>
          <w:lang w:val="en-US" w:eastAsia="zh-CN"/>
        </w:rPr>
      </w:pPr>
      <w:r w:rsidRPr="005C7810">
        <w:rPr>
          <w:rFonts w:ascii="Book Antiqua" w:hAnsi="Book Antiqua"/>
          <w:b/>
          <w:sz w:val="24"/>
          <w:szCs w:val="24"/>
          <w:lang w:val="en-US"/>
        </w:rPr>
        <w:t xml:space="preserve">Received: </w:t>
      </w:r>
      <w:r w:rsidR="00393E18" w:rsidRPr="005C7810">
        <w:rPr>
          <w:rFonts w:ascii="Book Antiqua" w:hAnsi="Book Antiqua"/>
          <w:bCs/>
          <w:sz w:val="24"/>
          <w:szCs w:val="24"/>
          <w:lang w:val="en-US"/>
        </w:rPr>
        <w:t>April 19, 2019</w:t>
      </w:r>
    </w:p>
    <w:p w:rsidR="00C4340C" w:rsidRPr="005C7810" w:rsidRDefault="00C4340C" w:rsidP="00CD380F">
      <w:pPr>
        <w:snapToGrid w:val="0"/>
        <w:spacing w:after="0" w:line="360" w:lineRule="auto"/>
        <w:rPr>
          <w:rFonts w:ascii="Book Antiqua" w:hAnsi="Book Antiqua"/>
          <w:b/>
          <w:sz w:val="24"/>
          <w:szCs w:val="24"/>
          <w:lang w:val="en-US" w:eastAsia="zh-CN"/>
        </w:rPr>
      </w:pPr>
      <w:r w:rsidRPr="005C7810">
        <w:rPr>
          <w:rFonts w:ascii="Book Antiqua" w:hAnsi="Book Antiqua"/>
          <w:b/>
          <w:sz w:val="24"/>
          <w:szCs w:val="24"/>
          <w:lang w:val="en-US"/>
        </w:rPr>
        <w:t>Peer-review started:</w:t>
      </w:r>
      <w:r w:rsidRPr="005C7810">
        <w:rPr>
          <w:rFonts w:ascii="Book Antiqua" w:hAnsi="Book Antiqua"/>
          <w:b/>
          <w:sz w:val="24"/>
          <w:szCs w:val="24"/>
          <w:lang w:val="en-US" w:eastAsia="zh-CN"/>
        </w:rPr>
        <w:t xml:space="preserve"> </w:t>
      </w:r>
      <w:r w:rsidR="003560F7" w:rsidRPr="005C7810">
        <w:rPr>
          <w:rFonts w:ascii="Book Antiqua" w:hAnsi="Book Antiqua"/>
          <w:bCs/>
          <w:sz w:val="24"/>
          <w:szCs w:val="24"/>
          <w:lang w:val="en-US"/>
        </w:rPr>
        <w:t>April 22, 2019</w:t>
      </w:r>
    </w:p>
    <w:p w:rsidR="00C4340C" w:rsidRPr="005C7810" w:rsidRDefault="00C4340C" w:rsidP="00CD380F">
      <w:pPr>
        <w:snapToGrid w:val="0"/>
        <w:spacing w:after="0" w:line="360" w:lineRule="auto"/>
        <w:rPr>
          <w:rFonts w:ascii="Book Antiqua" w:hAnsi="Book Antiqua"/>
          <w:b/>
          <w:sz w:val="24"/>
          <w:szCs w:val="24"/>
          <w:lang w:val="en-US" w:eastAsia="zh-CN"/>
        </w:rPr>
      </w:pPr>
      <w:r w:rsidRPr="005C7810">
        <w:rPr>
          <w:rFonts w:ascii="Book Antiqua" w:hAnsi="Book Antiqua"/>
          <w:b/>
          <w:sz w:val="24"/>
          <w:szCs w:val="24"/>
          <w:lang w:val="en-US"/>
        </w:rPr>
        <w:t>First decision:</w:t>
      </w:r>
      <w:r w:rsidRPr="005C7810">
        <w:rPr>
          <w:rFonts w:ascii="Book Antiqua" w:hAnsi="Book Antiqua"/>
          <w:b/>
          <w:sz w:val="24"/>
          <w:szCs w:val="24"/>
          <w:lang w:val="en-US" w:eastAsia="zh-CN"/>
        </w:rPr>
        <w:t xml:space="preserve"> </w:t>
      </w:r>
      <w:r w:rsidR="00F30E04" w:rsidRPr="005C7810">
        <w:rPr>
          <w:rFonts w:ascii="Book Antiqua" w:hAnsi="Book Antiqua"/>
          <w:bCs/>
          <w:sz w:val="24"/>
          <w:szCs w:val="24"/>
          <w:lang w:val="en-US" w:eastAsia="zh-CN"/>
        </w:rPr>
        <w:t>June 4, 2019</w:t>
      </w:r>
    </w:p>
    <w:p w:rsidR="00C4340C" w:rsidRPr="005C7810" w:rsidRDefault="00C4340C" w:rsidP="00CD380F">
      <w:pPr>
        <w:snapToGrid w:val="0"/>
        <w:spacing w:after="0" w:line="360" w:lineRule="auto"/>
        <w:rPr>
          <w:rFonts w:ascii="Book Antiqua" w:hAnsi="Book Antiqua"/>
          <w:b/>
          <w:sz w:val="24"/>
          <w:szCs w:val="24"/>
          <w:lang w:val="en-US" w:eastAsia="zh-CN"/>
        </w:rPr>
      </w:pPr>
      <w:r w:rsidRPr="005C7810">
        <w:rPr>
          <w:rFonts w:ascii="Book Antiqua" w:hAnsi="Book Antiqua"/>
          <w:b/>
          <w:sz w:val="24"/>
          <w:szCs w:val="24"/>
          <w:lang w:val="en-US"/>
        </w:rPr>
        <w:t xml:space="preserve">Revised: </w:t>
      </w:r>
      <w:r w:rsidR="00D127F2" w:rsidRPr="005C7810">
        <w:rPr>
          <w:rFonts w:ascii="Book Antiqua" w:hAnsi="Book Antiqua"/>
          <w:bCs/>
          <w:sz w:val="24"/>
          <w:szCs w:val="24"/>
          <w:lang w:val="en-US"/>
        </w:rPr>
        <w:t>July 11, 2019</w:t>
      </w:r>
    </w:p>
    <w:p w:rsidR="00C4340C" w:rsidRPr="005C7810" w:rsidRDefault="00C4340C" w:rsidP="00CD380F">
      <w:pPr>
        <w:snapToGrid w:val="0"/>
        <w:spacing w:after="0" w:line="360" w:lineRule="auto"/>
        <w:rPr>
          <w:rFonts w:ascii="Book Antiqua" w:hAnsi="Book Antiqua"/>
          <w:b/>
          <w:sz w:val="24"/>
          <w:szCs w:val="24"/>
          <w:lang w:val="en-US"/>
        </w:rPr>
      </w:pPr>
      <w:r w:rsidRPr="005C7810">
        <w:rPr>
          <w:rFonts w:ascii="Book Antiqua" w:hAnsi="Book Antiqua"/>
          <w:b/>
          <w:sz w:val="24"/>
          <w:szCs w:val="24"/>
          <w:lang w:val="en-US"/>
        </w:rPr>
        <w:t>Accepted:</w:t>
      </w:r>
      <w:r w:rsidR="00A73388" w:rsidRPr="005C7810">
        <w:rPr>
          <w:rFonts w:ascii="Book Antiqua" w:hAnsi="Book Antiqua"/>
          <w:b/>
          <w:sz w:val="24"/>
          <w:szCs w:val="24"/>
          <w:lang w:val="en-US"/>
        </w:rPr>
        <w:t xml:space="preserve"> </w:t>
      </w:r>
      <w:r w:rsidR="00A73388" w:rsidRPr="005C7810">
        <w:rPr>
          <w:rFonts w:ascii="Book Antiqua" w:hAnsi="Book Antiqua"/>
          <w:bCs/>
          <w:sz w:val="24"/>
          <w:szCs w:val="24"/>
          <w:lang w:val="en-US"/>
        </w:rPr>
        <w:t>September 4, 2019</w:t>
      </w:r>
    </w:p>
    <w:p w:rsidR="00C4340C" w:rsidRPr="005C7810" w:rsidRDefault="00C4340C" w:rsidP="00CD380F">
      <w:pPr>
        <w:snapToGrid w:val="0"/>
        <w:spacing w:after="0" w:line="360" w:lineRule="auto"/>
        <w:rPr>
          <w:rFonts w:ascii="Book Antiqua" w:hAnsi="Book Antiqua" w:hint="eastAsia"/>
          <w:b/>
          <w:sz w:val="24"/>
          <w:szCs w:val="24"/>
          <w:lang w:eastAsia="zh-CN"/>
        </w:rPr>
      </w:pPr>
      <w:r w:rsidRPr="005C7810">
        <w:rPr>
          <w:rFonts w:ascii="Book Antiqua" w:hAnsi="Book Antiqua"/>
          <w:b/>
          <w:sz w:val="24"/>
          <w:szCs w:val="24"/>
          <w:lang w:val="en-US"/>
        </w:rPr>
        <w:t>Article in press:</w:t>
      </w:r>
      <w:r w:rsidR="005C7810" w:rsidRPr="005C7810">
        <w:rPr>
          <w:rFonts w:ascii="Book Antiqua" w:hAnsi="Book Antiqua"/>
          <w:bCs/>
          <w:sz w:val="24"/>
          <w:szCs w:val="24"/>
        </w:rPr>
        <w:t xml:space="preserve"> September </w:t>
      </w:r>
      <w:r w:rsidR="005C7810" w:rsidRPr="005C7810">
        <w:rPr>
          <w:rFonts w:ascii="Book Antiqua" w:hAnsi="Book Antiqua" w:hint="eastAsia"/>
          <w:bCs/>
          <w:sz w:val="24"/>
          <w:szCs w:val="24"/>
        </w:rPr>
        <w:t>5</w:t>
      </w:r>
      <w:r w:rsidR="005C7810" w:rsidRPr="005C7810">
        <w:rPr>
          <w:rFonts w:ascii="Book Antiqua" w:hAnsi="Book Antiqua"/>
          <w:bCs/>
          <w:sz w:val="24"/>
          <w:szCs w:val="24"/>
        </w:rPr>
        <w:t>, 2019</w:t>
      </w:r>
    </w:p>
    <w:p w:rsidR="005C7810" w:rsidRPr="005C7810" w:rsidRDefault="00C4340C" w:rsidP="005C7810">
      <w:pPr>
        <w:snapToGrid w:val="0"/>
        <w:spacing w:line="360" w:lineRule="auto"/>
        <w:rPr>
          <w:rFonts w:ascii="Book Antiqua" w:hAnsi="Book Antiqua" w:cs="Arial"/>
          <w:b/>
          <w:sz w:val="24"/>
          <w:szCs w:val="24"/>
        </w:rPr>
      </w:pPr>
      <w:r w:rsidRPr="005C7810">
        <w:rPr>
          <w:rFonts w:ascii="Book Antiqua" w:hAnsi="Book Antiqua"/>
          <w:b/>
          <w:sz w:val="24"/>
          <w:szCs w:val="24"/>
          <w:lang w:val="en-US"/>
        </w:rPr>
        <w:t>Published online:</w:t>
      </w:r>
      <w:r w:rsidR="005C7810" w:rsidRPr="005C7810">
        <w:rPr>
          <w:rFonts w:ascii="Book Antiqua" w:hAnsi="Book Antiqua"/>
          <w:sz w:val="24"/>
          <w:lang w:val="en-GB"/>
        </w:rPr>
        <w:t xml:space="preserve"> October</w:t>
      </w:r>
      <w:r w:rsidR="005C7810" w:rsidRPr="005C7810">
        <w:rPr>
          <w:rFonts w:ascii="Book Antiqua" w:hAnsi="Book Antiqua" w:hint="eastAsia"/>
          <w:sz w:val="24"/>
          <w:lang w:val="en-GB"/>
        </w:rPr>
        <w:t xml:space="preserve"> 15, 2019</w:t>
      </w:r>
    </w:p>
    <w:p w:rsidR="00C4340C" w:rsidRPr="005C7810" w:rsidRDefault="00C4340C" w:rsidP="005C7810">
      <w:pPr>
        <w:snapToGrid w:val="0"/>
        <w:spacing w:after="0" w:line="360" w:lineRule="auto"/>
        <w:jc w:val="both"/>
        <w:rPr>
          <w:rFonts w:ascii="Book Antiqua" w:hAnsi="Book Antiqua" w:cs="Times New Roman"/>
          <w:sz w:val="24"/>
          <w:szCs w:val="24"/>
          <w:lang w:val="en-US"/>
        </w:rPr>
      </w:pPr>
    </w:p>
    <w:p w:rsidR="00D3638C" w:rsidRPr="005C7810" w:rsidRDefault="00867AC3" w:rsidP="00CD380F">
      <w:pPr>
        <w:shd w:val="clear" w:color="auto" w:fill="FFFFFF"/>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sz w:val="24"/>
          <w:szCs w:val="24"/>
          <w:lang w:val="en-US"/>
        </w:rPr>
        <w:br w:type="page"/>
      </w:r>
      <w:r w:rsidR="00D3638C" w:rsidRPr="005C7810">
        <w:rPr>
          <w:rFonts w:ascii="Book Antiqua" w:hAnsi="Book Antiqua" w:cs="Times New Roman"/>
          <w:b/>
          <w:sz w:val="24"/>
          <w:szCs w:val="24"/>
          <w:lang w:val="en-US"/>
        </w:rPr>
        <w:lastRenderedPageBreak/>
        <w:t>A</w:t>
      </w:r>
      <w:r w:rsidR="00552646" w:rsidRPr="005C7810">
        <w:rPr>
          <w:rFonts w:ascii="Book Antiqua" w:hAnsi="Book Antiqua" w:cs="Times New Roman"/>
          <w:b/>
          <w:sz w:val="24"/>
          <w:szCs w:val="24"/>
          <w:lang w:val="en-US"/>
        </w:rPr>
        <w:t>bstract</w:t>
      </w:r>
    </w:p>
    <w:p w:rsidR="00AB7B32" w:rsidRPr="005C7810" w:rsidRDefault="005451FB" w:rsidP="00CD380F">
      <w:pPr>
        <w:shd w:val="clear" w:color="auto" w:fill="FFFFFF"/>
        <w:snapToGrid w:val="0"/>
        <w:spacing w:after="0" w:line="360" w:lineRule="auto"/>
        <w:jc w:val="both"/>
        <w:rPr>
          <w:rFonts w:ascii="Book Antiqua" w:hAnsi="Book Antiqua" w:cs="Times New Roman"/>
          <w:color w:val="000000"/>
          <w:sz w:val="24"/>
          <w:szCs w:val="24"/>
          <w:shd w:val="clear" w:color="auto" w:fill="FFFFFF"/>
          <w:lang w:val="en-US"/>
        </w:rPr>
      </w:pPr>
      <w:r w:rsidRPr="005C7810">
        <w:rPr>
          <w:rFonts w:ascii="Book Antiqua" w:hAnsi="Book Antiqua" w:cs="Times New Roman"/>
          <w:sz w:val="24"/>
          <w:szCs w:val="24"/>
          <w:lang w:val="en-US"/>
        </w:rPr>
        <w:t xml:space="preserve">Gastric cancer (GC) is a complex disease linked to a series of environmental factors and </w:t>
      </w:r>
      <w:r w:rsidR="006A03B0" w:rsidRPr="005C7810">
        <w:rPr>
          <w:rFonts w:ascii="Book Antiqua" w:hAnsi="Book Antiqua" w:cs="Times New Roman"/>
          <w:sz w:val="24"/>
          <w:szCs w:val="24"/>
          <w:lang w:val="en-US"/>
        </w:rPr>
        <w:t>unhealthy</w:t>
      </w:r>
      <w:r w:rsidRPr="005C7810">
        <w:rPr>
          <w:rFonts w:ascii="Book Antiqua" w:hAnsi="Book Antiqua" w:cs="Times New Roman"/>
          <w:sz w:val="24"/>
          <w:szCs w:val="24"/>
          <w:lang w:val="en-US"/>
        </w:rPr>
        <w:t xml:space="preserve"> lifestyle habits</w:t>
      </w:r>
      <w:r w:rsidR="001801FF"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w:t>
      </w:r>
      <w:r w:rsidR="00F53EDD" w:rsidRPr="005C7810">
        <w:rPr>
          <w:rFonts w:ascii="Book Antiqua" w:hAnsi="Book Antiqua" w:cs="Times New Roman"/>
          <w:sz w:val="24"/>
          <w:szCs w:val="24"/>
          <w:lang w:val="en-US"/>
        </w:rPr>
        <w:t xml:space="preserve">especially </w:t>
      </w:r>
      <w:r w:rsidRPr="005C7810">
        <w:rPr>
          <w:rFonts w:ascii="Book Antiqua" w:hAnsi="Book Antiqua" w:cs="Times New Roman"/>
          <w:sz w:val="24"/>
          <w:szCs w:val="24"/>
          <w:lang w:val="en-US"/>
        </w:rPr>
        <w:t>to genetic alterations. GC represents the second leading cause of cancer</w:t>
      </w:r>
      <w:r w:rsidR="007F69E4" w:rsidRPr="005C7810">
        <w:rPr>
          <w:rFonts w:ascii="Book Antiqua" w:hAnsi="Book Antiqua" w:cs="Times New Roman"/>
          <w:sz w:val="24"/>
          <w:szCs w:val="24"/>
          <w:lang w:val="en-US"/>
        </w:rPr>
        <w:t>-related</w:t>
      </w:r>
      <w:r w:rsidRPr="005C7810">
        <w:rPr>
          <w:rFonts w:ascii="Book Antiqua" w:hAnsi="Book Antiqua" w:cs="Times New Roman"/>
          <w:sz w:val="24"/>
          <w:szCs w:val="24"/>
          <w:lang w:val="en-US"/>
        </w:rPr>
        <w:t xml:space="preserve"> death</w:t>
      </w:r>
      <w:r w:rsidR="007F69E4" w:rsidRPr="005C7810">
        <w:rPr>
          <w:rFonts w:ascii="Book Antiqua" w:hAnsi="Book Antiqua" w:cs="Times New Roman"/>
          <w:sz w:val="24"/>
          <w:szCs w:val="24"/>
          <w:lang w:val="en-US"/>
        </w:rPr>
        <w:t>s</w:t>
      </w:r>
      <w:r w:rsidRPr="005C7810">
        <w:rPr>
          <w:rFonts w:ascii="Book Antiqua" w:hAnsi="Book Antiqua" w:cs="Times New Roman"/>
          <w:sz w:val="24"/>
          <w:szCs w:val="24"/>
          <w:lang w:val="en-US"/>
        </w:rPr>
        <w:t xml:space="preserve"> world</w:t>
      </w:r>
      <w:r w:rsidR="007F69E4" w:rsidRPr="005C7810">
        <w:rPr>
          <w:rFonts w:ascii="Book Antiqua" w:hAnsi="Book Antiqua" w:cs="Times New Roman"/>
          <w:sz w:val="24"/>
          <w:szCs w:val="24"/>
          <w:lang w:val="en-US"/>
        </w:rPr>
        <w:t>wide</w:t>
      </w:r>
      <w:r w:rsidRPr="005C7810">
        <w:rPr>
          <w:rFonts w:ascii="Book Antiqua" w:hAnsi="Book Antiqua" w:cs="Times New Roman"/>
          <w:sz w:val="24"/>
          <w:szCs w:val="24"/>
          <w:lang w:val="en-US"/>
        </w:rPr>
        <w:t xml:space="preserve">. Its onset is </w:t>
      </w:r>
      <w:r w:rsidR="00A73388" w:rsidRPr="005C7810">
        <w:rPr>
          <w:rFonts w:ascii="Book Antiqua" w:hAnsi="Book Antiqua" w:cs="Times New Roman"/>
          <w:sz w:val="24"/>
          <w:szCs w:val="24"/>
          <w:lang w:val="en-US"/>
        </w:rPr>
        <w:t>subtle,</w:t>
      </w:r>
      <w:r w:rsidRPr="005C7810">
        <w:rPr>
          <w:rFonts w:ascii="Book Antiqua" w:hAnsi="Book Antiqua" w:cs="Times New Roman"/>
          <w:sz w:val="24"/>
          <w:szCs w:val="24"/>
          <w:lang w:val="en-US"/>
        </w:rPr>
        <w:t xml:space="preserve"> and</w:t>
      </w:r>
      <w:r w:rsidR="00F948EA" w:rsidRPr="005C7810">
        <w:rPr>
          <w:rFonts w:ascii="Book Antiqua" w:hAnsi="Book Antiqua" w:cs="Times New Roman"/>
          <w:sz w:val="24"/>
          <w:szCs w:val="24"/>
          <w:lang w:val="en-US"/>
        </w:rPr>
        <w:t xml:space="preserve"> the majority of patients are</w:t>
      </w:r>
      <w:r w:rsidRPr="005C7810">
        <w:rPr>
          <w:rFonts w:ascii="Book Antiqua" w:hAnsi="Book Antiqua" w:cs="Times New Roman"/>
          <w:sz w:val="24"/>
          <w:szCs w:val="24"/>
          <w:lang w:val="en-US"/>
        </w:rPr>
        <w:t xml:space="preserve"> diagnosed </w:t>
      </w:r>
      <w:r w:rsidR="00F948EA" w:rsidRPr="005C7810">
        <w:rPr>
          <w:rFonts w:ascii="Book Antiqua" w:hAnsi="Book Antiqua" w:cs="Times New Roman"/>
          <w:sz w:val="24"/>
          <w:szCs w:val="24"/>
          <w:lang w:val="en-US"/>
        </w:rPr>
        <w:t>once the cancer is already</w:t>
      </w:r>
      <w:r w:rsidRPr="005C7810">
        <w:rPr>
          <w:rFonts w:ascii="Book Antiqua" w:hAnsi="Book Antiqua" w:cs="Times New Roman"/>
          <w:sz w:val="24"/>
          <w:szCs w:val="24"/>
          <w:lang w:val="en-US"/>
        </w:rPr>
        <w:t xml:space="preserve"> advanced. In recent years</w:t>
      </w:r>
      <w:r w:rsidR="00F948EA"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there have been innovations in the management of advanced GC</w:t>
      </w:r>
      <w:r w:rsidR="006A03B0" w:rsidRPr="005C7810">
        <w:rPr>
          <w:rFonts w:ascii="Book Antiqua" w:hAnsi="Book Antiqua" w:cs="Times New Roman"/>
          <w:sz w:val="24"/>
          <w:szCs w:val="24"/>
          <w:lang w:val="en-US"/>
        </w:rPr>
        <w:t xml:space="preserve"> including the introduction o</w:t>
      </w:r>
      <w:r w:rsidR="00B20903" w:rsidRPr="005C7810">
        <w:rPr>
          <w:rFonts w:ascii="Book Antiqua" w:hAnsi="Book Antiqua" w:cs="Times New Roman"/>
          <w:sz w:val="24"/>
          <w:szCs w:val="24"/>
          <w:lang w:val="en-US"/>
        </w:rPr>
        <w:t>f</w:t>
      </w:r>
      <w:r w:rsidR="006A03B0" w:rsidRPr="005C7810">
        <w:rPr>
          <w:rFonts w:ascii="Book Antiqua" w:hAnsi="Book Antiqua" w:cs="Times New Roman"/>
          <w:sz w:val="24"/>
          <w:szCs w:val="24"/>
          <w:lang w:val="en-US"/>
        </w:rPr>
        <w:t xml:space="preserve"> new classifications </w:t>
      </w:r>
      <w:r w:rsidRPr="005C7810">
        <w:rPr>
          <w:rFonts w:ascii="Book Antiqua" w:hAnsi="Book Antiqua" w:cs="Times New Roman"/>
          <w:sz w:val="24"/>
          <w:szCs w:val="24"/>
          <w:lang w:val="en-US"/>
        </w:rPr>
        <w:t xml:space="preserve">based on its molecular characteristics. </w:t>
      </w:r>
      <w:r w:rsidR="006D5285" w:rsidRPr="005C7810">
        <w:rPr>
          <w:rFonts w:ascii="Book Antiqua" w:hAnsi="Book Antiqua" w:cs="Times New Roman"/>
          <w:sz w:val="24"/>
          <w:szCs w:val="24"/>
          <w:lang w:val="en-US"/>
        </w:rPr>
        <w:t xml:space="preserve">Thanks to new technologies such as </w:t>
      </w:r>
      <w:r w:rsidR="00B20903" w:rsidRPr="005C7810">
        <w:rPr>
          <w:rFonts w:ascii="Book Antiqua" w:hAnsi="Book Antiqua" w:cs="Times New Roman"/>
          <w:sz w:val="24"/>
          <w:szCs w:val="24"/>
          <w:lang w:val="en-US"/>
        </w:rPr>
        <w:t>n</w:t>
      </w:r>
      <w:r w:rsidR="006D5285" w:rsidRPr="005C7810">
        <w:rPr>
          <w:rFonts w:ascii="Book Antiqua" w:hAnsi="Book Antiqua" w:cs="Times New Roman"/>
          <w:sz w:val="24"/>
          <w:szCs w:val="24"/>
          <w:lang w:val="en-US"/>
        </w:rPr>
        <w:t>ext</w:t>
      </w:r>
      <w:r w:rsidR="00B20903" w:rsidRPr="005C7810">
        <w:rPr>
          <w:rFonts w:ascii="Book Antiqua" w:hAnsi="Book Antiqua" w:cs="Times New Roman"/>
          <w:sz w:val="24"/>
          <w:szCs w:val="24"/>
          <w:lang w:val="en-US"/>
        </w:rPr>
        <w:t>-g</w:t>
      </w:r>
      <w:r w:rsidR="006D5285" w:rsidRPr="005C7810">
        <w:rPr>
          <w:rFonts w:ascii="Book Antiqua" w:hAnsi="Book Antiqua" w:cs="Times New Roman"/>
          <w:sz w:val="24"/>
          <w:szCs w:val="24"/>
          <w:lang w:val="en-US"/>
        </w:rPr>
        <w:t xml:space="preserve">eneration </w:t>
      </w:r>
      <w:r w:rsidR="00B20903" w:rsidRPr="005C7810">
        <w:rPr>
          <w:rFonts w:ascii="Book Antiqua" w:hAnsi="Book Antiqua" w:cs="Times New Roman"/>
          <w:sz w:val="24"/>
          <w:szCs w:val="24"/>
          <w:lang w:val="en-US"/>
        </w:rPr>
        <w:t>s</w:t>
      </w:r>
      <w:r w:rsidR="006D5285" w:rsidRPr="005C7810">
        <w:rPr>
          <w:rFonts w:ascii="Book Antiqua" w:hAnsi="Book Antiqua" w:cs="Times New Roman"/>
          <w:sz w:val="24"/>
          <w:szCs w:val="24"/>
          <w:lang w:val="en-US"/>
        </w:rPr>
        <w:t xml:space="preserve">equencing and microarray, </w:t>
      </w:r>
      <w:bookmarkStart w:id="11" w:name="_Hlk17295478"/>
      <w:r w:rsidR="00D127F2" w:rsidRPr="005C7810">
        <w:rPr>
          <w:rFonts w:ascii="Book Antiqua" w:hAnsi="Book Antiqua" w:cs="Times New Roman"/>
          <w:sz w:val="24"/>
          <w:szCs w:val="24"/>
          <w:lang w:val="en-US"/>
        </w:rPr>
        <w:t>t</w:t>
      </w:r>
      <w:r w:rsidRPr="005C7810">
        <w:rPr>
          <w:rFonts w:ascii="Book Antiqua" w:hAnsi="Book Antiqua" w:cs="Times New Roman"/>
          <w:sz w:val="24"/>
          <w:szCs w:val="24"/>
          <w:lang w:val="en-US"/>
        </w:rPr>
        <w:t xml:space="preserve">he </w:t>
      </w:r>
      <w:r w:rsidR="001C7BBB" w:rsidRPr="005C7810">
        <w:rPr>
          <w:rFonts w:ascii="Book Antiqua" w:hAnsi="Book Antiqua" w:cs="Times New Roman"/>
          <w:sz w:val="24"/>
          <w:szCs w:val="24"/>
          <w:lang w:val="en-US"/>
        </w:rPr>
        <w:t xml:space="preserve">Cancer Genome Atlas </w:t>
      </w:r>
      <w:r w:rsidRPr="005C7810">
        <w:rPr>
          <w:rFonts w:ascii="Book Antiqua" w:hAnsi="Book Antiqua" w:cs="Times New Roman"/>
          <w:sz w:val="24"/>
          <w:szCs w:val="24"/>
          <w:lang w:val="en-US"/>
        </w:rPr>
        <w:t xml:space="preserve">and </w:t>
      </w:r>
      <w:r w:rsidR="001C7BBB" w:rsidRPr="005C7810">
        <w:rPr>
          <w:rFonts w:ascii="Book Antiqua" w:hAnsi="Book Antiqua" w:cs="Times New Roman"/>
          <w:sz w:val="24"/>
          <w:szCs w:val="24"/>
          <w:lang w:val="en-US"/>
        </w:rPr>
        <w:t>Asian Cancer Research Group</w:t>
      </w:r>
      <w:bookmarkEnd w:id="11"/>
      <w:r w:rsidR="00E839B0"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classifications have </w:t>
      </w:r>
      <w:r w:rsidR="006D5285" w:rsidRPr="005C7810">
        <w:rPr>
          <w:rFonts w:ascii="Book Antiqua" w:hAnsi="Book Antiqua" w:cs="Times New Roman"/>
          <w:sz w:val="24"/>
          <w:szCs w:val="24"/>
          <w:lang w:val="en-US"/>
        </w:rPr>
        <w:t xml:space="preserve">also </w:t>
      </w:r>
      <w:r w:rsidRPr="005C7810">
        <w:rPr>
          <w:rFonts w:ascii="Book Antiqua" w:hAnsi="Book Antiqua" w:cs="Times New Roman"/>
          <w:sz w:val="24"/>
          <w:szCs w:val="24"/>
          <w:lang w:val="en-US"/>
        </w:rPr>
        <w:t>paved the way fo</w:t>
      </w:r>
      <w:r w:rsidR="006D5285" w:rsidRPr="005C7810">
        <w:rPr>
          <w:rFonts w:ascii="Book Antiqua" w:hAnsi="Book Antiqua" w:cs="Times New Roman"/>
          <w:sz w:val="24"/>
          <w:szCs w:val="24"/>
          <w:lang w:val="en-US"/>
        </w:rPr>
        <w:t>r precision medicine in</w:t>
      </w:r>
      <w:r w:rsidRPr="005C7810">
        <w:rPr>
          <w:rFonts w:ascii="Book Antiqua" w:hAnsi="Book Antiqua" w:cs="Times New Roman"/>
          <w:sz w:val="24"/>
          <w:szCs w:val="24"/>
          <w:lang w:val="en-US"/>
        </w:rPr>
        <w:t xml:space="preserve"> GC</w:t>
      </w:r>
      <w:r w:rsidR="00492A84" w:rsidRPr="005C7810">
        <w:rPr>
          <w:rFonts w:ascii="Book Antiqua" w:hAnsi="Book Antiqua" w:cs="Times New Roman"/>
          <w:sz w:val="24"/>
          <w:szCs w:val="24"/>
          <w:lang w:val="en-US"/>
        </w:rPr>
        <w:t>,</w:t>
      </w:r>
      <w:r w:rsidR="006D5285" w:rsidRPr="005C7810">
        <w:rPr>
          <w:rFonts w:ascii="Book Antiqua" w:hAnsi="Book Antiqua" w:cs="Times New Roman"/>
          <w:sz w:val="24"/>
          <w:szCs w:val="24"/>
          <w:lang w:val="en-US"/>
        </w:rPr>
        <w:t xml:space="preserve"> making it possible to integrate diagnostic and therapeutic methods</w:t>
      </w:r>
      <w:r w:rsidRPr="005C7810">
        <w:rPr>
          <w:rFonts w:ascii="Book Antiqua" w:hAnsi="Book Antiqua" w:cs="Times New Roman"/>
          <w:sz w:val="24"/>
          <w:szCs w:val="24"/>
          <w:lang w:val="en-US"/>
        </w:rPr>
        <w:t xml:space="preserve">. Among the objectives of the subdivision of </w:t>
      </w:r>
      <w:r w:rsidR="00F53EDD" w:rsidRPr="005C7810">
        <w:rPr>
          <w:rFonts w:ascii="Book Antiqua" w:hAnsi="Book Antiqua" w:cs="Times New Roman"/>
          <w:sz w:val="24"/>
          <w:szCs w:val="24"/>
          <w:lang w:val="en-US"/>
        </w:rPr>
        <w:t>GC into subtypes</w:t>
      </w:r>
      <w:r w:rsidRPr="005C7810">
        <w:rPr>
          <w:rFonts w:ascii="Book Antiqua" w:hAnsi="Book Antiqua" w:cs="Times New Roman"/>
          <w:sz w:val="24"/>
          <w:szCs w:val="24"/>
          <w:lang w:val="en-US"/>
        </w:rPr>
        <w:t xml:space="preserve"> i</w:t>
      </w:r>
      <w:r w:rsidR="006D5285" w:rsidRPr="005C7810">
        <w:rPr>
          <w:rFonts w:ascii="Book Antiqua" w:hAnsi="Book Antiqua" w:cs="Times New Roman"/>
          <w:sz w:val="24"/>
          <w:szCs w:val="24"/>
          <w:lang w:val="en-US"/>
        </w:rPr>
        <w:t xml:space="preserve">s to select patients in </w:t>
      </w:r>
      <w:r w:rsidR="00EC54B0" w:rsidRPr="005C7810">
        <w:rPr>
          <w:rFonts w:ascii="Book Antiqua" w:hAnsi="Book Antiqua" w:cs="Times New Roman"/>
          <w:sz w:val="24"/>
          <w:szCs w:val="24"/>
          <w:lang w:val="en-US"/>
        </w:rPr>
        <w:t xml:space="preserve">whom </w:t>
      </w:r>
      <w:r w:rsidRPr="005C7810">
        <w:rPr>
          <w:rFonts w:ascii="Book Antiqua" w:hAnsi="Book Antiqua" w:cs="Times New Roman"/>
          <w:sz w:val="24"/>
          <w:szCs w:val="24"/>
          <w:lang w:val="en-US"/>
        </w:rPr>
        <w:t>molecular target</w:t>
      </w:r>
      <w:r w:rsidR="00492A84" w:rsidRPr="005C7810">
        <w:rPr>
          <w:rFonts w:ascii="Book Antiqua" w:hAnsi="Book Antiqua" w:cs="Times New Roman"/>
          <w:sz w:val="24"/>
          <w:szCs w:val="24"/>
          <w:lang w:val="en-US"/>
        </w:rPr>
        <w:t>ed</w:t>
      </w:r>
      <w:r w:rsidRPr="005C7810">
        <w:rPr>
          <w:rFonts w:ascii="Book Antiqua" w:hAnsi="Book Antiqua" w:cs="Times New Roman"/>
          <w:sz w:val="24"/>
          <w:szCs w:val="24"/>
          <w:lang w:val="en-US"/>
        </w:rPr>
        <w:t xml:space="preserve"> drugs can achieve the best results</w:t>
      </w:r>
      <w:r w:rsidR="00492A84"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many lines of research have been </w:t>
      </w:r>
      <w:r w:rsidR="006D5285" w:rsidRPr="005C7810">
        <w:rPr>
          <w:rFonts w:ascii="Book Antiqua" w:hAnsi="Book Antiqua" w:cs="Times New Roman"/>
          <w:sz w:val="24"/>
          <w:szCs w:val="24"/>
          <w:lang w:val="en-US"/>
        </w:rPr>
        <w:t xml:space="preserve">initiated </w:t>
      </w:r>
      <w:r w:rsidR="00F14D84" w:rsidRPr="005C7810">
        <w:rPr>
          <w:rFonts w:ascii="Book Antiqua" w:hAnsi="Book Antiqua" w:cs="Times New Roman"/>
          <w:sz w:val="24"/>
          <w:szCs w:val="24"/>
          <w:lang w:val="en-US"/>
        </w:rPr>
        <w:t>to this end</w:t>
      </w:r>
      <w:r w:rsidRPr="005C7810">
        <w:rPr>
          <w:rFonts w:ascii="Book Antiqua" w:hAnsi="Book Antiqua" w:cs="Times New Roman"/>
          <w:sz w:val="24"/>
          <w:szCs w:val="24"/>
          <w:lang w:val="en-US"/>
        </w:rPr>
        <w:t xml:space="preserve">. </w:t>
      </w:r>
      <w:r w:rsidR="006D5285" w:rsidRPr="005C7810">
        <w:rPr>
          <w:rFonts w:ascii="Book Antiqua" w:hAnsi="Book Antiqua" w:cs="Times New Roman"/>
          <w:sz w:val="24"/>
          <w:szCs w:val="24"/>
          <w:lang w:val="en-US"/>
        </w:rPr>
        <w:t>After phase III clinical trials, trastuzumab, anti-</w:t>
      </w:r>
      <w:r w:rsidR="007E39CE" w:rsidRPr="005C7810">
        <w:rPr>
          <w:rFonts w:ascii="Book Antiqua" w:hAnsi="Book Antiqua" w:cs="Times New Roman"/>
          <w:sz w:val="24"/>
          <w:szCs w:val="24"/>
          <w:lang w:val="en-US"/>
        </w:rPr>
        <w:t xml:space="preserve">Erb-B2 </w:t>
      </w:r>
      <w:r w:rsidR="009E75A1" w:rsidRPr="005C7810">
        <w:rPr>
          <w:rFonts w:ascii="Book Antiqua" w:hAnsi="Book Antiqua" w:cs="Times New Roman"/>
          <w:sz w:val="24"/>
          <w:szCs w:val="24"/>
          <w:lang w:val="en-US"/>
        </w:rPr>
        <w:t>r</w:t>
      </w:r>
      <w:r w:rsidR="007E39CE" w:rsidRPr="005C7810">
        <w:rPr>
          <w:rFonts w:ascii="Book Antiqua" w:hAnsi="Book Antiqua" w:cs="Times New Roman"/>
          <w:sz w:val="24"/>
          <w:szCs w:val="24"/>
          <w:lang w:val="en-US"/>
        </w:rPr>
        <w:t xml:space="preserve">eceptor </w:t>
      </w:r>
      <w:r w:rsidR="009E75A1" w:rsidRPr="005C7810">
        <w:rPr>
          <w:rFonts w:ascii="Book Antiqua" w:hAnsi="Book Antiqua" w:cs="Times New Roman"/>
          <w:sz w:val="24"/>
          <w:szCs w:val="24"/>
          <w:lang w:val="en-US"/>
        </w:rPr>
        <w:t>t</w:t>
      </w:r>
      <w:r w:rsidR="007E39CE" w:rsidRPr="005C7810">
        <w:rPr>
          <w:rFonts w:ascii="Book Antiqua" w:hAnsi="Book Antiqua" w:cs="Times New Roman"/>
          <w:sz w:val="24"/>
          <w:szCs w:val="24"/>
          <w:lang w:val="en-US"/>
        </w:rPr>
        <w:t xml:space="preserve">yrosine </w:t>
      </w:r>
      <w:r w:rsidR="009E75A1" w:rsidRPr="005C7810">
        <w:rPr>
          <w:rFonts w:ascii="Book Antiqua" w:hAnsi="Book Antiqua" w:cs="Times New Roman"/>
          <w:sz w:val="24"/>
          <w:szCs w:val="24"/>
          <w:lang w:val="en-US"/>
        </w:rPr>
        <w:t>k</w:t>
      </w:r>
      <w:r w:rsidR="007E39CE" w:rsidRPr="005C7810">
        <w:rPr>
          <w:rFonts w:ascii="Book Antiqua" w:hAnsi="Book Antiqua" w:cs="Times New Roman"/>
          <w:sz w:val="24"/>
          <w:szCs w:val="24"/>
          <w:lang w:val="en-US"/>
        </w:rPr>
        <w:t>inase 2</w:t>
      </w:r>
      <w:r w:rsidR="009E75A1" w:rsidRPr="005C7810">
        <w:rPr>
          <w:rFonts w:ascii="Book Antiqua" w:hAnsi="Book Antiqua" w:cs="Times New Roman"/>
          <w:sz w:val="24"/>
          <w:szCs w:val="24"/>
          <w:lang w:val="en-US"/>
        </w:rPr>
        <w:t xml:space="preserve"> (commonly known as ERBB2</w:t>
      </w:r>
      <w:r w:rsidR="007E39CE" w:rsidRPr="005C7810">
        <w:rPr>
          <w:rFonts w:ascii="Book Antiqua" w:hAnsi="Book Antiqua" w:cs="Times New Roman"/>
          <w:sz w:val="24"/>
          <w:szCs w:val="24"/>
          <w:lang w:val="en-US"/>
        </w:rPr>
        <w:t>)</w:t>
      </w:r>
      <w:r w:rsidR="006D5285" w:rsidRPr="005C7810">
        <w:rPr>
          <w:rFonts w:ascii="Book Antiqua" w:hAnsi="Book Antiqua" w:cs="Times New Roman"/>
          <w:sz w:val="24"/>
          <w:szCs w:val="24"/>
          <w:lang w:val="en-US"/>
        </w:rPr>
        <w:t xml:space="preserve"> and ramucirumab, anti-</w:t>
      </w:r>
      <w:r w:rsidR="009E75A1" w:rsidRPr="005C7810">
        <w:rPr>
          <w:rFonts w:ascii="Book Antiqua" w:hAnsi="Book Antiqua" w:cs="Times New Roman"/>
          <w:sz w:val="24"/>
          <w:szCs w:val="24"/>
          <w:lang w:val="en-US"/>
        </w:rPr>
        <w:t>v</w:t>
      </w:r>
      <w:r w:rsidR="000A108C" w:rsidRPr="005C7810">
        <w:rPr>
          <w:rFonts w:ascii="Book Antiqua" w:hAnsi="Book Antiqua" w:cs="Times New Roman"/>
          <w:color w:val="000000"/>
          <w:sz w:val="24"/>
          <w:szCs w:val="24"/>
          <w:shd w:val="clear" w:color="auto" w:fill="FFFFFF"/>
          <w:lang w:val="en-US"/>
        </w:rPr>
        <w:t xml:space="preserve">ascular </w:t>
      </w:r>
      <w:r w:rsidR="009E75A1" w:rsidRPr="005C7810">
        <w:rPr>
          <w:rFonts w:ascii="Book Antiqua" w:hAnsi="Book Antiqua" w:cs="Times New Roman"/>
          <w:color w:val="000000"/>
          <w:sz w:val="24"/>
          <w:szCs w:val="24"/>
          <w:shd w:val="clear" w:color="auto" w:fill="FFFFFF"/>
          <w:lang w:val="en-US"/>
        </w:rPr>
        <w:t>e</w:t>
      </w:r>
      <w:r w:rsidR="000A108C" w:rsidRPr="005C7810">
        <w:rPr>
          <w:rFonts w:ascii="Book Antiqua" w:hAnsi="Book Antiqua" w:cs="Times New Roman"/>
          <w:color w:val="000000"/>
          <w:sz w:val="24"/>
          <w:szCs w:val="24"/>
          <w:shd w:val="clear" w:color="auto" w:fill="FFFFFF"/>
          <w:lang w:val="en-US"/>
        </w:rPr>
        <w:t xml:space="preserve">ndothelial </w:t>
      </w:r>
      <w:r w:rsidR="009E75A1" w:rsidRPr="005C7810">
        <w:rPr>
          <w:rFonts w:ascii="Book Antiqua" w:hAnsi="Book Antiqua" w:cs="Times New Roman"/>
          <w:color w:val="000000"/>
          <w:sz w:val="24"/>
          <w:szCs w:val="24"/>
          <w:shd w:val="clear" w:color="auto" w:fill="FFFFFF"/>
          <w:lang w:val="en-US"/>
        </w:rPr>
        <w:t>g</w:t>
      </w:r>
      <w:r w:rsidR="000A108C" w:rsidRPr="005C7810">
        <w:rPr>
          <w:rFonts w:ascii="Book Antiqua" w:hAnsi="Book Antiqua" w:cs="Times New Roman"/>
          <w:color w:val="000000"/>
          <w:sz w:val="24"/>
          <w:szCs w:val="24"/>
          <w:shd w:val="clear" w:color="auto" w:fill="FFFFFF"/>
          <w:lang w:val="en-US"/>
        </w:rPr>
        <w:t xml:space="preserve">rowth </w:t>
      </w:r>
      <w:r w:rsidR="009E75A1" w:rsidRPr="005C7810">
        <w:rPr>
          <w:rFonts w:ascii="Book Antiqua" w:hAnsi="Book Antiqua" w:cs="Times New Roman"/>
          <w:color w:val="000000"/>
          <w:sz w:val="24"/>
          <w:szCs w:val="24"/>
          <w:shd w:val="clear" w:color="auto" w:fill="FFFFFF"/>
          <w:lang w:val="en-US"/>
        </w:rPr>
        <w:t>f</w:t>
      </w:r>
      <w:r w:rsidR="000A108C" w:rsidRPr="005C7810">
        <w:rPr>
          <w:rFonts w:ascii="Book Antiqua" w:hAnsi="Book Antiqua" w:cs="Times New Roman"/>
          <w:color w:val="000000"/>
          <w:sz w:val="24"/>
          <w:szCs w:val="24"/>
          <w:shd w:val="clear" w:color="auto" w:fill="FFFFFF"/>
          <w:lang w:val="en-US"/>
        </w:rPr>
        <w:t xml:space="preserve">actor </w:t>
      </w:r>
      <w:r w:rsidR="009E75A1" w:rsidRPr="005C7810">
        <w:rPr>
          <w:rFonts w:ascii="Book Antiqua" w:hAnsi="Book Antiqua" w:cs="Times New Roman"/>
          <w:color w:val="000000"/>
          <w:sz w:val="24"/>
          <w:szCs w:val="24"/>
          <w:shd w:val="clear" w:color="auto" w:fill="FFFFFF"/>
          <w:lang w:val="en-US"/>
        </w:rPr>
        <w:t>r</w:t>
      </w:r>
      <w:r w:rsidR="000A108C" w:rsidRPr="005C7810">
        <w:rPr>
          <w:rFonts w:ascii="Book Antiqua" w:hAnsi="Book Antiqua" w:cs="Times New Roman"/>
          <w:color w:val="000000"/>
          <w:sz w:val="24"/>
          <w:szCs w:val="24"/>
          <w:shd w:val="clear" w:color="auto" w:fill="FFFFFF"/>
          <w:lang w:val="en-US"/>
        </w:rPr>
        <w:t>eceptor 2</w:t>
      </w:r>
      <w:r w:rsidR="007E39CE" w:rsidRPr="005C7810">
        <w:rPr>
          <w:rFonts w:ascii="Book Antiqua" w:hAnsi="Book Antiqua" w:cs="Times New Roman"/>
          <w:sz w:val="24"/>
          <w:szCs w:val="24"/>
          <w:lang w:val="en-US"/>
        </w:rPr>
        <w:t xml:space="preserve"> monoclonal antibodies</w:t>
      </w:r>
      <w:r w:rsidR="000A56DB" w:rsidRPr="005C7810">
        <w:rPr>
          <w:rFonts w:ascii="Book Antiqua" w:hAnsi="Book Antiqua" w:cs="Times New Roman"/>
          <w:sz w:val="24"/>
          <w:szCs w:val="24"/>
          <w:lang w:val="en-US"/>
        </w:rPr>
        <w:t xml:space="preserve"> </w:t>
      </w:r>
      <w:r w:rsidR="00F14D84" w:rsidRPr="005C7810">
        <w:rPr>
          <w:rFonts w:ascii="Book Antiqua" w:hAnsi="Book Antiqua" w:cs="Times New Roman"/>
          <w:sz w:val="24"/>
          <w:szCs w:val="24"/>
          <w:lang w:val="en-US"/>
        </w:rPr>
        <w:t>were</w:t>
      </w:r>
      <w:r w:rsidR="006D5285" w:rsidRPr="005C7810">
        <w:rPr>
          <w:rFonts w:ascii="Book Antiqua" w:hAnsi="Book Antiqua" w:cs="Times New Roman"/>
          <w:sz w:val="24"/>
          <w:szCs w:val="24"/>
          <w:lang w:val="en-US"/>
        </w:rPr>
        <w:t xml:space="preserve"> approved and introduced into first- and second-line therapies for patients with advanced/metastatic GC. </w:t>
      </w:r>
      <w:r w:rsidR="007E1C9A" w:rsidRPr="005C7810">
        <w:rPr>
          <w:rFonts w:ascii="Book Antiqua" w:hAnsi="Book Antiqua" w:cs="Times New Roman"/>
          <w:sz w:val="24"/>
          <w:szCs w:val="24"/>
          <w:lang w:val="en-US"/>
        </w:rPr>
        <w:t xml:space="preserve">However, </w:t>
      </w:r>
      <w:r w:rsidRPr="005C7810">
        <w:rPr>
          <w:rFonts w:ascii="Book Antiqua" w:hAnsi="Book Antiqua" w:cs="Times New Roman"/>
          <w:sz w:val="24"/>
          <w:szCs w:val="24"/>
          <w:lang w:val="en-US"/>
        </w:rPr>
        <w:t>th</w:t>
      </w:r>
      <w:r w:rsidR="00F53EDD" w:rsidRPr="005C7810">
        <w:rPr>
          <w:rFonts w:ascii="Book Antiqua" w:hAnsi="Book Antiqua" w:cs="Times New Roman"/>
          <w:sz w:val="24"/>
          <w:szCs w:val="24"/>
          <w:lang w:val="en-US"/>
        </w:rPr>
        <w:t>e heterogeneity of this neoplasia</w:t>
      </w:r>
      <w:r w:rsidRPr="005C7810">
        <w:rPr>
          <w:rFonts w:ascii="Book Antiqua" w:hAnsi="Book Antiqua" w:cs="Times New Roman"/>
          <w:sz w:val="24"/>
          <w:szCs w:val="24"/>
          <w:lang w:val="en-US"/>
        </w:rPr>
        <w:t xml:space="preserve"> makes the </w:t>
      </w:r>
      <w:r w:rsidR="007E1C9A" w:rsidRPr="005C7810">
        <w:rPr>
          <w:rFonts w:ascii="Book Antiqua" w:hAnsi="Book Antiqua" w:cs="Times New Roman"/>
          <w:sz w:val="24"/>
          <w:szCs w:val="24"/>
          <w:lang w:val="en-US"/>
        </w:rPr>
        <w:t xml:space="preserve">practical </w:t>
      </w:r>
      <w:r w:rsidRPr="005C7810">
        <w:rPr>
          <w:rFonts w:ascii="Book Antiqua" w:hAnsi="Book Antiqua" w:cs="Times New Roman"/>
          <w:sz w:val="24"/>
          <w:szCs w:val="24"/>
          <w:lang w:val="en-US"/>
        </w:rPr>
        <w:t xml:space="preserve">application of </w:t>
      </w:r>
      <w:r w:rsidR="006D5285" w:rsidRPr="005C7810">
        <w:rPr>
          <w:rFonts w:ascii="Book Antiqua" w:hAnsi="Book Antiqua" w:cs="Times New Roman"/>
          <w:sz w:val="24"/>
          <w:szCs w:val="24"/>
          <w:lang w:val="en-US"/>
        </w:rPr>
        <w:t xml:space="preserve">such </w:t>
      </w:r>
      <w:r w:rsidRPr="005C7810">
        <w:rPr>
          <w:rFonts w:ascii="Book Antiqua" w:hAnsi="Book Antiqua" w:cs="Times New Roman"/>
          <w:sz w:val="24"/>
          <w:szCs w:val="24"/>
          <w:lang w:val="en-US"/>
        </w:rPr>
        <w:t xml:space="preserve">approaches difficult. </w:t>
      </w:r>
      <w:r w:rsidR="006D5285" w:rsidRPr="005C7810">
        <w:rPr>
          <w:rFonts w:ascii="Book Antiqua" w:hAnsi="Book Antiqua" w:cs="Times New Roman"/>
          <w:sz w:val="24"/>
          <w:szCs w:val="24"/>
          <w:lang w:val="en-US"/>
        </w:rPr>
        <w:t xml:space="preserve">Unfortunately, </w:t>
      </w:r>
      <w:r w:rsidRPr="005C7810">
        <w:rPr>
          <w:rFonts w:ascii="Book Antiqua" w:hAnsi="Book Antiqua" w:cs="Times New Roman"/>
          <w:sz w:val="24"/>
          <w:szCs w:val="24"/>
          <w:lang w:val="en-US"/>
        </w:rPr>
        <w:t xml:space="preserve">scientific </w:t>
      </w:r>
      <w:r w:rsidR="006D5285" w:rsidRPr="005C7810">
        <w:rPr>
          <w:rFonts w:ascii="Book Antiqua" w:hAnsi="Book Antiqua" w:cs="Times New Roman"/>
          <w:sz w:val="24"/>
          <w:szCs w:val="24"/>
          <w:lang w:val="en-US"/>
        </w:rPr>
        <w:t>progress has</w:t>
      </w:r>
      <w:r w:rsidRPr="005C7810">
        <w:rPr>
          <w:rFonts w:ascii="Book Antiqua" w:hAnsi="Book Antiqua" w:cs="Times New Roman"/>
          <w:sz w:val="24"/>
          <w:szCs w:val="24"/>
          <w:lang w:val="en-US"/>
        </w:rPr>
        <w:t xml:space="preserve"> not</w:t>
      </w:r>
      <w:r w:rsidR="006D5285" w:rsidRPr="005C7810">
        <w:rPr>
          <w:rFonts w:ascii="Book Antiqua" w:hAnsi="Book Antiqua" w:cs="Times New Roman"/>
          <w:sz w:val="24"/>
          <w:szCs w:val="24"/>
          <w:lang w:val="en-US"/>
        </w:rPr>
        <w:t xml:space="preserve"> been</w:t>
      </w:r>
      <w:r w:rsidRPr="005C7810">
        <w:rPr>
          <w:rFonts w:ascii="Book Antiqua" w:hAnsi="Book Antiqua" w:cs="Times New Roman"/>
          <w:sz w:val="24"/>
          <w:szCs w:val="24"/>
          <w:lang w:val="en-US"/>
        </w:rPr>
        <w:t xml:space="preserve"> matched by </w:t>
      </w:r>
      <w:r w:rsidR="006D5285" w:rsidRPr="005C7810">
        <w:rPr>
          <w:rFonts w:ascii="Book Antiqua" w:hAnsi="Book Antiqua" w:cs="Times New Roman"/>
          <w:sz w:val="24"/>
          <w:szCs w:val="24"/>
          <w:lang w:val="en-US"/>
        </w:rPr>
        <w:t xml:space="preserve">progress </w:t>
      </w:r>
      <w:r w:rsidRPr="005C7810">
        <w:rPr>
          <w:rFonts w:ascii="Book Antiqua" w:hAnsi="Book Antiqua" w:cs="Times New Roman"/>
          <w:sz w:val="24"/>
          <w:szCs w:val="24"/>
          <w:lang w:val="en-US"/>
        </w:rPr>
        <w:t xml:space="preserve">in clinical practice in terms of significant improvements in prognosis. </w:t>
      </w:r>
      <w:r w:rsidR="007E1C9A" w:rsidRPr="005C7810">
        <w:rPr>
          <w:rFonts w:ascii="Book Antiqua" w:hAnsi="Book Antiqua" w:cs="Times New Roman"/>
          <w:sz w:val="24"/>
          <w:szCs w:val="24"/>
          <w:lang w:val="en-US"/>
        </w:rPr>
        <w:t xml:space="preserve">Survival </w:t>
      </w:r>
      <w:r w:rsidRPr="005C7810">
        <w:rPr>
          <w:rFonts w:ascii="Book Antiqua" w:hAnsi="Book Antiqua" w:cs="Times New Roman"/>
          <w:sz w:val="24"/>
          <w:szCs w:val="24"/>
          <w:lang w:val="en-US"/>
        </w:rPr>
        <w:t xml:space="preserve">continues to be low in contrast to the reduction in deaths </w:t>
      </w:r>
      <w:r w:rsidR="00295F1E" w:rsidRPr="005C7810">
        <w:rPr>
          <w:rFonts w:ascii="Book Antiqua" w:hAnsi="Book Antiqua" w:cs="Times New Roman"/>
          <w:sz w:val="24"/>
          <w:szCs w:val="24"/>
          <w:lang w:val="en-US"/>
        </w:rPr>
        <w:t xml:space="preserve">from </w:t>
      </w:r>
      <w:r w:rsidR="00012B96" w:rsidRPr="005C7810">
        <w:rPr>
          <w:rFonts w:ascii="Book Antiqua" w:hAnsi="Book Antiqua" w:cs="Times New Roman"/>
          <w:sz w:val="24"/>
          <w:szCs w:val="24"/>
          <w:lang w:val="en-US"/>
        </w:rPr>
        <w:t>many</w:t>
      </w:r>
      <w:r w:rsidRPr="005C7810">
        <w:rPr>
          <w:rFonts w:ascii="Book Antiqua" w:hAnsi="Book Antiqua" w:cs="Times New Roman"/>
          <w:sz w:val="24"/>
          <w:szCs w:val="24"/>
          <w:lang w:val="en-US"/>
        </w:rPr>
        <w:t xml:space="preserve"> </w:t>
      </w:r>
      <w:r w:rsidR="00295F1E" w:rsidRPr="005C7810">
        <w:rPr>
          <w:rFonts w:ascii="Book Antiqua" w:hAnsi="Book Antiqua" w:cs="Times New Roman"/>
          <w:sz w:val="24"/>
          <w:szCs w:val="24"/>
          <w:lang w:val="en-US"/>
        </w:rPr>
        <w:t>common cancers</w:t>
      </w:r>
      <w:r w:rsidRPr="005C7810">
        <w:rPr>
          <w:rFonts w:ascii="Book Antiqua" w:hAnsi="Book Antiqua" w:cs="Times New Roman"/>
          <w:sz w:val="24"/>
          <w:szCs w:val="24"/>
          <w:lang w:val="en-US"/>
        </w:rPr>
        <w:t xml:space="preserve"> such as colorectal, lung, breast</w:t>
      </w:r>
      <w:r w:rsidR="000A56DB"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prostate</w:t>
      </w:r>
      <w:r w:rsidR="00295F1E" w:rsidRPr="005C7810">
        <w:rPr>
          <w:rFonts w:ascii="Book Antiqua" w:hAnsi="Book Antiqua" w:cs="Times New Roman"/>
          <w:sz w:val="24"/>
          <w:szCs w:val="24"/>
          <w:lang w:val="en-US"/>
        </w:rPr>
        <w:t xml:space="preserve"> cancers</w:t>
      </w:r>
      <w:r w:rsidRPr="005C7810">
        <w:rPr>
          <w:rFonts w:ascii="Book Antiqua" w:hAnsi="Book Antiqua" w:cs="Times New Roman"/>
          <w:sz w:val="24"/>
          <w:szCs w:val="24"/>
          <w:lang w:val="en-US"/>
        </w:rPr>
        <w:t>. Although several target molecules have been identified on which targeted drugs</w:t>
      </w:r>
      <w:r w:rsidR="00E26D93" w:rsidRPr="005C7810">
        <w:rPr>
          <w:rFonts w:ascii="Book Antiqua" w:hAnsi="Book Antiqua" w:cs="Times New Roman"/>
          <w:sz w:val="24"/>
          <w:szCs w:val="24"/>
          <w:lang w:val="en-US"/>
        </w:rPr>
        <w:t xml:space="preserve"> can act</w:t>
      </w:r>
      <w:r w:rsidRPr="005C7810">
        <w:rPr>
          <w:rFonts w:ascii="Book Antiqua" w:hAnsi="Book Antiqua" w:cs="Times New Roman"/>
          <w:sz w:val="24"/>
          <w:szCs w:val="24"/>
          <w:lang w:val="en-US"/>
        </w:rPr>
        <w:t xml:space="preserve"> and n</w:t>
      </w:r>
      <w:r w:rsidR="00513EE6" w:rsidRPr="005C7810">
        <w:rPr>
          <w:rFonts w:ascii="Book Antiqua" w:hAnsi="Book Antiqua" w:cs="Times New Roman"/>
          <w:sz w:val="24"/>
          <w:szCs w:val="24"/>
          <w:lang w:val="en-US"/>
        </w:rPr>
        <w:t>ovel</w:t>
      </w:r>
      <w:r w:rsidRPr="005C7810">
        <w:rPr>
          <w:rFonts w:ascii="Book Antiqua" w:hAnsi="Book Antiqua" w:cs="Times New Roman"/>
          <w:sz w:val="24"/>
          <w:szCs w:val="24"/>
          <w:lang w:val="en-US"/>
        </w:rPr>
        <w:t xml:space="preserve"> products have </w:t>
      </w:r>
      <w:r w:rsidR="00012B96" w:rsidRPr="005C7810">
        <w:rPr>
          <w:rFonts w:ascii="Book Antiqua" w:hAnsi="Book Antiqua" w:cs="Times New Roman"/>
          <w:sz w:val="24"/>
          <w:szCs w:val="24"/>
          <w:lang w:val="en-US"/>
        </w:rPr>
        <w:t xml:space="preserve">been introduced </w:t>
      </w:r>
      <w:r w:rsidR="00295F1E" w:rsidRPr="005C7810">
        <w:rPr>
          <w:rFonts w:ascii="Book Antiqua" w:hAnsi="Book Antiqua" w:cs="Times New Roman"/>
          <w:sz w:val="24"/>
          <w:szCs w:val="24"/>
          <w:lang w:val="en-US"/>
        </w:rPr>
        <w:t xml:space="preserve">into experimental therapeutic </w:t>
      </w:r>
      <w:r w:rsidRPr="005C7810">
        <w:rPr>
          <w:rFonts w:ascii="Book Antiqua" w:hAnsi="Book Antiqua" w:cs="Times New Roman"/>
          <w:sz w:val="24"/>
          <w:szCs w:val="24"/>
          <w:lang w:val="en-US"/>
        </w:rPr>
        <w:t xml:space="preserve">protocols, the overall approach to </w:t>
      </w:r>
      <w:r w:rsidR="000A56DB" w:rsidRPr="005C7810">
        <w:rPr>
          <w:rFonts w:ascii="Book Antiqua" w:hAnsi="Book Antiqua" w:cs="Times New Roman"/>
          <w:sz w:val="24"/>
          <w:szCs w:val="24"/>
          <w:lang w:val="en-US"/>
        </w:rPr>
        <w:t xml:space="preserve">treating </w:t>
      </w:r>
      <w:r w:rsidRPr="005C7810">
        <w:rPr>
          <w:rFonts w:ascii="Book Antiqua" w:hAnsi="Book Antiqua" w:cs="Times New Roman"/>
          <w:sz w:val="24"/>
          <w:szCs w:val="24"/>
          <w:lang w:val="en-US"/>
        </w:rPr>
        <w:t>advanced stage GC has not substantially</w:t>
      </w:r>
      <w:r w:rsidR="00C07218" w:rsidRPr="005C7810">
        <w:rPr>
          <w:rFonts w:ascii="Book Antiqua" w:hAnsi="Book Antiqua" w:cs="Times New Roman"/>
          <w:sz w:val="24"/>
          <w:szCs w:val="24"/>
          <w:lang w:val="en-US"/>
        </w:rPr>
        <w:t xml:space="preserve"> changed</w:t>
      </w:r>
      <w:r w:rsidRPr="005C7810">
        <w:rPr>
          <w:rFonts w:ascii="Book Antiqua" w:hAnsi="Book Antiqua" w:cs="Times New Roman"/>
          <w:sz w:val="24"/>
          <w:szCs w:val="24"/>
          <w:lang w:val="en-US"/>
        </w:rPr>
        <w:t>.</w:t>
      </w:r>
      <w:r w:rsidR="00295F1E" w:rsidRPr="005C7810">
        <w:rPr>
          <w:rFonts w:ascii="Book Antiqua" w:hAnsi="Book Antiqua" w:cs="Times New Roman"/>
          <w:sz w:val="24"/>
          <w:szCs w:val="24"/>
          <w:lang w:val="en-US"/>
        </w:rPr>
        <w:t xml:space="preserve"> </w:t>
      </w:r>
      <w:r w:rsidR="000A56DB" w:rsidRPr="005C7810">
        <w:rPr>
          <w:rFonts w:ascii="Book Antiqua" w:hAnsi="Book Antiqua" w:cs="Times New Roman"/>
          <w:sz w:val="24"/>
          <w:szCs w:val="24"/>
          <w:lang w:val="en-US"/>
        </w:rPr>
        <w:t xml:space="preserve">Currently, </w:t>
      </w:r>
      <w:r w:rsidR="00295F1E" w:rsidRPr="005C7810">
        <w:rPr>
          <w:rFonts w:ascii="Book Antiqua" w:hAnsi="Book Antiqua" w:cs="Times New Roman"/>
          <w:sz w:val="24"/>
          <w:szCs w:val="24"/>
          <w:lang w:val="en-US"/>
        </w:rPr>
        <w:t xml:space="preserve">surgical resection with adjuvant or neoadjuvant radiotherapy and chemotherapy </w:t>
      </w:r>
      <w:r w:rsidR="000A56DB" w:rsidRPr="005C7810">
        <w:rPr>
          <w:rFonts w:ascii="Book Antiqua" w:hAnsi="Book Antiqua" w:cs="Times New Roman"/>
          <w:sz w:val="24"/>
          <w:szCs w:val="24"/>
          <w:lang w:val="en-US"/>
        </w:rPr>
        <w:t>are</w:t>
      </w:r>
      <w:r w:rsidR="00295F1E" w:rsidRPr="005C7810">
        <w:rPr>
          <w:rFonts w:ascii="Book Antiqua" w:hAnsi="Book Antiqua" w:cs="Times New Roman"/>
          <w:sz w:val="24"/>
          <w:szCs w:val="24"/>
          <w:lang w:val="en-US"/>
        </w:rPr>
        <w:t xml:space="preserve"> the most effective treatment</w:t>
      </w:r>
      <w:r w:rsidR="000A56DB" w:rsidRPr="005C7810">
        <w:rPr>
          <w:rFonts w:ascii="Book Antiqua" w:hAnsi="Book Antiqua" w:cs="Times New Roman"/>
          <w:sz w:val="24"/>
          <w:szCs w:val="24"/>
          <w:lang w:val="en-US"/>
        </w:rPr>
        <w:t>s</w:t>
      </w:r>
      <w:r w:rsidR="00295F1E" w:rsidRPr="005C7810">
        <w:rPr>
          <w:rFonts w:ascii="Book Antiqua" w:hAnsi="Book Antiqua" w:cs="Times New Roman"/>
          <w:sz w:val="24"/>
          <w:szCs w:val="24"/>
          <w:lang w:val="en-US"/>
        </w:rPr>
        <w:t xml:space="preserve"> for </w:t>
      </w:r>
      <w:r w:rsidR="000A56DB" w:rsidRPr="005C7810">
        <w:rPr>
          <w:rFonts w:ascii="Book Antiqua" w:hAnsi="Book Antiqua" w:cs="Times New Roman"/>
          <w:sz w:val="24"/>
          <w:szCs w:val="24"/>
          <w:lang w:val="en-US"/>
        </w:rPr>
        <w:t>this disease.</w:t>
      </w:r>
      <w:r w:rsidR="00AB7B32" w:rsidRPr="005C7810">
        <w:rPr>
          <w:rFonts w:ascii="Book Antiqua" w:hAnsi="Book Antiqua" w:cs="Times New Roman"/>
          <w:sz w:val="24"/>
          <w:szCs w:val="24"/>
          <w:lang w:val="en-US"/>
        </w:rPr>
        <w:t xml:space="preserve"> </w:t>
      </w:r>
      <w:r w:rsidR="00AB7B32" w:rsidRPr="005C7810">
        <w:rPr>
          <w:rFonts w:ascii="Book Antiqua" w:hAnsi="Book Antiqua" w:cs="Times New Roman"/>
          <w:color w:val="000000"/>
          <w:sz w:val="24"/>
          <w:szCs w:val="24"/>
          <w:shd w:val="clear" w:color="auto" w:fill="FFFFFF"/>
          <w:lang w:val="en-US"/>
        </w:rPr>
        <w:t>Future research should not underestimate the heterogeneity</w:t>
      </w:r>
      <w:r w:rsidR="008A013F" w:rsidRPr="005C7810">
        <w:rPr>
          <w:rFonts w:ascii="Book Antiqua" w:hAnsi="Book Antiqua" w:cs="Times New Roman"/>
          <w:color w:val="000000"/>
          <w:sz w:val="24"/>
          <w:szCs w:val="24"/>
          <w:shd w:val="clear" w:color="auto" w:fill="FFFFFF"/>
          <w:lang w:val="en-US"/>
        </w:rPr>
        <w:t xml:space="preserve"> of </w:t>
      </w:r>
      <w:r w:rsidR="009E75A1" w:rsidRPr="005C7810">
        <w:rPr>
          <w:rFonts w:ascii="Book Antiqua" w:hAnsi="Book Antiqua" w:cs="Times New Roman"/>
          <w:color w:val="000000"/>
          <w:sz w:val="24"/>
          <w:szCs w:val="24"/>
          <w:shd w:val="clear" w:color="auto" w:fill="FFFFFF"/>
          <w:lang w:val="en-US"/>
        </w:rPr>
        <w:t>GC</w:t>
      </w:r>
      <w:r w:rsidR="008A013F" w:rsidRPr="005C7810">
        <w:rPr>
          <w:rFonts w:ascii="Book Antiqua" w:hAnsi="Book Antiqua" w:cs="Times New Roman"/>
          <w:color w:val="000000"/>
          <w:sz w:val="24"/>
          <w:szCs w:val="24"/>
          <w:shd w:val="clear" w:color="auto" w:fill="FFFFFF"/>
          <w:lang w:val="en-US"/>
        </w:rPr>
        <w:t xml:space="preserve"> when</w:t>
      </w:r>
      <w:r w:rsidR="00AB7B32" w:rsidRPr="005C7810">
        <w:rPr>
          <w:rFonts w:ascii="Book Antiqua" w:hAnsi="Book Antiqua" w:cs="Times New Roman"/>
          <w:color w:val="000000"/>
          <w:sz w:val="24"/>
          <w:szCs w:val="24"/>
          <w:shd w:val="clear" w:color="auto" w:fill="FFFFFF"/>
          <w:lang w:val="en-US"/>
        </w:rPr>
        <w:t xml:space="preserve"> develop</w:t>
      </w:r>
      <w:r w:rsidR="008A013F" w:rsidRPr="005C7810">
        <w:rPr>
          <w:rFonts w:ascii="Book Antiqua" w:hAnsi="Book Antiqua" w:cs="Times New Roman"/>
          <w:color w:val="000000"/>
          <w:sz w:val="24"/>
          <w:szCs w:val="24"/>
          <w:shd w:val="clear" w:color="auto" w:fill="FFFFFF"/>
          <w:lang w:val="en-US"/>
        </w:rPr>
        <w:t>ing</w:t>
      </w:r>
      <w:r w:rsidR="00AB7B32" w:rsidRPr="005C7810">
        <w:rPr>
          <w:rFonts w:ascii="Book Antiqua" w:hAnsi="Book Antiqua" w:cs="Times New Roman"/>
          <w:color w:val="000000"/>
          <w:sz w:val="24"/>
          <w:szCs w:val="24"/>
          <w:shd w:val="clear" w:color="auto" w:fill="FFFFFF"/>
          <w:lang w:val="en-US"/>
        </w:rPr>
        <w:t xml:space="preserve"> diagnostic and therapeutic strategies aimed </w:t>
      </w:r>
      <w:r w:rsidR="00F3162C" w:rsidRPr="005C7810">
        <w:rPr>
          <w:rFonts w:ascii="Book Antiqua" w:hAnsi="Book Antiqua" w:cs="Times New Roman"/>
          <w:color w:val="000000"/>
          <w:sz w:val="24"/>
          <w:szCs w:val="24"/>
          <w:shd w:val="clear" w:color="auto" w:fill="FFFFFF"/>
          <w:lang w:val="en-US"/>
        </w:rPr>
        <w:t xml:space="preserve">toward </w:t>
      </w:r>
      <w:r w:rsidR="00AB7B32" w:rsidRPr="005C7810">
        <w:rPr>
          <w:rFonts w:ascii="Book Antiqua" w:hAnsi="Book Antiqua" w:cs="Times New Roman"/>
          <w:color w:val="000000"/>
          <w:sz w:val="24"/>
          <w:szCs w:val="24"/>
          <w:shd w:val="clear" w:color="auto" w:fill="FFFFFF"/>
          <w:lang w:val="en-US"/>
        </w:rPr>
        <w:t>improving patient survival.</w:t>
      </w:r>
    </w:p>
    <w:p w:rsidR="00C4340C" w:rsidRPr="005C7810" w:rsidRDefault="00C4340C" w:rsidP="00CD380F">
      <w:pPr>
        <w:shd w:val="clear" w:color="auto" w:fill="FFFFFF"/>
        <w:snapToGrid w:val="0"/>
        <w:spacing w:after="0" w:line="360" w:lineRule="auto"/>
        <w:jc w:val="both"/>
        <w:rPr>
          <w:rFonts w:ascii="Book Antiqua" w:hAnsi="Book Antiqua" w:cs="Times New Roman"/>
          <w:b/>
          <w:color w:val="000000"/>
          <w:sz w:val="24"/>
          <w:szCs w:val="24"/>
          <w:shd w:val="clear" w:color="auto" w:fill="FFFFFF"/>
          <w:lang w:val="en-US"/>
        </w:rPr>
      </w:pPr>
    </w:p>
    <w:p w:rsidR="00C4340C" w:rsidRPr="005C7810" w:rsidRDefault="00C4340C" w:rsidP="00CD380F">
      <w:pPr>
        <w:shd w:val="clear" w:color="auto" w:fill="FFFFFF"/>
        <w:snapToGrid w:val="0"/>
        <w:spacing w:after="0" w:line="360" w:lineRule="auto"/>
        <w:jc w:val="both"/>
        <w:rPr>
          <w:rFonts w:ascii="Book Antiqua" w:hAnsi="Book Antiqua" w:cs="Times New Roman"/>
          <w:color w:val="000000"/>
          <w:sz w:val="24"/>
          <w:szCs w:val="24"/>
          <w:shd w:val="clear" w:color="auto" w:fill="FFFFFF"/>
          <w:lang w:val="en-US"/>
        </w:rPr>
      </w:pPr>
      <w:r w:rsidRPr="005C7810">
        <w:rPr>
          <w:rFonts w:ascii="Book Antiqua" w:hAnsi="Book Antiqua" w:cs="Times New Roman"/>
          <w:b/>
          <w:color w:val="000000"/>
          <w:sz w:val="24"/>
          <w:szCs w:val="24"/>
          <w:shd w:val="clear" w:color="auto" w:fill="FFFFFF"/>
          <w:lang w:val="en-US"/>
        </w:rPr>
        <w:t>Key words:</w:t>
      </w:r>
      <w:r w:rsidRPr="005C7810">
        <w:rPr>
          <w:rFonts w:ascii="Book Antiqua" w:hAnsi="Book Antiqua" w:cs="Times New Roman"/>
          <w:color w:val="000000"/>
          <w:sz w:val="24"/>
          <w:szCs w:val="24"/>
          <w:shd w:val="clear" w:color="auto" w:fill="FFFFFF"/>
          <w:lang w:val="en-US"/>
        </w:rPr>
        <w:t xml:space="preserve"> Gastric cancer; Molecular characterization; Biomarkers; Precision medicine; Targeted therapy</w:t>
      </w:r>
    </w:p>
    <w:p w:rsidR="00C4514F" w:rsidRPr="005C7810" w:rsidRDefault="00C4514F" w:rsidP="00CD380F">
      <w:pPr>
        <w:shd w:val="clear" w:color="auto" w:fill="FFFFFF"/>
        <w:snapToGrid w:val="0"/>
        <w:spacing w:after="0" w:line="360" w:lineRule="auto"/>
        <w:jc w:val="both"/>
        <w:rPr>
          <w:rFonts w:ascii="Book Antiqua" w:hAnsi="Book Antiqua" w:cs="Times New Roman"/>
          <w:b/>
          <w:color w:val="000000"/>
          <w:sz w:val="24"/>
          <w:szCs w:val="24"/>
          <w:shd w:val="clear" w:color="auto" w:fill="FFFFFF"/>
          <w:lang w:val="en-US"/>
        </w:rPr>
      </w:pPr>
    </w:p>
    <w:p w:rsidR="00C4340C" w:rsidRPr="005C7810" w:rsidRDefault="00C4340C" w:rsidP="00CD380F">
      <w:pPr>
        <w:snapToGrid w:val="0"/>
        <w:spacing w:after="0" w:line="360" w:lineRule="auto"/>
        <w:jc w:val="both"/>
        <w:rPr>
          <w:rFonts w:ascii="Book Antiqua" w:hAnsi="Book Antiqua" w:cs="Times New Roman"/>
          <w:sz w:val="24"/>
          <w:szCs w:val="24"/>
          <w:lang w:val="en-US" w:eastAsia="zh-CN"/>
        </w:rPr>
      </w:pPr>
      <w:bookmarkStart w:id="12" w:name="OLE_LINK98"/>
      <w:bookmarkStart w:id="13" w:name="OLE_LINK156"/>
      <w:bookmarkStart w:id="14" w:name="OLE_LINK196"/>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464"/>
      <w:bookmarkStart w:id="23" w:name="OLE_LINK465"/>
      <w:bookmarkStart w:id="24" w:name="OLE_LINK466"/>
      <w:bookmarkStart w:id="25" w:name="OLE_LINK471"/>
      <w:bookmarkStart w:id="26" w:name="OLE_LINK472"/>
      <w:bookmarkStart w:id="27" w:name="OLE_LINK474"/>
      <w:bookmarkStart w:id="28" w:name="OLE_LINK800"/>
      <w:bookmarkStart w:id="29" w:name="OLE_LINK982"/>
      <w:bookmarkStart w:id="30" w:name="OLE_LINK504"/>
      <w:bookmarkStart w:id="31" w:name="OLE_LINK546"/>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5C7810">
        <w:rPr>
          <w:rFonts w:ascii="Book Antiqua" w:hAnsi="Book Antiqua"/>
          <w:b/>
          <w:color w:val="000000"/>
          <w:sz w:val="24"/>
          <w:szCs w:val="24"/>
          <w:lang w:val="en-US"/>
        </w:rPr>
        <w:t xml:space="preserve">© </w:t>
      </w:r>
      <w:r w:rsidRPr="005C7810">
        <w:rPr>
          <w:rFonts w:ascii="Book Antiqua" w:eastAsia="AdvTimes" w:hAnsi="Book Antiqua" w:cs="AdvTimes"/>
          <w:b/>
          <w:color w:val="000000"/>
          <w:sz w:val="24"/>
          <w:szCs w:val="24"/>
          <w:lang w:val="en-US"/>
        </w:rPr>
        <w:t>The Author(s) 201</w:t>
      </w:r>
      <w:r w:rsidRPr="005C7810">
        <w:rPr>
          <w:rFonts w:ascii="Book Antiqua" w:hAnsi="Book Antiqua" w:cs="AdvTimes"/>
          <w:b/>
          <w:color w:val="000000"/>
          <w:sz w:val="24"/>
          <w:szCs w:val="24"/>
          <w:lang w:val="en-US"/>
        </w:rPr>
        <w:t>9</w:t>
      </w:r>
      <w:r w:rsidRPr="005C7810">
        <w:rPr>
          <w:rFonts w:ascii="Book Antiqua" w:eastAsia="AdvTimes" w:hAnsi="Book Antiqua" w:cs="AdvTimes"/>
          <w:b/>
          <w:color w:val="000000"/>
          <w:sz w:val="24"/>
          <w:szCs w:val="24"/>
          <w:lang w:val="en-US"/>
        </w:rPr>
        <w:t>.</w:t>
      </w:r>
      <w:r w:rsidRPr="005C7810">
        <w:rPr>
          <w:rFonts w:ascii="Book Antiqua" w:eastAsia="AdvTimes" w:hAnsi="Book Antiqua" w:cs="AdvTimes"/>
          <w:color w:val="000000"/>
          <w:sz w:val="24"/>
          <w:szCs w:val="24"/>
          <w:lang w:val="en-US"/>
        </w:rPr>
        <w:t xml:space="preserve"> Published by </w:t>
      </w:r>
      <w:r w:rsidRPr="005C7810">
        <w:rPr>
          <w:rFonts w:ascii="Book Antiqua" w:hAnsi="Book Antiqua" w:cs="Arial Unicode MS"/>
          <w:color w:val="000000"/>
          <w:sz w:val="24"/>
          <w:szCs w:val="24"/>
          <w:lang w:val="en-US"/>
        </w:rPr>
        <w:t>Baishideng Publishing Group Inc.</w:t>
      </w:r>
      <w:r w:rsidRPr="005C7810">
        <w:rPr>
          <w:rFonts w:ascii="Book Antiqua" w:hAnsi="Book Antiqua" w:cs="Arial Unicode MS"/>
          <w:sz w:val="24"/>
          <w:szCs w:val="24"/>
          <w:lang w:val="en-US"/>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4340C" w:rsidRPr="005C7810" w:rsidRDefault="00C4340C" w:rsidP="00CD380F">
      <w:pPr>
        <w:shd w:val="clear" w:color="auto" w:fill="FFFFFF"/>
        <w:snapToGrid w:val="0"/>
        <w:spacing w:after="0" w:line="360" w:lineRule="auto"/>
        <w:jc w:val="both"/>
        <w:rPr>
          <w:rFonts w:ascii="Book Antiqua" w:hAnsi="Book Antiqua" w:cs="Times New Roman"/>
          <w:b/>
          <w:color w:val="000000"/>
          <w:sz w:val="24"/>
          <w:szCs w:val="24"/>
          <w:shd w:val="clear" w:color="auto" w:fill="FFFFFF"/>
          <w:lang w:val="en-US"/>
        </w:rPr>
      </w:pPr>
    </w:p>
    <w:p w:rsidR="00DE6CDA" w:rsidRPr="005C7810" w:rsidRDefault="00C4340C" w:rsidP="00CD380F">
      <w:pPr>
        <w:shd w:val="clear" w:color="auto" w:fill="FFFFFF"/>
        <w:snapToGrid w:val="0"/>
        <w:spacing w:after="0" w:line="360" w:lineRule="auto"/>
        <w:jc w:val="both"/>
        <w:rPr>
          <w:rFonts w:ascii="Book Antiqua" w:hAnsi="Book Antiqua" w:cs="Times New Roman"/>
          <w:b/>
          <w:color w:val="000000"/>
          <w:sz w:val="24"/>
          <w:szCs w:val="24"/>
          <w:shd w:val="clear" w:color="auto" w:fill="FFFFFF"/>
          <w:lang w:val="en-US"/>
        </w:rPr>
      </w:pPr>
      <w:r w:rsidRPr="005C7810">
        <w:rPr>
          <w:rFonts w:ascii="Book Antiqua" w:hAnsi="Book Antiqua" w:cs="Times New Roman"/>
          <w:b/>
          <w:color w:val="000000"/>
          <w:sz w:val="24"/>
          <w:szCs w:val="24"/>
          <w:shd w:val="clear" w:color="auto" w:fill="FFFFFF"/>
          <w:lang w:val="en-US"/>
        </w:rPr>
        <w:t xml:space="preserve">Core tip: </w:t>
      </w:r>
      <w:r w:rsidR="00DE6CDA" w:rsidRPr="005C7810">
        <w:rPr>
          <w:rFonts w:ascii="Book Antiqua" w:hAnsi="Book Antiqua" w:cs="Times New Roman"/>
          <w:color w:val="000000"/>
          <w:sz w:val="24"/>
          <w:szCs w:val="24"/>
          <w:shd w:val="clear" w:color="auto" w:fill="FFFFFF"/>
          <w:lang w:val="en-US"/>
        </w:rPr>
        <w:t>T</w:t>
      </w:r>
      <w:r w:rsidR="00691FC6" w:rsidRPr="005C7810">
        <w:rPr>
          <w:rFonts w:ascii="Book Antiqua" w:hAnsi="Book Antiqua" w:cs="Times New Roman"/>
          <w:color w:val="000000"/>
          <w:sz w:val="24"/>
          <w:szCs w:val="24"/>
          <w:shd w:val="clear" w:color="auto" w:fill="FFFFFF"/>
          <w:lang w:val="en-US"/>
        </w:rPr>
        <w:t xml:space="preserve">he onset of </w:t>
      </w:r>
      <w:r w:rsidRPr="005C7810">
        <w:rPr>
          <w:rFonts w:ascii="Book Antiqua" w:hAnsi="Book Antiqua" w:cs="Times New Roman"/>
          <w:color w:val="000000"/>
          <w:sz w:val="24"/>
          <w:szCs w:val="24"/>
          <w:shd w:val="clear" w:color="auto" w:fill="FFFFFF"/>
          <w:lang w:val="en-US"/>
        </w:rPr>
        <w:t>gastric cancer</w:t>
      </w:r>
      <w:r w:rsidR="00DE6CDA" w:rsidRPr="005C7810">
        <w:rPr>
          <w:rFonts w:ascii="Book Antiqua" w:hAnsi="Book Antiqua" w:cs="Times New Roman"/>
          <w:color w:val="000000"/>
          <w:sz w:val="24"/>
          <w:szCs w:val="24"/>
          <w:shd w:val="clear" w:color="auto" w:fill="FFFFFF"/>
          <w:lang w:val="en-US"/>
        </w:rPr>
        <w:t xml:space="preserve"> is linked to genetic alterations, </w:t>
      </w:r>
      <w:r w:rsidR="00023FF9" w:rsidRPr="005C7810">
        <w:rPr>
          <w:rFonts w:ascii="Book Antiqua" w:hAnsi="Book Antiqua" w:cs="Times New Roman"/>
          <w:color w:val="000000"/>
          <w:sz w:val="24"/>
          <w:szCs w:val="24"/>
          <w:shd w:val="clear" w:color="auto" w:fill="FFFFFF"/>
          <w:lang w:val="en-US"/>
        </w:rPr>
        <w:t xml:space="preserve">and </w:t>
      </w:r>
      <w:r w:rsidR="00DE6CDA" w:rsidRPr="005C7810">
        <w:rPr>
          <w:rFonts w:ascii="Book Antiqua" w:hAnsi="Book Antiqua" w:cs="Times New Roman"/>
          <w:color w:val="000000"/>
          <w:sz w:val="24"/>
          <w:szCs w:val="24"/>
          <w:shd w:val="clear" w:color="auto" w:fill="FFFFFF"/>
          <w:lang w:val="en-US"/>
        </w:rPr>
        <w:t xml:space="preserve">environmental </w:t>
      </w:r>
      <w:r w:rsidR="00513EE6" w:rsidRPr="005C7810">
        <w:rPr>
          <w:rFonts w:ascii="Book Antiqua" w:hAnsi="Book Antiqua" w:cs="Times New Roman"/>
          <w:color w:val="000000"/>
          <w:sz w:val="24"/>
          <w:szCs w:val="24"/>
          <w:shd w:val="clear" w:color="auto" w:fill="FFFFFF"/>
          <w:lang w:val="en-US"/>
        </w:rPr>
        <w:t xml:space="preserve">and lifestyle </w:t>
      </w:r>
      <w:r w:rsidR="00DE6CDA" w:rsidRPr="005C7810">
        <w:rPr>
          <w:rFonts w:ascii="Book Antiqua" w:hAnsi="Book Antiqua" w:cs="Times New Roman"/>
          <w:color w:val="000000"/>
          <w:sz w:val="24"/>
          <w:szCs w:val="24"/>
          <w:shd w:val="clear" w:color="auto" w:fill="FFFFFF"/>
          <w:lang w:val="en-US"/>
        </w:rPr>
        <w:t>factors. Recent classifications (</w:t>
      </w:r>
      <w:r w:rsidR="003743BA" w:rsidRPr="005C7810">
        <w:rPr>
          <w:rFonts w:ascii="Book Antiqua" w:hAnsi="Book Antiqua" w:cs="Times New Roman"/>
          <w:color w:val="000000"/>
          <w:sz w:val="24"/>
          <w:szCs w:val="24"/>
          <w:shd w:val="clear" w:color="auto" w:fill="FFFFFF"/>
          <w:lang w:val="en-US"/>
        </w:rPr>
        <w:t>the Cancer Genome Atlas, Asian Cancer Research Group</w:t>
      </w:r>
      <w:r w:rsidR="00DE6CDA" w:rsidRPr="005C7810">
        <w:rPr>
          <w:rFonts w:ascii="Book Antiqua" w:hAnsi="Book Antiqua" w:cs="Times New Roman"/>
          <w:color w:val="000000"/>
          <w:sz w:val="24"/>
          <w:szCs w:val="24"/>
          <w:shd w:val="clear" w:color="auto" w:fill="FFFFFF"/>
          <w:lang w:val="en-US"/>
        </w:rPr>
        <w:t>) based on genetic alterations</w:t>
      </w:r>
      <w:r w:rsidR="00513EE6" w:rsidRPr="005C7810">
        <w:rPr>
          <w:rFonts w:ascii="Book Antiqua" w:hAnsi="Book Antiqua" w:cs="Times New Roman"/>
          <w:color w:val="000000"/>
          <w:sz w:val="24"/>
          <w:szCs w:val="24"/>
          <w:shd w:val="clear" w:color="auto" w:fill="FFFFFF"/>
          <w:lang w:val="en-US"/>
        </w:rPr>
        <w:t xml:space="preserve"> have </w:t>
      </w:r>
      <w:r w:rsidR="00DE6CDA" w:rsidRPr="005C7810">
        <w:rPr>
          <w:rFonts w:ascii="Book Antiqua" w:hAnsi="Book Antiqua" w:cs="Times New Roman"/>
          <w:color w:val="000000"/>
          <w:sz w:val="24"/>
          <w:szCs w:val="24"/>
          <w:shd w:val="clear" w:color="auto" w:fill="FFFFFF"/>
          <w:lang w:val="en-US"/>
        </w:rPr>
        <w:t>show</w:t>
      </w:r>
      <w:r w:rsidR="00513EE6" w:rsidRPr="005C7810">
        <w:rPr>
          <w:rFonts w:ascii="Book Antiqua" w:hAnsi="Book Antiqua" w:cs="Times New Roman"/>
          <w:color w:val="000000"/>
          <w:sz w:val="24"/>
          <w:szCs w:val="24"/>
          <w:shd w:val="clear" w:color="auto" w:fill="FFFFFF"/>
          <w:lang w:val="en-US"/>
        </w:rPr>
        <w:t>n</w:t>
      </w:r>
      <w:r w:rsidR="00DE6CDA" w:rsidRPr="005C7810">
        <w:rPr>
          <w:rFonts w:ascii="Book Antiqua" w:hAnsi="Book Antiqua" w:cs="Times New Roman"/>
          <w:color w:val="000000"/>
          <w:sz w:val="24"/>
          <w:szCs w:val="24"/>
          <w:shd w:val="clear" w:color="auto" w:fill="FFFFFF"/>
          <w:lang w:val="en-US"/>
        </w:rPr>
        <w:t xml:space="preserve"> significant neoplasia heterogeneity</w:t>
      </w:r>
      <w:r w:rsidR="00023FF9" w:rsidRPr="005C7810">
        <w:rPr>
          <w:rFonts w:ascii="Book Antiqua" w:hAnsi="Book Antiqua" w:cs="Times New Roman"/>
          <w:color w:val="000000"/>
          <w:sz w:val="24"/>
          <w:szCs w:val="24"/>
          <w:shd w:val="clear" w:color="auto" w:fill="FFFFFF"/>
          <w:lang w:val="en-US"/>
        </w:rPr>
        <w:t>, which</w:t>
      </w:r>
      <w:r w:rsidR="00DE6CDA" w:rsidRPr="005C7810">
        <w:rPr>
          <w:rFonts w:ascii="Book Antiqua" w:hAnsi="Book Antiqua" w:cs="Times New Roman"/>
          <w:color w:val="000000"/>
          <w:sz w:val="24"/>
          <w:szCs w:val="24"/>
          <w:shd w:val="clear" w:color="auto" w:fill="FFFFFF"/>
          <w:lang w:val="en-US"/>
        </w:rPr>
        <w:t xml:space="preserve"> makes the practical application of such approaches more difficult. Numerous studies have been </w:t>
      </w:r>
      <w:r w:rsidR="00023FF9" w:rsidRPr="005C7810">
        <w:rPr>
          <w:rFonts w:ascii="Book Antiqua" w:hAnsi="Book Antiqua" w:cs="Times New Roman"/>
          <w:color w:val="000000"/>
          <w:sz w:val="24"/>
          <w:szCs w:val="24"/>
          <w:shd w:val="clear" w:color="auto" w:fill="FFFFFF"/>
          <w:lang w:val="en-US"/>
        </w:rPr>
        <w:t>conducted</w:t>
      </w:r>
      <w:r w:rsidR="00DE6CDA" w:rsidRPr="005C7810">
        <w:rPr>
          <w:rFonts w:ascii="Book Antiqua" w:hAnsi="Book Antiqua" w:cs="Times New Roman"/>
          <w:color w:val="000000"/>
          <w:sz w:val="24"/>
          <w:szCs w:val="24"/>
          <w:shd w:val="clear" w:color="auto" w:fill="FFFFFF"/>
          <w:lang w:val="en-US"/>
        </w:rPr>
        <w:t xml:space="preserve"> </w:t>
      </w:r>
      <w:r w:rsidR="003D011F" w:rsidRPr="005C7810">
        <w:rPr>
          <w:rFonts w:ascii="Book Antiqua" w:hAnsi="Book Antiqua" w:cs="Times New Roman"/>
          <w:color w:val="000000"/>
          <w:sz w:val="24"/>
          <w:szCs w:val="24"/>
          <w:shd w:val="clear" w:color="auto" w:fill="FFFFFF"/>
          <w:lang w:val="en-US"/>
        </w:rPr>
        <w:t>on</w:t>
      </w:r>
      <w:r w:rsidR="00DE6CDA" w:rsidRPr="005C7810">
        <w:rPr>
          <w:rFonts w:ascii="Book Antiqua" w:hAnsi="Book Antiqua" w:cs="Times New Roman"/>
          <w:color w:val="000000"/>
          <w:sz w:val="24"/>
          <w:szCs w:val="24"/>
          <w:shd w:val="clear" w:color="auto" w:fill="FFFFFF"/>
          <w:lang w:val="en-US"/>
        </w:rPr>
        <w:t xml:space="preserve"> new specific targeted therapies in advanced </w:t>
      </w:r>
      <w:r w:rsidR="00FB6F30" w:rsidRPr="005C7810">
        <w:rPr>
          <w:rFonts w:ascii="Book Antiqua" w:hAnsi="Book Antiqua" w:cs="Times New Roman"/>
          <w:color w:val="000000"/>
          <w:sz w:val="24"/>
          <w:szCs w:val="24"/>
          <w:shd w:val="clear" w:color="auto" w:fill="FFFFFF"/>
          <w:lang w:val="en-US"/>
        </w:rPr>
        <w:t>gastric cancer</w:t>
      </w:r>
      <w:r w:rsidR="00DE6CDA" w:rsidRPr="005C7810">
        <w:rPr>
          <w:rFonts w:ascii="Book Antiqua" w:hAnsi="Book Antiqua" w:cs="Times New Roman"/>
          <w:color w:val="000000"/>
          <w:sz w:val="24"/>
          <w:szCs w:val="24"/>
          <w:shd w:val="clear" w:color="auto" w:fill="FFFFFF"/>
          <w:lang w:val="en-US"/>
        </w:rPr>
        <w:t xml:space="preserve"> in the field of precision medicine. The results </w:t>
      </w:r>
      <w:r w:rsidR="003D011F" w:rsidRPr="005C7810">
        <w:rPr>
          <w:rFonts w:ascii="Book Antiqua" w:hAnsi="Book Antiqua" w:cs="Times New Roman"/>
          <w:color w:val="000000"/>
          <w:sz w:val="24"/>
          <w:szCs w:val="24"/>
          <w:shd w:val="clear" w:color="auto" w:fill="FFFFFF"/>
          <w:lang w:val="en-US"/>
        </w:rPr>
        <w:t xml:space="preserve">have </w:t>
      </w:r>
      <w:r w:rsidR="00DE6CDA" w:rsidRPr="005C7810">
        <w:rPr>
          <w:rFonts w:ascii="Book Antiqua" w:hAnsi="Book Antiqua" w:cs="Times New Roman"/>
          <w:color w:val="000000"/>
          <w:sz w:val="24"/>
          <w:szCs w:val="24"/>
          <w:shd w:val="clear" w:color="auto" w:fill="FFFFFF"/>
          <w:lang w:val="en-US"/>
        </w:rPr>
        <w:t>not</w:t>
      </w:r>
      <w:r w:rsidR="003D011F" w:rsidRPr="005C7810">
        <w:rPr>
          <w:rFonts w:ascii="Book Antiqua" w:hAnsi="Book Antiqua" w:cs="Times New Roman"/>
          <w:color w:val="000000"/>
          <w:sz w:val="24"/>
          <w:szCs w:val="24"/>
          <w:shd w:val="clear" w:color="auto" w:fill="FFFFFF"/>
          <w:lang w:val="en-US"/>
        </w:rPr>
        <w:t xml:space="preserve"> been</w:t>
      </w:r>
      <w:r w:rsidR="00DE6CDA" w:rsidRPr="005C7810">
        <w:rPr>
          <w:rFonts w:ascii="Book Antiqua" w:hAnsi="Book Antiqua" w:cs="Times New Roman"/>
          <w:color w:val="000000"/>
          <w:sz w:val="24"/>
          <w:szCs w:val="24"/>
          <w:shd w:val="clear" w:color="auto" w:fill="FFFFFF"/>
          <w:lang w:val="en-US"/>
        </w:rPr>
        <w:t xml:space="preserve"> satisfactory in terms of survival</w:t>
      </w:r>
      <w:r w:rsidR="003D011F" w:rsidRPr="005C7810">
        <w:rPr>
          <w:rFonts w:ascii="Book Antiqua" w:hAnsi="Book Antiqua" w:cs="Times New Roman"/>
          <w:color w:val="000000"/>
          <w:sz w:val="24"/>
          <w:szCs w:val="24"/>
          <w:shd w:val="clear" w:color="auto" w:fill="FFFFFF"/>
          <w:lang w:val="en-US"/>
        </w:rPr>
        <w:t>,</w:t>
      </w:r>
      <w:r w:rsidR="00DE6CDA" w:rsidRPr="005C7810">
        <w:rPr>
          <w:rFonts w:ascii="Book Antiqua" w:hAnsi="Book Antiqua" w:cs="Times New Roman"/>
          <w:color w:val="000000"/>
          <w:sz w:val="24"/>
          <w:szCs w:val="24"/>
          <w:shd w:val="clear" w:color="auto" w:fill="FFFFFF"/>
          <w:lang w:val="en-US"/>
        </w:rPr>
        <w:t xml:space="preserve"> so elective therapy remains surgery associated with adjuvant and neoadjuvant chemotherapy. </w:t>
      </w:r>
      <w:r w:rsidR="008A013F" w:rsidRPr="005C7810">
        <w:rPr>
          <w:rFonts w:ascii="Book Antiqua" w:hAnsi="Book Antiqua" w:cs="Times New Roman"/>
          <w:color w:val="000000"/>
          <w:sz w:val="24"/>
          <w:szCs w:val="24"/>
          <w:shd w:val="clear" w:color="auto" w:fill="FFFFFF"/>
          <w:lang w:val="en-US"/>
        </w:rPr>
        <w:t xml:space="preserve">Future research should not underestimate the heterogeneity of </w:t>
      </w:r>
      <w:r w:rsidRPr="005C7810">
        <w:rPr>
          <w:rFonts w:ascii="Book Antiqua" w:hAnsi="Book Antiqua" w:cs="Times New Roman"/>
          <w:color w:val="000000"/>
          <w:sz w:val="24"/>
          <w:szCs w:val="24"/>
          <w:shd w:val="clear" w:color="auto" w:fill="FFFFFF"/>
          <w:lang w:val="en-US"/>
        </w:rPr>
        <w:t>gastric cancer</w:t>
      </w:r>
      <w:r w:rsidR="008A013F" w:rsidRPr="005C7810">
        <w:rPr>
          <w:rFonts w:ascii="Book Antiqua" w:hAnsi="Book Antiqua" w:cs="Times New Roman"/>
          <w:color w:val="000000"/>
          <w:sz w:val="24"/>
          <w:szCs w:val="24"/>
          <w:shd w:val="clear" w:color="auto" w:fill="FFFFFF"/>
          <w:lang w:val="en-US"/>
        </w:rPr>
        <w:t xml:space="preserve"> when developing diagnostic and therapeutic strategies aimed toward improving patient survival.</w:t>
      </w:r>
      <w:r w:rsidR="008A013F" w:rsidRPr="005C7810" w:rsidDel="008A013F">
        <w:rPr>
          <w:rFonts w:ascii="Book Antiqua" w:hAnsi="Book Antiqua" w:cs="Times New Roman"/>
          <w:color w:val="212121"/>
          <w:sz w:val="24"/>
          <w:szCs w:val="24"/>
          <w:shd w:val="clear" w:color="auto" w:fill="FFFFFF"/>
          <w:lang w:val="en-US"/>
        </w:rPr>
        <w:t xml:space="preserve"> </w:t>
      </w:r>
    </w:p>
    <w:p w:rsidR="00C4340C" w:rsidRPr="005C7810" w:rsidRDefault="00C4340C" w:rsidP="00CD380F">
      <w:pPr>
        <w:shd w:val="clear" w:color="auto" w:fill="FFFFFF"/>
        <w:snapToGrid w:val="0"/>
        <w:spacing w:after="0" w:line="360" w:lineRule="auto"/>
        <w:jc w:val="both"/>
        <w:rPr>
          <w:rFonts w:ascii="Book Antiqua" w:hAnsi="Book Antiqua" w:cs="Times New Roman"/>
          <w:color w:val="000000"/>
          <w:sz w:val="24"/>
          <w:szCs w:val="24"/>
          <w:shd w:val="clear" w:color="auto" w:fill="FFFFFF"/>
          <w:lang w:val="en-US"/>
        </w:rPr>
      </w:pPr>
    </w:p>
    <w:p w:rsidR="005C7810" w:rsidRPr="005C7810" w:rsidRDefault="00C4340C" w:rsidP="005C7810">
      <w:pPr>
        <w:spacing w:line="360" w:lineRule="auto"/>
        <w:rPr>
          <w:rFonts w:ascii="Book Antiqua" w:hAnsi="Book Antiqua" w:hint="eastAsia"/>
          <w:iCs/>
          <w:sz w:val="24"/>
          <w:lang w:eastAsia="zh-CN"/>
        </w:rPr>
      </w:pPr>
      <w:r w:rsidRPr="005C7810">
        <w:rPr>
          <w:rFonts w:ascii="Book Antiqua" w:hAnsi="Book Antiqua" w:cs="Times New Roman"/>
          <w:sz w:val="24"/>
          <w:szCs w:val="24"/>
        </w:rPr>
        <w:t xml:space="preserve">Bonelli P, Borrelli A, Tuccillo FM, </w:t>
      </w:r>
      <w:r w:rsidR="00F96BC3" w:rsidRPr="005C7810">
        <w:rPr>
          <w:rFonts w:ascii="Book Antiqua" w:hAnsi="Book Antiqua" w:cs="Times New Roman"/>
          <w:sz w:val="24"/>
          <w:szCs w:val="24"/>
        </w:rPr>
        <w:t xml:space="preserve">Silvestro L, </w:t>
      </w:r>
      <w:r w:rsidRPr="005C7810">
        <w:rPr>
          <w:rFonts w:ascii="Book Antiqua" w:hAnsi="Book Antiqua" w:cs="Times New Roman"/>
          <w:sz w:val="24"/>
          <w:szCs w:val="24"/>
        </w:rPr>
        <w:t xml:space="preserve">Palaia R, Buonaguro FM. </w:t>
      </w:r>
      <w:r w:rsidRPr="005C7810">
        <w:rPr>
          <w:rFonts w:ascii="Book Antiqua" w:hAnsi="Book Antiqua" w:cs="Times New Roman"/>
          <w:sz w:val="24"/>
          <w:szCs w:val="24"/>
          <w:lang w:val="en-US"/>
        </w:rPr>
        <w:t xml:space="preserve">Precision medicine in gastric cancer. </w:t>
      </w:r>
      <w:r w:rsidRPr="005C7810">
        <w:rPr>
          <w:rFonts w:ascii="Book Antiqua" w:hAnsi="Book Antiqua" w:cs="Times New Roman"/>
          <w:i/>
          <w:sz w:val="24"/>
          <w:szCs w:val="24"/>
          <w:lang w:val="en-US"/>
        </w:rPr>
        <w:t>World J Gastrointest Oncol</w:t>
      </w:r>
      <w:r w:rsidRPr="005C7810">
        <w:rPr>
          <w:rFonts w:ascii="Book Antiqua" w:hAnsi="Book Antiqua" w:cs="Times New Roman"/>
          <w:sz w:val="24"/>
          <w:szCs w:val="24"/>
          <w:lang w:val="en-US"/>
        </w:rPr>
        <w:t xml:space="preserve"> </w:t>
      </w:r>
      <w:r w:rsidR="005C7810" w:rsidRPr="005C7810">
        <w:rPr>
          <w:rFonts w:ascii="Book Antiqua" w:hAnsi="Book Antiqua"/>
          <w:iCs/>
          <w:sz w:val="24"/>
        </w:rPr>
        <w:t>2019; 11(</w:t>
      </w:r>
      <w:r w:rsidR="005C7810" w:rsidRPr="005C7810">
        <w:rPr>
          <w:rFonts w:ascii="Book Antiqua" w:hAnsi="Book Antiqua" w:hint="eastAsia"/>
          <w:iCs/>
          <w:sz w:val="24"/>
        </w:rPr>
        <w:t>10</w:t>
      </w:r>
      <w:r w:rsidR="005C7810" w:rsidRPr="005C7810">
        <w:rPr>
          <w:rFonts w:ascii="Book Antiqua" w:hAnsi="Book Antiqua"/>
          <w:iCs/>
          <w:sz w:val="24"/>
        </w:rPr>
        <w:t>):</w:t>
      </w:r>
      <w:r w:rsidR="005C7810" w:rsidRPr="005C7810">
        <w:rPr>
          <w:rFonts w:ascii="Book Antiqua" w:hAnsi="Book Antiqua" w:hint="eastAsia"/>
          <w:iCs/>
          <w:sz w:val="24"/>
          <w:lang w:eastAsia="zh-CN"/>
        </w:rPr>
        <w:t xml:space="preserve"> 804</w:t>
      </w:r>
      <w:r w:rsidR="005C7810" w:rsidRPr="005C7810">
        <w:rPr>
          <w:rFonts w:ascii="Book Antiqua" w:hAnsi="Book Antiqua"/>
          <w:iCs/>
          <w:sz w:val="24"/>
        </w:rPr>
        <w:t>-</w:t>
      </w:r>
      <w:r w:rsidR="005C7810" w:rsidRPr="005C7810">
        <w:rPr>
          <w:rFonts w:ascii="Book Antiqua" w:hAnsi="Book Antiqua" w:hint="eastAsia"/>
          <w:iCs/>
          <w:sz w:val="24"/>
          <w:lang w:eastAsia="zh-CN"/>
        </w:rPr>
        <w:t>829</w:t>
      </w:r>
      <w:r w:rsidR="005C7810" w:rsidRPr="005C7810">
        <w:rPr>
          <w:rFonts w:ascii="Book Antiqua" w:hAnsi="Book Antiqua"/>
          <w:iCs/>
          <w:sz w:val="24"/>
        </w:rPr>
        <w:t xml:space="preserve">  </w:t>
      </w:r>
    </w:p>
    <w:p w:rsidR="005C7810" w:rsidRPr="005C7810" w:rsidRDefault="005C7810" w:rsidP="005C7810">
      <w:pPr>
        <w:spacing w:line="360" w:lineRule="auto"/>
        <w:rPr>
          <w:rFonts w:ascii="Book Antiqua" w:hAnsi="Book Antiqua" w:hint="eastAsia"/>
          <w:iCs/>
          <w:sz w:val="24"/>
          <w:lang w:eastAsia="zh-CN"/>
        </w:rPr>
      </w:pPr>
      <w:r w:rsidRPr="005C7810">
        <w:rPr>
          <w:rFonts w:ascii="Book Antiqua" w:hAnsi="Book Antiqua"/>
          <w:iCs/>
          <w:sz w:val="24"/>
        </w:rPr>
        <w:t>URL: https://www.wjgnet.com/</w:t>
      </w:r>
      <w:r w:rsidRPr="005C7810">
        <w:rPr>
          <w:rFonts w:ascii="Book Antiqua" w:hAnsi="Book Antiqua"/>
          <w:color w:val="333333"/>
          <w:sz w:val="24"/>
          <w:shd w:val="clear" w:color="auto" w:fill="FFFFFF"/>
        </w:rPr>
        <w:t>1948-5204</w:t>
      </w:r>
      <w:r w:rsidRPr="005C7810">
        <w:rPr>
          <w:rFonts w:ascii="Book Antiqua" w:hAnsi="Book Antiqua"/>
          <w:iCs/>
          <w:sz w:val="24"/>
        </w:rPr>
        <w:t>/full/v11/i</w:t>
      </w:r>
      <w:r w:rsidRPr="005C7810">
        <w:rPr>
          <w:rFonts w:ascii="Book Antiqua" w:hAnsi="Book Antiqua" w:hint="eastAsia"/>
          <w:iCs/>
          <w:sz w:val="24"/>
        </w:rPr>
        <w:t>10</w:t>
      </w:r>
      <w:r w:rsidRPr="005C7810">
        <w:rPr>
          <w:rFonts w:ascii="Book Antiqua" w:hAnsi="Book Antiqua"/>
          <w:iCs/>
          <w:sz w:val="24"/>
        </w:rPr>
        <w:t>/</w:t>
      </w:r>
      <w:r w:rsidRPr="005C7810">
        <w:rPr>
          <w:rFonts w:ascii="Book Antiqua" w:hAnsi="Book Antiqua" w:hint="eastAsia"/>
          <w:iCs/>
          <w:sz w:val="24"/>
          <w:lang w:eastAsia="zh-CN"/>
        </w:rPr>
        <w:t>804</w:t>
      </w:r>
      <w:r w:rsidRPr="005C7810">
        <w:rPr>
          <w:rFonts w:ascii="Book Antiqua" w:hAnsi="Book Antiqua"/>
          <w:iCs/>
          <w:sz w:val="24"/>
        </w:rPr>
        <w:t xml:space="preserve">.htm  </w:t>
      </w:r>
    </w:p>
    <w:p w:rsidR="005C7810" w:rsidRPr="005C7810" w:rsidRDefault="005C7810" w:rsidP="005C7810">
      <w:pPr>
        <w:spacing w:line="360" w:lineRule="auto"/>
        <w:rPr>
          <w:rFonts w:ascii="Book Antiqua" w:hAnsi="Book Antiqua"/>
          <w:iCs/>
          <w:sz w:val="24"/>
          <w:lang w:eastAsia="zh-CN"/>
        </w:rPr>
      </w:pPr>
      <w:r w:rsidRPr="005C7810">
        <w:rPr>
          <w:rFonts w:ascii="Book Antiqua" w:hAnsi="Book Antiqua"/>
          <w:iCs/>
          <w:sz w:val="24"/>
        </w:rPr>
        <w:t>DOI: https://dx.doi.org/</w:t>
      </w:r>
      <w:r w:rsidRPr="005C7810">
        <w:rPr>
          <w:rFonts w:ascii="Book Antiqua" w:hAnsi="Book Antiqua" w:cs="宋体"/>
          <w:sz w:val="24"/>
        </w:rPr>
        <w:t>10.4251</w:t>
      </w:r>
      <w:r w:rsidRPr="005C7810">
        <w:rPr>
          <w:rFonts w:ascii="Book Antiqua" w:hAnsi="Book Antiqua"/>
          <w:iCs/>
          <w:sz w:val="24"/>
        </w:rPr>
        <w:t>/wjgo.v11.i</w:t>
      </w:r>
      <w:r w:rsidRPr="005C7810">
        <w:rPr>
          <w:rFonts w:ascii="Book Antiqua" w:hAnsi="Book Antiqua" w:hint="eastAsia"/>
          <w:iCs/>
          <w:sz w:val="24"/>
        </w:rPr>
        <w:t>10</w:t>
      </w:r>
      <w:r w:rsidRPr="005C7810">
        <w:rPr>
          <w:rFonts w:ascii="Book Antiqua" w:hAnsi="Book Antiqua"/>
          <w:iCs/>
          <w:sz w:val="24"/>
        </w:rPr>
        <w:t>.</w:t>
      </w:r>
      <w:r w:rsidRPr="005C7810">
        <w:rPr>
          <w:rFonts w:ascii="Book Antiqua" w:hAnsi="Book Antiqua" w:hint="eastAsia"/>
          <w:iCs/>
          <w:sz w:val="24"/>
          <w:lang w:eastAsia="zh-CN"/>
        </w:rPr>
        <w:t>804</w:t>
      </w:r>
    </w:p>
    <w:p w:rsidR="00C4340C" w:rsidRPr="005C7810" w:rsidRDefault="00C4340C" w:rsidP="00CD380F">
      <w:pPr>
        <w:shd w:val="clear" w:color="auto" w:fill="FFFFFF"/>
        <w:snapToGrid w:val="0"/>
        <w:spacing w:after="0" w:line="360" w:lineRule="auto"/>
        <w:jc w:val="both"/>
        <w:rPr>
          <w:rFonts w:ascii="Book Antiqua" w:hAnsi="Book Antiqua" w:cs="Times New Roman"/>
          <w:b/>
          <w:sz w:val="24"/>
          <w:szCs w:val="24"/>
        </w:rPr>
      </w:pPr>
    </w:p>
    <w:p w:rsidR="00B8125B" w:rsidRPr="005C7810" w:rsidRDefault="00F53EDD"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color w:val="000000"/>
          <w:sz w:val="24"/>
          <w:szCs w:val="24"/>
          <w:shd w:val="clear" w:color="auto" w:fill="FFFFFF"/>
          <w:lang w:val="en-US"/>
        </w:rPr>
        <w:br w:type="page"/>
      </w:r>
      <w:r w:rsidR="00B8125B" w:rsidRPr="005C7810">
        <w:rPr>
          <w:rFonts w:ascii="Book Antiqua" w:hAnsi="Book Antiqua" w:cs="Times New Roman"/>
          <w:b/>
          <w:sz w:val="24"/>
          <w:szCs w:val="24"/>
          <w:lang w:val="en-US"/>
        </w:rPr>
        <w:lastRenderedPageBreak/>
        <w:t>INTRODUCTION</w:t>
      </w:r>
    </w:p>
    <w:p w:rsidR="00B8125B" w:rsidRPr="005C7810" w:rsidRDefault="00B8125B"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 xml:space="preserve">Gastric </w:t>
      </w:r>
      <w:r w:rsidR="00E768E7" w:rsidRPr="005C7810">
        <w:rPr>
          <w:rFonts w:ascii="Book Antiqua" w:hAnsi="Book Antiqua" w:cs="Times New Roman"/>
          <w:sz w:val="24"/>
          <w:szCs w:val="24"/>
          <w:lang w:val="en-US"/>
        </w:rPr>
        <w:t>c</w:t>
      </w:r>
      <w:r w:rsidRPr="005C7810">
        <w:rPr>
          <w:rFonts w:ascii="Book Antiqua" w:hAnsi="Book Antiqua" w:cs="Times New Roman"/>
          <w:sz w:val="24"/>
          <w:szCs w:val="24"/>
          <w:lang w:val="en-US"/>
        </w:rPr>
        <w:t xml:space="preserve">ancer (GC) is a complex disease whose onset is linked to a series of </w:t>
      </w:r>
      <w:r w:rsidR="000A12E7" w:rsidRPr="005C7810">
        <w:rPr>
          <w:rFonts w:ascii="Book Antiqua" w:hAnsi="Book Antiqua" w:cs="Times New Roman"/>
          <w:sz w:val="24"/>
          <w:szCs w:val="24"/>
          <w:lang w:val="en-US"/>
        </w:rPr>
        <w:t xml:space="preserve">genetic and </w:t>
      </w:r>
      <w:r w:rsidRPr="005C7810">
        <w:rPr>
          <w:rFonts w:ascii="Book Antiqua" w:hAnsi="Book Antiqua" w:cs="Times New Roman"/>
          <w:sz w:val="24"/>
          <w:szCs w:val="24"/>
          <w:lang w:val="en-US"/>
        </w:rPr>
        <w:t>environmental factors</w:t>
      </w:r>
      <w:r w:rsidR="000A12E7" w:rsidRPr="005C7810">
        <w:rPr>
          <w:rFonts w:ascii="Book Antiqua" w:hAnsi="Book Antiqua" w:cs="Times New Roman"/>
          <w:sz w:val="24"/>
          <w:szCs w:val="24"/>
          <w:lang w:val="en-US"/>
        </w:rPr>
        <w:t xml:space="preserve"> such</w:t>
      </w:r>
      <w:r w:rsidRPr="005C7810">
        <w:rPr>
          <w:rFonts w:ascii="Book Antiqua" w:hAnsi="Book Antiqua" w:cs="Times New Roman"/>
          <w:sz w:val="24"/>
          <w:szCs w:val="24"/>
          <w:lang w:val="en-US"/>
        </w:rPr>
        <w:t xml:space="preserve"> </w:t>
      </w:r>
      <w:r w:rsidR="000A12E7" w:rsidRPr="005C7810">
        <w:rPr>
          <w:rFonts w:ascii="Book Antiqua" w:hAnsi="Book Antiqua" w:cs="Times New Roman"/>
          <w:sz w:val="24"/>
          <w:szCs w:val="24"/>
          <w:lang w:val="en-US"/>
        </w:rPr>
        <w:t xml:space="preserve">as </w:t>
      </w:r>
      <w:r w:rsidRPr="005C7810">
        <w:rPr>
          <w:rFonts w:ascii="Book Antiqua" w:hAnsi="Book Antiqua" w:cs="Times New Roman"/>
          <w:sz w:val="24"/>
          <w:szCs w:val="24"/>
          <w:lang w:val="en-US"/>
        </w:rPr>
        <w:t>smok</w:t>
      </w:r>
      <w:r w:rsidR="000A12E7" w:rsidRPr="005C7810">
        <w:rPr>
          <w:rFonts w:ascii="Book Antiqua" w:hAnsi="Book Antiqua" w:cs="Times New Roman"/>
          <w:sz w:val="24"/>
          <w:szCs w:val="24"/>
          <w:lang w:val="en-US"/>
        </w:rPr>
        <w:t>ing</w:t>
      </w:r>
      <w:r w:rsidRPr="005C7810">
        <w:rPr>
          <w:rFonts w:ascii="Book Antiqua" w:hAnsi="Book Antiqua" w:cs="Times New Roman"/>
          <w:sz w:val="24"/>
          <w:szCs w:val="24"/>
          <w:lang w:val="en-US"/>
        </w:rPr>
        <w:t xml:space="preserve"> and a </w:t>
      </w:r>
      <w:r w:rsidR="007D5683" w:rsidRPr="005C7810">
        <w:rPr>
          <w:rFonts w:ascii="Book Antiqua" w:hAnsi="Book Antiqua" w:cs="Times New Roman"/>
          <w:sz w:val="24"/>
          <w:szCs w:val="24"/>
          <w:lang w:val="en-US"/>
        </w:rPr>
        <w:t xml:space="preserve">high </w:t>
      </w:r>
      <w:r w:rsidRPr="005C7810">
        <w:rPr>
          <w:rFonts w:ascii="Book Antiqua" w:hAnsi="Book Antiqua" w:cs="Times New Roman"/>
          <w:sz w:val="24"/>
          <w:szCs w:val="24"/>
          <w:lang w:val="en-US"/>
        </w:rPr>
        <w:t xml:space="preserve">salt diet. </w:t>
      </w:r>
      <w:r w:rsidR="007F64F1" w:rsidRPr="005C7810">
        <w:rPr>
          <w:rFonts w:ascii="Book Antiqua" w:hAnsi="Book Antiqua" w:cs="Times New Roman"/>
          <w:i/>
          <w:color w:val="000000"/>
          <w:sz w:val="24"/>
          <w:szCs w:val="24"/>
          <w:lang w:val="en-US"/>
        </w:rPr>
        <w:t>Helicobacter pylori</w:t>
      </w:r>
      <w:r w:rsidR="007F64F1" w:rsidRPr="005C7810">
        <w:rPr>
          <w:rFonts w:ascii="Book Antiqua" w:hAnsi="Book Antiqua" w:cs="Times New Roman"/>
          <w:color w:val="000000"/>
          <w:sz w:val="24"/>
          <w:szCs w:val="24"/>
          <w:lang w:val="en-US"/>
        </w:rPr>
        <w:t xml:space="preserve"> </w:t>
      </w:r>
      <w:r w:rsidR="00157BD4" w:rsidRPr="005C7810">
        <w:rPr>
          <w:rFonts w:ascii="Book Antiqua" w:hAnsi="Book Antiqua" w:cs="Times New Roman"/>
          <w:color w:val="000000"/>
          <w:sz w:val="24"/>
          <w:szCs w:val="24"/>
          <w:lang w:val="en-US"/>
        </w:rPr>
        <w:t>(</w:t>
      </w:r>
      <w:r w:rsidR="00157BD4" w:rsidRPr="005C7810">
        <w:rPr>
          <w:rFonts w:ascii="Book Antiqua" w:hAnsi="Book Antiqua" w:cs="Times New Roman"/>
          <w:i/>
          <w:color w:val="000000"/>
          <w:sz w:val="24"/>
          <w:szCs w:val="24"/>
          <w:lang w:val="en-US"/>
        </w:rPr>
        <w:t>H. pylori</w:t>
      </w:r>
      <w:r w:rsidR="00157BD4" w:rsidRPr="005C7810">
        <w:rPr>
          <w:rFonts w:ascii="Book Antiqua" w:hAnsi="Book Antiqua" w:cs="Times New Roman"/>
          <w:color w:val="000000"/>
          <w:sz w:val="24"/>
          <w:szCs w:val="24"/>
          <w:lang w:val="en-US"/>
        </w:rPr>
        <w:t xml:space="preserve">) </w:t>
      </w:r>
      <w:r w:rsidR="007F64F1" w:rsidRPr="005C7810">
        <w:rPr>
          <w:rFonts w:ascii="Book Antiqua" w:hAnsi="Book Antiqua" w:cs="Times New Roman"/>
          <w:color w:val="000000"/>
          <w:sz w:val="24"/>
          <w:szCs w:val="24"/>
          <w:lang w:val="en-US"/>
        </w:rPr>
        <w:t xml:space="preserve">is considered </w:t>
      </w:r>
      <w:r w:rsidR="00DA6652" w:rsidRPr="005C7810">
        <w:rPr>
          <w:rFonts w:ascii="Book Antiqua" w:hAnsi="Book Antiqua" w:cs="Times New Roman"/>
          <w:color w:val="000000"/>
          <w:sz w:val="24"/>
          <w:szCs w:val="24"/>
          <w:lang w:val="en-US"/>
        </w:rPr>
        <w:t>one of the</w:t>
      </w:r>
      <w:r w:rsidR="0082228C" w:rsidRPr="005C7810">
        <w:rPr>
          <w:rFonts w:ascii="Book Antiqua" w:hAnsi="Book Antiqua" w:cs="Times New Roman"/>
          <w:color w:val="000000"/>
          <w:sz w:val="24"/>
          <w:szCs w:val="24"/>
          <w:lang w:val="en-US"/>
        </w:rPr>
        <w:t xml:space="preserve"> most significant </w:t>
      </w:r>
      <w:r w:rsidR="007F64F1" w:rsidRPr="005C7810">
        <w:rPr>
          <w:rFonts w:ascii="Book Antiqua" w:hAnsi="Book Antiqua" w:cs="Times New Roman"/>
          <w:color w:val="000000"/>
          <w:sz w:val="24"/>
          <w:szCs w:val="24"/>
          <w:lang w:val="en-US"/>
        </w:rPr>
        <w:t>risk factor</w:t>
      </w:r>
      <w:r w:rsidR="00DA6652" w:rsidRPr="005C7810">
        <w:rPr>
          <w:rFonts w:ascii="Book Antiqua" w:hAnsi="Book Antiqua" w:cs="Times New Roman"/>
          <w:color w:val="000000"/>
          <w:sz w:val="24"/>
          <w:szCs w:val="24"/>
          <w:lang w:val="en-US"/>
        </w:rPr>
        <w:t>s</w:t>
      </w:r>
      <w:r w:rsidR="007F64F1" w:rsidRPr="005C7810">
        <w:rPr>
          <w:rFonts w:ascii="Book Antiqua" w:hAnsi="Book Antiqua" w:cs="Times New Roman"/>
          <w:color w:val="000000"/>
          <w:sz w:val="24"/>
          <w:szCs w:val="24"/>
          <w:lang w:val="en-US"/>
        </w:rPr>
        <w:t xml:space="preserve"> </w:t>
      </w:r>
      <w:r w:rsidR="00DA6652" w:rsidRPr="005C7810">
        <w:rPr>
          <w:rFonts w:ascii="Book Antiqua" w:hAnsi="Book Antiqua" w:cs="Times New Roman"/>
          <w:color w:val="000000"/>
          <w:sz w:val="24"/>
          <w:szCs w:val="24"/>
          <w:lang w:val="en-US"/>
        </w:rPr>
        <w:t>of</w:t>
      </w:r>
      <w:r w:rsidR="007F64F1" w:rsidRPr="005C7810">
        <w:rPr>
          <w:rFonts w:ascii="Book Antiqua" w:hAnsi="Book Antiqua" w:cs="Times New Roman"/>
          <w:color w:val="000000"/>
          <w:sz w:val="24"/>
          <w:szCs w:val="24"/>
          <w:lang w:val="en-US"/>
        </w:rPr>
        <w:t xml:space="preserve"> GC. It is present in more than 70% of non-cardia GC</w:t>
      </w:r>
      <w:r w:rsidR="00DA6652" w:rsidRPr="005C7810">
        <w:rPr>
          <w:rFonts w:ascii="Book Antiqua" w:hAnsi="Book Antiqua" w:cs="Times New Roman"/>
          <w:color w:val="000000"/>
          <w:sz w:val="24"/>
          <w:szCs w:val="24"/>
          <w:lang w:val="en-US"/>
        </w:rPr>
        <w:t xml:space="preserve"> case</w:t>
      </w:r>
      <w:r w:rsidR="007F64F1" w:rsidRPr="005C7810">
        <w:rPr>
          <w:rFonts w:ascii="Book Antiqua" w:hAnsi="Book Antiqua" w:cs="Times New Roman"/>
          <w:color w:val="000000"/>
          <w:sz w:val="24"/>
          <w:szCs w:val="24"/>
          <w:lang w:val="en-US"/>
        </w:rPr>
        <w:t>s and 90% of chronic gastritis</w:t>
      </w:r>
      <w:r w:rsidR="00DA6652" w:rsidRPr="005C7810">
        <w:rPr>
          <w:rFonts w:ascii="Book Antiqua" w:hAnsi="Book Antiqua" w:cs="Times New Roman"/>
          <w:color w:val="000000"/>
          <w:sz w:val="24"/>
          <w:szCs w:val="24"/>
          <w:lang w:val="en-US"/>
        </w:rPr>
        <w:t xml:space="preserve"> cases</w:t>
      </w:r>
      <w:r w:rsidR="00CD6F75" w:rsidRPr="005C7810">
        <w:rPr>
          <w:rFonts w:ascii="Book Antiqua" w:hAnsi="Book Antiqua" w:cs="Times New Roman"/>
          <w:color w:val="000000"/>
          <w:sz w:val="24"/>
          <w:szCs w:val="24"/>
          <w:vertAlign w:val="superscript"/>
          <w:lang w:val="en-US"/>
        </w:rPr>
        <w:fldChar w:fldCharType="begin" w:fldLock="1"/>
      </w:r>
      <w:r w:rsidR="00CD6F75" w:rsidRPr="005C7810">
        <w:rPr>
          <w:rFonts w:ascii="Book Antiqua" w:hAnsi="Book Antiqua" w:cs="Times New Roman"/>
          <w:color w:val="000000"/>
          <w:sz w:val="24"/>
          <w:szCs w:val="24"/>
          <w:vertAlign w:val="superscript"/>
          <w:lang w:val="en-US"/>
        </w:rPr>
        <w:instrText>ADDIN CSL_CITATION {"citationItems":[{"id":"ITEM-1","itemData":{"DOI":"10.1099/jmm.0.2008/003160-0","ISSN":"00222615","abstract":"Infection with cagPAI positive strains of Helicobacter pylori is recognized as being associated with an increased risk of gastric cancer. This article reviews the current knowledge on the structures and pathological functions of cagPAI and the CagA protein, focusing especially on the molecular mechanism through which CagA may be involved in gastric carcinogenesis. The possible link between the geographical distribution of cagPAI and cagA variations and gastric cancer diversity in Asia is also discussed.","author":[{"dropping-particle":"","family":"Nguyen","given":"Lam Tung","non-dropping-particle":"","parse-names":false,"suffix":""},{"dropping-particle":"","family":"Uchida","given":"Tomohisa","non-dropping-particle":"","parse-names":false,"suffix":""},{"dropping-particle":"","family":"Murakami","given":"Kazunari","non-dropping-particle":"","parse-names":false,"suffix":""},{"dropping-particle":"","family":"Fujioka","given":"Toshio","non-dropping-particle":"","parse-names":false,"suffix":""},{"dropping-particle":"","family":"Moriyama","given":"Masatsugu","non-dropping-particle":"","parse-names":false,"suffix":""}],"container-title":"Journal of Medical Microbiology","id":"ITEM-1","issue":"12","issued":{"date-parts":[["2008"]]},"page":"1445-1453","title":"Helicobacter pylori virulence and the diversity of gastric cancer in Asia","type":"article-journal","volume":"57"},"uris":["http://www.mendeley.com/documents/?uuid=3f019748-6e1f-4e17-ae5d-b328af94018b"]}],"mendeley":{"formattedCitation":"&lt;sup&gt;[1]&lt;/sup&gt;","plainTextFormattedCitation":"[1]","previouslyFormattedCitation":"&lt;sup&gt;[1]&lt;/sup&gt;"},"properties":{"noteIndex":0},"schema":"https://github.com/citation-style-language/schema/raw/master/csl-citation.json"}</w:instrText>
      </w:r>
      <w:r w:rsidR="00CD6F75" w:rsidRPr="005C7810">
        <w:rPr>
          <w:rFonts w:ascii="Book Antiqua" w:hAnsi="Book Antiqua" w:cs="Times New Roman"/>
          <w:color w:val="000000"/>
          <w:sz w:val="24"/>
          <w:szCs w:val="24"/>
          <w:vertAlign w:val="superscript"/>
          <w:lang w:val="en-US"/>
        </w:rPr>
        <w:fldChar w:fldCharType="separate"/>
      </w:r>
      <w:r w:rsidR="00CD6F75" w:rsidRPr="005C7810">
        <w:rPr>
          <w:rFonts w:ascii="Book Antiqua" w:hAnsi="Book Antiqua" w:cs="Times New Roman"/>
          <w:color w:val="000000"/>
          <w:sz w:val="24"/>
          <w:szCs w:val="24"/>
          <w:vertAlign w:val="superscript"/>
          <w:lang w:val="en-US"/>
        </w:rPr>
        <w:t>[1]</w:t>
      </w:r>
      <w:r w:rsidR="00CD6F75" w:rsidRPr="005C7810">
        <w:rPr>
          <w:rFonts w:ascii="Book Antiqua" w:hAnsi="Book Antiqua" w:cs="Times New Roman"/>
          <w:color w:val="000000"/>
          <w:sz w:val="24"/>
          <w:szCs w:val="24"/>
          <w:vertAlign w:val="superscript"/>
          <w:lang w:val="en-US"/>
        </w:rPr>
        <w:fldChar w:fldCharType="end"/>
      </w:r>
      <w:r w:rsidR="00BC6592" w:rsidRPr="005C7810">
        <w:rPr>
          <w:rFonts w:ascii="Book Antiqua" w:hAnsi="Book Antiqua" w:cs="Times New Roman"/>
          <w:color w:val="000000"/>
          <w:sz w:val="24"/>
          <w:szCs w:val="24"/>
          <w:lang w:val="en-US"/>
        </w:rPr>
        <w:t>,</w:t>
      </w:r>
      <w:r w:rsidR="00667100" w:rsidRPr="005C7810">
        <w:rPr>
          <w:rFonts w:ascii="Book Antiqua" w:hAnsi="Book Antiqua" w:cs="Times New Roman"/>
          <w:color w:val="000000"/>
          <w:sz w:val="24"/>
          <w:szCs w:val="24"/>
          <w:lang w:val="en-US"/>
        </w:rPr>
        <w:t xml:space="preserve"> </w:t>
      </w:r>
      <w:r w:rsidR="007F64F1" w:rsidRPr="005C7810">
        <w:rPr>
          <w:rFonts w:ascii="Book Antiqua" w:hAnsi="Book Antiqua" w:cs="Times New Roman"/>
          <w:color w:val="000000"/>
          <w:sz w:val="24"/>
          <w:szCs w:val="24"/>
          <w:lang w:val="en-US"/>
        </w:rPr>
        <w:t xml:space="preserve">and its presence increases the risk of cancer </w:t>
      </w:r>
      <w:r w:rsidR="00DA6652" w:rsidRPr="005C7810">
        <w:rPr>
          <w:rFonts w:ascii="Book Antiqua" w:hAnsi="Book Antiqua" w:cs="Times New Roman"/>
          <w:color w:val="000000"/>
          <w:sz w:val="24"/>
          <w:szCs w:val="24"/>
          <w:lang w:val="en-US"/>
        </w:rPr>
        <w:t xml:space="preserve">(as </w:t>
      </w:r>
      <w:r w:rsidR="007F64F1" w:rsidRPr="005C7810">
        <w:rPr>
          <w:rFonts w:ascii="Book Antiqua" w:hAnsi="Book Antiqua" w:cs="Times New Roman"/>
          <w:color w:val="000000"/>
          <w:sz w:val="24"/>
          <w:szCs w:val="24"/>
          <w:lang w:val="en-US"/>
        </w:rPr>
        <w:t>compared to uninfected individuals</w:t>
      </w:r>
      <w:r w:rsidR="00DA6652" w:rsidRPr="005C7810">
        <w:rPr>
          <w:rFonts w:ascii="Book Antiqua" w:hAnsi="Book Antiqua" w:cs="Times New Roman"/>
          <w:color w:val="000000"/>
          <w:sz w:val="24"/>
          <w:szCs w:val="24"/>
          <w:lang w:val="en-US"/>
        </w:rPr>
        <w:t>)</w:t>
      </w:r>
      <w:r w:rsidR="0062555A" w:rsidRPr="005C7810">
        <w:rPr>
          <w:rFonts w:ascii="Book Antiqua" w:hAnsi="Book Antiqua" w:cs="Times New Roman"/>
          <w:color w:val="000000"/>
          <w:sz w:val="24"/>
          <w:szCs w:val="24"/>
          <w:lang w:val="en-US"/>
        </w:rPr>
        <w:fldChar w:fldCharType="begin" w:fldLock="1"/>
      </w:r>
      <w:r w:rsidR="00D32FF3" w:rsidRPr="005C7810">
        <w:rPr>
          <w:rFonts w:ascii="Book Antiqua" w:hAnsi="Book Antiqua" w:cs="Times New Roman"/>
          <w:color w:val="000000"/>
          <w:sz w:val="24"/>
          <w:szCs w:val="24"/>
          <w:lang w:val="en-US"/>
        </w:rPr>
        <w:instrText>ADDIN CSL_CITATION {"citationItems":[{"id":"ITEM-1","itemData":{"author":[{"dropping-particle":"","family":"Uemura N, Okamoto S, Yamamoto S, Matsumura N, Yamaguchi S, Yamakido M, Taniyama K, Sasaki N","given":"Schlemper RJ","non-dropping-particle":"","parse-names":false,"suffix":""}],"container-title":"N Engl J Med","id":"ITEM-1","issue":"11","issued":{"date-parts":[["2001"]]},"page":"784-789","title":"Helicobacter pylori infection and the development of gastric cancer","type":"article-journal","volume":"345"},"uris":["http://www.mendeley.com/documents/?uuid=40f0ba47-d09e-4c9c-ac7a-aeb6176d4c36"]},{"id":"ITEM-2","itemData":{"DOI":"10.1016/j.gtc.2013.01.003","ISSN":"08898553","abstract":"Gastric cancer is one of the major malignancies in the world. This article summarizes the current understanding of the worldwide burden of this disease, its geographic variation, and temporal trends. An overview is presented of known risk factors, including genetic, dietary, and behavioral, but focuses on Helicobacter pylori infection as the most important factor in noncardia gastric cancer. When the data and the literature allow, we distinguish between cardia and noncardia sub-sites, as it is now clear that these two anatomic locations present distinct and sometimes opposite epidemiological characteristics. © 2013 Elsevier Inc.","author":[{"dropping-particle":"","family":"Martel","given":"Catherine","non-dropping-particle":"de","parse-names":false,"suffix":""},{"dropping-particle":"","family":"Forman","given":"David","non-dropping-particle":"","parse-names":false,"suffix":""},{"dropping-particle":"","family":"Plummer","given":"Martyn","non-dropping-particle":"","parse-names":false,"suffix":""}],"container-title":"Gastroenterology Clinics of North America","id":"ITEM-2","issue":"2","issued":{"date-parts":[["2013"]]},"page":"219-240","publisher":"Elsevier Inc","title":"Gastric Cancer. Epidemiology and Risk Factors.","type":"article-journal","volume":"42"},"uris":["http://www.mendeley.com/documents/?uuid=dcd20a9a-4263-4631-9078-07bdabfb7f59"]}],"mendeley":{"formattedCitation":"&lt;sup&gt;[2,3]&lt;/sup&gt;","plainTextFormattedCitation":"[2,3]","previouslyFormattedCitation":"&lt;sup&gt;[2,3]&lt;/sup&gt;"},"properties":{"noteIndex":0},"schema":"https://github.com/citation-style-language/schema/raw/master/csl-citation.json"}</w:instrText>
      </w:r>
      <w:r w:rsidR="0062555A" w:rsidRPr="005C7810">
        <w:rPr>
          <w:rFonts w:ascii="Book Antiqua" w:hAnsi="Book Antiqua" w:cs="Times New Roman"/>
          <w:color w:val="000000"/>
          <w:sz w:val="24"/>
          <w:szCs w:val="24"/>
          <w:lang w:val="en-US"/>
        </w:rPr>
        <w:fldChar w:fldCharType="separate"/>
      </w:r>
      <w:r w:rsidR="004A086E" w:rsidRPr="005C7810">
        <w:rPr>
          <w:rFonts w:ascii="Book Antiqua" w:hAnsi="Book Antiqua" w:cs="Times New Roman"/>
          <w:color w:val="000000"/>
          <w:sz w:val="24"/>
          <w:szCs w:val="24"/>
          <w:vertAlign w:val="superscript"/>
          <w:lang w:val="en-US"/>
        </w:rPr>
        <w:t>[2</w:t>
      </w:r>
      <w:r w:rsidR="001B0453" w:rsidRPr="005C7810">
        <w:rPr>
          <w:rFonts w:ascii="Book Antiqua" w:hAnsi="Book Antiqua" w:cs="Times New Roman"/>
          <w:color w:val="000000"/>
          <w:sz w:val="24"/>
          <w:szCs w:val="24"/>
          <w:vertAlign w:val="superscript"/>
          <w:lang w:val="en-US"/>
        </w:rPr>
        <w:t>,</w:t>
      </w:r>
      <w:r w:rsidR="004A086E" w:rsidRPr="005C7810">
        <w:rPr>
          <w:rFonts w:ascii="Book Antiqua" w:hAnsi="Book Antiqua" w:cs="Times New Roman"/>
          <w:color w:val="000000"/>
          <w:sz w:val="24"/>
          <w:szCs w:val="24"/>
          <w:vertAlign w:val="superscript"/>
          <w:lang w:val="en-US"/>
        </w:rPr>
        <w:t>3]</w:t>
      </w:r>
      <w:r w:rsidR="0062555A" w:rsidRPr="005C7810">
        <w:rPr>
          <w:rFonts w:ascii="Book Antiqua" w:hAnsi="Book Antiqua" w:cs="Times New Roman"/>
          <w:color w:val="000000"/>
          <w:sz w:val="24"/>
          <w:szCs w:val="24"/>
          <w:lang w:val="en-US"/>
        </w:rPr>
        <w:fldChar w:fldCharType="end"/>
      </w:r>
      <w:r w:rsidR="007F64F1" w:rsidRPr="005C7810">
        <w:rPr>
          <w:rFonts w:ascii="Book Antiqua" w:hAnsi="Book Antiqua" w:cs="Times New Roman"/>
          <w:color w:val="000000"/>
          <w:sz w:val="24"/>
          <w:szCs w:val="24"/>
          <w:lang w:val="en-US"/>
        </w:rPr>
        <w:t xml:space="preserve">. Recent research has shown that there is a correlation between the risk of GC and the characteristics of specific strains of </w:t>
      </w:r>
      <w:r w:rsidR="007F64F1" w:rsidRPr="005C7810">
        <w:rPr>
          <w:rFonts w:ascii="Book Antiqua" w:hAnsi="Book Antiqua" w:cs="Times New Roman"/>
          <w:i/>
          <w:iCs/>
          <w:color w:val="000000"/>
          <w:sz w:val="24"/>
          <w:szCs w:val="24"/>
          <w:lang w:val="en-US"/>
        </w:rPr>
        <w:t>H</w:t>
      </w:r>
      <w:r w:rsidR="00DA6652" w:rsidRPr="005C7810">
        <w:rPr>
          <w:rFonts w:ascii="Book Antiqua" w:hAnsi="Book Antiqua" w:cs="Times New Roman"/>
          <w:i/>
          <w:iCs/>
          <w:color w:val="000000"/>
          <w:sz w:val="24"/>
          <w:szCs w:val="24"/>
          <w:lang w:val="en-US"/>
        </w:rPr>
        <w:t>.</w:t>
      </w:r>
      <w:r w:rsidR="007F64F1" w:rsidRPr="005C7810">
        <w:rPr>
          <w:rFonts w:ascii="Book Antiqua" w:hAnsi="Book Antiqua" w:cs="Times New Roman"/>
          <w:i/>
          <w:iCs/>
          <w:color w:val="000000"/>
          <w:sz w:val="24"/>
          <w:szCs w:val="24"/>
          <w:lang w:val="en-US"/>
        </w:rPr>
        <w:t xml:space="preserve"> pylori</w:t>
      </w:r>
      <w:r w:rsidR="00296949" w:rsidRPr="005C7810">
        <w:rPr>
          <w:rFonts w:ascii="Book Antiqua" w:hAnsi="Book Antiqua" w:cs="Times New Roman"/>
          <w:color w:val="000000"/>
          <w:sz w:val="24"/>
          <w:szCs w:val="24"/>
          <w:vertAlign w:val="superscript"/>
          <w:lang w:val="en-US"/>
        </w:rPr>
        <w:fldChar w:fldCharType="begin" w:fldLock="1"/>
      </w:r>
      <w:r w:rsidR="00D32FF3" w:rsidRPr="005C7810">
        <w:rPr>
          <w:rFonts w:ascii="Book Antiqua" w:hAnsi="Book Antiqua" w:cs="Times New Roman"/>
          <w:color w:val="000000"/>
          <w:sz w:val="24"/>
          <w:szCs w:val="24"/>
          <w:vertAlign w:val="superscript"/>
          <w:lang w:val="en-US"/>
        </w:rPr>
        <w:instrText>ADDIN CSL_CITATION {"citationItems":[{"id":"ITEM-1","itemData":{"author":[{"dropping-particle":"","family":"Cover","given":"TL","non-dropping-particle":"","parse-names":false,"suffix":""}],"container-title":"Am Soc Microbiol","id":"ITEM-1","issued":{"date-parts":[["2016"]]},"page":"e01869-15","title":"Helicobacter pylori Diversity and Gastric Cancer Risk","type":"article-journal","volume":"7"},"uris":["http://www.mendeley.com/documents/?uuid=34d39545-2077-48d5-b2c9-2a6770472d08"]}],"mendeley":{"formattedCitation":"&lt;sup&gt;[4]&lt;/sup&gt;","plainTextFormattedCitation":"[4]","previouslyFormattedCitation":"&lt;sup&gt;[4]&lt;/sup&gt;"},"properties":{"noteIndex":0},"schema":"https://github.com/citation-style-language/schema/raw/master/csl-citation.json"}</w:instrText>
      </w:r>
      <w:r w:rsidR="00296949" w:rsidRPr="005C7810">
        <w:rPr>
          <w:rFonts w:ascii="Book Antiqua" w:hAnsi="Book Antiqua" w:cs="Times New Roman"/>
          <w:color w:val="000000"/>
          <w:sz w:val="24"/>
          <w:szCs w:val="24"/>
          <w:vertAlign w:val="superscript"/>
          <w:lang w:val="en-US"/>
        </w:rPr>
        <w:fldChar w:fldCharType="separate"/>
      </w:r>
      <w:r w:rsidR="00CD6F75" w:rsidRPr="005C7810">
        <w:rPr>
          <w:rFonts w:ascii="Book Antiqua" w:hAnsi="Book Antiqua" w:cs="Times New Roman"/>
          <w:color w:val="000000"/>
          <w:sz w:val="24"/>
          <w:szCs w:val="24"/>
          <w:vertAlign w:val="superscript"/>
          <w:lang w:val="en-US"/>
        </w:rPr>
        <w:t>[4]</w:t>
      </w:r>
      <w:r w:rsidR="00296949" w:rsidRPr="005C7810">
        <w:rPr>
          <w:rFonts w:ascii="Book Antiqua" w:hAnsi="Book Antiqua" w:cs="Times New Roman"/>
          <w:color w:val="000000"/>
          <w:sz w:val="24"/>
          <w:szCs w:val="24"/>
          <w:vertAlign w:val="superscript"/>
          <w:lang w:val="en-US"/>
        </w:rPr>
        <w:fldChar w:fldCharType="end"/>
      </w:r>
      <w:r w:rsidR="00296949" w:rsidRPr="005C7810">
        <w:rPr>
          <w:rFonts w:ascii="Book Antiqua" w:hAnsi="Book Antiqua" w:cs="Times New Roman"/>
          <w:color w:val="000000"/>
          <w:sz w:val="24"/>
          <w:szCs w:val="24"/>
          <w:lang w:val="en-US"/>
        </w:rPr>
        <w:t>.</w:t>
      </w:r>
      <w:r w:rsidR="00AB32F3" w:rsidRPr="005C7810">
        <w:rPr>
          <w:rFonts w:ascii="Book Antiqua" w:hAnsi="Book Antiqua" w:cs="Times New Roman"/>
          <w:color w:val="000000"/>
          <w:sz w:val="24"/>
          <w:szCs w:val="24"/>
          <w:lang w:val="en-US"/>
        </w:rPr>
        <w:t xml:space="preserve"> </w:t>
      </w:r>
      <w:r w:rsidR="00DA6652" w:rsidRPr="005C7810">
        <w:rPr>
          <w:rFonts w:ascii="Book Antiqua" w:hAnsi="Book Antiqua" w:cs="Times New Roman"/>
          <w:color w:val="000000"/>
          <w:sz w:val="24"/>
          <w:szCs w:val="24"/>
          <w:lang w:val="en-US"/>
        </w:rPr>
        <w:t xml:space="preserve">Moreover, </w:t>
      </w:r>
      <w:r w:rsidR="00157BD4" w:rsidRPr="005C7810">
        <w:rPr>
          <w:rFonts w:ascii="Book Antiqua" w:hAnsi="Book Antiqua" w:cs="Times New Roman"/>
          <w:i/>
          <w:color w:val="000000"/>
          <w:sz w:val="24"/>
          <w:szCs w:val="24"/>
          <w:lang w:val="en-US"/>
        </w:rPr>
        <w:t>H. pylori</w:t>
      </w:r>
      <w:r w:rsidR="00157BD4" w:rsidRPr="005C7810">
        <w:rPr>
          <w:rFonts w:ascii="Book Antiqua" w:hAnsi="Book Antiqua" w:cs="Times New Roman"/>
          <w:color w:val="000000"/>
          <w:sz w:val="24"/>
          <w:szCs w:val="24"/>
          <w:lang w:val="en-US"/>
        </w:rPr>
        <w:t xml:space="preserve"> infection </w:t>
      </w:r>
      <w:r w:rsidR="00DA6652" w:rsidRPr="005C7810">
        <w:rPr>
          <w:rFonts w:ascii="Book Antiqua" w:hAnsi="Book Antiqua" w:cs="Times New Roman"/>
          <w:color w:val="000000"/>
          <w:sz w:val="24"/>
          <w:szCs w:val="24"/>
          <w:lang w:val="en-US"/>
        </w:rPr>
        <w:t>has been demonstrated to be</w:t>
      </w:r>
      <w:r w:rsidR="00157BD4" w:rsidRPr="005C7810">
        <w:rPr>
          <w:rFonts w:ascii="Book Antiqua" w:hAnsi="Book Antiqua" w:cs="Times New Roman"/>
          <w:color w:val="000000"/>
          <w:sz w:val="24"/>
          <w:szCs w:val="24"/>
          <w:lang w:val="en-US"/>
        </w:rPr>
        <w:t xml:space="preserve"> essential for promoting chronic inflammation of the gastric epithelium and histological changes that sequentially lead to GC</w:t>
      </w:r>
      <w:r w:rsidR="00157BD4" w:rsidRPr="005C7810">
        <w:rPr>
          <w:rFonts w:ascii="Book Antiqua" w:hAnsi="Book Antiqua" w:cs="Times New Roman"/>
          <w:color w:val="000000"/>
          <w:sz w:val="24"/>
          <w:szCs w:val="24"/>
          <w:vertAlign w:val="superscript"/>
          <w:lang w:val="en-US"/>
        </w:rPr>
        <w:fldChar w:fldCharType="begin" w:fldLock="1"/>
      </w:r>
      <w:r w:rsidR="00D32FF3" w:rsidRPr="005C7810">
        <w:rPr>
          <w:rFonts w:ascii="Book Antiqua" w:hAnsi="Book Antiqua" w:cs="Times New Roman"/>
          <w:color w:val="000000"/>
          <w:sz w:val="24"/>
          <w:szCs w:val="24"/>
          <w:vertAlign w:val="superscript"/>
          <w:lang w:val="en-US"/>
        </w:rPr>
        <w:instrText>ADDIN CSL_CITATION {"citationItems":[{"id":"ITEM-1","itemData":{"author":[{"dropping-particle":"","family":"Manuel Amieva","given":"Richard M. Peek Jr","non-dropping-particle":"","parse-names":false,"suffix":""}],"container-title":"Gastroenterology","id":"ITEM-1","issue":"1","issued":{"date-parts":[["2016"]]},"page":"64-78","title":"Pathobiology of Helicobacter pylori-induced Gastric Cancer","type":"article-journal","volume":"150"},"uris":["http://www.mendeley.com/documents/?uuid=883575be-c0f0-4c93-8de1-c562edb1c43e","http://www.mendeley.com/documents/?uuid=2e3b5046-4dfe-4475-84da-d0af51c66e1a"]}],"mendeley":{"formattedCitation":"&lt;sup&gt;[5]&lt;/sup&gt;","plainTextFormattedCitation":"[5]","previouslyFormattedCitation":"&lt;sup&gt;[5]&lt;/sup&gt;"},"properties":{"noteIndex":0},"schema":"https://github.com/citation-style-language/schema/raw/master/csl-citation.json"}</w:instrText>
      </w:r>
      <w:r w:rsidR="00157BD4" w:rsidRPr="005C7810">
        <w:rPr>
          <w:rFonts w:ascii="Book Antiqua" w:hAnsi="Book Antiqua" w:cs="Times New Roman"/>
          <w:color w:val="000000"/>
          <w:sz w:val="24"/>
          <w:szCs w:val="24"/>
          <w:vertAlign w:val="superscript"/>
          <w:lang w:val="en-US"/>
        </w:rPr>
        <w:fldChar w:fldCharType="separate"/>
      </w:r>
      <w:r w:rsidR="00CD6F75" w:rsidRPr="005C7810">
        <w:rPr>
          <w:rFonts w:ascii="Book Antiqua" w:hAnsi="Book Antiqua" w:cs="Times New Roman"/>
          <w:color w:val="000000"/>
          <w:sz w:val="24"/>
          <w:szCs w:val="24"/>
          <w:vertAlign w:val="superscript"/>
          <w:lang w:val="en-US"/>
        </w:rPr>
        <w:t>[5]</w:t>
      </w:r>
      <w:r w:rsidR="00157BD4" w:rsidRPr="005C7810">
        <w:rPr>
          <w:rFonts w:ascii="Book Antiqua" w:hAnsi="Book Antiqua" w:cs="Times New Roman"/>
          <w:color w:val="000000"/>
          <w:sz w:val="24"/>
          <w:szCs w:val="24"/>
          <w:vertAlign w:val="superscript"/>
          <w:lang w:val="en-US"/>
        </w:rPr>
        <w:fldChar w:fldCharType="end"/>
      </w:r>
      <w:r w:rsidR="00157BD4"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In this process, genetic and epigenetic alterations occur such</w:t>
      </w:r>
      <w:r w:rsidR="00AF68B8" w:rsidRPr="005C7810">
        <w:rPr>
          <w:rFonts w:ascii="Book Antiqua" w:hAnsi="Book Antiqua" w:cs="Times New Roman"/>
          <w:sz w:val="24"/>
          <w:szCs w:val="24"/>
          <w:lang w:val="en-US"/>
        </w:rPr>
        <w:t xml:space="preserve"> as hypermethylation of DNA</w:t>
      </w:r>
      <w:r w:rsidRPr="005C7810">
        <w:rPr>
          <w:rFonts w:ascii="Book Antiqua" w:hAnsi="Book Antiqua" w:cs="Times New Roman"/>
          <w:sz w:val="24"/>
          <w:szCs w:val="24"/>
          <w:lang w:val="en-US"/>
        </w:rPr>
        <w:t xml:space="preserve"> </w:t>
      </w:r>
      <w:r w:rsidR="00AF68B8" w:rsidRPr="005C7810">
        <w:rPr>
          <w:rFonts w:ascii="Book Antiqua" w:hAnsi="Book Antiqua" w:cs="Times New Roman"/>
          <w:sz w:val="24"/>
          <w:szCs w:val="24"/>
          <w:lang w:val="en-US"/>
        </w:rPr>
        <w:t>or</w:t>
      </w:r>
      <w:r w:rsidRPr="005C7810">
        <w:rPr>
          <w:rFonts w:ascii="Book Antiqua" w:hAnsi="Book Antiqua" w:cs="Times New Roman"/>
          <w:sz w:val="24"/>
          <w:szCs w:val="24"/>
          <w:lang w:val="en-US"/>
        </w:rPr>
        <w:t xml:space="preserve"> mutations </w:t>
      </w:r>
      <w:r w:rsidR="00AF68B8" w:rsidRPr="005C7810">
        <w:rPr>
          <w:rFonts w:ascii="Book Antiqua" w:hAnsi="Book Antiqua" w:cs="Times New Roman"/>
          <w:sz w:val="24"/>
          <w:szCs w:val="24"/>
          <w:lang w:val="en-US"/>
        </w:rPr>
        <w:t>in</w:t>
      </w:r>
      <w:r w:rsidR="006653BC" w:rsidRPr="005C7810">
        <w:rPr>
          <w:rFonts w:ascii="Book Antiqua" w:hAnsi="Book Antiqua" w:cs="Times New Roman"/>
          <w:sz w:val="24"/>
          <w:szCs w:val="24"/>
          <w:lang w:val="en-US"/>
        </w:rPr>
        <w:t xml:space="preserve"> genes including</w:t>
      </w:r>
      <w:r w:rsidR="00AF68B8"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APC, WNT </w:t>
      </w:r>
      <w:r w:rsidR="000700E0" w:rsidRPr="005C7810">
        <w:rPr>
          <w:rFonts w:ascii="Book Antiqua" w:hAnsi="Book Antiqua" w:cs="Times New Roman"/>
          <w:sz w:val="24"/>
          <w:szCs w:val="24"/>
          <w:lang w:val="en-US"/>
        </w:rPr>
        <w:t>s</w:t>
      </w:r>
      <w:r w:rsidRPr="005C7810">
        <w:rPr>
          <w:rFonts w:ascii="Book Antiqua" w:hAnsi="Book Antiqua" w:cs="Times New Roman"/>
          <w:sz w:val="24"/>
          <w:szCs w:val="24"/>
          <w:lang w:val="en-US"/>
        </w:rPr>
        <w:t xml:space="preserve">ignaling </w:t>
      </w:r>
      <w:r w:rsidR="000700E0" w:rsidRPr="005C7810">
        <w:rPr>
          <w:rFonts w:ascii="Book Antiqua" w:hAnsi="Book Antiqua" w:cs="Times New Roman"/>
          <w:sz w:val="24"/>
          <w:szCs w:val="24"/>
          <w:lang w:val="en-US"/>
        </w:rPr>
        <w:t>p</w:t>
      </w:r>
      <w:r w:rsidRPr="005C7810">
        <w:rPr>
          <w:rFonts w:ascii="Book Antiqua" w:hAnsi="Book Antiqua" w:cs="Times New Roman"/>
          <w:sz w:val="24"/>
          <w:szCs w:val="24"/>
          <w:lang w:val="en-US"/>
        </w:rPr>
        <w:t xml:space="preserve">athway </w:t>
      </w:r>
      <w:r w:rsidR="000700E0" w:rsidRPr="005C7810">
        <w:rPr>
          <w:rFonts w:ascii="Book Antiqua" w:hAnsi="Book Antiqua" w:cs="Times New Roman"/>
          <w:sz w:val="24"/>
          <w:szCs w:val="24"/>
          <w:lang w:val="en-US"/>
        </w:rPr>
        <w:t>r</w:t>
      </w:r>
      <w:r w:rsidRPr="005C7810">
        <w:rPr>
          <w:rFonts w:ascii="Book Antiqua" w:hAnsi="Book Antiqua" w:cs="Times New Roman"/>
          <w:sz w:val="24"/>
          <w:szCs w:val="24"/>
          <w:lang w:val="en-US"/>
        </w:rPr>
        <w:t>egulator</w:t>
      </w:r>
      <w:r w:rsidR="006417E7" w:rsidRPr="005C7810">
        <w:rPr>
          <w:rFonts w:ascii="Book Antiqua" w:hAnsi="Book Antiqua" w:cs="Times New Roman"/>
          <w:sz w:val="24"/>
          <w:szCs w:val="24"/>
          <w:lang w:val="en-US"/>
        </w:rPr>
        <w:t xml:space="preserve"> (</w:t>
      </w:r>
      <w:r w:rsidR="006417E7" w:rsidRPr="005C7810">
        <w:rPr>
          <w:rFonts w:ascii="Book Antiqua" w:hAnsi="Book Antiqua" w:cs="Times New Roman"/>
          <w:iCs/>
          <w:sz w:val="24"/>
          <w:szCs w:val="24"/>
          <w:lang w:val="en-US"/>
        </w:rPr>
        <w:t>APC</w:t>
      </w:r>
      <w:r w:rsidRPr="005C7810">
        <w:rPr>
          <w:rFonts w:ascii="Book Antiqua" w:hAnsi="Book Antiqua" w:cs="Times New Roman"/>
          <w:sz w:val="24"/>
          <w:szCs w:val="24"/>
          <w:lang w:val="en-US"/>
        </w:rPr>
        <w:t xml:space="preserve">), </w:t>
      </w:r>
      <w:r w:rsidR="00725A95" w:rsidRPr="005C7810">
        <w:rPr>
          <w:rFonts w:ascii="Book Antiqua" w:hAnsi="Book Antiqua" w:cs="Times New Roman"/>
          <w:sz w:val="24"/>
          <w:szCs w:val="24"/>
          <w:lang w:val="en-US"/>
        </w:rPr>
        <w:t>t</w:t>
      </w:r>
      <w:r w:rsidRPr="005C7810">
        <w:rPr>
          <w:rFonts w:ascii="Book Antiqua" w:hAnsi="Book Antiqua" w:cs="Times New Roman"/>
          <w:sz w:val="24"/>
          <w:szCs w:val="24"/>
          <w:lang w:val="en-US"/>
        </w:rPr>
        <w:t xml:space="preserve">umor </w:t>
      </w:r>
      <w:r w:rsidR="00725A95" w:rsidRPr="005C7810">
        <w:rPr>
          <w:rFonts w:ascii="Book Antiqua" w:hAnsi="Book Antiqua" w:cs="Times New Roman"/>
          <w:sz w:val="24"/>
          <w:szCs w:val="24"/>
          <w:lang w:val="en-US"/>
        </w:rPr>
        <w:t>p</w:t>
      </w:r>
      <w:r w:rsidRPr="005C7810">
        <w:rPr>
          <w:rFonts w:ascii="Book Antiqua" w:hAnsi="Book Antiqua" w:cs="Times New Roman"/>
          <w:sz w:val="24"/>
          <w:szCs w:val="24"/>
          <w:lang w:val="en-US"/>
        </w:rPr>
        <w:t xml:space="preserve">rotein </w:t>
      </w:r>
      <w:r w:rsidR="00725A95" w:rsidRPr="005C7810">
        <w:rPr>
          <w:rFonts w:ascii="Book Antiqua" w:hAnsi="Book Antiqua" w:cs="Times New Roman"/>
          <w:sz w:val="24"/>
          <w:szCs w:val="24"/>
          <w:lang w:val="en-US"/>
        </w:rPr>
        <w:t>p</w:t>
      </w:r>
      <w:r w:rsidRPr="005C7810">
        <w:rPr>
          <w:rFonts w:ascii="Book Antiqua" w:hAnsi="Book Antiqua" w:cs="Times New Roman"/>
          <w:sz w:val="24"/>
          <w:szCs w:val="24"/>
          <w:lang w:val="en-US"/>
        </w:rPr>
        <w:t>53</w:t>
      </w:r>
      <w:r w:rsidR="00725A95" w:rsidRPr="005C7810">
        <w:rPr>
          <w:rFonts w:ascii="Book Antiqua" w:hAnsi="Book Antiqua" w:cs="Times New Roman"/>
          <w:sz w:val="24"/>
          <w:szCs w:val="24"/>
          <w:lang w:val="en-US"/>
        </w:rPr>
        <w:t xml:space="preserve"> (</w:t>
      </w:r>
      <w:r w:rsidR="00725A95" w:rsidRPr="005C7810">
        <w:rPr>
          <w:rFonts w:ascii="Book Antiqua" w:hAnsi="Book Antiqua" w:cs="Times New Roman"/>
          <w:i/>
          <w:sz w:val="24"/>
          <w:szCs w:val="24"/>
          <w:lang w:val="en-US"/>
        </w:rPr>
        <w:t>TP53</w:t>
      </w:r>
      <w:r w:rsidRPr="005C7810">
        <w:rPr>
          <w:rFonts w:ascii="Book Antiqua" w:hAnsi="Book Antiqua" w:cs="Times New Roman"/>
          <w:sz w:val="24"/>
          <w:szCs w:val="24"/>
          <w:lang w:val="en-US"/>
        </w:rPr>
        <w:t>)</w:t>
      </w:r>
      <w:r w:rsidR="00293A1D" w:rsidRPr="005C7810">
        <w:rPr>
          <w:rFonts w:ascii="Book Antiqua" w:hAnsi="Book Antiqua" w:cs="Times New Roman"/>
          <w:sz w:val="24"/>
          <w:szCs w:val="24"/>
          <w:lang w:val="en-US"/>
        </w:rPr>
        <w:t>,</w:t>
      </w:r>
      <w:r w:rsidRPr="005C7810">
        <w:rPr>
          <w:rFonts w:ascii="Book Antiqua" w:hAnsi="Book Antiqua" w:cs="Calibri"/>
          <w:sz w:val="24"/>
          <w:szCs w:val="24"/>
          <w:lang w:val="en-US"/>
        </w:rPr>
        <w:t xml:space="preserve"> </w:t>
      </w:r>
      <w:r w:rsidRPr="005C7810">
        <w:rPr>
          <w:rFonts w:ascii="Book Antiqua" w:hAnsi="Book Antiqua" w:cs="Times New Roman"/>
          <w:sz w:val="24"/>
          <w:szCs w:val="24"/>
          <w:lang w:val="en-US"/>
        </w:rPr>
        <w:t xml:space="preserve">and KRAS </w:t>
      </w:r>
      <w:r w:rsidR="000700E0" w:rsidRPr="005C7810">
        <w:rPr>
          <w:rFonts w:ascii="Book Antiqua" w:hAnsi="Book Antiqua" w:cs="Times New Roman"/>
          <w:sz w:val="24"/>
          <w:szCs w:val="24"/>
          <w:lang w:val="en-US"/>
        </w:rPr>
        <w:t>p</w:t>
      </w:r>
      <w:r w:rsidRPr="005C7810">
        <w:rPr>
          <w:rFonts w:ascii="Book Antiqua" w:hAnsi="Book Antiqua" w:cs="Times New Roman"/>
          <w:sz w:val="24"/>
          <w:szCs w:val="24"/>
          <w:lang w:val="en-US"/>
        </w:rPr>
        <w:t>roto-</w:t>
      </w:r>
      <w:r w:rsidR="000700E0" w:rsidRPr="005C7810">
        <w:rPr>
          <w:rFonts w:ascii="Book Antiqua" w:hAnsi="Book Antiqua" w:cs="Times New Roman"/>
          <w:sz w:val="24"/>
          <w:szCs w:val="24"/>
          <w:lang w:val="en-US"/>
        </w:rPr>
        <w:t>o</w:t>
      </w:r>
      <w:r w:rsidRPr="005C7810">
        <w:rPr>
          <w:rFonts w:ascii="Book Antiqua" w:hAnsi="Book Antiqua" w:cs="Times New Roman"/>
          <w:sz w:val="24"/>
          <w:szCs w:val="24"/>
          <w:lang w:val="en-US"/>
        </w:rPr>
        <w:t>ncogene, GTPase</w:t>
      </w:r>
      <w:r w:rsidR="000700E0" w:rsidRPr="005C7810">
        <w:rPr>
          <w:rFonts w:ascii="Book Antiqua" w:hAnsi="Book Antiqua" w:cs="Times New Roman"/>
          <w:sz w:val="24"/>
          <w:szCs w:val="24"/>
          <w:lang w:val="en-US"/>
        </w:rPr>
        <w:t xml:space="preserve"> (</w:t>
      </w:r>
      <w:r w:rsidR="000700E0" w:rsidRPr="005C7810">
        <w:rPr>
          <w:rFonts w:ascii="Book Antiqua" w:hAnsi="Book Antiqua" w:cs="Times New Roman"/>
          <w:i/>
          <w:sz w:val="24"/>
          <w:szCs w:val="24"/>
          <w:lang w:val="en-US"/>
        </w:rPr>
        <w:t>KRAS</w:t>
      </w:r>
      <w:r w:rsidRPr="005C7810">
        <w:rPr>
          <w:rFonts w:ascii="Book Antiqua" w:hAnsi="Book Antiqua" w:cs="Times New Roman"/>
          <w:sz w:val="24"/>
          <w:szCs w:val="24"/>
          <w:lang w:val="en-US"/>
        </w:rPr>
        <w:t>)</w:t>
      </w:r>
      <w:r w:rsidR="00E33C02"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{"citationItems":[{"id":"ITEM-1","itemData":{"DOI":"10.1016/j.gtc.2013.01.002","ISBN":"9781455770915","ISSN":"08898553","PMID":"23639637","abstract":"This review provides a state of the art description of gastric cancer etiology, the infectious agent, host factors, the precancerous cascade, clinical aspects, and prevention strategies. The biology of Helicobacter pylori, the primary causative agent, is discussed as well as the environmental factors that may modulate its effects. © 2013 Elsevier Inc.","author":[{"dropping-particle":"","family":"Correa","given":"Pelayo","non-dropping-particle":"","parse-names":false,"suffix":""}],"container-title":"Gastroenterology Clinics of North America","id":"ITEM-1","issue":"2","issued":{"date-parts":[["2013"]]},"page":"211-217","title":"Gastric Cancer. Overview.","type":"article-journal","volume":"42"},"uris":["http://www.mendeley.com/documents/?uuid=fd058729-255b-4b98-9483-8f40acfbc802","http://www.mendeley.com/documents/?uuid=b6d4c5b1-f6ea-4ce1-8e1b-e758079ac342"]}],"mendeley":{"formattedCitation":"&lt;sup&gt;[6]&lt;/sup&gt;","plainTextFormattedCitation":"[6]","previouslyFormattedCitation":"&lt;sup&gt;[6]&lt;/sup&gt;"},"properties":{"noteIndex":0},"schema":"https://github.com/citation-style-language/schema/raw/master/csl-citation.json"}</w:instrText>
      </w:r>
      <w:r w:rsidR="00E33C02"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[6]</w:t>
      </w:r>
      <w:r w:rsidR="00E33C02"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w:t>
      </w:r>
    </w:p>
    <w:p w:rsidR="00B8125B" w:rsidRPr="005C7810" w:rsidRDefault="00492A84"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ab/>
      </w:r>
      <w:r w:rsidR="00B8125B" w:rsidRPr="005C7810">
        <w:rPr>
          <w:rFonts w:ascii="Book Antiqua" w:hAnsi="Book Antiqua" w:cs="Times New Roman"/>
          <w:sz w:val="24"/>
          <w:szCs w:val="24"/>
          <w:lang w:val="en-US"/>
        </w:rPr>
        <w:t>Regarding treatment options, surgical resection with adjuvant or neoadjuvant radiotherapy and chemotherapy with cisplatin, 5-fluorouracil (5-FU), taxane</w:t>
      </w:r>
      <w:r w:rsidR="0031460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or irinotecan </w:t>
      </w:r>
      <w:r w:rsidR="0031460A" w:rsidRPr="005C7810">
        <w:rPr>
          <w:rFonts w:ascii="Book Antiqua" w:hAnsi="Book Antiqua" w:cs="Times New Roman"/>
          <w:sz w:val="24"/>
          <w:szCs w:val="24"/>
          <w:lang w:val="en-US"/>
        </w:rPr>
        <w:t>are</w:t>
      </w:r>
      <w:r w:rsidR="00B8125B" w:rsidRPr="005C7810">
        <w:rPr>
          <w:rFonts w:ascii="Book Antiqua" w:hAnsi="Book Antiqua" w:cs="Times New Roman"/>
          <w:sz w:val="24"/>
          <w:szCs w:val="24"/>
          <w:lang w:val="en-US"/>
        </w:rPr>
        <w:t xml:space="preserve"> the most effective treatment</w:t>
      </w:r>
      <w:r w:rsidR="0031460A" w:rsidRPr="005C7810">
        <w:rPr>
          <w:rFonts w:ascii="Book Antiqua" w:hAnsi="Book Antiqua" w:cs="Times New Roman"/>
          <w:sz w:val="24"/>
          <w:szCs w:val="24"/>
          <w:lang w:val="en-US"/>
        </w:rPr>
        <w:t>s</w:t>
      </w:r>
      <w:r w:rsidR="00B8125B" w:rsidRPr="005C7810">
        <w:rPr>
          <w:rFonts w:ascii="Book Antiqua" w:hAnsi="Book Antiqua" w:cs="Times New Roman"/>
          <w:sz w:val="24"/>
          <w:szCs w:val="24"/>
          <w:lang w:val="en-US"/>
        </w:rPr>
        <w:t xml:space="preserve"> for GC. However, despite the increasing knowledge and progress in drug development, th</w:t>
      </w:r>
      <w:r w:rsidR="00A06308" w:rsidRPr="005C7810">
        <w:rPr>
          <w:rFonts w:ascii="Book Antiqua" w:hAnsi="Book Antiqua" w:cs="Times New Roman"/>
          <w:sz w:val="24"/>
          <w:szCs w:val="24"/>
          <w:lang w:val="en-US"/>
        </w:rPr>
        <w:t>is disease has a very poor prognosis</w:t>
      </w:r>
      <w:r w:rsidR="00B8125B" w:rsidRPr="005C7810">
        <w:rPr>
          <w:rFonts w:ascii="Book Antiqua" w:hAnsi="Book Antiqua" w:cs="Times New Roman"/>
          <w:sz w:val="24"/>
          <w:szCs w:val="24"/>
          <w:lang w:val="en-US"/>
        </w:rPr>
        <w:t xml:space="preserve"> due to late diagnosis and extreme intra</w:t>
      </w:r>
      <w:r w:rsidR="00A06308"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inter-tumor heterogeneity. The heterogeneity makes the choice of therapy difficult</w:t>
      </w:r>
      <w:r w:rsidR="00974280"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emphasiz</w:t>
      </w:r>
      <w:r w:rsidR="00974280" w:rsidRPr="005C7810">
        <w:rPr>
          <w:rFonts w:ascii="Book Antiqua" w:hAnsi="Book Antiqua" w:cs="Times New Roman"/>
          <w:sz w:val="24"/>
          <w:szCs w:val="24"/>
          <w:lang w:val="en-US"/>
        </w:rPr>
        <w:t>ing</w:t>
      </w:r>
      <w:r w:rsidR="00B8125B" w:rsidRPr="005C7810">
        <w:rPr>
          <w:rFonts w:ascii="Book Antiqua" w:hAnsi="Book Antiqua" w:cs="Times New Roman"/>
          <w:sz w:val="24"/>
          <w:szCs w:val="24"/>
          <w:lang w:val="en-US"/>
        </w:rPr>
        <w:t xml:space="preserve"> the need for</w:t>
      </w:r>
      <w:r w:rsidR="0068020A" w:rsidRPr="005C7810">
        <w:rPr>
          <w:rFonts w:ascii="Book Antiqua" w:hAnsi="Book Antiqua" w:cs="Times New Roman"/>
          <w:sz w:val="24"/>
          <w:szCs w:val="24"/>
          <w:lang w:val="en-US"/>
        </w:rPr>
        <w:t xml:space="preserve"> both</w:t>
      </w:r>
      <w:r w:rsidR="00B8125B" w:rsidRPr="005C7810">
        <w:rPr>
          <w:rFonts w:ascii="Book Antiqua" w:hAnsi="Book Antiqua" w:cs="Times New Roman"/>
          <w:sz w:val="24"/>
          <w:szCs w:val="24"/>
          <w:lang w:val="en-US"/>
        </w:rPr>
        <w:t xml:space="preserve"> new indicators for patient </w:t>
      </w:r>
      <w:r w:rsidR="00D51ACD" w:rsidRPr="005C7810">
        <w:rPr>
          <w:rFonts w:ascii="Book Antiqua" w:hAnsi="Book Antiqua" w:cs="Times New Roman"/>
          <w:sz w:val="24"/>
          <w:szCs w:val="24"/>
          <w:lang w:val="en-US"/>
        </w:rPr>
        <w:t xml:space="preserve">classification </w:t>
      </w:r>
      <w:r w:rsidR="00D174A3" w:rsidRPr="005C7810">
        <w:rPr>
          <w:rFonts w:ascii="Book Antiqua" w:hAnsi="Book Antiqua" w:cs="Times New Roman"/>
          <w:sz w:val="24"/>
          <w:szCs w:val="24"/>
          <w:lang w:val="en-US"/>
        </w:rPr>
        <w:t>and</w:t>
      </w:r>
      <w:r w:rsidR="00B8125B" w:rsidRPr="005C7810">
        <w:rPr>
          <w:rFonts w:ascii="Book Antiqua" w:hAnsi="Book Antiqua" w:cs="Times New Roman"/>
          <w:sz w:val="24"/>
          <w:szCs w:val="24"/>
          <w:lang w:val="en-US"/>
        </w:rPr>
        <w:t xml:space="preserve"> n</w:t>
      </w:r>
      <w:r w:rsidR="00974280" w:rsidRPr="005C7810">
        <w:rPr>
          <w:rFonts w:ascii="Book Antiqua" w:hAnsi="Book Antiqua" w:cs="Times New Roman"/>
          <w:sz w:val="24"/>
          <w:szCs w:val="24"/>
          <w:lang w:val="en-US"/>
        </w:rPr>
        <w:t>ovel</w:t>
      </w:r>
      <w:r w:rsidR="00B8125B" w:rsidRPr="005C7810">
        <w:rPr>
          <w:rFonts w:ascii="Book Antiqua" w:hAnsi="Book Antiqua" w:cs="Times New Roman"/>
          <w:sz w:val="24"/>
          <w:szCs w:val="24"/>
          <w:lang w:val="en-US"/>
        </w:rPr>
        <w:t xml:space="preserve"> therapies capable of addressing genetic, molecular</w:t>
      </w:r>
      <w:r w:rsidR="00974280"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cellular heterogeneity within tumors.</w:t>
      </w:r>
      <w:r w:rsidR="00725A95"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This review highlight</w:t>
      </w:r>
      <w:r w:rsidR="00A06308" w:rsidRPr="005C7810">
        <w:rPr>
          <w:rFonts w:ascii="Book Antiqua" w:hAnsi="Book Antiqua" w:cs="Times New Roman"/>
          <w:sz w:val="24"/>
          <w:szCs w:val="24"/>
          <w:lang w:val="en-US"/>
        </w:rPr>
        <w:t>s</w:t>
      </w:r>
      <w:r w:rsidR="00B8125B" w:rsidRPr="005C7810">
        <w:rPr>
          <w:rFonts w:ascii="Book Antiqua" w:hAnsi="Book Antiqua" w:cs="Times New Roman"/>
          <w:sz w:val="24"/>
          <w:szCs w:val="24"/>
          <w:lang w:val="en-US"/>
        </w:rPr>
        <w:t xml:space="preserve"> the progress achieved in the </w:t>
      </w:r>
      <w:r w:rsidR="004B4495" w:rsidRPr="005C7810">
        <w:rPr>
          <w:rFonts w:ascii="Book Antiqua" w:hAnsi="Book Antiqua" w:cs="Times New Roman"/>
          <w:sz w:val="24"/>
          <w:szCs w:val="24"/>
          <w:lang w:val="en-US"/>
        </w:rPr>
        <w:t xml:space="preserve">molecular </w:t>
      </w:r>
      <w:r w:rsidR="00B8125B" w:rsidRPr="005C7810">
        <w:rPr>
          <w:rFonts w:ascii="Book Antiqua" w:hAnsi="Book Antiqua" w:cs="Times New Roman"/>
          <w:sz w:val="24"/>
          <w:szCs w:val="24"/>
          <w:lang w:val="en-US"/>
        </w:rPr>
        <w:t xml:space="preserve">characterization of GC and how </w:t>
      </w:r>
      <w:r w:rsidR="004676A4" w:rsidRPr="005C7810">
        <w:rPr>
          <w:rFonts w:ascii="Book Antiqua" w:hAnsi="Book Antiqua" w:cs="Times New Roman"/>
          <w:sz w:val="24"/>
          <w:szCs w:val="24"/>
          <w:lang w:val="en-US"/>
        </w:rPr>
        <w:t xml:space="preserve">it </w:t>
      </w:r>
      <w:r w:rsidR="00A06308" w:rsidRPr="005C7810">
        <w:rPr>
          <w:rFonts w:ascii="Book Antiqua" w:hAnsi="Book Antiqua" w:cs="Times New Roman"/>
          <w:sz w:val="24"/>
          <w:szCs w:val="24"/>
          <w:lang w:val="en-US"/>
        </w:rPr>
        <w:t>has impacted</w:t>
      </w:r>
      <w:r w:rsidR="00B8125B" w:rsidRPr="005C7810">
        <w:rPr>
          <w:rFonts w:ascii="Book Antiqua" w:hAnsi="Book Antiqua" w:cs="Times New Roman"/>
          <w:sz w:val="24"/>
          <w:szCs w:val="24"/>
          <w:lang w:val="en-US"/>
        </w:rPr>
        <w:t xml:space="preserve"> diagnosis, prognosis</w:t>
      </w:r>
      <w:r w:rsidR="001A137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therapy</w:t>
      </w:r>
      <w:r w:rsidR="003C4CDE" w:rsidRPr="005C7810">
        <w:rPr>
          <w:rFonts w:ascii="Book Antiqua" w:hAnsi="Book Antiqua" w:cs="Times New Roman"/>
          <w:sz w:val="24"/>
          <w:szCs w:val="24"/>
          <w:lang w:val="en-US"/>
        </w:rPr>
        <w:t xml:space="preserve"> in clinical practice</w:t>
      </w:r>
      <w:r w:rsidR="00B8125B" w:rsidRPr="005C7810">
        <w:rPr>
          <w:rFonts w:ascii="Book Antiqua" w:hAnsi="Book Antiqua" w:cs="Times New Roman"/>
          <w:sz w:val="24"/>
          <w:szCs w:val="24"/>
          <w:lang w:val="en-US"/>
        </w:rPr>
        <w:t>.</w:t>
      </w:r>
    </w:p>
    <w:p w:rsidR="00B8125B" w:rsidRPr="005C7810" w:rsidRDefault="00B8125B" w:rsidP="00CD380F">
      <w:pPr>
        <w:shd w:val="clear" w:color="auto" w:fill="FFFFFF"/>
        <w:snapToGrid w:val="0"/>
        <w:spacing w:after="0" w:line="360" w:lineRule="auto"/>
        <w:jc w:val="both"/>
        <w:rPr>
          <w:rFonts w:ascii="Book Antiqua" w:hAnsi="Book Antiqua" w:cs="Times New Roman"/>
          <w:sz w:val="24"/>
          <w:szCs w:val="24"/>
          <w:lang w:val="en-US"/>
        </w:rPr>
      </w:pPr>
    </w:p>
    <w:p w:rsidR="00B8125B" w:rsidRPr="005C7810" w:rsidRDefault="00B8125B"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EPIDEMIOLOGY OF GC</w:t>
      </w:r>
    </w:p>
    <w:p w:rsidR="00B8125B" w:rsidRPr="005C7810" w:rsidRDefault="00B8125B" w:rsidP="00CD380F">
      <w:pPr>
        <w:shd w:val="clear" w:color="auto" w:fill="FFFFFF"/>
        <w:snapToGrid w:val="0"/>
        <w:spacing w:after="0" w:line="360" w:lineRule="auto"/>
        <w:jc w:val="both"/>
        <w:rPr>
          <w:rFonts w:ascii="Book Antiqua" w:hAnsi="Book Antiqua" w:cs="Times New Roman"/>
          <w:color w:val="000000"/>
          <w:sz w:val="24"/>
          <w:szCs w:val="24"/>
          <w:lang w:val="en-US"/>
        </w:rPr>
      </w:pPr>
      <w:r w:rsidRPr="005C7810">
        <w:rPr>
          <w:rFonts w:ascii="Book Antiqua" w:hAnsi="Book Antiqua" w:cs="Times New Roman"/>
          <w:sz w:val="24"/>
          <w:szCs w:val="24"/>
          <w:lang w:val="en-US"/>
        </w:rPr>
        <w:t>GC is the f</w:t>
      </w:r>
      <w:r w:rsidR="00A557A8" w:rsidRPr="005C7810">
        <w:rPr>
          <w:rFonts w:ascii="Book Antiqua" w:hAnsi="Book Antiqua" w:cs="Times New Roman"/>
          <w:sz w:val="24"/>
          <w:szCs w:val="24"/>
          <w:lang w:val="en-US"/>
        </w:rPr>
        <w:t>if</w:t>
      </w:r>
      <w:r w:rsidRPr="005C7810">
        <w:rPr>
          <w:rFonts w:ascii="Book Antiqua" w:hAnsi="Book Antiqua" w:cs="Times New Roman"/>
          <w:sz w:val="24"/>
          <w:szCs w:val="24"/>
          <w:lang w:val="en-US"/>
        </w:rPr>
        <w:t>th most malignant tumor in world</w:t>
      </w:r>
      <w:r w:rsidR="0068020A" w:rsidRPr="005C7810">
        <w:rPr>
          <w:rFonts w:ascii="Book Antiqua" w:hAnsi="Book Antiqua" w:cs="Times New Roman"/>
          <w:sz w:val="24"/>
          <w:szCs w:val="24"/>
          <w:lang w:val="en-US"/>
        </w:rPr>
        <w:t>wide</w:t>
      </w:r>
      <w:r w:rsidRPr="005C7810">
        <w:rPr>
          <w:rFonts w:ascii="Book Antiqua" w:hAnsi="Book Antiqua" w:cs="Times New Roman"/>
          <w:sz w:val="24"/>
          <w:szCs w:val="24"/>
          <w:lang w:val="en-US"/>
        </w:rPr>
        <w:t xml:space="preserve"> and the </w:t>
      </w:r>
      <w:r w:rsidR="00A557A8" w:rsidRPr="005C7810">
        <w:rPr>
          <w:rFonts w:ascii="Book Antiqua" w:hAnsi="Book Antiqua" w:cs="Times New Roman"/>
          <w:sz w:val="24"/>
          <w:szCs w:val="24"/>
          <w:lang w:val="en-US"/>
        </w:rPr>
        <w:t>thir</w:t>
      </w:r>
      <w:r w:rsidRPr="005C7810">
        <w:rPr>
          <w:rFonts w:ascii="Book Antiqua" w:hAnsi="Book Antiqua" w:cs="Times New Roman"/>
          <w:sz w:val="24"/>
          <w:szCs w:val="24"/>
          <w:lang w:val="en-US"/>
        </w:rPr>
        <w:t>d leading cause of</w:t>
      </w:r>
      <w:r w:rsidR="00A06308" w:rsidRPr="005C7810">
        <w:rPr>
          <w:rFonts w:ascii="Book Antiqua" w:hAnsi="Book Antiqua" w:cs="Times New Roman"/>
          <w:sz w:val="24"/>
          <w:szCs w:val="24"/>
          <w:lang w:val="en-US"/>
        </w:rPr>
        <w:t xml:space="preserve"> cancer-related</w:t>
      </w:r>
      <w:r w:rsidRPr="005C7810">
        <w:rPr>
          <w:rFonts w:ascii="Book Antiqua" w:hAnsi="Book Antiqua" w:cs="Times New Roman"/>
          <w:sz w:val="24"/>
          <w:szCs w:val="24"/>
          <w:lang w:val="en-US"/>
        </w:rPr>
        <w:t xml:space="preserve"> death</w:t>
      </w:r>
      <w:r w:rsidR="00A06308" w:rsidRPr="005C7810">
        <w:rPr>
          <w:rFonts w:ascii="Book Antiqua" w:hAnsi="Book Antiqua" w:cs="Times New Roman"/>
          <w:sz w:val="24"/>
          <w:szCs w:val="24"/>
          <w:lang w:val="en-US"/>
        </w:rPr>
        <w:t>s</w:t>
      </w:r>
      <w:r w:rsidR="00DE3739"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{"citationItems":[{"id":"ITEM-1","itemData":{"DOI":"10.3322/caac.21492","ISSN":"1542-4863","PMID":"30207593","abstract":"This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clinicians","id":"ITEM-1","issue":"6","issued":{"date-parts":[["2018"]]},"page":"394-424","title":"Global cancer statistics 2018: GLOBOCAN estimates of incidence and mortality worldwide for 36 cancers in 185 countries.","type":"article-journal","volume":"68"},"uris":["http://www.mendeley.com/documents/?uuid=8a26a8f7-3ea4-4d6b-9d2d-c702cc301066"]}],"mendeley":{"formattedCitation":"&lt;sup&gt;[7]&lt;/sup&gt;","plainTextFormattedCitation":"[7]","previouslyFormattedCitation":"&lt;sup&gt;[7]&lt;/sup&gt;"},"properties":{"noteIndex":0},"schema":"https://github.com/citation-style-language/schema/raw/master/csl-citation.json"}</w:instrText>
      </w:r>
      <w:r w:rsidR="00DE3739"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[7]</w:t>
      </w:r>
      <w:r w:rsidR="00DE3739" w:rsidRPr="005C7810">
        <w:rPr>
          <w:rFonts w:ascii="Book Antiqua" w:hAnsi="Book Antiqua" w:cs="Times New Roman"/>
          <w:sz w:val="24"/>
          <w:szCs w:val="24"/>
          <w:lang w:val="en-US"/>
        </w:rPr>
        <w:fldChar w:fldCharType="end"/>
      </w:r>
      <w:r w:rsidRPr="005C7810">
        <w:rPr>
          <w:rFonts w:ascii="Book Antiqua" w:eastAsia="Times New Roman" w:hAnsi="Book Antiqua" w:cs="Times New Roman"/>
          <w:sz w:val="24"/>
          <w:szCs w:val="24"/>
          <w:lang w:val="en-US"/>
        </w:rPr>
        <w:t xml:space="preserve">. </w:t>
      </w:r>
      <w:r w:rsidRPr="005C7810">
        <w:rPr>
          <w:rFonts w:ascii="Book Antiqua" w:hAnsi="Book Antiqua" w:cs="Times New Roman"/>
          <w:sz w:val="24"/>
          <w:szCs w:val="24"/>
          <w:lang w:val="en-US"/>
        </w:rPr>
        <w:t>Unfortunately, the disease becomes symptomatic in the advanced stage</w:t>
      </w:r>
      <w:r w:rsidR="00A461CD"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w:t>
      </w:r>
      <w:r w:rsidR="00A461CD" w:rsidRPr="005C7810">
        <w:rPr>
          <w:rFonts w:ascii="Book Antiqua" w:hAnsi="Book Antiqua" w:cs="Times New Roman"/>
          <w:sz w:val="24"/>
          <w:szCs w:val="24"/>
          <w:lang w:val="en-US"/>
        </w:rPr>
        <w:t>t</w:t>
      </w:r>
      <w:r w:rsidRPr="005C7810">
        <w:rPr>
          <w:rFonts w:ascii="Book Antiqua" w:hAnsi="Book Antiqua" w:cs="Times New Roman"/>
          <w:sz w:val="24"/>
          <w:szCs w:val="24"/>
          <w:lang w:val="en-US"/>
        </w:rPr>
        <w:t>h</w:t>
      </w:r>
      <w:r w:rsidR="00CA7AF5" w:rsidRPr="005C7810">
        <w:rPr>
          <w:rFonts w:ascii="Book Antiqua" w:hAnsi="Book Antiqua" w:cs="Times New Roman"/>
          <w:sz w:val="24"/>
          <w:szCs w:val="24"/>
          <w:lang w:val="en-US"/>
        </w:rPr>
        <w:t>us, the</w:t>
      </w:r>
      <w:r w:rsidRPr="005C7810">
        <w:rPr>
          <w:rFonts w:ascii="Book Antiqua" w:hAnsi="Book Antiqua" w:cs="Times New Roman"/>
          <w:sz w:val="24"/>
          <w:szCs w:val="24"/>
          <w:lang w:val="en-US"/>
        </w:rPr>
        <w:t xml:space="preserve"> </w:t>
      </w:r>
      <w:r w:rsidR="00A06308" w:rsidRPr="005C7810">
        <w:rPr>
          <w:rFonts w:ascii="Book Antiqua" w:hAnsi="Book Antiqua" w:cs="Times New Roman"/>
          <w:sz w:val="24"/>
          <w:szCs w:val="24"/>
          <w:lang w:val="en-US"/>
        </w:rPr>
        <w:t>5</w:t>
      </w:r>
      <w:r w:rsidRPr="005C7810">
        <w:rPr>
          <w:rFonts w:ascii="Book Antiqua" w:hAnsi="Book Antiqua" w:cs="Times New Roman"/>
          <w:sz w:val="24"/>
          <w:szCs w:val="24"/>
          <w:lang w:val="en-US"/>
        </w:rPr>
        <w:t>-year survival rate is</w:t>
      </w:r>
      <w:r w:rsidR="00CA7AF5" w:rsidRPr="005C7810">
        <w:rPr>
          <w:rFonts w:ascii="Book Antiqua" w:hAnsi="Book Antiqua" w:cs="Times New Roman"/>
          <w:sz w:val="24"/>
          <w:szCs w:val="24"/>
          <w:lang w:val="en-US"/>
        </w:rPr>
        <w:t xml:space="preserve"> only</w:t>
      </w:r>
      <w:r w:rsidRPr="005C7810">
        <w:rPr>
          <w:rFonts w:ascii="Book Antiqua" w:hAnsi="Book Antiqua" w:cs="Times New Roman"/>
          <w:sz w:val="24"/>
          <w:szCs w:val="24"/>
          <w:lang w:val="en-US"/>
        </w:rPr>
        <w:t xml:space="preserve"> high (90%) in Japan where diagnosis and early tumor resection </w:t>
      </w:r>
      <w:r w:rsidR="00852EB4" w:rsidRPr="005C7810">
        <w:rPr>
          <w:rFonts w:ascii="Book Antiqua" w:hAnsi="Book Antiqua" w:cs="Times New Roman"/>
          <w:sz w:val="24"/>
          <w:szCs w:val="24"/>
          <w:lang w:val="en-US"/>
        </w:rPr>
        <w:t>are</w:t>
      </w:r>
      <w:r w:rsidRPr="005C7810">
        <w:rPr>
          <w:rFonts w:ascii="Book Antiqua" w:hAnsi="Book Antiqua" w:cs="Times New Roman"/>
          <w:sz w:val="24"/>
          <w:szCs w:val="24"/>
          <w:lang w:val="en-US"/>
        </w:rPr>
        <w:t xml:space="preserve"> </w:t>
      </w:r>
      <w:r w:rsidR="0053528E" w:rsidRPr="005C7810">
        <w:rPr>
          <w:rFonts w:ascii="Book Antiqua" w:hAnsi="Book Antiqua" w:cs="Times New Roman"/>
          <w:sz w:val="24"/>
          <w:szCs w:val="24"/>
          <w:lang w:val="en-US"/>
        </w:rPr>
        <w:t>done</w:t>
      </w:r>
      <w:r w:rsidR="00DE3739"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{"citationItems":[{"id":"ITEM-1","itemData":{"DOI":"10.2183/pjab.90.251","ISSN":"0386-2208","abstract":"In Japan, efforts have been directed toward improving the detection of early gastric cancer by double contrast radiography and endoscopy, since early cancer has a good prognosis, resulting in Japan having the world's best diagnostic system for early gastric cancer. The 5-year survival rate of gastric cancer patients in Japan is much higher than in Western countries by the development of endoscopic treatment for early gastric cancer. In February 2013, Japanese national health insurance cover for H. pylori eradication therapy was expanded to patients with H. pylori-associated gastritis, a type of chronic gastritis. H. pylori-associated gastritis causes gastric and duodenal ulcers and gastric polyps, therefore, providing treatment for this gastritis is likely to substantially decrease the prevalence of both gastric and duodenal ulcer and gastric cancer. Patients with gastritis are tested for H. pylori infection and those who are positive receive eradication therapy followed by periodic endoscopic surveillance. If such an approach is pursued further in Japan, gastric cancer deaths will show a dramatic decline after 10-20 years.","author":[{"dropping-particle":"","family":"ASAKA","given":"Masahiro","non-dropping-particle":"","parse-names":false,"suffix":""},{"dropping-particle":"","family":"MABE","given":"Katsuhiro","non-dropping-particle":"","parse-names":false,"suffix":""}],"container-title":"Proceedings of the Japan Academy, Series B","id":"ITEM-1","issue":"7","issued":{"date-parts":[["2014"]]},"page":"251-258","title":"Strategies for eliminating death from gastric cancer in Japan","type":"article-journal","volume":"90"},"uris":["http://www.mendeley.com/documents/?uuid=d8eb9c98-5bea-434b-9c3e-6455738033dc","http://www.mendeley.com/documents/?uuid=979550a8-b6e7-4bb5-88cd-de7c7bc713cf"]}],"mendeley":{"formattedCitation":"&lt;sup&gt;[8]&lt;/sup&gt;","plainTextFormattedCitation":"[8]","previouslyFormattedCitation":"&lt;sup&gt;[8]&lt;/sup&gt;"},"properties":{"noteIndex":0},"schema":"https://github.com/citation-style-language/schema/raw/master/csl-citation.json"}</w:instrText>
      </w:r>
      <w:r w:rsidR="00DE3739"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[8]</w:t>
      </w:r>
      <w:r w:rsidR="00DE3739"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w:t>
      </w:r>
      <w:r w:rsidRPr="005C7810">
        <w:rPr>
          <w:rStyle w:val="element-citation"/>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In European countries, however, the survival rate </w:t>
      </w:r>
      <w:r w:rsidR="002412FE" w:rsidRPr="005C7810">
        <w:rPr>
          <w:rFonts w:ascii="Book Antiqua" w:hAnsi="Book Antiqua" w:cs="Times New Roman"/>
          <w:sz w:val="24"/>
          <w:szCs w:val="24"/>
          <w:lang w:val="en-US"/>
        </w:rPr>
        <w:t xml:space="preserve">is low, </w:t>
      </w:r>
      <w:r w:rsidRPr="005C7810">
        <w:rPr>
          <w:rFonts w:ascii="Book Antiqua" w:hAnsi="Book Antiqua" w:cs="Times New Roman"/>
          <w:sz w:val="24"/>
          <w:szCs w:val="24"/>
          <w:lang w:val="en-US"/>
        </w:rPr>
        <w:t>var</w:t>
      </w:r>
      <w:r w:rsidR="002412FE" w:rsidRPr="005C7810">
        <w:rPr>
          <w:rFonts w:ascii="Book Antiqua" w:hAnsi="Book Antiqua" w:cs="Times New Roman"/>
          <w:sz w:val="24"/>
          <w:szCs w:val="24"/>
          <w:lang w:val="en-US"/>
        </w:rPr>
        <w:t>ying</w:t>
      </w:r>
      <w:r w:rsidRPr="005C7810">
        <w:rPr>
          <w:rFonts w:ascii="Book Antiqua" w:hAnsi="Book Antiqua" w:cs="Times New Roman"/>
          <w:sz w:val="24"/>
          <w:szCs w:val="24"/>
          <w:lang w:val="en-US"/>
        </w:rPr>
        <w:t xml:space="preserve"> between 10% and 30%</w:t>
      </w:r>
      <w:r w:rsidR="00DE3739"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{"citationItems":[{"id":"ITEM-1","itemData":{"author":[{"dropping-particle":"","family":"Max Parkin, Freddie Bray","given":"J. Ferlay; Paola Pisani","non-dropping-particle":"","parse-names":false,"suffix":""}],"container-title":"CA Cancer J Clin","id":"ITEM-1","issued":{"date-parts":[["2005"]]},"page":"74-108","title":"Global cancer statistics","type":"article-journal","volume":"55"},"uris":["http://www.mendeley.com/documents/?uuid=5bd34723-8e4e-4fbe-abc1-7f61a7dcf7f2","http://www.mendeley.com/documents/?uuid=b6a4d792-d299-4893-8ab6-14d88615c066"]}],"mendeley":{"formattedCitation":"&lt;sup&gt;[9]&lt;/sup&gt;","plainTextFormattedCitation":"[9]","previouslyFormattedCitation":"&lt;sup&gt;[9]&lt;/sup&gt;"},"properties":{"noteIndex":0},"schema":"https://github.com/citation-style-language/schema/raw/master/csl-citation.json"}</w:instrText>
      </w:r>
      <w:r w:rsidR="00DE3739"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[9]</w:t>
      </w:r>
      <w:r w:rsidR="00DE3739"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The incidence of GC </w:t>
      </w:r>
      <w:r w:rsidR="00DD3CB1" w:rsidRPr="005C7810">
        <w:rPr>
          <w:rFonts w:ascii="Book Antiqua" w:hAnsi="Book Antiqua" w:cs="Times New Roman"/>
          <w:sz w:val="24"/>
          <w:szCs w:val="24"/>
          <w:lang w:val="en-US"/>
        </w:rPr>
        <w:t xml:space="preserve">has </w:t>
      </w:r>
      <w:r w:rsidRPr="005C7810">
        <w:rPr>
          <w:rFonts w:ascii="Book Antiqua" w:hAnsi="Book Antiqua" w:cs="Times New Roman"/>
          <w:sz w:val="24"/>
          <w:szCs w:val="24"/>
          <w:lang w:val="en-US"/>
        </w:rPr>
        <w:t>geographical variation</w:t>
      </w:r>
      <w:r w:rsidR="00DD3CB1" w:rsidRPr="005C7810">
        <w:rPr>
          <w:rFonts w:ascii="Book Antiqua" w:hAnsi="Book Antiqua" w:cs="Times New Roman"/>
          <w:sz w:val="24"/>
          <w:szCs w:val="24"/>
          <w:lang w:val="en-US"/>
        </w:rPr>
        <w:t>, with</w:t>
      </w:r>
      <w:r w:rsidRPr="005C7810">
        <w:rPr>
          <w:rFonts w:ascii="Book Antiqua" w:hAnsi="Book Antiqua" w:cs="Times New Roman"/>
          <w:sz w:val="24"/>
          <w:szCs w:val="24"/>
          <w:lang w:val="en-US"/>
        </w:rPr>
        <w:t xml:space="preserve"> more than 50% of new cases </w:t>
      </w:r>
      <w:r w:rsidR="00DD3CB1" w:rsidRPr="005C7810">
        <w:rPr>
          <w:rFonts w:ascii="Book Antiqua" w:hAnsi="Book Antiqua" w:cs="Times New Roman"/>
          <w:sz w:val="24"/>
          <w:szCs w:val="24"/>
          <w:lang w:val="en-US"/>
        </w:rPr>
        <w:t>occurring</w:t>
      </w:r>
      <w:r w:rsidRPr="005C7810">
        <w:rPr>
          <w:rFonts w:ascii="Book Antiqua" w:hAnsi="Book Antiqua" w:cs="Times New Roman"/>
          <w:sz w:val="24"/>
          <w:szCs w:val="24"/>
          <w:lang w:val="en-US"/>
        </w:rPr>
        <w:t xml:space="preserve"> in developing </w:t>
      </w:r>
      <w:r w:rsidRPr="005C7810">
        <w:rPr>
          <w:rFonts w:ascii="Book Antiqua" w:hAnsi="Book Antiqua" w:cs="Times New Roman"/>
          <w:sz w:val="24"/>
          <w:szCs w:val="24"/>
          <w:lang w:val="en-US"/>
        </w:rPr>
        <w:lastRenderedPageBreak/>
        <w:t>countries. The areas most at risk are represented by China and Japan, Eastern Europe, Central</w:t>
      </w:r>
      <w:r w:rsidR="00984EE6"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South America, while the areas with lowest risk are South Asia, North America, New Zealand, Australia</w:t>
      </w:r>
      <w:r w:rsidR="00A06308"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North and East Africa</w:t>
      </w:r>
      <w:r w:rsidR="00A13468"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{"citationItems":[{"id":"ITEM-1","itemData":{"DOI":"10.1158/1055-9965.EPI-13-1057","ISSN":"10559965","abstract":"Less than a century ago, gastric cancer (GC) was the most common cancer in the United States and perhaps throughout the world. Despite its worldwide decline in incidence over the past century, GC remains a major killer across the globe. This article reviews the epidemiology, screening, and prevention of gastric cancer. We first discuss the descriptive epidemiology of GC, including its incidence, survival, and mortality, including trends over time. Next, we characterize the risk factors for gastric cancer, both environmental and genetic. Serological markers and histological precursor lesions of GC and early detection of GC of using these markers is reviewed. Finally, we discuss prevention strategies and provide suggestions for further research.","author":[{"dropping-particle":"","family":"Karimi","given":"Parisa","non-dropping-particle":"","parse-names":false,"suffix":""},{"dropping-particle":"","family":"Islami","given":"Farhad","non-dropping-particle":"","parse-names":false,"suffix":""},{"dropping-particle":"","family":"Anandasabapathy","given":"Sharmila","non-dropping-particle":"","parse-names":false,"suffix":""},{"dropping-particle":"","family":"Freedman","given":"Neal D.","non-dropping-particle":"","parse-names":false,"suffix":""},{"dropping-particle":"","family":"Kamangar","given":"Farin","non-dropping-particle":"","parse-names":false,"suffix":""}],"container-title":"Cancer Epidemiology Biomarkers and Prevention","id":"ITEM-1","issue":"5","issued":{"date-parts":[["2014"]]},"page":"700-713","title":"Gastric cancer: Descriptive epidemiology, risk factors, screening, and prevention","type":"article-journal","volume":"23"},"uris":["http://www.mendeley.com/documents/?uuid=93e22513-7de4-4eee-8cda-b73ad6a103aa","http://www.mendeley.com/documents/?uuid=c555fa6e-425b-4069-a8d1-b7d5b363076c"]}],"mendeley":{"formattedCitation":"&lt;sup&gt;[10]&lt;/sup&gt;","plainTextFormattedCitation":"[10]","previouslyFormattedCitation":"&lt;sup&gt;[10]&lt;/sup&gt;"},"properties":{"noteIndex":0},"schema":"https://github.com/citation-style-language/schema/raw/master/csl-citation.json"}</w:instrText>
      </w:r>
      <w:r w:rsidR="00A13468"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[10]</w:t>
      </w:r>
      <w:r w:rsidR="00A13468"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In recent decades, a decrease in the incidence rate has been observed, especially in </w:t>
      </w:r>
      <w:r w:rsidR="00F13E2C" w:rsidRPr="005C7810">
        <w:rPr>
          <w:rFonts w:ascii="Book Antiqua" w:hAnsi="Book Antiqua" w:cs="Times New Roman"/>
          <w:sz w:val="24"/>
          <w:szCs w:val="24"/>
          <w:lang w:val="en-US"/>
        </w:rPr>
        <w:t xml:space="preserve">young patients with </w:t>
      </w:r>
      <w:r w:rsidRPr="005C7810">
        <w:rPr>
          <w:rFonts w:ascii="Book Antiqua" w:hAnsi="Book Antiqua" w:cs="Times New Roman"/>
          <w:sz w:val="24"/>
          <w:szCs w:val="24"/>
          <w:lang w:val="en-US"/>
        </w:rPr>
        <w:t>non-cardia, sporadic</w:t>
      </w:r>
      <w:r w:rsidR="00F13E2C"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intestinal </w:t>
      </w:r>
      <w:r w:rsidR="00F13E2C" w:rsidRPr="005C7810">
        <w:rPr>
          <w:rFonts w:ascii="Book Antiqua" w:hAnsi="Book Antiqua" w:cs="Times New Roman"/>
          <w:sz w:val="24"/>
          <w:szCs w:val="24"/>
          <w:lang w:val="en-US"/>
        </w:rPr>
        <w:t>GC</w:t>
      </w:r>
      <w:r w:rsidR="00A13468" w:rsidRPr="005C7810">
        <w:rPr>
          <w:rFonts w:ascii="Book Antiqua" w:hAnsi="Book Antiqua" w:cs="Times New Roman"/>
          <w:sz w:val="24"/>
          <w:szCs w:val="24"/>
          <w:lang w:val="en-US"/>
        </w:rPr>
        <w:fldChar w:fldCharType="begin" w:fldLock="1"/>
      </w:r>
      <w:r w:rsidR="00161791" w:rsidRPr="005C7810">
        <w:rPr>
          <w:rFonts w:ascii="Book Antiqua" w:hAnsi="Book Antiqua" w:cs="Times New Roman"/>
          <w:sz w:val="24"/>
          <w:szCs w:val="24"/>
          <w:lang w:val="en-US"/>
        </w:rPr>
        <w:instrText>ADDIN CSL_CITATION {"citationItems":[{"id":"ITEM-1","itemData":{"DOI":"10.1054/bjoc.2000.1602","ISSN":"00070920","PMID":"11161407","abstract":"Since different histological types (HT) of gastric cancer (GC) may differ in their aetiology, time trend analysis by HT may afford an insight into aetiology. From the Gastric Cancer Registry of Japan, 161 067 cases diagnosed were retrieved between 1975 and 1989 to calculate the annual relative frequencies, stratified by age group and sex, of HT according to the Lauren and the Japanese Research Society for Gastric Cancer (JRSGC) classifications. Age- and sex-specific incidence rates by HT were estimated by multiplying the corresponding national cancer incidence rates of GC by the relative frequencies. Logistic regression models stratified by sex and age group were fitted to determine the time trends of HT. Using the Lauren classification, a decreasing trend of the intestinal type and a stable trend of the diffuse type were found. By the JRSGC classification, significant decreasing trends for most age groups were found for papillary and mucinous adenocarcinomas. Tubular adenocarcinomas (well differentiated type) showed a decreasing trend only in younger age groups. Tubular (moderately differentiated type), poorly differentiated adenocarcinomas, and signet ring cell carcinoma were statistically stable during the period. Considering changes in lifestyles of the Japanese, the result suggests that there are three aetiological types of GC. © 2001 Cancer Research Campaign.","author":[{"dropping-particle":"","family":"Kaneko","given":"S.","non-dropping-particle":"","parse-names":false,"suffix":""},{"dropping-particle":"","family":"Yoshimura","given":"T.","non-dropping-particle":"","parse-names":false,"suffix":""}],"container-title":"British Journal of Cancer","id":"ITEM-1","issue":"3","issued":{"date-parts":[["2001"]]},"page":"400-405","title":"Time trend analysis of gastric cancer incidence in Japan by histological types, 1975-1989","type":"article-journal","volume":"84"},"uris":["http://www.mendeley.com/documents/?uuid=ffdc1478-33ee-4123-bca7-ec918b55faa0","http://www.mendeley.com/documents/?uuid=bf6fd25f-d68f-4b7b-8c35-a0fe2a1d4ef8"]},{"id":"ITEM-2","itemData":{"DOI":"10.1002/ijc.24290","ISSN":"00207136","author":[{"dropping-particle":"","family":"Negri","given":"Eva","non-dropping-particle":"","parse-names":false,"suffix":""},{"dropping-particle":"","family":"Levi","given":"Fabio","non-dropping-particle":"","parse-names":false,"suffix":""},{"dropping-particle":"","family":"Praud","given":"Delphine","non-dropping-particle":"","parse-names":false,"suffix":""},{"dropping-particle":"","family":"Vecchia","given":"Carlo","non-dropping-particle":"La","parse-names":false,"suffix":""},{"dropping-particle":"","family":"Malvezzi","given":"Matteo","non-dropping-particle":"","parse-names":false,"suffix":""},{"dropping-particle":"","family":"Bertuccio","given":"Paola","non-dropping-particle":"","parse-names":false,"suffix":""},{"dropping-particle":"","family":"Chatenoud","given":"Liliane","non-dropping-particle":"","parse-names":false,"suffix":""},{"dropping-particle":"","family":"Ferlay","given":"Jacques","non-dropping-particle":"","parse-names":false,"suffix":""}],"container-title":"International Journal of Cancer","id":"ITEM-2","issue":"3","issued":{"date-parts":[["2009"]]},"page":"666-673","title":"Recent patterns in gastric cancer: A global overview","type":"article-journal","volume":"125"},"uris":["http://www.mendeley.com/documents/?uuid=bcf09335-635c-4b40-860a-b358ffaad29f","http://www.mendeley.com/documents/?uuid=4d47abfc-cf04-47b0-ab44-e97f6b18b996"]}],"mendeley":{"formattedCitation":"&lt;sup&gt;[11,12]&lt;/sup&gt;","manualFormatting":"[11-12]","plainTextFormattedCitation":"[11,12]","previouslyFormattedCitation":"&lt;sup&gt;[11,12]&lt;/sup&gt;"},"properties":{"noteIndex":0},"schema":"https://github.com/citation-style-language/schema/raw/master/csl-citation.json"}</w:instrText>
      </w:r>
      <w:r w:rsidR="00A13468" w:rsidRPr="005C7810">
        <w:rPr>
          <w:rFonts w:ascii="Book Antiqua" w:hAnsi="Book Antiqua" w:cs="Times New Roman"/>
          <w:sz w:val="24"/>
          <w:szCs w:val="24"/>
          <w:lang w:val="en-US"/>
        </w:rPr>
        <w:fldChar w:fldCharType="separate"/>
      </w:r>
      <w:r w:rsidR="00A13468" w:rsidRPr="005C7810">
        <w:rPr>
          <w:rFonts w:ascii="Book Antiqua" w:hAnsi="Book Antiqua" w:cs="Times New Roman"/>
          <w:sz w:val="24"/>
          <w:szCs w:val="24"/>
          <w:vertAlign w:val="superscript"/>
          <w:lang w:val="en-US"/>
        </w:rPr>
        <w:t>[</w:t>
      </w:r>
      <w:r w:rsidR="00161791" w:rsidRPr="005C7810">
        <w:rPr>
          <w:rFonts w:ascii="Book Antiqua" w:hAnsi="Book Antiqua" w:cs="Times New Roman"/>
          <w:sz w:val="24"/>
          <w:szCs w:val="24"/>
          <w:vertAlign w:val="superscript"/>
          <w:lang w:val="en-US"/>
        </w:rPr>
        <w:t>11</w:t>
      </w:r>
      <w:r w:rsidR="008D6865" w:rsidRPr="005C7810">
        <w:rPr>
          <w:rFonts w:ascii="Book Antiqua" w:hAnsi="Book Antiqua" w:cs="Times New Roman"/>
          <w:sz w:val="24"/>
          <w:szCs w:val="24"/>
          <w:vertAlign w:val="superscript"/>
          <w:lang w:val="en-US"/>
        </w:rPr>
        <w:t>,</w:t>
      </w:r>
      <w:r w:rsidR="00161791" w:rsidRPr="005C7810">
        <w:rPr>
          <w:rFonts w:ascii="Book Antiqua" w:hAnsi="Book Antiqua" w:cs="Times New Roman"/>
          <w:sz w:val="24"/>
          <w:szCs w:val="24"/>
          <w:vertAlign w:val="superscript"/>
          <w:lang w:val="en-US"/>
        </w:rPr>
        <w:t>12</w:t>
      </w:r>
      <w:r w:rsidR="00A13468" w:rsidRPr="005C7810">
        <w:rPr>
          <w:rFonts w:ascii="Book Antiqua" w:hAnsi="Book Antiqua" w:cs="Times New Roman"/>
          <w:sz w:val="24"/>
          <w:szCs w:val="24"/>
          <w:vertAlign w:val="superscript"/>
          <w:lang w:val="en-US"/>
        </w:rPr>
        <w:t>]</w:t>
      </w:r>
      <w:r w:rsidR="00A13468" w:rsidRPr="005C7810">
        <w:rPr>
          <w:rFonts w:ascii="Book Antiqua" w:hAnsi="Book Antiqua" w:cs="Times New Roman"/>
          <w:sz w:val="24"/>
          <w:szCs w:val="24"/>
          <w:lang w:val="en-US"/>
        </w:rPr>
        <w:fldChar w:fldCharType="end"/>
      </w:r>
      <w:r w:rsidRPr="005C7810">
        <w:rPr>
          <w:rFonts w:ascii="Book Antiqua" w:eastAsia="Times New Roman" w:hAnsi="Book Antiqua" w:cs="Times New Roman"/>
          <w:sz w:val="24"/>
          <w:szCs w:val="24"/>
          <w:lang w:val="en-US"/>
        </w:rPr>
        <w:t xml:space="preserve">. </w:t>
      </w:r>
      <w:r w:rsidRPr="005C7810">
        <w:rPr>
          <w:rFonts w:ascii="Book Antiqua" w:hAnsi="Book Antiqua" w:cs="Times New Roman"/>
          <w:sz w:val="24"/>
          <w:szCs w:val="24"/>
          <w:lang w:val="en-US"/>
        </w:rPr>
        <w:t>The decrease</w:t>
      </w:r>
      <w:r w:rsidR="00852EB4" w:rsidRPr="005C7810">
        <w:rPr>
          <w:rFonts w:ascii="Book Antiqua" w:hAnsi="Book Antiqua" w:cs="Times New Roman"/>
          <w:sz w:val="24"/>
          <w:szCs w:val="24"/>
          <w:lang w:val="en-US"/>
        </w:rPr>
        <w:t>d</w:t>
      </w:r>
      <w:r w:rsidRPr="005C7810">
        <w:rPr>
          <w:rFonts w:ascii="Book Antiqua" w:hAnsi="Book Antiqua" w:cs="Times New Roman"/>
          <w:sz w:val="24"/>
          <w:szCs w:val="24"/>
          <w:lang w:val="en-US"/>
        </w:rPr>
        <w:t xml:space="preserve"> incidence of GC can be </w:t>
      </w:r>
      <w:r w:rsidR="00F13E2C" w:rsidRPr="005C7810">
        <w:rPr>
          <w:rFonts w:ascii="Book Antiqua" w:hAnsi="Book Antiqua" w:cs="Times New Roman"/>
          <w:sz w:val="24"/>
          <w:szCs w:val="24"/>
          <w:lang w:val="en-US"/>
        </w:rPr>
        <w:t>attributed to</w:t>
      </w:r>
      <w:r w:rsidRPr="005C7810">
        <w:rPr>
          <w:rFonts w:ascii="Book Antiqua" w:hAnsi="Book Antiqua" w:cs="Times New Roman"/>
          <w:sz w:val="24"/>
          <w:szCs w:val="24"/>
          <w:lang w:val="en-US"/>
        </w:rPr>
        <w:t xml:space="preserve"> the better preservation of foods, higher hygienic standards</w:t>
      </w:r>
      <w:r w:rsidR="00DD3CB1"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high</w:t>
      </w:r>
      <w:r w:rsidR="00F13E2C" w:rsidRPr="005C7810">
        <w:rPr>
          <w:rFonts w:ascii="Book Antiqua" w:hAnsi="Book Antiqua" w:cs="Times New Roman"/>
          <w:sz w:val="24"/>
          <w:szCs w:val="24"/>
          <w:lang w:val="en-US"/>
        </w:rPr>
        <w:t>er</w:t>
      </w:r>
      <w:r w:rsidRPr="005C7810">
        <w:rPr>
          <w:rFonts w:ascii="Book Antiqua" w:hAnsi="Book Antiqua" w:cs="Times New Roman"/>
          <w:sz w:val="24"/>
          <w:szCs w:val="24"/>
          <w:lang w:val="en-US"/>
        </w:rPr>
        <w:t xml:space="preserve"> intake of fruit</w:t>
      </w:r>
      <w:r w:rsidR="00F13E2C" w:rsidRPr="005C7810">
        <w:rPr>
          <w:rFonts w:ascii="Book Antiqua" w:hAnsi="Book Antiqua" w:cs="Times New Roman"/>
          <w:sz w:val="24"/>
          <w:szCs w:val="24"/>
          <w:lang w:val="en-US"/>
        </w:rPr>
        <w:t>s</w:t>
      </w:r>
      <w:r w:rsidRPr="005C7810">
        <w:rPr>
          <w:rFonts w:ascii="Book Antiqua" w:hAnsi="Book Antiqua" w:cs="Times New Roman"/>
          <w:sz w:val="24"/>
          <w:szCs w:val="24"/>
          <w:lang w:val="en-US"/>
        </w:rPr>
        <w:t xml:space="preserve"> and vegetables, and the eradication of </w:t>
      </w:r>
      <w:r w:rsidRPr="005C7810">
        <w:rPr>
          <w:rFonts w:ascii="Book Antiqua" w:hAnsi="Book Antiqua" w:cs="Times New Roman"/>
          <w:i/>
          <w:sz w:val="24"/>
          <w:szCs w:val="24"/>
          <w:lang w:val="en-US"/>
        </w:rPr>
        <w:t xml:space="preserve">H. </w:t>
      </w:r>
      <w:r w:rsidR="00202F2A" w:rsidRPr="005C7810">
        <w:rPr>
          <w:rFonts w:ascii="Book Antiqua" w:hAnsi="Book Antiqua" w:cs="Times New Roman"/>
          <w:i/>
          <w:sz w:val="24"/>
          <w:szCs w:val="24"/>
          <w:lang w:val="en-US"/>
        </w:rPr>
        <w:t>p</w:t>
      </w:r>
      <w:r w:rsidRPr="005C7810">
        <w:rPr>
          <w:rFonts w:ascii="Book Antiqua" w:hAnsi="Book Antiqua" w:cs="Times New Roman"/>
          <w:i/>
          <w:sz w:val="24"/>
          <w:szCs w:val="24"/>
          <w:lang w:val="en-US"/>
        </w:rPr>
        <w:t>ylor</w:t>
      </w:r>
      <w:r w:rsidR="00110750" w:rsidRPr="005C7810">
        <w:rPr>
          <w:rFonts w:ascii="Book Antiqua" w:hAnsi="Book Antiqua" w:cs="Times New Roman"/>
          <w:i/>
          <w:sz w:val="24"/>
          <w:szCs w:val="24"/>
          <w:lang w:val="en-US"/>
        </w:rPr>
        <w:t>i</w:t>
      </w:r>
      <w:r w:rsidR="00110750" w:rsidRPr="005C7810">
        <w:rPr>
          <w:rFonts w:ascii="Book Antiqua" w:hAnsi="Book Antiqua" w:cs="Times New Roman"/>
          <w:i/>
          <w:sz w:val="24"/>
          <w:szCs w:val="24"/>
          <w:vertAlign w:val="superscript"/>
          <w:lang w:val="en-US"/>
        </w:rPr>
        <w:fldChar w:fldCharType="begin" w:fldLock="1"/>
      </w:r>
      <w:r w:rsidR="00AB32F3" w:rsidRPr="005C7810">
        <w:rPr>
          <w:rFonts w:ascii="Book Antiqua" w:hAnsi="Book Antiqua" w:cs="Times New Roman"/>
          <w:i/>
          <w:sz w:val="24"/>
          <w:szCs w:val="24"/>
          <w:vertAlign w:val="superscript"/>
          <w:lang w:val="en-US"/>
        </w:rPr>
        <w:instrText>ADDIN CSL_CITATION {"citationItems":[{"id":"ITEM-1","itemData":{"DOI":"10.1590/S0036-36341997000400010","ISSN":"00363634","abstract":"The most recent estimates of the world-wide incidence of cancer indicate that gastric cancer was in 1990 the second most frequent cancer in the world (after lung cancer), with about 900000 new cases diagnosed every year. Steady declines in the rates have been observed everywhere in the last few decades, but the absolute number of new cases per year is increasing mainly because of ageing of the population. The exact causes of the decline of gastric cancer are not well understood, but must include improvements in diet, food storage (e.g., refrigeration) and, possibly, the decline of Helicobacter pylori infection. Dietary modifications and, possibly, vitamin supplements remain one of the most important tool for the prevention of gastric cancer. Control of H. pylori infection, by means of eradication or immunization, is also likely to offer great potential for the prevention of this important malignancy.","author":[{"dropping-particle":"","family":"Muñoz","given":"Nubia","non-dropping-particle":"","parse-names":false,"suffix":""},{"dropping-particle":"","family":"Franceschi","given":"Silvia","non-dropping-particle":"","parse-names":false,"suffix":""}],"container-title":"Salud Publica de Mexico","id":"ITEM-1","issue":"4","issued":{"date-parts":[["1997"]]},"page":"318-330","title":"Epidemiology of gastric cancer and perspectives for prevention","type":"article-journal","volume":"39"},"uris":["http://www.mendeley.com/documents/?uuid=369de5c4-d927-492b-8439-fe2e559b8d5f","http://www.mendeley.com/documents/?uuid=53f5d8b5-3161-4faa-b153-29d7a4931ef1"]}],"mendeley":{"formattedCitation":"&lt;sup&gt;[13]&lt;/sup&gt;","plainTextFormattedCitation":"[13]","previouslyFormattedCitation":"&lt;sup&gt;[13]&lt;/sup&gt;"},"properties":{"noteIndex":0},"schema":"https://github.com/citation-style-language/schema/raw/master/csl-citation.json"}</w:instrText>
      </w:r>
      <w:r w:rsidR="00110750" w:rsidRPr="005C7810">
        <w:rPr>
          <w:rFonts w:ascii="Book Antiqua" w:hAnsi="Book Antiqua" w:cs="Times New Roman"/>
          <w:i/>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[13]</w:t>
      </w:r>
      <w:r w:rsidR="00110750" w:rsidRPr="005C7810">
        <w:rPr>
          <w:rFonts w:ascii="Book Antiqua" w:hAnsi="Book Antiqua" w:cs="Times New Roman"/>
          <w:i/>
          <w:sz w:val="24"/>
          <w:szCs w:val="24"/>
          <w:vertAlign w:val="superscript"/>
          <w:lang w:val="en-US"/>
        </w:rPr>
        <w:fldChar w:fldCharType="end"/>
      </w:r>
      <w:r w:rsidR="00110750" w:rsidRPr="005C7810">
        <w:rPr>
          <w:rFonts w:ascii="Book Antiqua" w:hAnsi="Book Antiqua" w:cs="Times New Roman"/>
          <w:i/>
          <w:sz w:val="24"/>
          <w:szCs w:val="24"/>
          <w:lang w:val="en-US"/>
        </w:rPr>
        <w:t>.</w:t>
      </w:r>
      <w:r w:rsidR="005B41D8" w:rsidRPr="005C7810">
        <w:rPr>
          <w:rFonts w:ascii="Book Antiqua" w:hAnsi="Book Antiqua" w:cs="Times New Roman"/>
          <w:i/>
          <w:sz w:val="24"/>
          <w:szCs w:val="24"/>
          <w:lang w:val="en-US"/>
        </w:rPr>
        <w:t xml:space="preserve"> </w:t>
      </w:r>
      <w:r w:rsidR="005B41D8" w:rsidRPr="005C7810">
        <w:rPr>
          <w:rFonts w:ascii="Book Antiqua" w:hAnsi="Book Antiqua" w:cs="Times New Roman"/>
          <w:color w:val="000000"/>
          <w:sz w:val="24"/>
          <w:szCs w:val="24"/>
          <w:lang w:val="en-US"/>
        </w:rPr>
        <w:t xml:space="preserve">Figure 1 </w:t>
      </w:r>
      <w:r w:rsidR="005E53EA" w:rsidRPr="005C7810">
        <w:rPr>
          <w:rFonts w:ascii="Book Antiqua" w:hAnsi="Book Antiqua" w:cs="Times New Roman"/>
          <w:color w:val="000000"/>
          <w:sz w:val="24"/>
          <w:szCs w:val="24"/>
          <w:lang w:val="en-US"/>
        </w:rPr>
        <w:t>summarize</w:t>
      </w:r>
      <w:r w:rsidR="00574CCC" w:rsidRPr="005C7810">
        <w:rPr>
          <w:rFonts w:ascii="Book Antiqua" w:hAnsi="Book Antiqua" w:cs="Times New Roman"/>
          <w:color w:val="000000"/>
          <w:sz w:val="24"/>
          <w:szCs w:val="24"/>
          <w:lang w:val="en-US"/>
        </w:rPr>
        <w:t>s</w:t>
      </w:r>
      <w:r w:rsidR="005E53EA" w:rsidRPr="005C7810">
        <w:rPr>
          <w:rFonts w:ascii="Book Antiqua" w:hAnsi="Book Antiqua" w:cs="Times New Roman"/>
          <w:color w:val="000000"/>
          <w:sz w:val="24"/>
          <w:szCs w:val="24"/>
          <w:lang w:val="en-US"/>
        </w:rPr>
        <w:t xml:space="preserve"> </w:t>
      </w:r>
      <w:r w:rsidR="005B41D8" w:rsidRPr="005C7810">
        <w:rPr>
          <w:rFonts w:ascii="Book Antiqua" w:hAnsi="Book Antiqua" w:cs="Times New Roman"/>
          <w:color w:val="000000"/>
          <w:sz w:val="24"/>
          <w:szCs w:val="24"/>
          <w:lang w:val="en-US"/>
        </w:rPr>
        <w:t>the epidemiology of GC.</w:t>
      </w:r>
    </w:p>
    <w:p w:rsidR="00B8125B" w:rsidRPr="005C7810" w:rsidRDefault="00B8125B" w:rsidP="00CD380F">
      <w:pPr>
        <w:shd w:val="clear" w:color="auto" w:fill="FFFFFF"/>
        <w:snapToGrid w:val="0"/>
        <w:spacing w:after="0" w:line="360" w:lineRule="auto"/>
        <w:jc w:val="both"/>
        <w:rPr>
          <w:rFonts w:ascii="Book Antiqua" w:hAnsi="Book Antiqua" w:cs="Times New Roman"/>
          <w:sz w:val="24"/>
          <w:szCs w:val="24"/>
          <w:lang w:val="en-US"/>
        </w:rPr>
      </w:pPr>
    </w:p>
    <w:p w:rsidR="00B8125B" w:rsidRPr="005C7810" w:rsidRDefault="00B8125B"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PATHOLOGICAL CLASSIFICATION OF GC</w:t>
      </w:r>
    </w:p>
    <w:p w:rsidR="00B8125B" w:rsidRPr="005C7810" w:rsidRDefault="00B8125B"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According to World Health Organization</w:t>
      </w:r>
      <w:r w:rsidR="003F45E7"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w:t>
      </w:r>
      <w:r w:rsidR="009E75A1" w:rsidRPr="005C7810">
        <w:rPr>
          <w:rFonts w:ascii="Book Antiqua" w:hAnsi="Book Antiqua" w:cs="Times New Roman"/>
          <w:sz w:val="24"/>
          <w:szCs w:val="24"/>
          <w:lang w:val="en-US"/>
        </w:rPr>
        <w:t xml:space="preserve">commonly known as </w:t>
      </w:r>
      <w:r w:rsidRPr="005C7810">
        <w:rPr>
          <w:rFonts w:ascii="Book Antiqua" w:hAnsi="Book Antiqua" w:cs="Times New Roman"/>
          <w:sz w:val="24"/>
          <w:szCs w:val="24"/>
          <w:lang w:val="en-US"/>
        </w:rPr>
        <w:t>WHO</w:t>
      </w:r>
      <w:r w:rsidR="009E75A1" w:rsidRPr="005C7810">
        <w:rPr>
          <w:rFonts w:ascii="Book Antiqua" w:hAnsi="Book Antiqua" w:cs="Times New Roman"/>
          <w:sz w:val="24"/>
          <w:szCs w:val="24"/>
          <w:lang w:val="en-US"/>
        </w:rPr>
        <w:t>) guidelines</w:t>
      </w:r>
      <w:r w:rsidRPr="005C7810">
        <w:rPr>
          <w:rFonts w:ascii="Book Antiqua" w:hAnsi="Book Antiqua" w:cs="Times New Roman"/>
          <w:sz w:val="24"/>
          <w:szCs w:val="24"/>
          <w:lang w:val="en-US"/>
        </w:rPr>
        <w:t>, GC can be classified as adenocarcinoma, ring-cell carcinoma</w:t>
      </w:r>
      <w:r w:rsidR="003F45E7"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undifferentiated carcinoma</w:t>
      </w:r>
      <w:r w:rsidR="00110750"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{"citationItems":[{"id":"ITEM-1","itemData":{"author":[{"dropping-particle":"","family":"Bosman, F.T., Carneiro, F., Hruban, R.H., Theise","given":"N.D.","non-dropping-particle":"","parse-names":false,"suffix":""}],"id":"ITEM-1","issued":{"date-parts":[["2010"]]},"number-of-pages":"44-58","title":"WHO Classification of Tumours of the Digestive System","type":"book"},"uris":["http://www.mendeley.com/documents/?uuid=014fd6da-2cf5-48d3-8a70-29016a969efe","http://www.mendeley.com/documents/?uuid=96207acb-46fa-49a0-8f7c-9f0235c67048"]}],"mendeley":{"formattedCitation":"&lt;sup&gt;[14]&lt;/sup&gt;","plainTextFormattedCitation":"[14]","previouslyFormattedCitation":"&lt;sup&gt;[14]&lt;/sup&gt;"},"properties":{"noteIndex":0},"schema":"https://github.com/citation-style-language/schema/raw/master/csl-citation.json"}</w:instrText>
      </w:r>
      <w:r w:rsidR="00110750"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[14]</w:t>
      </w:r>
      <w:r w:rsidR="00110750"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w:t>
      </w:r>
      <w:r w:rsidR="00DB6C53" w:rsidRPr="005C7810">
        <w:rPr>
          <w:rFonts w:ascii="Book Antiqua" w:hAnsi="Book Antiqua" w:cs="Times New Roman"/>
          <w:sz w:val="24"/>
          <w:szCs w:val="24"/>
          <w:lang w:val="en-US"/>
        </w:rPr>
        <w:t>The Lauren's</w:t>
      </w:r>
      <w:r w:rsidRPr="005C7810">
        <w:rPr>
          <w:rFonts w:ascii="Book Antiqua" w:hAnsi="Book Antiqua" w:cs="Times New Roman"/>
          <w:sz w:val="24"/>
          <w:szCs w:val="24"/>
          <w:lang w:val="en-US"/>
        </w:rPr>
        <w:t xml:space="preserve"> classification, </w:t>
      </w:r>
      <w:r w:rsidR="003F45E7" w:rsidRPr="005C7810">
        <w:rPr>
          <w:rFonts w:ascii="Book Antiqua" w:hAnsi="Book Antiqua" w:cs="Times New Roman"/>
          <w:sz w:val="24"/>
          <w:szCs w:val="24"/>
          <w:lang w:val="en-US"/>
        </w:rPr>
        <w:t xml:space="preserve">which is </w:t>
      </w:r>
      <w:r w:rsidRPr="005C7810">
        <w:rPr>
          <w:rFonts w:ascii="Book Antiqua" w:hAnsi="Book Antiqua" w:cs="Times New Roman"/>
          <w:sz w:val="24"/>
          <w:szCs w:val="24"/>
          <w:lang w:val="en-US"/>
        </w:rPr>
        <w:t xml:space="preserve">widely used, </w:t>
      </w:r>
      <w:r w:rsidR="007A64A3" w:rsidRPr="005C7810">
        <w:rPr>
          <w:rFonts w:ascii="Book Antiqua" w:hAnsi="Book Antiqua" w:cs="Times New Roman"/>
          <w:sz w:val="24"/>
          <w:szCs w:val="24"/>
          <w:lang w:val="en-US"/>
        </w:rPr>
        <w:t>classifies GC into</w:t>
      </w:r>
      <w:r w:rsidRPr="005C7810">
        <w:rPr>
          <w:rFonts w:ascii="Book Antiqua" w:hAnsi="Book Antiqua" w:cs="Times New Roman"/>
          <w:sz w:val="24"/>
          <w:szCs w:val="24"/>
          <w:lang w:val="en-US"/>
        </w:rPr>
        <w:t xml:space="preserve"> intestinal</w:t>
      </w:r>
      <w:r w:rsidR="007A64A3"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diffuse, and mixed/unclassified type</w:t>
      </w:r>
      <w:r w:rsidR="007A64A3" w:rsidRPr="005C7810">
        <w:rPr>
          <w:rFonts w:ascii="Book Antiqua" w:hAnsi="Book Antiqua" w:cs="Times New Roman"/>
          <w:sz w:val="24"/>
          <w:szCs w:val="24"/>
          <w:lang w:val="en-US"/>
        </w:rPr>
        <w:t>s</w:t>
      </w:r>
      <w:r w:rsidRPr="005C7810">
        <w:rPr>
          <w:rFonts w:ascii="Book Antiqua" w:hAnsi="Book Antiqua" w:cs="Times New Roman"/>
          <w:sz w:val="24"/>
          <w:szCs w:val="24"/>
          <w:lang w:val="en-US"/>
        </w:rPr>
        <w:t xml:space="preserve"> based on macroscopic and microscopic differences</w:t>
      </w:r>
      <w:r w:rsidR="00110750"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{"citationItems":[{"id":"ITEM-1","itemData":{"author":[{"dropping-particle":"","family":"P","given":"Lauren","non-dropping-particle":"","parse-names":false,"suffix":""}],"container-title":"Acta Patologica Microbiologica Scandinavica","id":"ITEM-1","issued":{"date-parts":[["1965"]]},"page":"31-49","title":"THE TWO HISTOLOGICAL MAIN TYPES OF GASTRIC CARCINOMA: DIFFUSE AND SO‐CALLED INTESTINAL‐TYPE CARCINOMA","type":"article-journal","volume":"64"},"uris":["http://www.mendeley.com/documents/?uuid=649bf799-0120-48cd-88e1-f4fec1ec1e03","http://www.mendeley.com/documents/?uuid=f2f30d4d-1a6f-41ae-8128-349876ca6ddc"]}],"mendeley":{"formattedCitation":"&lt;sup&gt;[15]&lt;/sup&gt;","plainTextFormattedCitation":"[15]","previouslyFormattedCitation":"&lt;sup&gt;[15]&lt;/sup&gt;"},"properties":{"noteIndex":0},"schema":"https://github.com/citation-style-language/schema/raw/master/csl-citation.json"}</w:instrText>
      </w:r>
      <w:r w:rsidR="00110750"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[15]</w:t>
      </w:r>
      <w:r w:rsidR="00110750"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w:t>
      </w:r>
      <w:r w:rsidRPr="005C7810">
        <w:rPr>
          <w:rFonts w:ascii="Book Antiqua" w:eastAsia="TimesNewRomanPS" w:hAnsi="Book Antiqua" w:cs="Times New Roman"/>
          <w:sz w:val="24"/>
          <w:szCs w:val="24"/>
          <w:lang w:val="en-US"/>
        </w:rPr>
        <w:t>It has been hypothesized that intestinal GC is associated with chronic atrophic gastritis and intestinal metaplasia, whereas the diffuse type originates from normal gastric mucosa. In European countries, the intestinal type is currently the most common GC</w:t>
      </w:r>
      <w:r w:rsidR="008A5F56" w:rsidRPr="005C7810">
        <w:rPr>
          <w:rFonts w:ascii="Book Antiqua" w:eastAsia="TimesNewRomanPS" w:hAnsi="Book Antiqua" w:cs="Times New Roman"/>
          <w:sz w:val="24"/>
          <w:szCs w:val="24"/>
          <w:vertAlign w:val="superscript"/>
          <w:lang w:val="en-US"/>
        </w:rPr>
        <w:fldChar w:fldCharType="begin" w:fldLock="1"/>
      </w:r>
      <w:r w:rsidR="00AB32F3" w:rsidRPr="005C7810">
        <w:rPr>
          <w:rFonts w:ascii="Book Antiqua" w:eastAsia="TimesNewRomanPS" w:hAnsi="Book Antiqua" w:cs="Times New Roman"/>
          <w:sz w:val="24"/>
          <w:szCs w:val="24"/>
          <w:vertAlign w:val="superscript"/>
          <w:lang w:val="en-US"/>
        </w:rPr>
        <w:instrText>ADDIN CSL_CITATION {"citationItems":[{"id":"ITEM-1","itemData":{"DOI":"10.1186/1479-5876-11-58","ISSN":"14795876","abstract":"BACKGROUND: According to the Lauren classification, gastric adenocarcinomas are divided into diffuse and intestinal types. The causative attribution explaining the dismal prognosis of diffuse-type remains unknown.\\n\\nMETHODS: We examined the archive of 1000 patients with gastric adenocarcinomas who received radical gastrectomy in our center and assessed the effect of the Lauren classification on survival in a multivariate approach. Moreover we compared the variation of clinical features between the diffuse-type and intestinal-type and explored the contributing factors for the prognostic difference.\\n\\nRESULTS: There were 805 resectable patients for the final analysis. Diffuse-type comprised of 48.7% in the gastric carcinoma in our group and showed poorer prognosis than intestinal-type (P=0.013). Multivariate analysis revealed that independent prognostic factors for gastric carcinoma patients were T stage (P&lt;0.001), N stage (P&lt;0.001) tumor size (P&lt;0.001) and Lauren classification (P=0.003). For the clinical features, diffuse-type was significantly associated with younger age (p&lt;0.001), female preponderance (p &lt;0.001), distal location (P&lt;0.001), advanced pT (p &lt; 0.001), advanced pN (p &lt; 0.001) and advanced TNM stage (p = 0.027).\\n\\nCONCLUSIONS: Diffuse type adenocarcinoma carries a worse prognosis that may be partially explained by the tendency of this subtype to present at more advanced T and N stage. However, Lauren classification has prognostic significance that is independent of T and N stage as well as other prognostic variables based on the multivariate cox analysis.","author":[{"dropping-particle":"","family":"Qiu","given":"Miao Zhen","non-dropping-particle":"","parse-names":false,"suffix":""},{"dropping-particle":"","family":"Cai","given":"Mu Yan","non-dropping-particle":"","parse-names":false,"suffix":""},{"dropping-particle":"","family":"Zhang","given":"Dong Sheng","non-dropping-particle":"","parse-names":false,"suffix":""},{"dropping-particle":"","family":"Wang","given":"Zhi Qiang","non-dropping-particle":"","parse-names":false,"suffix":""},{"dropping-particle":"","family":"Wang","given":"De Shen","non-dropping-particle":"","parse-names":false,"suffix":""},{"dropping-particle":"","family":"Li","given":"Yu Hong","non-dropping-particle":"","parse-names":false,"suffix":""},{"dropping-particle":"","family":"Xu","given":"Rui Hua","non-dropping-particle":"","parse-names":false,"suffix":""}],"container-title":"Journal of Translational Medicine","id":"ITEM-1","issue":"1","issued":{"date-parts":[["2013"]]},"page":"1","publisher":"Journal of Translational Medicine","title":"Clinicopathological characteristics and prognostic analysis of Lauren classification in gastric adenocarcinoma in China","type":"article-journal","volume":"11"},"uris":["http://www.mendeley.com/documents/?uuid=7246eabe-27b3-46ce-9f6d-e05921d1880f","http://www.mendeley.com/documents/?uuid=3ce416f3-fcc9-44a9-8567-4ccfacc48c3b"]},{"id":"ITEM-2","itemData":{"DOI":"10.1002/cncr.25550","ISSN":"0008543X","PMID":"20737569","abstract":"BACKGROUND: The seventh TNM staging system for gastric cancer of the American Joint Committee on Cancer/International Union Against Cancer (AJCC/UICC) had a more detailed classification than the sixth TNM staging system for both the tumor (T) and lymph nodes (N). The authors compared survival rates assessed by the seventh staging system with those by the sixth system.\\n\\nMETHODS: The authors analyzed the prospectively collected database on patients with gastric cancer who underwent surgery at Seoul National University Hospital between 1986 and 2006, and calculated the survival rates of 9998 cases with primary cancer, R0 resection, and &gt;14 retrieved lymph nodes.\\n\\nRESULTS: The 5-year cumulative survival rates (5YSR) according to the seventh edition T or N classifications were significantly different. The 5YSR according to seventh edition of the TNM staging system were 95.1% (stage IA), 88.4% (stage IB), 84.0% (stage IIA), 71.7% (stage IIB), 58.4% (stage IIIA), 41.3% (stage IIIB), and 26.1% (stage IIIC), which were significantly different from each other. The 5YSR of the seventh edition T2 and T3 classifications had significant differences in patients with every N classification, and the 5YSR of seventh edition N1 and N2 classifications had significant differences in T2 patients, T3 patients, and T4 patients. Each stage in the sixth edition was divided into the seventh edition stage with different survival rates. In addition, the number of homogenous groupings in seventh edition TNM stages was increased from 1 to 2.\\n\\nCONCLUSIONS: The seventh system provided a more detailed classification of prognosis than the sixth system, especially between T2 and T3 tumors and N1 and N2 tumors, although further studies were found to be needed for the N3a and N3b classification.","author":[{"dropping-particle":"","family":"Ahn","given":"Hye Seong","non-dropping-particle":"","parse-names":false,"suffix":""},{"dropping-particle":"","family":"Lee","given":"Hyuk Joon","non-dropping-particle":"","parse-names":false,"suffix":""},{"dropping-particle":"","family":"Hahn","given":"Seokyung","non-dropping-particle":"","parse-names":false,"suffix":""},{"dropping-particle":"","family":"Kim","given":"Woo Ho","non-dropping-particle":"","parse-names":false,"suffix":""},{"dropping-particle":"","family":"Lee","given":"Kuhn Uk","non-dropping-particle":"","parse-names":false,"suffix":""},{"dropping-particle":"","family":"Sano","given":"Takeshi","non-dropping-particle":"","parse-names":false,"suffix":""},{"dropping-particle":"","family":"Edge","given":"Stephen B.","non-dropping-particle":"","parse-names":false,"suffix":""},{"dropping-particle":"","family":"Yang","given":"Han Kwang","non-dropping-particle":"","parse-names":false,"suffix":""}],"container-title":"Cancer","id":"ITEM-2","issue":"24","issued":{"date-parts":[["2010"]]},"page":"5592-5598","title":"Evaluation of the Seventh American Joint Committee on Cancer/International Union Against Cancer Classification of gastric adenocarcinoma in comparison with the sixth classification","type":"article-journal","volume":"116"},"uris":["http://www.mendeley.com/documents/?uuid=96fdb5e5-c628-41ca-93fa-def34a70a3d4","http://www.mendeley.com/documents/?uuid=8592d28a-f1cb-4789-aaba-8817fb25fe82"]},{"id":"ITEM-3","itemData":{"DOI":"10.1002/1097-0142(19930515)71:10&lt;2926::AID-CNCR2820711007&gt;3.0.CO;2-X","ISSN":"0008-543X","PMID":"8490820","abstract":"The incidence of gastric cancer has declined markedly in Finland during the last 4 decades. To document the changes caused by that in the ratio of the intestinal type (IT) to the diffuse type (DT) of gastric carcinoma we com-pared the 367 cases diagnosed from southwestern Fin-land at the Department of Pathology, Turku University, from 1950-1959 and 1076 cases from 1980-1989. IT vir-tually disappeared in the male and female populations younger than 50 years, and in patients younger than 60 years, DT became more common than IT (P &lt; 0.001). The transitional age, the time at which IT exceeds DT in fre-quency, shifted by 20 years to older age groups. In pa-tients older than 60 years, IT remained the dominant type, but the ratio of IT to DT (1T:DT) decreased in men from 3.8 to 2.1 (P &lt; 0.05) and in women from 4.4 to 2.1 (P &lt;0.001). No decrease in the frequency of DT could be demonstrated in the material studied. The disappearance of the male-dominant IT in the younger male population changed the male-to-female ratio of patients reported to the Finnish Cancer Registry. When the ratio 1T:DT in Finland was compared with the ratios reported by the authors in data from other continents and by other inves-tigators, regional variations in basal level of 1T:DT emerged. This phenomenon seems to be based on the dif-fering genetic susceptibility to DT of various races. The decrease of IT, seen in reports from regions with declin-ing incidence of gastric carcinoma, seems to be connected to a diminished rate of severe chronic gastritis. Cancer 1993; 71:2926-33.","author":[{"dropping-particle":"","family":"Laurén","given":"P.A.","non-dropping-particle":"","parse-names":false,"suffix":""},{"dropping-particle":"","family":"Nevalainen","given":"T.J.","non-dropping-particle":"","parse-names":false,"suffix":""}],"container-title":"Cancer","id":"ITEM-3","issue":"10","issued":{"date-parts":[["1993"]]},"page":"2926-2933","title":"Epidemiology of intestinal and diffuse types of gastric carcinoma.","type":"article-journal","volume":"71"},"uris":["http://www.mendeley.com/documents/?uuid=12e5907d-72bb-4e6f-9b55-4f409c198e17","http://www.mendeley.com/documents/?uuid=0be4360f-f5ed-4fa9-a650-dddfaf853b22"]},{"id":"ITEM-4","itemData":{"DOI":"10.1002/1097-0142(19810215)47:4&lt;780::AID-CNCR2820470424&gt;3.0.CO;2-G","ISSN":"10970142","abstract":"One hundred seventy-two patients with gastric carcinoma were studied (111 men and 61 women). Mean age was 54.0 +/- 11.2 years, and the overall five-year survival rate was 37.5%. There were four carcinomas in situ and one double carcinoma; the remaining 167 were classified as intestinal (112), diffuse (48), and atypical (7), according to Lauren; and as expanding (96) and infiltrative (71), according to Ming. Both classifications had prognostic significance; that of Lauren's could not be ascribed to sex and age of patients, to location of tumors, or to extent of disease, but appeared to be associated with the histologic pattern of regional lymph nodes. The prognostic significance of Ming's classification did not seem to depend upon sex and age of patients, location of tumors, or lymphoid response, but appeared to be partially related with extent of disease. The concurrent use of both classification did not provide further prognostic information.","author":[{"dropping-particle":"","family":"Ribeiro","given":"Manuel Moutinho","non-dropping-particle":"","parse-names":false,"suffix":""},{"dropping-particle":"","family":"Sarmento","given":"J. Alexandre","non-dropping-particle":"","parse-names":false,"suffix":""},{"dropping-particle":"","family":"Simões","given":"M. A.Sobrinho","non-dropping-particle":"","parse-names":false,"suffix":""},{"dropping-particle":"","family":"Bastos","given":"Joaquim","non-dropping-particle":"","parse-names":false,"suffix":""}],"container-title":"Cancer","id":"ITEM-4","issue":"4","issued":{"date-parts":[["1981"]]},"page":"780-784","title":"Prognostic significance of Lauren and Ming classifications and other pathologic parameters in gastric carcinoma","type":"article-journal","volume":"47"},"uris":["http://www.mendeley.com/documents/?uuid=1aa0e213-954c-4f3b-888f-fb71b2620fa8","http://www.mendeley.com/documents/?uuid=e8739d71-d414-42f5-b2a4-4bc01d7a195b"]},{"id":"ITEM-5","itemData":{"DOI":"10.1002/1097-0142(19881115)62:10&lt;2191::AID-CNCR2820621020&gt;3.0.CO;2-5","ISSN":"10970142","abstract":"Two thousand five hundred forty cases (1628 males and 912 females) of primary gastric cancer (GC) histologically diagnosed to gastroscopic biopsy or resected specimens, occurring from 1973 to 1982 in a high risk area in Italy (Florence), were reviewed. According to Lauren's criteria, 1587 (62.5%) were classified as intestinal type, 624 (24.6%) as diffuse type and 329 (12.9%) as mixed unclassified. The intestinal type is more frequent in males and increases in both sexes with advancing age; conversely for the diffuse type. In the two 5‐year periods (1973–1977 and 1978–1982) the intestinal type shows a reduction over time more evident in females than in males, in contrast to the increasing trend for the diffuse type. In males, the distribution of Lauren's histologic types is stable over time for resected specimens, whereas there is a significant reduction of intestinal type for biopsy specimens. In females, both for resected and biopsy specimens there is a reduction of the intestinal type and an increase of the diffuse type from the first to the second period. For a subgroup of 297 subjects two different specimens were available (gastroscopic biopsy and surgical); sensitivity and positive predictive value, for biopsy specimen as compared with the resected one, in the diagnosis for Lauren's histologic types were calculated. An excess of diagnoses in the mixed/unclassified category for biopsy material was evident (positive predictive value = 44.3%). However, for the two main histologic types, the biopsy appears a quite reliable indicator of the final diagnosis on surgical material (intestinal: ppv = 88.6%; Diffuse: ppv = 87.0%). The study supports the hypothesis that the reduction in GC mortality in the Province of Florence in recent years may be associated with a moderate reduction in the frequency of the intestinal type. Copyright © 1988 American Cancer Society","author":[{"dropping-particle":"","family":"Amorosi","given":"Andrea","non-dropping-particle":"","parse-names":false,"suffix":""},{"dropping-particle":"","family":"Bianchi","given":"Simonetta","non-dropping-particle":"","parse-names":false,"suffix":""},{"dropping-particle":"","family":"Bulatti","given":"Eva","non-dropping-particle":"","parse-names":false,"suffix":""},{"dropping-particle":"","family":"Cipriani","given":"Francesco","non-dropping-particle":"","parse-names":false,"suffix":""},{"dropping-particle":"","family":"Palli","given":"Domenico","non-dropping-particle":"","parse-names":false,"suffix":""},{"dropping-particle":"","family":"Zampi","given":"Giancarlo","non-dropping-particle":"","parse-names":false,"suffix":""}],"container-title":"Cancer","id":"ITEM-5","issue":"10","issued":{"date-parts":[["1988"]]},"page":"2191-2196","title":"Gastric cancer in a high‐risk area in italy: Histopathologic patterns according to Lauren's classification","type":"article-journal","volume":"62"},"uris":["http://www.mendeley.com/documents/?uuid=9990cc58-5faa-459f-a9f9-6aa6eb4cd349","http://www.mendeley.com/documents/?uuid=63ec915f-1f1c-4942-9b55-f330c362df20"]}],"mendeley":{"formattedCitation":"&lt;sup&gt;[16–20]&lt;/sup&gt;","plainTextFormattedCitation":"[16–20]","previouslyFormattedCitation":"&lt;sup&gt;[16–20]&lt;/sup&gt;"},"properties":{"noteIndex":0},"schema":"https://github.com/citation-style-language/schema/raw/master/csl-citation.json"}</w:instrText>
      </w:r>
      <w:r w:rsidR="008A5F56" w:rsidRPr="005C7810">
        <w:rPr>
          <w:rFonts w:ascii="Book Antiqua" w:eastAsia="TimesNewRomanPS" w:hAnsi="Book Antiqua" w:cs="Times New Roman"/>
          <w:sz w:val="24"/>
          <w:szCs w:val="24"/>
          <w:vertAlign w:val="superscript"/>
          <w:lang w:val="en-US"/>
        </w:rPr>
        <w:fldChar w:fldCharType="separate"/>
      </w:r>
      <w:r w:rsidR="00182B66" w:rsidRPr="005C7810">
        <w:rPr>
          <w:rFonts w:ascii="Book Antiqua" w:eastAsia="TimesNewRomanPS" w:hAnsi="Book Antiqua" w:cs="Times New Roman"/>
          <w:sz w:val="24"/>
          <w:szCs w:val="24"/>
          <w:vertAlign w:val="superscript"/>
          <w:lang w:val="en-US"/>
        </w:rPr>
        <w:t>[16–20]</w:t>
      </w:r>
      <w:r w:rsidR="008A5F56" w:rsidRPr="005C7810">
        <w:rPr>
          <w:rFonts w:ascii="Book Antiqua" w:eastAsia="TimesNewRomanPS" w:hAnsi="Book Antiqua" w:cs="Times New Roman"/>
          <w:sz w:val="24"/>
          <w:szCs w:val="24"/>
          <w:vertAlign w:val="superscript"/>
          <w:lang w:val="en-US"/>
        </w:rPr>
        <w:fldChar w:fldCharType="end"/>
      </w:r>
      <w:r w:rsidRPr="005C7810">
        <w:rPr>
          <w:rFonts w:ascii="Book Antiqua" w:eastAsia="TimesNewRomanPS" w:hAnsi="Book Antiqua" w:cs="Times New Roman"/>
          <w:sz w:val="24"/>
          <w:szCs w:val="24"/>
          <w:lang w:val="en-US"/>
        </w:rPr>
        <w:t xml:space="preserve">. </w:t>
      </w:r>
      <w:r w:rsidRPr="005C7810">
        <w:rPr>
          <w:rFonts w:ascii="Book Antiqua" w:hAnsi="Book Antiqua" w:cs="Times New Roman"/>
          <w:sz w:val="24"/>
          <w:szCs w:val="24"/>
          <w:lang w:val="en-US"/>
        </w:rPr>
        <w:t>It tends to occur more often in the distal part of the stomach, in high-risk areas and is often preceded by long-standing precancerous lesions</w:t>
      </w:r>
      <w:r w:rsidR="008A5F56"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{"citationItems":[{"id":"ITEM-1","itemData":{"DOI":"10.1002/cncr.25550","ISSN":"0008543X","PMID":"20737569","abstract":"BACKGROUND: The seventh TNM staging system for gastric cancer of the American Joint Committee on Cancer/International Union Against Cancer (AJCC/UICC) had a more detailed classification than the sixth TNM staging system for both the tumor (T) and lymph nodes (N). The authors compared survival rates assessed by the seventh staging system with those by the sixth system.\\n\\nMETHODS: The authors analyzed the prospectively collected database on patients with gastric cancer who underwent surgery at Seoul National University Hospital between 1986 and 2006, and calculated the survival rates of 9998 cases with primary cancer, R0 resection, and &gt;14 retrieved lymph nodes.\\n\\nRESULTS: The 5-year cumulative survival rates (5YSR) according to the seventh edition T or N classifications were significantly different. The 5YSR according to seventh edition of the TNM staging system were 95.1% (stage IA), 88.4% (stage IB), 84.0% (stage IIA), 71.7% (stage IIB), 58.4% (stage IIIA), 41.3% (stage IIIB), and 26.1% (stage IIIC), which were significantly different from each other. The 5YSR of the seventh edition T2 and T3 classifications had significant differences in patients with every N classification, and the 5YSR of seventh edition N1 and N2 classifications had significant differences in T2 patients, T3 patients, and T4 patients. Each stage in the sixth edition was divided into the seventh edition stage with different survival rates. In addition, the number of homogenous groupings in seventh edition TNM stages was increased from 1 to 2.\\n\\nCONCLUSIONS: The seventh system provided a more detailed classification of prognosis than the sixth system, especially between T2 and T3 tumors and N1 and N2 tumors, although further studies were found to be needed for the N3a and N3b classification.","author":[{"dropping-particle":"","family":"Ahn","given":"Hye Seong","non-dropping-particle":"","parse-names":false,"suffix":""},{"dropping-particle":"","family":"Lee","given":"Hyuk Joon","non-dropping-particle":"","parse-names":false,"suffix":""},{"dropping-particle":"","family":"Hahn","given":"Seokyung","non-dropping-particle":"","parse-names":false,"suffix":""},{"dropping-particle":"","family":"Kim","given":"Woo Ho","non-dropping-particle":"","parse-names":false,"suffix":""},{"dropping-particle":"","family":"Lee","given":"Kuhn Uk","non-dropping-particle":"","parse-names":false,"suffix":""},{"dropping-particle":"","family":"Sano","given":"Takeshi","non-dropping-particle":"","parse-names":false,"suffix":""},{"dropping-particle":"","family":"Edge","given":"Stephen B.","non-dropping-particle":"","parse-names":false,"suffix":""},{"dropping-particle":"","family":"Yang","given":"Han Kwang","non-dropping-particle":"","parse-names":false,"suffix":""}],"container-title":"Cancer","id":"ITEM-1","issue":"24","issued":{"date-parts":[["2010"]]},"page":"5592-5598","title":"Evaluation of the Seventh American Joint Committee on Cancer/International Union Against Cancer Classification of gastric adenocarcinoma in comparison with the sixth classification","type":"article-journal","volume":"116"},"uris":["http://www.mendeley.com/documents/?uuid=8592d28a-f1cb-4789-aaba-8817fb25fe82","http://www.mendeley.com/documents/?uuid=96fdb5e5-c628-41ca-93fa-def34a70a3d4"]}],"mendeley":{"formattedCitation":"&lt;sup&gt;[17]&lt;/sup&gt;","plainTextFormattedCitation":"[17]","previouslyFormattedCitation":"&lt;sup&gt;[17]&lt;/sup&gt;"},"properties":{"noteIndex":0},"schema":"https://github.com/citation-style-language/schema/raw/master/csl-citation.json"}</w:instrText>
      </w:r>
      <w:r w:rsidR="008A5F56"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[17]</w:t>
      </w:r>
      <w:r w:rsidR="008A5F56"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w:t>
      </w:r>
      <w:r w:rsidR="00D33D33" w:rsidRPr="005C7810">
        <w:rPr>
          <w:rFonts w:ascii="Book Antiqua" w:hAnsi="Book Antiqua" w:cs="Times New Roman"/>
          <w:sz w:val="24"/>
          <w:szCs w:val="24"/>
          <w:lang w:val="en-US"/>
        </w:rPr>
        <w:t>On the other hand, t</w:t>
      </w:r>
      <w:r w:rsidRPr="005C7810">
        <w:rPr>
          <w:rFonts w:ascii="Book Antiqua" w:hAnsi="Book Antiqua" w:cs="Times New Roman"/>
          <w:sz w:val="24"/>
          <w:szCs w:val="24"/>
          <w:lang w:val="en-US"/>
        </w:rPr>
        <w:t>he diffuse type</w:t>
      </w:r>
      <w:r w:rsidR="00D33D33" w:rsidRPr="005C7810">
        <w:rPr>
          <w:rFonts w:ascii="Book Antiqua" w:hAnsi="Book Antiqua" w:cs="Times New Roman"/>
          <w:sz w:val="24"/>
          <w:szCs w:val="24"/>
          <w:lang w:val="en-US"/>
        </w:rPr>
        <w:t xml:space="preserve"> is predominant</w:t>
      </w:r>
      <w:r w:rsidRPr="005C7810">
        <w:rPr>
          <w:rFonts w:ascii="Book Antiqua" w:hAnsi="Book Antiqua" w:cs="Times New Roman"/>
          <w:sz w:val="24"/>
          <w:szCs w:val="24"/>
          <w:lang w:val="en-US"/>
        </w:rPr>
        <w:t xml:space="preserve"> among young patients. However, Lauren</w:t>
      </w:r>
      <w:r w:rsidR="005041FF"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s classification has </w:t>
      </w:r>
      <w:r w:rsidR="00B715D2" w:rsidRPr="005C7810">
        <w:rPr>
          <w:rFonts w:ascii="Book Antiqua" w:hAnsi="Book Antiqua" w:cs="Times New Roman"/>
          <w:sz w:val="24"/>
          <w:szCs w:val="24"/>
          <w:lang w:val="en-US"/>
        </w:rPr>
        <w:t xml:space="preserve">a couple of key </w:t>
      </w:r>
      <w:r w:rsidRPr="005C7810">
        <w:rPr>
          <w:rFonts w:ascii="Book Antiqua" w:hAnsi="Book Antiqua" w:cs="Times New Roman"/>
          <w:sz w:val="24"/>
          <w:szCs w:val="24"/>
          <w:lang w:val="en-US"/>
        </w:rPr>
        <w:t xml:space="preserve">flaws. </w:t>
      </w:r>
      <w:r w:rsidR="00152031" w:rsidRPr="005C7810">
        <w:rPr>
          <w:rFonts w:ascii="Book Antiqua" w:hAnsi="Book Antiqua" w:cs="Times New Roman"/>
          <w:sz w:val="24"/>
          <w:szCs w:val="24"/>
          <w:lang w:val="en-US"/>
        </w:rPr>
        <w:t>F</w:t>
      </w:r>
      <w:r w:rsidRPr="005C7810">
        <w:rPr>
          <w:rFonts w:ascii="Book Antiqua" w:hAnsi="Book Antiqua" w:cs="Times New Roman"/>
          <w:sz w:val="24"/>
          <w:szCs w:val="24"/>
          <w:lang w:val="en-US"/>
        </w:rPr>
        <w:t>irst</w:t>
      </w:r>
      <w:r w:rsidR="00152031"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 large group of carcinomas do not fall into the two main types of carcinomas, intestinal or diffuse. This group of </w:t>
      </w:r>
      <w:r w:rsidR="003F45E7" w:rsidRPr="005C7810">
        <w:rPr>
          <w:rFonts w:ascii="Book Antiqua" w:hAnsi="Book Antiqua" w:cs="Times New Roman"/>
          <w:sz w:val="24"/>
          <w:szCs w:val="24"/>
          <w:lang w:val="en-US"/>
        </w:rPr>
        <w:t>“</w:t>
      </w:r>
      <w:r w:rsidRPr="005C7810">
        <w:rPr>
          <w:rFonts w:ascii="Book Antiqua" w:hAnsi="Book Antiqua" w:cs="Times New Roman"/>
          <w:sz w:val="24"/>
          <w:szCs w:val="24"/>
          <w:lang w:val="en-US"/>
        </w:rPr>
        <w:t>unclassified</w:t>
      </w:r>
      <w:r w:rsidR="003F45E7"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or </w:t>
      </w:r>
      <w:r w:rsidR="003F45E7" w:rsidRPr="005C7810">
        <w:rPr>
          <w:rFonts w:ascii="Book Antiqua" w:hAnsi="Book Antiqua" w:cs="Times New Roman"/>
          <w:sz w:val="24"/>
          <w:szCs w:val="24"/>
          <w:lang w:val="en-US"/>
        </w:rPr>
        <w:t>“</w:t>
      </w:r>
      <w:r w:rsidRPr="005C7810">
        <w:rPr>
          <w:rFonts w:ascii="Book Antiqua" w:hAnsi="Book Antiqua" w:cs="Times New Roman"/>
          <w:sz w:val="24"/>
          <w:szCs w:val="24"/>
          <w:lang w:val="en-US"/>
        </w:rPr>
        <w:t>undetermined</w:t>
      </w:r>
      <w:r w:rsidR="003F45E7"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gastric carcinomas include undifferentiated carcinomas and carcinomas that have dual differentiation (mixed intestinal and diffuse carcinomas). </w:t>
      </w:r>
      <w:r w:rsidR="00152031" w:rsidRPr="005C7810">
        <w:rPr>
          <w:rFonts w:ascii="Book Antiqua" w:hAnsi="Book Antiqua" w:cs="Times New Roman"/>
          <w:sz w:val="24"/>
          <w:szCs w:val="24"/>
          <w:lang w:val="en-US"/>
        </w:rPr>
        <w:t xml:space="preserve">Second, there </w:t>
      </w:r>
      <w:r w:rsidR="00B715D2" w:rsidRPr="005C7810">
        <w:rPr>
          <w:rFonts w:ascii="Book Antiqua" w:hAnsi="Book Antiqua" w:cs="Times New Roman"/>
          <w:sz w:val="24"/>
          <w:szCs w:val="24"/>
          <w:lang w:val="en-US"/>
        </w:rPr>
        <w:t>has been</w:t>
      </w:r>
      <w:r w:rsidRPr="005C7810">
        <w:rPr>
          <w:rFonts w:ascii="Book Antiqua" w:hAnsi="Book Antiqua" w:cs="Times New Roman"/>
          <w:sz w:val="24"/>
          <w:szCs w:val="24"/>
          <w:lang w:val="en-US"/>
        </w:rPr>
        <w:t xml:space="preserve"> confusion </w:t>
      </w:r>
      <w:r w:rsidR="00B715D2" w:rsidRPr="005C7810">
        <w:rPr>
          <w:rFonts w:ascii="Book Antiqua" w:hAnsi="Book Antiqua" w:cs="Times New Roman"/>
          <w:sz w:val="24"/>
          <w:szCs w:val="24"/>
          <w:lang w:val="en-US"/>
        </w:rPr>
        <w:t>regarding</w:t>
      </w:r>
      <w:r w:rsidRPr="005C7810">
        <w:rPr>
          <w:rFonts w:ascii="Book Antiqua" w:hAnsi="Book Antiqua" w:cs="Times New Roman"/>
          <w:sz w:val="24"/>
          <w:szCs w:val="24"/>
          <w:lang w:val="en-US"/>
        </w:rPr>
        <w:t xml:space="preserve"> the “intestinal” term. Therefore, a change to </w:t>
      </w:r>
      <w:r w:rsidR="00D33D33" w:rsidRPr="005C7810">
        <w:rPr>
          <w:rFonts w:ascii="Book Antiqua" w:hAnsi="Book Antiqua" w:cs="Times New Roman"/>
          <w:sz w:val="24"/>
          <w:szCs w:val="24"/>
          <w:lang w:val="en-US"/>
        </w:rPr>
        <w:t>Lauren’s</w:t>
      </w:r>
      <w:r w:rsidRPr="005C7810">
        <w:rPr>
          <w:rFonts w:ascii="Book Antiqua" w:hAnsi="Book Antiqua" w:cs="Times New Roman"/>
          <w:sz w:val="24"/>
          <w:szCs w:val="24"/>
          <w:lang w:val="en-US"/>
        </w:rPr>
        <w:t xml:space="preserve"> classification </w:t>
      </w:r>
      <w:r w:rsidR="00D33D33" w:rsidRPr="005C7810">
        <w:rPr>
          <w:rFonts w:ascii="Book Antiqua" w:hAnsi="Book Antiqua" w:cs="Times New Roman"/>
          <w:sz w:val="24"/>
          <w:szCs w:val="24"/>
          <w:lang w:val="en-US"/>
        </w:rPr>
        <w:t>has been</w:t>
      </w:r>
      <w:r w:rsidRPr="005C7810">
        <w:rPr>
          <w:rFonts w:ascii="Book Antiqua" w:hAnsi="Book Antiqua" w:cs="Times New Roman"/>
          <w:sz w:val="24"/>
          <w:szCs w:val="24"/>
          <w:lang w:val="en-US"/>
        </w:rPr>
        <w:t xml:space="preserve"> proposed in which GCs are classified into four subtypes: glandular, solid, isolated cell type, and mixed carcinoma</w:t>
      </w:r>
      <w:r w:rsidR="008A5F56"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{"citationItems":[{"id":"ITEM-1","itemData":{"DOI":"10.1016/S0344-0338(11)80878-2","ISSN":"03440338","abstract":"Based upon the results of a thorough study of 213 patients submitted to potentially curative resection we propose the following histologic classification of gastric carcinoma: isolated-cell carcinoma (6.6%), glandular carcinoma (41.8%), solid carcinoma, (13.1 %) and mixed carcinoma (38.S%). Half of the mixed carcinomas displayed a predominant isolated-cell pattern, whereas in the other half the isolated-cells were a minor component (the predominant component being either glandular, solid, or both). The survival of patients with mixed carcinomas is significantly worse than those of patients with other histologic types of gastric carcinoma regardless of the site of tumors and the inclusion, or not, in the series, of post-operative deaths. The proposed classification keeps its independent prognostic significance in a multifactorial analysis, appearing as the second most important prognostic factor in patients with gastric carcinomas, after the TNM staging and before venous invasion. © 1995, Gustav Fischer Verlag · Stuttgart · Jena · New York. All rights reserved.","author":[{"dropping-particle":"","family":"Carneiro","given":"F.","non-dropping-particle":"","parse-names":false,"suffix":""},{"dropping-particle":"","family":"Seixas","given":"M.","non-dropping-particle":"","parse-names":false,"suffix":""},{"dropping-particle":"","family":"Sobrinho-Simões","given":"M.","non-dropping-particle":"","parse-names":false,"suffix":""}],"container-title":"Pathology Research and Practice","id":"ITEM-1","issue":"6","issued":{"date-parts":[["1995"]]},"page":"571-584","title":"New Elements for an Updated Classification of the Carcinomas of the Stomach","type":"article-journal","volume":"191"},"uris":["http://www.mendeley.com/documents/?uuid=724c9603-79d5-47bb-ba3e-2bfeeb3e0624","http://www.mendeley.com/documents/?uuid=5577099b-0f9d-4f7f-a636-425673b3500e"]}],"mendeley":{"formattedCitation":"&lt;sup&gt;[21]&lt;/sup&gt;","plainTextFormattedCitation":"[21]","previouslyFormattedCitation":"&lt;sup&gt;[21]&lt;/sup&gt;"},"properties":{"noteIndex":0},"schema":"https://github.com/citation-style-language/schema/raw/master/csl-citation.json"}</w:instrText>
      </w:r>
      <w:r w:rsidR="008A5F56"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[21]</w:t>
      </w:r>
      <w:r w:rsidR="008A5F56"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w:t>
      </w:r>
    </w:p>
    <w:p w:rsidR="00B8125B" w:rsidRPr="005C7810" w:rsidRDefault="00B8125B" w:rsidP="00CD380F">
      <w:pPr>
        <w:snapToGrid w:val="0"/>
        <w:spacing w:after="0" w:line="360" w:lineRule="auto"/>
        <w:jc w:val="both"/>
        <w:rPr>
          <w:rFonts w:ascii="Book Antiqua" w:hAnsi="Book Antiqua" w:cs="Times New Roman"/>
          <w:sz w:val="24"/>
          <w:szCs w:val="24"/>
          <w:lang w:val="en-US"/>
        </w:rPr>
      </w:pPr>
    </w:p>
    <w:p w:rsidR="00B8125B" w:rsidRPr="005C7810" w:rsidRDefault="00B8125B"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MOLECULAR CHARACTERIZATION OF GC</w:t>
      </w:r>
    </w:p>
    <w:p w:rsidR="00B8125B" w:rsidRPr="005C7810" w:rsidRDefault="00B8125B"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lastRenderedPageBreak/>
        <w:t xml:space="preserve">Advances in </w:t>
      </w:r>
      <w:r w:rsidR="00EC21C9" w:rsidRPr="005C7810">
        <w:rPr>
          <w:rFonts w:ascii="Book Antiqua" w:hAnsi="Book Antiqua" w:cs="Times New Roman"/>
          <w:sz w:val="24"/>
          <w:szCs w:val="24"/>
          <w:lang w:val="en-US"/>
        </w:rPr>
        <w:t>next-generation sequencing (</w:t>
      </w:r>
      <w:r w:rsidRPr="005C7810">
        <w:rPr>
          <w:rFonts w:ascii="Book Antiqua" w:hAnsi="Book Antiqua" w:cs="Times New Roman"/>
          <w:sz w:val="24"/>
          <w:szCs w:val="24"/>
          <w:lang w:val="en-US"/>
        </w:rPr>
        <w:t>NGS</w:t>
      </w:r>
      <w:r w:rsidR="00EC21C9" w:rsidRPr="005C7810">
        <w:rPr>
          <w:rFonts w:ascii="Book Antiqua" w:hAnsi="Book Antiqua" w:cs="Times New Roman"/>
          <w:sz w:val="24"/>
          <w:szCs w:val="24"/>
          <w:lang w:val="en-US"/>
        </w:rPr>
        <w:t>)</w:t>
      </w:r>
      <w:r w:rsidR="001F7B52" w:rsidRPr="005C7810">
        <w:rPr>
          <w:rFonts w:ascii="Book Antiqua" w:hAnsi="Book Antiqua" w:cs="Times New Roman"/>
          <w:sz w:val="24"/>
          <w:szCs w:val="24"/>
          <w:lang w:val="en-US"/>
        </w:rPr>
        <w:t xml:space="preserve"> and microarray</w:t>
      </w:r>
      <w:r w:rsidRPr="005C7810">
        <w:rPr>
          <w:rFonts w:ascii="Book Antiqua" w:hAnsi="Book Antiqua" w:cs="Times New Roman"/>
          <w:sz w:val="24"/>
          <w:szCs w:val="24"/>
          <w:lang w:val="en-US"/>
        </w:rPr>
        <w:t xml:space="preserve"> technologies and a better understanding of cancer biology have provided opportunities to characterize the genome of tumors including GC. The molecular profile of the GC has enabled </w:t>
      </w:r>
      <w:r w:rsidR="00324C5B" w:rsidRPr="005C7810">
        <w:rPr>
          <w:rFonts w:ascii="Book Antiqua" w:hAnsi="Book Antiqua" w:cs="Times New Roman"/>
          <w:sz w:val="24"/>
          <w:szCs w:val="24"/>
          <w:lang w:val="en-US"/>
        </w:rPr>
        <w:t>The Cancer Genome Atlas (</w:t>
      </w:r>
      <w:r w:rsidR="001C7BBB" w:rsidRPr="005C7810">
        <w:rPr>
          <w:rFonts w:ascii="Book Antiqua" w:hAnsi="Book Antiqua" w:cs="Times New Roman"/>
          <w:sz w:val="24"/>
          <w:szCs w:val="24"/>
          <w:lang w:val="en-US"/>
        </w:rPr>
        <w:t>TCGA</w:t>
      </w:r>
      <w:r w:rsidR="00324C5B"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the </w:t>
      </w:r>
      <w:r w:rsidR="00324C5B" w:rsidRPr="005C7810">
        <w:rPr>
          <w:rFonts w:ascii="Book Antiqua" w:hAnsi="Book Antiqua" w:cs="Times New Roman"/>
          <w:sz w:val="24"/>
          <w:szCs w:val="24"/>
          <w:lang w:val="en-US"/>
        </w:rPr>
        <w:t>Asian Cancer Research Group (</w:t>
      </w:r>
      <w:r w:rsidR="001C7BBB" w:rsidRPr="005C7810">
        <w:rPr>
          <w:rFonts w:ascii="Book Antiqua" w:hAnsi="Book Antiqua" w:cs="Times New Roman"/>
          <w:sz w:val="24"/>
          <w:szCs w:val="24"/>
          <w:lang w:val="en-US"/>
        </w:rPr>
        <w:t>ACRG</w:t>
      </w:r>
      <w:r w:rsidR="00324C5B"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to classify GC into subtypes. The new molecular classification of GC is complementary to the subtyping classification based on histopathological characteristics. It is important to note that the molecular classification of GC helps to identify the molecular alterations that may be targeted by therapy. Furthermore, the molecular profiles of GCs obtained from individual patients</w:t>
      </w:r>
      <w:r w:rsidR="00D0072F" w:rsidRPr="005C7810">
        <w:rPr>
          <w:rFonts w:ascii="Book Antiqua" w:hAnsi="Book Antiqua" w:cs="Times New Roman"/>
          <w:sz w:val="24"/>
          <w:szCs w:val="24"/>
          <w:lang w:val="en-US"/>
        </w:rPr>
        <w:t xml:space="preserve"> ha</w:t>
      </w:r>
      <w:r w:rsidR="004319C2" w:rsidRPr="005C7810">
        <w:rPr>
          <w:rFonts w:ascii="Book Antiqua" w:hAnsi="Book Antiqua" w:cs="Times New Roman"/>
          <w:sz w:val="24"/>
          <w:szCs w:val="24"/>
          <w:lang w:val="en-US"/>
        </w:rPr>
        <w:t xml:space="preserve">ve </w:t>
      </w:r>
      <w:r w:rsidRPr="005C7810">
        <w:rPr>
          <w:rFonts w:ascii="Book Antiqua" w:hAnsi="Book Antiqua" w:cs="Times New Roman"/>
          <w:sz w:val="24"/>
          <w:szCs w:val="24"/>
          <w:lang w:val="en-US"/>
        </w:rPr>
        <w:t xml:space="preserve">offered new </w:t>
      </w:r>
      <w:r w:rsidR="00E02F5F" w:rsidRPr="005C7810">
        <w:rPr>
          <w:rFonts w:ascii="Book Antiqua" w:hAnsi="Book Antiqua" w:cs="Times New Roman"/>
          <w:sz w:val="24"/>
          <w:szCs w:val="24"/>
          <w:lang w:val="en-US"/>
        </w:rPr>
        <w:t>o</w:t>
      </w:r>
      <w:r w:rsidRPr="005C7810">
        <w:rPr>
          <w:rFonts w:ascii="Book Antiqua" w:hAnsi="Book Antiqua" w:cs="Times New Roman"/>
          <w:sz w:val="24"/>
          <w:szCs w:val="24"/>
          <w:lang w:val="en-US"/>
        </w:rPr>
        <w:t>pportunities to identify biomarkers that can be predictive of the tumor response to treatment</w:t>
      </w:r>
      <w:r w:rsidR="00E02F5F"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{"citationItems":[{"id":"ITEM-1","itemData":{"DOI":"10.1080/15384047.2015.1026479","ISBN":"1538-4047","ISSN":"15558576","PMID":"25778705","abstract":"Background: NCCN states that chemotherapies for advanced esophageal and gastric cancers may be used interchangeably. Biomarkers from gastroesophageal cancer patients were interrogated to identify actionable alterations with therapeutic implications. Methods: 666 gastric and 640 esophageal cancer cases referred to Caris Life Sciences between 2009 thru 2013 were evaluated. Specific testing was performed, which included a combination of sequencing (Sanger, NGS) and protein expression (IHC). Results: In the complete cohort (n D 1306), 30 of 45 genes tested harbored mutations; highest rates were seen in TP53 (54%), APC (10%), SMAD4 (5.9%), KRAS (5.9%), and PIK3CA (5.1%). IHC of TOP2A was high in 76% of cases, TOPO1 in 51% and SPARC in 25%; low IHC of ERCC1 was seen in 65%, RRM1 in 62%, TS in 61% and MGMT in 45%, indicating potential benefit from epirubicin, irinotecan, nab-paclitaxel, platinum-based agents, gemcitabine, 5FU/capecitabine and temozolomide, respectively. In the HER2C cohort (n D 88), 50% of patients demonstrated possible benefit from a combination of trastuzumab with 5FU/capecitabine based on concurrent low TS, 53% with irinotecan (high TOPO1), 63% with cisplatin (low ERCC1) and 55% with gemcitabine (low RRM1). Subgroup analysis by tumor origin demonstrated significant differences in actionable biomarker profiles with HER2 (13% vs. 4.6%), SPARC (34% vs. 15%), TOP2A (86% vs. 67%), and TOPO1 (55% vs. 46%) in esophageal and gastric adenocarcinoma cases respectively (P &lt; 0.05). Conclusion: A comprehensive multiplatform biomarker analysis suggested significant biomarker differences between gastric and esophageal cancers. These results can assist in the development of future clinical trials.","author":[{"dropping-particle":"","family":"Miura","given":"John T.","non-dropping-particle":"","parse-names":false,"suffix":""},{"dropping-particle":"","family":"Xiu","given":"Joanne","non-dropping-particle":"","parse-names":false,"suffix":""},{"dropping-particle":"","family":"Thomas","given":"James","non-dropping-particle":"","parse-names":false,"suffix":""},{"dropping-particle":"","family":"George","given":"Ben","non-dropping-particle":"","parse-names":false,"suffix":""},{"dropping-particle":"","family":"Carron","given":"Benjamin R.","non-dropping-particle":"","parse-names":false,"suffix":""},{"dropping-particle":"","family":"Tsai","given":"Susan","non-dropping-particle":"","parse-names":false,"suffix":""},{"dropping-particle":"","family":"Johnston","given":"Fabian M.","non-dropping-particle":"","parse-names":false,"suffix":""},{"dropping-particle":"","family":"Turaga","given":"Kiran K.","non-dropping-particle":"","parse-names":false,"suffix":""},{"dropping-particle":"","family":"Gamblin","given":"T. Clark","non-dropping-particle":"","parse-names":false,"suffix":""}],"container-title":"Cancer Biology and Therapy","id":"ITEM-1","issue":"5","issued":{"date-parts":[["2015"]]},"page":"764-769","title":"Tumor profiling of gastric and esophageal carcinoma reveal different treatment options","type":"article-journal","volume":"16"},"uris":["http://www.mendeley.com/documents/?uuid=a31823ab-4504-49c8-8875-5b606977c6ed","http://www.mendeley.com/documents/?uuid=1a0942a2-f6ab-4e23-887d-1542960d9234"]},{"id":"ITEM-2","itemData":{"DOI":"10.1136/gutjnl-2011-301839","ISBN":"0017-5749\\r1468-3288","ISSN":"00175749","PMID":"22315472","abstract":"OBJECTIVE Gastric cancer is a major gastrointestinal malignancy for which targeted therapies are emerging as treatment options. This study sought to identify the most prevalent molecular targets in gastric cancer and to elucidate systematic patterns of exclusivity and co-occurrence among these targets, through comprehensive genomic analysis of a large panel of gastric cancers. DESIGN Using high-resolution single nucleotide polymorphism arrays, copy number alterations were profiled in a panel of 233 gastric cancers (193 primary tumours, 40 cell lines) and 98 primary matched gastric non-malignant samples. For selected alterations, their impact on gene expression and clinical outcome were evaluated. RESULTS 22 recurrent focal alterations (13 amplifications and nine deletions) were identified. These included both known targets (FGFR2, ERBB2) and also novel genes in gastric cancer (KLF5, GATA6). Receptor tyrosine kinase (RTK)/RAS alterations were found to be frequent in gastric cancer. This study also demonstrates, for the first time, that these alterations occur in a mutually exclusive fashion, with KRAS gene amplifications highlighting a clinically relevant but previously underappreciated gastric cancer subgroup. FGFR2-amplified gastric cancers were also shown to be sensitive to dovitinib, an orally bioavailable FGFR/VEGFR targeting agent, potentially representing a subtype-specific therapy for FGFR2-amplified gastric cancers. CONCLUSION The study demonstrates the existence of five distinct gastric cancer patient subgroups, defined by the signature genomic alterations FGFR2 (9% of tumours), KRAS (9%), EGFR (8%), ERBB2 (7%) and MET (4%). Collectively, these subgroups suggest that at least 37% of gastric cancer patients may be potentially treatable by RTK/RAS directed therapies.","author":[{"dropping-particle":"","family":"Deng","given":"Niantao","non-dropping-particle":"","parse-names":false,"suffix":""},{"dropping-particle":"","family":"Goh","given":"Liang Kee","non-dropping-particle":"","parse-names":false,"suffix":""},{"dropping-particle":"","family":"Wang","given":"Hannah","non-dropping-particle":"","parse-names":false,"suffix":""},{"dropping-particle":"","family":"Das","given":"Kakoli","non-dropping-particle":"","parse-names":false,"suffix":""},{"dropping-particle":"","family":"Tao","given":"Jiong","non-dropping-particle":"","parse-names":false,"suffix":""},{"dropping-particle":"","family":"Tan","given":"Iain Beehuat","non-dropping-particle":"","parse-names":false,"suffix":""},{"dropping-particle":"","family":"Zhang","given":"Shenli","non-dropping-particle":"","parse-names":false,"suffix":""},{"dropping-particle":"","family":"Lee","given":"Minghui","non-dropping-particle":"","parse-names":false,"suffix":""},{"dropping-particle":"","family":"Wu","given":"Jeanie","non-dropping-particle":"","parse-names":false,"suffix":""},{"dropping-particle":"","family":"Lim","given":"Kiat Hon","non-dropping-particle":"","parse-names":false,"suffix":""},{"dropping-particle":"","family":"Lei","given":"Zhengdeng","non-dropping-particle":"","parse-names":false,"suffix":""},{"dropping-particle":"","family":"Goh","given":"Glenn","non-dropping-particle":"","parse-names":false,"suffix":""},{"dropping-particle":"","family":"Lim","given":"Qing Yan","non-dropping-particle":"","parse-names":false,"suffix":""},{"dropping-particle":"","family":"Tan","given":"Angie Lay Keng","non-dropping-particle":"","parse-names":false,"suffix":""},{"dropping-particle":"","family":"Poh","given":"Dianne Yu Sin","non-dropping-particle":"","parse-names":false,"suffix":""},{"dropping-particle":"","family":"Riahi","given":"Sudep","non-dropping-particle":"","parse-names":false,"suffix":""},{"dropping-particle":"","family":"Bell","given":"Sandra","non-dropping-particle":"","parse-names":false,"suffix":""},{"dropping-particle":"","family":"Shi","given":"Michael M.","non-dropping-particle":"","parse-names":false,"suffix":""},{"dropping-particle":"","family":"Linnartz","given":"Ronald","non-dropping-particle":"","parse-names":false,"suffix":""},{"dropping-particle":"","family":"Zhu","given":"Feng","non-dropping-particle":"","parse-names":false,"suffix":""},{"dropping-particle":"","family":"Yeoh","given":"Khay Guan","non-dropping-particle":"","parse-names":false,"suffix":""},{"dropping-particle":"","family":"Toh","given":"Han Chong","non-dropping-particle":"","parse-names":false,"suffix":""},{"dropping-particle":"","family":"Yong","given":"Wei Peng","non-dropping-particle":"","parse-names":false,"suffix":""},{"dropping-particle":"","family":"Cheong","given":"Hyun Cheol","non-dropping-particle":"","parse-names":false,"suffix":""},{"dropping-particle":"","family":"Rha","given":"Sun Young","non-dropping-particle":"","parse-names":false,"suffix":""},{"dropping-particle":"","family":"Boussioutas","given":"Alex","non-dropping-particle":"","parse-names":false,"suffix":""},{"dropping-particle":"","family":"Grabsch","given":"Heike","non-dropping-particle":"","parse-names":false,"suffix":""},{"dropping-particle":"","family":"Rozen","given":"Steve","non-dropping-particle":"","parse-names":false,"suffix":""},{"dropping-particle":"","family":"Tan","given":"Patrick","non-dropping-particle":"","parse-names":false,"suffix":""}],"container-title":"Gut","id":"ITEM-2","issue":"5","issued":{"date-parts":[["2012"]]},"page":"673-684","title":"A comprehensive survey of genomic alterations in gastric cancer reveals systematic patterns of molecular exclusivity and co-occurrence among distinct therapeutic targets","type":"article-journal","volume":"61"},"uris":["http://www.mendeley.com/documents/?uuid=5fc7cfa7-deb4-4471-b38f-92b79f80daba","http://www.mendeley.com/documents/?uuid=e9699b02-627e-4e36-8d45-b9ea3e341301"]},{"id":"ITEM-3","itemData":{"DOI":"10.1634/theoncologist.2014-0378","ISSN":"1083-7159","PMID":"25882375","abstract":"Background: Gastric cancer (GC) is a major global cancer burden and the second most common cause of global cancer-related deaths. The addn. of anti-ERBB2 (HER2) targeted therapy to chemotherapy improves survival for ERBB2-amplified advanced GC patients; however, the majority of GC patients do not harbor this alteration and thus cannot benefit from targeted therapy under current practice paradigms. Materials and Methods: Prospective comprehensive genomic profiling of 116 predominantly locally advanced or metastatic (90.0%) gastric cancer cases was performed to identify genomic alterations (GAs) assocd. with a potential response to targeted therapies approved by the U.S. Food and Drug Administration or targeted therapy-based clin. trials. Results: Overall, 78% of GC cases harbored one clin. relevant GA or more, with the most frequent alterations being found in TP53 (50%), ARID1A (24%), KRAS (16%), CDH1 (15%), CDKN2A (14%), CCND1 (9.5%), ERBB2 (8.5%), PIK3CA (8.6%), MLL2 (6.9%), FGFR2 (6.0%), and MET (6.0%). Receptor tyrosine kinase genomic alterations were detected in 20.6% of cases, primarily ERBB2, FGFR2, and MET amplification, with ERBB2 alterations evenly split between amplifications and base substitutions. Rare BRAF mutations (2.6%) were also obsd. One MET-amplified GC patient responded for 5 mo to crizotinib, a multitargeted ALK/ROS1/MET inhibitor. Conclusion: Comprehensive genomic profiling of GC identifies clin. relevant GAs that suggest benefit from targeted therapy including MET-amplified GC and ERBB2 base substitutions. [on SciFinder(R)]","author":[{"dropping-particle":"V.","family":"Catenacci","given":"D.","non-dropping-particle":"","parse-names":false,"suffix":""},{"dropping-particle":"","family":"Stephens","given":"P. J.","non-dropping-particle":"","parse-names":false,"suffix":""},{"dropping-particle":"","family":"Ou","given":"S.-H. I.","non-dropping-particle":"","parse-names":false,"suffix":""},{"dropping-particle":"","family":"Ali","given":"S. M.","non-dropping-particle":"","parse-names":false,"suffix":""},{"dropping-particle":"","family":"Chmielecki","given":"J.","non-dropping-particle":"","parse-names":false,"suffix":""},{"dropping-particle":"","family":"Palmer","given":"G. A.","non-dropping-particle":"","parse-names":false,"suffix":""},{"dropping-particle":"","family":"Yelensky","given":"R.","non-dropping-particle":"","parse-names":false,"suffix":""},{"dropping-particle":"","family":"Ross","given":"J. S.","non-dropping-particle":"","parse-names":false,"suffix":""},{"dropping-particle":"","family":"Miller","given":"V. A.","non-dropping-particle":"","parse-names":false,"suffix":""},{"dropping-particle":"","family":"Erlich","given":"R.","non-dropping-particle":"","parse-names":false,"suffix":""},{"dropping-particle":"","family":"Sanford","given":"E. M.","non-dropping-particle":"","parse-names":false,"suffix":""},{"dropping-particle":"","family":"Klempner","given":"S. J.","non-dropping-particle":"","parse-names":false,"suffix":""},{"dropping-particle":"","family":"Morosini","given":"D.","non-dropping-particle":"","parse-names":false,"suffix":""},{"dropping-particle":"","family":"Rubinson","given":"D. A.","non-dropping-particle":"","parse-names":false,"suffix":""},{"dropping-particle":"","family":"Wang","given":"K.","non-dropping-particle":"","parse-names":false,"suffix":""},{"dropping-particle":"","family":"Palma","given":"N. A.","non-dropping-particle":"","parse-names":false,"suffix":""},{"dropping-particle":"","family":"Braiteh","given":"F.","non-dropping-particle":"","parse-names":false,"suffix":""},{"dropping-particle":"","family":"Lipson","given":"D.","non-dropping-particle":"","parse-names":false,"suffix":""}],"container-title":"The Oncologist","id":"ITEM-3","issue":"5","issued":{"date-parts":[["2015"]]},"page":"499-507","title":"Prospective Comprehensive Genomic Profiling of Advanced Gastric Carcinoma Cases Reveals Frequent Clinically Relevant Genomic Alterations and New Routes for Targeted Therapies","type":"article-journal","volume":"20"},"uris":["http://www.mendeley.com/documents/?uuid=26da5607-7023-4f31-971a-1b50b9f81ae6","http://www.mendeley.com/documents/?uuid=d199d697-e235-4d65-af61-069bfbf30d6a"]}],"mendeley":{"formattedCitation":"&lt;sup&gt;[22–24]&lt;/sup&gt;","plainTextFormattedCitation":"[22–24]","previouslyFormattedCitation":"&lt;sup&gt;[22–24]&lt;/sup&gt;"},"properties":{"noteIndex":0},"schema":"https://github.com/citation-style-language/schema/raw/master/csl-citation.json"}</w:instrText>
      </w:r>
      <w:r w:rsidR="00E02F5F"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[22–24]</w:t>
      </w:r>
      <w:r w:rsidR="00E02F5F"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and to guide the selection of cytotoxic drugs and targeted therapies. TCGA and ACRG classifications of GC should facilitate the development of personalized prognosis and treatment, as well as better patient stratification for the design of clinical trials. The molecular characterization of GC from TCGA has used different platforms, including exome sequencing, DNA copy number analysis, DNA methylation, mRNA and microRNA (miRNA) expression. It divides GC into four subtypes: Epstein-Barr virus (</w:t>
      </w:r>
      <w:r w:rsidR="00991557" w:rsidRPr="005C7810">
        <w:rPr>
          <w:rFonts w:ascii="Book Antiqua" w:hAnsi="Book Antiqua" w:cs="Times New Roman"/>
          <w:sz w:val="24"/>
          <w:szCs w:val="24"/>
          <w:lang w:val="en-US"/>
        </w:rPr>
        <w:t>EBV)</w:t>
      </w:r>
      <w:r w:rsidR="00B43FEE" w:rsidRPr="005C7810">
        <w:rPr>
          <w:rFonts w:ascii="Book Antiqua" w:hAnsi="Book Antiqua" w:cs="Times New Roman"/>
          <w:sz w:val="24"/>
          <w:szCs w:val="24"/>
          <w:lang w:val="en-US"/>
        </w:rPr>
        <w:t>-positive</w:t>
      </w:r>
      <w:r w:rsidR="00991557" w:rsidRPr="005C7810">
        <w:rPr>
          <w:rFonts w:ascii="Book Antiqua" w:hAnsi="Book Antiqua" w:cs="Times New Roman"/>
          <w:sz w:val="24"/>
          <w:szCs w:val="24"/>
          <w:lang w:val="en-US"/>
        </w:rPr>
        <w:t>, microsatellite instable (MSI), chromosomal instability</w:t>
      </w:r>
      <w:r w:rsidRPr="005C7810">
        <w:rPr>
          <w:rFonts w:ascii="Book Antiqua" w:hAnsi="Book Antiqua" w:cs="Times New Roman"/>
          <w:sz w:val="24"/>
          <w:szCs w:val="24"/>
          <w:lang w:val="en-US"/>
        </w:rPr>
        <w:t xml:space="preserve"> (CIN), </w:t>
      </w:r>
      <w:r w:rsidR="00B43FEE" w:rsidRPr="005C7810">
        <w:rPr>
          <w:rFonts w:ascii="Book Antiqua" w:hAnsi="Book Antiqua" w:cs="Times New Roman"/>
          <w:sz w:val="24"/>
          <w:szCs w:val="24"/>
          <w:lang w:val="en-US"/>
        </w:rPr>
        <w:t xml:space="preserve">and </w:t>
      </w:r>
      <w:r w:rsidRPr="005C7810">
        <w:rPr>
          <w:rFonts w:ascii="Book Antiqua" w:hAnsi="Book Antiqua" w:cs="Times New Roman"/>
          <w:sz w:val="24"/>
          <w:szCs w:val="24"/>
          <w:lang w:val="en-US"/>
        </w:rPr>
        <w:t>g</w:t>
      </w:r>
      <w:r w:rsidR="00574CCC" w:rsidRPr="005C7810">
        <w:rPr>
          <w:rFonts w:ascii="Book Antiqua" w:hAnsi="Book Antiqua" w:cs="Times New Roman"/>
          <w:sz w:val="24"/>
          <w:szCs w:val="24"/>
          <w:lang w:val="en-US"/>
        </w:rPr>
        <w:t>enomically stable (GS) (Figure 2</w:t>
      </w:r>
      <w:r w:rsidRPr="005C7810">
        <w:rPr>
          <w:rFonts w:ascii="Book Antiqua" w:hAnsi="Book Antiqua" w:cs="Times New Roman"/>
          <w:sz w:val="24"/>
          <w:szCs w:val="24"/>
          <w:lang w:val="en-US"/>
        </w:rPr>
        <w:t xml:space="preserve">). Each of these GC subtypes is characterized by distinct features that provide prognostic information and suggest </w:t>
      </w:r>
      <w:r w:rsidR="00A17A46" w:rsidRPr="005C7810">
        <w:rPr>
          <w:rFonts w:ascii="Book Antiqua" w:hAnsi="Book Antiqua" w:cs="Times New Roman"/>
          <w:sz w:val="24"/>
          <w:szCs w:val="24"/>
          <w:lang w:val="en-US"/>
        </w:rPr>
        <w:t xml:space="preserve">the </w:t>
      </w:r>
      <w:r w:rsidRPr="005C7810">
        <w:rPr>
          <w:rFonts w:ascii="Book Antiqua" w:hAnsi="Book Antiqua" w:cs="Times New Roman"/>
          <w:sz w:val="24"/>
          <w:szCs w:val="24"/>
          <w:lang w:val="en-US"/>
        </w:rPr>
        <w:t>potential benefits of targeted therapy.</w:t>
      </w:r>
    </w:p>
    <w:p w:rsidR="00B8125B" w:rsidRPr="005C7810" w:rsidRDefault="006D1962"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ab/>
      </w:r>
      <w:r w:rsidR="00B8125B" w:rsidRPr="005C7810">
        <w:rPr>
          <w:rFonts w:ascii="Book Antiqua" w:hAnsi="Book Antiqua" w:cs="Times New Roman"/>
          <w:sz w:val="24"/>
          <w:szCs w:val="24"/>
          <w:lang w:val="en-US"/>
        </w:rPr>
        <w:t xml:space="preserve">EBV-positive tumors </w:t>
      </w:r>
      <w:r w:rsidR="00037E8E" w:rsidRPr="005C7810">
        <w:rPr>
          <w:rFonts w:ascii="Book Antiqua" w:hAnsi="Book Antiqua" w:cs="Times New Roman"/>
          <w:sz w:val="24"/>
          <w:szCs w:val="24"/>
          <w:lang w:val="en-US"/>
        </w:rPr>
        <w:t xml:space="preserve">have </w:t>
      </w:r>
      <w:r w:rsidR="00801A6C" w:rsidRPr="005C7810">
        <w:rPr>
          <w:rFonts w:ascii="Book Antiqua" w:hAnsi="Book Antiqua" w:cs="Times New Roman"/>
          <w:sz w:val="24"/>
          <w:szCs w:val="24"/>
          <w:lang w:val="en-US"/>
        </w:rPr>
        <w:t>mainly</w:t>
      </w:r>
      <w:r w:rsidR="00037E8E" w:rsidRPr="005C7810">
        <w:rPr>
          <w:rFonts w:ascii="Book Antiqua" w:hAnsi="Book Antiqua" w:cs="Times New Roman"/>
          <w:sz w:val="24"/>
          <w:szCs w:val="24"/>
          <w:lang w:val="en-US"/>
        </w:rPr>
        <w:t xml:space="preserve"> been</w:t>
      </w:r>
      <w:r w:rsidR="00801A6C"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found in the fundus and gastric body</w:t>
      </w:r>
      <w:r w:rsidR="002413D8" w:rsidRPr="005C7810">
        <w:rPr>
          <w:rFonts w:ascii="Book Antiqua" w:hAnsi="Book Antiqua" w:cs="Times New Roman"/>
          <w:sz w:val="24"/>
          <w:szCs w:val="24"/>
          <w:vertAlign w:val="superscript"/>
          <w:lang w:val="en-US"/>
        </w:rPr>
        <w:fldChar w:fldCharType="begin" w:fldLock="1"/>
      </w:r>
      <w:r w:rsidR="00265FF0" w:rsidRPr="005C7810">
        <w:rPr>
          <w:rFonts w:ascii="Book Antiqua" w:hAnsi="Book Antiqua" w:cs="Times New Roman"/>
          <w:sz w:val="24"/>
          <w:szCs w:val="24"/>
          <w:vertAlign w:val="superscript"/>
          <w:lang w:val="en-US"/>
        </w:rPr>
        <w:instrText>ADDIN CSL_CITATION {"citationItems":[{"id":"ITEM-1","itemData":{"ISSN":"1000467X","abstract":"AIM: To understand the expression of latent and lytic genes of Epstein-Barr virus (EBV) in EBV-associated gastric carcinoma (EBVaGC) and to explore the relationship between EBV-encoded genes and development of EBVaGC at molecular level. METHODS: One hundred and seventy-two gastric carcinoma tissues and 172 corresponding para-carcinoma tissues were tested for EBV genome by polymerase chain reaction (PCR)-Southern blotting. EBV-encoded small RNA (EBER) 1 of the PCR positive specimens was detected by in situ hybridization (ISH). Gastric carcinomas with positive EBER1 signals were classified as EBVaGCs. RT-PCR and Southern hybridization were applied to the detection of expression of nuclear antigen (EBNA) promoters (Qp, Wp and Cp), EBNA 1 and EBNA 2, latent membrane proteins (LMP) 1, 2A and 2B and lytic genes (immediate early genes BZLF1 and BRLF1, early genes BARF1 and BHRF1, late genes BcLF1 and BLLF1) in EBVaGCs. RESULTS: Eleven EBV positive samples existed in gastric carcinoma tissues (6.39%). No EBV positive sample was found in corresponding para-carcinoma tissues. The difference between EBV positivity in carcinoma tissues and corresponding para-carcinoma tissues was significant (chi(2) = 9.0909, P = 0.0026). Transcripts of Qp and EBNA1 were detected in all the 11 EBVaGCs, while both Wp and Cp were silent. EBNA2, LMP1 and LMP2B mRNA were absent in all the cases, while LMP2A mRNA was detected in 4 of the 11 cases. Of the 11 EBVaGCs, 7 exhibited BcLF1 transcripts and 2 exhibited BHRF1 transcripts. The transcripts of BZLF1 and BARF1 were detected in 5 cases, respectively. No BLLF1 and BRLF mRNA were detected. CONCLUSION: The latent pattern of EBV in gastric carcinoma corresponds to the latency I/II. Some lytic infection genes are expressed in EBVaGCs tissues. BARF1 and BHRF1 genes may play an important role in tumorigenesis of gastric carcinoma.","author":[{"dropping-particle":"","family":"Wang","given":"Yun","non-dropping-particle":"","parse-names":false,"suffix":""},{"dropping-particle":"","family":"Luo","given":"Bing","non-dropping-particle":"","parse-names":false,"suffix":""},{"dropping-particle":"","family":"Zhao","given":"Peng","non-dropping-particle":"","parse-names":false,"suffix":""},{"dropping-particle":"","family":"Huang","given":"Bao Hua","non-dropping-particle":"","parse-names":false,"suffix":""}],"container-title":"Ai zheng = Aizheng = Chinese journal of cancer","id":"ITEM-1","issue":"7","issued":{"date-parts":[["2004"]]},"page":"782-787","title":"Expression of Epstein-Barr virus genes in EBV-associated gastric carcinoma","type":"article-journal","volume":"23"},"uris":["http://www.mendeley.com/documents/?uuid=3a96b840-1680-4f8d-87f7-6b5699545690","http://www.mendeley.com/documents/?uuid=38ebc5be-797c-40b4-9cc0-c0f87a6f5478"]},{"id":"ITEM-2","itemData":{"DOI":"10.1111/j.1440-1746.2009.05775.x","ISSN":"14401746","abstract":"There is conflicting data regarding the clinicopathological significance of the risk factors associated with Epstein-Barr virus (EBV)-associated gastric carcinoma (EBVaGC). To address this controversy, we performed a meta-analysis for the clinicopathological and molecular characteristics of EBVaGC. The relevant published studies were reviewed according to the defined selection criteria. The effect sizes of the outcome parameters were estimated by an odds ratio or a weighted mean difference. This meta-analysis included 48 studies that encompassed a total of 9738 patients. The frequency of EBVaGC was 8.8%, and EBVaGC was significantly associated with ethnicity. It was more predominant in men and in younger individuals. Interestingly, EBVaGC was more prevalent in Caucasian and Hispanic patients than in Asian ones. EBVaGC developed most often in the cardia and body, and it generally showed the diffuse histological type. EBV was highly prevalent in the patients with lymphoepithelial carcinoma. EBVaGC was closely associated with remnant cancer and a CpG island methylator-high status, but not with Helicobacter pylori infection, a TP53 expression, and p53 mutation. In addition, EBVaGC was not significantly associated with the depth of invasion, lymph node metastasis, or the clinical stage. The clinicopathological and molecular characteristics of EBVaGC are quite different from those of conventional gastric adenocarcinoma. However, further study is needed to determine the effect of EBV on the survival of EBVaGC patients.","author":[{"dropping-particle":"","family":"Lee","given":"Ju Han","non-dropping-particle":"","parse-names":false,"suffix":""},{"dropping-particle":"","family":"Kim","given":"Seo Hee","non-dropping-particle":"","parse-names":false,"suffix":""},{"dropping-particle":"","family":"Han","given":"Sun Hee","non-dropping-particle":"","parse-names":false,"suffix":""},{"dropping-particle":"","family":"An","given":"Jung Suk","non-dropping-particle":"","parse-names":false,"suffix":""},{"dropping-particle":"","family":"Lee","given":"Eung Seok","non-dropping-particle":"","parse-names":false,"suffix":""},{"dropping-particle":"","family":"Kim","given":"Young Sik","non-dropping-particle":"","parse-names":false,"suffix":""}],"container-title":"Journal of Gastroenterology and Hepatology (Australia)","id":"ITEM-2","issue":"3","issued":{"date-parts":[["2009"]]},"page":"354-365","title":"Clinicopathological and molecular characteristics of Epstein-Barr virus-associated gastric carcinoma: A meta-analysis","type":"article-journal","volume":"24"},"uris":["http://www.mendeley.com/documents/?uuid=6d056266-d17e-4710-8c43-e46dd0bb8956","http://www.mendeley.com/documents/?uuid=f4f2e389-4c9f-4d1d-b244-ddd7e2df8cbe"]}],"mendeley":{"formattedCitation":"&lt;sup&gt;[25,26]&lt;/sup&gt;","manualFormatting":"[25-26]","plainTextFormattedCitation":"[25,26]","previouslyFormattedCitation":"&lt;sup&gt;[25,26]&lt;/sup&gt;"},"properties":{"noteIndex":0},"schema":"https://github.com/citation-style-language/schema/raw/master/csl-citation.json"}</w:instrText>
      </w:r>
      <w:r w:rsidR="002413D8" w:rsidRPr="005C7810">
        <w:rPr>
          <w:rFonts w:ascii="Book Antiqua" w:hAnsi="Book Antiqua" w:cs="Times New Roman"/>
          <w:sz w:val="24"/>
          <w:szCs w:val="24"/>
          <w:vertAlign w:val="superscript"/>
          <w:lang w:val="en-US"/>
        </w:rPr>
        <w:fldChar w:fldCharType="separate"/>
      </w:r>
      <w:r w:rsidR="005159EB" w:rsidRPr="005C7810">
        <w:rPr>
          <w:rFonts w:ascii="Book Antiqua" w:hAnsi="Book Antiqua" w:cs="Times New Roman"/>
          <w:sz w:val="24"/>
          <w:szCs w:val="24"/>
          <w:vertAlign w:val="superscript"/>
          <w:lang w:val="en-US"/>
        </w:rPr>
        <w:t>[25</w:t>
      </w:r>
      <w:r w:rsidR="008D6865" w:rsidRPr="005C7810">
        <w:rPr>
          <w:rFonts w:ascii="Book Antiqua" w:hAnsi="Book Antiqua" w:cs="Times New Roman"/>
          <w:sz w:val="24"/>
          <w:szCs w:val="24"/>
          <w:vertAlign w:val="superscript"/>
          <w:lang w:val="en-US"/>
        </w:rPr>
        <w:t>,</w:t>
      </w:r>
      <w:r w:rsidR="005159EB" w:rsidRPr="005C7810">
        <w:rPr>
          <w:rFonts w:ascii="Book Antiqua" w:hAnsi="Book Antiqua" w:cs="Times New Roman"/>
          <w:sz w:val="24"/>
          <w:szCs w:val="24"/>
          <w:vertAlign w:val="superscript"/>
          <w:lang w:val="en-US"/>
        </w:rPr>
        <w:t>26</w:t>
      </w:r>
      <w:r w:rsidR="00FC4E0E" w:rsidRPr="005C7810">
        <w:rPr>
          <w:rFonts w:ascii="Book Antiqua" w:hAnsi="Book Antiqua" w:cs="Times New Roman"/>
          <w:sz w:val="24"/>
          <w:szCs w:val="24"/>
          <w:vertAlign w:val="superscript"/>
          <w:lang w:val="en-US"/>
        </w:rPr>
        <w:t>]</w:t>
      </w:r>
      <w:r w:rsidR="002413D8" w:rsidRPr="005C7810">
        <w:rPr>
          <w:rFonts w:ascii="Book Antiqua" w:hAnsi="Book Antiqua" w:cs="Times New Roman"/>
          <w:sz w:val="24"/>
          <w:szCs w:val="24"/>
          <w:vertAlign w:val="superscript"/>
          <w:lang w:val="en-US"/>
        </w:rPr>
        <w:fldChar w:fldCharType="end"/>
      </w:r>
      <w:r w:rsidR="00801A6C"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represent about 9% of GC cases. High DNA hypermethylation </w:t>
      </w:r>
      <w:r w:rsidR="00801A6C" w:rsidRPr="005C7810">
        <w:rPr>
          <w:rFonts w:ascii="Book Antiqua" w:hAnsi="Book Antiqua" w:cs="Times New Roman"/>
          <w:sz w:val="24"/>
          <w:szCs w:val="24"/>
          <w:lang w:val="en-US"/>
        </w:rPr>
        <w:t xml:space="preserve">has been </w:t>
      </w:r>
      <w:r w:rsidR="00B8125B" w:rsidRPr="005C7810">
        <w:rPr>
          <w:rFonts w:ascii="Book Antiqua" w:hAnsi="Book Antiqua" w:cs="Times New Roman"/>
          <w:sz w:val="24"/>
          <w:szCs w:val="24"/>
          <w:lang w:val="en-US"/>
        </w:rPr>
        <w:t>demonstrated in EBV-positive tumors, particular</w:t>
      </w:r>
      <w:r w:rsidR="00801A6C" w:rsidRPr="005C7810">
        <w:rPr>
          <w:rFonts w:ascii="Book Antiqua" w:hAnsi="Book Antiqua" w:cs="Times New Roman"/>
          <w:sz w:val="24"/>
          <w:szCs w:val="24"/>
          <w:lang w:val="en-US"/>
        </w:rPr>
        <w:t xml:space="preserve">ly </w:t>
      </w:r>
      <w:r w:rsidR="0047227F" w:rsidRPr="005C7810">
        <w:rPr>
          <w:rFonts w:ascii="Book Antiqua" w:hAnsi="Book Antiqua" w:cs="Times New Roman"/>
          <w:sz w:val="24"/>
          <w:szCs w:val="24"/>
          <w:lang w:val="en-US"/>
        </w:rPr>
        <w:t>of</w:t>
      </w:r>
      <w:r w:rsidR="00B8125B" w:rsidRPr="005C7810">
        <w:rPr>
          <w:rFonts w:ascii="Book Antiqua" w:hAnsi="Book Antiqua" w:cs="Times New Roman"/>
          <w:sz w:val="24"/>
          <w:szCs w:val="24"/>
          <w:lang w:val="en-US"/>
        </w:rPr>
        <w:t xml:space="preserve"> the </w:t>
      </w:r>
      <w:r w:rsidR="00801A6C" w:rsidRPr="005C7810">
        <w:rPr>
          <w:rFonts w:ascii="Book Antiqua" w:hAnsi="Book Antiqua" w:cs="Times New Roman"/>
          <w:sz w:val="24"/>
          <w:szCs w:val="24"/>
          <w:lang w:val="en-US"/>
        </w:rPr>
        <w:t>c</w:t>
      </w:r>
      <w:r w:rsidR="00B8125B" w:rsidRPr="005C7810">
        <w:rPr>
          <w:rFonts w:ascii="Book Antiqua" w:hAnsi="Book Antiqua" w:cs="Times New Roman"/>
          <w:sz w:val="24"/>
          <w:szCs w:val="24"/>
          <w:lang w:val="en-US"/>
        </w:rPr>
        <w:t>yclin-</w:t>
      </w:r>
      <w:r w:rsidR="00801A6C" w:rsidRPr="005C7810">
        <w:rPr>
          <w:rFonts w:ascii="Book Antiqua" w:hAnsi="Book Antiqua" w:cs="Times New Roman"/>
          <w:sz w:val="24"/>
          <w:szCs w:val="24"/>
          <w:lang w:val="en-US"/>
        </w:rPr>
        <w:t>d</w:t>
      </w:r>
      <w:r w:rsidR="00B8125B" w:rsidRPr="005C7810">
        <w:rPr>
          <w:rFonts w:ascii="Book Antiqua" w:hAnsi="Book Antiqua" w:cs="Times New Roman"/>
          <w:sz w:val="24"/>
          <w:szCs w:val="24"/>
          <w:lang w:val="en-US"/>
        </w:rPr>
        <w:t xml:space="preserve">ependent </w:t>
      </w:r>
      <w:r w:rsidR="00801A6C" w:rsidRPr="005C7810">
        <w:rPr>
          <w:rFonts w:ascii="Book Antiqua" w:hAnsi="Book Antiqua" w:cs="Times New Roman"/>
          <w:sz w:val="24"/>
          <w:szCs w:val="24"/>
          <w:lang w:val="en-US"/>
        </w:rPr>
        <w:t>k</w:t>
      </w:r>
      <w:r w:rsidR="00B8125B" w:rsidRPr="005C7810">
        <w:rPr>
          <w:rFonts w:ascii="Book Antiqua" w:hAnsi="Book Antiqua" w:cs="Times New Roman"/>
          <w:sz w:val="24"/>
          <w:szCs w:val="24"/>
          <w:lang w:val="en-US"/>
        </w:rPr>
        <w:t xml:space="preserve">inase </w:t>
      </w:r>
      <w:r w:rsidR="00801A6C" w:rsidRPr="005C7810">
        <w:rPr>
          <w:rFonts w:ascii="Book Antiqua" w:hAnsi="Book Antiqua" w:cs="Times New Roman"/>
          <w:sz w:val="24"/>
          <w:szCs w:val="24"/>
          <w:lang w:val="en-US"/>
        </w:rPr>
        <w:t>i</w:t>
      </w:r>
      <w:r w:rsidR="00B8125B" w:rsidRPr="005C7810">
        <w:rPr>
          <w:rFonts w:ascii="Book Antiqua" w:hAnsi="Book Antiqua" w:cs="Times New Roman"/>
          <w:sz w:val="24"/>
          <w:szCs w:val="24"/>
          <w:lang w:val="en-US"/>
        </w:rPr>
        <w:t xml:space="preserve">nhibitor 2A </w:t>
      </w:r>
      <w:r w:rsidR="006F7BBD" w:rsidRPr="005C7810">
        <w:rPr>
          <w:rFonts w:ascii="Book Antiqua" w:hAnsi="Book Antiqua" w:cs="Times New Roman"/>
          <w:sz w:val="24"/>
          <w:szCs w:val="24"/>
          <w:lang w:val="en-US"/>
        </w:rPr>
        <w:t xml:space="preserve">(commonly known as </w:t>
      </w:r>
      <w:r w:rsidR="006F7BBD" w:rsidRPr="005C7810">
        <w:rPr>
          <w:rFonts w:ascii="Book Antiqua" w:hAnsi="Book Antiqua" w:cs="Times New Roman"/>
          <w:i/>
          <w:sz w:val="24"/>
          <w:szCs w:val="24"/>
          <w:lang w:val="en-US"/>
        </w:rPr>
        <w:t>CDKN2A</w:t>
      </w:r>
      <w:r w:rsidR="006F7BBD"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promoter</w:t>
      </w:r>
      <w:r w:rsidR="00FC4E0E"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{"citationItems":[{"id":"ITEM-1","itemData":{"DOI":"10.1007/s13402-011-0028-6","ISSN":"22113428","abstract":"Background : Epstein–Barr virus (EBV)-associated gastric carcinomas (GC) constitute a distinct clinicopathological entity of gastric cancer. In order to determine underlying distinct aberrant promoter methylation we tested cardiac and non-cardiac GC with regard to the presence of EBV. Methods : One hundred GC were tested by RNA-in situ hybridization for the presence of EBV by EBV-encoded small RNA (EBER). Aberrant promoter methylation was investigated by methylation-specific real-time PCR for p16, p14, APC and hMLH1. P16 protein expression was assessed by immunohistochemistry. Results : In our selected study cohort, EBER-transcripts were detected in 19.6% (18/92) of GC. EBV-positive GC revealed significantly more often gene hypermethylation of p16, p14 and APC (p &lt; 0.0001, p &lt; 0.0001 and p = 0.02, respectively) than EBV-negative GC. The majority of GC with p16 hypermethylation showed a p16 protein loss (22/28). In contrast, no correlation between the presence of EBV and hMLH1 hypermethylation was found (p = 0.7). EBV-positive GC showed a trend towards non-cardiac location (p = 0.06) and lower stages (I/II) according to the WHO (p = 0.05). Conclusion : Hypermethylation of tumor suppressor genes is significantly more frequent in EBV-associated GC compared to EBV-negative GC. Our data add new insights to the role of EBV in gastric carcinogenesis and underline that EBV-associated GC comprise a distinct molecular-pathologic as well as a distinct clinicopathological entity of GC. ","author":[{"dropping-particle":"","family":"Geddert","given":"Helene","non-dropping-particle":"","parse-names":false,"suffix":""},{"dropping-particle":"Zur","family":"Hausen","given":"Axel","non-dropping-particle":"","parse-names":false,"suffix":""},{"dropping-particle":"","family":"Gabbert","given":"Helmut E.","non-dropping-particle":"","parse-names":false,"suffix":""},{"dropping-particle":"","family":"Sarbia","given":"Mario","non-dropping-particle":"","parse-names":false,"suffix":""}],"container-title":"Cellular Oncology","id":"ITEM-1","issue":"3","issued":{"date-parts":[["2011"]]},"page":"209-214","title":"EBV-infection in cardiac and non-cardiac gastric adenocarcinomas is associated with promoter methylation of p16, p14 and APC, but not hMLH1","type":"article-journal","volume":"34"},"uris":["http://www.mendeley.com/documents/?uuid=a11cd23c-965a-406a-8ed7-e3091879de63","http://www.mendeley.com/documents/?uuid=557c0859-067c-42e2-9756-47ca3fc67c2f"]}],"mendeley":{"formattedCitation":"&lt;sup&gt;[27]&lt;/sup&gt;","plainTextFormattedCitation":"[27]","previouslyFormattedCitation":"&lt;sup&gt;[27]&lt;/sup&gt;"},"properties":{"noteIndex":0},"schema":"https://github.com/citation-style-language/schema/raw/master/csl-citation.json"}</w:instrText>
      </w:r>
      <w:r w:rsidR="00FC4E0E"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[27]</w:t>
      </w:r>
      <w:r w:rsidR="00FC4E0E" w:rsidRPr="005C7810">
        <w:rPr>
          <w:rFonts w:ascii="Book Antiqua" w:hAnsi="Book Antiqua" w:cs="Times New Roman"/>
          <w:sz w:val="24"/>
          <w:szCs w:val="24"/>
          <w:vertAlign w:val="superscript"/>
          <w:lang w:val="en-US"/>
        </w:rPr>
        <w:fldChar w:fldCharType="end"/>
      </w:r>
      <w:r w:rsidR="00B8125B" w:rsidRPr="005C7810">
        <w:rPr>
          <w:rFonts w:ascii="Book Antiqua" w:hAnsi="Book Antiqua" w:cs="Times New Roman"/>
          <w:sz w:val="24"/>
          <w:szCs w:val="24"/>
          <w:lang w:val="en-US"/>
        </w:rPr>
        <w:t xml:space="preserve">. </w:t>
      </w:r>
      <w:r w:rsidR="003716E6" w:rsidRPr="005C7810">
        <w:rPr>
          <w:rFonts w:ascii="Book Antiqua" w:hAnsi="Book Antiqua" w:cs="Times New Roman"/>
          <w:sz w:val="24"/>
          <w:szCs w:val="24"/>
          <w:lang w:val="en-US"/>
        </w:rPr>
        <w:t xml:space="preserve">An estimated </w:t>
      </w:r>
      <w:r w:rsidR="00B8125B" w:rsidRPr="005C7810">
        <w:rPr>
          <w:rFonts w:ascii="Book Antiqua" w:hAnsi="Book Antiqua" w:cs="Times New Roman"/>
          <w:sz w:val="24"/>
          <w:szCs w:val="24"/>
          <w:lang w:val="en-US"/>
        </w:rPr>
        <w:t>80% of EBV</w:t>
      </w:r>
      <w:r w:rsidR="00996A7F"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positive subtype tumors contain mutations </w:t>
      </w:r>
      <w:r w:rsidR="00996A7F" w:rsidRPr="005C7810">
        <w:rPr>
          <w:rFonts w:ascii="Book Antiqua" w:hAnsi="Book Antiqua" w:cs="Times New Roman"/>
          <w:sz w:val="24"/>
          <w:szCs w:val="24"/>
          <w:lang w:val="en-US"/>
        </w:rPr>
        <w:t>in p</w:t>
      </w:r>
      <w:r w:rsidR="00B8125B" w:rsidRPr="005C7810">
        <w:rPr>
          <w:rFonts w:ascii="Book Antiqua" w:hAnsi="Book Antiqua" w:cs="Times New Roman"/>
          <w:sz w:val="24"/>
          <w:szCs w:val="24"/>
          <w:lang w:val="en-US"/>
        </w:rPr>
        <w:t>hosphatidylinositol 3-kinase CA</w:t>
      </w:r>
      <w:r w:rsidR="00996A7F" w:rsidRPr="005C7810">
        <w:rPr>
          <w:rFonts w:ascii="Book Antiqua" w:hAnsi="Book Antiqua" w:cs="Times New Roman"/>
          <w:sz w:val="24"/>
          <w:szCs w:val="24"/>
          <w:lang w:val="en-US"/>
        </w:rPr>
        <w:t xml:space="preserve"> (</w:t>
      </w:r>
      <w:r w:rsidR="00996A7F" w:rsidRPr="005C7810">
        <w:rPr>
          <w:rFonts w:ascii="Book Antiqua" w:hAnsi="Book Antiqua" w:cs="Times New Roman"/>
          <w:i/>
          <w:sz w:val="24"/>
          <w:szCs w:val="24"/>
          <w:lang w:val="en-US"/>
        </w:rPr>
        <w:t>PIK3CA</w:t>
      </w:r>
      <w:r w:rsidR="00B8125B" w:rsidRPr="005C7810">
        <w:rPr>
          <w:rFonts w:ascii="Book Antiqua" w:hAnsi="Book Antiqua" w:cs="Times New Roman"/>
          <w:sz w:val="24"/>
          <w:szCs w:val="24"/>
          <w:lang w:val="en-US"/>
        </w:rPr>
        <w:t>)</w:t>
      </w:r>
      <w:r w:rsidR="00875F71"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{"citationItems":[{"id":"ITEM-1","itemData":{"DOI":"10.1371/journal.pone.0038892","ISSN":"19326203","abstract":"BACKGROUND: Gastric cancer is one of the leading cancer types in incidence and mortality, especially in Asia. In order to improve survival, identification of a catalogue of molecular alterations underlying gastric cancer is a critical step for developing and designing genome-directed therapies.\n\nMETHODOLOGY/PRINCIPAL FINDINGS: The Center for Cancer Genome Discovery (CCGD) at the Dana-Farber Cancer Institute (DFCI) has adapted a high-throughput genotyping platform to determine the mutation status of a large panel of known cancer genes. The mutation detection platform, termed OncoMap v4, interrogates 474 \"hotspot\" mutations in 41 genes that are relevant for cancer. We performed OncoMap v4 in formalin-fixed paraffin-embedded (FFPE) tissue specimens from 237 gastric adenocarcinomas. Using OncoMap v4, we found that 34 (14.4%) of 237 gastric cancer patients harbored mutations. Among mutations we screened, PIK3CA mutations were the most frequent (5.1%) followed by p53 (4.6%), APC (2.5%), STK11 (2.1%), CTNNB1 (1.7%), and CDKN2A (0.8%). Six samples harbored concomitant somatic mutations. Mutations of CTNNB1 were significantly more frequent in EBV-associated gastric carcinoma (P = 0.046). Our study led to the detection of potentially druggable mutations in gastric cancer which may guide novel therapies in subsets of gastric cancer patients.\n\nCONCLUSIONS/SIGNIFICANCE: Using high throughput mutation screening platform, we identified that PIK3CA mutations were the most frequently observed target for gastric adenocarcinoma.","author":[{"dropping-particle":"","family":"Lee","given":"Jeeyun","non-dropping-particle":"","parse-names":false,"suffix":""},{"dropping-particle":"","family":"Hummelen","given":"Paul","non-dropping-particle":"van","parse-names":false,"suffix":""},{"dropping-particle":"","family":"Go","given":"Christina","non-dropping-particle":"","parse-names":false,"suffix":""},{"dropping-particle":"","family":"Palescandolo","given":"Emanuele","non-dropping-particle":"","parse-names":false,"suffix":""},{"dropping-particle":"","family":"Jang","given":"Jiryeon","non-dropping-particle":"","parse-names":false,"suffix":""},{"dropping-particle":"","family":"Park","given":"Ha Young","non-dropping-particle":"","parse-names":false,"suffix":""},{"dropping-particle":"","family":"Kang","given":"So Young","non-dropping-particle":"","parse-names":false,"suffix":""},{"dropping-particle":"","family":"Park","given":"Joon Oh","non-dropping-particle":"","parse-names":false,"suffix":""},{"dropping-particle":"","family":"Kang","given":"Won Ki","non-dropping-particle":"","parse-names":false,"suffix":""},{"dropping-particle":"","family":"MacConaill","given":"Laura","non-dropping-particle":"","parse-names":false,"suffix":""},{"dropping-particle":"","family":"Kim","given":"Kyoung Mee","non-dropping-particle":"","parse-names":false,"suffix":""}],"container-title":"PLoS ONE","id":"ITEM-1","issue":"6","issued":{"date-parts":[["2012"]]},"page":"1-5","title":"High-throughput mutation profiling identifies frequent somatic mutations in advanced gastric Adenocarcinoma","type":"article-journal","volume":"7"},"uris":["http://www.mendeley.com/documents/?uuid=76038d38-03e6-447b-bb59-7e0aaf6cd2f2","http://www.mendeley.com/documents/?uuid=644097a0-20ae-4a41-89d5-dbd6e2c827ca"]}],"mendeley":{"formattedCitation":"&lt;sup&gt;[28]&lt;/sup&gt;","plainTextFormattedCitation":"[28]","previouslyFormattedCitation":"&lt;sup&gt;[28]&lt;/sup&gt;"},"properties":{"noteIndex":0},"schema":"https://github.com/citation-style-language/schema/raw/master/csl-citation.json"}</w:instrText>
      </w:r>
      <w:r w:rsidR="00875F71"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[28]</w:t>
      </w:r>
      <w:r w:rsidR="00875F71" w:rsidRPr="005C7810">
        <w:rPr>
          <w:rFonts w:ascii="Book Antiqua" w:hAnsi="Book Antiqua" w:cs="Times New Roman"/>
          <w:sz w:val="24"/>
          <w:szCs w:val="24"/>
          <w:vertAlign w:val="superscript"/>
          <w:lang w:val="en-US"/>
        </w:rPr>
        <w:fldChar w:fldCharType="end"/>
      </w:r>
      <w:r w:rsidR="00E24977" w:rsidRPr="005C7810">
        <w:rPr>
          <w:rFonts w:ascii="Book Antiqua" w:hAnsi="Book Antiqua" w:cs="Times New Roman"/>
          <w:sz w:val="24"/>
          <w:szCs w:val="24"/>
          <w:lang w:val="en-US"/>
        </w:rPr>
        <w:t xml:space="preserve"> </w:t>
      </w:r>
      <w:r w:rsidR="00DB6C53" w:rsidRPr="005C7810">
        <w:rPr>
          <w:rFonts w:ascii="Book Antiqua" w:hAnsi="Book Antiqua" w:cs="Times New Roman"/>
          <w:sz w:val="24"/>
          <w:szCs w:val="24"/>
          <w:lang w:val="en-US"/>
        </w:rPr>
        <w:t>and amplification</w:t>
      </w:r>
      <w:r w:rsidR="00B8125B" w:rsidRPr="005C7810">
        <w:rPr>
          <w:rFonts w:ascii="Book Antiqua" w:hAnsi="Book Antiqua" w:cs="Times New Roman"/>
          <w:sz w:val="24"/>
          <w:szCs w:val="24"/>
          <w:lang w:val="en-US"/>
        </w:rPr>
        <w:t xml:space="preserve"> of Janus Kinase 2</w:t>
      </w:r>
      <w:r w:rsidR="00996A7F" w:rsidRPr="005C7810">
        <w:rPr>
          <w:rFonts w:ascii="Book Antiqua" w:hAnsi="Book Antiqua" w:cs="Times New Roman"/>
          <w:sz w:val="24"/>
          <w:szCs w:val="24"/>
          <w:lang w:val="en-US"/>
        </w:rPr>
        <w:t xml:space="preserve"> (</w:t>
      </w:r>
      <w:r w:rsidR="00996A7F" w:rsidRPr="005C7810">
        <w:rPr>
          <w:rFonts w:ascii="Book Antiqua" w:hAnsi="Book Antiqua" w:cs="Times New Roman"/>
          <w:i/>
          <w:sz w:val="24"/>
          <w:szCs w:val="24"/>
          <w:lang w:val="en-US"/>
        </w:rPr>
        <w:t>JAK2</w:t>
      </w:r>
      <w:r w:rsidR="00B8125B" w:rsidRPr="005C7810">
        <w:rPr>
          <w:rFonts w:ascii="Book Antiqua" w:hAnsi="Book Antiqua" w:cs="Times New Roman"/>
          <w:sz w:val="24"/>
          <w:szCs w:val="24"/>
          <w:lang w:val="en-US"/>
        </w:rPr>
        <w:t xml:space="preserve">), CD274 </w:t>
      </w:r>
      <w:r w:rsidR="00996A7F" w:rsidRPr="005C7810">
        <w:rPr>
          <w:rFonts w:ascii="Book Antiqua" w:hAnsi="Book Antiqua" w:cs="Times New Roman"/>
          <w:sz w:val="24"/>
          <w:szCs w:val="24"/>
          <w:lang w:val="en-US"/>
        </w:rPr>
        <w:t>m</w:t>
      </w:r>
      <w:r w:rsidR="00B8125B" w:rsidRPr="005C7810">
        <w:rPr>
          <w:rFonts w:ascii="Book Antiqua" w:hAnsi="Book Antiqua" w:cs="Times New Roman"/>
          <w:sz w:val="24"/>
          <w:szCs w:val="24"/>
          <w:lang w:val="en-US"/>
        </w:rPr>
        <w:t>olecule</w:t>
      </w:r>
      <w:r w:rsidR="00E24977"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w:t>
      </w:r>
      <w:r w:rsidR="00996A7F" w:rsidRPr="005C7810">
        <w:rPr>
          <w:rFonts w:ascii="Book Antiqua" w:hAnsi="Book Antiqua" w:cs="Times New Roman"/>
          <w:sz w:val="24"/>
          <w:szCs w:val="24"/>
          <w:lang w:val="en-US"/>
        </w:rPr>
        <w:t>p</w:t>
      </w:r>
      <w:r w:rsidR="00B8125B" w:rsidRPr="005C7810">
        <w:rPr>
          <w:rFonts w:ascii="Book Antiqua" w:hAnsi="Book Antiqua" w:cs="Times New Roman"/>
          <w:sz w:val="24"/>
          <w:szCs w:val="24"/>
          <w:lang w:val="en-US"/>
        </w:rPr>
        <w:t xml:space="preserve">rogrammed </w:t>
      </w:r>
      <w:r w:rsidR="00996A7F" w:rsidRPr="005C7810">
        <w:rPr>
          <w:rFonts w:ascii="Book Antiqua" w:hAnsi="Book Antiqua" w:cs="Times New Roman"/>
          <w:sz w:val="24"/>
          <w:szCs w:val="24"/>
          <w:lang w:val="en-US"/>
        </w:rPr>
        <w:t>c</w:t>
      </w:r>
      <w:r w:rsidR="00B8125B" w:rsidRPr="005C7810">
        <w:rPr>
          <w:rFonts w:ascii="Book Antiqua" w:hAnsi="Book Antiqua" w:cs="Times New Roman"/>
          <w:sz w:val="24"/>
          <w:szCs w:val="24"/>
          <w:lang w:val="en-US"/>
        </w:rPr>
        <w:t xml:space="preserve">ell </w:t>
      </w:r>
      <w:r w:rsidR="00996A7F" w:rsidRPr="005C7810">
        <w:rPr>
          <w:rFonts w:ascii="Book Antiqua" w:hAnsi="Book Antiqua" w:cs="Times New Roman"/>
          <w:sz w:val="24"/>
          <w:szCs w:val="24"/>
          <w:lang w:val="en-US"/>
        </w:rPr>
        <w:t>d</w:t>
      </w:r>
      <w:r w:rsidR="00B8125B" w:rsidRPr="005C7810">
        <w:rPr>
          <w:rFonts w:ascii="Book Antiqua" w:hAnsi="Book Antiqua" w:cs="Times New Roman"/>
          <w:sz w:val="24"/>
          <w:szCs w:val="24"/>
          <w:lang w:val="en-US"/>
        </w:rPr>
        <w:t xml:space="preserve">eath 1 </w:t>
      </w:r>
      <w:r w:rsidR="00996A7F" w:rsidRPr="005C7810">
        <w:rPr>
          <w:rFonts w:ascii="Book Antiqua" w:hAnsi="Book Antiqua" w:cs="Times New Roman"/>
          <w:sz w:val="24"/>
          <w:szCs w:val="24"/>
          <w:lang w:val="en-US"/>
        </w:rPr>
        <w:t>l</w:t>
      </w:r>
      <w:r w:rsidR="00B8125B" w:rsidRPr="005C7810">
        <w:rPr>
          <w:rFonts w:ascii="Book Antiqua" w:hAnsi="Book Antiqua" w:cs="Times New Roman"/>
          <w:sz w:val="24"/>
          <w:szCs w:val="24"/>
          <w:lang w:val="en-US"/>
        </w:rPr>
        <w:t>igand 2</w:t>
      </w:r>
      <w:r w:rsidR="00996A7F" w:rsidRPr="005C7810">
        <w:rPr>
          <w:rFonts w:ascii="Book Antiqua" w:hAnsi="Book Antiqua" w:cs="Times New Roman"/>
          <w:sz w:val="24"/>
          <w:szCs w:val="24"/>
          <w:lang w:val="en-US"/>
        </w:rPr>
        <w:t xml:space="preserve"> (</w:t>
      </w:r>
      <w:r w:rsidR="00996A7F" w:rsidRPr="005C7810">
        <w:rPr>
          <w:rFonts w:ascii="Book Antiqua" w:hAnsi="Book Antiqua" w:cs="Times New Roman"/>
          <w:i/>
          <w:sz w:val="24"/>
          <w:szCs w:val="24"/>
          <w:lang w:val="en-US"/>
        </w:rPr>
        <w:t>PDCD1LG2</w:t>
      </w:r>
      <w:r w:rsidR="00B8125B" w:rsidRPr="005C7810">
        <w:rPr>
          <w:rFonts w:ascii="Book Antiqua" w:hAnsi="Book Antiqua" w:cs="Times New Roman"/>
          <w:sz w:val="24"/>
          <w:szCs w:val="24"/>
          <w:lang w:val="en-US"/>
        </w:rPr>
        <w:t>), which encode for respectively tyrosine kinase receptors, PD</w:t>
      </w:r>
      <w:r w:rsidR="00E224DF"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L1 and PD</w:t>
      </w:r>
      <w:r w:rsidR="00E224DF"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L2</w:t>
      </w:r>
      <w:r w:rsidR="007E0952"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{"citationItems":[{"id":"ITEM-1","itemData":{"DOI":"10.1038/nature13480.Comprehensive","ISBN":"1476-4687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©2014","author":[{"dropping-particle":"","family":"Cancer Genome Atlas Research Network","given":"","non-dropping-particle":"","parse-names":false,"suffix":""},{"dropping-particle":"","family":"Bass","given":"Adam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Michae","given":"David P","non-dropping-particle":"","parse-names":false,"suffix":""},{"dropping-particle":"","family":"Network","given":"Cancer Genome Atlas Research","non-dropping-particle":"","parse-names":false,"suffix":""}],"container-title":"Nature","id":"ITEM-1","issue":"7517","issued":{"date-parts":[["2014"]]},"page":"202-209","title":"Comprehensive molecular characterization of gastric adenocarcinoma","type":"article-journal","volume":"513"},"uris":["http://www.mendeley.com/documents/?uuid=e1ccc661-ce0e-4c30-a67f-a89167ad3e13","http://www.mendeley.com/documents/?uuid=48529cda-a330-4c84-841c-b991b895df6e"]}],"mendeley":{"formattedCitation":"&lt;sup&gt;[29]&lt;/sup&gt;","plainTextFormattedCitation":"[29]","previouslyFormattedCitation":"&lt;sup&gt;[29]&lt;/sup&gt;"},"properties":{"noteIndex":0},"schema":"https://github.com/citation-style-language/schema/raw/master/csl-citation.json"}</w:instrText>
      </w:r>
      <w:r w:rsidR="007E0952"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[29]</w:t>
      </w:r>
      <w:r w:rsidR="007E0952" w:rsidRPr="005C7810">
        <w:rPr>
          <w:rFonts w:ascii="Book Antiqua" w:hAnsi="Book Antiqua" w:cs="Times New Roman"/>
          <w:sz w:val="24"/>
          <w:szCs w:val="24"/>
          <w:vertAlign w:val="superscript"/>
          <w:lang w:val="en-US"/>
        </w:rPr>
        <w:fldChar w:fldCharType="end"/>
      </w:r>
      <w:r w:rsidR="00B8125B" w:rsidRPr="005C7810">
        <w:rPr>
          <w:rFonts w:ascii="Book Antiqua" w:hAnsi="Book Antiqua" w:cs="Times New Roman"/>
          <w:sz w:val="24"/>
          <w:szCs w:val="24"/>
          <w:lang w:val="en-US"/>
        </w:rPr>
        <w:t>. Based on these results, JAK2 inhibitors and PD</w:t>
      </w:r>
      <w:r w:rsidR="00E224DF"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L1/2 antagonists </w:t>
      </w:r>
      <w:r w:rsidR="00173E86" w:rsidRPr="005C7810">
        <w:rPr>
          <w:rFonts w:ascii="Book Antiqua" w:hAnsi="Book Antiqua" w:cs="Times New Roman"/>
          <w:sz w:val="24"/>
          <w:szCs w:val="24"/>
          <w:lang w:val="en-US"/>
        </w:rPr>
        <w:t xml:space="preserve">should </w:t>
      </w:r>
      <w:r w:rsidR="00B8125B" w:rsidRPr="005C7810">
        <w:rPr>
          <w:rFonts w:ascii="Book Antiqua" w:hAnsi="Book Antiqua" w:cs="Times New Roman"/>
          <w:sz w:val="24"/>
          <w:szCs w:val="24"/>
          <w:lang w:val="en-US"/>
        </w:rPr>
        <w:t xml:space="preserve">be explored as treatment options </w:t>
      </w:r>
      <w:r w:rsidR="009C58D3" w:rsidRPr="005C7810">
        <w:rPr>
          <w:rFonts w:ascii="Book Antiqua" w:hAnsi="Book Antiqua" w:cs="Times New Roman"/>
          <w:sz w:val="24"/>
          <w:szCs w:val="24"/>
          <w:lang w:val="en-US"/>
        </w:rPr>
        <w:t>for</w:t>
      </w:r>
      <w:r w:rsidR="00B8125B" w:rsidRPr="005C7810">
        <w:rPr>
          <w:rFonts w:ascii="Book Antiqua" w:hAnsi="Book Antiqua" w:cs="Times New Roman"/>
          <w:sz w:val="24"/>
          <w:szCs w:val="24"/>
          <w:lang w:val="en-US"/>
        </w:rPr>
        <w:t xml:space="preserve"> EBV</w:t>
      </w:r>
      <w:r w:rsidR="00173E86"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positive tumors. Promising initial results have been reported with pembrolizumab</w:t>
      </w:r>
      <w:r w:rsidR="005C5291" w:rsidRPr="005C7810">
        <w:rPr>
          <w:rFonts w:ascii="Book Antiqua" w:hAnsi="Book Antiqua" w:cs="Times New Roman"/>
          <w:sz w:val="24"/>
          <w:szCs w:val="24"/>
          <w:lang w:val="en-US"/>
        </w:rPr>
        <w:t xml:space="preserve">, a humanized monoclonal antibody </w:t>
      </w:r>
      <w:r w:rsidR="00C810E8" w:rsidRPr="005C7810">
        <w:rPr>
          <w:rFonts w:ascii="Book Antiqua" w:hAnsi="Book Antiqua" w:cs="Times New Roman"/>
          <w:sz w:val="24"/>
          <w:szCs w:val="24"/>
          <w:lang w:val="en-US"/>
        </w:rPr>
        <w:t xml:space="preserve">against programmed cell death </w:t>
      </w:r>
      <w:r w:rsidR="00C810E8" w:rsidRPr="005C7810">
        <w:rPr>
          <w:rFonts w:ascii="Book Antiqua" w:hAnsi="Book Antiqua" w:cs="Times New Roman"/>
          <w:sz w:val="24"/>
          <w:szCs w:val="24"/>
          <w:lang w:val="en-US"/>
        </w:rPr>
        <w:lastRenderedPageBreak/>
        <w:t>1 (</w:t>
      </w:r>
      <w:r w:rsidR="005C5291" w:rsidRPr="005C7810">
        <w:rPr>
          <w:rFonts w:ascii="Book Antiqua" w:hAnsi="Book Antiqua" w:cs="Times New Roman"/>
          <w:sz w:val="24"/>
          <w:szCs w:val="24"/>
          <w:lang w:val="en-US"/>
        </w:rPr>
        <w:t>PD</w:t>
      </w:r>
      <w:r w:rsidR="00683674" w:rsidRPr="005C7810">
        <w:rPr>
          <w:rFonts w:ascii="Book Antiqua" w:hAnsi="Book Antiqua" w:cs="Times New Roman"/>
          <w:sz w:val="24"/>
          <w:szCs w:val="24"/>
          <w:lang w:val="en-US"/>
        </w:rPr>
        <w:t>-</w:t>
      </w:r>
      <w:r w:rsidR="005C5291" w:rsidRPr="005C7810">
        <w:rPr>
          <w:rFonts w:ascii="Book Antiqua" w:hAnsi="Book Antiqua" w:cs="Times New Roman"/>
          <w:sz w:val="24"/>
          <w:szCs w:val="24"/>
          <w:lang w:val="en-US"/>
        </w:rPr>
        <w:t>1</w:t>
      </w:r>
      <w:r w:rsidR="00D15F19" w:rsidRPr="005C7810">
        <w:rPr>
          <w:rFonts w:ascii="Book Antiqua" w:hAnsi="Book Antiqua" w:cs="Times New Roman"/>
          <w:sz w:val="24"/>
          <w:szCs w:val="24"/>
          <w:lang w:val="en-US"/>
        </w:rPr>
        <w:t>)</w:t>
      </w:r>
      <w:r w:rsidR="007E0952"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10.1093/annonc/mdu438.15","ISSN":"0923-7534","author":[{"dropping-particle":"","family":"Bang","given":"Y.","non-dropping-particle":"","parse-names":false,"suffix":""},{"dropping-particle":"","family":"Gonzalez","given":"E.J.","non-dropping-particle":"","parse-names":false,"suffix":""},{"dropping-particle":"","family":"Ray","given":"A.B.","non-dropping-particle":"","parse-names":false,"suffix":""},{"dropping-particle":"","family":"Chung","given":"H.C.","non-dropping-particle":"","parse-names":false,"suffix":""},{"dropping-particle":"","family":"Muro","given":"K.","non-dropping-particle":"","parse-names":false,"suffix":""},{"dropping-particle":"","family":"Eder","given":"J.P.","non-dropping-particle":"","parse-names":false,"suffix":""},{"dropping-particle":"","family":"Berger","given":"R.","non-dropping-particle":"","parse-names":false,"suffix":""},{"dropping-particle":"","family":"Dolled-Filhart","given":"M.","non-dropping-particle":"","parse-names":false,"suffix":""},{"dropping-particle":"","family":"Pathiraja","given":"K.","non-dropping-particle":"","parse-names":false,"suffix":""},{"dropping-particle":"","family":"Pulini","given":"J.","non-dropping-particle":"","parse-names":false,"suffix":""},{"dropping-particle":"","family":"Koshiji","given":"M.R.","non-dropping-particle":"","parse-names":false,"suffix":""},{"dropping-particle":"","family":"Shu","given":"X.","non-dropping-particle":"","parse-names":false,"suffix":""},{"dropping-particle":"","family":"Shankaran","given":"V.","non-dropping-particle":"","parse-names":false,"suffix":""},{"dropping-particle":"","family":"Catenacci","given":"D.V.T.","non-dropping-particle":"","parse-names":false,"suffix":""},{"dropping-particle":"","family":"Cheng","given":"J.","non-dropping-particle":"","parse-names":false,"suffix":""},{"dropping-particle":"","family":"Emancipator","given":"K.","non-dropping-particle":"","parse-names":false,"suffix":""},{"dropping-particle":"","family":"Gupta","given":"S.","non-dropping-particle":"","parse-names":false,"suffix":""},{"dropping-particle":"","family":"Geva","given":"R.","non-dropping-particle":"","parse-names":false,"suffix":""}],"container-title":"Annals of Oncology","id":"ITEM-1","issue":"suppl_4","issued":{"date-parts":[["2017"]]},"page":"2014","title":"Lba15a Phase 1B Study of Pembrolizumab (Pembro; Mk-3475) in Patients (Pts) With Advanced Gastric Cancer","type":"article-journal","volume":"25"},"uris":["http://www.mendeley.com/documents/?uuid=823106c5-e7d5-46ce-9edd-c2d224e81b6b","http://www.mendeley.com/documents/?uuid=4eae804f-bb1f-4731-b33e-062067e46ca4"]},{"id":"ITEM-2","itemData":{"DOI":"10.1016/S1470-2045(16)00175-3","ISBN":"1474-5488 (Electronic) 1470-2045 (Linking)","ISSN":"14745488","PMID":"27157491","abstract":"Background Expression of PD-L1 has been shown to be upregulated in some patients with gastric cancer. As part of the phase 1b KEYNOTE-012 study, we aimed to assess the safety and activity of the anti-PD-1 antibody pembrolizumab in patients with PD-L1-positive recurrent or metastatic adenocarcinoma of the stomach or gastro-oesophageal junction. Methods This study was a multicentre, open-label, phase 1b trial done at 13 cancer research centres in the USA, Israel, Japan, South Korea, and Taiwan. We enrolled patients with PD-L1-positive recurrent or metastatic adenocarcinoma of the stomach or gastro-oesophageal junction. Patients received intravenous pembrolizumab at 10 mg/kg once every 2 weeks for 24 months or until progression or unacceptable toxic effects occurred. Response was assessed every 8 weeks in accordance with Response Evaluation Criteria in Solid Tumors version 1.1. The primary objectives were safety in patients who received at least one dose of pembrolizumab and the proportion of patients achieving overall responses in patients who received at least one pembrolizumab dose and who either had a post-baseline scan or who discontinued therapy because of clinical disease progression or a treatment-related adverse event before the first post-baseline scan. The study is registered with ClinicalTrials.gov, number NCT01848834, and is ongoing but no longer enrolling patients. Findings From Oct 23, 2013, to May 5, 2014, 39 patients were enrolled. 36 were evaluable for response by central assessment. Eight (22%, 95% CI 10–39) patients were judged to have had an overall response at central review; all responses were partial. All 39 patients were included in the safety analyses. Five (13%) patients had a total of six grade 3 or 4 treatment-related adverse events, consisting of two cases of grade 3 fatigue, one case each of grade 3 pemphigoid, grade 3 hypothyroidism, and grade 3 peripheral sensory neuropathy, and one case of grade 4 pneumonitis. No treatment-related deaths occurred. Interpretation In this population of patients with recurrent or metastatic PD-L1-positive gastric cancer, pembrolizumab had a manageable toxicity profile and promising antitumour activity, warranting further study in phase 2 and 3 trials. Funding Merck &amp; Co.","author":[{"dropping-particle":"","family":"Muro","given":"Kei","non-dropping-particle":"","parse-names":false,"suffix":""},{"dropping-particle":"","family":"Chung","given":"Hyun Cheol","non-dropping-particle":"","parse-names":false,"suffix":""},{"dropping-particle":"","family":"Shankaran","given":"Veena","non-dropping-particle":"","parse-names":false,"suffix":""},{"dropping-particle":"","family":"Geva","given":"Ravit","non-dropping-particle":"","parse-names":false,"suffix":""},{"dropping-particle":"","family":"Catenacci","given":"Daniel","non-dropping-particle":"","parse-names":false,"suffix":""},{"dropping-particle":"","family":"Gupta","given":"Shilpa","non-dropping-particle":"","parse-names":false,"suffix":""},{"dropping-particle":"","family":"Eder","given":"Joseph Paul","non-dropping-particle":"","parse-names":false,"suffix":""},{"dropping-particle":"","family":"Golan","given":"Talia","non-dropping-particle":"","parse-names":false,"suffix":""},{"dropping-particle":"","family":"Le","given":"Dung T.","non-dropping-particle":"","parse-names":false,"suffix":""},{"dropping-particle":"","family":"Burtness","given":"Barbara","non-dropping-particle":"","parse-names":false,"suffix":""},{"dropping-particle":"","family":"McRee","given":"Autumn J.","non-dropping-particle":"","parse-names":false,"suffix":""},{"dropping-particle":"","family":"Lin","given":"Chia Chi","non-dropping-particle":"","parse-names":false,"suffix":""},{"dropping-particle":"","family":"Pathiraja","given":"Kumudu","non-dropping-particle":"","parse-names":false,"suffix":""},{"dropping-particle":"","family":"Lunceford","given":"Jared","non-dropping-particle":"","parse-names":false,"suffix":""},{"dropping-particle":"","family":"Emancipator","given":"Kenneth","non-dropping-particle":"","parse-names":false,"suffix":""},{"dropping-particle":"","family":"Juco","given":"Jonathan","non-dropping-particle":"","parse-names":false,"suffix":""},{"dropping-particle":"","family":"Koshiji","given":"Minori","non-dropping-particle":"","parse-names":false,"suffix":""},{"dropping-particle":"","family":"Bang","given":"Yung Jue","non-dropping-particle":"","parse-names":false,"suffix":""}],"container-title":"The Lancet Oncology","id":"ITEM-2","issue":"6","issued":{"date-parts":[["2016"]]},"page":"717-726","publisher":"Elsevier Ltd","title":"Pembrolizumab for patients with PD-L1-positive advanced gastric cancer (KEYNOTE-012): a multicentre, open-label, phase 1b trial","type":"article-journal","volume":"17"},"uris":["http://www.mendeley.com/documents/?uuid=eaf1065c-b6b1-4250-8390-73782591c003","http://www.mendeley.com/documents/?uuid=3d3c479a-0f94-45ab-b66f-5cedf8296df7"]}],"mendeley":{"formattedCitation":"&lt;sup&gt;[30,31]&lt;/sup&gt;","manualFormatting":"[26-27]","plainTextFormattedCitation":"[30,31]","previouslyFormattedCitation":"&lt;sup&gt;[30,31]&lt;/sup&gt;"},"properties":{"noteIndex":0},"schema":"https://github.com/citation-style-language/schema/raw/master/csl-citation.json"}</w:instrText>
      </w:r>
      <w:r w:rsidR="007E0952" w:rsidRPr="005C7810">
        <w:rPr>
          <w:rFonts w:ascii="Book Antiqua" w:hAnsi="Book Antiqua" w:cs="Times New Roman"/>
          <w:sz w:val="24"/>
          <w:szCs w:val="24"/>
          <w:vertAlign w:val="superscript"/>
          <w:lang w:val="en-US"/>
        </w:rPr>
        <w:fldChar w:fldCharType="separate"/>
      </w:r>
      <w:r w:rsidR="00D55F46" w:rsidRPr="005C7810">
        <w:rPr>
          <w:rFonts w:ascii="Book Antiqua" w:hAnsi="Book Antiqua" w:cs="Times New Roman"/>
          <w:sz w:val="24"/>
          <w:szCs w:val="24"/>
          <w:vertAlign w:val="superscript"/>
          <w:lang w:val="en-US"/>
        </w:rPr>
        <w:t>[30</w:t>
      </w:r>
      <w:r w:rsidR="008D6865" w:rsidRPr="005C7810">
        <w:rPr>
          <w:rFonts w:ascii="Book Antiqua" w:hAnsi="Book Antiqua" w:cs="Times New Roman"/>
          <w:sz w:val="24"/>
          <w:szCs w:val="24"/>
          <w:vertAlign w:val="superscript"/>
          <w:lang w:val="en-US"/>
        </w:rPr>
        <w:t>,</w:t>
      </w:r>
      <w:r w:rsidR="00D55F46" w:rsidRPr="005C7810">
        <w:rPr>
          <w:rFonts w:ascii="Book Antiqua" w:hAnsi="Book Antiqua" w:cs="Times New Roman"/>
          <w:sz w:val="24"/>
          <w:szCs w:val="24"/>
          <w:vertAlign w:val="superscript"/>
          <w:lang w:val="en-US"/>
        </w:rPr>
        <w:t>31</w:t>
      </w:r>
      <w:r w:rsidR="007E0952" w:rsidRPr="005C7810">
        <w:rPr>
          <w:rFonts w:ascii="Book Antiqua" w:hAnsi="Book Antiqua" w:cs="Times New Roman"/>
          <w:sz w:val="24"/>
          <w:szCs w:val="24"/>
          <w:vertAlign w:val="superscript"/>
          <w:lang w:val="en-US"/>
        </w:rPr>
        <w:t>]</w:t>
      </w:r>
      <w:r w:rsidR="007E0952" w:rsidRPr="005C7810">
        <w:rPr>
          <w:rFonts w:ascii="Book Antiqua" w:hAnsi="Book Antiqua" w:cs="Times New Roman"/>
          <w:sz w:val="24"/>
          <w:szCs w:val="24"/>
          <w:vertAlign w:val="superscript"/>
          <w:lang w:val="en-US"/>
        </w:rPr>
        <w:fldChar w:fldCharType="end"/>
      </w:r>
      <w:r w:rsidR="00B8125B" w:rsidRPr="005C7810">
        <w:rPr>
          <w:rFonts w:ascii="Book Antiqua" w:hAnsi="Book Antiqua" w:cs="Times New Roman"/>
          <w:sz w:val="24"/>
          <w:szCs w:val="24"/>
          <w:lang w:val="en-US"/>
        </w:rPr>
        <w:t xml:space="preserve">. In addition to </w:t>
      </w:r>
      <w:r w:rsidR="00B8125B" w:rsidRPr="005C7810">
        <w:rPr>
          <w:rFonts w:ascii="Book Antiqua" w:hAnsi="Book Antiqua" w:cs="Times New Roman"/>
          <w:i/>
          <w:sz w:val="24"/>
          <w:szCs w:val="24"/>
          <w:lang w:val="en-US"/>
        </w:rPr>
        <w:t>PIK3CA</w:t>
      </w:r>
      <w:r w:rsidR="00B8125B" w:rsidRPr="005C7810">
        <w:rPr>
          <w:rFonts w:ascii="Book Antiqua" w:hAnsi="Book Antiqua" w:cs="Times New Roman"/>
          <w:sz w:val="24"/>
          <w:szCs w:val="24"/>
          <w:lang w:val="en-US"/>
        </w:rPr>
        <w:t xml:space="preserve"> mutations, EBV</w:t>
      </w:r>
      <w:r w:rsidR="000A3FC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positive tumors ha</w:t>
      </w:r>
      <w:r w:rsidR="0081067D" w:rsidRPr="005C7810">
        <w:rPr>
          <w:rFonts w:ascii="Book Antiqua" w:hAnsi="Book Antiqua" w:cs="Times New Roman"/>
          <w:sz w:val="24"/>
          <w:szCs w:val="24"/>
          <w:lang w:val="en-US"/>
        </w:rPr>
        <w:t>ve</w:t>
      </w:r>
      <w:r w:rsidR="00B8125B" w:rsidRPr="005C7810">
        <w:rPr>
          <w:rFonts w:ascii="Book Antiqua" w:hAnsi="Book Antiqua" w:cs="Times New Roman"/>
          <w:sz w:val="24"/>
          <w:szCs w:val="24"/>
          <w:lang w:val="en-US"/>
        </w:rPr>
        <w:t xml:space="preserve"> more recurrent AT-</w:t>
      </w:r>
      <w:r w:rsidR="00C810E8" w:rsidRPr="005C7810">
        <w:rPr>
          <w:rFonts w:ascii="Book Antiqua" w:hAnsi="Book Antiqua" w:cs="Times New Roman"/>
          <w:sz w:val="24"/>
          <w:szCs w:val="24"/>
          <w:lang w:val="en-US"/>
        </w:rPr>
        <w:t>r</w:t>
      </w:r>
      <w:r w:rsidR="00B8125B" w:rsidRPr="005C7810">
        <w:rPr>
          <w:rFonts w:ascii="Book Antiqua" w:hAnsi="Book Antiqua" w:cs="Times New Roman"/>
          <w:sz w:val="24"/>
          <w:szCs w:val="24"/>
          <w:lang w:val="en-US"/>
        </w:rPr>
        <w:t xml:space="preserve">ich </w:t>
      </w:r>
      <w:r w:rsidR="00C810E8" w:rsidRPr="005C7810">
        <w:rPr>
          <w:rFonts w:ascii="Book Antiqua" w:hAnsi="Book Antiqua" w:cs="Times New Roman"/>
          <w:sz w:val="24"/>
          <w:szCs w:val="24"/>
          <w:lang w:val="en-US"/>
        </w:rPr>
        <w:t>i</w:t>
      </w:r>
      <w:r w:rsidR="00B8125B" w:rsidRPr="005C7810">
        <w:rPr>
          <w:rFonts w:ascii="Book Antiqua" w:hAnsi="Book Antiqua" w:cs="Times New Roman"/>
          <w:sz w:val="24"/>
          <w:szCs w:val="24"/>
          <w:lang w:val="en-US"/>
        </w:rPr>
        <w:t xml:space="preserve">nteraction </w:t>
      </w:r>
      <w:r w:rsidR="00C810E8" w:rsidRPr="005C7810">
        <w:rPr>
          <w:rFonts w:ascii="Book Antiqua" w:hAnsi="Book Antiqua" w:cs="Times New Roman"/>
          <w:sz w:val="24"/>
          <w:szCs w:val="24"/>
          <w:lang w:val="en-US"/>
        </w:rPr>
        <w:t>d</w:t>
      </w:r>
      <w:r w:rsidR="00B8125B" w:rsidRPr="005C7810">
        <w:rPr>
          <w:rFonts w:ascii="Book Antiqua" w:hAnsi="Book Antiqua" w:cs="Times New Roman"/>
          <w:sz w:val="24"/>
          <w:szCs w:val="24"/>
          <w:lang w:val="en-US"/>
        </w:rPr>
        <w:t>omain 1A</w:t>
      </w:r>
      <w:r w:rsidR="00C810E8" w:rsidRPr="005C7810">
        <w:rPr>
          <w:rFonts w:ascii="Book Antiqua" w:hAnsi="Book Antiqua" w:cs="Times New Roman"/>
          <w:sz w:val="24"/>
          <w:szCs w:val="24"/>
          <w:lang w:val="en-US"/>
        </w:rPr>
        <w:t xml:space="preserve"> (</w:t>
      </w:r>
      <w:r w:rsidR="00C810E8" w:rsidRPr="005C7810">
        <w:rPr>
          <w:rFonts w:ascii="Book Antiqua" w:hAnsi="Book Antiqua" w:cs="Times New Roman"/>
          <w:i/>
          <w:sz w:val="24"/>
          <w:szCs w:val="24"/>
          <w:lang w:val="en-US"/>
        </w:rPr>
        <w:t>ARID1A</w:t>
      </w:r>
      <w:r w:rsidR="00B8125B" w:rsidRPr="005C7810">
        <w:rPr>
          <w:rFonts w:ascii="Book Antiqua" w:hAnsi="Book Antiqua" w:cs="Times New Roman"/>
          <w:sz w:val="24"/>
          <w:szCs w:val="24"/>
          <w:lang w:val="en-US"/>
        </w:rPr>
        <w:t>) (55%) and BCL6</w:t>
      </w:r>
      <w:r w:rsidR="006F7BBD" w:rsidRPr="005C7810">
        <w:rPr>
          <w:rFonts w:ascii="Book Antiqua" w:hAnsi="Book Antiqua" w:cs="Times New Roman"/>
          <w:sz w:val="24"/>
          <w:szCs w:val="24"/>
          <w:lang w:val="en-US"/>
        </w:rPr>
        <w:t xml:space="preserve"> corepressor (commonly known as </w:t>
      </w:r>
      <w:r w:rsidR="006F7BBD" w:rsidRPr="005C7810">
        <w:rPr>
          <w:rFonts w:ascii="Book Antiqua" w:hAnsi="Book Antiqua" w:cs="Times New Roman"/>
          <w:i/>
          <w:sz w:val="24"/>
          <w:szCs w:val="24"/>
          <w:lang w:val="en-US"/>
        </w:rPr>
        <w:t>BCOR</w:t>
      </w:r>
      <w:r w:rsidR="006F7BBD"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(23%) mutations</w:t>
      </w:r>
      <w:r w:rsidR="00B230B0"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{"citationItems":[{"id":"ITEM-1","itemData":{"DOI":"10.1038/ng.982","ISSN":"1061-4036","author":[{"dropping-particle":"","family":"Chan","given":"Tsun Leung","non-dropping-particle":"","parse-names":false,"suffix":""},{"dropping-particle":"","family":"Pocalyko","given":"David J","non-dropping-particle":"","parse-names":false,"suffix":""},{"dropping-particle":"","family":"Mao","given":"Mao","non-dropping-particle":"","parse-names":false,"suffix":""},{"dropping-particle":"","family":"Xu","given":"Jiangchun","non-dropping-particle":"","parse-names":false,"suffix":""},{"dropping-particle":"","family":"Cheng","given":"Grace H W","non-dropping-particle":"","parse-names":false,"suffix":""},{"dropping-particle":"","family":"Chan","given":"Annie S Y","non-dropping-particle":"","parse-names":false,"suffix":""},{"dropping-particle":"","family":"Law","given":"Simon","non-dropping-particle":"","parse-names":false,"suffix":""},{"dropping-particle":"","family":"Kan","given":"Junsuo","non-dropping-particle":"","parse-names":false,"suffix":""},{"dropping-particle":"","family":"Chu","given":"Kent Man","non-dropping-particle":"","parse-names":false,"suffix":""},{"dropping-particle":"","family":"Ho","given":"Siu Lun","non-dropping-particle":"","parse-names":false,"suffix":""},{"dropping-particle":"","family":"Roberts","given":"Peter C","non-dropping-particle":"","parse-names":false,"suffix":""},{"dropping-particle":"","family":"Yuen","given":"Siu Tsan","non-dropping-particle":"","parse-names":false,"suffix":""},{"dropping-particle":"","family":"Lee","given":"Siu Po","non-dropping-particle":"","parse-names":false,"suffix":""},{"dropping-particle":"","family":"Gibson","given":"Neil W","non-dropping-particle":"","parse-names":false,"suffix":""},{"dropping-particle":"","family":"Rejto","given":"Paul A","non-dropping-particle":"","parse-names":false,"suffix":""},{"dropping-particle":"","family":"Leung","given":"Suet Yi","non-dropping-particle":"","parse-names":false,"suffix":""},{"dropping-particle":"","family":"Chan","given":"Anthony K W","non-dropping-particle":"","parse-names":false,"suffix":""},{"dropping-particle":"","family":"Wang","given":"Kai","non-dropping-particle":"","parse-names":false,"suffix":""},{"dropping-particle":"","family":"Tsui","given":"Wai Yin","non-dropping-particle":"","parse-names":false,"suffix":""},{"dropping-particle":"","family":"Shi","given":"Stephanie T","non-dropping-particle":"","parse-names":false,"suffix":""},{"dropping-particle":"","family":"Kan","given":"Zhengyan","non-dropping-particle":"","parse-names":false,"suffix":""}],"container-title":"Nature Genetics","id":"ITEM-1","issue":"12","issued":{"date-parts":[["2011"]]},"page":"1219-1223","publisher":"Nature Publishing Group","title":"Exome sequencing identifies frequent mutation of ARID1A in molecular subtypes of gastric cancer","type":"article-journal","volume":"43"},"uris":["http://www.mendeley.com/documents/?uuid=f60aa9ba-1b04-4521-a1e0-b475e7cc6389","http://www.mendeley.com/documents/?uuid=75419705-d0a6-4a04-8672-b6f4d62be929"]},{"id":"ITEM-2","itemData":{"DOI":"10.1038/nature13480.Comprehensive","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©2014","author":[{"dropping-particle":"","family":"Cancer Genome Atlas Research Network","given":"","non-dropping-particle":"","parse-names":false,"suffix":""},{"dropping-particle":"","family":"Bass","given":"Adam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Michae","given":"David P","non-dropping-particle":"","parse-names":false,"suffix":""},{"dropping-particle":"","family":"Network","given":"Cancer Genome Atlas Research","non-dropping-particle":"","parse-names":false,"suffix":""}],"container-title":"Nature","id":"ITEM-2","issue":"7517","issued":{"date-parts":[["2014"]]},"page":"202-209","title":"Comprehensive molecular characterization of gastric adenocarcinoma","type":"article-journal","volume":"513"},"uris":["http://www.mendeley.com/documents/?uuid=48529cda-a330-4c84-841c-b991b895df6e","http://www.mendeley.com/documents/?uuid=e1ccc661-ce0e-4c30-a67f-a89167ad3e13"]}],"mendeley":{"formattedCitation":"&lt;sup&gt;[29,32]&lt;/sup&gt;","plainTextFormattedCitation":"[29,32]","previouslyFormattedCitation":"&lt;sup&gt;[29,32]&lt;/sup&gt;"},"properties":{"noteIndex":0},"schema":"https://github.com/citation-style-language/schema/raw/master/csl-citation.json"}</w:instrText>
      </w:r>
      <w:r w:rsidR="00B230B0"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[29</w:t>
      </w:r>
      <w:r w:rsidR="00D55F46" w:rsidRPr="005C7810">
        <w:rPr>
          <w:rFonts w:ascii="Book Antiqua" w:hAnsi="Book Antiqua" w:cs="Times New Roman"/>
          <w:sz w:val="24"/>
          <w:szCs w:val="24"/>
          <w:vertAlign w:val="superscript"/>
          <w:lang w:val="en-US"/>
        </w:rPr>
        <w:t>,</w:t>
      </w:r>
      <w:r w:rsidR="00182B66" w:rsidRPr="005C7810">
        <w:rPr>
          <w:rFonts w:ascii="Book Antiqua" w:hAnsi="Book Antiqua" w:cs="Times New Roman"/>
          <w:sz w:val="24"/>
          <w:szCs w:val="24"/>
          <w:vertAlign w:val="superscript"/>
          <w:lang w:val="en-US"/>
        </w:rPr>
        <w:t>32]</w:t>
      </w:r>
      <w:r w:rsidR="00B230B0" w:rsidRPr="005C7810">
        <w:rPr>
          <w:rFonts w:ascii="Book Antiqua" w:hAnsi="Book Antiqua" w:cs="Times New Roman"/>
          <w:sz w:val="24"/>
          <w:szCs w:val="24"/>
          <w:vertAlign w:val="superscript"/>
          <w:lang w:val="en-US"/>
        </w:rPr>
        <w:fldChar w:fldCharType="end"/>
      </w:r>
      <w:r w:rsidR="00B944F9" w:rsidRPr="005C7810">
        <w:rPr>
          <w:rFonts w:ascii="Book Antiqua" w:hAnsi="Book Antiqua" w:cs="Times New Roman"/>
          <w:sz w:val="24"/>
          <w:szCs w:val="24"/>
          <w:lang w:val="en-US"/>
        </w:rPr>
        <w:t>, whereas</w:t>
      </w:r>
      <w:r w:rsidR="00B8125B" w:rsidRPr="005C7810">
        <w:rPr>
          <w:rFonts w:ascii="Book Antiqua" w:hAnsi="Book Antiqua" w:cs="Times New Roman"/>
          <w:sz w:val="24"/>
          <w:szCs w:val="24"/>
          <w:lang w:val="en-US"/>
        </w:rPr>
        <w:t xml:space="preserve"> </w:t>
      </w:r>
      <w:r w:rsidR="00B944F9" w:rsidRPr="005C7810">
        <w:rPr>
          <w:rFonts w:ascii="Book Antiqua" w:hAnsi="Book Antiqua" w:cs="Times New Roman"/>
          <w:sz w:val="24"/>
          <w:szCs w:val="24"/>
          <w:lang w:val="en-US"/>
        </w:rPr>
        <w:t>o</w:t>
      </w:r>
      <w:r w:rsidR="00B8125B" w:rsidRPr="005C7810">
        <w:rPr>
          <w:rFonts w:ascii="Book Antiqua" w:hAnsi="Book Antiqua" w:cs="Times New Roman"/>
          <w:sz w:val="24"/>
          <w:szCs w:val="24"/>
          <w:lang w:val="en-US"/>
        </w:rPr>
        <w:t xml:space="preserve">nly rare </w:t>
      </w:r>
      <w:r w:rsidR="00B8125B" w:rsidRPr="005C7810">
        <w:rPr>
          <w:rFonts w:ascii="Book Antiqua" w:hAnsi="Book Antiqua" w:cs="Times New Roman"/>
          <w:i/>
          <w:sz w:val="24"/>
          <w:szCs w:val="24"/>
          <w:lang w:val="en-US"/>
        </w:rPr>
        <w:t>TP53</w:t>
      </w:r>
      <w:r w:rsidR="00B8125B" w:rsidRPr="005C7810">
        <w:rPr>
          <w:rFonts w:ascii="Book Antiqua" w:hAnsi="Book Antiqua" w:cs="Times New Roman"/>
          <w:sz w:val="24"/>
          <w:szCs w:val="24"/>
          <w:lang w:val="en-US"/>
        </w:rPr>
        <w:t xml:space="preserve"> mutations </w:t>
      </w:r>
      <w:r w:rsidR="00B944F9" w:rsidRPr="005C7810">
        <w:rPr>
          <w:rFonts w:ascii="Book Antiqua" w:hAnsi="Book Antiqua" w:cs="Times New Roman"/>
          <w:sz w:val="24"/>
          <w:szCs w:val="24"/>
          <w:lang w:val="en-US"/>
        </w:rPr>
        <w:t xml:space="preserve">have been </w:t>
      </w:r>
      <w:r w:rsidR="00B8125B" w:rsidRPr="005C7810">
        <w:rPr>
          <w:rFonts w:ascii="Book Antiqua" w:hAnsi="Book Antiqua" w:cs="Times New Roman"/>
          <w:sz w:val="24"/>
          <w:szCs w:val="24"/>
          <w:lang w:val="en-US"/>
        </w:rPr>
        <w:t>observed.</w:t>
      </w:r>
    </w:p>
    <w:p w:rsidR="00CB772D" w:rsidRPr="005C7810" w:rsidRDefault="006D1962" w:rsidP="00CD380F">
      <w:pPr>
        <w:suppressAutoHyphens w:val="0"/>
        <w:autoSpaceDE w:val="0"/>
        <w:autoSpaceDN w:val="0"/>
        <w:adjustRightInd w:val="0"/>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ab/>
      </w:r>
      <w:r w:rsidR="00CB772D" w:rsidRPr="005C7810">
        <w:rPr>
          <w:rFonts w:ascii="Book Antiqua" w:hAnsi="Book Antiqua" w:cs="Times New Roman"/>
          <w:sz w:val="24"/>
          <w:szCs w:val="24"/>
          <w:lang w:val="en-US"/>
        </w:rPr>
        <w:t>Patients with MSI subtype</w:t>
      </w:r>
      <w:r w:rsidR="0081067D" w:rsidRPr="005C7810">
        <w:rPr>
          <w:rFonts w:ascii="Book Antiqua" w:hAnsi="Book Antiqua" w:cs="Times New Roman"/>
          <w:sz w:val="24"/>
          <w:szCs w:val="24"/>
          <w:lang w:val="en-US"/>
        </w:rPr>
        <w:t xml:space="preserve"> </w:t>
      </w:r>
      <w:r w:rsidR="00CB772D" w:rsidRPr="005C7810">
        <w:rPr>
          <w:rFonts w:ascii="Book Antiqua" w:hAnsi="Book Antiqua" w:cs="Times New Roman"/>
          <w:sz w:val="24"/>
          <w:szCs w:val="24"/>
          <w:lang w:val="en-US"/>
        </w:rPr>
        <w:t>generally have intestin</w:t>
      </w:r>
      <w:r w:rsidR="007965DE" w:rsidRPr="005C7810">
        <w:rPr>
          <w:rFonts w:ascii="Book Antiqua" w:hAnsi="Book Antiqua" w:cs="Times New Roman"/>
          <w:sz w:val="24"/>
          <w:szCs w:val="24"/>
          <w:lang w:val="en-US"/>
        </w:rPr>
        <w:t>al tumors</w:t>
      </w:r>
      <w:r w:rsidR="0081067D" w:rsidRPr="005C7810">
        <w:rPr>
          <w:rFonts w:ascii="Book Antiqua" w:hAnsi="Book Antiqua" w:cs="Times New Roman"/>
          <w:sz w:val="24"/>
          <w:szCs w:val="24"/>
          <w:lang w:val="en-US"/>
        </w:rPr>
        <w:t>, which</w:t>
      </w:r>
      <w:r w:rsidR="007965DE" w:rsidRPr="005C7810">
        <w:rPr>
          <w:rFonts w:ascii="Book Antiqua" w:hAnsi="Book Antiqua" w:cs="Times New Roman"/>
          <w:sz w:val="24"/>
          <w:szCs w:val="24"/>
          <w:lang w:val="en-US"/>
        </w:rPr>
        <w:t xml:space="preserve"> are diagnosed in</w:t>
      </w:r>
      <w:r w:rsidR="00CB772D" w:rsidRPr="005C7810">
        <w:rPr>
          <w:rFonts w:ascii="Book Antiqua" w:hAnsi="Book Antiqua" w:cs="Times New Roman"/>
          <w:sz w:val="24"/>
          <w:szCs w:val="24"/>
          <w:lang w:val="en-US"/>
        </w:rPr>
        <w:t xml:space="preserve"> old age. MSI tumors (21.7% of GC cases) are characterized by genomic instability due to methylation of DNA mismatch repair genes including MutL </w:t>
      </w:r>
      <w:r w:rsidR="0081067D" w:rsidRPr="005C7810">
        <w:rPr>
          <w:rFonts w:ascii="Book Antiqua" w:hAnsi="Book Antiqua" w:cs="Times New Roman"/>
          <w:sz w:val="24"/>
          <w:szCs w:val="24"/>
          <w:lang w:val="en-US"/>
        </w:rPr>
        <w:t>h</w:t>
      </w:r>
      <w:r w:rsidR="00CB772D" w:rsidRPr="005C7810">
        <w:rPr>
          <w:rFonts w:ascii="Book Antiqua" w:hAnsi="Book Antiqua" w:cs="Times New Roman"/>
          <w:sz w:val="24"/>
          <w:szCs w:val="24"/>
          <w:lang w:val="en-US"/>
        </w:rPr>
        <w:t>omolog 1</w:t>
      </w:r>
      <w:r w:rsidR="0081067D" w:rsidRPr="005C7810">
        <w:rPr>
          <w:rFonts w:ascii="Book Antiqua" w:hAnsi="Book Antiqua" w:cs="Times New Roman"/>
          <w:sz w:val="24"/>
          <w:szCs w:val="24"/>
          <w:lang w:val="en-US"/>
        </w:rPr>
        <w:t xml:space="preserve"> (</w:t>
      </w:r>
      <w:r w:rsidR="0081067D" w:rsidRPr="005C7810">
        <w:rPr>
          <w:rFonts w:ascii="Book Antiqua" w:hAnsi="Book Antiqua" w:cs="Times New Roman"/>
          <w:i/>
          <w:sz w:val="24"/>
          <w:szCs w:val="24"/>
          <w:lang w:val="en-US"/>
        </w:rPr>
        <w:t>MHL1</w:t>
      </w:r>
      <w:r w:rsidR="00CB772D" w:rsidRPr="005C7810">
        <w:rPr>
          <w:rFonts w:ascii="Book Antiqua" w:hAnsi="Book Antiqua" w:cs="Times New Roman"/>
          <w:sz w:val="24"/>
          <w:szCs w:val="24"/>
          <w:lang w:val="en-US"/>
        </w:rPr>
        <w:t xml:space="preserve">) and to a high incidence of mutations in </w:t>
      </w:r>
      <w:r w:rsidR="00CB772D" w:rsidRPr="005C7810">
        <w:rPr>
          <w:rFonts w:ascii="Book Antiqua" w:hAnsi="Book Antiqua" w:cs="Times New Roman"/>
          <w:i/>
          <w:sz w:val="24"/>
          <w:szCs w:val="24"/>
          <w:lang w:val="en-US"/>
        </w:rPr>
        <w:t>PIK3C</w:t>
      </w:r>
      <w:r w:rsidR="00CB772D" w:rsidRPr="005C7810">
        <w:rPr>
          <w:rFonts w:ascii="Book Antiqua" w:hAnsi="Book Antiqua" w:cs="Times New Roman"/>
          <w:sz w:val="24"/>
          <w:szCs w:val="24"/>
          <w:lang w:val="en-US"/>
        </w:rPr>
        <w:t>A</w:t>
      </w:r>
      <w:r w:rsidR="00F52C7E"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{"citationItems":[{"id":"ITEM-1","itemData":{"DOI":"10.1016/j.ejca.2005.04.022","ISBN":"1502-7708 (Electronic)\\n0036-5521 (Linking)","ISSN":"09598049","PMID":"15994075","abstract":"A wide variety of tumours show PIK3CA mutations leading to increased phosphatidylinositol-3 kinase (PI3K) activity. We have determined the frequency of PIK3CA mutations in exons 9 and 20 that has previously been reported as mutational hotspot regions in distinct tumour models. One hundred and fifty gastrointestinal carcinomas (47 gastric and 103 colorectal) that were characterised for MSI status (76 MSI and 74 MSS) by PCR-SSCP sequencing were evaluated. We also analysed the association between PIK3CA mutations and KRAS or BRAF mutations. PIK3CA mutations in exons 9 and 20 were present in 13.6% and 10.6% of colorectal and gastric carcinomas, respectively. No differences in frequency and type of PIK3CA mutations were found between MSI and MSS colorectal carcinomas. All gastric carcinomas with PIK3CA mutations were MSI. The number of cases harbouring concomitant PIK3CA and KRAS or BRAF mutations was higher in colorectal than in gastric carcinomas (P = 0.016). In colorectal carcinoma, PIK3CA mutations occur preferentially together with activating KRAS-BRAF mutations (MSI and MSS) while in gastric carcinomas PIK3CA mutations tend to occur as isolated events (MSI). © 2005 Elsevier Ltd. All rights reserved.","author":[{"dropping-particle":"","family":"Velho","given":"Sérgia","non-dropping-particle":"","parse-names":false,"suffix":""},{"dropping-particle":"","family":"Oliveira","given":"Carla","non-dropping-particle":"","parse-names":false,"suffix":""},{"dropping-particle":"","family":"Ferreira","given":"Ana","non-dropping-particle":"","parse-names":false,"suffix":""},{"dropping-particle":"","family":"Ferreira","given":"António Carlos","non-dropping-particle":"","parse-names":false,"suffix":""},{"dropping-particle":"","family":"Suriano","given":"Gianpaolo","non-dropping-particle":"","parse-names":false,"suffix":""},{"dropping-particle":"","family":"Schwartz","given":"Simó","non-dropping-particle":"","parse-names":false,"suffix":""},{"dropping-particle":"","family":"Duval","given":"Alex","non-dropping-particle":"","parse-names":false,"suffix":""},{"dropping-particle":"","family":"Carneiro","given":"Fátima","non-dropping-particle":"","parse-names":false,"suffix":""},{"dropping-particle":"","family":"Machado","given":"José Carlos","non-dropping-particle":"","parse-names":false,"suffix":""},{"dropping-particle":"","family":"Hamelin","given":"Richard","non-dropping-particle":"","parse-names":false,"suffix":""},{"dropping-particle":"","family":"Seruca","given":"Raquel","non-dropping-particle":"","parse-names":false,"suffix":""}],"container-title":"European Journal of Cancer","id":"ITEM-1","issue":"11","issued":{"date-parts":[["2005"]]},"page":"1649-1654","title":"The prevalence of PIK3CA mutations in gastric and colon cancer","type":"article-journal","volume":"41"},"uris":["http://www.mendeley.com/documents/?uuid=847c9908-59bd-4176-bcb6-7c55616b1453","http://www.mendeley.com/documents/?uuid=f10cbfe7-206b-4608-a6a7-f4ab51aacd7d"]}],"mendeley":{"formattedCitation":"&lt;sup&gt;[33]&lt;/sup&gt;","plainTextFormattedCitation":"[33]","previouslyFormattedCitation":"&lt;sup&gt;[33]&lt;/sup&gt;"},"properties":{"noteIndex":0},"schema":"https://github.com/citation-style-language/schema/raw/master/csl-citation.json"}</w:instrText>
      </w:r>
      <w:r w:rsidR="00F52C7E"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[33]</w:t>
      </w:r>
      <w:r w:rsidR="00F52C7E" w:rsidRPr="005C7810">
        <w:rPr>
          <w:rFonts w:ascii="Book Antiqua" w:hAnsi="Book Antiqua" w:cs="Times New Roman"/>
          <w:sz w:val="24"/>
          <w:szCs w:val="24"/>
          <w:vertAlign w:val="superscript"/>
          <w:lang w:val="en-US"/>
        </w:rPr>
        <w:fldChar w:fldCharType="end"/>
      </w:r>
      <w:r w:rsidR="00CB772D" w:rsidRPr="005C7810">
        <w:rPr>
          <w:rFonts w:ascii="Book Antiqua" w:hAnsi="Book Antiqua" w:cs="Times New Roman"/>
          <w:sz w:val="24"/>
          <w:szCs w:val="24"/>
          <w:lang w:val="en-US"/>
        </w:rPr>
        <w:t xml:space="preserve">, Erb-B2 </w:t>
      </w:r>
      <w:r w:rsidR="0081067D" w:rsidRPr="005C7810">
        <w:rPr>
          <w:rFonts w:ascii="Book Antiqua" w:hAnsi="Book Antiqua" w:cs="Times New Roman"/>
          <w:sz w:val="24"/>
          <w:szCs w:val="24"/>
          <w:lang w:val="en-US"/>
        </w:rPr>
        <w:t>r</w:t>
      </w:r>
      <w:r w:rsidR="00CB772D" w:rsidRPr="005C7810">
        <w:rPr>
          <w:rFonts w:ascii="Book Antiqua" w:hAnsi="Book Antiqua" w:cs="Times New Roman"/>
          <w:sz w:val="24"/>
          <w:szCs w:val="24"/>
          <w:lang w:val="en-US"/>
        </w:rPr>
        <w:t xml:space="preserve">eceptor </w:t>
      </w:r>
      <w:r w:rsidR="0081067D" w:rsidRPr="005C7810">
        <w:rPr>
          <w:rFonts w:ascii="Book Antiqua" w:hAnsi="Book Antiqua" w:cs="Times New Roman"/>
          <w:sz w:val="24"/>
          <w:szCs w:val="24"/>
          <w:lang w:val="en-US"/>
        </w:rPr>
        <w:t>t</w:t>
      </w:r>
      <w:r w:rsidR="00CB772D" w:rsidRPr="005C7810">
        <w:rPr>
          <w:rFonts w:ascii="Book Antiqua" w:hAnsi="Book Antiqua" w:cs="Times New Roman"/>
          <w:sz w:val="24"/>
          <w:szCs w:val="24"/>
          <w:lang w:val="en-US"/>
        </w:rPr>
        <w:t xml:space="preserve">yrosine </w:t>
      </w:r>
      <w:r w:rsidR="0081067D" w:rsidRPr="005C7810">
        <w:rPr>
          <w:rFonts w:ascii="Book Antiqua" w:hAnsi="Book Antiqua" w:cs="Times New Roman"/>
          <w:sz w:val="24"/>
          <w:szCs w:val="24"/>
          <w:lang w:val="en-US"/>
        </w:rPr>
        <w:t>k</w:t>
      </w:r>
      <w:r w:rsidR="00CB772D" w:rsidRPr="005C7810">
        <w:rPr>
          <w:rFonts w:ascii="Book Antiqua" w:hAnsi="Book Antiqua" w:cs="Times New Roman"/>
          <w:sz w:val="24"/>
          <w:szCs w:val="24"/>
          <w:lang w:val="en-US"/>
        </w:rPr>
        <w:t>inase</w:t>
      </w:r>
      <w:r w:rsidR="0081067D" w:rsidRPr="005C7810">
        <w:rPr>
          <w:rFonts w:ascii="Book Antiqua" w:hAnsi="Book Antiqua" w:cs="Times New Roman"/>
          <w:sz w:val="24"/>
          <w:szCs w:val="24"/>
          <w:lang w:val="en-US"/>
        </w:rPr>
        <w:t xml:space="preserve"> 3 (</w:t>
      </w:r>
      <w:r w:rsidR="0081067D" w:rsidRPr="005C7810">
        <w:rPr>
          <w:rFonts w:ascii="Book Antiqua" w:hAnsi="Book Antiqua" w:cs="Times New Roman"/>
          <w:i/>
          <w:sz w:val="24"/>
          <w:szCs w:val="24"/>
          <w:lang w:val="en-US"/>
        </w:rPr>
        <w:t>ERBB3</w:t>
      </w:r>
      <w:r w:rsidR="00CB772D" w:rsidRPr="005C7810">
        <w:rPr>
          <w:rFonts w:ascii="Book Antiqua" w:hAnsi="Book Antiqua" w:cs="Times New Roman"/>
          <w:sz w:val="24"/>
          <w:szCs w:val="24"/>
          <w:lang w:val="en-US"/>
        </w:rPr>
        <w:t>)</w:t>
      </w:r>
      <w:r w:rsidR="00FA2DCB"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10.1007/s00018-018-2906-9","ISBN":"0123456789","ISSN":"1420-682X","author":[{"dropping-particle":"","family":"Valeri","given":"Nicola","non-dropping-particle":"","parse-names":false,"suffix":""},{"dropping-particle":"","family":"Passalacqua","given":"Rodolfo","non-dropping-particle":"","parse-names":false,"suffix":""},{"dropping-particle":"","family":"Ratti","given":"Margherita","non-dropping-particle":"","parse-names":false,"suffix":""},{"dropping-particle":"","family":"Hahne","given":"Jens C.","non-dropping-particle":"","parse-names":false,"suffix":""},{"dropping-particle":"","family":"Lampis","given":"Andrea","non-dropping-particle":"","parse-names":false,"suffix":""}],"container-title":"Cellular and Molecular Life Sciences","id":"ITEM-1","issue":"22","issued":{"date-parts":[["2018"]]},"page":"4151-4162","publisher":"Springer International Publishing","title":"Microsatellite instability in gastric cancer: molecular bases, clinical perspectives, and new treatment approaches","type":"article-journal","volume":"75"},"uris":["http://www.mendeley.com/documents/?uuid=34e4631f-4109-4d15-8d6b-de48982242d2","http://www.mendeley.com/documents/?uuid=ee18a7f6-52e9-4880-ad19-22e50cbd7465"]}],"mendeley":{"formattedCitation":"&lt;sup&gt;[34]&lt;/sup&gt;","plainTextFormattedCitation":"[34]","previouslyFormattedCitation":"&lt;sup&gt;[34]&lt;/sup&gt;"},"properties":{"noteIndex":0},"schema":"https://github.com/citation-style-language/schema/raw/master/csl-citation.json"}</w:instrText>
      </w:r>
      <w:r w:rsidR="00FA2DCB"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[34]</w:t>
      </w:r>
      <w:r w:rsidR="00FA2DCB" w:rsidRPr="005C7810">
        <w:rPr>
          <w:rFonts w:ascii="Book Antiqua" w:hAnsi="Book Antiqua" w:cs="Times New Roman"/>
          <w:sz w:val="24"/>
          <w:szCs w:val="24"/>
          <w:lang w:val="en-US"/>
        </w:rPr>
        <w:fldChar w:fldCharType="end"/>
      </w:r>
      <w:r w:rsidR="00CB772D" w:rsidRPr="005C7810">
        <w:rPr>
          <w:rFonts w:ascii="Book Antiqua" w:hAnsi="Book Antiqua" w:cs="Times New Roman"/>
          <w:sz w:val="24"/>
          <w:szCs w:val="24"/>
          <w:lang w:val="en-US"/>
        </w:rPr>
        <w:t xml:space="preserve">, </w:t>
      </w:r>
      <w:r w:rsidR="00D24B8C" w:rsidRPr="005C7810">
        <w:rPr>
          <w:rFonts w:ascii="Book Antiqua" w:hAnsi="Book Antiqua" w:cs="Times New Roman"/>
          <w:sz w:val="24"/>
          <w:szCs w:val="24"/>
          <w:lang w:val="en-US"/>
        </w:rPr>
        <w:t>r</w:t>
      </w:r>
      <w:r w:rsidR="00CB772D" w:rsidRPr="005C7810">
        <w:rPr>
          <w:rFonts w:ascii="Book Antiqua" w:hAnsi="Book Antiqua" w:cs="Times New Roman"/>
          <w:sz w:val="24"/>
          <w:szCs w:val="24"/>
          <w:lang w:val="en-US"/>
        </w:rPr>
        <w:t xml:space="preserve">ing </w:t>
      </w:r>
      <w:r w:rsidR="00D24B8C" w:rsidRPr="005C7810">
        <w:rPr>
          <w:rFonts w:ascii="Book Antiqua" w:hAnsi="Book Antiqua" w:cs="Times New Roman"/>
          <w:sz w:val="24"/>
          <w:szCs w:val="24"/>
          <w:lang w:val="en-US"/>
        </w:rPr>
        <w:t>f</w:t>
      </w:r>
      <w:r w:rsidR="00CB772D" w:rsidRPr="005C7810">
        <w:rPr>
          <w:rFonts w:ascii="Book Antiqua" w:hAnsi="Book Antiqua" w:cs="Times New Roman"/>
          <w:sz w:val="24"/>
          <w:szCs w:val="24"/>
          <w:lang w:val="en-US"/>
        </w:rPr>
        <w:t xml:space="preserve">inger </w:t>
      </w:r>
      <w:r w:rsidR="00D24B8C" w:rsidRPr="005C7810">
        <w:rPr>
          <w:rFonts w:ascii="Book Antiqua" w:hAnsi="Book Antiqua" w:cs="Times New Roman"/>
          <w:sz w:val="24"/>
          <w:szCs w:val="24"/>
          <w:lang w:val="en-US"/>
        </w:rPr>
        <w:t>p</w:t>
      </w:r>
      <w:r w:rsidR="00CB772D" w:rsidRPr="005C7810">
        <w:rPr>
          <w:rFonts w:ascii="Book Antiqua" w:hAnsi="Book Antiqua" w:cs="Times New Roman"/>
          <w:sz w:val="24"/>
          <w:szCs w:val="24"/>
          <w:lang w:val="en-US"/>
        </w:rPr>
        <w:t>rotein 43</w:t>
      </w:r>
      <w:r w:rsidR="00D15F19" w:rsidRPr="005C7810">
        <w:rPr>
          <w:rFonts w:ascii="Book Antiqua" w:hAnsi="Book Antiqua" w:cs="Times New Roman"/>
          <w:sz w:val="24"/>
          <w:szCs w:val="24"/>
          <w:lang w:val="en-US"/>
        </w:rPr>
        <w:t xml:space="preserve"> (</w:t>
      </w:r>
      <w:r w:rsidR="00D15F19" w:rsidRPr="005C7810">
        <w:rPr>
          <w:rFonts w:ascii="Book Antiqua" w:hAnsi="Book Antiqua" w:cs="Times New Roman"/>
          <w:i/>
          <w:sz w:val="24"/>
          <w:szCs w:val="24"/>
          <w:lang w:val="en-US"/>
        </w:rPr>
        <w:t>RNF43</w:t>
      </w:r>
      <w:r w:rsidR="00D15F19" w:rsidRPr="005C7810">
        <w:rPr>
          <w:rFonts w:ascii="Book Antiqua" w:hAnsi="Book Antiqua" w:cs="Times New Roman"/>
          <w:sz w:val="24"/>
          <w:szCs w:val="24"/>
          <w:lang w:val="en-US"/>
        </w:rPr>
        <w:t>)</w:t>
      </w:r>
      <w:r w:rsidR="00FA2DCB"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{"citationItems":[{"id":"ITEM-1","itemData":{"DOI":"10.1016/j.humpath.2015.07.004","ISSN":"00468177","author":[{"dropping-particle":"","family":"Lee","given":"Sug Hyung","non-dropping-particle":"","parse-names":false,"suffix":""},{"dropping-particle":"","family":"Jo","given":"Yun Sol","non-dropping-particle":"","parse-names":false,"suffix":""},{"dropping-particle":"","family":"An","given":"Chang Hyeok","non-dropping-particle":"","parse-names":false,"suffix":""},{"dropping-particle":"","family":"Yoo","given":"Nam Jin","non-dropping-particle":"","parse-names":false,"suffix":""},{"dropping-particle":"","family":"Lee","given":"Ju Hwa","non-dropping-particle":"","parse-names":false,"suffix":""},{"dropping-particle":"","family":"Kim","given":"Min Sung","non-dropping-particle":"","parse-names":false,"suffix":""}],"container-title":"Human Pathology","id":"ITEM-1","issue":"11","issued":{"date-parts":[["2015"]]},"page":"1640-1646","publisher":"Elsevier Inc.","title":"Frequent frameshift mutations in 2 mononucleotide repeats of RNF43 gene and its regional heterogeneity in gastric and colorectal cancers","type":"article-journal","volume":"46"},"uris":["http://www.mendeley.com/documents/?uuid=1559c555-87f9-4836-b936-515af0d8f3ce","http://www.mendeley.com/documents/?uuid=f40b3726-47a5-466c-80d9-7d684a8deca2"]}],"mendeley":{"formattedCitation":"&lt;sup&gt;[35]&lt;/sup&gt;","plainTextFormattedCitation":"[35]","previouslyFormattedCitation":"&lt;sup&gt;[35]&lt;/sup&gt;"},"properties":{"noteIndex":0},"schema":"https://github.com/citation-style-language/schema/raw/master/csl-citation.json"}</w:instrText>
      </w:r>
      <w:r w:rsidR="00FA2DCB"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[35]</w:t>
      </w:r>
      <w:r w:rsidR="00FA2DCB" w:rsidRPr="005C7810">
        <w:rPr>
          <w:rFonts w:ascii="Book Antiqua" w:hAnsi="Book Antiqua" w:cs="Times New Roman"/>
          <w:sz w:val="24"/>
          <w:szCs w:val="24"/>
          <w:lang w:val="en-US"/>
        </w:rPr>
        <w:fldChar w:fldCharType="end"/>
      </w:r>
      <w:r w:rsidR="00CB772D" w:rsidRPr="005C7810">
        <w:rPr>
          <w:rFonts w:ascii="Book Antiqua" w:hAnsi="Book Antiqua" w:cs="Times New Roman"/>
          <w:sz w:val="24"/>
          <w:szCs w:val="24"/>
          <w:lang w:val="en-US"/>
        </w:rPr>
        <w:t>,</w:t>
      </w:r>
      <w:r w:rsidR="0081067D" w:rsidRPr="005C7810">
        <w:rPr>
          <w:rFonts w:ascii="Book Antiqua" w:hAnsi="Book Antiqua" w:cs="Times New Roman"/>
          <w:sz w:val="24"/>
          <w:szCs w:val="24"/>
          <w:lang w:val="en-US"/>
        </w:rPr>
        <w:t xml:space="preserve"> </w:t>
      </w:r>
      <w:r w:rsidR="00D24B8C" w:rsidRPr="005C7810">
        <w:rPr>
          <w:rFonts w:ascii="Book Antiqua" w:hAnsi="Book Antiqua" w:cs="Times New Roman"/>
          <w:sz w:val="24"/>
          <w:szCs w:val="24"/>
          <w:lang w:val="en-US"/>
        </w:rPr>
        <w:t>p</w:t>
      </w:r>
      <w:r w:rsidR="00CB772D" w:rsidRPr="005C7810">
        <w:rPr>
          <w:rFonts w:ascii="Book Antiqua" w:hAnsi="Book Antiqua" w:cs="Times New Roman"/>
          <w:sz w:val="24"/>
          <w:szCs w:val="24"/>
          <w:lang w:val="en-US"/>
        </w:rPr>
        <w:t xml:space="preserve">hosphatase </w:t>
      </w:r>
      <w:r w:rsidR="00D24B8C" w:rsidRPr="005C7810">
        <w:rPr>
          <w:rFonts w:ascii="Book Antiqua" w:hAnsi="Book Antiqua" w:cs="Times New Roman"/>
          <w:sz w:val="24"/>
          <w:szCs w:val="24"/>
          <w:lang w:val="en-US"/>
        </w:rPr>
        <w:t>a</w:t>
      </w:r>
      <w:r w:rsidR="00CB772D" w:rsidRPr="005C7810">
        <w:rPr>
          <w:rFonts w:ascii="Book Antiqua" w:hAnsi="Book Antiqua" w:cs="Times New Roman"/>
          <w:sz w:val="24"/>
          <w:szCs w:val="24"/>
          <w:lang w:val="en-US"/>
        </w:rPr>
        <w:t xml:space="preserve">nd </w:t>
      </w:r>
      <w:r w:rsidR="00D24B8C" w:rsidRPr="005C7810">
        <w:rPr>
          <w:rFonts w:ascii="Book Antiqua" w:hAnsi="Book Antiqua" w:cs="Times New Roman"/>
          <w:sz w:val="24"/>
          <w:szCs w:val="24"/>
          <w:lang w:val="en-US"/>
        </w:rPr>
        <w:t>t</w:t>
      </w:r>
      <w:r w:rsidR="00CB772D" w:rsidRPr="005C7810">
        <w:rPr>
          <w:rFonts w:ascii="Book Antiqua" w:hAnsi="Book Antiqua" w:cs="Times New Roman"/>
          <w:sz w:val="24"/>
          <w:szCs w:val="24"/>
          <w:lang w:val="en-US"/>
        </w:rPr>
        <w:t xml:space="preserve">ensin </w:t>
      </w:r>
      <w:r w:rsidR="00D24B8C" w:rsidRPr="005C7810">
        <w:rPr>
          <w:rFonts w:ascii="Book Antiqua" w:hAnsi="Book Antiqua" w:cs="Times New Roman"/>
          <w:sz w:val="24"/>
          <w:szCs w:val="24"/>
          <w:lang w:val="en-US"/>
        </w:rPr>
        <w:t>h</w:t>
      </w:r>
      <w:r w:rsidR="00CB772D" w:rsidRPr="005C7810">
        <w:rPr>
          <w:rFonts w:ascii="Book Antiqua" w:hAnsi="Book Antiqua" w:cs="Times New Roman"/>
          <w:sz w:val="24"/>
          <w:szCs w:val="24"/>
          <w:lang w:val="en-US"/>
        </w:rPr>
        <w:t>omolog</w:t>
      </w:r>
      <w:r w:rsidR="0081067D" w:rsidRPr="005C7810">
        <w:rPr>
          <w:rFonts w:ascii="Book Antiqua" w:hAnsi="Book Antiqua" w:cs="Times New Roman"/>
          <w:sz w:val="24"/>
          <w:szCs w:val="24"/>
          <w:lang w:val="en-US"/>
        </w:rPr>
        <w:t xml:space="preserve"> (</w:t>
      </w:r>
      <w:r w:rsidR="0081067D" w:rsidRPr="005C7810">
        <w:rPr>
          <w:rFonts w:ascii="Book Antiqua" w:hAnsi="Book Antiqua" w:cs="Times New Roman"/>
          <w:i/>
          <w:sz w:val="24"/>
          <w:szCs w:val="24"/>
          <w:lang w:val="en-US"/>
        </w:rPr>
        <w:t>PTEN</w:t>
      </w:r>
      <w:r w:rsidR="00CB772D" w:rsidRPr="005C7810">
        <w:rPr>
          <w:rFonts w:ascii="Book Antiqua" w:hAnsi="Book Antiqua" w:cs="Times New Roman"/>
          <w:sz w:val="24"/>
          <w:szCs w:val="24"/>
          <w:lang w:val="en-US"/>
        </w:rPr>
        <w:t>)</w:t>
      </w:r>
      <w:r w:rsidR="005B58CC"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{"citationItems":[{"id":"ITEM-1","itemData":{"DOI":"10.3748/wjg.v12.i2.192","ISSN":"10079327","abstract":"The development and progression of gastric cancer involves a number of genetic and epigenetic alterations of tumor suppressor and tumor-related genes. The majority of differentiated carcinomas arise from intestinal metaplastic mucosa and exhibit structurally altered tumor suppressor genes, typified by p53, which is inactivated via the classic two-hit mechanism, i.e. loss of heterozygosity (LOH) and mutation of the remaining allele. LOH at certain chromosomal loci accumulates during tumor progression. Approximately 20% of differentiated carcinomas show evidence of mutator pathway tumorigenesis due to hMLH1 inactivation via hypermethylation of promoter CpG islands, and exhibit high-frequency microsatellite instability. In contrast, undifferentiated carcinomas rarely exhibit structurally altered tumor suppressor genes. For instance, while methylation of E-cadherin is often observed in undifferentiated carcinomas, mutation of this gene is generally associated with the progression from differentiated to undifferentiated carcinomas. Hypermethylation of tumor suppressor and tumor-related genes, including APC, CHFR, DAP-kinase, DCC, E-cadherin, GSTP1, hMLH1, p16, PTEN, RASSF1A, RUNX3, and TSLC1, can be detected in both differentiated and undifferentiated carcinomas at varying frequencies. However, the significance of the hypermethylation varies according to the analyzed genomic region, and hypermethylation of these genes can also be present in non-neoplastic gastric epithelia. Promoter demethylation of specific genes, such as MAGE and synuclein Y, can occur during the progressive stages of both histological types, and is associated with patient prognosis. Thus, while the molecular pathways of gastric carcinogenesis are dependent on histological background, specific genetic alterations can still be used for risk assessment, diagnosis, and prognosis.","author":[{"dropping-particle":"","family":"Tamura","given":"Gen","non-dropping-particle":"","parse-names":false,"suffix":""}],"container-title":"World Journal of Gastroenterology","id":"ITEM-1","issue":"2","issued":{"date-parts":[["2006"]]},"page":"192-198","title":"Alterations of tumor suppressor and tumor-related genes in the development and progression of gastric cancer","type":"article-journal","volume":"12"},"uris":["http://www.mendeley.com/documents/?uuid=d25fb35c-7318-4846-8308-940413e671e1","http://www.mendeley.com/documents/?uuid=e7fcf77a-a786-4e47-85e7-9aa8f45e7ce6"]}],"mendeley":{"formattedCitation":"&lt;sup&gt;[36]&lt;/sup&gt;","plainTextFormattedCitation":"[36]","previouslyFormattedCitation":"&lt;sup&gt;[36]&lt;/sup&gt;"},"properties":{"noteIndex":0},"schema":"https://github.com/citation-style-language/schema/raw/master/csl-citation.json"}</w:instrText>
      </w:r>
      <w:r w:rsidR="005B58CC"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[36]</w:t>
      </w:r>
      <w:r w:rsidR="005B58CC" w:rsidRPr="005C7810">
        <w:rPr>
          <w:rFonts w:ascii="Book Antiqua" w:hAnsi="Book Antiqua" w:cs="Times New Roman"/>
          <w:sz w:val="24"/>
          <w:szCs w:val="24"/>
          <w:vertAlign w:val="superscript"/>
          <w:lang w:val="en-US"/>
        </w:rPr>
        <w:fldChar w:fldCharType="end"/>
      </w:r>
      <w:r w:rsidR="00CB772D" w:rsidRPr="005C7810">
        <w:rPr>
          <w:rFonts w:ascii="Book Antiqua" w:hAnsi="Book Antiqua" w:cs="Times New Roman"/>
          <w:sz w:val="24"/>
          <w:szCs w:val="24"/>
          <w:lang w:val="en-US"/>
        </w:rPr>
        <w:t xml:space="preserve">, </w:t>
      </w:r>
      <w:r w:rsidR="00CB772D" w:rsidRPr="005C7810">
        <w:rPr>
          <w:rFonts w:ascii="Book Antiqua" w:hAnsi="Book Antiqua" w:cs="Times New Roman"/>
          <w:i/>
          <w:sz w:val="24"/>
          <w:szCs w:val="24"/>
          <w:lang w:val="en-US"/>
        </w:rPr>
        <w:t>TP53</w:t>
      </w:r>
      <w:r w:rsidR="005B58CC" w:rsidRPr="005C7810">
        <w:rPr>
          <w:rFonts w:ascii="Book Antiqua" w:hAnsi="Book Antiqua" w:cs="Times New Roman"/>
          <w:i/>
          <w:sz w:val="24"/>
          <w:szCs w:val="24"/>
          <w:lang w:val="en-US"/>
        </w:rPr>
        <w:fldChar w:fldCharType="begin" w:fldLock="1"/>
      </w:r>
      <w:r w:rsidR="00AB32F3" w:rsidRPr="005C7810">
        <w:rPr>
          <w:rFonts w:ascii="Book Antiqua" w:hAnsi="Book Antiqua" w:cs="Times New Roman"/>
          <w:i/>
          <w:sz w:val="24"/>
          <w:szCs w:val="24"/>
          <w:lang w:val="en-US"/>
        </w:rPr>
        <w:instrText>ADDIN CSL_CITATION {"citationItems":[{"id":"ITEM-1","itemData":{"author":[{"dropping-particle":"","family":"Huo X, Xiao X, Zhang S, Zhou D","given":"Chen Z","non-dropping-particle":"","parse-names":false,"suffix":""}],"container-title":"Anticancer Research","id":"ITEM-1","issued":{"date-parts":[["2017"]]},"page":"4507-4514","title":"Association of Intron Microsatellite Instability and Exon Mutational Profile of TP53 in Human Gastric Cancers","type":"article-journal","volume":"37"},"uris":["http://www.mendeley.com/documents/?uuid=7df20700-3070-4a4b-876c-0f0421adb493","http://www.mendeley.com/documents/?uuid=d4959aa7-c158-4ba2-bf88-6e937e8825a4"]}],"mendeley":{"formattedCitation":"&lt;sup&gt;[37]&lt;/sup&gt;","plainTextFormattedCitation":"[37]","previouslyFormattedCitation":"&lt;sup&gt;[37]&lt;/sup&gt;"},"properties":{"noteIndex":0},"schema":"https://github.com/citation-style-language/schema/raw/master/csl-citation.json"}</w:instrText>
      </w:r>
      <w:r w:rsidR="005B58CC" w:rsidRPr="005C7810">
        <w:rPr>
          <w:rFonts w:ascii="Book Antiqua" w:hAnsi="Book Antiqua" w:cs="Times New Roman"/>
          <w:i/>
          <w:sz w:val="24"/>
          <w:szCs w:val="24"/>
          <w:lang w:val="en-US"/>
        </w:rPr>
        <w:fldChar w:fldCharType="separate"/>
      </w:r>
      <w:r w:rsidR="00182B66" w:rsidRPr="005C7810">
        <w:rPr>
          <w:rFonts w:ascii="Book Antiqua" w:hAnsi="Book Antiqua" w:cs="Times New Roman"/>
          <w:sz w:val="24"/>
          <w:szCs w:val="24"/>
          <w:vertAlign w:val="superscript"/>
          <w:lang w:val="en-US"/>
        </w:rPr>
        <w:t>[37]</w:t>
      </w:r>
      <w:r w:rsidR="005B58CC" w:rsidRPr="005C7810">
        <w:rPr>
          <w:rFonts w:ascii="Book Antiqua" w:hAnsi="Book Antiqua" w:cs="Times New Roman"/>
          <w:i/>
          <w:sz w:val="24"/>
          <w:szCs w:val="24"/>
          <w:lang w:val="en-US"/>
        </w:rPr>
        <w:fldChar w:fldCharType="end"/>
      </w:r>
      <w:r w:rsidR="00CB772D" w:rsidRPr="005C7810">
        <w:rPr>
          <w:rFonts w:ascii="Book Antiqua" w:hAnsi="Book Antiqua" w:cs="Times New Roman"/>
          <w:sz w:val="24"/>
          <w:szCs w:val="24"/>
          <w:lang w:val="en-US"/>
        </w:rPr>
        <w:t xml:space="preserve">, </w:t>
      </w:r>
      <w:r w:rsidR="00CB772D" w:rsidRPr="005C7810">
        <w:rPr>
          <w:rFonts w:ascii="Book Antiqua" w:hAnsi="Book Antiqua" w:cs="Times New Roman"/>
          <w:i/>
          <w:sz w:val="24"/>
          <w:szCs w:val="24"/>
          <w:lang w:val="en-US"/>
        </w:rPr>
        <w:t>KRAS</w:t>
      </w:r>
      <w:r w:rsidR="005B58CC" w:rsidRPr="005C7810">
        <w:rPr>
          <w:rFonts w:ascii="Book Antiqua" w:hAnsi="Book Antiqua" w:cs="Times New Roman"/>
          <w:i/>
          <w:sz w:val="24"/>
          <w:szCs w:val="24"/>
          <w:lang w:val="en-US"/>
        </w:rPr>
        <w:fldChar w:fldCharType="begin" w:fldLock="1"/>
      </w:r>
      <w:r w:rsidR="00AB32F3" w:rsidRPr="005C7810">
        <w:rPr>
          <w:rFonts w:ascii="Book Antiqua" w:hAnsi="Book Antiqua" w:cs="Times New Roman"/>
          <w:i/>
          <w:sz w:val="24"/>
          <w:szCs w:val="24"/>
          <w:lang w:val="en-US"/>
        </w:rPr>
        <w:instrText>ADDIN CSL_CITATION {"citationItems":[{"id":"ITEM-1","itemData":{"author":[{"dropping-particle":"","family":"Polom K, Das K, Marrelli D, Roviello G, Pascale V, Voglino C, Rho H, Tan P","given":"Roviello F","non-dropping-particle":"","parse-names":false,"suffix":""}],"container-title":"Pathol Oncol Res","id":"ITEM-1","issued":{"date-parts":[["2019"]]},"page":"333-340","title":"KRAS Mutation in Gastric Cancer and Prognostication Associated with Microsatellite Instability Status. Pathol Oncol Res 2019","type":"article-journal","volume":"25"},"uris":["http://www.mendeley.com/documents/?uuid=3ca08662-f415-4231-8d44-3c3834388452","http://www.mendeley.com/documents/?uuid=ccdfb0bf-4be1-4162-bf47-5c0858b39028"]}],"mendeley":{"formattedCitation":"&lt;sup&gt;[38]&lt;/sup&gt;","plainTextFormattedCitation":"[38]","previouslyFormattedCitation":"&lt;sup&gt;[38]&lt;/sup&gt;"},"properties":{"noteIndex":0},"schema":"https://github.com/citation-style-language/schema/raw/master/csl-citation.json"}</w:instrText>
      </w:r>
      <w:r w:rsidR="005B58CC" w:rsidRPr="005C7810">
        <w:rPr>
          <w:rFonts w:ascii="Book Antiqua" w:hAnsi="Book Antiqua" w:cs="Times New Roman"/>
          <w:i/>
          <w:sz w:val="24"/>
          <w:szCs w:val="24"/>
          <w:lang w:val="en-US"/>
        </w:rPr>
        <w:fldChar w:fldCharType="separate"/>
      </w:r>
      <w:r w:rsidR="00182B66" w:rsidRPr="005C7810">
        <w:rPr>
          <w:rFonts w:ascii="Book Antiqua" w:hAnsi="Book Antiqua" w:cs="Times New Roman"/>
          <w:sz w:val="24"/>
          <w:szCs w:val="24"/>
          <w:vertAlign w:val="superscript"/>
          <w:lang w:val="en-US"/>
        </w:rPr>
        <w:t>[38]</w:t>
      </w:r>
      <w:r w:rsidR="005B58CC" w:rsidRPr="005C7810">
        <w:rPr>
          <w:rFonts w:ascii="Book Antiqua" w:hAnsi="Book Antiqua" w:cs="Times New Roman"/>
          <w:i/>
          <w:sz w:val="24"/>
          <w:szCs w:val="24"/>
          <w:lang w:val="en-US"/>
        </w:rPr>
        <w:fldChar w:fldCharType="end"/>
      </w:r>
      <w:r w:rsidR="00CB772D" w:rsidRPr="005C7810">
        <w:rPr>
          <w:rFonts w:ascii="Book Antiqua" w:hAnsi="Book Antiqua" w:cs="Times New Roman"/>
          <w:sz w:val="24"/>
          <w:szCs w:val="24"/>
          <w:lang w:val="en-US"/>
        </w:rPr>
        <w:t xml:space="preserve">, and </w:t>
      </w:r>
      <w:r w:rsidR="00CB772D" w:rsidRPr="005C7810">
        <w:rPr>
          <w:rFonts w:ascii="Book Antiqua" w:hAnsi="Book Antiqua" w:cs="Times New Roman"/>
          <w:i/>
          <w:sz w:val="24"/>
          <w:szCs w:val="24"/>
          <w:lang w:val="en-US"/>
        </w:rPr>
        <w:t>ARID1A</w:t>
      </w:r>
      <w:r w:rsidR="005B58CC" w:rsidRPr="005C7810">
        <w:rPr>
          <w:rFonts w:ascii="Book Antiqua" w:hAnsi="Book Antiqua" w:cs="Times New Roman"/>
          <w:i/>
          <w:sz w:val="24"/>
          <w:szCs w:val="24"/>
          <w:lang w:val="en-US"/>
        </w:rPr>
        <w:fldChar w:fldCharType="begin" w:fldLock="1"/>
      </w:r>
      <w:r w:rsidR="00AB32F3" w:rsidRPr="005C7810">
        <w:rPr>
          <w:rFonts w:ascii="Book Antiqua" w:hAnsi="Book Antiqua" w:cs="Times New Roman"/>
          <w:i/>
          <w:sz w:val="24"/>
          <w:szCs w:val="24"/>
          <w:lang w:val="en-US"/>
        </w:rPr>
        <w:instrText>ADDIN CSL_CITATION {"citationItems":[{"id":"ITEM-1","itemData":{"DOI":"10.1038/ng.982","ISSN":"1061-4036","author":[{"dropping-particle":"","family":"Chan","given":"Tsun Leung","non-dropping-particle":"","parse-names":false,"suffix":""},{"dropping-particle":"","family":"Pocalyko","given":"David J","non-dropping-particle":"","parse-names":false,"suffix":""},{"dropping-particle":"","family":"Mao","given":"Mao","non-dropping-particle":"","parse-names":false,"suffix":""},{"dropping-particle":"","family":"Xu","given":"Jiangchun","non-dropping-particle":"","parse-names":false,"suffix":""},{"dropping-particle":"","family":"Cheng","given":"Grace H W","non-dropping-particle":"","parse-names":false,"suffix":""},{"dropping-particle":"","family":"Chan","given":"Annie S Y","non-dropping-particle":"","parse-names":false,"suffix":""},{"dropping-particle":"","family":"Law","given":"Simon","non-dropping-particle":"","parse-names":false,"suffix":""},{"dropping-particle":"","family":"Kan","given":"Junsuo","non-dropping-particle":"","parse-names":false,"suffix":""},{"dropping-particle":"","family":"Chu","given":"Kent Man","non-dropping-particle":"","parse-names":false,"suffix":""},{"dropping-particle":"","family":"Ho","given":"Siu Lun","non-dropping-particle":"","parse-names":false,"suffix":""},{"dropping-particle":"","family":"Roberts","given":"Peter C","non-dropping-particle":"","parse-names":false,"suffix":""},{"dropping-particle":"","family":"Yuen","given":"Siu Tsan","non-dropping-particle":"","parse-names":false,"suffix":""},{"dropping-particle":"","family":"Lee","given":"Siu Po","non-dropping-particle":"","parse-names":false,"suffix":""},{"dropping-particle":"","family":"Gibson","given":"Neil W","non-dropping-particle":"","parse-names":false,"suffix":""},{"dropping-particle":"","family":"Rejto","given":"Paul A","non-dropping-particle":"","parse-names":false,"suffix":""},{"dropping-particle":"","family":"Leung","given":"Suet Yi","non-dropping-particle":"","parse-names":false,"suffix":""},{"dropping-particle":"","family":"Chan","given":"Anthony K W","non-dropping-particle":"","parse-names":false,"suffix":""},{"dropping-particle":"","family":"Wang","given":"Kai","non-dropping-particle":"","parse-names":false,"suffix":""},{"dropping-particle":"","family":"Tsui","given":"Wai Yin","non-dropping-particle":"","parse-names":false,"suffix":""},{"dropping-particle":"","family":"Shi","given":"Stephanie T","non-dropping-particle":"","parse-names":false,"suffix":""},{"dropping-particle":"","family":"Kan","given":"Zhengyan","non-dropping-particle":"","parse-names":false,"suffix":""}],"container-title":"Nature Genetics","id":"ITEM-1","issue":"12","issued":{"date-parts":[["2011"]]},"page":"1219-1223","publisher":"Nature Publishing Group","title":"Exome sequencing identifies frequent mutation of ARID1A in molecular subtypes of gastric cancer","type":"article-journal","volume":"43"},"uris":["http://www.mendeley.com/documents/?uuid=75419705-d0a6-4a04-8672-b6f4d62be929","http://www.mendeley.com/documents/?uuid=f60aa9ba-1b04-4521-a1e0-b475e7cc6389"]}],"mendeley":{"formattedCitation":"&lt;sup&gt;[32]&lt;/sup&gt;","plainTextFormattedCitation":"[32]","previouslyFormattedCitation":"&lt;sup&gt;[32]&lt;/sup&gt;"},"properties":{"noteIndex":0},"schema":"https://github.com/citation-style-language/schema/raw/master/csl-citation.json"}</w:instrText>
      </w:r>
      <w:r w:rsidR="005B58CC" w:rsidRPr="005C7810">
        <w:rPr>
          <w:rFonts w:ascii="Book Antiqua" w:hAnsi="Book Antiqua" w:cs="Times New Roman"/>
          <w:i/>
          <w:sz w:val="24"/>
          <w:szCs w:val="24"/>
          <w:lang w:val="en-US"/>
        </w:rPr>
        <w:fldChar w:fldCharType="separate"/>
      </w:r>
      <w:r w:rsidR="00182B66" w:rsidRPr="005C7810">
        <w:rPr>
          <w:rFonts w:ascii="Book Antiqua" w:hAnsi="Book Antiqua" w:cs="Times New Roman"/>
          <w:sz w:val="24"/>
          <w:szCs w:val="24"/>
          <w:vertAlign w:val="superscript"/>
          <w:lang w:val="en-US"/>
        </w:rPr>
        <w:t>[32]</w:t>
      </w:r>
      <w:r w:rsidR="005B58CC" w:rsidRPr="005C7810">
        <w:rPr>
          <w:rFonts w:ascii="Book Antiqua" w:hAnsi="Book Antiqua" w:cs="Times New Roman"/>
          <w:i/>
          <w:sz w:val="24"/>
          <w:szCs w:val="24"/>
          <w:lang w:val="en-US"/>
        </w:rPr>
        <w:fldChar w:fldCharType="end"/>
      </w:r>
      <w:r w:rsidR="00CB772D" w:rsidRPr="005C7810">
        <w:rPr>
          <w:rFonts w:ascii="Book Antiqua" w:hAnsi="Book Antiqua" w:cs="Times New Roman"/>
          <w:sz w:val="24"/>
          <w:szCs w:val="24"/>
          <w:lang w:val="en-US"/>
        </w:rPr>
        <w:t xml:space="preserve"> genes.</w:t>
      </w:r>
      <w:r w:rsidR="002A42E6" w:rsidRPr="005C7810">
        <w:rPr>
          <w:rFonts w:ascii="Book Antiqua" w:hAnsi="Book Antiqua" w:cs="Times New Roman"/>
          <w:sz w:val="24"/>
          <w:szCs w:val="24"/>
          <w:lang w:val="en-US"/>
        </w:rPr>
        <w:t xml:space="preserve"> </w:t>
      </w:r>
      <w:r w:rsidR="00752A06" w:rsidRPr="005C7810">
        <w:rPr>
          <w:rFonts w:ascii="Book Antiqua" w:hAnsi="Book Antiqua" w:cs="Times New Roman"/>
          <w:sz w:val="24"/>
          <w:szCs w:val="24"/>
          <w:lang w:val="en-US"/>
        </w:rPr>
        <w:t>I</w:t>
      </w:r>
      <w:r w:rsidR="002A42E6" w:rsidRPr="005C7810">
        <w:rPr>
          <w:rFonts w:ascii="Book Antiqua" w:eastAsia="Times New Roman" w:hAnsi="Book Antiqua" w:cs="Times New Roman"/>
          <w:color w:val="000000"/>
          <w:sz w:val="24"/>
          <w:szCs w:val="24"/>
          <w:lang w:val="en-US" w:eastAsia="it-IT"/>
        </w:rPr>
        <w:t xml:space="preserve">ncreased expression of components of </w:t>
      </w:r>
      <w:r w:rsidR="007312F9" w:rsidRPr="005C7810">
        <w:rPr>
          <w:rFonts w:ascii="Book Antiqua" w:eastAsia="Times New Roman" w:hAnsi="Book Antiqua" w:cs="Times New Roman"/>
          <w:color w:val="000000"/>
          <w:sz w:val="24"/>
          <w:szCs w:val="24"/>
          <w:lang w:val="en-US" w:eastAsia="it-IT"/>
        </w:rPr>
        <w:t xml:space="preserve">the </w:t>
      </w:r>
      <w:r w:rsidR="002A42E6" w:rsidRPr="005C7810">
        <w:rPr>
          <w:rFonts w:ascii="Book Antiqua" w:eastAsia="Times New Roman" w:hAnsi="Book Antiqua" w:cs="Times New Roman"/>
          <w:color w:val="000000"/>
          <w:sz w:val="24"/>
          <w:szCs w:val="24"/>
          <w:lang w:val="en-US" w:eastAsia="it-IT"/>
        </w:rPr>
        <w:t xml:space="preserve">mitotic pathway such as </w:t>
      </w:r>
      <w:r w:rsidR="00D24B8C" w:rsidRPr="005C7810">
        <w:rPr>
          <w:rFonts w:ascii="Book Antiqua" w:eastAsia="Times New Roman" w:hAnsi="Book Antiqua" w:cs="Times New Roman"/>
          <w:color w:val="000000"/>
          <w:sz w:val="24"/>
          <w:szCs w:val="24"/>
          <w:lang w:val="en-US" w:eastAsia="it-IT"/>
        </w:rPr>
        <w:t xml:space="preserve">the </w:t>
      </w:r>
      <w:r w:rsidR="003E3283" w:rsidRPr="005C7810">
        <w:rPr>
          <w:rFonts w:ascii="Book Antiqua" w:hAnsi="Book Antiqua" w:cs="Times New Roman"/>
          <w:color w:val="000000"/>
          <w:sz w:val="24"/>
          <w:szCs w:val="24"/>
          <w:shd w:val="clear" w:color="auto" w:fill="FFFFFF"/>
          <w:lang w:val="en-US"/>
        </w:rPr>
        <w:t xml:space="preserve">E2F </w:t>
      </w:r>
      <w:r w:rsidR="00D24B8C" w:rsidRPr="005C7810">
        <w:rPr>
          <w:rFonts w:ascii="Book Antiqua" w:hAnsi="Book Antiqua" w:cs="Times New Roman"/>
          <w:color w:val="000000"/>
          <w:sz w:val="24"/>
          <w:szCs w:val="24"/>
          <w:shd w:val="clear" w:color="auto" w:fill="FFFFFF"/>
          <w:lang w:val="en-US"/>
        </w:rPr>
        <w:t>t</w:t>
      </w:r>
      <w:r w:rsidR="003E3283" w:rsidRPr="005C7810">
        <w:rPr>
          <w:rFonts w:ascii="Book Antiqua" w:hAnsi="Book Antiqua" w:cs="Times New Roman"/>
          <w:color w:val="000000"/>
          <w:sz w:val="24"/>
          <w:szCs w:val="24"/>
          <w:shd w:val="clear" w:color="auto" w:fill="FFFFFF"/>
          <w:lang w:val="en-US"/>
        </w:rPr>
        <w:t xml:space="preserve">ranscription </w:t>
      </w:r>
      <w:r w:rsidR="00D24B8C" w:rsidRPr="005C7810">
        <w:rPr>
          <w:rFonts w:ascii="Book Antiqua" w:hAnsi="Book Antiqua" w:cs="Times New Roman"/>
          <w:color w:val="000000"/>
          <w:sz w:val="24"/>
          <w:szCs w:val="24"/>
          <w:shd w:val="clear" w:color="auto" w:fill="FFFFFF"/>
          <w:lang w:val="en-US"/>
        </w:rPr>
        <w:t>f</w:t>
      </w:r>
      <w:r w:rsidR="003E3283" w:rsidRPr="005C7810">
        <w:rPr>
          <w:rFonts w:ascii="Book Antiqua" w:hAnsi="Book Antiqua" w:cs="Times New Roman"/>
          <w:color w:val="000000"/>
          <w:sz w:val="24"/>
          <w:szCs w:val="24"/>
          <w:shd w:val="clear" w:color="auto" w:fill="FFFFFF"/>
          <w:lang w:val="en-US"/>
        </w:rPr>
        <w:t>actor</w:t>
      </w:r>
      <w:r w:rsidR="00D15F19" w:rsidRPr="005C7810">
        <w:rPr>
          <w:rFonts w:ascii="Book Antiqua" w:eastAsia="Times New Roman" w:hAnsi="Book Antiqua" w:cs="Times New Roman"/>
          <w:i/>
          <w:color w:val="000000"/>
          <w:sz w:val="24"/>
          <w:szCs w:val="24"/>
          <w:lang w:val="en-US" w:eastAsia="it-IT"/>
        </w:rPr>
        <w:t xml:space="preserve"> </w:t>
      </w:r>
      <w:r w:rsidR="00D15F19" w:rsidRPr="005C7810">
        <w:rPr>
          <w:rFonts w:ascii="Book Antiqua" w:eastAsia="Times New Roman" w:hAnsi="Book Antiqua" w:cs="Times New Roman"/>
          <w:color w:val="000000"/>
          <w:sz w:val="24"/>
          <w:szCs w:val="24"/>
          <w:lang w:val="en-US" w:eastAsia="it-IT"/>
        </w:rPr>
        <w:t>(</w:t>
      </w:r>
      <w:r w:rsidR="00D15F19" w:rsidRPr="005C7810">
        <w:rPr>
          <w:rFonts w:ascii="Book Antiqua" w:eastAsia="Times New Roman" w:hAnsi="Book Antiqua" w:cs="Times New Roman"/>
          <w:i/>
          <w:color w:val="000000"/>
          <w:sz w:val="24"/>
          <w:szCs w:val="24"/>
          <w:lang w:val="en-US" w:eastAsia="it-IT"/>
        </w:rPr>
        <w:t>E2F</w:t>
      </w:r>
      <w:r w:rsidR="00D15F19" w:rsidRPr="005C7810">
        <w:rPr>
          <w:rFonts w:ascii="Book Antiqua" w:eastAsia="Times New Roman" w:hAnsi="Book Antiqua" w:cs="Times New Roman"/>
          <w:color w:val="000000"/>
          <w:sz w:val="24"/>
          <w:szCs w:val="24"/>
          <w:lang w:val="en-US" w:eastAsia="it-IT"/>
        </w:rPr>
        <w:t>)</w:t>
      </w:r>
      <w:r w:rsidR="002A42E6" w:rsidRPr="005C7810">
        <w:rPr>
          <w:rFonts w:ascii="Book Antiqua" w:eastAsia="Times New Roman" w:hAnsi="Book Antiqua" w:cs="Times New Roman"/>
          <w:color w:val="000000"/>
          <w:sz w:val="24"/>
          <w:szCs w:val="24"/>
          <w:lang w:val="en-US" w:eastAsia="it-IT"/>
        </w:rPr>
        <w:t xml:space="preserve">, </w:t>
      </w:r>
      <w:r w:rsidR="000E78C5" w:rsidRPr="005C7810">
        <w:rPr>
          <w:rFonts w:ascii="Book Antiqua" w:hAnsi="Book Antiqua" w:cs="Times New Roman"/>
          <w:sz w:val="24"/>
          <w:szCs w:val="24"/>
          <w:lang w:val="en-US"/>
        </w:rPr>
        <w:t>a</w:t>
      </w:r>
      <w:r w:rsidR="003E3283" w:rsidRPr="005C7810">
        <w:rPr>
          <w:rFonts w:ascii="Book Antiqua" w:hAnsi="Book Antiqua" w:cs="Times New Roman"/>
          <w:sz w:val="24"/>
          <w:szCs w:val="24"/>
          <w:lang w:val="en-US"/>
        </w:rPr>
        <w:t>urora kinase A</w:t>
      </w:r>
      <w:r w:rsidR="000E78C5" w:rsidRPr="005C7810">
        <w:rPr>
          <w:rFonts w:ascii="Book Antiqua" w:hAnsi="Book Antiqua" w:cs="Times New Roman"/>
          <w:sz w:val="24"/>
          <w:szCs w:val="24"/>
          <w:lang w:val="en-US"/>
        </w:rPr>
        <w:t xml:space="preserve"> (</w:t>
      </w:r>
      <w:r w:rsidR="000E78C5" w:rsidRPr="005C7810">
        <w:rPr>
          <w:rFonts w:ascii="Book Antiqua" w:hAnsi="Book Antiqua" w:cs="Times New Roman"/>
          <w:i/>
          <w:sz w:val="24"/>
          <w:szCs w:val="24"/>
          <w:lang w:val="en-US"/>
        </w:rPr>
        <w:t>AURKA</w:t>
      </w:r>
      <w:r w:rsidR="003E3283" w:rsidRPr="005C7810">
        <w:rPr>
          <w:rFonts w:ascii="Book Antiqua" w:hAnsi="Book Antiqua" w:cs="Times New Roman"/>
          <w:sz w:val="24"/>
          <w:szCs w:val="24"/>
          <w:lang w:val="en-US"/>
        </w:rPr>
        <w:t>)</w:t>
      </w:r>
      <w:r w:rsidR="002A42E6" w:rsidRPr="005C7810">
        <w:rPr>
          <w:rFonts w:ascii="Book Antiqua" w:eastAsia="Times New Roman" w:hAnsi="Book Antiqua" w:cs="Times New Roman"/>
          <w:color w:val="000000"/>
          <w:sz w:val="24"/>
          <w:szCs w:val="24"/>
          <w:lang w:val="en-US" w:eastAsia="it-IT"/>
        </w:rPr>
        <w:t xml:space="preserve">, </w:t>
      </w:r>
      <w:r w:rsidR="000E78C5" w:rsidRPr="005C7810">
        <w:rPr>
          <w:rFonts w:ascii="Book Antiqua" w:hAnsi="Book Antiqua" w:cs="Times New Roman"/>
          <w:color w:val="000000"/>
          <w:sz w:val="24"/>
          <w:szCs w:val="24"/>
          <w:shd w:val="clear" w:color="auto" w:fill="FFFFFF"/>
          <w:lang w:val="en-US"/>
        </w:rPr>
        <w:t>p</w:t>
      </w:r>
      <w:r w:rsidR="003E3283" w:rsidRPr="005C7810">
        <w:rPr>
          <w:rFonts w:ascii="Book Antiqua" w:hAnsi="Book Antiqua" w:cs="Times New Roman"/>
          <w:color w:val="000000"/>
          <w:sz w:val="24"/>
          <w:szCs w:val="24"/>
          <w:shd w:val="clear" w:color="auto" w:fill="FFFFFF"/>
          <w:lang w:val="en-US"/>
        </w:rPr>
        <w:t>olo</w:t>
      </w:r>
      <w:r w:rsidR="00752A06" w:rsidRPr="005C7810">
        <w:rPr>
          <w:rFonts w:ascii="Book Antiqua" w:hAnsi="Book Antiqua" w:cs="Times New Roman"/>
          <w:color w:val="000000"/>
          <w:sz w:val="24"/>
          <w:szCs w:val="24"/>
          <w:shd w:val="clear" w:color="auto" w:fill="FFFFFF"/>
          <w:lang w:val="en-US"/>
        </w:rPr>
        <w:t>-</w:t>
      </w:r>
      <w:r w:rsidR="000E78C5" w:rsidRPr="005C7810">
        <w:rPr>
          <w:rFonts w:ascii="Book Antiqua" w:hAnsi="Book Antiqua" w:cs="Times New Roman"/>
          <w:color w:val="000000"/>
          <w:sz w:val="24"/>
          <w:szCs w:val="24"/>
          <w:shd w:val="clear" w:color="auto" w:fill="FFFFFF"/>
          <w:lang w:val="en-US"/>
        </w:rPr>
        <w:t>l</w:t>
      </w:r>
      <w:r w:rsidR="003E3283" w:rsidRPr="005C7810">
        <w:rPr>
          <w:rFonts w:ascii="Book Antiqua" w:hAnsi="Book Antiqua" w:cs="Times New Roman"/>
          <w:color w:val="000000"/>
          <w:sz w:val="24"/>
          <w:szCs w:val="24"/>
          <w:shd w:val="clear" w:color="auto" w:fill="FFFFFF"/>
          <w:lang w:val="en-US"/>
        </w:rPr>
        <w:t xml:space="preserve">ike </w:t>
      </w:r>
      <w:r w:rsidR="000E78C5" w:rsidRPr="005C7810">
        <w:rPr>
          <w:rFonts w:ascii="Book Antiqua" w:hAnsi="Book Antiqua" w:cs="Times New Roman"/>
          <w:color w:val="000000"/>
          <w:sz w:val="24"/>
          <w:szCs w:val="24"/>
          <w:shd w:val="clear" w:color="auto" w:fill="FFFFFF"/>
          <w:lang w:val="en-US"/>
        </w:rPr>
        <w:t>k</w:t>
      </w:r>
      <w:r w:rsidR="003E3283" w:rsidRPr="005C7810">
        <w:rPr>
          <w:rFonts w:ascii="Book Antiqua" w:hAnsi="Book Antiqua" w:cs="Times New Roman"/>
          <w:color w:val="000000"/>
          <w:sz w:val="24"/>
          <w:szCs w:val="24"/>
          <w:shd w:val="clear" w:color="auto" w:fill="FFFFFF"/>
          <w:lang w:val="en-US"/>
        </w:rPr>
        <w:t>inase 1</w:t>
      </w:r>
      <w:r w:rsidR="00D15F19" w:rsidRPr="005C7810">
        <w:rPr>
          <w:rFonts w:ascii="Book Antiqua" w:eastAsia="Times New Roman" w:hAnsi="Book Antiqua" w:cs="Times New Roman"/>
          <w:i/>
          <w:color w:val="000000"/>
          <w:sz w:val="24"/>
          <w:szCs w:val="24"/>
          <w:lang w:val="en-US" w:eastAsia="it-IT"/>
        </w:rPr>
        <w:t xml:space="preserve"> </w:t>
      </w:r>
      <w:r w:rsidR="00D15F19" w:rsidRPr="005C7810">
        <w:rPr>
          <w:rFonts w:ascii="Book Antiqua" w:eastAsia="Times New Roman" w:hAnsi="Book Antiqua" w:cs="Times New Roman"/>
          <w:color w:val="000000"/>
          <w:sz w:val="24"/>
          <w:szCs w:val="24"/>
          <w:lang w:val="en-US" w:eastAsia="it-IT"/>
        </w:rPr>
        <w:t>(</w:t>
      </w:r>
      <w:r w:rsidR="00D15F19" w:rsidRPr="005C7810">
        <w:rPr>
          <w:rFonts w:ascii="Book Antiqua" w:eastAsia="Times New Roman" w:hAnsi="Book Antiqua" w:cs="Times New Roman"/>
          <w:i/>
          <w:color w:val="000000"/>
          <w:sz w:val="24"/>
          <w:szCs w:val="24"/>
          <w:lang w:val="en-US" w:eastAsia="it-IT"/>
        </w:rPr>
        <w:t>PLK1</w:t>
      </w:r>
      <w:r w:rsidR="00D15F19" w:rsidRPr="005C7810">
        <w:rPr>
          <w:rFonts w:ascii="Book Antiqua" w:eastAsia="Times New Roman" w:hAnsi="Book Antiqua" w:cs="Times New Roman"/>
          <w:color w:val="000000"/>
          <w:sz w:val="24"/>
          <w:szCs w:val="24"/>
          <w:lang w:val="en-US" w:eastAsia="it-IT"/>
        </w:rPr>
        <w:t>)</w:t>
      </w:r>
      <w:r w:rsidR="002A42E6" w:rsidRPr="005C7810">
        <w:rPr>
          <w:rFonts w:ascii="Book Antiqua" w:eastAsia="Times New Roman" w:hAnsi="Book Antiqua" w:cs="Times New Roman"/>
          <w:color w:val="000000"/>
          <w:sz w:val="24"/>
          <w:szCs w:val="24"/>
          <w:lang w:val="en-US" w:eastAsia="it-IT"/>
        </w:rPr>
        <w:t xml:space="preserve">, and </w:t>
      </w:r>
      <w:r w:rsidR="000E78C5" w:rsidRPr="005C7810">
        <w:rPr>
          <w:rFonts w:ascii="Book Antiqua" w:hAnsi="Book Antiqua" w:cs="Times New Roman"/>
          <w:color w:val="000000"/>
          <w:sz w:val="24"/>
          <w:szCs w:val="24"/>
          <w:shd w:val="clear" w:color="auto" w:fill="FFFFFF"/>
          <w:lang w:val="en-US"/>
        </w:rPr>
        <w:t>f</w:t>
      </w:r>
      <w:r w:rsidR="003E3283" w:rsidRPr="005C7810">
        <w:rPr>
          <w:rFonts w:ascii="Book Antiqua" w:hAnsi="Book Antiqua" w:cs="Times New Roman"/>
          <w:color w:val="000000"/>
          <w:sz w:val="24"/>
          <w:szCs w:val="24"/>
          <w:shd w:val="clear" w:color="auto" w:fill="FFFFFF"/>
          <w:lang w:val="en-US"/>
        </w:rPr>
        <w:t xml:space="preserve">orkhead </w:t>
      </w:r>
      <w:r w:rsidR="000E78C5" w:rsidRPr="005C7810">
        <w:rPr>
          <w:rFonts w:ascii="Book Antiqua" w:hAnsi="Book Antiqua" w:cs="Times New Roman"/>
          <w:color w:val="000000"/>
          <w:sz w:val="24"/>
          <w:szCs w:val="24"/>
          <w:shd w:val="clear" w:color="auto" w:fill="FFFFFF"/>
          <w:lang w:val="en-US"/>
        </w:rPr>
        <w:t>b</w:t>
      </w:r>
      <w:r w:rsidR="003E3283" w:rsidRPr="005C7810">
        <w:rPr>
          <w:rFonts w:ascii="Book Antiqua" w:hAnsi="Book Antiqua" w:cs="Times New Roman"/>
          <w:color w:val="000000"/>
          <w:sz w:val="24"/>
          <w:szCs w:val="24"/>
          <w:shd w:val="clear" w:color="auto" w:fill="FFFFFF"/>
          <w:lang w:val="en-US"/>
        </w:rPr>
        <w:t>ox M1</w:t>
      </w:r>
      <w:r w:rsidR="003E3283" w:rsidRPr="005C7810">
        <w:rPr>
          <w:rFonts w:ascii="Book Antiqua" w:hAnsi="Book Antiqua" w:cs="Helvetica"/>
          <w:color w:val="333333"/>
          <w:sz w:val="24"/>
          <w:szCs w:val="24"/>
          <w:shd w:val="clear" w:color="auto" w:fill="FFFFFF"/>
          <w:lang w:val="en-US"/>
        </w:rPr>
        <w:t xml:space="preserve"> </w:t>
      </w:r>
      <w:r w:rsidR="00D15F19" w:rsidRPr="005C7810">
        <w:rPr>
          <w:rFonts w:ascii="Book Antiqua" w:hAnsi="Book Antiqua" w:cs="Helvetica"/>
          <w:color w:val="333333"/>
          <w:sz w:val="24"/>
          <w:szCs w:val="24"/>
          <w:shd w:val="clear" w:color="auto" w:fill="FFFFFF"/>
          <w:lang w:val="en-US"/>
        </w:rPr>
        <w:t>(</w:t>
      </w:r>
      <w:r w:rsidR="00D15F19" w:rsidRPr="005C7810">
        <w:rPr>
          <w:rFonts w:ascii="Book Antiqua" w:eastAsia="Times New Roman" w:hAnsi="Book Antiqua" w:cs="Times New Roman"/>
          <w:i/>
          <w:color w:val="000000"/>
          <w:sz w:val="24"/>
          <w:szCs w:val="24"/>
          <w:lang w:val="en-US" w:eastAsia="it-IT"/>
        </w:rPr>
        <w:t>FOXM1</w:t>
      </w:r>
      <w:r w:rsidR="00D15F19" w:rsidRPr="005C7810">
        <w:rPr>
          <w:rFonts w:ascii="Book Antiqua" w:eastAsia="Times New Roman" w:hAnsi="Book Antiqua" w:cs="Times New Roman"/>
          <w:color w:val="000000"/>
          <w:sz w:val="24"/>
          <w:szCs w:val="24"/>
          <w:lang w:val="en-US" w:eastAsia="it-IT"/>
        </w:rPr>
        <w:t xml:space="preserve">) </w:t>
      </w:r>
      <w:r w:rsidR="002A42E6" w:rsidRPr="005C7810">
        <w:rPr>
          <w:rFonts w:ascii="Book Antiqua" w:eastAsia="Times New Roman" w:hAnsi="Book Antiqua" w:cs="Times New Roman"/>
          <w:color w:val="000000"/>
          <w:sz w:val="24"/>
          <w:szCs w:val="24"/>
          <w:lang w:val="en-US" w:eastAsia="it-IT"/>
        </w:rPr>
        <w:t xml:space="preserve">has been described in MSI </w:t>
      </w:r>
      <w:r w:rsidR="00752A06" w:rsidRPr="005C7810">
        <w:rPr>
          <w:rFonts w:ascii="Book Antiqua" w:eastAsia="Times New Roman" w:hAnsi="Book Antiqua" w:cs="Times New Roman"/>
          <w:color w:val="000000"/>
          <w:sz w:val="24"/>
          <w:szCs w:val="24"/>
          <w:lang w:val="en-US" w:eastAsia="it-IT"/>
        </w:rPr>
        <w:t>tumo</w:t>
      </w:r>
      <w:r w:rsidR="002A42E6" w:rsidRPr="005C7810">
        <w:rPr>
          <w:rFonts w:ascii="Book Antiqua" w:eastAsia="Times New Roman" w:hAnsi="Book Antiqua" w:cs="Times New Roman"/>
          <w:color w:val="000000"/>
          <w:sz w:val="24"/>
          <w:szCs w:val="24"/>
          <w:lang w:val="en-US" w:eastAsia="it-IT"/>
        </w:rPr>
        <w:t>rs</w:t>
      </w:r>
      <w:r w:rsidR="005B58CC" w:rsidRPr="005C7810">
        <w:rPr>
          <w:rFonts w:ascii="Book Antiqua" w:eastAsia="Times New Roman" w:hAnsi="Book Antiqua" w:cs="Times New Roman"/>
          <w:color w:val="000000"/>
          <w:sz w:val="24"/>
          <w:szCs w:val="24"/>
          <w:lang w:val="en-US" w:eastAsia="it-IT"/>
        </w:rPr>
        <w:fldChar w:fldCharType="begin" w:fldLock="1"/>
      </w:r>
      <w:r w:rsidR="00AB32F3" w:rsidRPr="005C7810">
        <w:rPr>
          <w:rFonts w:ascii="Book Antiqua" w:eastAsia="Times New Roman" w:hAnsi="Book Antiqua" w:cs="Times New Roman"/>
          <w:color w:val="000000"/>
          <w:sz w:val="24"/>
          <w:szCs w:val="24"/>
          <w:lang w:val="en-US" w:eastAsia="it-IT"/>
        </w:rPr>
        <w:instrText>ADDIN CSL_CITATION {"citationItems":[{"id":"ITEM-1","itemData":{"DOI":"10.1038/nature13480.Comprehensive","ISBN":"1476-4687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©2014","author":[{"dropping-particle":"","family":"Cancer Genome Atlas Research Network","given":"","non-dropping-particle":"","parse-names":false,"suffix":""},{"dropping-particle":"","family":"Bass","given":"Adam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Michae","given":"David P","non-dropping-particle":"","parse-names":false,"suffix":""},{"dropping-particle":"","family":"Network","given":"Cancer Genome Atlas Research","non-dropping-particle":"","parse-names":false,"suffix":""}],"container-title":"Nature","id":"ITEM-1","issue":"7517","issued":{"date-parts":[["2014"]]},"page":"202-209","title":"Comprehensive molecular characterization of gastric adenocarcinoma","type":"article-journal","volume":"513"},"uris":["http://www.mendeley.com/documents/?uuid=48529cda-a330-4c84-841c-b991b895df6e","http://www.mendeley.com/documents/?uuid=e1ccc661-ce0e-4c30-a67f-a89167ad3e13"]}],"mendeley":{"formattedCitation":"&lt;sup&gt;[29]&lt;/sup&gt;","plainTextFormattedCitation":"[29]","previouslyFormattedCitation":"&lt;sup&gt;[29]&lt;/sup&gt;"},"properties":{"noteIndex":0},"schema":"https://github.com/citation-style-language/schema/raw/master/csl-citation.json"}</w:instrText>
      </w:r>
      <w:r w:rsidR="005B58CC" w:rsidRPr="005C7810">
        <w:rPr>
          <w:rFonts w:ascii="Book Antiqua" w:eastAsia="Times New Roman" w:hAnsi="Book Antiqua" w:cs="Times New Roman"/>
          <w:color w:val="000000"/>
          <w:sz w:val="24"/>
          <w:szCs w:val="24"/>
          <w:lang w:val="en-US" w:eastAsia="it-IT"/>
        </w:rPr>
        <w:fldChar w:fldCharType="separate"/>
      </w:r>
      <w:r w:rsidR="00182B66" w:rsidRPr="005C7810">
        <w:rPr>
          <w:rFonts w:ascii="Book Antiqua" w:eastAsia="Times New Roman" w:hAnsi="Book Antiqua" w:cs="Times New Roman"/>
          <w:color w:val="000000"/>
          <w:sz w:val="24"/>
          <w:szCs w:val="24"/>
          <w:vertAlign w:val="superscript"/>
          <w:lang w:val="en-US" w:eastAsia="it-IT"/>
        </w:rPr>
        <w:t>[29]</w:t>
      </w:r>
      <w:r w:rsidR="005B58CC" w:rsidRPr="005C7810">
        <w:rPr>
          <w:rFonts w:ascii="Book Antiqua" w:eastAsia="Times New Roman" w:hAnsi="Book Antiqua" w:cs="Times New Roman"/>
          <w:color w:val="000000"/>
          <w:sz w:val="24"/>
          <w:szCs w:val="24"/>
          <w:lang w:val="en-US" w:eastAsia="it-IT"/>
        </w:rPr>
        <w:fldChar w:fldCharType="end"/>
      </w:r>
      <w:r w:rsidR="002A42E6" w:rsidRPr="005C7810">
        <w:rPr>
          <w:rFonts w:ascii="Book Antiqua" w:eastAsia="Times New Roman" w:hAnsi="Book Antiqua" w:cs="Times New Roman"/>
          <w:color w:val="000000"/>
          <w:sz w:val="24"/>
          <w:szCs w:val="24"/>
          <w:lang w:val="en-US" w:eastAsia="it-IT"/>
        </w:rPr>
        <w:t>.</w:t>
      </w:r>
    </w:p>
    <w:p w:rsidR="00B8125B" w:rsidRPr="005C7810" w:rsidRDefault="006D1962"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ab/>
      </w:r>
      <w:r w:rsidR="00B8125B" w:rsidRPr="005C7810">
        <w:rPr>
          <w:rFonts w:ascii="Book Antiqua" w:hAnsi="Book Antiqua" w:cs="Times New Roman"/>
          <w:sz w:val="24"/>
          <w:szCs w:val="24"/>
          <w:lang w:val="en-US"/>
        </w:rPr>
        <w:t xml:space="preserve">GS tumors (19.7%) are mainly </w:t>
      </w:r>
      <w:r w:rsidR="00AE2047" w:rsidRPr="005C7810">
        <w:rPr>
          <w:rFonts w:ascii="Book Antiqua" w:hAnsi="Book Antiqua" w:cs="Times New Roman"/>
          <w:sz w:val="24"/>
          <w:szCs w:val="24"/>
          <w:lang w:val="en-US"/>
        </w:rPr>
        <w:t xml:space="preserve">diffuse </w:t>
      </w:r>
      <w:r w:rsidR="00B8125B" w:rsidRPr="005C7810">
        <w:rPr>
          <w:rFonts w:ascii="Book Antiqua" w:hAnsi="Book Antiqua" w:cs="Times New Roman"/>
          <w:sz w:val="24"/>
          <w:szCs w:val="24"/>
          <w:lang w:val="en-US"/>
        </w:rPr>
        <w:t xml:space="preserve">and </w:t>
      </w:r>
      <w:r w:rsidR="00913B54" w:rsidRPr="005C7810">
        <w:rPr>
          <w:rFonts w:ascii="Book Antiqua" w:hAnsi="Book Antiqua" w:cs="Times New Roman"/>
          <w:sz w:val="24"/>
          <w:szCs w:val="24"/>
          <w:lang w:val="en-US"/>
        </w:rPr>
        <w:t xml:space="preserve">are </w:t>
      </w:r>
      <w:r w:rsidR="00B8125B" w:rsidRPr="005C7810">
        <w:rPr>
          <w:rFonts w:ascii="Book Antiqua" w:hAnsi="Book Antiqua" w:cs="Times New Roman"/>
          <w:sz w:val="24"/>
          <w:szCs w:val="24"/>
          <w:lang w:val="en-US"/>
        </w:rPr>
        <w:t>diagnosed in younger patients</w:t>
      </w:r>
      <w:r w:rsidR="00731BCC"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{"citationItems":[{"id":"ITEM-1","itemData":{"DOI":"10.1158/1078-0432.ccr-16-2211","ISSN":"1078-0432","PMID":"28747339","author":[{"dropping-particle":"","family":"Yim","given":"Sun Young","non-dropping-particle":"","parse-names":false,"suffix":""},{"dropping-particle":"","family":"Jeong","given":"Woojin","non-dropping-particle":"","parse-names":false,"suffix":""},{"dropping-particle":"","family":"Kang","given":"Won Ki","non-dropping-particle":"","parse-names":false,"suffix":""},{"dropping-particle":"","family":"Cho","given":"Jae Yong","non-dropping-particle":"","parse-names":false,"suffix":""},{"dropping-particle":"","family":"Lee","given":"Ju-Seog","non-dropping-particle":"","parse-names":false,"suffix":""},{"dropping-particle":"","family":"Hwang","given":"Jun-Eul","non-dropping-particle":"","parse-names":false,"suffix":""},{"dropping-particle":"","family":"Lee","given":"Jeeyun","non-dropping-particle":"","parse-names":false,"suffix":""},{"dropping-particle":"","family":"Lee","given":"Hyun-Sung","non-dropping-particle":"","parse-names":false,"suffix":""},{"dropping-particle":"","family":"Kim","given":"Joohee","non-dropping-particle":"","parse-names":false,"suffix":""},{"dropping-particle":"","family":"Jang","given":"Hee-Jin","non-dropping-particle":"","parse-names":false,"suffix":""},{"dropping-particle":"","family":"Kim","given":"Eui Hyun","non-dropping-particle":"","parse-names":false,"suffix":""},{"dropping-particle":"","family":"Kim","given":"Sung","non-dropping-particle":"","parse-names":false,"suffix":""},{"dropping-particle":"","family":"Lee","given":"Keun-Wook","non-dropping-particle":"","parse-names":false,"suffix":""},{"dropping-particle":"","family":"Oh","given":"Sang Cheul","non-dropping-particle":"","parse-names":false,"suffix":""},{"dropping-particle":"","family":"Cheong","given":"Jae-Ho","non-dropping-particle":"","parse-names":false,"suffix":""},{"dropping-particle":"","family":"Ajani","given":"Jaffer A.","non-dropping-particle":"","parse-names":false,"suffix":""},{"dropping-particle":"","family":"Chae","given":"Jungsoo","non-dropping-particle":"","parse-names":false,"suffix":""},{"dropping-particle":"","family":"Shim","given":"Jae-Jun","non-dropping-particle":"","parse-names":false,"suffix":""},{"dropping-particle":"","family":"Noh","given":"Sung Hoon","non-dropping-particle":"","parse-names":false,"suffix":""},{"dropping-particle":"","family":"Sohn","given":"Bo Hwa","non-dropping-particle":"","parse-names":false,"suffix":""},{"dropping-particle":"","family":"Lee","given":"Sang Ho","non-dropping-particle":"","parse-names":false,"suffix":""}],"container-title":"Clinical Cancer Research","id":"ITEM-1","issue":"15","issued":{"date-parts":[["2017"]]},"page":"4441-4449","title":"Clinical Significance of Four Molecular Subtypes of Gastric Cancer Identified by The Cancer Genome Atlas Project","type":"article-journal","volume":"23"},"uris":["http://www.mendeley.com/documents/?uuid=6b6bcbb4-f72d-4014-8357-c72b5453c15c","http://www.mendeley.com/documents/?uuid=e8a3f5fa-3705-4012-9815-c0219027d819"]}],"mendeley":{"formattedCitation":"&lt;sup&gt;[39]&lt;/sup&gt;","plainTextFormattedCitation":"[39]","previouslyFormattedCitation":"&lt;sup&gt;[39]&lt;/sup&gt;"},"properties":{"noteIndex":0},"schema":"https://github.com/citation-style-language/schema/raw/master/csl-citation.json"}</w:instrText>
      </w:r>
      <w:r w:rsidR="00731BCC"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[39]</w:t>
      </w:r>
      <w:r w:rsidR="00731BCC" w:rsidRPr="005C7810">
        <w:rPr>
          <w:rFonts w:ascii="Book Antiqua" w:hAnsi="Book Antiqua" w:cs="Times New Roman"/>
          <w:sz w:val="24"/>
          <w:szCs w:val="24"/>
          <w:vertAlign w:val="superscript"/>
          <w:lang w:val="en-US"/>
        </w:rPr>
        <w:fldChar w:fldCharType="end"/>
      </w:r>
      <w:r w:rsidR="00B8125B" w:rsidRPr="005C7810">
        <w:rPr>
          <w:rFonts w:ascii="Book Antiqua" w:hAnsi="Book Antiqua" w:cs="Times New Roman"/>
          <w:sz w:val="24"/>
          <w:szCs w:val="24"/>
          <w:lang w:val="en-US"/>
        </w:rPr>
        <w:t xml:space="preserve">. GS tumors, which lack chromosomal alteration or </w:t>
      </w:r>
      <w:r w:rsidR="00AE4CE6" w:rsidRPr="005C7810">
        <w:rPr>
          <w:rFonts w:ascii="Book Antiqua" w:hAnsi="Book Antiqua" w:cs="Times New Roman"/>
          <w:sz w:val="24"/>
          <w:szCs w:val="24"/>
          <w:lang w:val="en-US"/>
        </w:rPr>
        <w:t>MSI</w:t>
      </w:r>
      <w:r w:rsidR="00B8125B" w:rsidRPr="005C7810">
        <w:rPr>
          <w:rFonts w:ascii="Book Antiqua" w:hAnsi="Book Antiqua" w:cs="Times New Roman"/>
          <w:sz w:val="24"/>
          <w:szCs w:val="24"/>
          <w:lang w:val="en-US"/>
        </w:rPr>
        <w:t xml:space="preserve">, exhibit </w:t>
      </w:r>
      <w:r w:rsidR="00913B54" w:rsidRPr="005C7810">
        <w:rPr>
          <w:rFonts w:ascii="Book Antiqua" w:hAnsi="Book Antiqua" w:cs="Times New Roman"/>
          <w:sz w:val="24"/>
          <w:szCs w:val="24"/>
          <w:lang w:val="en-US"/>
        </w:rPr>
        <w:t xml:space="preserve">the </w:t>
      </w:r>
      <w:r w:rsidR="00B8125B" w:rsidRPr="005C7810">
        <w:rPr>
          <w:rFonts w:ascii="Book Antiqua" w:hAnsi="Book Antiqua" w:cs="Times New Roman"/>
          <w:sz w:val="24"/>
          <w:szCs w:val="24"/>
          <w:lang w:val="en-US"/>
        </w:rPr>
        <w:t xml:space="preserve">high expression of molecules involved in cell adhesion and pathways related to angiogenesis. They </w:t>
      </w:r>
      <w:r w:rsidR="00913B54" w:rsidRPr="005C7810">
        <w:rPr>
          <w:rFonts w:ascii="Book Antiqua" w:hAnsi="Book Antiqua" w:cs="Times New Roman"/>
          <w:sz w:val="24"/>
          <w:szCs w:val="24"/>
          <w:lang w:val="en-US"/>
        </w:rPr>
        <w:t xml:space="preserve">also </w:t>
      </w:r>
      <w:r w:rsidR="00B8125B" w:rsidRPr="005C7810">
        <w:rPr>
          <w:rFonts w:ascii="Book Antiqua" w:hAnsi="Book Antiqua" w:cs="Times New Roman"/>
          <w:sz w:val="24"/>
          <w:szCs w:val="24"/>
          <w:lang w:val="en-US"/>
        </w:rPr>
        <w:t xml:space="preserve">have low mutation rates and </w:t>
      </w:r>
      <w:r w:rsidR="00B8125B" w:rsidRPr="005C7810">
        <w:rPr>
          <w:rFonts w:ascii="Book Antiqua" w:hAnsi="Book Antiqua" w:cs="Times New Roman"/>
          <w:i/>
          <w:sz w:val="24"/>
          <w:szCs w:val="24"/>
          <w:lang w:val="en-US"/>
        </w:rPr>
        <w:t>ARID1A</w:t>
      </w:r>
      <w:r w:rsidR="00B8125B" w:rsidRPr="005C7810">
        <w:rPr>
          <w:rFonts w:ascii="Book Antiqua" w:hAnsi="Book Antiqua" w:cs="Times New Roman"/>
          <w:sz w:val="24"/>
          <w:szCs w:val="24"/>
          <w:lang w:val="en-US"/>
        </w:rPr>
        <w:t xml:space="preserve">, </w:t>
      </w:r>
      <w:r w:rsidR="00913B54" w:rsidRPr="005C7810">
        <w:rPr>
          <w:rFonts w:ascii="Book Antiqua" w:hAnsi="Book Antiqua" w:cs="Times New Roman"/>
          <w:sz w:val="24"/>
          <w:szCs w:val="24"/>
          <w:lang w:val="en-US"/>
        </w:rPr>
        <w:t>r</w:t>
      </w:r>
      <w:r w:rsidR="00B8125B" w:rsidRPr="005C7810">
        <w:rPr>
          <w:rFonts w:ascii="Book Antiqua" w:hAnsi="Book Antiqua" w:cs="Times New Roman"/>
          <w:sz w:val="24"/>
          <w:szCs w:val="24"/>
          <w:lang w:val="en-US"/>
        </w:rPr>
        <w:t xml:space="preserve">as </w:t>
      </w:r>
      <w:r w:rsidR="00913B54" w:rsidRPr="005C7810">
        <w:rPr>
          <w:rFonts w:ascii="Book Antiqua" w:hAnsi="Book Antiqua" w:cs="Times New Roman"/>
          <w:sz w:val="24"/>
          <w:szCs w:val="24"/>
          <w:lang w:val="en-US"/>
        </w:rPr>
        <w:t>h</w:t>
      </w:r>
      <w:r w:rsidR="00B8125B" w:rsidRPr="005C7810">
        <w:rPr>
          <w:rFonts w:ascii="Book Antiqua" w:hAnsi="Book Antiqua" w:cs="Times New Roman"/>
          <w:sz w:val="24"/>
          <w:szCs w:val="24"/>
          <w:lang w:val="en-US"/>
        </w:rPr>
        <w:t xml:space="preserve">omolog </w:t>
      </w:r>
      <w:r w:rsidR="00913B54" w:rsidRPr="005C7810">
        <w:rPr>
          <w:rFonts w:ascii="Book Antiqua" w:hAnsi="Book Antiqua" w:cs="Times New Roman"/>
          <w:sz w:val="24"/>
          <w:szCs w:val="24"/>
          <w:lang w:val="en-US"/>
        </w:rPr>
        <w:t>f</w:t>
      </w:r>
      <w:r w:rsidR="00B8125B" w:rsidRPr="005C7810">
        <w:rPr>
          <w:rFonts w:ascii="Book Antiqua" w:hAnsi="Book Antiqua" w:cs="Times New Roman"/>
          <w:sz w:val="24"/>
          <w:szCs w:val="24"/>
          <w:lang w:val="en-US"/>
        </w:rPr>
        <w:t xml:space="preserve">amily </w:t>
      </w:r>
      <w:r w:rsidR="00913B54" w:rsidRPr="005C7810">
        <w:rPr>
          <w:rFonts w:ascii="Book Antiqua" w:hAnsi="Book Antiqua" w:cs="Times New Roman"/>
          <w:sz w:val="24"/>
          <w:szCs w:val="24"/>
          <w:lang w:val="en-US"/>
        </w:rPr>
        <w:t>m</w:t>
      </w:r>
      <w:r w:rsidR="00B8125B" w:rsidRPr="005C7810">
        <w:rPr>
          <w:rFonts w:ascii="Book Antiqua" w:hAnsi="Book Antiqua" w:cs="Times New Roman"/>
          <w:sz w:val="24"/>
          <w:szCs w:val="24"/>
          <w:lang w:val="en-US"/>
        </w:rPr>
        <w:t>ember A</w:t>
      </w:r>
      <w:r w:rsidR="00913B54" w:rsidRPr="005C7810">
        <w:rPr>
          <w:rFonts w:ascii="Book Antiqua" w:hAnsi="Book Antiqua" w:cs="Times New Roman"/>
          <w:sz w:val="24"/>
          <w:szCs w:val="24"/>
          <w:lang w:val="en-US"/>
        </w:rPr>
        <w:t xml:space="preserve"> (</w:t>
      </w:r>
      <w:r w:rsidR="00913B54" w:rsidRPr="005C7810">
        <w:rPr>
          <w:rFonts w:ascii="Book Antiqua" w:hAnsi="Book Antiqua" w:cs="Times New Roman"/>
          <w:i/>
          <w:sz w:val="24"/>
          <w:szCs w:val="24"/>
          <w:lang w:val="en-US"/>
        </w:rPr>
        <w:t>RHOA</w:t>
      </w:r>
      <w:r w:rsidR="00B8125B" w:rsidRPr="005C7810">
        <w:rPr>
          <w:rFonts w:ascii="Book Antiqua" w:hAnsi="Book Antiqua" w:cs="Times New Roman"/>
          <w:sz w:val="24"/>
          <w:szCs w:val="24"/>
          <w:lang w:val="en-US"/>
        </w:rPr>
        <w:t>)</w:t>
      </w:r>
      <w:r w:rsidR="00913B54"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w:t>
      </w:r>
      <w:r w:rsidR="00463F8C" w:rsidRPr="005C7810">
        <w:rPr>
          <w:rFonts w:ascii="Book Antiqua" w:hAnsi="Book Antiqua" w:cs="Times New Roman"/>
          <w:sz w:val="24"/>
          <w:szCs w:val="24"/>
          <w:lang w:val="en-US"/>
        </w:rPr>
        <w:t>c</w:t>
      </w:r>
      <w:r w:rsidR="00B8125B" w:rsidRPr="005C7810">
        <w:rPr>
          <w:rFonts w:ascii="Book Antiqua" w:hAnsi="Book Antiqua" w:cs="Times New Roman"/>
          <w:sz w:val="24"/>
          <w:szCs w:val="24"/>
          <w:lang w:val="en-US"/>
        </w:rPr>
        <w:t>adherin 1</w:t>
      </w:r>
      <w:r w:rsidR="00463F8C" w:rsidRPr="005C7810">
        <w:rPr>
          <w:rFonts w:ascii="Book Antiqua" w:hAnsi="Book Antiqua" w:cs="Times New Roman"/>
          <w:sz w:val="24"/>
          <w:szCs w:val="24"/>
          <w:lang w:val="en-US"/>
        </w:rPr>
        <w:t xml:space="preserve"> (</w:t>
      </w:r>
      <w:r w:rsidR="00463F8C" w:rsidRPr="005C7810">
        <w:rPr>
          <w:rFonts w:ascii="Book Antiqua" w:hAnsi="Book Antiqua" w:cs="Times New Roman"/>
          <w:i/>
          <w:sz w:val="24"/>
          <w:szCs w:val="24"/>
          <w:lang w:val="en-US"/>
        </w:rPr>
        <w:t>CDH1</w:t>
      </w:r>
      <w:r w:rsidR="00B8125B" w:rsidRPr="005C7810">
        <w:rPr>
          <w:rFonts w:ascii="Book Antiqua" w:hAnsi="Book Antiqua" w:cs="Times New Roman"/>
          <w:sz w:val="24"/>
          <w:szCs w:val="24"/>
          <w:lang w:val="en-US"/>
        </w:rPr>
        <w:t>) are the most frequently mutated genes</w:t>
      </w:r>
      <w:r w:rsidR="00731BCC"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{"citationItems":[{"id":"ITEM-1","itemData":{"author":[{"dropping-particle":"","family":"Sepulveda AR","given":"Del Portillo AJ","non-dropping-particle":"","parse-names":false,"suffix":""}],"container-title":"Molecular Pathology (Second Edition)","id":"ITEM-1","issued":{"date-parts":[["2018"]]},"page":"387-415","title":"Molecular Basis of Diseases of the Gastrointestinal Tract.","type":"chapter"},"uris":["http://www.mendeley.com/documents/?uuid=1d362bac-df10-4193-aa7f-530bffb56c66","http://www.mendeley.com/documents/?uuid=165b8911-2d7d-49f1-b89e-1aff8abd4766"]}],"mendeley":{"formattedCitation":"&lt;sup&gt;[40]&lt;/sup&gt;","plainTextFormattedCitation":"[40]","previouslyFormattedCitation":"&lt;sup&gt;[40]&lt;/sup&gt;"},"properties":{"noteIndex":0},"schema":"https://github.com/citation-style-language/schema/raw/master/csl-citation.json"}</w:instrText>
      </w:r>
      <w:r w:rsidR="00731BCC"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[40]</w:t>
      </w:r>
      <w:r w:rsidR="00731BCC"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Previous studies have shown the loss of </w:t>
      </w:r>
      <w:r w:rsidR="00B8125B" w:rsidRPr="005C7810">
        <w:rPr>
          <w:rFonts w:ascii="Book Antiqua" w:hAnsi="Book Antiqua" w:cs="Times New Roman"/>
          <w:i/>
          <w:sz w:val="24"/>
          <w:szCs w:val="24"/>
          <w:lang w:val="en-US"/>
        </w:rPr>
        <w:t>CDH1</w:t>
      </w:r>
      <w:r w:rsidR="00913B54" w:rsidRPr="005C7810">
        <w:rPr>
          <w:rFonts w:ascii="Book Antiqua" w:hAnsi="Book Antiqua" w:cs="Times New Roman"/>
          <w:sz w:val="24"/>
          <w:szCs w:val="24"/>
          <w:lang w:val="en-US"/>
        </w:rPr>
        <w:t>, which</w:t>
      </w:r>
      <w:r w:rsidR="00B8125B" w:rsidRPr="005C7810">
        <w:rPr>
          <w:rFonts w:ascii="Book Antiqua" w:hAnsi="Book Antiqua" w:cs="Times New Roman"/>
          <w:sz w:val="24"/>
          <w:szCs w:val="24"/>
          <w:lang w:val="en-US"/>
        </w:rPr>
        <w:t xml:space="preserve"> encodes the E-cadherin cell adhesion molecule, in hereditary diffuse </w:t>
      </w:r>
      <w:r w:rsidR="00A366CE" w:rsidRPr="005C7810">
        <w:rPr>
          <w:rFonts w:ascii="Book Antiqua" w:hAnsi="Book Antiqua" w:cs="Times New Roman"/>
          <w:sz w:val="24"/>
          <w:szCs w:val="24"/>
          <w:lang w:val="en-US"/>
        </w:rPr>
        <w:t>GC</w:t>
      </w:r>
      <w:r w:rsidR="00731BCC"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{"citationItems":[{"id":"ITEM-1","itemData":{"DOI":"10.1016/S1470-2045(14)71016-2","ISBN":"1470-2045","ISSN":"14745488","PMID":"25638682","abstract":"Familial gastric cancer comprises at least three major syndromes: hereditary diffuse gastric cancer, gastric adenocarcinoma and proximal polyposis of the stomach, and familial intestinal gastric cancer. The risk of development of gastric cancer is high in families affected b-y these syndromes, but only hereditary diffuse gastric cancer is genetically explained (caused by germline alterations of CDH1, which encodes E-cadherin). Gastric cancer is also associated with a range of several cancer-associated syndromes with known genetic causes, such as Lynch, Li-Fraumeni, Peutz-Jeghers, hereditary breast-ovarian cancer syndromes, familial adenomatous polyposis, and juvenile polyposis. We present contemporary knowledge on the genetics, pathogenesis, and clinical features of familial gastric cancer, and discuss research and technological developments, which together are expected to open avenues for new genetic testing approaches and novel therapeutic strategies.","author":[{"dropping-particle":"","family":"Oliveira","given":"Carla","non-dropping-particle":"","parse-names":false,"suffix":""},{"dropping-particle":"","family":"Pinheiro","given":"Hugo","non-dropping-particle":"","parse-names":false,"suffix":""},{"dropping-particle":"","family":"Figueiredo","given":"Joana","non-dropping-particle":"","parse-names":false,"suffix":""},{"dropping-particle":"","family":"Seruca","given":"Raquel","non-dropping-particle":"","parse-names":false,"suffix":""},{"dropping-particle":"","family":"Carneiro","given":"Fátima","non-dropping-particle":"","parse-names":false,"suffix":""}],"container-title":"The Lancet Oncology","id":"ITEM-1","issue":"2","issued":{"date-parts":[["2015"]]},"page":"e60-e70","publisher":"Elsevier Ltd","title":"Familial gastric cancer: Genetic susceptibility, pathology, and implications for management","type":"article-journal","volume":"16"},"uris":["http://www.mendeley.com/documents/?uuid=0a103b64-0eee-41bf-9c1e-deb70630b672","http://www.mendeley.com/documents/?uuid=f15a9a7c-4c2c-4f91-b37e-99c9d2d4cb9b"]}],"mendeley":{"formattedCitation":"&lt;sup&gt;[41]&lt;/sup&gt;","plainTextFormattedCitation":"[41]","previouslyFormattedCitation":"&lt;sup&gt;[41]&lt;/sup&gt;"},"properties":{"noteIndex":0},"schema":"https://github.com/citation-style-language/schema/raw/master/csl-citation.json"}</w:instrText>
      </w:r>
      <w:r w:rsidR="00731BCC"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[41]</w:t>
      </w:r>
      <w:r w:rsidR="00731BCC"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TCGA data </w:t>
      </w:r>
      <w:r w:rsidR="00913B54" w:rsidRPr="005C7810">
        <w:rPr>
          <w:rFonts w:ascii="Book Antiqua" w:hAnsi="Book Antiqua" w:cs="Times New Roman"/>
          <w:sz w:val="24"/>
          <w:szCs w:val="24"/>
          <w:lang w:val="en-US"/>
        </w:rPr>
        <w:t xml:space="preserve">have </w:t>
      </w:r>
      <w:r w:rsidR="00B8125B" w:rsidRPr="005C7810">
        <w:rPr>
          <w:rFonts w:ascii="Book Antiqua" w:hAnsi="Book Antiqua" w:cs="Times New Roman"/>
          <w:sz w:val="24"/>
          <w:szCs w:val="24"/>
          <w:lang w:val="en-US"/>
        </w:rPr>
        <w:t xml:space="preserve">also revealed the fusion of </w:t>
      </w:r>
      <w:r w:rsidR="00E03FAD" w:rsidRPr="005C7810">
        <w:rPr>
          <w:rFonts w:ascii="Book Antiqua" w:hAnsi="Book Antiqua" w:cs="Times New Roman"/>
          <w:sz w:val="24"/>
          <w:szCs w:val="24"/>
          <w:lang w:val="en-US"/>
        </w:rPr>
        <w:t>claudin 18-</w:t>
      </w:r>
      <w:r w:rsidR="00404FD0" w:rsidRPr="005C7810">
        <w:rPr>
          <w:rFonts w:ascii="Book Antiqua" w:hAnsi="Book Antiqua" w:cs="Times New Roman"/>
          <w:sz w:val="24"/>
          <w:szCs w:val="24"/>
          <w:lang w:val="en-US"/>
        </w:rPr>
        <w:t>Rho GTPase activating p</w:t>
      </w:r>
      <w:r w:rsidR="00E03FAD" w:rsidRPr="005C7810">
        <w:rPr>
          <w:rFonts w:ascii="Book Antiqua" w:hAnsi="Book Antiqua" w:cs="Times New Roman"/>
          <w:sz w:val="24"/>
          <w:szCs w:val="24"/>
          <w:lang w:val="en-US"/>
        </w:rPr>
        <w:t>rotein 6 (</w:t>
      </w:r>
      <w:r w:rsidR="00B8125B" w:rsidRPr="005C7810">
        <w:rPr>
          <w:rFonts w:ascii="Book Antiqua" w:hAnsi="Book Antiqua" w:cs="Times New Roman"/>
          <w:i/>
          <w:sz w:val="24"/>
          <w:szCs w:val="24"/>
          <w:lang w:val="en-US"/>
        </w:rPr>
        <w:t>CLDN18</w:t>
      </w:r>
      <w:r w:rsidR="00B8125B" w:rsidRPr="005C7810">
        <w:rPr>
          <w:rFonts w:ascii="Book Antiqua" w:hAnsi="Book Antiqua" w:cs="Times New Roman"/>
          <w:sz w:val="24"/>
          <w:szCs w:val="24"/>
          <w:lang w:val="en-US"/>
        </w:rPr>
        <w:t>-</w:t>
      </w:r>
      <w:r w:rsidR="00B8125B" w:rsidRPr="005C7810">
        <w:rPr>
          <w:rFonts w:ascii="Book Antiqua" w:hAnsi="Book Antiqua" w:cs="Times New Roman"/>
          <w:i/>
          <w:sz w:val="24"/>
          <w:szCs w:val="24"/>
          <w:lang w:val="en-US"/>
        </w:rPr>
        <w:t>ARHGAP6</w:t>
      </w:r>
      <w:r w:rsidR="00B8125B" w:rsidRPr="005C7810">
        <w:rPr>
          <w:rFonts w:ascii="Book Antiqua" w:hAnsi="Book Antiqua" w:cs="Times New Roman"/>
          <w:sz w:val="24"/>
          <w:szCs w:val="24"/>
          <w:lang w:val="en-US"/>
        </w:rPr>
        <w:t>) or</w:t>
      </w:r>
      <w:r w:rsidR="00DB5141" w:rsidRPr="005C7810">
        <w:rPr>
          <w:rFonts w:ascii="Book Antiqua" w:hAnsi="Book Antiqua" w:cs="Times New Roman"/>
          <w:sz w:val="24"/>
          <w:szCs w:val="24"/>
          <w:lang w:val="en-US"/>
        </w:rPr>
        <w:t xml:space="preserve"> </w:t>
      </w:r>
      <w:r w:rsidR="00DB5141" w:rsidRPr="005C7810">
        <w:rPr>
          <w:rFonts w:ascii="Book Antiqua" w:hAnsi="Book Antiqua"/>
          <w:sz w:val="24"/>
          <w:szCs w:val="24"/>
          <w:lang w:val="en-US"/>
        </w:rPr>
        <w:t>claudin 18-Rho GTPase activating protein 26 (</w:t>
      </w:r>
      <w:r w:rsidR="00DB5141" w:rsidRPr="005C7810">
        <w:rPr>
          <w:rFonts w:ascii="Book Antiqua" w:hAnsi="Book Antiqua"/>
          <w:i/>
          <w:sz w:val="24"/>
          <w:szCs w:val="24"/>
          <w:lang w:val="en-US"/>
        </w:rPr>
        <w:t>CLDN18-ARHGAP26</w:t>
      </w:r>
      <w:r w:rsidR="00DB5141" w:rsidRPr="005C7810">
        <w:rPr>
          <w:rFonts w:ascii="Book Antiqua" w:hAnsi="Book Antiqua"/>
          <w:sz w:val="24"/>
          <w:szCs w:val="24"/>
          <w:lang w:val="en-US"/>
        </w:rPr>
        <w:t>)</w:t>
      </w:r>
      <w:r w:rsidR="00B8125B" w:rsidRPr="005C7810">
        <w:rPr>
          <w:rFonts w:ascii="Book Antiqua" w:hAnsi="Book Antiqua" w:cs="Times New Roman"/>
          <w:sz w:val="24"/>
          <w:szCs w:val="24"/>
          <w:lang w:val="en-US"/>
        </w:rPr>
        <w:t xml:space="preserve"> and recurrent mutations in </w:t>
      </w:r>
      <w:r w:rsidR="00B8125B" w:rsidRPr="005C7810">
        <w:rPr>
          <w:rFonts w:ascii="Book Antiqua" w:hAnsi="Book Antiqua" w:cs="Times New Roman"/>
          <w:i/>
          <w:sz w:val="24"/>
          <w:szCs w:val="24"/>
          <w:lang w:val="en-US"/>
        </w:rPr>
        <w:t>RHOA</w:t>
      </w:r>
      <w:r w:rsidR="00B8125B" w:rsidRPr="005C7810">
        <w:rPr>
          <w:rFonts w:ascii="Book Antiqua" w:hAnsi="Book Antiqua" w:cs="Times New Roman"/>
          <w:sz w:val="24"/>
          <w:szCs w:val="24"/>
          <w:lang w:val="en-US"/>
        </w:rPr>
        <w:t>. CLDN18 and ARHGAP6 are respectively involved in the intercellular structure of the tight ju</w:t>
      </w:r>
      <w:r w:rsidR="00A004D9" w:rsidRPr="005C7810">
        <w:rPr>
          <w:rFonts w:ascii="Book Antiqua" w:hAnsi="Book Antiqua" w:cs="Times New Roman"/>
          <w:sz w:val="24"/>
          <w:szCs w:val="24"/>
          <w:lang w:val="en-US"/>
        </w:rPr>
        <w:t>nction and the activation of R</w:t>
      </w:r>
      <w:r w:rsidR="00752A06" w:rsidRPr="005C7810">
        <w:rPr>
          <w:rFonts w:ascii="Book Antiqua" w:hAnsi="Book Antiqua" w:cs="Times New Roman"/>
          <w:sz w:val="24"/>
          <w:szCs w:val="24"/>
          <w:lang w:val="en-US"/>
        </w:rPr>
        <w:t>ho</w:t>
      </w:r>
      <w:r w:rsidR="00B8125B" w:rsidRPr="005C7810">
        <w:rPr>
          <w:rFonts w:ascii="Book Antiqua" w:hAnsi="Book Antiqua" w:cs="Times New Roman"/>
          <w:sz w:val="24"/>
          <w:szCs w:val="24"/>
          <w:lang w:val="en-US"/>
        </w:rPr>
        <w:t xml:space="preserve"> signaling</w:t>
      </w:r>
      <w:r w:rsidR="00A004D9" w:rsidRPr="005C7810">
        <w:rPr>
          <w:rFonts w:ascii="Book Antiqua" w:hAnsi="Book Antiqua" w:cs="Times New Roman"/>
          <w:sz w:val="24"/>
          <w:szCs w:val="24"/>
          <w:lang w:val="en-US"/>
        </w:rPr>
        <w:t xml:space="preserve"> (a signaling pathway in which intra</w:t>
      </w:r>
      <w:r w:rsidR="00693B71" w:rsidRPr="005C7810">
        <w:rPr>
          <w:rFonts w:ascii="Book Antiqua" w:hAnsi="Book Antiqua" w:cs="Times New Roman"/>
          <w:sz w:val="24"/>
          <w:szCs w:val="24"/>
          <w:lang w:val="en-US"/>
        </w:rPr>
        <w:t>cellular</w:t>
      </w:r>
      <w:r w:rsidR="00A004D9" w:rsidRPr="005C7810">
        <w:rPr>
          <w:rFonts w:ascii="Book Antiqua" w:hAnsi="Book Antiqua" w:cs="Times New Roman"/>
          <w:sz w:val="24"/>
          <w:szCs w:val="24"/>
          <w:lang w:val="en-US"/>
        </w:rPr>
        <w:t xml:space="preserve"> and extracellular stimuli activate GTPase R</w:t>
      </w:r>
      <w:r w:rsidR="00DB6863" w:rsidRPr="005C7810">
        <w:rPr>
          <w:rFonts w:ascii="Book Antiqua" w:hAnsi="Book Antiqua" w:cs="Times New Roman"/>
          <w:sz w:val="24"/>
          <w:szCs w:val="24"/>
          <w:lang w:val="en-US"/>
        </w:rPr>
        <w:t>ho</w:t>
      </w:r>
      <w:r w:rsidR="00A004D9"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wh</w:t>
      </w:r>
      <w:r w:rsidR="005D16C9" w:rsidRPr="005C7810">
        <w:rPr>
          <w:rFonts w:ascii="Book Antiqua" w:hAnsi="Book Antiqua" w:cs="Times New Roman"/>
          <w:sz w:val="24"/>
          <w:szCs w:val="24"/>
          <w:lang w:val="en-US"/>
        </w:rPr>
        <w:t>ereas</w:t>
      </w:r>
      <w:r w:rsidR="00B8125B" w:rsidRPr="005C7810">
        <w:rPr>
          <w:rFonts w:ascii="Book Antiqua" w:hAnsi="Book Antiqua" w:cs="Times New Roman"/>
          <w:sz w:val="24"/>
          <w:szCs w:val="24"/>
          <w:lang w:val="en-US"/>
        </w:rPr>
        <w:t xml:space="preserve"> RHOA modulates programmed cell death and contractility and motility of actomyosin-dependent cells</w:t>
      </w:r>
      <w:r w:rsidR="00731BCC"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{"citationItems":[{"id":"ITEM-1","itemData":{"DOI":"10.1038/ng.2983","ISSN":"1061-4036","author":[{"dropping-particle":"","family":"Fernandez","given":"Julio","non-dropping-particle":"","parse-names":false,"suffix":""},{"dropping-particle":"","family":"Ching","given":"Yick Pang","non-dropping-particle":"","parse-names":false,"suffix":""},{"dropping-particle":"","family":"Ng","given":"Man Kin","non-dropping-particle":"","parse-names":false,"suffix":""},{"dropping-particle":"","family":"Chu","given":"Kent Man","non-dropping-particle":"","parse-names":false,"suffix":""},{"dropping-particle":"","family":"Li","given":"Vivian S W","non-dropping-particle":"","parse-names":false,"suffix":""},{"dropping-particle":"","family":"Chan","given":"Anthony K W","non-dropping-particle":"","parse-names":false,"suffix":""},{"dropping-particle":"","family":"Lee","given":"Siu Po","non-dropping-particle":"","parse-names":false,"suffix":""},{"dropping-particle":"","family":"Ho","given":"Siu Lun","non-dropping-particle":"","parse-names":false,"suffix":""},{"dropping-particle":"","family":"Tsui","given":"Wai Yin","non-dropping-particle":"","parse-names":false,"suffix":""},{"dropping-particle":"","family":"Foglizzo","given":"Valentina","non-dropping-particle":"","parse-names":false,"suffix":""},{"dropping-particle":"","family":"Chan","given":"Kok Hoe","non-dropping-particle":"","parse-names":false,"suffix":""},{"dropping-particle":"","family":"Yuen","given":"Siu Tsan","non-dropping-particle":"","parse-names":false,"suffix":""},{"dropping-particle":"","family":"Yan","given":"Helen H N","non-dropping-particle":"","parse-names":false,"suffix":""},{"dropping-particle":"","family":"Deng","given":"Shibing","non-dropping-particle":"","parse-names":false,"suffix":""},{"dropping-particle":"","family":"Wang","given":"Kai","non-dropping-particle":"","parse-names":false,"suffix":""},{"dropping-particle":"","family":"Cheng","given":"Grace H W","non-dropping-particle":"","parse-names":false,"suffix":""},{"dropping-particle":"","family":"Siu","given":"Hoi Cheong","non-dropping-particle":"","parse-names":false,"suffix":""},{"dropping-particle":"","family":"Leung","given":"Suet Yi","non-dropping-particle":"","parse-names":false,"suffix":""},{"dropping-particle":"","family":"Chan","given":"Annie S Y","non-dropping-particle":"","parse-names":false,"suffix":""},{"dropping-particle":"","family":"Xie","given":"Tao","non-dropping-particle":"","parse-names":false,"suffix":""},{"dropping-particle":"","family":"Chan","given":"April S","non-dropping-particle":"","parse-names":false,"suffix":""},{"dropping-particle":"","family":"Xu","given":"Jiangchun","non-dropping-particle":"","parse-names":false,"suffix":""},{"dropping-particle":"","family":"Law","given":"Simon","non-dropping-particle":"","parse-names":false,"suffix":""},{"dropping-particle":"","family":"Clevers","given":"Hans","non-dropping-particle":"","parse-names":false,"suffix":""},{"dropping-particle":"","family":"Man","given":"Jonathan L K","non-dropping-particle":"","parse-names":false,"suffix":""},{"dropping-particle":"","family":"Mao","given":"Mao","non-dropping-particle":"","parse-names":false,"suffix":""},{"dropping-particle":"","family":"Shi","given":"Stephanie T","non-dropping-particle":"","parse-names":false,"suffix":""},{"dropping-particle":"","family":"Rejto","given":"Paul A","non-dropping-particle":"","parse-names":false,"suffix":""}],"container-title":"Nature Genetics","id":"ITEM-1","issue":"6","issued":{"date-parts":[["2014"]]},"page":"573-582","publisher":"Nature Publishing Group","title":"Whole-genome sequencing and comprehensive molecular profiling identify new driver mutations in gastric cancer","type":"article-journal","volume":"46"},"uris":["http://www.mendeley.com/documents/?uuid=a774a2db-0cac-43de-9846-ea45d4ac02e7","http://www.mendeley.com/documents/?uuid=8dafb2fd-a4ee-4158-a9d0-7ae5eff76fde"]},{"id":"ITEM-2","itemData":{"DOI":"10.1126/science.1092053","ISBN":"0036-8075\\n1095-9203","ISSN":"00368075","PMID":"14657486","abstract":"Cell migration is a highly integrated multistep process that orchestrates embryonic morphogenesis; contributes to tissue repair and regeneration; and drives disease progression in cancer, mental retardation, atherosclerosis, and arthritis. The migrating cell is highly polarized with complex regulatory pathways that spatially and temporally integrate its component processes. This review describes the mechanisms underlying the major steps of migration and the signaling pathways that regulate them, and outlines recent advances investigating the nature of polarity in migrating cells and the pathways that establish it.","author":[{"dropping-particle":"","family":"Ridley","given":"Anne J.","non-dropping-particle":"","parse-names":false,"suffix":""},{"dropping-particle":"","family":"Schwartz","given":"Martin A.","non-dropping-particle":"","parse-names":false,"suffix":""},{"dropping-particle":"","family":"Burridge","given":"Keith","non-dropping-particle":"","parse-names":false,"suffix":""},{"dropping-particle":"","family":"Firtel","given":"Richard A.","non-dropping-particle":"","parse-names":false,"suffix":""},{"dropping-particle":"","family":"Ginsberg","given":"Mark H.","non-dropping-particle":"","parse-names":false,"suffix":""},{"dropping-particle":"","family":"Borisy","given":"Gary","non-dropping-particle":"","parse-names":false,"suffix":""},{"dropping-particle":"","family":"Parsons","given":"J. Thomas","non-dropping-particle":"","parse-names":false,"suffix":""},{"dropping-particle":"","family":"Horwitz","given":"Alan Rick","non-dropping-particle":"","parse-names":false,"suffix":""}],"container-title":"Science","id":"ITEM-2","issue":"5651","issued":{"date-parts":[["2003"]]},"page":"1704-1709","title":"Cell Migration: Integrating Signals from Front to Back","type":"article-journal","volume":"302"},"uris":["http://www.mendeley.com/documents/?uuid=1fd238bf-2079-4665-9c2f-012eadee4034","http://www.mendeley.com/documents/?uuid=9bd94f1c-5b1d-4a73-9cde-4416db11c24b"]},{"id":"ITEM-3","itemData":{"DOI":"10.1016/j.ejcb.2013.09.002","ISSN":"01719335","abstract":"Rho GTPase is a master regulator controlling cytoskeleton in multiple contexts such as cell migration, adhesion and cytokinesis. Of several Rho GTPases in mammals, the best characterized is the Rho subfamily including ubiquitously expressed RhoA and its homologs RhoB and RhoC. Upon binding GTP, Rho exerts its functions through downstream Rho effectors, such as ROCK, mDia, Citron, PKN, Rhophilin and Rhotekin. Until recently, our knowledge about functions of Rho and Rho effectors came mostly from in vitro studies utilizing cultured cells, and their physiological roles in vivo were largely unknown. However, gene-targeting studies of Rho and its effectors have now unraveled their tissue- and cell-specific roles and provide deeper insight into the physiological function of Rho signaling in vivo. In this article, we briefly describe previous studies of the function of Rho and its effectors in vitro and then review and discuss recent studies on knockout mice of Rho and its effectors. © 2013 .","author":[{"dropping-particle":"","family":"Thumkeo","given":"Dean","non-dropping-particle":"","parse-names":false,"suffix":""},{"dropping-particle":"","family":"Watanabe","given":"Sadanori","non-dropping-particle":"","parse-names":false,"suffix":""},{"dropping-particle":"","family":"Narumiya","given":"Shuh","non-dropping-particle":"","parse-names":false,"suffix":""}],"container-title":"European Journal of Cell Biology","id":"ITEM-3","issue":"10-11","issued":{"date-parts":[["2013"]]},"page":"303-315","publisher":"Elsevier GmbH.","title":"Physiological roles of rho and rho effectors in mammals","type":"article-journal","volume":"92"},"uris":["http://www.mendeley.com/documents/?uuid=7cf12017-1b54-41d3-8460-752d03779da2","http://www.mendeley.com/documents/?uuid=3293c37e-9d7a-4deb-90d6-6865f3bd5fbb"]}],"mendeley":{"formattedCitation":"&lt;sup&gt;[42–44]&lt;/sup&gt;","plainTextFormattedCitation":"[42–44]","previouslyFormattedCitation":"&lt;sup&gt;[42–44]&lt;/sup&gt;"},"properties":{"noteIndex":0},"schema":"https://github.com/citation-style-language/schema/raw/master/csl-citation.json"}</w:instrText>
      </w:r>
      <w:r w:rsidR="00731BCC"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[42–44]</w:t>
      </w:r>
      <w:r w:rsidR="00731BCC"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Therefore, alterations in RHOA or CLDN18-ARHGAP6 could contribute to the lack of cell cohesion, dispersed growth</w:t>
      </w:r>
      <w:r w:rsidR="00DB6863"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programmed cell death resistance.</w:t>
      </w:r>
    </w:p>
    <w:p w:rsidR="00B8125B" w:rsidRPr="005C7810" w:rsidRDefault="006D1962"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ab/>
      </w:r>
      <w:r w:rsidR="00B8125B" w:rsidRPr="005C7810">
        <w:rPr>
          <w:rFonts w:ascii="Book Antiqua" w:hAnsi="Book Antiqua" w:cs="Times New Roman"/>
          <w:sz w:val="24"/>
          <w:szCs w:val="24"/>
          <w:lang w:val="en-US"/>
        </w:rPr>
        <w:t xml:space="preserve">CIN tumors represent almost half of </w:t>
      </w:r>
      <w:r w:rsidRPr="005C7810">
        <w:rPr>
          <w:rFonts w:ascii="Book Antiqua" w:hAnsi="Book Antiqua" w:cs="Times New Roman"/>
          <w:sz w:val="24"/>
          <w:szCs w:val="24"/>
          <w:lang w:val="en-US"/>
        </w:rPr>
        <w:t xml:space="preserve">GC </w:t>
      </w:r>
      <w:r w:rsidR="00B8125B" w:rsidRPr="005C7810">
        <w:rPr>
          <w:rFonts w:ascii="Book Antiqua" w:hAnsi="Book Antiqua" w:cs="Times New Roman"/>
          <w:sz w:val="24"/>
          <w:szCs w:val="24"/>
          <w:lang w:val="en-US"/>
        </w:rPr>
        <w:t>cases (49.8%)</w:t>
      </w:r>
      <w:r w:rsidR="00AE2047" w:rsidRPr="005C7810">
        <w:rPr>
          <w:rFonts w:ascii="Book Antiqua" w:hAnsi="Book Antiqua" w:cs="Times New Roman"/>
          <w:sz w:val="24"/>
          <w:szCs w:val="24"/>
          <w:lang w:val="en-US"/>
        </w:rPr>
        <w:t>, are mainly intestinal,</w:t>
      </w:r>
      <w:r w:rsidR="00B8125B" w:rsidRPr="005C7810">
        <w:rPr>
          <w:rFonts w:ascii="Book Antiqua" w:hAnsi="Book Antiqua" w:cs="Times New Roman"/>
          <w:sz w:val="24"/>
          <w:szCs w:val="24"/>
          <w:lang w:val="en-US"/>
        </w:rPr>
        <w:t xml:space="preserve"> and are mo</w:t>
      </w:r>
      <w:r w:rsidR="00AF663C" w:rsidRPr="005C7810">
        <w:rPr>
          <w:rFonts w:ascii="Book Antiqua" w:hAnsi="Book Antiqua" w:cs="Times New Roman"/>
          <w:sz w:val="24"/>
          <w:szCs w:val="24"/>
          <w:lang w:val="en-US"/>
        </w:rPr>
        <w:t>st</w:t>
      </w:r>
      <w:r w:rsidR="00B8125B" w:rsidRPr="005C7810">
        <w:rPr>
          <w:rFonts w:ascii="Book Antiqua" w:hAnsi="Book Antiqua" w:cs="Times New Roman"/>
          <w:sz w:val="24"/>
          <w:szCs w:val="24"/>
          <w:lang w:val="en-US"/>
        </w:rPr>
        <w:t xml:space="preserve"> frequent in the cardia-gastro-esophageal junction. </w:t>
      </w:r>
      <w:r w:rsidR="001C38B4" w:rsidRPr="005C7810">
        <w:rPr>
          <w:rFonts w:ascii="Book Antiqua" w:hAnsi="Book Antiqua" w:cs="Times New Roman"/>
          <w:sz w:val="24"/>
          <w:szCs w:val="24"/>
          <w:lang w:val="en-US"/>
        </w:rPr>
        <w:t xml:space="preserve">Chromosomal </w:t>
      </w:r>
      <w:r w:rsidR="001C38B4" w:rsidRPr="005C7810">
        <w:rPr>
          <w:rFonts w:ascii="Book Antiqua" w:hAnsi="Book Antiqua" w:cs="Times New Roman"/>
          <w:sz w:val="24"/>
          <w:szCs w:val="24"/>
          <w:lang w:val="en-US"/>
        </w:rPr>
        <w:lastRenderedPageBreak/>
        <w:t xml:space="preserve">deletions affecting </w:t>
      </w:r>
      <w:r w:rsidR="001C38B4" w:rsidRPr="005C7810">
        <w:rPr>
          <w:rFonts w:ascii="Book Antiqua" w:hAnsi="Book Antiqua" w:cs="Times New Roman"/>
          <w:i/>
          <w:sz w:val="24"/>
          <w:szCs w:val="24"/>
          <w:lang w:val="en-US"/>
        </w:rPr>
        <w:t>CDH1</w:t>
      </w:r>
      <w:r w:rsidR="001C38B4" w:rsidRPr="005C7810">
        <w:rPr>
          <w:rFonts w:ascii="Book Antiqua" w:hAnsi="Book Antiqua" w:cs="Times New Roman"/>
          <w:sz w:val="24"/>
          <w:szCs w:val="24"/>
          <w:lang w:val="en-US"/>
        </w:rPr>
        <w:t xml:space="preserve">, </w:t>
      </w:r>
      <w:r w:rsidR="00357949" w:rsidRPr="005C7810">
        <w:rPr>
          <w:rFonts w:ascii="Book Antiqua" w:hAnsi="Book Antiqua" w:cs="Times New Roman"/>
          <w:sz w:val="24"/>
          <w:szCs w:val="24"/>
          <w:lang w:val="en-US"/>
        </w:rPr>
        <w:t>c</w:t>
      </w:r>
      <w:r w:rsidR="001C38B4" w:rsidRPr="005C7810">
        <w:rPr>
          <w:rFonts w:ascii="Book Antiqua" w:hAnsi="Book Antiqua" w:cs="Times New Roman"/>
          <w:sz w:val="24"/>
          <w:szCs w:val="24"/>
          <w:lang w:val="en-US"/>
        </w:rPr>
        <w:t xml:space="preserve">atenin </w:t>
      </w:r>
      <w:r w:rsidR="00357949" w:rsidRPr="005C7810">
        <w:rPr>
          <w:rFonts w:ascii="Book Antiqua" w:hAnsi="Book Antiqua" w:cs="Times New Roman"/>
          <w:sz w:val="24"/>
          <w:szCs w:val="24"/>
          <w:lang w:val="en-US"/>
        </w:rPr>
        <w:t>a</w:t>
      </w:r>
      <w:r w:rsidR="001C38B4" w:rsidRPr="005C7810">
        <w:rPr>
          <w:rFonts w:ascii="Book Antiqua" w:hAnsi="Book Antiqua" w:cs="Times New Roman"/>
          <w:sz w:val="24"/>
          <w:szCs w:val="24"/>
          <w:lang w:val="en-US"/>
        </w:rPr>
        <w:t xml:space="preserve">lpha 1 </w:t>
      </w:r>
      <w:r w:rsidR="00357949" w:rsidRPr="005C7810">
        <w:rPr>
          <w:rFonts w:ascii="Book Antiqua" w:hAnsi="Book Antiqua" w:cs="Times New Roman"/>
          <w:sz w:val="24"/>
          <w:szCs w:val="24"/>
          <w:lang w:val="en-US"/>
        </w:rPr>
        <w:t>(</w:t>
      </w:r>
      <w:r w:rsidR="00357949" w:rsidRPr="005C7810">
        <w:rPr>
          <w:rFonts w:ascii="Book Antiqua" w:hAnsi="Book Antiqua" w:cs="Times New Roman"/>
          <w:i/>
          <w:sz w:val="24"/>
          <w:szCs w:val="24"/>
          <w:lang w:val="en-US"/>
        </w:rPr>
        <w:t>CTNNA1</w:t>
      </w:r>
      <w:r w:rsidR="00357949" w:rsidRPr="005C7810">
        <w:rPr>
          <w:rFonts w:ascii="Book Antiqua" w:hAnsi="Book Antiqua" w:cs="Times New Roman"/>
          <w:sz w:val="24"/>
          <w:szCs w:val="24"/>
          <w:lang w:val="en-US"/>
        </w:rPr>
        <w:t xml:space="preserve">) </w:t>
      </w:r>
      <w:r w:rsidR="001C38B4" w:rsidRPr="005C7810">
        <w:rPr>
          <w:rFonts w:ascii="Book Antiqua" w:hAnsi="Book Antiqua" w:cs="Times New Roman"/>
          <w:sz w:val="24"/>
          <w:szCs w:val="24"/>
          <w:lang w:val="en-US"/>
        </w:rPr>
        <w:t xml:space="preserve">and RB </w:t>
      </w:r>
      <w:r w:rsidR="00357949" w:rsidRPr="005C7810">
        <w:rPr>
          <w:rFonts w:ascii="Book Antiqua" w:hAnsi="Book Antiqua" w:cs="Times New Roman"/>
          <w:sz w:val="24"/>
          <w:szCs w:val="24"/>
          <w:lang w:val="en-US"/>
        </w:rPr>
        <w:t>t</w:t>
      </w:r>
      <w:r w:rsidR="001C38B4" w:rsidRPr="005C7810">
        <w:rPr>
          <w:rFonts w:ascii="Book Antiqua" w:hAnsi="Book Antiqua" w:cs="Times New Roman"/>
          <w:sz w:val="24"/>
          <w:szCs w:val="24"/>
          <w:lang w:val="en-US"/>
        </w:rPr>
        <w:t xml:space="preserve">ranscriptional </w:t>
      </w:r>
      <w:r w:rsidR="00357949" w:rsidRPr="005C7810">
        <w:rPr>
          <w:rFonts w:ascii="Book Antiqua" w:hAnsi="Book Antiqua" w:cs="Times New Roman"/>
          <w:sz w:val="24"/>
          <w:szCs w:val="24"/>
          <w:lang w:val="en-US"/>
        </w:rPr>
        <w:t>c</w:t>
      </w:r>
      <w:r w:rsidR="001C38B4" w:rsidRPr="005C7810">
        <w:rPr>
          <w:rFonts w:ascii="Book Antiqua" w:hAnsi="Book Antiqua" w:cs="Times New Roman"/>
          <w:sz w:val="24"/>
          <w:szCs w:val="24"/>
          <w:lang w:val="en-US"/>
        </w:rPr>
        <w:t>orepressor 1</w:t>
      </w:r>
      <w:r w:rsidR="00357949" w:rsidRPr="005C7810">
        <w:rPr>
          <w:rFonts w:ascii="Book Antiqua" w:hAnsi="Book Antiqua" w:cs="Times New Roman"/>
          <w:sz w:val="24"/>
          <w:szCs w:val="24"/>
          <w:lang w:val="en-US"/>
        </w:rPr>
        <w:t xml:space="preserve"> (</w:t>
      </w:r>
      <w:r w:rsidR="00357949" w:rsidRPr="005C7810">
        <w:rPr>
          <w:rFonts w:ascii="Book Antiqua" w:hAnsi="Book Antiqua" w:cs="Times New Roman"/>
          <w:i/>
          <w:sz w:val="24"/>
          <w:szCs w:val="24"/>
          <w:lang w:val="en-US"/>
        </w:rPr>
        <w:t>RB1</w:t>
      </w:r>
      <w:r w:rsidR="001C38B4" w:rsidRPr="005C7810">
        <w:rPr>
          <w:rFonts w:ascii="Book Antiqua" w:hAnsi="Book Antiqua" w:cs="Times New Roman"/>
          <w:sz w:val="24"/>
          <w:szCs w:val="24"/>
          <w:lang w:val="en-US"/>
        </w:rPr>
        <w:t xml:space="preserve">) and mutations in </w:t>
      </w:r>
      <w:r w:rsidR="001C38B4" w:rsidRPr="005C7810">
        <w:rPr>
          <w:rFonts w:ascii="Book Antiqua" w:hAnsi="Book Antiqua" w:cs="Times New Roman"/>
          <w:i/>
          <w:sz w:val="24"/>
          <w:szCs w:val="24"/>
          <w:lang w:val="en-US"/>
        </w:rPr>
        <w:t>TP53</w:t>
      </w:r>
      <w:r w:rsidR="001C38B4" w:rsidRPr="005C7810">
        <w:rPr>
          <w:rFonts w:ascii="Book Antiqua" w:hAnsi="Book Antiqua" w:cs="Times New Roman"/>
          <w:sz w:val="24"/>
          <w:szCs w:val="24"/>
          <w:lang w:val="en-US"/>
        </w:rPr>
        <w:t xml:space="preserve"> (71%) are frequent in these tumors. </w:t>
      </w:r>
      <w:r w:rsidR="00AF663C" w:rsidRPr="005C7810">
        <w:rPr>
          <w:rFonts w:ascii="Book Antiqua" w:hAnsi="Book Antiqua" w:cs="Times New Roman"/>
          <w:sz w:val="24"/>
          <w:szCs w:val="24"/>
          <w:lang w:val="en-US"/>
        </w:rPr>
        <w:t xml:space="preserve">CIN </w:t>
      </w:r>
      <w:r w:rsidR="00B8125B" w:rsidRPr="005C7810">
        <w:rPr>
          <w:rFonts w:ascii="Book Antiqua" w:hAnsi="Book Antiqua" w:cs="Times New Roman"/>
          <w:sz w:val="24"/>
          <w:szCs w:val="24"/>
          <w:lang w:val="en-US"/>
        </w:rPr>
        <w:t>tumors present</w:t>
      </w:r>
      <w:r w:rsidR="00AF663C" w:rsidRPr="005C7810">
        <w:rPr>
          <w:rFonts w:ascii="Book Antiqua" w:hAnsi="Book Antiqua" w:cs="Times New Roman"/>
          <w:sz w:val="24"/>
          <w:szCs w:val="24"/>
          <w:lang w:val="en-US"/>
        </w:rPr>
        <w:t xml:space="preserve"> with</w:t>
      </w:r>
      <w:r w:rsidR="00B8125B" w:rsidRPr="005C7810">
        <w:rPr>
          <w:rFonts w:ascii="Book Antiqua" w:hAnsi="Book Antiqua" w:cs="Times New Roman"/>
          <w:sz w:val="24"/>
          <w:szCs w:val="24"/>
          <w:lang w:val="en-US"/>
        </w:rPr>
        <w:t xml:space="preserve"> amplification of genes encoding tyrosine kinase receptors </w:t>
      </w:r>
      <w:r w:rsidRPr="005C7810">
        <w:rPr>
          <w:rFonts w:ascii="Book Antiqua" w:hAnsi="Book Antiqua" w:cs="Times New Roman"/>
          <w:sz w:val="24"/>
          <w:szCs w:val="24"/>
          <w:lang w:val="en-US"/>
        </w:rPr>
        <w:t xml:space="preserve">such </w:t>
      </w:r>
      <w:r w:rsidR="00B8125B" w:rsidRPr="005C7810">
        <w:rPr>
          <w:rFonts w:ascii="Book Antiqua" w:hAnsi="Book Antiqua" w:cs="Times New Roman"/>
          <w:sz w:val="24"/>
          <w:szCs w:val="24"/>
          <w:lang w:val="en-US"/>
        </w:rPr>
        <w:t xml:space="preserve">as </w:t>
      </w:r>
      <w:r w:rsidR="00AF663C" w:rsidRPr="005C7810">
        <w:rPr>
          <w:rFonts w:ascii="Book Antiqua" w:hAnsi="Book Antiqua" w:cs="Times New Roman"/>
          <w:sz w:val="24"/>
          <w:szCs w:val="24"/>
          <w:lang w:val="en-US"/>
        </w:rPr>
        <w:t>e</w:t>
      </w:r>
      <w:r w:rsidR="00B8125B" w:rsidRPr="005C7810">
        <w:rPr>
          <w:rFonts w:ascii="Book Antiqua" w:hAnsi="Book Antiqua" w:cs="Times New Roman"/>
          <w:sz w:val="24"/>
          <w:szCs w:val="24"/>
          <w:lang w:val="en-US"/>
        </w:rPr>
        <w:t xml:space="preserve">pidermal </w:t>
      </w:r>
      <w:r w:rsidR="00AF663C" w:rsidRPr="005C7810">
        <w:rPr>
          <w:rFonts w:ascii="Book Antiqua" w:hAnsi="Book Antiqua" w:cs="Times New Roman"/>
          <w:sz w:val="24"/>
          <w:szCs w:val="24"/>
          <w:lang w:val="en-US"/>
        </w:rPr>
        <w:t>g</w:t>
      </w:r>
      <w:r w:rsidR="00B8125B" w:rsidRPr="005C7810">
        <w:rPr>
          <w:rFonts w:ascii="Book Antiqua" w:hAnsi="Book Antiqua" w:cs="Times New Roman"/>
          <w:sz w:val="24"/>
          <w:szCs w:val="24"/>
          <w:lang w:val="en-US"/>
        </w:rPr>
        <w:t xml:space="preserve">rowth </w:t>
      </w:r>
      <w:r w:rsidR="00AF663C" w:rsidRPr="005C7810">
        <w:rPr>
          <w:rFonts w:ascii="Book Antiqua" w:hAnsi="Book Antiqua" w:cs="Times New Roman"/>
          <w:sz w:val="24"/>
          <w:szCs w:val="24"/>
          <w:lang w:val="en-US"/>
        </w:rPr>
        <w:t>f</w:t>
      </w:r>
      <w:r w:rsidR="00B8125B" w:rsidRPr="005C7810">
        <w:rPr>
          <w:rFonts w:ascii="Book Antiqua" w:hAnsi="Book Antiqua" w:cs="Times New Roman"/>
          <w:sz w:val="24"/>
          <w:szCs w:val="24"/>
          <w:lang w:val="en-US"/>
        </w:rPr>
        <w:t xml:space="preserve">actor </w:t>
      </w:r>
      <w:r w:rsidR="00AF663C" w:rsidRPr="005C7810">
        <w:rPr>
          <w:rFonts w:ascii="Book Antiqua" w:hAnsi="Book Antiqua" w:cs="Times New Roman"/>
          <w:sz w:val="24"/>
          <w:szCs w:val="24"/>
          <w:lang w:val="en-US"/>
        </w:rPr>
        <w:t>r</w:t>
      </w:r>
      <w:r w:rsidR="00B8125B" w:rsidRPr="005C7810">
        <w:rPr>
          <w:rFonts w:ascii="Book Antiqua" w:hAnsi="Book Antiqua" w:cs="Times New Roman"/>
          <w:sz w:val="24"/>
          <w:szCs w:val="24"/>
          <w:lang w:val="en-US"/>
        </w:rPr>
        <w:t>eceptor</w:t>
      </w:r>
      <w:r w:rsidR="00AF663C" w:rsidRPr="005C7810">
        <w:rPr>
          <w:rFonts w:ascii="Book Antiqua" w:hAnsi="Book Antiqua" w:cs="Times New Roman"/>
          <w:sz w:val="24"/>
          <w:szCs w:val="24"/>
          <w:lang w:val="en-US"/>
        </w:rPr>
        <w:t xml:space="preserve"> (</w:t>
      </w:r>
      <w:r w:rsidR="00AF663C" w:rsidRPr="005C7810">
        <w:rPr>
          <w:rFonts w:ascii="Book Antiqua" w:hAnsi="Book Antiqua" w:cs="Times New Roman"/>
          <w:i/>
          <w:sz w:val="24"/>
          <w:szCs w:val="24"/>
          <w:lang w:val="en-US"/>
        </w:rPr>
        <w:t>EGFR</w:t>
      </w:r>
      <w:r w:rsidR="00B8125B" w:rsidRPr="005C7810">
        <w:rPr>
          <w:rFonts w:ascii="Book Antiqua" w:hAnsi="Book Antiqua" w:cs="Times New Roman"/>
          <w:sz w:val="24"/>
          <w:szCs w:val="24"/>
          <w:lang w:val="en-US"/>
        </w:rPr>
        <w:t xml:space="preserve">), </w:t>
      </w:r>
      <w:r w:rsidR="00B8125B" w:rsidRPr="005C7810">
        <w:rPr>
          <w:rFonts w:ascii="Book Antiqua" w:hAnsi="Book Antiqua" w:cs="Times New Roman"/>
          <w:i/>
          <w:sz w:val="24"/>
          <w:szCs w:val="24"/>
          <w:lang w:val="en-US"/>
        </w:rPr>
        <w:t>ERBB</w:t>
      </w:r>
      <w:r w:rsidR="00B8125B" w:rsidRPr="005C7810">
        <w:rPr>
          <w:rFonts w:ascii="Book Antiqua" w:hAnsi="Book Antiqua" w:cs="Times New Roman"/>
          <w:sz w:val="24"/>
          <w:szCs w:val="24"/>
          <w:lang w:val="en-US"/>
        </w:rPr>
        <w:t xml:space="preserve">2, </w:t>
      </w:r>
      <w:r w:rsidR="00B8125B" w:rsidRPr="005C7810">
        <w:rPr>
          <w:rFonts w:ascii="Book Antiqua" w:hAnsi="Book Antiqua" w:cs="Times New Roman"/>
          <w:i/>
          <w:sz w:val="24"/>
          <w:szCs w:val="24"/>
          <w:lang w:val="en-US"/>
        </w:rPr>
        <w:t>ERBB3</w:t>
      </w:r>
      <w:r w:rsidR="00B8125B" w:rsidRPr="005C7810">
        <w:rPr>
          <w:rFonts w:ascii="Book Antiqua" w:hAnsi="Book Antiqua" w:cs="Times New Roman"/>
          <w:sz w:val="24"/>
          <w:szCs w:val="24"/>
          <w:lang w:val="en-US"/>
        </w:rPr>
        <w:t xml:space="preserve">, </w:t>
      </w:r>
      <w:r w:rsidR="00AF663C" w:rsidRPr="005C7810">
        <w:rPr>
          <w:rFonts w:ascii="Book Antiqua" w:hAnsi="Book Antiqua" w:cs="Times New Roman"/>
          <w:sz w:val="24"/>
          <w:szCs w:val="24"/>
          <w:lang w:val="en-US"/>
        </w:rPr>
        <w:t>f</w:t>
      </w:r>
      <w:r w:rsidR="00B8125B" w:rsidRPr="005C7810">
        <w:rPr>
          <w:rFonts w:ascii="Book Antiqua" w:hAnsi="Book Antiqua" w:cs="Times New Roman"/>
          <w:sz w:val="24"/>
          <w:szCs w:val="24"/>
          <w:lang w:val="en-US"/>
        </w:rPr>
        <w:t xml:space="preserve">ibroblast </w:t>
      </w:r>
      <w:r w:rsidR="00AF663C" w:rsidRPr="005C7810">
        <w:rPr>
          <w:rFonts w:ascii="Book Antiqua" w:hAnsi="Book Antiqua" w:cs="Times New Roman"/>
          <w:sz w:val="24"/>
          <w:szCs w:val="24"/>
          <w:lang w:val="en-US"/>
        </w:rPr>
        <w:t>g</w:t>
      </w:r>
      <w:r w:rsidR="00B8125B" w:rsidRPr="005C7810">
        <w:rPr>
          <w:rFonts w:ascii="Book Antiqua" w:hAnsi="Book Antiqua" w:cs="Times New Roman"/>
          <w:sz w:val="24"/>
          <w:szCs w:val="24"/>
          <w:lang w:val="en-US"/>
        </w:rPr>
        <w:t xml:space="preserve">rowth </w:t>
      </w:r>
      <w:r w:rsidR="00AF663C" w:rsidRPr="005C7810">
        <w:rPr>
          <w:rFonts w:ascii="Book Antiqua" w:hAnsi="Book Antiqua" w:cs="Times New Roman"/>
          <w:sz w:val="24"/>
          <w:szCs w:val="24"/>
          <w:lang w:val="en-US"/>
        </w:rPr>
        <w:t>f</w:t>
      </w:r>
      <w:r w:rsidR="00B8125B" w:rsidRPr="005C7810">
        <w:rPr>
          <w:rFonts w:ascii="Book Antiqua" w:hAnsi="Book Antiqua" w:cs="Times New Roman"/>
          <w:sz w:val="24"/>
          <w:szCs w:val="24"/>
          <w:lang w:val="en-US"/>
        </w:rPr>
        <w:t xml:space="preserve">actor </w:t>
      </w:r>
      <w:r w:rsidR="00AF663C" w:rsidRPr="005C7810">
        <w:rPr>
          <w:rFonts w:ascii="Book Antiqua" w:hAnsi="Book Antiqua" w:cs="Times New Roman"/>
          <w:sz w:val="24"/>
          <w:szCs w:val="24"/>
          <w:lang w:val="en-US"/>
        </w:rPr>
        <w:t>r</w:t>
      </w:r>
      <w:r w:rsidR="00B8125B" w:rsidRPr="005C7810">
        <w:rPr>
          <w:rFonts w:ascii="Book Antiqua" w:hAnsi="Book Antiqua" w:cs="Times New Roman"/>
          <w:sz w:val="24"/>
          <w:szCs w:val="24"/>
          <w:lang w:val="en-US"/>
        </w:rPr>
        <w:t>eceptor 2</w:t>
      </w:r>
      <w:r w:rsidR="00AF663C" w:rsidRPr="005C7810">
        <w:rPr>
          <w:rFonts w:ascii="Book Antiqua" w:hAnsi="Book Antiqua" w:cs="Times New Roman"/>
          <w:sz w:val="24"/>
          <w:szCs w:val="24"/>
          <w:lang w:val="en-US"/>
        </w:rPr>
        <w:t xml:space="preserve"> (</w:t>
      </w:r>
      <w:r w:rsidR="00AF663C" w:rsidRPr="005C7810">
        <w:rPr>
          <w:rFonts w:ascii="Book Antiqua" w:hAnsi="Book Antiqua" w:cs="Times New Roman"/>
          <w:i/>
          <w:sz w:val="24"/>
          <w:szCs w:val="24"/>
          <w:lang w:val="en-US"/>
        </w:rPr>
        <w:t>FGFR2</w:t>
      </w:r>
      <w:r w:rsidR="00B8125B" w:rsidRPr="005C7810">
        <w:rPr>
          <w:rFonts w:ascii="Book Antiqua" w:hAnsi="Book Antiqua" w:cs="Times New Roman"/>
          <w:sz w:val="24"/>
          <w:szCs w:val="24"/>
          <w:lang w:val="en-US"/>
        </w:rPr>
        <w:t>)</w:t>
      </w:r>
      <w:r w:rsidR="00985040" w:rsidRPr="005C7810">
        <w:rPr>
          <w:rFonts w:ascii="Book Antiqua" w:hAnsi="Book Antiqua" w:cs="Times New Roman"/>
          <w:sz w:val="24"/>
          <w:szCs w:val="24"/>
          <w:lang w:val="en-US"/>
        </w:rPr>
        <w:t xml:space="preserve">, and </w:t>
      </w:r>
      <w:r w:rsidR="00B8125B" w:rsidRPr="005C7810">
        <w:rPr>
          <w:rFonts w:ascii="Book Antiqua" w:hAnsi="Book Antiqua" w:cs="Times New Roman"/>
          <w:sz w:val="24"/>
          <w:szCs w:val="24"/>
          <w:lang w:val="en-US"/>
        </w:rPr>
        <w:t xml:space="preserve">MET </w:t>
      </w:r>
      <w:r w:rsidR="00D30B73" w:rsidRPr="005C7810">
        <w:rPr>
          <w:rFonts w:ascii="Book Antiqua" w:hAnsi="Book Antiqua" w:cs="Times New Roman"/>
          <w:sz w:val="24"/>
          <w:szCs w:val="24"/>
          <w:lang w:val="en-US"/>
        </w:rPr>
        <w:t>p</w:t>
      </w:r>
      <w:r w:rsidR="00B8125B" w:rsidRPr="005C7810">
        <w:rPr>
          <w:rFonts w:ascii="Book Antiqua" w:hAnsi="Book Antiqua" w:cs="Times New Roman"/>
          <w:sz w:val="24"/>
          <w:szCs w:val="24"/>
          <w:lang w:val="en-US"/>
        </w:rPr>
        <w:t>roto-</w:t>
      </w:r>
      <w:r w:rsidR="00D30B73" w:rsidRPr="005C7810">
        <w:rPr>
          <w:rFonts w:ascii="Book Antiqua" w:hAnsi="Book Antiqua" w:cs="Times New Roman"/>
          <w:sz w:val="24"/>
          <w:szCs w:val="24"/>
          <w:lang w:val="en-US"/>
        </w:rPr>
        <w:t>o</w:t>
      </w:r>
      <w:r w:rsidR="00B8125B" w:rsidRPr="005C7810">
        <w:rPr>
          <w:rFonts w:ascii="Book Antiqua" w:hAnsi="Book Antiqua" w:cs="Times New Roman"/>
          <w:sz w:val="24"/>
          <w:szCs w:val="24"/>
          <w:lang w:val="en-US"/>
        </w:rPr>
        <w:t xml:space="preserve">ncogene, </w:t>
      </w:r>
      <w:r w:rsidR="00D30B73" w:rsidRPr="005C7810">
        <w:rPr>
          <w:rFonts w:ascii="Book Antiqua" w:hAnsi="Book Antiqua" w:cs="Times New Roman"/>
          <w:sz w:val="24"/>
          <w:szCs w:val="24"/>
          <w:lang w:val="en-US"/>
        </w:rPr>
        <w:t>r</w:t>
      </w:r>
      <w:r w:rsidR="00B8125B" w:rsidRPr="005C7810">
        <w:rPr>
          <w:rFonts w:ascii="Book Antiqua" w:hAnsi="Book Antiqua" w:cs="Times New Roman"/>
          <w:sz w:val="24"/>
          <w:szCs w:val="24"/>
          <w:lang w:val="en-US"/>
        </w:rPr>
        <w:t xml:space="preserve">eceptor </w:t>
      </w:r>
      <w:r w:rsidR="00D30B73" w:rsidRPr="005C7810">
        <w:rPr>
          <w:rFonts w:ascii="Book Antiqua" w:hAnsi="Book Antiqua" w:cs="Times New Roman"/>
          <w:sz w:val="24"/>
          <w:szCs w:val="24"/>
          <w:lang w:val="en-US"/>
        </w:rPr>
        <w:t>t</w:t>
      </w:r>
      <w:r w:rsidR="00B8125B" w:rsidRPr="005C7810">
        <w:rPr>
          <w:rFonts w:ascii="Book Antiqua" w:hAnsi="Book Antiqua" w:cs="Times New Roman"/>
          <w:sz w:val="24"/>
          <w:szCs w:val="24"/>
          <w:lang w:val="en-US"/>
        </w:rPr>
        <w:t xml:space="preserve">yrosine </w:t>
      </w:r>
      <w:r w:rsidR="00D30B73" w:rsidRPr="005C7810">
        <w:rPr>
          <w:rFonts w:ascii="Book Antiqua" w:hAnsi="Book Antiqua" w:cs="Times New Roman"/>
          <w:sz w:val="24"/>
          <w:szCs w:val="24"/>
          <w:lang w:val="en-US"/>
        </w:rPr>
        <w:t>k</w:t>
      </w:r>
      <w:r w:rsidR="00B8125B" w:rsidRPr="005C7810">
        <w:rPr>
          <w:rFonts w:ascii="Book Antiqua" w:hAnsi="Book Antiqua" w:cs="Times New Roman"/>
          <w:sz w:val="24"/>
          <w:szCs w:val="24"/>
          <w:lang w:val="en-US"/>
        </w:rPr>
        <w:t>inase</w:t>
      </w:r>
      <w:r w:rsidR="00D30B73" w:rsidRPr="005C7810">
        <w:rPr>
          <w:rFonts w:ascii="Book Antiqua" w:hAnsi="Book Antiqua" w:cs="Times New Roman"/>
          <w:sz w:val="24"/>
          <w:szCs w:val="24"/>
          <w:lang w:val="en-US"/>
        </w:rPr>
        <w:t xml:space="preserve"> (</w:t>
      </w:r>
      <w:r w:rsidR="00D30B73" w:rsidRPr="005C7810">
        <w:rPr>
          <w:rFonts w:ascii="Book Antiqua" w:hAnsi="Book Antiqua" w:cs="Times New Roman"/>
          <w:i/>
          <w:sz w:val="24"/>
          <w:szCs w:val="24"/>
          <w:lang w:val="en-US"/>
        </w:rPr>
        <w:t>MET</w:t>
      </w:r>
      <w:r w:rsidR="00B8125B" w:rsidRPr="005C7810">
        <w:rPr>
          <w:rFonts w:ascii="Book Antiqua" w:hAnsi="Book Antiqua" w:cs="Times New Roman"/>
          <w:sz w:val="24"/>
          <w:szCs w:val="24"/>
          <w:lang w:val="en-US"/>
        </w:rPr>
        <w:t>)</w:t>
      </w:r>
      <w:r w:rsidR="0078224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some transcription factors </w:t>
      </w:r>
      <w:r w:rsidR="0078224A" w:rsidRPr="005C7810">
        <w:rPr>
          <w:rFonts w:ascii="Book Antiqua" w:hAnsi="Book Antiqua" w:cs="Times New Roman"/>
          <w:sz w:val="24"/>
          <w:szCs w:val="24"/>
          <w:lang w:val="en-US"/>
        </w:rPr>
        <w:t xml:space="preserve">including </w:t>
      </w:r>
      <w:r w:rsidR="00C77FE0" w:rsidRPr="005C7810">
        <w:rPr>
          <w:rFonts w:ascii="Book Antiqua" w:hAnsi="Book Antiqua" w:cs="Times New Roman"/>
          <w:sz w:val="24"/>
          <w:szCs w:val="24"/>
          <w:lang w:val="en-US"/>
        </w:rPr>
        <w:t xml:space="preserve">the </w:t>
      </w:r>
      <w:r w:rsidR="00B8125B" w:rsidRPr="005C7810">
        <w:rPr>
          <w:rFonts w:ascii="Book Antiqua" w:hAnsi="Book Antiqua" w:cs="Times New Roman"/>
          <w:sz w:val="24"/>
          <w:szCs w:val="24"/>
          <w:lang w:val="en-US"/>
        </w:rPr>
        <w:t xml:space="preserve">MYC </w:t>
      </w:r>
      <w:r w:rsidR="00D30B73" w:rsidRPr="005C7810">
        <w:rPr>
          <w:rFonts w:ascii="Book Antiqua" w:hAnsi="Book Antiqua" w:cs="Times New Roman"/>
          <w:sz w:val="24"/>
          <w:szCs w:val="24"/>
          <w:lang w:val="en-US"/>
        </w:rPr>
        <w:t>p</w:t>
      </w:r>
      <w:r w:rsidR="00B8125B" w:rsidRPr="005C7810">
        <w:rPr>
          <w:rFonts w:ascii="Book Antiqua" w:hAnsi="Book Antiqua" w:cs="Times New Roman"/>
          <w:sz w:val="24"/>
          <w:szCs w:val="24"/>
          <w:lang w:val="en-US"/>
        </w:rPr>
        <w:t>roto-</w:t>
      </w:r>
      <w:r w:rsidR="00D30B73" w:rsidRPr="005C7810">
        <w:rPr>
          <w:rFonts w:ascii="Book Antiqua" w:hAnsi="Book Antiqua" w:cs="Times New Roman"/>
          <w:sz w:val="24"/>
          <w:szCs w:val="24"/>
          <w:lang w:val="en-US"/>
        </w:rPr>
        <w:t>o</w:t>
      </w:r>
      <w:r w:rsidR="00B8125B" w:rsidRPr="005C7810">
        <w:rPr>
          <w:rFonts w:ascii="Book Antiqua" w:hAnsi="Book Antiqua" w:cs="Times New Roman"/>
          <w:sz w:val="24"/>
          <w:szCs w:val="24"/>
          <w:lang w:val="en-US"/>
        </w:rPr>
        <w:t xml:space="preserve">ncogene, </w:t>
      </w:r>
      <w:r w:rsidR="004E13DF" w:rsidRPr="005C7810">
        <w:rPr>
          <w:rFonts w:ascii="Book Antiqua" w:hAnsi="Book Antiqua" w:cs="Times New Roman"/>
          <w:sz w:val="24"/>
          <w:szCs w:val="24"/>
          <w:lang w:val="en-US"/>
        </w:rPr>
        <w:t xml:space="preserve">basic helix-loop-helix </w:t>
      </w:r>
      <w:r w:rsidR="00D30B73" w:rsidRPr="005C7810">
        <w:rPr>
          <w:rFonts w:ascii="Book Antiqua" w:hAnsi="Book Antiqua" w:cs="Times New Roman"/>
          <w:sz w:val="24"/>
          <w:szCs w:val="24"/>
          <w:lang w:val="en-US"/>
        </w:rPr>
        <w:t>t</w:t>
      </w:r>
      <w:r w:rsidR="00B8125B" w:rsidRPr="005C7810">
        <w:rPr>
          <w:rFonts w:ascii="Book Antiqua" w:hAnsi="Book Antiqua" w:cs="Times New Roman"/>
          <w:sz w:val="24"/>
          <w:szCs w:val="24"/>
          <w:lang w:val="en-US"/>
        </w:rPr>
        <w:t xml:space="preserve">ranscription </w:t>
      </w:r>
      <w:r w:rsidR="00D30B73" w:rsidRPr="005C7810">
        <w:rPr>
          <w:rFonts w:ascii="Book Antiqua" w:hAnsi="Book Antiqua" w:cs="Times New Roman"/>
          <w:sz w:val="24"/>
          <w:szCs w:val="24"/>
          <w:lang w:val="en-US"/>
        </w:rPr>
        <w:t>f</w:t>
      </w:r>
      <w:r w:rsidR="00B8125B" w:rsidRPr="005C7810">
        <w:rPr>
          <w:rFonts w:ascii="Book Antiqua" w:hAnsi="Book Antiqua" w:cs="Times New Roman"/>
          <w:sz w:val="24"/>
          <w:szCs w:val="24"/>
          <w:lang w:val="en-US"/>
        </w:rPr>
        <w:t>actor</w:t>
      </w:r>
      <w:r w:rsidR="00D30B73" w:rsidRPr="005C7810">
        <w:rPr>
          <w:rFonts w:ascii="Book Antiqua" w:hAnsi="Book Antiqua" w:cs="Times New Roman"/>
          <w:sz w:val="24"/>
          <w:szCs w:val="24"/>
          <w:lang w:val="en-US"/>
        </w:rPr>
        <w:t xml:space="preserve"> (</w:t>
      </w:r>
      <w:r w:rsidR="00D30B73" w:rsidRPr="005C7810">
        <w:rPr>
          <w:rFonts w:ascii="Book Antiqua" w:hAnsi="Book Antiqua" w:cs="Times New Roman"/>
          <w:i/>
          <w:sz w:val="24"/>
          <w:szCs w:val="24"/>
          <w:lang w:val="en-US"/>
        </w:rPr>
        <w:t>MYC</w:t>
      </w:r>
      <w:r w:rsidR="00B8125B" w:rsidRPr="005C7810">
        <w:rPr>
          <w:rFonts w:ascii="Book Antiqua" w:hAnsi="Book Antiqua" w:cs="Times New Roman"/>
          <w:sz w:val="24"/>
          <w:szCs w:val="24"/>
          <w:lang w:val="en-US"/>
        </w:rPr>
        <w:t xml:space="preserve">) and GATA </w:t>
      </w:r>
      <w:r w:rsidR="00357949" w:rsidRPr="005C7810">
        <w:rPr>
          <w:rFonts w:ascii="Book Antiqua" w:hAnsi="Book Antiqua" w:cs="Times New Roman"/>
          <w:sz w:val="24"/>
          <w:szCs w:val="24"/>
          <w:lang w:val="en-US"/>
        </w:rPr>
        <w:t>b</w:t>
      </w:r>
      <w:r w:rsidR="00B8125B" w:rsidRPr="005C7810">
        <w:rPr>
          <w:rFonts w:ascii="Book Antiqua" w:hAnsi="Book Antiqua" w:cs="Times New Roman"/>
          <w:sz w:val="24"/>
          <w:szCs w:val="24"/>
          <w:lang w:val="en-US"/>
        </w:rPr>
        <w:t xml:space="preserve">inding </w:t>
      </w:r>
      <w:r w:rsidR="00357949" w:rsidRPr="005C7810">
        <w:rPr>
          <w:rFonts w:ascii="Book Antiqua" w:hAnsi="Book Antiqua" w:cs="Times New Roman"/>
          <w:sz w:val="24"/>
          <w:szCs w:val="24"/>
          <w:lang w:val="en-US"/>
        </w:rPr>
        <w:t>p</w:t>
      </w:r>
      <w:r w:rsidR="00B8125B" w:rsidRPr="005C7810">
        <w:rPr>
          <w:rFonts w:ascii="Book Antiqua" w:hAnsi="Book Antiqua" w:cs="Times New Roman"/>
          <w:sz w:val="24"/>
          <w:szCs w:val="24"/>
          <w:lang w:val="en-US"/>
        </w:rPr>
        <w:t>rotein 4</w:t>
      </w:r>
      <w:r w:rsidR="00357949" w:rsidRPr="005C7810">
        <w:rPr>
          <w:rFonts w:ascii="Book Antiqua" w:hAnsi="Book Antiqua" w:cs="Times New Roman"/>
          <w:i/>
          <w:sz w:val="24"/>
          <w:szCs w:val="24"/>
          <w:lang w:val="en-US"/>
        </w:rPr>
        <w:t xml:space="preserve"> </w:t>
      </w:r>
      <w:r w:rsidR="00357949" w:rsidRPr="005C7810">
        <w:rPr>
          <w:rFonts w:ascii="Book Antiqua" w:hAnsi="Book Antiqua" w:cs="Times New Roman"/>
          <w:sz w:val="24"/>
          <w:szCs w:val="24"/>
          <w:lang w:val="en-US"/>
        </w:rPr>
        <w:t>(</w:t>
      </w:r>
      <w:r w:rsidR="00357949" w:rsidRPr="005C7810">
        <w:rPr>
          <w:rFonts w:ascii="Book Antiqua" w:hAnsi="Book Antiqua" w:cs="Times New Roman"/>
          <w:i/>
          <w:sz w:val="24"/>
          <w:szCs w:val="24"/>
          <w:lang w:val="en-US"/>
        </w:rPr>
        <w:t>GATA4</w:t>
      </w:r>
      <w:r w:rsidR="00B8125B" w:rsidRPr="005C7810">
        <w:rPr>
          <w:rFonts w:ascii="Book Antiqua" w:hAnsi="Book Antiqua" w:cs="Times New Roman"/>
          <w:sz w:val="24"/>
          <w:szCs w:val="24"/>
          <w:lang w:val="en-US"/>
        </w:rPr>
        <w:t>)</w:t>
      </w:r>
      <w:r w:rsidR="00C77FE0" w:rsidRPr="005C7810">
        <w:rPr>
          <w:rFonts w:ascii="Book Antiqua" w:hAnsi="Book Antiqua" w:cs="Times New Roman"/>
          <w:sz w:val="24"/>
          <w:szCs w:val="24"/>
          <w:lang w:val="en-US"/>
        </w:rPr>
        <w:t>;</w:t>
      </w:r>
      <w:r w:rsidR="00357949"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 xml:space="preserve">cell cycle regulators </w:t>
      </w:r>
      <w:r w:rsidR="00D30B73" w:rsidRPr="005C7810">
        <w:rPr>
          <w:rFonts w:ascii="Book Antiqua" w:hAnsi="Book Antiqua" w:cs="Times New Roman"/>
          <w:sz w:val="24"/>
          <w:szCs w:val="24"/>
          <w:lang w:val="en-US"/>
        </w:rPr>
        <w:t xml:space="preserve">such </w:t>
      </w:r>
      <w:r w:rsidR="00B8125B" w:rsidRPr="005C7810">
        <w:rPr>
          <w:rFonts w:ascii="Book Antiqua" w:hAnsi="Book Antiqua" w:cs="Times New Roman"/>
          <w:sz w:val="24"/>
          <w:szCs w:val="24"/>
          <w:lang w:val="en-US"/>
        </w:rPr>
        <w:t xml:space="preserve">as </w:t>
      </w:r>
      <w:r w:rsidR="00357949" w:rsidRPr="005C7810">
        <w:rPr>
          <w:rFonts w:ascii="Book Antiqua" w:hAnsi="Book Antiqua" w:cs="Times New Roman"/>
          <w:sz w:val="24"/>
          <w:szCs w:val="24"/>
          <w:lang w:val="en-US"/>
        </w:rPr>
        <w:t>c</w:t>
      </w:r>
      <w:r w:rsidR="00B8125B" w:rsidRPr="005C7810">
        <w:rPr>
          <w:rFonts w:ascii="Book Antiqua" w:hAnsi="Book Antiqua" w:cs="Times New Roman"/>
          <w:sz w:val="24"/>
          <w:szCs w:val="24"/>
          <w:lang w:val="en-US"/>
        </w:rPr>
        <w:t>yclin-</w:t>
      </w:r>
      <w:r w:rsidR="00357949" w:rsidRPr="005C7810">
        <w:rPr>
          <w:rFonts w:ascii="Book Antiqua" w:hAnsi="Book Antiqua" w:cs="Times New Roman"/>
          <w:sz w:val="24"/>
          <w:szCs w:val="24"/>
          <w:lang w:val="en-US"/>
        </w:rPr>
        <w:t>d</w:t>
      </w:r>
      <w:r w:rsidR="00B8125B" w:rsidRPr="005C7810">
        <w:rPr>
          <w:rFonts w:ascii="Book Antiqua" w:hAnsi="Book Antiqua" w:cs="Times New Roman"/>
          <w:sz w:val="24"/>
          <w:szCs w:val="24"/>
          <w:lang w:val="en-US"/>
        </w:rPr>
        <w:t xml:space="preserve">ependent </w:t>
      </w:r>
      <w:r w:rsidR="00357949" w:rsidRPr="005C7810">
        <w:rPr>
          <w:rFonts w:ascii="Book Antiqua" w:hAnsi="Book Antiqua" w:cs="Times New Roman"/>
          <w:sz w:val="24"/>
          <w:szCs w:val="24"/>
          <w:lang w:val="en-US"/>
        </w:rPr>
        <w:t>k</w:t>
      </w:r>
      <w:r w:rsidR="00B8125B" w:rsidRPr="005C7810">
        <w:rPr>
          <w:rFonts w:ascii="Book Antiqua" w:hAnsi="Book Antiqua" w:cs="Times New Roman"/>
          <w:sz w:val="24"/>
          <w:szCs w:val="24"/>
          <w:lang w:val="en-US"/>
        </w:rPr>
        <w:t>inase 6</w:t>
      </w:r>
      <w:r w:rsidR="00357949" w:rsidRPr="005C7810">
        <w:rPr>
          <w:rFonts w:ascii="Book Antiqua" w:hAnsi="Book Antiqua" w:cs="Times New Roman"/>
          <w:i/>
          <w:sz w:val="24"/>
          <w:szCs w:val="24"/>
          <w:lang w:val="en-US"/>
        </w:rPr>
        <w:t xml:space="preserve"> </w:t>
      </w:r>
      <w:r w:rsidR="00357949" w:rsidRPr="005C7810">
        <w:rPr>
          <w:rFonts w:ascii="Book Antiqua" w:hAnsi="Book Antiqua" w:cs="Times New Roman"/>
          <w:sz w:val="24"/>
          <w:szCs w:val="24"/>
          <w:lang w:val="en-US"/>
        </w:rPr>
        <w:t>(</w:t>
      </w:r>
      <w:r w:rsidR="00357949" w:rsidRPr="005C7810">
        <w:rPr>
          <w:rFonts w:ascii="Book Antiqua" w:hAnsi="Book Antiqua" w:cs="Times New Roman"/>
          <w:i/>
          <w:sz w:val="24"/>
          <w:szCs w:val="24"/>
          <w:lang w:val="en-US"/>
        </w:rPr>
        <w:t>CDK6</w:t>
      </w:r>
      <w:r w:rsidR="00B8125B" w:rsidRPr="005C7810">
        <w:rPr>
          <w:rFonts w:ascii="Book Antiqua" w:hAnsi="Book Antiqua" w:cs="Times New Roman"/>
          <w:sz w:val="24"/>
          <w:szCs w:val="24"/>
          <w:lang w:val="en-US"/>
        </w:rPr>
        <w:t xml:space="preserve">), </w:t>
      </w:r>
      <w:r w:rsidR="004E13DF" w:rsidRPr="005C7810">
        <w:rPr>
          <w:rFonts w:ascii="Book Antiqua" w:hAnsi="Book Antiqua" w:cs="Times New Roman"/>
          <w:sz w:val="24"/>
          <w:szCs w:val="24"/>
          <w:lang w:val="en-US"/>
        </w:rPr>
        <w:t>c</w:t>
      </w:r>
      <w:r w:rsidR="00B8125B" w:rsidRPr="005C7810">
        <w:rPr>
          <w:rFonts w:ascii="Book Antiqua" w:hAnsi="Book Antiqua" w:cs="Times New Roman"/>
          <w:sz w:val="24"/>
          <w:szCs w:val="24"/>
          <w:lang w:val="en-US"/>
        </w:rPr>
        <w:t>yclin E1</w:t>
      </w:r>
      <w:r w:rsidR="00D30B73" w:rsidRPr="005C7810">
        <w:rPr>
          <w:rFonts w:ascii="Book Antiqua" w:hAnsi="Book Antiqua" w:cs="Times New Roman"/>
          <w:sz w:val="24"/>
          <w:szCs w:val="24"/>
          <w:lang w:val="en-US"/>
        </w:rPr>
        <w:t xml:space="preserve"> (</w:t>
      </w:r>
      <w:r w:rsidR="00D30B73" w:rsidRPr="005C7810">
        <w:rPr>
          <w:rFonts w:ascii="Book Antiqua" w:hAnsi="Book Antiqua" w:cs="Times New Roman"/>
          <w:i/>
          <w:sz w:val="24"/>
          <w:szCs w:val="24"/>
          <w:lang w:val="en-US"/>
        </w:rPr>
        <w:t>CCNE1</w:t>
      </w:r>
      <w:r w:rsidR="00B8125B" w:rsidRPr="005C7810">
        <w:rPr>
          <w:rFonts w:ascii="Book Antiqua" w:hAnsi="Book Antiqua" w:cs="Times New Roman"/>
          <w:sz w:val="24"/>
          <w:szCs w:val="24"/>
          <w:lang w:val="en-US"/>
        </w:rPr>
        <w:t>)</w:t>
      </w:r>
      <w:r w:rsidR="00C77FE0"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w:t>
      </w:r>
      <w:r w:rsidR="00357949" w:rsidRPr="005C7810">
        <w:rPr>
          <w:rFonts w:ascii="Book Antiqua" w:hAnsi="Book Antiqua" w:cs="Times New Roman"/>
          <w:sz w:val="24"/>
          <w:szCs w:val="24"/>
          <w:lang w:val="en-US"/>
        </w:rPr>
        <w:t>c</w:t>
      </w:r>
      <w:r w:rsidR="00B8125B" w:rsidRPr="005C7810">
        <w:rPr>
          <w:rFonts w:ascii="Book Antiqua" w:hAnsi="Book Antiqua" w:cs="Times New Roman"/>
          <w:sz w:val="24"/>
          <w:szCs w:val="24"/>
          <w:lang w:val="en-US"/>
        </w:rPr>
        <w:t>yclin D1</w:t>
      </w:r>
      <w:r w:rsidR="00357949" w:rsidRPr="005C7810">
        <w:rPr>
          <w:rFonts w:ascii="Book Antiqua" w:hAnsi="Book Antiqua" w:cs="Times New Roman"/>
          <w:i/>
          <w:sz w:val="24"/>
          <w:szCs w:val="24"/>
          <w:lang w:val="en-US"/>
        </w:rPr>
        <w:t xml:space="preserve"> </w:t>
      </w:r>
      <w:r w:rsidR="00357949" w:rsidRPr="005C7810">
        <w:rPr>
          <w:rFonts w:ascii="Book Antiqua" w:hAnsi="Book Antiqua" w:cs="Times New Roman"/>
          <w:sz w:val="24"/>
          <w:szCs w:val="24"/>
          <w:lang w:val="en-US"/>
        </w:rPr>
        <w:t>(</w:t>
      </w:r>
      <w:r w:rsidR="00357949" w:rsidRPr="005C7810">
        <w:rPr>
          <w:rFonts w:ascii="Book Antiqua" w:hAnsi="Book Antiqua" w:cs="Times New Roman"/>
          <w:i/>
          <w:sz w:val="24"/>
          <w:szCs w:val="24"/>
          <w:lang w:val="en-US"/>
        </w:rPr>
        <w:t>CCND1</w:t>
      </w:r>
      <w:r w:rsidR="00B8125B" w:rsidRPr="005C7810">
        <w:rPr>
          <w:rFonts w:ascii="Book Antiqua" w:hAnsi="Book Antiqua" w:cs="Times New Roman"/>
          <w:sz w:val="24"/>
          <w:szCs w:val="24"/>
          <w:lang w:val="en-US"/>
        </w:rPr>
        <w:t xml:space="preserve">) and other genes such as </w:t>
      </w:r>
      <w:r w:rsidR="00B8125B" w:rsidRPr="005C7810">
        <w:rPr>
          <w:rFonts w:ascii="Book Antiqua" w:hAnsi="Book Antiqua" w:cs="Times New Roman"/>
          <w:i/>
          <w:sz w:val="24"/>
          <w:szCs w:val="24"/>
          <w:lang w:val="en-US"/>
        </w:rPr>
        <w:t>PDCD1LG2</w:t>
      </w:r>
      <w:r w:rsidR="00B8125B" w:rsidRPr="005C7810">
        <w:rPr>
          <w:rFonts w:ascii="Book Antiqua" w:hAnsi="Book Antiqua" w:cs="Times New Roman"/>
          <w:sz w:val="24"/>
          <w:szCs w:val="24"/>
          <w:lang w:val="en-US"/>
        </w:rPr>
        <w:t xml:space="preserve"> </w:t>
      </w:r>
      <w:r w:rsidR="00C77FE0" w:rsidRPr="005C7810">
        <w:rPr>
          <w:rFonts w:ascii="Book Antiqua" w:hAnsi="Book Antiqua" w:cs="Times New Roman"/>
          <w:sz w:val="24"/>
          <w:szCs w:val="24"/>
          <w:lang w:val="en-US"/>
        </w:rPr>
        <w:t>and</w:t>
      </w:r>
      <w:r w:rsidR="00B8125B" w:rsidRPr="005C7810">
        <w:rPr>
          <w:rFonts w:ascii="Book Antiqua" w:hAnsi="Book Antiqua" w:cs="Times New Roman"/>
          <w:sz w:val="24"/>
          <w:szCs w:val="24"/>
          <w:lang w:val="en-US"/>
        </w:rPr>
        <w:t xml:space="preserve"> </w:t>
      </w:r>
      <w:r w:rsidR="00B8125B" w:rsidRPr="005C7810">
        <w:rPr>
          <w:rFonts w:ascii="Book Antiqua" w:hAnsi="Book Antiqua" w:cs="Times New Roman"/>
          <w:i/>
          <w:sz w:val="24"/>
          <w:szCs w:val="24"/>
          <w:lang w:val="en-US"/>
        </w:rPr>
        <w:t>PIK3CA</w:t>
      </w:r>
      <w:r w:rsidR="00A64975" w:rsidRPr="005C7810">
        <w:rPr>
          <w:rFonts w:ascii="Book Antiqua" w:hAnsi="Book Antiqua" w:cs="Times New Roman"/>
          <w:i/>
          <w:sz w:val="24"/>
          <w:szCs w:val="24"/>
          <w:lang w:val="en-US"/>
        </w:rPr>
        <w:fldChar w:fldCharType="begin" w:fldLock="1"/>
      </w:r>
      <w:r w:rsidR="00AB32F3" w:rsidRPr="005C7810">
        <w:rPr>
          <w:rFonts w:ascii="Book Antiqua" w:hAnsi="Book Antiqua" w:cs="Times New Roman"/>
          <w:i/>
          <w:sz w:val="24"/>
          <w:szCs w:val="24"/>
          <w:lang w:val="en-US"/>
        </w:rPr>
        <w:instrText>ADDIN CSL_CITATION {"citationItems":[{"id":"ITEM-1","itemData":{"DOI":"10.1038/nature13480.Comprehensive","ISBN":"1476-4687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©2014","author":[{"dropping-particle":"","family":"Cancer Genome Atlas Research Network","given":"","non-dropping-particle":"","parse-names":false,"suffix":""},{"dropping-particle":"","family":"Bass","given":"Adam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Michae","given":"David P","non-dropping-particle":"","parse-names":false,"suffix":""},{"dropping-particle":"","family":"Network","given":"Cancer Genome Atlas Research","non-dropping-particle":"","parse-names":false,"suffix":""}],"container-title":"Nature","id":"ITEM-1","issue":"7517","issued":{"date-parts":[["2014"]]},"page":"202-209","title":"Comprehensive molecular characterization of gastric adenocarcinoma","type":"article-journal","volume":"513"},"uris":["http://www.mendeley.com/documents/?uuid=48529cda-a330-4c84-841c-b991b895df6e","http://www.mendeley.com/documents/?uuid=e1ccc661-ce0e-4c30-a67f-a89167ad3e13"]}],"mendeley":{"formattedCitation":"&lt;sup&gt;[29]&lt;/sup&gt;","plainTextFormattedCitation":"[29]","previouslyFormattedCitation":"&lt;sup&gt;[29]&lt;/sup&gt;"},"properties":{"noteIndex":0},"schema":"https://github.com/citation-style-language/schema/raw/master/csl-citation.json"}</w:instrText>
      </w:r>
      <w:r w:rsidR="00A64975" w:rsidRPr="005C7810">
        <w:rPr>
          <w:rFonts w:ascii="Book Antiqua" w:hAnsi="Book Antiqua" w:cs="Times New Roman"/>
          <w:i/>
          <w:sz w:val="24"/>
          <w:szCs w:val="24"/>
          <w:lang w:val="en-US"/>
        </w:rPr>
        <w:fldChar w:fldCharType="separate"/>
      </w:r>
      <w:r w:rsidR="00182B66" w:rsidRPr="005C7810">
        <w:rPr>
          <w:rFonts w:ascii="Book Antiqua" w:hAnsi="Book Antiqua" w:cs="Times New Roman"/>
          <w:sz w:val="24"/>
          <w:szCs w:val="24"/>
          <w:vertAlign w:val="superscript"/>
          <w:lang w:val="en-US"/>
        </w:rPr>
        <w:t>[29]</w:t>
      </w:r>
      <w:r w:rsidR="00A64975" w:rsidRPr="005C7810">
        <w:rPr>
          <w:rFonts w:ascii="Book Antiqua" w:hAnsi="Book Antiqua" w:cs="Times New Roman"/>
          <w:i/>
          <w:sz w:val="24"/>
          <w:szCs w:val="24"/>
          <w:lang w:val="en-US"/>
        </w:rPr>
        <w:fldChar w:fldCharType="end"/>
      </w:r>
      <w:r w:rsidR="00A64975"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Alterations of these genes have been observed in advanced/metastatic GC</w:t>
      </w:r>
      <w:r w:rsidR="00D37C18"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{"citationItems":[{"id":"ITEM-1","itemData":{"DOI":"10.1634/theoncologist.2014-0378","ISSN":"1083-7159","PMID":"25882375","abstract":"Background: Gastric cancer (GC) is a major global cancer burden and the second most common cause of global cancer-related deaths. The addn. of anti-ERBB2 (HER2) targeted therapy to chemotherapy improves survival for ERBB2-amplified advanced GC patients; however, the majority of GC patients do not harbor this alteration and thus cannot benefit from targeted therapy under current practice paradigms. Materials and Methods: Prospective comprehensive genomic profiling of 116 predominantly locally advanced or metastatic (90.0%) gastric cancer cases was performed to identify genomic alterations (GAs) assocd. with a potential response to targeted therapies approved by the U.S. Food and Drug Administration or targeted therapy-based clin. trials. Results: Overall, 78% of GC cases harbored one clin. relevant GA or more, with the most frequent alterations being found in TP53 (50%), ARID1A (24%), KRAS (16%), CDH1 (15%), CDKN2A (14%), CCND1 (9.5%), ERBB2 (8.5%), PIK3CA (8.6%), MLL2 (6.9%), FGFR2 (6.0%), and MET (6.0%). Receptor tyrosine kinase genomic alterations were detected in 20.6% of cases, primarily ERBB2, FGFR2, and MET amplification, with ERBB2 alterations evenly split between amplifications and base substitutions. Rare BRAF mutations (2.6%) were also obsd. One MET-amplified GC patient responded for 5 mo to crizotinib, a multitargeted ALK/ROS1/MET inhibitor. Conclusion: Comprehensive genomic profiling of GC identifies clin. relevant GAs that suggest benefit from targeted therapy including MET-amplified GC and ERBB2 base substitutions. [on SciFinder(R)]","author":[{"dropping-particle":"V.","family":"Catenacci","given":"D.","non-dropping-particle":"","parse-names":false,"suffix":""},{"dropping-particle":"","family":"Stephens","given":"P. J.","non-dropping-particle":"","parse-names":false,"suffix":""},{"dropping-particle":"","family":"Ou","given":"S.-H. I.","non-dropping-particle":"","parse-names":false,"suffix":""},{"dropping-particle":"","family":"Ali","given":"S. M.","non-dropping-particle":"","parse-names":false,"suffix":""},{"dropping-particle":"","family":"Chmielecki","given":"J.","non-dropping-particle":"","parse-names":false,"suffix":""},{"dropping-particle":"","family":"Palmer","given":"G. A.","non-dropping-particle":"","parse-names":false,"suffix":""},{"dropping-particle":"","family":"Yelensky","given":"R.","non-dropping-particle":"","parse-names":false,"suffix":""},{"dropping-particle":"","family":"Ross","given":"J. S.","non-dropping-particle":"","parse-names":false,"suffix":""},{"dropping-particle":"","family":"Miller","given":"V. A.","non-dropping-particle":"","parse-names":false,"suffix":""},{"dropping-particle":"","family":"Erlich","given":"R.","non-dropping-particle":"","parse-names":false,"suffix":""},{"dropping-particle":"","family":"Sanford","given":"E. M.","non-dropping-particle":"","parse-names":false,"suffix":""},{"dropping-particle":"","family":"Klempner","given":"S. J.","non-dropping-particle":"","parse-names":false,"suffix":""},{"dropping-particle":"","family":"Morosini","given":"D.","non-dropping-particle":"","parse-names":false,"suffix":""},{"dropping-particle":"","family":"Rubinson","given":"D. A.","non-dropping-particle":"","parse-names":false,"suffix":""},{"dropping-particle":"","family":"Wang","given":"K.","non-dropping-particle":"","parse-names":false,"suffix":""},{"dropping-particle":"","family":"Palma","given":"N. A.","non-dropping-particle":"","parse-names":false,"suffix":""},{"dropping-particle":"","family":"Braiteh","given":"F.","non-dropping-particle":"","parse-names":false,"suffix":""},{"dropping-particle":"","family":"Lipson","given":"D.","non-dropping-particle":"","parse-names":false,"suffix":""}],"container-title":"The Oncologist","id":"ITEM-1","issue":"5","issued":{"date-parts":[["2015"]]},"page":"499-507","title":"Prospective Comprehensive Genomic Profiling of Advanced Gastric Carcinoma Cases Reveals Frequent Clinically Relevant Genomic Alterations and New Routes for Targeted Therapies","type":"article-journal","volume":"20"},"uris":["http://www.mendeley.com/documents/?uuid=d199d697-e235-4d65-af61-069bfbf30d6a","http://www.mendeley.com/documents/?uuid=26da5607-7023-4f31-971a-1b50b9f81ae6"]}],"mendeley":{"formattedCitation":"&lt;sup&gt;[24]&lt;/sup&gt;","plainTextFormattedCitation":"[24]","previouslyFormattedCitation":"&lt;sup&gt;[24]&lt;/sup&gt;"},"properties":{"noteIndex":0},"schema":"https://github.com/citation-style-language/schema/raw/master/csl-citation.json"}</w:instrText>
      </w:r>
      <w:r w:rsidR="00D37C18"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[24]</w:t>
      </w:r>
      <w:r w:rsidR="00D37C18" w:rsidRPr="005C7810">
        <w:rPr>
          <w:rFonts w:ascii="Book Antiqua" w:hAnsi="Book Antiqua" w:cs="Times New Roman"/>
          <w:sz w:val="24"/>
          <w:szCs w:val="24"/>
          <w:vertAlign w:val="superscript"/>
          <w:lang w:val="en-US"/>
        </w:rPr>
        <w:fldChar w:fldCharType="end"/>
      </w:r>
      <w:r w:rsidR="00B8125B" w:rsidRPr="005C7810">
        <w:rPr>
          <w:rFonts w:ascii="Book Antiqua" w:hAnsi="Book Antiqua" w:cs="Times New Roman"/>
          <w:sz w:val="24"/>
          <w:szCs w:val="24"/>
          <w:lang w:val="en-US"/>
        </w:rPr>
        <w:t xml:space="preserve">. </w:t>
      </w:r>
      <w:r w:rsidR="00C43987" w:rsidRPr="005C7810">
        <w:rPr>
          <w:rFonts w:ascii="Book Antiqua" w:hAnsi="Book Antiqua" w:cs="Times New Roman"/>
          <w:sz w:val="24"/>
          <w:szCs w:val="24"/>
          <w:lang w:val="en-US"/>
        </w:rPr>
        <w:t>By contrast, t</w:t>
      </w:r>
      <w:r w:rsidR="00B8125B" w:rsidRPr="005C7810">
        <w:rPr>
          <w:rFonts w:ascii="Book Antiqua" w:hAnsi="Book Antiqua" w:cs="Times New Roman"/>
          <w:sz w:val="24"/>
          <w:szCs w:val="24"/>
          <w:lang w:val="en-US"/>
        </w:rPr>
        <w:t xml:space="preserve">he ACRG analyzed samples from 300 Korean patients, classifying GC based on particular genetic signatures such as the activation status of </w:t>
      </w:r>
      <w:r w:rsidR="00B8125B" w:rsidRPr="005C7810">
        <w:rPr>
          <w:rFonts w:ascii="Book Antiqua" w:hAnsi="Book Antiqua" w:cs="Times New Roman"/>
          <w:i/>
          <w:sz w:val="24"/>
          <w:szCs w:val="24"/>
          <w:lang w:val="en-US"/>
        </w:rPr>
        <w:t xml:space="preserve">TP53 </w:t>
      </w:r>
      <w:r w:rsidR="00B8125B" w:rsidRPr="005C7810">
        <w:rPr>
          <w:rFonts w:ascii="Book Antiqua" w:hAnsi="Book Antiqua" w:cs="Times New Roman"/>
          <w:sz w:val="24"/>
          <w:szCs w:val="24"/>
          <w:lang w:val="en-US"/>
        </w:rPr>
        <w:t>and the MSI condition</w:t>
      </w:r>
      <w:r w:rsidR="00A64975"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{"citationItems":[{"id":"ITEM-1","itemData":{"DOI":"10.1038/nm.3850","ISSN":"1078-8956","author":[{"dropping-particle":"","family":"Liu","given":"Jiangang","non-dropping-particle":"","parse-names":false,"suffix":""},{"dropping-particle":"","family":"Park","given":"Se Hoon","non-dropping-particle":"","parse-names":false,"suffix":""},{"dropping-particle":"","family":"Reinhard","given":"Christoph","non-dropping-particle":"","parse-names":false,"suffix":""},{"dropping-particle":"","family":"Kim","given":"Kyoung-Mee","non-dropping-particle":"","parse-names":false,"suffix":""},{"dropping-particle":"","family":"Lee","given":"Jeeyun","non-dropping-particle":"","parse-names":false,"suffix":""},{"dropping-particle":"","family":"Yue","given":"Yong Gang","non-dropping-particle":"","parse-names":false,"suffix":""},{"dropping-particle":"","family":"Ayers","given":"Mark","non-dropping-particle":"","parse-names":false,"suffix":""},{"dropping-particle":"","family":"Hardwick","given":"James","non-dropping-particle":"","parse-names":false,"suffix":""},{"dropping-particle":"","family":"Aggarwal","given":"Amit","non-dropping-particle":"","parse-names":false,"suffix":""},{"dropping-particle":"","family":"Kim","given":"Seung Tae","non-dropping-particle":"","parse-names":false,"suffix":""},{"dropping-particle":"","family":"Choi","given":"Min Gew","non-dropping-particle":"","parse-names":false,"suffix":""},{"dropping-particle":"","family":"Cristescu","given":"Razvan","non-dropping-particle":"","parse-names":false,"suffix":""},{"dropping-particle":"","family":"Yu","given":"Kun","non-dropping-particle":"","parse-names":false,"suffix":""},{"dropping-particle":"","family":"Gong","given":"Lara","non-dropping-particle":"","parse-names":false,"suffix":""},{"dropping-particle":"","family":"Kim","given":"Sung","non-dropping-particle":"","parse-names":false,"suffix":""},{"dropping-particle":"","family":"Wang","given":"Jian","non-dropping-particle":"","parse-names":false,"suffix":""},{"dropping-particle":"","family":"Lee","given":"Joon Ho","non-dropping-particle":"","parse-names":false,"suffix":""},{"dropping-particle":"","family":"Hongyue","given":"Dai","non-dropping-particle":"","parse-names":false,"suffix":""},{"dropping-particle":"","family":"Tan","given":"Patrick","non-dropping-particle":"","parse-names":false,"suffix":""},{"dropping-particle":"","family":"Sohn","given":"Tae Sung","non-dropping-particle":"","parse-names":false,"suffix":""},{"dropping-particle":"","family":"Fu","given":"Jake","non-dropping-particle":"","parse-names":false,"suffix":""},{"dropping-particle":"","family":"Ye","given":"Xiang S","non-dropping-particle":"","parse-names":false,"suffix":""},{"dropping-particle":"","family":"Nebozhyn","given":"Michael","non-dropping-particle":"","parse-names":false,"suffix":""},{"dropping-particle":"","family":"Wong","given":"Swee Seong","non-dropping-particle":"","parse-names":false,"suffix":""},{"dropping-particle":"","family":"Liu","given":"Shawn","non-dropping-particle":"","parse-names":false,"suffix":""},{"dropping-particle":"","family":"Ting","given":"Jason C","non-dropping-particle":"","parse-names":false,"suffix":""},{"dropping-particle":"","family":"Bae","given":"Jae Moon","non-dropping-particle":"","parse-names":false,"suffix":""},{"dropping-particle":"","family":"Jin","given":"Jason Gang","non-dropping-particle":"","parse-names":false,"suffix":""},{"dropping-particle":"","family":"Jung","given":"Sin-Ho","non-dropping-particle":"","parse-names":false,"suffix":""},{"dropping-particle":"","family":"Kang","given":"Won Ki","non-dropping-particle":"","parse-names":false,"suffix":""},{"dropping-particle":"","family":"Do","given":"In-Gu","non-dropping-particle":"","parse-names":false,"suffix":""},{"dropping-particle":"","family":"Loboda","given":"Andrey","non-dropping-particle":"","parse-names":false,"suffix":""},{"dropping-particle":"","family":"Sohn","given":"Insuk","non-dropping-particle":"","parse-names":false,"suffix":""},{"dropping-particle":"","family":"Chen","given":"Ronghua","non-dropping-particle":"","parse-names":false,"suffix":""}],"container-title":"Nature Medicine","id":"ITEM-1","issue":"5","issued":{"date-parts":[["2015"]]},"page":"449-456","title":"Molecular analysis of gastric cancer identifies subtypes associated with distinct clinical outcomes","type":"article-journal","volume":"21"},"uris":["http://www.mendeley.com/documents/?uuid=4a48f008-a7b0-4dec-aeeb-8a0c5049e939","http://www.mendeley.com/documents/?uuid=8cd89c36-e226-46cf-bfc3-c1c6be236606"]}],"mendeley":{"formattedCitation":"&lt;sup&gt;[45]&lt;/sup&gt;","plainTextFormattedCitation":"[45]","previouslyFormattedCitation":"&lt;sup&gt;[45]&lt;/sup&gt;"},"properties":{"noteIndex":0},"schema":"https://github.com/citation-style-language/schema/raw/master/csl-citation.json"}</w:instrText>
      </w:r>
      <w:r w:rsidR="00A64975"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[45]</w:t>
      </w:r>
      <w:r w:rsidR="00A64975"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Four molecular subtypes have been identified: MSI, microsatellite</w:t>
      </w:r>
      <w:r w:rsidR="00D42354" w:rsidRPr="005C7810">
        <w:rPr>
          <w:rFonts w:ascii="Book Antiqua" w:hAnsi="Book Antiqua" w:cs="Times New Roman"/>
          <w:sz w:val="24"/>
          <w:szCs w:val="24"/>
          <w:lang w:val="en-US"/>
        </w:rPr>
        <w:t xml:space="preserve"> stable (MSS</w:t>
      </w:r>
      <w:r w:rsidR="00B8125B" w:rsidRPr="005C7810">
        <w:rPr>
          <w:rFonts w:ascii="Book Antiqua" w:hAnsi="Book Antiqua" w:cs="Times New Roman"/>
          <w:sz w:val="24"/>
          <w:szCs w:val="24"/>
          <w:lang w:val="en-US"/>
        </w:rPr>
        <w:t xml:space="preserve">) with active </w:t>
      </w:r>
      <w:r w:rsidR="00B8125B" w:rsidRPr="005C7810">
        <w:rPr>
          <w:rFonts w:ascii="Book Antiqua" w:hAnsi="Book Antiqua" w:cs="Times New Roman"/>
          <w:i/>
          <w:sz w:val="24"/>
          <w:szCs w:val="24"/>
          <w:lang w:val="en-US"/>
        </w:rPr>
        <w:t>TP53</w:t>
      </w:r>
      <w:r w:rsidR="00B8125B" w:rsidRPr="005C7810">
        <w:rPr>
          <w:rFonts w:ascii="Book Antiqua" w:hAnsi="Book Antiqua" w:cs="Times New Roman"/>
          <w:sz w:val="24"/>
          <w:szCs w:val="24"/>
          <w:lang w:val="en-US"/>
        </w:rPr>
        <w:t xml:space="preserve"> (MSS/TP53+), MSS with inactive </w:t>
      </w:r>
      <w:r w:rsidR="00B8125B" w:rsidRPr="005C7810">
        <w:rPr>
          <w:rFonts w:ascii="Book Antiqua" w:hAnsi="Book Antiqua" w:cs="Times New Roman"/>
          <w:i/>
          <w:sz w:val="24"/>
          <w:szCs w:val="24"/>
          <w:lang w:val="en-US"/>
        </w:rPr>
        <w:t>TP53</w:t>
      </w:r>
      <w:r w:rsidR="00B8125B" w:rsidRPr="005C7810">
        <w:rPr>
          <w:rFonts w:ascii="Book Antiqua" w:hAnsi="Book Antiqua" w:cs="Times New Roman"/>
          <w:sz w:val="24"/>
          <w:szCs w:val="24"/>
          <w:lang w:val="en-US"/>
        </w:rPr>
        <w:t xml:space="preserve"> (MSS/TP53-)</w:t>
      </w:r>
      <w:r w:rsidR="00FF5322"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MSS with </w:t>
      </w:r>
      <w:r w:rsidR="00D42354" w:rsidRPr="005C7810">
        <w:rPr>
          <w:rFonts w:ascii="Book Antiqua" w:hAnsi="Book Antiqua" w:cs="Times New Roman"/>
          <w:sz w:val="24"/>
          <w:szCs w:val="24"/>
          <w:lang w:val="en-US"/>
        </w:rPr>
        <w:t>e</w:t>
      </w:r>
      <w:r w:rsidR="00B8125B" w:rsidRPr="005C7810">
        <w:rPr>
          <w:rFonts w:ascii="Book Antiqua" w:hAnsi="Book Antiqua" w:cs="Times New Roman"/>
          <w:sz w:val="24"/>
          <w:szCs w:val="24"/>
          <w:lang w:val="en-US"/>
        </w:rPr>
        <w:t>pithelial-</w:t>
      </w:r>
      <w:r w:rsidR="00D42354" w:rsidRPr="005C7810">
        <w:rPr>
          <w:rFonts w:ascii="Book Antiqua" w:hAnsi="Book Antiqua" w:cs="Times New Roman"/>
          <w:sz w:val="24"/>
          <w:szCs w:val="24"/>
          <w:lang w:val="en-US"/>
        </w:rPr>
        <w:t>m</w:t>
      </w:r>
      <w:r w:rsidR="00B8125B" w:rsidRPr="005C7810">
        <w:rPr>
          <w:rFonts w:ascii="Book Antiqua" w:hAnsi="Book Antiqua" w:cs="Times New Roman"/>
          <w:sz w:val="24"/>
          <w:szCs w:val="24"/>
          <w:lang w:val="en-US"/>
        </w:rPr>
        <w:t xml:space="preserve">esenchymal </w:t>
      </w:r>
      <w:r w:rsidR="00D42354" w:rsidRPr="005C7810">
        <w:rPr>
          <w:rFonts w:ascii="Book Antiqua" w:hAnsi="Book Antiqua" w:cs="Times New Roman"/>
          <w:sz w:val="24"/>
          <w:szCs w:val="24"/>
          <w:lang w:val="en-US"/>
        </w:rPr>
        <w:t>t</w:t>
      </w:r>
      <w:r w:rsidR="00B8125B" w:rsidRPr="005C7810">
        <w:rPr>
          <w:rFonts w:ascii="Book Antiqua" w:hAnsi="Book Antiqua" w:cs="Times New Roman"/>
          <w:sz w:val="24"/>
          <w:szCs w:val="24"/>
          <w:lang w:val="en-US"/>
        </w:rPr>
        <w:t>ransition</w:t>
      </w:r>
      <w:r w:rsidR="00D42354" w:rsidRPr="005C7810">
        <w:rPr>
          <w:rFonts w:ascii="Book Antiqua" w:hAnsi="Book Antiqua" w:cs="Times New Roman"/>
          <w:sz w:val="24"/>
          <w:szCs w:val="24"/>
          <w:lang w:val="en-US"/>
        </w:rPr>
        <w:t xml:space="preserve"> (EMT</w:t>
      </w:r>
      <w:r w:rsidR="00574CCC" w:rsidRPr="005C7810">
        <w:rPr>
          <w:rFonts w:ascii="Book Antiqua" w:hAnsi="Book Antiqua" w:cs="Times New Roman"/>
          <w:sz w:val="24"/>
          <w:szCs w:val="24"/>
          <w:lang w:val="en-US"/>
        </w:rPr>
        <w:t>) signature (MSS/EMT) (Figure 3</w:t>
      </w:r>
      <w:r w:rsidR="00B8125B" w:rsidRPr="005C7810">
        <w:rPr>
          <w:rFonts w:ascii="Book Antiqua" w:hAnsi="Book Antiqua" w:cs="Times New Roman"/>
          <w:sz w:val="24"/>
          <w:szCs w:val="24"/>
          <w:lang w:val="en-US"/>
        </w:rPr>
        <w:t xml:space="preserve">). </w:t>
      </w:r>
    </w:p>
    <w:p w:rsidR="00B8125B" w:rsidRPr="005C7810" w:rsidRDefault="00B8125B" w:rsidP="00CD380F">
      <w:pPr>
        <w:pStyle w:val="1"/>
        <w:numPr>
          <w:ilvl w:val="0"/>
          <w:numId w:val="0"/>
        </w:numPr>
        <w:snapToGrid w:val="0"/>
        <w:spacing w:before="0" w:after="0" w:line="360" w:lineRule="auto"/>
        <w:ind w:firstLine="708"/>
        <w:jc w:val="both"/>
        <w:rPr>
          <w:rFonts w:ascii="Book Antiqua" w:hAnsi="Book Antiqua"/>
          <w:b w:val="0"/>
          <w:sz w:val="24"/>
          <w:szCs w:val="24"/>
          <w:lang w:val="en-US"/>
        </w:rPr>
      </w:pPr>
      <w:r w:rsidRPr="005C7810">
        <w:rPr>
          <w:rFonts w:ascii="Book Antiqua" w:hAnsi="Book Antiqua"/>
          <w:b w:val="0"/>
          <w:sz w:val="24"/>
          <w:szCs w:val="24"/>
          <w:lang w:val="en-US"/>
        </w:rPr>
        <w:t xml:space="preserve">These subtypes are associated with survival and recurrence. The MSI subtype has a better prognosis and a lower tendency to relapse. The MSS/TP53+ and MSS/TP53- </w:t>
      </w:r>
      <w:r w:rsidR="00C15902" w:rsidRPr="005C7810">
        <w:rPr>
          <w:rFonts w:ascii="Book Antiqua" w:hAnsi="Book Antiqua"/>
          <w:b w:val="0"/>
          <w:sz w:val="24"/>
          <w:szCs w:val="24"/>
          <w:lang w:val="en-US"/>
        </w:rPr>
        <w:t xml:space="preserve">subtypes </w:t>
      </w:r>
      <w:r w:rsidRPr="005C7810">
        <w:rPr>
          <w:rFonts w:ascii="Book Antiqua" w:hAnsi="Book Antiqua"/>
          <w:b w:val="0"/>
          <w:sz w:val="24"/>
          <w:szCs w:val="24"/>
          <w:lang w:val="en-US"/>
        </w:rPr>
        <w:t>have an intermediate prognosis, whereas the MSS/EMT</w:t>
      </w:r>
      <w:r w:rsidR="00C15902" w:rsidRPr="005C7810">
        <w:rPr>
          <w:rFonts w:ascii="Book Antiqua" w:hAnsi="Book Antiqua"/>
          <w:b w:val="0"/>
          <w:sz w:val="24"/>
          <w:szCs w:val="24"/>
          <w:lang w:val="en-US"/>
        </w:rPr>
        <w:t xml:space="preserve"> subtype</w:t>
      </w:r>
      <w:r w:rsidRPr="005C7810">
        <w:rPr>
          <w:rFonts w:ascii="Book Antiqua" w:hAnsi="Book Antiqua"/>
          <w:b w:val="0"/>
          <w:sz w:val="24"/>
          <w:szCs w:val="24"/>
          <w:lang w:val="en-US"/>
        </w:rPr>
        <w:t xml:space="preserve"> is associated with a high rate of recurrence and a lower survival rate. Moreover, MSI tumors are diagnosed at an early stage (I/II), </w:t>
      </w:r>
      <w:r w:rsidR="00C15902" w:rsidRPr="005C7810">
        <w:rPr>
          <w:rFonts w:ascii="Book Antiqua" w:hAnsi="Book Antiqua"/>
          <w:b w:val="0"/>
          <w:sz w:val="24"/>
          <w:szCs w:val="24"/>
          <w:lang w:val="en-US"/>
        </w:rPr>
        <w:t xml:space="preserve">and </w:t>
      </w:r>
      <w:r w:rsidRPr="005C7810">
        <w:rPr>
          <w:rFonts w:ascii="Book Antiqua" w:hAnsi="Book Antiqua"/>
          <w:b w:val="0"/>
          <w:sz w:val="24"/>
          <w:szCs w:val="24"/>
          <w:lang w:val="en-US"/>
        </w:rPr>
        <w:t xml:space="preserve">about 60% are intestinal and show a high frequency of mutations of </w:t>
      </w:r>
      <w:r w:rsidRPr="005C7810">
        <w:rPr>
          <w:rFonts w:ascii="Book Antiqua" w:hAnsi="Book Antiqua"/>
          <w:b w:val="0"/>
          <w:i/>
          <w:sz w:val="24"/>
          <w:szCs w:val="24"/>
          <w:lang w:val="en-US"/>
        </w:rPr>
        <w:t>PIK3CA</w:t>
      </w:r>
      <w:r w:rsidRPr="005C7810">
        <w:rPr>
          <w:rFonts w:ascii="Book Antiqua" w:hAnsi="Book Antiqua"/>
          <w:b w:val="0"/>
          <w:sz w:val="24"/>
          <w:szCs w:val="24"/>
          <w:lang w:val="en-US"/>
        </w:rPr>
        <w:t xml:space="preserve">, </w:t>
      </w:r>
      <w:r w:rsidRPr="005C7810">
        <w:rPr>
          <w:rFonts w:ascii="Book Antiqua" w:hAnsi="Book Antiqua"/>
          <w:b w:val="0"/>
          <w:i/>
          <w:sz w:val="24"/>
          <w:szCs w:val="24"/>
          <w:lang w:val="en-US"/>
        </w:rPr>
        <w:t>KRAS</w:t>
      </w:r>
      <w:r w:rsidRPr="005C7810">
        <w:rPr>
          <w:rFonts w:ascii="Book Antiqua" w:hAnsi="Book Antiqua"/>
          <w:b w:val="0"/>
          <w:sz w:val="24"/>
          <w:szCs w:val="24"/>
          <w:lang w:val="en-US"/>
        </w:rPr>
        <w:t xml:space="preserve">, </w:t>
      </w:r>
      <w:r w:rsidRPr="005C7810">
        <w:rPr>
          <w:rFonts w:ascii="Book Antiqua" w:hAnsi="Book Antiqua"/>
          <w:b w:val="0"/>
          <w:i/>
          <w:sz w:val="24"/>
          <w:szCs w:val="24"/>
          <w:lang w:val="en-US"/>
        </w:rPr>
        <w:t>ARID1A</w:t>
      </w:r>
      <w:r w:rsidRPr="005C7810">
        <w:rPr>
          <w:rFonts w:ascii="Book Antiqua" w:hAnsi="Book Antiqua"/>
          <w:b w:val="0"/>
          <w:sz w:val="24"/>
          <w:szCs w:val="24"/>
          <w:lang w:val="en-US"/>
        </w:rPr>
        <w:t xml:space="preserve">, </w:t>
      </w:r>
      <w:r w:rsidR="00C15902" w:rsidRPr="005C7810">
        <w:rPr>
          <w:rFonts w:ascii="Book Antiqua" w:hAnsi="Book Antiqua"/>
          <w:b w:val="0"/>
          <w:sz w:val="24"/>
          <w:szCs w:val="24"/>
          <w:lang w:val="en-US"/>
        </w:rPr>
        <w:t xml:space="preserve">and </w:t>
      </w:r>
      <w:r w:rsidRPr="005C7810">
        <w:rPr>
          <w:rFonts w:ascii="Book Antiqua" w:hAnsi="Book Antiqua"/>
          <w:b w:val="0"/>
          <w:sz w:val="24"/>
          <w:szCs w:val="24"/>
          <w:lang w:val="en-US"/>
        </w:rPr>
        <w:t xml:space="preserve">ALK </w:t>
      </w:r>
      <w:r w:rsidR="00C15902" w:rsidRPr="005C7810">
        <w:rPr>
          <w:rFonts w:ascii="Book Antiqua" w:hAnsi="Book Antiqua"/>
          <w:b w:val="0"/>
          <w:sz w:val="24"/>
          <w:szCs w:val="24"/>
          <w:lang w:val="en-US"/>
        </w:rPr>
        <w:t>r</w:t>
      </w:r>
      <w:r w:rsidRPr="005C7810">
        <w:rPr>
          <w:rFonts w:ascii="Book Antiqua" w:hAnsi="Book Antiqua"/>
          <w:b w:val="0"/>
          <w:sz w:val="24"/>
          <w:szCs w:val="24"/>
          <w:lang w:val="en-US"/>
        </w:rPr>
        <w:t xml:space="preserve">eceptor </w:t>
      </w:r>
      <w:r w:rsidR="00C15902" w:rsidRPr="005C7810">
        <w:rPr>
          <w:rFonts w:ascii="Book Antiqua" w:hAnsi="Book Antiqua"/>
          <w:b w:val="0"/>
          <w:sz w:val="24"/>
          <w:szCs w:val="24"/>
          <w:lang w:val="en-US"/>
        </w:rPr>
        <w:t>t</w:t>
      </w:r>
      <w:r w:rsidRPr="005C7810">
        <w:rPr>
          <w:rFonts w:ascii="Book Antiqua" w:hAnsi="Book Antiqua"/>
          <w:b w:val="0"/>
          <w:sz w:val="24"/>
          <w:szCs w:val="24"/>
          <w:lang w:val="en-US"/>
        </w:rPr>
        <w:t xml:space="preserve">yrosine </w:t>
      </w:r>
      <w:r w:rsidR="00C15902" w:rsidRPr="005C7810">
        <w:rPr>
          <w:rFonts w:ascii="Book Antiqua" w:hAnsi="Book Antiqua"/>
          <w:b w:val="0"/>
          <w:sz w:val="24"/>
          <w:szCs w:val="24"/>
          <w:lang w:val="en-US"/>
        </w:rPr>
        <w:t>k</w:t>
      </w:r>
      <w:r w:rsidRPr="005C7810">
        <w:rPr>
          <w:rFonts w:ascii="Book Antiqua" w:hAnsi="Book Antiqua"/>
          <w:b w:val="0"/>
          <w:sz w:val="24"/>
          <w:szCs w:val="24"/>
          <w:lang w:val="en-US"/>
        </w:rPr>
        <w:t xml:space="preserve">inase </w:t>
      </w:r>
      <w:r w:rsidR="008D58BA" w:rsidRPr="005C7810">
        <w:rPr>
          <w:rFonts w:ascii="Book Antiqua" w:hAnsi="Book Antiqua"/>
          <w:b w:val="0"/>
          <w:sz w:val="24"/>
          <w:szCs w:val="24"/>
          <w:lang w:val="en-US"/>
        </w:rPr>
        <w:t>(</w:t>
      </w:r>
      <w:r w:rsidR="008D58BA" w:rsidRPr="005C7810">
        <w:rPr>
          <w:rFonts w:ascii="Book Antiqua" w:hAnsi="Book Antiqua"/>
          <w:b w:val="0"/>
          <w:i/>
          <w:sz w:val="24"/>
          <w:szCs w:val="24"/>
          <w:lang w:val="en-US"/>
        </w:rPr>
        <w:t>ALK</w:t>
      </w:r>
      <w:r w:rsidR="008D58BA" w:rsidRPr="005C7810">
        <w:rPr>
          <w:rFonts w:ascii="Book Antiqua" w:hAnsi="Book Antiqua"/>
          <w:b w:val="0"/>
          <w:sz w:val="24"/>
          <w:szCs w:val="24"/>
          <w:lang w:val="en-US"/>
        </w:rPr>
        <w:t xml:space="preserve">) </w:t>
      </w:r>
      <w:r w:rsidRPr="005C7810">
        <w:rPr>
          <w:rFonts w:ascii="Book Antiqua" w:hAnsi="Book Antiqua"/>
          <w:b w:val="0"/>
          <w:sz w:val="24"/>
          <w:szCs w:val="24"/>
          <w:lang w:val="en-US"/>
        </w:rPr>
        <w:t xml:space="preserve">genes; they also show loss of </w:t>
      </w:r>
      <w:r w:rsidRPr="005C7810">
        <w:rPr>
          <w:rFonts w:ascii="Book Antiqua" w:hAnsi="Book Antiqua"/>
          <w:b w:val="0"/>
          <w:i/>
          <w:sz w:val="24"/>
          <w:szCs w:val="24"/>
          <w:lang w:val="en-US"/>
        </w:rPr>
        <w:t>MLH1</w:t>
      </w:r>
      <w:r w:rsidRPr="005C7810">
        <w:rPr>
          <w:rFonts w:ascii="Book Antiqua" w:hAnsi="Book Antiqua"/>
          <w:b w:val="0"/>
          <w:sz w:val="24"/>
          <w:szCs w:val="24"/>
          <w:lang w:val="en-US"/>
        </w:rPr>
        <w:t>. Tumors of the MSS/TP53+ subtype include many EBV</w:t>
      </w:r>
      <w:r w:rsidR="00C15902" w:rsidRPr="005C7810">
        <w:rPr>
          <w:rFonts w:ascii="Book Antiqua" w:hAnsi="Book Antiqua"/>
          <w:b w:val="0"/>
          <w:sz w:val="24"/>
          <w:szCs w:val="24"/>
          <w:lang w:val="en-US"/>
        </w:rPr>
        <w:t>-</w:t>
      </w:r>
      <w:r w:rsidRPr="005C7810">
        <w:rPr>
          <w:rFonts w:ascii="Book Antiqua" w:hAnsi="Book Antiqua"/>
          <w:b w:val="0"/>
          <w:sz w:val="24"/>
          <w:szCs w:val="24"/>
          <w:lang w:val="en-US"/>
        </w:rPr>
        <w:t xml:space="preserve">positive cases compared to the other subtypes, and have a high prevalence of mutations in the </w:t>
      </w:r>
      <w:r w:rsidRPr="005C7810">
        <w:rPr>
          <w:rFonts w:ascii="Book Antiqua" w:hAnsi="Book Antiqua"/>
          <w:b w:val="0"/>
          <w:i/>
          <w:sz w:val="24"/>
          <w:szCs w:val="24"/>
          <w:lang w:val="en-US"/>
        </w:rPr>
        <w:t>APC</w:t>
      </w:r>
      <w:r w:rsidRPr="005C7810">
        <w:rPr>
          <w:rFonts w:ascii="Book Antiqua" w:hAnsi="Book Antiqua"/>
          <w:b w:val="0"/>
          <w:sz w:val="24"/>
          <w:szCs w:val="24"/>
          <w:lang w:val="en-US"/>
        </w:rPr>
        <w:t>,</w:t>
      </w:r>
      <w:r w:rsidRPr="005C7810">
        <w:rPr>
          <w:rFonts w:ascii="Book Antiqua" w:hAnsi="Book Antiqua"/>
          <w:sz w:val="24"/>
          <w:szCs w:val="24"/>
          <w:lang w:val="en-US"/>
        </w:rPr>
        <w:t xml:space="preserve"> </w:t>
      </w:r>
      <w:r w:rsidRPr="005C7810">
        <w:rPr>
          <w:rFonts w:ascii="Book Antiqua" w:hAnsi="Book Antiqua"/>
          <w:b w:val="0"/>
          <w:i/>
          <w:sz w:val="24"/>
          <w:szCs w:val="24"/>
          <w:lang w:val="en-US"/>
        </w:rPr>
        <w:t>KRAS</w:t>
      </w:r>
      <w:r w:rsidRPr="005C7810">
        <w:rPr>
          <w:rFonts w:ascii="Book Antiqua" w:hAnsi="Book Antiqua"/>
          <w:b w:val="0"/>
          <w:sz w:val="24"/>
          <w:szCs w:val="24"/>
          <w:lang w:val="en-US"/>
        </w:rPr>
        <w:t xml:space="preserve">, </w:t>
      </w:r>
      <w:r w:rsidRPr="005C7810">
        <w:rPr>
          <w:rFonts w:ascii="Book Antiqua" w:hAnsi="Book Antiqua"/>
          <w:b w:val="0"/>
          <w:i/>
          <w:sz w:val="24"/>
          <w:szCs w:val="24"/>
          <w:lang w:val="en-US"/>
        </w:rPr>
        <w:t>PIK3CA</w:t>
      </w:r>
      <w:r w:rsidRPr="005C7810">
        <w:rPr>
          <w:rFonts w:ascii="Book Antiqua" w:hAnsi="Book Antiqua"/>
          <w:b w:val="0"/>
          <w:sz w:val="24"/>
          <w:szCs w:val="24"/>
          <w:lang w:val="en-US"/>
        </w:rPr>
        <w:t xml:space="preserve">, </w:t>
      </w:r>
      <w:r w:rsidRPr="005C7810">
        <w:rPr>
          <w:rFonts w:ascii="Book Antiqua" w:hAnsi="Book Antiqua"/>
          <w:b w:val="0"/>
          <w:i/>
          <w:sz w:val="24"/>
          <w:szCs w:val="24"/>
          <w:lang w:val="en-US"/>
        </w:rPr>
        <w:t>ARID1A</w:t>
      </w:r>
      <w:r w:rsidR="00752A06" w:rsidRPr="005C7810">
        <w:rPr>
          <w:rFonts w:ascii="Book Antiqua" w:hAnsi="Book Antiqua"/>
          <w:b w:val="0"/>
          <w:i/>
          <w:sz w:val="24"/>
          <w:szCs w:val="24"/>
          <w:lang w:val="en-US"/>
        </w:rPr>
        <w:t>,</w:t>
      </w:r>
      <w:r w:rsidRPr="005C7810">
        <w:rPr>
          <w:rFonts w:ascii="Book Antiqua" w:hAnsi="Book Antiqua"/>
          <w:b w:val="0"/>
          <w:sz w:val="24"/>
          <w:szCs w:val="24"/>
          <w:lang w:val="en-US"/>
        </w:rPr>
        <w:t xml:space="preserve"> and SMAD </w:t>
      </w:r>
      <w:r w:rsidR="00C15902" w:rsidRPr="005C7810">
        <w:rPr>
          <w:rFonts w:ascii="Book Antiqua" w:hAnsi="Book Antiqua"/>
          <w:b w:val="0"/>
          <w:sz w:val="24"/>
          <w:szCs w:val="24"/>
          <w:lang w:val="en-US"/>
        </w:rPr>
        <w:t>f</w:t>
      </w:r>
      <w:r w:rsidRPr="005C7810">
        <w:rPr>
          <w:rFonts w:ascii="Book Antiqua" w:hAnsi="Book Antiqua"/>
          <w:b w:val="0"/>
          <w:sz w:val="24"/>
          <w:szCs w:val="24"/>
          <w:lang w:val="en-US"/>
        </w:rPr>
        <w:t xml:space="preserve">amily </w:t>
      </w:r>
      <w:r w:rsidR="00C15902" w:rsidRPr="005C7810">
        <w:rPr>
          <w:rFonts w:ascii="Book Antiqua" w:hAnsi="Book Antiqua"/>
          <w:b w:val="0"/>
          <w:sz w:val="24"/>
          <w:szCs w:val="24"/>
          <w:lang w:val="en-US"/>
        </w:rPr>
        <w:t>m</w:t>
      </w:r>
      <w:r w:rsidRPr="005C7810">
        <w:rPr>
          <w:rFonts w:ascii="Book Antiqua" w:hAnsi="Book Antiqua"/>
          <w:b w:val="0"/>
          <w:sz w:val="24"/>
          <w:szCs w:val="24"/>
          <w:lang w:val="en-US"/>
        </w:rPr>
        <w:t xml:space="preserve">ember 4 </w:t>
      </w:r>
      <w:r w:rsidR="008D58BA" w:rsidRPr="005C7810">
        <w:rPr>
          <w:rFonts w:ascii="Book Antiqua" w:hAnsi="Book Antiqua"/>
          <w:b w:val="0"/>
          <w:sz w:val="24"/>
          <w:szCs w:val="24"/>
          <w:lang w:val="en-US"/>
        </w:rPr>
        <w:t>(</w:t>
      </w:r>
      <w:r w:rsidR="008D58BA" w:rsidRPr="005C7810">
        <w:rPr>
          <w:rFonts w:ascii="Book Antiqua" w:hAnsi="Book Antiqua"/>
          <w:b w:val="0"/>
          <w:i/>
          <w:sz w:val="24"/>
          <w:szCs w:val="24"/>
          <w:lang w:val="en-US"/>
        </w:rPr>
        <w:t>SMAD4</w:t>
      </w:r>
      <w:r w:rsidR="008D58BA" w:rsidRPr="005C7810">
        <w:rPr>
          <w:rFonts w:ascii="Book Antiqua" w:hAnsi="Book Antiqua"/>
          <w:b w:val="0"/>
          <w:sz w:val="24"/>
          <w:szCs w:val="24"/>
          <w:lang w:val="en-US"/>
        </w:rPr>
        <w:t xml:space="preserve">) </w:t>
      </w:r>
      <w:r w:rsidRPr="005C7810">
        <w:rPr>
          <w:rFonts w:ascii="Book Antiqua" w:hAnsi="Book Antiqua"/>
          <w:b w:val="0"/>
          <w:sz w:val="24"/>
          <w:szCs w:val="24"/>
          <w:lang w:val="en-US"/>
        </w:rPr>
        <w:t>genes</w:t>
      </w:r>
      <w:r w:rsidR="001C4BE3" w:rsidRPr="005C7810">
        <w:rPr>
          <w:rFonts w:ascii="Book Antiqua" w:hAnsi="Book Antiqua"/>
          <w:b w:val="0"/>
          <w:sz w:val="24"/>
          <w:szCs w:val="24"/>
          <w:vertAlign w:val="superscript"/>
          <w:lang w:val="en-US"/>
        </w:rPr>
        <w:fldChar w:fldCharType="begin" w:fldLock="1"/>
      </w:r>
      <w:r w:rsidR="00AB32F3" w:rsidRPr="005C7810">
        <w:rPr>
          <w:rFonts w:ascii="Book Antiqua" w:hAnsi="Book Antiqua"/>
          <w:b w:val="0"/>
          <w:sz w:val="24"/>
          <w:szCs w:val="24"/>
          <w:vertAlign w:val="superscript"/>
          <w:lang w:val="en-US"/>
        </w:rPr>
        <w:instrText>ADDIN CSL_CITATION {"citationItems":[{"id":"ITEM-1","itemData":{"DOI":"10.1016/j.critrevonc.2016.02.007","ISSN":"18790461","abstract":"Gastric cancer is a common disease with limited treatment options and a poor prognosis. Many gastric cancers harbour potentially actionable targets, including over-expression and mutations in tyrosine kinase pathways. Agents have been developed against these targets with varying success- in particular, the use of trastuzumab in HER2-overexpressing gastric cancers has resulted in overall survival benefits. Gastric cancers also have high levels of somatic mutations, making them candidates for immunotherapy; early work in this field has been promising. Recent advances in whole genome and multi-platform sequencing have driven the development of molecular classification systems, which may in turn guide the selection of patients for targeted treatment. Moving forward, challenges will include the development of appropriate biomarkers to predict responses to targeted therapy, and the application of new molecular classifications into trial development and clinical practice.","author":[{"dropping-particle":"","family":"Ang","given":"Yvonne L.E.","non-dropping-particle":"","parse-names":false,"suffix":""},{"dropping-particle":"","family":"Yong","given":"Wei Peng","non-dropping-particle":"","parse-names":false,"suffix":""},{"dropping-particle":"","family":"Tan","given":"Patrick","non-dropping-particle":"","parse-names":false,"suffix":""}],"container-title":"Critical Reviews in Oncology/Hematology","id":"ITEM-1","issued":{"date-parts":[["2016"]]},"page":"141-146","publisher":"Elsevier Ireland Ltd","title":"Translating gastric cancer genomics into targeted therapies","type":"article-journal","volume":"100"},"uris":["http://www.mendeley.com/documents/?uuid=84574552-6803-4705-898f-796cf87ae25c","http://www.mendeley.com/documents/?uuid=23d2e650-0fdf-4b63-be49-d0f155cc09ef"]}],"mendeley":{"formattedCitation":"&lt;sup&gt;[46]&lt;/sup&gt;","plainTextFormattedCitation":"[46]","previouslyFormattedCitation":"&lt;sup&gt;[46]&lt;/sup&gt;"},"properties":{"noteIndex":0},"schema":"https://github.com/citation-style-language/schema/raw/master/csl-citation.json"}</w:instrText>
      </w:r>
      <w:r w:rsidR="001C4BE3" w:rsidRPr="005C7810">
        <w:rPr>
          <w:rFonts w:ascii="Book Antiqua" w:hAnsi="Book Antiqua"/>
          <w:b w:val="0"/>
          <w:sz w:val="24"/>
          <w:szCs w:val="24"/>
          <w:vertAlign w:val="superscript"/>
          <w:lang w:val="en-US"/>
        </w:rPr>
        <w:fldChar w:fldCharType="separate"/>
      </w:r>
      <w:r w:rsidR="00182B66" w:rsidRPr="005C7810">
        <w:rPr>
          <w:rFonts w:ascii="Book Antiqua" w:hAnsi="Book Antiqua"/>
          <w:b w:val="0"/>
          <w:sz w:val="24"/>
          <w:szCs w:val="24"/>
          <w:vertAlign w:val="superscript"/>
          <w:lang w:val="en-US"/>
        </w:rPr>
        <w:t>[46]</w:t>
      </w:r>
      <w:r w:rsidR="001C4BE3" w:rsidRPr="005C7810">
        <w:rPr>
          <w:rFonts w:ascii="Book Antiqua" w:hAnsi="Book Antiqua"/>
          <w:b w:val="0"/>
          <w:sz w:val="24"/>
          <w:szCs w:val="24"/>
          <w:vertAlign w:val="superscript"/>
          <w:lang w:val="en-US"/>
        </w:rPr>
        <w:fldChar w:fldCharType="end"/>
      </w:r>
      <w:r w:rsidRPr="005C7810">
        <w:rPr>
          <w:rFonts w:ascii="Book Antiqua" w:hAnsi="Book Antiqua"/>
          <w:b w:val="0"/>
          <w:sz w:val="24"/>
          <w:szCs w:val="24"/>
          <w:lang w:val="en-US"/>
        </w:rPr>
        <w:t xml:space="preserve"> compared to the MSS/TP53- subtype. They also present amplification of the </w:t>
      </w:r>
      <w:r w:rsidRPr="005C7810">
        <w:rPr>
          <w:rFonts w:ascii="Book Antiqua" w:hAnsi="Book Antiqua"/>
          <w:b w:val="0"/>
          <w:i/>
          <w:sz w:val="24"/>
          <w:szCs w:val="24"/>
          <w:lang w:val="en-US"/>
        </w:rPr>
        <w:t>CCNE1</w:t>
      </w:r>
      <w:r w:rsidRPr="005C7810">
        <w:rPr>
          <w:rFonts w:ascii="Book Antiqua" w:hAnsi="Book Antiqua"/>
          <w:b w:val="0"/>
          <w:sz w:val="24"/>
          <w:szCs w:val="24"/>
          <w:lang w:val="en-US"/>
        </w:rPr>
        <w:t xml:space="preserve"> gene.</w:t>
      </w:r>
      <w:r w:rsidR="00B26A44" w:rsidRPr="005C7810">
        <w:rPr>
          <w:rFonts w:ascii="Book Antiqua" w:hAnsi="Book Antiqua"/>
          <w:b w:val="0"/>
          <w:sz w:val="24"/>
          <w:szCs w:val="24"/>
          <w:lang w:val="en-US"/>
        </w:rPr>
        <w:t xml:space="preserve"> </w:t>
      </w:r>
      <w:r w:rsidRPr="005C7810">
        <w:rPr>
          <w:rFonts w:ascii="Book Antiqua" w:hAnsi="Book Antiqua"/>
          <w:b w:val="0"/>
          <w:sz w:val="24"/>
          <w:szCs w:val="24"/>
          <w:lang w:val="en-US"/>
        </w:rPr>
        <w:t xml:space="preserve">The MSS/TP53- subtype is mainly Lauren intestinal and has </w:t>
      </w:r>
      <w:r w:rsidRPr="005C7810">
        <w:rPr>
          <w:rFonts w:ascii="Book Antiqua" w:hAnsi="Book Antiqua"/>
          <w:b w:val="0"/>
          <w:i/>
          <w:sz w:val="24"/>
          <w:szCs w:val="24"/>
          <w:lang w:val="en-US"/>
        </w:rPr>
        <w:t>TP53</w:t>
      </w:r>
      <w:r w:rsidRPr="005C7810">
        <w:rPr>
          <w:rFonts w:ascii="Book Antiqua" w:hAnsi="Book Antiqua"/>
          <w:b w:val="0"/>
          <w:sz w:val="24"/>
          <w:szCs w:val="24"/>
          <w:lang w:val="en-US"/>
        </w:rPr>
        <w:t xml:space="preserve"> mutations, </w:t>
      </w:r>
      <w:r w:rsidR="00C15902" w:rsidRPr="005C7810">
        <w:rPr>
          <w:rFonts w:ascii="Book Antiqua" w:hAnsi="Book Antiqua"/>
          <w:b w:val="0"/>
          <w:sz w:val="24"/>
          <w:szCs w:val="24"/>
          <w:lang w:val="en-US"/>
        </w:rPr>
        <w:t>with</w:t>
      </w:r>
      <w:r w:rsidRPr="005C7810">
        <w:rPr>
          <w:rFonts w:ascii="Book Antiqua" w:hAnsi="Book Antiqua"/>
          <w:b w:val="0"/>
          <w:sz w:val="24"/>
          <w:szCs w:val="24"/>
          <w:lang w:val="en-US"/>
        </w:rPr>
        <w:t xml:space="preserve"> a low frequency of mutations affecting the other genes. This subtype also has amplification of </w:t>
      </w:r>
      <w:r w:rsidRPr="005C7810">
        <w:rPr>
          <w:rFonts w:ascii="Book Antiqua" w:hAnsi="Book Antiqua"/>
          <w:b w:val="0"/>
          <w:i/>
          <w:sz w:val="24"/>
          <w:szCs w:val="24"/>
          <w:lang w:val="en-US"/>
        </w:rPr>
        <w:t>EGFR</w:t>
      </w:r>
      <w:r w:rsidRPr="005C7810">
        <w:rPr>
          <w:rFonts w:ascii="Book Antiqua" w:hAnsi="Book Antiqua"/>
          <w:b w:val="0"/>
          <w:sz w:val="24"/>
          <w:szCs w:val="24"/>
          <w:lang w:val="en-US"/>
        </w:rPr>
        <w:t xml:space="preserve">, </w:t>
      </w:r>
      <w:r w:rsidRPr="005C7810">
        <w:rPr>
          <w:rFonts w:ascii="Book Antiqua" w:hAnsi="Book Antiqua"/>
          <w:b w:val="0"/>
          <w:i/>
          <w:sz w:val="24"/>
          <w:szCs w:val="24"/>
          <w:lang w:val="en-US"/>
        </w:rPr>
        <w:t>MYC</w:t>
      </w:r>
      <w:r w:rsidRPr="005C7810">
        <w:rPr>
          <w:rFonts w:ascii="Book Antiqua" w:hAnsi="Book Antiqua"/>
          <w:b w:val="0"/>
          <w:sz w:val="24"/>
          <w:szCs w:val="24"/>
          <w:lang w:val="en-US"/>
        </w:rPr>
        <w:t xml:space="preserve">, </w:t>
      </w:r>
      <w:r w:rsidRPr="005C7810">
        <w:rPr>
          <w:rFonts w:ascii="Book Antiqua" w:hAnsi="Book Antiqua"/>
          <w:b w:val="0"/>
          <w:i/>
          <w:sz w:val="24"/>
          <w:szCs w:val="24"/>
          <w:lang w:val="en-US"/>
        </w:rPr>
        <w:t>ERBB2</w:t>
      </w:r>
      <w:r w:rsidR="00C15902" w:rsidRPr="005C7810">
        <w:rPr>
          <w:rFonts w:ascii="Book Antiqua" w:hAnsi="Book Antiqua"/>
          <w:b w:val="0"/>
          <w:i/>
          <w:sz w:val="24"/>
          <w:szCs w:val="24"/>
          <w:lang w:val="en-US"/>
        </w:rPr>
        <w:t>,</w:t>
      </w:r>
      <w:r w:rsidRPr="005C7810">
        <w:rPr>
          <w:rFonts w:ascii="Book Antiqua" w:hAnsi="Book Antiqua"/>
          <w:b w:val="0"/>
          <w:sz w:val="24"/>
          <w:szCs w:val="24"/>
          <w:lang w:val="en-US"/>
        </w:rPr>
        <w:t xml:space="preserve"> and </w:t>
      </w:r>
      <w:r w:rsidRPr="005C7810">
        <w:rPr>
          <w:rFonts w:ascii="Book Antiqua" w:hAnsi="Book Antiqua"/>
          <w:b w:val="0"/>
          <w:i/>
          <w:sz w:val="24"/>
          <w:szCs w:val="24"/>
          <w:lang w:val="en-US"/>
        </w:rPr>
        <w:t>CCNE1</w:t>
      </w:r>
      <w:r w:rsidRPr="005C7810">
        <w:rPr>
          <w:rFonts w:ascii="Book Antiqua" w:hAnsi="Book Antiqua"/>
          <w:b w:val="0"/>
          <w:sz w:val="24"/>
          <w:szCs w:val="24"/>
          <w:lang w:val="en-US"/>
        </w:rPr>
        <w:t xml:space="preserve"> genes. The MSS/EMT subtype predominantly</w:t>
      </w:r>
      <w:r w:rsidR="00C15902" w:rsidRPr="005C7810">
        <w:rPr>
          <w:rFonts w:ascii="Book Antiqua" w:hAnsi="Book Antiqua"/>
          <w:b w:val="0"/>
          <w:sz w:val="24"/>
          <w:szCs w:val="24"/>
          <w:lang w:val="en-US"/>
        </w:rPr>
        <w:t xml:space="preserve"> consists</w:t>
      </w:r>
      <w:r w:rsidRPr="005C7810">
        <w:rPr>
          <w:rFonts w:ascii="Book Antiqua" w:hAnsi="Book Antiqua"/>
          <w:b w:val="0"/>
          <w:sz w:val="24"/>
          <w:szCs w:val="24"/>
          <w:lang w:val="en-US"/>
        </w:rPr>
        <w:t xml:space="preserve"> of Lauren diffuse tumors, </w:t>
      </w:r>
      <w:r w:rsidR="00654DE2" w:rsidRPr="005C7810">
        <w:rPr>
          <w:rFonts w:ascii="Book Antiqua" w:hAnsi="Book Antiqua"/>
          <w:b w:val="0"/>
          <w:sz w:val="24"/>
          <w:szCs w:val="24"/>
          <w:lang w:val="en-US"/>
        </w:rPr>
        <w:t>and</w:t>
      </w:r>
      <w:r w:rsidR="00C15902" w:rsidRPr="005C7810">
        <w:rPr>
          <w:rFonts w:ascii="Book Antiqua" w:hAnsi="Book Antiqua"/>
          <w:b w:val="0"/>
          <w:sz w:val="24"/>
          <w:szCs w:val="24"/>
          <w:lang w:val="en-US"/>
        </w:rPr>
        <w:t xml:space="preserve"> tend to be </w:t>
      </w:r>
      <w:r w:rsidRPr="005C7810">
        <w:rPr>
          <w:rFonts w:ascii="Book Antiqua" w:hAnsi="Book Antiqua"/>
          <w:b w:val="0"/>
          <w:sz w:val="24"/>
          <w:szCs w:val="24"/>
          <w:lang w:val="en-US"/>
        </w:rPr>
        <w:t xml:space="preserve">diagnosed at a younger age. This </w:t>
      </w:r>
      <w:r w:rsidRPr="005C7810">
        <w:rPr>
          <w:rFonts w:ascii="Book Antiqua" w:hAnsi="Book Antiqua"/>
          <w:b w:val="0"/>
          <w:sz w:val="24"/>
          <w:szCs w:val="24"/>
          <w:lang w:val="en-US"/>
        </w:rPr>
        <w:lastRenderedPageBreak/>
        <w:t xml:space="preserve">subtype has low cell adhesion due to loss of </w:t>
      </w:r>
      <w:r w:rsidRPr="005C7810">
        <w:rPr>
          <w:rFonts w:ascii="Book Antiqua" w:hAnsi="Book Antiqua"/>
          <w:b w:val="0"/>
          <w:i/>
          <w:sz w:val="24"/>
          <w:szCs w:val="24"/>
          <w:lang w:val="en-US"/>
        </w:rPr>
        <w:t>CDH1</w:t>
      </w:r>
      <w:r w:rsidRPr="005C7810">
        <w:rPr>
          <w:rFonts w:ascii="Book Antiqua" w:hAnsi="Book Antiqua"/>
          <w:b w:val="0"/>
          <w:sz w:val="24"/>
          <w:szCs w:val="24"/>
          <w:lang w:val="en-US"/>
        </w:rPr>
        <w:t xml:space="preserve"> and </w:t>
      </w:r>
      <w:r w:rsidR="00C15902" w:rsidRPr="005C7810">
        <w:rPr>
          <w:rFonts w:ascii="Book Antiqua" w:hAnsi="Book Antiqua"/>
          <w:b w:val="0"/>
          <w:sz w:val="24"/>
          <w:szCs w:val="24"/>
          <w:lang w:val="en-US"/>
        </w:rPr>
        <w:t xml:space="preserve">has </w:t>
      </w:r>
      <w:r w:rsidRPr="005C7810">
        <w:rPr>
          <w:rFonts w:ascii="Book Antiqua" w:hAnsi="Book Antiqua"/>
          <w:b w:val="0"/>
          <w:sz w:val="24"/>
          <w:szCs w:val="24"/>
          <w:lang w:val="en-US"/>
        </w:rPr>
        <w:t xml:space="preserve">the least number of mutations. </w:t>
      </w:r>
      <w:r w:rsidRPr="005C7810">
        <w:rPr>
          <w:rFonts w:ascii="Book Antiqua" w:hAnsi="Book Antiqua"/>
          <w:b w:val="0"/>
          <w:i/>
          <w:sz w:val="24"/>
          <w:szCs w:val="24"/>
          <w:lang w:val="en-US"/>
        </w:rPr>
        <w:t>ARID1A</w:t>
      </w:r>
      <w:r w:rsidRPr="005C7810">
        <w:rPr>
          <w:rFonts w:ascii="Book Antiqua" w:hAnsi="Book Antiqua"/>
          <w:b w:val="0"/>
          <w:sz w:val="24"/>
          <w:szCs w:val="24"/>
          <w:lang w:val="en-US"/>
        </w:rPr>
        <w:t xml:space="preserve"> is among the most frequently mutated gene. The ACR</w:t>
      </w:r>
      <w:r w:rsidR="00DD30F2" w:rsidRPr="005C7810">
        <w:rPr>
          <w:rFonts w:ascii="Book Antiqua" w:hAnsi="Book Antiqua"/>
          <w:b w:val="0"/>
          <w:sz w:val="24"/>
          <w:szCs w:val="24"/>
          <w:lang w:val="en-US"/>
        </w:rPr>
        <w:t>G</w:t>
      </w:r>
      <w:r w:rsidRPr="005C7810">
        <w:rPr>
          <w:rFonts w:ascii="Book Antiqua" w:hAnsi="Book Antiqua"/>
          <w:b w:val="0"/>
          <w:sz w:val="24"/>
          <w:szCs w:val="24"/>
          <w:lang w:val="en-US"/>
        </w:rPr>
        <w:t xml:space="preserve"> classification </w:t>
      </w:r>
      <w:r w:rsidR="00C15902" w:rsidRPr="005C7810">
        <w:rPr>
          <w:rFonts w:ascii="Book Antiqua" w:hAnsi="Book Antiqua"/>
          <w:b w:val="0"/>
          <w:sz w:val="24"/>
          <w:szCs w:val="24"/>
          <w:lang w:val="en-US"/>
        </w:rPr>
        <w:t xml:space="preserve">is </w:t>
      </w:r>
      <w:r w:rsidRPr="005C7810">
        <w:rPr>
          <w:rFonts w:ascii="Book Antiqua" w:hAnsi="Book Antiqua"/>
          <w:b w:val="0"/>
          <w:sz w:val="24"/>
          <w:szCs w:val="24"/>
          <w:lang w:val="en-US"/>
        </w:rPr>
        <w:t>also applicable to other large independent cohorts</w:t>
      </w:r>
      <w:r w:rsidR="001C4BE3" w:rsidRPr="005C7810">
        <w:rPr>
          <w:rFonts w:ascii="Book Antiqua" w:hAnsi="Book Antiqua"/>
          <w:b w:val="0"/>
          <w:sz w:val="24"/>
          <w:szCs w:val="24"/>
          <w:vertAlign w:val="superscript"/>
          <w:lang w:val="en-US"/>
        </w:rPr>
        <w:fldChar w:fldCharType="begin" w:fldLock="1"/>
      </w:r>
      <w:r w:rsidR="00AB32F3" w:rsidRPr="005C7810">
        <w:rPr>
          <w:rFonts w:ascii="Book Antiqua" w:hAnsi="Book Antiqua"/>
          <w:b w:val="0"/>
          <w:sz w:val="24"/>
          <w:szCs w:val="24"/>
          <w:vertAlign w:val="superscript"/>
          <w:lang w:val="en-US"/>
        </w:rPr>
        <w:instrText>ADDIN CSL_CITATION {"citationItems":[{"id":"ITEM-1","itemData":{"DOI":"10.1038/nm.3850","ISSN":"1078-8956","author":[{"dropping-particle":"","family":"Liu","given":"Jiangang","non-dropping-particle":"","parse-names":false,"suffix":""},{"dropping-particle":"","family":"Park","given":"Se Hoon","non-dropping-particle":"","parse-names":false,"suffix":""},{"dropping-particle":"","family":"Reinhard","given":"Christoph","non-dropping-particle":"","parse-names":false,"suffix":""},{"dropping-particle":"","family":"Kim","given":"Kyoung-Mee","non-dropping-particle":"","parse-names":false,"suffix":""},{"dropping-particle":"","family":"Lee","given":"Jeeyun","non-dropping-particle":"","parse-names":false,"suffix":""},{"dropping-particle":"","family":"Yue","given":"Yong Gang","non-dropping-particle":"","parse-names":false,"suffix":""},{"dropping-particle":"","family":"Ayers","given":"Mark","non-dropping-particle":"","parse-names":false,"suffix":""},{"dropping-particle":"","family":"Hardwick","given":"James","non-dropping-particle":"","parse-names":false,"suffix":""},{"dropping-particle":"","family":"Aggarwal","given":"Amit","non-dropping-particle":"","parse-names":false,"suffix":""},{"dropping-particle":"","family":"Kim","given":"Seung Tae","non-dropping-particle":"","parse-names":false,"suffix":""},{"dropping-particle":"","family":"Choi","given":"Min Gew","non-dropping-particle":"","parse-names":false,"suffix":""},{"dropping-particle":"","family":"Cristescu","given":"Razvan","non-dropping-particle":"","parse-names":false,"suffix":""},{"dropping-particle":"","family":"Yu","given":"Kun","non-dropping-particle":"","parse-names":false,"suffix":""},{"dropping-particle":"","family":"Gong","given":"Lara","non-dropping-particle":"","parse-names":false,"suffix":""},{"dropping-particle":"","family":"Kim","given":"Sung","non-dropping-particle":"","parse-names":false,"suffix":""},{"dropping-particle":"","family":"Wang","given":"Jian","non-dropping-particle":"","parse-names":false,"suffix":""},{"dropping-particle":"","family":"Lee","given":"Joon Ho","non-dropping-particle":"","parse-names":false,"suffix":""},{"dropping-particle":"","family":"Hongyue","given":"Dai","non-dropping-particle":"","parse-names":false,"suffix":""},{"dropping-particle":"","family":"Tan","given":"Patrick","non-dropping-particle":"","parse-names":false,"suffix":""},{"dropping-particle":"","family":"Sohn","given":"Tae Sung","non-dropping-particle":"","parse-names":false,"suffix":""},{"dropping-particle":"","family":"Fu","given":"Jake","non-dropping-particle":"","parse-names":false,"suffix":""},{"dropping-particle":"","family":"Ye","given":"Xiang S","non-dropping-particle":"","parse-names":false,"suffix":""},{"dropping-particle":"","family":"Nebozhyn","given":"Michael","non-dropping-particle":"","parse-names":false,"suffix":""},{"dropping-particle":"","family":"Wong","given":"Swee Seong","non-dropping-particle":"","parse-names":false,"suffix":""},{"dropping-particle":"","family":"Liu","given":"Shawn","non-dropping-particle":"","parse-names":false,"suffix":""},{"dropping-particle":"","family":"Ting","given":"Jason C","non-dropping-particle":"","parse-names":false,"suffix":""},{"dropping-particle":"","family":"Bae","given":"Jae Moon","non-dropping-particle":"","parse-names":false,"suffix":""},{"dropping-particle":"","family":"Jin","given":"Jason Gang","non-dropping-particle":"","parse-names":false,"suffix":""},{"dropping-particle":"","family":"Jung","given":"Sin-Ho","non-dropping-particle":"","parse-names":false,"suffix":""},{"dropping-particle":"","family":"Kang","given":"Won Ki","non-dropping-particle":"","parse-names":false,"suffix":""},{"dropping-particle":"","family":"Do","given":"In-Gu","non-dropping-particle":"","parse-names":false,"suffix":""},{"dropping-particle":"","family":"Loboda","given":"Andrey","non-dropping-particle":"","parse-names":false,"suffix":""},{"dropping-particle":"","family":"Sohn","given":"Insuk","non-dropping-particle":"","parse-names":false,"suffix":""},{"dropping-particle":"","family":"Chen","given":"Ronghua","non-dropping-particle":"","parse-names":false,"suffix":""}],"container-title":"Nature Medicine","id":"ITEM-1","issue":"5","issued":{"date-parts":[["2015"]]},"page":"449-456","title":"Molecular analysis of gastric cancer identifies subtypes associated with distinct clinical outcomes","type":"article-journal","volume":"21"},"uris":["http://www.mendeley.com/documents/?uuid=8cd89c36-e226-46cf-bfc3-c1c6be236606","http://www.mendeley.com/documents/?uuid=4a48f008-a7b0-4dec-aeeb-8a0c5049e939"]}],"mendeley":{"formattedCitation":"&lt;sup&gt;[45]&lt;/sup&gt;","plainTextFormattedCitation":"[45]","previouslyFormattedCitation":"&lt;sup&gt;[45]&lt;/sup&gt;"},"properties":{"noteIndex":0},"schema":"https://github.com/citation-style-language/schema/raw/master/csl-citation.json"}</w:instrText>
      </w:r>
      <w:r w:rsidR="001C4BE3" w:rsidRPr="005C7810">
        <w:rPr>
          <w:rFonts w:ascii="Book Antiqua" w:hAnsi="Book Antiqua"/>
          <w:b w:val="0"/>
          <w:sz w:val="24"/>
          <w:szCs w:val="24"/>
          <w:vertAlign w:val="superscript"/>
          <w:lang w:val="en-US"/>
        </w:rPr>
        <w:fldChar w:fldCharType="separate"/>
      </w:r>
      <w:r w:rsidR="00182B66" w:rsidRPr="005C7810">
        <w:rPr>
          <w:rFonts w:ascii="Book Antiqua" w:hAnsi="Book Antiqua"/>
          <w:b w:val="0"/>
          <w:sz w:val="24"/>
          <w:szCs w:val="24"/>
          <w:vertAlign w:val="superscript"/>
          <w:lang w:val="en-US"/>
        </w:rPr>
        <w:t>[45]</w:t>
      </w:r>
      <w:r w:rsidR="001C4BE3" w:rsidRPr="005C7810">
        <w:rPr>
          <w:rFonts w:ascii="Book Antiqua" w:hAnsi="Book Antiqua"/>
          <w:b w:val="0"/>
          <w:sz w:val="24"/>
          <w:szCs w:val="24"/>
          <w:vertAlign w:val="superscript"/>
          <w:lang w:val="en-US"/>
        </w:rPr>
        <w:fldChar w:fldCharType="end"/>
      </w:r>
      <w:r w:rsidRPr="005C7810">
        <w:rPr>
          <w:rFonts w:ascii="Book Antiqua" w:hAnsi="Book Antiqua"/>
          <w:b w:val="0"/>
          <w:sz w:val="24"/>
          <w:szCs w:val="24"/>
          <w:lang w:val="en-US"/>
        </w:rPr>
        <w:t>.</w:t>
      </w:r>
      <w:r w:rsidR="00B26A44" w:rsidRPr="005C7810">
        <w:rPr>
          <w:rFonts w:ascii="Book Antiqua" w:hAnsi="Book Antiqua"/>
          <w:b w:val="0"/>
          <w:sz w:val="24"/>
          <w:szCs w:val="24"/>
          <w:lang w:val="en-US"/>
        </w:rPr>
        <w:t xml:space="preserve"> </w:t>
      </w:r>
      <w:r w:rsidRPr="005C7810">
        <w:rPr>
          <w:rFonts w:ascii="Book Antiqua" w:hAnsi="Book Antiqua"/>
          <w:b w:val="0"/>
          <w:sz w:val="24"/>
          <w:szCs w:val="24"/>
          <w:lang w:val="en-US"/>
        </w:rPr>
        <w:t xml:space="preserve">The differences </w:t>
      </w:r>
      <w:r w:rsidR="00C15902" w:rsidRPr="005C7810">
        <w:rPr>
          <w:rFonts w:ascii="Book Antiqua" w:hAnsi="Book Antiqua"/>
          <w:b w:val="0"/>
          <w:sz w:val="24"/>
          <w:szCs w:val="24"/>
          <w:lang w:val="en-US"/>
        </w:rPr>
        <w:t>between</w:t>
      </w:r>
      <w:r w:rsidRPr="005C7810">
        <w:rPr>
          <w:rFonts w:ascii="Book Antiqua" w:hAnsi="Book Antiqua"/>
          <w:b w:val="0"/>
          <w:sz w:val="24"/>
          <w:szCs w:val="24"/>
          <w:lang w:val="en-US"/>
        </w:rPr>
        <w:t xml:space="preserve"> the two classifications (TGCA and ACRG) reflect the different approaches and platforms used, and the ethnicity of the samples. In the ACR</w:t>
      </w:r>
      <w:r w:rsidR="00DD30F2" w:rsidRPr="005C7810">
        <w:rPr>
          <w:rFonts w:ascii="Book Antiqua" w:hAnsi="Book Antiqua"/>
          <w:b w:val="0"/>
          <w:sz w:val="24"/>
          <w:szCs w:val="24"/>
          <w:lang w:val="en-US"/>
        </w:rPr>
        <w:t>G</w:t>
      </w:r>
      <w:r w:rsidR="00C15902" w:rsidRPr="005C7810">
        <w:rPr>
          <w:rFonts w:ascii="Book Antiqua" w:hAnsi="Book Antiqua"/>
          <w:b w:val="0"/>
          <w:sz w:val="24"/>
          <w:szCs w:val="24"/>
          <w:lang w:val="en-US"/>
        </w:rPr>
        <w:t xml:space="preserve"> cohort</w:t>
      </w:r>
      <w:r w:rsidR="004A6501" w:rsidRPr="005C7810">
        <w:rPr>
          <w:rFonts w:ascii="Book Antiqua" w:hAnsi="Book Antiqua"/>
          <w:b w:val="0"/>
          <w:sz w:val="24"/>
          <w:szCs w:val="24"/>
          <w:lang w:val="en-US"/>
        </w:rPr>
        <w:t>,</w:t>
      </w:r>
      <w:r w:rsidRPr="005C7810">
        <w:rPr>
          <w:rFonts w:ascii="Book Antiqua" w:hAnsi="Book Antiqua"/>
          <w:b w:val="0"/>
          <w:sz w:val="24"/>
          <w:szCs w:val="24"/>
          <w:lang w:val="en-US"/>
        </w:rPr>
        <w:t xml:space="preserve"> GC</w:t>
      </w:r>
      <w:r w:rsidR="00654DE2" w:rsidRPr="005C7810">
        <w:rPr>
          <w:rFonts w:ascii="Book Antiqua" w:hAnsi="Book Antiqua"/>
          <w:b w:val="0"/>
          <w:sz w:val="24"/>
          <w:szCs w:val="24"/>
          <w:lang w:val="en-US"/>
        </w:rPr>
        <w:t>s</w:t>
      </w:r>
      <w:r w:rsidRPr="005C7810">
        <w:rPr>
          <w:rFonts w:ascii="Book Antiqua" w:hAnsi="Book Antiqua"/>
          <w:b w:val="0"/>
          <w:sz w:val="24"/>
          <w:szCs w:val="24"/>
          <w:lang w:val="en-US"/>
        </w:rPr>
        <w:t xml:space="preserve"> of the diffuse type are more represented. However, both identified the MSI subtype with hypermethylation of </w:t>
      </w:r>
      <w:r w:rsidRPr="005C7810">
        <w:rPr>
          <w:rFonts w:ascii="Book Antiqua" w:hAnsi="Book Antiqua"/>
          <w:b w:val="0"/>
          <w:i/>
          <w:sz w:val="24"/>
          <w:szCs w:val="24"/>
          <w:lang w:val="en-US"/>
        </w:rPr>
        <w:t>MHL1</w:t>
      </w:r>
      <w:r w:rsidRPr="005C7810">
        <w:rPr>
          <w:rFonts w:ascii="Book Antiqua" w:hAnsi="Book Antiqua"/>
          <w:b w:val="0"/>
          <w:sz w:val="24"/>
          <w:szCs w:val="24"/>
          <w:lang w:val="en-US"/>
        </w:rPr>
        <w:t xml:space="preserve">, high mutation frequency and a better prognosis. The EBV and MSS/TP53 + subtypes are similar in that many cases belonging to the MSS/TP53+ subtype </w:t>
      </w:r>
      <w:r w:rsidR="00400317" w:rsidRPr="005C7810">
        <w:rPr>
          <w:rFonts w:ascii="Book Antiqua" w:hAnsi="Book Antiqua"/>
          <w:b w:val="0"/>
          <w:sz w:val="24"/>
          <w:szCs w:val="24"/>
          <w:lang w:val="en-US"/>
        </w:rPr>
        <w:t>is</w:t>
      </w:r>
      <w:r w:rsidRPr="005C7810">
        <w:rPr>
          <w:rFonts w:ascii="Book Antiqua" w:hAnsi="Book Antiqua"/>
          <w:b w:val="0"/>
          <w:sz w:val="24"/>
          <w:szCs w:val="24"/>
          <w:lang w:val="en-US"/>
        </w:rPr>
        <w:t xml:space="preserve"> EBV+ and present mutations in </w:t>
      </w:r>
      <w:r w:rsidRPr="005C7810">
        <w:rPr>
          <w:rFonts w:ascii="Book Antiqua" w:hAnsi="Book Antiqua"/>
          <w:b w:val="0"/>
          <w:i/>
          <w:sz w:val="24"/>
          <w:szCs w:val="24"/>
          <w:lang w:val="en-US"/>
        </w:rPr>
        <w:t>PIK3CA</w:t>
      </w:r>
      <w:r w:rsidRPr="005C7810">
        <w:rPr>
          <w:rFonts w:ascii="Book Antiqua" w:hAnsi="Book Antiqua"/>
          <w:b w:val="0"/>
          <w:sz w:val="24"/>
          <w:szCs w:val="24"/>
          <w:lang w:val="en-US"/>
        </w:rPr>
        <w:t xml:space="preserve"> and </w:t>
      </w:r>
      <w:r w:rsidRPr="005C7810">
        <w:rPr>
          <w:rFonts w:ascii="Book Antiqua" w:hAnsi="Book Antiqua"/>
          <w:b w:val="0"/>
          <w:i/>
          <w:sz w:val="24"/>
          <w:szCs w:val="24"/>
          <w:lang w:val="en-US"/>
        </w:rPr>
        <w:t>ARID1A</w:t>
      </w:r>
      <w:r w:rsidRPr="005C7810">
        <w:rPr>
          <w:rFonts w:ascii="Book Antiqua" w:hAnsi="Book Antiqua"/>
          <w:b w:val="0"/>
          <w:sz w:val="24"/>
          <w:szCs w:val="24"/>
          <w:lang w:val="en-US"/>
        </w:rPr>
        <w:t xml:space="preserve">. The GS and MSS/EMT subtypes, which include younger patients, are mostly diffuse and show low intercellular adhesion. The CIN and MSS/TP53- </w:t>
      </w:r>
      <w:r w:rsidR="00744DB3" w:rsidRPr="005C7810">
        <w:rPr>
          <w:rFonts w:ascii="Book Antiqua" w:hAnsi="Book Antiqua"/>
          <w:b w:val="0"/>
          <w:sz w:val="24"/>
          <w:szCs w:val="24"/>
          <w:lang w:val="en-US"/>
        </w:rPr>
        <w:t xml:space="preserve">subtypes </w:t>
      </w:r>
      <w:r w:rsidRPr="005C7810">
        <w:rPr>
          <w:rFonts w:ascii="Book Antiqua" w:hAnsi="Book Antiqua"/>
          <w:b w:val="0"/>
          <w:sz w:val="24"/>
          <w:szCs w:val="24"/>
          <w:lang w:val="en-US"/>
        </w:rPr>
        <w:t xml:space="preserve">present </w:t>
      </w:r>
      <w:r w:rsidR="00744DB3" w:rsidRPr="005C7810">
        <w:rPr>
          <w:rFonts w:ascii="Book Antiqua" w:hAnsi="Book Antiqua"/>
          <w:b w:val="0"/>
          <w:sz w:val="24"/>
          <w:szCs w:val="24"/>
          <w:lang w:val="en-US"/>
        </w:rPr>
        <w:t xml:space="preserve">with </w:t>
      </w:r>
      <w:r w:rsidRPr="005C7810">
        <w:rPr>
          <w:rFonts w:ascii="Book Antiqua" w:hAnsi="Book Antiqua"/>
          <w:b w:val="0"/>
          <w:sz w:val="24"/>
          <w:szCs w:val="24"/>
          <w:lang w:val="en-US"/>
        </w:rPr>
        <w:t xml:space="preserve">mutations in </w:t>
      </w:r>
      <w:r w:rsidRPr="005C7810">
        <w:rPr>
          <w:rFonts w:ascii="Book Antiqua" w:hAnsi="Book Antiqua"/>
          <w:b w:val="0"/>
          <w:i/>
          <w:sz w:val="24"/>
          <w:szCs w:val="24"/>
          <w:lang w:val="en-US"/>
        </w:rPr>
        <w:t>TP53</w:t>
      </w:r>
      <w:r w:rsidRPr="005C7810">
        <w:rPr>
          <w:rFonts w:ascii="Book Antiqua" w:hAnsi="Book Antiqua"/>
          <w:b w:val="0"/>
          <w:sz w:val="24"/>
          <w:szCs w:val="24"/>
          <w:lang w:val="en-US"/>
        </w:rPr>
        <w:t xml:space="preserve"> and amplification of members of the </w:t>
      </w:r>
      <w:r w:rsidRPr="005C7810">
        <w:rPr>
          <w:rFonts w:ascii="Book Antiqua" w:hAnsi="Book Antiqua"/>
          <w:b w:val="0"/>
          <w:i/>
          <w:sz w:val="24"/>
          <w:szCs w:val="24"/>
          <w:lang w:val="en-US"/>
        </w:rPr>
        <w:t xml:space="preserve">EGFR </w:t>
      </w:r>
      <w:r w:rsidRPr="005C7810">
        <w:rPr>
          <w:rFonts w:ascii="Book Antiqua" w:hAnsi="Book Antiqua"/>
          <w:b w:val="0"/>
          <w:sz w:val="24"/>
          <w:szCs w:val="24"/>
          <w:lang w:val="en-US"/>
        </w:rPr>
        <w:t xml:space="preserve">family, </w:t>
      </w:r>
      <w:r w:rsidR="00744DB3" w:rsidRPr="005C7810">
        <w:rPr>
          <w:rFonts w:ascii="Book Antiqua" w:hAnsi="Book Antiqua"/>
          <w:b w:val="0"/>
          <w:sz w:val="24"/>
          <w:szCs w:val="24"/>
          <w:lang w:val="en-US"/>
        </w:rPr>
        <w:t>and</w:t>
      </w:r>
      <w:r w:rsidRPr="005C7810">
        <w:rPr>
          <w:rFonts w:ascii="Book Antiqua" w:hAnsi="Book Antiqua"/>
          <w:b w:val="0"/>
          <w:sz w:val="24"/>
          <w:szCs w:val="24"/>
          <w:lang w:val="en-US"/>
        </w:rPr>
        <w:t xml:space="preserve"> are mostly intestinal</w:t>
      </w:r>
      <w:r w:rsidR="00744DB3" w:rsidRPr="005C7810">
        <w:rPr>
          <w:rFonts w:ascii="Book Antiqua" w:hAnsi="Book Antiqua"/>
          <w:b w:val="0"/>
          <w:sz w:val="24"/>
          <w:szCs w:val="24"/>
          <w:lang w:val="en-US"/>
        </w:rPr>
        <w:t>.</w:t>
      </w:r>
      <w:r w:rsidRPr="005C7810">
        <w:rPr>
          <w:rFonts w:ascii="Book Antiqua" w:hAnsi="Book Antiqua"/>
          <w:b w:val="0"/>
          <w:sz w:val="24"/>
          <w:szCs w:val="24"/>
          <w:lang w:val="en-US"/>
        </w:rPr>
        <w:t xml:space="preserve"> </w:t>
      </w:r>
    </w:p>
    <w:p w:rsidR="00BE1A4E" w:rsidRPr="005C7810" w:rsidRDefault="00BE1A4E" w:rsidP="00CD380F">
      <w:pPr>
        <w:pStyle w:val="a0"/>
        <w:spacing w:after="0" w:line="360" w:lineRule="auto"/>
        <w:rPr>
          <w:lang w:val="en-US"/>
        </w:rPr>
      </w:pPr>
    </w:p>
    <w:p w:rsidR="00B8125B" w:rsidRPr="005C7810" w:rsidRDefault="00D34AEE" w:rsidP="00CD380F">
      <w:pPr>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b/>
          <w:sz w:val="24"/>
          <w:szCs w:val="24"/>
          <w:lang w:val="en-US"/>
        </w:rPr>
        <w:t>APPLICATION</w:t>
      </w:r>
      <w:r w:rsidR="00B8125B" w:rsidRPr="005C7810">
        <w:rPr>
          <w:rFonts w:ascii="Book Antiqua" w:hAnsi="Book Antiqua" w:cs="Times New Roman"/>
          <w:b/>
          <w:sz w:val="24"/>
          <w:szCs w:val="24"/>
          <w:lang w:val="en-US"/>
        </w:rPr>
        <w:t xml:space="preserve"> OF </w:t>
      </w:r>
      <w:r w:rsidRPr="005C7810">
        <w:rPr>
          <w:rFonts w:ascii="Book Antiqua" w:hAnsi="Book Antiqua" w:cs="Times New Roman"/>
          <w:b/>
          <w:sz w:val="24"/>
          <w:szCs w:val="24"/>
          <w:lang w:val="en-US"/>
        </w:rPr>
        <w:t xml:space="preserve">THE GC </w:t>
      </w:r>
      <w:r w:rsidR="00B8125B" w:rsidRPr="005C7810">
        <w:rPr>
          <w:rFonts w:ascii="Book Antiqua" w:hAnsi="Book Antiqua" w:cs="Times New Roman"/>
          <w:b/>
          <w:sz w:val="24"/>
          <w:szCs w:val="24"/>
          <w:lang w:val="en-US"/>
        </w:rPr>
        <w:t>MOLECULAR PROFILE IN CLINICAL PRACTICE</w:t>
      </w:r>
      <w:r w:rsidR="003B440A" w:rsidRPr="005C7810">
        <w:rPr>
          <w:rFonts w:ascii="Book Antiqua" w:hAnsi="Book Antiqua" w:cs="Times New Roman"/>
          <w:b/>
          <w:sz w:val="24"/>
          <w:szCs w:val="24"/>
          <w:lang w:val="en-US"/>
        </w:rPr>
        <w:t>: PRECISION MEDICINE</w:t>
      </w:r>
    </w:p>
    <w:p w:rsidR="00A56C9F" w:rsidRPr="005C7810" w:rsidRDefault="00A56C9F" w:rsidP="00CD380F">
      <w:pPr>
        <w:snapToGrid w:val="0"/>
        <w:spacing w:after="0" w:line="360" w:lineRule="auto"/>
        <w:jc w:val="both"/>
        <w:rPr>
          <w:rFonts w:ascii="Book Antiqua" w:hAnsi="Book Antiqua" w:cs="Times New Roman"/>
          <w:b/>
          <w:sz w:val="24"/>
          <w:szCs w:val="24"/>
          <w:lang w:val="en-US"/>
        </w:rPr>
      </w:pPr>
      <w:r w:rsidRPr="005C7810">
        <w:rPr>
          <w:rFonts w:ascii="Book Antiqua" w:hAnsi="Book Antiqua"/>
          <w:sz w:val="24"/>
          <w:szCs w:val="24"/>
          <w:lang w:val="en-US"/>
        </w:rPr>
        <w:t>Due to new technologies, such as NGS and microarray, recent discoveries have made possible to integrate diagnostic and therapeutic method, based on genotype and phenotype, and to apply them to individual patients with GC in the age of precision medicine.</w:t>
      </w:r>
    </w:p>
    <w:p w:rsidR="00B8125B" w:rsidRPr="005C7810" w:rsidRDefault="00B8125B" w:rsidP="00CD380F">
      <w:pPr>
        <w:snapToGrid w:val="0"/>
        <w:spacing w:after="0" w:line="360" w:lineRule="auto"/>
        <w:jc w:val="both"/>
        <w:rPr>
          <w:rFonts w:ascii="Book Antiqua" w:hAnsi="Book Antiqua" w:cs="Times New Roman"/>
          <w:b/>
          <w:sz w:val="24"/>
          <w:szCs w:val="24"/>
          <w:lang w:val="en-US"/>
        </w:rPr>
      </w:pPr>
    </w:p>
    <w:p w:rsidR="00B8125B" w:rsidRPr="005C7810" w:rsidRDefault="00B8125B" w:rsidP="00CD380F">
      <w:pPr>
        <w:snapToGrid w:val="0"/>
        <w:spacing w:after="0" w:line="360" w:lineRule="auto"/>
        <w:jc w:val="both"/>
        <w:rPr>
          <w:rFonts w:ascii="Book Antiqua" w:hAnsi="Book Antiqua" w:cs="Times New Roman"/>
          <w:b/>
          <w:i/>
          <w:strike/>
          <w:sz w:val="24"/>
          <w:szCs w:val="24"/>
          <w:lang w:val="en-US"/>
        </w:rPr>
      </w:pPr>
      <w:r w:rsidRPr="005C7810">
        <w:rPr>
          <w:rFonts w:ascii="Book Antiqua" w:hAnsi="Book Antiqua" w:cs="Times New Roman"/>
          <w:b/>
          <w:i/>
          <w:sz w:val="24"/>
          <w:szCs w:val="24"/>
          <w:lang w:val="en-US"/>
        </w:rPr>
        <w:t xml:space="preserve">Biomarkers for diagnosis and prediction </w:t>
      </w:r>
    </w:p>
    <w:p w:rsidR="00B8125B" w:rsidRPr="005C7810" w:rsidRDefault="00B8125B"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 xml:space="preserve">Tumor markers are used to determine the clinical stage, </w:t>
      </w:r>
      <w:r w:rsidR="00EE07CA" w:rsidRPr="005C7810">
        <w:rPr>
          <w:rFonts w:ascii="Book Antiqua" w:hAnsi="Book Antiqua" w:cs="Times New Roman"/>
          <w:sz w:val="24"/>
          <w:szCs w:val="24"/>
          <w:lang w:val="en-US"/>
        </w:rPr>
        <w:t xml:space="preserve">assess the </w:t>
      </w:r>
      <w:r w:rsidRPr="005C7810">
        <w:rPr>
          <w:rFonts w:ascii="Book Antiqua" w:hAnsi="Book Antiqua" w:cs="Times New Roman"/>
          <w:sz w:val="24"/>
          <w:szCs w:val="24"/>
          <w:lang w:val="en-US"/>
        </w:rPr>
        <w:t xml:space="preserve">treatment response, and </w:t>
      </w:r>
      <w:r w:rsidR="00EE07CA" w:rsidRPr="005C7810">
        <w:rPr>
          <w:rFonts w:ascii="Book Antiqua" w:hAnsi="Book Antiqua" w:cs="Times New Roman"/>
          <w:sz w:val="24"/>
          <w:szCs w:val="24"/>
          <w:lang w:val="en-US"/>
        </w:rPr>
        <w:t xml:space="preserve">predict the risk of </w:t>
      </w:r>
      <w:r w:rsidRPr="005C7810">
        <w:rPr>
          <w:rFonts w:ascii="Book Antiqua" w:hAnsi="Book Antiqua" w:cs="Times New Roman"/>
          <w:sz w:val="24"/>
          <w:szCs w:val="24"/>
          <w:lang w:val="en-US"/>
        </w:rPr>
        <w:t xml:space="preserve">recurrence after treatment. </w:t>
      </w:r>
      <w:r w:rsidR="00EE07CA" w:rsidRPr="005C7810">
        <w:rPr>
          <w:rFonts w:ascii="Book Antiqua" w:hAnsi="Book Antiqua" w:cs="Times New Roman"/>
          <w:sz w:val="24"/>
          <w:szCs w:val="24"/>
          <w:lang w:val="en-US"/>
        </w:rPr>
        <w:t>Currently,</w:t>
      </w:r>
      <w:r w:rsidRPr="005C7810">
        <w:rPr>
          <w:rFonts w:ascii="Book Antiqua" w:hAnsi="Book Antiqua" w:cs="Times New Roman"/>
          <w:sz w:val="24"/>
          <w:szCs w:val="24"/>
          <w:lang w:val="en-US"/>
        </w:rPr>
        <w:t xml:space="preserve"> markers such as α-fetoprotein (AFP), carcinoembryonic antigen (CEA), carbohydrate antigen 125 (CA-125)</w:t>
      </w:r>
      <w:r w:rsidR="008B3D0E"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and </w:t>
      </w:r>
      <w:r w:rsidR="00B94442" w:rsidRPr="005C7810">
        <w:rPr>
          <w:rFonts w:ascii="Book Antiqua" w:hAnsi="Book Antiqua" w:cs="Times New Roman"/>
          <w:sz w:val="24"/>
          <w:szCs w:val="24"/>
          <w:lang w:val="en-US"/>
        </w:rPr>
        <w:t>carbohydrate antigen 19-9 (CA1</w:t>
      </w:r>
      <w:r w:rsidRPr="005C7810">
        <w:rPr>
          <w:rFonts w:ascii="Book Antiqua" w:hAnsi="Book Antiqua" w:cs="Times New Roman"/>
          <w:sz w:val="24"/>
          <w:szCs w:val="24"/>
          <w:lang w:val="en-US"/>
        </w:rPr>
        <w:t>9-9</w:t>
      </w:r>
      <w:r w:rsidR="00B94442"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are frequently used in clinical practice. CEA is a risk factor for liver metastases</w:t>
      </w:r>
      <w:r w:rsidR="002A08D3" w:rsidRPr="005C7810">
        <w:rPr>
          <w:rFonts w:ascii="Book Antiqua" w:hAnsi="Book Antiqua" w:cs="Times New Roman"/>
          <w:sz w:val="24"/>
          <w:szCs w:val="24"/>
          <w:vertAlign w:val="superscript"/>
          <w:lang w:val="en-US"/>
        </w:rPr>
        <w:fldChar w:fldCharType="begin" w:fldLock="1"/>
      </w:r>
      <w:r w:rsidR="00AB32F3" w:rsidRPr="005C7810">
        <w:rPr>
          <w:rFonts w:ascii="Book Antiqua" w:hAnsi="Book Antiqua" w:cs="Times New Roman"/>
          <w:sz w:val="24"/>
          <w:szCs w:val="24"/>
          <w:vertAlign w:val="superscript"/>
          <w:lang w:val="en-US"/>
        </w:rPr>
        <w:instrText>ADDIN CSL_CITATION {"citationItems":[{"id":"ITEM-1","itemData":{"DOI":"10.1007/s10120-013-0259-5","ISBN":"1759-5053 (Electronic)\\r1759-5045 (Linking)","ISSN":"14363291","PMID":"23572188","abstract":"The aim of this review was to evaluate the clinical significance of serum tumor markers, particularly CEA, CA19-9, and CA72-4, in patients with gastric cancer. A systematic literature search was performed using PubMed/MEDLINE with the keywords \"gastric cancer\" and \"tumor marker,\" to select 4,925 relevant reports published before the end of November 2012. A total of 187 publications contained data for CEA and CA19-9, and 19 publications contained data related to all three tumor markers. The positive rates were 21.1 % for CEA, 27.8 % for CA19-9, and 30.0 % for CA72-4. These three markers were significantly associated with tumor stage and patient survival. Serum markers are not useful for early cancer, but they are useful for detecting recurrence and distant metastasis, predicting patient survival, and monitoring after surgery. Tumor marker monitoring may be useful for patients after surgery because the positive conversion of tumor markers usually occurs 2-3 months before imaging abnormalities. Among other tumor markers, alpha-fetoprotein (AFP) is useful for detecting and predicting liver metastases. Moreover, CA125 and sialyl Tn antigens (STN) are useful for detecting peritoneal metastases. Although no prospective trial has yet been completed to evaluate the clinical significance of these serum markers, this literature survey suggests that combinations of CEA, CA19-9, and CA72-4 are the most effective ways for staging before surgery or chemotherapy. In particular, monitoring tumor markers that were elevated before surgery or chemotherapy could be useful for detection of recurrence or evaluation of the response.","author":[{"dropping-particle":"","family":"Shimada","given":"Hideaki","non-dropping-particle":"","parse-names":false,"suffix":""},{"dropping-particle":"","family":"Noie","given":"Tamaki","non-dropping-particle":"","parse-names":false,"suffix":""},{"dropping-particle":"","family":"Ohashi","given":"Manabu","non-dropping-particle":"","parse-names":false,"suffix":""},{"dropping-particle":"","family":"Oba","given":"Koji","non-dropping-particle":"","parse-names":false,"suffix":""},{"dropping-particle":"","family":"Takahashi","given":"Yutaka","non-dropping-particle":"","parse-names":false,"suffix":""}],"container-title":"Gastric Cancer","id":"ITEM-1","issue":"1","issued":{"date-parts":[["2014"]]},"page":"26-33","title":"Clinical significance of serum tumor markers for gastric cancer: A systematic review of literature by the Task Force of the Japanese Gastric Cancer Association","type":"article-journal","volume":"17"},"uris":["http://www.mendeley.com/documents/?uuid=aeecb8de-ea82-4575-a3c0-92c2f9faf3f0","http://www.mendeley.com/documents/?uuid=7e5fc3ac-7b49-4b64-b87a-1448a5ee61e9"]}],"mendeley":{"formattedCitation":"&lt;sup&gt;[47]&lt;/sup&gt;","plainTextFormattedCitation":"[47]","previouslyFormattedCitation":"&lt;sup&gt;[47]&lt;/sup&gt;"},"properties":{"noteIndex":0},"schema":"https://github.com/citation-style-language/schema/raw/master/csl-citation.json"}</w:instrText>
      </w:r>
      <w:r w:rsidR="002A08D3" w:rsidRPr="005C7810">
        <w:rPr>
          <w:rFonts w:ascii="Book Antiqua" w:hAnsi="Book Antiqua" w:cs="Times New Roman"/>
          <w:sz w:val="24"/>
          <w:szCs w:val="24"/>
          <w:vertAlign w:val="superscript"/>
          <w:lang w:val="en-US"/>
        </w:rPr>
        <w:fldChar w:fldCharType="separate"/>
      </w:r>
      <w:r w:rsidR="00182B66" w:rsidRPr="005C7810">
        <w:rPr>
          <w:rFonts w:ascii="Book Antiqua" w:hAnsi="Book Antiqua" w:cs="Times New Roman"/>
          <w:sz w:val="24"/>
          <w:szCs w:val="24"/>
          <w:vertAlign w:val="superscript"/>
          <w:lang w:val="en-US"/>
        </w:rPr>
        <w:t>[47]</w:t>
      </w:r>
      <w:r w:rsidR="002A08D3" w:rsidRPr="005C7810">
        <w:rPr>
          <w:rFonts w:ascii="Book Antiqua" w:hAnsi="Book Antiqua" w:cs="Times New Roman"/>
          <w:sz w:val="24"/>
          <w:szCs w:val="24"/>
          <w:vertAlign w:val="superscript"/>
          <w:lang w:val="en-US"/>
        </w:rPr>
        <w:fldChar w:fldCharType="end"/>
      </w:r>
      <w:r w:rsidR="008B3D0E" w:rsidRPr="005C7810">
        <w:rPr>
          <w:rFonts w:ascii="Book Antiqua" w:hAnsi="Book Antiqua" w:cs="Times New Roman"/>
          <w:sz w:val="24"/>
          <w:szCs w:val="24"/>
          <w:lang w:val="en-US"/>
        </w:rPr>
        <w:t>, and</w:t>
      </w:r>
      <w:r w:rsidRPr="005C7810">
        <w:rPr>
          <w:rFonts w:ascii="Book Antiqua" w:hAnsi="Book Antiqua" w:cs="Times New Roman"/>
          <w:sz w:val="24"/>
          <w:szCs w:val="24"/>
          <w:lang w:val="en-US"/>
        </w:rPr>
        <w:t xml:space="preserve"> </w:t>
      </w:r>
      <w:r w:rsidR="008B3D0E" w:rsidRPr="005C7810">
        <w:rPr>
          <w:rFonts w:ascii="Book Antiqua" w:hAnsi="Book Antiqua" w:cs="Times New Roman"/>
          <w:sz w:val="24"/>
          <w:szCs w:val="24"/>
          <w:lang w:val="en-US"/>
        </w:rPr>
        <w:t>i</w:t>
      </w:r>
      <w:r w:rsidRPr="005C7810">
        <w:rPr>
          <w:rFonts w:ascii="Book Antiqua" w:hAnsi="Book Antiqua" w:cs="Times New Roman"/>
          <w:sz w:val="24"/>
          <w:szCs w:val="24"/>
          <w:lang w:val="en-US"/>
        </w:rPr>
        <w:t>ncrease</w:t>
      </w:r>
      <w:r w:rsidR="008B3D0E" w:rsidRPr="005C7810">
        <w:rPr>
          <w:rFonts w:ascii="Book Antiqua" w:hAnsi="Book Antiqua" w:cs="Times New Roman"/>
          <w:sz w:val="24"/>
          <w:szCs w:val="24"/>
          <w:lang w:val="en-US"/>
        </w:rPr>
        <w:t>d</w:t>
      </w:r>
      <w:r w:rsidRPr="005C7810">
        <w:rPr>
          <w:rFonts w:ascii="Book Antiqua" w:hAnsi="Book Antiqua" w:cs="Times New Roman"/>
          <w:sz w:val="24"/>
          <w:szCs w:val="24"/>
          <w:lang w:val="en-US"/>
        </w:rPr>
        <w:t xml:space="preserve"> CEA levels have been observed in all advanced GCs. The sensitivity </w:t>
      </w:r>
      <w:r w:rsidR="008B3D0E" w:rsidRPr="005C7810">
        <w:rPr>
          <w:rFonts w:ascii="Book Antiqua" w:hAnsi="Book Antiqua" w:cs="Times New Roman"/>
          <w:sz w:val="24"/>
          <w:szCs w:val="24"/>
          <w:lang w:val="en-US"/>
        </w:rPr>
        <w:t xml:space="preserve">and specificity </w:t>
      </w:r>
      <w:r w:rsidRPr="005C7810">
        <w:rPr>
          <w:rFonts w:ascii="Book Antiqua" w:hAnsi="Book Antiqua" w:cs="Times New Roman"/>
          <w:sz w:val="24"/>
          <w:szCs w:val="24"/>
          <w:lang w:val="en-US"/>
        </w:rPr>
        <w:t xml:space="preserve">of CEA for </w:t>
      </w:r>
      <w:r w:rsidR="008B3D0E" w:rsidRPr="005C7810">
        <w:rPr>
          <w:rFonts w:ascii="Book Antiqua" w:hAnsi="Book Antiqua" w:cs="Times New Roman"/>
          <w:sz w:val="24"/>
          <w:szCs w:val="24"/>
          <w:lang w:val="en-US"/>
        </w:rPr>
        <w:t xml:space="preserve">predicting GC </w:t>
      </w:r>
      <w:r w:rsidRPr="005C7810">
        <w:rPr>
          <w:rFonts w:ascii="Book Antiqua" w:hAnsi="Book Antiqua" w:cs="Times New Roman"/>
          <w:sz w:val="24"/>
          <w:szCs w:val="24"/>
          <w:lang w:val="en-US"/>
        </w:rPr>
        <w:t>recurrence is &lt;</w:t>
      </w:r>
      <w:r w:rsidR="000C5160"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60% </w:t>
      </w:r>
      <w:r w:rsidR="008B3D0E" w:rsidRPr="005C7810">
        <w:rPr>
          <w:rFonts w:ascii="Book Antiqua" w:hAnsi="Book Antiqua" w:cs="Times New Roman"/>
          <w:sz w:val="24"/>
          <w:szCs w:val="24"/>
          <w:lang w:val="en-US"/>
        </w:rPr>
        <w:t>and</w:t>
      </w:r>
      <w:r w:rsidRPr="005C7810">
        <w:rPr>
          <w:rFonts w:ascii="Book Antiqua" w:hAnsi="Book Antiqua" w:cs="Times New Roman"/>
          <w:sz w:val="24"/>
          <w:szCs w:val="24"/>
          <w:lang w:val="en-US"/>
        </w:rPr>
        <w:t xml:space="preserve"> &lt;</w:t>
      </w:r>
      <w:r w:rsidR="000C5160"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80%</w:t>
      </w:r>
      <w:r w:rsidR="008B3D0E" w:rsidRPr="005C7810">
        <w:rPr>
          <w:rFonts w:ascii="Book Antiqua" w:hAnsi="Book Antiqua" w:cs="Times New Roman"/>
          <w:sz w:val="24"/>
          <w:szCs w:val="24"/>
          <w:lang w:val="en-US"/>
        </w:rPr>
        <w:t>, respectively</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{"citationItems":[{"id":"ITEM-1","itemData":{"DOI":"10.1016/S0002-9610(00)00549-3","ISSN":"00029610","abstract":"Background: The aim of this longitudinal study was to evaluate the effectiveness of the serum tumor markers CEA, CA 19-9, and CA 72-4 in the early diagnosis of recurrence of gastric cancer. Methods: One hundred and thirty-three patients who had undergone potentially curative surgery were considered. Serum samples were obtained preoperatively, 1 week after surgery, and at every follow-up examination. Mean follow-up time for the entire patient population was 41 ± 33 months, and 71 ± 27 months for patients classified as disease-free. Results: Preoperative positivity was 16% for CEA, 35% for CA 19-9, and 20% for CA 72-4. Recurrence of disease was found in 75 patients (56%). Marker sensitivity in recurrent cases was 44% for CEA, 56% for CA 19-9, and 51% for CA 72-4; the combined use of the three markers increased sensitivity to 87%, which reached 100% in patients with positive preoperative levels. Marker specificity, evaluated in 58 disease-free patients, was 79% for CEA, 74% for CA 19-9, and 97% for CA 72-4. Conclusions: The combined assay of CEA, CA 19-9, and CA 72-4 may be useful for early diagnosis of recurrence of gastric cancer; however, only CA 72-4 positivity should be considered a specific predictor of tumor recurrence. © 2001 Excerpta Medica, Inc.","author":[{"dropping-particle":"","family":"Marrelli","given":"Daniele","non-dropping-particle":"","parse-names":false,"suffix":""},{"dropping-particle":"","family":"Pinto","given":"Enrico","non-dropping-particle":"","parse-names":false,"suffix":""},{"dropping-particle":"","family":"Stefano","given":"Alfonso","non-dropping-particle":"De","parse-names":false,"suffix":""},{"dropping-particle":"","family":"Farnetani","given":"Maurizio","non-dropping-particle":"","parse-names":false,"suffix":""},{"dropping-particle":"","family":"Garosi","given":"Lorenzo","non-dropping-particle":"","parse-names":false,"suffix":""},{"dropping-particle":"","family":"Roviello","given":"Franco","non-dropping-particle":"","parse-names":false,"suffix":""}],"container-title":"American Journal of Surgery","id":"ITEM-1","issue":"1","issued":{"date-parts":[["2001"]]},"page":"16-19","title":"Clinical utility of CEA, CA 19-9, and CA 72-4 in the follow-up of patients with resectable gastric cancer","type":"article-journal","volume":"181"},"uris":["http://www.mendeley.com/documents/?uuid=0ad840ba-d273-4e5d-84a0-37f18d088d94","http://www.mendeley.com/documents/?uuid=75befcd4-38ad-49b7-88fc-8e1431618e7e"]}],"mendeley":{"formattedCitation":"&lt;sup&gt;[48]&lt;/sup&gt;","plainTextFormattedCitation":"[48]","previouslyFormattedCitation":"&lt;sup&gt;[48]&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[48]</w:t>
      </w:r>
      <w:r w:rsidR="002A08D3"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CA19-9 </w:t>
      </w:r>
      <w:r w:rsidR="008B3D0E" w:rsidRPr="005C7810">
        <w:rPr>
          <w:rFonts w:ascii="Book Antiqua" w:hAnsi="Book Antiqua" w:cs="Times New Roman"/>
          <w:sz w:val="24"/>
          <w:szCs w:val="24"/>
          <w:lang w:val="en-US"/>
        </w:rPr>
        <w:t>i</w:t>
      </w:r>
      <w:r w:rsidRPr="005C7810">
        <w:rPr>
          <w:rFonts w:ascii="Book Antiqua" w:hAnsi="Book Antiqua" w:cs="Times New Roman"/>
          <w:sz w:val="24"/>
          <w:szCs w:val="24"/>
          <w:lang w:val="en-US"/>
        </w:rPr>
        <w:t>s a marker commonly used in GC, although</w:t>
      </w:r>
      <w:r w:rsidR="008B3D0E" w:rsidRPr="005C7810">
        <w:rPr>
          <w:rFonts w:ascii="Book Antiqua" w:hAnsi="Book Antiqua" w:cs="Times New Roman"/>
          <w:sz w:val="24"/>
          <w:szCs w:val="24"/>
          <w:lang w:val="en-US"/>
        </w:rPr>
        <w:t xml:space="preserve"> it is also</w:t>
      </w:r>
      <w:r w:rsidRPr="005C7810">
        <w:rPr>
          <w:rFonts w:ascii="Book Antiqua" w:hAnsi="Book Antiqua" w:cs="Times New Roman"/>
          <w:sz w:val="24"/>
          <w:szCs w:val="24"/>
          <w:lang w:val="en-US"/>
        </w:rPr>
        <w:t xml:space="preserve"> present in other neoplastic pathologies. In combination with other tumor markers, CA19-9 can provide more information to </w:t>
      </w:r>
      <w:r w:rsidRPr="005C7810">
        <w:rPr>
          <w:rFonts w:ascii="Book Antiqua" w:hAnsi="Book Antiqua" w:cs="Times New Roman"/>
          <w:sz w:val="24"/>
          <w:szCs w:val="24"/>
          <w:lang w:val="en-US"/>
        </w:rPr>
        <w:lastRenderedPageBreak/>
        <w:t>predict GC recurrence</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{"citationItems":[{"id":"ITEM-1","itemData":{"DOI":"10.1155/2015/549843","ISSN":"18758630","abstract":"&lt;p&gt; &lt;italic&gt;Background.&lt;/italic&gt; The clinical value of carbohydrate antigen (CA) 19-9 in gastric cancer is controversial. We evaluated the clinicopathologic and prognostic value of CA 19-9 in gastric cancer. &lt;italic&gt;Methods.&lt;/italic&gt; A literature search was conducted in PubMed and Embase databases. Odds ratios (ORs), risk ratios (RR), hazard ratios (HRs), and 95% confidence intervals (CIs) were used as effect measures. &lt;italic&gt;Results&lt;/italic&gt; . Thirty-eight studies were included. Results showed that there were significant differences in the incidence of high CA 19-9 levels between stages III/IV and I/II groups (OR = 3.36; 95% CI = 2.34–4.84), the pT3/T4 and pT1/T2 groups (OR = 2.40; 95% CI = 1.60–3.59), the lymph node-positive and node-negative groups (OR = 2.91; 95% CI = 2.21–3.84), the metastasis-positive and metastasis-negative groups (OR = 2.76; 95% CI = 1.12–6.82), and vessel invasion-positive and invasion-negative groups (OR = 1.66; 95% CI = 1.11–2.48). Moreover, CA 19-9 was significantly associated with poor overall survival (HR = 1.83; 95% CI = 1.56–2.15), disease-free survival (HR = 1.85; 95% CI = 1.16–2.95), and disease-specific survival (HR = 1.33; 95% CI = 1.10–1.60) in gastric cancer. &lt;italic&gt;Conclusions&lt;/italic&gt; . Our meta-analysis showed that CA 19-9 indicates clinicopathologic characteristics of gastric cancer and is associated with a poor prognosis. &lt;/p&gt;","author":[{"dropping-particle":"","family":"Song","given":"Yong Xi","non-dropping-particle":"","parse-names":false,"suffix":""},{"dropping-particle":"","family":"Huang","given":"Xuan Zhang","non-dropping-particle":"","parse-names":false,"suffix":""},{"dropping-particle":"","family":"Gao","given":"Peng","non-dropping-particle":"","parse-names":false,"suffix":""},{"dropping-particle":"","family":"Sun","given":"Jing Xu","non-dropping-particle":"","parse-names":false,"suffix":""},{"dropping-particle":"","family":"Chen","given":"Xiao Wan","non-dropping-particle":"","parse-names":false,"suffix":""},{"dropping-particle":"","family":"Yang","given":"Yu Chong","non-dropping-particle":"","parse-names":false,"suffix":""},{"dropping-particle":"","family":"Zhang","given":"Cong","non-dropping-particle":"","parse-names":false,"suffix":""},{"dropping-particle":"","family":"Liu","given":"Hong Peng","non-dropping-particle":"","parse-names":false,"suffix":""},{"dropping-particle":"","family":"Wang","given":"Hong Chi","non-dropping-particle":"","parse-names":false,"suffix":""},{"dropping-particle":"","family":"Wang","given":"Zhen Ning","non-dropping-particle":"","parse-names":false,"suffix":""}],"container-title":"Disease Markers","id":"ITEM-1","issue":"1","issued":{"date-parts":[["2015"]]},"page":"1-12","title":"Clinicopathologic and Prognostic Value of Serum Carbohydrate Antigen 19-9 in Gastric Cancer: A Meta-Analysis","type":"article-journal","volume":"2015"},"uris":["http://www.mendeley.com/documents/?uuid=99856d05-ec6a-43d4-8445-7ccf8fea93a8","http://www.mendeley.com/documents/?uuid=25063a95-8d0c-44df-b9f4-05cf792cd1d7"]}],"mendeley":{"formattedCitation":"&lt;sup&gt;[49]&lt;/sup&gt;","plainTextFormattedCitation":"[49]","previouslyFormattedCitation":"&lt;sup&gt;[49]&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[49]</w:t>
      </w:r>
      <w:r w:rsidR="002A08D3"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Other markers such as AFP and CA-125 </w:t>
      </w:r>
      <w:r w:rsidR="008B3D0E" w:rsidRPr="005C7810">
        <w:rPr>
          <w:rFonts w:ascii="Book Antiqua" w:hAnsi="Book Antiqua" w:cs="Times New Roman"/>
          <w:sz w:val="24"/>
          <w:szCs w:val="24"/>
          <w:lang w:val="en-US"/>
        </w:rPr>
        <w:t>are</w:t>
      </w:r>
      <w:r w:rsidRPr="005C7810">
        <w:rPr>
          <w:rFonts w:ascii="Book Antiqua" w:hAnsi="Book Antiqua" w:cs="Times New Roman"/>
          <w:sz w:val="24"/>
          <w:szCs w:val="24"/>
          <w:lang w:val="en-US"/>
        </w:rPr>
        <w:t xml:space="preserve"> widely used in the diagnosis of GC. AFP is an indicator of a high stage and presence of hepatic metastases</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{"citationItems":[{"id":"ITEM-1","itemData":{"author":[{"dropping-particle":"","family":"Kono K, Amemiya H, Sekikawa T, Iizuka H, Takahashi A, Fujii H","given":"Matsumoto Y","non-dropping-particle":"","parse-names":false,"suffix":""}],"container-title":"Dig Surg","id":"ITEM-1","issued":{"date-parts":[["2002"]]},"page":"359-365","title":"Clinicopathologic features of gastric cancers producing alpha-fetoprotein.","type":"article-journal","volume":"19"},"uris":["http://www.mendeley.com/documents/?uuid=61d61cff-3db7-494a-b9a0-8978b4c590a4","http://www.mendeley.com/documents/?uuid=8f4ae670-2371-4bf2-a24d-3ff876dc1751"]}],"mendeley":{"formattedCitation":"&lt;sup&gt;[50]&lt;/sup&gt;","plainTextFormattedCitation":"[50]","previouslyFormattedCitation":"&lt;sup&gt;[50]&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[50]</w:t>
      </w:r>
      <w:r w:rsidR="002A08D3" w:rsidRPr="005C7810">
        <w:rPr>
          <w:rFonts w:ascii="Book Antiqua" w:hAnsi="Book Antiqua" w:cs="Times New Roman"/>
          <w:sz w:val="24"/>
          <w:szCs w:val="24"/>
          <w:lang w:val="en-US"/>
        </w:rPr>
        <w:fldChar w:fldCharType="end"/>
      </w:r>
      <w:r w:rsidR="008B3D0E" w:rsidRPr="005C7810">
        <w:rPr>
          <w:rFonts w:ascii="Book Antiqua" w:hAnsi="Book Antiqua" w:cs="Times New Roman"/>
          <w:sz w:val="24"/>
          <w:szCs w:val="24"/>
          <w:lang w:val="en-US"/>
        </w:rPr>
        <w:t>, and</w:t>
      </w:r>
      <w:r w:rsidRPr="005C7810">
        <w:rPr>
          <w:rFonts w:ascii="Book Antiqua" w:hAnsi="Book Antiqua" w:cs="Times New Roman"/>
          <w:sz w:val="24"/>
          <w:szCs w:val="24"/>
          <w:lang w:val="en-US"/>
        </w:rPr>
        <w:t xml:space="preserve"> CA-125 is associated with peritoneal diffusion</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{"citationItems":[{"id":"ITEM-1","itemData":{"DOI":"10.1007/s10120-013-0259-5","ISBN":"1759-5053 (Electronic)\\r1759-5045 (Linking)","ISSN":"14363291","PMID":"23572188","abstract":"The aim of this review was to evaluate the clinical significance of serum tumor markers, particularly CEA, CA19-9, and CA72-4, in patients with gastric cancer. A systematic literature search was performed using PubMed/MEDLINE with the keywords \"gastric cancer\" and \"tumor marker,\" to select 4,925 relevant reports published before the end of November 2012. A total of 187 publications contained data for CEA and CA19-9, and 19 publications contained data related to all three tumor markers. The positive rates were 21.1 % for CEA, 27.8 % for CA19-9, and 30.0 % for CA72-4. These three markers were significantly associated with tumor stage and patient survival. Serum markers are not useful for early cancer, but they are useful for detecting recurrence and distant metastasis, predicting patient survival, and monitoring after surgery. Tumor marker monitoring may be useful for patients after surgery because the positive conversion of tumor markers usually occurs 2-3 months before imaging abnormalities. Among other tumor markers, alpha-fetoprotein (AFP) is useful for detecting and predicting liver metastases. Moreover, CA125 and sialyl Tn antigens (STN) are useful for detecting peritoneal metastases. Although no prospective trial has yet been completed to evaluate the clinical significance of these serum markers, this literature survey suggests that combinations of CEA, CA19-9, and CA72-4 are the most effective ways for staging before surgery or chemotherapy. In particular, monitoring tumor markers that were elevated before surgery or chemotherapy could be useful for detection of recurrence or evaluation of the response.","author":[{"dropping-particle":"","family":"Shimada","given":"Hideaki","non-dropping-particle":"","parse-names":false,"suffix":""},{"dropping-particle":"","family":"Noie","given":"Tamaki","non-dropping-particle":"","parse-names":false,"suffix":""},{"dropping-particle":"","family":"Ohashi","given":"Manabu","non-dropping-particle":"","parse-names":false,"suffix":""},{"dropping-particle":"","family":"Oba","given":"Koji","non-dropping-particle":"","parse-names":false,"suffix":""},{"dropping-particle":"","family":"Takahashi","given":"Yutaka","non-dropping-particle":"","parse-names":false,"suffix":""}],"container-title":"Gastric Cancer","id":"ITEM-1","issue":"1","issued":{"date-parts":[["2014"]]},"page":"26-33","title":"Clinical significance of serum tumor markers for gastric cancer: A systematic review of literature by the Task Force of the Japanese Gastric Cancer Association","type":"article-journal","volume":"17"},"uris":["http://www.mendeley.com/documents/?uuid=7e5fc3ac-7b49-4b64-b87a-1448a5ee61e9","http://www.mendeley.com/documents/?uuid=aeecb8de-ea82-4575-a3c0-92c2f9faf3f0"]}],"mendeley":{"formattedCitation":"&lt;sup&gt;[47]&lt;/sup&gt;","plainTextFormattedCitation":"[47]","previouslyFormattedCitation":"&lt;sup&gt;[47]&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[47]</w:t>
      </w:r>
      <w:r w:rsidR="002A08D3"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w:t>
      </w:r>
    </w:p>
    <w:p w:rsidR="00AB63C1" w:rsidRPr="005C7810" w:rsidRDefault="00EE07CA" w:rsidP="00CD380F">
      <w:pPr>
        <w:suppressAutoHyphens w:val="0"/>
        <w:autoSpaceDE w:val="0"/>
        <w:autoSpaceDN w:val="0"/>
        <w:adjustRightInd w:val="0"/>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ab/>
      </w:r>
      <w:r w:rsidR="00B8125B" w:rsidRPr="005C7810">
        <w:rPr>
          <w:rFonts w:ascii="Book Antiqua" w:hAnsi="Book Antiqua" w:cs="Times New Roman"/>
          <w:sz w:val="24"/>
          <w:szCs w:val="24"/>
          <w:lang w:val="en-US"/>
        </w:rPr>
        <w:t xml:space="preserve">Among the new biomarkers, </w:t>
      </w:r>
      <w:r w:rsidR="008B3D0E" w:rsidRPr="005C7810">
        <w:rPr>
          <w:rFonts w:ascii="Book Antiqua" w:hAnsi="Book Antiqua" w:cs="Times New Roman"/>
          <w:sz w:val="24"/>
          <w:szCs w:val="24"/>
          <w:lang w:val="en-US"/>
        </w:rPr>
        <w:t xml:space="preserve">human </w:t>
      </w:r>
      <w:r w:rsidR="00B94442" w:rsidRPr="005C7810">
        <w:rPr>
          <w:rFonts w:ascii="Book Antiqua" w:hAnsi="Book Antiqua" w:cs="Times New Roman"/>
          <w:sz w:val="24"/>
          <w:szCs w:val="24"/>
          <w:lang w:val="en-US"/>
        </w:rPr>
        <w:t xml:space="preserve">epidermal </w:t>
      </w:r>
      <w:r w:rsidR="008B3D0E" w:rsidRPr="005C7810">
        <w:rPr>
          <w:rFonts w:ascii="Book Antiqua" w:hAnsi="Book Antiqua" w:cs="Times New Roman"/>
          <w:sz w:val="24"/>
          <w:szCs w:val="24"/>
          <w:lang w:val="en-US"/>
        </w:rPr>
        <w:t>growth factor receptor 2 (</w:t>
      </w:r>
      <w:r w:rsidR="00B94442" w:rsidRPr="005C7810">
        <w:rPr>
          <w:rFonts w:ascii="Book Antiqua" w:hAnsi="Book Antiqua" w:cs="Times New Roman"/>
          <w:sz w:val="24"/>
          <w:szCs w:val="24"/>
          <w:lang w:val="en-US"/>
        </w:rPr>
        <w:t xml:space="preserve">encoded by </w:t>
      </w:r>
      <w:r w:rsidR="007432E3" w:rsidRPr="005C7810">
        <w:rPr>
          <w:rFonts w:ascii="Book Antiqua" w:hAnsi="Book Antiqua" w:cs="Times New Roman"/>
          <w:i/>
          <w:sz w:val="24"/>
          <w:szCs w:val="24"/>
          <w:lang w:val="en-US"/>
        </w:rPr>
        <w:t>ERBB2</w:t>
      </w:r>
      <w:r w:rsidR="00B94442" w:rsidRPr="005C7810">
        <w:rPr>
          <w:rFonts w:ascii="Book Antiqua" w:hAnsi="Book Antiqua" w:cs="Times New Roman"/>
          <w:i/>
          <w:sz w:val="24"/>
          <w:szCs w:val="24"/>
          <w:lang w:val="en-US"/>
        </w:rPr>
        <w:t xml:space="preserve"> </w:t>
      </w:r>
      <w:r w:rsidR="00B94442" w:rsidRPr="005C7810">
        <w:rPr>
          <w:rFonts w:ascii="Book Antiqua" w:hAnsi="Book Antiqua" w:cs="Times New Roman"/>
          <w:sz w:val="24"/>
          <w:szCs w:val="24"/>
          <w:lang w:val="en-US"/>
        </w:rPr>
        <w:t>commonly referred</w:t>
      </w:r>
      <w:r w:rsidR="00B94442" w:rsidRPr="005C7810">
        <w:rPr>
          <w:rFonts w:ascii="Book Antiqua" w:hAnsi="Book Antiqua" w:cs="Times New Roman"/>
          <w:i/>
          <w:sz w:val="24"/>
          <w:szCs w:val="24"/>
          <w:lang w:val="en-US"/>
        </w:rPr>
        <w:t xml:space="preserve"> </w:t>
      </w:r>
      <w:r w:rsidR="00383A6E" w:rsidRPr="005C7810">
        <w:rPr>
          <w:rFonts w:ascii="Book Antiqua" w:hAnsi="Book Antiqua" w:cs="Times New Roman"/>
          <w:sz w:val="24"/>
          <w:szCs w:val="24"/>
          <w:lang w:val="en-US"/>
        </w:rPr>
        <w:t>to as</w:t>
      </w:r>
      <w:r w:rsidR="00383A6E" w:rsidRPr="005C7810">
        <w:rPr>
          <w:rFonts w:ascii="Book Antiqua" w:hAnsi="Book Antiqua" w:cs="Times New Roman"/>
          <w:i/>
          <w:sz w:val="24"/>
          <w:szCs w:val="24"/>
          <w:lang w:val="en-US"/>
        </w:rPr>
        <w:t xml:space="preserve"> </w:t>
      </w:r>
      <w:r w:rsidR="00B94442" w:rsidRPr="005C7810">
        <w:rPr>
          <w:rFonts w:ascii="Book Antiqua" w:hAnsi="Book Antiqua" w:cs="Times New Roman"/>
          <w:i/>
          <w:sz w:val="24"/>
          <w:szCs w:val="24"/>
          <w:lang w:val="en-US"/>
        </w:rPr>
        <w:t>HER2</w:t>
      </w:r>
      <w:r w:rsidR="007432E3"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represents the first biomarker available in clinical practice for patients with GC. HER2 belongs to the EGFR family and has tyrosine kinase activity</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{"citationItems":[{"id":"ITEM-1","itemData":{"author":[{"dropping-particle":"","family":"Akiyama T, Sudo C, Ogawara H, Toyoshima K","given":"Yamamoto T","non-dropping-particle":"","parse-names":false,"suffix":""}],"container-title":"Science","id":"ITEM-1","issued":{"date-parts":[["1986"]]},"page":"1644-1646","title":"The product of the human c-erbB-2 gene: a 185-kilodalton glycoprotein with tyrosine kinase activity. Science 1986","type":"article-journal","volume":"232"},"uris":["http://www.mendeley.com/documents/?uuid=670d6b49-a0ec-4db4-8634-8f9492c41549","http://www.mendeley.com/documents/?uuid=bc3aaa22-4ce8-4f71-b635-372dd9e1a99f"]}],"mendeley":{"formattedCitation":"&lt;sup&gt;[51]&lt;/sup&gt;","plainTextFormattedCitation":"[51]","previouslyFormattedCitation":"&lt;sup&gt;[51]&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[51]</w:t>
      </w:r>
      <w:r w:rsidR="002A08D3"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w:t>
      </w:r>
      <w:r w:rsidR="008B3D0E" w:rsidRPr="005C7810">
        <w:rPr>
          <w:rFonts w:ascii="Book Antiqua" w:hAnsi="Book Antiqua" w:cs="Times New Roman"/>
          <w:sz w:val="24"/>
          <w:szCs w:val="24"/>
          <w:lang w:val="en-US"/>
        </w:rPr>
        <w:t xml:space="preserve">An estimated </w:t>
      </w:r>
      <w:r w:rsidR="00B8125B" w:rsidRPr="005C7810">
        <w:rPr>
          <w:rFonts w:ascii="Book Antiqua" w:hAnsi="Book Antiqua" w:cs="Times New Roman"/>
          <w:sz w:val="24"/>
          <w:szCs w:val="24"/>
          <w:lang w:val="en-US"/>
        </w:rPr>
        <w:t>6</w:t>
      </w:r>
      <w:r w:rsidR="000C5160" w:rsidRPr="005C7810">
        <w:rPr>
          <w:rFonts w:ascii="Book Antiqua" w:hAnsi="Book Antiqua" w:cs="Times New Roman"/>
          <w:sz w:val="24"/>
          <w:szCs w:val="24"/>
          <w:lang w:val="en-US"/>
        </w:rPr>
        <w:t>%</w:t>
      </w:r>
      <w:r w:rsidR="008B3D0E"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23% of GCs have overexpression and/or amplification of </w:t>
      </w:r>
      <w:r w:rsidR="00B8125B" w:rsidRPr="005C7810">
        <w:rPr>
          <w:rFonts w:ascii="Book Antiqua" w:hAnsi="Book Antiqua" w:cs="Times New Roman"/>
          <w:i/>
          <w:sz w:val="24"/>
          <w:szCs w:val="24"/>
          <w:lang w:val="en-US"/>
        </w:rPr>
        <w:t>HER2</w:t>
      </w:r>
      <w:r w:rsidR="002A08D3" w:rsidRPr="005C7810">
        <w:rPr>
          <w:rFonts w:ascii="Book Antiqua" w:hAnsi="Book Antiqua" w:cs="Times New Roman"/>
          <w:i/>
          <w:sz w:val="24"/>
          <w:szCs w:val="24"/>
          <w:lang w:val="en-US"/>
        </w:rPr>
        <w:fldChar w:fldCharType="begin" w:fldLock="1"/>
      </w:r>
      <w:r w:rsidR="00AB32F3" w:rsidRPr="005C7810">
        <w:rPr>
          <w:rFonts w:ascii="Book Antiqua" w:hAnsi="Book Antiqua" w:cs="Times New Roman"/>
          <w:i/>
          <w:sz w:val="24"/>
          <w:szCs w:val="24"/>
          <w:lang w:val="en-US"/>
        </w:rPr>
        <w:instrText>ADDIN CSL_CITATION {"citationItems":[{"id":"ITEM-1","itemData":{"DOI":"10.1093/annonc/mdt232","ISBN":"8621641755","ISSN":"0923-7534","author":[{"dropping-particle":"","family":"Zhou","given":"X. Y.","non-dropping-particle":"","parse-names":false,"suffix":""},{"dropping-particle":"","family":"Du","given":"X.","non-dropping-particle":"","parse-names":false,"suffix":""},{"dropping-particle":"","family":"Ying","given":"J. M.","non-dropping-particle":"","parse-names":false,"suffix":""},{"dropping-particle":"","family":"Huang","given":"D.","non-dropping-particle":"","parse-names":false,"suffix":""},{"dropping-particle":"","family":"Bu","given":"H.","non-dropping-particle":"","parse-names":false,"suffix":""},{"dropping-particle":"","family":"Wu","given":"H. M.","non-dropping-particle":"","parse-names":false,"suffix":""},{"dropping-particle":"","family":"Liu","given":"J. P.","non-dropping-particle":"","parse-names":false,"suffix":""},{"dropping-particle":"","family":"Liu","given":"Y. H.","non-dropping-particle":"","parse-names":false,"suffix":""},{"dropping-particle":"","family":"Lu","given":"N.","non-dropping-particle":"","parse-names":false,"suffix":""},{"dropping-particle":"","family":"Sheng","given":"W. Q.","non-dropping-particle":"","parse-names":false,"suffix":""}],"container-title":"Annals of Oncology","id":"ITEM-1","issue":"9","issued":{"date-parts":[["2013"]]},"page":"2360-2364","title":"HER2 status in gastric cancers: a retrospective analysis from four Chinese representative clinical centers and assessment of its prognostic significance","type":"article-journal","volume":"24"},"uris":["http://www.mendeley.com/documents/?uuid=8e245551-7c9e-41b1-9ee7-f585e41e7a67","http://www.mendeley.com/documents/?uuid=238097fc-ddf2-4f3c-a9dd-c2aa4561b1a6"]},{"id":"ITEM-2","itemData":{"DOI":"10.1093/annonc/mdn169","ISBN":"3491390834","ISSN":"09237534","PMID":"18441328","abstract":"Gastric cancer is the second leading cause of cancer mortality in the world and its management, especially in advanced stages, has evolved relatively little. In particular, no targeted modality has so far been incorporated to its treatment armamentarium. HER2 overexpression is increasingly recognized as a frequent molecular abnormality, driven as in breast cancer by gene amplification. There is mounting evidence of the role of HER2 overexpression in patients with gastric cancer, and it has been solidly correlated to poor outcomes and a more aggressive disease. Additionally, preclinical data are showing significant antitumor efficacy of anti-HER2 therapies (particularly monoclonal antibodies directed towards the protein) in in vitro and in vivo models of gastric cancer. As a result, several clinical trials are exploring in different settings and with diverse designs the potential of anti-HER2 therapies in gastric cancer patients. This review summarizes the rationale, preclinical evidence, retrospective clinical analyses, and the interim clinical data pertaining HER2 therapies in gastric cancer.","author":[{"dropping-particle":"","family":"Gravalos","given":"C.","non-dropping-particle":"","parse-names":false,"suffix":""},{"dropping-particle":"","family":"Jimeno","given":"A.","non-dropping-particle":"","parse-names":false,"suffix":""}],"container-title":"Annals of Oncology","id":"ITEM-2","issue":"9","issued":{"date-parts":[["2008"]]},"page":"1523-1529","title":"HER2 in gastric cancer: A new prognostic factor and a novel therapeutic target","type":"article-journal","volume":"19"},"uris":["http://www.mendeley.com/documents/?uuid=2525d318-ac03-4977-84aa-04fe8b787d2d","http://www.mendeley.com/documents/?uuid=b723ad44-9676-4d37-847c-0fcb9624329e"]}],"mendeley":{"formattedCitation":"&lt;sup&gt;[52,53]&lt;/sup&gt;","manualFormatting":"[48–49]","plainTextFormattedCitation":"[52,53]","previouslyFormattedCitation":"&lt;sup&gt;[52,53]&lt;/sup&gt;"},"properties":{"noteIndex":0},"schema":"https://github.com/citation-style-language/schema/raw/master/csl-citation.json"}</w:instrText>
      </w:r>
      <w:r w:rsidR="002A08D3" w:rsidRPr="005C7810">
        <w:rPr>
          <w:rFonts w:ascii="Book Antiqua" w:hAnsi="Book Antiqua" w:cs="Times New Roman"/>
          <w:i/>
          <w:sz w:val="24"/>
          <w:szCs w:val="24"/>
          <w:lang w:val="en-US"/>
        </w:rPr>
        <w:fldChar w:fldCharType="separate"/>
      </w:r>
      <w:r w:rsidR="0009064F" w:rsidRPr="005C7810">
        <w:rPr>
          <w:rFonts w:ascii="Book Antiqua" w:hAnsi="Book Antiqua" w:cs="Times New Roman"/>
          <w:sz w:val="24"/>
          <w:szCs w:val="24"/>
          <w:vertAlign w:val="superscript"/>
          <w:lang w:val="en-US"/>
        </w:rPr>
        <w:t>[52</w:t>
      </w:r>
      <w:r w:rsidR="009131DA" w:rsidRPr="005C7810">
        <w:rPr>
          <w:rFonts w:ascii="Book Antiqua" w:hAnsi="Book Antiqua" w:cs="Times New Roman"/>
          <w:sz w:val="24"/>
          <w:szCs w:val="24"/>
          <w:vertAlign w:val="superscript"/>
          <w:lang w:val="en-US"/>
        </w:rPr>
        <w:t>,</w:t>
      </w:r>
      <w:r w:rsidR="0009064F" w:rsidRPr="005C7810">
        <w:rPr>
          <w:rFonts w:ascii="Book Antiqua" w:hAnsi="Book Antiqua" w:cs="Times New Roman"/>
          <w:sz w:val="24"/>
          <w:szCs w:val="24"/>
          <w:vertAlign w:val="superscript"/>
          <w:lang w:val="en-US"/>
        </w:rPr>
        <w:t>53</w:t>
      </w:r>
      <w:r w:rsidR="00856B5E" w:rsidRPr="005C7810">
        <w:rPr>
          <w:rFonts w:ascii="Book Antiqua" w:hAnsi="Book Antiqua" w:cs="Times New Roman"/>
          <w:sz w:val="24"/>
          <w:szCs w:val="24"/>
          <w:vertAlign w:val="superscript"/>
          <w:lang w:val="en-US"/>
        </w:rPr>
        <w:t>]</w:t>
      </w:r>
      <w:r w:rsidR="002A08D3" w:rsidRPr="005C7810">
        <w:rPr>
          <w:rFonts w:ascii="Book Antiqua" w:hAnsi="Book Antiqua" w:cs="Times New Roman"/>
          <w:i/>
          <w:sz w:val="24"/>
          <w:szCs w:val="24"/>
          <w:lang w:val="en-US"/>
        </w:rPr>
        <w:fldChar w:fldCharType="end"/>
      </w:r>
      <w:r w:rsidR="00B8125B" w:rsidRPr="005C7810">
        <w:rPr>
          <w:rFonts w:ascii="Book Antiqua" w:hAnsi="Book Antiqua" w:cs="Times New Roman"/>
          <w:sz w:val="24"/>
          <w:szCs w:val="24"/>
          <w:lang w:val="en-US"/>
        </w:rPr>
        <w:t>, and it is mainly found in intestinal tumors</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{"citationItems":[{"id":"ITEM-1","itemData":{"DOI":"10.1093/annonc/mds104","ISBN":"4969760136","ISSN":"0923-7534","author":[{"dropping-particle":"","family":"Kelsen","given":"D. P.","non-dropping-particle":"","parse-names":false,"suffix":""},{"dropping-particle":"","family":"Steinmetz","given":"K.","non-dropping-particle":"","parse-names":false,"suffix":""},{"dropping-particle":"","family":"Robinson","given":"E.","non-dropping-particle":"","parse-names":false,"suffix":""},{"dropping-particle":"","family":"Altmannsberger","given":"H.-M.","non-dropping-particle":"","parse-names":false,"suffix":""},{"dropping-particle":"","family":"Shah","given":"M. A.","non-dropping-particle":"","parse-names":false,"suffix":""},{"dropping-particle":"","family":"Pauligk","given":"C.","non-dropping-particle":"","parse-names":false,"suffix":""},{"dropping-particle":"","family":"Tafe","given":"L. J.","non-dropping-particle":"","parse-names":false,"suffix":""},{"dropping-particle":"","family":"Tang","given":"L. H.","non-dropping-particle":"","parse-names":false,"suffix":""},{"dropping-particle":"","family":"Janjigian","given":"Y. Y.","non-dropping-particle":"","parse-names":false,"suffix":""},{"dropping-particle":"","family":"Jäger","given":"E.","non-dropping-particle":"","parse-names":false,"suffix":""},{"dropping-particle":"","family":"Al-Batran","given":"S.-E.","non-dropping-particle":"","parse-names":false,"suffix":""},{"dropping-particle":"","family":"Werner","given":"D.","non-dropping-particle":"","parse-names":false,"suffix":""}],"container-title":"Annals of Oncology","id":"ITEM-1","issue":"10","issued":{"date-parts":[["2012"]]},"page":"2656-2662","title":"Prognosis of metastatic gastric and gastroesophageal junction cancer by HER2 status: a European and USA International collaborative analysis","type":"article-journal","volume":"23"},"uris":["http://www.mendeley.com/documents/?uuid=acda36d3-a91f-4ef3-bfa4-8c4057a43a02","http://www.mendeley.com/documents/?uuid=f2da2d99-6122-4557-931d-2bf741e9edb2"]},{"id":"ITEM-2","itemData":{"DOI":"10.1038/bjc.2011.121","ISSN":"0007-0920","author":[{"dropping-particle":"","family":"Bozzetti C, Negri FV, Lagrasta CA, Crafa P, Bassano C, Tamagnini I, Gardini G, Nizzoli R, Leonardi F, Gasparro D, Camisa R, Cavalli S, Silini EM","given":"Ardizzoni A","non-dropping-particle":"","parse-names":false,"suffix":""}],"container-title":"British Journal of Cancer","id":"ITEM-2","issue":"9","issued":{"date-parts":[["2011"]]},"page":"1372-1376","publisher":"Nature Publishing Group","title":"Comparison of HER2 status in primary and paired metastatic sites of gastric carcinoma","type":"article-journal","volume":"104"},"uris":["http://www.mendeley.com/documents/?uuid=b38905dd-dfdd-4b30-8313-0a3ac3baee15","http://www.mendeley.com/documents/?uuid=ddd52014-68a0-489a-877a-8f60bc740a18"]}],"mendeley":{"formattedCitation":"&lt;sup&gt;[54,55]&lt;/sup&gt;","manualFormatting":"[50–51]","plainTextFormattedCitation":"[54,55]","previouslyFormattedCitation":"&lt;sup&gt;[54,55]&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09064F" w:rsidRPr="005C7810">
        <w:rPr>
          <w:rFonts w:ascii="Book Antiqua" w:hAnsi="Book Antiqua" w:cs="Times New Roman"/>
          <w:sz w:val="24"/>
          <w:szCs w:val="24"/>
          <w:vertAlign w:val="superscript"/>
          <w:lang w:val="en-US"/>
        </w:rPr>
        <w:t>[54</w:t>
      </w:r>
      <w:r w:rsidR="009131DA" w:rsidRPr="005C7810">
        <w:rPr>
          <w:rFonts w:ascii="Book Antiqua" w:hAnsi="Book Antiqua" w:cs="Times New Roman"/>
          <w:sz w:val="24"/>
          <w:szCs w:val="24"/>
          <w:vertAlign w:val="superscript"/>
          <w:lang w:val="en-US"/>
        </w:rPr>
        <w:t>,</w:t>
      </w:r>
      <w:r w:rsidR="0009064F" w:rsidRPr="005C7810">
        <w:rPr>
          <w:rFonts w:ascii="Book Antiqua" w:hAnsi="Book Antiqua" w:cs="Times New Roman"/>
          <w:sz w:val="24"/>
          <w:szCs w:val="24"/>
          <w:vertAlign w:val="superscript"/>
          <w:lang w:val="en-US"/>
        </w:rPr>
        <w:t>55</w:t>
      </w:r>
      <w:r w:rsidR="00856B5E" w:rsidRPr="005C7810">
        <w:rPr>
          <w:rFonts w:ascii="Book Antiqua" w:hAnsi="Book Antiqua" w:cs="Times New Roman"/>
          <w:sz w:val="24"/>
          <w:szCs w:val="24"/>
          <w:vertAlign w:val="superscript"/>
          <w:lang w:val="en-US"/>
        </w:rPr>
        <w:t>]</w:t>
      </w:r>
      <w:r w:rsidR="002A08D3"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HER2 is used in clinical practice </w:t>
      </w:r>
      <w:r w:rsidR="009F48C7" w:rsidRPr="005C7810">
        <w:rPr>
          <w:rFonts w:ascii="Book Antiqua" w:hAnsi="Book Antiqua" w:cs="Times New Roman"/>
          <w:sz w:val="24"/>
          <w:szCs w:val="24"/>
          <w:lang w:val="en-US"/>
        </w:rPr>
        <w:t>for</w:t>
      </w:r>
      <w:r w:rsidR="00B8125B" w:rsidRPr="005C7810">
        <w:rPr>
          <w:rFonts w:ascii="Book Antiqua" w:hAnsi="Book Antiqua" w:cs="Times New Roman"/>
          <w:sz w:val="24"/>
          <w:szCs w:val="24"/>
          <w:lang w:val="en-US"/>
        </w:rPr>
        <w:t xml:space="preserve"> targeted therapy.</w:t>
      </w:r>
      <w:r w:rsidR="00C41D88" w:rsidRPr="005C7810">
        <w:rPr>
          <w:rFonts w:ascii="Book Antiqua" w:hAnsi="Book Antiqua" w:cs="Times New Roman"/>
          <w:sz w:val="24"/>
          <w:szCs w:val="24"/>
          <w:lang w:val="en-US"/>
        </w:rPr>
        <w:t xml:space="preserve"> </w:t>
      </w:r>
      <w:r w:rsidR="00ED1F13" w:rsidRPr="005C7810">
        <w:rPr>
          <w:rFonts w:ascii="Book Antiqua" w:hAnsi="Book Antiqua" w:cs="Times New Roman"/>
          <w:sz w:val="24"/>
          <w:szCs w:val="24"/>
          <w:lang w:val="en-US"/>
        </w:rPr>
        <w:t>EGFR or ERBB1 is expressed in about 30% of GCs</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{"citationItems":[{"id":"ITEM-1","itemData":{"DOI":"10.1111/j.1365-2559.2008.03021.x","author":[{"dropping-particle":"","family":"Kim","given":"M A","non-dropping-particle":"","parse-names":false,"suffix":""},{"dropping-particle":"","family":"Lee","given":"H S","non-dropping-particle":"","parse-names":false,"suffix":""},{"dropping-particle":"","family":"Lee","given":"H E","non-dropping-particle":"","parse-names":false,"suffix":""},{"dropping-particle":"","family":"Jeon","given":"Y K","non-dropping-particle":"","parse-names":false,"suffix":""},{"dropping-particle":"","family":"Yang","given":"H K","non-dropping-particle":"","parse-names":false,"suffix":""},{"dropping-particle":"","family":"Kim","given":"W H","non-dropping-particle":"","parse-names":false,"suffix":""}],"id":"ITEM-1","issue":"M","issued":{"date-parts":[["2008"]]},"page":"738-746","title":"EGFR in gastric carcinomas : prognostic significance of protein overexpression and high gene copy number","type":"article-journal"},"uris":["http://www.mendeley.com/documents/?uuid=1aa9eea9-588f-4f09-9077-07757f4181fd","http://www.mendeley.com/documents/?uuid=e290024e-85b0-4fdc-bd98-85f0ee4315d3"]}],"mendeley":{"formattedCitation":"&lt;sup&gt;[56]&lt;/sup&gt;","plainTextFormattedCitation":"[56]","previouslyFormattedCitation":"&lt;sup&gt;[56]&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[56]</w:t>
      </w:r>
      <w:r w:rsidR="002A08D3" w:rsidRPr="005C7810">
        <w:rPr>
          <w:rFonts w:ascii="Book Antiqua" w:hAnsi="Book Antiqua" w:cs="Times New Roman"/>
          <w:sz w:val="24"/>
          <w:szCs w:val="24"/>
          <w:lang w:val="en-US"/>
        </w:rPr>
        <w:fldChar w:fldCharType="end"/>
      </w:r>
      <w:r w:rsidR="00ED1F13" w:rsidRPr="005C7810">
        <w:rPr>
          <w:rFonts w:ascii="Book Antiqua" w:hAnsi="Book Antiqua" w:cs="Times New Roman"/>
          <w:sz w:val="24"/>
          <w:szCs w:val="24"/>
          <w:lang w:val="en-US"/>
        </w:rPr>
        <w:t>.</w:t>
      </w:r>
      <w:r w:rsidR="00ED1F13" w:rsidRPr="005C7810">
        <w:rPr>
          <w:rFonts w:ascii="Book Antiqua" w:hAnsi="Book Antiqua" w:cs="Times New Roman"/>
          <w:b/>
          <w:sz w:val="24"/>
          <w:szCs w:val="24"/>
          <w:lang w:val="en-US"/>
        </w:rPr>
        <w:t xml:space="preserve"> </w:t>
      </w:r>
      <w:r w:rsidR="00ED1F13" w:rsidRPr="005C7810">
        <w:rPr>
          <w:rFonts w:ascii="Book Antiqua" w:hAnsi="Book Antiqua" w:cs="Times New Roman"/>
          <w:sz w:val="24"/>
          <w:szCs w:val="24"/>
          <w:lang w:val="en-US"/>
        </w:rPr>
        <w:t>The overexpression of EGFR in the pathogenesis of GC</w:t>
      </w:r>
      <w:r w:rsidR="00372563" w:rsidRPr="005C7810">
        <w:rPr>
          <w:rFonts w:ascii="Book Antiqua" w:hAnsi="Book Antiqua" w:cs="Times New Roman"/>
          <w:sz w:val="24"/>
          <w:szCs w:val="24"/>
          <w:lang w:val="en-US"/>
        </w:rPr>
        <w:t xml:space="preserve"> </w:t>
      </w:r>
      <w:r w:rsidR="00ED1F13" w:rsidRPr="005C7810">
        <w:rPr>
          <w:rFonts w:ascii="Book Antiqua" w:hAnsi="Book Antiqua" w:cs="Times New Roman"/>
          <w:sz w:val="24"/>
          <w:szCs w:val="24"/>
          <w:lang w:val="en-US"/>
        </w:rPr>
        <w:t>is associated with a poorly differentiated histology, vascular invasion</w:t>
      </w:r>
      <w:r w:rsidR="00372563" w:rsidRPr="005C7810">
        <w:rPr>
          <w:rFonts w:ascii="Book Antiqua" w:hAnsi="Book Antiqua" w:cs="Times New Roman"/>
          <w:sz w:val="24"/>
          <w:szCs w:val="24"/>
          <w:lang w:val="en-US"/>
        </w:rPr>
        <w:t>,</w:t>
      </w:r>
      <w:r w:rsidR="00ED1F13" w:rsidRPr="005C7810">
        <w:rPr>
          <w:rFonts w:ascii="Book Antiqua" w:hAnsi="Book Antiqua" w:cs="Times New Roman"/>
          <w:sz w:val="24"/>
          <w:szCs w:val="24"/>
          <w:lang w:val="en-US"/>
        </w:rPr>
        <w:t xml:space="preserve"> and shorter survival</w:t>
      </w:r>
      <w:r w:rsidR="002A08D3"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{"citationItems":[{"id":"ITEM-1","itemData":{"DOI":"10.1002/cncr.22445","ISSN":"0008543X","abstract":"BACKGROUND: The prognosis for patients with esophageal and esophagogastric junction (EGJ) adenocarcinoma remains poor, even after surgical resection. Pathologic assessment of depth of invasion and lymph node status are the primary prognostic factors in these patients. In patients with esophageal squamous cell carcinoma, increased epidermal growth factor receptor (EGFR) expression has been associated with a worse prognosis. It is not known whether EGFR plays a similar role in esophageal and EGJ adenocarcinomas. METHODS: To address this issue, the authors studied tumor specimens from 103 patients with surgically resected esophageal and EGJ adenocarcinomas (9 patients with stage I disease, 23 patients with stage II disease, 57 patients with stage III disease, and 14 patients with stage IV disease). The expression of EGFR was assessed by immunohistochemical analysis of tissue microarrays. Tumors were considered positive for EGFR expression when &gt;5% of tumor cells were stained and negative when &lt;or=5% of tumor cells were stained. RESULTS: EGFR was expressed in 33 of 103 adenocarcinomas (32%) and was correlated with higher pathologic tumor (T) classification (P = .02), the presence of lymph node metastasis (P = .01), and higher pathologic tumor, lymph node, metastasis classification (P = .02). EGFR expression also was correlated with shorter disease-free and overall survival in univariate analyses (P = .001 and P = .004, respectively), and there was a trend toward a correlation between EGFR expression and shorter disease-free survival in multivariate analyses (P = .07 and P = .08). The results demonstrated that EGFR expression in esophageal adenocarcinomas was correlated with advanced pathologic tumor classification and lymph node metastasis. EGFR expression also was correlated with poor disease-free and overall survival, but that correlation was not independent of T classification. CONCLUSIONS: The current findings suggested that EGFR expression correlates with poor prognostic factors and may be used to predict patient outcomes.","author":[{"dropping-particle":"","family":"Wang","given":"Kim L.","non-dropping-particle":"","parse-names":false,"suffix":""},{"dropping-particle":"","family":"Wu","given":"Tsung Teh","non-dropping-particle":"","parse-names":false,"suffix":""},{"dropping-particle":"","family":"In","given":"Seon Choi","non-dropping-particle":"","parse-names":false,"suffix":""},{"dropping-particle":"","family":"Wang","given":"Huamin","non-dropping-particle":"","parse-names":false,"suffix":""},{"dropping-particle":"","family":"Reseetkova","given":"Erika","non-dropping-particle":"","parse-names":false,"suffix":""},{"dropping-particle":"","family":"Correa","given":"Arlene M.","non-dropping-particle":"","parse-names":false,"suffix":""},{"dropping-particle":"","family":"Hofstetter","given":"Wayne L.","non-dropping-particle":"","parse-names":false,"suffix":""},{"dropping-particle":"","family":"Swisher","given":"Stephen G.","non-dropping-particle":"","parse-names":false,"suffix":""},{"dropping-particle":"","family":"Ajani","given":"Jaffer A.","non-dropping-particle":"","parse-names":false,"suffix":""},{"dropping-particle":"","family":"Rashid","given":"Asif","non-dropping-particle":"","parse-names":false,"suffix":""},{"dropping-particle":"","family":"Albarracin","given":"Constance T.","non-dropping-particle":"","parse-names":false,"suffix":""}],"container-title":"Cancer","id":"ITEM-1","issue":"4","issued":{"date-parts":[["2007"]]},"page":"658-667","title":"Expression of epidermal growth factor receptor in esophageal and esophagogastric junction adenocarcinomas: Association with poor outcome","type":"article-journal","volume":"109"},"uris":["http://www.mendeley.com/documents/?uuid=8cab9ae9-67a6-4d34-88d2-eee0bcab71ca","http://www.mendeley.com/documents/?uuid=b87e4d14-31e6-450c-8049-96e564b1fa50"]}],"mendeley":{"formattedCitation":"&lt;sup&gt;[57]&lt;/sup&gt;","plainTextFormattedCitation":"[57]","previouslyFormattedCitation":"&lt;sup&gt;[57]&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[57]</w:t>
      </w:r>
      <w:r w:rsidR="002A08D3" w:rsidRPr="005C7810">
        <w:rPr>
          <w:rFonts w:ascii="Book Antiqua" w:hAnsi="Book Antiqua" w:cs="Times New Roman"/>
          <w:sz w:val="24"/>
          <w:szCs w:val="24"/>
          <w:lang w:val="en-US"/>
        </w:rPr>
        <w:fldChar w:fldCharType="end"/>
      </w:r>
      <w:r w:rsidR="00C40425" w:rsidRPr="005C7810">
        <w:rPr>
          <w:rFonts w:ascii="Book Antiqua" w:hAnsi="Book Antiqua" w:cs="Times New Roman"/>
          <w:sz w:val="24"/>
          <w:szCs w:val="24"/>
          <w:lang w:val="en-US"/>
        </w:rPr>
        <w:t>.</w:t>
      </w:r>
      <w:r w:rsidR="00AB63C1" w:rsidRPr="005C7810">
        <w:rPr>
          <w:rFonts w:ascii="Book Antiqua" w:hAnsi="Book Antiqua" w:cs="Times New Roman"/>
          <w:sz w:val="24"/>
          <w:szCs w:val="24"/>
          <w:lang w:val="en-US"/>
        </w:rPr>
        <w:t xml:space="preserve"> Tyrosine kinase inhibitors</w:t>
      </w:r>
      <w:r w:rsidR="00372563" w:rsidRPr="005C7810">
        <w:rPr>
          <w:rFonts w:ascii="Book Antiqua" w:hAnsi="Book Antiqua" w:cs="Times New Roman"/>
          <w:sz w:val="24"/>
          <w:szCs w:val="24"/>
          <w:lang w:val="en-US"/>
        </w:rPr>
        <w:t>, particularly gefitinib and erlotinib,</w:t>
      </w:r>
      <w:r w:rsidR="00AB63C1" w:rsidRPr="005C7810">
        <w:rPr>
          <w:rFonts w:ascii="Book Antiqua" w:hAnsi="Book Antiqua" w:cs="Times New Roman"/>
          <w:sz w:val="24"/>
          <w:szCs w:val="24"/>
          <w:lang w:val="en-US"/>
        </w:rPr>
        <w:t xml:space="preserve"> have shown efficacy in </w:t>
      </w:r>
      <w:r w:rsidR="00AB63C1" w:rsidRPr="005C7810">
        <w:rPr>
          <w:rFonts w:ascii="Book Antiqua" w:hAnsi="Book Antiqua" w:cs="Times New Roman"/>
          <w:i/>
          <w:sz w:val="24"/>
          <w:szCs w:val="24"/>
          <w:lang w:val="en-US"/>
        </w:rPr>
        <w:t>EGFR</w:t>
      </w:r>
      <w:r w:rsidR="00372563" w:rsidRPr="005C7810">
        <w:rPr>
          <w:rFonts w:ascii="Book Antiqua" w:hAnsi="Book Antiqua" w:cs="Times New Roman"/>
          <w:sz w:val="24"/>
          <w:szCs w:val="24"/>
          <w:lang w:val="en-US"/>
        </w:rPr>
        <w:t>-</w:t>
      </w:r>
      <w:r w:rsidR="00AB63C1" w:rsidRPr="005C7810">
        <w:rPr>
          <w:rFonts w:ascii="Book Antiqua" w:hAnsi="Book Antiqua" w:cs="Times New Roman"/>
          <w:sz w:val="24"/>
          <w:szCs w:val="24"/>
          <w:lang w:val="en-US"/>
        </w:rPr>
        <w:t xml:space="preserve">amplified tumors. Mutations of </w:t>
      </w:r>
      <w:r w:rsidR="00AB63C1" w:rsidRPr="005C7810">
        <w:rPr>
          <w:rFonts w:ascii="Book Antiqua" w:hAnsi="Book Antiqua" w:cs="Times New Roman"/>
          <w:i/>
          <w:sz w:val="24"/>
          <w:szCs w:val="24"/>
          <w:lang w:val="en-US"/>
        </w:rPr>
        <w:t>EGFR</w:t>
      </w:r>
      <w:r w:rsidR="00AB63C1" w:rsidRPr="005C7810">
        <w:rPr>
          <w:rFonts w:ascii="Book Antiqua" w:hAnsi="Book Antiqua" w:cs="Times New Roman"/>
          <w:sz w:val="24"/>
          <w:szCs w:val="24"/>
          <w:lang w:val="en-US"/>
        </w:rPr>
        <w:t xml:space="preserve"> confer resistance to these drugs</w:t>
      </w:r>
      <w:r w:rsidR="008D5A49" w:rsidRPr="005C7810">
        <w:rPr>
          <w:rFonts w:ascii="Book Antiqua" w:hAnsi="Book Antiqua" w:cs="Times New Roman"/>
          <w:sz w:val="24"/>
          <w:szCs w:val="24"/>
          <w:vertAlign w:val="superscript"/>
          <w:lang w:val="en-US"/>
        </w:rPr>
        <w:fldChar w:fldCharType="begin" w:fldLock="1"/>
      </w:r>
      <w:r w:rsidR="008D5A49" w:rsidRPr="005C7810">
        <w:rPr>
          <w:rFonts w:ascii="Book Antiqua" w:hAnsi="Book Antiqua" w:cs="Times New Roman"/>
          <w:sz w:val="24"/>
          <w:szCs w:val="24"/>
          <w:vertAlign w:val="superscript"/>
          <w:lang w:val="en-US"/>
        </w:rPr>
        <w:instrText>ADDIN CSL_CITATION {"citationItems":[{"id":"ITEM-1","itemData":{"DOI":"10.3892/ol.2016.5171","ISSN":"17921082","abstract":"The aim of the study was to examine the drug resistance analysis of gefitinib-targeted therapy in non-small cell lung cancer (NSCLC). In total, 156 NSCLC patients without surgical treatment were selected, including 117 cases of adenocarcinoma (75%), to receive single gefitinib 0.25 g/day or combined with platinum chemotherapy. Computed tomography was used to evaluate tumor growth for the response and non-response groups. The chemotherapy regimen was changed or combined with radiotherapy in the non-response group. Tumor progression or metastasis in the response group was considered as the generation of drug resistance. The chemotherapy regimen was altered in the response group. Eleven cases had tumor response in the non-response group after the chemotherapy regimen was adjusted (20%), 33 cases had complete response (CR) (32.7%), 44 cases had partial response (PR) (43.6%), and 24 cases had stable disease (SD) (23.8%) in the response group. The drug resistance rates of CR, PR, and SD showed no significant difference (P&gt;0.05). However, the drug-resistant time of CR was significantly delayed and the difference was statistically significant (P&lt;0.05). The response rates of CR, PR, and SD patients regaining the response rate showed no statistical significance after the chemotherapy regimen was adjusted, and the difference was not statistically significant (P&gt;0.05). In conclusion, gefitinib-targeted therapy in NSCLC showed certain drug resistance, which may not be related to the response. [ABSTRACT FROM AUTHOR]","author":[{"dropping-particle":"","family":"Liu","given":"Shuliang","non-dropping-particle":"","parse-names":false,"suffix":""},{"dropping-particle":"","family":"Yang","given":"Hongji","non-dropping-particle":"","parse-names":false,"suffix":""},{"dropping-particle":"","family":"Ge","given":"Xingping","non-dropping-particle":"","parse-names":false,"suffix":""},{"dropping-particle":"","family":"Su","given":"Lingfei","non-dropping-particle":"","parse-names":false,"suffix":""},{"dropping-particle":"","family":"Zhang","given":"Aifeng","non-dropping-particle":"","parse-names":false,"suffix":""},{"dropping-particle":"","family":"Liang","given":"Liang","non-dropping-particle":"","parse-names":false,"suffix":""}],"container-title":"Oncology Letters","id":"ITEM-1","issue":"5","issued":{"date-parts":[["2016"]]},"page":"3941-3943","title":"Drug resistance analysis of gefitinib-targeted therapy in non-small cell lung cancer","type":"article-journal","volume":"12"},"uris":["http://www.mendeley.com/documents/?uuid=8ac51a56-183a-4878-995a-2757f4813499"]},{"id":"ITEM-2","itemData":{"DOI":"10.1093/annonc/mdx703","ISBN":"3491390834","ISSN":"15698041","abstract":"Patients with non-small-cell lung cancer (NSCLC) whose tumours harbour activating mutations within the epidermal growth factor receptor (EGFR) frequently derive significant clinical and radiographic benefits from treatment with EGFR tyrosine kinase inhibitors (TKIs). As such, prospective identification of EGFR mutations is now the standard of care worldwide. However, acquired therapeutic resistance to these agents invariably develops. Over the past 10 years, great strides have been made in defining the molecular mechanisms of EGFR TKI resistance in an effort to design rational strategies to overcome this acquired drug resistance. Approximately 60% of patients with acquired resistance to the EGFR TKIs (erlotinib, gefitinib, and afatinib) develop a new mutation within the drug target. This mutation—T790M—has been shown to alter drug binding and enzymatic activity of the mutant EGF receptor. Less common mechanisms of acquired resistance include MET amplification, ERBB2 amplification, transformation to small-cell lung cancer, and others. Here, we present a condensed overview of the literature on EGFR-mutant NSCLC, paying particular attention to mechanisms of drug resistance, recent clinical trial results, and novel strategies for identifying and confronting drug resistance, while also striving to identify gaps in current knowledge. These advances are rapidly altering the treatment landscape for EGFR-mutant NSCLC, expanding the armamentarium of available therapies to maximize patient benefit.","author":[{"dropping-particle":"","family":"Westover","given":"D.","non-dropping-particle":"","parse-names":false,"suffix":""},{"dropping-particle":"","family":"Zugazagoitia","given":"J.","non-dropping-particle":"","parse-names":false,"suffix":""},{"dropping-particle":"","family":"Cho","given":"B. C.","non-dropping-particle":"","parse-names":false,"suffix":""},{"dropping-particle":"","family":"Lovly","given":"C. M.","non-dropping-particle":"","parse-names":false,"suffix":""},{"dropping-particle":"","family":"Paz-Ares","given":"L.","non-dropping-particle":"","parse-names":false,"suffix":""}],"container-title":"Annals of Oncology","id":"ITEM-2","issue":"Supplement 1","issued":{"date-parts":[["2018"]]},"page":"i10-i19","title":"Mechanisms of acquired resistance to first-and second-generation EGFR tyrosine kinase inhibitors","type":"article-journal","volume":"29"},"uris":["http://www.mendeley.com/documents/?uuid=f033b0a2-a300-4909-b146-05797261430d"]}],"mendeley":{"formattedCitation":"&lt;sup&gt;[58,59]&lt;/sup&gt;","plainTextFormattedCitation":"[58,59]","previouslyFormattedCitation":"&lt;sup&gt;[58,59]&lt;/sup&gt;"},"properties":{"noteIndex":0},"schema":"https://github.com/citation-style-language/schema/raw/master/csl-citation.json"}</w:instrText>
      </w:r>
      <w:r w:rsidR="008D5A49" w:rsidRPr="005C7810">
        <w:rPr>
          <w:rFonts w:ascii="Book Antiqua" w:hAnsi="Book Antiqua" w:cs="Times New Roman"/>
          <w:sz w:val="24"/>
          <w:szCs w:val="24"/>
          <w:vertAlign w:val="superscript"/>
          <w:lang w:val="en-US"/>
        </w:rPr>
        <w:fldChar w:fldCharType="separate"/>
      </w:r>
      <w:r w:rsidR="008D5A49" w:rsidRPr="005C7810">
        <w:rPr>
          <w:rFonts w:ascii="Book Antiqua" w:hAnsi="Book Antiqua" w:cs="Times New Roman"/>
          <w:sz w:val="24"/>
          <w:szCs w:val="24"/>
          <w:vertAlign w:val="superscript"/>
          <w:lang w:val="en-US"/>
        </w:rPr>
        <w:t>[58</w:t>
      </w:r>
      <w:r w:rsidR="009131DA" w:rsidRPr="005C7810">
        <w:rPr>
          <w:rFonts w:ascii="Book Antiqua" w:hAnsi="Book Antiqua" w:cs="Times New Roman"/>
          <w:sz w:val="24"/>
          <w:szCs w:val="24"/>
          <w:vertAlign w:val="superscript"/>
          <w:lang w:val="en-US"/>
        </w:rPr>
        <w:t>,</w:t>
      </w:r>
      <w:r w:rsidR="008D5A49" w:rsidRPr="005C7810">
        <w:rPr>
          <w:rFonts w:ascii="Book Antiqua" w:hAnsi="Book Antiqua" w:cs="Times New Roman"/>
          <w:sz w:val="24"/>
          <w:szCs w:val="24"/>
          <w:vertAlign w:val="superscript"/>
          <w:lang w:val="en-US"/>
        </w:rPr>
        <w:t>59]</w:t>
      </w:r>
      <w:r w:rsidR="008D5A49" w:rsidRPr="005C7810">
        <w:rPr>
          <w:rFonts w:ascii="Book Antiqua" w:hAnsi="Book Antiqua" w:cs="Times New Roman"/>
          <w:sz w:val="24"/>
          <w:szCs w:val="24"/>
          <w:vertAlign w:val="superscript"/>
          <w:lang w:val="en-US"/>
        </w:rPr>
        <w:fldChar w:fldCharType="end"/>
      </w:r>
      <w:r w:rsidR="008D5A49" w:rsidRPr="005C7810">
        <w:rPr>
          <w:rFonts w:ascii="Book Antiqua" w:hAnsi="Book Antiqua" w:cs="Times New Roman"/>
          <w:sz w:val="24"/>
          <w:szCs w:val="24"/>
          <w:lang w:val="en-US"/>
        </w:rPr>
        <w:t>.</w:t>
      </w:r>
      <w:r w:rsidR="00F02942" w:rsidRPr="005C7810">
        <w:rPr>
          <w:rFonts w:ascii="Book Antiqua" w:hAnsi="Book Antiqua" w:cs="Times New Roman"/>
          <w:sz w:val="24"/>
          <w:szCs w:val="24"/>
          <w:lang w:val="en-US"/>
        </w:rPr>
        <w:t xml:space="preserve"> </w:t>
      </w:r>
      <w:r w:rsidR="00AB63C1" w:rsidRPr="005C7810">
        <w:rPr>
          <w:rFonts w:ascii="Book Antiqua" w:hAnsi="Book Antiqua" w:cs="Times New Roman"/>
          <w:sz w:val="24"/>
          <w:szCs w:val="24"/>
          <w:lang w:val="en-US"/>
        </w:rPr>
        <w:t>In addition to anti-HER2 monoclonal antibodies, anti-EGFR therapy also includes gefitinib and erlotinib, tyrosine kinase inhibitors, as well as monoclonal antibodies such as cetuximab and panitumumab.</w:t>
      </w:r>
    </w:p>
    <w:p w:rsidR="00BF6DCB" w:rsidRPr="005C7810" w:rsidRDefault="00EE07CA"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ab/>
      </w:r>
      <w:r w:rsidR="00531E6D" w:rsidRPr="005C7810">
        <w:rPr>
          <w:rFonts w:ascii="Book Antiqua" w:hAnsi="Book Antiqua" w:cs="Times New Roman"/>
          <w:sz w:val="24"/>
          <w:szCs w:val="24"/>
          <w:lang w:val="en-US"/>
        </w:rPr>
        <w:t>O</w:t>
      </w:r>
      <w:r w:rsidR="00B8125B" w:rsidRPr="005C7810">
        <w:rPr>
          <w:rFonts w:ascii="Book Antiqua" w:hAnsi="Book Antiqua" w:cs="Times New Roman"/>
          <w:sz w:val="24"/>
          <w:szCs w:val="24"/>
          <w:lang w:val="en-US"/>
        </w:rPr>
        <w:t xml:space="preserve">ther markers </w:t>
      </w:r>
      <w:r w:rsidR="009F48C7" w:rsidRPr="005C7810">
        <w:rPr>
          <w:rFonts w:ascii="Book Antiqua" w:hAnsi="Book Antiqua" w:cs="Times New Roman"/>
          <w:sz w:val="24"/>
          <w:szCs w:val="24"/>
          <w:lang w:val="en-US"/>
        </w:rPr>
        <w:t>have</w:t>
      </w:r>
      <w:r w:rsidR="00B8125B" w:rsidRPr="005C7810">
        <w:rPr>
          <w:rFonts w:ascii="Book Antiqua" w:hAnsi="Book Antiqua" w:cs="Times New Roman"/>
          <w:sz w:val="24"/>
          <w:szCs w:val="24"/>
          <w:lang w:val="en-US"/>
        </w:rPr>
        <w:t xml:space="preserve"> attract</w:t>
      </w:r>
      <w:r w:rsidR="009F48C7" w:rsidRPr="005C7810">
        <w:rPr>
          <w:rFonts w:ascii="Book Antiqua" w:hAnsi="Book Antiqua" w:cs="Times New Roman"/>
          <w:sz w:val="24"/>
          <w:szCs w:val="24"/>
          <w:lang w:val="en-US"/>
        </w:rPr>
        <w:t>ed</w:t>
      </w:r>
      <w:r w:rsidR="00B8125B" w:rsidRPr="005C7810">
        <w:rPr>
          <w:rFonts w:ascii="Book Antiqua" w:hAnsi="Book Antiqua" w:cs="Times New Roman"/>
          <w:sz w:val="24"/>
          <w:szCs w:val="24"/>
          <w:lang w:val="en-US"/>
        </w:rPr>
        <w:t xml:space="preserve"> substantial attention as useful therapeutic candidates for targeted anti-cancer agents. </w:t>
      </w:r>
      <w:r w:rsidR="009F48C7" w:rsidRPr="005C7810">
        <w:rPr>
          <w:rFonts w:ascii="Book Antiqua" w:hAnsi="Book Antiqua" w:cs="Times New Roman"/>
          <w:sz w:val="24"/>
          <w:szCs w:val="24"/>
          <w:lang w:val="en-US"/>
        </w:rPr>
        <w:t>For example, a</w:t>
      </w:r>
      <w:r w:rsidR="00B8125B" w:rsidRPr="005C7810">
        <w:rPr>
          <w:rFonts w:ascii="Book Antiqua" w:hAnsi="Book Antiqua" w:cs="Times New Roman"/>
          <w:sz w:val="24"/>
          <w:szCs w:val="24"/>
          <w:lang w:val="en-US"/>
        </w:rPr>
        <w:t xml:space="preserve"> high frequency (30%) of FGFR2</w:t>
      </w:r>
      <w:r w:rsidR="007432E3" w:rsidRPr="005C7810">
        <w:rPr>
          <w:rFonts w:ascii="Book Antiqua" w:hAnsi="Book Antiqua" w:cs="Times New Roman"/>
          <w:i/>
          <w:sz w:val="24"/>
          <w:szCs w:val="24"/>
          <w:lang w:val="en-US"/>
        </w:rPr>
        <w:t xml:space="preserve"> </w:t>
      </w:r>
      <w:r w:rsidR="009F48C7" w:rsidRPr="005C7810">
        <w:rPr>
          <w:rFonts w:ascii="Book Antiqua" w:hAnsi="Book Antiqua" w:cs="Times New Roman"/>
          <w:sz w:val="24"/>
          <w:szCs w:val="24"/>
          <w:lang w:val="en-US"/>
        </w:rPr>
        <w:t>overexpression has been</w:t>
      </w:r>
      <w:r w:rsidR="00B8125B" w:rsidRPr="005C7810">
        <w:rPr>
          <w:rFonts w:ascii="Book Antiqua" w:hAnsi="Book Antiqua" w:cs="Times New Roman"/>
          <w:sz w:val="24"/>
          <w:szCs w:val="24"/>
          <w:lang w:val="en-US"/>
        </w:rPr>
        <w:t xml:space="preserve"> observed in GC</w:t>
      </w:r>
      <w:r w:rsidR="009F48C7"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 xml:space="preserve">The amplification of </w:t>
      </w:r>
      <w:r w:rsidR="00B8125B" w:rsidRPr="005C7810">
        <w:rPr>
          <w:rFonts w:ascii="Book Antiqua" w:hAnsi="Book Antiqua" w:cs="Times New Roman"/>
          <w:i/>
          <w:sz w:val="24"/>
          <w:szCs w:val="24"/>
          <w:lang w:val="en-US"/>
        </w:rPr>
        <w:t>FGFR2</w:t>
      </w:r>
      <w:r w:rsidR="00B8125B" w:rsidRPr="005C7810">
        <w:rPr>
          <w:rFonts w:ascii="Book Antiqua" w:hAnsi="Book Antiqua" w:cs="Times New Roman"/>
          <w:sz w:val="24"/>
          <w:szCs w:val="24"/>
          <w:lang w:val="en-US"/>
        </w:rPr>
        <w:t xml:space="preserve"> is related to poor overall survival</w:t>
      </w:r>
      <w:r w:rsidR="00277620" w:rsidRPr="005C7810">
        <w:rPr>
          <w:rFonts w:ascii="Book Antiqua" w:hAnsi="Book Antiqua" w:cs="Times New Roman"/>
          <w:sz w:val="24"/>
          <w:szCs w:val="24"/>
          <w:lang w:val="en-US"/>
        </w:rPr>
        <w:t xml:space="preserve"> (OS)</w:t>
      </w:r>
      <w:r w:rsidR="002A08D3"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10.1007/s00428-013-1517-y","author":[{"dropping-particle":"","family":"Betts","given":"Guy","non-dropping-particle":"","parse-names":false,"suffix":""},{"dropping-particle":"","family":"Helen","given":"V","non-dropping-particle":"","parse-names":false,"suffix":""},{"dropping-particle":"","family":"Morgan","given":"Shethah","non-dropping-particle":"","parse-names":false,"suffix":""},{"dropping-particle":"","family":"Griffiths","given":"Ewen A","non-dropping-particle":"","parse-names":false,"suffix":""},{"dropping-particle":"","family":"Welch","given":"Ian","non-dropping-particle":"","parse-names":false,"suffix":""},{"dropping-particle":"","family":"West","given":"Catharine","non-dropping-particle":"","parse-names":false,"suffix":""},{"dropping-particle":"","family":"Womack","given":"Christopher","non-dropping-particle":"","parse-names":false,"suffix":""}],"id":"ITEM-1","issued":{"date-parts":[["2014"]]},"page":"145-156","title":"FGFR2 , HER2 and cMet in gastric adenocarcinoma : detection , prognostic significance and assessment of downstream pathway activation","type":"article-journal"},"uris":["http://www.mendeley.com/documents/?uuid=c0ba3e6e-ceb9-4d53-9219-ed5500af52cc","http://www.mendeley.com/documents/?uuid=b3a5f4d6-631d-472b-b226-05f4f1154f9c"]}],"mendeley":{"formattedCitation":"&lt;sup&gt;[60]&lt;/sup&gt;","plainTextFormattedCitation":"[60]","previouslyFormattedCitation":"&lt;sup&gt;[60]&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[60]</w:t>
      </w:r>
      <w:r w:rsidR="002A08D3"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Furthermore, a study found that FGFR2 could be a biomarker </w:t>
      </w:r>
      <w:r w:rsidR="00C3633F" w:rsidRPr="005C7810">
        <w:rPr>
          <w:rFonts w:ascii="Book Antiqua" w:hAnsi="Book Antiqua" w:cs="Times New Roman"/>
          <w:sz w:val="24"/>
          <w:szCs w:val="24"/>
          <w:lang w:val="en-US"/>
        </w:rPr>
        <w:t>for</w:t>
      </w:r>
      <w:r w:rsidR="00B8125B" w:rsidRPr="005C7810">
        <w:rPr>
          <w:rFonts w:ascii="Book Antiqua" w:hAnsi="Book Antiqua" w:cs="Times New Roman"/>
          <w:sz w:val="24"/>
          <w:szCs w:val="24"/>
          <w:lang w:val="en-US"/>
        </w:rPr>
        <w:t xml:space="preserve"> predicting </w:t>
      </w:r>
      <w:r w:rsidR="00C3633F" w:rsidRPr="005C7810">
        <w:rPr>
          <w:rFonts w:ascii="Book Antiqua" w:hAnsi="Book Antiqua" w:cs="Times New Roman"/>
          <w:sz w:val="24"/>
          <w:szCs w:val="24"/>
          <w:lang w:val="en-US"/>
        </w:rPr>
        <w:t xml:space="preserve">the </w:t>
      </w:r>
      <w:r w:rsidR="00B8125B" w:rsidRPr="005C7810">
        <w:rPr>
          <w:rFonts w:ascii="Book Antiqua" w:hAnsi="Book Antiqua" w:cs="Times New Roman"/>
          <w:sz w:val="24"/>
          <w:szCs w:val="24"/>
          <w:lang w:val="en-US"/>
        </w:rPr>
        <w:t xml:space="preserve">long-term failure of adjuvant </w:t>
      </w:r>
      <w:r w:rsidR="00C3633F" w:rsidRPr="005C7810">
        <w:rPr>
          <w:rFonts w:ascii="Book Antiqua" w:hAnsi="Book Antiqua" w:cs="Times New Roman"/>
          <w:sz w:val="24"/>
          <w:szCs w:val="24"/>
          <w:lang w:val="en-US"/>
        </w:rPr>
        <w:t xml:space="preserve">chemotherapy for </w:t>
      </w:r>
      <w:r w:rsidR="00B8125B" w:rsidRPr="005C7810">
        <w:rPr>
          <w:rFonts w:ascii="Book Antiqua" w:hAnsi="Book Antiqua" w:cs="Times New Roman"/>
          <w:sz w:val="24"/>
          <w:szCs w:val="24"/>
          <w:lang w:val="en-US"/>
        </w:rPr>
        <w:t>advanced GC</w:t>
      </w:r>
      <w:r w:rsidR="002A08D3"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 xml:space="preserve">ADDIN CSL_CITATION {"citationItems":[{"id":"ITEM-1","itemData":{"DOI":"10.3892/ol.2017.7515","author":[{"dropping-particle":"","family":"Hosoda","given":"K E I","non-dropping-particle":"","parse-names":false,"suffix":""},{"dropping-particle":"","family":"Yamashita","given":"Keishi","non-dropping-particle":"","parse-names":false,"suffix":""},{"dropping-particle":"","family":"Ushiku","given":"Hideki","non-dropping-particle":"","parse-names":false,"suffix":""},{"dropping-particle":"","family":"Ema","given":"Akira","non-dropping-particle":"","parse-names":false,"suffix":""},{"dropping-particle":"","family":"Moriya","given":"Hiromitsu","non-dropping-particle":"","parse-names":false,"suffix":""},{"dropping-particle":"","family":"Mieno","given":"Hiroaki","non-dropping-particle":"","parse-names":false,"suffix":""},{"dropping-particle":"","family":"Washio","given":"Marie","non-dropping-particle":"","parse-names":false,"suffix":""},{"dropping-particle":"","family":"Watanabe","given":"Masahiko","non-dropping-particle":"","parse-names":false,"suffix":""}],"id":"ITEM-1","issued":{"date-parts":[["2018"]]},"page":"1853-1860","title":"Prognostic relevance of FGFR2 expression in stage II / III gastric cancer with curative resection and S </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 xml:space="preserve"> 1 chemotherapy","type":"article-journal"},"uris":["http://www.mendeley.com/documents/?uuid=25fafd4c-b295-47c3-a436-ba6ca7541880","http://www.mendeley.com/documents/?uuid=07f49de5-7c33-4ae6-b69c-c7a3964e2e5d"]}],"mendeley":{"formattedCitation":"&lt;sup&gt;[61]&lt;/sup&gt;","plainTextFormattedCitation":"[61]","previouslyFormattedCitation":"&lt;sup&gt;[61]&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[61]</w:t>
      </w:r>
      <w:r w:rsidR="002A08D3"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w:t>
      </w:r>
      <w:r w:rsidR="009F48C7" w:rsidRPr="005C7810">
        <w:rPr>
          <w:rFonts w:ascii="Book Antiqua" w:hAnsi="Book Antiqua" w:cs="Times New Roman"/>
          <w:sz w:val="24"/>
          <w:szCs w:val="24"/>
          <w:lang w:val="en-US"/>
        </w:rPr>
        <w:t xml:space="preserve">Thus, FGFR2 may be a candidate for targeted anticancer agents. </w:t>
      </w:r>
      <w:r w:rsidR="00B8125B" w:rsidRPr="005C7810">
        <w:rPr>
          <w:rFonts w:ascii="Book Antiqua" w:hAnsi="Book Antiqua" w:cs="Times New Roman"/>
          <w:sz w:val="24"/>
          <w:szCs w:val="24"/>
          <w:lang w:val="en-US"/>
        </w:rPr>
        <w:t>E-cadherin, a molecule involved in calcium-mediated cell adhesion, is a tumor suppressor</w:t>
      </w:r>
      <w:r w:rsidR="00C3633F"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whose deactivation is correlated with invasion and metastasis</w:t>
      </w:r>
      <w:r w:rsidR="002A08D3"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author":[{"dropping-particle":"","family":"On","given":"Annie","non-dropping-particle":"","parse-names":false,"suffix":""},{"dropping-particle":"","family":"Chan","given":"On","non-dropping-particle":"","parse-names":false,"suffix":""}],"id":"ITEM-1","issue":"2","issued":{"date-parts":[["2006"]]},"page":"199-203","title":"E-cadherin in gastric cancer","type":"article-journal","volume":"12"},"uris":["http://www.mendeley.com/documents/?uuid=c98ad765-8f65-45b6-acbf-d0de0ced610c","http://www.mendeley.com/documents/?uuid=ac924f73-9a0c-42f1-a3f4-cac8b8f418de"]}],"mendeley":{"formattedCitation":"&lt;sup&gt;[62]&lt;/sup&gt;","plainTextFormattedCitation":"[62]","previouslyFormattedCitation":"&lt;sup&gt;[62]&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[62]</w:t>
      </w:r>
      <w:r w:rsidR="002A08D3"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The deactivation of </w:t>
      </w:r>
      <w:r w:rsidR="00B8125B" w:rsidRPr="005C7810">
        <w:rPr>
          <w:rFonts w:ascii="Book Antiqua" w:hAnsi="Book Antiqua" w:cs="Times New Roman"/>
          <w:i/>
          <w:sz w:val="24"/>
          <w:szCs w:val="24"/>
          <w:lang w:val="en-US"/>
        </w:rPr>
        <w:t>CDH1</w:t>
      </w:r>
      <w:r w:rsidR="00B8125B" w:rsidRPr="005C7810">
        <w:rPr>
          <w:rFonts w:ascii="Book Antiqua" w:hAnsi="Book Antiqua" w:cs="Times New Roman"/>
          <w:sz w:val="24"/>
          <w:szCs w:val="24"/>
          <w:lang w:val="en-US"/>
        </w:rPr>
        <w:t xml:space="preserve"> may occur due to mutations, hypermethylation, loss of heterozygosity, </w:t>
      </w:r>
      <w:r w:rsidR="00C3633F" w:rsidRPr="005C7810">
        <w:rPr>
          <w:rFonts w:ascii="Book Antiqua" w:hAnsi="Book Antiqua" w:cs="Times New Roman"/>
          <w:sz w:val="24"/>
          <w:szCs w:val="24"/>
          <w:lang w:val="en-US"/>
        </w:rPr>
        <w:t xml:space="preserve">and </w:t>
      </w:r>
      <w:r w:rsidR="00B8125B" w:rsidRPr="005C7810">
        <w:rPr>
          <w:rFonts w:ascii="Book Antiqua" w:hAnsi="Book Antiqua" w:cs="Times New Roman"/>
          <w:i/>
          <w:sz w:val="24"/>
          <w:szCs w:val="24"/>
          <w:lang w:val="en-US"/>
        </w:rPr>
        <w:t>H. p</w:t>
      </w:r>
      <w:r w:rsidR="004A6501" w:rsidRPr="005C7810">
        <w:rPr>
          <w:rFonts w:ascii="Book Antiqua" w:hAnsi="Book Antiqua" w:cs="Times New Roman"/>
          <w:i/>
          <w:sz w:val="24"/>
          <w:szCs w:val="24"/>
          <w:lang w:val="en-US"/>
        </w:rPr>
        <w:t>ylori</w:t>
      </w:r>
      <w:r w:rsidR="00B8125B" w:rsidRPr="005C7810">
        <w:rPr>
          <w:rFonts w:ascii="Book Antiqua" w:hAnsi="Book Antiqua" w:cs="Times New Roman"/>
          <w:sz w:val="24"/>
          <w:szCs w:val="24"/>
          <w:lang w:val="en-US"/>
        </w:rPr>
        <w:t xml:space="preserve"> infection</w:t>
      </w:r>
      <w:r w:rsidR="002A08D3"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author":[{"dropping-particle":"","family":"On","given":"Annie","non-dropping-particle":"","parse-names":false,"suffix":""},{"dropping-particle":"","family":"Chan","given":"On","non-dropping-particle":"","parse-names":false,"suffix":""}],"id":"ITEM-1","issue":"2","issued":{"date-parts":[["2006"]]},"page":"199-203","title":"E-cadherin in gastric cancer","type":"article-journal","volume":"12"},"uris":["http://www.mendeley.com/documents/?uuid=ac924f73-9a0c-42f1-a3f4-cac8b8f418de","http://www.mendeley.com/documents/?uuid=c98ad765-8f65-45b6-acbf-d0de0ced610c"]}],"mendeley":{"formattedCitation":"&lt;sup&gt;[62]&lt;/sup&gt;","plainTextFormattedCitation":"[62]","previouslyFormattedCitation":"&lt;sup&gt;[62]&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[62]</w:t>
      </w:r>
      <w:r w:rsidR="002A08D3"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Patients with </w:t>
      </w:r>
      <w:r w:rsidR="00B8125B" w:rsidRPr="005C7810">
        <w:rPr>
          <w:rFonts w:ascii="Book Antiqua" w:hAnsi="Book Antiqua" w:cs="Times New Roman"/>
          <w:i/>
          <w:sz w:val="24"/>
          <w:szCs w:val="24"/>
          <w:lang w:val="en-US"/>
        </w:rPr>
        <w:t>CDH1</w:t>
      </w:r>
      <w:r w:rsidR="00B8125B" w:rsidRPr="005C7810">
        <w:rPr>
          <w:rFonts w:ascii="Book Antiqua" w:hAnsi="Book Antiqua" w:cs="Times New Roman"/>
          <w:sz w:val="24"/>
          <w:szCs w:val="24"/>
          <w:lang w:val="en-US"/>
        </w:rPr>
        <w:t xml:space="preserve"> changes have generally worse survival than negative patients. It could be a useful marker </w:t>
      </w:r>
      <w:r w:rsidR="00631D3D" w:rsidRPr="005C7810">
        <w:rPr>
          <w:rFonts w:ascii="Book Antiqua" w:hAnsi="Book Antiqua" w:cs="Times New Roman"/>
          <w:sz w:val="24"/>
          <w:szCs w:val="24"/>
          <w:lang w:val="en-US"/>
        </w:rPr>
        <w:t>for</w:t>
      </w:r>
      <w:r w:rsidR="00B8125B" w:rsidRPr="005C7810">
        <w:rPr>
          <w:rFonts w:ascii="Book Antiqua" w:hAnsi="Book Antiqua" w:cs="Times New Roman"/>
          <w:sz w:val="24"/>
          <w:szCs w:val="24"/>
          <w:lang w:val="en-US"/>
        </w:rPr>
        <w:t xml:space="preserve"> the diagnosis of preoperative biopsies</w:t>
      </w:r>
      <w:r w:rsidR="002A08D3"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10.1200/jco.2012.44.4612","ISSN":"0732-183X","author":[{"dropping-particle":"","family":"Marrelli","given":"Daniele","non-dropping-particle":"","parse-names":false,"suffix":""},{"dropping-particle":"","family":"Roviello","given":"Franco","non-dropping-particle":"","parse-names":false,"suffix":""},{"dropping-particle":"","family":"Vindigni","given":"Carla","non-dropping-particle":"","parse-names":false,"suffix":""},{"dropping-particle":"","family":"Carvalho","given":"Joana","non-dropping-particle":"","parse-names":false,"suffix":""},{"dropping-particle":"","family":"Oliveira","given":"Carla","non-dropping-particle":"","parse-names":false,"suffix":""},{"dropping-particle":"","family":"Seruca","given":"Raquel","non-dropping-particle":"","parse-names":false,"suffix":""},{"dropping-particle":"","family":"Corso","given":"Giovanni","non-dropping-particle":"","parse-names":false,"suffix":""},{"dropping-particle":"","family":"Carvalho","given":"Beatriz","non-dropping-particle":"","parse-names":false,"suffix":""}],"container-title":"Journal of Clinical Oncology","id":"ITEM-1","issue":"7","issued":{"date-parts":[["2013"]]},"page":"868-875","title":"Somatic Mutations and Deletions of the E-Cadherin Gene Predict Poor Survival of Patients With Gastric Cancer","type":"article-journal","volume":"31"},"uris":["http://www.mendeley.com/documents/?uuid=6aef7148-efa7-474c-9d7d-78aea72dc126","http://www.mendeley.com/documents/?uuid=b23aad73-cb04-4b98-8a24-c1f7e7737aa4"]}],"mendeley":{"formattedCitation":"&lt;sup&gt;[63]&lt;/sup&gt;","plainTextFormattedCitation":"[63]","previouslyFormattedCitation":"&lt;sup&gt;[63]&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[63]</w:t>
      </w:r>
      <w:r w:rsidR="002A08D3"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Genetic deregulation of the PI3K/Akt/mTOR pathway has been frequently identified in GC</w:t>
      </w:r>
      <w:r w:rsidR="002A08D3"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{"citationItems":[{"id":"ITEM-1","itemData":{"DOI":"10.1097/01.cco.0000198021.99347.b9","ISSN":"1040-8746","abstract":"Purpose of review: The purpose of this review is to examine the contribution of the PI3K signaling pathway to the development of human tumors and to propose further studies to elucidate how to develop therapeutics for patients with mutations in this pathway., Recent findings: More than 30% of various solid tumor types were recently found to contain mutations in PIK3CA, the catalytic subunit of PI3K. Further analysis of key genes in this pathway identified an additional eight genes altered in tumors. These were generally found to be mutated in a mutually exclusive manner, thus increasing the mutation frequency of the pathway to 40% in colorectal cancers and emphasizing the importance of the PI3K pathway in tumorigenesis. Functional analyses of PIK3CA mutations revealed that they increase its enzymatic activity, stimulate AKT signaling, allow growth factor-independent growth as well as increasing cell invasion and metastasis., Summary: The PI3K signaling pathway is dysregulated by a variety of mechanisms in a large fraction of human tumors. Both mutational and functional analyses have shown that PIK3CA is an oncogene that plays an important role in tumor progression. Mutant members of the PI3K pathway, including PIK3CA, are good targets for therapeutic intervention because most of them are kinases, making them attractive for drug development. Gaining further insights into PIK3CA oncogenic mechanisms may produce new biomarkers and help the development of targeted therapeutics., (C) 2006 Lippincott Williams &amp; Wilkins, Inc.","author":[{"dropping-particle":"","family":"Samuels","given":"Yardena","non-dropping-particle":"","parse-names":false,"suffix":""},{"dropping-particle":"","family":"Ericson","given":"Kajsa","non-dropping-particle":"","parse-names":false,"suffix":""}],"container-title":"Current Opinion in Oncology January 2006","id":"ITEM-1","issue":"1","issued":{"date-parts":[["2006"]]},"page":"77-82","title":"Oncogenic PI3K and its role in cancer. [Miscellaneous Article]","type":"article-journal","volume":"18"},"uris":["http://www.mendeley.com/documents/?uuid=ebb66c2a-bc12-4840-aa64-0bae948a1fc7","http://www.mendeley.com/documents/?uuid=3df77c70-1ec4-467e-aadc-9b8bb3b2b7ca"]},{"id":"ITEM-2","itemData":{"DOI":"10.3892/or","author":[{"dropping-particle":"","family":"Wen YG, Wang Q, Zhou CZ, Qiu GQ, Peng ZH","given":"Tang HM","non-dropping-particle":"","parse-names":false,"suffix":""}],"container-title":"Oncol Rep","id":"ITEM-2","issued":{"date-parts":[["2010"]]},"page":"89-95","title":"Mutation analysis of tumor suppressor gene PTEN in patients with gastric carcinomas and its impact on PI3K/AKT pathway. Oncol Rep 2010","type":"article-journal","volume":"24"},"uris":["http://www.mendeley.com/documents/?uuid=9aedc2d8-e442-407d-90a8-a452894b97af","http://www.mendeley.com/documents/?uuid=aaf6b505-5c04-4521-bfb6-b0d02934a62f"]}],"mendeley":{"formattedCitation":"&lt;sup&gt;[64,65]&lt;/sup&gt;","manualFormatting":"[58–59]","plainTextFormattedCitation":"[64,65]","previouslyFormattedCitation":"&lt;sup&gt;[64,65]&lt;/sup&gt;"},"properties":{"noteIndex":0},"schema":"https://github.com/citation-style-language/schema/raw/master/csl-citation.json"}</w:instrText>
      </w:r>
      <w:r w:rsidR="002A08D3" w:rsidRPr="005C7810">
        <w:rPr>
          <w:rFonts w:ascii="Book Antiqua" w:hAnsi="Book Antiqua" w:cs="Times New Roman"/>
          <w:sz w:val="24"/>
          <w:szCs w:val="24"/>
          <w:lang w:val="en-US"/>
        </w:rPr>
        <w:fldChar w:fldCharType="separate"/>
      </w:r>
      <w:r w:rsidR="00DA7B22" w:rsidRPr="005C7810">
        <w:rPr>
          <w:rFonts w:ascii="Book Antiqua" w:hAnsi="Book Antiqua" w:cs="Times New Roman"/>
          <w:sz w:val="24"/>
          <w:szCs w:val="24"/>
          <w:vertAlign w:val="superscript"/>
          <w:lang w:val="en-US"/>
        </w:rPr>
        <w:t>[64</w:t>
      </w:r>
      <w:r w:rsidR="009131DA" w:rsidRPr="005C7810">
        <w:rPr>
          <w:rFonts w:ascii="Book Antiqua" w:hAnsi="Book Antiqua" w:cs="Times New Roman"/>
          <w:sz w:val="24"/>
          <w:szCs w:val="24"/>
          <w:vertAlign w:val="superscript"/>
          <w:lang w:val="en-US"/>
        </w:rPr>
        <w:t>,</w:t>
      </w:r>
      <w:r w:rsidR="00DA7B22" w:rsidRPr="005C7810">
        <w:rPr>
          <w:rFonts w:ascii="Book Antiqua" w:hAnsi="Book Antiqua" w:cs="Times New Roman"/>
          <w:sz w:val="24"/>
          <w:szCs w:val="24"/>
          <w:vertAlign w:val="superscript"/>
          <w:lang w:val="en-US"/>
        </w:rPr>
        <w:t>65</w:t>
      </w:r>
      <w:r w:rsidR="00783AE3" w:rsidRPr="005C7810">
        <w:rPr>
          <w:rFonts w:ascii="Book Antiqua" w:hAnsi="Book Antiqua" w:cs="Times New Roman"/>
          <w:sz w:val="24"/>
          <w:szCs w:val="24"/>
          <w:vertAlign w:val="superscript"/>
          <w:lang w:val="en-US"/>
        </w:rPr>
        <w:t>]</w:t>
      </w:r>
      <w:r w:rsidR="002A08D3" w:rsidRPr="005C7810">
        <w:rPr>
          <w:rFonts w:ascii="Book Antiqua" w:hAnsi="Book Antiqua" w:cs="Times New Roman"/>
          <w:sz w:val="24"/>
          <w:szCs w:val="24"/>
          <w:lang w:val="en-US"/>
        </w:rPr>
        <w:fldChar w:fldCharType="end"/>
      </w:r>
      <w:r w:rsidR="00631D3D" w:rsidRPr="005C7810">
        <w:rPr>
          <w:rFonts w:ascii="Book Antiqua" w:hAnsi="Book Antiqua" w:cs="Times New Roman"/>
          <w:sz w:val="24"/>
          <w:szCs w:val="24"/>
          <w:lang w:val="en-US"/>
        </w:rPr>
        <w:t>, and m</w:t>
      </w:r>
      <w:r w:rsidR="00BF6DCB" w:rsidRPr="005C7810">
        <w:rPr>
          <w:rFonts w:ascii="Book Antiqua" w:hAnsi="Book Antiqua" w:cs="Times New Roman"/>
          <w:sz w:val="24"/>
          <w:szCs w:val="24"/>
          <w:lang w:val="en-US"/>
        </w:rPr>
        <w:t xml:space="preserve">echanistic </w:t>
      </w:r>
      <w:r w:rsidR="00631D3D" w:rsidRPr="005C7810">
        <w:rPr>
          <w:rFonts w:ascii="Book Antiqua" w:hAnsi="Book Antiqua" w:cs="Times New Roman"/>
          <w:sz w:val="24"/>
          <w:szCs w:val="24"/>
          <w:lang w:val="en-US"/>
        </w:rPr>
        <w:t>t</w:t>
      </w:r>
      <w:r w:rsidR="00BF6DCB" w:rsidRPr="005C7810">
        <w:rPr>
          <w:rFonts w:ascii="Book Antiqua" w:hAnsi="Book Antiqua" w:cs="Times New Roman"/>
          <w:sz w:val="24"/>
          <w:szCs w:val="24"/>
          <w:lang w:val="en-US"/>
        </w:rPr>
        <w:t xml:space="preserve">arget </w:t>
      </w:r>
      <w:r w:rsidR="00631D3D" w:rsidRPr="005C7810">
        <w:rPr>
          <w:rFonts w:ascii="Book Antiqua" w:hAnsi="Book Antiqua" w:cs="Times New Roman"/>
          <w:sz w:val="24"/>
          <w:szCs w:val="24"/>
          <w:lang w:val="en-US"/>
        </w:rPr>
        <w:t>o</w:t>
      </w:r>
      <w:r w:rsidR="00BF6DCB" w:rsidRPr="005C7810">
        <w:rPr>
          <w:rFonts w:ascii="Book Antiqua" w:hAnsi="Book Antiqua" w:cs="Times New Roman"/>
          <w:sz w:val="24"/>
          <w:szCs w:val="24"/>
          <w:lang w:val="en-US"/>
        </w:rPr>
        <w:t xml:space="preserve">f </w:t>
      </w:r>
      <w:r w:rsidR="00631D3D" w:rsidRPr="005C7810">
        <w:rPr>
          <w:rFonts w:ascii="Book Antiqua" w:hAnsi="Book Antiqua" w:cs="Times New Roman"/>
          <w:sz w:val="24"/>
          <w:szCs w:val="24"/>
          <w:lang w:val="en-US"/>
        </w:rPr>
        <w:t>r</w:t>
      </w:r>
      <w:r w:rsidR="00BF6DCB" w:rsidRPr="005C7810">
        <w:rPr>
          <w:rFonts w:ascii="Book Antiqua" w:hAnsi="Book Antiqua" w:cs="Times New Roman"/>
          <w:sz w:val="24"/>
          <w:szCs w:val="24"/>
          <w:lang w:val="en-US"/>
        </w:rPr>
        <w:t>apam</w:t>
      </w:r>
      <w:r w:rsidR="004A6501" w:rsidRPr="005C7810">
        <w:rPr>
          <w:rFonts w:ascii="Book Antiqua" w:hAnsi="Book Antiqua" w:cs="Times New Roman"/>
          <w:sz w:val="24"/>
          <w:szCs w:val="24"/>
          <w:lang w:val="en-US"/>
        </w:rPr>
        <w:t>ycin</w:t>
      </w:r>
      <w:r w:rsidR="00BF6DCB" w:rsidRPr="005C7810">
        <w:rPr>
          <w:rFonts w:ascii="Book Antiqua" w:hAnsi="Book Antiqua" w:cs="Times New Roman"/>
          <w:sz w:val="24"/>
          <w:szCs w:val="24"/>
          <w:lang w:val="en-US"/>
        </w:rPr>
        <w:t xml:space="preserve"> </w:t>
      </w:r>
      <w:r w:rsidR="00631D3D" w:rsidRPr="005C7810">
        <w:rPr>
          <w:rFonts w:ascii="Book Antiqua" w:hAnsi="Book Antiqua" w:cs="Times New Roman"/>
          <w:sz w:val="24"/>
          <w:szCs w:val="24"/>
          <w:lang w:val="en-US"/>
        </w:rPr>
        <w:t>k</w:t>
      </w:r>
      <w:r w:rsidR="00BF6DCB" w:rsidRPr="005C7810">
        <w:rPr>
          <w:rFonts w:ascii="Book Antiqua" w:hAnsi="Book Antiqua" w:cs="Times New Roman"/>
          <w:sz w:val="24"/>
          <w:szCs w:val="24"/>
          <w:lang w:val="en-US"/>
        </w:rPr>
        <w:t>inase</w:t>
      </w:r>
      <w:r w:rsidR="00631D3D" w:rsidRPr="005C7810">
        <w:rPr>
          <w:rFonts w:ascii="Book Antiqua" w:hAnsi="Book Antiqua" w:cs="Times New Roman"/>
          <w:sz w:val="24"/>
          <w:szCs w:val="24"/>
          <w:lang w:val="en-US"/>
        </w:rPr>
        <w:t xml:space="preserve"> (mTOR</w:t>
      </w:r>
      <w:r w:rsidR="00BF6DCB" w:rsidRPr="005C7810">
        <w:rPr>
          <w:rFonts w:ascii="Book Antiqua" w:hAnsi="Book Antiqua" w:cs="Times New Roman"/>
          <w:sz w:val="24"/>
          <w:szCs w:val="24"/>
          <w:lang w:val="en-US"/>
        </w:rPr>
        <w:t>) is activated in 60% of GC</w:t>
      </w:r>
      <w:r w:rsidR="00631D3D" w:rsidRPr="005C7810">
        <w:rPr>
          <w:rFonts w:ascii="Book Antiqua" w:hAnsi="Book Antiqua" w:cs="Times New Roman"/>
          <w:sz w:val="24"/>
          <w:szCs w:val="24"/>
          <w:lang w:val="en-US"/>
        </w:rPr>
        <w:t>s</w:t>
      </w:r>
      <w:r w:rsidR="001550C5"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10.1002/ijc.22442","author":[{"dropping-particle":"","family":"Schlitt","given":"Hans-Jürgen","non-dropping-particle":"","parse-names":false,"suffix":""},{"dropping-particle":"","family":"Klein","given":"Dagmar","non-dropping-particle":"","parse-names":false,"suffix":""},{"dropping-particle":"","family":"Bolder","given":"Ulrich","non-dropping-particle":"","parse-names":false,"suffix":""},{"dropping-particle":"","family":"Ellis","given":"Lee M.","non-dropping-particle":"","parse-names":false,"suffix":""},{"dropping-particle":"","family":"Hofstaedter","given":"Ferdinand","non-dropping-particle":"","parse-names":false,"suffix":""},{"dropping-particle":"","family":"Bataille","given":"Frauke","non-dropping-particle":"","parse-names":false,"suffix":""},{"dropping-particle":"","family":"Seidel","given":"Ulrike","non-dropping-particle":"","parse-names":false,"suffix":""},{"dropping-particle":"","family":"Koehl","given":"Gudrun E.","non-dropping-particle":"","parse-names":false,"suffix":""},{"dropping-particle":"","family":"Stoeltzing","given":"Oliver","non-dropping-particle":"","parse-names":false,"suffix":""},{"dropping-particle":"","family":"Geissler","given":"Edward K.","non-dropping-particle":"","parse-names":false,"suffix":""},{"dropping-particle":"","family":"Gaumann","given":"Andreas","non-dropping-particle":"","parse-names":false,"suffix":""},{"dropping-particle":"","family":"Lang","given":"Sven A.","non-dropping-particle":"","parse-names":false,"suffix":""}],"container-title":"International Journal of Cancer","id":"ITEM-1","issue":"8","issued":{"date-parts":[["2007"]]},"page":"1803-1810","title":"Mammalian target of rapamycin is activated in human gastric cancer and serves as a target for therapy in an experimental model","type":"article-journal","volume":"120"},"uris":["http://www.mendeley.com/documents/?uuid=9fc03352-0c8c-4f58-96e7-405b576b0423","http://www.mendeley.com/documents/?uuid=90d7b41f-07cd-4da0-ae06-196082f93ff1"]}],"mendeley":{"formattedCitation":"&lt;sup&gt;[66]&lt;/sup&gt;","plainTextFormattedCitation":"[66]","previouslyFormattedCitation":"&lt;sup&gt;[66]&lt;/sup&gt;"},"properties":{"noteIndex":0},"schema":"https://github.com/citation-style-language/schema/raw/master/csl-citation.json"}</w:instrText>
      </w:r>
      <w:r w:rsidR="001550C5"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[66]</w:t>
      </w:r>
      <w:r w:rsidR="001550C5" w:rsidRPr="005C7810">
        <w:rPr>
          <w:rFonts w:ascii="Book Antiqua" w:hAnsi="Book Antiqua" w:cs="Times New Roman"/>
          <w:sz w:val="24"/>
          <w:szCs w:val="24"/>
          <w:lang w:val="en-US"/>
        </w:rPr>
        <w:fldChar w:fldCharType="end"/>
      </w:r>
      <w:r w:rsidR="00BF6DCB" w:rsidRPr="005C7810">
        <w:rPr>
          <w:rFonts w:ascii="Book Antiqua" w:hAnsi="Book Antiqua" w:cs="Times New Roman"/>
          <w:sz w:val="24"/>
          <w:szCs w:val="24"/>
          <w:lang w:val="en-US"/>
        </w:rPr>
        <w:t>.</w:t>
      </w:r>
    </w:p>
    <w:p w:rsidR="002E5C2C" w:rsidRPr="005C7810" w:rsidRDefault="00EE07CA"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lastRenderedPageBreak/>
        <w:tab/>
      </w:r>
      <w:r w:rsidR="00B8125B" w:rsidRPr="005C7810">
        <w:rPr>
          <w:rFonts w:ascii="Book Antiqua" w:hAnsi="Book Antiqua" w:cs="Times New Roman"/>
          <w:sz w:val="24"/>
          <w:szCs w:val="24"/>
          <w:lang w:val="en-US"/>
        </w:rPr>
        <w:t xml:space="preserve">Mutations of </w:t>
      </w:r>
      <w:r w:rsidR="00B8125B" w:rsidRPr="005C7810">
        <w:rPr>
          <w:rFonts w:ascii="Book Antiqua" w:hAnsi="Book Antiqua" w:cs="Times New Roman"/>
          <w:i/>
          <w:sz w:val="24"/>
          <w:szCs w:val="24"/>
          <w:lang w:val="en-US"/>
        </w:rPr>
        <w:t>PI3KCA</w:t>
      </w:r>
      <w:r w:rsidR="00B8125B" w:rsidRPr="005C7810">
        <w:rPr>
          <w:rFonts w:ascii="Book Antiqua" w:hAnsi="Book Antiqua" w:cs="Times New Roman"/>
          <w:sz w:val="24"/>
          <w:szCs w:val="24"/>
          <w:lang w:val="en-US"/>
        </w:rPr>
        <w:t>, which encodes the p110α catalytic isoform of PI3K, have been identified</w:t>
      </w:r>
      <w:r w:rsidR="00794952" w:rsidRPr="005C7810">
        <w:rPr>
          <w:rFonts w:ascii="Book Antiqua" w:hAnsi="Book Antiqua" w:cs="Times New Roman"/>
          <w:sz w:val="24"/>
          <w:szCs w:val="24"/>
          <w:lang w:val="en-US"/>
        </w:rPr>
        <w:t xml:space="preserve"> in </w:t>
      </w:r>
      <w:r w:rsidR="00B8125B" w:rsidRPr="005C7810">
        <w:rPr>
          <w:rFonts w:ascii="Book Antiqua" w:hAnsi="Book Antiqua" w:cs="Times New Roman"/>
          <w:sz w:val="24"/>
          <w:szCs w:val="24"/>
          <w:lang w:val="en-US"/>
        </w:rPr>
        <w:t>up to 25%</w:t>
      </w:r>
      <w:r w:rsidR="00794952" w:rsidRPr="005C7810">
        <w:rPr>
          <w:rFonts w:ascii="Book Antiqua" w:hAnsi="Book Antiqua" w:cs="Times New Roman"/>
          <w:sz w:val="24"/>
          <w:szCs w:val="24"/>
          <w:lang w:val="en-US"/>
        </w:rPr>
        <w:t xml:space="preserve"> of</w:t>
      </w:r>
      <w:r w:rsidR="00B8125B" w:rsidRPr="005C7810">
        <w:rPr>
          <w:rFonts w:ascii="Book Antiqua" w:hAnsi="Book Antiqua" w:cs="Times New Roman"/>
          <w:sz w:val="24"/>
          <w:szCs w:val="24"/>
          <w:lang w:val="en-US"/>
        </w:rPr>
        <w:t xml:space="preserve"> patients with GC</w:t>
      </w:r>
      <w:r w:rsidR="001550C5"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{"citationItems":[{"id":"ITEM-1","itemData":{"DOI":"10.3390/cancers6031441","ISSN":"20726694","abstract":"The phosphatidylinositol 3-kinase (PI3K)/Akt/mammalian target of rapamycin (mTOR) pathway is one of the key signaling pathways induced by various receptor-tyrosine kinases. Accumulating evidence shows that this pathway is an important promoter of cell growth, metabolism, survival, metastasis, and resistance to chemotherapy. Genetic alterations in the PI3K/Akt/mTOR pathway in gastric carcinoma have often been demonstrated. Many kinds of molecular targeting therapies are currently undergoing clinical testing in patients with solid tumors. However, with the exception of the ErbB2-targeting antibody, targeting agents, including PI3K/Akt/mTOR inhibitors, have not been approved for treatment of patients with gastric carcinoma. This review summarizes the current knowledge on PI3K/Akt/mTOR signaling in the pathogenesis of gastric carcinoma and the possible therapeutic targets for gastric carcinoma. Improved knowledge of the PI3K/Akt/mTOR pathway in gastric carcinoma will be useful in understanding the mechanisms of tumor development and for identifying ideal targets of anticancer therapy for gastric carcinoma.","author":[{"dropping-particle":"","family":"Matsuoka","given":"Tasuku","non-dropping-particle":"","parse-names":false,"suffix":""},{"dropping-particle":"","family":"Yashiro","given":"Masakazu","non-dropping-particle":"","parse-names":false,"suffix":""}],"container-title":"Cancers","id":"ITEM-1","issue":"3","issued":{"date-parts":[["2014"]]},"page":"1441-1463","title":"The role of PI3K/Akt/mTOR signaling in gastric carcinoma","type":"article-journal","volume":"6"},"uris":["http://www.mendeley.com/documents/?uuid=c1b641c7-51c9-486a-8c51-d3701b3d6c40","http://www.mendeley.com/documents/?uuid=e32dcbf8-3e90-42b8-8b85-547dd98dbac8"]}],"mendeley":{"formattedCitation":"&lt;sup&gt;[67]&lt;/sup&gt;","plainTextFormattedCitation":"[67]","previouslyFormattedCitation":"&lt;sup&gt;[67]&lt;/sup&gt;"},"properties":{"noteIndex":0},"schema":"https://github.com/citation-style-language/schema/raw/master/csl-citation.json"}</w:instrText>
      </w:r>
      <w:r w:rsidR="001550C5"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[67]</w:t>
      </w:r>
      <w:r w:rsidR="001550C5"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These mutations are involved in resistance to antitumor drugs and the acquisition of a metastatic phenotype; moreover, they are found mainly in the EBV</w:t>
      </w:r>
      <w:r w:rsidR="003C4D3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positive subtype of GC</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{"citationItems":[{"id":"ITEM-1","itemData":{"DOI":"10.3390/v4123420","PMID":"23342366","abstract":"Epstein-Barr virus (EBV) has been accepted as an infective agent causing gastric carcinoma (GC). EBV-associated GC, comprising nearly 10% of all cases of GC, is the monoclonal growth of EBV-infected epithelial cells, which express only several EBV-latent genes (Latency I program). Histopathologically, there are two subtypes, lymphoepithelioma-like carcinoma and the ordinary type of GC. Other features include the lace pattern of carcinoma cells in the intramucosal stage and the dense infiltration of lymphocytes and macrophages at the invasive site of the submucosa. The primary molecular abnormality in EBV-associated GC is global and non-random CpG island methylation in the promoter region of many cancer-related genes. Experimental studies have demonstrated that viral latent membrane protein 2A (LMP2A) is responsible for the promotion of DNA methylation. LMP2A up-regulates cellular DNMT1 through the phosphorylation of STAT3, resulting in the repression of tumor suppressor genes, such as PTEN, through promoter methylation. DNA methylation in EBV-infected stomach cells may be due to overdrive of the cellular defense against foreign DNA. Further studies on the mechanisms of epigenetic abnormalities will clarify the strategies for prevention and treatment of this particular type of GC with EBV infection. © 2011 Elsevier GmbH.","author":[{"dropping-particle":"","family":"Iisaza H, Nanbo A, Nishikawa J, Jinushi M","given":"Yoshiyama H.","non-dropping-particle":"","parse-names":false,"suffix":""}],"container-title":"Viruses","id":"ITEM-1","issued":{"date-parts":[["2012"]]},"page":"3420-3439","title":"Epstein-barr virus-associated gastric carcinoma","type":"article-journal","volume":"4"},"uris":["http://www.mendeley.com/documents/?uuid=0b40fbf6-9a1b-407f-97b5-49e1691c985e","http://www.mendeley.com/documents/?uuid=b365653c-c2dd-43c3-b161-1c24d80bb15e"]}],"mendeley":{"formattedCitation":"&lt;sup&gt;[68]&lt;/sup&gt;","plainTextFormattedCitation":"[68]","previouslyFormattedCitation":"&lt;sup&gt;[68]&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[68]</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It has been reported that the amplification and/or overexpression of </w:t>
      </w:r>
      <w:r w:rsidR="00B8125B" w:rsidRPr="005C7810">
        <w:rPr>
          <w:rFonts w:ascii="Book Antiqua" w:hAnsi="Book Antiqua" w:cs="Times New Roman"/>
          <w:i/>
          <w:sz w:val="24"/>
          <w:szCs w:val="24"/>
          <w:lang w:val="en-US"/>
        </w:rPr>
        <w:t>MET</w:t>
      </w:r>
      <w:r w:rsidR="00B8125B" w:rsidRPr="005C7810">
        <w:rPr>
          <w:rFonts w:ascii="Book Antiqua" w:hAnsi="Book Antiqua" w:cs="Times New Roman"/>
          <w:sz w:val="24"/>
          <w:szCs w:val="24"/>
          <w:lang w:val="en-US"/>
        </w:rPr>
        <w:t xml:space="preserve"> is involved in carcinogenesis, the efficacy of therapy</w:t>
      </w:r>
      <w:r w:rsidR="008645F0"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the outcome of GC</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{"citationItems":[{"id":"ITEM-1","itemData":{"DOI":"10.1038/bjc.2012.237","ISSN":"00070920","PMID":"22644302","abstract":"BACKGROUND: The aim of this study was to compare gene copy number (GCN) and protein expression of MET and to evaluate their prognostic roles in gastric carcinomas. METHODS: MET protein expression and gene amplification (GA) status were determined by immunohistochemistry (IHC) and silver in-situ hybridisation (SISH), respectively, in a large series of gastric carcinoma. RESULTS: Protein overexpression was observed in 104 of 438 cases, with IHC 2+ in 94 and IHC 3+ in 10, and high polysomy of chromosome 7 and GA were found in 61 and 13 of 381, respectively. Direct comparison revealed a significant correlation between high level of protein expression and increased GCN. All cases with GA showed protein overexpression. Furthermore, all with IHC 3+ showed GA except 1, even which could be categorised as GA according to the ASCO/CAP guideline for human epidermal growth factor receptor 2 assessment. IHC 3+ and GA were significantly associated with poor prognosis. CONCLUSION: MET IHC reflects well on GA, and therefore, it could be a primary screening test for patient selection for anti-MET therapy if GA is a major determinant of drug responsiveness. Also, the prognostic role of MET indicates that anti-MET therapy is a very promising modality in adjuvant treatment for gastric cancer.","author":[{"dropping-particle":"","family":"Lee","given":"H. E.","non-dropping-particle":"","parse-names":false,"suffix":""},{"dropping-particle":"","family":"Kim","given":"M. A.","non-dropping-particle":"","parse-names":false,"suffix":""},{"dropping-particle":"","family":"Lee","given":"H. S.","non-dropping-particle":"","parse-names":false,"suffix":""},{"dropping-particle":"","family":"Jung","given":"E. J.","non-dropping-particle":"","parse-names":false,"suffix":""},{"dropping-particle":"","family":"Yang","given":"H. K.","non-dropping-particle":"","parse-names":false,"suffix":""},{"dropping-particle":"","family":"Lee","given":"B. L.","non-dropping-particle":"","parse-names":false,"suffix":""},{"dropping-particle":"","family":"Bang","given":"Y. J.","non-dropping-particle":"","parse-names":false,"suffix":""},{"dropping-particle":"","family":"Kim","given":"W. H.","non-dropping-particle":"","parse-names":false,"suffix":""}],"container-title":"British Journal of Cancer","id":"ITEM-1","issue":"2","issued":{"date-parts":[["2012"]]},"page":"325-333","publisher":"Nature Publishing Group","title":"MET in gastric carcinomas: Comparison between protein expression and gene copy number and impact on clinical outcome","type":"article-journal","volume":"107"},"uris":["http://www.mendeley.com/documents/?uuid=96aa71be-6102-42d1-a867-43514b340335","http://www.mendeley.com/documents/?uuid=c948a884-b940-4b7c-98ba-7d093401bf5d"]}],"mendeley":{"formattedCitation":"&lt;sup&gt;[69]&lt;/sup&gt;","plainTextFormattedCitation":"[69]","previouslyFormattedCitation":"&lt;sup&gt;[69]&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[69]</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MET expression is associated with invasion and overall poor survival</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{"citationItems":[{"id":"ITEM-1","itemData":{"DOI":"10.3892/mmr.2015.3205","ISSN":"17913004","abstract":"Among the mechanisms that control cancer progression, cell mobility is a significant factor required for cellular liberation from the primary focus and infiltration. Hepatocyte growth factor (HGF) has been shown to facilitate cell mobility. In the present study, the clinical significance of the HGF/c</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Met pathway in the assessment of gastric cancer progression was evaluated. From a cohort of patients with gastric cancer who underwent surgical resection between April 1999 and March 2003, 110 subjects were randomly selected. Preoperative serum HGF levels were measured and various pathological factors were analyzed. Furthermore, 50 subjects were randomly selected from within this group and immunohistochemical staining of tissue preparations for HGF and its receptor c</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Met were performed. In the infiltrative growth pattern [(INF)</w:instrText>
      </w:r>
      <w:r w:rsidR="001322DE" w:rsidRPr="005C7810">
        <w:rPr>
          <w:rFonts w:ascii="Book Antiqua" w:hAnsi="Book Antiqua" w:cs="Book Antiqua"/>
          <w:sz w:val="24"/>
          <w:szCs w:val="24"/>
          <w:lang w:val="en-US"/>
        </w:rPr>
        <w:instrText>α</w:instrText>
      </w:r>
      <w:r w:rsidR="001322DE" w:rsidRPr="005C7810">
        <w:rPr>
          <w:rFonts w:ascii="Book Antiqua" w:hAnsi="Book Antiqua" w:cs="Times New Roman"/>
          <w:sz w:val="24"/>
          <w:szCs w:val="24"/>
          <w:lang w:val="en-US"/>
        </w:rPr>
        <w:instrText>,</w:instrText>
      </w:r>
      <w:r w:rsidR="001322DE" w:rsidRPr="005C7810">
        <w:rPr>
          <w:rFonts w:ascii="Book Antiqua" w:hAnsi="Book Antiqua" w:cs="Book Antiqua"/>
          <w:sz w:val="24"/>
          <w:szCs w:val="24"/>
          <w:lang w:val="en-US"/>
        </w:rPr>
        <w:instrText>β</w:instrText>
      </w:r>
      <w:r w:rsidR="001322DE" w:rsidRPr="005C7810">
        <w:rPr>
          <w:rFonts w:ascii="Book Antiqua" w:hAnsi="Book Antiqua" w:cs="Times New Roman"/>
          <w:sz w:val="24"/>
          <w:szCs w:val="24"/>
          <w:lang w:val="en-US"/>
        </w:rPr>
        <w:instrText xml:space="preserve"> vs. INF</w:instrText>
      </w:r>
      <w:r w:rsidR="001322DE" w:rsidRPr="005C7810">
        <w:rPr>
          <w:rFonts w:ascii="Book Antiqua" w:hAnsi="Book Antiqua" w:cs="Book Antiqua"/>
          <w:sz w:val="24"/>
          <w:szCs w:val="24"/>
          <w:lang w:val="en-US"/>
        </w:rPr>
        <w:instrText>γ</w:instrText>
      </w:r>
      <w:r w:rsidR="001322DE" w:rsidRPr="005C7810">
        <w:rPr>
          <w:rFonts w:ascii="Book Antiqua" w:hAnsi="Book Antiqua" w:cs="Times New Roman"/>
          <w:sz w:val="24"/>
          <w:szCs w:val="24"/>
          <w:lang w:val="en-US"/>
        </w:rPr>
        <w:instrText>], advanced progression was associated with elevated preoperative serum HGF levels (P&lt;0.001). No correlation was identified between serum HGF levels and immunostaining for HGF or c</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Met in the tissue preparations. Immunostaining revealed a significant correlation between c</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Met expression and lymphatic vessel invasion (ly0.1 vs. 2.3; P=0.0416), lymph node metastasis (n0.1 vs. 2; P=0.0184) and maximum tumor diameter (≤50 mm vs. &gt;50 mm; P=0.0469). Furthermore, c</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Met</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positivity was associated with a significant difference in overall survival (P=0.0342), despite stage I and II cases accounting for 82% of the total cohort (41 of 50 cases). These results suggested that the expression of the HGF/c</w:instrText>
      </w:r>
      <w:r w:rsidR="001322DE" w:rsidRPr="005C7810">
        <w:rPr>
          <w:rFonts w:ascii="Times New Roman" w:hAnsi="Times New Roman" w:cs="Times New Roman"/>
          <w:sz w:val="24"/>
          <w:szCs w:val="24"/>
          <w:lang w:val="en-US"/>
        </w:rPr>
        <w:instrText>‑</w:instrText>
      </w:r>
      <w:r w:rsidR="001322DE" w:rsidRPr="005C7810">
        <w:rPr>
          <w:rFonts w:ascii="Book Antiqua" w:hAnsi="Book Antiqua" w:cs="Times New Roman"/>
          <w:sz w:val="24"/>
          <w:szCs w:val="24"/>
          <w:lang w:val="en-US"/>
        </w:rPr>
        <w:instrText>Met pathway in gastric cancer may be a potential predictive factor for disease progression.","author":[{"dropping-particle":"","family":"Noguchi","given":"Eiichiro","non-dropping-particle":"","parse-names":false,"suffix":""},{"dropping-particle":"","family":"Saito","given":"Noboru","non-dropping-particle":"","parse-names":false,"suffix":""},{"dropping-particle":"","family":"Kobayashi","given":"Makio","non-dropping-particle":"","parse-names":false,"suffix":""},{"dropping-particle":"","family":"Kameoka","given":"Shingo","non-dropping-particle":"","parse-names":false,"suffix":""}],"container-title":"Molecular Medicine Reports","id":"ITEM-1","issue":"5","issued":{"date-parts":[["2015"]]},"page":"3423-3431","title":"Clinical significance of hepatocyte growth factor/c-Met expression in the assessment of gastric cancer progression","type":"article-journal","volume":"11"},"uris":["http://www.mendeley.com/documents/?uuid=baac66a7-4457-484f-8291-ea415a872312","http://www.mendeley.com/documents/?uuid=84e09474-d943-4d9e-b24f-e9256f6381af"]}],"mendeley":{"formattedCitation":"&lt;sup&gt;[70]&lt;/sup&gt;","plainTextFormattedCitation":"[70]","previouslyFormattedCitation":"&lt;sup&gt;[70]&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[70]</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Vascular </w:t>
      </w:r>
      <w:r w:rsidR="005F1604" w:rsidRPr="005C7810">
        <w:rPr>
          <w:rFonts w:ascii="Book Antiqua" w:hAnsi="Book Antiqua" w:cs="Times New Roman"/>
          <w:sz w:val="24"/>
          <w:szCs w:val="24"/>
          <w:lang w:val="en-US"/>
        </w:rPr>
        <w:t>e</w:t>
      </w:r>
      <w:r w:rsidR="00B8125B" w:rsidRPr="005C7810">
        <w:rPr>
          <w:rFonts w:ascii="Book Antiqua" w:hAnsi="Book Antiqua" w:cs="Times New Roman"/>
          <w:sz w:val="24"/>
          <w:szCs w:val="24"/>
          <w:lang w:val="en-US"/>
        </w:rPr>
        <w:t xml:space="preserve">ndothelial </w:t>
      </w:r>
      <w:r w:rsidR="005F1604" w:rsidRPr="005C7810">
        <w:rPr>
          <w:rFonts w:ascii="Book Antiqua" w:hAnsi="Book Antiqua" w:cs="Times New Roman"/>
          <w:sz w:val="24"/>
          <w:szCs w:val="24"/>
          <w:lang w:val="en-US"/>
        </w:rPr>
        <w:t>g</w:t>
      </w:r>
      <w:r w:rsidR="00B8125B" w:rsidRPr="005C7810">
        <w:rPr>
          <w:rFonts w:ascii="Book Antiqua" w:hAnsi="Book Antiqua" w:cs="Times New Roman"/>
          <w:sz w:val="24"/>
          <w:szCs w:val="24"/>
          <w:lang w:val="en-US"/>
        </w:rPr>
        <w:t xml:space="preserve">rowth </w:t>
      </w:r>
      <w:r w:rsidR="005F1604" w:rsidRPr="005C7810">
        <w:rPr>
          <w:rFonts w:ascii="Book Antiqua" w:hAnsi="Book Antiqua" w:cs="Times New Roman"/>
          <w:sz w:val="24"/>
          <w:szCs w:val="24"/>
          <w:lang w:val="en-US"/>
        </w:rPr>
        <w:t>f</w:t>
      </w:r>
      <w:r w:rsidR="00B8125B" w:rsidRPr="005C7810">
        <w:rPr>
          <w:rFonts w:ascii="Book Antiqua" w:hAnsi="Book Antiqua" w:cs="Times New Roman"/>
          <w:sz w:val="24"/>
          <w:szCs w:val="24"/>
          <w:lang w:val="en-US"/>
        </w:rPr>
        <w:t>actor</w:t>
      </w:r>
      <w:r w:rsidR="005F1604" w:rsidRPr="005C7810">
        <w:rPr>
          <w:rFonts w:ascii="Book Antiqua" w:hAnsi="Book Antiqua" w:cs="Times New Roman"/>
          <w:sz w:val="24"/>
          <w:szCs w:val="24"/>
          <w:lang w:val="en-US"/>
        </w:rPr>
        <w:t xml:space="preserve"> (</w:t>
      </w:r>
      <w:r w:rsidR="005F1604" w:rsidRPr="005C7810">
        <w:rPr>
          <w:rFonts w:ascii="Book Antiqua" w:hAnsi="Book Antiqua" w:cs="Times New Roman"/>
          <w:iCs/>
          <w:sz w:val="24"/>
          <w:szCs w:val="24"/>
          <w:lang w:val="en-US"/>
        </w:rPr>
        <w:t>VEGF</w:t>
      </w:r>
      <w:r w:rsidR="00B8125B" w:rsidRPr="005C7810">
        <w:rPr>
          <w:rFonts w:ascii="Book Antiqua" w:hAnsi="Book Antiqua" w:cs="Times New Roman"/>
          <w:sz w:val="24"/>
          <w:szCs w:val="24"/>
          <w:lang w:val="en-US"/>
        </w:rPr>
        <w:t xml:space="preserve">) </w:t>
      </w:r>
      <w:r w:rsidR="008645F0" w:rsidRPr="005C7810">
        <w:rPr>
          <w:rFonts w:ascii="Book Antiqua" w:hAnsi="Book Antiqua" w:cs="Times New Roman"/>
          <w:sz w:val="24"/>
          <w:szCs w:val="24"/>
          <w:lang w:val="en-US"/>
        </w:rPr>
        <w:t>en</w:t>
      </w:r>
      <w:r w:rsidR="00385A9A" w:rsidRPr="005C7810">
        <w:rPr>
          <w:rFonts w:ascii="Book Antiqua" w:hAnsi="Book Antiqua" w:cs="Times New Roman"/>
          <w:sz w:val="24"/>
          <w:szCs w:val="24"/>
          <w:lang w:val="en-US"/>
        </w:rPr>
        <w:t>cod</w:t>
      </w:r>
      <w:r w:rsidR="008645F0" w:rsidRPr="005C7810">
        <w:rPr>
          <w:rFonts w:ascii="Book Antiqua" w:hAnsi="Book Antiqua" w:cs="Times New Roman"/>
          <w:sz w:val="24"/>
          <w:szCs w:val="24"/>
          <w:lang w:val="en-US"/>
        </w:rPr>
        <w:t>es</w:t>
      </w:r>
      <w:r w:rsidR="00385A9A" w:rsidRPr="005C7810">
        <w:rPr>
          <w:rFonts w:ascii="Book Antiqua" w:hAnsi="Book Antiqua" w:cs="Times New Roman"/>
          <w:sz w:val="24"/>
          <w:szCs w:val="24"/>
          <w:lang w:val="en-US"/>
        </w:rPr>
        <w:t xml:space="preserve"> for </w:t>
      </w:r>
      <w:r w:rsidR="00B8125B" w:rsidRPr="005C7810">
        <w:rPr>
          <w:rFonts w:ascii="Book Antiqua" w:hAnsi="Book Antiqua" w:cs="Times New Roman"/>
          <w:sz w:val="24"/>
          <w:szCs w:val="24"/>
          <w:lang w:val="en-US"/>
        </w:rPr>
        <w:t xml:space="preserve">a growth factor that promotes the formation of new blood vessels. </w:t>
      </w:r>
      <w:r w:rsidR="00DA1F29" w:rsidRPr="005C7810">
        <w:rPr>
          <w:rFonts w:ascii="Book Antiqua" w:hAnsi="Book Antiqua" w:cs="Times New Roman"/>
          <w:sz w:val="24"/>
          <w:szCs w:val="24"/>
          <w:lang w:val="en-US"/>
        </w:rPr>
        <w:t xml:space="preserve">VEGF and </w:t>
      </w:r>
      <w:r w:rsidR="005D4168" w:rsidRPr="005C7810">
        <w:rPr>
          <w:rFonts w:ascii="Book Antiqua" w:hAnsi="Book Antiqua" w:cs="Times New Roman"/>
          <w:sz w:val="24"/>
          <w:szCs w:val="24"/>
          <w:lang w:val="en-US"/>
        </w:rPr>
        <w:t>vascular endothelial growth factor receptor (</w:t>
      </w:r>
      <w:r w:rsidR="00DA1F29" w:rsidRPr="005C7810">
        <w:rPr>
          <w:rFonts w:ascii="Book Antiqua" w:hAnsi="Book Antiqua" w:cs="Times New Roman"/>
          <w:sz w:val="24"/>
          <w:szCs w:val="24"/>
          <w:lang w:val="en-US"/>
        </w:rPr>
        <w:t>VEGFR</w:t>
      </w:r>
      <w:r w:rsidR="005D4168" w:rsidRPr="005C7810">
        <w:rPr>
          <w:rFonts w:ascii="Book Antiqua" w:hAnsi="Book Antiqua" w:cs="Times New Roman"/>
          <w:sz w:val="24"/>
          <w:szCs w:val="24"/>
          <w:lang w:val="en-US"/>
        </w:rPr>
        <w:t>)</w:t>
      </w:r>
      <w:r w:rsidR="00DA1F29" w:rsidRPr="005C7810">
        <w:rPr>
          <w:rFonts w:ascii="Book Antiqua" w:hAnsi="Book Antiqua" w:cs="Times New Roman"/>
          <w:sz w:val="24"/>
          <w:szCs w:val="24"/>
          <w:lang w:val="en-US"/>
        </w:rPr>
        <w:t xml:space="preserve"> are upregulated in about 40% of GC cases</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10.1245/s10434-007-9596-0","ISBN":"1043400795960","ISSN":"1068-9265","author":[{"dropping-particle":"La","family":"Mura","given":"Anna","non-dropping-particle":"","parse-names":false,"suffix":""},{"dropping-particle":"","family":"Zamboli","given":"Anna","non-dropping-particle":"","parse-names":false,"suffix":""},{"dropping-particle":"","family":"Ferraraccio","given":"Francesca","non-dropping-particle":"","parse-names":false,"suffix":""},{"dropping-particle":"","family":"Pinto","given":"Margherita","non-dropping-particle":"","parse-names":false,"suffix":""},{"dropping-particle":"","family":"Orditura","given":"Michele","non-dropping-particle":"","parse-names":false,"suffix":""},{"dropping-particle":"","family":"Galizia","given":"Gennaro","non-dropping-particle":"","parse-names":false,"suffix":""},{"dropping-particle":"","family":"Lieto","given":"Eva","non-dropping-particle":"","parse-names":false,"suffix":""},{"dropping-particle":"","family":"Castellano","given":"Paolo","non-dropping-particle":"","parse-names":false,"suffix":""},{"dropping-particle":"","family":"Vita","given":"Ferdinando","non-dropping-particle":"De","parse-names":false,"suffix":""}],"container-title":"Annals of Surgical Oncology","id":"ITEM-1","issue":"1","issued":{"date-parts":[["2008"]]},"page":"69-79","title":"Expression of Vascular Endothelial Growth Factor (VEGF) and Epidermal Growth Factor Receptor (EGFR) is an Independent Prognostic Indicator of Worse Outcome in Gastric Cancer Patients","type":"article-journal","volume":"15"},"uris":["http://www.mendeley.com/documents/?uuid=10b6ec32-b318-45f8-866a-982a0e5259c3","http://www.mendeley.com/documents/?uuid=7a9dc741-f1ee-415a-addf-f2ddba0d7d6c"]}],"mendeley":{"formattedCitation":"&lt;sup&gt;[71]&lt;/sup&gt;","plainTextFormattedCitation":"[71]","previouslyFormattedCitation":"&lt;sup&gt;[71]&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[71]</w:t>
      </w:r>
      <w:r w:rsidR="00996109" w:rsidRPr="005C7810">
        <w:rPr>
          <w:rFonts w:ascii="Book Antiqua" w:hAnsi="Book Antiqua" w:cs="Times New Roman"/>
          <w:sz w:val="24"/>
          <w:szCs w:val="24"/>
          <w:lang w:val="en-US"/>
        </w:rPr>
        <w:fldChar w:fldCharType="end"/>
      </w:r>
      <w:r w:rsidR="008645F0" w:rsidRPr="005C7810">
        <w:rPr>
          <w:rFonts w:ascii="Book Antiqua" w:hAnsi="Book Antiqua" w:cs="Times New Roman"/>
          <w:sz w:val="24"/>
          <w:szCs w:val="24"/>
          <w:lang w:val="en-US"/>
        </w:rPr>
        <w:t>, and</w:t>
      </w:r>
      <w:r w:rsidR="00DA1F29" w:rsidRPr="005C7810">
        <w:rPr>
          <w:rFonts w:ascii="Book Antiqua" w:hAnsi="Book Antiqua" w:cs="Times New Roman"/>
          <w:sz w:val="24"/>
          <w:szCs w:val="24"/>
          <w:lang w:val="en-US"/>
        </w:rPr>
        <w:t xml:space="preserve"> </w:t>
      </w:r>
      <w:r w:rsidR="008645F0" w:rsidRPr="005C7810">
        <w:rPr>
          <w:rFonts w:ascii="Book Antiqua" w:hAnsi="Book Antiqua" w:cs="Times New Roman"/>
          <w:sz w:val="24"/>
          <w:szCs w:val="24"/>
          <w:lang w:val="en-US"/>
        </w:rPr>
        <w:t>t</w:t>
      </w:r>
      <w:r w:rsidR="00B8125B" w:rsidRPr="005C7810">
        <w:rPr>
          <w:rFonts w:ascii="Book Antiqua" w:hAnsi="Book Antiqua" w:cs="Times New Roman"/>
          <w:sz w:val="24"/>
          <w:szCs w:val="24"/>
          <w:lang w:val="en-US"/>
        </w:rPr>
        <w:t>he</w:t>
      </w:r>
      <w:r w:rsidR="00DA1F29" w:rsidRPr="005C7810">
        <w:rPr>
          <w:rFonts w:ascii="Book Antiqua" w:hAnsi="Book Antiqua" w:cs="Times New Roman"/>
          <w:sz w:val="24"/>
          <w:szCs w:val="24"/>
          <w:lang w:val="en-US"/>
        </w:rPr>
        <w:t>ir</w:t>
      </w:r>
      <w:r w:rsidR="00B8125B" w:rsidRPr="005C7810">
        <w:rPr>
          <w:rFonts w:ascii="Book Antiqua" w:hAnsi="Book Antiqua" w:cs="Times New Roman"/>
          <w:sz w:val="24"/>
          <w:szCs w:val="24"/>
          <w:lang w:val="en-US"/>
        </w:rPr>
        <w:t xml:space="preserve"> inhibition results in decreased cell proliferation and invasion. VEGF and</w:t>
      </w:r>
      <w:r w:rsidR="003743BA" w:rsidRPr="005C7810">
        <w:rPr>
          <w:rFonts w:ascii="Book Antiqua" w:hAnsi="Book Antiqua" w:cs="Times New Roman"/>
          <w:sz w:val="24"/>
          <w:szCs w:val="24"/>
          <w:lang w:val="en-US"/>
        </w:rPr>
        <w:t>s</w:t>
      </w:r>
      <w:r w:rsidR="00B8125B" w:rsidRPr="005C7810">
        <w:rPr>
          <w:rFonts w:ascii="Book Antiqua" w:hAnsi="Book Antiqua" w:cs="Times New Roman"/>
          <w:sz w:val="24"/>
          <w:szCs w:val="24"/>
          <w:lang w:val="en-US"/>
        </w:rPr>
        <w:t xml:space="preserve">VEGFR2 are </w:t>
      </w:r>
      <w:r w:rsidR="008645F0" w:rsidRPr="005C7810">
        <w:rPr>
          <w:rFonts w:ascii="Book Antiqua" w:hAnsi="Book Antiqua" w:cs="Times New Roman"/>
          <w:sz w:val="24"/>
          <w:szCs w:val="24"/>
          <w:lang w:val="en-US"/>
        </w:rPr>
        <w:t xml:space="preserve">also </w:t>
      </w:r>
      <w:r w:rsidR="00B8125B" w:rsidRPr="005C7810">
        <w:rPr>
          <w:rFonts w:ascii="Book Antiqua" w:hAnsi="Book Antiqua" w:cs="Times New Roman"/>
          <w:sz w:val="24"/>
          <w:szCs w:val="24"/>
          <w:lang w:val="en-US"/>
        </w:rPr>
        <w:t>used in clinical practice in target</w:t>
      </w:r>
      <w:r w:rsidR="004A6501" w:rsidRPr="005C7810">
        <w:rPr>
          <w:rFonts w:ascii="Book Antiqua" w:hAnsi="Book Antiqua" w:cs="Times New Roman"/>
          <w:sz w:val="24"/>
          <w:szCs w:val="24"/>
          <w:lang w:val="en-US"/>
        </w:rPr>
        <w:t>ed</w:t>
      </w:r>
      <w:r w:rsidR="00B8125B" w:rsidRPr="005C7810">
        <w:rPr>
          <w:rFonts w:ascii="Book Antiqua" w:hAnsi="Book Antiqua" w:cs="Times New Roman"/>
          <w:sz w:val="24"/>
          <w:szCs w:val="24"/>
          <w:lang w:val="en-US"/>
        </w:rPr>
        <w:t xml:space="preserve"> therapy</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10.1016/s0140-6736(13)61719-5","ISSN":"01406736","author":[{"dropping-particle":"","family":"Chau","given":"Ian","non-dropping-particle":"","parse-names":false,"suffix":""},{"dropping-particle":"","family":"Tomasek","given":"Jiri","non-dropping-particle":"","parse-names":false,"suffix":""},{"dropping-particle":"","family":"Fuchs","given":"Charles S","non-dropping-particle":"","parse-names":false,"suffix":""},{"dropping-particle":"","family":"Tabernero","given":"Josep","non-dropping-particle":"","parse-names":false,"suffix":""},{"dropping-particle":"","family":"Ferry","given":"David R","non-dropping-particle":"","parse-names":false,"suffix":""},{"dropping-particle":"","family":"Gao","given":"Ling","non-dropping-particle":"","parse-names":false,"suffix":""},{"dropping-particle":"","family":"Topuzov","given":"Eldar","non-dropping-particle":"","parse-names":false,"suffix":""},{"dropping-particle":"","family":"Tehfe","given":"Mustapha","non-dropping-particle":"","parse-names":false,"suffix":""},{"dropping-particle":"","family":"Hsu","given":"Yanzhi","non-dropping-particle":"","parse-names":false,"suffix":""},{"dropping-particle":"","family":"Goswami","given":"Chanchal","non-dropping-particle":"","parse-names":false,"suffix":""},{"dropping-particle":"","family":"Passalacqua","given":"Rodolfo","non-dropping-particle":"","parse-names":false,"suffix":""},{"dropping-particle":"","family":"Koshiji","given":"Minori","non-dropping-particle":"","parse-names":false,"suffix":""},{"dropping-particle":"","family":"Sivanandan","given":"Choondal","non-dropping-particle":"","parse-names":false,"suffix":""},{"dropping-particle":"","family":"Schwartz","given":"Jonathan D","non-dropping-particle":"","parse-names":false,"suffix":""},{"dropping-particle":"","family":"Melichar","given":"Bohuslav","non-dropping-particle":"","parse-names":false,"suffix":""},{"dropping-particle":"","family":"Safran","given":"Howard","non-dropping-particle":"","parse-names":false,"suffix":""},{"dropping-particle":"","family":"Santos","given":"Lucas Vieira","non-dropping-particle":"dos","parse-names":false,"suffix":""},{"dropping-particle":"","family":"Dumitru","given":"Filip","non-dropping-particle":"","parse-names":false,"suffix":""},{"dropping-particle":"","family":"Zalcberg","given":"John Raymond","non-dropping-particle":"","parse-names":false,"suffix":""},{"dropping-particle":"","family":"Liepa","given":"Astra M","non-dropping-particle":"","parse-names":false,"suffix":""},{"dropping-particle":"","family":"Campbell","given":"William","non-dropping-particle":"","parse-names":false,"suffix":""},{"dropping-particle":"","family":"Aprile","given":"Giuseppe","non-dropping-particle":"","parse-names":false,"suffix":""},{"dropping-particle":"","family":"Yong","given":"Cho Jae","non-dropping-particle":"","parse-names":false,"suffix":""},{"dropping-particle":"","family":"Pikiel","given":"Joanna","non-dropping-particle":"","parse-names":false,"suffix":""}],"container-title":"The Lancet","id":"ITEM-1","issue":"9911","issued":{"date-parts":[["2013"]]},"page":"31-39","title":"Ramucirumab monotherapy for previously treated advanced gastric or gastro-oesophageal junction adenocarcinoma (REGARD): an international, randomised, multicentre, placebo-controlled, phase 3 trial","type":"article-journal","volume":"383"},"uris":["http://www.mendeley.com/documents/?uuid=5e84a102-9725-45df-b40d-512885b50c6b","http://www.mendeley.com/documents/?uuid=23a24249-8083-4316-ad09-31f9b55b234a"]},{"id":"ITEM-2","itemData":{"DOI":"10.1016/S1470-2045(14)70420-6","ISSN":"14745488","PMID":"25240821","abstract":"Background: VEGFR-2 has a role in gastric cancer pathogenesis and progression. We assessed whether ramucirumab, a monoclonal antibody VEGFR-2 antagonist, in combination with paclitaxel would increase overall survival in patients previously treated for advanced gastric cancer compared with placebo plus paclitaxel. Methods: This randomised, placebo-controlled, double-blind, phase 3 trial was done at 170 centres in 27 countries in North and South America, Europe, Asia, and Australia. Patients aged 18 years or older with advanced gastric or gastro-oesophageal junction adenocarcinoma and disease progression on or within 4 months after first-line chemotherapy (platinum plus fluoropyrimidine with or without an anthracycline) were randomly assigned with a centralised interactive voice or web-response system in a 1:1 ratio to receive ramucirumab 8 mg/kg or placebo intravenously on days 1 and 15, plus paclitaxel 80 mg/m2intravenously on days 1, 8, and 15 of a 28-day cycle. A permuted block randomisation, stratified by geographic region, time to progression on first-line therapy, and disease measurability, was used. The primary endpoint was overall survival. Efficacy analysis was by intention to treat, and safety analysis included all patients who received at least one treatment with study drug. This trial is registered with ClinicalTrials.gov, number NCT01170663, and has been completed; patients who are still receiving treatment are in the extension phase. Findings: Between Dec 23, 2010, and Sept 23, 2012, 665 patients were randomly assigned to treatment-330 to ramucirumab plus paclitaxel and 335 to placebo plus paclitaxel. Overall survival was significantly longer in the ramucirumab plus paclitaxel group than in the placebo plus paclitaxel group (median 9·6 months [95% CI 8·5-10·8] vs 7·4 months [95% CI 6·3-8·4], hazard ratio 0·807 [95% CI 0·678-0·962]; p=0·017). Grade 3 or higher adverse events that occurred in more than 5% of patients in the ramucirumab plus paclitaxel group versus placebo plus paclitaxel included neutropenia (133 [41%] of 327 vs 62 [19%] of 329), leucopenia (57 [17%] vs 22 [7%]), hypertension (46 [14%] vs eight [2%]), fatigue (39 [12%] vs 18 [5%]), anaemia (30 [9%] vs 34 [10%]), and abdominal pain (20 [6%] vs 11 [3%]). The incidence of grade 3 or higher febrile neutropenia was low in both groups (ten [3%] vs eight [2%]). Interpretation: The combination of ramucirumab with paclitaxel significantly increases overall survival compared with place…","author":[{"dropping-particle":"","family":"Wilke","given":"Hansjochen","non-dropping-particle":"","parse-names":false,"suffix":""},{"dropping-particle":"","family":"Muro","given":"Kei","non-dropping-particle":"","parse-names":false,"suffix":""},{"dropping-particle":"","family":"Cutsem","given":"Eric","non-dropping-particle":"Van","parse-names":false,"suffix":""},{"dropping-particle":"","family":"Oh","given":"Sang Cheul","non-dropping-particle":"","parse-names":false,"suffix":""},{"dropping-particle":"","family":"Bodoky","given":"György","non-dropping-particle":"","parse-names":false,"suffix":""},{"dropping-particle":"","family":"Shimada","given":"Yasuhiro","non-dropping-particle":"","parse-names":false,"suffix":""},{"dropping-particle":"","family":"Hironaka","given":"Shuichi","non-dropping-particle":"","parse-names":false,"suffix":""},{"dropping-particle":"","family":"Sugimoto","given":"Naotoshi","non-dropping-particle":"","parse-names":false,"suffix":""},{"dropping-particle":"","family":"Lipatov","given":"Oleg","non-dropping-particle":"","parse-names":false,"suffix":""},{"dropping-particle":"","family":"Kim","given":"Tae You","non-dropping-particle":"","parse-names":false,"suffix":""},{"dropping-particle":"","family":"Cunningham","given":"David","non-dropping-particle":"","parse-names":false,"suffix":""},{"dropping-particle":"","family":"Rougier","given":"Philippe","non-dropping-particle":"","parse-names":false,"suffix":""},{"dropping-particle":"","family":"Komatsu","given":"Yoshito","non-dropping-particle":"","parse-names":false,"suffix":""},{"dropping-particle":"","family":"Ajani","given":"Jaffer","non-dropping-particle":"","parse-names":false,"suffix":""},{"dropping-particle":"","family":"Emig","given":"Michael","non-dropping-particle":"","parse-names":false,"suffix":""},{"dropping-particle":"","family":"Carlesi","given":"Roberto","non-dropping-particle":"","parse-names":false,"suffix":""},{"dropping-particle":"","family":"Ferry","given":"David","non-dropping-particle":"","parse-names":false,"suffix":""},{"dropping-particle":"","family":"Chandrawansa","given":"Kumari","non-dropping-particle":"","parse-names":false,"suffix":""},{"dropping-particle":"","family":"Schwartz","given":"Jonathan D.","non-dropping-particle":"","parse-names":false,"suffix":""},{"dropping-particle":"","family":"Ohtsu","given":"Atsushi","non-dropping-particle":"","parse-names":false,"suffix":""}],"container-title":"The Lancet Oncology","id":"ITEM-2","issue":"11","issued":{"date-parts":[["2014"]]},"page":"1224-1235","title":"Ramucirumab plus paclitaxel versus placebo plus paclitaxel in patients with previously treated advanced gastric or gastro-oesophageal junction adenocarcinoma (RAINBOW): A double-blind, randomised phase 3 trial","type":"article-journal","volume":"15"},"uris":["http://www.mendeley.com/documents/?uuid=3c9fe262-7c34-43dc-8308-5e057be4e93d","http://www.mendeley.com/documents/?uuid=7d500e87-abe5-487d-8270-72c6e6e57c2e"]}],"mendeley":{"formattedCitation":"&lt;sup&gt;[72,73]&lt;/sup&gt;","manualFormatting":"[66–67]","plainTextFormattedCitation":"[72,73]","previouslyFormattedCitation":"&lt;sup&gt;[72,73]&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E63194" w:rsidRPr="005C7810">
        <w:rPr>
          <w:rFonts w:ascii="Book Antiqua" w:hAnsi="Book Antiqua" w:cs="Times New Roman"/>
          <w:sz w:val="24"/>
          <w:szCs w:val="24"/>
          <w:vertAlign w:val="superscript"/>
          <w:lang w:val="en-US"/>
        </w:rPr>
        <w:t>[72</w:t>
      </w:r>
      <w:r w:rsidR="009131DA" w:rsidRPr="005C7810">
        <w:rPr>
          <w:rFonts w:ascii="Book Antiqua" w:hAnsi="Book Antiqua" w:cs="Times New Roman"/>
          <w:sz w:val="24"/>
          <w:szCs w:val="24"/>
          <w:vertAlign w:val="superscript"/>
          <w:lang w:val="en-US"/>
        </w:rPr>
        <w:t>,</w:t>
      </w:r>
      <w:r w:rsidR="00E63194" w:rsidRPr="005C7810">
        <w:rPr>
          <w:rFonts w:ascii="Book Antiqua" w:hAnsi="Book Antiqua" w:cs="Times New Roman"/>
          <w:sz w:val="24"/>
          <w:szCs w:val="24"/>
          <w:vertAlign w:val="superscript"/>
          <w:lang w:val="en-US"/>
        </w:rPr>
        <w:t>73</w:t>
      </w:r>
      <w:r w:rsidR="00783AE3" w:rsidRPr="005C7810">
        <w:rPr>
          <w:rFonts w:ascii="Book Antiqua" w:hAnsi="Book Antiqua" w:cs="Times New Roman"/>
          <w:sz w:val="24"/>
          <w:szCs w:val="24"/>
          <w:vertAlign w:val="superscript"/>
          <w:lang w:val="en-US"/>
        </w:rPr>
        <w:t>]</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w:t>
      </w:r>
      <w:r w:rsidR="00B8125B" w:rsidRPr="005C7810">
        <w:rPr>
          <w:rFonts w:ascii="Book Antiqua" w:hAnsi="Book Antiqua" w:cs="Times New Roman"/>
          <w:i/>
          <w:sz w:val="24"/>
          <w:szCs w:val="24"/>
          <w:lang w:val="en-US"/>
        </w:rPr>
        <w:t>TP53</w:t>
      </w:r>
      <w:r w:rsidR="00B8125B" w:rsidRPr="005C7810">
        <w:rPr>
          <w:rFonts w:ascii="Book Antiqua" w:hAnsi="Book Antiqua" w:cs="Times New Roman"/>
          <w:sz w:val="24"/>
          <w:szCs w:val="24"/>
          <w:lang w:val="en-US"/>
        </w:rPr>
        <w:t xml:space="preserve"> is a tumor suppressor whose incidence of mutation in GC is </w:t>
      </w:r>
      <w:r w:rsidR="00B25888" w:rsidRPr="005C7810">
        <w:rPr>
          <w:rFonts w:ascii="Book Antiqua" w:hAnsi="Book Antiqua" w:cs="Times New Roman"/>
          <w:sz w:val="24"/>
          <w:szCs w:val="24"/>
          <w:lang w:val="en-US"/>
        </w:rPr>
        <w:t xml:space="preserve">about </w:t>
      </w:r>
      <w:r w:rsidR="00B8125B" w:rsidRPr="005C7810">
        <w:rPr>
          <w:rFonts w:ascii="Book Antiqua" w:hAnsi="Book Antiqua" w:cs="Times New Roman"/>
          <w:sz w:val="24"/>
          <w:szCs w:val="24"/>
          <w:lang w:val="en-US"/>
        </w:rPr>
        <w:t>3</w:t>
      </w:r>
      <w:r w:rsidR="000C5160" w:rsidRPr="005C7810">
        <w:rPr>
          <w:rFonts w:ascii="Book Antiqua" w:hAnsi="Book Antiqua" w:cs="Times New Roman"/>
          <w:sz w:val="24"/>
          <w:szCs w:val="24"/>
          <w:lang w:val="en-US"/>
        </w:rPr>
        <w:t>%</w:t>
      </w:r>
      <w:r w:rsidR="00B25888"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65%</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{"citationItems":[{"id":"ITEM-1","itemData":{"DOI":"10.1159/000167864","ISSN":"00122823","abstract":"BACKGROUND: p53 gene mutations have been reported in over half of all human cancers and they appear to occur in the early stage of cancer, thus indicating the important role that such mutations may play in the carcinogenesis of the digestive tract. This study investigated the differences in p53 abnormalities between cancers of the upper and lower gastrointestinal tract.\\n\\nMATERIALS AND METHODS: The DNA of 354 specimens of gastrointestinal cancer (esophagus 85, stomach 112, colon 157) was extracted and then p53 gene mutations were investigated by direct sequencing; the loss of heterozygosity was also synchronously analyzed in all cases.\\n\\nRESULTS: (1) p53 gene mutation: p53 gene mutations were found in 41 samples (48.2%) in the esophagus, 18 samples (16.0%) in the stomach and 36 samples (22.9%) in the colon. p53 mutations were more frequently identified in well-differentiated cancers and a close correlation was recognized between p53 mutations and loss of heterozygosity. (2) Mutation spectrum: the ratio of transversion was 43.9% in esophagus, 33.3% in stomach and 25.0% in the colon tumors. Reciprocally, the ratio of transition was 31.7, 66.7, and 72.2%, respectively.\\n\\nDISCUSSION: The frequency of p53 transversion mutations was extremely high in the upper digestive tract, whereas transition mutations were more frequently observed in the lower digestive tract. The investigation of the spectrum of mutations in p53 is therefore expected to lead to a better understanding of the agents responsible for inducing cancer.","author":[{"dropping-particle":"","family":"Oki","given":"Eiji","non-dropping-particle":"","parse-names":false,"suffix":""},{"dropping-particle":"","family":"Zhao","given":"Yan","non-dropping-particle":"","parse-names":false,"suffix":""},{"dropping-particle":"","family":"Yoshida","given":"Rintaro","non-dropping-particle":"","parse-names":false,"suffix":""},{"dropping-particle":"","family":"Egashira","given":"Akinori","non-dropping-particle":"","parse-names":false,"suffix":""},{"dropping-particle":"","family":"Ohgaki","given":"Kippei","non-dropping-particle":"","parse-names":false,"suffix":""},{"dropping-particle":"","family":"Morita","given":"Masaru","non-dropping-particle":"","parse-names":false,"suffix":""},{"dropping-particle":"","family":"Kakeji","given":"Yoshihiro","non-dropping-particle":"","parse-names":false,"suffix":""},{"dropping-particle":"","family":"Maehara","given":"Yoshihiko","non-dropping-particle":"","parse-names":false,"suffix":""}],"container-title":"Digestion","id":"ITEM-1","issue":"SUPPL. 1","issued":{"date-parts":[["2009"]]},"page":"33-39","title":"The difference in p53 mutations between cancers of the upper and lower gastrointestinal tract","type":"article-journal","volume":"79"},"uris":["http://www.mendeley.com/documents/?uuid=87676cff-c309-4598-a382-33a1c56e4b04","http://www.mendeley.com/documents/?uuid=083c6231-7c32-4d03-817c-2161d275374a"]}],"mendeley":{"formattedCitation":"&lt;sup&gt;[74]&lt;/sup&gt;","plainTextFormattedCitation":"[74]","previouslyFormattedCitation":"&lt;sup&gt;[74]&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[74]</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In the EBV</w:t>
      </w:r>
      <w:r w:rsidR="005D0477"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positive subtype</w:t>
      </w:r>
      <w:r w:rsidR="005D0477"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the incidence of </w:t>
      </w:r>
      <w:r w:rsidR="00B8125B" w:rsidRPr="005C7810">
        <w:rPr>
          <w:rFonts w:ascii="Book Antiqua" w:hAnsi="Book Antiqua" w:cs="Times New Roman"/>
          <w:i/>
          <w:sz w:val="24"/>
          <w:szCs w:val="24"/>
          <w:lang w:val="en-US"/>
        </w:rPr>
        <w:t>TP53</w:t>
      </w:r>
      <w:r w:rsidR="00B8125B" w:rsidRPr="005C7810">
        <w:rPr>
          <w:rFonts w:ascii="Book Antiqua" w:hAnsi="Book Antiqua" w:cs="Times New Roman"/>
          <w:sz w:val="24"/>
          <w:szCs w:val="24"/>
          <w:lang w:val="en-US"/>
        </w:rPr>
        <w:t xml:space="preserve"> mutation is lower</w:t>
      </w:r>
      <w:r w:rsidR="00996109"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{"citationItems":[{"id":"ITEM-1","itemData":{"DOI":"10.1371/journal.pone.0038892","ISSN":"19326203","abstract":"BACKGROUND: Gastric cancer is one of the leading cancer types in incidence and mortality, especially in Asia. In order to improve survival, identification of a catalogue of molecular alterations underlying gastric cancer is a critical step for developing and designing genome-directed therapies.\n\nMETHODOLOGY/PRINCIPAL FINDINGS: The Center for Cancer Genome Discovery (CCGD) at the Dana-Farber Cancer Institute (DFCI) has adapted a high-throughput genotyping platform to determine the mutation status of a large panel of known cancer genes. The mutation detection platform, termed OncoMap v4, interrogates 474 \"hotspot\" mutations in 41 genes that are relevant for cancer. We performed OncoMap v4 in formalin-fixed paraffin-embedded (FFPE) tissue specimens from 237 gastric adenocarcinomas. Using OncoMap v4, we found that 34 (14.4%) of 237 gastric cancer patients harbored mutations. Among mutations we screened, PIK3CA mutations were the most frequent (5.1%) followed by p53 (4.6%), APC (2.5%), STK11 (2.1%), CTNNB1 (1.7%), and CDKN2A (0.8%). Six samples harbored concomitant somatic mutations. Mutations of CTNNB1 were significantly more frequent in EBV-associated gastric carcinoma (P = 0.046). Our study led to the detection of potentially druggable mutations in gastric cancer which may guide novel therapies in subsets of gastric cancer patients.\n\nCONCLUSIONS/SIGNIFICANCE: Using high throughput mutation screening platform, we identified that PIK3CA mutations were the most frequently observed target for gastric adenocarcinoma.","author":[{"dropping-particle":"","family":"Lee","given":"Jeeyun","non-dropping-particle":"","parse-names":false,"suffix":""},{"dropping-particle":"","family":"Hummelen","given":"Paul","non-dropping-particle":"van","parse-names":false,"suffix":""},{"dropping-particle":"","family":"Go","given":"Christina","non-dropping-particle":"","parse-names":false,"suffix":""},{"dropping-particle":"","family":"Palescandolo","given":"Emanuele","non-dropping-particle":"","parse-names":false,"suffix":""},{"dropping-particle":"","family":"Jang","given":"Jiryeon","non-dropping-particle":"","parse-names":false,"suffix":""},{"dropping-particle":"","family":"Park","given":"Ha Young","non-dropping-particle":"","parse-names":false,"suffix":""},{"dropping-particle":"","family":"Kang","given":"So Young","non-dropping-particle":"","parse-names":false,"suffix":""},{"dropping-particle":"","family":"Park","given":"Joon Oh","non-dropping-particle":"","parse-names":false,"suffix":""},{"dropping-particle":"","family":"Kang","given":"Won Ki","non-dropping-particle":"","parse-names":false,"suffix":""},{"dropping-particle":"","family":"MacConaill","given":"Laura","non-dropping-particle":"","parse-names":false,"suffix":""},{"dropping-particle":"","family":"Kim","given":"Kyoung Mee","non-dropping-particle":"","parse-names":false,"suffix":""}],"container-title":"PLoS ONE","id":"ITEM-1","issue":"6","issued":{"date-parts":[["2012"]]},"page":"1-5","title":"High-throughput mutation profiling identifies frequent somatic mutations in advanced gastric Adenocarcinoma","type":"article-journal","volume":"7"},"uris":["http://www.mendeley.com/documents/?uuid=644097a0-20ae-4a41-89d5-dbd6e2c827ca","http://www.mendeley.com/documents/?uuid=76038d38-03e6-447b-bb59-7e0aaf6cd2f2"]}],"mendeley":{"formattedCitation":"&lt;sup&gt;[28]&lt;/sup&gt;","plainTextFormattedCitation":"[28]","previouslyFormattedCitation":"&lt;sup&gt;[28]&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[28]</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moreover, an increased incidence </w:t>
      </w:r>
      <w:r w:rsidR="005D0477" w:rsidRPr="005C7810">
        <w:rPr>
          <w:rFonts w:ascii="Book Antiqua" w:hAnsi="Book Antiqua" w:cs="Times New Roman"/>
          <w:sz w:val="24"/>
          <w:szCs w:val="24"/>
          <w:lang w:val="en-US"/>
        </w:rPr>
        <w:t xml:space="preserve">has been </w:t>
      </w:r>
      <w:r w:rsidR="00B8125B" w:rsidRPr="005C7810">
        <w:rPr>
          <w:rFonts w:ascii="Book Antiqua" w:hAnsi="Book Antiqua" w:cs="Times New Roman"/>
          <w:sz w:val="24"/>
          <w:szCs w:val="24"/>
          <w:lang w:val="en-US"/>
        </w:rPr>
        <w:t>observed in the intestinal type</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{"citationItems":[{"id":"ITEM-1","itemData":{"DOI":"10.1002/path.958","author":[{"dropping-particle":"","family":"Endoh Y, Sakata K, Tamura G, Ohmura K, Ajioka Y, Watanabe H","given":"Motoyama T","non-dropping-particle":"","parse-names":false,"suffix":""}],"container-title":"The Journal of Pathology","id":"ITEM-1","issued":{"date-parts":[["2000"]]},"page":"257-263","title":"Cellular phenotypes of differentiated-type adenocarcinomas and precancerous lesions of the stomach are dependent on the genetic pathways’","type":"article-journal","volume":"191"},"uris":["http://www.mendeley.com/documents/?uuid=e4d771c1-747a-480d-b5ba-8a112323c0f7","http://www.mendeley.com/documents/?uuid=84568fd6-abad-45a7-b1c8-7ecef076424d"]}],"mendeley":{"formattedCitation":"&lt;sup&gt;[75]&lt;/sup&gt;","plainTextFormattedCitation":"[75]","previouslyFormattedCitation":"&lt;sup&gt;[75]&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[75]</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w:t>
      </w:r>
      <w:r w:rsidR="006434A7" w:rsidRPr="005C7810">
        <w:rPr>
          <w:rFonts w:ascii="Book Antiqua" w:hAnsi="Book Antiqua" w:cs="Times New Roman"/>
          <w:sz w:val="24"/>
          <w:szCs w:val="24"/>
          <w:lang w:val="en-US"/>
        </w:rPr>
        <w:t xml:space="preserve">In many human tumors, </w:t>
      </w:r>
      <w:r w:rsidR="006434A7" w:rsidRPr="005C7810">
        <w:rPr>
          <w:rFonts w:ascii="Book Antiqua" w:hAnsi="Book Antiqua" w:cs="Times New Roman"/>
          <w:i/>
          <w:sz w:val="24"/>
          <w:szCs w:val="24"/>
          <w:lang w:val="en-US"/>
        </w:rPr>
        <w:t>TP53</w:t>
      </w:r>
      <w:r w:rsidR="006434A7" w:rsidRPr="005C7810">
        <w:rPr>
          <w:rFonts w:ascii="Book Antiqua" w:hAnsi="Book Antiqua" w:cs="Times New Roman"/>
          <w:sz w:val="24"/>
          <w:szCs w:val="24"/>
          <w:lang w:val="en-US"/>
        </w:rPr>
        <w:t xml:space="preserve"> mutations are associated with </w:t>
      </w:r>
      <w:r w:rsidR="005D0477" w:rsidRPr="005C7810">
        <w:rPr>
          <w:rFonts w:ascii="Book Antiqua" w:hAnsi="Book Antiqua" w:cs="Times New Roman"/>
          <w:sz w:val="24"/>
          <w:szCs w:val="24"/>
          <w:lang w:val="en-US"/>
        </w:rPr>
        <w:t xml:space="preserve">a </w:t>
      </w:r>
      <w:r w:rsidR="006434A7" w:rsidRPr="005C7810">
        <w:rPr>
          <w:rFonts w:ascii="Book Antiqua" w:hAnsi="Book Antiqua" w:cs="Times New Roman"/>
          <w:sz w:val="24"/>
          <w:szCs w:val="24"/>
          <w:lang w:val="en-US"/>
        </w:rPr>
        <w:t>poor prognosis</w:t>
      </w:r>
      <w:r w:rsidR="00996109"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{"citationItems":[{"id":"ITEM-1","itemData":{"DOI":"10.1038/ncb2641","ISBN":"1476-4679","ISSN":"14657392","PMID":"23263379","abstract":"In the past fifteen years, it has become apparent that tumour-associated\\np53 mutations can provoke activities that are different to those\\nresulting from simply loss of wild-type tumour-suppressing p53 function.\\nMany of these mutant p53 proteins acquire oncogenic properties that\\nenable them to promote invasion, metastasis, proliferation and cell\\nsurvival. Here we highlight some of the emerging molecular mechanisms\\nthrough which mutant p53 proteins can exert these oncogenic functions.","author":[{"dropping-particle":"","family":"Muller","given":"Patricia A.J.","non-dropping-particle":"","parse-names":false,"suffix":""},{"dropping-particle":"","family":"Vousden","given":"Karen H.","non-dropping-particle":"","parse-names":false,"suffix":""}],"container-title":"Nature Cell Biology","id":"ITEM-1","issue":"1","issued":{"date-parts":[["2013"]]},"page":"2-8","publisher":"Nature Publishing Group","title":"P53 mutations in cancer","type":"article-journal","volume":"15"},"uris":["http://www.mendeley.com/documents/?uuid=9cb7f306-5236-4d54-a742-0e6da3c232ed","http://www.mendeley.com/documents/?uuid=6a12afd9-6836-47e5-9af1-2eedc6d969ad"]}],"mendeley":{"formattedCitation":"&lt;sup&gt;[76]&lt;/sup&gt;","plainTextFormattedCitation":"[76]","previouslyFormattedCitation":"&lt;sup&gt;[76]&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[76]</w:t>
      </w:r>
      <w:r w:rsidR="00996109" w:rsidRPr="005C7810">
        <w:rPr>
          <w:rFonts w:ascii="Book Antiqua" w:hAnsi="Book Antiqua" w:cs="Times New Roman"/>
          <w:sz w:val="24"/>
          <w:szCs w:val="24"/>
          <w:lang w:val="en-US"/>
        </w:rPr>
        <w:fldChar w:fldCharType="end"/>
      </w:r>
      <w:r w:rsidR="006434A7" w:rsidRPr="005C7810">
        <w:rPr>
          <w:rFonts w:ascii="Book Antiqua" w:hAnsi="Book Antiqua" w:cs="Times New Roman"/>
          <w:sz w:val="24"/>
          <w:szCs w:val="24"/>
          <w:lang w:val="en-US"/>
        </w:rPr>
        <w:t xml:space="preserve">. </w:t>
      </w:r>
      <w:r w:rsidR="00736092" w:rsidRPr="005C7810">
        <w:rPr>
          <w:rFonts w:ascii="Book Antiqua" w:hAnsi="Book Antiqua" w:cs="Times New Roman"/>
          <w:color w:val="000000"/>
          <w:sz w:val="24"/>
          <w:szCs w:val="24"/>
          <w:lang w:val="en-US"/>
        </w:rPr>
        <w:t>For</w:t>
      </w:r>
      <w:r w:rsidR="001322DE" w:rsidRPr="005C7810">
        <w:rPr>
          <w:rFonts w:ascii="Book Antiqua" w:hAnsi="Book Antiqua" w:cs="Times New Roman"/>
          <w:color w:val="000000"/>
          <w:sz w:val="24"/>
          <w:szCs w:val="24"/>
          <w:lang w:val="en-US"/>
        </w:rPr>
        <w:t xml:space="preserve"> GC, there is no well-established clinical significance between the </w:t>
      </w:r>
      <w:r w:rsidR="001322DE" w:rsidRPr="005C7810">
        <w:rPr>
          <w:rFonts w:ascii="Book Antiqua" w:hAnsi="Book Antiqua" w:cs="Times New Roman"/>
          <w:i/>
          <w:iCs/>
          <w:color w:val="000000"/>
          <w:sz w:val="24"/>
          <w:szCs w:val="24"/>
          <w:lang w:val="en-US"/>
        </w:rPr>
        <w:t>TP53</w:t>
      </w:r>
      <w:r w:rsidR="001322DE" w:rsidRPr="005C7810">
        <w:rPr>
          <w:rFonts w:ascii="Book Antiqua" w:hAnsi="Book Antiqua" w:cs="Times New Roman"/>
          <w:color w:val="000000"/>
          <w:sz w:val="24"/>
          <w:szCs w:val="24"/>
          <w:lang w:val="en-US"/>
        </w:rPr>
        <w:t xml:space="preserve"> status and the outcome of patients. Recent studies</w:t>
      </w:r>
      <w:r w:rsidR="00DB5A5D" w:rsidRPr="005C7810">
        <w:rPr>
          <w:rFonts w:ascii="Book Antiqua" w:hAnsi="Book Antiqua" w:cs="Times New Roman"/>
          <w:color w:val="000000"/>
          <w:sz w:val="24"/>
          <w:szCs w:val="24"/>
          <w:lang w:val="en-US"/>
        </w:rPr>
        <w:t>, however,</w:t>
      </w:r>
      <w:r w:rsidR="001322DE" w:rsidRPr="005C7810">
        <w:rPr>
          <w:rFonts w:ascii="Book Antiqua" w:hAnsi="Book Antiqua" w:cs="Times New Roman"/>
          <w:color w:val="000000"/>
          <w:sz w:val="24"/>
          <w:szCs w:val="24"/>
          <w:lang w:val="en-US"/>
        </w:rPr>
        <w:t xml:space="preserve"> have integrated the mutational status of </w:t>
      </w:r>
      <w:r w:rsidR="001322DE" w:rsidRPr="005C7810">
        <w:rPr>
          <w:rFonts w:ascii="Book Antiqua" w:hAnsi="Book Antiqua" w:cs="Times New Roman"/>
          <w:i/>
          <w:iCs/>
          <w:color w:val="000000"/>
          <w:sz w:val="24"/>
          <w:szCs w:val="24"/>
          <w:lang w:val="en-US"/>
        </w:rPr>
        <w:t>TP53</w:t>
      </w:r>
      <w:r w:rsidR="001322DE" w:rsidRPr="005C7810">
        <w:rPr>
          <w:rFonts w:ascii="Book Antiqua" w:hAnsi="Book Antiqua" w:cs="Times New Roman"/>
          <w:color w:val="000000"/>
          <w:sz w:val="24"/>
          <w:szCs w:val="24"/>
          <w:lang w:val="en-US"/>
        </w:rPr>
        <w:t xml:space="preserve"> and other ge</w:t>
      </w:r>
      <w:r w:rsidR="0082228C" w:rsidRPr="005C7810">
        <w:rPr>
          <w:rFonts w:ascii="Book Antiqua" w:hAnsi="Book Antiqua" w:cs="Times New Roman"/>
          <w:color w:val="000000"/>
          <w:sz w:val="24"/>
          <w:szCs w:val="24"/>
          <w:lang w:val="en-US"/>
        </w:rPr>
        <w:t>netic alterations to define sub</w:t>
      </w:r>
      <w:r w:rsidR="001322DE" w:rsidRPr="005C7810">
        <w:rPr>
          <w:rFonts w:ascii="Book Antiqua" w:hAnsi="Book Antiqua" w:cs="Times New Roman"/>
          <w:color w:val="000000"/>
          <w:sz w:val="24"/>
          <w:szCs w:val="24"/>
          <w:lang w:val="en-US"/>
        </w:rPr>
        <w:t xml:space="preserve">populations of GCs </w:t>
      </w:r>
      <w:r w:rsidR="00DB5A5D" w:rsidRPr="005C7810">
        <w:rPr>
          <w:rFonts w:ascii="Book Antiqua" w:hAnsi="Book Antiqua" w:cs="Times New Roman"/>
          <w:color w:val="000000"/>
          <w:sz w:val="24"/>
          <w:szCs w:val="24"/>
          <w:lang w:val="en-US"/>
        </w:rPr>
        <w:t xml:space="preserve">in order </w:t>
      </w:r>
      <w:r w:rsidR="001322DE" w:rsidRPr="005C7810">
        <w:rPr>
          <w:rFonts w:ascii="Book Antiqua" w:hAnsi="Book Antiqua" w:cs="Times New Roman"/>
          <w:color w:val="000000"/>
          <w:sz w:val="24"/>
          <w:szCs w:val="24"/>
          <w:lang w:val="en-US"/>
        </w:rPr>
        <w:t xml:space="preserve">to </w:t>
      </w:r>
      <w:r w:rsidR="00DB5A5D" w:rsidRPr="005C7810">
        <w:rPr>
          <w:rFonts w:ascii="Book Antiqua" w:hAnsi="Book Antiqua" w:cs="Times New Roman"/>
          <w:color w:val="000000"/>
          <w:sz w:val="24"/>
          <w:szCs w:val="24"/>
          <w:lang w:val="en-US"/>
        </w:rPr>
        <w:t xml:space="preserve">define the </w:t>
      </w:r>
      <w:r w:rsidR="001322DE" w:rsidRPr="005C7810">
        <w:rPr>
          <w:rFonts w:ascii="Book Antiqua" w:hAnsi="Book Antiqua" w:cs="Times New Roman"/>
          <w:color w:val="000000"/>
          <w:sz w:val="24"/>
          <w:szCs w:val="24"/>
          <w:lang w:val="en-US"/>
        </w:rPr>
        <w:t>clinical relevance</w:t>
      </w:r>
      <w:r w:rsidR="001322DE" w:rsidRPr="005C7810">
        <w:rPr>
          <w:rFonts w:ascii="Book Antiqua" w:hAnsi="Book Antiqua" w:cs="Times New Roman"/>
          <w:color w:val="000000"/>
          <w:sz w:val="24"/>
          <w:szCs w:val="24"/>
          <w:vertAlign w:val="superscript"/>
          <w:lang w:val="en-US"/>
        </w:rPr>
        <w:fldChar w:fldCharType="begin" w:fldLock="1"/>
      </w:r>
      <w:r w:rsidR="001322DE" w:rsidRPr="005C7810">
        <w:rPr>
          <w:rFonts w:ascii="Book Antiqua" w:hAnsi="Book Antiqua" w:cs="Times New Roman"/>
          <w:color w:val="000000"/>
          <w:sz w:val="24"/>
          <w:szCs w:val="24"/>
          <w:vertAlign w:val="superscript"/>
          <w:lang w:val="en-US"/>
        </w:rPr>
        <w:instrText>ADDIN CSL_CITATION {"citationItems":[{"id":"ITEM-1","itemData":{"DOI":"10.1038/srep34822","ISSN":"20452322","abstract":"srep , (2016). doi:10.1038/srep34822","author":[{"dropping-particle":"","family":"Park","given":"Sungjin","non-dropping-particle":"","parse-names":false,"suffix":""},{"dropping-particle":"","family":"Lee","given":"Jinhyuk","non-dropping-particle":"","parse-names":false,"suffix":""},{"dropping-particle":"","family":"Kim","given":"Yon Hui","non-dropping-particle":"","parse-names":false,"suffix":""},{"dropping-particle":"","family":"Park","given":"Jaheun","non-dropping-particle":"","parse-names":false,"suffix":""},{"dropping-particle":"","family":"Shin","given":"Jung Woog","non-dropping-particle":"","parse-names":false,"suffix":""},{"dropping-particle":"","family":"Nam","given":"Seungyoon","non-dropping-particle":"","parse-names":false,"suffix":""}],"container-title":"Scientific Reports","id":"ITEM-1","issue":"October","issued":{"date-parts":[["2016"]]},"page":"1-10","publisher":"Nature Publishing Group","title":"Clinical Relevance and Molecular Phenotypes in Gastric Cancer, of TP53 Mutations and Gene Expressions, in Combination with Other Gene Mutations","type":"article-journal","volume":"6"},"uris":["http://www.mendeley.com/documents/?uuid=948545d8-7f09-4ea7-b38a-7a87fc6cad04"]}],"mendeley":{"formattedCitation":"&lt;sup&gt;[77]&lt;/sup&gt;","plainTextFormattedCitation":"[77]","previouslyFormattedCitation":"&lt;sup&gt;[77]&lt;/sup&gt;"},"properties":{"noteIndex":0},"schema":"https://github.com/citation-style-language/schema/raw/master/csl-citation.json"}</w:instrText>
      </w:r>
      <w:r w:rsidR="001322DE" w:rsidRPr="005C7810">
        <w:rPr>
          <w:rFonts w:ascii="Book Antiqua" w:hAnsi="Book Antiqua" w:cs="Times New Roman"/>
          <w:color w:val="000000"/>
          <w:sz w:val="24"/>
          <w:szCs w:val="24"/>
          <w:vertAlign w:val="superscript"/>
          <w:lang w:val="en-US"/>
        </w:rPr>
        <w:fldChar w:fldCharType="separate"/>
      </w:r>
      <w:r w:rsidR="001322DE" w:rsidRPr="005C7810">
        <w:rPr>
          <w:rFonts w:ascii="Book Antiqua" w:hAnsi="Book Antiqua" w:cs="Times New Roman"/>
          <w:color w:val="000000"/>
          <w:sz w:val="24"/>
          <w:szCs w:val="24"/>
          <w:vertAlign w:val="superscript"/>
          <w:lang w:val="en-US"/>
        </w:rPr>
        <w:t>[77]</w:t>
      </w:r>
      <w:r w:rsidR="001322DE" w:rsidRPr="005C7810">
        <w:rPr>
          <w:rFonts w:ascii="Book Antiqua" w:hAnsi="Book Antiqua" w:cs="Times New Roman"/>
          <w:color w:val="000000"/>
          <w:sz w:val="24"/>
          <w:szCs w:val="24"/>
          <w:vertAlign w:val="superscript"/>
          <w:lang w:val="en-US"/>
        </w:rPr>
        <w:fldChar w:fldCharType="end"/>
      </w:r>
      <w:r w:rsidR="00F4314D" w:rsidRPr="005C7810">
        <w:rPr>
          <w:rFonts w:ascii="Book Antiqua" w:hAnsi="Book Antiqua" w:cs="Times New Roman"/>
          <w:sz w:val="24"/>
          <w:szCs w:val="24"/>
          <w:lang w:val="en-US"/>
        </w:rPr>
        <w:t xml:space="preserve">. </w:t>
      </w:r>
      <w:r w:rsidR="00385A9A" w:rsidRPr="005C7810">
        <w:rPr>
          <w:rFonts w:ascii="Book Antiqua" w:hAnsi="Book Antiqua" w:cs="Times New Roman"/>
          <w:i/>
          <w:color w:val="000000"/>
          <w:sz w:val="24"/>
          <w:szCs w:val="24"/>
          <w:lang w:val="en-US"/>
        </w:rPr>
        <w:t>TP</w:t>
      </w:r>
      <w:r w:rsidR="006434A7" w:rsidRPr="005C7810">
        <w:rPr>
          <w:rFonts w:ascii="Book Antiqua" w:hAnsi="Book Antiqua" w:cs="Times New Roman"/>
          <w:i/>
          <w:color w:val="000000"/>
          <w:sz w:val="24"/>
          <w:szCs w:val="24"/>
          <w:lang w:val="en-US"/>
        </w:rPr>
        <w:t xml:space="preserve">53 </w:t>
      </w:r>
      <w:r w:rsidR="006434A7" w:rsidRPr="005C7810">
        <w:rPr>
          <w:rFonts w:ascii="Book Antiqua" w:hAnsi="Book Antiqua" w:cs="Times New Roman"/>
          <w:color w:val="000000"/>
          <w:sz w:val="24"/>
          <w:szCs w:val="24"/>
          <w:lang w:val="en-US"/>
        </w:rPr>
        <w:t>mutat</w:t>
      </w:r>
      <w:r w:rsidR="005D0477" w:rsidRPr="005C7810">
        <w:rPr>
          <w:rFonts w:ascii="Book Antiqua" w:hAnsi="Book Antiqua" w:cs="Times New Roman"/>
          <w:color w:val="000000"/>
          <w:sz w:val="24"/>
          <w:szCs w:val="24"/>
          <w:lang w:val="en-US"/>
        </w:rPr>
        <w:t>ions</w:t>
      </w:r>
      <w:r w:rsidR="006434A7" w:rsidRPr="005C7810">
        <w:rPr>
          <w:rFonts w:ascii="Book Antiqua" w:hAnsi="Book Antiqua" w:cs="Times New Roman"/>
          <w:color w:val="000000"/>
          <w:sz w:val="24"/>
          <w:szCs w:val="24"/>
          <w:lang w:val="en-US"/>
        </w:rPr>
        <w:t xml:space="preserve"> appear to be a cofactor that supports the expression of genes involved in various signaling pathways</w:t>
      </w:r>
      <w:r w:rsidR="005D0477" w:rsidRPr="005C7810">
        <w:rPr>
          <w:rFonts w:ascii="Book Antiqua" w:hAnsi="Book Antiqua" w:cs="Times New Roman"/>
          <w:color w:val="000000"/>
          <w:sz w:val="24"/>
          <w:szCs w:val="24"/>
          <w:lang w:val="en-US"/>
        </w:rPr>
        <w:t>; and</w:t>
      </w:r>
      <w:r w:rsidR="006434A7" w:rsidRPr="005C7810">
        <w:rPr>
          <w:rFonts w:ascii="Book Antiqua" w:hAnsi="Book Antiqua" w:cs="Times New Roman"/>
          <w:color w:val="000000"/>
          <w:sz w:val="24"/>
          <w:szCs w:val="24"/>
          <w:lang w:val="en-US"/>
        </w:rPr>
        <w:t xml:space="preserve"> whose aberrant activation leads to high proliferation, increased metastatic potential, and resistance to treatment. </w:t>
      </w:r>
      <w:r w:rsidR="00415FC7" w:rsidRPr="005C7810">
        <w:rPr>
          <w:rFonts w:ascii="Book Antiqua" w:hAnsi="Book Antiqua" w:cs="Times New Roman"/>
          <w:i/>
          <w:sz w:val="24"/>
          <w:szCs w:val="24"/>
          <w:lang w:val="en-US"/>
        </w:rPr>
        <w:t>AURKA</w:t>
      </w:r>
      <w:r w:rsidR="00E118A0" w:rsidRPr="005C7810">
        <w:rPr>
          <w:rFonts w:ascii="Book Antiqua" w:hAnsi="Book Antiqua" w:cs="Times New Roman"/>
          <w:sz w:val="24"/>
          <w:szCs w:val="24"/>
          <w:lang w:val="en-US"/>
        </w:rPr>
        <w:t xml:space="preserve"> </w:t>
      </w:r>
      <w:r w:rsidR="00415FC7" w:rsidRPr="005C7810">
        <w:rPr>
          <w:rFonts w:ascii="Book Antiqua" w:hAnsi="Book Antiqua" w:cs="Times New Roman"/>
          <w:sz w:val="24"/>
          <w:szCs w:val="24"/>
          <w:lang w:val="en-US"/>
        </w:rPr>
        <w:t xml:space="preserve">and </w:t>
      </w:r>
      <w:r w:rsidR="00B822E3" w:rsidRPr="005C7810">
        <w:rPr>
          <w:rFonts w:ascii="Book Antiqua" w:hAnsi="Book Antiqua" w:cs="Times New Roman"/>
          <w:sz w:val="24"/>
          <w:szCs w:val="24"/>
          <w:lang w:val="en-US"/>
        </w:rPr>
        <w:t>MDM</w:t>
      </w:r>
      <w:r w:rsidR="005D0477" w:rsidRPr="005C7810">
        <w:rPr>
          <w:rFonts w:ascii="Book Antiqua" w:hAnsi="Book Antiqua" w:cs="Times New Roman"/>
          <w:sz w:val="24"/>
          <w:szCs w:val="24"/>
          <w:lang w:val="en-US"/>
        </w:rPr>
        <w:t>2 p</w:t>
      </w:r>
      <w:r w:rsidR="00D6110D" w:rsidRPr="005C7810">
        <w:rPr>
          <w:rFonts w:ascii="Book Antiqua" w:hAnsi="Book Antiqua" w:cs="Times New Roman"/>
          <w:sz w:val="24"/>
          <w:szCs w:val="24"/>
          <w:lang w:val="en-US"/>
        </w:rPr>
        <w:t>roto-oncogene</w:t>
      </w:r>
      <w:r w:rsidR="005D0477" w:rsidRPr="005C7810">
        <w:rPr>
          <w:rFonts w:ascii="Book Antiqua" w:hAnsi="Book Antiqua" w:cs="Times New Roman"/>
          <w:sz w:val="24"/>
          <w:szCs w:val="24"/>
          <w:lang w:val="en-US"/>
        </w:rPr>
        <w:t xml:space="preserve"> (</w:t>
      </w:r>
      <w:r w:rsidR="005D0477" w:rsidRPr="005C7810">
        <w:rPr>
          <w:rFonts w:ascii="Book Antiqua" w:hAnsi="Book Antiqua" w:cs="Times New Roman"/>
          <w:i/>
          <w:sz w:val="24"/>
          <w:szCs w:val="24"/>
          <w:lang w:val="en-US"/>
        </w:rPr>
        <w:t>MDM2</w:t>
      </w:r>
      <w:r w:rsidR="00D6110D" w:rsidRPr="005C7810">
        <w:rPr>
          <w:rFonts w:ascii="Book Antiqua" w:hAnsi="Book Antiqua" w:cs="Times New Roman"/>
          <w:sz w:val="24"/>
          <w:szCs w:val="24"/>
          <w:lang w:val="en-US"/>
        </w:rPr>
        <w:t>)</w:t>
      </w:r>
      <w:r w:rsidR="00415FC7" w:rsidRPr="005C7810">
        <w:rPr>
          <w:rFonts w:ascii="Book Antiqua" w:hAnsi="Book Antiqua" w:cs="Times New Roman"/>
          <w:sz w:val="24"/>
          <w:szCs w:val="24"/>
          <w:lang w:val="en-US"/>
        </w:rPr>
        <w:t xml:space="preserve"> </w:t>
      </w:r>
      <w:r w:rsidR="005D0477" w:rsidRPr="005C7810">
        <w:rPr>
          <w:rFonts w:ascii="Book Antiqua" w:hAnsi="Book Antiqua" w:cs="Times New Roman"/>
          <w:sz w:val="24"/>
          <w:szCs w:val="24"/>
          <w:lang w:val="en-US"/>
        </w:rPr>
        <w:t>encode</w:t>
      </w:r>
      <w:r w:rsidR="00385A9A" w:rsidRPr="005C7810">
        <w:rPr>
          <w:rFonts w:ascii="Book Antiqua" w:hAnsi="Book Antiqua" w:cs="Times New Roman"/>
          <w:sz w:val="24"/>
          <w:szCs w:val="24"/>
          <w:lang w:val="en-US"/>
        </w:rPr>
        <w:t xml:space="preserve"> </w:t>
      </w:r>
      <w:r w:rsidR="00415FC7" w:rsidRPr="005C7810">
        <w:rPr>
          <w:rFonts w:ascii="Book Antiqua" w:hAnsi="Book Antiqua" w:cs="Times New Roman"/>
          <w:sz w:val="24"/>
          <w:szCs w:val="24"/>
          <w:lang w:val="en-US"/>
        </w:rPr>
        <w:t xml:space="preserve">negative regulators of </w:t>
      </w:r>
      <w:r w:rsidR="00415FC7" w:rsidRPr="005C7810">
        <w:rPr>
          <w:rFonts w:ascii="Book Antiqua" w:hAnsi="Book Antiqua" w:cs="Times New Roman"/>
          <w:i/>
          <w:sz w:val="24"/>
          <w:szCs w:val="24"/>
          <w:lang w:val="en-US"/>
        </w:rPr>
        <w:t>TP53</w:t>
      </w:r>
      <w:r w:rsidR="00415FC7" w:rsidRPr="005C7810">
        <w:rPr>
          <w:rFonts w:ascii="Book Antiqua" w:hAnsi="Book Antiqua" w:cs="Times New Roman"/>
          <w:sz w:val="24"/>
          <w:szCs w:val="24"/>
          <w:lang w:val="en-US"/>
        </w:rPr>
        <w:t xml:space="preserve">. </w:t>
      </w:r>
      <w:r w:rsidR="00C96CA5" w:rsidRPr="005C7810">
        <w:rPr>
          <w:rFonts w:ascii="Book Antiqua" w:hAnsi="Book Antiqua" w:cs="Times New Roman"/>
          <w:i/>
          <w:sz w:val="24"/>
          <w:szCs w:val="24"/>
          <w:lang w:val="en-US"/>
        </w:rPr>
        <w:t>AURKA</w:t>
      </w:r>
      <w:r w:rsidR="00C96CA5" w:rsidRPr="005C7810">
        <w:rPr>
          <w:rFonts w:ascii="Book Antiqua" w:hAnsi="Book Antiqua" w:cs="Times New Roman"/>
          <w:sz w:val="24"/>
          <w:szCs w:val="24"/>
          <w:lang w:val="en-US"/>
        </w:rPr>
        <w:t xml:space="preserve"> is amplified and overexpressed in GC</w:t>
      </w:r>
      <w:r w:rsidR="00996109" w:rsidRPr="005C7810">
        <w:rPr>
          <w:rFonts w:ascii="Book Antiqua" w:hAnsi="Book Antiqua" w:cs="Times New Roman"/>
          <w:sz w:val="24"/>
          <w:szCs w:val="24"/>
          <w:lang w:val="en-US"/>
        </w:rPr>
        <w:fldChar w:fldCharType="begin" w:fldLock="1"/>
      </w:r>
      <w:r w:rsidR="002B0D7B" w:rsidRPr="005C7810">
        <w:rPr>
          <w:rFonts w:ascii="Book Antiqua" w:hAnsi="Book Antiqua" w:cs="Times New Roman"/>
          <w:sz w:val="24"/>
          <w:szCs w:val="24"/>
          <w:lang w:val="en-US"/>
        </w:rPr>
        <w:instrText>ADDIN CSL_CITATION {"citationItems":[{"id":"ITEM-1","itemData":{"DOI":"10.1054/bjoc.2000.1684","ISSN":"00070920","abstract":"Our recent analysis of gastric cancers using comparative genomic hybridization (CGH) revealed a novel high frequent copy number increase in the long arm of chromosome 20. Tumour-amplified kinase BTAK was recently cloned from breast cancers and mapped on 20q13 as a target gene for this amplification in human breast cancers. In the study presented here, we analysed BTAK copy-number and expression, and their relation to the ploidy pattern in 72 primary gastric cancers. Furthermore, wild-type BTAK and its deletion mutants were transfected to gastric cancers to examine changes in cell proliferation and DNA ploidy pattern. Evaluation of 72 unselected primary gastric cancers found BTAK amplification in 5% and overexpression in more than 50%. All four clinical samples with BTAK amplification showed aneuploidy and poor prognosis. Transfection of BTAK in near-diploid gastric cancers induced another aneuploid cell population. In contrast, the c-terminal-deleted mutant of BTAK induced no effect in DNA ploidy pattern and inhibited gastric cancer cell proliferation. These results suggest that BTAK may be involved in gastric cancer cell aneuploid formation, and is a candidate gene for the increase in the number of copies of the 20q, and thus may contribute to an increase in the malignant phenotype of gastric cancer. © 2001 Cancer Research Campaign.","author":[{"dropping-particle":"","family":"Sakakura","given":"C.","non-dropping-particle":"","parse-names":false,"suffix":""},{"dropping-particle":"","family":"Hagiwara","given":"A.","non-dropping-particle":"","parse-names":false,"suffix":""},{"dropping-particle":"","family":"Yasuoka","given":"R.","non-dropping-particle":"","parse-names":false,"suffix":""},{"dropping-particle":"","family":"Fujita","given":"Y.","non-dropping-particle":"","parse-names":false,"suffix":""},{"dropping-particle":"","family":"Nakanishi","given":"M.","non-dropping-particle":"","parse-names":false,"suffix":""},{"dropping-particle":"","family":"Masuda","given":"K.","non-dropping-particle":"","parse-names":false,"suffix":""},{"dropping-particle":"","family":"Shimomura","given":"K.","non-dropping-particle":"","parse-names":false,"suffix":""},{"dropping-particle":"","family":"Nakamura","given":"Y.","non-dropping-particle":"","parse-names":false,"suffix":""},{"dropping-particle":"","family":"Inazawa","given":"J.","non-dropping-particle":"","parse-names":false,"suffix":""},{"dropping-particle":"","family":"Abe","given":"T.","non-dropping-particle":"","parse-names":false,"suffix":""},{"dropping-particle":"","family":"Yamagishi","given":"H.","non-dropping-particle":"","parse-names":false,"suffix":""}],"container-title":"British Journal of Cancer","id":"ITEM-1","issue":"6","issued":{"date-parts":[["2001"]]},"page":"824-831","title":"Tumour-amplified kinase BTAK is amplified and overexpressed in gastric cancers with possible involvement in aneuploid formation","type":"article-journal","volume":"84"},"uris":["http://www.mendeley.com/documents/?uuid=e16f4dc7-c734-4714-9971-794f173e50e5","http://www.mendeley.com/documents/?uuid=be20c565-f4b1-483d-9ad2-feba7e837017"]}],"mendeley":{"formattedCitation":"&lt;sup&gt;[78]&lt;/sup&gt;","plainTextFormattedCitation":"[78]","previouslyFormattedCitation":"&lt;sup&gt;[78]&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322DE" w:rsidRPr="005C7810">
        <w:rPr>
          <w:rFonts w:ascii="Book Antiqua" w:hAnsi="Book Antiqua" w:cs="Times New Roman"/>
          <w:sz w:val="24"/>
          <w:szCs w:val="24"/>
          <w:vertAlign w:val="superscript"/>
          <w:lang w:val="en-US"/>
        </w:rPr>
        <w:t>[78]</w:t>
      </w:r>
      <w:r w:rsidR="00996109" w:rsidRPr="005C7810">
        <w:rPr>
          <w:rFonts w:ascii="Book Antiqua" w:hAnsi="Book Antiqua" w:cs="Times New Roman"/>
          <w:sz w:val="24"/>
          <w:szCs w:val="24"/>
          <w:lang w:val="en-US"/>
        </w:rPr>
        <w:fldChar w:fldCharType="end"/>
      </w:r>
      <w:r w:rsidR="00C96CA5" w:rsidRPr="005C7810">
        <w:rPr>
          <w:rFonts w:ascii="Book Antiqua" w:hAnsi="Book Antiqua" w:cs="Times New Roman"/>
          <w:sz w:val="24"/>
          <w:szCs w:val="24"/>
          <w:lang w:val="en-US"/>
        </w:rPr>
        <w:t>. B</w:t>
      </w:r>
      <w:r w:rsidR="00415FC7" w:rsidRPr="005C7810">
        <w:rPr>
          <w:rFonts w:ascii="Book Antiqua" w:hAnsi="Book Antiqua" w:cs="Times New Roman"/>
          <w:sz w:val="24"/>
          <w:szCs w:val="24"/>
          <w:lang w:val="en-US"/>
        </w:rPr>
        <w:t xml:space="preserve">y regulating the ubiquitination of TP53 </w:t>
      </w:r>
      <w:r w:rsidR="00200663" w:rsidRPr="005C7810">
        <w:rPr>
          <w:rFonts w:ascii="Book Antiqua" w:hAnsi="Book Antiqua" w:cs="Times New Roman"/>
          <w:sz w:val="24"/>
          <w:szCs w:val="24"/>
          <w:lang w:val="en-US"/>
        </w:rPr>
        <w:t xml:space="preserve">through </w:t>
      </w:r>
      <w:r w:rsidR="00415FC7" w:rsidRPr="005C7810">
        <w:rPr>
          <w:rFonts w:ascii="Book Antiqua" w:hAnsi="Book Antiqua" w:cs="Times New Roman"/>
          <w:sz w:val="24"/>
          <w:szCs w:val="24"/>
          <w:lang w:val="en-US"/>
        </w:rPr>
        <w:t>MDM2,</w:t>
      </w:r>
      <w:r w:rsidR="00C96CA5" w:rsidRPr="005C7810">
        <w:rPr>
          <w:rFonts w:ascii="Book Antiqua" w:hAnsi="Book Antiqua" w:cs="Times New Roman"/>
          <w:sz w:val="24"/>
          <w:szCs w:val="24"/>
          <w:lang w:val="en-US"/>
        </w:rPr>
        <w:t xml:space="preserve"> AURKA</w:t>
      </w:r>
      <w:r w:rsidR="00415FC7" w:rsidRPr="005C7810">
        <w:rPr>
          <w:rFonts w:ascii="Book Antiqua" w:hAnsi="Book Antiqua" w:cs="Times New Roman"/>
          <w:sz w:val="24"/>
          <w:szCs w:val="24"/>
          <w:lang w:val="en-US"/>
        </w:rPr>
        <w:t xml:space="preserve"> promotes tumor growth and cell survival</w:t>
      </w:r>
      <w:r w:rsidR="00996109" w:rsidRPr="005C7810">
        <w:rPr>
          <w:rFonts w:ascii="Book Antiqua" w:hAnsi="Book Antiqua" w:cs="Times New Roman"/>
          <w:sz w:val="24"/>
          <w:szCs w:val="24"/>
          <w:lang w:val="en-US"/>
        </w:rPr>
        <w:fldChar w:fldCharType="begin" w:fldLock="1"/>
      </w:r>
      <w:r w:rsidR="002B0D7B" w:rsidRPr="005C7810">
        <w:rPr>
          <w:rFonts w:ascii="Book Antiqua" w:hAnsi="Book Antiqua" w:cs="Times New Roman"/>
          <w:sz w:val="24"/>
          <w:szCs w:val="24"/>
          <w:lang w:val="en-US"/>
        </w:rPr>
        <w:instrText>ADDIN CSL_CITATION {"citationItems":[{"id":"ITEM-1","itemData":{"DOI":"10.1158/1078-0432.ccr-13-1187","ISSN":"1078-0432","author":[{"dropping-particle":"","family":"Sehdev V, Katsha A, Arras J, Peng D, Soutto M, Ecsedy J, Zaika A, Belkhiri A","given":"El-Rifai W","non-dropping-particle":"","parse-names":false,"suffix":""}],"container-title":"Clinical Cancer Research","id":"ITEM-1","issue":"1","issued":{"date-parts":[["2014"]]},"page":"76-86","title":"HDM2 Regulation by AURKA Promotes Cell Survival in Gastric Cancer","type":"article-journal","volume":"20"},"uris":["http://www.mendeley.com/documents/?uuid=c8d18ce0-4036-41f1-8586-7e16d37c1061","http://www.mendeley.com/documents/?uuid=c430b371-fcb9-4088-ad81-dfad794e9e4c"]}],"mendeley":{"formattedCitation":"&lt;sup&gt;[79]&lt;/sup&gt;","plainTextFormattedCitation":"[79]","previouslyFormattedCitation":"&lt;sup&gt;[79]&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322DE" w:rsidRPr="005C7810">
        <w:rPr>
          <w:rFonts w:ascii="Book Antiqua" w:hAnsi="Book Antiqua" w:cs="Times New Roman"/>
          <w:sz w:val="24"/>
          <w:szCs w:val="24"/>
          <w:vertAlign w:val="superscript"/>
          <w:lang w:val="en-US"/>
        </w:rPr>
        <w:t>[79]</w:t>
      </w:r>
      <w:r w:rsidR="00996109" w:rsidRPr="005C7810">
        <w:rPr>
          <w:rFonts w:ascii="Book Antiqua" w:hAnsi="Book Antiqua" w:cs="Times New Roman"/>
          <w:sz w:val="24"/>
          <w:szCs w:val="24"/>
          <w:lang w:val="en-US"/>
        </w:rPr>
        <w:fldChar w:fldCharType="end"/>
      </w:r>
      <w:r w:rsidR="00D6110D" w:rsidRPr="005C7810">
        <w:rPr>
          <w:rFonts w:ascii="Book Antiqua" w:hAnsi="Book Antiqua" w:cs="Times New Roman"/>
          <w:sz w:val="24"/>
          <w:szCs w:val="24"/>
          <w:lang w:val="en-US"/>
        </w:rPr>
        <w:t xml:space="preserve">. </w:t>
      </w:r>
    </w:p>
    <w:p w:rsidR="009C47BE" w:rsidRPr="005C7810" w:rsidRDefault="00A71FB1" w:rsidP="00CD380F">
      <w:pPr>
        <w:shd w:val="clear" w:color="auto" w:fill="FFFFFF"/>
        <w:snapToGrid w:val="0"/>
        <w:spacing w:after="0" w:line="360" w:lineRule="auto"/>
        <w:jc w:val="both"/>
        <w:rPr>
          <w:rStyle w:val="element-citation"/>
          <w:rFonts w:ascii="Book Antiqua" w:hAnsi="Book Antiqua"/>
          <w:color w:val="000000"/>
          <w:sz w:val="24"/>
          <w:szCs w:val="24"/>
          <w:lang w:val="en-US"/>
        </w:rPr>
      </w:pPr>
      <w:r w:rsidRPr="005C7810">
        <w:rPr>
          <w:rFonts w:ascii="Book Antiqua" w:hAnsi="Book Antiqua" w:cs="Times New Roman"/>
          <w:sz w:val="24"/>
          <w:szCs w:val="24"/>
          <w:lang w:val="en-US"/>
        </w:rPr>
        <w:tab/>
      </w:r>
      <w:r w:rsidRPr="005C7810">
        <w:rPr>
          <w:rFonts w:ascii="Book Antiqua" w:hAnsi="Book Antiqua" w:cs="Times New Roman"/>
          <w:color w:val="000000"/>
          <w:sz w:val="24"/>
          <w:szCs w:val="24"/>
          <w:lang w:val="en-US"/>
        </w:rPr>
        <w:t>DNA damage is repaired by a series of mechanisms</w:t>
      </w:r>
      <w:r w:rsidR="0006334C"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 including basic excision repair, mismatch repair, nucleotide excision repair, single</w:t>
      </w:r>
      <w:r w:rsidR="0082228C"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strand annealing, homologous recombination, and non</w:t>
      </w:r>
      <w:r w:rsidR="002B0D7B"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homologous end joining. </w:t>
      </w:r>
      <w:r w:rsidR="009D1632" w:rsidRPr="005C7810">
        <w:rPr>
          <w:rFonts w:ascii="Book Antiqua" w:hAnsi="Book Antiqua" w:cs="Times New Roman"/>
          <w:color w:val="000000"/>
          <w:sz w:val="24"/>
          <w:szCs w:val="24"/>
          <w:lang w:val="en-US"/>
        </w:rPr>
        <w:t>The</w:t>
      </w:r>
      <w:r w:rsidRPr="005C7810">
        <w:rPr>
          <w:rFonts w:ascii="Book Antiqua" w:hAnsi="Book Antiqua" w:cs="Times New Roman"/>
          <w:color w:val="000000"/>
          <w:sz w:val="24"/>
          <w:szCs w:val="24"/>
          <w:lang w:val="en-US"/>
        </w:rPr>
        <w:t xml:space="preserve"> </w:t>
      </w:r>
      <w:r w:rsidR="009D1632" w:rsidRPr="005C7810">
        <w:rPr>
          <w:rFonts w:ascii="Book Antiqua" w:hAnsi="Book Antiqua" w:cs="Times New Roman"/>
          <w:color w:val="000000"/>
          <w:sz w:val="24"/>
          <w:szCs w:val="24"/>
          <w:lang w:val="en-US"/>
        </w:rPr>
        <w:t>p</w:t>
      </w:r>
      <w:r w:rsidRPr="005C7810">
        <w:rPr>
          <w:rFonts w:ascii="Book Antiqua" w:hAnsi="Book Antiqua" w:cs="Times New Roman"/>
          <w:color w:val="000000"/>
          <w:sz w:val="24"/>
          <w:szCs w:val="24"/>
          <w:lang w:val="en-US"/>
        </w:rPr>
        <w:t>oly (ADP-ribose) polymerases</w:t>
      </w:r>
      <w:r w:rsidR="009D1632" w:rsidRPr="005C7810">
        <w:rPr>
          <w:rFonts w:ascii="Book Antiqua" w:hAnsi="Book Antiqua" w:cs="Times New Roman"/>
          <w:color w:val="000000"/>
          <w:sz w:val="24"/>
          <w:szCs w:val="24"/>
          <w:lang w:val="en-US"/>
        </w:rPr>
        <w:t>, known as PARPs,</w:t>
      </w:r>
      <w:r w:rsidRPr="005C7810">
        <w:rPr>
          <w:rFonts w:ascii="Book Antiqua" w:hAnsi="Book Antiqua" w:cs="Times New Roman"/>
          <w:color w:val="000000"/>
          <w:sz w:val="24"/>
          <w:szCs w:val="24"/>
          <w:lang w:val="en-US"/>
        </w:rPr>
        <w:t xml:space="preserve"> are proteins involved in the </w:t>
      </w:r>
      <w:r w:rsidR="0006334C" w:rsidRPr="005C7810">
        <w:rPr>
          <w:rFonts w:ascii="Book Antiqua" w:hAnsi="Book Antiqua" w:cs="Times New Roman"/>
          <w:color w:val="000000"/>
          <w:sz w:val="24"/>
          <w:szCs w:val="24"/>
          <w:lang w:val="en-US"/>
        </w:rPr>
        <w:t>basic excision repair</w:t>
      </w:r>
      <w:r w:rsidRPr="005C7810">
        <w:rPr>
          <w:rFonts w:ascii="Book Antiqua" w:hAnsi="Book Antiqua" w:cs="Times New Roman"/>
          <w:color w:val="000000"/>
          <w:sz w:val="24"/>
          <w:szCs w:val="24"/>
          <w:lang w:val="en-US"/>
        </w:rPr>
        <w:t xml:space="preserve"> pathway and catalyze the transfer of ADP-ribose to target proteins</w:t>
      </w:r>
      <w:r w:rsidR="002B0D7B" w:rsidRPr="005C7810">
        <w:rPr>
          <w:rFonts w:ascii="Book Antiqua" w:hAnsi="Book Antiqua" w:cs="Times New Roman"/>
          <w:color w:val="000000"/>
          <w:sz w:val="24"/>
          <w:szCs w:val="24"/>
          <w:vertAlign w:val="superscript"/>
          <w:lang w:val="en-US"/>
        </w:rPr>
        <w:fldChar w:fldCharType="begin" w:fldLock="1"/>
      </w:r>
      <w:r w:rsidR="002B0D7B" w:rsidRPr="005C7810">
        <w:rPr>
          <w:rFonts w:ascii="Book Antiqua" w:hAnsi="Book Antiqua" w:cs="Times New Roman"/>
          <w:color w:val="000000"/>
          <w:sz w:val="24"/>
          <w:szCs w:val="24"/>
          <w:vertAlign w:val="superscript"/>
          <w:lang w:val="en-US"/>
        </w:rPr>
        <w:instrText>ADDIN CSL_CITATION {"citationItems":[{"id":"ITEM-1","itemData":{"DOI":"10.1002/bies.20085","ISSN":"02659247","abstract":"Poly(ADP-ribosyl)ation is an immediate DNA-damage-dependent post-translational modification of histones and other nuclear proteins that contributes to the survival of injured proliferating cells. Poly(ADP-ribose) polymerases (PARPs) now constitute a large family of 18 proteins, encoded by different genes and displaying a conserved catalytic domain in which PARP-1 (113 kDa), the founding member, and PARP-2 (62 kDa) are so far the sole enzymes whose catalytic activity has been shown to be immediately stimulated by DNA strand breaks. A large repertoire of sequences encoding novel PARPs now extends considerably the field of poly(ADP-ribosyl)ation reactions to various aspects of the cell biology including cell proliferation and cell death. Some of these new members interact with each other, share common partners and common subcellular localizations suggesting possible fine tuning in the regulation of this post-translational modification of proteins. This review summarizes our present knowledge of this emerging superfamily, which might ultimately improve pharmacological strategies to enhance both antitumor efficacy and the treatment of a number of inflammatory and neurodegenerative disorders. A provisional nomenclature is proposed.","author":[{"dropping-particle":"","family":"Amé","given":"Jean Christophe","non-dropping-particle":"","parse-names":false,"suffix":""},{"dropping-particle":"","family":"Spenlehauer","given":"Catherine","non-dropping-particle":"","parse-names":false,"suffix":""},{"dropping-particle":"","family":"Murcia","given":"Gilbert","non-dropping-particle":"De","parse-names":false,"suffix":""}],"container-title":"BioEssays","id":"ITEM-1","issue":"8","issued":{"date-parts":[["2004"]]},"page":"882-893","title":"The PARP superfamily","type":"article-journal","volume":"26"},"uris":["http://www.mendeley.com/documents/?uuid=6d9a448d-b0cf-497a-aa8f-be4b024ba759"]},{"id":"ITEM-2","itemData":{"ISSN":"0264-6021","PMID":"10455009","abstract":"Poly(ADP-ribosyl)ation is a post-translational modification of proteins. During this process, molecules of ADP-ribose are added successively on to acceptor proteins to form branched polymers. This modification is transient but very extensive in vivo, as polymer chains can reach more than 200 units on protein acceptors. The existence of the poly(ADP-ribose) polymer was first reported nearly 40 years ago. Since then, the importance of poly(ADP-ribose) synthesis has been established in many cellular processes. However, a clear and unified picture of the physiological role of poly(ADP-ribosyl)ation still remains to be established. The total dependence of poly(ADP-ribose) synthesis on DNA strand breaks strongly suggests that this post-translational modification is involved in the metabolism of nucleic acids. This view is also supported by the identification of direct protein-protein interactions involving poly(ADP-ribose) polymerase (113 kDa PARP), an enzyme catalysing the formation of poly(ADP-ribose), and key effectors of DNA repair, replication and transcription reactions. The presence of PARP in these multiprotein complexes, in addition to the actual poly(ADP-ribosyl)ation of some components of these complexes, clearly supports an important role for poly(ADP-ribosyl)ation reactions in DNA transactions. Accordingly, inhibition of poly(ADP-ribose) synthesis by any of several approaches and the analysis of PARP-deficient cells has revealed that the absence of poly(ADP-ribosyl)ation strongly affects DNA metabolism, most notably DNA repair. The recent identification of new poly(ADP-ribosyl)ating enzymes with distinct (non-standard) structures in eukaryotes and archaea has revealed a novel level of complexity in the regulation of poly(ADP-ribose) metabolism.","author":[{"dropping-particle":"","family":"D'Amours","given":"D","non-dropping-particle":"","parse-names":false,"suffix":""},{"dropping-particle":"","family":"Desnoyers","given":"S","non-dropping-particle":"","parse-names":false,"suffix":""},{"dropping-particle":"","family":"D'Silva","given":"I","non-dropping-particle":"","parse-names":false,"suffix":""},{"dropping-particle":"","family":"Poirier","given":"G G","non-dropping-particle":"","parse-names":false,"suffix":""}],"container-title":"The Biochemical journal","id":"ITEM-2","issued":{"date-parts":[["1999"]]},"page":"249-68","title":"Poly(ADP-ribosyl)ation reactions in the regulation of nuclear functions.","type":"article-journal","volume":"342 ( Pt 2"},"uris":["http://www.mendeley.com/documents/?uuid=562b7c6c-064d-4ee8-8854-5ebb7be1f2d3"]}],"mendeley":{"formattedCitation":"&lt;sup&gt;[80,81]&lt;/sup&gt;","plainTextFormattedCitation":"[80,81]","previouslyFormattedCitation":"&lt;sup&gt;[80,81]&lt;/sup&gt;"},"properties":{"noteIndex":0},"schema":"https://github.com/citation-style-language/schema/raw/master/csl-citation.json"}</w:instrText>
      </w:r>
      <w:r w:rsidR="002B0D7B" w:rsidRPr="005C7810">
        <w:rPr>
          <w:rFonts w:ascii="Book Antiqua" w:hAnsi="Book Antiqua" w:cs="Times New Roman"/>
          <w:color w:val="000000"/>
          <w:sz w:val="24"/>
          <w:szCs w:val="24"/>
          <w:vertAlign w:val="superscript"/>
          <w:lang w:val="en-US"/>
        </w:rPr>
        <w:fldChar w:fldCharType="separate"/>
      </w:r>
      <w:r w:rsidR="00E63194" w:rsidRPr="005C7810">
        <w:rPr>
          <w:rFonts w:ascii="Book Antiqua" w:hAnsi="Book Antiqua" w:cs="Times New Roman"/>
          <w:color w:val="000000"/>
          <w:sz w:val="24"/>
          <w:szCs w:val="24"/>
          <w:vertAlign w:val="superscript"/>
          <w:lang w:val="en-US"/>
        </w:rPr>
        <w:t>[80</w:t>
      </w:r>
      <w:r w:rsidR="009131DA" w:rsidRPr="005C7810">
        <w:rPr>
          <w:rFonts w:ascii="Book Antiqua" w:hAnsi="Book Antiqua" w:cs="Times New Roman"/>
          <w:color w:val="000000"/>
          <w:sz w:val="24"/>
          <w:szCs w:val="24"/>
          <w:vertAlign w:val="superscript"/>
          <w:lang w:val="en-US"/>
        </w:rPr>
        <w:t>,</w:t>
      </w:r>
      <w:r w:rsidR="007B5FCB" w:rsidRPr="005C7810">
        <w:rPr>
          <w:rFonts w:ascii="Book Antiqua" w:hAnsi="Book Antiqua" w:cs="Times New Roman"/>
          <w:color w:val="000000"/>
          <w:sz w:val="24"/>
          <w:szCs w:val="24"/>
          <w:vertAlign w:val="superscript"/>
          <w:lang w:val="en-US"/>
        </w:rPr>
        <w:t>81]</w:t>
      </w:r>
      <w:r w:rsidR="002B0D7B" w:rsidRPr="005C7810">
        <w:rPr>
          <w:rFonts w:ascii="Book Antiqua" w:hAnsi="Book Antiqua" w:cs="Times New Roman"/>
          <w:color w:val="000000"/>
          <w:sz w:val="24"/>
          <w:szCs w:val="24"/>
          <w:vertAlign w:val="superscript"/>
          <w:lang w:val="en-US"/>
        </w:rPr>
        <w:fldChar w:fldCharType="end"/>
      </w:r>
      <w:r w:rsidR="002B0D7B"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 </w:t>
      </w:r>
      <w:r w:rsidR="00F65C1B" w:rsidRPr="005C7810">
        <w:rPr>
          <w:rFonts w:ascii="Book Antiqua" w:hAnsi="Book Antiqua"/>
          <w:color w:val="000000"/>
          <w:sz w:val="24"/>
          <w:szCs w:val="24"/>
          <w:shd w:val="clear" w:color="auto" w:fill="FFFFFF"/>
          <w:lang w:val="en-US"/>
        </w:rPr>
        <w:t xml:space="preserve">PARP1 and PARP2 are the best known </w:t>
      </w:r>
      <w:r w:rsidR="007B405E" w:rsidRPr="005C7810">
        <w:rPr>
          <w:rFonts w:ascii="Book Antiqua" w:hAnsi="Book Antiqua"/>
          <w:color w:val="000000"/>
          <w:sz w:val="24"/>
          <w:szCs w:val="24"/>
          <w:shd w:val="clear" w:color="auto" w:fill="FFFFFF"/>
          <w:lang w:val="en-US"/>
        </w:rPr>
        <w:t xml:space="preserve">of these </w:t>
      </w:r>
      <w:r w:rsidR="00F65C1B" w:rsidRPr="005C7810">
        <w:rPr>
          <w:rFonts w:ascii="Book Antiqua" w:hAnsi="Book Antiqua"/>
          <w:color w:val="000000"/>
          <w:sz w:val="24"/>
          <w:szCs w:val="24"/>
          <w:shd w:val="clear" w:color="auto" w:fill="FFFFFF"/>
          <w:lang w:val="en-US"/>
        </w:rPr>
        <w:t xml:space="preserve">proteins. Numerous studies have </w:t>
      </w:r>
      <w:r w:rsidR="00F65C1B" w:rsidRPr="005C7810">
        <w:rPr>
          <w:rFonts w:ascii="Book Antiqua" w:hAnsi="Book Antiqua"/>
          <w:color w:val="000000"/>
          <w:sz w:val="24"/>
          <w:szCs w:val="24"/>
          <w:shd w:val="clear" w:color="auto" w:fill="FFFFFF"/>
          <w:lang w:val="en-US"/>
        </w:rPr>
        <w:lastRenderedPageBreak/>
        <w:t>highlighted an upregulation of PARPs in different tumors</w:t>
      </w:r>
      <w:r w:rsidR="007B405E" w:rsidRPr="005C7810">
        <w:rPr>
          <w:rFonts w:ascii="Book Antiqua" w:hAnsi="Book Antiqua"/>
          <w:color w:val="000000"/>
          <w:sz w:val="24"/>
          <w:szCs w:val="24"/>
          <w:shd w:val="clear" w:color="auto" w:fill="FFFFFF"/>
          <w:lang w:val="en-US"/>
        </w:rPr>
        <w:t>,</w:t>
      </w:r>
      <w:r w:rsidR="00F65C1B" w:rsidRPr="005C7810">
        <w:rPr>
          <w:rFonts w:ascii="Book Antiqua" w:hAnsi="Book Antiqua"/>
          <w:color w:val="000000"/>
          <w:sz w:val="24"/>
          <w:szCs w:val="24"/>
          <w:shd w:val="clear" w:color="auto" w:fill="FFFFFF"/>
          <w:lang w:val="en-US"/>
        </w:rPr>
        <w:t xml:space="preserve"> including </w:t>
      </w:r>
      <w:r w:rsidR="007B405E" w:rsidRPr="005C7810">
        <w:rPr>
          <w:rFonts w:ascii="Book Antiqua" w:hAnsi="Book Antiqua"/>
          <w:color w:val="000000"/>
          <w:sz w:val="24"/>
          <w:szCs w:val="24"/>
          <w:shd w:val="clear" w:color="auto" w:fill="FFFFFF"/>
          <w:lang w:val="en-US"/>
        </w:rPr>
        <w:t xml:space="preserve">in </w:t>
      </w:r>
      <w:r w:rsidR="00F65C1B" w:rsidRPr="005C7810">
        <w:rPr>
          <w:rFonts w:ascii="Book Antiqua" w:hAnsi="Book Antiqua"/>
          <w:color w:val="000000"/>
          <w:sz w:val="24"/>
          <w:szCs w:val="24"/>
          <w:shd w:val="clear" w:color="auto" w:fill="FFFFFF"/>
          <w:lang w:val="en-US"/>
        </w:rPr>
        <w:t>GC</w:t>
      </w:r>
      <w:r w:rsidR="00F65C1B" w:rsidRPr="005C7810">
        <w:rPr>
          <w:rFonts w:ascii="Book Antiqua" w:hAnsi="Book Antiqua"/>
          <w:color w:val="000000"/>
          <w:sz w:val="24"/>
          <w:szCs w:val="24"/>
          <w:shd w:val="clear" w:color="auto" w:fill="FFFFFF"/>
          <w:vertAlign w:val="superscript"/>
          <w:lang w:val="en-US"/>
        </w:rPr>
        <w:fldChar w:fldCharType="begin" w:fldLock="1"/>
      </w:r>
      <w:r w:rsidR="00181983" w:rsidRPr="005C7810">
        <w:rPr>
          <w:rFonts w:ascii="Book Antiqua" w:hAnsi="Book Antiqua"/>
          <w:color w:val="000000"/>
          <w:sz w:val="24"/>
          <w:szCs w:val="24"/>
          <w:shd w:val="clear" w:color="auto" w:fill="FFFFFF"/>
          <w:vertAlign w:val="superscript"/>
          <w:lang w:val="en-US"/>
        </w:rPr>
        <w:instrText>ADDIN CSL_CITATION {"citationItems":[{"id":"ITEM-1","itemData":{"author":[{"dropping-particle":"","family":"Nomura F, Yaguchi M, Togawa A, Isobe K, Miyake M, Noda M","given":"Nakai T","non-dropping-particle":"","parse-names":false,"suffix":""}],"id":"ITEM-1","issue":"November 1999","issued":{"date-parts":[["2000"]]},"page":"529-535","title":"HEPATOCELLULAR CARCINOMA Enhancement of poly-adenosine diphosphate-ribosylation in human hepatocellular carcinoma","type":"article-journal"},"uris":["http://www.mendeley.com/documents/?uuid=8f900092-b082-4287-9245-06e980016a94"]},{"id":"ITEM-2","itemData":{"DOI":"10.1177/1947601910383418","author":[{"dropping-particle":"","family":"Ossovskaya","given":"Valeria","non-dropping-particle":"","parse-names":false,"suffix":""},{"dropping-particle":"","family":"Koo","given":"Ingrid Chou","non-dropping-particle":"","parse-names":false,"suffix":""},{"dropping-particle":"","family":"Kaldjian","given":"Eric P","non-dropping-particle":"","parse-names":false,"suffix":""},{"dropping-particle":"","family":"Alvares","given":"Christopher","non-dropping-particle":"","parse-names":false,"suffix":""},{"dropping-particle":"","family":"Sherman","given":"Barry M","non-dropping-particle":"","parse-names":false,"suffix":""}],"id":"ITEM-2","issued":{"date-parts":[["2010"]]},"title":"Upregulation of Poly ( ADP-Ribose ) Breast Cancer and Other Primary Human Tumor Types","type":"article-journal","volume":"1"},"uris":["http://www.mendeley.com/documents/?uuid=6f8b89a9-c9c0-48e3-9bf6-5e3af8a73ea9"]}],"mendeley":{"formattedCitation":"&lt;sup&gt;[82,83]&lt;/sup&gt;","plainTextFormattedCitation":"[82,83]","previouslyFormattedCitation":"&lt;sup&gt;[82,83]&lt;/sup&gt;"},"properties":{"noteIndex":0},"schema":"https://github.com/citation-style-language/schema/raw/master/csl-citation.json"}</w:instrText>
      </w:r>
      <w:r w:rsidR="00F65C1B" w:rsidRPr="005C7810">
        <w:rPr>
          <w:rFonts w:ascii="Book Antiqua" w:hAnsi="Book Antiqua"/>
          <w:color w:val="000000"/>
          <w:sz w:val="24"/>
          <w:szCs w:val="24"/>
          <w:shd w:val="clear" w:color="auto" w:fill="FFFFFF"/>
          <w:vertAlign w:val="superscript"/>
          <w:lang w:val="en-US"/>
        </w:rPr>
        <w:fldChar w:fldCharType="separate"/>
      </w:r>
      <w:r w:rsidR="00E63194" w:rsidRPr="005C7810">
        <w:rPr>
          <w:rFonts w:ascii="Book Antiqua" w:hAnsi="Book Antiqua"/>
          <w:color w:val="000000"/>
          <w:sz w:val="24"/>
          <w:szCs w:val="24"/>
          <w:shd w:val="clear" w:color="auto" w:fill="FFFFFF"/>
          <w:vertAlign w:val="superscript"/>
          <w:lang w:val="en-US"/>
        </w:rPr>
        <w:t>[82</w:t>
      </w:r>
      <w:r w:rsidR="009131DA" w:rsidRPr="005C7810">
        <w:rPr>
          <w:rFonts w:ascii="Book Antiqua" w:hAnsi="Book Antiqua"/>
          <w:color w:val="000000"/>
          <w:sz w:val="24"/>
          <w:szCs w:val="24"/>
          <w:shd w:val="clear" w:color="auto" w:fill="FFFFFF"/>
          <w:vertAlign w:val="superscript"/>
          <w:lang w:val="en-US"/>
        </w:rPr>
        <w:t>,</w:t>
      </w:r>
      <w:r w:rsidR="007B5FCB" w:rsidRPr="005C7810">
        <w:rPr>
          <w:rFonts w:ascii="Book Antiqua" w:hAnsi="Book Antiqua"/>
          <w:color w:val="000000"/>
          <w:sz w:val="24"/>
          <w:szCs w:val="24"/>
          <w:shd w:val="clear" w:color="auto" w:fill="FFFFFF"/>
          <w:vertAlign w:val="superscript"/>
          <w:lang w:val="en-US"/>
        </w:rPr>
        <w:t>83]</w:t>
      </w:r>
      <w:r w:rsidR="00F65C1B" w:rsidRPr="005C7810">
        <w:rPr>
          <w:rFonts w:ascii="Book Antiqua" w:hAnsi="Book Antiqua"/>
          <w:color w:val="000000"/>
          <w:sz w:val="24"/>
          <w:szCs w:val="24"/>
          <w:shd w:val="clear" w:color="auto" w:fill="FFFFFF"/>
          <w:vertAlign w:val="superscript"/>
          <w:lang w:val="en-US"/>
        </w:rPr>
        <w:fldChar w:fldCharType="end"/>
      </w:r>
      <w:r w:rsidR="00181983" w:rsidRPr="005C7810">
        <w:rPr>
          <w:rFonts w:ascii="Book Antiqua" w:hAnsi="Book Antiqua"/>
          <w:color w:val="000000"/>
          <w:sz w:val="24"/>
          <w:szCs w:val="24"/>
          <w:shd w:val="clear" w:color="auto" w:fill="FFFFFF"/>
          <w:lang w:val="en-US"/>
        </w:rPr>
        <w:t>.</w:t>
      </w:r>
      <w:r w:rsidR="00F65C1B" w:rsidRPr="005C7810">
        <w:rPr>
          <w:rFonts w:ascii="Book Antiqua" w:hAnsi="Book Antiqua"/>
          <w:color w:val="000000"/>
          <w:sz w:val="24"/>
          <w:szCs w:val="24"/>
          <w:shd w:val="clear" w:color="auto" w:fill="FFFFFF"/>
          <w:lang w:val="en-US"/>
        </w:rPr>
        <w:t xml:space="preserve"> A high expression of PARP1 in GC is associated with tumor invasion and a poor prognosis</w:t>
      </w:r>
      <w:r w:rsidR="00181983" w:rsidRPr="005C7810">
        <w:rPr>
          <w:rFonts w:ascii="Book Antiqua" w:hAnsi="Book Antiqua"/>
          <w:color w:val="000000"/>
          <w:sz w:val="24"/>
          <w:szCs w:val="24"/>
          <w:shd w:val="clear" w:color="auto" w:fill="FFFFFF"/>
          <w:vertAlign w:val="superscript"/>
          <w:lang w:val="en-US"/>
        </w:rPr>
        <w:fldChar w:fldCharType="begin" w:fldLock="1"/>
      </w:r>
      <w:r w:rsidR="00181983" w:rsidRPr="005C7810">
        <w:rPr>
          <w:rFonts w:ascii="Book Antiqua" w:hAnsi="Book Antiqua"/>
          <w:color w:val="000000"/>
          <w:sz w:val="24"/>
          <w:szCs w:val="24"/>
          <w:shd w:val="clear" w:color="auto" w:fill="FFFFFF"/>
          <w:vertAlign w:val="superscript"/>
          <w:lang w:val="en-US"/>
        </w:rPr>
        <w:instrText>ADDIN CSL_CITATION {"citationItems":[{"id":"ITEM-1","itemData":{"DOI":"10.3892/ol.2016.5169","author":[{"dropping-particle":"","family":"Liu","given":"Ying","non-dropping-particle":"","parse-names":false,"suffix":""},{"dropping-particle":"","family":"Zhang","given":"Y U","non-dropping-particle":"","parse-names":false,"suffix":""},{"dropping-particle":"","family":"Zhao","given":"Ying","non-dropping-particle":"","parse-names":false,"suffix":""},{"dropping-particle":"","family":"Gao","given":"Dongna","non-dropping-particle":"","parse-names":false,"suffix":""},{"dropping-particle":"","family":"Xing","given":"Jing","non-dropping-particle":"","parse-names":false,"suffix":""},{"dropping-particle":"","family":"Liu","given":"H U I","non-dropping-particle":"","parse-names":false,"suffix":""}],"id":"ITEM-1","issued":{"date-parts":[["2016"]]},"page":"3825-3835","title":"High PARP-1 expression is associated with tumor invasion and poor prognosis in gastric cancer","type":"article-journal"},"uris":["http://www.mendeley.com/documents/?uuid=fe696923-f1ab-4749-a952-3a3457678e13"]}],"mendeley":{"formattedCitation":"&lt;sup&gt;[84]&lt;/sup&gt;","plainTextFormattedCitation":"[84]","previouslyFormattedCitation":"&lt;sup&gt;[84]&lt;/sup&gt;"},"properties":{"noteIndex":0},"schema":"https://github.com/citation-style-language/schema/raw/master/csl-citation.json"}</w:instrText>
      </w:r>
      <w:r w:rsidR="00181983" w:rsidRPr="005C7810">
        <w:rPr>
          <w:rFonts w:ascii="Book Antiqua" w:hAnsi="Book Antiqua"/>
          <w:color w:val="000000"/>
          <w:sz w:val="24"/>
          <w:szCs w:val="24"/>
          <w:shd w:val="clear" w:color="auto" w:fill="FFFFFF"/>
          <w:vertAlign w:val="superscript"/>
          <w:lang w:val="en-US"/>
        </w:rPr>
        <w:fldChar w:fldCharType="separate"/>
      </w:r>
      <w:r w:rsidR="00181983" w:rsidRPr="005C7810">
        <w:rPr>
          <w:rFonts w:ascii="Book Antiqua" w:hAnsi="Book Antiqua"/>
          <w:color w:val="000000"/>
          <w:sz w:val="24"/>
          <w:szCs w:val="24"/>
          <w:shd w:val="clear" w:color="auto" w:fill="FFFFFF"/>
          <w:vertAlign w:val="superscript"/>
          <w:lang w:val="en-US"/>
        </w:rPr>
        <w:t>[84]</w:t>
      </w:r>
      <w:r w:rsidR="00181983" w:rsidRPr="005C7810">
        <w:rPr>
          <w:rFonts w:ascii="Book Antiqua" w:hAnsi="Book Antiqua"/>
          <w:color w:val="000000"/>
          <w:sz w:val="24"/>
          <w:szCs w:val="24"/>
          <w:shd w:val="clear" w:color="auto" w:fill="FFFFFF"/>
          <w:vertAlign w:val="superscript"/>
          <w:lang w:val="en-US"/>
        </w:rPr>
        <w:fldChar w:fldCharType="end"/>
      </w:r>
      <w:r w:rsidR="00181983" w:rsidRPr="005C7810">
        <w:rPr>
          <w:rFonts w:ascii="Book Antiqua" w:hAnsi="Book Antiqua"/>
          <w:color w:val="000000"/>
          <w:sz w:val="24"/>
          <w:szCs w:val="24"/>
          <w:shd w:val="clear" w:color="auto" w:fill="FFFFFF"/>
          <w:lang w:val="en-US"/>
        </w:rPr>
        <w:t xml:space="preserve">. </w:t>
      </w:r>
    </w:p>
    <w:p w:rsidR="00B8125B" w:rsidRPr="005C7810" w:rsidRDefault="005D0477" w:rsidP="00CD380F">
      <w:pPr>
        <w:shd w:val="clear" w:color="auto" w:fill="FFFFFF"/>
        <w:snapToGrid w:val="0"/>
        <w:spacing w:after="0" w:line="360" w:lineRule="auto"/>
        <w:jc w:val="both"/>
        <w:rPr>
          <w:rFonts w:ascii="Book Antiqua" w:eastAsia="Times New Roman" w:hAnsi="Book Antiqua" w:cs="Times New Roman"/>
          <w:sz w:val="24"/>
          <w:szCs w:val="24"/>
          <w:lang w:val="en-US"/>
        </w:rPr>
      </w:pPr>
      <w:r w:rsidRPr="005C7810">
        <w:rPr>
          <w:rFonts w:ascii="Book Antiqua" w:eastAsia="Times New Roman" w:hAnsi="Book Antiqua" w:cs="Times New Roman"/>
          <w:sz w:val="24"/>
          <w:szCs w:val="24"/>
          <w:lang w:val="en-US"/>
        </w:rPr>
        <w:tab/>
      </w:r>
      <w:r w:rsidR="00B8125B" w:rsidRPr="005C7810">
        <w:rPr>
          <w:rFonts w:ascii="Book Antiqua" w:eastAsia="Times New Roman" w:hAnsi="Book Antiqua" w:cs="Times New Roman"/>
          <w:sz w:val="24"/>
          <w:szCs w:val="24"/>
          <w:lang w:val="en-US"/>
        </w:rPr>
        <w:t xml:space="preserve">Proteins in the matrix metalloproteinase (MMP) family are involved in breakdown of </w:t>
      </w:r>
      <w:r w:rsidRPr="005C7810">
        <w:rPr>
          <w:rFonts w:ascii="Book Antiqua" w:eastAsia="Times New Roman" w:hAnsi="Book Antiqua" w:cs="Times New Roman"/>
          <w:sz w:val="24"/>
          <w:szCs w:val="24"/>
          <w:lang w:val="en-US"/>
        </w:rPr>
        <w:t xml:space="preserve">the </w:t>
      </w:r>
      <w:r w:rsidR="00B8125B" w:rsidRPr="005C7810">
        <w:rPr>
          <w:rFonts w:ascii="Book Antiqua" w:eastAsia="Times New Roman" w:hAnsi="Book Antiqua" w:cs="Times New Roman"/>
          <w:sz w:val="24"/>
          <w:szCs w:val="24"/>
          <w:lang w:val="en-US"/>
        </w:rPr>
        <w:t xml:space="preserve">extracellular matrix in normal physiologic processes and can promote cancer cell invasion and metastasis by degrading the extracellular matrix. Increased </w:t>
      </w:r>
      <w:r w:rsidR="00B822E3" w:rsidRPr="005C7810">
        <w:rPr>
          <w:rFonts w:ascii="Book Antiqua" w:eastAsia="Times New Roman" w:hAnsi="Book Antiqua" w:cs="Times New Roman"/>
          <w:sz w:val="24"/>
          <w:szCs w:val="24"/>
          <w:lang w:val="en-US"/>
        </w:rPr>
        <w:t>matrix metallopeptidase 15 (</w:t>
      </w:r>
      <w:r w:rsidR="00B8125B" w:rsidRPr="005C7810">
        <w:rPr>
          <w:rFonts w:ascii="Book Antiqua" w:eastAsia="Times New Roman" w:hAnsi="Book Antiqua" w:cs="Times New Roman"/>
          <w:iCs/>
          <w:sz w:val="24"/>
          <w:szCs w:val="24"/>
          <w:lang w:val="en-US"/>
        </w:rPr>
        <w:t>MMP15</w:t>
      </w:r>
      <w:r w:rsidR="00B822E3" w:rsidRPr="005C7810">
        <w:rPr>
          <w:rFonts w:ascii="Book Antiqua" w:eastAsia="Times New Roman" w:hAnsi="Book Antiqua" w:cs="Times New Roman"/>
          <w:iCs/>
          <w:sz w:val="24"/>
          <w:szCs w:val="24"/>
          <w:lang w:val="en-US"/>
        </w:rPr>
        <w:t>)</w:t>
      </w:r>
      <w:r w:rsidR="00B8125B" w:rsidRPr="005C7810">
        <w:rPr>
          <w:rFonts w:ascii="Book Antiqua" w:eastAsia="Times New Roman" w:hAnsi="Book Antiqua" w:cs="Times New Roman"/>
          <w:sz w:val="24"/>
          <w:szCs w:val="24"/>
          <w:lang w:val="en-US"/>
        </w:rPr>
        <w:t xml:space="preserve"> expression is associated with poor prognosis in GC</w:t>
      </w:r>
      <w:r w:rsidR="00996109" w:rsidRPr="005C7810">
        <w:rPr>
          <w:rFonts w:ascii="Book Antiqua" w:eastAsia="Times New Roman" w:hAnsi="Book Antiqua" w:cs="Times New Roman"/>
          <w:sz w:val="24"/>
          <w:szCs w:val="24"/>
          <w:lang w:val="en-US"/>
        </w:rPr>
        <w:fldChar w:fldCharType="begin" w:fldLock="1"/>
      </w:r>
      <w:r w:rsidR="00CD6F75" w:rsidRPr="005C7810">
        <w:rPr>
          <w:rFonts w:ascii="Book Antiqua" w:eastAsia="Times New Roman" w:hAnsi="Book Antiqua" w:cs="Times New Roman"/>
          <w:sz w:val="24"/>
          <w:szCs w:val="24"/>
          <w:lang w:val="en-US"/>
        </w:rPr>
        <w:instrText>ADDIN CSL_CITATION {"citationItems":[{"id":"ITEM-1","itemData":{"ISSN":"19362625","PMID":"25973093","abstract":"Matrix metalloproteinases (MMPs) are a family of proteolytic enzymes that contribute to tumorigenesis and metastasis due to their ability to degrade the extracellular matrix (ECM) and basement membrane. In despite of many reports in other solid tumors, the role of membrane type-2 MMP (MT2-MMP) in gastric cancer (GC) remains to be elucidated. The aim of this study was to investigate MT2-MMP expression in human GC tissue microarray (TMA) samples using immunohistochemistry (IHC). We found that MT2-MMP expression in tumor tissues was significantly higher compared to peritumoral tissues (P &lt; 0.01). However, there were no statistically significant differences between MT2-MMP expression and clinicopathological parameters. In addition, univariate and multivariate Cox regression analysis showed GC patients with high MT2-MMP expression have poor overall survival (OS) compared to patients with low MT2-MMP expression (P = 0.013, P = 0.040, respectively). In conclusion, MT2-MMP is involved in GC invasion and metastasis and may serve as an independent prognostic factor for GC patients.","author":[{"dropping-particle":"","family":"Xu","given":"Xiaoli","non-dropping-particle":"","parse-names":false,"suffix":""},{"dropping-particle":"","family":"Chen","given":"Lujun","non-dropping-particle":"","parse-names":false,"suffix":""},{"dropping-particle":"","family":"Xu","given":"Bin","non-dropping-particle":"","parse-names":false,"suffix":""},{"dropping-particle":"","family":"Xie","given":"Quanqin","non-dropping-particle":"","parse-names":false,"suffix":""},{"dropping-particle":"","family":"Sun","given":"Mingfen","non-dropping-particle":"","parse-names":false,"suffix":""},{"dropping-particle":"","family":"Deng","given":"Xu","non-dropping-particle":"","parse-names":false,"suffix":""},{"dropping-particle":"","family":"Wu","given":"Changping","non-dropping-particle":"","parse-names":false,"suffix":""},{"dropping-particle":"","family":"Jiang","given":"Jingting","non-dropping-particle":"","parse-names":false,"suffix":""}],"container-title":"International Journal of Clinical and Experimental Pathology","id":"ITEM-1","issue":"2","issued":{"date-parts":[["2015"]]},"page":"1985-1990","title":"Increased MT2-MMP expression in gastric cancer patients is associated with poor prognosis","type":"article-journal","volume":"8"},"uris":["http://www.mendeley.com/documents/?uuid=545220da-9590-43b1-bf7c-7b994972f8e6","http://www.mendeley.com/documents/?uuid=a3263876-89f8-4b17-8dde-8e6949d9518c"]}],"mendeley":{"formattedCitation":"&lt;sup&gt;[85]&lt;/sup&gt;","plainTextFormattedCitation":"[85]","previouslyFormattedCitation":"&lt;sup&gt;[85]&lt;/sup&gt;"},"properties":{"noteIndex":0},"schema":"https://github.com/citation-style-language/schema/raw/master/csl-citation.json"}</w:instrText>
      </w:r>
      <w:r w:rsidR="00996109" w:rsidRPr="005C7810">
        <w:rPr>
          <w:rFonts w:ascii="Book Antiqua" w:eastAsia="Times New Roman" w:hAnsi="Book Antiqua" w:cs="Times New Roman"/>
          <w:sz w:val="24"/>
          <w:szCs w:val="24"/>
          <w:lang w:val="en-US"/>
        </w:rPr>
        <w:fldChar w:fldCharType="separate"/>
      </w:r>
      <w:r w:rsidR="00181983" w:rsidRPr="005C7810">
        <w:rPr>
          <w:rFonts w:ascii="Book Antiqua" w:eastAsia="Times New Roman" w:hAnsi="Book Antiqua" w:cs="Times New Roman"/>
          <w:sz w:val="24"/>
          <w:szCs w:val="24"/>
          <w:vertAlign w:val="superscript"/>
          <w:lang w:val="en-US"/>
        </w:rPr>
        <w:t>[85]</w:t>
      </w:r>
      <w:r w:rsidR="00996109" w:rsidRPr="005C7810">
        <w:rPr>
          <w:rFonts w:ascii="Book Antiqua" w:eastAsia="Times New Roman" w:hAnsi="Book Antiqua" w:cs="Times New Roman"/>
          <w:sz w:val="24"/>
          <w:szCs w:val="24"/>
          <w:lang w:val="en-US"/>
        </w:rPr>
        <w:fldChar w:fldCharType="end"/>
      </w:r>
      <w:r w:rsidR="00B8125B" w:rsidRPr="005C7810">
        <w:rPr>
          <w:rFonts w:ascii="Book Antiqua" w:eastAsia="Times New Roman" w:hAnsi="Book Antiqua" w:cs="Times New Roman"/>
          <w:sz w:val="24"/>
          <w:szCs w:val="24"/>
          <w:lang w:val="en-US"/>
        </w:rPr>
        <w:t xml:space="preserve">. </w:t>
      </w:r>
      <w:r w:rsidRPr="005C7810">
        <w:rPr>
          <w:rFonts w:ascii="Book Antiqua" w:eastAsia="Times New Roman" w:hAnsi="Book Antiqua" w:cs="Times New Roman"/>
          <w:sz w:val="24"/>
          <w:szCs w:val="24"/>
          <w:lang w:val="en-US"/>
        </w:rPr>
        <w:t>In addition</w:t>
      </w:r>
      <w:r w:rsidR="00B8125B" w:rsidRPr="005C7810">
        <w:rPr>
          <w:rFonts w:ascii="Book Antiqua" w:eastAsia="Times New Roman" w:hAnsi="Book Antiqua" w:cs="Times New Roman"/>
          <w:sz w:val="24"/>
          <w:szCs w:val="24"/>
          <w:lang w:val="en-US"/>
        </w:rPr>
        <w:t xml:space="preserve">, overexpression of </w:t>
      </w:r>
      <w:r w:rsidR="00B822E3" w:rsidRPr="005C7810">
        <w:rPr>
          <w:rFonts w:ascii="Book Antiqua" w:eastAsia="Times New Roman" w:hAnsi="Book Antiqua" w:cs="Times New Roman"/>
          <w:sz w:val="24"/>
          <w:szCs w:val="24"/>
          <w:lang w:val="en-US"/>
        </w:rPr>
        <w:t>matrix metallopeptidase 9 (</w:t>
      </w:r>
      <w:r w:rsidR="00B8125B" w:rsidRPr="005C7810">
        <w:rPr>
          <w:rFonts w:ascii="Book Antiqua" w:eastAsia="Times New Roman" w:hAnsi="Book Antiqua" w:cs="Times New Roman"/>
          <w:sz w:val="24"/>
          <w:szCs w:val="24"/>
          <w:lang w:val="en-US"/>
        </w:rPr>
        <w:t>MMP9</w:t>
      </w:r>
      <w:r w:rsidR="00B822E3" w:rsidRPr="005C7810">
        <w:rPr>
          <w:rFonts w:ascii="Book Antiqua" w:eastAsia="Times New Roman" w:hAnsi="Book Antiqua" w:cs="Times New Roman"/>
          <w:i/>
          <w:sz w:val="24"/>
          <w:szCs w:val="24"/>
          <w:lang w:val="en-US"/>
        </w:rPr>
        <w:t>)</w:t>
      </w:r>
      <w:r w:rsidR="00B8125B" w:rsidRPr="005C7810">
        <w:rPr>
          <w:rFonts w:ascii="Book Antiqua" w:eastAsia="Times New Roman" w:hAnsi="Book Antiqua" w:cs="Times New Roman"/>
          <w:i/>
          <w:sz w:val="24"/>
          <w:szCs w:val="24"/>
          <w:lang w:val="en-US"/>
        </w:rPr>
        <w:t xml:space="preserve"> </w:t>
      </w:r>
      <w:r w:rsidR="00B8125B" w:rsidRPr="005C7810">
        <w:rPr>
          <w:rFonts w:ascii="Book Antiqua" w:hAnsi="Book Antiqua" w:cs="Times New Roman"/>
          <w:sz w:val="24"/>
          <w:szCs w:val="24"/>
          <w:lang w:val="en-US"/>
        </w:rPr>
        <w:t xml:space="preserve">is a </w:t>
      </w:r>
      <w:r w:rsidR="00B8125B" w:rsidRPr="005C7810">
        <w:rPr>
          <w:rStyle w:val="highlight"/>
          <w:rFonts w:ascii="Book Antiqua" w:hAnsi="Book Antiqua" w:cs="Times New Roman"/>
          <w:sz w:val="24"/>
          <w:szCs w:val="24"/>
          <w:lang w:val="en-US"/>
        </w:rPr>
        <w:t>poor</w:t>
      </w:r>
      <w:r w:rsidR="00B8125B" w:rsidRPr="005C7810">
        <w:rPr>
          <w:rFonts w:ascii="Book Antiqua" w:hAnsi="Book Antiqua" w:cs="Times New Roman"/>
          <w:sz w:val="24"/>
          <w:szCs w:val="24"/>
          <w:lang w:val="en-US"/>
        </w:rPr>
        <w:t xml:space="preserve"> prognostic factor in patients with </w:t>
      </w:r>
      <w:r w:rsidRPr="005C7810">
        <w:rPr>
          <w:rStyle w:val="highlight"/>
          <w:rFonts w:ascii="Book Antiqua" w:hAnsi="Book Antiqua" w:cs="Times New Roman"/>
          <w:sz w:val="24"/>
          <w:szCs w:val="24"/>
          <w:lang w:val="en-US"/>
        </w:rPr>
        <w:t>GC</w:t>
      </w:r>
      <w:r w:rsidR="00996109" w:rsidRPr="005C7810">
        <w:rPr>
          <w:rStyle w:val="highlight"/>
          <w:rFonts w:ascii="Book Antiqua" w:hAnsi="Book Antiqua" w:cs="Times New Roman"/>
          <w:sz w:val="24"/>
          <w:szCs w:val="24"/>
          <w:lang w:val="en-US"/>
        </w:rPr>
        <w:fldChar w:fldCharType="begin" w:fldLock="1"/>
      </w:r>
      <w:r w:rsidR="00CD6F75" w:rsidRPr="005C7810">
        <w:rPr>
          <w:rStyle w:val="highlight"/>
          <w:rFonts w:ascii="Book Antiqua" w:hAnsi="Book Antiqua" w:cs="Times New Roman"/>
          <w:sz w:val="24"/>
          <w:szCs w:val="24"/>
          <w:lang w:val="en-US"/>
        </w:rPr>
        <w:instrText>ADDIN CSL_CITATION {"citationItems":[{"id":"ITEM-1","itemData":{"author":[{"dropping-particle":"","family":"Chen J, Chen LJ, Zhou HC, Yang RB, Lu Y, Xia YL, Wu W","given":"Hu LW","non-dropping-particle":"","parse-names":false,"suffix":""}],"container-title":"Hepatogastroenterology","id":"ITEM-1","issued":{"date-parts":[["2014"]]},"page":"518-524","title":"Prognostic value of matrix metalloproteinase-9 in gastric cancer: a meta-analysis.","type":"article-journal","volume":"61"},"uris":["http://www.mendeley.com/documents/?uuid=d7faafc1-6fdf-4e15-a70a-14c09133e589","http://www.mendeley.com/documents/?uuid=268601ac-2ed6-4115-929f-d6c9de9c1bf0"]}],"mendeley":{"formattedCitation":"&lt;sup&gt;[86]&lt;/sup&gt;","plainTextFormattedCitation":"[86]","previouslyFormattedCitation":"&lt;sup&gt;[86]&lt;/sup&gt;"},"properties":{"noteIndex":0},"schema":"https://github.com/citation-style-language/schema/raw/master/csl-citation.json"}</w:instrText>
      </w:r>
      <w:r w:rsidR="00996109" w:rsidRPr="005C7810">
        <w:rPr>
          <w:rStyle w:val="highlight"/>
          <w:rFonts w:ascii="Book Antiqua" w:hAnsi="Book Antiqua" w:cs="Times New Roman"/>
          <w:sz w:val="24"/>
          <w:szCs w:val="24"/>
          <w:lang w:val="en-US"/>
        </w:rPr>
        <w:fldChar w:fldCharType="separate"/>
      </w:r>
      <w:r w:rsidR="00181983" w:rsidRPr="005C7810">
        <w:rPr>
          <w:rStyle w:val="highlight"/>
          <w:rFonts w:ascii="Book Antiqua" w:hAnsi="Book Antiqua" w:cs="Times New Roman"/>
          <w:sz w:val="24"/>
          <w:szCs w:val="24"/>
          <w:vertAlign w:val="superscript"/>
          <w:lang w:val="en-US"/>
        </w:rPr>
        <w:t>[86]</w:t>
      </w:r>
      <w:r w:rsidR="00996109" w:rsidRPr="005C7810">
        <w:rPr>
          <w:rStyle w:val="highlight"/>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w:t>
      </w:r>
    </w:p>
    <w:p w:rsidR="00B8125B" w:rsidRPr="005C7810" w:rsidRDefault="00EE07CA" w:rsidP="00CD380F">
      <w:pPr>
        <w:shd w:val="clear" w:color="auto" w:fill="FFFFFF"/>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b/>
          <w:sz w:val="24"/>
          <w:szCs w:val="24"/>
          <w:lang w:val="en-US"/>
        </w:rPr>
        <w:tab/>
      </w:r>
      <w:r w:rsidR="00B8125B" w:rsidRPr="005C7810">
        <w:rPr>
          <w:rFonts w:ascii="Book Antiqua" w:hAnsi="Book Antiqua" w:cs="Times New Roman"/>
          <w:sz w:val="24"/>
          <w:szCs w:val="24"/>
          <w:lang w:val="en-US"/>
        </w:rPr>
        <w:t xml:space="preserve">Fibrinogen C </w:t>
      </w:r>
      <w:r w:rsidR="005D0477" w:rsidRPr="005C7810">
        <w:rPr>
          <w:rFonts w:ascii="Book Antiqua" w:hAnsi="Book Antiqua" w:cs="Times New Roman"/>
          <w:sz w:val="24"/>
          <w:szCs w:val="24"/>
          <w:lang w:val="en-US"/>
        </w:rPr>
        <w:t>d</w:t>
      </w:r>
      <w:r w:rsidR="00B8125B" w:rsidRPr="005C7810">
        <w:rPr>
          <w:rFonts w:ascii="Book Antiqua" w:hAnsi="Book Antiqua" w:cs="Times New Roman"/>
          <w:sz w:val="24"/>
          <w:szCs w:val="24"/>
          <w:lang w:val="en-US"/>
        </w:rPr>
        <w:t xml:space="preserve">omain </w:t>
      </w:r>
      <w:r w:rsidR="005D0477" w:rsidRPr="005C7810">
        <w:rPr>
          <w:rFonts w:ascii="Book Antiqua" w:hAnsi="Book Antiqua" w:cs="Times New Roman"/>
          <w:sz w:val="24"/>
          <w:szCs w:val="24"/>
          <w:lang w:val="en-US"/>
        </w:rPr>
        <w:t>c</w:t>
      </w:r>
      <w:r w:rsidR="00B8125B" w:rsidRPr="005C7810">
        <w:rPr>
          <w:rFonts w:ascii="Book Antiqua" w:hAnsi="Book Antiqua" w:cs="Times New Roman"/>
          <w:sz w:val="24"/>
          <w:szCs w:val="24"/>
          <w:lang w:val="en-US"/>
        </w:rPr>
        <w:t>ontaining 1</w:t>
      </w:r>
      <w:r w:rsidR="005D0477" w:rsidRPr="005C7810">
        <w:rPr>
          <w:rFonts w:ascii="Book Antiqua" w:hAnsi="Book Antiqua" w:cs="Times New Roman"/>
          <w:sz w:val="24"/>
          <w:szCs w:val="24"/>
          <w:lang w:val="en-US"/>
        </w:rPr>
        <w:t xml:space="preserve"> (FIBCD1</w:t>
      </w:r>
      <w:r w:rsidR="00B8125B" w:rsidRPr="005C7810">
        <w:rPr>
          <w:rFonts w:ascii="Book Antiqua" w:hAnsi="Book Antiqua" w:cs="Times New Roman"/>
          <w:sz w:val="24"/>
          <w:szCs w:val="24"/>
          <w:lang w:val="en-US"/>
        </w:rPr>
        <w:t>) is an acetyl group-binding receptor</w:t>
      </w:r>
      <w:r w:rsidR="005D0477"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which shows high</w:t>
      </w:r>
      <w:r w:rsidR="005D0477" w:rsidRPr="005C7810">
        <w:rPr>
          <w:rFonts w:ascii="Book Antiqua" w:hAnsi="Book Antiqua" w:cs="Times New Roman"/>
          <w:sz w:val="24"/>
          <w:szCs w:val="24"/>
          <w:lang w:val="en-US"/>
        </w:rPr>
        <w:t xml:space="preserve"> </w:t>
      </w:r>
      <w:r w:rsidR="00B8125B" w:rsidRPr="005C7810">
        <w:rPr>
          <w:rFonts w:ascii="Book Antiqua" w:hAnsi="Book Antiqua" w:cs="Times New Roman"/>
          <w:sz w:val="24"/>
          <w:szCs w:val="24"/>
          <w:lang w:val="en-US"/>
        </w:rPr>
        <w:t xml:space="preserve">affinity and calcium-dependent binding to acetylated structures such as chitin, some N-acetylated carbohydrates, and amino acids but not to their non-acetylated counterparts. The expression of </w:t>
      </w:r>
      <w:r w:rsidR="00B8125B" w:rsidRPr="005C7810">
        <w:rPr>
          <w:rFonts w:ascii="Book Antiqua" w:hAnsi="Book Antiqua" w:cs="Times New Roman"/>
          <w:i/>
          <w:sz w:val="24"/>
          <w:szCs w:val="24"/>
          <w:lang w:val="en-US"/>
        </w:rPr>
        <w:t>FIBCD1</w:t>
      </w:r>
      <w:r w:rsidR="00B8125B" w:rsidRPr="005C7810">
        <w:rPr>
          <w:rFonts w:ascii="Book Antiqua" w:hAnsi="Book Antiqua" w:cs="Times New Roman"/>
          <w:sz w:val="24"/>
          <w:szCs w:val="24"/>
          <w:lang w:val="en-US"/>
        </w:rPr>
        <w:t xml:space="preserve"> is significantly increased in </w:t>
      </w:r>
      <w:r w:rsidR="00E63F71" w:rsidRPr="005C7810">
        <w:rPr>
          <w:rFonts w:ascii="Book Antiqua" w:hAnsi="Book Antiqua" w:cs="Times New Roman"/>
          <w:sz w:val="24"/>
          <w:szCs w:val="24"/>
          <w:lang w:val="en-US"/>
        </w:rPr>
        <w:t>GC</w:t>
      </w:r>
      <w:r w:rsidR="00B8125B" w:rsidRPr="005C7810">
        <w:rPr>
          <w:rFonts w:ascii="Book Antiqua" w:hAnsi="Book Antiqua" w:cs="Times New Roman"/>
          <w:sz w:val="24"/>
          <w:szCs w:val="24"/>
          <w:lang w:val="en-US"/>
        </w:rPr>
        <w:t xml:space="preserve"> tissues compared with normal tissues, and </w:t>
      </w:r>
      <w:r w:rsidR="00F7787B" w:rsidRPr="005C7810">
        <w:rPr>
          <w:rFonts w:ascii="Book Antiqua" w:hAnsi="Book Antiqua" w:cs="Times New Roman"/>
          <w:sz w:val="24"/>
          <w:szCs w:val="24"/>
          <w:lang w:val="en-US"/>
        </w:rPr>
        <w:t xml:space="preserve">its </w:t>
      </w:r>
      <w:r w:rsidR="00B8125B" w:rsidRPr="005C7810">
        <w:rPr>
          <w:rFonts w:ascii="Book Antiqua" w:hAnsi="Book Antiqua" w:cs="Times New Roman"/>
          <w:sz w:val="24"/>
          <w:szCs w:val="24"/>
          <w:lang w:val="en-US"/>
        </w:rPr>
        <w:t xml:space="preserve">overexpression is related to </w:t>
      </w:r>
      <w:r w:rsidR="00F7787B" w:rsidRPr="005C7810">
        <w:rPr>
          <w:rFonts w:ascii="Book Antiqua" w:hAnsi="Book Antiqua" w:cs="Times New Roman"/>
          <w:sz w:val="24"/>
          <w:szCs w:val="24"/>
          <w:lang w:val="en-US"/>
        </w:rPr>
        <w:t xml:space="preserve">a </w:t>
      </w:r>
      <w:r w:rsidR="00B8125B" w:rsidRPr="005C7810">
        <w:rPr>
          <w:rFonts w:ascii="Book Antiqua" w:hAnsi="Book Antiqua" w:cs="Times New Roman"/>
          <w:sz w:val="24"/>
          <w:szCs w:val="24"/>
          <w:lang w:val="en-US"/>
        </w:rPr>
        <w:t>poor prognosis</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{"citationItems":[{"id":"ITEM-1","itemData":{"author":[{"dropping-particle":"","family":"Jiang C, Zhu J, Zhou P, Zhu H, Wang W, Jin Q","given":"Li P","non-dropping-particle":"","parse-names":false,"suffix":""}],"container-title":"Am J Clin Pathol","id":"ITEM-1","issued":{"date-parts":[["2018"]]},"page":"474-483","title":"Overexpression of FIBCD1 Is Predictive of Poor Prognosis in Gastric Cancer.","type":"article-journal","volume":"149"},"uris":["http://www.mendeley.com/documents/?uuid=22308299-49f5-4aff-a4dc-1c488c08f23c","http://www.mendeley.com/documents/?uuid=c75e3b5b-12df-4ec5-83f2-945282f98b42"]}],"mendeley":{"formattedCitation":"&lt;sup&gt;[87]&lt;/sup&gt;","plainTextFormattedCitation":"[87]","previouslyFormattedCitation":"&lt;sup&gt;[87]&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1983" w:rsidRPr="005C7810">
        <w:rPr>
          <w:rFonts w:ascii="Book Antiqua" w:hAnsi="Book Antiqua" w:cs="Times New Roman"/>
          <w:sz w:val="24"/>
          <w:szCs w:val="24"/>
          <w:vertAlign w:val="superscript"/>
          <w:lang w:val="en-US"/>
        </w:rPr>
        <w:t>[87]</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FIBCD1 may be a novel prognostic marker in gastric </w:t>
      </w:r>
      <w:r w:rsidR="00F7787B" w:rsidRPr="005C7810">
        <w:rPr>
          <w:rFonts w:ascii="Book Antiqua" w:hAnsi="Book Antiqua" w:cs="Times New Roman"/>
          <w:sz w:val="24"/>
          <w:szCs w:val="24"/>
          <w:lang w:val="en-US"/>
        </w:rPr>
        <w:t>GC</w:t>
      </w:r>
      <w:r w:rsidR="00B8125B" w:rsidRPr="005C7810">
        <w:rPr>
          <w:rFonts w:ascii="Book Antiqua" w:hAnsi="Book Antiqua" w:cs="Times New Roman"/>
          <w:sz w:val="24"/>
          <w:szCs w:val="24"/>
          <w:lang w:val="en-US"/>
        </w:rPr>
        <w:t xml:space="preserve">; however, </w:t>
      </w:r>
      <w:r w:rsidR="00F7787B" w:rsidRPr="005C7810">
        <w:rPr>
          <w:rFonts w:ascii="Book Antiqua" w:hAnsi="Book Antiqua" w:cs="Times New Roman"/>
          <w:sz w:val="24"/>
          <w:szCs w:val="24"/>
          <w:lang w:val="en-US"/>
        </w:rPr>
        <w:t>the</w:t>
      </w:r>
      <w:r w:rsidR="00B8125B" w:rsidRPr="005C7810">
        <w:rPr>
          <w:rFonts w:ascii="Book Antiqua" w:hAnsi="Book Antiqua" w:cs="Times New Roman"/>
          <w:sz w:val="24"/>
          <w:szCs w:val="24"/>
          <w:lang w:val="en-US"/>
        </w:rPr>
        <w:t xml:space="preserve"> mechanisms </w:t>
      </w:r>
      <w:r w:rsidR="00F7787B" w:rsidRPr="005C7810">
        <w:rPr>
          <w:rFonts w:ascii="Book Antiqua" w:hAnsi="Book Antiqua" w:cs="Times New Roman"/>
          <w:sz w:val="24"/>
          <w:szCs w:val="24"/>
          <w:lang w:val="en-US"/>
        </w:rPr>
        <w:t>underlying its</w:t>
      </w:r>
      <w:r w:rsidR="00B8125B" w:rsidRPr="005C7810">
        <w:rPr>
          <w:rFonts w:ascii="Book Antiqua" w:hAnsi="Book Antiqua" w:cs="Times New Roman"/>
          <w:sz w:val="24"/>
          <w:szCs w:val="24"/>
          <w:lang w:val="en-US"/>
        </w:rPr>
        <w:t xml:space="preserve"> function require further stud</w:t>
      </w:r>
      <w:r w:rsidR="00F7787B" w:rsidRPr="005C7810">
        <w:rPr>
          <w:rFonts w:ascii="Book Antiqua" w:hAnsi="Book Antiqua" w:cs="Times New Roman"/>
          <w:sz w:val="24"/>
          <w:szCs w:val="24"/>
          <w:lang w:val="en-US"/>
        </w:rPr>
        <w:t>ies</w:t>
      </w:r>
      <w:r w:rsidR="00B8125B" w:rsidRPr="005C7810">
        <w:rPr>
          <w:rFonts w:ascii="Book Antiqua" w:hAnsi="Book Antiqua" w:cs="Times New Roman"/>
          <w:sz w:val="24"/>
          <w:szCs w:val="24"/>
          <w:lang w:val="en-US"/>
        </w:rPr>
        <w:t>.</w:t>
      </w:r>
    </w:p>
    <w:p w:rsidR="00B8125B" w:rsidRPr="005C7810" w:rsidRDefault="00EE07CA"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ab/>
      </w:r>
      <w:r w:rsidR="00B8125B" w:rsidRPr="005C7810">
        <w:rPr>
          <w:rFonts w:ascii="Book Antiqua" w:hAnsi="Book Antiqua" w:cs="Times New Roman"/>
          <w:sz w:val="24"/>
          <w:szCs w:val="24"/>
          <w:lang w:val="en-US"/>
        </w:rPr>
        <w:t>PD</w:t>
      </w:r>
      <w:r w:rsidR="007A4212"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1 and PD</w:t>
      </w:r>
      <w:r w:rsidR="007A4212"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2 are the immun</w:t>
      </w:r>
      <w:r w:rsidR="004A6501" w:rsidRPr="005C7810">
        <w:rPr>
          <w:rFonts w:ascii="Book Antiqua" w:hAnsi="Book Antiqua" w:cs="Times New Roman"/>
          <w:sz w:val="24"/>
          <w:szCs w:val="24"/>
          <w:lang w:val="en-US"/>
        </w:rPr>
        <w:t>e</w:t>
      </w:r>
      <w:r w:rsidR="00B8125B" w:rsidRPr="005C7810">
        <w:rPr>
          <w:rFonts w:ascii="Book Antiqua" w:hAnsi="Book Antiqua" w:cs="Times New Roman"/>
          <w:sz w:val="24"/>
          <w:szCs w:val="24"/>
          <w:lang w:val="en-US"/>
        </w:rPr>
        <w:t xml:space="preserve"> checkpoint receptors expressed on T and B lymphocytes, natural killer T cells</w:t>
      </w:r>
      <w:r w:rsidR="008B01C3"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monocytes</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{"citationItems":[{"id":"ITEM-1","itemData":{"DOI":"10.1038/ni1443","ISBN":"1529-2908 (Print)","ISSN":"15292908","PMID":"17304234","abstract":"The programmed cell death 1 (PD-1) surface receptor binds to two ligands, PD-L1 and PD-L2. Studies have shown that PD-1-PD-L interactions control the induction and maintenance of peripheral T cell tolerance and indicate a previously unknown function for PD-L1 on nonhematopoietic cells in protecting tissues from autoimmune attack. PD-1 and its ligands have also been exploited by a variety of microorganisms to attenuate antimicrobial immunity and facilitate chronic infection. Here we examine the functions of PD-1 and its ligands in regulating antimicrobial and self-reactive T cell responses and discuss the therapeutic potential of manipulating this pathway.","author":[{"dropping-particle":"","family":"Sharpe","given":"Arlene H.","non-dropping-particle":"","parse-names":false,"suffix":""},{"dropping-particle":"","family":"Wherry","given":"E. John","non-dropping-particle":"","parse-names":false,"suffix":""},{"dropping-particle":"","family":"Ahmed","given":"Rafi","non-dropping-particle":"","parse-names":false,"suffix":""},{"dropping-particle":"","family":"Freeman","given":"Gordon J.","non-dropping-particle":"","parse-names":false,"suffix":""}],"container-title":"Nature Immunology","id":"ITEM-1","issue":"3","issued":{"date-parts":[["2007"]]},"page":"239-245","title":"The function of programmed cell death 1 and its ligands in regulating autoimmunity and infection","type":"article-journal","volume":"8"},"uris":["http://www.mendeley.com/documents/?uuid=78af483d-c2fc-4b2a-9d2a-0cc79399acc1","http://www.mendeley.com/documents/?uuid=a6bb3abb-0d72-472e-a0c2-973a3409331c"]}],"mendeley":{"formattedCitation":"&lt;sup&gt;[88]&lt;/sup&gt;","plainTextFormattedCitation":"[88]","previouslyFormattedCitation":"&lt;sup&gt;[88]&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1983" w:rsidRPr="005C7810">
        <w:rPr>
          <w:rFonts w:ascii="Book Antiqua" w:hAnsi="Book Antiqua" w:cs="Times New Roman"/>
          <w:sz w:val="24"/>
          <w:szCs w:val="24"/>
          <w:vertAlign w:val="superscript"/>
          <w:lang w:val="en-US"/>
        </w:rPr>
        <w:t>[88]</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After binding with PD</w:t>
      </w:r>
      <w:r w:rsidR="008B01C3"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L1 and PD</w:t>
      </w:r>
      <w:r w:rsidR="008B01C3"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L2 on activated T cells, they downregulate the activity of cytotoxic T cells and thus induce immunotolerance to the tumor. In 15</w:t>
      </w:r>
      <w:r w:rsidR="000C5160" w:rsidRPr="005C7810">
        <w:rPr>
          <w:rFonts w:ascii="Book Antiqua" w:hAnsi="Book Antiqua" w:cs="Times New Roman"/>
          <w:sz w:val="24"/>
          <w:szCs w:val="24"/>
          <w:lang w:val="en-US"/>
        </w:rPr>
        <w:t>%</w:t>
      </w:r>
      <w:r w:rsidR="008B01C3"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70% of patients with GC, PD</w:t>
      </w:r>
      <w:r w:rsidR="008B01C3"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L1 expression </w:t>
      </w:r>
      <w:r w:rsidR="008B01C3" w:rsidRPr="005C7810">
        <w:rPr>
          <w:rFonts w:ascii="Book Antiqua" w:hAnsi="Book Antiqua" w:cs="Times New Roman"/>
          <w:sz w:val="24"/>
          <w:szCs w:val="24"/>
          <w:lang w:val="en-US"/>
        </w:rPr>
        <w:t>has been</w:t>
      </w:r>
      <w:r w:rsidR="00B8125B" w:rsidRPr="005C7810">
        <w:rPr>
          <w:rFonts w:ascii="Book Antiqua" w:hAnsi="Book Antiqua" w:cs="Times New Roman"/>
          <w:sz w:val="24"/>
          <w:szCs w:val="24"/>
          <w:lang w:val="en-US"/>
        </w:rPr>
        <w:t xml:space="preserve"> observed and this expression correlate</w:t>
      </w:r>
      <w:r w:rsidR="008B01C3" w:rsidRPr="005C7810">
        <w:rPr>
          <w:rFonts w:ascii="Book Antiqua" w:hAnsi="Book Antiqua" w:cs="Times New Roman"/>
          <w:sz w:val="24"/>
          <w:szCs w:val="24"/>
          <w:lang w:val="en-US"/>
        </w:rPr>
        <w:t>s</w:t>
      </w:r>
      <w:r w:rsidR="00B8125B" w:rsidRPr="005C7810">
        <w:rPr>
          <w:rFonts w:ascii="Book Antiqua" w:hAnsi="Book Antiqua" w:cs="Times New Roman"/>
          <w:sz w:val="24"/>
          <w:szCs w:val="24"/>
          <w:lang w:val="en-US"/>
        </w:rPr>
        <w:t xml:space="preserve"> with poor outcome</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{"citationItems":[{"id":"ITEM-1","itemData":{"DOI":"10.1371/journal.pone.0182692","ISBN":"1111111111","ISSN":"19326203","PMID":"28796808","abstract":"The expression of Programmed cell Death Ligand 1 (PD-L1) is observed in many malignant tumors and is associated with poor prognosis including Gastric Cancer (GC). The relationship between PD-L1 expression and prognosis, however, is controversial in GC. This paper purports to use a meta-analysis to investigate the relationship between PD-L1 expression and prognosis in GC. For this study, the following databases were searched for articles published from June 2003 until February 2017: PubMed, EBSCO, Web of Science and Cochrane Library. The baseline information extracted were: authors, year of publication, country where the study was performed, study design, sample size, follow-up time, baseline characteristics of the study population, pathologic data, overall survival (OS). A total of 15 eligible studies covering 3291 patients were selected for a meta-analysis based on specified inclusion and exclusion criteria. The analysis showed that the expression level of PD-L1 was associated with the overall survival in GC (Hazard Ratio, HR = 1.46, 95%CI = 1.08-1.98, P = 0.01, random-effect). In addition to the above, subgroup analysis showed that GC patients with deeper tumor infiltration, positive lymph-node metastasis, positive venous invasion, Epstein-Barr virus infection positive (EBV+), Microsatellite Instability (MSI) are more likely to expression PD-L1. The results of this meta-analysis suggest that GC patients, specifically EBV+ and MSI, may be prime candidates for PD-1 directed therapy. These findings support anti-PD-L1/PD-1 antibodies as a kind of immunotherapy which is promising for GC.","author":[{"dropping-particle":"","family":"Gu","given":"Lihu","non-dropping-particle":"","parse-names":false,"suffix":""},{"dropping-particle":"","family":"Chen","given":"Manman","non-dropping-particle":"","parse-names":false,"suffix":""},{"dropping-particle":"","family":"Guo","given":"Dongyu","non-dropping-particle":"","parse-names":false,"suffix":""},{"dropping-particle":"","family":"Zhu","given":"Hepan","non-dropping-particle":"","parse-names":false,"suffix":""},{"dropping-particle":"","family":"Zhang","given":"Wenchao","non-dropping-particle":"","parse-names":false,"suffix":""},{"dropping-particle":"","family":"Pan","given":"Junhai","non-dropping-particle":"","parse-names":false,"suffix":""},{"dropping-particle":"","family":"Zhong","given":"Xin","non-dropping-particle":"","parse-names":false,"suffix":""},{"dropping-particle":"","family":"Li","given":"Xinlong","non-dropping-particle":"","parse-names":false,"suffix":""},{"dropping-particle":"","family":"Qian","given":"Haoran","non-dropping-particle":"","parse-names":false,"suffix":""},{"dropping-particle":"","family":"Wang","given":"Xianfa","non-dropping-particle":"","parse-names":false,"suffix":""}],"container-title":"PLoS ONE","id":"ITEM-1","issue":"8","issued":{"date-parts":[["2017"]]},"page":"1-14","title":"PD-L1 and gastric cancer prognosis: A systematic review and meta-analysis","type":"article-journal","volume":"12"},"uris":["http://www.mendeley.com/documents/?uuid=a3cc3c56-49ef-4f53-b7b0-3e3aa9df8a6a","http://www.mendeley.com/documents/?uuid=9defa337-c48a-4d8e-9725-f9e67cd1e837"]}],"mendeley":{"formattedCitation":"&lt;sup&gt;[89]&lt;/sup&gt;","plainTextFormattedCitation":"[89]","previouslyFormattedCitation":"&lt;sup&gt;[89]&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1983" w:rsidRPr="005C7810">
        <w:rPr>
          <w:rFonts w:ascii="Book Antiqua" w:hAnsi="Book Antiqua" w:cs="Times New Roman"/>
          <w:sz w:val="24"/>
          <w:szCs w:val="24"/>
          <w:vertAlign w:val="superscript"/>
          <w:lang w:val="en-US"/>
        </w:rPr>
        <w:t>[89]</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w:t>
      </w:r>
      <w:r w:rsidR="008B01C3" w:rsidRPr="005C7810">
        <w:rPr>
          <w:rFonts w:ascii="Book Antiqua" w:hAnsi="Book Antiqua" w:cs="Times New Roman"/>
          <w:sz w:val="24"/>
          <w:szCs w:val="24"/>
          <w:lang w:val="en-US"/>
        </w:rPr>
        <w:t>U</w:t>
      </w:r>
      <w:r w:rsidR="00B8125B" w:rsidRPr="005C7810">
        <w:rPr>
          <w:rFonts w:ascii="Book Antiqua" w:hAnsi="Book Antiqua" w:cs="Times New Roman"/>
          <w:sz w:val="24"/>
          <w:szCs w:val="24"/>
          <w:lang w:val="en-US"/>
        </w:rPr>
        <w:t xml:space="preserve">pregulation of </w:t>
      </w:r>
      <w:r w:rsidR="00B8125B" w:rsidRPr="005C7810">
        <w:rPr>
          <w:rFonts w:ascii="Book Antiqua" w:hAnsi="Book Antiqua" w:cs="Times New Roman"/>
          <w:i/>
          <w:sz w:val="24"/>
          <w:szCs w:val="24"/>
          <w:lang w:val="en-US"/>
        </w:rPr>
        <w:t>PD</w:t>
      </w:r>
      <w:r w:rsidR="008B01C3" w:rsidRPr="005C7810">
        <w:rPr>
          <w:rFonts w:ascii="Book Antiqua" w:hAnsi="Book Antiqua" w:cs="Times New Roman"/>
          <w:i/>
          <w:sz w:val="24"/>
          <w:szCs w:val="24"/>
          <w:lang w:val="en-US"/>
        </w:rPr>
        <w:t>-</w:t>
      </w:r>
      <w:r w:rsidR="00B8125B" w:rsidRPr="005C7810">
        <w:rPr>
          <w:rFonts w:ascii="Book Antiqua" w:hAnsi="Book Antiqua" w:cs="Times New Roman"/>
          <w:i/>
          <w:sz w:val="24"/>
          <w:szCs w:val="24"/>
          <w:lang w:val="en-US"/>
        </w:rPr>
        <w:t>L1</w:t>
      </w:r>
      <w:r w:rsidR="00B8125B" w:rsidRPr="005C7810">
        <w:rPr>
          <w:rFonts w:ascii="Book Antiqua" w:hAnsi="Book Antiqua" w:cs="Times New Roman"/>
          <w:sz w:val="24"/>
          <w:szCs w:val="24"/>
          <w:lang w:val="en-US"/>
        </w:rPr>
        <w:t>/</w:t>
      </w:r>
      <w:r w:rsidR="00B8125B" w:rsidRPr="005C7810">
        <w:rPr>
          <w:rFonts w:ascii="Book Antiqua" w:hAnsi="Book Antiqua" w:cs="Times New Roman"/>
          <w:i/>
          <w:sz w:val="24"/>
          <w:szCs w:val="24"/>
          <w:lang w:val="en-US"/>
        </w:rPr>
        <w:t>PD</w:t>
      </w:r>
      <w:r w:rsidR="008B01C3" w:rsidRPr="005C7810">
        <w:rPr>
          <w:rFonts w:ascii="Book Antiqua" w:hAnsi="Book Antiqua" w:cs="Times New Roman"/>
          <w:i/>
          <w:sz w:val="24"/>
          <w:szCs w:val="24"/>
          <w:lang w:val="en-US"/>
        </w:rPr>
        <w:t>-</w:t>
      </w:r>
      <w:r w:rsidR="00B8125B" w:rsidRPr="005C7810">
        <w:rPr>
          <w:rFonts w:ascii="Book Antiqua" w:hAnsi="Book Antiqua" w:cs="Times New Roman"/>
          <w:i/>
          <w:sz w:val="24"/>
          <w:szCs w:val="24"/>
          <w:lang w:val="en-US"/>
        </w:rPr>
        <w:t>L2</w:t>
      </w:r>
      <w:r w:rsidR="00B8125B" w:rsidRPr="005C7810">
        <w:rPr>
          <w:rFonts w:ascii="Book Antiqua" w:hAnsi="Book Antiqua" w:cs="Times New Roman"/>
          <w:sz w:val="24"/>
          <w:szCs w:val="24"/>
          <w:lang w:val="en-US"/>
        </w:rPr>
        <w:t xml:space="preserve"> expression in the EBV</w:t>
      </w:r>
      <w:r w:rsidR="008B01C3"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positive subtype </w:t>
      </w:r>
      <w:r w:rsidR="008B01C3" w:rsidRPr="005C7810">
        <w:rPr>
          <w:rFonts w:ascii="Book Antiqua" w:hAnsi="Book Antiqua" w:cs="Times New Roman"/>
          <w:sz w:val="24"/>
          <w:szCs w:val="24"/>
          <w:lang w:val="en-US"/>
        </w:rPr>
        <w:t xml:space="preserve">has been </w:t>
      </w:r>
      <w:r w:rsidR="00B8125B" w:rsidRPr="005C7810">
        <w:rPr>
          <w:rFonts w:ascii="Book Antiqua" w:hAnsi="Book Antiqua" w:cs="Times New Roman"/>
          <w:sz w:val="24"/>
          <w:szCs w:val="24"/>
          <w:lang w:val="en-US"/>
        </w:rPr>
        <w:t>observed</w:t>
      </w:r>
      <w:r w:rsidR="00996109"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{"citationItems":[{"id":"ITEM-1","itemData":{"DOI":"10.1038/nature13480.Comprehensive","ISBN":"1476-4687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©2014","author":[{"dropping-particle":"","family":"Cancer Genome Atlas Research Network","given":"","non-dropping-particle":"","parse-names":false,"suffix":""},{"dropping-particle":"","family":"Bass","given":"Adam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Michae","given":"David P","non-dropping-particle":"","parse-names":false,"suffix":""},{"dropping-particle":"","family":"Network","given":"Cancer Genome Atlas Research","non-dropping-particle":"","parse-names":false,"suffix":""}],"container-title":"Nature","id":"ITEM-1","issue":"7517","issued":{"date-parts":[["2014"]]},"page":"202-209","title":"Comprehensive molecular characterization of gastric adenocarcinoma","type":"article-journal","volume":"513"},"uris":["http://www.mendeley.com/documents/?uuid=48529cda-a330-4c84-841c-b991b895df6e","http://www.mendeley.com/documents/?uuid=e1ccc661-ce0e-4c30-a67f-a89167ad3e13"]}],"mendeley":{"formattedCitation":"&lt;sup&gt;[29]&lt;/sup&gt;","plainTextFormattedCitation":"[29]","previouslyFormattedCitation":"&lt;sup&gt;[29]&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[29]</w:t>
      </w:r>
      <w:r w:rsidR="00996109"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w:t>
      </w:r>
    </w:p>
    <w:p w:rsidR="00C21CCC" w:rsidRPr="005C7810" w:rsidRDefault="008B01C3" w:rsidP="00CD380F">
      <w:pPr>
        <w:suppressAutoHyphens w:val="0"/>
        <w:autoSpaceDE w:val="0"/>
        <w:autoSpaceDN w:val="0"/>
        <w:adjustRightInd w:val="0"/>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b/>
          <w:sz w:val="24"/>
          <w:szCs w:val="24"/>
          <w:lang w:val="en-US"/>
        </w:rPr>
        <w:tab/>
      </w:r>
      <w:r w:rsidR="00C455AE" w:rsidRPr="005C7810">
        <w:rPr>
          <w:rFonts w:ascii="Book Antiqua" w:hAnsi="Book Antiqua" w:cs="Times New Roman"/>
          <w:sz w:val="24"/>
          <w:szCs w:val="24"/>
          <w:lang w:val="en-US"/>
        </w:rPr>
        <w:t>C</w:t>
      </w:r>
      <w:r w:rsidR="002D7679" w:rsidRPr="005C7810">
        <w:rPr>
          <w:rFonts w:ascii="Book Antiqua" w:hAnsi="Book Antiqua" w:cs="Times New Roman"/>
          <w:sz w:val="24"/>
          <w:szCs w:val="24"/>
          <w:lang w:val="en-US"/>
        </w:rPr>
        <w:t>irculating tumor cells</w:t>
      </w:r>
      <w:r w:rsidR="00C455AE" w:rsidRPr="005C7810">
        <w:rPr>
          <w:rFonts w:ascii="Book Antiqua" w:hAnsi="Book Antiqua" w:cs="Times New Roman"/>
          <w:sz w:val="24"/>
          <w:szCs w:val="24"/>
          <w:lang w:val="en-US"/>
        </w:rPr>
        <w:t xml:space="preserve"> (CTCs)</w:t>
      </w:r>
      <w:r w:rsidR="002D7679" w:rsidRPr="005C7810">
        <w:rPr>
          <w:rFonts w:ascii="Book Antiqua" w:hAnsi="Book Antiqua" w:cs="Times New Roman"/>
          <w:sz w:val="24"/>
          <w:szCs w:val="24"/>
          <w:lang w:val="en-US"/>
        </w:rPr>
        <w:t>, single or in clusters, originat</w:t>
      </w:r>
      <w:r w:rsidR="00C455AE" w:rsidRPr="005C7810">
        <w:rPr>
          <w:rFonts w:ascii="Book Antiqua" w:hAnsi="Book Antiqua" w:cs="Times New Roman"/>
          <w:sz w:val="24"/>
          <w:szCs w:val="24"/>
          <w:lang w:val="en-US"/>
        </w:rPr>
        <w:t>e</w:t>
      </w:r>
      <w:r w:rsidR="002D7679" w:rsidRPr="005C7810">
        <w:rPr>
          <w:rFonts w:ascii="Book Antiqua" w:hAnsi="Book Antiqua" w:cs="Times New Roman"/>
          <w:sz w:val="24"/>
          <w:szCs w:val="24"/>
          <w:lang w:val="en-US"/>
        </w:rPr>
        <w:t xml:space="preserve"> fr</w:t>
      </w:r>
      <w:r w:rsidR="00526380" w:rsidRPr="005C7810">
        <w:rPr>
          <w:rFonts w:ascii="Book Antiqua" w:hAnsi="Book Antiqua" w:cs="Times New Roman"/>
          <w:sz w:val="24"/>
          <w:szCs w:val="24"/>
          <w:lang w:val="en-US"/>
        </w:rPr>
        <w:t>om primary tumor or metastases</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{"citationItems":[{"id":"ITEM-1","itemData":{"DOI":"10.1158/1078-0432.CCR-04-0378","ISBN":"1078-0432 (Print)\\r1078-0432","ISSN":"10780432","PMID":"15501967","abstract":"The purpose of this study was to determine the accuracy, precision, and linearity of the CellSearch system and evaluate the number of circulating tumor cells (CTCs) per 7.5 mL of blood in healthy subjects, patients with nonmalignant diseases, and patients with a variety of metastatic carcinomas.\\r\\nThe CellSearch system was used to enumerate CTCs in 7.5 mL of blood. Blood samples spiked with cells from tumor cell lines were used to establish analytical accuracy, reproducibility, and linearity. Prevalence of CTCs was determined in blood from 199 patients with nonmalignant diseases, 964 patients with metastatic carcinomas, and 145 healthy donors.\\r\\nEnumeration of spiked tumor cells was linear over the range of 5 to 1,142 cells, with an average recovery of ≥85% at each spike level. Only 1 of the 344 (0.3%) healthy and nonmalignant disease subjects had ≥2 CTCs per 7.5 mL of blood. In 2,183 blood samples from 964 metastatic carcinoma patients, CTCs ranged from 0 to 23,618 CTCs per 7.5 mL (mean, 60 ± 693 CTCs per 7.5 mL), and 36% (781 of 2,183) of the specimens had ≥2 CTCs. Detection of ≥2 CTCs occurred at the following rates: 57% (107 of 188) of prostate cancers, 37% (489 of 1,316) of breast cancers, 37% (20 of 53) of ovarian cancers, 30% (99 of 333) of colorectal cancers, 20% (34 of 168) of lung cancers, and 26% (32 of 125) of other cancers.\\r\\nThe CellSearch system can be standardized across multiple laboratories and may be used to determine the clinical utility of CTCs. CTCs are extremely rare in healthy subjects and patients with nonmalignant diseases but present in various metastatic carcinomas with a wide range of frequencies.","author":[{"dropping-particle":"","family":"Allard WJ, Matera J, Miller MC, Repollet M, Connelly MC, Rao C, Tibbe AG, Uhr JW","given":"Terstappen LW","non-dropping-particle":"","parse-names":false,"suffix":""}],"container-title":"Clinical Cancer Research","id":"ITEM-1","issue":"20","issued":{"date-parts":[["2004"]]},"page":"6897-6904","title":"Tumor Cells Circulate in the Peripheral Blood of All Major Carcinomas but not in Healthy Subjects or Patients With Nonmalignant Diseases","type":"article-journal","volume":"10"},"uris":["http://www.mendeley.com/documents/?uuid=535df3a4-30a2-452d-be60-3346e29d5f7f","http://www.mendeley.com/documents/?uuid=db83992d-d2fe-4d78-b1d1-6b5bcbd91a5a"]}],"mendeley":{"formattedCitation":"&lt;sup&gt;[90]&lt;/sup&gt;","plainTextFormattedCitation":"[90]","previouslyFormattedCitation":"&lt;sup&gt;[90]&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1983" w:rsidRPr="005C7810">
        <w:rPr>
          <w:rFonts w:ascii="Book Antiqua" w:hAnsi="Book Antiqua" w:cs="Times New Roman"/>
          <w:sz w:val="24"/>
          <w:szCs w:val="24"/>
          <w:vertAlign w:val="superscript"/>
          <w:lang w:val="en-US"/>
        </w:rPr>
        <w:t>[90]</w:t>
      </w:r>
      <w:r w:rsidR="00996109" w:rsidRPr="005C7810">
        <w:rPr>
          <w:rFonts w:ascii="Book Antiqua" w:hAnsi="Book Antiqua" w:cs="Times New Roman"/>
          <w:sz w:val="24"/>
          <w:szCs w:val="24"/>
          <w:lang w:val="en-US"/>
        </w:rPr>
        <w:fldChar w:fldCharType="end"/>
      </w:r>
      <w:r w:rsidR="00960BEF" w:rsidRPr="005C7810">
        <w:rPr>
          <w:rFonts w:ascii="Book Antiqua" w:hAnsi="Book Antiqua" w:cs="Times New Roman"/>
          <w:sz w:val="24"/>
          <w:szCs w:val="24"/>
          <w:lang w:val="en-US"/>
        </w:rPr>
        <w:t>.</w:t>
      </w:r>
      <w:r w:rsidR="002D7679" w:rsidRPr="005C7810">
        <w:rPr>
          <w:rFonts w:ascii="Book Antiqua" w:hAnsi="Book Antiqua" w:cs="Times New Roman"/>
          <w:sz w:val="24"/>
          <w:szCs w:val="24"/>
          <w:lang w:val="en-US"/>
        </w:rPr>
        <w:t xml:space="preserve"> Clinically, they are related to the progression and metastatic process</w:t>
      </w:r>
      <w:r w:rsidR="00C455AE" w:rsidRPr="005C7810">
        <w:rPr>
          <w:rFonts w:ascii="Book Antiqua" w:hAnsi="Book Antiqua" w:cs="Times New Roman"/>
          <w:sz w:val="24"/>
          <w:szCs w:val="24"/>
          <w:lang w:val="en-US"/>
        </w:rPr>
        <w:t>es,</w:t>
      </w:r>
      <w:r w:rsidR="002D7679" w:rsidRPr="005C7810">
        <w:rPr>
          <w:rFonts w:ascii="Book Antiqua" w:hAnsi="Book Antiqua" w:cs="Times New Roman"/>
          <w:sz w:val="24"/>
          <w:szCs w:val="24"/>
          <w:lang w:val="en-US"/>
        </w:rPr>
        <w:t xml:space="preserve"> and </w:t>
      </w:r>
      <w:r w:rsidR="004A6501" w:rsidRPr="005C7810">
        <w:rPr>
          <w:rFonts w:ascii="Book Antiqua" w:hAnsi="Book Antiqua" w:cs="Times New Roman"/>
          <w:sz w:val="24"/>
          <w:szCs w:val="24"/>
          <w:lang w:val="en-US"/>
        </w:rPr>
        <w:t>therefore</w:t>
      </w:r>
      <w:r w:rsidR="00C455AE" w:rsidRPr="005C7810">
        <w:rPr>
          <w:rFonts w:ascii="Book Antiqua" w:hAnsi="Book Antiqua" w:cs="Times New Roman"/>
          <w:sz w:val="24"/>
          <w:szCs w:val="24"/>
          <w:lang w:val="en-US"/>
        </w:rPr>
        <w:t xml:space="preserve"> can</w:t>
      </w:r>
      <w:r w:rsidR="002D7679" w:rsidRPr="005C7810">
        <w:rPr>
          <w:rFonts w:ascii="Book Antiqua" w:hAnsi="Book Antiqua" w:cs="Times New Roman"/>
          <w:sz w:val="24"/>
          <w:szCs w:val="24"/>
          <w:lang w:val="en-US"/>
        </w:rPr>
        <w:t xml:space="preserve"> be used as surveillance markers. CTCs can identify early stages of metastasis and thus identify patients who may benefit from treatment after primary tumo</w:t>
      </w:r>
      <w:r w:rsidR="00960BEF" w:rsidRPr="005C7810">
        <w:rPr>
          <w:rFonts w:ascii="Book Antiqua" w:hAnsi="Book Antiqua" w:cs="Times New Roman"/>
          <w:sz w:val="24"/>
          <w:szCs w:val="24"/>
          <w:lang w:val="en-US"/>
        </w:rPr>
        <w:t>r surgery</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{"citationItems":[{"id":"ITEM-1","itemData":{"DOI":"10.1038/bjc.1983.248","ISSN":"15321827","PMID":"6639858","abstract":"Quantitative aspects of the behaviour of B16 melanoma and Lewis lung carcinoma cells during the post-intravasation stages of metastasis were examined in relation to their spontaneous metastatic potential. Cancer cells were isolated from the blood of mice bearing i.m. tumours throughout tumour growth using a novel discontinuous gradient centrifugation technique. Four times more Lewis carcinoma cells than B16 melanoma cells were shed into the circulation, although the numbers of cells shed from either tumour were orders of magnitude more than the numbers of spontaneous pulmonary metastases which developed. Greater numbers of Lewis carcinoma cells were also shed as clumps and with leukocytes attached. However, although similar numbers of radiolabelled melanoma and Lewis carcinoma cells were arrested in the lungs after i.v. injection, fewer carcinoma cells were retained there and 12 times fewer Lewis carcinoma nodules developed in the lungs following injection of non-radiolabelled cells. It appears that the low lung colonization potential of the Lewis lung carcinoma is compensated for during spontaneous metastases by the numbers of cells shed from primary tumours as single cells and as clumps.","author":[{"dropping-particle":"","family":"Glaves","given":"D.","non-dropping-particle":"","parse-names":false,"suffix":""}],"container-title":"British Journal of Cancer","id":"ITEM-1","issue":"5","issued":{"date-parts":[["1983"]]},"page":"665-673","title":"Correlation between circulating cancer cells and incidence of metastases","type":"article-journal","volume":"48"},"uris":["http://www.mendeley.com/documents/?uuid=703e7b0a-5799-435e-bdac-08d8efdaff14","http://www.mendeley.com/documents/?uuid=53ada8a3-8b27-46e3-845e-58549953ed19"]},{"id":"ITEM-2","itemData":{"DOI":"10.1158/1078-0432.CCR-04-0378","ISBN":"1078-0432 (Print)\\r1078-0432","ISSN":"10780432","PMID":"15501967","abstract":"The purpose of this study was to determine the accuracy, precision, and linearity of the CellSearch system and evaluate the number of circulating tumor cells (CTCs) per 7.5 mL of blood in healthy subjects, patients with nonmalignant diseases, and patients with a variety of metastatic carcinomas.\\r\\nThe CellSearch system was used to enumerate CTCs in 7.5 mL of blood. Blood samples spiked with cells from tumor cell lines were used to establish analytical accuracy, reproducibility, and linearity. Prevalence of CTCs was determined in blood from 199 patients with nonmalignant diseases, 964 patients with metastatic carcinomas, and 145 healthy donors.\\r\\nEnumeration of spiked tumor cells was linear over the range of 5 to 1,142 cells, with an average recovery of ≥85% at each spike level. Only 1 of the 344 (0.3%) healthy and nonmalignant disease subjects had ≥2 CTCs per 7.5 mL of blood. In 2,183 blood samples from 964 metastatic carcinoma patients, CTCs ranged from 0 to 23,618 CTCs per 7.5 mL (mean, 60 ± 693 CTCs per 7.5 mL), and 36% (781 of 2,183) of the specimens had ≥2 CTCs. Detection of ≥2 CTCs occurred at the following rates: 57% (107 of 188) of prostate cancers, 37% (489 of 1,316) of breast cancers, 37% (20 of 53) of ovarian cancers, 30% (99 of 333) of colorectal cancers, 20% (34 of 168) of lung cancers, and 26% (32 of 125) of other cancers.\\r\\nThe CellSearch system can be standardized across multiple laboratories and may be used to determine the clinical utility of CTCs. CTCs are extremely rare in healthy subjects and patients with nonmalignant diseases but present in various metastatic carcinomas with a wide range of frequencies.","author":[{"dropping-particle":"","family":"Allard WJ, Matera J, Miller MC, Repollet M, Connelly MC, Rao C, Tibbe AG, Uhr JW","given":"Terstappen LW","non-dropping-particle":"","parse-names":false,"suffix":""}],"container-title":"Clinical Cancer Research","id":"ITEM-2","issue":"20","issued":{"date-parts":[["2004"]]},"page":"6897-6904","title":"Tumor Cells Circulate in the Peripheral Blood of All Major Carcinomas but not in Healthy Subjects or Patients With Nonmalignant Diseases","type":"article-journal","volume":"10"},"uris":["http://www.mendeley.com/documents/?uuid=db83992d-d2fe-4d78-b1d1-6b5bcbd91a5a","http://www.mendeley.com/documents/?uuid=535df3a4-30a2-452d-be60-3346e29d5f7f"]}],"mendeley":{"formattedCitation":"&lt;sup&gt;[90,91]&lt;/sup&gt;","manualFormatting":"[78–79]","plainTextFormattedCitation":"[90,91]","previouslyFormattedCitation":"&lt;sup&gt;[90,91]&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E63194" w:rsidRPr="005C7810">
        <w:rPr>
          <w:rFonts w:ascii="Book Antiqua" w:hAnsi="Book Antiqua" w:cs="Times New Roman"/>
          <w:sz w:val="24"/>
          <w:szCs w:val="24"/>
          <w:vertAlign w:val="superscript"/>
          <w:lang w:val="en-US"/>
        </w:rPr>
        <w:t>[90</w:t>
      </w:r>
      <w:r w:rsidR="009131DA" w:rsidRPr="005C7810">
        <w:rPr>
          <w:rFonts w:ascii="Book Antiqua" w:hAnsi="Book Antiqua" w:cs="Times New Roman"/>
          <w:sz w:val="24"/>
          <w:szCs w:val="24"/>
          <w:vertAlign w:val="superscript"/>
          <w:lang w:val="en-US"/>
        </w:rPr>
        <w:t>,</w:t>
      </w:r>
      <w:r w:rsidR="00E63194" w:rsidRPr="005C7810">
        <w:rPr>
          <w:rFonts w:ascii="Book Antiqua" w:hAnsi="Book Antiqua" w:cs="Times New Roman"/>
          <w:sz w:val="24"/>
          <w:szCs w:val="24"/>
          <w:vertAlign w:val="superscript"/>
          <w:lang w:val="en-US"/>
        </w:rPr>
        <w:t>91</w:t>
      </w:r>
      <w:r w:rsidR="00783AE3" w:rsidRPr="005C7810">
        <w:rPr>
          <w:rFonts w:ascii="Book Antiqua" w:hAnsi="Book Antiqua" w:cs="Times New Roman"/>
          <w:sz w:val="24"/>
          <w:szCs w:val="24"/>
          <w:vertAlign w:val="superscript"/>
          <w:lang w:val="en-US"/>
        </w:rPr>
        <w:t>]</w:t>
      </w:r>
      <w:r w:rsidR="00996109" w:rsidRPr="005C7810">
        <w:rPr>
          <w:rFonts w:ascii="Book Antiqua" w:hAnsi="Book Antiqua" w:cs="Times New Roman"/>
          <w:sz w:val="24"/>
          <w:szCs w:val="24"/>
          <w:lang w:val="en-US"/>
        </w:rPr>
        <w:fldChar w:fldCharType="end"/>
      </w:r>
      <w:r w:rsidR="00C21CCC" w:rsidRPr="005C7810">
        <w:rPr>
          <w:rFonts w:ascii="Book Antiqua" w:hAnsi="Book Antiqua" w:cs="Times New Roman"/>
          <w:sz w:val="24"/>
          <w:szCs w:val="24"/>
          <w:lang w:val="en-US"/>
        </w:rPr>
        <w:t xml:space="preserve">. </w:t>
      </w:r>
      <w:r w:rsidR="002D7679" w:rsidRPr="005C7810">
        <w:rPr>
          <w:rFonts w:ascii="Book Antiqua" w:hAnsi="Book Antiqua" w:cs="Times New Roman"/>
          <w:sz w:val="24"/>
          <w:szCs w:val="24"/>
          <w:lang w:val="en-US"/>
        </w:rPr>
        <w:t>The presence of CTCs, which have the characteristic</w:t>
      </w:r>
      <w:r w:rsidR="00C455AE" w:rsidRPr="005C7810">
        <w:rPr>
          <w:rFonts w:ascii="Book Antiqua" w:hAnsi="Book Antiqua" w:cs="Times New Roman"/>
          <w:sz w:val="24"/>
          <w:szCs w:val="24"/>
          <w:lang w:val="en-US"/>
        </w:rPr>
        <w:t>s</w:t>
      </w:r>
      <w:r w:rsidR="002D7679" w:rsidRPr="005C7810">
        <w:rPr>
          <w:rFonts w:ascii="Book Antiqua" w:hAnsi="Book Antiqua" w:cs="Times New Roman"/>
          <w:sz w:val="24"/>
          <w:szCs w:val="24"/>
          <w:lang w:val="en-US"/>
        </w:rPr>
        <w:t xml:space="preserve"> of stem cell-like or EMT cells, allows </w:t>
      </w:r>
      <w:r w:rsidR="004A6501" w:rsidRPr="005C7810">
        <w:rPr>
          <w:rFonts w:ascii="Book Antiqua" w:hAnsi="Book Antiqua" w:cs="Times New Roman"/>
          <w:sz w:val="24"/>
          <w:szCs w:val="24"/>
          <w:lang w:val="en-US"/>
        </w:rPr>
        <w:t>evaluati</w:t>
      </w:r>
      <w:r w:rsidR="00C455AE" w:rsidRPr="005C7810">
        <w:rPr>
          <w:rFonts w:ascii="Book Antiqua" w:hAnsi="Book Antiqua" w:cs="Times New Roman"/>
          <w:sz w:val="24"/>
          <w:szCs w:val="24"/>
          <w:lang w:val="en-US"/>
        </w:rPr>
        <w:t>on of</w:t>
      </w:r>
      <w:r w:rsidR="002D7679" w:rsidRPr="005C7810">
        <w:rPr>
          <w:rFonts w:ascii="Book Antiqua" w:hAnsi="Book Antiqua" w:cs="Times New Roman"/>
          <w:sz w:val="24"/>
          <w:szCs w:val="24"/>
          <w:lang w:val="en-US"/>
        </w:rPr>
        <w:t xml:space="preserve"> the </w:t>
      </w:r>
      <w:r w:rsidR="00C455AE" w:rsidRPr="005C7810">
        <w:rPr>
          <w:rFonts w:ascii="Book Antiqua" w:hAnsi="Book Antiqua" w:cs="Times New Roman"/>
          <w:sz w:val="24"/>
          <w:szCs w:val="24"/>
          <w:lang w:val="en-US"/>
        </w:rPr>
        <w:t xml:space="preserve">tumor </w:t>
      </w:r>
      <w:r w:rsidR="002D7679" w:rsidRPr="005C7810">
        <w:rPr>
          <w:rFonts w:ascii="Book Antiqua" w:hAnsi="Book Antiqua" w:cs="Times New Roman"/>
          <w:sz w:val="24"/>
          <w:szCs w:val="24"/>
          <w:lang w:val="en-US"/>
        </w:rPr>
        <w:t>stage and the prediction of recurrence.</w:t>
      </w:r>
      <w:r w:rsidR="00C455AE" w:rsidRPr="005C7810">
        <w:rPr>
          <w:rFonts w:ascii="Book Antiqua" w:hAnsi="Book Antiqua" w:cs="Times New Roman"/>
          <w:sz w:val="24"/>
          <w:szCs w:val="24"/>
          <w:lang w:val="en-US"/>
        </w:rPr>
        <w:t xml:space="preserve"> Circulating cell-free DNA is m</w:t>
      </w:r>
      <w:r w:rsidR="00626A80" w:rsidRPr="005C7810">
        <w:rPr>
          <w:rFonts w:ascii="Book Antiqua" w:hAnsi="Book Antiqua" w:cs="Times New Roman"/>
          <w:sz w:val="24"/>
          <w:szCs w:val="24"/>
          <w:lang w:val="en-US"/>
        </w:rPr>
        <w:t>ore sensitive than CTCs, originates from normal and cancerous cells</w:t>
      </w:r>
      <w:r w:rsidR="00C455AE" w:rsidRPr="005C7810">
        <w:rPr>
          <w:rFonts w:ascii="Book Antiqua" w:hAnsi="Book Antiqua" w:cs="Times New Roman"/>
          <w:sz w:val="24"/>
          <w:szCs w:val="24"/>
          <w:lang w:val="en-US"/>
        </w:rPr>
        <w:t>,</w:t>
      </w:r>
      <w:r w:rsidR="00626A80" w:rsidRPr="005C7810">
        <w:rPr>
          <w:rFonts w:ascii="Book Antiqua" w:hAnsi="Book Antiqua" w:cs="Times New Roman"/>
          <w:sz w:val="24"/>
          <w:szCs w:val="24"/>
          <w:lang w:val="en-US"/>
        </w:rPr>
        <w:t xml:space="preserve"> and is present in the blood</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{"citationItems":[{"id":"ITEM-1","itemData":{"ISSN":"1128-3602","abstract":"OBJECTIVE Gastric cancer (GC) is one of the most common malignant tumors worldwide, particularly, prevalent in China. Despite the decreasing incidence of GC in China, the 5-year survival rate is still not over 30% yet. Therefore, early diagnosis and therapeutic outcome evaluation of GC remains as the issue to be resolved in a clinical setting. MATERIALS AND METHODS Recent studies have found the presence of a certain amount of circulating DNA in the peripheral blood of patients with malignant tumor and shown that these free DNA bear tumor-specific genetic information. The circulating DNA detection includes quantitative and qualitative methods and analysis. Combined monitoring of changes in circulating DNA levels and aberrant alteration of relevant tumor genes is likely to provide comprehensive real-time information to patients. RESULTS Under normal conditions, oncogene presents in the form of proto-oncogene such as K-ras, which is in non-carcinogenic status under the influence of tumor suppressor gene. When tumor suppressor gene is damaged or mutated of oncogene itself is induced for instance P53, oncogene is then activated and induces tumorigenesis. However, compared to gene mutation detection, the detection of DNA methylation is relatively more well-developed and stable. CONCLUSIONS This article reviews the current status of the research on circulating DNA in the diagnosis, assessment of response to therapy and prognostic evaluation in GC. In addition, the advantage, current issue and prospect of using circulating DNA as tumor marker are also analyzed.","author":[{"dropping-particle":"","family":"Qi","given":"Q","non-dropping-particle":"","parse-names":false,"suffix":""},{"dropping-particle":"","family":"Pan","given":"Y -F.","non-dropping-particle":"","parse-names":false,"suffix":""},{"dropping-particle":"","family":"Shen","given":"J -J.","non-dropping-particle":"","parse-names":false,"suffix":""},{"dropping-particle":"","family":"Gu","given":"X -Q.","non-dropping-particle":"","parse-names":false,"suffix":""},{"dropping-particle":"","family":"Han","given":"S -W.","non-dropping-particle":"","parse-names":false,"suffix":""},{"dropping-particle":"","family":"Liao","given":"H -H.","non-dropping-particle":"","parse-names":false,"suffix":""},{"dropping-particle":"","family":"Jiang","given":"Y -Z.","non-dropping-particle":"","parse-names":false,"suffix":""},{"dropping-particle":"","family":"Zhong","given":"L -P.","non-dropping-particle":"","parse-names":false,"suffix":""}],"container-title":"European Review for Medical and Pharmacological Sciences","id":"ITEM-1","issue":"12","issued":{"date-parts":[["2016"]]},"page":"2558-2564","title":"Circulating DNA for detection of gastric cancer","type":"article-journal","volume":"20"},"uris":["http://www.mendeley.com/documents/?uuid=44add28d-dbbd-4c60-a80f-64e12dbbf342","http://www.mendeley.com/documents/?uuid=04970817-ec4a-4902-92a2-652a5d11c698"]}],"mendeley":{"formattedCitation":"&lt;sup&gt;[92]&lt;/sup&gt;","plainTextFormattedCitation":"[92]","previouslyFormattedCitation":"&lt;sup&gt;[92]&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1983" w:rsidRPr="005C7810">
        <w:rPr>
          <w:rFonts w:ascii="Book Antiqua" w:hAnsi="Book Antiqua" w:cs="Times New Roman"/>
          <w:sz w:val="24"/>
          <w:szCs w:val="24"/>
          <w:vertAlign w:val="superscript"/>
          <w:lang w:val="en-US"/>
        </w:rPr>
        <w:t>[92]</w:t>
      </w:r>
      <w:r w:rsidR="00996109" w:rsidRPr="005C7810">
        <w:rPr>
          <w:rFonts w:ascii="Book Antiqua" w:hAnsi="Book Antiqua" w:cs="Times New Roman"/>
          <w:sz w:val="24"/>
          <w:szCs w:val="24"/>
          <w:lang w:val="en-US"/>
        </w:rPr>
        <w:fldChar w:fldCharType="end"/>
      </w:r>
      <w:r w:rsidR="00C21CCC" w:rsidRPr="005C7810">
        <w:rPr>
          <w:rFonts w:ascii="Book Antiqua" w:hAnsi="Book Antiqua" w:cs="Times New Roman"/>
          <w:sz w:val="24"/>
          <w:szCs w:val="24"/>
          <w:lang w:val="en-US"/>
        </w:rPr>
        <w:t xml:space="preserve">. </w:t>
      </w:r>
      <w:r w:rsidR="00AF0A7E" w:rsidRPr="005C7810">
        <w:rPr>
          <w:rFonts w:ascii="Book Antiqua" w:hAnsi="Book Antiqua" w:cs="Times New Roman"/>
          <w:sz w:val="24"/>
          <w:szCs w:val="24"/>
          <w:lang w:val="en-US"/>
        </w:rPr>
        <w:lastRenderedPageBreak/>
        <w:t>Circulating tumor DNA (</w:t>
      </w:r>
      <w:r w:rsidR="00626A80" w:rsidRPr="005C7810">
        <w:rPr>
          <w:rFonts w:ascii="Book Antiqua" w:hAnsi="Book Antiqua" w:cs="Times New Roman"/>
          <w:sz w:val="24"/>
          <w:szCs w:val="24"/>
          <w:lang w:val="en-US"/>
        </w:rPr>
        <w:t>ctDNA</w:t>
      </w:r>
      <w:r w:rsidR="00385A9A" w:rsidRPr="005C7810">
        <w:rPr>
          <w:rFonts w:ascii="Book Antiqua" w:hAnsi="Book Antiqua" w:cs="Times New Roman"/>
          <w:sz w:val="24"/>
          <w:szCs w:val="24"/>
          <w:lang w:val="en-US"/>
        </w:rPr>
        <w:t>)</w:t>
      </w:r>
      <w:r w:rsidR="00626A80" w:rsidRPr="005C7810">
        <w:rPr>
          <w:rFonts w:ascii="Book Antiqua" w:hAnsi="Book Antiqua" w:cs="Times New Roman"/>
          <w:sz w:val="24"/>
          <w:szCs w:val="24"/>
          <w:lang w:val="en-US"/>
        </w:rPr>
        <w:t xml:space="preserve"> originates from </w:t>
      </w:r>
      <w:r w:rsidR="00EC5414" w:rsidRPr="005C7810">
        <w:rPr>
          <w:rFonts w:ascii="Book Antiqua" w:hAnsi="Book Antiqua" w:cs="Times New Roman"/>
          <w:sz w:val="24"/>
          <w:szCs w:val="24"/>
          <w:lang w:val="en-US"/>
        </w:rPr>
        <w:t xml:space="preserve">the </w:t>
      </w:r>
      <w:r w:rsidR="00626A80" w:rsidRPr="005C7810">
        <w:rPr>
          <w:rFonts w:ascii="Book Antiqua" w:hAnsi="Book Antiqua" w:cs="Times New Roman"/>
          <w:sz w:val="24"/>
          <w:szCs w:val="24"/>
          <w:lang w:val="en-US"/>
        </w:rPr>
        <w:t>primary tumor or metastases</w:t>
      </w:r>
      <w:r w:rsidR="00AE220F" w:rsidRPr="005C7810">
        <w:rPr>
          <w:rFonts w:ascii="Book Antiqua" w:hAnsi="Book Antiqua" w:cs="Times New Roman"/>
          <w:sz w:val="24"/>
          <w:szCs w:val="24"/>
          <w:lang w:val="en-US"/>
        </w:rPr>
        <w:t xml:space="preserve"> and</w:t>
      </w:r>
      <w:r w:rsidR="00626A80" w:rsidRPr="005C7810">
        <w:rPr>
          <w:rFonts w:ascii="Book Antiqua" w:hAnsi="Book Antiqua" w:cs="Times New Roman"/>
          <w:sz w:val="24"/>
          <w:szCs w:val="24"/>
          <w:lang w:val="en-US"/>
        </w:rPr>
        <w:t xml:space="preserve"> can be used </w:t>
      </w:r>
      <w:r w:rsidR="00AE220F" w:rsidRPr="005C7810">
        <w:rPr>
          <w:rFonts w:ascii="Book Antiqua" w:hAnsi="Book Antiqua" w:cs="Times New Roman"/>
          <w:sz w:val="24"/>
          <w:szCs w:val="24"/>
          <w:lang w:val="en-US"/>
        </w:rPr>
        <w:t>for</w:t>
      </w:r>
      <w:r w:rsidR="00626A80" w:rsidRPr="005C7810">
        <w:rPr>
          <w:rFonts w:ascii="Book Antiqua" w:hAnsi="Book Antiqua" w:cs="Times New Roman"/>
          <w:sz w:val="24"/>
          <w:szCs w:val="24"/>
          <w:lang w:val="en-US"/>
        </w:rPr>
        <w:t xml:space="preserve"> the specificity of the diagnosis, even if the sensitivity is lower than the common markers used</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{"citationItems":[{"id":"ITEM-1","itemData":{"DOI":"10.18632/oncotarget.14064","ISSN":"1949-2553 (Electronic)","PMID":"28009985","author":[{"dropping-particle":"","family":"Gao Y, Zhang K, Xi H, Cai A, Wu X, Cui J, Li J, Qiao Z, Wei B","given":"Chen L","non-dropping-particle":"","parse-names":false,"suffix":""}],"container-title":"Oncotarget","id":"ITEM-1","issue":"4","issued":{"date-parts":[["2016"]]},"page":"6330-6340","title":"Diagnostic and prognostic value of circulating tumor DNA in gastric cancer: a meta-analysis","type":"article-journal","volume":"8"},"uris":["http://www.mendeley.com/documents/?uuid=cf51086c-a6a9-46dd-b785-a9b6e89f344d","http://www.mendeley.com/documents/?uuid=d0e427ec-d32d-4ba9-9c21-5753311e716c"]}],"mendeley":{"formattedCitation":"&lt;sup&gt;[93]&lt;/sup&gt;","plainTextFormattedCitation":"[93]","previouslyFormattedCitation":"&lt;sup&gt;[93]&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1983" w:rsidRPr="005C7810">
        <w:rPr>
          <w:rFonts w:ascii="Book Antiqua" w:hAnsi="Book Antiqua" w:cs="Times New Roman"/>
          <w:sz w:val="24"/>
          <w:szCs w:val="24"/>
          <w:vertAlign w:val="superscript"/>
          <w:lang w:val="en-US"/>
        </w:rPr>
        <w:t>[93]</w:t>
      </w:r>
      <w:r w:rsidR="00996109" w:rsidRPr="005C7810">
        <w:rPr>
          <w:rFonts w:ascii="Book Antiqua" w:hAnsi="Book Antiqua" w:cs="Times New Roman"/>
          <w:sz w:val="24"/>
          <w:szCs w:val="24"/>
          <w:lang w:val="en-US"/>
        </w:rPr>
        <w:fldChar w:fldCharType="end"/>
      </w:r>
      <w:r w:rsidR="00C21CCC" w:rsidRPr="005C7810">
        <w:rPr>
          <w:rFonts w:ascii="Book Antiqua" w:hAnsi="Book Antiqua" w:cs="Times New Roman"/>
          <w:sz w:val="24"/>
          <w:szCs w:val="24"/>
          <w:lang w:val="en-US"/>
        </w:rPr>
        <w:t xml:space="preserve">. </w:t>
      </w:r>
      <w:r w:rsidR="00496C75" w:rsidRPr="005C7810">
        <w:rPr>
          <w:rFonts w:ascii="Book Antiqua" w:hAnsi="Book Antiqua" w:cs="Times New Roman"/>
          <w:sz w:val="24"/>
          <w:szCs w:val="24"/>
          <w:lang w:val="en-US"/>
        </w:rPr>
        <w:t xml:space="preserve">The </w:t>
      </w:r>
      <w:r w:rsidR="00240EB0" w:rsidRPr="005C7810">
        <w:rPr>
          <w:rFonts w:ascii="Book Antiqua" w:hAnsi="Book Antiqua" w:cs="Times New Roman"/>
          <w:sz w:val="24"/>
          <w:szCs w:val="24"/>
          <w:lang w:val="en-US"/>
        </w:rPr>
        <w:t>ctDNA show</w:t>
      </w:r>
      <w:r w:rsidR="00AE220F" w:rsidRPr="005C7810">
        <w:rPr>
          <w:rFonts w:ascii="Book Antiqua" w:hAnsi="Book Antiqua" w:cs="Times New Roman"/>
          <w:sz w:val="24"/>
          <w:szCs w:val="24"/>
          <w:lang w:val="en-US"/>
        </w:rPr>
        <w:t>s</w:t>
      </w:r>
      <w:r w:rsidR="00240EB0" w:rsidRPr="005C7810">
        <w:rPr>
          <w:rFonts w:ascii="Book Antiqua" w:hAnsi="Book Antiqua" w:cs="Times New Roman"/>
          <w:sz w:val="24"/>
          <w:szCs w:val="24"/>
          <w:lang w:val="en-US"/>
        </w:rPr>
        <w:t xml:space="preserve"> the presence of EBV DNA, </w:t>
      </w:r>
      <w:r w:rsidR="00AE220F" w:rsidRPr="005C7810">
        <w:rPr>
          <w:rFonts w:ascii="Book Antiqua" w:hAnsi="Book Antiqua" w:cs="Times New Roman"/>
          <w:sz w:val="24"/>
          <w:szCs w:val="24"/>
          <w:lang w:val="en-US"/>
        </w:rPr>
        <w:t xml:space="preserve">and is </w:t>
      </w:r>
      <w:r w:rsidR="00240EB0" w:rsidRPr="005C7810">
        <w:rPr>
          <w:rFonts w:ascii="Book Antiqua" w:hAnsi="Book Antiqua" w:cs="Times New Roman"/>
          <w:sz w:val="24"/>
          <w:szCs w:val="24"/>
          <w:lang w:val="en-US"/>
        </w:rPr>
        <w:t>useful for identifying EBV-positive subtype</w:t>
      </w:r>
      <w:r w:rsidR="00AE220F" w:rsidRPr="005C7810">
        <w:rPr>
          <w:rFonts w:ascii="Book Antiqua" w:hAnsi="Book Antiqua" w:cs="Times New Roman"/>
          <w:sz w:val="24"/>
          <w:szCs w:val="24"/>
          <w:lang w:val="en-US"/>
        </w:rPr>
        <w:t>s</w:t>
      </w:r>
      <w:r w:rsidR="00996109" w:rsidRPr="005C7810">
        <w:rPr>
          <w:rFonts w:ascii="Book Antiqua" w:hAnsi="Book Antiqua" w:cs="Times New Roman"/>
          <w:sz w:val="24"/>
          <w:szCs w:val="24"/>
          <w:lang w:val="en-US"/>
        </w:rPr>
        <w:fldChar w:fldCharType="begin" w:fldLock="1"/>
      </w:r>
      <w:r w:rsidR="00CD6F75" w:rsidRPr="005C7810">
        <w:rPr>
          <w:rFonts w:ascii="Book Antiqua" w:hAnsi="Book Antiqua" w:cs="Times New Roman"/>
          <w:sz w:val="24"/>
          <w:szCs w:val="24"/>
          <w:lang w:val="en-US"/>
        </w:rPr>
        <w:instrText>ADDIN CSL_CITATION {"citationItems":[{"id":"ITEM-1","itemData":{"DOI":"10.18632/oncotarget.15675","abstract":"Recent comprehensive molecular subtyping of gastric cancer (GC) identified Epstein–Barr virus (EBV)-positive tumors as a subtype with distinct salient molecular and clinical features. In this study, we aimed to determine the potential utility of circulating cell-free EBV DNA as a biomarker for the detection and/or monitoring of therapeutic response in patients with EBV-associated gastric carcinoma (EBVaGC). The EBV genes-to-ribonuclease P RNA component H1 ratios (EBV ratios) in the GC tumors and plasma samples were determined by quantitative real-time polymerase chain reaction in 153 patients with GC, including 14 patients with EBVaGC diagnosed by the conventional method. Circulating cell-free EBV DNA was detected in 14 patients with GC: the sensitivity and specificity of detection were 71.4% (10/14) and 97.1% (135/139), respectively. Plasma EBV ratios were significantly correlated with the size of EBVaGC tumors, and the plasma EBV DNA detected before surgery in EBVaGC cases disappeared after surgery. Patients with EBVaGC may have a better prognosis, but circulating cell-free EBV DNA had no or little impact on prognosis. In addition, repeated assessment of the plasma EBV ratio in EBVaGC showed a decrease and increase in plasma EBV DNA after treatment and during tumor progression/ recurrence, respectively. These results suggest the potential utility of circulating cell-free DNA to reveal EBV DNA for the identification of the EBVaGC subtype and/ or for real-time monitoring of tumor progression as well as treatment response in patients with EBVaGC.","author":[{"dropping-particle":"","family":"Shoda K, Ichikawa D, Fujita Y, Masuda K, Hiramoto H, Hamada J, Arita T, Konishi H, Kosuga T, Komatsu S, Shiozaki A, Okamoto K, Imoto I","given":"Otsuji E","non-dropping-particle":"","parse-names":false,"suffix":""}],"container-title":"Oncotarget","id":"ITEM-1","issue":"17","issued":{"date-parts":[["2017"]]},"page":"28796-28804","title":"Clinical utility of circulating cell-free Epstein&amp;#x2013;Barr virus DNA in patients with gastric cancer","type":"article-journal","volume":"8"},"uris":["http://www.mendeley.com/documents/?uuid=25f68f12-6497-49cc-8a29-7283c0e43d38","http://www.mendeley.com/documents/?uuid=c54f2f27-4add-4bad-a314-924679296466"]}],"mendeley":{"formattedCitation":"&lt;sup&gt;[94]&lt;/sup&gt;","plainTextFormattedCitation":"[94]","previouslyFormattedCitation":"&lt;sup&gt;[94]&lt;/sup&gt;"},"properties":{"noteIndex":0},"schema":"https://github.com/citation-style-language/schema/raw/master/csl-citation.json"}</w:instrText>
      </w:r>
      <w:r w:rsidR="00996109" w:rsidRPr="005C7810">
        <w:rPr>
          <w:rFonts w:ascii="Book Antiqua" w:hAnsi="Book Antiqua" w:cs="Times New Roman"/>
          <w:sz w:val="24"/>
          <w:szCs w:val="24"/>
          <w:lang w:val="en-US"/>
        </w:rPr>
        <w:fldChar w:fldCharType="separate"/>
      </w:r>
      <w:r w:rsidR="00181983" w:rsidRPr="005C7810">
        <w:rPr>
          <w:rFonts w:ascii="Book Antiqua" w:hAnsi="Book Antiqua" w:cs="Times New Roman"/>
          <w:sz w:val="24"/>
          <w:szCs w:val="24"/>
          <w:vertAlign w:val="superscript"/>
          <w:lang w:val="en-US"/>
        </w:rPr>
        <w:t>[94]</w:t>
      </w:r>
      <w:r w:rsidR="00996109" w:rsidRPr="005C7810">
        <w:rPr>
          <w:rFonts w:ascii="Book Antiqua" w:hAnsi="Book Antiqua" w:cs="Times New Roman"/>
          <w:sz w:val="24"/>
          <w:szCs w:val="24"/>
          <w:lang w:val="en-US"/>
        </w:rPr>
        <w:fldChar w:fldCharType="end"/>
      </w:r>
      <w:r w:rsidR="00BA399C" w:rsidRPr="005C7810">
        <w:rPr>
          <w:rFonts w:ascii="Book Antiqua" w:hAnsi="Book Antiqua" w:cs="Times New Roman"/>
          <w:sz w:val="24"/>
          <w:szCs w:val="24"/>
          <w:lang w:val="en-US"/>
        </w:rPr>
        <w:t xml:space="preserve">. </w:t>
      </w:r>
      <w:r w:rsidR="00626A80" w:rsidRPr="005C7810">
        <w:rPr>
          <w:rFonts w:ascii="Book Antiqua" w:hAnsi="Book Antiqua" w:cs="Times New Roman"/>
          <w:sz w:val="24"/>
          <w:szCs w:val="24"/>
          <w:lang w:val="en-US"/>
        </w:rPr>
        <w:t>The response to therapy can also be assessed with ctDNA</w:t>
      </w:r>
      <w:r w:rsidR="00960BEF" w:rsidRPr="005C7810">
        <w:rPr>
          <w:rFonts w:ascii="Book Antiqua" w:hAnsi="Book Antiqua" w:cs="Times New Roman"/>
          <w:sz w:val="24"/>
          <w:szCs w:val="24"/>
          <w:lang w:val="en-US"/>
        </w:rPr>
        <w:t>.</w:t>
      </w:r>
    </w:p>
    <w:p w:rsidR="00535860" w:rsidRPr="005C7810" w:rsidRDefault="00EE07CA" w:rsidP="00CD380F">
      <w:pPr>
        <w:suppressAutoHyphens w:val="0"/>
        <w:autoSpaceDE w:val="0"/>
        <w:autoSpaceDN w:val="0"/>
        <w:adjustRightInd w:val="0"/>
        <w:snapToGrid w:val="0"/>
        <w:spacing w:after="0" w:line="360" w:lineRule="auto"/>
        <w:jc w:val="both"/>
        <w:rPr>
          <w:rFonts w:ascii="Book Antiqua" w:hAnsi="Book Antiqua" w:cs="Times New Roman"/>
          <w:color w:val="000000"/>
          <w:sz w:val="24"/>
          <w:szCs w:val="24"/>
          <w:lang w:val="en-US"/>
        </w:rPr>
      </w:pPr>
      <w:r w:rsidRPr="005C7810">
        <w:rPr>
          <w:rFonts w:ascii="Book Antiqua" w:hAnsi="Book Antiqua" w:cs="Times New Roman"/>
          <w:color w:val="000000"/>
          <w:sz w:val="24"/>
          <w:szCs w:val="24"/>
          <w:lang w:val="en-US"/>
        </w:rPr>
        <w:tab/>
      </w:r>
      <w:r w:rsidR="00AE220F" w:rsidRPr="005C7810">
        <w:rPr>
          <w:rFonts w:ascii="Book Antiqua" w:hAnsi="Book Antiqua" w:cs="Times New Roman"/>
          <w:color w:val="000000"/>
          <w:sz w:val="24"/>
          <w:szCs w:val="24"/>
          <w:lang w:val="en-US"/>
        </w:rPr>
        <w:t>M</w:t>
      </w:r>
      <w:r w:rsidR="00626A80" w:rsidRPr="005C7810">
        <w:rPr>
          <w:rFonts w:ascii="Book Antiqua" w:hAnsi="Book Antiqua" w:cs="Times New Roman"/>
          <w:color w:val="000000"/>
          <w:sz w:val="24"/>
          <w:szCs w:val="24"/>
          <w:lang w:val="en-US"/>
        </w:rPr>
        <w:t>iRNAs are small, non-coding RNAs that, by regulating gene expression, play a role in the processes of proliferation, dif</w:t>
      </w:r>
      <w:r w:rsidR="00526380" w:rsidRPr="005C7810">
        <w:rPr>
          <w:rFonts w:ascii="Book Antiqua" w:hAnsi="Book Antiqua" w:cs="Times New Roman"/>
          <w:color w:val="000000"/>
          <w:sz w:val="24"/>
          <w:szCs w:val="24"/>
          <w:lang w:val="en-US"/>
        </w:rPr>
        <w:t>ferentiation, and cell invasion</w:t>
      </w:r>
      <w:r w:rsidR="00996109" w:rsidRPr="005C7810">
        <w:rPr>
          <w:rFonts w:ascii="Book Antiqua" w:hAnsi="Book Antiqua" w:cs="Times New Roman"/>
          <w:color w:val="000000"/>
          <w:sz w:val="24"/>
          <w:szCs w:val="24"/>
          <w:lang w:val="en-US"/>
        </w:rPr>
        <w:fldChar w:fldCharType="begin" w:fldLock="1"/>
      </w:r>
      <w:r w:rsidR="00CD6F75" w:rsidRPr="005C7810">
        <w:rPr>
          <w:rFonts w:ascii="Book Antiqua" w:hAnsi="Book Antiqua" w:cs="Times New Roman"/>
          <w:color w:val="000000"/>
          <w:sz w:val="24"/>
          <w:szCs w:val="24"/>
          <w:lang w:val="en-US"/>
        </w:rPr>
        <w:instrText>ADDIN CSL_CITATION {"citationItems":[{"id":"ITEM-1","itemData":{"DOI":"10.1136/gutjnl-2013-306640","ISSN":"0017-5749","author":[{"dropping-particle":"","family":"Han TS, Hur K, Xu G, Choi B, Okugawa Y, Toiyama Y, Oshima H, Oshima M, Lee HJ, Kim VN, Chang AN, Goel A","given":"Yang HK","non-dropping-particle":"","parse-names":false,"suffix":""}],"container-title":"Gut","id":"ITEM-1","issue":"2","issued":{"date-parts":[["2014"]]},"page":"203-214","title":"MicroRNA-29c mediates initiation of gastric carcinogenesis by directly targeting ITGB1","type":"article-journal","volume":"64"},"uris":["http://www.mendeley.com/documents/?uuid=df5f555f-ace9-4836-8d33-0ad18d45d390","http://www.mendeley.com/documents/?uuid=25912cbe-9171-4bc8-be8c-8ee425e81977"]}],"mendeley":{"formattedCitation":"&lt;sup&gt;[95]&lt;/sup&gt;","plainTextFormattedCitation":"[95]","previouslyFormattedCitation":"&lt;sup&gt;[95]&lt;/sup&gt;"},"properties":{"noteIndex":0},"schema":"https://github.com/citation-style-language/schema/raw/master/csl-citation.json"}</w:instrText>
      </w:r>
      <w:r w:rsidR="00996109" w:rsidRPr="005C7810">
        <w:rPr>
          <w:rFonts w:ascii="Book Antiqua" w:hAnsi="Book Antiqua" w:cs="Times New Roman"/>
          <w:color w:val="000000"/>
          <w:sz w:val="24"/>
          <w:szCs w:val="24"/>
          <w:lang w:val="en-US"/>
        </w:rPr>
        <w:fldChar w:fldCharType="separate"/>
      </w:r>
      <w:r w:rsidR="00181983" w:rsidRPr="005C7810">
        <w:rPr>
          <w:rFonts w:ascii="Book Antiqua" w:hAnsi="Book Antiqua" w:cs="Times New Roman"/>
          <w:color w:val="000000"/>
          <w:sz w:val="24"/>
          <w:szCs w:val="24"/>
          <w:vertAlign w:val="superscript"/>
          <w:lang w:val="en-US"/>
        </w:rPr>
        <w:t>[95]</w:t>
      </w:r>
      <w:r w:rsidR="00996109" w:rsidRPr="005C7810">
        <w:rPr>
          <w:rFonts w:ascii="Book Antiqua" w:hAnsi="Book Antiqua" w:cs="Times New Roman"/>
          <w:color w:val="000000"/>
          <w:sz w:val="24"/>
          <w:szCs w:val="24"/>
          <w:lang w:val="en-US"/>
        </w:rPr>
        <w:fldChar w:fldCharType="end"/>
      </w:r>
      <w:r w:rsidR="00BA399C" w:rsidRPr="005C7810">
        <w:rPr>
          <w:rFonts w:ascii="Book Antiqua" w:hAnsi="Book Antiqua" w:cs="Times New Roman"/>
          <w:color w:val="000000"/>
          <w:sz w:val="24"/>
          <w:szCs w:val="24"/>
          <w:lang w:val="en-US"/>
        </w:rPr>
        <w:t xml:space="preserve">. </w:t>
      </w:r>
      <w:r w:rsidR="00626A80" w:rsidRPr="005C7810">
        <w:rPr>
          <w:rFonts w:ascii="Book Antiqua" w:hAnsi="Book Antiqua" w:cs="Times New Roman"/>
          <w:color w:val="000000"/>
          <w:sz w:val="24"/>
          <w:szCs w:val="24"/>
          <w:lang w:val="en-US"/>
        </w:rPr>
        <w:t xml:space="preserve">They </w:t>
      </w:r>
      <w:r w:rsidR="00AE220F" w:rsidRPr="005C7810">
        <w:rPr>
          <w:rFonts w:ascii="Book Antiqua" w:hAnsi="Book Antiqua" w:cs="Times New Roman"/>
          <w:color w:val="000000"/>
          <w:sz w:val="24"/>
          <w:szCs w:val="24"/>
          <w:lang w:val="en-US"/>
        </w:rPr>
        <w:t xml:space="preserve">can </w:t>
      </w:r>
      <w:r w:rsidR="00626A80" w:rsidRPr="005C7810">
        <w:rPr>
          <w:rFonts w:ascii="Book Antiqua" w:hAnsi="Book Antiqua" w:cs="Times New Roman"/>
          <w:color w:val="000000"/>
          <w:sz w:val="24"/>
          <w:szCs w:val="24"/>
          <w:lang w:val="en-US"/>
        </w:rPr>
        <w:t>increase the expression of oncogenes or reduce t</w:t>
      </w:r>
      <w:r w:rsidR="00240EB0" w:rsidRPr="005C7810">
        <w:rPr>
          <w:rFonts w:ascii="Book Antiqua" w:hAnsi="Book Antiqua" w:cs="Times New Roman"/>
          <w:color w:val="000000"/>
          <w:sz w:val="24"/>
          <w:szCs w:val="24"/>
          <w:lang w:val="en-US"/>
        </w:rPr>
        <w:t>he expression of oncosuppressor</w:t>
      </w:r>
      <w:r w:rsidR="00626A80" w:rsidRPr="005C7810">
        <w:rPr>
          <w:rFonts w:ascii="Book Antiqua" w:hAnsi="Book Antiqua" w:cs="Times New Roman"/>
          <w:color w:val="000000"/>
          <w:sz w:val="24"/>
          <w:szCs w:val="24"/>
          <w:lang w:val="en-US"/>
        </w:rPr>
        <w:t xml:space="preserve"> genes</w:t>
      </w:r>
      <w:r w:rsidR="00783AE3" w:rsidRPr="005C7810">
        <w:rPr>
          <w:rFonts w:ascii="Book Antiqua" w:hAnsi="Book Antiqua" w:cs="Times New Roman"/>
          <w:color w:val="000000"/>
          <w:sz w:val="24"/>
          <w:szCs w:val="24"/>
          <w:lang w:val="en-US"/>
        </w:rPr>
        <w:fldChar w:fldCharType="begin" w:fldLock="1"/>
      </w:r>
      <w:r w:rsidR="00CD6F75" w:rsidRPr="005C7810">
        <w:rPr>
          <w:rFonts w:ascii="Book Antiqua" w:hAnsi="Book Antiqua" w:cs="Times New Roman"/>
          <w:color w:val="000000"/>
          <w:sz w:val="24"/>
          <w:szCs w:val="24"/>
          <w:lang w:val="en-US"/>
        </w:rPr>
        <w:instrText>ADDIN CSL_CITATION {"citationItems":[{"id":"ITEM-1","itemData":{"author":[{"dropping-particle":"","family":"Zhu X, Lv M, Wang H","given":"Guan W","non-dropping-particle":"","parse-names":false,"suffix":""}],"container-title":"Dig Dis Sci","id":"ITEM-1","issue":"59","issued":{"date-parts":[["2014"]]},"page":"911-919","title":"Identification of circulating microRNAs as novel potential biomarkers for gastric cancer detection: a systematic review and meta-analysis.","type":"article-journal"},"uris":["http://www.mendeley.com/documents/?uuid=f25d803d-d6f5-4ec7-ac34-23a3a26231f3","http://www.mendeley.com/documents/?uuid=894e7b9b-9ccc-452f-ad39-26e4449aa981"]}],"mendeley":{"formattedCitation":"&lt;sup&gt;[96]&lt;/sup&gt;","plainTextFormattedCitation":"[96]","previouslyFormattedCitation":"&lt;sup&gt;[96]&lt;/sup&gt;"},"properties":{"noteIndex":0},"schema":"https://github.com/citation-style-language/schema/raw/master/csl-citation.json"}</w:instrText>
      </w:r>
      <w:r w:rsidR="00783AE3" w:rsidRPr="005C7810">
        <w:rPr>
          <w:rFonts w:ascii="Book Antiqua" w:hAnsi="Book Antiqua" w:cs="Times New Roman"/>
          <w:color w:val="000000"/>
          <w:sz w:val="24"/>
          <w:szCs w:val="24"/>
          <w:lang w:val="en-US"/>
        </w:rPr>
        <w:fldChar w:fldCharType="separate"/>
      </w:r>
      <w:r w:rsidR="00181983" w:rsidRPr="005C7810">
        <w:rPr>
          <w:rFonts w:ascii="Book Antiqua" w:hAnsi="Book Antiqua" w:cs="Times New Roman"/>
          <w:color w:val="000000"/>
          <w:sz w:val="24"/>
          <w:szCs w:val="24"/>
          <w:vertAlign w:val="superscript"/>
          <w:lang w:val="en-US"/>
        </w:rPr>
        <w:t>[96]</w:t>
      </w:r>
      <w:r w:rsidR="00783AE3" w:rsidRPr="005C7810">
        <w:rPr>
          <w:rFonts w:ascii="Book Antiqua" w:hAnsi="Book Antiqua" w:cs="Times New Roman"/>
          <w:color w:val="000000"/>
          <w:sz w:val="24"/>
          <w:szCs w:val="24"/>
          <w:lang w:val="en-US"/>
        </w:rPr>
        <w:fldChar w:fldCharType="end"/>
      </w:r>
      <w:r w:rsidR="00CA5919" w:rsidRPr="005C7810">
        <w:rPr>
          <w:rFonts w:ascii="Book Antiqua" w:hAnsi="Book Antiqua" w:cs="Times New Roman"/>
          <w:color w:val="000000"/>
          <w:sz w:val="24"/>
          <w:szCs w:val="24"/>
          <w:lang w:val="en-US"/>
        </w:rPr>
        <w:t xml:space="preserve">. </w:t>
      </w:r>
      <w:r w:rsidR="00626A80" w:rsidRPr="005C7810">
        <w:rPr>
          <w:rFonts w:ascii="Book Antiqua" w:hAnsi="Book Antiqua" w:cs="Times New Roman"/>
          <w:color w:val="000000"/>
          <w:sz w:val="24"/>
          <w:szCs w:val="24"/>
          <w:lang w:val="en-US"/>
        </w:rPr>
        <w:t xml:space="preserve">Numerous miRNAs have been identified and </w:t>
      </w:r>
      <w:r w:rsidR="00AE220F" w:rsidRPr="005C7810">
        <w:rPr>
          <w:rFonts w:ascii="Book Antiqua" w:hAnsi="Book Antiqua" w:cs="Times New Roman"/>
          <w:color w:val="000000"/>
          <w:sz w:val="24"/>
          <w:szCs w:val="24"/>
          <w:lang w:val="en-US"/>
        </w:rPr>
        <w:t>play</w:t>
      </w:r>
      <w:r w:rsidR="00626A80" w:rsidRPr="005C7810">
        <w:rPr>
          <w:rFonts w:ascii="Book Antiqua" w:hAnsi="Book Antiqua" w:cs="Times New Roman"/>
          <w:color w:val="000000"/>
          <w:sz w:val="24"/>
          <w:szCs w:val="24"/>
          <w:lang w:val="en-US"/>
        </w:rPr>
        <w:t xml:space="preserve"> a role in GC</w:t>
      </w:r>
      <w:r w:rsidR="00783AE3" w:rsidRPr="005C7810">
        <w:rPr>
          <w:rFonts w:ascii="Book Antiqua" w:hAnsi="Book Antiqua" w:cs="Times New Roman"/>
          <w:color w:val="000000"/>
          <w:sz w:val="24"/>
          <w:szCs w:val="24"/>
          <w:lang w:val="en-US"/>
        </w:rPr>
        <w:fldChar w:fldCharType="begin" w:fldLock="1"/>
      </w:r>
      <w:r w:rsidR="00CD6F75" w:rsidRPr="005C7810">
        <w:rPr>
          <w:rFonts w:ascii="Book Antiqua" w:hAnsi="Book Antiqua" w:cs="Times New Roman"/>
          <w:color w:val="000000"/>
          <w:sz w:val="24"/>
          <w:szCs w:val="24"/>
          <w:lang w:val="en-US"/>
        </w:rPr>
        <w:instrText>ADDIN CSL_CITATION {"citationItems":[{"id":"ITEM-1","itemData":{"DOI":"10.1017/erm.2013.16","ISBN":"1462-3994 (Electronic)\r1462-3994 (Linking)","ISSN":"14468107","PMID":"24456939","abstract":"Carcinoma of the stomach is one of the most prevalent cancer types in the world. Although the incidence of gastric cancer is declining, the outcomes of gastric cancer patients remain dismal because of the lack of effective biomarkers to detect early gastric cancer. Modern biomedical research has explored many potential gastric cancer biomarker genes by utilising serum protein antigens, oncogenic genes or gene families through improving molecular biological technologies, such as microarray, RNA-Seq and the like. Recently, the small noncoding microRNAs (miRNAs) have been suggested to be critical regulators in the oncogenesis pathways and to serve as useful clinical biomarkers. This new class of biomarkers is emerging as a novel molecule for cancer diagnosis and prognosis, including gastric cancer. By translational suppression of target genes, miRNAs play a significant role in the gastric cancer cell physiology and tumour progression. There are potential implications of previously discovered gastric cancer molecular biomarkers and their expression modulations by respective miRNAs. Therefore, many miRNAs are found to play oncogenic roles or tumour-suppressing functions in human cancers. With the surprising stability of miRNAs in tissues, serum or other body fluids, miRNAs have emerged as a new type of cancer biomarker with immeasurable clinical potential.","author":[{"dropping-particle":"","family":"Wu","given":"Hua Hsi","non-dropping-particle":"","parse-names":false,"suffix":""},{"dropping-particle":"","family":"Lin","given":"Wen Chang","non-dropping-particle":"","parse-names":false,"suffix":""},{"dropping-particle":"","family":"Tsai","given":"Kuo Wang","non-dropping-particle":"","parse-names":false,"suffix":""}],"container-title":"Journal of the Australian Mathematical Society","id":"ITEM-1","issue":"2","issued":{"date-parts":[["2014"]]},"page":"1-18","title":"Advances in molecular biomarkers for gastric cancer: MiRNAs as emerging novel cancer markers","type":"article-journal","volume":"16"},"uris":["http://www.mendeley.com/documents/?uuid=1c2d126b-6a0a-4f93-86cb-1d91e6c540a9","http://www.mendeley.com/documents/?uuid=3945dd85-ad8f-46af-beb2-7482e7e8afca"]},{"id":"ITEM-2","itemData":{"DOI":"10.3748/wjg.v20.i34.12007","ISSN":"22192840","abstract":"Gastric cancer is the fourth most common cancer in the world and the second leading cause of cancer-related death. More than 80% of diagnoses occur at the middle to late stage of the disease, highlighting an urgent need for novel biomarkers detectable at earlier stages. Recently, aberrantly expressed microRNAs (miRNAs) have received a great deal of attention as potential sensitive and accurate biomarkers for cancer diagnosis and prognosis. This review summarizes the current knowledge about potential miRNA biomarkers for gastric cancer that have been reported in the publicly available literature between 2008 and 2013. Available evidence indicates that aberrantly expressed miRNAs in gastric cancer correlate with tumorigenesis, tumor proliferation, distant metastasis and invasion. Furthermore, tissue and cancer types can be classified using miRNA expression profiles and next-generation sequencing. As miRNAs in plasma/serum are well protected from RNases, they remain stable under harsh conditions. Thus, potential functions of these circulating miRNAs can be deduced and may implicate their diagnostic value in cancer detection. Circulating miRNAs, as well as tissue miRNAs, may allow for the detection of gastric cancer at an early stage, prediction of prognosis, and monitoring of recurrence and/or lymph node metastasis. Taken together, the data suggest that the participation of miRNAs in biomarker development will enhance the sensitivity and specificity of diagnostic and prognostic tests for gastric cancer.","author":[{"dropping-particle":"","family":"Liu","given":"Han Shao","non-dropping-particle":"","parse-names":false,"suffix":""},{"dropping-particle":"","family":"Xiao","given":"Hua Sheng","non-dropping-particle":"","parse-names":false,"suffix":""}],"container-title":"World Journal of Gastroenterology","id":"ITEM-2","issue":"34","issued":{"date-parts":[["2014"]]},"page":"12007-12017","title":"MicroRNAs as potential biomarkers for gastric cancer","type":"article-journal","volume":"20"},"uris":["http://www.mendeley.com/documents/?uuid=88fd1a2d-0e9c-40ff-9db1-aa792c4523b8","http://www.mendeley.com/documents/?uuid=c1ffee24-8692-476e-ae97-efd7954bd749"]}],"mendeley":{"formattedCitation":"&lt;sup&gt;[97,98]&lt;/sup&gt;","manualFormatting":"[85–86]","plainTextFormattedCitation":"[97,98]","previouslyFormattedCitation":"&lt;sup&gt;[97,98]&lt;/sup&gt;"},"properties":{"noteIndex":0},"schema":"https://github.com/citation-style-language/schema/raw/master/csl-citation.json"}</w:instrText>
      </w:r>
      <w:r w:rsidR="00783AE3" w:rsidRPr="005C7810">
        <w:rPr>
          <w:rFonts w:ascii="Book Antiqua" w:hAnsi="Book Antiqua" w:cs="Times New Roman"/>
          <w:color w:val="000000"/>
          <w:sz w:val="24"/>
          <w:szCs w:val="24"/>
          <w:lang w:val="en-US"/>
        </w:rPr>
        <w:fldChar w:fldCharType="separate"/>
      </w:r>
      <w:r w:rsidR="00E63194" w:rsidRPr="005C7810">
        <w:rPr>
          <w:rFonts w:ascii="Book Antiqua" w:hAnsi="Book Antiqua" w:cs="Times New Roman"/>
          <w:color w:val="000000"/>
          <w:sz w:val="24"/>
          <w:szCs w:val="24"/>
          <w:vertAlign w:val="superscript"/>
          <w:lang w:val="en-US"/>
        </w:rPr>
        <w:t>[97</w:t>
      </w:r>
      <w:r w:rsidR="009131DA" w:rsidRPr="005C7810">
        <w:rPr>
          <w:rFonts w:ascii="Book Antiqua" w:hAnsi="Book Antiqua" w:cs="Times New Roman"/>
          <w:color w:val="000000"/>
          <w:sz w:val="24"/>
          <w:szCs w:val="24"/>
          <w:vertAlign w:val="superscript"/>
          <w:lang w:val="en-US"/>
        </w:rPr>
        <w:t>,</w:t>
      </w:r>
      <w:r w:rsidR="00E63194" w:rsidRPr="005C7810">
        <w:rPr>
          <w:rFonts w:ascii="Book Antiqua" w:hAnsi="Book Antiqua" w:cs="Times New Roman"/>
          <w:color w:val="000000"/>
          <w:sz w:val="24"/>
          <w:szCs w:val="24"/>
          <w:vertAlign w:val="superscript"/>
          <w:lang w:val="en-US"/>
        </w:rPr>
        <w:t>98</w:t>
      </w:r>
      <w:r w:rsidR="00783AE3" w:rsidRPr="005C7810">
        <w:rPr>
          <w:rFonts w:ascii="Book Antiqua" w:hAnsi="Book Antiqua" w:cs="Times New Roman"/>
          <w:color w:val="000000"/>
          <w:sz w:val="24"/>
          <w:szCs w:val="24"/>
          <w:vertAlign w:val="superscript"/>
          <w:lang w:val="en-US"/>
        </w:rPr>
        <w:t>]</w:t>
      </w:r>
      <w:r w:rsidR="00783AE3" w:rsidRPr="005C7810">
        <w:rPr>
          <w:rFonts w:ascii="Book Antiqua" w:hAnsi="Book Antiqua" w:cs="Times New Roman"/>
          <w:color w:val="000000"/>
          <w:sz w:val="24"/>
          <w:szCs w:val="24"/>
          <w:lang w:val="en-US"/>
        </w:rPr>
        <w:fldChar w:fldCharType="end"/>
      </w:r>
      <w:r w:rsidR="00CA5919" w:rsidRPr="005C7810">
        <w:rPr>
          <w:rFonts w:ascii="Book Antiqua" w:hAnsi="Book Antiqua" w:cs="Times New Roman"/>
          <w:color w:val="000000"/>
          <w:sz w:val="24"/>
          <w:szCs w:val="24"/>
          <w:lang w:val="en-US"/>
        </w:rPr>
        <w:t xml:space="preserve">. </w:t>
      </w:r>
      <w:r w:rsidR="00626A80" w:rsidRPr="005C7810">
        <w:rPr>
          <w:rFonts w:ascii="Book Antiqua" w:hAnsi="Book Antiqua" w:cs="Times New Roman"/>
          <w:color w:val="000000"/>
          <w:sz w:val="24"/>
          <w:szCs w:val="24"/>
          <w:lang w:val="en-US"/>
        </w:rPr>
        <w:t>Circulating cell-free miRNA can be used as non-invasive biomarker</w:t>
      </w:r>
      <w:r w:rsidR="00E5575D" w:rsidRPr="005C7810">
        <w:rPr>
          <w:rFonts w:ascii="Book Antiqua" w:hAnsi="Book Antiqua" w:cs="Times New Roman"/>
          <w:color w:val="000000"/>
          <w:sz w:val="24"/>
          <w:szCs w:val="24"/>
          <w:lang w:val="en-US"/>
        </w:rPr>
        <w:t>s</w:t>
      </w:r>
      <w:r w:rsidR="00626A80" w:rsidRPr="005C7810">
        <w:rPr>
          <w:rFonts w:ascii="Book Antiqua" w:hAnsi="Book Antiqua" w:cs="Times New Roman"/>
          <w:color w:val="000000"/>
          <w:sz w:val="24"/>
          <w:szCs w:val="24"/>
          <w:lang w:val="en-US"/>
        </w:rPr>
        <w:t xml:space="preserve"> for the diagn</w:t>
      </w:r>
      <w:r w:rsidR="00F8590B" w:rsidRPr="005C7810">
        <w:rPr>
          <w:rFonts w:ascii="Book Antiqua" w:hAnsi="Book Antiqua" w:cs="Times New Roman"/>
          <w:color w:val="000000"/>
          <w:sz w:val="24"/>
          <w:szCs w:val="24"/>
          <w:lang w:val="en-US"/>
        </w:rPr>
        <w:t>osis and relapse of GC</w:t>
      </w:r>
      <w:r w:rsidR="00783AE3" w:rsidRPr="005C7810">
        <w:rPr>
          <w:rFonts w:ascii="Book Antiqua" w:hAnsi="Book Antiqua" w:cs="Times New Roman"/>
          <w:color w:val="000000"/>
          <w:sz w:val="24"/>
          <w:szCs w:val="24"/>
          <w:lang w:val="en-US"/>
        </w:rPr>
        <w:fldChar w:fldCharType="begin" w:fldLock="1"/>
      </w:r>
      <w:r w:rsidR="00CD6F75" w:rsidRPr="005C7810">
        <w:rPr>
          <w:rFonts w:ascii="Book Antiqua" w:hAnsi="Book Antiqua" w:cs="Times New Roman"/>
          <w:color w:val="000000"/>
          <w:sz w:val="24"/>
          <w:szCs w:val="24"/>
          <w:lang w:val="en-US"/>
        </w:rPr>
        <w:instrText>ADDIN CSL_CITATION {"citationItems":[{"id":"ITEM-1","itemData":{"DOI":"10.1038/bjc.2017.190","ISSN":"0007-0920","author":[{"dropping-particle":"","family":"Sierzega M, Kaczor M, Kolodziejczyk P, Kulig J, Sanak M","given":"Richter P","non-dropping-particle":"","parse-names":false,"suffix":""}],"container-title":"British Journal of Cancer","id":"ITEM-1","issue":"2","issued":{"date-parts":[["2017"]]},"page":"266-273","publisher":"Nature Publishing Group","title":"Evaluation of serum microRNA biomarkers for gastric cancer based on blood and tissue pools profiling: the importance of miR-21 and miR-331","type":"article-journal","volume":"117"},"uris":["http://www.mendeley.com/documents/?uuid=aa4a7d3c-0ae4-4e11-a142-0f5ed7c63fae","http://www.mendeley.com/documents/?uuid=130fc674-8b1f-44fc-b91b-50dcaa22a2ed"]},{"id":"ITEM-2","itemData":{"DOI":"10.1158/1055-9965.EPI-16-0607","ISSN":"10559965","PMID":"27756776","abstract":"BACKGROUND Circulating miRNAs in serum may serve as promising diagnostic biomarkers for patients with gastric cancer. METHODS Using qRT-PCR-based Exiqon panel, we identified 58 differentially expressed miRNAs from three gastric cancer pool samples and one normal control (NC) pool in the initial screening phase. Identified miRNAs were further validated in the training (49 gastric cancer vs. 47 NCs) and validation phases (154 gastric cancer vs. 120 NCs) using qRT-PCR. The expression levels of the miRNAs were also determined in tissues, arterial serum, and exosomes. RESULTS Consequently, six serum miRNAs (miR10b-5p, miR132-3p, miR185-5p, miR195-5p, miR-20a3p, and miR296-5p) were significantly overexpressed in gastric cancer compared with NCs. The areas under the receiver operating characteristic curve of the six-miRNA panel were 0.764 and 0.702 for the training and validation phases, respectively. miR10b-5p and miR296-5p were significantly upregulated in gastric cancer tissues (n = 188). In addition, patients who did not receive adjuvant chemotherapy with high expression of miR10b-5p or miR296-5p in tissues tended to suffer worse overall survival. Furthermore, the expression levels of miR10b-5p, miR195-5p, miR20a-3p, and miR296-5p were significantly elevated in exosomes from gastric cancer serum samples (n = 30). CONCLUSIONS We identified a six-miRNA panel in serum for the detection of gastric cancer. IMPACT Our findings provide a novel serum miRNA signature for gastric cancer diagnosis, and will serve as the basis of the application of circulating miRNAs in clinical for the detection of gastric cancer in the future. Cancer Epidemiol Biomarkers Prev; 26(2); 188-96. ©2016 AACR.","author":[{"dropping-particle":"","family":"Huang","given":"Zebo","non-dropping-particle":"","parse-names":false,"suffix":""},{"dropping-particle":"","family":"Zhu","given":"Danxia","non-dropping-particle":"","parse-names":false,"suffix":""},{"dropping-particle":"","family":"Wu","given":"Lirong","non-dropping-particle":"","parse-names":false,"suffix":""},{"dropping-particle":"","family":"He","given":"Mingfeng","non-dropping-particle":"","parse-names":false,"suffix":""},{"dropping-particle":"","family":"Zhou","given":"Xin","non-dropping-particle":"","parse-names":false,"suffix":""},{"dropping-particle":"","family":"Zhang","given":"Lan","non-dropping-particle":"","parse-names":false,"suffix":""},{"dropping-particle":"","family":"Zhang","given":"Huo","non-dropping-particle":"","parse-names":false,"suffix":""},{"dropping-particle":"","family":"Wang","given":"Weiwei","non-dropping-particle":"","parse-names":false,"suffix":""},{"dropping-particle":"","family":"Zhu","given":"Jun","non-dropping-particle":"","parse-names":false,"suffix":""},{"dropping-particle":"","family":"Cheng","given":"Wenfang","non-dropping-particle":"","parse-names":false,"suffix":""},{"dropping-particle":"","family":"Chen","given":"Yan","non-dropping-particle":"","parse-names":false,"suffix":""},{"dropping-particle":"","family":"Fan","given":"Yong","non-dropping-particle":"","parse-names":false,"suffix":""},{"dropping-particle":"","family":"Qi","given":"Lianwen","non-dropping-particle":"","parse-names":false,"suffix":""},{"dropping-particle":"","family":"Yin","given":"Yin","non-dropping-particle":"","parse-names":false,"suffix":""},{"dropping-particle":"","family":"Zhu","given":"Wei","non-dropping-particle":"","parse-names":false,"suffix":""},{"dropping-particle":"","family":"Shu","given":"Yongqian","non-dropping-particle":"","parse-names":false,"suffix":""},{"dropping-particle":"","family":"Liu","given":"Ping","non-dropping-particle":"","parse-names":false,"suffix":""}],"container-title":"Cancer Epidemiology Biomarkers and Prevention","id":"ITEM-2","issue":"2","issued":{"date-parts":[["2017"]]},"page":"188-196","title":"Six serum-based miRNAs as potential diagnostic biomarkers for gastric cancer","type":"article-journal","volume":"26"},"uris":["http://www.mendeley.com/documents/?uuid=374d5e6f-4879-4f34-ab5d-aed72c04da4a","http://www.mendeley.com/documents/?uuid=919a8feb-b379-420d-84c3-d713380cfd20"]},{"id":"ITEM-3","itemData":{"DOI":"10.18632/oncotarget.8629","author":[{"dropping-particle":"","family":"Zhang Y, Guan DH, Bi RX, Xie J, Yang CH","given":"Jiang YH","non-dropping-particle":"","parse-names":false,"suffix":""}],"container-title":"Oncotarget","id":"ITEM-3","issued":{"date-parts":[["2017"]]},"page":"55489-55510","title":"Prognostic value of microRNAs in gastric cancer: a meta-analysis.","type":"article-journal","volume":"8"},"uris":["http://www.mendeley.com/documents/?uuid=0624cf2e-a997-423b-9fb3-1b47568c83d3","http://www.mendeley.com/documents/?uuid=6fb404a7-0019-43d9-9ed6-070fbd0cb0ce"]}],"mendeley":{"formattedCitation":"&lt;sup&gt;[99–101]&lt;/sup&gt;","plainTextFormattedCitation":"[99–101]","previouslyFormattedCitation":"&lt;sup&gt;[99–101]&lt;/sup&gt;"},"properties":{"noteIndex":0},"schema":"https://github.com/citation-style-language/schema/raw/master/csl-citation.json"}</w:instrText>
      </w:r>
      <w:r w:rsidR="00783AE3" w:rsidRPr="005C7810">
        <w:rPr>
          <w:rFonts w:ascii="Book Antiqua" w:hAnsi="Book Antiqua" w:cs="Times New Roman"/>
          <w:color w:val="000000"/>
          <w:sz w:val="24"/>
          <w:szCs w:val="24"/>
          <w:lang w:val="en-US"/>
        </w:rPr>
        <w:fldChar w:fldCharType="separate"/>
      </w:r>
      <w:r w:rsidR="00181983" w:rsidRPr="005C7810">
        <w:rPr>
          <w:rFonts w:ascii="Book Antiqua" w:hAnsi="Book Antiqua" w:cs="Times New Roman"/>
          <w:color w:val="000000"/>
          <w:sz w:val="24"/>
          <w:szCs w:val="24"/>
          <w:vertAlign w:val="superscript"/>
          <w:lang w:val="en-US"/>
        </w:rPr>
        <w:t>[99–101]</w:t>
      </w:r>
      <w:r w:rsidR="00783AE3" w:rsidRPr="005C7810">
        <w:rPr>
          <w:rFonts w:ascii="Book Antiqua" w:hAnsi="Book Antiqua" w:cs="Times New Roman"/>
          <w:color w:val="000000"/>
          <w:sz w:val="24"/>
          <w:szCs w:val="24"/>
          <w:lang w:val="en-US"/>
        </w:rPr>
        <w:fldChar w:fldCharType="end"/>
      </w:r>
      <w:r w:rsidR="00CA5919" w:rsidRPr="005C7810">
        <w:rPr>
          <w:rFonts w:ascii="Book Antiqua" w:hAnsi="Book Antiqua" w:cs="Times New Roman"/>
          <w:color w:val="000000"/>
          <w:sz w:val="24"/>
          <w:szCs w:val="24"/>
          <w:lang w:val="en-US"/>
        </w:rPr>
        <w:t xml:space="preserve">. </w:t>
      </w:r>
      <w:r w:rsidR="00291171" w:rsidRPr="005C7810">
        <w:rPr>
          <w:rFonts w:ascii="Book Antiqua" w:hAnsi="Book Antiqua" w:cs="Times New Roman"/>
          <w:color w:val="000000"/>
          <w:sz w:val="24"/>
          <w:szCs w:val="24"/>
          <w:lang w:val="en-US"/>
        </w:rPr>
        <w:t>Approximately 135 long non-coding RNA</w:t>
      </w:r>
      <w:r w:rsidR="003B6DC5" w:rsidRPr="005C7810">
        <w:rPr>
          <w:rFonts w:ascii="Book Antiqua" w:hAnsi="Book Antiqua" w:cs="Times New Roman"/>
          <w:color w:val="000000"/>
          <w:sz w:val="24"/>
          <w:szCs w:val="24"/>
          <w:lang w:val="en-US"/>
        </w:rPr>
        <w:t>s</w:t>
      </w:r>
      <w:r w:rsidR="00291171" w:rsidRPr="005C7810">
        <w:rPr>
          <w:rFonts w:ascii="Book Antiqua" w:hAnsi="Book Antiqua" w:cs="Times New Roman"/>
          <w:color w:val="000000"/>
          <w:sz w:val="24"/>
          <w:szCs w:val="24"/>
          <w:lang w:val="en-US"/>
        </w:rPr>
        <w:t xml:space="preserve"> (lncRNAs), non-transcribed RNA sequences </w:t>
      </w:r>
      <w:r w:rsidR="007D5160" w:rsidRPr="005C7810">
        <w:rPr>
          <w:rFonts w:ascii="Book Antiqua" w:hAnsi="Book Antiqua" w:cs="Times New Roman"/>
          <w:color w:val="000000"/>
          <w:sz w:val="24"/>
          <w:szCs w:val="24"/>
          <w:lang w:val="en-US"/>
        </w:rPr>
        <w:t>longer than</w:t>
      </w:r>
      <w:r w:rsidR="00291171" w:rsidRPr="005C7810">
        <w:rPr>
          <w:rFonts w:ascii="Book Antiqua" w:hAnsi="Book Antiqua" w:cs="Times New Roman"/>
          <w:color w:val="000000"/>
          <w:sz w:val="24"/>
          <w:szCs w:val="24"/>
          <w:lang w:val="en-US"/>
        </w:rPr>
        <w:t xml:space="preserve"> 200 nucleotides, are dysregulated and strongly correlated with tumorigenesis, metastasis</w:t>
      </w:r>
      <w:r w:rsidR="004A6501" w:rsidRPr="005C7810">
        <w:rPr>
          <w:rFonts w:ascii="Book Antiqua" w:hAnsi="Book Antiqua" w:cs="Times New Roman"/>
          <w:color w:val="000000"/>
          <w:sz w:val="24"/>
          <w:szCs w:val="24"/>
          <w:lang w:val="en-US"/>
        </w:rPr>
        <w:t>,</w:t>
      </w:r>
      <w:r w:rsidR="00291171" w:rsidRPr="005C7810">
        <w:rPr>
          <w:rFonts w:ascii="Book Antiqua" w:hAnsi="Book Antiqua" w:cs="Times New Roman"/>
          <w:color w:val="000000"/>
          <w:sz w:val="24"/>
          <w:szCs w:val="24"/>
          <w:lang w:val="en-US"/>
        </w:rPr>
        <w:t xml:space="preserve"> and prognosis of GC</w:t>
      </w:r>
      <w:r w:rsidR="00783AE3" w:rsidRPr="005C7810">
        <w:rPr>
          <w:rFonts w:ascii="Book Antiqua" w:hAnsi="Book Antiqua" w:cs="Times New Roman"/>
          <w:color w:val="000000"/>
          <w:sz w:val="24"/>
          <w:szCs w:val="24"/>
          <w:lang w:val="en-US"/>
        </w:rPr>
        <w:fldChar w:fldCharType="begin" w:fldLock="1"/>
      </w:r>
      <w:r w:rsidR="00CD6F75" w:rsidRPr="005C7810">
        <w:rPr>
          <w:rFonts w:ascii="Book Antiqua" w:hAnsi="Book Antiqua" w:cs="Times New Roman"/>
          <w:color w:val="000000"/>
          <w:sz w:val="24"/>
          <w:szCs w:val="24"/>
          <w:lang w:val="en-US"/>
        </w:rPr>
        <w:instrText>ADDIN CSL_CITATION {"citationItems":[{"id":"ITEM-1","itemData":{"DOI":"10.1016/j.canlet.2014.11.005","ISSN":"18727980","PMID":"25444905","abstract":"Long non-coding RNAs (lncRNAs) are functional RNAs longer than 200 nucleotides. Recent advances in the non-protein coding part of human genome analysis have discovered extensive transcription of large RNA transcripts that lack coding protein function, termed non-coding RNA (ncRNA). It is becoming evident that lncRNAs may be an important class of pervasive genes involved in carcinogenesis and metastasis. However, the biological and molecular mechanisms of lncRNAs in diverse diseases are not yet fully understood. Thus, it is anticipated that more efforts should be made to clarify the lncRNA world. Moreover, accumulating evidence has demonstrated that many lncRNAs are dysregulated in gastric cancer (GC) and closely related to tumorigenesis, metastasis, and prognosis or diagnosis. In this review, we will briefly outline the regulation and functional role of lncRNAs in GC. Finally, we discussed the potential of lncRNAs as prospective novel targets in GC treatment and biomarkers for GC diagnosis.","author":[{"dropping-particle":"","family":"Fang","given":"Xin yu","non-dropping-particle":"","parse-names":false,"suffix":""},{"dropping-particle":"","family":"Pan","given":"Hai feng","non-dropping-particle":"","parse-names":false,"suffix":""},{"dropping-particle":"","family":"Leng","given":"Rui xue","non-dropping-particle":"","parse-names":false,"suffix":""},{"dropping-particle":"","family":"Ye","given":"Dong qing","non-dropping-particle":"","parse-names":false,"suffix":""}],"container-title":"Cancer Letters","id":"ITEM-1","issue":"2","issued":{"date-parts":[["2015"]]},"page":"357-366","publisher":"Elsevier Ireland Ltd","title":"Long noncoding RNAs: NOVEL insights into gastric cancer","type":"article-journal","volume":"356"},"uris":["http://www.mendeley.com/documents/?uuid=65b592d2-a8a0-4e32-8b72-19449a7700f5","http://www.mendeley.com/documents/?uuid=ea849805-73c3-496a-aa3d-77857f88e657"]},{"id":"ITEM-2","itemData":{"DOI":"10.1186/1479-5876-11-225","ISSN":"1479-5876","author":[{"dropping-particle":"","family":"Xiao","given":"Bingxiu","non-dropping-particle":"","parse-names":false,"suffix":""},{"dropping-particle":"","family":"Xi","given":"Yang","non-dropping-particle":"","parse-names":false,"suffix":""},{"dropping-particle":"","family":"Zhang","given":"Sijie","non-dropping-particle":"","parse-names":false,"suffix":""},{"dropping-particle":"","family":"Guo","given":"Junming","non-dropping-particle":"","parse-names":false,"suffix":""},{"dropping-particle":"","family":"Xia","given":"Tian","non-dropping-particle":"","parse-names":false,"suffix":""},{"dropping-particle":"","family":"Ding","given":"Xiaoyun","non-dropping-particle":"","parse-names":false,"suffix":""},{"dropping-particle":"","family":"Liu","given":"Zhong","non-dropping-particle":"","parse-names":false,"suffix":""},{"dropping-particle":"","family":"Ye","given":"Guoliang","non-dropping-particle":"","parse-names":false,"suffix":""},{"dropping-particle":"","family":"Sun","given":"Weiliang","non-dropping-particle":"","parse-names":false,"suffix":""},{"dropping-particle":"","family":"Song","given":"Haojun","non-dropping-particle":"","parse-names":false,"suffix":""}],"container-title":"Journal of Translational Medicine","id":"ITEM-2","issue":"1","issued":{"date-parts":[["2013"]]},"page":"225","publisher":"Journal of Translational Medicine","title":"Long non-coding RNA expression profile in human gastric cancer and its clinical significances","type":"article-journal","volume":"11"},"uris":["http://www.mendeley.com/documents/?uuid=6e196140-eac2-47e9-b106-2b9367de2c9c","http://www.mendeley.com/documents/?uuid=da3947a1-a879-4290-a6d0-c984a1ffe69f"]}],"mendeley":{"formattedCitation":"&lt;sup&gt;[102,103]&lt;/sup&gt;","manualFormatting":"[90–91]","plainTextFormattedCitation":"[102,103]","previouslyFormattedCitation":"&lt;sup&gt;[102,103]&lt;/sup&gt;"},"properties":{"noteIndex":0},"schema":"https://github.com/citation-style-language/schema/raw/master/csl-citation.json"}</w:instrText>
      </w:r>
      <w:r w:rsidR="00783AE3" w:rsidRPr="005C7810">
        <w:rPr>
          <w:rFonts w:ascii="Book Antiqua" w:hAnsi="Book Antiqua" w:cs="Times New Roman"/>
          <w:color w:val="000000"/>
          <w:sz w:val="24"/>
          <w:szCs w:val="24"/>
          <w:lang w:val="en-US"/>
        </w:rPr>
        <w:fldChar w:fldCharType="separate"/>
      </w:r>
      <w:r w:rsidR="00E63194" w:rsidRPr="005C7810">
        <w:rPr>
          <w:rFonts w:ascii="Book Antiqua" w:hAnsi="Book Antiqua" w:cs="Times New Roman"/>
          <w:color w:val="000000"/>
          <w:sz w:val="24"/>
          <w:szCs w:val="24"/>
          <w:vertAlign w:val="superscript"/>
          <w:lang w:val="en-US"/>
        </w:rPr>
        <w:t>[102</w:t>
      </w:r>
      <w:r w:rsidR="00AE623A" w:rsidRPr="005C7810">
        <w:rPr>
          <w:rFonts w:ascii="Book Antiqua" w:hAnsi="Book Antiqua" w:cs="Times New Roman"/>
          <w:color w:val="000000"/>
          <w:sz w:val="24"/>
          <w:szCs w:val="24"/>
          <w:vertAlign w:val="superscript"/>
          <w:lang w:val="en-US"/>
        </w:rPr>
        <w:t>–</w:t>
      </w:r>
      <w:r w:rsidR="00E63194" w:rsidRPr="005C7810">
        <w:rPr>
          <w:rFonts w:ascii="Book Antiqua" w:hAnsi="Book Antiqua" w:cs="Times New Roman"/>
          <w:color w:val="000000"/>
          <w:sz w:val="24"/>
          <w:szCs w:val="24"/>
          <w:vertAlign w:val="superscript"/>
          <w:lang w:val="en-US"/>
        </w:rPr>
        <w:t>103</w:t>
      </w:r>
      <w:r w:rsidR="00783AE3" w:rsidRPr="005C7810">
        <w:rPr>
          <w:rFonts w:ascii="Book Antiqua" w:hAnsi="Book Antiqua" w:cs="Times New Roman"/>
          <w:color w:val="000000"/>
          <w:sz w:val="24"/>
          <w:szCs w:val="24"/>
          <w:vertAlign w:val="superscript"/>
          <w:lang w:val="en-US"/>
        </w:rPr>
        <w:t>]</w:t>
      </w:r>
      <w:r w:rsidR="00783AE3" w:rsidRPr="005C7810">
        <w:rPr>
          <w:rFonts w:ascii="Book Antiqua" w:hAnsi="Book Antiqua" w:cs="Times New Roman"/>
          <w:color w:val="000000"/>
          <w:sz w:val="24"/>
          <w:szCs w:val="24"/>
          <w:lang w:val="en-US"/>
        </w:rPr>
        <w:fldChar w:fldCharType="end"/>
      </w:r>
      <w:r w:rsidR="002D5FEE" w:rsidRPr="005C7810">
        <w:rPr>
          <w:rFonts w:ascii="Book Antiqua" w:hAnsi="Book Antiqua" w:cs="Times New Roman"/>
          <w:color w:val="000000"/>
          <w:sz w:val="24"/>
          <w:szCs w:val="24"/>
          <w:lang w:val="en-US"/>
        </w:rPr>
        <w:t>.</w:t>
      </w:r>
      <w:r w:rsidR="00611618" w:rsidRPr="005C7810">
        <w:rPr>
          <w:rFonts w:ascii="Book Antiqua" w:hAnsi="Book Antiqua" w:cs="Times New Roman"/>
          <w:color w:val="000000"/>
          <w:sz w:val="24"/>
          <w:szCs w:val="24"/>
          <w:lang w:val="en-US"/>
        </w:rPr>
        <w:t xml:space="preserve"> </w:t>
      </w:r>
      <w:r w:rsidR="002D5FEE" w:rsidRPr="005C7810">
        <w:rPr>
          <w:rFonts w:ascii="Book Antiqua" w:hAnsi="Book Antiqua" w:cs="Times New Roman"/>
          <w:color w:val="000000"/>
          <w:sz w:val="24"/>
          <w:szCs w:val="24"/>
          <w:lang w:val="en-US"/>
        </w:rPr>
        <w:t>Some lncRNAs are over</w:t>
      </w:r>
      <w:r w:rsidR="00291171" w:rsidRPr="005C7810">
        <w:rPr>
          <w:rFonts w:ascii="Book Antiqua" w:hAnsi="Book Antiqua" w:cs="Times New Roman"/>
          <w:color w:val="000000"/>
          <w:sz w:val="24"/>
          <w:szCs w:val="24"/>
          <w:lang w:val="en-US"/>
        </w:rPr>
        <w:t xml:space="preserve">expressed in GC compared to </w:t>
      </w:r>
      <w:r w:rsidR="005C0F9E" w:rsidRPr="005C7810">
        <w:rPr>
          <w:rFonts w:ascii="Book Antiqua" w:hAnsi="Book Antiqua" w:cs="Times New Roman"/>
          <w:color w:val="000000"/>
          <w:sz w:val="24"/>
          <w:szCs w:val="24"/>
          <w:lang w:val="en-US"/>
        </w:rPr>
        <w:t xml:space="preserve">healthy </w:t>
      </w:r>
      <w:r w:rsidR="00291171" w:rsidRPr="005C7810">
        <w:rPr>
          <w:rFonts w:ascii="Book Antiqua" w:hAnsi="Book Antiqua" w:cs="Times New Roman"/>
          <w:color w:val="000000"/>
          <w:sz w:val="24"/>
          <w:szCs w:val="24"/>
          <w:lang w:val="en-US"/>
        </w:rPr>
        <w:t>control tissue and may</w:t>
      </w:r>
      <w:r w:rsidR="003B6DC5" w:rsidRPr="005C7810">
        <w:rPr>
          <w:rFonts w:ascii="Book Antiqua" w:hAnsi="Book Antiqua" w:cs="Times New Roman"/>
          <w:color w:val="000000"/>
          <w:sz w:val="24"/>
          <w:szCs w:val="24"/>
          <w:lang w:val="en-US"/>
        </w:rPr>
        <w:t xml:space="preserve"> </w:t>
      </w:r>
      <w:r w:rsidR="00291171" w:rsidRPr="005C7810">
        <w:rPr>
          <w:rFonts w:ascii="Book Antiqua" w:hAnsi="Book Antiqua" w:cs="Times New Roman"/>
          <w:color w:val="000000"/>
          <w:sz w:val="24"/>
          <w:szCs w:val="24"/>
          <w:lang w:val="en-US"/>
        </w:rPr>
        <w:t>be prognos</w:t>
      </w:r>
      <w:r w:rsidR="003B6DC5" w:rsidRPr="005C7810">
        <w:rPr>
          <w:rFonts w:ascii="Book Antiqua" w:hAnsi="Book Antiqua" w:cs="Times New Roman"/>
          <w:color w:val="000000"/>
          <w:sz w:val="24"/>
          <w:szCs w:val="24"/>
          <w:lang w:val="en-US"/>
        </w:rPr>
        <w:t xml:space="preserve">tic </w:t>
      </w:r>
      <w:r w:rsidR="00291171" w:rsidRPr="005C7810">
        <w:rPr>
          <w:rFonts w:ascii="Book Antiqua" w:hAnsi="Book Antiqua" w:cs="Times New Roman"/>
          <w:color w:val="000000"/>
          <w:sz w:val="24"/>
          <w:szCs w:val="24"/>
          <w:lang w:val="en-US"/>
        </w:rPr>
        <w:t>markers</w:t>
      </w:r>
      <w:r w:rsidR="00783AE3" w:rsidRPr="005C7810">
        <w:rPr>
          <w:rFonts w:ascii="Book Antiqua" w:hAnsi="Book Antiqua" w:cs="Times New Roman"/>
          <w:color w:val="000000"/>
          <w:sz w:val="24"/>
          <w:szCs w:val="24"/>
          <w:lang w:val="en-US"/>
        </w:rPr>
        <w:fldChar w:fldCharType="begin" w:fldLock="1"/>
      </w:r>
      <w:r w:rsidR="00CD6F75" w:rsidRPr="005C7810">
        <w:rPr>
          <w:rFonts w:ascii="Book Antiqua" w:hAnsi="Book Antiqua" w:cs="Times New Roman"/>
          <w:color w:val="000000"/>
          <w:sz w:val="24"/>
          <w:szCs w:val="24"/>
          <w:lang w:val="en-US"/>
        </w:rPr>
        <w:instrText>ADDIN CSL_CITATION {"citationItems":[{"id":"ITEM-1","itemData":{"DOI":"10.4149/314_150825N45","ISSN":"13384317","abstract":"Emerging evidences indicate that dysregulated long noncoding RNAs (lncRNAs) are implicated in cancer tumorigenesis and progression and might be used as diagnosis and prognosis biomarker, or potential therapeutic targets. LncRNA PVT1 has been reported to be upregulated in diverse human cancers; however, its clinical significance in gastric cancer (GC) remains elusive. This study was to evaluate the expression of PVT1 in GC and further explore its clinical significance.Previous microarray datasets were analyzed to conduct a preliminary screening for candidate lncRNAs of gastric cancer biomarkers in human gastric cancer tissues. Expression levels of PVT1 in 111pairs of gastric cancer and adjacent normal tissues, gastric cancer cell lines and gastric cancer juices compared to their corresponding controls were detected by real-time quantitative RT-PCR assay. A receiver operating characteristic (ROC) curve and Kaplan-Meier analysis were constructed to evaluate the diagnostic and prognostic values. Univariate and multivariate analysis were performed using the Cox proportional hazard analysis.PVT1 expression was remarkably increased in gastric cancer tissues and cell lines compared with that in the normal control, and its up-regulation was significantly correlated to invasion depth (P &lt; 0.001), advanced TNM stage (P = 0.002) and regional lymph nodes metastasis (P &lt; 0.001) in gastric cancer. PVT1 levels were robust in differentiating gastric cancer tissues from controls [area under the curve (AUC) = 0.728; 95 % con fi dence interval (CI) = 0.665-0.786, p&lt;0.01]. Kaplan-Meier analysis demonstrated that increased PVT1 expression contributed to poor overall survival (P &lt; 0.01) and disease-free survival (P &lt; 0.01) of patients. A multivariate survival analysis also indicated that PVT1 could be an independent prognostic marker. The levels of PVT1 in gastric juice from gastric patients were signi fi cantly higher than those from normal subjects (P = 0.03). PVT1 might serve as a promising biomarker for early detection and prognosis prediction of gastric cancer.","author":[{"dropping-particle":"","family":"Yuan","given":"C. L.","non-dropping-particle":"","parse-names":false,"suffix":""},{"dropping-particle":"","family":"Li","given":"H.","non-dropping-particle":"","parse-names":false,"suffix":""},{"dropping-particle":"","family":"Zhu","given":"L.","non-dropping-particle":"","parse-names":false,"suffix":""},{"dropping-particle":"","family":"Liu","given":"Z.","non-dropping-particle":"","parse-names":false,"suffix":""},{"dropping-particle":"","family":"Zhou","given":"J.","non-dropping-particle":"","parse-names":false,"suffix":""},{"dropping-particle":"","family":"Shu","given":"Y.","non-dropping-particle":"","parse-names":false,"suffix":""}],"container-title":"Neoplasma","id":"ITEM-1","issue":"3","issued":{"date-parts":[["2016"]]},"page":"442-449","title":"Aberrant expression of long noncoding RNA PVT1 and its diagnostic and prognostic significance in patients with gastric cancer","type":"article-journal","volume":"63"},"uris":["http://www.mendeley.com/documents/?uuid=d539cae9-5972-4be6-a406-3dfae4682554","http://www.mendeley.com/documents/?uuid=6a1146c9-227b-4912-9a81-ba53168a46cc"]},{"id":"ITEM-2","itemData":{"DOI":"10.1371/journal.pone.0090008","ISSN":"19326203","abstract":"Gastric cancer including the cardia and non-cardia types is the second frequent cause of cancer-related deaths worldwide. A subset of non-cardia gastric cancer genetic susceptibility loci have been addressed among Asian through genome-wide association studies (GWASs). This study was to evaluate the effects of single nucleotide polymorphisms (SNPs) of long intergenic non-coding RNAs (lincRNAs) on non-cardia gastric cancer susceptibility in Chinese populations. We selected long intergenic noncoding RNAs (lincRNAs) located in non-cardia gastric cancer risk-related loci and identified 10 SNPs located within lincRNA exonic regions. We examined whether genetic polymorphisms in lincRNAs exons are associated with non-cardia gastric cancer risk in 438 non-cardia gastric cancer patients and 727 control subjects in Chinese populations using logistic regression. Functional relevance was further examined by biochemical assays. We found that lincRNA-NR_024015 rs8506AA carrier was significantly associated with risk of non-cardia gastric cancer (adjusted odds ratio [OR]</w:instrText>
      </w:r>
      <w:r w:rsidR="00CD6F75" w:rsidRPr="005C7810">
        <w:rPr>
          <w:rFonts w:ascii="Times New Roman" w:hAnsi="Times New Roman" w:cs="Times New Roman"/>
          <w:color w:val="000000"/>
          <w:sz w:val="24"/>
          <w:szCs w:val="24"/>
          <w:lang w:val="en-US"/>
        </w:rPr>
        <w:instrText> </w:instrText>
      </w:r>
      <w:r w:rsidR="00CD6F75" w:rsidRPr="005C7810">
        <w:rPr>
          <w:rFonts w:ascii="Book Antiqua" w:hAnsi="Book Antiqua" w:cs="Times New Roman"/>
          <w:color w:val="000000"/>
          <w:sz w:val="24"/>
          <w:szCs w:val="24"/>
          <w:lang w:val="en-US"/>
        </w:rPr>
        <w:instrText>=</w:instrText>
      </w:r>
      <w:r w:rsidR="00CD6F75" w:rsidRPr="005C7810">
        <w:rPr>
          <w:rFonts w:ascii="Times New Roman" w:hAnsi="Times New Roman" w:cs="Times New Roman"/>
          <w:color w:val="000000"/>
          <w:sz w:val="24"/>
          <w:szCs w:val="24"/>
          <w:lang w:val="en-US"/>
        </w:rPr>
        <w:instrText> </w:instrText>
      </w:r>
      <w:r w:rsidR="00CD6F75" w:rsidRPr="005C7810">
        <w:rPr>
          <w:rFonts w:ascii="Book Antiqua" w:hAnsi="Book Antiqua" w:cs="Times New Roman"/>
          <w:color w:val="000000"/>
          <w:sz w:val="24"/>
          <w:szCs w:val="24"/>
          <w:lang w:val="en-US"/>
        </w:rPr>
        <w:instrText>1.56, 95%CI</w:instrText>
      </w:r>
      <w:r w:rsidR="00CD6F75" w:rsidRPr="005C7810">
        <w:rPr>
          <w:rFonts w:ascii="Times New Roman" w:hAnsi="Times New Roman" w:cs="Times New Roman"/>
          <w:color w:val="000000"/>
          <w:sz w:val="24"/>
          <w:szCs w:val="24"/>
          <w:lang w:val="en-US"/>
        </w:rPr>
        <w:instrText> </w:instrText>
      </w:r>
      <w:r w:rsidR="00CD6F75" w:rsidRPr="005C7810">
        <w:rPr>
          <w:rFonts w:ascii="Book Antiqua" w:hAnsi="Book Antiqua" w:cs="Times New Roman"/>
          <w:color w:val="000000"/>
          <w:sz w:val="24"/>
          <w:szCs w:val="24"/>
          <w:lang w:val="en-US"/>
        </w:rPr>
        <w:instrText>=</w:instrText>
      </w:r>
      <w:r w:rsidR="00CD6F75" w:rsidRPr="005C7810">
        <w:rPr>
          <w:rFonts w:ascii="Times New Roman" w:hAnsi="Times New Roman" w:cs="Times New Roman"/>
          <w:color w:val="000000"/>
          <w:sz w:val="24"/>
          <w:szCs w:val="24"/>
          <w:lang w:val="en-US"/>
        </w:rPr>
        <w:instrText> </w:instrText>
      </w:r>
      <w:r w:rsidR="00CD6F75" w:rsidRPr="005C7810">
        <w:rPr>
          <w:rFonts w:ascii="Book Antiqua" w:hAnsi="Book Antiqua" w:cs="Times New Roman"/>
          <w:color w:val="000000"/>
          <w:sz w:val="24"/>
          <w:szCs w:val="24"/>
          <w:lang w:val="en-US"/>
        </w:rPr>
        <w:instrText>1.03-2.39, compared with the rs8506 AG or GG genotype. Further stratification analysis showed that the risk effect was more pronounced in subgroups of smokers (P</w:instrText>
      </w:r>
      <w:r w:rsidR="00CD6F75" w:rsidRPr="005C7810">
        <w:rPr>
          <w:rFonts w:ascii="Times New Roman" w:hAnsi="Times New Roman" w:cs="Times New Roman"/>
          <w:color w:val="000000"/>
          <w:sz w:val="24"/>
          <w:szCs w:val="24"/>
          <w:lang w:val="en-US"/>
        </w:rPr>
        <w:instrText> </w:instrText>
      </w:r>
      <w:r w:rsidR="00CD6F75" w:rsidRPr="005C7810">
        <w:rPr>
          <w:rFonts w:ascii="Book Antiqua" w:hAnsi="Book Antiqua" w:cs="Times New Roman"/>
          <w:color w:val="000000"/>
          <w:sz w:val="24"/>
          <w:szCs w:val="24"/>
          <w:lang w:val="en-US"/>
        </w:rPr>
        <w:instrText>=</w:instrText>
      </w:r>
      <w:r w:rsidR="00CD6F75" w:rsidRPr="005C7810">
        <w:rPr>
          <w:rFonts w:ascii="Times New Roman" w:hAnsi="Times New Roman" w:cs="Times New Roman"/>
          <w:color w:val="000000"/>
          <w:sz w:val="24"/>
          <w:szCs w:val="24"/>
          <w:lang w:val="en-US"/>
        </w:rPr>
        <w:instrText> </w:instrText>
      </w:r>
      <w:r w:rsidR="00CD6F75" w:rsidRPr="005C7810">
        <w:rPr>
          <w:rFonts w:ascii="Book Antiqua" w:hAnsi="Book Antiqua" w:cs="Times New Roman"/>
          <w:color w:val="000000"/>
          <w:sz w:val="24"/>
          <w:szCs w:val="24"/>
          <w:lang w:val="en-US"/>
        </w:rPr>
        <w:instrText>0.001). Biochemical analysis demonstrated that the G to A base change at rs8506G&gt;A disrupts the binding site for has-miR-526b, thereby influencing the transcriptional activity of lincRNA-NR_024015 and affecting cell proliferation. Our present study established a robust association between the rs8506G&gt;A polymorphism in the lincRNA-NR_024015 exon and the risk of non-cardia gastric cancer.","author":[{"dropping-particle":"","family":"Fan","given":"Qiu Hong","non-dropping-particle":"","parse-names":false,"suffix":""},{"dropping-particle":"","family":"Yu","given":"Rong","non-dropping-particle":"","parse-names":false,"suffix":""},{"dropping-particle":"","family":"Huang","given":"Wei Xian","non-dropping-particle":"","parse-names":false,"suffix":""},{"dropping-particle":"","family":"Cui","given":"Xi Xi","non-dropping-particle":"","parse-names":false,"suffix":""},{"dropping-particle":"","family":"Luo","given":"Bing Hui","non-dropping-particle":"","parse-names":false,"suffix":""},{"dropping-particle":"","family":"Zhang","given":"Li Yuan","non-dropping-particle":"","parse-names":false,"suffix":""}],"container-title":"PLoS ONE","id":"ITEM-2","issue":"3","issued":{"date-parts":[["2014"]]},"page":"1-9","title":"The has-miR-526b binding-site rs8506G&gt;A polymorphism in the lincRNA-NR-024015 exon identified by GWASs predispose to non-cardia gastric cancer risk","type":"article-journal","volume":"9"},"uris":["http://www.mendeley.com/documents/?uuid=edb4e48c-677b-4c7e-a353-3da129af976c","http://www.mendeley.com/documents/?uuid=9f4ffc11-9489-4261-8601-c81c24b61e7d"]}],"mendeley":{"formattedCitation":"&lt;sup&gt;[104,105]&lt;/sup&gt;","manualFormatting":"[92–93]","plainTextFormattedCitation":"[104,105]","previouslyFormattedCitation":"&lt;sup&gt;[104,105]&lt;/sup&gt;"},"properties":{"noteIndex":0},"schema":"https://github.com/citation-style-language/schema/raw/master/csl-citation.json"}</w:instrText>
      </w:r>
      <w:r w:rsidR="00783AE3" w:rsidRPr="005C7810">
        <w:rPr>
          <w:rFonts w:ascii="Book Antiqua" w:hAnsi="Book Antiqua" w:cs="Times New Roman"/>
          <w:color w:val="000000"/>
          <w:sz w:val="24"/>
          <w:szCs w:val="24"/>
          <w:lang w:val="en-US"/>
        </w:rPr>
        <w:fldChar w:fldCharType="separate"/>
      </w:r>
      <w:r w:rsidR="00E63194" w:rsidRPr="005C7810">
        <w:rPr>
          <w:rFonts w:ascii="Book Antiqua" w:hAnsi="Book Antiqua" w:cs="Times New Roman"/>
          <w:color w:val="000000"/>
          <w:sz w:val="24"/>
          <w:szCs w:val="24"/>
          <w:vertAlign w:val="superscript"/>
          <w:lang w:val="en-US"/>
        </w:rPr>
        <w:t>[104</w:t>
      </w:r>
      <w:r w:rsidR="009131DA" w:rsidRPr="005C7810">
        <w:rPr>
          <w:rFonts w:ascii="Book Antiqua" w:hAnsi="Book Antiqua" w:cs="Times New Roman"/>
          <w:color w:val="000000"/>
          <w:sz w:val="24"/>
          <w:szCs w:val="24"/>
          <w:vertAlign w:val="superscript"/>
          <w:lang w:val="en-US"/>
        </w:rPr>
        <w:t>,</w:t>
      </w:r>
      <w:r w:rsidR="00E63194" w:rsidRPr="005C7810">
        <w:rPr>
          <w:rFonts w:ascii="Book Antiqua" w:hAnsi="Book Antiqua" w:cs="Times New Roman"/>
          <w:color w:val="000000"/>
          <w:sz w:val="24"/>
          <w:szCs w:val="24"/>
          <w:vertAlign w:val="superscript"/>
          <w:lang w:val="en-US"/>
        </w:rPr>
        <w:t>105</w:t>
      </w:r>
      <w:r w:rsidR="00783AE3" w:rsidRPr="005C7810">
        <w:rPr>
          <w:rFonts w:ascii="Book Antiqua" w:hAnsi="Book Antiqua" w:cs="Times New Roman"/>
          <w:color w:val="000000"/>
          <w:sz w:val="24"/>
          <w:szCs w:val="24"/>
          <w:vertAlign w:val="superscript"/>
          <w:lang w:val="en-US"/>
        </w:rPr>
        <w:t>]</w:t>
      </w:r>
      <w:r w:rsidR="00783AE3" w:rsidRPr="005C7810">
        <w:rPr>
          <w:rFonts w:ascii="Book Antiqua" w:hAnsi="Book Antiqua" w:cs="Times New Roman"/>
          <w:color w:val="000000"/>
          <w:sz w:val="24"/>
          <w:szCs w:val="24"/>
          <w:lang w:val="en-US"/>
        </w:rPr>
        <w:fldChar w:fldCharType="end"/>
      </w:r>
      <w:r w:rsidR="00535860" w:rsidRPr="005C7810">
        <w:rPr>
          <w:rFonts w:ascii="Book Antiqua" w:hAnsi="Book Antiqua" w:cs="Times New Roman"/>
          <w:color w:val="000000"/>
          <w:sz w:val="24"/>
          <w:szCs w:val="24"/>
          <w:lang w:val="en-US"/>
        </w:rPr>
        <w:t xml:space="preserve">. </w:t>
      </w:r>
      <w:r w:rsidR="00291171" w:rsidRPr="005C7810">
        <w:rPr>
          <w:rFonts w:ascii="Book Antiqua" w:hAnsi="Book Antiqua" w:cs="Times New Roman"/>
          <w:color w:val="000000"/>
          <w:sz w:val="24"/>
          <w:szCs w:val="24"/>
          <w:lang w:val="en-US"/>
        </w:rPr>
        <w:t xml:space="preserve">However, further studies are needed to </w:t>
      </w:r>
      <w:r w:rsidR="003B6DC5" w:rsidRPr="005C7810">
        <w:rPr>
          <w:rFonts w:ascii="Book Antiqua" w:hAnsi="Book Antiqua" w:cs="Times New Roman"/>
          <w:color w:val="000000"/>
          <w:sz w:val="24"/>
          <w:szCs w:val="24"/>
          <w:lang w:val="en-US"/>
        </w:rPr>
        <w:t xml:space="preserve">determine </w:t>
      </w:r>
      <w:r w:rsidR="00291171" w:rsidRPr="005C7810">
        <w:rPr>
          <w:rFonts w:ascii="Book Antiqua" w:hAnsi="Book Antiqua" w:cs="Times New Roman"/>
          <w:color w:val="000000"/>
          <w:sz w:val="24"/>
          <w:szCs w:val="24"/>
          <w:lang w:val="en-US"/>
        </w:rPr>
        <w:t xml:space="preserve">their possible clinical use. </w:t>
      </w:r>
    </w:p>
    <w:p w:rsidR="009E0B2C" w:rsidRPr="005C7810" w:rsidRDefault="009E0B2C" w:rsidP="00CD380F">
      <w:pPr>
        <w:shd w:val="clear" w:color="auto" w:fill="FFFFFF"/>
        <w:snapToGrid w:val="0"/>
        <w:spacing w:after="0" w:line="360" w:lineRule="auto"/>
        <w:jc w:val="both"/>
        <w:rPr>
          <w:rFonts w:ascii="Book Antiqua" w:hAnsi="Book Antiqua" w:cs="Times New Roman"/>
          <w:sz w:val="24"/>
          <w:szCs w:val="24"/>
          <w:lang w:val="en-US"/>
        </w:rPr>
      </w:pPr>
    </w:p>
    <w:p w:rsidR="00B8125B" w:rsidRPr="005C7810" w:rsidRDefault="004C0A78" w:rsidP="00CD380F">
      <w:pPr>
        <w:snapToGrid w:val="0"/>
        <w:spacing w:after="0" w:line="360" w:lineRule="auto"/>
        <w:jc w:val="both"/>
        <w:rPr>
          <w:rFonts w:ascii="Book Antiqua" w:hAnsi="Book Antiqua" w:cs="Times New Roman"/>
          <w:b/>
          <w:i/>
          <w:sz w:val="24"/>
          <w:szCs w:val="24"/>
          <w:lang w:val="en-US"/>
        </w:rPr>
      </w:pPr>
      <w:r w:rsidRPr="005C7810">
        <w:rPr>
          <w:rFonts w:ascii="Book Antiqua" w:hAnsi="Book Antiqua" w:cs="Times New Roman"/>
          <w:b/>
          <w:i/>
          <w:sz w:val="24"/>
          <w:szCs w:val="24"/>
          <w:lang w:val="en-US"/>
        </w:rPr>
        <w:t>Biomarkers for targeted therapy</w:t>
      </w:r>
    </w:p>
    <w:p w:rsidR="00BF6851" w:rsidRPr="005C7810" w:rsidRDefault="00B8125B" w:rsidP="00CD380F">
      <w:pPr>
        <w:shd w:val="clear" w:color="auto" w:fill="FFFFFF"/>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 xml:space="preserve">Surgery is the elective treatment </w:t>
      </w:r>
      <w:r w:rsidR="003C2268" w:rsidRPr="005C7810">
        <w:rPr>
          <w:rFonts w:ascii="Book Antiqua" w:hAnsi="Book Antiqua" w:cs="Times New Roman"/>
          <w:sz w:val="24"/>
          <w:szCs w:val="24"/>
          <w:lang w:val="en-US"/>
        </w:rPr>
        <w:t>for</w:t>
      </w:r>
      <w:r w:rsidRPr="005C7810">
        <w:rPr>
          <w:rFonts w:ascii="Book Antiqua" w:hAnsi="Book Antiqua" w:cs="Times New Roman"/>
          <w:sz w:val="24"/>
          <w:szCs w:val="24"/>
          <w:lang w:val="en-US"/>
        </w:rPr>
        <w:t xml:space="preserve"> many stages of GC. In a patient with GC at stage 0, I, II</w:t>
      </w:r>
      <w:r w:rsidR="00AE623A"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or III, surgery (often together with other treatments) </w:t>
      </w:r>
      <w:r w:rsidR="003C2268" w:rsidRPr="005C7810">
        <w:rPr>
          <w:rFonts w:ascii="Book Antiqua" w:hAnsi="Book Antiqua" w:cs="Times New Roman"/>
          <w:sz w:val="24"/>
          <w:szCs w:val="24"/>
          <w:lang w:val="en-US"/>
        </w:rPr>
        <w:t xml:space="preserve">is </w:t>
      </w:r>
      <w:r w:rsidRPr="005C7810">
        <w:rPr>
          <w:rFonts w:ascii="Book Antiqua" w:hAnsi="Book Antiqua" w:cs="Times New Roman"/>
          <w:sz w:val="24"/>
          <w:szCs w:val="24"/>
          <w:lang w:val="en-US"/>
        </w:rPr>
        <w:t>currently the only treatment. Depending on the type and stage of GC, it is possible with surgery to remove all or part of the stomach including the nearby lymph nodes</w:t>
      </w:r>
      <w:r w:rsidR="005B5D85" w:rsidRPr="005C7810">
        <w:rPr>
          <w:rFonts w:ascii="Book Antiqua" w:hAnsi="Book Antiqua" w:cs="Times New Roman"/>
          <w:sz w:val="24"/>
          <w:szCs w:val="24"/>
          <w:lang w:val="en-US"/>
        </w:rPr>
        <w:t xml:space="preserve"> (the principles)</w:t>
      </w:r>
      <w:r w:rsidRPr="005C7810">
        <w:rPr>
          <w:rFonts w:ascii="Book Antiqua" w:hAnsi="Book Antiqua" w:cs="Times New Roman"/>
          <w:sz w:val="24"/>
          <w:szCs w:val="24"/>
          <w:lang w:val="en-US"/>
        </w:rPr>
        <w:t>.</w:t>
      </w:r>
      <w:r w:rsidR="00843848"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Even when the tumor is too widespread to be removed entirely, patients can be helped by surgery because it can help prevent bleeding from the tumor or </w:t>
      </w:r>
      <w:r w:rsidR="00CB2E2C" w:rsidRPr="005C7810">
        <w:rPr>
          <w:rFonts w:ascii="Book Antiqua" w:hAnsi="Book Antiqua" w:cs="Times New Roman"/>
          <w:sz w:val="24"/>
          <w:szCs w:val="24"/>
          <w:lang w:val="en-US"/>
        </w:rPr>
        <w:t xml:space="preserve">remove </w:t>
      </w:r>
      <w:r w:rsidRPr="005C7810">
        <w:rPr>
          <w:rFonts w:ascii="Book Antiqua" w:hAnsi="Book Antiqua" w:cs="Times New Roman"/>
          <w:sz w:val="24"/>
          <w:szCs w:val="24"/>
          <w:lang w:val="en-US"/>
        </w:rPr>
        <w:t xml:space="preserve">stomach </w:t>
      </w:r>
      <w:r w:rsidR="00CB2E2C" w:rsidRPr="005C7810">
        <w:rPr>
          <w:rFonts w:ascii="Book Antiqua" w:hAnsi="Book Antiqua" w:cs="Times New Roman"/>
          <w:sz w:val="24"/>
          <w:szCs w:val="24"/>
          <w:lang w:val="en-US"/>
        </w:rPr>
        <w:t>obstruction due to tumor growth</w:t>
      </w:r>
      <w:r w:rsidRPr="005C7810">
        <w:rPr>
          <w:rFonts w:ascii="Book Antiqua" w:hAnsi="Book Antiqua" w:cs="Times New Roman"/>
          <w:sz w:val="24"/>
          <w:szCs w:val="24"/>
          <w:lang w:val="en-US"/>
        </w:rPr>
        <w:t>. This</w:t>
      </w:r>
      <w:r w:rsidR="00A75FAE" w:rsidRPr="005C7810">
        <w:rPr>
          <w:rFonts w:ascii="Book Antiqua" w:hAnsi="Book Antiqua" w:cs="Times New Roman"/>
          <w:sz w:val="24"/>
          <w:szCs w:val="24"/>
          <w:lang w:val="en-US"/>
        </w:rPr>
        <w:t xml:space="preserve"> is termed</w:t>
      </w:r>
      <w:r w:rsidRPr="005C7810">
        <w:rPr>
          <w:rFonts w:ascii="Book Antiqua" w:hAnsi="Book Antiqua" w:cs="Times New Roman"/>
          <w:sz w:val="24"/>
          <w:szCs w:val="24"/>
          <w:lang w:val="en-US"/>
        </w:rPr>
        <w:t xml:space="preserve"> palliative surgery because it allows t</w:t>
      </w:r>
      <w:r w:rsidR="00A75FAE" w:rsidRPr="005C7810">
        <w:rPr>
          <w:rFonts w:ascii="Book Antiqua" w:hAnsi="Book Antiqua" w:cs="Times New Roman"/>
          <w:sz w:val="24"/>
          <w:szCs w:val="24"/>
          <w:lang w:val="en-US"/>
        </w:rPr>
        <w:t>he</w:t>
      </w:r>
      <w:r w:rsidRPr="005C7810">
        <w:rPr>
          <w:rFonts w:ascii="Book Antiqua" w:hAnsi="Book Antiqua" w:cs="Times New Roman"/>
          <w:sz w:val="24"/>
          <w:szCs w:val="24"/>
          <w:lang w:val="en-US"/>
        </w:rPr>
        <w:t xml:space="preserve"> reduc</w:t>
      </w:r>
      <w:r w:rsidR="00A75FAE" w:rsidRPr="005C7810">
        <w:rPr>
          <w:rFonts w:ascii="Book Antiqua" w:hAnsi="Book Antiqua" w:cs="Times New Roman"/>
          <w:sz w:val="24"/>
          <w:szCs w:val="24"/>
          <w:lang w:val="en-US"/>
        </w:rPr>
        <w:t>tion</w:t>
      </w:r>
      <w:r w:rsidRPr="005C7810">
        <w:rPr>
          <w:rFonts w:ascii="Book Antiqua" w:hAnsi="Book Antiqua" w:cs="Times New Roman"/>
          <w:sz w:val="24"/>
          <w:szCs w:val="24"/>
          <w:lang w:val="en-US"/>
        </w:rPr>
        <w:t xml:space="preserve"> or prevent</w:t>
      </w:r>
      <w:r w:rsidR="00A75FAE" w:rsidRPr="005C7810">
        <w:rPr>
          <w:rFonts w:ascii="Book Antiqua" w:hAnsi="Book Antiqua" w:cs="Times New Roman"/>
          <w:sz w:val="24"/>
          <w:szCs w:val="24"/>
          <w:lang w:val="en-US"/>
        </w:rPr>
        <w:t>ion of</w:t>
      </w:r>
      <w:r w:rsidRPr="005C7810">
        <w:rPr>
          <w:rFonts w:ascii="Book Antiqua" w:hAnsi="Book Antiqua" w:cs="Times New Roman"/>
          <w:sz w:val="24"/>
          <w:szCs w:val="24"/>
          <w:lang w:val="en-US"/>
        </w:rPr>
        <w:t xml:space="preserve"> symptoms, but is not indicated for the treatment of GC</w:t>
      </w:r>
      <w:r w:rsidR="004D53BE" w:rsidRPr="005C7810">
        <w:rPr>
          <w:rFonts w:ascii="Book Antiqua" w:hAnsi="Book Antiqua" w:cs="Times New Roman"/>
          <w:sz w:val="24"/>
          <w:szCs w:val="24"/>
          <w:vertAlign w:val="superscript"/>
          <w:lang w:val="en-US"/>
        </w:rPr>
        <w:fldChar w:fldCharType="begin" w:fldLock="1"/>
      </w:r>
      <w:r w:rsidR="00CD6F75" w:rsidRPr="005C7810">
        <w:rPr>
          <w:rFonts w:ascii="Book Antiqua" w:hAnsi="Book Antiqua" w:cs="Times New Roman"/>
          <w:sz w:val="24"/>
          <w:szCs w:val="24"/>
          <w:vertAlign w:val="superscript"/>
          <w:lang w:val="en-US"/>
        </w:rPr>
        <w:instrText>ADDIN CSL_CITATION {"citationItems":[{"id":"ITEM-1","itemData":{"DOI":"10.1016/j.soc.2004.03.004","ISSN":"10553207","abstract":"The effective palliation of symptoms associated with any advanced cancer requires the highest level of surgical judgment. Important considerations relate to the medical condition and performance status of the patient, the extent and prognosis of the cancer, the potential for a curative procedure, knowledge of the natural history of the primary and secondary symptoms, potential durability of the intervention, and the expectancy and quality of life of the patient [29]. The goals of each patient's treatment are clarified and defined through a complex and dynamic palliative triangle consisting of the individual, family members, and practitioners, who weigh the patient's complaints, values, and social and emotional support against the medical and surgical alternatives [31]. Although such an approach to surgical palliation limits the ability to determine the procedure-specific clinical superiority, it allows improved palliative surgical care by stressing decision-making based on the unique circumstances of the individual patients. Carefully defining surgical palliation in patients with advanced gastric cancer as a procedure performed to relieve symptoms or improve quality of life, helps to frame relevant information on anticipated survival, effectiveness, and risk when making clinical decisions. Although procedures for advanced gastric cancer may provide successful palliation for patients, potential benefits must be balanced against the extent of disease, anticipated survival, duration of hospitalization, treatment of complications, and requirements for additional palliation. The role of surgery in the palliation of advance gastric cancer continues to evolve. Recommendations from the literature are difficult to interpret because of imprecise definitions of palliation and inappropriate study design. Specific indications for palliative resection, surgical bypass, or endoscopic palliation remain undefined. Carefully selected patients may benefit from specific palliative interventions in appropriate circumstances. Palliative gastrectomy, including total gastrectomy and esophagogastrectomy, may be indicated in highly selected patients but should be approached with caution because the morbidity of these procedures is greater, and complications can significantly diminish the period of time during which patients are not being treated for symptoms or toxicity of treatment. Although minimally invasive palliative procedures for gastric cancer may be attractive because o…","author":[{"dropping-particle":"","family":"Miner","given":"Thomas J.","non-dropping-particle":"","parse-names":false,"suffix":""},{"dropping-particle":"","family":"Karpeh","given":"Martin S.","non-dropping-particle":"","parse-names":false,"suffix":""}],"container-title":"Surgical Oncology Clinics of North America","id":"ITEM-1","issue":"3","issued":{"date-parts":[["2004"]]},"page":"455-466","title":"Gastrectomy for gastric cancer: Defining critical elements of patient selection and outcome assessment","type":"article-journal","volume":"13"},"uris":["http://www.mendeley.com/documents/?uuid=bd187fe2-265e-40f0-b38f-5a1afd706eb0","http://www.mendeley.com/documents/?uuid=ccc38334-a25a-4d23-8a97-e1450a1822fd"]}],"mendeley":{"formattedCitation":"&lt;sup&gt;[106]&lt;/sup&gt;","plainTextFormattedCitation":"[106]","previouslyFormattedCitation":"&lt;sup&gt;[106]&lt;/sup&gt;"},"properties":{"noteIndex":0},"schema":"https://github.com/citation-style-language/schema/raw/master/csl-citation.json"}</w:instrText>
      </w:r>
      <w:r w:rsidR="004D53BE" w:rsidRPr="005C7810">
        <w:rPr>
          <w:rFonts w:ascii="Book Antiqua" w:hAnsi="Book Antiqua" w:cs="Times New Roman"/>
          <w:sz w:val="24"/>
          <w:szCs w:val="24"/>
          <w:vertAlign w:val="superscript"/>
          <w:lang w:val="en-US"/>
        </w:rPr>
        <w:fldChar w:fldCharType="separate"/>
      </w:r>
      <w:r w:rsidR="00181983" w:rsidRPr="005C7810">
        <w:rPr>
          <w:rFonts w:ascii="Book Antiqua" w:hAnsi="Book Antiqua" w:cs="Times New Roman"/>
          <w:sz w:val="24"/>
          <w:szCs w:val="24"/>
          <w:vertAlign w:val="superscript"/>
          <w:lang w:val="en-US"/>
        </w:rPr>
        <w:t>[106]</w:t>
      </w:r>
      <w:r w:rsidR="004D53BE" w:rsidRPr="005C7810">
        <w:rPr>
          <w:rFonts w:ascii="Book Antiqua" w:hAnsi="Book Antiqua" w:cs="Times New Roman"/>
          <w:sz w:val="24"/>
          <w:szCs w:val="24"/>
          <w:vertAlign w:val="superscript"/>
          <w:lang w:val="en-US"/>
        </w:rPr>
        <w:fldChar w:fldCharType="end"/>
      </w:r>
      <w:r w:rsidR="004A0AC9" w:rsidRPr="005C7810">
        <w:rPr>
          <w:rFonts w:ascii="Book Antiqua" w:hAnsi="Book Antiqua" w:cs="Times New Roman"/>
          <w:sz w:val="24"/>
          <w:szCs w:val="24"/>
          <w:lang w:val="en-US"/>
        </w:rPr>
        <w:t xml:space="preserve">. </w:t>
      </w:r>
    </w:p>
    <w:p w:rsidR="00D32FF3" w:rsidRPr="005C7810" w:rsidRDefault="003B649A" w:rsidP="00CD380F">
      <w:pPr>
        <w:suppressAutoHyphens w:val="0"/>
        <w:autoSpaceDE w:val="0"/>
        <w:autoSpaceDN w:val="0"/>
        <w:adjustRightInd w:val="0"/>
        <w:spacing w:after="0" w:line="360" w:lineRule="auto"/>
        <w:jc w:val="both"/>
        <w:rPr>
          <w:rFonts w:ascii="Book Antiqua" w:hAnsi="Book Antiqua" w:cs="Times New Roman"/>
          <w:color w:val="000000"/>
          <w:sz w:val="24"/>
          <w:szCs w:val="24"/>
          <w:lang w:val="en-US"/>
        </w:rPr>
      </w:pPr>
      <w:r w:rsidRPr="005C7810">
        <w:rPr>
          <w:rFonts w:ascii="Book Antiqua" w:hAnsi="Book Antiqua" w:cs="Times New Roman"/>
          <w:color w:val="000000"/>
          <w:sz w:val="24"/>
          <w:szCs w:val="24"/>
          <w:lang w:val="en-US"/>
        </w:rPr>
        <w:tab/>
      </w:r>
      <w:r w:rsidR="00D32FF3" w:rsidRPr="005C7810">
        <w:rPr>
          <w:rFonts w:ascii="Book Antiqua" w:hAnsi="Book Antiqua" w:cs="Times New Roman"/>
          <w:color w:val="000000"/>
          <w:sz w:val="24"/>
          <w:szCs w:val="24"/>
          <w:lang w:val="en-US"/>
        </w:rPr>
        <w:t>Minimally invasive surgery, including laparoscopic gastrectomy and robotic gastrectomy, is receiving much attention in GC management</w:t>
      </w:r>
      <w:r w:rsidR="00D32FF3" w:rsidRPr="005C7810">
        <w:rPr>
          <w:rFonts w:ascii="Book Antiqua" w:hAnsi="Book Antiqua" w:cs="Times New Roman"/>
          <w:color w:val="000000"/>
          <w:sz w:val="24"/>
          <w:szCs w:val="24"/>
          <w:vertAlign w:val="superscript"/>
          <w:lang w:val="en-US"/>
        </w:rPr>
        <w:fldChar w:fldCharType="begin" w:fldLock="1"/>
      </w:r>
      <w:r w:rsidR="00D32FF3" w:rsidRPr="005C7810">
        <w:rPr>
          <w:rFonts w:ascii="Book Antiqua" w:hAnsi="Book Antiqua" w:cs="Times New Roman"/>
          <w:color w:val="000000"/>
          <w:sz w:val="24"/>
          <w:szCs w:val="24"/>
          <w:vertAlign w:val="superscript"/>
          <w:lang w:val="en-US"/>
        </w:rPr>
        <w:instrText>ADDIN CSL_CITATION {"citationItems":[{"id":"ITEM-1","itemData":{"DOI":"10.1007/s00268-011-1051-5","ISSN":"03642313","abstract":"Laparoscopy-assisted distal gastrectomy for gastric cancer was first reported by Kitano et al. in 1991. Laparoscopic wedge resection (LWR) and intragastric mucosal resection (IGMR) were quickly adapted for gastric cancer limited to the mucosal layer and having no risk of lymph node metastasis. Following improvements in endoscopic mucosal resection (EMR) and endoscopic submucosal dissection (ESD), the use of LWR and IGMR for these indications decreased, and patients with gastric cancer, including those with a risk of lymph node metastases, were more likely to be managed with laparoscopic gastrectomy (LG) with lymph node dissection. Many retrospective comparative trials and randomized-controlled trials (RCT) have confirmed that LG is safe and feasible, and that short-term outcomes are better than those of open gastrectomy (OG) in patients with early gastric cancer (EGC). However, these trials did not include a satisfactory number of patients to establish clinical evidence. Thus, additional multicenter randomized-controlled trials are needed to delineate significantly quantifiable differences between LG and OG. As laparoscopic experience has accumulated, the indications for LG have been broadened to include older and overweight patients and those with advanced gastric cancer. Moreover, advanced techniques, such as laparoscopy-assisted total gastrectomy, laparoscopy-assisted proximal gastrectomy, laparoscopy-assisted pylorus-preserving gastrectomy (PPG), and extended lymph node dissection (D2) have been widely performed.In the near future, sentinel node navigation and robotic surgery will become additional options in minimally invasive surgery (MIS) involving LG. Such developments will improve the quality of life of patients following gastric cancer surgery.","author":[{"dropping-particle":"","family":"Koeda","given":"Keisuke","non-dropping-particle":"","parse-names":false,"suffix":""},{"dropping-particle":"","family":"Nishizuka","given":"Satoshi","non-dropping-particle":"","parse-names":false,"suffix":""},{"dropping-particle":"","family":"Wakabayashi","given":"Go","non-dropping-particle":"","parse-names":false,"suffix":""}],"container-title":"World Journal of Surgery","id":"ITEM-1","issue":"7","issued":{"date-parts":[["2011"]]},"page":"1469-1477","title":"Minimally invasive surgery for gastric cancer: The future standard of care","type":"article-journal","volume":"35"},"uris":["http://www.mendeley.com/documents/?uuid=62b6c943-eb00-4c02-987b-030a81fe62c4"]},{"id":"ITEM-2","itemData":{"DOI":"10.1016/j.ijsu.2015.02.021","ISSN":"17439159","abstract":"Background: Gastric cancer represents a great challenge for health care providers and requires a multidisciplinary approach in which surgery plays the main role.Minimally invasive surgery has been progressively developed, first with the advent of laparoscopy and more recently with the spread of robotic surgery, but a number of issues are currently being investigate, including the limitations in performing effective extended lymph node dissections and, in this context, the real advantages of using robotic systems, the possible role for advanced Gastric Cancer, the reproducibility of completely intracorporeal techniques and the oncological results achievable during follow-up. Method: Searches of MEDLINE, Embase and Cochrane Central Register of Controlled Trials were performed to identify articles published until April 2014 which reported outcomes of surgical treatment for gastric cancer and that used minimally invasive surgical technology. Articles that deal with endoscopic technology were excluded. Results: A total of 362 articles were evaluated. After the review process, data in 115 articles were analyzed. Conclusion: A multicenter study with a large number of patients is now needed to further investigate the safety and efficacy as well as long-term outcomes of robotic surgery, traditional laparoscopy and the open approach.","author":[{"dropping-particle":"","family":"Parisi","given":"Amilcare","non-dropping-particle":"","parse-names":false,"suffix":""},{"dropping-particle":"","family":"Nguyen","given":"Ninh T.","non-dropping-particle":"","parse-names":false,"suffix":""},{"dropping-particle":"","family":"Reim","given":"Daniel","non-dropping-particle":"","parse-names":false,"suffix":""},{"dropping-particle":"","family":"Zhang","given":"Shu","non-dropping-particle":"","parse-names":false,"suffix":""},{"dropping-particle":"","family":"Jiang","given":"Zhi Wei","non-dropping-particle":"","parse-names":false,"suffix":""},{"dropping-particle":"","family":"Brower","given":"Steven T.","non-dropping-particle":"","parse-names":false,"suffix":""},{"dropping-particle":"","family":"Azagra","given":"Juan Santiago","non-dropping-particle":"","parse-names":false,"suffix":""},{"dropping-particle":"","family":"Facy","given":"Olivier","non-dropping-particle":"","parse-names":false,"suffix":""},{"dropping-particle":"","family":"Alimoglu","given":"Orhan","non-dropping-particle":"","parse-names":false,"suffix":""},{"dropping-particle":"","family":"Jackson","given":"Patrick G.","non-dropping-particle":"","parse-names":false,"suffix":""},{"dropping-particle":"","family":"Tsujimoto","given":"Hironori","non-dropping-particle":"","parse-names":false,"suffix":""},{"dropping-particle":"","family":"Kurokawa","given":"Yukinori","non-dropping-particle":"","parse-names":false,"suffix":""},{"dropping-particle":"","family":"Zang","given":"Lu","non-dropping-particle":"","parse-names":false,"suffix":""},{"dropping-particle":"","family":"Coburn","given":"Natalie G.","non-dropping-particle":"","parse-names":false,"suffix":""},{"dropping-particle":"","family":"Yu","given":"Pei Wu","non-dropping-particle":"","parse-names":false,"suffix":""},{"dropping-particle":"","family":"Zhang","given":"Ben","non-dropping-particle":"","parse-names":false,"suffix":""},{"dropping-particle":"","family":"Qi","given":"Feng","non-dropping-particle":"","parse-names":false,"suffix":""},{"dropping-particle":"","family":"Coratti","given":"Andrea","non-dropping-particle":"","parse-names":false,"suffix":""},{"dropping-particle":"","family":"Annecchiarico","given":"Mario","non-dropping-particle":"","parse-names":false,"suffix":""},{"dropping-particle":"","family":"Novotny","given":"Alexander","non-dropping-particle":"","parse-names":false,"suffix":""},{"dropping-particle":"","family":"Goergen","given":"Martine","non-dropping-particle":"","parse-names":false,"suffix":""},{"dropping-particle":"","family":"Lequeu","given":"Jean Baptiste","non-dropping-particle":"","parse-names":false,"suffix":""},{"dropping-particle":"","family":"Eren","given":"Tunc","non-dropping-particle":"","parse-names":false,"suffix":""},{"dropping-particle":"","family":"Leblebici","given":"Metin","non-dropping-particle":"","parse-names":false,"suffix":""},{"dropping-particle":"","family":"Al-Refaie","given":"Waddah","non-dropping-particle":"","parse-names":false,"suffix":""},{"dropping-particle":"","family":"Takiguchi","given":"Shuji","non-dropping-particle":"","parse-names":false,"suffix":""},{"dropping-particle":"","family":"Ma","given":"Junjun","non-dropping-particle":"","parse-names":false,"suffix":""},{"dropping-particle":"","family":"Zhao","given":"Yong Liang","non-dropping-particle":"","parse-names":false,"suffix":""},{"dropping-particle":"","family":"Liu","given":"Tong","non-dropping-particle":"","parse-names":false,"suffix":""},{"dropping-particle":"","family":"Desiderio","given":"Jacopo","non-dropping-particle":"","parse-names":false,"suffix":""}],"container-title":"International Journal of Surgery","id":"ITEM-2","issued":{"date-parts":[["2015"]]},"page":"34-40","publisher":"Elsevier Ltd","title":"Current status of minimally invasive surgery for gastric cancer: A literature review to highlight studies limits","type":"article-journal","volume":"17"},"uris":["http://www.mendeley.com/documents/?uuid=f79aac63-a38e-4e1a-90c0-08b1841647d3"]}],"mendeley":{"formattedCitation":"&lt;sup&gt;[107,108]&lt;/sup&gt;","plainTextFormattedCitation":"[107,108]","previouslyFormattedCitation":"&lt;sup&gt;[107,108]&lt;/sup&gt;"},"properties":{"noteIndex":0},"schema":"https://github.com/citation-style-language/schema/raw/master/csl-citation.json"}</w:instrText>
      </w:r>
      <w:r w:rsidR="00D32FF3" w:rsidRPr="005C7810">
        <w:rPr>
          <w:rFonts w:ascii="Book Antiqua" w:hAnsi="Book Antiqua" w:cs="Times New Roman"/>
          <w:color w:val="000000"/>
          <w:sz w:val="24"/>
          <w:szCs w:val="24"/>
          <w:vertAlign w:val="superscript"/>
          <w:lang w:val="en-US"/>
        </w:rPr>
        <w:fldChar w:fldCharType="separate"/>
      </w:r>
      <w:r w:rsidR="007B5FCB" w:rsidRPr="005C7810">
        <w:rPr>
          <w:rFonts w:ascii="Book Antiqua" w:hAnsi="Book Antiqua" w:cs="Times New Roman"/>
          <w:color w:val="000000"/>
          <w:sz w:val="24"/>
          <w:szCs w:val="24"/>
          <w:vertAlign w:val="superscript"/>
          <w:lang w:val="en-US"/>
        </w:rPr>
        <w:t>[107</w:t>
      </w:r>
      <w:r w:rsidR="009131DA" w:rsidRPr="005C7810">
        <w:rPr>
          <w:rFonts w:ascii="Book Antiqua" w:hAnsi="Book Antiqua" w:cs="Times New Roman"/>
          <w:color w:val="000000"/>
          <w:sz w:val="24"/>
          <w:szCs w:val="24"/>
          <w:vertAlign w:val="superscript"/>
          <w:lang w:val="en-US"/>
        </w:rPr>
        <w:t>,</w:t>
      </w:r>
      <w:r w:rsidR="007B5FCB" w:rsidRPr="005C7810">
        <w:rPr>
          <w:rFonts w:ascii="Book Antiqua" w:hAnsi="Book Antiqua" w:cs="Times New Roman"/>
          <w:color w:val="000000"/>
          <w:sz w:val="24"/>
          <w:szCs w:val="24"/>
          <w:vertAlign w:val="superscript"/>
          <w:lang w:val="en-US"/>
        </w:rPr>
        <w:t>108]</w:t>
      </w:r>
      <w:r w:rsidR="00D32FF3" w:rsidRPr="005C7810">
        <w:rPr>
          <w:rFonts w:ascii="Book Antiqua" w:hAnsi="Book Antiqua" w:cs="Times New Roman"/>
          <w:color w:val="000000"/>
          <w:sz w:val="24"/>
          <w:szCs w:val="24"/>
          <w:vertAlign w:val="superscript"/>
          <w:lang w:val="en-US"/>
        </w:rPr>
        <w:fldChar w:fldCharType="end"/>
      </w:r>
      <w:r w:rsidR="00D32FF3" w:rsidRPr="005C7810">
        <w:rPr>
          <w:rFonts w:ascii="Book Antiqua" w:hAnsi="Book Antiqua" w:cs="Times New Roman"/>
          <w:color w:val="000000"/>
          <w:sz w:val="24"/>
          <w:szCs w:val="24"/>
          <w:lang w:val="en-US"/>
        </w:rPr>
        <w:t xml:space="preserve">. </w:t>
      </w:r>
      <w:r w:rsidR="00BC6592" w:rsidRPr="005C7810">
        <w:rPr>
          <w:rFonts w:ascii="Book Antiqua" w:hAnsi="Book Antiqua" w:cs="Times New Roman"/>
          <w:color w:val="000000"/>
          <w:sz w:val="24"/>
          <w:szCs w:val="24"/>
          <w:lang w:val="en-US"/>
        </w:rPr>
        <w:t>T</w:t>
      </w:r>
      <w:r w:rsidR="00EE7702" w:rsidRPr="005C7810">
        <w:rPr>
          <w:rFonts w:ascii="Book Antiqua" w:hAnsi="Book Antiqua" w:cs="Times New Roman"/>
          <w:color w:val="000000"/>
          <w:sz w:val="24"/>
          <w:szCs w:val="24"/>
          <w:lang w:val="en-US"/>
        </w:rPr>
        <w:t xml:space="preserve">he </w:t>
      </w:r>
      <w:r w:rsidR="00AC7CE6" w:rsidRPr="005C7810">
        <w:rPr>
          <w:rFonts w:ascii="Book Antiqua" w:hAnsi="Book Antiqua" w:cs="Times New Roman"/>
          <w:color w:val="000000"/>
          <w:sz w:val="24"/>
          <w:szCs w:val="24"/>
          <w:lang w:val="en-US"/>
        </w:rPr>
        <w:t>laparoscopic gastrectomy</w:t>
      </w:r>
      <w:r w:rsidR="00EE7702" w:rsidRPr="005C7810">
        <w:rPr>
          <w:rFonts w:ascii="Book Antiqua" w:hAnsi="Book Antiqua" w:cs="Times New Roman"/>
          <w:color w:val="000000"/>
          <w:sz w:val="24"/>
          <w:szCs w:val="24"/>
          <w:lang w:val="en-US"/>
        </w:rPr>
        <w:t xml:space="preserve"> has the advantage of leading to a faster recovery with shorter hospital stays compared to the </w:t>
      </w:r>
      <w:r w:rsidR="0082228C" w:rsidRPr="005C7810">
        <w:rPr>
          <w:rFonts w:ascii="Book Antiqua" w:hAnsi="Book Antiqua" w:cs="Times New Roman"/>
          <w:color w:val="000000"/>
          <w:sz w:val="24"/>
          <w:szCs w:val="24"/>
          <w:lang w:val="en-US"/>
        </w:rPr>
        <w:t xml:space="preserve">traditional </w:t>
      </w:r>
      <w:r w:rsidR="00EE7702" w:rsidRPr="005C7810">
        <w:rPr>
          <w:rFonts w:ascii="Book Antiqua" w:hAnsi="Book Antiqua" w:cs="Times New Roman"/>
          <w:color w:val="000000"/>
          <w:sz w:val="24"/>
          <w:szCs w:val="24"/>
          <w:lang w:val="en-US"/>
        </w:rPr>
        <w:t>surgery</w:t>
      </w:r>
      <w:r w:rsidR="00EE7702" w:rsidRPr="005C7810">
        <w:rPr>
          <w:rFonts w:ascii="Book Antiqua" w:hAnsi="Book Antiqua" w:cs="Times New Roman"/>
          <w:color w:val="000000"/>
          <w:sz w:val="24"/>
          <w:szCs w:val="24"/>
          <w:vertAlign w:val="superscript"/>
          <w:lang w:val="en-US"/>
        </w:rPr>
        <w:fldChar w:fldCharType="begin" w:fldLock="1"/>
      </w:r>
      <w:r w:rsidR="00EE7702" w:rsidRPr="005C7810">
        <w:rPr>
          <w:rFonts w:ascii="Book Antiqua" w:hAnsi="Book Antiqua" w:cs="Times New Roman"/>
          <w:color w:val="000000"/>
          <w:sz w:val="24"/>
          <w:szCs w:val="24"/>
          <w:vertAlign w:val="superscript"/>
          <w:lang w:val="en-US"/>
        </w:rPr>
        <w:instrText>ADDIN CSL_CITATION {"citationItems":[{"id":"ITEM-1","itemData":{"DOI":"10.1007/s00464-012-2661-1","ISSN":"14322218","abstract":"Background: The possible advantages of laparoscopic (assisted) total gastrectomy (LTG) versus open total gastrectomy (OTG) have not been reviewed systematically. The aim of this study was to systematically review the short-term outcomes of LTG versus OTG in the treatment of gastric cancer. Methods: A systematic search of PubMed, Cochrane, CINAHL, and Embase was conducted. All original studies comparing LTG with OTG were included for critical appraisal. Data describing short-term outcomes were pooled and analyzed. Results: A total of eight original studies that compared LTG (n = 314) with OTG (n = 384) in patients with gastric cancer fulfilled quality criteria and were selected for review and meta-analysis. LTG compared with OTG was associated with a significant reduction of intraoperative blood loss (weighted mean difference = 227.6 ml; 95 % CI 144.3-310.9; p &lt; 0.001), a reduced risk of postoperative complications (risk ratio = 0.51; 95 % CI 0.33-0.77), and shorter hospital stay (weighted mean difference 4.0 = days; 95 % CI 1.4-6.5; p &lt; 0.001). These benefits were at the cost of longer operative time (weighted mean difference = 55.5 min; 95 % CI 24.8-86.2; p &lt; 0.001). In-hospital mortality rates were comparable for LTG (0.9 %) and OTG (1.8 %) (risk ratio = 0.68; 95 % CI 0.20-2.36). Conclusion: LTG shows better short term outcomes compared with OTG in eligible patients with gastric cancer. Future studies should evaluate 30- and 60-day mortality, radicality of resection, and long-term follow-up in LTG versus OTG, preferably in randomized trials. © 2012 Springer Science+Business Media New York.","author":[{"dropping-particle":"","family":"Haverkamp","given":"Leonie","non-dropping-particle":"","parse-names":false,"suffix":""},{"dropping-particle":"","family":"Weijs","given":"Teus J.","non-dropping-particle":"","parse-names":false,"suffix":""},{"dropping-particle":"","family":"Sluis","given":"Pieter C.","non-dropping-particle":"Van Der","parse-names":false,"suffix":""},{"dropping-particle":"","family":"Tweel","given":"Ingeborg","non-dropping-particle":"Van Der","parse-names":false,"suffix":""},{"dropping-particle":"","family":"Ruurda","given":"Jelle P.","non-dropping-particle":"","parse-names":false,"suffix":""},{"dropping-particle":"","family":"Hillegersberg","given":"Richard","non-dropping-particle":"Van","parse-names":false,"suffix":""}],"container-title":"Surgical Endoscopy","id":"ITEM-1","issue":"5","issued":{"date-parts":[["2013"]]},"page":"1509-1520","title":"Laparoscopic total gastrectomy versus open total gastrectomy for cancer: A systematic review and meta-analysis","type":"article-journal","volume":"27"},"uris":["http://www.mendeley.com/documents/?uuid=d39f9c63-6d38-4c66-aa84-653468b5d7b6"]}],"mendeley":{"formattedCitation":"&lt;sup&gt;[109]&lt;/sup&gt;","plainTextFormattedCitation":"[109]","previouslyFormattedCitation":"&lt;sup&gt;[109]&lt;/sup&gt;"},"properties":{"noteIndex":0},"schema":"https://github.com/citation-style-language/schema/raw/master/csl-citation.json"}</w:instrText>
      </w:r>
      <w:r w:rsidR="00EE7702" w:rsidRPr="005C7810">
        <w:rPr>
          <w:rFonts w:ascii="Book Antiqua" w:hAnsi="Book Antiqua" w:cs="Times New Roman"/>
          <w:color w:val="000000"/>
          <w:sz w:val="24"/>
          <w:szCs w:val="24"/>
          <w:vertAlign w:val="superscript"/>
          <w:lang w:val="en-US"/>
        </w:rPr>
        <w:fldChar w:fldCharType="separate"/>
      </w:r>
      <w:r w:rsidR="00EE7702" w:rsidRPr="005C7810">
        <w:rPr>
          <w:rFonts w:ascii="Book Antiqua" w:hAnsi="Book Antiqua" w:cs="Times New Roman"/>
          <w:color w:val="000000"/>
          <w:sz w:val="24"/>
          <w:szCs w:val="24"/>
          <w:vertAlign w:val="superscript"/>
          <w:lang w:val="en-US"/>
        </w:rPr>
        <w:t>[109]</w:t>
      </w:r>
      <w:r w:rsidR="00EE7702" w:rsidRPr="005C7810">
        <w:rPr>
          <w:rFonts w:ascii="Book Antiqua" w:hAnsi="Book Antiqua" w:cs="Times New Roman"/>
          <w:color w:val="000000"/>
          <w:sz w:val="24"/>
          <w:szCs w:val="24"/>
          <w:vertAlign w:val="superscript"/>
          <w:lang w:val="en-US"/>
        </w:rPr>
        <w:fldChar w:fldCharType="end"/>
      </w:r>
      <w:r w:rsidR="00EE7702" w:rsidRPr="005C7810">
        <w:rPr>
          <w:rFonts w:ascii="Book Antiqua" w:hAnsi="Book Antiqua" w:cs="Times New Roman"/>
          <w:color w:val="000000"/>
          <w:sz w:val="24"/>
          <w:szCs w:val="24"/>
          <w:lang w:val="en-US"/>
        </w:rPr>
        <w:t xml:space="preserve">. However, it has the disadvantage of </w:t>
      </w:r>
      <w:r w:rsidR="00EE7702" w:rsidRPr="005C7810">
        <w:rPr>
          <w:rFonts w:ascii="Book Antiqua" w:hAnsi="Book Antiqua" w:cs="Times New Roman"/>
          <w:color w:val="000000"/>
          <w:sz w:val="24"/>
          <w:szCs w:val="24"/>
          <w:lang w:val="en-US"/>
        </w:rPr>
        <w:lastRenderedPageBreak/>
        <w:t>limit</w:t>
      </w:r>
      <w:r w:rsidR="0098764D" w:rsidRPr="005C7810">
        <w:rPr>
          <w:rFonts w:ascii="Book Antiqua" w:hAnsi="Book Antiqua" w:cs="Times New Roman"/>
          <w:color w:val="000000"/>
          <w:sz w:val="24"/>
          <w:szCs w:val="24"/>
          <w:lang w:val="en-US"/>
        </w:rPr>
        <w:t>ed</w:t>
      </w:r>
      <w:r w:rsidR="00EE7702" w:rsidRPr="005C7810">
        <w:rPr>
          <w:rFonts w:ascii="Book Antiqua" w:hAnsi="Book Antiqua" w:cs="Times New Roman"/>
          <w:color w:val="000000"/>
          <w:sz w:val="24"/>
          <w:szCs w:val="24"/>
          <w:lang w:val="en-US"/>
        </w:rPr>
        <w:t xml:space="preserve"> movements. The </w:t>
      </w:r>
      <w:r w:rsidR="00AC7CE6" w:rsidRPr="005C7810">
        <w:rPr>
          <w:rFonts w:ascii="Book Antiqua" w:hAnsi="Book Antiqua" w:cs="Times New Roman"/>
          <w:color w:val="000000"/>
          <w:sz w:val="24"/>
          <w:szCs w:val="24"/>
          <w:lang w:val="en-US"/>
        </w:rPr>
        <w:t>robotic gastrectomy</w:t>
      </w:r>
      <w:r w:rsidR="00EE7702" w:rsidRPr="005C7810">
        <w:rPr>
          <w:rFonts w:ascii="Book Antiqua" w:hAnsi="Book Antiqua" w:cs="Times New Roman"/>
          <w:color w:val="000000"/>
          <w:sz w:val="24"/>
          <w:szCs w:val="24"/>
          <w:lang w:val="en-US"/>
        </w:rPr>
        <w:t xml:space="preserve"> has overcome these limitations and </w:t>
      </w:r>
      <w:r w:rsidR="00224600" w:rsidRPr="005C7810">
        <w:rPr>
          <w:rFonts w:ascii="Book Antiqua" w:hAnsi="Book Antiqua" w:cs="Times New Roman"/>
          <w:color w:val="000000"/>
          <w:sz w:val="24"/>
          <w:szCs w:val="24"/>
          <w:lang w:val="en-US"/>
        </w:rPr>
        <w:t xml:space="preserve">its use </w:t>
      </w:r>
      <w:r w:rsidR="00EE7702" w:rsidRPr="005C7810">
        <w:rPr>
          <w:rFonts w:ascii="Book Antiqua" w:hAnsi="Book Antiqua" w:cs="Times New Roman"/>
          <w:color w:val="000000"/>
          <w:sz w:val="24"/>
          <w:szCs w:val="24"/>
          <w:lang w:val="en-US"/>
        </w:rPr>
        <w:t xml:space="preserve">is </w:t>
      </w:r>
      <w:r w:rsidR="00E37DC3" w:rsidRPr="005C7810">
        <w:rPr>
          <w:rFonts w:ascii="Book Antiqua" w:hAnsi="Book Antiqua" w:cs="Times New Roman"/>
          <w:color w:val="000000"/>
          <w:sz w:val="24"/>
          <w:szCs w:val="24"/>
          <w:lang w:val="en-US"/>
        </w:rPr>
        <w:t>spreading</w:t>
      </w:r>
      <w:r w:rsidR="00224600" w:rsidRPr="005C7810">
        <w:rPr>
          <w:rFonts w:ascii="Book Antiqua" w:hAnsi="Book Antiqua" w:cs="Times New Roman"/>
          <w:color w:val="000000"/>
          <w:sz w:val="24"/>
          <w:szCs w:val="24"/>
          <w:lang w:val="en-US"/>
        </w:rPr>
        <w:t xml:space="preserve"> rapidly</w:t>
      </w:r>
      <w:r w:rsidR="00E37DC3" w:rsidRPr="005C7810">
        <w:rPr>
          <w:rFonts w:ascii="Book Antiqua" w:hAnsi="Book Antiqua" w:cs="Times New Roman"/>
          <w:color w:val="000000"/>
          <w:sz w:val="24"/>
          <w:szCs w:val="24"/>
          <w:vertAlign w:val="superscript"/>
          <w:lang w:val="en-US"/>
        </w:rPr>
        <w:fldChar w:fldCharType="begin" w:fldLock="1"/>
      </w:r>
      <w:r w:rsidR="00B266E6" w:rsidRPr="005C7810">
        <w:rPr>
          <w:rFonts w:ascii="Book Antiqua" w:hAnsi="Book Antiqua" w:cs="Times New Roman"/>
          <w:color w:val="000000"/>
          <w:sz w:val="24"/>
          <w:szCs w:val="24"/>
          <w:vertAlign w:val="superscript"/>
          <w:lang w:val="en-US"/>
        </w:rPr>
        <w:instrText>ADDIN CSL_CITATION {"citationItems":[{"id":"ITEM-1","itemData":{"DOI":"10.1016/S0039-6109(03)00158-0","ISSN":"00396109","abstract":"In conclusion, robot-assisted gastric surgery is now considered to be feasible in patients with Stage IA (T1N0) and Stage IB (T1N1, T2N0) early gastric cancer. The optimal treatment modalities have yet to be identified, however, and therefore clinical trials are called for. The authors believe that this new technology will markedly increase the survival rate of such patients all over the world in the near future, while also helping to significantly decrease the complication rates and hospital stay of the patients, which will thus result in a major beneficial socioeconomic impact.","author":[{"dropping-particle":"","family":"Hashizume","given":"Makoto","non-dropping-particle":"","parse-names":false,"suffix":""},{"dropping-particle":"","family":"Sugimachi","given":"Keizo","non-dropping-particle":"","parse-names":false,"suffix":""}],"container-title":"Surgical Clinics of North America","id":"ITEM-1","issue":"6","issued":{"date-parts":[["2003"]]},"page":"1429-1444","title":"Robot-assisted gastric surgery","type":"article-journal","volume":"83"},"uris":["http://www.mendeley.com/documents/?uuid=1f18b415-4eb7-4d00-94c4-38c63849d532"]},{"id":"ITEM-2","itemData":{"DOI":"10.1001/archsurg.2011.114","ISSN":"00040010","abstract":"OBJECTIVE: To evaluate the comparative safety and efficacy of robotic vs laparoscopic gastrectomy for early-stage gastric cancer.\\n\\nDESIGN: Retrospective analysis.\\n\\nSETTING: Tertiary hospital.\\n\\nPATIENTS: Eight hundred twenty-seven patients with gastric cancer.\\n\\nINTERVENTIONS: Between July 2005 and April 2009, 827 patients with gastric cancer underwent 236 robotic and 591 laparoscopic radical gastrectomies with curative intent. The patients' data were prospectively collected and retrospectively analyzed.\\n\\nMAIN OUTCOME MEASURES: We performed a comparative analysis between the robotic surgery group and laparoscopic surgery group for preoperative patient characteristics, intraoperative factors, and postoperative morbidity and mortality.\\n\\nRESULTS: The robotic group was younger than the laparoscopic group, but other preoperative patient characteristics did not differ. The mean operative time for the robotic group (219.5 minutes) was on average 49 minutes longer than the laparoscopic group (170.7 minutes) (P &lt; .001), while mean blood loss was significantly less in the robotic group (91.6 mL vs 147.9 mL; P = .002). The robotic group had mortality of 0.4% and morbidity of 11.0%, comparable with those of the laparoscopic group (P &gt; .05). The number of lymph nodes retrieved per level was adequate in both groups and did not differ significantly. Robotic D1+α (n = 5), D1+β (n = 126), and D2 (n = 105) dissections retrieved 27.2, 36.7, and 42.4 mean numbers of lymph nodes, respectively. Except for 3 cases in the laparoscopic group, all specimens had negative margins.\\n\\nCONCLUSIONS: Our largest comparative study demonstrates robotic gastrectomy to have better short-term and comparable oncologic outcomes compared with laparoscopic gastrectomy. A robotic approach to gastric cancer is a promising alternative to laparoscopic surgery.","author":[{"dropping-particle":"","family":"Woo","given":"Yanghee","non-dropping-particle":"","parse-names":false,"suffix":""},{"dropping-particle":"","family":"Hyung","given":"Woo Jin","non-dropping-particle":"","parse-names":false,"suffix":""},{"dropping-particle":"","family":"Pak","given":"Kyung Ho","non-dropping-particle":"","parse-names":false,"suffix":""},{"dropping-particle":"","family":"Inaba","given":"Kazuki","non-dropping-particle":"","parse-names":false,"suffix":""},{"dropping-particle":"","family":"Obama","given":"Kazutaka","non-dropping-particle":"","parse-names":false,"suffix":""},{"dropping-particle":"","family":"Choi","given":"Seung Ho","non-dropping-particle":"","parse-names":false,"suffix":""},{"dropping-particle":"","family":"Noh","given":"Sung Hoon","non-dropping-particle":"","parse-names":false,"suffix":""}],"container-title":"Archives of Surgery","id":"ITEM-2","issue":"9","issued":{"date-parts":[["2011"]]},"page":"1086-1092","title":"Robotic gastrectomy as an oncologically sound alternative to laparoscopic resections for the treatment of early-stage gastric cancers","type":"article-journal","volume":"146"},"uris":["http://www.mendeley.com/documents/?uuid=4113260a-9eb1-46f9-9f6f-ebc39b9a57bf"]},{"id":"ITEM-3","itemData":{"DOI":"10.5230/jgc.2013.13.4.255","ISSN":"2093582X","abstract":"PURPOSE Robotic surgery for gastric cancer is a promising alternative to laparoscopic surgery, but the data are limited. We aimed to evaluate whether gaining experience in robotic gastrectomy could improve surgical outcomes in the treatment of gastric cancer. MATERIALS AND METHODS Two hundred and seven consecutive cases of patients with clinical stage I gastric cancer who underwent robotic surgery at the National Cancer Center of Korea between February 2009 and February 2012 were retrospectively reviewed. Surgical outcomes were analyzed and compared between the initial 100 and later 100 cases. RESULTS Seven patients required conversion to open surgery and were excluded from further analysis. The mean operating time for all patients was 248.8 minutes, and mean length of hospitalization was 8.0 days. Twenty patients developed postoperative complications. Thirteen were managed conservatively, while 6 had major complications requiring invasive procedures. One mortality occurred owing to myocardial infarction. Operating time was significantly shorter in the latter 100 cases than in the initial 100 cases (269.9 versus 233.5 minutes, P&lt;0.001). The number of retrieved lymph nodes was significantly greater in the latter cases (35.9 versus 39.9, P=0.032). The hospital stay of patients with complications was significantly longer in the initial cases than in the latter cases (16 versus 7 days, P=0.005). CONCLUSIONS Increased experience with the robotic procedure for gastric cancer was associated with improved outcomes, especially in operating time, lymph node retrieval, and shortened hospital stay of complicated patients. Further development of surgical techniques and technology might enhance the role of robotic surgery for gastric cancer.","author":[{"dropping-particle":"","family":"Park","given":"Ji Yeon","non-dropping-particle":"","parse-names":false,"suffix":""},{"dropping-particle":"","family":"Kim","given":"Young Woo","non-dropping-particle":"","parse-names":false,"suffix":""},{"dropping-particle":"","family":"Ryu","given":"Keun Won","non-dropping-particle":"","parse-names":false,"suffix":""},{"dropping-particle":"","family":"Eom","given":"Bang Wool","non-dropping-particle":"","parse-names":false,"suffix":""},{"dropping-particle":"","family":"Yoon","given":"Hong Man","non-dropping-particle":"","parse-names":false,"suffix":""},{"dropping-particle":"","family":"Reim","given":"Daniel","non-dropping-particle":"","parse-names":false,"suffix":""}],"container-title":"Journal of Gastric Cancer","id":"ITEM-3","issue":"4","issued":{"date-parts":[["2013"]]},"page":"255-262","title":"Emerging role of robot-assisted gastrectomy: Analysis of consecutive 200 cases","type":"article-journal","volume":"13"},"uris":["http://www.mendeley.com/documents/?uuid=a16a3b58-b953-414d-a879-0eed7733f413"]}],"mendeley":{"formattedCitation":"&lt;sup&gt;[110–112]&lt;/sup&gt;","plainTextFormattedCitation":"[110–112]","previouslyFormattedCitation":"&lt;sup&gt;[110–112]&lt;/sup&gt;"},"properties":{"noteIndex":0},"schema":"https://github.com/citation-style-language/schema/raw/master/csl-citation.json"}</w:instrText>
      </w:r>
      <w:r w:rsidR="00E37DC3" w:rsidRPr="005C7810">
        <w:rPr>
          <w:rFonts w:ascii="Book Antiqua" w:hAnsi="Book Antiqua" w:cs="Times New Roman"/>
          <w:color w:val="000000"/>
          <w:sz w:val="24"/>
          <w:szCs w:val="24"/>
          <w:vertAlign w:val="superscript"/>
          <w:lang w:val="en-US"/>
        </w:rPr>
        <w:fldChar w:fldCharType="separate"/>
      </w:r>
      <w:r w:rsidR="00E37DC3" w:rsidRPr="005C7810">
        <w:rPr>
          <w:rFonts w:ascii="Book Antiqua" w:hAnsi="Book Antiqua" w:cs="Times New Roman"/>
          <w:color w:val="000000"/>
          <w:sz w:val="24"/>
          <w:szCs w:val="24"/>
          <w:vertAlign w:val="superscript"/>
          <w:lang w:val="en-US"/>
        </w:rPr>
        <w:t>[110–112]</w:t>
      </w:r>
      <w:r w:rsidR="00E37DC3" w:rsidRPr="005C7810">
        <w:rPr>
          <w:rFonts w:ascii="Book Antiqua" w:hAnsi="Book Antiqua" w:cs="Times New Roman"/>
          <w:color w:val="000000"/>
          <w:sz w:val="24"/>
          <w:szCs w:val="24"/>
          <w:vertAlign w:val="superscript"/>
          <w:lang w:val="en-US"/>
        </w:rPr>
        <w:fldChar w:fldCharType="end"/>
      </w:r>
      <w:r w:rsidR="00B266E6" w:rsidRPr="005C7810">
        <w:rPr>
          <w:rFonts w:ascii="Book Antiqua" w:hAnsi="Book Antiqua" w:cs="Times New Roman"/>
          <w:color w:val="000000"/>
          <w:sz w:val="24"/>
          <w:szCs w:val="24"/>
          <w:lang w:val="en-US"/>
        </w:rPr>
        <w:t xml:space="preserve">. </w:t>
      </w:r>
      <w:r w:rsidR="00882D60" w:rsidRPr="005C7810">
        <w:rPr>
          <w:rFonts w:ascii="Book Antiqua" w:hAnsi="Book Antiqua" w:cs="Times New Roman"/>
          <w:color w:val="000000"/>
          <w:sz w:val="24"/>
          <w:szCs w:val="24"/>
          <w:lang w:val="en-US"/>
        </w:rPr>
        <w:t>Some studies have been carried out in order to compare both the advantages and disadvantages of two technologies</w:t>
      </w:r>
      <w:r w:rsidR="00882D60" w:rsidRPr="005C7810">
        <w:rPr>
          <w:rFonts w:ascii="Book Antiqua" w:hAnsi="Book Antiqua" w:cs="Times New Roman"/>
          <w:color w:val="000000"/>
          <w:sz w:val="24"/>
          <w:szCs w:val="24"/>
          <w:vertAlign w:val="superscript"/>
          <w:lang w:val="en-US"/>
        </w:rPr>
        <w:fldChar w:fldCharType="begin" w:fldLock="1"/>
      </w:r>
      <w:r w:rsidR="00882D60" w:rsidRPr="005C7810">
        <w:rPr>
          <w:rFonts w:ascii="Book Antiqua" w:hAnsi="Book Antiqua" w:cs="Times New Roman"/>
          <w:color w:val="000000"/>
          <w:sz w:val="24"/>
          <w:szCs w:val="24"/>
          <w:vertAlign w:val="superscript"/>
          <w:lang w:val="en-US"/>
        </w:rPr>
        <w:instrText>ADDIN CSL_CITATION {"citationItems":[{"id":"ITEM-1","itemData":{"DOI":"10.5230/jgc.2012.12.3.156","ISSN":"20935641","abstract":"PURPOSE: Laparoscopic gastrectomy is a widely accepted surgical technique. Recently, robotic gastrectomy has been developed, as an alternative minimally invasive surgical technique. This study aimed to evaluate the question of whether robotic gastrectomy is feasible and safe for the treatment of gastric cancer, due to its learning curve.\\n\\nMATERIALS AND METHODS: We retrospectively reviewed the prospectively collected data of 100 consecutive robotic gastrectomy patients, from November 2008 to March 2011, and compared them to 282 conventional laparoscopy patients during the same period. The robotic gastrectomy patients were divided into 20 initial cases; and all subsequent cases; and we compared the clinicopathological features, operating times, and surgical outcomes between the three groups.\\n\\nRESULTS: The initial 20 robotic gastrectomy cases were defined as the initial group, due to the learning curve. The initial group had a longer average operating time (242.25±74.54 minutes vs. 192.56±39.56 minutes, P&gt;0.001), and hospital stay (14.40±24.93 days vs. 8.66±5.39 days, P=0.001) than the experienced group. The length of hospital stay was no different between the experienced group, and the laproscopic gastrectomy group (8.66±5.39 days vs. 8.11±4.10 days, P=0.001). The average blood loss was significantly less for the robotic gastrectomy groups, than for the laparoscopic gastrectomy group (93.25±84.59 ml vs. 173.45±145.19 ml, P&lt;0.001), but the complication rates were no different.\\n\\nCONCLUSIONS: Our study shows that robotic gastrectomy is a safe and feasible procedure, especially after the 20 initial cases, and provides a satisfactory postoperative outcome.","author":[{"dropping-particle":"","family":"Kang","given":"Byung Hee","non-dropping-particle":"","parse-names":false,"suffix":""},{"dropping-particle":"","family":"Xuan","given":"Yi","non-dropping-particle":"","parse-names":false,"suffix":""},{"dropping-particle":"","family":"Hur","given":"Hoon","non-dropping-particle":"","parse-names":false,"suffix":""},{"dropping-particle":"","family":"Ahn","given":"Chang Wook","non-dropping-particle":"","parse-names":false,"suffix":""},{"dropping-particle":"","family":"Cho","given":"Yong Kwan","non-dropping-particle":"","parse-names":false,"suffix":""},{"dropping-particle":"","family":"Han","given":"Sang Uk","non-dropping-particle":"","parse-names":false,"suffix":""}],"container-title":"Journal of Gastric Cancer","id":"ITEM-1","issue":"3","issued":{"date-parts":[["2012"]]},"page":"156-163","title":"Comparison of surgical outcomes between robotic and laparoscopic gastrectomy for gastric cancer: The learning curve of robotic surgery","type":"article-journal","volume":"12"},"uris":["http://www.mendeley.com/documents/?uuid=f84bd2fb-939f-43e1-820f-26ccbc9e8636"]},{"id":"ITEM-2","itemData":{"DOI":"10.1245/s10434-012-2679-6","ISSN":"10689265","abstract":"BACKGROUND: No previous robotic studies present an equivalent surgical quality comparison in an experienced setting for gastric cancer. In addition, a reliable postoperative complication assessment is needed to accurately evaluate surgical outcomes.\\n\\nMETHODS: After 20 cases of robotic-assisted gastrectomy (RAG), a total of 121 consecutive gastric cancer patients underwent gastrectomy (38 RAG vs 83 laparoscopic-assisted gastrectomy [LAG]) from February 2009 to November 2010 at the Department of Surgery, Korea University Anam Hospital, Seoul, Korea. The Clavien-Dindo (C-D) classification was used to classify surgical complications. The granulocyte-to-lymphocyte (G:L) ratio was analyzed to evaluate surgical stress.\\n\\nRESULTS: The baseline characteristics, with the exception of age, were similar. The mean total operation time for RAG (234.4 ± 48.0 min) was not significantly different than that for LAG (220.0 ± 60.6 min; P = 0.198). However, in obese patients, fewer lymph nodes were harvested by RAG (23.4 ± 7.0) than by LAG (32.2 ± 12.5, P = 0.006). Overall C-D complications were more common for RAG (47.3 vs 38.5 %), but the difference was not significant (P = 0.361). The mean hospital stay was similar for the 2 groups. Surgical stress as estimated by the G:L ratio was comparable between the 2 groups.\\n\\nCONCLUSIONS: RAG performed by an experienced surgeon resulted in similar postoperative outcomes and complications to those of LAG. Assessment of operation time, C-D complication grade, and G:L ratio revealed that RAG is a practical and feasible alternative to LAG, with the possible exception of obese patients.","author":[{"dropping-particle":"","family":"Hyun","given":"Myung Han","non-dropping-particle":"","parse-names":false,"suffix":""},{"dropping-particle":"","family":"Lee","given":"Chung Ho","non-dropping-particle":"","parse-names":false,"suffix":""},{"dropping-particle":"","family":"Kwon","given":"Ye Ji","non-dropping-particle":"","parse-names":false,"suffix":""},{"dropping-particle":"Il","family":"Cho","given":"Sung","non-dropping-particle":"","parse-names":false,"suffix":""},{"dropping-particle":"","family":"Jang","given":"You Jin","non-dropping-particle":"","parse-names":false,"suffix":""},{"dropping-particle":"","family":"Kim","given":"Dong Hoon","non-dropping-particle":"","parse-names":false,"suffix":""},{"dropping-particle":"","family":"Kim","given":"Jong Han","non-dropping-particle":"","parse-names":false,"suffix":""},{"dropping-particle":"","family":"Park","given":"Seong Heum","non-dropping-particle":"","parse-names":false,"suffix":""},{"dropping-particle":"","family":"Mok","given":"Young Jae","non-dropping-particle":"","parse-names":false,"suffix":""},{"dropping-particle":"","family":"Park","given":"Sung Soo","non-dropping-particle":"","parse-names":false,"suffix":""}],"container-title":"Annals of Surgical Oncology","id":"ITEM-2","issue":"4","issued":{"date-parts":[["2013"]]},"page":"1258-1265","title":"Robot versus laparoscopic gastrectomy for cancer by an experienced surgeon: Comparisons of surgery, complications, and surgical stress","type":"article-journal","volume":"20"},"uris":["http://www.mendeley.com/documents/?uuid=9022f042-5766-4bd2-bc31-577b8e04d31b"]},{"id":"ITEM-3","itemData":{"author":[{"dropping-particle":"","family":"Yungfen, Z, Yan, S, Bo, T, Yingxue, H, Dongzhu, Z, Yongliang, Z, Feng, Q, Peiwu","given":"Y","non-dropping-particle":"","parse-names":false,"suffix":""}],"container-title":"Surg Endosc","id":"ITEM-3","issue":"6","issued":{"date-parts":[["2014"]]},"page":"1779-1787","title":"Robotic gastrectomy versus laparoscopic gastrectomy for gastric cancer: comparison of surgical performance and short-term outcomes","type":"article-journal","volume":"28"},"uris":["http://www.mendeley.com/documents/?uuid=585348a8-b0e8-4e6a-9896-858cb2075252"]}],"mendeley":{"formattedCitation":"&lt;sup&gt;[113–115]&lt;/sup&gt;","plainTextFormattedCitation":"[113–115]","previouslyFormattedCitation":"&lt;sup&gt;[113–115]&lt;/sup&gt;"},"properties":{"noteIndex":0},"schema":"https://github.com/citation-style-language/schema/raw/master/csl-citation.json"}</w:instrText>
      </w:r>
      <w:r w:rsidR="00882D60" w:rsidRPr="005C7810">
        <w:rPr>
          <w:rFonts w:ascii="Book Antiqua" w:hAnsi="Book Antiqua" w:cs="Times New Roman"/>
          <w:color w:val="000000"/>
          <w:sz w:val="24"/>
          <w:szCs w:val="24"/>
          <w:vertAlign w:val="superscript"/>
          <w:lang w:val="en-US"/>
        </w:rPr>
        <w:fldChar w:fldCharType="separate"/>
      </w:r>
      <w:r w:rsidR="00882D60" w:rsidRPr="005C7810">
        <w:rPr>
          <w:rFonts w:ascii="Book Antiqua" w:hAnsi="Book Antiqua" w:cs="Times New Roman"/>
          <w:color w:val="000000"/>
          <w:sz w:val="24"/>
          <w:szCs w:val="24"/>
          <w:vertAlign w:val="superscript"/>
          <w:lang w:val="en-US"/>
        </w:rPr>
        <w:t>[113–115]</w:t>
      </w:r>
      <w:r w:rsidR="00882D60" w:rsidRPr="005C7810">
        <w:rPr>
          <w:rFonts w:ascii="Book Antiqua" w:hAnsi="Book Antiqua" w:cs="Times New Roman"/>
          <w:color w:val="000000"/>
          <w:sz w:val="24"/>
          <w:szCs w:val="24"/>
          <w:vertAlign w:val="superscript"/>
          <w:lang w:val="en-US"/>
        </w:rPr>
        <w:fldChar w:fldCharType="end"/>
      </w:r>
      <w:r w:rsidR="00250136" w:rsidRPr="005C7810">
        <w:rPr>
          <w:rFonts w:ascii="Book Antiqua" w:hAnsi="Book Antiqua" w:cs="Times New Roman"/>
          <w:color w:val="000000"/>
          <w:sz w:val="24"/>
          <w:szCs w:val="24"/>
          <w:lang w:val="en-US"/>
        </w:rPr>
        <w:t xml:space="preserve">. The </w:t>
      </w:r>
      <w:r w:rsidR="00224600" w:rsidRPr="005C7810">
        <w:rPr>
          <w:rFonts w:ascii="Book Antiqua" w:hAnsi="Book Antiqua" w:cs="Times New Roman"/>
          <w:color w:val="000000"/>
          <w:sz w:val="24"/>
          <w:szCs w:val="24"/>
          <w:lang w:val="en-US"/>
        </w:rPr>
        <w:t xml:space="preserve">disadvantages of </w:t>
      </w:r>
      <w:r w:rsidR="00AC7CE6" w:rsidRPr="005C7810">
        <w:rPr>
          <w:rFonts w:ascii="Book Antiqua" w:hAnsi="Book Antiqua" w:cs="Times New Roman"/>
          <w:color w:val="000000"/>
          <w:sz w:val="24"/>
          <w:szCs w:val="24"/>
          <w:lang w:val="en-US"/>
        </w:rPr>
        <w:t>robotic gastrectomy</w:t>
      </w:r>
      <w:r w:rsidR="00250136" w:rsidRPr="005C7810">
        <w:rPr>
          <w:rFonts w:ascii="Book Antiqua" w:hAnsi="Book Antiqua" w:cs="Times New Roman"/>
          <w:color w:val="000000"/>
          <w:sz w:val="24"/>
          <w:szCs w:val="24"/>
          <w:lang w:val="en-US"/>
        </w:rPr>
        <w:t xml:space="preserve"> concern</w:t>
      </w:r>
      <w:r w:rsidR="00224600" w:rsidRPr="005C7810">
        <w:rPr>
          <w:rFonts w:ascii="Book Antiqua" w:hAnsi="Book Antiqua" w:cs="Times New Roman"/>
          <w:color w:val="000000"/>
          <w:sz w:val="24"/>
          <w:szCs w:val="24"/>
          <w:lang w:val="en-US"/>
        </w:rPr>
        <w:t xml:space="preserve"> its</w:t>
      </w:r>
      <w:r w:rsidR="00250136" w:rsidRPr="005C7810">
        <w:rPr>
          <w:rFonts w:ascii="Book Antiqua" w:hAnsi="Book Antiqua" w:cs="Times New Roman"/>
          <w:color w:val="000000"/>
          <w:sz w:val="24"/>
          <w:szCs w:val="24"/>
          <w:lang w:val="en-US"/>
        </w:rPr>
        <w:t xml:space="preserve"> cost, duration of the procedure</w:t>
      </w:r>
      <w:r w:rsidR="00224600" w:rsidRPr="005C7810">
        <w:rPr>
          <w:rFonts w:ascii="Book Antiqua" w:hAnsi="Book Antiqua" w:cs="Times New Roman"/>
          <w:color w:val="000000"/>
          <w:sz w:val="24"/>
          <w:szCs w:val="24"/>
          <w:lang w:val="en-US"/>
        </w:rPr>
        <w:t>,</w:t>
      </w:r>
      <w:r w:rsidR="00250136" w:rsidRPr="005C7810">
        <w:rPr>
          <w:rFonts w:ascii="Book Antiqua" w:hAnsi="Book Antiqua" w:cs="Times New Roman"/>
          <w:color w:val="000000"/>
          <w:sz w:val="24"/>
          <w:szCs w:val="24"/>
          <w:lang w:val="en-US"/>
        </w:rPr>
        <w:t xml:space="preserve"> and training</w:t>
      </w:r>
      <w:r w:rsidR="00224600" w:rsidRPr="005C7810">
        <w:rPr>
          <w:rFonts w:ascii="Book Antiqua" w:hAnsi="Book Antiqua" w:cs="Times New Roman"/>
          <w:color w:val="000000"/>
          <w:sz w:val="24"/>
          <w:szCs w:val="24"/>
          <w:lang w:val="en-US"/>
        </w:rPr>
        <w:t xml:space="preserve"> needs</w:t>
      </w:r>
      <w:r w:rsidR="00250136" w:rsidRPr="005C7810">
        <w:rPr>
          <w:rFonts w:ascii="Book Antiqua" w:hAnsi="Book Antiqua" w:cs="Times New Roman"/>
          <w:color w:val="000000"/>
          <w:sz w:val="24"/>
          <w:szCs w:val="24"/>
          <w:vertAlign w:val="superscript"/>
          <w:lang w:val="en-US"/>
        </w:rPr>
        <w:fldChar w:fldCharType="begin" w:fldLock="1"/>
      </w:r>
      <w:r w:rsidR="00250136" w:rsidRPr="005C7810">
        <w:rPr>
          <w:rFonts w:ascii="Book Antiqua" w:hAnsi="Book Antiqua" w:cs="Times New Roman"/>
          <w:color w:val="000000"/>
          <w:sz w:val="24"/>
          <w:szCs w:val="24"/>
          <w:vertAlign w:val="superscript"/>
          <w:lang w:val="en-US"/>
        </w:rPr>
        <w:instrText>ADDIN CSL_CITATION {"citationItems":[{"id":"ITEM-1","itemData":{"DOI":"10.4251/wjgo.v8.i1.8","ISSN":"1948-5204","abstract":"Minimally invasive surgery for gastric cancer is a relatively new research field, with convincing results mostly stemming from Asian countries. The use of the robotic surgery platform, thus far assessed as a safe procedure, which is also easier to learn, sets the background for a wider spread of minimally invasive technique in the treatment of gastric cancer. This review will cover the literature published so far, analyzing the pros and cons of robotic surgery and highlighting the remaining study questions.","author":[{"dropping-particle":"","family":"Procopiuc","given":"Livia","non-dropping-particle":"","parse-names":false,"suffix":""}],"container-title":"World Journal of Gastrointestinal Oncology","id":"ITEM-1","issue":"1","issued":{"date-parts":[["2016"]]},"page":"8","title":"Robot-assisted surgery for gastric cancer","type":"article-journal","volume":"8"},"uris":["http://www.mendeley.com/documents/?uuid=d96f6269-20f5-43e8-b6e5-28c4132e8dcb"]}],"mendeley":{"formattedCitation":"&lt;sup&gt;[116]&lt;/sup&gt;","plainTextFormattedCitation":"[116]","previouslyFormattedCitation":"&lt;sup&gt;[116]&lt;/sup&gt;"},"properties":{"noteIndex":0},"schema":"https://github.com/citation-style-language/schema/raw/master/csl-citation.json"}</w:instrText>
      </w:r>
      <w:r w:rsidR="00250136" w:rsidRPr="005C7810">
        <w:rPr>
          <w:rFonts w:ascii="Book Antiqua" w:hAnsi="Book Antiqua" w:cs="Times New Roman"/>
          <w:color w:val="000000"/>
          <w:sz w:val="24"/>
          <w:szCs w:val="24"/>
          <w:vertAlign w:val="superscript"/>
          <w:lang w:val="en-US"/>
        </w:rPr>
        <w:fldChar w:fldCharType="separate"/>
      </w:r>
      <w:r w:rsidR="00250136" w:rsidRPr="005C7810">
        <w:rPr>
          <w:rFonts w:ascii="Book Antiqua" w:hAnsi="Book Antiqua" w:cs="Times New Roman"/>
          <w:color w:val="000000"/>
          <w:sz w:val="24"/>
          <w:szCs w:val="24"/>
          <w:vertAlign w:val="superscript"/>
          <w:lang w:val="en-US"/>
        </w:rPr>
        <w:t>[116]</w:t>
      </w:r>
      <w:r w:rsidR="00250136" w:rsidRPr="005C7810">
        <w:rPr>
          <w:rFonts w:ascii="Book Antiqua" w:hAnsi="Book Antiqua" w:cs="Times New Roman"/>
          <w:color w:val="000000"/>
          <w:sz w:val="24"/>
          <w:szCs w:val="24"/>
          <w:vertAlign w:val="superscript"/>
          <w:lang w:val="en-US"/>
        </w:rPr>
        <w:fldChar w:fldCharType="end"/>
      </w:r>
      <w:r w:rsidR="00250136"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 </w:t>
      </w:r>
      <w:r w:rsidR="00A51854" w:rsidRPr="005C7810">
        <w:rPr>
          <w:rFonts w:ascii="Book Antiqua" w:hAnsi="Book Antiqua" w:cs="Times New Roman"/>
          <w:color w:val="000000"/>
          <w:sz w:val="24"/>
          <w:szCs w:val="24"/>
          <w:lang w:val="en-US"/>
        </w:rPr>
        <w:t>Unfortunately, t</w:t>
      </w:r>
      <w:r w:rsidRPr="005C7810">
        <w:rPr>
          <w:rFonts w:ascii="Book Antiqua" w:hAnsi="Book Antiqua" w:cs="Times New Roman"/>
          <w:color w:val="000000"/>
          <w:sz w:val="24"/>
          <w:szCs w:val="24"/>
          <w:lang w:val="en-US"/>
        </w:rPr>
        <w:t xml:space="preserve">he lack of controlled and randomized studies </w:t>
      </w:r>
      <w:r w:rsidR="00224600" w:rsidRPr="005C7810">
        <w:rPr>
          <w:rFonts w:ascii="Book Antiqua" w:hAnsi="Book Antiqua" w:cs="Times New Roman"/>
          <w:color w:val="000000"/>
          <w:sz w:val="24"/>
          <w:szCs w:val="24"/>
          <w:lang w:val="en-US"/>
        </w:rPr>
        <w:t>has precluded the ability</w:t>
      </w:r>
      <w:r w:rsidRPr="005C7810">
        <w:rPr>
          <w:rFonts w:ascii="Book Antiqua" w:hAnsi="Book Antiqua" w:cs="Times New Roman"/>
          <w:color w:val="000000"/>
          <w:sz w:val="24"/>
          <w:szCs w:val="24"/>
          <w:lang w:val="en-US"/>
        </w:rPr>
        <w:t xml:space="preserve"> to establish a clear indication of </w:t>
      </w:r>
      <w:r w:rsidR="00224600" w:rsidRPr="005C7810">
        <w:rPr>
          <w:rFonts w:ascii="Book Antiqua" w:hAnsi="Book Antiqua" w:cs="Times New Roman"/>
          <w:color w:val="000000"/>
          <w:sz w:val="24"/>
          <w:szCs w:val="24"/>
          <w:lang w:val="en-US"/>
        </w:rPr>
        <w:t>robotic gastrectomy</w:t>
      </w:r>
      <w:r w:rsidRPr="005C7810">
        <w:rPr>
          <w:rFonts w:ascii="Book Antiqua" w:hAnsi="Book Antiqua" w:cs="Times New Roman"/>
          <w:color w:val="000000"/>
          <w:sz w:val="24"/>
          <w:szCs w:val="24"/>
          <w:lang w:val="en-US"/>
        </w:rPr>
        <w:t xml:space="preserve"> in the treatment of GC</w:t>
      </w:r>
      <w:r w:rsidRPr="005C7810">
        <w:rPr>
          <w:rFonts w:ascii="Book Antiqua" w:hAnsi="Book Antiqua" w:cs="Times New Roman"/>
          <w:color w:val="000000"/>
          <w:sz w:val="24"/>
          <w:szCs w:val="24"/>
          <w:vertAlign w:val="superscript"/>
          <w:lang w:val="en-US"/>
        </w:rPr>
        <w:fldChar w:fldCharType="begin" w:fldLock="1"/>
      </w:r>
      <w:r w:rsidRPr="005C7810">
        <w:rPr>
          <w:rFonts w:ascii="Book Antiqua" w:hAnsi="Book Antiqua" w:cs="Times New Roman"/>
          <w:color w:val="000000"/>
          <w:sz w:val="24"/>
          <w:szCs w:val="24"/>
          <w:vertAlign w:val="superscript"/>
          <w:lang w:val="en-US"/>
        </w:rPr>
        <w:instrText>ADDIN CSL_CITATION {"citationItems":[{"id":"ITEM-1","itemData":{"DOI":"10.4251/wjgo.v8.i1.8","ISSN":"1948-5204","abstract":"Minimally invasive surgery for gastric cancer is a relatively new research field, with convincing results mostly stemming from Asian countries. The use of the robotic surgery platform, thus far assessed as a safe procedure, which is also easier to learn, sets the background for a wider spread of minimally invasive technique in the treatment of gastric cancer. This review will cover the literature published so far, analyzing the pros and cons of robotic surgery and highlighting the remaining study questions.","author":[{"dropping-particle":"","family":"Procopiuc","given":"Livia","non-dropping-particle":"","parse-names":false,"suffix":""}],"container-title":"World Journal of Gastrointestinal Oncology","id":"ITEM-1","issue":"1","issued":{"date-parts":[["2016"]]},"page":"8","title":"Robot-assisted surgery for gastric cancer","type":"article-journal","volume":"8"},"uris":["http://www.mendeley.com/documents/?uuid=d96f6269-20f5-43e8-b6e5-28c4132e8dcb"]}],"mendeley":{"formattedCitation":"&lt;sup&gt;[116]&lt;/sup&gt;","plainTextFormattedCitation":"[116]","previouslyFormattedCitation":"&lt;sup&gt;[116]&lt;/sup&gt;"},"properties":{"noteIndex":0},"schema":"https://github.com/citation-style-language/schema/raw/master/csl-citation.json"}</w:instrText>
      </w:r>
      <w:r w:rsidRPr="005C7810">
        <w:rPr>
          <w:rFonts w:ascii="Book Antiqua" w:hAnsi="Book Antiqua" w:cs="Times New Roman"/>
          <w:color w:val="000000"/>
          <w:sz w:val="24"/>
          <w:szCs w:val="24"/>
          <w:vertAlign w:val="superscript"/>
          <w:lang w:val="en-US"/>
        </w:rPr>
        <w:fldChar w:fldCharType="separate"/>
      </w:r>
      <w:r w:rsidRPr="005C7810">
        <w:rPr>
          <w:rFonts w:ascii="Book Antiqua" w:hAnsi="Book Antiqua" w:cs="Times New Roman"/>
          <w:color w:val="000000"/>
          <w:sz w:val="24"/>
          <w:szCs w:val="24"/>
          <w:vertAlign w:val="superscript"/>
          <w:lang w:val="en-US"/>
        </w:rPr>
        <w:t>[116]</w:t>
      </w:r>
      <w:r w:rsidRPr="005C7810">
        <w:rPr>
          <w:rFonts w:ascii="Book Antiqua" w:hAnsi="Book Antiqua" w:cs="Times New Roman"/>
          <w:color w:val="000000"/>
          <w:sz w:val="24"/>
          <w:szCs w:val="24"/>
          <w:vertAlign w:val="superscript"/>
          <w:lang w:val="en-US"/>
        </w:rPr>
        <w:fldChar w:fldCharType="end"/>
      </w:r>
      <w:r w:rsidRPr="005C7810">
        <w:rPr>
          <w:rFonts w:ascii="Book Antiqua" w:hAnsi="Book Antiqua" w:cs="Times New Roman"/>
          <w:color w:val="000000"/>
          <w:sz w:val="24"/>
          <w:szCs w:val="24"/>
          <w:lang w:val="en-US"/>
        </w:rPr>
        <w:t xml:space="preserve">. </w:t>
      </w:r>
    </w:p>
    <w:p w:rsidR="000F5BB0" w:rsidRPr="005C7810" w:rsidRDefault="003B649A" w:rsidP="00CD380F">
      <w:pPr>
        <w:shd w:val="clear" w:color="auto" w:fill="FFFFFF"/>
        <w:snapToGrid w:val="0"/>
        <w:spacing w:after="0" w:line="360" w:lineRule="auto"/>
        <w:jc w:val="both"/>
        <w:rPr>
          <w:rFonts w:ascii="Book Antiqua" w:eastAsia="Times New Roman" w:hAnsi="Book Antiqua" w:cs="Times New Roman"/>
          <w:sz w:val="24"/>
          <w:szCs w:val="24"/>
          <w:lang w:val="en-US"/>
        </w:rPr>
      </w:pPr>
      <w:r w:rsidRPr="005C7810">
        <w:rPr>
          <w:rFonts w:ascii="Book Antiqua" w:hAnsi="Book Antiqua" w:cs="Times New Roman"/>
          <w:color w:val="000000"/>
          <w:sz w:val="24"/>
          <w:szCs w:val="24"/>
          <w:lang w:val="en-US"/>
        </w:rPr>
        <w:tab/>
      </w:r>
      <w:r w:rsidRPr="005C7810">
        <w:rPr>
          <w:rFonts w:ascii="Book Antiqua" w:hAnsi="Book Antiqua" w:cs="Times New Roman"/>
          <w:sz w:val="24"/>
          <w:szCs w:val="24"/>
          <w:lang w:val="en-US"/>
        </w:rPr>
        <w:t>S</w:t>
      </w:r>
      <w:r w:rsidR="00B8125B" w:rsidRPr="005C7810">
        <w:rPr>
          <w:rFonts w:ascii="Book Antiqua" w:hAnsi="Book Antiqua" w:cs="Times New Roman"/>
          <w:sz w:val="24"/>
          <w:szCs w:val="24"/>
          <w:lang w:val="en-US"/>
        </w:rPr>
        <w:t>urgical resection with pre</w:t>
      </w:r>
      <w:r w:rsidR="00AB58F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 xml:space="preserve"> and post</w:t>
      </w:r>
      <w:r w:rsidR="00AB58F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operative chemotherapy and/or radiotherapy is the primary curative treatment of early</w:t>
      </w:r>
      <w:r w:rsidR="00AB58FA" w:rsidRPr="005C7810">
        <w:rPr>
          <w:rFonts w:ascii="Book Antiqua" w:hAnsi="Book Antiqua" w:cs="Times New Roman"/>
          <w:sz w:val="24"/>
          <w:szCs w:val="24"/>
          <w:lang w:val="en-US"/>
        </w:rPr>
        <w:t>-</w:t>
      </w:r>
      <w:r w:rsidR="00B8125B" w:rsidRPr="005C7810">
        <w:rPr>
          <w:rFonts w:ascii="Book Antiqua" w:hAnsi="Book Antiqua" w:cs="Times New Roman"/>
          <w:sz w:val="24"/>
          <w:szCs w:val="24"/>
          <w:lang w:val="en-US"/>
        </w:rPr>
        <w:t>stage GC with a 5-year survival of about 30%</w:t>
      </w:r>
      <w:r w:rsidR="004D53BE" w:rsidRPr="005C7810">
        <w:rPr>
          <w:rFonts w:ascii="Book Antiqua" w:hAnsi="Book Antiqua" w:cs="Times New Roman"/>
          <w:sz w:val="24"/>
          <w:szCs w:val="24"/>
          <w:lang w:val="en-US"/>
        </w:rPr>
        <w:fldChar w:fldCharType="begin" w:fldLock="1"/>
      </w:r>
      <w:r w:rsidRPr="005C7810">
        <w:rPr>
          <w:rFonts w:ascii="Book Antiqua" w:hAnsi="Book Antiqua" w:cs="Times New Roman"/>
          <w:sz w:val="24"/>
          <w:szCs w:val="24"/>
          <w:lang w:val="en-US"/>
        </w:rPr>
        <w:instrText>ADDIN CSL_CITATION {"citationItems":[{"id":"ITEM-1","itemData":{"DOI":"10.1016/j.ctrv.2007.01.004","ISBN":"443121139X","ISSN":"03057372","PMID":"20238327","abstract":"Gastric cancer is the second most frequent cancer in the world. Approximately 84% of patients with gastric cancer will have advanced disease and median survival of these patients without chemotherapy is only 3-4 months. \"Classical\" chemotherapy regimens, mainly CF (cisplatin plus infusional 5FU) and ECF (cisplatin plus infusional 5FU plus Epirubicin) obtain responses in 20-40% of the patients and improve quality of life. Nevertheless, duration of these responses is short with very few complete responses. Median time to tumor progression (TTP) with these regimens is only about 4-5 months and median survival does not exceed 7-10 months. Moreover, benefit seems to be limited to patients with good performance status and treatment toxicity and discomfort are not negligible, specially that of regimens with cisplatin or infusional 5FU. Trying to improve these results, the incorporation of new drugs has been explored. Among the new combinations, the more developed ones are those with Docetaxel (DCF), oxaliplatin (EOX, FLO), Capecitabine (EOX, cisplatin-Xeloda) and irinotecan (ILF). We have final results from Phase III trials that suggest that all these regimens could have a role in the treatment of these patients but survival is still very poor and toxicity remains important. It would be interesting to investigate other new combinations and the incorporation of drugs directed against new therapeutic targets in this setting. It would be of utmost interest that these clinical trials would also explore clinical and molecular prognostic and predictive factors. © 2007 Elsevier Ltd. All rights reserved.","author":[{"dropping-particle":"","family":"Rivera","given":"Fernando","non-dropping-particle":"","parse-names":false,"suffix":""},{"dropping-particle":"","family":"Vega-Villegas","given":"Ma Eugenia","non-dropping-particle":"","parse-names":false,"suffix":""},{"dropping-particle":"","family":"López-Brea","given":"Marta F.","non-dropping-particle":"","parse-names":false,"suffix":""}],"container-title":"Cancer Treatment Reviews","id":"ITEM-1","issue":"4","issued":{"date-parts":[["2007"]]},"page":"315-324","title":"Chemotherapy of advanced gastric cancer","type":"article-journal","volume":"33"},"uris":["http://www.mendeley.com/documents/?uuid=242ec809-d7a0-4620-b3cd-d6cc69cae32a","http://www.mendeley.com/documents/?uuid=5df1a4ab-7e3a-4111-a734-4b875ac29474"]},{"id":"ITEM-2","itemData":{"DOI":"10.1002/ijc.25516","ISBN":"1097-0215 (Electronic)\\r0020-7136 (Linking)","ISSN":"00207136","PMID":"21351269","abstract":"Estimates of the worldwide incidence and mortality from 27 cancers in 2008 have been prepared for 182 countries as part of the GLOBOCAN series published by the International Agency for Research on Cancer. In this article, we present the results for 20 world regions, summarizing the global patterns for the eight most common cancers. Overall, an estimated 12.7 million new cancer cases and 7.6 million cancer deaths occur in 2008, with 56% of new cancer cases and 63% of the cancer deaths occurring in the less developed regions of the world. The most commonly diagnosed cancers worldwide are lung (1.61 million, 12.7% of the total), breast (1.38 million, 10.9%) and colorectal cancers (1.23 million, 9.7%). The most common causes of cancer death are lung cancer (1.38 million, 18.2% of the total), stomach cancer (738,000 deaths, 9.7%) and liver cancer (696,000 deaths, 9.2%). Cancer is neither rare anywhere in the world, nor mainly confined to high-resource countries. Striking differences in the patterns of cancer from region to region are observed.","author":[{"dropping-particle":"","family":"Ferlay","given":"Jacques","non-dropping-particle":"","parse-names":false,"suffix":""},{"dropping-particle":"","family":"Shin","given":"Hai Rim","non-dropping-particle":"","parse-names":false,"suffix":""},{"dropping-particle":"","family":"Bray","given":"Freddie","non-dropping-particle":"","parse-names":false,"suffix":""},{"dropping-particle":"","family":"Forman","given":"David","non-dropping-particle":"","parse-names":false,"suffix":""},{"dropping-particle":"","family":"Mathers","given":"Colin","non-dropping-particle":"","parse-names":false,"suffix":""},{"dropping-particle":"","family":"Parkin","given":"Donald Maxwell","non-dropping-particle":"","parse-names":false,"suffix":""}],"container-title":"International Journal of Cancer","id":"ITEM-2","issue":"12","issued":{"date-parts":[["2010"]]},"page":"2893-2917","title":"Estimates of worldwide burden of cancer in 2008: GLOBOCAN 2008","type":"article-journal","volume":"127"},"uris":["http://www.mendeley.com/documents/?uuid=8ccefda6-e0e7-4625-9664-d45410743836","http://www.mendeley.com/documents/?uuid=391e78dd-ff9d-44a8-86b1-fb3fbda26019"]},{"id":"ITEM-3","itemData":{"DOI":"10.1016/S1470-2045(09)70136-6","ISBN":"1470-2045","ISSN":"14702045","PMID":"355142594","abstract":"Gastric cancer remains one of the most common forms of cancer worldwide. Unfortunately, most patients will present with advanced-stage disease, and will therefore need palliative chemotherapy. Some chemotherapy regimens have been well established as first-line therapy, and have been shown to increase survival; however, almost all patients with metastatic gastric cancer will develop progressive disease after first-line therapy. With the availability of several active chemotherapy drugs, many patients who retain a good performance status after the initial treatment remain good candidates for additional therapy; however, no standard approach for second-line therapy exists. Many small, phase 2 trials have been done and the findings are variable. No data from randomised-controlled trials suggest a benefit of second-line chemotherapy compared with supportive care alone. We review the published data concerning the use of chemotherapy in the second-line setting for the treatment of advanced gastric cancer. © 2009 Elsevier Ltd. All rights reserved.","author":[{"dropping-particle":"","family":"Wesolowski","given":"Robert","non-dropping-particle":"","parse-names":false,"suffix":""},{"dropping-particle":"","family":"Lee","given":"Chan","non-dropping-particle":"","parse-names":false,"suffix":""},{"dropping-particle":"","family":"Kim","given":"Richard","non-dropping-particle":"","parse-names":false,"suffix":""}],"container-title":"The Lancet Oncology","id":"ITEM-3","issue":"9","issued":{"date-parts":[["2009"]]},"page":"903-912","publisher":"Elsevier Ltd","title":"Is there a role for second-line chemotherapy in advanced gastric cancer?","type":"article-journal","volume":"10"},"uris":["http://www.mendeley.com/documents/?uuid=1122ee08-377a-4838-9dda-9b71800f5dac","http://www.mendeley.com/documents/?uuid=bc3954fb-583d-4ec0-bcb9-c7842053fc44"]}],"mendeley":{"formattedCitation":"&lt;sup&gt;[117–119]&lt;/sup&gt;","plainTextFormattedCitation":"[117–119]","previouslyFormattedCitation":"&lt;sup&gt;[117–119]&lt;/sup&gt;"},"properties":{"noteIndex":0},"schema":"https://github.com/citation-style-language/schema/raw/master/csl-citation.json"}</w:instrText>
      </w:r>
      <w:r w:rsidR="004D53BE" w:rsidRPr="005C7810">
        <w:rPr>
          <w:rFonts w:ascii="Book Antiqua" w:hAnsi="Book Antiqua" w:cs="Times New Roman"/>
          <w:sz w:val="24"/>
          <w:szCs w:val="24"/>
          <w:lang w:val="en-US"/>
        </w:rPr>
        <w:fldChar w:fldCharType="separate"/>
      </w:r>
      <w:r w:rsidR="00250136" w:rsidRPr="005C7810">
        <w:rPr>
          <w:rFonts w:ascii="Book Antiqua" w:hAnsi="Book Antiqua" w:cs="Times New Roman"/>
          <w:sz w:val="24"/>
          <w:szCs w:val="24"/>
          <w:vertAlign w:val="superscript"/>
          <w:lang w:val="en-US"/>
        </w:rPr>
        <w:t>[117–119]</w:t>
      </w:r>
      <w:r w:rsidR="004D53BE"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Systemic chemotherapy is used to treat patients with localized and advanced GC. Palliative systemic therapy and chemo/radiotherapy are standard treatment options for patients with unresectable or metastatic advanced GC. Neoadjuvant chemotherapy with surgery </w:t>
      </w:r>
      <w:r w:rsidR="001A4F94" w:rsidRPr="005C7810">
        <w:rPr>
          <w:rFonts w:ascii="Book Antiqua" w:hAnsi="Book Antiqua" w:cs="Times New Roman"/>
          <w:sz w:val="24"/>
          <w:szCs w:val="24"/>
          <w:lang w:val="en-US"/>
        </w:rPr>
        <w:t xml:space="preserve">is associated with the improved </w:t>
      </w:r>
      <w:r w:rsidR="00B8125B" w:rsidRPr="005C7810">
        <w:rPr>
          <w:rFonts w:ascii="Book Antiqua" w:hAnsi="Book Antiqua" w:cs="Times New Roman"/>
          <w:sz w:val="24"/>
          <w:szCs w:val="24"/>
          <w:lang w:val="en-US"/>
        </w:rPr>
        <w:t xml:space="preserve">survival </w:t>
      </w:r>
      <w:r w:rsidR="00AB58FA" w:rsidRPr="005C7810">
        <w:rPr>
          <w:rFonts w:ascii="Book Antiqua" w:hAnsi="Book Antiqua" w:cs="Times New Roman"/>
          <w:sz w:val="24"/>
          <w:szCs w:val="24"/>
          <w:lang w:val="en-US"/>
        </w:rPr>
        <w:t xml:space="preserve">of </w:t>
      </w:r>
      <w:r w:rsidR="00B8125B" w:rsidRPr="005C7810">
        <w:rPr>
          <w:rFonts w:ascii="Book Antiqua" w:hAnsi="Book Antiqua" w:cs="Times New Roman"/>
          <w:sz w:val="24"/>
          <w:szCs w:val="24"/>
          <w:lang w:val="en-US"/>
        </w:rPr>
        <w:t>patients with metastatic disease</w:t>
      </w:r>
      <w:r w:rsidR="004D53BE" w:rsidRPr="005C7810">
        <w:rPr>
          <w:rFonts w:ascii="Book Antiqua" w:hAnsi="Book Antiqua" w:cs="Times New Roman"/>
          <w:sz w:val="24"/>
          <w:szCs w:val="24"/>
          <w:lang w:val="en-US"/>
        </w:rPr>
        <w:fldChar w:fldCharType="begin" w:fldLock="1"/>
      </w:r>
      <w:r w:rsidRPr="005C7810">
        <w:rPr>
          <w:rFonts w:ascii="Book Antiqua" w:hAnsi="Book Antiqua" w:cs="Times New Roman"/>
          <w:sz w:val="24"/>
          <w:szCs w:val="24"/>
          <w:lang w:val="en-US"/>
        </w:rPr>
        <w:instrText>ADDIN CSL_CITATION {"citationItems":[{"id":"ITEM-1","itemData":{"DOI":"10.1001/jamaoncol.2017.0515","ISSN":"23742445","PMID":"28448662","abstract":"Importance Surgical resection has a potential benefit for patients with metastatic adenocarcinoma of the stomach and gastroesophageal junction. Objective To evaluate outcome in patients with limited metastatic disease who receive chemotherapy first and proceed to surgical resection. Design, Setting, and Participants The AIO-FLOT3 (Arbeitsgemeinschaft Internistische Onkologie-fluorouracil, leucovorin, oxaliplatin, and docetaxel) trial is a prospective, phase 2 trial of 252 patients with resectable or metastatic gastric or gastroesophageal junction adenocarcinoma. Patients were enrolled from 52 cancer care centers in Germany between February 1, 2009, and January 31, 2010, and stratified to 1 of 3 groups: resectable (arm A), limited metastatic (arm B), or extensive metastatic (arm C). Data cutoff was January 2012, and the analysis was performed in March 2013. Interventions Patients in arm A received 4 preoperative cycles of fluorouracil, leucovorin, oxaliplatin, and docetaxel (FLOT) followed by surgery and 4 postoperative cycles. Patients in arm B received at least 4 cycles of neoadjuvant FLOT and proceeded to surgical resection if restaging (using computed tomography and magnetic resonance imaging) showed a chance of margin-free (R0) resection of the primary tumor and at least a macroscopic complete resection of the metastatic lesions. Patients in arm C were offered FLOT chemotherapy and surgery only if required for palliation. Patients received a median (range) of 8 (1-15) cycles of FLOT. Main Outcomes and Measures The primary end point was overall survival. Results In total, 238 of 252 patients (94.4%) were eligible to participate. The median (range) age of participants was 66 (36-79) years in arm A (n</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51), 63 (28-79) years in arm B (n</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60), and 65 (23-83) years in arm C (n</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127). Patients in arm B (n = 60) had only retroperitoneal lymph node involvement (27 patients [45%]), liver involvement (11 [18.3%]), lung involvement (10 [16.7%]), localized peritoneal involvement (4 [6.7%]), or other (8 [13.3%]) incurable sites. Median overall survival was 22.9 months (95% CI, 16.5 to upper level not achieved) for arm B, compared with 10.7 months (95% CI, 9.1-12.8) for arm C (hazard ratio, 0.37; 95% CI, 0.25-0.55) (P</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&lt;</w:instrText>
      </w:r>
      <w:r w:rsidRPr="005C7810">
        <w:rPr>
          <w:rFonts w:ascii="Times New Roman" w:hAnsi="Times New Roman" w:cs="Times New Roman"/>
          <w:sz w:val="24"/>
          <w:szCs w:val="24"/>
          <w:lang w:val="en-US"/>
        </w:rPr>
        <w:instrText> </w:instrText>
      </w:r>
      <w:r w:rsidRPr="005C7810">
        <w:rPr>
          <w:rFonts w:ascii="Book Antiqua" w:hAnsi="Book Antiqua" w:cs="Times New Roman"/>
          <w:sz w:val="24"/>
          <w:szCs w:val="24"/>
          <w:lang w:val="en-US"/>
        </w:rPr>
        <w:instrText>.001). The response rate for arm B was 60% (complete, 10%; partial, 50%), which is higher than the 43.3% for arm C. In arm B, 36 of 60 patients (60%) proceeded to surgery. The median overall survival was 31.3 months (95% CI, 18.9-upper level not…","author":[{"dropping-particle":"","family":"Al-Batran","given":"Salah Eddin","non-dropping-particle":"","parse-names":false,"suffix":""},{"dropping-particle":"","family":"Homann","given":"Nils","non-dropping-particle":"","parse-names":false,"suffix":""},{"dropping-particle":"","family":"Pauligk","given":"Claudia","non-dropping-particle":"","parse-names":false,"suffix":""},{"dropping-particle":"","family":"Illerhaus","given":"Gerald","non-dropping-particle":"","parse-names":false,"suffix":""},{"dropping-particle":"","family":"Martens","given":"Uwe M.","non-dropping-particle":"","parse-names":false,"suffix":""},{"dropping-particle":"","family":"Stoehlmacher","given":"Jan","non-dropping-particle":"","parse-names":false,"suffix":""},{"dropping-particle":"","family":"Schmalenberg","given":"Harald","non-dropping-particle":"","parse-names":false,"suffix":""},{"dropping-particle":"","family":"Luley","given":"Kim B.","non-dropping-particle":"","parse-names":false,"suffix":""},{"dropping-particle":"","family":"Prasnikar","given":"Nicole","non-dropping-particle":"","parse-names":false,"suffix":""},{"dropping-particle":"","family":"Egger","given":"Matthias","non-dropping-particle":"","parse-names":false,"suffix":""},{"dropping-particle":"","family":"Probst","given":"Stephan","non-dropping-particle":"","parse-names":false,"suffix":""},{"dropping-particle":"","family":"Messmann","given":"Helmut","non-dropping-particle":"","parse-names":false,"suffix":""},{"dropping-particle":"","family":"Moehler","given":"Markus","non-dropping-particle":"","parse-names":false,"suffix":""},{"dropping-particle":"","family":"Fischbach","given":"Wolfgang","non-dropping-particle":"","parse-names":false,"suffix":""},{"dropping-particle":"","family":"Hartmann","given":"Jörg T.","non-dropping-particle":"","parse-names":false,"suffix":""},{"dropping-particle":"","family":"Mayer","given":"Frank","non-dropping-particle":"","parse-names":false,"suffix":""},{"dropping-particle":"","family":"Höffkes","given":"Heinz Gert","non-dropping-particle":"","parse-names":false,"suffix":""},{"dropping-particle":"","family":"Koenigsmann","given":"Michael","non-dropping-particle":"","parse-names":false,"suffix":""},{"dropping-particle":"","family":"Arnold","given":"Dirk","non-dropping-particle":"","parse-names":false,"suffix":""},{"dropping-particle":"","family":"Kraus","given":"Thomas W.","non-dropping-particle":"","parse-names":false,"suffix":""},{"dropping-particle":"","family":"Grimm","given":"Kersten","non-dropping-particle":"","parse-names":false,"suffix":""},{"dropping-particle":"","family":"Berkhoff","given":"Stefan","non-dropping-particle":"","parse-names":false,"suffix":""},{"dropping-particle":"","family":"Post","given":"Stefan","non-dropping-particle":"","parse-names":false,"suffix":""},{"dropping-particle":"","family":"Jäger","given":"Elke","non-dropping-particle":"","parse-names":false,"suffix":""},{"dropping-particle":"","family":"Bechstein","given":"Wolf","non-dropping-particle":"","parse-names":false,"suffix":""},{"dropping-particle":"","family":"Ronellenfitsch","given":"Ulrich","non-dropping-particle":"","parse-names":false,"suffix":""},{"dropping-particle":"","family":"Mönig","given":"Stefan","non-dropping-particle":"","parse-names":false,"suffix":""},{"dropping-particle":"","family":"Hofheinz","given":"Ralf D.","non-dropping-particle":"","parse-names":false,"suffix":""}],"container-title":"JAMA Oncology","id":"ITEM-1","issue":"9","issued":{"date-parts":[["2017"]]},"page":"1237-1244","title":"Effect of neoadjuvant chemotherapy followed by surgical resection on survival in patients with limited metastatic gastric or gastroesophageal junction cancer: The AIO-FLOT3 trial","type":"article-journal","volume":"3"},"uris":["http://www.mendeley.com/documents/?uuid=1c0dbebe-a36c-445c-b5ed-8f0ef628c209","http://www.mendeley.com/documents/?uuid=dd98d747-2f5d-466d-900a-98d727e35efe"]}],"mendeley":{"formattedCitation":"&lt;sup&gt;[120]&lt;/sup&gt;","plainTextFormattedCitation":"[120]","previouslyFormattedCitation":"&lt;sup&gt;[120]&lt;/sup&gt;"},"properties":{"noteIndex":0},"schema":"https://github.com/citation-style-language/schema/raw/master/csl-citation.json"}</w:instrText>
      </w:r>
      <w:r w:rsidR="004D53BE" w:rsidRPr="005C7810">
        <w:rPr>
          <w:rFonts w:ascii="Book Antiqua" w:hAnsi="Book Antiqua" w:cs="Times New Roman"/>
          <w:sz w:val="24"/>
          <w:szCs w:val="24"/>
          <w:lang w:val="en-US"/>
        </w:rPr>
        <w:fldChar w:fldCharType="separate"/>
      </w:r>
      <w:r w:rsidR="00250136" w:rsidRPr="005C7810">
        <w:rPr>
          <w:rFonts w:ascii="Book Antiqua" w:hAnsi="Book Antiqua" w:cs="Times New Roman"/>
          <w:sz w:val="24"/>
          <w:szCs w:val="24"/>
          <w:vertAlign w:val="superscript"/>
          <w:lang w:val="en-US"/>
        </w:rPr>
        <w:t>[120]</w:t>
      </w:r>
      <w:r w:rsidR="004D53BE"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Perioperative chemotherapy </w:t>
      </w:r>
      <w:r w:rsidR="00200920" w:rsidRPr="005C7810">
        <w:rPr>
          <w:rFonts w:ascii="Book Antiqua" w:hAnsi="Book Antiqua" w:cs="Times New Roman"/>
          <w:sz w:val="24"/>
          <w:szCs w:val="24"/>
          <w:lang w:val="en-US"/>
        </w:rPr>
        <w:t>with docetaxel, oxaliplatin, fluorouracil</w:t>
      </w:r>
      <w:r w:rsidR="001A4F94" w:rsidRPr="005C7810">
        <w:rPr>
          <w:rFonts w:ascii="Book Antiqua" w:hAnsi="Book Antiqua" w:cs="Times New Roman"/>
          <w:sz w:val="24"/>
          <w:szCs w:val="24"/>
          <w:lang w:val="en-US"/>
        </w:rPr>
        <w:t>,</w:t>
      </w:r>
      <w:r w:rsidR="00200920" w:rsidRPr="005C7810">
        <w:rPr>
          <w:rFonts w:ascii="Book Antiqua" w:hAnsi="Book Antiqua" w:cs="Times New Roman"/>
          <w:sz w:val="24"/>
          <w:szCs w:val="24"/>
          <w:lang w:val="en-US"/>
        </w:rPr>
        <w:t xml:space="preserve"> and</w:t>
      </w:r>
      <w:r w:rsidR="00B8125B" w:rsidRPr="005C7810">
        <w:rPr>
          <w:rFonts w:ascii="Book Antiqua" w:hAnsi="Book Antiqua" w:cs="Times New Roman"/>
          <w:sz w:val="24"/>
          <w:szCs w:val="24"/>
          <w:lang w:val="en-US"/>
        </w:rPr>
        <w:t xml:space="preserve"> leucovorin (FLOT) significantly improve</w:t>
      </w:r>
      <w:r w:rsidR="001A4F94" w:rsidRPr="005C7810">
        <w:rPr>
          <w:rFonts w:ascii="Book Antiqua" w:hAnsi="Book Antiqua" w:cs="Times New Roman"/>
          <w:sz w:val="24"/>
          <w:szCs w:val="24"/>
          <w:lang w:val="en-US"/>
        </w:rPr>
        <w:t>s</w:t>
      </w:r>
      <w:r w:rsidR="00B8125B" w:rsidRPr="005C7810">
        <w:rPr>
          <w:rFonts w:ascii="Book Antiqua" w:hAnsi="Book Antiqua" w:cs="Times New Roman"/>
          <w:sz w:val="24"/>
          <w:szCs w:val="24"/>
          <w:lang w:val="en-US"/>
        </w:rPr>
        <w:t xml:space="preserve"> progression-free survival (</w:t>
      </w:r>
      <w:r w:rsidR="00A56C9F" w:rsidRPr="005C7810">
        <w:rPr>
          <w:rFonts w:ascii="Book Antiqua" w:hAnsi="Book Antiqua" w:cs="Times New Roman"/>
          <w:sz w:val="24"/>
          <w:szCs w:val="24"/>
          <w:lang w:val="en-US"/>
        </w:rPr>
        <w:t xml:space="preserve">referred to </w:t>
      </w:r>
      <w:r w:rsidR="00741512" w:rsidRPr="005C7810">
        <w:rPr>
          <w:rFonts w:ascii="Book Antiqua" w:hAnsi="Book Antiqua" w:cs="Times New Roman"/>
          <w:sz w:val="24"/>
          <w:szCs w:val="24"/>
          <w:lang w:val="en-US"/>
        </w:rPr>
        <w:t>herein</w:t>
      </w:r>
      <w:r w:rsidR="00A56C9F" w:rsidRPr="005C7810">
        <w:rPr>
          <w:rFonts w:ascii="Book Antiqua" w:hAnsi="Book Antiqua" w:cs="Times New Roman"/>
          <w:sz w:val="24"/>
          <w:szCs w:val="24"/>
          <w:lang w:val="en-US"/>
        </w:rPr>
        <w:t xml:space="preserve"> as </w:t>
      </w:r>
      <w:r w:rsidR="00B8125B" w:rsidRPr="005C7810">
        <w:rPr>
          <w:rFonts w:ascii="Book Antiqua" w:hAnsi="Book Antiqua" w:cs="Times New Roman"/>
          <w:sz w:val="24"/>
          <w:szCs w:val="24"/>
          <w:lang w:val="en-US"/>
        </w:rPr>
        <w:t xml:space="preserve">PFS) and OS among patients with </w:t>
      </w:r>
      <w:hyperlink r:id="rId9" w:history="1">
        <w:r w:rsidR="00B8125B" w:rsidRPr="005C7810">
          <w:rPr>
            <w:rStyle w:val="a4"/>
            <w:rFonts w:ascii="Book Antiqua" w:hAnsi="Book Antiqua" w:cs="Times New Roman"/>
            <w:color w:val="auto"/>
            <w:sz w:val="24"/>
            <w:szCs w:val="24"/>
            <w:u w:val="none"/>
            <w:lang w:val="en-US"/>
          </w:rPr>
          <w:t>resectable GC</w:t>
        </w:r>
      </w:hyperlink>
      <w:r w:rsidR="00B8125B" w:rsidRPr="005C7810">
        <w:rPr>
          <w:rFonts w:ascii="Book Antiqua" w:hAnsi="Book Antiqua" w:cs="Times New Roman"/>
          <w:sz w:val="24"/>
          <w:szCs w:val="24"/>
          <w:lang w:val="en-US"/>
        </w:rPr>
        <w:t xml:space="preserve"> compared with epirubicin, cisplatin, and fluorouracil or capecitabine (ECF/ECX)</w:t>
      </w:r>
      <w:r w:rsidR="004D53BE" w:rsidRPr="005C7810">
        <w:rPr>
          <w:rFonts w:ascii="Book Antiqua" w:hAnsi="Book Antiqua" w:cs="Times New Roman"/>
          <w:sz w:val="24"/>
          <w:szCs w:val="24"/>
          <w:lang w:val="en-US"/>
        </w:rPr>
        <w:fldChar w:fldCharType="begin" w:fldLock="1"/>
      </w:r>
      <w:r w:rsidRPr="005C7810">
        <w:rPr>
          <w:rFonts w:ascii="Book Antiqua" w:hAnsi="Book Antiqua" w:cs="Times New Roman"/>
          <w:sz w:val="24"/>
          <w:szCs w:val="24"/>
          <w:lang w:val="en-US"/>
        </w:rPr>
        <w:instrText>ADDIN CSL_CITATION {"citationItems":[{"id":"ITEM-1","itemData":{"author":[{"dropping-particle":"","family":"Al-Batran SE, Homann N, Schmalemberg H, Kopp HG, Haag GM, Luley KB, Shmiegel WH, Folprecht G, Probst S, Prasnikar N, Tuss-Patience PC, Fischbach W, Trojan J, Koenigsmann M, Pauligk C, Goetze TO, Jaeger E, Meiler J, Schuler MH, Hofheinz RAl-Batran SE, Homa","given":"Hofheinz R","non-dropping-particle":"","parse-names":false,"suffix":""}],"container-title":"J Clin Oncol","id":"ITEM-1","issued":{"date-parts":[["2017"]]},"page":"4004","title":"Perioperative chemotherapy with docetaxel, oxaliplatin, and fluorouracil/leucovorin (FLOT) versus epirubicin, cisplatin, and fluorouracil or capecitabine (ECF/ECX) for resectable gastric or gastroesophageal junction (GEJ) adenocarcinoma (FLOT4-AIO): a mul","type":"article-journal","volume":"35"},"uris":["http://www.mendeley.com/documents/?uuid=02ecb7f3-ad3d-4293-b546-79014b51fcf4","http://www.mendeley.com/documents/?uuid=4768f808-28fc-481b-a0e8-c666ca42b68e"]}],"mendeley":{"formattedCitation":"&lt;sup&gt;[121]&lt;/sup&gt;","plainTextFormattedCitation":"[121]","previouslyFormattedCitation":"&lt;sup&gt;[121]&lt;/sup&gt;"},"properties":{"noteIndex":0},"schema":"https://github.com/citation-style-language/schema/raw/master/csl-citation.json"}</w:instrText>
      </w:r>
      <w:r w:rsidR="004D53BE" w:rsidRPr="005C7810">
        <w:rPr>
          <w:rFonts w:ascii="Book Antiqua" w:hAnsi="Book Antiqua" w:cs="Times New Roman"/>
          <w:sz w:val="24"/>
          <w:szCs w:val="24"/>
          <w:lang w:val="en-US"/>
        </w:rPr>
        <w:fldChar w:fldCharType="separate"/>
      </w:r>
      <w:r w:rsidR="00250136" w:rsidRPr="005C7810">
        <w:rPr>
          <w:rFonts w:ascii="Book Antiqua" w:hAnsi="Book Antiqua" w:cs="Times New Roman"/>
          <w:sz w:val="24"/>
          <w:szCs w:val="24"/>
          <w:vertAlign w:val="superscript"/>
          <w:lang w:val="en-US"/>
        </w:rPr>
        <w:t>[121]</w:t>
      </w:r>
      <w:r w:rsidR="004D53BE"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w:t>
      </w:r>
      <w:r w:rsidR="00B8125B" w:rsidRPr="005C7810">
        <w:rPr>
          <w:rFonts w:ascii="Book Antiqua" w:eastAsia="Times New Roman" w:hAnsi="Book Antiqua" w:cs="Times New Roman"/>
          <w:sz w:val="24"/>
          <w:szCs w:val="24"/>
          <w:lang w:val="en-US"/>
        </w:rPr>
        <w:t>A Bayesian network meta-analysis obtain</w:t>
      </w:r>
      <w:r w:rsidR="001A4F94" w:rsidRPr="005C7810">
        <w:rPr>
          <w:rFonts w:ascii="Book Antiqua" w:eastAsia="Times New Roman" w:hAnsi="Book Antiqua" w:cs="Times New Roman"/>
          <w:sz w:val="24"/>
          <w:szCs w:val="24"/>
          <w:lang w:val="en-US"/>
        </w:rPr>
        <w:t xml:space="preserve">ed </w:t>
      </w:r>
      <w:r w:rsidR="00B8125B" w:rsidRPr="005C7810">
        <w:rPr>
          <w:rFonts w:ascii="Book Antiqua" w:eastAsia="Times New Roman" w:hAnsi="Book Antiqua" w:cs="Times New Roman"/>
          <w:sz w:val="24"/>
          <w:szCs w:val="24"/>
          <w:lang w:val="en-US"/>
        </w:rPr>
        <w:t xml:space="preserve">an estimate of the efficacy of perioperative FLOT and neoadjuvant treatments for resectable GC. </w:t>
      </w:r>
      <w:r w:rsidR="00B8125B" w:rsidRPr="005C7810">
        <w:rPr>
          <w:rFonts w:ascii="Book Antiqua" w:hAnsi="Book Antiqua" w:cs="Times New Roman"/>
          <w:sz w:val="24"/>
          <w:szCs w:val="24"/>
          <w:lang w:val="en-US"/>
        </w:rPr>
        <w:t>Compared with surgery alone, perioperative cisplatin with fluorouracil</w:t>
      </w:r>
      <w:r w:rsidR="00A66604" w:rsidRPr="005C7810">
        <w:rPr>
          <w:rFonts w:ascii="Book Antiqua" w:hAnsi="Book Antiqua" w:cs="Times New Roman"/>
          <w:sz w:val="24"/>
          <w:szCs w:val="24"/>
          <w:lang w:val="en-US"/>
        </w:rPr>
        <w:t xml:space="preserve"> (CF</w:t>
      </w:r>
      <w:r w:rsidR="00B8125B" w:rsidRPr="005C7810">
        <w:rPr>
          <w:rFonts w:ascii="Book Antiqua" w:hAnsi="Book Antiqua" w:cs="Times New Roman"/>
          <w:sz w:val="24"/>
          <w:szCs w:val="24"/>
          <w:lang w:val="en-US"/>
        </w:rPr>
        <w:t>), perioperat</w:t>
      </w:r>
      <w:r w:rsidR="00200920" w:rsidRPr="005C7810">
        <w:rPr>
          <w:rFonts w:ascii="Book Antiqua" w:hAnsi="Book Antiqua" w:cs="Times New Roman"/>
          <w:sz w:val="24"/>
          <w:szCs w:val="24"/>
          <w:lang w:val="en-US"/>
        </w:rPr>
        <w:t xml:space="preserve">ive ECF/ECX, </w:t>
      </w:r>
      <w:r w:rsidR="00A66604" w:rsidRPr="005C7810">
        <w:rPr>
          <w:rFonts w:ascii="Book Antiqua" w:hAnsi="Book Antiqua" w:cs="Times New Roman"/>
          <w:sz w:val="24"/>
          <w:szCs w:val="24"/>
          <w:lang w:val="en-US"/>
        </w:rPr>
        <w:t xml:space="preserve">and </w:t>
      </w:r>
      <w:r w:rsidR="00200920" w:rsidRPr="005C7810">
        <w:rPr>
          <w:rFonts w:ascii="Book Antiqua" w:hAnsi="Book Antiqua" w:cs="Times New Roman"/>
          <w:sz w:val="24"/>
          <w:szCs w:val="24"/>
          <w:lang w:val="en-US"/>
        </w:rPr>
        <w:t xml:space="preserve">perioperative FLOT </w:t>
      </w:r>
      <w:r w:rsidR="00B8125B" w:rsidRPr="005C7810">
        <w:rPr>
          <w:rFonts w:ascii="Book Antiqua" w:hAnsi="Book Antiqua" w:cs="Times New Roman"/>
          <w:sz w:val="24"/>
          <w:szCs w:val="24"/>
          <w:lang w:val="en-US"/>
        </w:rPr>
        <w:t>significantly improved survival. The most effective neoadjuvant treatment for the disease is likely to be perioperative FLOT</w:t>
      </w:r>
      <w:r w:rsidR="004D53BE" w:rsidRPr="005C7810">
        <w:rPr>
          <w:rFonts w:ascii="Book Antiqua" w:hAnsi="Book Antiqua" w:cs="Times New Roman"/>
          <w:sz w:val="24"/>
          <w:szCs w:val="24"/>
          <w:lang w:val="en-US"/>
        </w:rPr>
        <w:fldChar w:fldCharType="begin" w:fldLock="1"/>
      </w:r>
      <w:r w:rsidRPr="005C7810">
        <w:rPr>
          <w:rFonts w:ascii="Book Antiqua" w:hAnsi="Book Antiqua" w:cs="Times New Roman"/>
          <w:sz w:val="24"/>
          <w:szCs w:val="24"/>
          <w:lang w:val="en-US"/>
        </w:rPr>
        <w:instrText>ADDIN CSL_CITATION {"citationItems":[{"id":"ITEM-1","itemData":{"DOI":"10.3389/fphar.2018.00872","ISSN":"16639812","abstract":"Solid materials, such as silicon, glass, and polymers, dominate as\\nstructural elements in microsystems including microfluidics. Porous\\nelements have been limited to membranes sandwiched between microchannel\\nlayers or polymer monoliths. This paper reports the use of micropatterned\\ncarbon-nanotube forests confined inside microfluidic channels for\\nmechanically and/or chemically capturing particles ranging over three\\norders of magnitude in size. Nanoparticles below the internanotube\\nspacing (80 nm) of the forest can penetrate inside the forest and\\ninteract with the large surface area created by individual nanotubes.\\nFor larger particles (&gt;80 nm), the ultrahigh porosity of the nanotube\\nelements reduces the fluid boundary layer and enhances particle-structure\\ninteractions on the outer surface of the patterned nanoporous elements.\\nSpecific biomolecular recognition is demonstrated using cells (≈10\\nμm), bacteria (≈1 μm), and viral-sized particles (≈40\\nnm) using both effects. This technology can provide unprecedented\\ncontrol of bioseparation processes to access bioparticles of interest,\\nopening new pathways for both research and point-of-care diagnostics.","author":[{"dropping-particle":"","family":"Cai","given":"Zhaolun","non-dropping-particle":"","parse-names":false,"suffix":""},{"dropping-particle":"","family":"Yin","given":"Yiqiong","non-dropping-particle":"","parse-names":false,"suffix":""},{"dropping-particle":"","family":"Zhao","given":"Zhou","non-dropping-particle":"","parse-names":false,"suffix":""},{"dropping-particle":"","family":"Xin","given":"Chunyu","non-dropping-particle":"","parse-names":false,"suffix":""},{"dropping-particle":"","family":"Cai","given":"Zhaohui","non-dropping-particle":"","parse-names":false,"suffix":""},{"dropping-particle":"","family":"Yin","given":"Yuan","non-dropping-particle":"","parse-names":false,"suffix":""},{"dropping-particle":"","family":"Shen","given":"Chaoyong","non-dropping-particle":"","parse-names":false,"suffix":""},{"dropping-particle":"","family":"Yin","given":"Xiaonan","non-dropping-particle":"","parse-names":false,"suffix":""},{"dropping-particle":"","family":"Wang","given":"Jian","non-dropping-particle":"","parse-names":false,"suffix":""},{"dropping-particle":"","family":"Chen","given":"Zhixin","non-dropping-particle":"","parse-names":false,"suffix":""},{"dropping-particle":"","family":"Zhou","given":"Ye","non-dropping-particle":"","parse-names":false,"suffix":""},{"dropping-particle":"","family":"Zhang","given":"Bo","non-dropping-particle":"","parse-names":false,"suffix":""}],"container-title":"Frontiers in Pharmacology","id":"ITEM-1","issue":"AUG","issued":{"date-parts":[["2018"]]},"page":"1-9","title":"Comparative effectiveness of neoadjuvant treatments for resectable gastroesophageal cancer: A network meta-analysis","type":"article-journal","volume":"9"},"uris":["http://www.mendeley.com/documents/?uuid=b6f3486a-a4b3-42ff-a424-2973df9dbb68","http://www.mendeley.com/documents/?uuid=e9316095-dd4e-4324-9f42-758d566d347e"]}],"mendeley":{"formattedCitation":"&lt;sup&gt;[122]&lt;/sup&gt;","plainTextFormattedCitation":"[122]","previouslyFormattedCitation":"&lt;sup&gt;[122]&lt;/sup&gt;"},"properties":{"noteIndex":0},"schema":"https://github.com/citation-style-language/schema/raw/master/csl-citation.json"}</w:instrText>
      </w:r>
      <w:r w:rsidR="004D53BE" w:rsidRPr="005C7810">
        <w:rPr>
          <w:rFonts w:ascii="Book Antiqua" w:hAnsi="Book Antiqua" w:cs="Times New Roman"/>
          <w:sz w:val="24"/>
          <w:szCs w:val="24"/>
          <w:lang w:val="en-US"/>
        </w:rPr>
        <w:fldChar w:fldCharType="separate"/>
      </w:r>
      <w:r w:rsidR="00250136" w:rsidRPr="005C7810">
        <w:rPr>
          <w:rFonts w:ascii="Book Antiqua" w:hAnsi="Book Antiqua" w:cs="Times New Roman"/>
          <w:sz w:val="24"/>
          <w:szCs w:val="24"/>
          <w:vertAlign w:val="superscript"/>
          <w:lang w:val="en-US"/>
        </w:rPr>
        <w:t>[122]</w:t>
      </w:r>
      <w:r w:rsidR="004D53BE" w:rsidRPr="005C7810">
        <w:rPr>
          <w:rFonts w:ascii="Book Antiqua" w:hAnsi="Book Antiqua" w:cs="Times New Roman"/>
          <w:sz w:val="24"/>
          <w:szCs w:val="24"/>
          <w:lang w:val="en-US"/>
        </w:rPr>
        <w:fldChar w:fldCharType="end"/>
      </w:r>
      <w:r w:rsidR="00B8125B" w:rsidRPr="005C7810">
        <w:rPr>
          <w:rFonts w:ascii="Book Antiqua" w:hAnsi="Book Antiqua" w:cs="Times New Roman"/>
          <w:sz w:val="24"/>
          <w:szCs w:val="24"/>
          <w:lang w:val="en-US"/>
        </w:rPr>
        <w:t xml:space="preserve">. </w:t>
      </w:r>
      <w:r w:rsidR="00B8125B" w:rsidRPr="005C7810">
        <w:rPr>
          <w:rFonts w:ascii="Book Antiqua" w:eastAsia="Times New Roman" w:hAnsi="Book Antiqua" w:cs="Times New Roman"/>
          <w:sz w:val="24"/>
          <w:szCs w:val="24"/>
          <w:lang w:val="en-US"/>
        </w:rPr>
        <w:t xml:space="preserve">Targeted therapy, a new therapeutic strategy, </w:t>
      </w:r>
      <w:r w:rsidR="00A66604" w:rsidRPr="005C7810">
        <w:rPr>
          <w:rFonts w:ascii="Book Antiqua" w:eastAsia="Times New Roman" w:hAnsi="Book Antiqua" w:cs="Times New Roman"/>
          <w:sz w:val="24"/>
          <w:szCs w:val="24"/>
          <w:lang w:val="en-US"/>
        </w:rPr>
        <w:t xml:space="preserve">may </w:t>
      </w:r>
      <w:r w:rsidR="00B8125B" w:rsidRPr="005C7810">
        <w:rPr>
          <w:rFonts w:ascii="Book Antiqua" w:eastAsia="Times New Roman" w:hAnsi="Book Antiqua" w:cs="Times New Roman"/>
          <w:sz w:val="24"/>
          <w:szCs w:val="24"/>
          <w:lang w:val="en-US"/>
        </w:rPr>
        <w:t>improve the survival of patients with advanced GC. Clinical trials</w:t>
      </w:r>
      <w:r w:rsidR="00A66604" w:rsidRPr="005C7810">
        <w:rPr>
          <w:rFonts w:ascii="Book Antiqua" w:eastAsia="Times New Roman" w:hAnsi="Book Antiqua" w:cs="Times New Roman"/>
          <w:sz w:val="24"/>
          <w:szCs w:val="24"/>
          <w:lang w:val="en-US"/>
        </w:rPr>
        <w:t xml:space="preserve"> with targeted therapies</w:t>
      </w:r>
      <w:r w:rsidR="00B8125B" w:rsidRPr="005C7810">
        <w:rPr>
          <w:rFonts w:ascii="Book Antiqua" w:eastAsia="Times New Roman" w:hAnsi="Book Antiqua" w:cs="Times New Roman"/>
          <w:sz w:val="24"/>
          <w:szCs w:val="24"/>
          <w:lang w:val="en-US"/>
        </w:rPr>
        <w:t xml:space="preserve"> have been performed</w:t>
      </w:r>
      <w:r w:rsidR="00686846" w:rsidRPr="005C7810">
        <w:rPr>
          <w:rFonts w:ascii="Book Antiqua" w:eastAsia="Times New Roman" w:hAnsi="Book Antiqua" w:cs="Times New Roman"/>
          <w:sz w:val="24"/>
          <w:szCs w:val="24"/>
          <w:lang w:val="en-US"/>
        </w:rPr>
        <w:t xml:space="preserve"> in </w:t>
      </w:r>
      <w:r w:rsidR="005D3FC2" w:rsidRPr="005C7810">
        <w:rPr>
          <w:rFonts w:ascii="Book Antiqua" w:eastAsia="Times New Roman" w:hAnsi="Book Antiqua" w:cs="Times New Roman"/>
          <w:sz w:val="24"/>
          <w:szCs w:val="24"/>
          <w:lang w:val="en-US"/>
        </w:rPr>
        <w:t xml:space="preserve">patients with </w:t>
      </w:r>
      <w:r w:rsidR="00686846" w:rsidRPr="005C7810">
        <w:rPr>
          <w:rFonts w:ascii="Book Antiqua" w:eastAsia="Times New Roman" w:hAnsi="Book Antiqua" w:cs="Times New Roman"/>
          <w:sz w:val="24"/>
          <w:szCs w:val="24"/>
          <w:lang w:val="en-US"/>
        </w:rPr>
        <w:t>GC</w:t>
      </w:r>
      <w:r w:rsidR="00C06A28" w:rsidRPr="005C7810">
        <w:rPr>
          <w:rFonts w:ascii="Book Antiqua" w:eastAsia="Times New Roman" w:hAnsi="Book Antiqua" w:cs="Times New Roman"/>
          <w:sz w:val="24"/>
          <w:szCs w:val="24"/>
          <w:lang w:val="en-US"/>
        </w:rPr>
        <w:t>.</w:t>
      </w:r>
      <w:r w:rsidR="00686846" w:rsidRPr="005C7810">
        <w:rPr>
          <w:rFonts w:ascii="Book Antiqua" w:eastAsia="Times New Roman" w:hAnsi="Book Antiqua" w:cs="Times New Roman"/>
          <w:sz w:val="24"/>
          <w:szCs w:val="24"/>
          <w:lang w:val="en-US"/>
        </w:rPr>
        <w:t xml:space="preserve"> </w:t>
      </w:r>
      <w:r w:rsidR="00C06A28" w:rsidRPr="005C7810">
        <w:rPr>
          <w:rFonts w:ascii="Book Antiqua" w:eastAsia="Times New Roman" w:hAnsi="Book Antiqua" w:cs="Times New Roman"/>
          <w:sz w:val="24"/>
          <w:szCs w:val="24"/>
          <w:lang w:val="en-US"/>
        </w:rPr>
        <w:t>Table 1 shows some clinical trials</w:t>
      </w:r>
      <w:r w:rsidR="005C49CA" w:rsidRPr="005C7810">
        <w:rPr>
          <w:rFonts w:ascii="Book Antiqua" w:eastAsia="Times New Roman" w:hAnsi="Book Antiqua" w:cs="Times New Roman"/>
          <w:sz w:val="24"/>
          <w:szCs w:val="24"/>
          <w:lang w:val="en-US"/>
        </w:rPr>
        <w:t>, completed or ongoing,</w:t>
      </w:r>
      <w:r w:rsidR="00C06A28" w:rsidRPr="005C7810">
        <w:rPr>
          <w:rFonts w:ascii="Book Antiqua" w:eastAsia="Times New Roman" w:hAnsi="Book Antiqua" w:cs="Times New Roman"/>
          <w:sz w:val="24"/>
          <w:szCs w:val="24"/>
          <w:lang w:val="en-US"/>
        </w:rPr>
        <w:t xml:space="preserve"> classified </w:t>
      </w:r>
      <w:r w:rsidR="00442336" w:rsidRPr="005C7810">
        <w:rPr>
          <w:rFonts w:ascii="Book Antiqua" w:eastAsia="Times New Roman" w:hAnsi="Book Antiqua" w:cs="Times New Roman"/>
          <w:sz w:val="24"/>
          <w:szCs w:val="24"/>
          <w:lang w:val="en-US"/>
        </w:rPr>
        <w:t xml:space="preserve">by </w:t>
      </w:r>
      <w:r w:rsidR="00C06A28" w:rsidRPr="005C7810">
        <w:rPr>
          <w:rFonts w:ascii="Book Antiqua" w:eastAsia="Times New Roman" w:hAnsi="Book Antiqua" w:cs="Times New Roman"/>
          <w:sz w:val="24"/>
          <w:szCs w:val="24"/>
          <w:lang w:val="en-US"/>
        </w:rPr>
        <w:t>specific</w:t>
      </w:r>
      <w:r w:rsidR="000B56A8" w:rsidRPr="005C7810">
        <w:rPr>
          <w:rFonts w:ascii="Book Antiqua" w:eastAsia="Times New Roman" w:hAnsi="Book Antiqua" w:cs="Times New Roman"/>
          <w:sz w:val="24"/>
          <w:szCs w:val="24"/>
          <w:lang w:val="en-US"/>
        </w:rPr>
        <w:t xml:space="preserve"> molecular</w:t>
      </w:r>
      <w:r w:rsidR="00C06A28" w:rsidRPr="005C7810">
        <w:rPr>
          <w:rFonts w:ascii="Book Antiqua" w:eastAsia="Times New Roman" w:hAnsi="Book Antiqua" w:cs="Times New Roman"/>
          <w:sz w:val="24"/>
          <w:szCs w:val="24"/>
          <w:lang w:val="en-US"/>
        </w:rPr>
        <w:t xml:space="preserve"> target. </w:t>
      </w:r>
    </w:p>
    <w:p w:rsidR="00C06A28" w:rsidRPr="005C7810" w:rsidRDefault="00C06A28" w:rsidP="00CD380F">
      <w:pPr>
        <w:shd w:val="clear" w:color="auto" w:fill="FFFFFF"/>
        <w:snapToGrid w:val="0"/>
        <w:spacing w:after="0" w:line="360" w:lineRule="auto"/>
        <w:jc w:val="both"/>
        <w:rPr>
          <w:rFonts w:ascii="Book Antiqua" w:eastAsia="Times New Roman" w:hAnsi="Book Antiqua" w:cs="Times New Roman"/>
          <w:b/>
          <w:sz w:val="24"/>
          <w:szCs w:val="24"/>
          <w:lang w:val="en-US"/>
        </w:rPr>
      </w:pPr>
    </w:p>
    <w:p w:rsidR="000F5BB0" w:rsidRPr="005C7810" w:rsidRDefault="000F5BB0" w:rsidP="00CD380F">
      <w:pPr>
        <w:shd w:val="clear" w:color="auto" w:fill="FFFFFF"/>
        <w:snapToGrid w:val="0"/>
        <w:spacing w:after="0" w:line="360" w:lineRule="auto"/>
        <w:jc w:val="both"/>
        <w:rPr>
          <w:rFonts w:ascii="Book Antiqua" w:eastAsia="Times New Roman" w:hAnsi="Book Antiqua" w:cs="Times New Roman"/>
          <w:b/>
          <w:i/>
          <w:sz w:val="24"/>
          <w:szCs w:val="24"/>
          <w:lang w:val="en-US"/>
        </w:rPr>
      </w:pPr>
      <w:r w:rsidRPr="005C7810">
        <w:rPr>
          <w:rFonts w:ascii="Book Antiqua" w:eastAsia="Times New Roman" w:hAnsi="Book Antiqua" w:cs="Times New Roman"/>
          <w:b/>
          <w:i/>
          <w:sz w:val="24"/>
          <w:szCs w:val="24"/>
          <w:lang w:val="en-US"/>
        </w:rPr>
        <w:t xml:space="preserve">EGFR </w:t>
      </w:r>
      <w:r w:rsidR="00C06A28" w:rsidRPr="005C7810">
        <w:rPr>
          <w:rFonts w:ascii="Book Antiqua" w:eastAsia="Times New Roman" w:hAnsi="Book Antiqua" w:cs="Times New Roman"/>
          <w:b/>
          <w:i/>
          <w:sz w:val="24"/>
          <w:szCs w:val="24"/>
          <w:lang w:val="en-US"/>
        </w:rPr>
        <w:t xml:space="preserve">signaling pathway </w:t>
      </w:r>
    </w:p>
    <w:p w:rsidR="000C3548" w:rsidRPr="005C7810" w:rsidRDefault="00B8125B" w:rsidP="00CD380F">
      <w:pPr>
        <w:shd w:val="clear" w:color="auto" w:fill="FFFFFF"/>
        <w:snapToGrid w:val="0"/>
        <w:spacing w:after="0" w:line="360" w:lineRule="auto"/>
        <w:jc w:val="both"/>
        <w:rPr>
          <w:rFonts w:ascii="Book Antiqua" w:hAnsi="Book Antiqua" w:cs="Times New Roman"/>
          <w:color w:val="000000"/>
          <w:sz w:val="24"/>
          <w:szCs w:val="24"/>
          <w:shd w:val="clear" w:color="auto" w:fill="FFFFFF"/>
          <w:lang w:val="en-US"/>
        </w:rPr>
      </w:pPr>
      <w:r w:rsidRPr="005C7810">
        <w:rPr>
          <w:rFonts w:ascii="Book Antiqua" w:eastAsia="Times New Roman" w:hAnsi="Book Antiqua" w:cs="Times New Roman"/>
          <w:sz w:val="24"/>
          <w:szCs w:val="24"/>
          <w:lang w:val="en-US"/>
        </w:rPr>
        <w:t xml:space="preserve">The EGFR signaling pathway </w:t>
      </w:r>
      <w:r w:rsidR="00421A01" w:rsidRPr="005C7810">
        <w:rPr>
          <w:rFonts w:ascii="Book Antiqua" w:eastAsia="Times New Roman" w:hAnsi="Book Antiqua" w:cs="Times New Roman"/>
          <w:sz w:val="24"/>
          <w:szCs w:val="24"/>
          <w:lang w:val="en-US"/>
        </w:rPr>
        <w:t>is</w:t>
      </w:r>
      <w:r w:rsidRPr="005C7810">
        <w:rPr>
          <w:rFonts w:ascii="Book Antiqua" w:eastAsia="Times New Roman" w:hAnsi="Book Antiqua" w:cs="Times New Roman"/>
          <w:sz w:val="24"/>
          <w:szCs w:val="24"/>
          <w:lang w:val="en-US"/>
        </w:rPr>
        <w:t xml:space="preserve"> activated in the GC</w:t>
      </w:r>
      <w:r w:rsidR="00EA0868" w:rsidRPr="005C7810">
        <w:rPr>
          <w:rFonts w:ascii="Book Antiqua" w:eastAsia="Times New Roman" w:hAnsi="Book Antiqua" w:cs="Times New Roman"/>
          <w:sz w:val="24"/>
          <w:szCs w:val="24"/>
          <w:vertAlign w:val="superscript"/>
          <w:lang w:val="en-US"/>
        </w:rPr>
        <w:fldChar w:fldCharType="begin" w:fldLock="1"/>
      </w:r>
      <w:r w:rsidR="003B649A" w:rsidRPr="005C7810">
        <w:rPr>
          <w:rFonts w:ascii="Book Antiqua" w:eastAsia="Times New Roman" w:hAnsi="Book Antiqua" w:cs="Times New Roman"/>
          <w:sz w:val="24"/>
          <w:szCs w:val="24"/>
          <w:vertAlign w:val="superscript"/>
          <w:lang w:val="en-US"/>
        </w:rPr>
        <w:instrText>ADDIN CSL_CITATION {"citationItems":[{"id":"ITEM-1","itemData":{"DOI":"10.1136/jcp.2005.034298","ISSN":"00219746","abstract":"AIMS: To correlate immunohistochemical expression patterns and prognosis in oesophageal adenocarcinoma. METHODS: The expression of c-erbB-2, p53, p16INK4A, p27KIP1, cyclin D1 and epidermal growth factor receptor (EGFR) was studied in a series of 137 primarily resected oesophageal adenocarcinoma samples. The expression analysis on protein level was performed on routine paraffin wax-embedded material, with immunohistochemical staining of the samples, assembled on a tissue microarray. The results were correlated with clinicopathological features (pT, pN and G) and survival. RESULTS: 22 (16%) tumours showed an overexpression of the c-erbB-2 oncoprotein. Expression of EGFR was observed in 72 (55%) cases, accumulation of p53 in 68 (52%) cases and of cyclin D1 in 102 (77%) cases. Loss of p16INK4A expression was observed in 101 (76%) cases and low expression of p27KIP1 in 91 (71%) cases. Expression of these proteins did not correlate with tumour stage, grade, Lauren's or World Health Organization classification or lymph node status. On univariate survival analysis, more advanced tumour stage (p = 0.002), lymph node involvement (p = 0.003), high tumour grade (p = 0.017) and lack of EGFR expression (p = 0.034) were found to be associated with poorer survival. On multiple regression analysis, only tumour stage (p = 0.03) and lymph node involvement (p = 0.004) were shown to have an association with the survival of the patient. CONCLUSION: The immunohistochemical expression of c-erbB-2 oncoprotein, cylin D1, p16INK4A, p27KIP1, p53 and EGFR in most oesophageal adenocarcinomas suggests their implication in the pathogenesis of this entity. None of the molecular markers assessed, however, was of prognostic value. Identification of any marker superior to or even approaching the prognostic value of conventional histopathological markers (pT and pN) was therefore not possible.","author":[{"dropping-particle":"","family":"Langer","given":"R.","non-dropping-particle":"","parse-names":false,"suffix":""},{"dropping-particle":"","family":"Rahden","given":"B. H A","non-dropping-particle":"Von","parse-names":false,"suffix":""},{"dropping-particle":"","family":"Nahrig","given":"J.","non-dropping-particle":"","parse-names":false,"suffix":""},{"dropping-particle":"","family":"Weyhern","given":"C.","non-dropping-particle":"Von","parse-names":false,"suffix":""},{"dropping-particle":"","family":"Reiter","given":"R.","non-dropping-particle":"","parse-names":false,"suffix":""},{"dropping-particle":"","family":"Feith","given":"M.","non-dropping-particle":"","parse-names":false,"suffix":""},{"dropping-particle":"","family":"Stein","given":"H. J.","non-dropping-particle":"","parse-names":false,"suffix":""},{"dropping-particle":"","family":"Siewert","given":"J. R.","non-dropping-particle":"","parse-names":false,"suffix":""},{"dropping-particle":"","family":"Höfler","given":"H.","non-dropping-particle":"","parse-names":false,"suffix":""},{"dropping-particle":"","family":"Sarbia","given":"M.","non-dropping-particle":"","parse-names":false,"suffix":""}],"container-title":"Journal of Clinical Pathology","id":"ITEM-1","issue":"6","issued":{"date-parts":[["2006"]]},"page":"631-634","title":"Prognostic significance of expression patterns of c-erbB-2, p53, p16INK4A, p27KIP1, cyclin D1 and epidermal growth factor receptor in oesophageal adenocarcinoma: A tissue microarray study","type":"article-journal","volume":"59"},"uris":["http://www.mendeley.com/documents/?uuid=7aa9e60e-583e-4360-92e4-eaad02a476ab","http://www.mendeley.com/documents/?uuid=f5c3461b-feb2-4d7d-b28f-ef03c23f5ed5"]},{"id":"ITEM-2","itemData":{"DOI":"10.1111/j.1365-2559.2008.03021.x","author":[{"dropping-particle":"","family":"Kim","given":"M A","non-dropping-particle":"","parse-names":false,"suffix":""},{"dropping-particle":"","family":"Lee","given":"H S","non-dropping-particle":"","parse-names":false,"suffix":""},{"dropping-particle":"","family":"Lee","given":"H E","non-dropping-particle":"","parse-names":false,"suffix":""},{"dropping-particle":"","family":"Jeon","given":"Y K","non-dropping-particle":"","parse-names":false,"suffix":""},{"dropping-particle":"","family":"Yang","given":"H K","non-dropping-particle":"","parse-names":false,"suffix":""},{"dropping-particle":"","family":"Kim","given":"W H","non-dropping-particle":"","parse-names":false,"suffix":""}],"id":"ITEM-2","issue":"M","issued":{"date-parts":[["2008"]]},"page":"738-746","title":"EGFR in gastric carcinomas : prognostic significance of protein overexpression and high gene copy number","type":"article-journal"},"uris":["http://www.mendeley.com/documents/?uuid=e290024e-85b0-4fdc-bd98-85f0ee4315d3","http://www.mendeley.com/documents/?uuid=1aa9eea9-588f-4f09-9077-07757f4181fd"]}],"mendeley":{"formattedCitation":"&lt;sup&gt;[56,123]&lt;/sup&gt;","plainTextFormattedCitation":"[56,123]","previouslyFormattedCitation":"&lt;sup&gt;[56,123]&lt;/sup&gt;"},"properties":{"noteIndex":0},"schema":"https://github.com/citation-style-language/schema/raw/master/csl-citation.json"}</w:instrText>
      </w:r>
      <w:r w:rsidR="00EA0868" w:rsidRPr="005C7810">
        <w:rPr>
          <w:rFonts w:ascii="Book Antiqua" w:eastAsia="Times New Roman" w:hAnsi="Book Antiqua" w:cs="Times New Roman"/>
          <w:sz w:val="24"/>
          <w:szCs w:val="24"/>
          <w:vertAlign w:val="superscript"/>
          <w:lang w:val="en-US"/>
        </w:rPr>
        <w:fldChar w:fldCharType="separate"/>
      </w:r>
      <w:r w:rsidR="00250136" w:rsidRPr="005C7810">
        <w:rPr>
          <w:rFonts w:ascii="Book Antiqua" w:eastAsia="Times New Roman" w:hAnsi="Book Antiqua" w:cs="Times New Roman"/>
          <w:sz w:val="24"/>
          <w:szCs w:val="24"/>
          <w:vertAlign w:val="superscript"/>
          <w:lang w:val="en-US"/>
        </w:rPr>
        <w:t>[56,123]</w:t>
      </w:r>
      <w:r w:rsidR="00EA0868" w:rsidRPr="005C7810">
        <w:rPr>
          <w:rFonts w:ascii="Book Antiqua" w:eastAsia="Times New Roman" w:hAnsi="Book Antiqua" w:cs="Times New Roman"/>
          <w:sz w:val="24"/>
          <w:szCs w:val="24"/>
          <w:vertAlign w:val="superscript"/>
          <w:lang w:val="en-US"/>
        </w:rPr>
        <w:fldChar w:fldCharType="end"/>
      </w:r>
      <w:r w:rsidRPr="005C7810">
        <w:rPr>
          <w:rFonts w:ascii="Book Antiqua" w:hAnsi="Book Antiqua" w:cs="Times New Roman"/>
          <w:sz w:val="24"/>
          <w:szCs w:val="24"/>
          <w:lang w:val="en-US"/>
        </w:rPr>
        <w:t xml:space="preserve">. </w:t>
      </w:r>
      <w:r w:rsidRPr="005C7810">
        <w:rPr>
          <w:rFonts w:ascii="Book Antiqua" w:eastAsia="Times New Roman" w:hAnsi="Book Antiqua" w:cs="Times New Roman"/>
          <w:sz w:val="24"/>
          <w:szCs w:val="24"/>
          <w:lang w:val="en-US"/>
        </w:rPr>
        <w:t xml:space="preserve">Overexpression of EGFR has been associated with reduced </w:t>
      </w:r>
      <w:r w:rsidR="00A56C9F" w:rsidRPr="005C7810">
        <w:rPr>
          <w:rFonts w:ascii="Book Antiqua" w:eastAsia="Times New Roman" w:hAnsi="Book Antiqua" w:cs="Times New Roman"/>
          <w:sz w:val="24"/>
          <w:szCs w:val="24"/>
          <w:lang w:val="en-US"/>
        </w:rPr>
        <w:t>OS</w:t>
      </w:r>
      <w:r w:rsidR="00EA0868" w:rsidRPr="005C7810">
        <w:rPr>
          <w:rFonts w:ascii="Book Antiqua" w:eastAsia="Times New Roman" w:hAnsi="Book Antiqua" w:cs="Times New Roman"/>
          <w:sz w:val="24"/>
          <w:szCs w:val="24"/>
          <w:lang w:val="en-US"/>
        </w:rPr>
        <w:fldChar w:fldCharType="begin" w:fldLock="1"/>
      </w:r>
      <w:r w:rsidR="001322DE" w:rsidRPr="005C7810">
        <w:rPr>
          <w:rFonts w:ascii="Book Antiqua" w:eastAsia="Times New Roman" w:hAnsi="Book Antiqua" w:cs="Times New Roman"/>
          <w:sz w:val="24"/>
          <w:szCs w:val="24"/>
          <w:lang w:val="en-US"/>
        </w:rPr>
        <w:instrText>ADDIN CSL_CITATION {"citationItems":[{"id":"ITEM-1","itemData":{"DOI":"10.1111/j.1365-2559.2008.03021.x","author":[{"dropping-particle":"","family":"Kim","given":"M A","non-dropping-particle":"","parse-names":false,"suffix":""},{"dropping-particle":"","family":"Lee","given":"H S","non-dropping-particle":"","parse-names":false,"suffix":""},{"dropping-particle":"","family":"Lee","given":"H E","non-dropping-particle":"","parse-names":false,"suffix":""},{"dropping-particle":"","family":"Jeon","given":"Y K","non-dropping-particle":"","parse-names":false,"suffix":""},{"dropping-particle":"","family":"Yang","given":"H K","non-dropping-particle":"","parse-names":false,"suffix":""},{"dropping-particle":"","family":"Kim","given":"W H","non-dropping-particle":"","parse-names":false,"suffix":""}],"id":"ITEM-1","issue":"M","issued":{"date-parts":[["2008"]]},"page":"738-746","title":"EGFR in gastric carcinomas : prognostic significance of protein overexpression and high gene copy number","type":"article-journal"},"uris":["http://www.mendeley.com/documents/?uuid=e290024e-85b0-4fdc-bd98-85f0ee4315d3","http://www.mendeley.com/documents/?uuid=1aa9eea9-588f-4f09-9077-07757f4181fd"]},{"id":"ITEM-2","itemData":{"DOI":"10.1245/s10434-007-9596-0","ISBN":"1043400795960","ISSN":"1068-9265","author":[{"dropping-particle":"La","family":"Mura","given":"Anna","non-dropping-particle":"","parse-names":false,"suffix":""},{"dropping-particle":"","family":"Zamboli","given":"Anna","non-dropping-particle":"","parse-names":false,"suffix":""},{"dropping-particle":"","family":"Ferraraccio","given":"Francesca","non-dropping-particle":"","parse-names":false,"suffix":""},{"dropping-particle":"","family":"Pinto","given":"Margherita","non-dropping-particle":"","parse-names":false,"suffix":""},{"dropping-particle":"","family":"Orditura","given":"Michele","non-dropping-particle":"","parse-names":false,"suffix":""},{"dropping-particle":"","family":"Galizia","given":"Gennaro","non-dropping-particle":"","parse-names":false,"suffix":""},{"dropping-particle":"","family":"Lieto","given":"Eva","non-dropping-particle":"","parse-names":false,"suffix":""},{"dropping-particle":"","family":"Castellano","given":"Paolo","non-dropping-particle":"","parse-names":false,"suffix":""},{"dropping-particle":"","family":"Vita","given":"Ferdinando","non-dropping-particle":"De","parse-names":false,"suffix":""}],"container-title":"Annals of Surgical Oncology","id":"ITEM-2","issue":"1","issued":{"date-parts":[["2008"]]},"page":"69-79","title":"Expression of Vascular Endothelial Growth Factor (VEGF) and Epidermal Growth Factor Receptor (EGFR) is an Independent Prognostic Indicator of Worse Outcome in Gastric Cancer Patients","type":"article-journal","volume":"15"},"uris":["http://www.mendeley.com/documents/?uuid=7a9dc741-f1ee-415a-addf-f2ddba0d7d6c","http://www.mendeley.com/documents/?uuid=10b6ec32-b318-45f8-866a-982a0e5259c3","http://www.mendeley.com/documents/?uuid=5896d9d0-4386-4144-862e-58c388600952"]}],"mendeley":{"formattedCitation":"&lt;sup&gt;[56,71]&lt;/sup&gt;","plainTextFormattedCitation":"[56,71]","previouslyFormattedCitation":"&lt;sup&gt;[56,71]&lt;/sup&gt;"},"properties":{"noteIndex":0},"schema":"https://github.com/citation-style-language/schema/raw/master/csl-citation.json"}</w:instrText>
      </w:r>
      <w:r w:rsidR="00EA0868" w:rsidRPr="005C7810">
        <w:rPr>
          <w:rFonts w:ascii="Book Antiqua" w:eastAsia="Times New Roman" w:hAnsi="Book Antiqua" w:cs="Times New Roman"/>
          <w:sz w:val="24"/>
          <w:szCs w:val="24"/>
          <w:lang w:val="en-US"/>
        </w:rPr>
        <w:fldChar w:fldCharType="separate"/>
      </w:r>
      <w:r w:rsidR="008D5A49" w:rsidRPr="005C7810">
        <w:rPr>
          <w:rFonts w:ascii="Book Antiqua" w:eastAsia="Times New Roman" w:hAnsi="Book Antiqua" w:cs="Times New Roman"/>
          <w:sz w:val="24"/>
          <w:szCs w:val="24"/>
          <w:vertAlign w:val="superscript"/>
          <w:lang w:val="en-US"/>
        </w:rPr>
        <w:t>[56,71]</w:t>
      </w:r>
      <w:r w:rsidR="00EA0868" w:rsidRPr="005C7810">
        <w:rPr>
          <w:rFonts w:ascii="Book Antiqua" w:eastAsia="Times New Roman" w:hAnsi="Book Antiqua" w:cs="Times New Roman"/>
          <w:sz w:val="24"/>
          <w:szCs w:val="24"/>
          <w:lang w:val="en-US"/>
        </w:rPr>
        <w:fldChar w:fldCharType="end"/>
      </w:r>
      <w:r w:rsidRPr="005C7810">
        <w:rPr>
          <w:rFonts w:ascii="Book Antiqua" w:hAnsi="Book Antiqua" w:cs="Times New Roman"/>
          <w:sz w:val="24"/>
          <w:szCs w:val="24"/>
          <w:lang w:val="en-US"/>
        </w:rPr>
        <w:t xml:space="preserve">. This behavior may depend on the observation that </w:t>
      </w:r>
      <w:r w:rsidRPr="005C7810">
        <w:rPr>
          <w:rFonts w:ascii="Book Antiqua" w:eastAsia="Times New Roman" w:hAnsi="Book Antiqua" w:cs="Times New Roman"/>
          <w:sz w:val="24"/>
          <w:szCs w:val="24"/>
          <w:lang w:val="en-US"/>
        </w:rPr>
        <w:t xml:space="preserve">EGFR targeting molecules may be potential agents for target </w:t>
      </w:r>
      <w:r w:rsidRPr="005C7810">
        <w:rPr>
          <w:rFonts w:ascii="Book Antiqua" w:eastAsia="Times New Roman" w:hAnsi="Book Antiqua" w:cs="Times New Roman"/>
          <w:sz w:val="24"/>
          <w:szCs w:val="24"/>
          <w:lang w:val="en-US"/>
        </w:rPr>
        <w:lastRenderedPageBreak/>
        <w:t xml:space="preserve">therapy. Trastuzumab is the first </w:t>
      </w:r>
      <w:r w:rsidR="00CA013C" w:rsidRPr="005C7810">
        <w:rPr>
          <w:rFonts w:ascii="Book Antiqua" w:eastAsia="Times New Roman" w:hAnsi="Book Antiqua" w:cs="Times New Roman"/>
          <w:sz w:val="24"/>
          <w:szCs w:val="24"/>
          <w:lang w:val="en-US"/>
        </w:rPr>
        <w:t xml:space="preserve">molecular targeted </w:t>
      </w:r>
      <w:r w:rsidRPr="005C7810">
        <w:rPr>
          <w:rFonts w:ascii="Book Antiqua" w:eastAsia="Times New Roman" w:hAnsi="Book Antiqua" w:cs="Times New Roman"/>
          <w:sz w:val="24"/>
          <w:szCs w:val="24"/>
          <w:lang w:val="en-US"/>
        </w:rPr>
        <w:t xml:space="preserve">agent </w:t>
      </w:r>
      <w:r w:rsidR="00CA013C" w:rsidRPr="005C7810">
        <w:rPr>
          <w:rFonts w:ascii="Book Antiqua" w:eastAsia="Times New Roman" w:hAnsi="Book Antiqua" w:cs="Times New Roman"/>
          <w:sz w:val="24"/>
          <w:szCs w:val="24"/>
          <w:lang w:val="en-US"/>
        </w:rPr>
        <w:t xml:space="preserve">approved as standard </w:t>
      </w:r>
      <w:r w:rsidRPr="005C7810">
        <w:rPr>
          <w:rFonts w:ascii="Book Antiqua" w:eastAsia="Times New Roman" w:hAnsi="Book Antiqua" w:cs="Times New Roman"/>
          <w:sz w:val="24"/>
          <w:szCs w:val="24"/>
          <w:lang w:val="en-US"/>
        </w:rPr>
        <w:t xml:space="preserve">therapy </w:t>
      </w:r>
      <w:r w:rsidR="00CA013C" w:rsidRPr="005C7810">
        <w:rPr>
          <w:rFonts w:ascii="Book Antiqua" w:eastAsia="Times New Roman" w:hAnsi="Book Antiqua" w:cs="Times New Roman"/>
          <w:sz w:val="24"/>
          <w:szCs w:val="24"/>
          <w:lang w:val="en-US"/>
        </w:rPr>
        <w:t>for</w:t>
      </w:r>
      <w:r w:rsidRPr="005C7810">
        <w:rPr>
          <w:rFonts w:ascii="Book Antiqua" w:eastAsia="Times New Roman" w:hAnsi="Book Antiqua" w:cs="Times New Roman"/>
          <w:sz w:val="24"/>
          <w:szCs w:val="24"/>
          <w:lang w:val="en-US"/>
        </w:rPr>
        <w:t xml:space="preserve"> GC. It is a monoclonal antibody against </w:t>
      </w:r>
      <w:r w:rsidR="008048BA" w:rsidRPr="005C7810">
        <w:rPr>
          <w:rFonts w:ascii="Book Antiqua" w:hAnsi="Book Antiqua" w:cs="Times New Roman"/>
          <w:sz w:val="24"/>
          <w:szCs w:val="24"/>
          <w:shd w:val="clear" w:color="auto" w:fill="FFFFFF"/>
          <w:lang w:val="en-US"/>
        </w:rPr>
        <w:t xml:space="preserve">HER2, </w:t>
      </w:r>
      <w:r w:rsidR="00CA5058" w:rsidRPr="005C7810">
        <w:rPr>
          <w:rFonts w:ascii="Book Antiqua" w:eastAsia="Times New Roman" w:hAnsi="Book Antiqua" w:cs="Times New Roman"/>
          <w:sz w:val="24"/>
          <w:szCs w:val="24"/>
          <w:lang w:val="en-US"/>
        </w:rPr>
        <w:t>which</w:t>
      </w:r>
      <w:r w:rsidRPr="005C7810">
        <w:rPr>
          <w:rFonts w:ascii="Book Antiqua" w:eastAsia="Times New Roman" w:hAnsi="Book Antiqua" w:cs="Times New Roman"/>
          <w:sz w:val="24"/>
          <w:szCs w:val="24"/>
          <w:lang w:val="en-US"/>
        </w:rPr>
        <w:t xml:space="preserve"> binds to the extracellular domain of the receptor. </w:t>
      </w:r>
      <w:r w:rsidR="00CA013C" w:rsidRPr="005C7810">
        <w:rPr>
          <w:rFonts w:ascii="Book Antiqua" w:eastAsia="Times New Roman" w:hAnsi="Book Antiqua" w:cs="Times New Roman"/>
          <w:sz w:val="24"/>
          <w:szCs w:val="24"/>
          <w:lang w:val="en-US"/>
        </w:rPr>
        <w:t xml:space="preserve">A </w:t>
      </w:r>
      <w:r w:rsidR="002F3298" w:rsidRPr="005C7810">
        <w:rPr>
          <w:rFonts w:ascii="Book Antiqua" w:eastAsia="Times New Roman" w:hAnsi="Book Antiqua" w:cs="Times New Roman"/>
          <w:sz w:val="24"/>
          <w:szCs w:val="24"/>
          <w:lang w:val="en-US"/>
        </w:rPr>
        <w:t>p</w:t>
      </w:r>
      <w:r w:rsidRPr="005C7810">
        <w:rPr>
          <w:rFonts w:ascii="Book Antiqua" w:eastAsia="Times New Roman" w:hAnsi="Book Antiqua" w:cs="Times New Roman"/>
          <w:sz w:val="24"/>
          <w:szCs w:val="24"/>
          <w:lang w:val="en-US"/>
        </w:rPr>
        <w:t xml:space="preserve">hase III clinical trial (ToGA) </w:t>
      </w:r>
      <w:r w:rsidR="003755FF" w:rsidRPr="005C7810">
        <w:rPr>
          <w:rFonts w:ascii="Book Antiqua" w:eastAsia="Times New Roman" w:hAnsi="Book Antiqua" w:cs="Times New Roman"/>
          <w:sz w:val="24"/>
          <w:szCs w:val="24"/>
          <w:lang w:val="en-US"/>
        </w:rPr>
        <w:t xml:space="preserve">(NCT01041404) </w:t>
      </w:r>
      <w:r w:rsidRPr="005C7810">
        <w:rPr>
          <w:rFonts w:ascii="Book Antiqua" w:eastAsia="Times New Roman" w:hAnsi="Book Antiqua" w:cs="Times New Roman"/>
          <w:sz w:val="24"/>
          <w:szCs w:val="24"/>
          <w:lang w:val="en-US"/>
        </w:rPr>
        <w:t xml:space="preserve">enrolled 594 patients with GC who had high </w:t>
      </w:r>
      <w:r w:rsidR="00CA013C" w:rsidRPr="005C7810">
        <w:rPr>
          <w:rFonts w:ascii="Book Antiqua" w:eastAsia="Times New Roman" w:hAnsi="Book Antiqua" w:cs="Times New Roman"/>
          <w:sz w:val="24"/>
          <w:szCs w:val="24"/>
          <w:lang w:val="en-US"/>
        </w:rPr>
        <w:t xml:space="preserve">HER2 </w:t>
      </w:r>
      <w:r w:rsidRPr="005C7810">
        <w:rPr>
          <w:rFonts w:ascii="Book Antiqua" w:eastAsia="Times New Roman" w:hAnsi="Book Antiqua" w:cs="Times New Roman"/>
          <w:sz w:val="24"/>
          <w:szCs w:val="24"/>
          <w:lang w:val="en-US"/>
        </w:rPr>
        <w:t xml:space="preserve">expression. These patients were randomized to chemotherapy alone or combined with trastuzumab. Treatment with trastuzumab </w:t>
      </w:r>
      <w:r w:rsidR="00CA013C" w:rsidRPr="005C7810">
        <w:rPr>
          <w:rFonts w:ascii="Book Antiqua" w:eastAsia="Times New Roman" w:hAnsi="Book Antiqua" w:cs="Times New Roman"/>
          <w:sz w:val="24"/>
          <w:szCs w:val="24"/>
          <w:lang w:val="en-US"/>
        </w:rPr>
        <w:t xml:space="preserve">led to </w:t>
      </w:r>
      <w:r w:rsidRPr="005C7810">
        <w:rPr>
          <w:rFonts w:ascii="Book Antiqua" w:eastAsia="Times New Roman" w:hAnsi="Book Antiqua" w:cs="Times New Roman"/>
          <w:sz w:val="24"/>
          <w:szCs w:val="24"/>
          <w:lang w:val="en-US"/>
        </w:rPr>
        <w:t>an</w:t>
      </w:r>
      <w:r w:rsidR="00CA013C" w:rsidRPr="005C7810">
        <w:rPr>
          <w:rFonts w:ascii="Book Antiqua" w:eastAsia="Times New Roman" w:hAnsi="Book Antiqua" w:cs="Times New Roman"/>
          <w:sz w:val="24"/>
          <w:szCs w:val="24"/>
          <w:lang w:val="en-US"/>
        </w:rPr>
        <w:t xml:space="preserve"> increase in</w:t>
      </w:r>
      <w:r w:rsidRPr="005C7810">
        <w:rPr>
          <w:rFonts w:ascii="Book Antiqua" w:eastAsia="Times New Roman" w:hAnsi="Book Antiqua" w:cs="Times New Roman"/>
          <w:sz w:val="24"/>
          <w:szCs w:val="24"/>
          <w:lang w:val="en-US"/>
        </w:rPr>
        <w:t xml:space="preserve"> OS of 2.7 </w:t>
      </w:r>
      <w:r w:rsidR="000C5160" w:rsidRPr="005C7810">
        <w:rPr>
          <w:rFonts w:ascii="Book Antiqua" w:eastAsia="Times New Roman" w:hAnsi="Book Antiqua" w:cs="Times New Roman"/>
          <w:sz w:val="24"/>
          <w:szCs w:val="24"/>
          <w:lang w:val="en-US"/>
        </w:rPr>
        <w:t>mo</w:t>
      </w:r>
      <w:r w:rsidRPr="005C7810">
        <w:rPr>
          <w:rFonts w:ascii="Book Antiqua" w:eastAsia="Times New Roman" w:hAnsi="Book Antiqua" w:cs="Times New Roman"/>
          <w:sz w:val="24"/>
          <w:szCs w:val="24"/>
          <w:lang w:val="en-US"/>
        </w:rPr>
        <w:t xml:space="preserve"> and the </w:t>
      </w:r>
      <w:r w:rsidR="00277620" w:rsidRPr="005C7810">
        <w:rPr>
          <w:rFonts w:ascii="Book Antiqua" w:eastAsia="Times New Roman" w:hAnsi="Book Antiqua" w:cs="Times New Roman"/>
          <w:sz w:val="24"/>
          <w:szCs w:val="24"/>
          <w:lang w:val="en-US"/>
        </w:rPr>
        <w:t>PFS</w:t>
      </w:r>
      <w:r w:rsidRPr="005C7810">
        <w:rPr>
          <w:rFonts w:ascii="Book Antiqua" w:eastAsia="Times New Roman" w:hAnsi="Book Antiqua" w:cs="Times New Roman"/>
          <w:sz w:val="24"/>
          <w:szCs w:val="24"/>
          <w:lang w:val="en-US"/>
        </w:rPr>
        <w:t xml:space="preserve"> was heightened compared to that of patients treated with chemotherapy</w:t>
      </w:r>
      <w:r w:rsidR="00CA013C" w:rsidRPr="005C7810">
        <w:rPr>
          <w:rFonts w:ascii="Book Antiqua" w:eastAsia="Times New Roman" w:hAnsi="Book Antiqua" w:cs="Times New Roman"/>
          <w:sz w:val="24"/>
          <w:szCs w:val="24"/>
          <w:lang w:val="en-US"/>
        </w:rPr>
        <w:t xml:space="preserve"> alone</w:t>
      </w:r>
      <w:r w:rsidR="00327314" w:rsidRPr="005C7810">
        <w:rPr>
          <w:rFonts w:ascii="Book Antiqua" w:eastAsia="Times New Roman" w:hAnsi="Book Antiqua" w:cs="Times New Roman"/>
          <w:sz w:val="24"/>
          <w:szCs w:val="24"/>
          <w:lang w:val="en-US"/>
        </w:rPr>
        <w:fldChar w:fldCharType="begin" w:fldLock="1"/>
      </w:r>
      <w:r w:rsidR="003B649A" w:rsidRPr="005C7810">
        <w:rPr>
          <w:rFonts w:ascii="Book Antiqua" w:eastAsia="Times New Roman" w:hAnsi="Book Antiqua" w:cs="Times New Roman"/>
          <w:sz w:val="24"/>
          <w:szCs w:val="24"/>
          <w:lang w:val="en-US"/>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Lancet","id":"ITEM-1","issue":"9742","issued":{"date-parts":[["2010"]]},"page":"687-697","publisher":"Elsevier Ltd","title":"Trastuzumab in combination with chemotherapy versus chemotherapy alone for treatment of HER2-positive advanced gastric or gastro-oesophageal junction cancer (ToGA): A phase 3, open-label, randomised controlled trial","type":"article-journal","volume":"376"},"uris":["http://www.mendeley.com/documents/?uuid=59471859-bcb7-4767-bd8b-9ef88517dd33","http://www.mendeley.com/documents/?uuid=f5fb2335-ea93-4f6c-8e6e-d08ad3924e0e"]}],"mendeley":{"formattedCitation":"&lt;sup&gt;[124]&lt;/sup&gt;","plainTextFormattedCitation":"[124]","previouslyFormattedCitation":"&lt;sup&gt;[124]&lt;/sup&gt;"},"properties":{"noteIndex":0},"schema":"https://github.com/citation-style-language/schema/raw/master/csl-citation.json"}</w:instrText>
      </w:r>
      <w:r w:rsidR="00327314" w:rsidRPr="005C7810">
        <w:rPr>
          <w:rFonts w:ascii="Book Antiqua" w:eastAsia="Times New Roman" w:hAnsi="Book Antiqua" w:cs="Times New Roman"/>
          <w:sz w:val="24"/>
          <w:szCs w:val="24"/>
          <w:lang w:val="en-US"/>
        </w:rPr>
        <w:fldChar w:fldCharType="separate"/>
      </w:r>
      <w:r w:rsidR="00250136" w:rsidRPr="005C7810">
        <w:rPr>
          <w:rFonts w:ascii="Book Antiqua" w:eastAsia="Times New Roman" w:hAnsi="Book Antiqua" w:cs="Times New Roman"/>
          <w:sz w:val="24"/>
          <w:szCs w:val="24"/>
          <w:vertAlign w:val="superscript"/>
          <w:lang w:val="en-US"/>
        </w:rPr>
        <w:t>[124]</w:t>
      </w:r>
      <w:r w:rsidR="00327314" w:rsidRPr="005C7810">
        <w:rPr>
          <w:rFonts w:ascii="Book Antiqua" w:eastAsia="Times New Roman" w:hAnsi="Book Antiqua" w:cs="Times New Roman"/>
          <w:sz w:val="24"/>
          <w:szCs w:val="24"/>
          <w:lang w:val="en-US"/>
        </w:rPr>
        <w:fldChar w:fldCharType="end"/>
      </w:r>
      <w:r w:rsidRPr="005C7810">
        <w:rPr>
          <w:rFonts w:ascii="Book Antiqua" w:eastAsia="Times New Roman" w:hAnsi="Book Antiqua" w:cs="Times New Roman"/>
          <w:sz w:val="24"/>
          <w:szCs w:val="24"/>
          <w:lang w:val="en-US"/>
        </w:rPr>
        <w:t xml:space="preserve">. </w:t>
      </w:r>
      <w:r w:rsidR="00D15C83" w:rsidRPr="005C7810">
        <w:rPr>
          <w:rFonts w:ascii="Book Antiqua" w:eastAsia="Times New Roman" w:hAnsi="Book Antiqua" w:cs="Times New Roman"/>
          <w:sz w:val="24"/>
          <w:szCs w:val="24"/>
          <w:lang w:val="en-US"/>
        </w:rPr>
        <w:t>The benefits observed in patients treated with the combination of trastuzumab and chemotherapy were even more evident in patients who expressed high levels of HER2</w:t>
      </w:r>
      <w:r w:rsidR="00A0592D" w:rsidRPr="005C7810">
        <w:rPr>
          <w:rFonts w:ascii="Book Antiqua" w:eastAsia="Times New Roman" w:hAnsi="Book Antiqua" w:cs="Times New Roman"/>
          <w:sz w:val="24"/>
          <w:szCs w:val="24"/>
          <w:lang w:val="en-US"/>
        </w:rPr>
        <w:t xml:space="preserve"> compared to </w:t>
      </w:r>
      <w:r w:rsidR="0042324C" w:rsidRPr="005C7810">
        <w:rPr>
          <w:rFonts w:ascii="Book Antiqua" w:eastAsia="Times New Roman" w:hAnsi="Book Antiqua" w:cs="Times New Roman"/>
          <w:sz w:val="24"/>
          <w:szCs w:val="24"/>
          <w:lang w:val="en-US"/>
        </w:rPr>
        <w:t xml:space="preserve">those </w:t>
      </w:r>
      <w:r w:rsidR="00A0592D" w:rsidRPr="005C7810">
        <w:rPr>
          <w:rFonts w:ascii="Book Antiqua" w:eastAsia="Times New Roman" w:hAnsi="Book Antiqua" w:cs="Times New Roman"/>
          <w:sz w:val="24"/>
          <w:szCs w:val="24"/>
          <w:lang w:val="en-US"/>
        </w:rPr>
        <w:t>with low HER2 expression</w:t>
      </w:r>
      <w:r w:rsidR="00D15C83" w:rsidRPr="005C7810">
        <w:rPr>
          <w:rFonts w:ascii="Book Antiqua" w:eastAsia="Times New Roman" w:hAnsi="Book Antiqua" w:cs="Times New Roman"/>
          <w:sz w:val="24"/>
          <w:szCs w:val="24"/>
          <w:lang w:val="en-US"/>
        </w:rPr>
        <w:t xml:space="preserve">. </w:t>
      </w:r>
      <w:r w:rsidRPr="005C7810">
        <w:rPr>
          <w:rFonts w:ascii="Book Antiqua" w:eastAsia="Times New Roman" w:hAnsi="Book Antiqua" w:cs="Times New Roman"/>
          <w:sz w:val="24"/>
          <w:szCs w:val="24"/>
          <w:lang w:val="en-US"/>
        </w:rPr>
        <w:t xml:space="preserve">The </w:t>
      </w:r>
      <w:r w:rsidR="0042324C" w:rsidRPr="005C7810">
        <w:rPr>
          <w:rFonts w:ascii="Book Antiqua" w:eastAsia="Times New Roman" w:hAnsi="Book Antiqua" w:cs="Times New Roman"/>
          <w:sz w:val="24"/>
          <w:szCs w:val="24"/>
          <w:lang w:val="en-US"/>
        </w:rPr>
        <w:t xml:space="preserve">2015 </w:t>
      </w:r>
      <w:r w:rsidRPr="005C7810">
        <w:rPr>
          <w:rFonts w:ascii="Book Antiqua" w:eastAsia="Times New Roman" w:hAnsi="Book Antiqua" w:cs="Times New Roman"/>
          <w:sz w:val="24"/>
          <w:szCs w:val="24"/>
          <w:lang w:val="en-US"/>
        </w:rPr>
        <w:t xml:space="preserve">National Comprehensive Cancer Network guidelines recommended the </w:t>
      </w:r>
      <w:r w:rsidR="00AB523A" w:rsidRPr="005C7810">
        <w:rPr>
          <w:rFonts w:ascii="Book Antiqua" w:eastAsia="Times New Roman" w:hAnsi="Book Antiqua" w:cs="Times New Roman"/>
          <w:sz w:val="24"/>
          <w:szCs w:val="24"/>
          <w:lang w:val="en-US"/>
        </w:rPr>
        <w:t xml:space="preserve">first-line </w:t>
      </w:r>
      <w:r w:rsidR="00550E17" w:rsidRPr="005C7810">
        <w:rPr>
          <w:rFonts w:ascii="Book Antiqua" w:eastAsia="Times New Roman" w:hAnsi="Book Antiqua" w:cs="Times New Roman"/>
          <w:sz w:val="24"/>
          <w:szCs w:val="24"/>
          <w:lang w:val="en-US"/>
        </w:rPr>
        <w:t xml:space="preserve">treatment </w:t>
      </w:r>
      <w:r w:rsidRPr="005C7810">
        <w:rPr>
          <w:rFonts w:ascii="Book Antiqua" w:eastAsia="Times New Roman" w:hAnsi="Book Antiqua" w:cs="Times New Roman"/>
          <w:sz w:val="24"/>
          <w:szCs w:val="24"/>
          <w:lang w:val="en-US"/>
        </w:rPr>
        <w:t xml:space="preserve">of trastuzumab </w:t>
      </w:r>
      <w:r w:rsidR="00550E17" w:rsidRPr="005C7810">
        <w:rPr>
          <w:rFonts w:ascii="Book Antiqua" w:eastAsia="Times New Roman" w:hAnsi="Book Antiqua" w:cs="Times New Roman"/>
          <w:sz w:val="24"/>
          <w:szCs w:val="24"/>
          <w:lang w:val="en-US"/>
        </w:rPr>
        <w:t xml:space="preserve">combined </w:t>
      </w:r>
      <w:r w:rsidRPr="005C7810">
        <w:rPr>
          <w:rFonts w:ascii="Book Antiqua" w:eastAsia="Times New Roman" w:hAnsi="Book Antiqua" w:cs="Times New Roman"/>
          <w:sz w:val="24"/>
          <w:szCs w:val="24"/>
          <w:lang w:val="en-US"/>
        </w:rPr>
        <w:t>with chemotherapy in patients overexpress</w:t>
      </w:r>
      <w:r w:rsidR="0042324C" w:rsidRPr="005C7810">
        <w:rPr>
          <w:rFonts w:ascii="Book Antiqua" w:eastAsia="Times New Roman" w:hAnsi="Book Antiqua" w:cs="Times New Roman"/>
          <w:sz w:val="24"/>
          <w:szCs w:val="24"/>
          <w:lang w:val="en-US"/>
        </w:rPr>
        <w:t>ing</w:t>
      </w:r>
      <w:r w:rsidRPr="005C7810">
        <w:rPr>
          <w:rFonts w:ascii="Book Antiqua" w:eastAsia="Times New Roman" w:hAnsi="Book Antiqua" w:cs="Times New Roman"/>
          <w:sz w:val="24"/>
          <w:szCs w:val="24"/>
          <w:lang w:val="en-US"/>
        </w:rPr>
        <w:t xml:space="preserve"> HER2. </w:t>
      </w:r>
      <w:r w:rsidR="0042324C" w:rsidRPr="005C7810">
        <w:rPr>
          <w:rFonts w:ascii="Book Antiqua" w:eastAsia="Times New Roman" w:hAnsi="Book Antiqua" w:cs="Times New Roman"/>
          <w:sz w:val="24"/>
          <w:szCs w:val="24"/>
          <w:lang w:val="en-US"/>
        </w:rPr>
        <w:t>To date,</w:t>
      </w:r>
      <w:r w:rsidRPr="005C7810">
        <w:rPr>
          <w:rFonts w:ascii="Book Antiqua" w:eastAsia="Times New Roman" w:hAnsi="Book Antiqua" w:cs="Times New Roman"/>
          <w:sz w:val="24"/>
          <w:szCs w:val="24"/>
          <w:lang w:val="en-US"/>
        </w:rPr>
        <w:t xml:space="preserve"> trastuzumab is the</w:t>
      </w:r>
      <w:r w:rsidR="0042324C" w:rsidRPr="005C7810">
        <w:rPr>
          <w:rFonts w:ascii="Book Antiqua" w:eastAsia="Times New Roman" w:hAnsi="Book Antiqua" w:cs="Times New Roman"/>
          <w:sz w:val="24"/>
          <w:szCs w:val="24"/>
          <w:lang w:val="en-US"/>
        </w:rPr>
        <w:t xml:space="preserve"> only</w:t>
      </w:r>
      <w:r w:rsidRPr="005C7810">
        <w:rPr>
          <w:rFonts w:ascii="Book Antiqua" w:eastAsia="Times New Roman" w:hAnsi="Book Antiqua" w:cs="Times New Roman"/>
          <w:sz w:val="24"/>
          <w:szCs w:val="24"/>
          <w:lang w:val="en-US"/>
        </w:rPr>
        <w:t xml:space="preserve"> target</w:t>
      </w:r>
      <w:r w:rsidR="004A6501" w:rsidRPr="005C7810">
        <w:rPr>
          <w:rFonts w:ascii="Book Antiqua" w:eastAsia="Times New Roman" w:hAnsi="Book Antiqua" w:cs="Times New Roman"/>
          <w:sz w:val="24"/>
          <w:szCs w:val="24"/>
          <w:lang w:val="en-US"/>
        </w:rPr>
        <w:t>ed</w:t>
      </w:r>
      <w:r w:rsidRPr="005C7810">
        <w:rPr>
          <w:rFonts w:ascii="Book Antiqua" w:eastAsia="Times New Roman" w:hAnsi="Book Antiqua" w:cs="Times New Roman"/>
          <w:sz w:val="24"/>
          <w:szCs w:val="24"/>
          <w:lang w:val="en-US"/>
        </w:rPr>
        <w:t xml:space="preserve"> therapy allowed for the treatment of advanced GC</w:t>
      </w:r>
      <w:r w:rsidR="00327314" w:rsidRPr="005C7810">
        <w:rPr>
          <w:rFonts w:ascii="Book Antiqua" w:eastAsia="Times New Roman" w:hAnsi="Book Antiqua" w:cs="Times New Roman"/>
          <w:sz w:val="24"/>
          <w:szCs w:val="24"/>
          <w:lang w:val="en-US"/>
        </w:rPr>
        <w:fldChar w:fldCharType="begin" w:fldLock="1"/>
      </w:r>
      <w:r w:rsidR="003B649A" w:rsidRPr="005C7810">
        <w:rPr>
          <w:rFonts w:ascii="Book Antiqua" w:eastAsia="Times New Roman" w:hAnsi="Book Antiqua" w:cs="Times New Roman"/>
          <w:sz w:val="24"/>
          <w:szCs w:val="24"/>
          <w:lang w:val="en-US"/>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Lancet","id":"ITEM-1","issue":"9742","issued":{"date-parts":[["2010"]]},"page":"687-697","publisher":"Elsevier Ltd","title":"Trastuzumab in combination with chemotherapy versus chemotherapy alone for treatment of HER2-positive advanced gastric or gastro-oesophageal junction cancer (ToGA): A phase 3, open-label, randomised controlled trial","type":"article-journal","volume":"376"},"uris":["http://www.mendeley.com/documents/?uuid=f5fb2335-ea93-4f6c-8e6e-d08ad3924e0e","http://www.mendeley.com/documents/?uuid=59471859-bcb7-4767-bd8b-9ef88517dd33"]}],"mendeley":{"formattedCitation":"&lt;sup&gt;[124]&lt;/sup&gt;","plainTextFormattedCitation":"[124]","previouslyFormattedCitation":"&lt;sup&gt;[124]&lt;/sup&gt;"},"properties":{"noteIndex":0},"schema":"https://github.com/citation-style-language/schema/raw/master/csl-citation.json"}</w:instrText>
      </w:r>
      <w:r w:rsidR="00327314" w:rsidRPr="005C7810">
        <w:rPr>
          <w:rFonts w:ascii="Book Antiqua" w:eastAsia="Times New Roman" w:hAnsi="Book Antiqua" w:cs="Times New Roman"/>
          <w:sz w:val="24"/>
          <w:szCs w:val="24"/>
          <w:lang w:val="en-US"/>
        </w:rPr>
        <w:fldChar w:fldCharType="separate"/>
      </w:r>
      <w:r w:rsidR="00250136" w:rsidRPr="005C7810">
        <w:rPr>
          <w:rFonts w:ascii="Book Antiqua" w:eastAsia="Times New Roman" w:hAnsi="Book Antiqua" w:cs="Times New Roman"/>
          <w:sz w:val="24"/>
          <w:szCs w:val="24"/>
          <w:vertAlign w:val="superscript"/>
          <w:lang w:val="en-US"/>
        </w:rPr>
        <w:t>[124]</w:t>
      </w:r>
      <w:r w:rsidR="00327314" w:rsidRPr="005C7810">
        <w:rPr>
          <w:rFonts w:ascii="Book Antiqua" w:eastAsia="Times New Roman" w:hAnsi="Book Antiqua" w:cs="Times New Roman"/>
          <w:sz w:val="24"/>
          <w:szCs w:val="24"/>
          <w:lang w:val="en-US"/>
        </w:rPr>
        <w:fldChar w:fldCharType="end"/>
      </w:r>
      <w:r w:rsidR="0043458D" w:rsidRPr="005C7810">
        <w:rPr>
          <w:rFonts w:ascii="Book Antiqua" w:eastAsia="Times New Roman" w:hAnsi="Book Antiqua" w:cs="Times New Roman"/>
          <w:sz w:val="24"/>
          <w:szCs w:val="24"/>
          <w:lang w:val="en-US"/>
        </w:rPr>
        <w:t>.</w:t>
      </w:r>
      <w:r w:rsidRPr="005C7810">
        <w:rPr>
          <w:rFonts w:ascii="Book Antiqua" w:eastAsia="Times New Roman" w:hAnsi="Book Antiqua" w:cs="Times New Roman"/>
          <w:sz w:val="24"/>
          <w:szCs w:val="24"/>
          <w:lang w:val="en-US"/>
        </w:rPr>
        <w:t xml:space="preserve"> </w:t>
      </w:r>
      <w:r w:rsidR="003E4407" w:rsidRPr="005C7810">
        <w:rPr>
          <w:rFonts w:ascii="Book Antiqua" w:eastAsia="Times New Roman" w:hAnsi="Book Antiqua" w:cs="Times New Roman"/>
          <w:sz w:val="24"/>
          <w:szCs w:val="24"/>
          <w:lang w:val="en-US"/>
        </w:rPr>
        <w:t>A clinical trial</w:t>
      </w:r>
      <w:r w:rsidR="004D61F1" w:rsidRPr="005C7810">
        <w:rPr>
          <w:rFonts w:ascii="Book Antiqua" w:eastAsia="Times New Roman" w:hAnsi="Book Antiqua" w:cs="Times New Roman"/>
          <w:sz w:val="24"/>
          <w:szCs w:val="24"/>
          <w:lang w:val="en-US"/>
        </w:rPr>
        <w:t xml:space="preserve"> (NCT01736410)</w:t>
      </w:r>
      <w:r w:rsidR="0094473D" w:rsidRPr="005C7810">
        <w:rPr>
          <w:rFonts w:ascii="Book Antiqua" w:eastAsia="Times New Roman" w:hAnsi="Book Antiqua" w:cs="Times New Roman"/>
          <w:sz w:val="24"/>
          <w:szCs w:val="24"/>
          <w:lang w:val="en-US"/>
        </w:rPr>
        <w:t>, which</w:t>
      </w:r>
      <w:r w:rsidR="003E4407" w:rsidRPr="005C7810">
        <w:rPr>
          <w:rFonts w:ascii="Book Antiqua" w:eastAsia="Times New Roman" w:hAnsi="Book Antiqua" w:cs="Times New Roman"/>
          <w:sz w:val="24"/>
          <w:szCs w:val="24"/>
          <w:lang w:val="en-US"/>
        </w:rPr>
        <w:t xml:space="preserve"> evaluated the efficacy</w:t>
      </w:r>
      <w:r w:rsidR="00251AFC" w:rsidRPr="005C7810">
        <w:rPr>
          <w:rFonts w:ascii="Book Antiqua" w:eastAsia="Times New Roman" w:hAnsi="Book Antiqua" w:cs="Times New Roman"/>
          <w:sz w:val="24"/>
          <w:szCs w:val="24"/>
          <w:lang w:val="en-US"/>
        </w:rPr>
        <w:t xml:space="preserve"> </w:t>
      </w:r>
      <w:r w:rsidR="003E4407" w:rsidRPr="005C7810">
        <w:rPr>
          <w:rFonts w:ascii="Book Antiqua" w:eastAsia="Times New Roman" w:hAnsi="Book Antiqua" w:cs="Times New Roman"/>
          <w:sz w:val="24"/>
          <w:szCs w:val="24"/>
          <w:lang w:val="en-US"/>
        </w:rPr>
        <w:t xml:space="preserve">of trastuzumab with </w:t>
      </w:r>
      <w:r w:rsidR="007F1AD5" w:rsidRPr="005C7810">
        <w:rPr>
          <w:rFonts w:ascii="Book Antiqua" w:eastAsia="Times New Roman" w:hAnsi="Book Antiqua" w:cs="Times New Roman"/>
          <w:sz w:val="24"/>
          <w:szCs w:val="24"/>
          <w:lang w:val="en-US"/>
        </w:rPr>
        <w:t>tegafur, gimeracil, oteracil</w:t>
      </w:r>
      <w:r w:rsidR="00251AFC" w:rsidRPr="005C7810">
        <w:rPr>
          <w:rFonts w:ascii="Book Antiqua" w:eastAsia="Times New Roman" w:hAnsi="Book Antiqua" w:cs="Times New Roman"/>
          <w:sz w:val="24"/>
          <w:szCs w:val="24"/>
          <w:lang w:val="en-US"/>
        </w:rPr>
        <w:t xml:space="preserve"> (TS-1</w:t>
      </w:r>
      <w:r w:rsidR="003E4407" w:rsidRPr="005C7810">
        <w:rPr>
          <w:rFonts w:ascii="Book Antiqua" w:eastAsia="Times New Roman" w:hAnsi="Book Antiqua" w:cs="Times New Roman"/>
          <w:sz w:val="24"/>
          <w:szCs w:val="24"/>
          <w:lang w:val="en-US"/>
        </w:rPr>
        <w:t xml:space="preserve">) and cisplatin </w:t>
      </w:r>
      <w:r w:rsidR="00251AFC" w:rsidRPr="005C7810">
        <w:rPr>
          <w:rFonts w:ascii="Book Antiqua" w:eastAsia="Times New Roman" w:hAnsi="Book Antiqua" w:cs="Times New Roman"/>
          <w:sz w:val="24"/>
          <w:szCs w:val="24"/>
          <w:lang w:val="en-US"/>
        </w:rPr>
        <w:t>as first-line treatment for</w:t>
      </w:r>
      <w:r w:rsidR="003E4407" w:rsidRPr="005C7810">
        <w:rPr>
          <w:rFonts w:ascii="Book Antiqua" w:eastAsia="Times New Roman" w:hAnsi="Book Antiqua" w:cs="Times New Roman"/>
          <w:sz w:val="24"/>
          <w:szCs w:val="24"/>
          <w:lang w:val="en-US"/>
        </w:rPr>
        <w:t xml:space="preserve"> advanced HER2</w:t>
      </w:r>
      <w:r w:rsidR="0094473D" w:rsidRPr="005C7810">
        <w:rPr>
          <w:rFonts w:ascii="Book Antiqua" w:eastAsia="Times New Roman" w:hAnsi="Book Antiqua" w:cs="Times New Roman"/>
          <w:sz w:val="24"/>
          <w:szCs w:val="24"/>
          <w:lang w:val="en-US"/>
        </w:rPr>
        <w:t>-</w:t>
      </w:r>
      <w:r w:rsidR="003E4407" w:rsidRPr="005C7810">
        <w:rPr>
          <w:rFonts w:ascii="Book Antiqua" w:eastAsia="Times New Roman" w:hAnsi="Book Antiqua" w:cs="Times New Roman"/>
          <w:sz w:val="24"/>
          <w:szCs w:val="24"/>
          <w:lang w:val="en-US"/>
        </w:rPr>
        <w:t>positive</w:t>
      </w:r>
      <w:r w:rsidR="0094473D" w:rsidRPr="005C7810">
        <w:rPr>
          <w:rFonts w:ascii="Book Antiqua" w:eastAsia="Times New Roman" w:hAnsi="Book Antiqua" w:cs="Times New Roman"/>
          <w:sz w:val="24"/>
          <w:szCs w:val="24"/>
          <w:lang w:val="en-US"/>
        </w:rPr>
        <w:t xml:space="preserve"> GC</w:t>
      </w:r>
      <w:r w:rsidR="003E4407" w:rsidRPr="005C7810">
        <w:rPr>
          <w:rFonts w:ascii="Book Antiqua" w:eastAsia="Times New Roman" w:hAnsi="Book Antiqua" w:cs="Times New Roman"/>
          <w:sz w:val="24"/>
          <w:szCs w:val="24"/>
          <w:lang w:val="en-US"/>
        </w:rPr>
        <w:t>, has been completed.</w:t>
      </w:r>
      <w:r w:rsidR="00650BE2" w:rsidRPr="005C7810">
        <w:rPr>
          <w:rFonts w:ascii="Book Antiqua" w:eastAsia="Times New Roman" w:hAnsi="Book Antiqua" w:cs="Times New Roman"/>
          <w:sz w:val="24"/>
          <w:szCs w:val="24"/>
          <w:lang w:val="en-US"/>
        </w:rPr>
        <w:t xml:space="preserve"> </w:t>
      </w:r>
      <w:r w:rsidR="00650BE2" w:rsidRPr="005C7810">
        <w:rPr>
          <w:rFonts w:ascii="Book Antiqua" w:hAnsi="Book Antiqua" w:cs="Times New Roman"/>
          <w:color w:val="000000"/>
          <w:sz w:val="24"/>
          <w:szCs w:val="24"/>
          <w:shd w:val="clear" w:color="auto" w:fill="FFFFFF"/>
          <w:lang w:val="en-US"/>
        </w:rPr>
        <w:t xml:space="preserve">The combination of trastuzumab with TS-1 and cisplatin demonstrated good activity, </w:t>
      </w:r>
      <w:r w:rsidR="0094473D" w:rsidRPr="005C7810">
        <w:rPr>
          <w:rFonts w:ascii="Book Antiqua" w:hAnsi="Book Antiqua" w:cs="Times New Roman"/>
          <w:color w:val="000000"/>
          <w:sz w:val="24"/>
          <w:szCs w:val="24"/>
          <w:shd w:val="clear" w:color="auto" w:fill="FFFFFF"/>
          <w:lang w:val="en-US"/>
        </w:rPr>
        <w:t xml:space="preserve">was </w:t>
      </w:r>
      <w:r w:rsidR="00650BE2" w:rsidRPr="005C7810">
        <w:rPr>
          <w:rFonts w:ascii="Book Antiqua" w:hAnsi="Book Antiqua" w:cs="Times New Roman"/>
          <w:color w:val="000000"/>
          <w:sz w:val="24"/>
          <w:szCs w:val="24"/>
          <w:shd w:val="clear" w:color="auto" w:fill="FFFFFF"/>
          <w:lang w:val="en-US"/>
        </w:rPr>
        <w:t xml:space="preserve">well tolerated, and is a first-line treatment that can be used </w:t>
      </w:r>
      <w:r w:rsidR="0094473D" w:rsidRPr="005C7810">
        <w:rPr>
          <w:rFonts w:ascii="Book Antiqua" w:hAnsi="Book Antiqua" w:cs="Times New Roman"/>
          <w:color w:val="000000"/>
          <w:sz w:val="24"/>
          <w:szCs w:val="24"/>
          <w:shd w:val="clear" w:color="auto" w:fill="FFFFFF"/>
          <w:lang w:val="en-US"/>
        </w:rPr>
        <w:t>for</w:t>
      </w:r>
      <w:r w:rsidR="00650BE2" w:rsidRPr="005C7810">
        <w:rPr>
          <w:rFonts w:ascii="Book Antiqua" w:hAnsi="Book Antiqua" w:cs="Times New Roman"/>
          <w:color w:val="000000"/>
          <w:sz w:val="24"/>
          <w:szCs w:val="24"/>
          <w:shd w:val="clear" w:color="auto" w:fill="FFFFFF"/>
          <w:lang w:val="en-US"/>
        </w:rPr>
        <w:t xml:space="preserve"> advanced HER2</w:t>
      </w:r>
      <w:r w:rsidR="0094473D" w:rsidRPr="005C7810">
        <w:rPr>
          <w:rFonts w:ascii="Book Antiqua" w:hAnsi="Book Antiqua" w:cs="Times New Roman"/>
          <w:color w:val="000000"/>
          <w:sz w:val="24"/>
          <w:szCs w:val="24"/>
          <w:shd w:val="clear" w:color="auto" w:fill="FFFFFF"/>
          <w:lang w:val="en-US"/>
        </w:rPr>
        <w:t>-</w:t>
      </w:r>
      <w:r w:rsidR="00650BE2" w:rsidRPr="005C7810">
        <w:rPr>
          <w:rFonts w:ascii="Book Antiqua" w:hAnsi="Book Antiqua" w:cs="Times New Roman"/>
          <w:color w:val="000000"/>
          <w:sz w:val="24"/>
          <w:szCs w:val="24"/>
          <w:shd w:val="clear" w:color="auto" w:fill="FFFFFF"/>
          <w:lang w:val="en-US"/>
        </w:rPr>
        <w:t>positive</w:t>
      </w:r>
      <w:r w:rsidR="0094473D" w:rsidRPr="005C7810">
        <w:rPr>
          <w:rFonts w:ascii="Book Antiqua" w:hAnsi="Book Antiqua" w:cs="Times New Roman"/>
          <w:color w:val="000000"/>
          <w:sz w:val="24"/>
          <w:szCs w:val="24"/>
          <w:shd w:val="clear" w:color="auto" w:fill="FFFFFF"/>
          <w:lang w:val="en-US"/>
        </w:rPr>
        <w:t xml:space="preserve"> GC</w:t>
      </w:r>
      <w:r w:rsidR="00327314" w:rsidRPr="005C7810">
        <w:rPr>
          <w:rFonts w:ascii="Book Antiqua" w:hAnsi="Book Antiqua" w:cs="Times New Roman"/>
          <w:color w:val="000000"/>
          <w:sz w:val="24"/>
          <w:szCs w:val="24"/>
          <w:shd w:val="clear" w:color="auto" w:fill="FFFFFF"/>
          <w:lang w:val="en-US"/>
        </w:rPr>
        <w:fldChar w:fldCharType="begin" w:fldLock="1"/>
      </w:r>
      <w:r w:rsidR="003B649A" w:rsidRPr="005C7810">
        <w:rPr>
          <w:rFonts w:ascii="Book Antiqua" w:hAnsi="Book Antiqua" w:cs="Times New Roman"/>
          <w:color w:val="000000"/>
          <w:sz w:val="24"/>
          <w:szCs w:val="24"/>
          <w:shd w:val="clear" w:color="auto" w:fill="FFFFFF"/>
          <w:lang w:val="en-US"/>
        </w:rPr>
        <w:instrText>ADDIN CSL_CITATION {"citationItems":[{"id":"ITEM-1","itemData":{"DOI":"10.1007/s00280-015-2811-y","ISSN":"1432-0843","abstract":"The use of trastuzumab, a monoclonal antibody targeting the HER2 protein, in combination with 5-fluorouracil/platinum-based chemotherapy improves survival in patients with HER2-positive advanced gastric cancer. In addition, TS-one (S-1)/platinum is also used as a standard of care in Asian countries. However, little is known about the combination of S-1/cisplatin chemotherapy and trastuzumab in patients with HER2-positive advanced gastric/gastroesophageal junction (GEJ) cancer.","author":[{"dropping-particle":"","family":"Chua","given":"Clarinda","non-dropping-particle":"","parse-names":false,"suffix":""},{"dropping-particle":"","family":"Tan","given":"Iain Beehuat","non-dropping-particle":"","parse-names":false,"suffix":""},{"dropping-particle":"","family":"Yamada","given":"Yasuhide","non-dropping-particle":"","parse-names":false,"suffix":""},{"dropping-particle":"","family":"Rha","given":"Sun Young","non-dropping-particle":"","parse-names":false,"suffix":""},{"dropping-particle":"","family":"Yong","given":"Wei Peng","non-dropping-particle":"","parse-names":false,"suffix":""},{"dropping-particle":"","family":"Ong","given":"Whee Sze","non-dropping-particle":"","parse-names":false,"suffix":""},{"dropping-particle":"","family":"Tham","given":"Chee Kian","non-dropping-particle":"","parse-names":false,"suffix":""},{"dropping-particle":"","family":"Ng","given":"Matthew","non-dropping-particle":"","parse-names":false,"suffix":""},{"dropping-particle":"","family":"Tai","given":"David W M","non-dropping-particle":"","parse-names":false,"suffix":""},{"dropping-particle":"","family":"Iwasa","given":"Satoru","non-dropping-particle":"","parse-names":false,"suffix":""},{"dropping-particle":"","family":"Lim","given":"Hwee Yong","non-dropping-particle":"","parse-names":false,"suffix":""},{"dropping-particle":"","family":"Choo","given":"Su-Pin","non-dropping-particle":"","parse-names":false,"suffix":""}],"container-title":"Cancer Chemotherapy and Pharmacology","id":"ITEM-1","issue":"2","issued":{"date-parts":[["2015"]]},"page":"397-408","title":"Phase II study of trastuzumab in combination with S-1 and cisplatin in the first-line treatment of human epidermal growth factor receptor HER2-positive advanced gastric cancer","type":"article-journal","volume":"76"},"uris":["http://www.mendeley.com/documents/?uuid=68da3c91-40f9-484a-9013-3454af3f27e8","http://www.mendeley.com/documents/?uuid=d85f1b69-433c-4a17-a8df-3cf302af2cce"]}],"mendeley":{"formattedCitation":"&lt;sup&gt;[125]&lt;/sup&gt;","plainTextFormattedCitation":"[125]","previouslyFormattedCitation":"&lt;sup&gt;[125]&lt;/sup&gt;"},"properties":{"noteIndex":0},"schema":"https://github.com/citation-style-language/schema/raw/master/csl-citation.json"}</w:instrText>
      </w:r>
      <w:r w:rsidR="00327314" w:rsidRPr="005C7810">
        <w:rPr>
          <w:rFonts w:ascii="Book Antiqua" w:hAnsi="Book Antiqua" w:cs="Times New Roman"/>
          <w:color w:val="000000"/>
          <w:sz w:val="24"/>
          <w:szCs w:val="24"/>
          <w:shd w:val="clear" w:color="auto" w:fill="FFFFFF"/>
          <w:lang w:val="en-US"/>
        </w:rPr>
        <w:fldChar w:fldCharType="separate"/>
      </w:r>
      <w:r w:rsidR="00250136" w:rsidRPr="005C7810">
        <w:rPr>
          <w:rFonts w:ascii="Book Antiqua" w:hAnsi="Book Antiqua" w:cs="Times New Roman"/>
          <w:color w:val="000000"/>
          <w:sz w:val="24"/>
          <w:szCs w:val="24"/>
          <w:shd w:val="clear" w:color="auto" w:fill="FFFFFF"/>
          <w:vertAlign w:val="superscript"/>
          <w:lang w:val="en-US"/>
        </w:rPr>
        <w:t>[125]</w:t>
      </w:r>
      <w:r w:rsidR="00327314" w:rsidRPr="005C7810">
        <w:rPr>
          <w:rFonts w:ascii="Book Antiqua" w:hAnsi="Book Antiqua" w:cs="Times New Roman"/>
          <w:color w:val="000000"/>
          <w:sz w:val="24"/>
          <w:szCs w:val="24"/>
          <w:shd w:val="clear" w:color="auto" w:fill="FFFFFF"/>
          <w:lang w:val="en-US"/>
        </w:rPr>
        <w:fldChar w:fldCharType="end"/>
      </w:r>
      <w:r w:rsidR="00B726DA" w:rsidRPr="005C7810">
        <w:rPr>
          <w:rFonts w:ascii="Book Antiqua" w:hAnsi="Book Antiqua" w:cs="Times New Roman"/>
          <w:color w:val="000000"/>
          <w:sz w:val="24"/>
          <w:szCs w:val="24"/>
          <w:shd w:val="clear" w:color="auto" w:fill="FFFFFF"/>
          <w:lang w:val="en-US"/>
        </w:rPr>
        <w:t>.</w:t>
      </w:r>
      <w:r w:rsidR="002625D2" w:rsidRPr="005C7810">
        <w:rPr>
          <w:rFonts w:ascii="Book Antiqua" w:hAnsi="Book Antiqua" w:cs="Times New Roman"/>
          <w:color w:val="000000"/>
          <w:sz w:val="24"/>
          <w:szCs w:val="24"/>
          <w:shd w:val="clear" w:color="auto" w:fill="FFFFFF"/>
          <w:lang w:val="en-US"/>
        </w:rPr>
        <w:t xml:space="preserve"> </w:t>
      </w:r>
      <w:r w:rsidR="008D403C" w:rsidRPr="005C7810">
        <w:rPr>
          <w:rFonts w:ascii="Book Antiqua" w:hAnsi="Book Antiqua" w:cs="Times New Roman"/>
          <w:color w:val="000000"/>
          <w:sz w:val="24"/>
          <w:szCs w:val="24"/>
          <w:shd w:val="clear" w:color="auto" w:fill="FFFFFF"/>
          <w:lang w:val="en-US"/>
        </w:rPr>
        <w:t>I</w:t>
      </w:r>
      <w:r w:rsidR="000C3548" w:rsidRPr="005C7810">
        <w:rPr>
          <w:rFonts w:ascii="Book Antiqua" w:hAnsi="Book Antiqua" w:cs="Times New Roman"/>
          <w:color w:val="000000"/>
          <w:sz w:val="24"/>
          <w:szCs w:val="24"/>
          <w:shd w:val="clear" w:color="auto" w:fill="FFFFFF"/>
          <w:lang w:val="en-US"/>
        </w:rPr>
        <w:t xml:space="preserve">n the </w:t>
      </w:r>
      <w:r w:rsidR="003E1388" w:rsidRPr="005C7810">
        <w:rPr>
          <w:rFonts w:ascii="Book Antiqua" w:hAnsi="Book Antiqua" w:cs="Times New Roman"/>
          <w:color w:val="000000"/>
          <w:sz w:val="24"/>
          <w:szCs w:val="24"/>
          <w:shd w:val="clear" w:color="auto" w:fill="FFFFFF"/>
          <w:lang w:val="en-US"/>
        </w:rPr>
        <w:t xml:space="preserve">GATSBY </w:t>
      </w:r>
      <w:r w:rsidR="000C3548" w:rsidRPr="005C7810">
        <w:rPr>
          <w:rFonts w:ascii="Book Antiqua" w:hAnsi="Book Antiqua" w:cs="Times New Roman"/>
          <w:color w:val="000000"/>
          <w:sz w:val="24"/>
          <w:szCs w:val="24"/>
          <w:shd w:val="clear" w:color="auto" w:fill="FFFFFF"/>
          <w:lang w:val="en-US"/>
        </w:rPr>
        <w:t>multicenter phase II</w:t>
      </w:r>
      <w:r w:rsidR="008D403C" w:rsidRPr="005C7810">
        <w:rPr>
          <w:rFonts w:ascii="Book Antiqua" w:hAnsi="Book Antiqua" w:cs="Times New Roman"/>
          <w:color w:val="000000"/>
          <w:sz w:val="24"/>
          <w:szCs w:val="24"/>
          <w:shd w:val="clear" w:color="auto" w:fill="FFFFFF"/>
          <w:lang w:val="en-US"/>
        </w:rPr>
        <w:t>/</w:t>
      </w:r>
      <w:r w:rsidR="000C3548" w:rsidRPr="005C7810">
        <w:rPr>
          <w:rFonts w:ascii="Book Antiqua" w:hAnsi="Book Antiqua" w:cs="Times New Roman"/>
          <w:color w:val="000000"/>
          <w:sz w:val="24"/>
          <w:szCs w:val="24"/>
          <w:shd w:val="clear" w:color="auto" w:fill="FFFFFF"/>
          <w:lang w:val="en-US"/>
        </w:rPr>
        <w:t xml:space="preserve">III study </w:t>
      </w:r>
      <w:r w:rsidR="003E1388" w:rsidRPr="005C7810">
        <w:rPr>
          <w:rFonts w:ascii="Book Antiqua" w:hAnsi="Book Antiqua" w:cs="Times New Roman"/>
          <w:color w:val="000000"/>
          <w:sz w:val="24"/>
          <w:szCs w:val="24"/>
          <w:shd w:val="clear" w:color="auto" w:fill="FFFFFF"/>
          <w:lang w:val="en-US"/>
        </w:rPr>
        <w:t>(</w:t>
      </w:r>
      <w:r w:rsidR="000C3548" w:rsidRPr="005C7810">
        <w:rPr>
          <w:rFonts w:ascii="Book Antiqua" w:hAnsi="Book Antiqua" w:cs="Times New Roman"/>
          <w:color w:val="000000"/>
          <w:sz w:val="24"/>
          <w:szCs w:val="24"/>
          <w:shd w:val="clear" w:color="auto" w:fill="FFFFFF"/>
          <w:lang w:val="en-US"/>
        </w:rPr>
        <w:t>NCT01641939)</w:t>
      </w:r>
      <w:r w:rsidR="003E1388" w:rsidRPr="005C7810">
        <w:rPr>
          <w:rFonts w:ascii="Book Antiqua" w:hAnsi="Book Antiqua" w:cs="Times New Roman"/>
          <w:color w:val="000000"/>
          <w:sz w:val="24"/>
          <w:szCs w:val="24"/>
          <w:shd w:val="clear" w:color="auto" w:fill="FFFFFF"/>
          <w:lang w:val="en-US"/>
        </w:rPr>
        <w:t>,</w:t>
      </w:r>
      <w:r w:rsidR="000C3548" w:rsidRPr="005C7810">
        <w:rPr>
          <w:rFonts w:ascii="Book Antiqua" w:hAnsi="Book Antiqua" w:cs="Times New Roman"/>
          <w:color w:val="000000"/>
          <w:sz w:val="24"/>
          <w:szCs w:val="24"/>
          <w:shd w:val="clear" w:color="auto" w:fill="FFFFFF"/>
          <w:lang w:val="en-US"/>
        </w:rPr>
        <w:t xml:space="preserve"> the efficacy of trastuzumab emtansine</w:t>
      </w:r>
      <w:r w:rsidR="00A11EED" w:rsidRPr="005C7810">
        <w:rPr>
          <w:rFonts w:ascii="Book Antiqua" w:hAnsi="Book Antiqua" w:cs="Times New Roman"/>
          <w:color w:val="000000"/>
          <w:sz w:val="24"/>
          <w:szCs w:val="24"/>
          <w:shd w:val="clear" w:color="auto" w:fill="FFFFFF"/>
          <w:lang w:val="en-US"/>
        </w:rPr>
        <w:t xml:space="preserve"> was evaluated</w:t>
      </w:r>
      <w:r w:rsidR="000C3548" w:rsidRPr="005C7810">
        <w:rPr>
          <w:rFonts w:ascii="Book Antiqua" w:hAnsi="Book Antiqua" w:cs="Times New Roman"/>
          <w:color w:val="000000"/>
          <w:sz w:val="24"/>
          <w:szCs w:val="24"/>
          <w:shd w:val="clear" w:color="auto" w:fill="FFFFFF"/>
          <w:lang w:val="en-US"/>
        </w:rPr>
        <w:t xml:space="preserve"> in patients with advanced HER2-positive GC </w:t>
      </w:r>
      <w:r w:rsidR="00A11EED" w:rsidRPr="005C7810">
        <w:rPr>
          <w:rFonts w:ascii="Book Antiqua" w:hAnsi="Book Antiqua" w:cs="Times New Roman"/>
          <w:color w:val="000000"/>
          <w:sz w:val="24"/>
          <w:szCs w:val="24"/>
          <w:shd w:val="clear" w:color="auto" w:fill="FFFFFF"/>
          <w:lang w:val="en-US"/>
        </w:rPr>
        <w:t xml:space="preserve">who had </w:t>
      </w:r>
      <w:r w:rsidR="000C3548" w:rsidRPr="005C7810">
        <w:rPr>
          <w:rFonts w:ascii="Book Antiqua" w:hAnsi="Book Antiqua" w:cs="Times New Roman"/>
          <w:color w:val="000000"/>
          <w:sz w:val="24"/>
          <w:szCs w:val="24"/>
          <w:shd w:val="clear" w:color="auto" w:fill="FFFFFF"/>
          <w:lang w:val="en-US"/>
        </w:rPr>
        <w:t xml:space="preserve">already </w:t>
      </w:r>
      <w:r w:rsidR="00A11EED" w:rsidRPr="005C7810">
        <w:rPr>
          <w:rFonts w:ascii="Book Antiqua" w:hAnsi="Book Antiqua" w:cs="Times New Roman"/>
          <w:color w:val="000000"/>
          <w:sz w:val="24"/>
          <w:szCs w:val="24"/>
          <w:shd w:val="clear" w:color="auto" w:fill="FFFFFF"/>
          <w:lang w:val="en-US"/>
        </w:rPr>
        <w:t xml:space="preserve">received </w:t>
      </w:r>
      <w:r w:rsidR="000C3548" w:rsidRPr="005C7810">
        <w:rPr>
          <w:rFonts w:ascii="Book Antiqua" w:hAnsi="Book Antiqua" w:cs="Times New Roman"/>
          <w:color w:val="000000"/>
          <w:sz w:val="24"/>
          <w:szCs w:val="24"/>
          <w:shd w:val="clear" w:color="auto" w:fill="FFFFFF"/>
          <w:lang w:val="en-US"/>
        </w:rPr>
        <w:t>previous</w:t>
      </w:r>
      <w:r w:rsidR="00A11EED" w:rsidRPr="005C7810">
        <w:rPr>
          <w:rFonts w:ascii="Book Antiqua" w:hAnsi="Book Antiqua" w:cs="Times New Roman"/>
          <w:color w:val="000000"/>
          <w:sz w:val="24"/>
          <w:szCs w:val="24"/>
          <w:shd w:val="clear" w:color="auto" w:fill="FFFFFF"/>
          <w:lang w:val="en-US"/>
        </w:rPr>
        <w:t xml:space="preserve"> treatment</w:t>
      </w:r>
      <w:r w:rsidR="000C3548" w:rsidRPr="005C7810">
        <w:rPr>
          <w:rFonts w:ascii="Book Antiqua" w:hAnsi="Book Antiqua" w:cs="Times New Roman"/>
          <w:color w:val="000000"/>
          <w:sz w:val="24"/>
          <w:szCs w:val="24"/>
          <w:shd w:val="clear" w:color="auto" w:fill="FFFFFF"/>
          <w:lang w:val="en-US"/>
        </w:rPr>
        <w:t xml:space="preserve">. The results obtained were not encouraging since treatment with trastuzumab emtansine did not </w:t>
      </w:r>
      <w:r w:rsidR="00A11EED" w:rsidRPr="005C7810">
        <w:rPr>
          <w:rFonts w:ascii="Book Antiqua" w:hAnsi="Book Antiqua" w:cs="Times New Roman"/>
          <w:color w:val="000000"/>
          <w:sz w:val="24"/>
          <w:szCs w:val="24"/>
          <w:shd w:val="clear" w:color="auto" w:fill="FFFFFF"/>
          <w:lang w:val="en-US"/>
        </w:rPr>
        <w:t xml:space="preserve">yield </w:t>
      </w:r>
      <w:r w:rsidR="000C3548" w:rsidRPr="005C7810">
        <w:rPr>
          <w:rFonts w:ascii="Book Antiqua" w:hAnsi="Book Antiqua" w:cs="Times New Roman"/>
          <w:color w:val="000000"/>
          <w:sz w:val="24"/>
          <w:szCs w:val="24"/>
          <w:shd w:val="clear" w:color="auto" w:fill="FFFFFF"/>
          <w:lang w:val="en-US"/>
        </w:rPr>
        <w:t>increases in OS compared to standard treatment with a taxane (docetaxel, paclitaxel)</w:t>
      </w:r>
      <w:r w:rsidR="008D403C" w:rsidRPr="005C7810">
        <w:rPr>
          <w:rFonts w:ascii="Book Antiqua" w:hAnsi="Book Antiqua" w:cs="Times New Roman"/>
          <w:color w:val="000000"/>
          <w:sz w:val="24"/>
          <w:szCs w:val="24"/>
          <w:shd w:val="clear" w:color="auto" w:fill="FFFFFF"/>
          <w:vertAlign w:val="superscript"/>
          <w:lang w:val="en-US"/>
        </w:rPr>
        <w:fldChar w:fldCharType="begin" w:fldLock="1"/>
      </w:r>
      <w:r w:rsidR="008D403C" w:rsidRPr="005C7810">
        <w:rPr>
          <w:rFonts w:ascii="Book Antiqua" w:hAnsi="Book Antiqua" w:cs="Times New Roman"/>
          <w:color w:val="000000"/>
          <w:sz w:val="24"/>
          <w:szCs w:val="24"/>
          <w:shd w:val="clear" w:color="auto" w:fill="FFFFFF"/>
          <w:vertAlign w:val="superscript"/>
          <w:lang w:val="en-US"/>
        </w:rPr>
        <w:instrText>ADDIN CSL_CITATION {"citationItems":[{"id":"ITEM-1","itemData":{"DOI":"10.1016/S1470-2045(17)30111-0","ISSN":"14745488","abstract":"Background Although trastuzumab plus chemotherapy is the standard of care for first-line treatment of HER2-positive advanced gastric cancer, there is no established therapy in the second-line setting. In GATSBY, we examined the efficacy and tolerability of trastuzumab emtansine in patients previously treated for HER2-positive advanced gastric cancer (unresectable, locally advanced, or metastatic gastric cancer, including adenocarcinoma of the gastro-oesophageal junction). Methods This is the final analysis from GATSBY, a randomised, open-label, adaptive, phase 2/3 study, done at 107 centres (28 countries worldwide). Eligible patients had HER2-positive advanced gastric cancer and progressed during or after first-line therapy. In stage one of the trial, patients were randomly assigned to treatment groups (2:2:1) to receive intravenous trastuzumab emtansine (3·6 mg/kg every 3 weeks or 2·4 mg/kg weekly) or physician's choice of a taxane (intravenous docetaxel 75 mg/m 2 every 3 weeks or intravenous paclitaxel 80 mg/m 2 weekly). In stage two, patients were randomly assigned to treatment groups (2:1) to receive the independent data monitoring committee (IDMC)-selected dose of trastuzumab emtansine (2·4 mg/kg weekly) or a taxane (same regimen as above). We used permuted block randomisation, stratified by world region, previous HER2-targeted therapy, and previous gastrectomy. The primary endpoint (overall survival) was assessed in the intention-to-treat population. This study is registered with ClinicalTrials.gov, number NCT01641939. Findings Between Sept 3, 2012, and Oct 14, 2013, 70 patients were assigned to receive trastuzumab emtansine 3·6 mg/kg every 3 weeks, 75 to receive trastuzumab emtansine 2·4 mg/kg weekly, and 37 to receive a taxane in the stage 1 part of the trial. At the pre-planned interim analysis (Oct 14, 2013), the IDMC selected trastuzumab emtansine 2·4 mg/kg weekly as the dose to proceed to stage 2. By Feb 9, 2015, a further 153 patients had been randomly assigned to receive trastuzumab emtansine 2·4 mg/kg weekly and a further 80 to receive a taxane. At data cutoff, median follow-up was 17·5 months (IQR 12·1–23·0) for the trastuzumab emtansine 2·4 mg/kg weekly group and 15·4 months (9·2–18·1) in the taxane group. Median overall survival was 7·9 months (95% CI 6·7–9·5) with trastuzumab emtansine 2·4 mg/kg weekly and 8·6 months (7·1–11·2) with taxane treatment (hazard ratio 1·15, 95% CI 0·87–1·51, one-sided p=0·86). The trastuzumab emtansine 2·4…","author":[{"dropping-particle":"","family":"Thuss-Patience","given":"Peter C.","non-dropping-particle":"","parse-names":false,"suffix":""},{"dropping-particle":"","family":"Shah","given":"Manish A.","non-dropping-particle":"","parse-names":false,"suffix":""},{"dropping-particle":"","family":"Ohtsu","given":"Atsushi","non-dropping-particle":"","parse-names":false,"suffix":""},{"dropping-particle":"","family":"Cutsem","given":"Eric","non-dropping-particle":"Van","parse-names":false,"suffix":""},{"dropping-particle":"","family":"Ajani","given":"Jaffer A.","non-dropping-particle":"","parse-names":false,"suffix":""},{"dropping-particle":"","family":"Castro","given":"Hugo","non-dropping-particle":"","parse-names":false,"suffix":""},{"dropping-particle":"","family":"Mansoor","given":"Wasat","non-dropping-particle":"","parse-names":false,"suffix":""},{"dropping-particle":"","family":"Chung","given":"Hyun Cheol","non-dropping-particle":"","parse-names":false,"suffix":""},{"dropping-particle":"","family":"Bodoky","given":"Gyorgy","non-dropping-particle":"","parse-names":false,"suffix":""},{"dropping-particle":"","family":"Shitara","given":"Kohei","non-dropping-particle":"","parse-names":false,"suffix":""},{"dropping-particle":"","family":"Phillips","given":"Gail D.Lewis","non-dropping-particle":"","parse-names":false,"suffix":""},{"dropping-particle":"","family":"Horst","given":"Tina","non-dropping-particle":"van der","parse-names":false,"suffix":""},{"dropping-particle":"","family":"Harle-Yge","given":"Marie Laurence","non-dropping-particle":"","parse-names":false,"suffix":""},{"dropping-particle":"","family":"Althaus","given":"Betsy L.","non-dropping-particle":"","parse-names":false,"suffix":""},{"dropping-particle":"","family":"Kang","given":"Yoon Koo","non-dropping-particle":"","parse-names":false,"suffix":""}],"container-title":"The Lancet Oncology","id":"ITEM-1","issue":"5","issued":{"date-parts":[["2017"]]},"page":"640-653","publisher":"Elsevier Ltd","title":"Trastuzumab emtansine versus taxane use for previously treated HER2-positive locally advanced or metastatic gastric or gastro-oesophageal junction adenocarcinoma (GATSBY): an international randomised, open-label, adaptive, phase 2/3 study","type":"article-journal","volume":"18"},"uris":["http://www.mendeley.com/documents/?uuid=caf6915e-c0c6-4194-9ef2-3e2fe275bdff"]}],"mendeley":{"formattedCitation":"&lt;sup&gt;[126]&lt;/sup&gt;","plainTextFormattedCitation":"[126]","previouslyFormattedCitation":"&lt;sup&gt;[126]&lt;/sup&gt;"},"properties":{"noteIndex":0},"schema":"https://github.com/citation-style-language/schema/raw/master/csl-citation.json"}</w:instrText>
      </w:r>
      <w:r w:rsidR="008D403C" w:rsidRPr="005C7810">
        <w:rPr>
          <w:rFonts w:ascii="Book Antiqua" w:hAnsi="Book Antiqua" w:cs="Times New Roman"/>
          <w:color w:val="000000"/>
          <w:sz w:val="24"/>
          <w:szCs w:val="24"/>
          <w:shd w:val="clear" w:color="auto" w:fill="FFFFFF"/>
          <w:vertAlign w:val="superscript"/>
          <w:lang w:val="en-US"/>
        </w:rPr>
        <w:fldChar w:fldCharType="separate"/>
      </w:r>
      <w:r w:rsidR="008D403C" w:rsidRPr="005C7810">
        <w:rPr>
          <w:rFonts w:ascii="Book Antiqua" w:hAnsi="Book Antiqua" w:cs="Times New Roman"/>
          <w:color w:val="000000"/>
          <w:sz w:val="24"/>
          <w:szCs w:val="24"/>
          <w:shd w:val="clear" w:color="auto" w:fill="FFFFFF"/>
          <w:vertAlign w:val="superscript"/>
          <w:lang w:val="en-US"/>
        </w:rPr>
        <w:t>[126]</w:t>
      </w:r>
      <w:r w:rsidR="008D403C" w:rsidRPr="005C7810">
        <w:rPr>
          <w:rFonts w:ascii="Book Antiqua" w:hAnsi="Book Antiqua" w:cs="Times New Roman"/>
          <w:color w:val="000000"/>
          <w:sz w:val="24"/>
          <w:szCs w:val="24"/>
          <w:shd w:val="clear" w:color="auto" w:fill="FFFFFF"/>
          <w:vertAlign w:val="superscript"/>
          <w:lang w:val="en-US"/>
        </w:rPr>
        <w:fldChar w:fldCharType="end"/>
      </w:r>
      <w:r w:rsidR="008D403C" w:rsidRPr="005C7810">
        <w:rPr>
          <w:rFonts w:ascii="Book Antiqua" w:hAnsi="Book Antiqua" w:cs="Times New Roman"/>
          <w:color w:val="000000"/>
          <w:sz w:val="24"/>
          <w:szCs w:val="24"/>
          <w:shd w:val="clear" w:color="auto" w:fill="FFFFFF"/>
          <w:lang w:val="en-US"/>
        </w:rPr>
        <w:t xml:space="preserve">. </w:t>
      </w:r>
    </w:p>
    <w:p w:rsidR="001D2F71" w:rsidRPr="005C7810" w:rsidRDefault="00B8125B" w:rsidP="00CD380F">
      <w:pPr>
        <w:shd w:val="clear" w:color="auto" w:fill="FFFFFF"/>
        <w:snapToGrid w:val="0"/>
        <w:spacing w:after="0" w:line="360" w:lineRule="auto"/>
        <w:ind w:firstLine="708"/>
        <w:jc w:val="both"/>
        <w:rPr>
          <w:rFonts w:ascii="Book Antiqua" w:hAnsi="Book Antiqua" w:cs="Times New Roman"/>
          <w:color w:val="000000"/>
          <w:sz w:val="24"/>
          <w:szCs w:val="24"/>
          <w:lang w:val="en-US"/>
        </w:rPr>
      </w:pPr>
      <w:r w:rsidRPr="005C7810">
        <w:rPr>
          <w:rFonts w:ascii="Book Antiqua" w:hAnsi="Book Antiqua" w:cs="Times New Roman"/>
          <w:sz w:val="24"/>
          <w:szCs w:val="24"/>
          <w:lang w:val="en-US"/>
        </w:rPr>
        <w:t>Other agents that target HER2, such as pertuzumab</w:t>
      </w:r>
      <w:r w:rsidR="002625D2" w:rsidRPr="005C7810">
        <w:rPr>
          <w:rFonts w:ascii="Book Antiqua" w:hAnsi="Book Antiqua" w:cs="Times New Roman"/>
          <w:sz w:val="24"/>
          <w:szCs w:val="24"/>
          <w:lang w:val="en-US"/>
        </w:rPr>
        <w:t xml:space="preserve"> </w:t>
      </w:r>
      <w:r w:rsidR="0094473D" w:rsidRPr="005C7810">
        <w:rPr>
          <w:rFonts w:ascii="Book Antiqua" w:hAnsi="Book Antiqua" w:cs="Times New Roman"/>
          <w:sz w:val="24"/>
          <w:szCs w:val="24"/>
          <w:lang w:val="en-US"/>
        </w:rPr>
        <w:t xml:space="preserve">and </w:t>
      </w:r>
      <w:r w:rsidRPr="005C7810">
        <w:rPr>
          <w:rFonts w:ascii="Book Antiqua" w:hAnsi="Book Antiqua" w:cs="Times New Roman"/>
          <w:sz w:val="24"/>
          <w:szCs w:val="24"/>
          <w:lang w:val="en-US"/>
        </w:rPr>
        <w:t>lapatinib</w:t>
      </w:r>
      <w:r w:rsidR="0094473D"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have been used in clinical trials in patients with </w:t>
      </w:r>
      <w:r w:rsidR="008048BA" w:rsidRPr="005C7810">
        <w:rPr>
          <w:rFonts w:ascii="Book Antiqua" w:hAnsi="Book Antiqua" w:cs="Times New Roman"/>
          <w:sz w:val="24"/>
          <w:szCs w:val="24"/>
          <w:lang w:val="en-US"/>
        </w:rPr>
        <w:t xml:space="preserve">advanced </w:t>
      </w:r>
      <w:r w:rsidRPr="005C7810">
        <w:rPr>
          <w:rFonts w:ascii="Book Antiqua" w:hAnsi="Book Antiqua" w:cs="Times New Roman"/>
          <w:sz w:val="24"/>
          <w:szCs w:val="24"/>
          <w:lang w:val="en-US"/>
        </w:rPr>
        <w:t>GC and HER2 overexpression.</w:t>
      </w:r>
      <w:r w:rsidR="00212DDC" w:rsidRPr="005C7810">
        <w:rPr>
          <w:rFonts w:ascii="Book Antiqua" w:hAnsi="Book Antiqua" w:cs="Times New Roman"/>
          <w:sz w:val="24"/>
          <w:szCs w:val="24"/>
          <w:lang w:val="en-US"/>
        </w:rPr>
        <w:t xml:space="preserve"> One study</w:t>
      </w:r>
      <w:r w:rsidR="004D61F1" w:rsidRPr="005C7810">
        <w:rPr>
          <w:rFonts w:ascii="Book Antiqua" w:hAnsi="Book Antiqua" w:cs="Times New Roman"/>
          <w:sz w:val="24"/>
          <w:szCs w:val="24"/>
          <w:lang w:val="en-US"/>
        </w:rPr>
        <w:t xml:space="preserve"> (JACOB, </w:t>
      </w:r>
      <w:r w:rsidR="004D61F1" w:rsidRPr="005C7810">
        <w:rPr>
          <w:rFonts w:ascii="Book Antiqua" w:hAnsi="Book Antiqua" w:cs="Times New Roman"/>
          <w:sz w:val="24"/>
          <w:szCs w:val="24"/>
          <w:shd w:val="clear" w:color="auto" w:fill="FFFFFF"/>
          <w:lang w:val="en-US"/>
        </w:rPr>
        <w:t>NCT01774786</w:t>
      </w:r>
      <w:r w:rsidR="004D61F1" w:rsidRPr="005C7810">
        <w:rPr>
          <w:rFonts w:ascii="Book Antiqua" w:hAnsi="Book Antiqua" w:cs="Times New Roman"/>
          <w:sz w:val="24"/>
          <w:szCs w:val="24"/>
          <w:lang w:val="en-US"/>
        </w:rPr>
        <w:t>)</w:t>
      </w:r>
      <w:r w:rsidR="00212DDC" w:rsidRPr="005C7810">
        <w:rPr>
          <w:rFonts w:ascii="Book Antiqua" w:hAnsi="Book Antiqua" w:cs="Times New Roman"/>
          <w:sz w:val="24"/>
          <w:szCs w:val="24"/>
          <w:lang w:val="en-US"/>
        </w:rPr>
        <w:t xml:space="preserve"> was performed with pertuzumab, trastuzumab</w:t>
      </w:r>
      <w:r w:rsidR="004A6501" w:rsidRPr="005C7810">
        <w:rPr>
          <w:rFonts w:ascii="Book Antiqua" w:hAnsi="Book Antiqua" w:cs="Times New Roman"/>
          <w:sz w:val="24"/>
          <w:szCs w:val="24"/>
          <w:lang w:val="en-US"/>
        </w:rPr>
        <w:t>,</w:t>
      </w:r>
      <w:r w:rsidR="00212DDC" w:rsidRPr="005C7810">
        <w:rPr>
          <w:rFonts w:ascii="Book Antiqua" w:hAnsi="Book Antiqua" w:cs="Times New Roman"/>
          <w:sz w:val="24"/>
          <w:szCs w:val="24"/>
          <w:lang w:val="en-US"/>
        </w:rPr>
        <w:t xml:space="preserve"> and chemotherapy in patients with untreated HER2-positive metastatic GC. This </w:t>
      </w:r>
      <w:r w:rsidR="00393263" w:rsidRPr="005C7810">
        <w:rPr>
          <w:rFonts w:ascii="Book Antiqua" w:hAnsi="Book Antiqua" w:cs="Times New Roman"/>
          <w:sz w:val="24"/>
          <w:szCs w:val="24"/>
          <w:lang w:val="en-US"/>
        </w:rPr>
        <w:t xml:space="preserve">trial </w:t>
      </w:r>
      <w:r w:rsidR="0094473D" w:rsidRPr="005C7810">
        <w:rPr>
          <w:rFonts w:ascii="Book Antiqua" w:hAnsi="Book Antiqua" w:cs="Times New Roman"/>
          <w:sz w:val="24"/>
          <w:szCs w:val="24"/>
          <w:lang w:val="en-US"/>
        </w:rPr>
        <w:t xml:space="preserve">was </w:t>
      </w:r>
      <w:r w:rsidR="00212DDC" w:rsidRPr="005C7810">
        <w:rPr>
          <w:rFonts w:ascii="Book Antiqua" w:hAnsi="Book Antiqua" w:cs="Times New Roman"/>
          <w:sz w:val="24"/>
          <w:szCs w:val="24"/>
          <w:lang w:val="en-US"/>
        </w:rPr>
        <w:t xml:space="preserve">the first </w:t>
      </w:r>
      <w:r w:rsidR="0094473D" w:rsidRPr="005C7810">
        <w:rPr>
          <w:rFonts w:ascii="Book Antiqua" w:hAnsi="Book Antiqua" w:cs="Times New Roman"/>
          <w:sz w:val="24"/>
          <w:szCs w:val="24"/>
          <w:lang w:val="en-US"/>
        </w:rPr>
        <w:t xml:space="preserve">to </w:t>
      </w:r>
      <w:r w:rsidR="00212DDC" w:rsidRPr="005C7810">
        <w:rPr>
          <w:rFonts w:ascii="Book Antiqua" w:hAnsi="Book Antiqua" w:cs="Times New Roman"/>
          <w:sz w:val="24"/>
          <w:szCs w:val="24"/>
          <w:lang w:val="en-US"/>
        </w:rPr>
        <w:t xml:space="preserve">investigate the </w:t>
      </w:r>
      <w:r w:rsidR="0094473D" w:rsidRPr="005C7810">
        <w:rPr>
          <w:rFonts w:ascii="Book Antiqua" w:hAnsi="Book Antiqua" w:cs="Times New Roman"/>
          <w:sz w:val="24"/>
          <w:szCs w:val="24"/>
          <w:lang w:val="en-US"/>
        </w:rPr>
        <w:t>dual antibody blockade</w:t>
      </w:r>
      <w:r w:rsidR="00212DDC" w:rsidRPr="005C7810">
        <w:rPr>
          <w:rFonts w:ascii="Book Antiqua" w:hAnsi="Book Antiqua" w:cs="Times New Roman"/>
          <w:sz w:val="24"/>
          <w:szCs w:val="24"/>
          <w:lang w:val="en-US"/>
        </w:rPr>
        <w:t xml:space="preserve"> of HER2. Unfortunately</w:t>
      </w:r>
      <w:r w:rsidR="004A6501" w:rsidRPr="005C7810">
        <w:rPr>
          <w:rFonts w:ascii="Book Antiqua" w:hAnsi="Book Antiqua" w:cs="Times New Roman"/>
          <w:sz w:val="24"/>
          <w:szCs w:val="24"/>
          <w:lang w:val="en-US"/>
        </w:rPr>
        <w:t>,</w:t>
      </w:r>
      <w:r w:rsidR="00212DDC" w:rsidRPr="005C7810">
        <w:rPr>
          <w:rFonts w:ascii="Book Antiqua" w:hAnsi="Book Antiqua" w:cs="Times New Roman"/>
          <w:sz w:val="24"/>
          <w:szCs w:val="24"/>
          <w:lang w:val="en-US"/>
        </w:rPr>
        <w:t xml:space="preserve"> no</w:t>
      </w:r>
      <w:r w:rsidR="00393263" w:rsidRPr="005C7810">
        <w:rPr>
          <w:rFonts w:ascii="Book Antiqua" w:hAnsi="Book Antiqua" w:cs="Times New Roman"/>
          <w:sz w:val="24"/>
          <w:szCs w:val="24"/>
          <w:lang w:val="en-US"/>
        </w:rPr>
        <w:t xml:space="preserve"> significant </w:t>
      </w:r>
      <w:r w:rsidR="00212DDC" w:rsidRPr="005C7810">
        <w:rPr>
          <w:rFonts w:ascii="Book Antiqua" w:hAnsi="Book Antiqua" w:cs="Times New Roman"/>
          <w:sz w:val="24"/>
          <w:szCs w:val="24"/>
          <w:lang w:val="en-US"/>
        </w:rPr>
        <w:t xml:space="preserve">improvement </w:t>
      </w:r>
      <w:r w:rsidR="007312F9" w:rsidRPr="005C7810">
        <w:rPr>
          <w:rFonts w:ascii="Book Antiqua" w:hAnsi="Book Antiqua" w:cs="Times New Roman"/>
          <w:sz w:val="24"/>
          <w:szCs w:val="24"/>
          <w:lang w:val="en-US"/>
        </w:rPr>
        <w:t>in</w:t>
      </w:r>
      <w:r w:rsidR="00212DDC" w:rsidRPr="005C7810">
        <w:rPr>
          <w:rFonts w:ascii="Book Antiqua" w:hAnsi="Book Antiqua" w:cs="Times New Roman"/>
          <w:sz w:val="24"/>
          <w:szCs w:val="24"/>
          <w:lang w:val="en-US"/>
        </w:rPr>
        <w:t xml:space="preserve"> OS was observed in the </w:t>
      </w:r>
      <w:r w:rsidR="0094473D" w:rsidRPr="005C7810">
        <w:rPr>
          <w:rFonts w:ascii="Book Antiqua" w:hAnsi="Book Antiqua" w:cs="Times New Roman"/>
          <w:sz w:val="24"/>
          <w:szCs w:val="24"/>
          <w:lang w:val="en-US"/>
        </w:rPr>
        <w:t>dual blockade</w:t>
      </w:r>
      <w:r w:rsidR="00212DDC" w:rsidRPr="005C7810">
        <w:rPr>
          <w:rFonts w:ascii="Book Antiqua" w:hAnsi="Book Antiqua" w:cs="Times New Roman"/>
          <w:sz w:val="24"/>
          <w:szCs w:val="24"/>
          <w:lang w:val="en-US"/>
        </w:rPr>
        <w:t xml:space="preserve"> group</w:t>
      </w:r>
      <w:r w:rsidR="00327314" w:rsidRPr="005C7810">
        <w:rPr>
          <w:rFonts w:ascii="Book Antiqua" w:hAnsi="Book Antiqua" w:cs="Times New Roman"/>
          <w:sz w:val="24"/>
          <w:szCs w:val="24"/>
          <w:lang w:val="en-US"/>
        </w:rPr>
        <w:fldChar w:fldCharType="begin" w:fldLock="1"/>
      </w:r>
      <w:r w:rsidR="00280006" w:rsidRPr="005C7810">
        <w:rPr>
          <w:rFonts w:ascii="Book Antiqua" w:hAnsi="Book Antiqua" w:cs="Times New Roman"/>
          <w:sz w:val="24"/>
          <w:szCs w:val="24"/>
          <w:lang w:val="en-US"/>
        </w:rPr>
        <w:instrText>ADDIN CSL_CITATION {"citationItems":[{"id":"ITEM-1","itemData":{"DOI":"10.1016/S1470-2045(18)30481-9","ISSN":"14745488","PMID":"30217672","abstract":"Background: Adding pertuzumab to trastuzumab and chemotherapy improves survival in HER2-positive early breast cancer and metastatic breast cancer. We assessed the efficacy and safety of pertuzumab versus placebo in combination with trastuzumab and chemotherapy in first-line HER2-positive metastatic gastric or gastro-oesophageal junction cancer. Methods: JACOB was a double-blind, placebo-controlled, randomised, multicentre, phase 3 trial in patients aged 18 years or older with HER2-positive metastatic gastric or gastro-oesophageal junction cancer. Eligible patients had measurable or evaluable non-measurable disease at baseline, Eastern Cooperative Oncology Group performance status of 0 or 1, and baseline left ventricular ejection fraction of 55% or more. Patients at 197 oncology clinics (in 30 countries) were randomly assigned (1:1) to receive either pertuzumab (840 mg intravenously) or placebo every 3 weeks, with trastuzumab (8 mg/kg loading dose, then 6 mg/kg every 3 weeks intravenously), plus chemotherapy (cisplatin 80 mg/m2 every 3 weeks intravenously, oral capecitabine 1000 mg/m2 twice a day [2000 mg/m2 every 24 h] for 28 doses every 3 weeks, or 5-fluorouracil 800 mg/m2 every 24 h intravenously [120 h continuous infusion] every 3 weeks). Randomisation was by a central permuted block randomisation scheme (block size of 4) with an interactive voice or web response system, stratified by geographical region, previous gastrectomy, and HER2 positivity. The primary endpoint was overall survival in the intention-to-treat population. This trial is registered with Clinicaltrials.gov, number NCT01774786 (ongoing, but closed to enrolment). Findings: Between June 10, 2013, and Jan 12, 2016, of 3287 patients assessed, 780 eligible patients were randomly assigned to receive either pertuzumab plus trastuzumab and chemotherapy (pertuzumab group, n=388) or placebo plus trastuzumab and chemotherapy (control group, n=392). Median duration of follow-up was 24·4 months (95% CI 22·3–26·1) in the pertuzumab group and 25·0 months (22·3–28·9) in the control group. After 242 deaths in the pertuzumab group and 262 deaths in the control group (the study was not stopped at this point), overall survival was not significantly different between treatment groups (median overall survival 17·5 months [95% CI 16·2–19·3] in the pertuzumab group and 14·2 months [12·9–15·5] in the control group; hazard ratio 0·84 [95% CI 0·71–1·00]; p=0·057). Serious adverse events occurred in 175 (45%) o…","author":[{"dropping-particle":"","family":"Tabernero","given":"Josep","non-dropping-particle":"","parse-names":false,"suffix":""},{"dropping-particle":"","family":"Hoff","given":"Paulo M.","non-dropping-particle":"","parse-names":false,"suffix":""},{"dropping-particle":"","family":"Shen","given":"Lin","non-dropping-particle":"","parse-names":false,"suffix":""},{"dropping-particle":"","family":"Ohtsu","given":"Atsushi","non-dropping-particle":"","parse-names":false,"suffix":""},{"dropping-particle":"","family":"Shah","given":"Manish A.","non-dropping-particle":"","parse-names":false,"suffix":""},{"dropping-particle":"","family":"Cheng","given":"Karen","non-dropping-particle":"","parse-names":false,"suffix":""},{"dropping-particle":"","family":"Song","given":"Chunyan","non-dropping-particle":"","parse-names":false,"suffix":""},{"dropping-particle":"","family":"Wu","given":"Haiyan","non-dropping-particle":"","parse-names":false,"suffix":""},{"dropping-particle":"","family":"Eng-Wong","given":"Jennifer","non-dropping-particle":"","parse-names":false,"suffix":""},{"dropping-particle":"","family":"Kim","given":"Katherine","non-dropping-particle":"","parse-names":false,"suffix":""},{"dropping-particle":"","family":"Kang","given":"Yoon Koo","non-dropping-particle":"","parse-names":false,"suffix":""}],"container-title":"The Lancet Oncology","id":"ITEM-1","issue":"10","issued":{"date-parts":[["2018"]]},"page":"1372-1384","publisher":"Elsevier Ltd","title":"Pertuzumab plus trastuzumab and chemotherapy for HER2-positive metastatic gastric or gastro-oesophageal junction cancer (JACOB): final analysis of a double-blind, randomised, placebo-controlled phase 3 study","type":"article-journal","volume":"19"},"uris":["http://www.mendeley.com/documents/?uuid=1e0b3ad3-d785-4190-b912-717222bd0f82","http://www.mendeley.com/documents/?uuid=75de8c61-442b-4001-a42e-bc732e5c6080"]}],"mendeley":{"formattedCitation":"&lt;sup&gt;[127]&lt;/sup&gt;","plainTextFormattedCitation":"[127]","previouslyFormattedCitation":"&lt;sup&gt;[127]&lt;/sup&gt;"},"properties":{"noteIndex":0},"schema":"https://github.com/citation-style-language/schema/raw/master/csl-citation.json"}</w:instrText>
      </w:r>
      <w:r w:rsidR="00327314" w:rsidRPr="005C7810">
        <w:rPr>
          <w:rFonts w:ascii="Book Antiqua" w:hAnsi="Book Antiqua" w:cs="Times New Roman"/>
          <w:sz w:val="24"/>
          <w:szCs w:val="24"/>
          <w:lang w:val="en-US"/>
        </w:rPr>
        <w:fldChar w:fldCharType="separate"/>
      </w:r>
      <w:r w:rsidR="008D403C" w:rsidRPr="005C7810">
        <w:rPr>
          <w:rFonts w:ascii="Book Antiqua" w:hAnsi="Book Antiqua" w:cs="Times New Roman"/>
          <w:sz w:val="24"/>
          <w:szCs w:val="24"/>
          <w:vertAlign w:val="superscript"/>
          <w:lang w:val="en-US"/>
        </w:rPr>
        <w:t>[127]</w:t>
      </w:r>
      <w:r w:rsidR="00327314" w:rsidRPr="005C7810">
        <w:rPr>
          <w:rFonts w:ascii="Book Antiqua" w:hAnsi="Book Antiqua" w:cs="Times New Roman"/>
          <w:sz w:val="24"/>
          <w:szCs w:val="24"/>
          <w:lang w:val="en-US"/>
        </w:rPr>
        <w:fldChar w:fldCharType="end"/>
      </w:r>
      <w:r w:rsidR="00212DDC" w:rsidRPr="005C7810">
        <w:rPr>
          <w:rFonts w:ascii="Book Antiqua" w:hAnsi="Book Antiqua" w:cs="Times New Roman"/>
          <w:sz w:val="24"/>
          <w:szCs w:val="24"/>
          <w:lang w:val="en-US"/>
        </w:rPr>
        <w:t>.</w:t>
      </w:r>
      <w:r w:rsidR="0076470E" w:rsidRPr="005C7810">
        <w:rPr>
          <w:rFonts w:ascii="Book Antiqua" w:hAnsi="Book Antiqua" w:cs="Times New Roman"/>
          <w:sz w:val="24"/>
          <w:szCs w:val="24"/>
          <w:lang w:val="en-US"/>
        </w:rPr>
        <w:t xml:space="preserve"> </w:t>
      </w:r>
      <w:r w:rsidR="009E19AF" w:rsidRPr="005C7810">
        <w:rPr>
          <w:rFonts w:ascii="Book Antiqua" w:hAnsi="Book Antiqua" w:cs="Times New Roman"/>
          <w:sz w:val="24"/>
          <w:szCs w:val="24"/>
          <w:lang w:val="en-US"/>
        </w:rPr>
        <w:t xml:space="preserve">The </w:t>
      </w:r>
      <w:r w:rsidR="00671A97" w:rsidRPr="005C7810">
        <w:rPr>
          <w:rFonts w:ascii="Book Antiqua" w:hAnsi="Book Antiqua" w:cs="Times New Roman"/>
          <w:sz w:val="24"/>
          <w:szCs w:val="24"/>
          <w:lang w:val="en-US"/>
        </w:rPr>
        <w:t xml:space="preserve">clinical </w:t>
      </w:r>
      <w:r w:rsidR="009E19AF" w:rsidRPr="005C7810">
        <w:rPr>
          <w:rFonts w:ascii="Book Antiqua" w:hAnsi="Book Antiqua" w:cs="Times New Roman"/>
          <w:sz w:val="24"/>
          <w:szCs w:val="24"/>
          <w:lang w:val="en-US"/>
        </w:rPr>
        <w:t xml:space="preserve">trial </w:t>
      </w:r>
      <w:r w:rsidR="004D61F1" w:rsidRPr="005C7810">
        <w:rPr>
          <w:rFonts w:ascii="Book Antiqua" w:hAnsi="Book Antiqua" w:cs="Times New Roman"/>
          <w:sz w:val="24"/>
          <w:szCs w:val="24"/>
          <w:lang w:val="en-US"/>
        </w:rPr>
        <w:t>(TRIO-013/LOGiC, NCT00680901</w:t>
      </w:r>
      <w:r w:rsidR="004945AD" w:rsidRPr="005C7810">
        <w:rPr>
          <w:rFonts w:ascii="Book Antiqua" w:hAnsi="Book Antiqua" w:cs="Times New Roman"/>
          <w:sz w:val="24"/>
          <w:szCs w:val="24"/>
          <w:lang w:val="en-US"/>
        </w:rPr>
        <w:t>)</w:t>
      </w:r>
      <w:r w:rsidR="004D61F1" w:rsidRPr="005C7810">
        <w:rPr>
          <w:rFonts w:ascii="Book Antiqua" w:hAnsi="Book Antiqua" w:cs="Times New Roman"/>
          <w:sz w:val="24"/>
          <w:szCs w:val="24"/>
          <w:lang w:val="en-US"/>
        </w:rPr>
        <w:t xml:space="preserve"> </w:t>
      </w:r>
      <w:r w:rsidR="009E19AF" w:rsidRPr="005C7810">
        <w:rPr>
          <w:rFonts w:ascii="Book Antiqua" w:hAnsi="Book Antiqua" w:cs="Times New Roman"/>
          <w:sz w:val="24"/>
          <w:szCs w:val="24"/>
          <w:lang w:val="en-US"/>
        </w:rPr>
        <w:t xml:space="preserve">performed with lapatinib in combination with oxaliplatin and capecitabine did not produce significant results in </w:t>
      </w:r>
      <w:r w:rsidR="009E19AF" w:rsidRPr="005C7810">
        <w:rPr>
          <w:rFonts w:ascii="Book Antiqua" w:hAnsi="Book Antiqua" w:cs="Times New Roman"/>
          <w:sz w:val="24"/>
          <w:szCs w:val="24"/>
          <w:lang w:val="en-US"/>
        </w:rPr>
        <w:lastRenderedPageBreak/>
        <w:t>terms of OS</w:t>
      </w:r>
      <w:r w:rsidR="00327314" w:rsidRPr="005C7810">
        <w:rPr>
          <w:rFonts w:ascii="Book Antiqua" w:hAnsi="Book Antiqua" w:cs="Times New Roman"/>
          <w:sz w:val="24"/>
          <w:szCs w:val="24"/>
          <w:lang w:val="en-US"/>
        </w:rPr>
        <w:fldChar w:fldCharType="begin" w:fldLock="1"/>
      </w:r>
      <w:r w:rsidR="00280006" w:rsidRPr="005C7810">
        <w:rPr>
          <w:rFonts w:ascii="Book Antiqua" w:hAnsi="Book Antiqua" w:cs="Times New Roman"/>
          <w:sz w:val="24"/>
          <w:szCs w:val="24"/>
          <w:lang w:val="en-US"/>
        </w:rPr>
        <w:instrText>ADDIN CSL_CITATION {"citationItems":[{"id":"ITEM-1","itemData":{"DOI":"10.1200/jco.2015.62.6598","ISSN":"0732-183X","PMID":"26628478","author":[{"dropping-particle":"","family":"Press","given":"Michael F.","non-dropping-particle":"","parse-names":false,"suffix":""},{"dropping-particle":"","family":"Chung","given":"Hyun C.","non-dropping-particle":"","parse-names":false,"suffix":""},{"dropping-particle":"","family":"Park","given":"Joon O.","non-dropping-particle":"","parse-names":false,"suffix":""},{"dropping-particle":"","family":"Afenjar","given":"Karen","non-dropping-particle":"","parse-names":false,"suffix":""},{"dropping-particle":"","family":"Bang","given":"Yung-Jue","non-dropping-particle":"","parse-names":false,"suffix":""},{"dropping-particle":"","family":"Hecht","given":"J. Randolph","non-dropping-particle":"","parse-names":false,"suffix":""},{"dropping-particle":"","family":"Slamon","given":"Dennis","non-dropping-particle":"","parse-names":false,"suffix":""},{"dropping-particle":"","family":"Xu","given":"Jianming M.","non-dropping-particle":"","parse-names":false,"suffix":""},{"dropping-particle":"","family":"Sobrero","given":"Alberto","non-dropping-particle":"","parse-names":false,"suffix":""},{"dropping-particle":"","family":"Shparyk","given":"Yaroslav","non-dropping-particle":"","parse-names":false,"suffix":""},{"dropping-particle":"","family":"Jeziorski","given":"Krzysztof","non-dropping-particle":"","parse-names":false,"suffix":""},{"dropping-particle":"","family":"Qin","given":"Shukui K.","non-dropping-particle":"","parse-names":false,"suffix":""},{"dropping-particle":"","family":"Buyse","given":"Marc","non-dropping-particle":"","parse-names":false,"suffix":""},{"dropping-particle":"","family":"Wainberg","given":"Zev A.","non-dropping-particle":"","parse-names":false,"suffix":""},{"dropping-particle":"","family":"Hoff","given":"Paulo M.","non-dropping-particle":"","parse-names":false,"suffix":""},{"dropping-particle":"","family":"Houé","given":"Vincent","non-dropping-particle":"","parse-names":false,"suffix":""},{"dropping-particle":"","family":"Li","given":"Jin","non-dropping-particle":"","parse-names":false,"suffix":""},{"dropping-particle":"","family":"Kaneko","given":"Tomomi","non-dropping-particle":"","parse-names":false,"suffix":""},{"dropping-particle":"","family":"Huang","given":"Yingjie","non-dropping-particle":"","parse-names":false,"suffix":""},{"dropping-particle":"","family":"Santillana","given":"Sergio","non-dropping-particle":"","parse-names":false,"suffix":""},{"dropping-particle":"","family":"Protsenko","given":"Svetlana A.","non-dropping-particle":"","parse-names":false,"suffix":""},{"dropping-particle":"","family":"Garcia","given":"Agathe","non-dropping-particle":"","parse-names":false,"suffix":""},{"dropping-particle":"","family":"Khan-Wasti","given":"Saba","non-dropping-particle":"","parse-names":false,"suffix":""},{"dropping-particle":"","family":"Salman","given":"Pamela","non-dropping-particle":"","parse-names":false,"suffix":""}],"container-title":"Journal of Clinical Oncology","id":"ITEM-1","issue":"5","issued":{"date-parts":[["2015"]]},"page":"443-451","title":"Lapatinib in Combination With Capecitabine Plus Oxaliplatin in Human Epidermal Growth Factor Receptor 2–Positive Advanced or Metastatic Gastric, Esophageal, or Gastroesophageal Adenocarcinoma: TRIO-013/LOGiC—A Randomized Phase III Trial","type":"article-journal","volume":"34"},"uris":["http://www.mendeley.com/documents/?uuid=59d3b879-cedb-4c2b-83cc-46719d16acaf","http://www.mendeley.com/documents/?uuid=70a10feb-93a8-49b0-99e0-b56a386f3e02"]}],"mendeley":{"formattedCitation":"&lt;sup&gt;[128]&lt;/sup&gt;","plainTextFormattedCitation":"[128]","previouslyFormattedCitation":"&lt;sup&gt;[128]&lt;/sup&gt;"},"properties":{"noteIndex":0},"schema":"https://github.com/citation-style-language/schema/raw/master/csl-citation.json"}</w:instrText>
      </w:r>
      <w:r w:rsidR="00327314" w:rsidRPr="005C7810">
        <w:rPr>
          <w:rFonts w:ascii="Book Antiqua" w:hAnsi="Book Antiqua" w:cs="Times New Roman"/>
          <w:sz w:val="24"/>
          <w:szCs w:val="24"/>
          <w:lang w:val="en-US"/>
        </w:rPr>
        <w:fldChar w:fldCharType="separate"/>
      </w:r>
      <w:r w:rsidR="008D403C" w:rsidRPr="005C7810">
        <w:rPr>
          <w:rFonts w:ascii="Book Antiqua" w:hAnsi="Book Antiqua" w:cs="Times New Roman"/>
          <w:sz w:val="24"/>
          <w:szCs w:val="24"/>
          <w:vertAlign w:val="superscript"/>
          <w:lang w:val="en-US"/>
        </w:rPr>
        <w:t>[128]</w:t>
      </w:r>
      <w:r w:rsidR="00327314" w:rsidRPr="005C7810">
        <w:rPr>
          <w:rFonts w:ascii="Book Antiqua" w:hAnsi="Book Antiqua" w:cs="Times New Roman"/>
          <w:sz w:val="24"/>
          <w:szCs w:val="24"/>
          <w:lang w:val="en-US"/>
        </w:rPr>
        <w:fldChar w:fldCharType="end"/>
      </w:r>
      <w:r w:rsidR="009E19AF" w:rsidRPr="005C7810">
        <w:rPr>
          <w:rFonts w:ascii="Book Antiqua" w:hAnsi="Book Antiqua" w:cs="Times New Roman"/>
          <w:sz w:val="24"/>
          <w:szCs w:val="24"/>
          <w:lang w:val="en-US"/>
        </w:rPr>
        <w:t>.</w:t>
      </w:r>
      <w:r w:rsidR="007C5F88" w:rsidRPr="005C7810">
        <w:rPr>
          <w:rFonts w:ascii="Book Antiqua" w:hAnsi="Book Antiqua" w:cs="Times New Roman"/>
          <w:sz w:val="24"/>
          <w:szCs w:val="24"/>
          <w:lang w:val="en-US"/>
        </w:rPr>
        <w:t xml:space="preserve"> </w:t>
      </w:r>
      <w:r w:rsidR="00B530C0" w:rsidRPr="005C7810">
        <w:rPr>
          <w:rFonts w:ascii="Book Antiqua" w:hAnsi="Book Antiqua" w:cs="Times New Roman"/>
          <w:sz w:val="24"/>
          <w:szCs w:val="24"/>
          <w:lang w:val="en-US"/>
        </w:rPr>
        <w:t>A parallel study o</w:t>
      </w:r>
      <w:r w:rsidR="006807E6" w:rsidRPr="005C7810">
        <w:rPr>
          <w:rFonts w:ascii="Book Antiqua" w:hAnsi="Book Antiqua" w:cs="Times New Roman"/>
          <w:sz w:val="24"/>
          <w:szCs w:val="24"/>
          <w:lang w:val="en-US"/>
        </w:rPr>
        <w:t>f</w:t>
      </w:r>
      <w:r w:rsidR="00B530C0" w:rsidRPr="005C7810">
        <w:rPr>
          <w:rFonts w:ascii="Book Antiqua" w:hAnsi="Book Antiqua" w:cs="Times New Roman"/>
          <w:sz w:val="24"/>
          <w:szCs w:val="24"/>
          <w:lang w:val="en-US"/>
        </w:rPr>
        <w:t xml:space="preserve"> biomarkers was conducted using immunohistochemistry and NGS. The most common alteration found in HER2-positive patients was amplification of </w:t>
      </w:r>
      <w:r w:rsidR="00B530C0" w:rsidRPr="005C7810">
        <w:rPr>
          <w:rFonts w:ascii="Book Antiqua" w:hAnsi="Book Antiqua" w:cs="Times New Roman"/>
          <w:i/>
          <w:sz w:val="24"/>
          <w:szCs w:val="24"/>
          <w:lang w:val="en-US"/>
        </w:rPr>
        <w:t>CCNE1</w:t>
      </w:r>
      <w:r w:rsidR="00B530C0" w:rsidRPr="005C7810">
        <w:rPr>
          <w:rFonts w:ascii="Book Antiqua" w:hAnsi="Book Antiqua" w:cs="Times New Roman"/>
          <w:sz w:val="24"/>
          <w:szCs w:val="24"/>
          <w:lang w:val="en-US"/>
        </w:rPr>
        <w:t>, which correlate</w:t>
      </w:r>
      <w:r w:rsidR="006807E6" w:rsidRPr="005C7810">
        <w:rPr>
          <w:rFonts w:ascii="Book Antiqua" w:hAnsi="Book Antiqua" w:cs="Times New Roman"/>
          <w:sz w:val="24"/>
          <w:szCs w:val="24"/>
          <w:lang w:val="en-US"/>
        </w:rPr>
        <w:t>d</w:t>
      </w:r>
      <w:r w:rsidR="00B530C0" w:rsidRPr="005C7810">
        <w:rPr>
          <w:rFonts w:ascii="Book Antiqua" w:hAnsi="Book Antiqua" w:cs="Times New Roman"/>
          <w:sz w:val="24"/>
          <w:szCs w:val="24"/>
          <w:lang w:val="en-US"/>
        </w:rPr>
        <w:t xml:space="preserve"> with a lack of response to therapy. Patients with high levels of </w:t>
      </w:r>
      <w:r w:rsidR="00B530C0" w:rsidRPr="005C7810">
        <w:rPr>
          <w:rFonts w:ascii="Book Antiqua" w:hAnsi="Book Antiqua" w:cs="Times New Roman"/>
          <w:i/>
          <w:sz w:val="24"/>
          <w:szCs w:val="24"/>
          <w:lang w:val="en-US"/>
        </w:rPr>
        <w:t>ERBB2</w:t>
      </w:r>
      <w:r w:rsidR="00B530C0" w:rsidRPr="005C7810">
        <w:rPr>
          <w:rFonts w:ascii="Book Antiqua" w:hAnsi="Book Antiqua" w:cs="Times New Roman"/>
          <w:sz w:val="24"/>
          <w:szCs w:val="24"/>
          <w:lang w:val="en-US"/>
        </w:rPr>
        <w:t xml:space="preserve"> amplification were more responsive to therapy. The analysis of </w:t>
      </w:r>
      <w:r w:rsidR="002C017B" w:rsidRPr="005C7810">
        <w:rPr>
          <w:rFonts w:ascii="Book Antiqua" w:hAnsi="Book Antiqua" w:cs="Times New Roman"/>
          <w:sz w:val="24"/>
          <w:szCs w:val="24"/>
          <w:lang w:val="en-US"/>
        </w:rPr>
        <w:t>cell-free DNA</w:t>
      </w:r>
      <w:r w:rsidR="00B530C0" w:rsidRPr="005C7810">
        <w:rPr>
          <w:rFonts w:ascii="Book Antiqua" w:hAnsi="Book Antiqua" w:cs="Times New Roman"/>
          <w:sz w:val="24"/>
          <w:szCs w:val="24"/>
          <w:lang w:val="en-US"/>
        </w:rPr>
        <w:t xml:space="preserve"> showed that the amplification of </w:t>
      </w:r>
      <w:r w:rsidR="00B530C0" w:rsidRPr="005C7810">
        <w:rPr>
          <w:rFonts w:ascii="Book Antiqua" w:hAnsi="Book Antiqua" w:cs="Times New Roman"/>
          <w:i/>
          <w:sz w:val="24"/>
          <w:szCs w:val="24"/>
          <w:lang w:val="en-US"/>
        </w:rPr>
        <w:t>ERBB2</w:t>
      </w:r>
      <w:r w:rsidR="00B530C0" w:rsidRPr="005C7810">
        <w:rPr>
          <w:rFonts w:ascii="Book Antiqua" w:hAnsi="Book Antiqua" w:cs="Times New Roman"/>
          <w:sz w:val="24"/>
          <w:szCs w:val="24"/>
          <w:lang w:val="en-US"/>
        </w:rPr>
        <w:t>, detectable in</w:t>
      </w:r>
      <w:r w:rsidR="008A407A" w:rsidRPr="005C7810">
        <w:rPr>
          <w:rFonts w:ascii="Book Antiqua" w:hAnsi="Book Antiqua" w:cs="Times New Roman"/>
          <w:sz w:val="24"/>
          <w:szCs w:val="24"/>
          <w:lang w:val="en-US"/>
        </w:rPr>
        <w:t xml:space="preserve"> the plasma of patients</w:t>
      </w:r>
      <w:r w:rsidR="00B530C0" w:rsidRPr="005C7810">
        <w:rPr>
          <w:rFonts w:ascii="Book Antiqua" w:hAnsi="Book Antiqua" w:cs="Times New Roman"/>
          <w:sz w:val="24"/>
          <w:szCs w:val="24"/>
          <w:lang w:val="en-US"/>
        </w:rPr>
        <w:t xml:space="preserve">, was a predictive response. During </w:t>
      </w:r>
      <w:r w:rsidR="00E20EA1" w:rsidRPr="005C7810">
        <w:rPr>
          <w:rFonts w:ascii="Book Antiqua" w:hAnsi="Book Antiqua" w:cs="Times New Roman"/>
          <w:sz w:val="24"/>
          <w:szCs w:val="24"/>
          <w:lang w:val="en-US"/>
        </w:rPr>
        <w:t xml:space="preserve">disease </w:t>
      </w:r>
      <w:r w:rsidR="00B530C0" w:rsidRPr="005C7810">
        <w:rPr>
          <w:rFonts w:ascii="Book Antiqua" w:hAnsi="Book Antiqua" w:cs="Times New Roman"/>
          <w:sz w:val="24"/>
          <w:szCs w:val="24"/>
          <w:lang w:val="en-US"/>
        </w:rPr>
        <w:t xml:space="preserve">progression, genetic changes </w:t>
      </w:r>
      <w:r w:rsidR="00E20EA1" w:rsidRPr="005C7810">
        <w:rPr>
          <w:rFonts w:ascii="Book Antiqua" w:hAnsi="Book Antiqua" w:cs="Times New Roman"/>
          <w:sz w:val="24"/>
          <w:szCs w:val="24"/>
          <w:lang w:val="en-US"/>
        </w:rPr>
        <w:t>were</w:t>
      </w:r>
      <w:r w:rsidR="00B530C0" w:rsidRPr="005C7810">
        <w:rPr>
          <w:rFonts w:ascii="Book Antiqua" w:hAnsi="Book Antiqua" w:cs="Times New Roman"/>
          <w:sz w:val="24"/>
          <w:szCs w:val="24"/>
          <w:lang w:val="en-US"/>
        </w:rPr>
        <w:t xml:space="preserve"> detected such as amplification of </w:t>
      </w:r>
      <w:r w:rsidR="00B530C0" w:rsidRPr="005C7810">
        <w:rPr>
          <w:rFonts w:ascii="Book Antiqua" w:hAnsi="Book Antiqua" w:cs="Times New Roman"/>
          <w:i/>
          <w:sz w:val="24"/>
          <w:szCs w:val="24"/>
          <w:lang w:val="en-US"/>
        </w:rPr>
        <w:t>MYC</w:t>
      </w:r>
      <w:r w:rsidR="00B530C0" w:rsidRPr="005C7810">
        <w:rPr>
          <w:rFonts w:ascii="Book Antiqua" w:hAnsi="Book Antiqua" w:cs="Times New Roman"/>
          <w:sz w:val="24"/>
          <w:szCs w:val="24"/>
          <w:lang w:val="en-US"/>
        </w:rPr>
        <w:t xml:space="preserve">, </w:t>
      </w:r>
      <w:r w:rsidR="00B530C0" w:rsidRPr="005C7810">
        <w:rPr>
          <w:rFonts w:ascii="Book Antiqua" w:hAnsi="Book Antiqua" w:cs="Times New Roman"/>
          <w:i/>
          <w:sz w:val="24"/>
          <w:szCs w:val="24"/>
          <w:lang w:val="en-US"/>
        </w:rPr>
        <w:t>EGFR</w:t>
      </w:r>
      <w:r w:rsidR="00B530C0" w:rsidRPr="005C7810">
        <w:rPr>
          <w:rFonts w:ascii="Book Antiqua" w:hAnsi="Book Antiqua" w:cs="Times New Roman"/>
          <w:sz w:val="24"/>
          <w:szCs w:val="24"/>
          <w:lang w:val="en-US"/>
        </w:rPr>
        <w:t xml:space="preserve">, </w:t>
      </w:r>
      <w:r w:rsidR="00B530C0" w:rsidRPr="005C7810">
        <w:rPr>
          <w:rFonts w:ascii="Book Antiqua" w:hAnsi="Book Antiqua" w:cs="Times New Roman"/>
          <w:i/>
          <w:sz w:val="24"/>
          <w:szCs w:val="24"/>
          <w:lang w:val="en-US"/>
        </w:rPr>
        <w:t>FGFR2</w:t>
      </w:r>
      <w:r w:rsidR="00E20EA1" w:rsidRPr="005C7810">
        <w:rPr>
          <w:rFonts w:ascii="Book Antiqua" w:hAnsi="Book Antiqua" w:cs="Times New Roman"/>
          <w:i/>
          <w:sz w:val="24"/>
          <w:szCs w:val="24"/>
          <w:lang w:val="en-US"/>
        </w:rPr>
        <w:t>,</w:t>
      </w:r>
      <w:r w:rsidR="00B530C0" w:rsidRPr="005C7810">
        <w:rPr>
          <w:rFonts w:ascii="Book Antiqua" w:hAnsi="Book Antiqua" w:cs="Times New Roman"/>
          <w:sz w:val="24"/>
          <w:szCs w:val="24"/>
          <w:lang w:val="en-US"/>
        </w:rPr>
        <w:t xml:space="preserve"> and </w:t>
      </w:r>
      <w:r w:rsidR="00B530C0" w:rsidRPr="005C7810">
        <w:rPr>
          <w:rFonts w:ascii="Book Antiqua" w:hAnsi="Book Antiqua" w:cs="Times New Roman"/>
          <w:i/>
          <w:sz w:val="24"/>
          <w:szCs w:val="24"/>
          <w:lang w:val="en-US"/>
        </w:rPr>
        <w:t>MET</w:t>
      </w:r>
      <w:r w:rsidR="00327314" w:rsidRPr="005C7810">
        <w:rPr>
          <w:rFonts w:ascii="Book Antiqua" w:hAnsi="Book Antiqua" w:cs="Times New Roman"/>
          <w:i/>
          <w:sz w:val="24"/>
          <w:szCs w:val="24"/>
          <w:lang w:val="en-US"/>
        </w:rPr>
        <w:fldChar w:fldCharType="begin" w:fldLock="1"/>
      </w:r>
      <w:r w:rsidR="00280006" w:rsidRPr="005C7810">
        <w:rPr>
          <w:rFonts w:ascii="Book Antiqua" w:hAnsi="Book Antiqua" w:cs="Times New Roman"/>
          <w:i/>
          <w:sz w:val="24"/>
          <w:szCs w:val="24"/>
          <w:lang w:val="en-US"/>
        </w:rPr>
        <w:instrText>ADDIN CSL_CITATION {"citationItems":[{"id":"ITEM-1","itemData":{"DOI":"10.1093/annonc/mdy034","ISSN":"15698041","abstract":"Background To identify predictive markers for responders in lapatinib-treated patients and to demonstrate molecular changes during lapatinib treatment via cell-free genomics. Patients and Methods We prospectively evaluated the efficacy of combining lapatinib with capecitabine and oxaliplatin as first line neoadjuvant therapy in patients with previously untreated, HER2-overexpressing advanced gastric cancer (AGC). A parallel biomarker study was conducted by simultaneously performing immunohistochemistry (IHC) and next-generation sequencing with tumor and blood samples. Results Complete response (CR) was confirmed in 7/32 patients (21.8%), 2 of whom received radical surgery with pathologic-confirmed CR. Fifteen partial responses (46.8%) were observed, resulting in a 68.6% overall response rate. Next-generation sequencing (NGS) of the 16 tumor specimens demonstrated that the most common co-occurring copy number alteration was CCNE1 amplification, which was present in 40% of HER2-positive tumors. The relationship between CCNE1 amplification and lack of response to HER2 targeted therapy trended toward statistical significance (66.7% of non-responders versus 22.2% of responders harbored CCNE1 amplification; p</w:instrText>
      </w:r>
      <w:r w:rsidR="00280006" w:rsidRPr="005C7810">
        <w:rPr>
          <w:rFonts w:ascii="Times New Roman" w:hAnsi="Times New Roman" w:cs="Times New Roman"/>
          <w:i/>
          <w:sz w:val="24"/>
          <w:szCs w:val="24"/>
          <w:lang w:val="en-US"/>
        </w:rPr>
        <w:instrText> </w:instrText>
      </w:r>
      <w:r w:rsidR="00280006" w:rsidRPr="005C7810">
        <w:rPr>
          <w:rFonts w:ascii="Book Antiqua" w:hAnsi="Book Antiqua" w:cs="Times New Roman"/>
          <w:i/>
          <w:sz w:val="24"/>
          <w:szCs w:val="24"/>
          <w:lang w:val="en-US"/>
        </w:rPr>
        <w:instrText>=</w:instrText>
      </w:r>
      <w:r w:rsidR="00280006" w:rsidRPr="005C7810">
        <w:rPr>
          <w:rFonts w:ascii="Times New Roman" w:hAnsi="Times New Roman" w:cs="Times New Roman"/>
          <w:i/>
          <w:sz w:val="24"/>
          <w:szCs w:val="24"/>
          <w:lang w:val="en-US"/>
        </w:rPr>
        <w:instrText> </w:instrText>
      </w:r>
      <w:r w:rsidR="00280006" w:rsidRPr="005C7810">
        <w:rPr>
          <w:rFonts w:ascii="Book Antiqua" w:hAnsi="Book Antiqua" w:cs="Times New Roman"/>
          <w:i/>
          <w:sz w:val="24"/>
          <w:szCs w:val="24"/>
          <w:lang w:val="en-US"/>
        </w:rPr>
        <w:instrText>0.08). Patients with high level ERBB2 amplification by NGS were more likely to respond to therapy, compared to patients with low level ERBB2 amplification (p</w:instrText>
      </w:r>
      <w:r w:rsidR="00280006" w:rsidRPr="005C7810">
        <w:rPr>
          <w:rFonts w:ascii="Times New Roman" w:hAnsi="Times New Roman" w:cs="Times New Roman"/>
          <w:i/>
          <w:sz w:val="24"/>
          <w:szCs w:val="24"/>
          <w:lang w:val="en-US"/>
        </w:rPr>
        <w:instrText> </w:instrText>
      </w:r>
      <w:r w:rsidR="00280006" w:rsidRPr="005C7810">
        <w:rPr>
          <w:rFonts w:ascii="Book Antiqua" w:hAnsi="Book Antiqua" w:cs="Times New Roman"/>
          <w:i/>
          <w:sz w:val="24"/>
          <w:szCs w:val="24"/>
          <w:lang w:val="en-US"/>
        </w:rPr>
        <w:instrText>=</w:instrText>
      </w:r>
      <w:r w:rsidR="00280006" w:rsidRPr="005C7810">
        <w:rPr>
          <w:rFonts w:ascii="Times New Roman" w:hAnsi="Times New Roman" w:cs="Times New Roman"/>
          <w:i/>
          <w:sz w:val="24"/>
          <w:szCs w:val="24"/>
          <w:lang w:val="en-US"/>
        </w:rPr>
        <w:instrText> </w:instrText>
      </w:r>
      <w:r w:rsidR="00280006" w:rsidRPr="005C7810">
        <w:rPr>
          <w:rFonts w:ascii="Book Antiqua" w:hAnsi="Book Antiqua" w:cs="Times New Roman"/>
          <w:i/>
          <w:sz w:val="24"/>
          <w:szCs w:val="24"/>
          <w:lang w:val="en-US"/>
        </w:rPr>
        <w:instrText>0.02). Analysis of cfDNA showed that detectable ERBB2 copy number amplification in plasma was predictive to the response (100%, response rate) and changes in plasma-detected genomic alterations were associated with lapatinib sensitivity and/or resistance. The follow-up cfDNA genomics at disease progression demonstrated that there are emergences of other genomic aberrations such as MYC, EGFR, FGFR2 and MET amplifications. Conclusions The present study showed that HER2+ GC patients respond differently according to concomitant genomic aberrations beyond ERBB2, high ERBB2 amplification by NGS or cfDNA can be a positive predictor for patient selection, and tumor genomic alterations change significantly during targeted agent therapy.","author":[{"dropping-particle":"","family":"Kim","given":"S. T.","non-dropping-particle":"","parse-names":false,"suffix":""},{"dropping-particle":"","family":"Banks","given":"K. C.","non-dropping-particle":"","parse-names":false,"suffix":""},{"dropping-particle":"","family":"Pectasides","given":"E.","non-dropping-particle":"","parse-names":false,"suffix":""},{"dropping-particle":"","family":"Kim","given":"S. Y.","non-dropping-particle":"","parse-names":false,"suffix":""},{"dropping-particle":"","family":"Kim","given":"K.","non-dropping-particle":"","parse-names":false,"suffix":""},{"dropping-particle":"","family":"Lanman","given":"R. B.","non-dropping-particle":"","parse-names":false,"suffix":""},{"dropping-particle":"","family":"Talasaz","given":"A.","non-dropping-particle":"","parse-names":false,"suffix":""},{"dropping-particle":"","family":"An","given":"J.","non-dropping-particle":"","parse-names":false,"suffix":""},{"dropping-particle":"","family":"Choi","given":"M. G.","non-dropping-particle":"","parse-names":false,"suffix":""},{"dropping-particle":"","family":"Lee","given":"J. H.","non-dropping-particle":"","parse-names":false,"suffix":""},{"dropping-particle":"","family":"Sohn","given":"T. S.","non-dropping-particle":"","parse-names":false,"suffix":""},{"dropping-particle":"","family":"Bae","given":"J. M.","non-dropping-particle":"","parse-names":false,"suffix":""},{"dropping-particle":"","family":"Kim","given":"S.","non-dropping-particle":"","parse-names":false,"suffix":""},{"dropping-particle":"","family":"Park","given":"S. H.","non-dropping-particle":"","parse-names":false,"suffix":""},{"dropping-particle":"","family":"Park","given":"J. O.","non-dropping-particle":"","parse-names":false,"suffix":""},{"dropping-particle":"","family":"Park","given":"Y. S.","non-dropping-particle":"","parse-names":false,"suffix":""},{"dropping-particle":"","family":"Lim","given":"H. Y.","non-dropping-particle":"","parse-names":false,"suffix":""},{"dropping-particle":"","family":"Kim","given":"N. K.D.","non-dropping-particle":"","parse-names":false,"suffix":""},{"dropping-particle":"","family":"Park","given":"W.","non-dropping-particle":"","parse-names":false,"suffix":""},{"dropping-particle":"","family":"Lee","given":"H.","non-dropping-particle":"","parse-names":false,"suffix":""},{"dropping-particle":"","family":"Bass","given":"A. J.","non-dropping-particle":"","parse-names":false,"suffix":""},{"dropping-particle":"","family":"Kim","given":"K.","non-dropping-particle":"","parse-names":false,"suffix":""},{"dropping-particle":"","family":"Kang","given":"W. K.","non-dropping-particle":"","parse-names":false,"suffix":""},{"dropping-particle":"","family":"Lee","given":"Jeeyun","non-dropping-particle":"","parse-names":false,"suffix":""}],"container-title":"Annals of Oncology","id":"ITEM-1","issue":"4","issued":{"date-parts":[["2018"]]},"page":"1037-1048","title":"Impact of genomic alterations on lapatinib treatment outcome and cell-free genomic landscape during HER2 therapy in HER2+ gastric cancer patients","type":"article-journal","volume":"29"},"uris":["http://www.mendeley.com/documents/?uuid=17b4dbfd-bc70-4e93-8099-3df271a8561d","http://www.mendeley.com/documents/?uuid=187532bf-efe7-4edb-b221-c0fa54f7956c"]}],"mendeley":{"formattedCitation":"&lt;sup&gt;[129]&lt;/sup&gt;","plainTextFormattedCitation":"[129]","previouslyFormattedCitation":"&lt;sup&gt;[129]&lt;/sup&gt;"},"properties":{"noteIndex":0},"schema":"https://github.com/citation-style-language/schema/raw/master/csl-citation.json"}</w:instrText>
      </w:r>
      <w:r w:rsidR="00327314" w:rsidRPr="005C7810">
        <w:rPr>
          <w:rFonts w:ascii="Book Antiqua" w:hAnsi="Book Antiqua" w:cs="Times New Roman"/>
          <w:i/>
          <w:sz w:val="24"/>
          <w:szCs w:val="24"/>
          <w:lang w:val="en-US"/>
        </w:rPr>
        <w:fldChar w:fldCharType="separate"/>
      </w:r>
      <w:r w:rsidR="008D403C" w:rsidRPr="005C7810">
        <w:rPr>
          <w:rFonts w:ascii="Book Antiqua" w:hAnsi="Book Antiqua" w:cs="Times New Roman"/>
          <w:sz w:val="24"/>
          <w:szCs w:val="24"/>
          <w:vertAlign w:val="superscript"/>
          <w:lang w:val="en-US"/>
        </w:rPr>
        <w:t>[129]</w:t>
      </w:r>
      <w:r w:rsidR="00327314" w:rsidRPr="005C7810">
        <w:rPr>
          <w:rFonts w:ascii="Book Antiqua" w:hAnsi="Book Antiqua" w:cs="Times New Roman"/>
          <w:i/>
          <w:sz w:val="24"/>
          <w:szCs w:val="24"/>
          <w:lang w:val="en-US"/>
        </w:rPr>
        <w:fldChar w:fldCharType="end"/>
      </w:r>
      <w:r w:rsidR="002B60A7" w:rsidRPr="005C7810">
        <w:rPr>
          <w:rFonts w:ascii="Book Antiqua" w:hAnsi="Book Antiqua" w:cs="Times New Roman"/>
          <w:sz w:val="24"/>
          <w:szCs w:val="24"/>
          <w:lang w:val="en-US"/>
        </w:rPr>
        <w:t>.</w:t>
      </w:r>
      <w:r w:rsidR="006807E6" w:rsidRPr="005C7810">
        <w:rPr>
          <w:rFonts w:ascii="Book Antiqua" w:hAnsi="Book Antiqua" w:cs="Times New Roman"/>
          <w:sz w:val="24"/>
          <w:szCs w:val="24"/>
          <w:lang w:val="en-US"/>
        </w:rPr>
        <w:t xml:space="preserve"> </w:t>
      </w:r>
      <w:r w:rsidR="00EF2482" w:rsidRPr="005C7810">
        <w:rPr>
          <w:rFonts w:ascii="Book Antiqua" w:hAnsi="Book Antiqua" w:cs="Times New Roman"/>
          <w:sz w:val="24"/>
          <w:szCs w:val="24"/>
          <w:lang w:val="en-US"/>
        </w:rPr>
        <w:t>A</w:t>
      </w:r>
      <w:r w:rsidR="00BF2ABE" w:rsidRPr="005C7810">
        <w:rPr>
          <w:rFonts w:ascii="Book Antiqua" w:hAnsi="Book Antiqua" w:cs="Times New Roman"/>
          <w:sz w:val="24"/>
          <w:szCs w:val="24"/>
          <w:lang w:val="en-US"/>
        </w:rPr>
        <w:t xml:space="preserve"> </w:t>
      </w:r>
      <w:r w:rsidR="00E20EA1" w:rsidRPr="005C7810">
        <w:rPr>
          <w:rFonts w:ascii="Book Antiqua" w:hAnsi="Book Antiqua" w:cs="Times New Roman"/>
          <w:sz w:val="24"/>
          <w:szCs w:val="24"/>
          <w:lang w:val="en-US"/>
        </w:rPr>
        <w:t xml:space="preserve">phase I </w:t>
      </w:r>
      <w:r w:rsidR="00BF2ABE" w:rsidRPr="005C7810">
        <w:rPr>
          <w:rFonts w:ascii="Book Antiqua" w:hAnsi="Book Antiqua" w:cs="Times New Roman"/>
          <w:sz w:val="24"/>
          <w:szCs w:val="24"/>
          <w:lang w:val="en-US"/>
        </w:rPr>
        <w:t>clinical t</w:t>
      </w:r>
      <w:r w:rsidR="008A407A" w:rsidRPr="005C7810">
        <w:rPr>
          <w:rFonts w:ascii="Book Antiqua" w:hAnsi="Book Antiqua" w:cs="Times New Roman"/>
          <w:sz w:val="24"/>
          <w:szCs w:val="24"/>
          <w:lang w:val="en-US"/>
        </w:rPr>
        <w:t xml:space="preserve">rial (NCT02795988) </w:t>
      </w:r>
      <w:r w:rsidR="00BF2ABE" w:rsidRPr="005C7810">
        <w:rPr>
          <w:rFonts w:ascii="Book Antiqua" w:hAnsi="Book Antiqua" w:cs="Times New Roman"/>
          <w:sz w:val="24"/>
          <w:szCs w:val="24"/>
          <w:lang w:val="en-US"/>
        </w:rPr>
        <w:t>evaluat</w:t>
      </w:r>
      <w:r w:rsidR="00E20EA1" w:rsidRPr="005C7810">
        <w:rPr>
          <w:rFonts w:ascii="Book Antiqua" w:hAnsi="Book Antiqua" w:cs="Times New Roman"/>
          <w:sz w:val="24"/>
          <w:szCs w:val="24"/>
          <w:lang w:val="en-US"/>
        </w:rPr>
        <w:t>ed</w:t>
      </w:r>
      <w:r w:rsidR="00BF2ABE" w:rsidRPr="005C7810">
        <w:rPr>
          <w:rFonts w:ascii="Book Antiqua" w:hAnsi="Book Antiqua" w:cs="Times New Roman"/>
          <w:sz w:val="24"/>
          <w:szCs w:val="24"/>
          <w:lang w:val="en-US"/>
        </w:rPr>
        <w:t xml:space="preserve"> the safety, tolerability</w:t>
      </w:r>
      <w:r w:rsidR="004A6501" w:rsidRPr="005C7810">
        <w:rPr>
          <w:rFonts w:ascii="Book Antiqua" w:hAnsi="Book Antiqua" w:cs="Times New Roman"/>
          <w:sz w:val="24"/>
          <w:szCs w:val="24"/>
          <w:lang w:val="en-US"/>
        </w:rPr>
        <w:t>,</w:t>
      </w:r>
      <w:r w:rsidR="00BF2ABE" w:rsidRPr="005C7810">
        <w:rPr>
          <w:rFonts w:ascii="Book Antiqua" w:hAnsi="Book Antiqua" w:cs="Times New Roman"/>
          <w:sz w:val="24"/>
          <w:szCs w:val="24"/>
          <w:lang w:val="en-US"/>
        </w:rPr>
        <w:t xml:space="preserve"> and immunogenicity of IMU-131, a peptide composed of </w:t>
      </w:r>
      <w:r w:rsidR="00E20EA1" w:rsidRPr="005C7810">
        <w:rPr>
          <w:rFonts w:ascii="Book Antiqua" w:hAnsi="Book Antiqua" w:cs="Times New Roman"/>
          <w:sz w:val="24"/>
          <w:szCs w:val="24"/>
          <w:lang w:val="en-US"/>
        </w:rPr>
        <w:t>three</w:t>
      </w:r>
      <w:r w:rsidR="00BF2ABE" w:rsidRPr="005C7810">
        <w:rPr>
          <w:rFonts w:ascii="Book Antiqua" w:hAnsi="Book Antiqua" w:cs="Times New Roman"/>
          <w:sz w:val="24"/>
          <w:szCs w:val="24"/>
          <w:lang w:val="en-US"/>
        </w:rPr>
        <w:t xml:space="preserve"> epitopes selected from the protein structure of HER2. In </w:t>
      </w:r>
      <w:r w:rsidR="00E20EA1" w:rsidRPr="005C7810">
        <w:rPr>
          <w:rFonts w:ascii="Book Antiqua" w:hAnsi="Book Antiqua" w:cs="Times New Roman"/>
          <w:sz w:val="24"/>
          <w:szCs w:val="24"/>
          <w:lang w:val="en-US"/>
        </w:rPr>
        <w:t xml:space="preserve">the </w:t>
      </w:r>
      <w:r w:rsidR="00BF2ABE" w:rsidRPr="005C7810">
        <w:rPr>
          <w:rFonts w:ascii="Book Antiqua" w:hAnsi="Book Antiqua" w:cs="Times New Roman"/>
          <w:sz w:val="24"/>
          <w:szCs w:val="24"/>
          <w:lang w:val="en-US"/>
        </w:rPr>
        <w:t>phase II</w:t>
      </w:r>
      <w:r w:rsidR="00E20EA1" w:rsidRPr="005C7810">
        <w:rPr>
          <w:rFonts w:ascii="Book Antiqua" w:hAnsi="Book Antiqua" w:cs="Times New Roman"/>
          <w:sz w:val="24"/>
          <w:szCs w:val="24"/>
          <w:lang w:val="en-US"/>
        </w:rPr>
        <w:t xml:space="preserve"> portion</w:t>
      </w:r>
      <w:r w:rsidR="00BF2ABE" w:rsidRPr="005C7810">
        <w:rPr>
          <w:rFonts w:ascii="Book Antiqua" w:hAnsi="Book Antiqua" w:cs="Times New Roman"/>
          <w:sz w:val="24"/>
          <w:szCs w:val="24"/>
          <w:lang w:val="en-US"/>
        </w:rPr>
        <w:t xml:space="preserve"> of the same trial, IMU-131 was used in combination with chemotherapy in </w:t>
      </w:r>
      <w:r w:rsidR="00E20EA1" w:rsidRPr="005C7810">
        <w:rPr>
          <w:rFonts w:ascii="Book Antiqua" w:hAnsi="Book Antiqua" w:cs="Times New Roman"/>
          <w:sz w:val="24"/>
          <w:szCs w:val="24"/>
          <w:lang w:val="en-US"/>
        </w:rPr>
        <w:t xml:space="preserve">patients </w:t>
      </w:r>
      <w:r w:rsidR="00BF2ABE" w:rsidRPr="005C7810">
        <w:rPr>
          <w:rFonts w:ascii="Book Antiqua" w:hAnsi="Book Antiqua" w:cs="Times New Roman"/>
          <w:sz w:val="24"/>
          <w:szCs w:val="24"/>
          <w:lang w:val="en-US"/>
        </w:rPr>
        <w:t>overexpress</w:t>
      </w:r>
      <w:r w:rsidR="00E20EA1" w:rsidRPr="005C7810">
        <w:rPr>
          <w:rFonts w:ascii="Book Antiqua" w:hAnsi="Book Antiqua" w:cs="Times New Roman"/>
          <w:sz w:val="24"/>
          <w:szCs w:val="24"/>
          <w:lang w:val="en-US"/>
        </w:rPr>
        <w:t>ing</w:t>
      </w:r>
      <w:r w:rsidR="00BF2ABE" w:rsidRPr="005C7810">
        <w:rPr>
          <w:rFonts w:ascii="Book Antiqua" w:hAnsi="Book Antiqua" w:cs="Times New Roman"/>
          <w:sz w:val="24"/>
          <w:szCs w:val="24"/>
          <w:lang w:val="en-US"/>
        </w:rPr>
        <w:t xml:space="preserve"> HER2. </w:t>
      </w:r>
      <w:r w:rsidR="001B3D3D" w:rsidRPr="005C7810">
        <w:rPr>
          <w:rFonts w:ascii="Book Antiqua" w:hAnsi="Book Antiqua" w:cs="Times New Roman"/>
          <w:sz w:val="24"/>
          <w:szCs w:val="24"/>
          <w:lang w:val="en-US"/>
        </w:rPr>
        <w:t xml:space="preserve">The study is ongoing, </w:t>
      </w:r>
      <w:r w:rsidR="002F3298" w:rsidRPr="005C7810">
        <w:rPr>
          <w:rFonts w:ascii="Book Antiqua" w:hAnsi="Book Antiqua" w:cs="Times New Roman"/>
          <w:sz w:val="24"/>
          <w:szCs w:val="24"/>
          <w:lang w:val="en-US"/>
        </w:rPr>
        <w:t xml:space="preserve">as </w:t>
      </w:r>
      <w:r w:rsidR="001B3D3D" w:rsidRPr="005C7810">
        <w:rPr>
          <w:rFonts w:ascii="Book Antiqua" w:hAnsi="Book Antiqua" w:cs="Times New Roman"/>
          <w:sz w:val="24"/>
          <w:szCs w:val="24"/>
          <w:lang w:val="en-US"/>
        </w:rPr>
        <w:t>only phase I has been completed</w:t>
      </w:r>
      <w:r w:rsidR="004755A3" w:rsidRPr="005C7810">
        <w:rPr>
          <w:rFonts w:ascii="Book Antiqua" w:hAnsi="Book Antiqua" w:cs="Times New Roman"/>
          <w:sz w:val="24"/>
          <w:szCs w:val="24"/>
          <w:lang w:val="en-US"/>
        </w:rPr>
        <w:t>,</w:t>
      </w:r>
      <w:r w:rsidR="001B3D3D" w:rsidRPr="005C7810">
        <w:rPr>
          <w:rFonts w:ascii="Book Antiqua" w:hAnsi="Book Antiqua" w:cs="Times New Roman"/>
          <w:sz w:val="24"/>
          <w:szCs w:val="24"/>
          <w:lang w:val="en-US"/>
        </w:rPr>
        <w:t xml:space="preserve"> and no conclusion</w:t>
      </w:r>
      <w:r w:rsidR="002F3298" w:rsidRPr="005C7810">
        <w:rPr>
          <w:rFonts w:ascii="Book Antiqua" w:hAnsi="Book Antiqua" w:cs="Times New Roman"/>
          <w:sz w:val="24"/>
          <w:szCs w:val="24"/>
          <w:lang w:val="en-US"/>
        </w:rPr>
        <w:t>s</w:t>
      </w:r>
      <w:r w:rsidR="001B3D3D" w:rsidRPr="005C7810">
        <w:rPr>
          <w:rFonts w:ascii="Book Antiqua" w:hAnsi="Book Antiqua" w:cs="Times New Roman"/>
          <w:sz w:val="24"/>
          <w:szCs w:val="24"/>
          <w:lang w:val="en-US"/>
        </w:rPr>
        <w:t xml:space="preserve"> ha</w:t>
      </w:r>
      <w:r w:rsidR="002F3298" w:rsidRPr="005C7810">
        <w:rPr>
          <w:rFonts w:ascii="Book Antiqua" w:hAnsi="Book Antiqua" w:cs="Times New Roman"/>
          <w:sz w:val="24"/>
          <w:szCs w:val="24"/>
          <w:lang w:val="en-US"/>
        </w:rPr>
        <w:t>ve</w:t>
      </w:r>
      <w:r w:rsidR="001B3D3D" w:rsidRPr="005C7810">
        <w:rPr>
          <w:rFonts w:ascii="Book Antiqua" w:hAnsi="Book Antiqua" w:cs="Times New Roman"/>
          <w:sz w:val="24"/>
          <w:szCs w:val="24"/>
          <w:lang w:val="en-US"/>
        </w:rPr>
        <w:t xml:space="preserve"> been drawn</w:t>
      </w:r>
      <w:r w:rsidR="00327314" w:rsidRPr="005C7810">
        <w:rPr>
          <w:rFonts w:ascii="Book Antiqua" w:hAnsi="Book Antiqua" w:cs="Times New Roman"/>
          <w:sz w:val="24"/>
          <w:szCs w:val="24"/>
          <w:lang w:val="en-US"/>
        </w:rPr>
        <w:fldChar w:fldCharType="begin" w:fldLock="1"/>
      </w:r>
      <w:r w:rsidR="00280006" w:rsidRPr="005C7810">
        <w:rPr>
          <w:rFonts w:ascii="Book Antiqua" w:hAnsi="Book Antiqua" w:cs="Times New Roman"/>
          <w:sz w:val="24"/>
          <w:szCs w:val="24"/>
          <w:lang w:val="en-US"/>
        </w:rPr>
        <w:instrText>ADDIN CSL_CITATION {"citationItems":[{"id":"ITEM-1","itemData":{"author":[{"dropping-particle":"","family":"Wiedermann U, Good AJ, Garner-Spitzer E, Chao Y, Bulat I, Dechaphunkul A, Airpornwirat W, Charoentum C, Yen CJ, Yau TC, Maglakelidze M, Tanasanvimon S, Maneechavakajorn J, Sookprasert A, Bai LY, Chou WC, Ungtrakul T, Chong L","given":"Ede N.","non-dropping-particle":"","parse-names":false,"suffix":""}],"container-title":"J Clin Oncol","id":"ITEM-1","issued":{"date-parts":[["2019"]]},"title":"A phase Ib/II open label study of IMU-131 HER2/Neu peptide vaccine plus cisplatin and either 5-fluorouracil or capecitabine chemotherapy in patients with HER2/Neu overexpressing metastatic or advanced adenocarcinoma of the stomach or gastroesophageal junc","type":"article-journal","volume":"37"},"uris":["http://www.mendeley.com/documents/?uuid=03b0f748-2732-4ed6-af3b-8fd3534e840b","http://www.mendeley.com/documents/?uuid=9cefca16-f795-4688-8171-b64bb0630120"]}],"mendeley":{"formattedCitation":"&lt;sup&gt;[130]&lt;/sup&gt;","plainTextFormattedCitation":"[130]","previouslyFormattedCitation":"&lt;sup&gt;[130]&lt;/sup&gt;"},"properties":{"noteIndex":0},"schema":"https://github.com/citation-style-language/schema/raw/master/csl-citation.json"}</w:instrText>
      </w:r>
      <w:r w:rsidR="00327314" w:rsidRPr="005C7810">
        <w:rPr>
          <w:rFonts w:ascii="Book Antiqua" w:hAnsi="Book Antiqua" w:cs="Times New Roman"/>
          <w:sz w:val="24"/>
          <w:szCs w:val="24"/>
          <w:lang w:val="en-US"/>
        </w:rPr>
        <w:fldChar w:fldCharType="separate"/>
      </w:r>
      <w:r w:rsidR="008D403C" w:rsidRPr="005C7810">
        <w:rPr>
          <w:rFonts w:ascii="Book Antiqua" w:hAnsi="Book Antiqua" w:cs="Times New Roman"/>
          <w:sz w:val="24"/>
          <w:szCs w:val="24"/>
          <w:vertAlign w:val="superscript"/>
          <w:lang w:val="en-US"/>
        </w:rPr>
        <w:t>[130]</w:t>
      </w:r>
      <w:r w:rsidR="00327314" w:rsidRPr="005C7810">
        <w:rPr>
          <w:rFonts w:ascii="Book Antiqua" w:hAnsi="Book Antiqua" w:cs="Times New Roman"/>
          <w:sz w:val="24"/>
          <w:szCs w:val="24"/>
          <w:lang w:val="en-US"/>
        </w:rPr>
        <w:fldChar w:fldCharType="end"/>
      </w:r>
      <w:r w:rsidR="001B3D3D" w:rsidRPr="005C7810">
        <w:rPr>
          <w:rFonts w:ascii="Book Antiqua" w:hAnsi="Book Antiqua" w:cs="Times New Roman"/>
          <w:sz w:val="24"/>
          <w:szCs w:val="24"/>
          <w:lang w:val="en-US"/>
        </w:rPr>
        <w:t xml:space="preserve">. </w:t>
      </w:r>
      <w:r w:rsidR="001D2F71" w:rsidRPr="005C7810">
        <w:rPr>
          <w:rFonts w:ascii="Book Antiqua" w:hAnsi="Book Antiqua" w:cs="Times New Roman"/>
          <w:color w:val="000000"/>
          <w:sz w:val="24"/>
          <w:szCs w:val="24"/>
          <w:lang w:val="en-US"/>
        </w:rPr>
        <w:t xml:space="preserve">Pyrotinib is an irreversible inhibitor of both </w:t>
      </w:r>
      <w:r w:rsidR="00CD2B3D" w:rsidRPr="005C7810">
        <w:rPr>
          <w:rFonts w:ascii="Book Antiqua" w:hAnsi="Book Antiqua" w:cs="Times New Roman"/>
          <w:color w:val="000000"/>
          <w:sz w:val="24"/>
          <w:szCs w:val="24"/>
          <w:lang w:val="en-US"/>
        </w:rPr>
        <w:t xml:space="preserve">HER2 and </w:t>
      </w:r>
      <w:r w:rsidR="00CE27D6" w:rsidRPr="005C7810">
        <w:rPr>
          <w:rFonts w:ascii="Book Antiqua" w:hAnsi="Book Antiqua" w:cs="Times New Roman"/>
          <w:color w:val="000000"/>
          <w:sz w:val="24"/>
          <w:szCs w:val="24"/>
          <w:lang w:val="en-US"/>
        </w:rPr>
        <w:t>EGFR. The phase I studies (</w:t>
      </w:r>
      <w:r w:rsidR="00CE27D6" w:rsidRPr="005C7810">
        <w:rPr>
          <w:rFonts w:ascii="Book Antiqua" w:hAnsi="Book Antiqua"/>
          <w:color w:val="000000"/>
          <w:sz w:val="24"/>
          <w:szCs w:val="24"/>
          <w:shd w:val="clear" w:color="auto" w:fill="FFFFFF"/>
          <w:lang w:val="en-US"/>
        </w:rPr>
        <w:t>NCT02500199, NCT02378389)</w:t>
      </w:r>
      <w:r w:rsidR="001D2F71" w:rsidRPr="005C7810">
        <w:rPr>
          <w:rFonts w:ascii="Book Antiqua" w:hAnsi="Book Antiqua" w:cs="Times New Roman"/>
          <w:color w:val="000000"/>
          <w:sz w:val="24"/>
          <w:szCs w:val="24"/>
          <w:lang w:val="en-US"/>
        </w:rPr>
        <w:t xml:space="preserve"> with pyrotinib </w:t>
      </w:r>
      <w:r w:rsidR="00CE27D6" w:rsidRPr="005C7810">
        <w:rPr>
          <w:rFonts w:ascii="Book Antiqua" w:hAnsi="Book Antiqua" w:cs="Times New Roman"/>
          <w:color w:val="000000"/>
          <w:sz w:val="24"/>
          <w:szCs w:val="24"/>
          <w:lang w:val="en-US"/>
        </w:rPr>
        <w:t xml:space="preserve">and pyrotinib </w:t>
      </w:r>
      <w:r w:rsidR="00BA24BC" w:rsidRPr="005C7810">
        <w:rPr>
          <w:rFonts w:ascii="Book Antiqua" w:hAnsi="Book Antiqua" w:cs="Times New Roman"/>
          <w:color w:val="000000"/>
          <w:sz w:val="24"/>
          <w:szCs w:val="24"/>
          <w:lang w:val="en-US"/>
        </w:rPr>
        <w:t>plus</w:t>
      </w:r>
      <w:r w:rsidR="00CE27D6" w:rsidRPr="005C7810">
        <w:rPr>
          <w:rFonts w:ascii="Book Antiqua" w:hAnsi="Book Antiqua" w:cs="Times New Roman"/>
          <w:color w:val="000000"/>
          <w:sz w:val="24"/>
          <w:szCs w:val="24"/>
          <w:lang w:val="en-US"/>
        </w:rPr>
        <w:t xml:space="preserve"> docetaxel </w:t>
      </w:r>
      <w:r w:rsidR="001D2F71" w:rsidRPr="005C7810">
        <w:rPr>
          <w:rFonts w:ascii="Book Antiqua" w:hAnsi="Book Antiqua" w:cs="Times New Roman"/>
          <w:color w:val="000000"/>
          <w:sz w:val="24"/>
          <w:szCs w:val="24"/>
          <w:lang w:val="en-US"/>
        </w:rPr>
        <w:t xml:space="preserve">in patients </w:t>
      </w:r>
      <w:r w:rsidR="00CD2B3D" w:rsidRPr="005C7810">
        <w:rPr>
          <w:rFonts w:ascii="Book Antiqua" w:hAnsi="Book Antiqua" w:cs="Times New Roman"/>
          <w:color w:val="000000"/>
          <w:sz w:val="24"/>
          <w:szCs w:val="24"/>
          <w:lang w:val="en-US"/>
        </w:rPr>
        <w:t xml:space="preserve">with </w:t>
      </w:r>
      <w:r w:rsidR="00CE27D6" w:rsidRPr="005C7810">
        <w:rPr>
          <w:rFonts w:ascii="Book Antiqua" w:hAnsi="Book Antiqua" w:cs="Times New Roman"/>
          <w:color w:val="000000"/>
          <w:sz w:val="24"/>
          <w:szCs w:val="24"/>
          <w:lang w:val="en-US"/>
        </w:rPr>
        <w:t xml:space="preserve">HER2-positive </w:t>
      </w:r>
      <w:r w:rsidR="00993F94" w:rsidRPr="005C7810">
        <w:rPr>
          <w:rFonts w:ascii="Book Antiqua" w:hAnsi="Book Antiqua" w:cs="Times New Roman"/>
          <w:color w:val="000000"/>
          <w:sz w:val="24"/>
          <w:szCs w:val="24"/>
          <w:lang w:val="en-US"/>
        </w:rPr>
        <w:t>GC</w:t>
      </w:r>
      <w:r w:rsidR="001D2F71" w:rsidRPr="005C7810">
        <w:rPr>
          <w:rFonts w:ascii="Book Antiqua" w:hAnsi="Book Antiqua" w:cs="Times New Roman"/>
          <w:color w:val="000000"/>
          <w:sz w:val="24"/>
          <w:szCs w:val="24"/>
          <w:lang w:val="en-US"/>
        </w:rPr>
        <w:t xml:space="preserve"> </w:t>
      </w:r>
      <w:r w:rsidR="00CE27D6" w:rsidRPr="005C7810">
        <w:rPr>
          <w:rFonts w:ascii="Book Antiqua" w:hAnsi="Book Antiqua" w:cs="Times New Roman"/>
          <w:color w:val="000000"/>
          <w:sz w:val="24"/>
          <w:szCs w:val="24"/>
          <w:lang w:val="en-US"/>
        </w:rPr>
        <w:t xml:space="preserve">are </w:t>
      </w:r>
      <w:r w:rsidR="001D2F71" w:rsidRPr="005C7810">
        <w:rPr>
          <w:rFonts w:ascii="Book Antiqua" w:hAnsi="Book Antiqua" w:cs="Times New Roman"/>
          <w:color w:val="000000"/>
          <w:sz w:val="24"/>
          <w:szCs w:val="24"/>
          <w:lang w:val="en-US"/>
        </w:rPr>
        <w:t>recruiting</w:t>
      </w:r>
      <w:r w:rsidR="00280006" w:rsidRPr="005C7810">
        <w:rPr>
          <w:rFonts w:ascii="Book Antiqua" w:hAnsi="Book Antiqua" w:cs="Times New Roman"/>
          <w:color w:val="000000"/>
          <w:sz w:val="24"/>
          <w:szCs w:val="24"/>
          <w:vertAlign w:val="superscript"/>
          <w:lang w:val="en-US"/>
        </w:rPr>
        <w:fldChar w:fldCharType="begin" w:fldLock="1"/>
      </w:r>
      <w:r w:rsidR="00280006" w:rsidRPr="005C7810">
        <w:rPr>
          <w:rFonts w:ascii="Book Antiqua" w:hAnsi="Book Antiqua" w:cs="Times New Roman"/>
          <w:color w:val="000000"/>
          <w:sz w:val="24"/>
          <w:szCs w:val="24"/>
          <w:vertAlign w:val="superscript"/>
          <w:lang w:val="en-US"/>
        </w:rPr>
        <w:instrText>ADDIN CSL_CITATION {"citationItems":[{"id":"ITEM-1","itemData":{"author":[{"dropping-particle":"","family":"Wang","given":"J","non-dropping-particle":"","parse-names":false,"suffix":""}],"container-title":"In: ClinicalTrials.gov[Internet]. Bethesda: U.S. National Library of Medicine. Available from: https://clinicaltrials.gov/ct2/show/NCT02500199 Clinical Trials.gov Identifier: NCT02500199","id":"ITEM-1","issued":{"date-parts":[["0"]]},"title":"Phase I Study of Pyrotinib in Patients With HER2-positive Solid Tumors","type":"article-journal"},"uris":["http://www.mendeley.com/documents/?uuid=11b616b8-1d4f-4a0a-93d4-0738b6e088db"]},{"id":"ITEM-2","itemData":{"author":[{"dropping-particle":"","family":"HengRui","given":"J","non-dropping-particle":"","parse-names":false,"suffix":""}],"container-title":"Library of Medicine. Available from: https://clinicaltrials.gov/ct2/show/NCT02378389 Clinical Trials.gov Identifier: NCT02378389","id":"ITEM-2","issued":{"date-parts":[["0"]]},"title":"Study Evaluating Pyrotinib/Pyrotinib in Combination With Docetaxel in Patients With HER2+ Advanced Gastric Cancer","type":"article-journal"},"uris":["http://www.mendeley.com/documents/?uuid=0601ff30-c45a-4970-af22-07fccac8b600"]}],"mendeley":{"formattedCitation":"&lt;sup&gt;[131,132]&lt;/sup&gt;","plainTextFormattedCitation":"[131,132]","previouslyFormattedCitation":"&lt;sup&gt;[131,132]&lt;/sup&gt;"},"properties":{"noteIndex":0},"schema":"https://github.com/citation-style-language/schema/raw/master/csl-citation.json"}</w:instrText>
      </w:r>
      <w:r w:rsidR="00280006" w:rsidRPr="005C7810">
        <w:rPr>
          <w:rFonts w:ascii="Book Antiqua" w:hAnsi="Book Antiqua" w:cs="Times New Roman"/>
          <w:color w:val="000000"/>
          <w:sz w:val="24"/>
          <w:szCs w:val="24"/>
          <w:vertAlign w:val="superscript"/>
          <w:lang w:val="en-US"/>
        </w:rPr>
        <w:fldChar w:fldCharType="separate"/>
      </w:r>
      <w:r w:rsidR="007B5FCB" w:rsidRPr="005C7810">
        <w:rPr>
          <w:rFonts w:ascii="Book Antiqua" w:hAnsi="Book Antiqua" w:cs="Times New Roman"/>
          <w:color w:val="000000"/>
          <w:sz w:val="24"/>
          <w:szCs w:val="24"/>
          <w:vertAlign w:val="superscript"/>
          <w:lang w:val="en-US"/>
        </w:rPr>
        <w:t>[131</w:t>
      </w:r>
      <w:r w:rsidR="009131DA" w:rsidRPr="005C7810">
        <w:rPr>
          <w:rFonts w:ascii="Book Antiqua" w:hAnsi="Book Antiqua" w:cs="Times New Roman"/>
          <w:color w:val="000000"/>
          <w:sz w:val="24"/>
          <w:szCs w:val="24"/>
          <w:vertAlign w:val="superscript"/>
          <w:lang w:val="en-US"/>
        </w:rPr>
        <w:t>,</w:t>
      </w:r>
      <w:r w:rsidR="007B5FCB" w:rsidRPr="005C7810">
        <w:rPr>
          <w:rFonts w:ascii="Book Antiqua" w:hAnsi="Book Antiqua" w:cs="Times New Roman"/>
          <w:color w:val="000000"/>
          <w:sz w:val="24"/>
          <w:szCs w:val="24"/>
          <w:vertAlign w:val="superscript"/>
          <w:lang w:val="en-US"/>
        </w:rPr>
        <w:t>132]</w:t>
      </w:r>
      <w:r w:rsidR="00280006" w:rsidRPr="005C7810">
        <w:rPr>
          <w:rFonts w:ascii="Book Antiqua" w:hAnsi="Book Antiqua" w:cs="Times New Roman"/>
          <w:color w:val="000000"/>
          <w:sz w:val="24"/>
          <w:szCs w:val="24"/>
          <w:vertAlign w:val="superscript"/>
          <w:lang w:val="en-US"/>
        </w:rPr>
        <w:fldChar w:fldCharType="end"/>
      </w:r>
      <w:r w:rsidR="00280006" w:rsidRPr="005C7810">
        <w:rPr>
          <w:rFonts w:ascii="Book Antiqua" w:hAnsi="Book Antiqua" w:cs="Times New Roman"/>
          <w:color w:val="000000"/>
          <w:sz w:val="24"/>
          <w:szCs w:val="24"/>
          <w:lang w:val="en-US"/>
        </w:rPr>
        <w:t>.</w:t>
      </w:r>
    </w:p>
    <w:p w:rsidR="00DF19BC" w:rsidRPr="005C7810" w:rsidRDefault="00B8125B" w:rsidP="00CD380F">
      <w:pPr>
        <w:shd w:val="clear" w:color="auto" w:fill="FFFFFF"/>
        <w:snapToGrid w:val="0"/>
        <w:spacing w:after="0" w:line="360" w:lineRule="auto"/>
        <w:ind w:firstLine="708"/>
        <w:jc w:val="both"/>
        <w:rPr>
          <w:rFonts w:ascii="Book Antiqua" w:hAnsi="Book Antiqua"/>
          <w:color w:val="000000"/>
          <w:sz w:val="24"/>
          <w:szCs w:val="24"/>
          <w:shd w:val="clear" w:color="auto" w:fill="FFFFFF"/>
          <w:lang w:val="en-US"/>
        </w:rPr>
      </w:pPr>
      <w:r w:rsidRPr="005C7810">
        <w:rPr>
          <w:rFonts w:ascii="Book Antiqua" w:hAnsi="Book Antiqua" w:cs="Times New Roman"/>
          <w:sz w:val="24"/>
          <w:szCs w:val="24"/>
          <w:lang w:val="en-US"/>
        </w:rPr>
        <w:t xml:space="preserve">Studies have also been performed to identify markers to be used in monitoring the efficacy of trastuzumab alone or in combination with chemotherapy. Resistance has occurred in patients treated with trastuzumab. One of the main mechanisms that lead to this resistance are mutations </w:t>
      </w:r>
      <w:r w:rsidR="008C49F7" w:rsidRPr="005C7810">
        <w:rPr>
          <w:rFonts w:ascii="Book Antiqua" w:hAnsi="Book Antiqua" w:cs="Times New Roman"/>
          <w:sz w:val="24"/>
          <w:szCs w:val="24"/>
          <w:lang w:val="en-US"/>
        </w:rPr>
        <w:t xml:space="preserve">in </w:t>
      </w:r>
      <w:r w:rsidRPr="005C7810">
        <w:rPr>
          <w:rFonts w:ascii="Book Antiqua" w:hAnsi="Book Antiqua" w:cs="Times New Roman"/>
          <w:i/>
          <w:sz w:val="24"/>
          <w:szCs w:val="24"/>
          <w:lang w:val="en-US"/>
        </w:rPr>
        <w:t>PI3KCA</w:t>
      </w:r>
      <w:r w:rsidRPr="005C7810">
        <w:rPr>
          <w:rFonts w:ascii="Book Antiqua" w:hAnsi="Book Antiqua" w:cs="Times New Roman"/>
          <w:sz w:val="24"/>
          <w:szCs w:val="24"/>
          <w:lang w:val="en-US"/>
        </w:rPr>
        <w:t xml:space="preserve"> and </w:t>
      </w:r>
      <w:r w:rsidRPr="005C7810">
        <w:rPr>
          <w:rFonts w:ascii="Book Antiqua" w:hAnsi="Book Antiqua" w:cs="Times New Roman"/>
          <w:i/>
          <w:sz w:val="24"/>
          <w:szCs w:val="24"/>
          <w:lang w:val="en-US"/>
        </w:rPr>
        <w:t>PTEN</w:t>
      </w:r>
      <w:r w:rsidR="00A81D35" w:rsidRPr="005C7810">
        <w:rPr>
          <w:rFonts w:ascii="Book Antiqua" w:hAnsi="Book Antiqua" w:cs="Times New Roman"/>
          <w:i/>
          <w:sz w:val="24"/>
          <w:szCs w:val="24"/>
          <w:lang w:val="en-US"/>
        </w:rPr>
        <w:fldChar w:fldCharType="begin" w:fldLock="1"/>
      </w:r>
      <w:r w:rsidR="001322DE" w:rsidRPr="005C7810">
        <w:rPr>
          <w:rFonts w:ascii="Book Antiqua" w:hAnsi="Book Antiqua" w:cs="Times New Roman"/>
          <w:i/>
          <w:sz w:val="24"/>
          <w:szCs w:val="24"/>
          <w:lang w:val="en-US"/>
        </w:rPr>
        <w:instrText>ADDIN CSL_CITATION {"citationItems":[{"id":"ITEM-1","itemData":{"DOI":"10.1097/01.cco.0000198021.99347.b9","ISSN":"1040-8746","abstract":"Purpose of review: The purpose of this review is to examine the contribution of the PI3K signaling pathway to the development of human tumors and to propose further studies to elucidate how to develop therapeutics for patients with mutations in this pathway., Recent findings: More than 30% of various solid tumor types were recently found to contain mutations in PIK3CA, the catalytic subunit of PI3K. Further analysis of key genes in this pathway identified an additional eight genes altered in tumors. These were generally found to be mutated in a mutually exclusive manner, thus increasing the mutation frequency of the pathway to 40% in colorectal cancers and emphasizing the importance of the PI3K pathway in tumorigenesis. Functional analyses of PIK3CA mutations revealed that they increase its enzymatic activity, stimulate AKT signaling, allow growth factor-independent growth as well as increasing cell invasion and metastasis., Summary: The PI3K signaling pathway is dysregulated by a variety of mechanisms in a large fraction of human tumors. Both mutational and functional analyses have shown that PIK3CA is an oncogene that plays an important role in tumor progression. Mutant members of the PI3K pathway, including PIK3CA, are good targets for therapeutic intervention because most of them are kinases, making them attractive for drug development. Gaining further insights into PIK3CA oncogenic mechanisms may produce new biomarkers and help the development of targeted therapeutics., (C) 2006 Lippincott Williams &amp; Wilkins, Inc.","author":[{"dropping-particle":"","family":"Samuels","given":"Yardena","non-dropping-particle":"","parse-names":false,"suffix":""},{"dropping-particle":"","family":"Ericson","given":"Kajsa","non-dropping-particle":"","parse-names":false,"suffix":""}],"container-title":"Current Opinion in Oncology January 2006","id":"ITEM-1","issue":"1","issued":{"date-parts":[["2006"]]},"page":"77-82","title":"Oncogenic PI3K and its role in cancer. [Miscellaneous Article]","type":"article-journal","volume":"18"},"uris":["http://www.mendeley.com/documents/?uuid=3df77c70-1ec4-467e-aadc-9b8bb3b2b7ca","http://www.mendeley.com/documents/?uuid=ebb66c2a-bc12-4840-aa64-0bae948a1fc7"]},{"id":"ITEM-2","itemData":{"DOI":"10.3892/or","author":[{"dropping-particle":"","family":"Wen YG, Wang Q, Zhou CZ, Qiu GQ, Peng ZH","given":"Tang HM","non-dropping-particle":"","parse-names":false,"suffix":""}],"container-title":"Oncol Rep","id":"ITEM-2","issued":{"date-parts":[["2010"]]},"page":"89-95","title":"Mutation analysis of tumor suppressor gene PTEN in patients with gastric carcinomas and its impact on PI3K/AKT pathway. Oncol Rep 2010","type":"article-journal","volume":"24"},"uris":["http://www.mendeley.com/documents/?uuid=aaf6b505-5c04-4521-bfb6-b0d02934a62f","http://www.mendeley.com/documents/?uuid=9aedc2d8-e442-407d-90a8-a452894b97af","http://www.mendeley.com/documents/?uuid=4f26dcf0-f690-48bd-8326-cbc5fec891b3"]},{"id":"ITEM-3","itemData":{"DOI":"10.3390/cancers6031441","ISSN":"20726694","abstract":"The phosphatidylinositol 3-kinase (PI3K)/Akt/mammalian target of rapamycin (mTOR) pathway is one of the key signaling pathways induced by various receptor-tyrosine kinases. Accumulating evidence shows that this pathway is an important promoter of cell growth, metabolism, survival, metastasis, and resistance to chemotherapy. Genetic alterations in the PI3K/Akt/mTOR pathway in gastric carcinoma have often been demonstrated. Many kinds of molecular targeting therapies are currently undergoing clinical testing in patients with solid tumors. However, with the exception of the ErbB2-targeting antibody, targeting agents, including PI3K/Akt/mTOR inhibitors, have not been approved for treatment of patients with gastric carcinoma. This review summarizes the current knowledge on PI3K/Akt/mTOR signaling in the pathogenesis of gastric carcinoma and the possible therapeutic targets for gastric carcinoma. Improved knowledge of the PI3K/Akt/mTOR pathway in gastric carcinoma will be useful in understanding the mechanisms of tumor development and for identifying ideal targets of anticancer therapy for gastric carcinoma.","author":[{"dropping-particle":"","family":"Matsuoka","given":"Tasuku","non-dropping-particle":"","parse-names":false,"suffix":""},{"dropping-particle":"","family":"Yashiro","given":"Masakazu","non-dropping-particle":"","parse-names":false,"suffix":""}],"container-title":"Cancers","id":"ITEM-3","issue":"3","issued":{"date-parts":[["2014"]]},"page":"1441-1463","title":"The role of PI3K/Akt/mTOR signaling in gastric carcinoma","type":"article-journal","volume":"6"},"uris":["http://www.mendeley.com/documents/?uuid=e32dcbf8-3e90-42b8-8b85-547dd98dbac8","http://www.mendeley.com/documents/?uuid=c1b641c7-51c9-486a-8c51-d3701b3d6c40","http://www.mendeley.com/documents/?uuid=efe12871-0151-4b3c-8605-5d52784b8d1d"]}],"mendeley":{"formattedCitation":"&lt;sup&gt;[64,65,67]&lt;/sup&gt;","manualFormatting":"[58–59,61]","plainTextFormattedCitation":"[64,65,67]","previouslyFormattedCitation":"&lt;sup&gt;[64,65,67]&lt;/sup&gt;"},"properties":{"noteIndex":0},"schema":"https://github.com/citation-style-language/schema/raw/master/csl-citation.json"}</w:instrText>
      </w:r>
      <w:r w:rsidR="00A81D35" w:rsidRPr="005C7810">
        <w:rPr>
          <w:rFonts w:ascii="Book Antiqua" w:hAnsi="Book Antiqua" w:cs="Times New Roman"/>
          <w:i/>
          <w:sz w:val="24"/>
          <w:szCs w:val="24"/>
          <w:lang w:val="en-US"/>
        </w:rPr>
        <w:fldChar w:fldCharType="separate"/>
      </w:r>
      <w:r w:rsidR="00884DBB" w:rsidRPr="005C7810">
        <w:rPr>
          <w:rFonts w:ascii="Book Antiqua" w:hAnsi="Book Antiqua" w:cs="Times New Roman"/>
          <w:sz w:val="24"/>
          <w:szCs w:val="24"/>
          <w:vertAlign w:val="superscript"/>
          <w:lang w:val="en-US"/>
        </w:rPr>
        <w:t>[64</w:t>
      </w:r>
      <w:r w:rsidR="009131DA" w:rsidRPr="005C7810">
        <w:rPr>
          <w:rFonts w:ascii="Book Antiqua" w:hAnsi="Book Antiqua" w:cs="Times New Roman"/>
          <w:sz w:val="24"/>
          <w:szCs w:val="24"/>
          <w:vertAlign w:val="superscript"/>
          <w:lang w:val="en-US"/>
        </w:rPr>
        <w:t>,</w:t>
      </w:r>
      <w:r w:rsidR="00884DBB" w:rsidRPr="005C7810">
        <w:rPr>
          <w:rFonts w:ascii="Book Antiqua" w:hAnsi="Book Antiqua" w:cs="Times New Roman"/>
          <w:sz w:val="24"/>
          <w:szCs w:val="24"/>
          <w:vertAlign w:val="superscript"/>
          <w:lang w:val="en-US"/>
        </w:rPr>
        <w:t>65,67</w:t>
      </w:r>
      <w:r w:rsidR="00A81D35" w:rsidRPr="005C7810">
        <w:rPr>
          <w:rFonts w:ascii="Book Antiqua" w:hAnsi="Book Antiqua" w:cs="Times New Roman"/>
          <w:sz w:val="24"/>
          <w:szCs w:val="24"/>
          <w:vertAlign w:val="superscript"/>
          <w:lang w:val="en-US"/>
        </w:rPr>
        <w:t>]</w:t>
      </w:r>
      <w:r w:rsidR="00A81D35" w:rsidRPr="005C7810">
        <w:rPr>
          <w:rFonts w:ascii="Book Antiqua" w:hAnsi="Book Antiqua" w:cs="Times New Roman"/>
          <w:i/>
          <w:sz w:val="24"/>
          <w:szCs w:val="24"/>
          <w:lang w:val="en-US"/>
        </w:rPr>
        <w:fldChar w:fldCharType="end"/>
      </w:r>
      <w:r w:rsidRPr="005C7810">
        <w:rPr>
          <w:rFonts w:ascii="Book Antiqua" w:hAnsi="Book Antiqua" w:cs="Times New Roman"/>
          <w:sz w:val="24"/>
          <w:szCs w:val="24"/>
          <w:lang w:val="en-US"/>
        </w:rPr>
        <w:t xml:space="preserve">. The combination of trastuzumab with PI3K inhibitors </w:t>
      </w:r>
      <w:r w:rsidR="008C49F7" w:rsidRPr="005C7810">
        <w:rPr>
          <w:rFonts w:ascii="Book Antiqua" w:hAnsi="Book Antiqua" w:cs="Times New Roman"/>
          <w:sz w:val="24"/>
          <w:szCs w:val="24"/>
          <w:lang w:val="en-US"/>
        </w:rPr>
        <w:t xml:space="preserve">may </w:t>
      </w:r>
      <w:r w:rsidRPr="005C7810">
        <w:rPr>
          <w:rFonts w:ascii="Book Antiqua" w:hAnsi="Book Antiqua" w:cs="Times New Roman"/>
          <w:sz w:val="24"/>
          <w:szCs w:val="24"/>
          <w:lang w:val="en-US"/>
        </w:rPr>
        <w:t xml:space="preserve">bring substantial benefits </w:t>
      </w:r>
      <w:r w:rsidR="008C49F7" w:rsidRPr="005C7810">
        <w:rPr>
          <w:rFonts w:ascii="Book Antiqua" w:hAnsi="Book Antiqua" w:cs="Times New Roman"/>
          <w:sz w:val="24"/>
          <w:szCs w:val="24"/>
          <w:lang w:val="en-US"/>
        </w:rPr>
        <w:t>to</w:t>
      </w:r>
      <w:r w:rsidRPr="005C7810">
        <w:rPr>
          <w:rFonts w:ascii="Book Antiqua" w:hAnsi="Book Antiqua" w:cs="Times New Roman"/>
          <w:sz w:val="24"/>
          <w:szCs w:val="24"/>
          <w:lang w:val="en-US"/>
        </w:rPr>
        <w:t xml:space="preserve"> patients with HER2</w:t>
      </w:r>
      <w:r w:rsidR="008C49F7"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positive GC. One of the markers of resistance to trastuzumab is </w:t>
      </w:r>
      <w:r w:rsidRPr="005C7810">
        <w:rPr>
          <w:rFonts w:ascii="Book Antiqua" w:hAnsi="Book Antiqua" w:cs="Times New Roman"/>
          <w:i/>
          <w:sz w:val="24"/>
          <w:szCs w:val="24"/>
          <w:lang w:val="en-US"/>
        </w:rPr>
        <w:t>CCNE1</w:t>
      </w:r>
      <w:r w:rsidRPr="005C7810">
        <w:rPr>
          <w:rFonts w:ascii="Book Antiqua" w:hAnsi="Book Antiqua" w:cs="Times New Roman"/>
          <w:sz w:val="24"/>
          <w:szCs w:val="24"/>
          <w:lang w:val="en-US"/>
        </w:rPr>
        <w:t>, whose amplification is negatively correlated with the response to therapy directed against HER2</w:t>
      </w:r>
      <w:r w:rsidR="00A81D35" w:rsidRPr="005C7810">
        <w:rPr>
          <w:rFonts w:ascii="Book Antiqua" w:hAnsi="Book Antiqua" w:cs="Times New Roman"/>
          <w:sz w:val="24"/>
          <w:szCs w:val="24"/>
          <w:lang w:val="en-US"/>
        </w:rPr>
        <w:fldChar w:fldCharType="begin" w:fldLock="1"/>
      </w:r>
      <w:r w:rsidR="00D83888" w:rsidRPr="005C7810">
        <w:rPr>
          <w:rFonts w:ascii="Book Antiqua" w:hAnsi="Book Antiqua" w:cs="Times New Roman"/>
          <w:sz w:val="24"/>
          <w:szCs w:val="24"/>
          <w:lang w:val="en-US"/>
        </w:rPr>
        <w:instrText>ADDIN CSL_CITATION {"citationItems":[{"id":"ITEM-1","itemData":{"DOI":"10.7150/jca.24179","author":[{"dropping-particle":"","family":"Wang","given":"Junling","non-dropping-particle":"","parse-names":false,"suffix":""},{"dropping-particle":"","family":"Yang","given":"Shuangxiang","non-dropping-particle":"","parse-names":false,"suffix":""},{"dropping-particle":"","family":"Yang","given":"Huilin","non-dropping-particle":"","parse-names":false,"suffix":""},{"dropping-particle":"","family":"Zhao","given":"Haiyue","non-dropping-particle":"","parse-names":false,"suffix":""},{"dropping-particle":"","family":"Li","given":"Lisong","non-dropping-particle":"","parse-names":false,"suffix":""},{"dropping-particle":"","family":"Yuan","given":"Ming","non-dropping-particle":"","parse-names":false,"suffix":""},{"dropping-particle":"","family":"Zhang","given":"Yong","non-dropping-particle":"","parse-names":false,"suffix":""}],"container-title":"Journal of Cancer","id":"ITEM-1","issue":"13","issued":{"date-parts":[["2018"]]},"page":"2397-2407","title":" Prognostic Values of CCNE1 Amplification and Overexpression in Cancer Patients: A Systematic Review and Meta-analysis ","type":"article-journal","volume":"9"},"uris":["http://www.mendeley.com/documents/?uuid=1dbc2122-4826-4480-bfc0-bb72afb9ccd7","http://www.mendeley.com/documents/?uuid=6d877a39-da04-4e68-b3a9-0f4edf80f4dc"]}],"mendeley":{"formattedCitation":"&lt;sup&gt;[133]&lt;/sup&gt;","plainTextFormattedCitation":"[133]","previouslyFormattedCitation":"&lt;sup&gt;[133]&lt;/sup&gt;"},"properties":{"noteIndex":0},"schema":"https://github.com/citation-style-language/schema/raw/master/csl-citation.json"}</w:instrText>
      </w:r>
      <w:r w:rsidR="00A81D35" w:rsidRPr="005C7810">
        <w:rPr>
          <w:rFonts w:ascii="Book Antiqua" w:hAnsi="Book Antiqua" w:cs="Times New Roman"/>
          <w:sz w:val="24"/>
          <w:szCs w:val="24"/>
          <w:lang w:val="en-US"/>
        </w:rPr>
        <w:fldChar w:fldCharType="separate"/>
      </w:r>
      <w:r w:rsidR="00280006" w:rsidRPr="005C7810">
        <w:rPr>
          <w:rFonts w:ascii="Book Antiqua" w:hAnsi="Book Antiqua" w:cs="Times New Roman"/>
          <w:sz w:val="24"/>
          <w:szCs w:val="24"/>
          <w:vertAlign w:val="superscript"/>
          <w:lang w:val="en-US"/>
        </w:rPr>
        <w:t>[133]</w:t>
      </w:r>
      <w:r w:rsidR="00A81D35"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Other monoclonal antibodies used to target EGFR</w:t>
      </w:r>
      <w:r w:rsidR="00B702EA" w:rsidRPr="005C7810">
        <w:rPr>
          <w:rFonts w:ascii="Book Antiqua" w:hAnsi="Book Antiqua" w:cs="Times New Roman"/>
          <w:sz w:val="24"/>
          <w:szCs w:val="24"/>
          <w:lang w:val="en-US"/>
        </w:rPr>
        <w:t xml:space="preserve"> include</w:t>
      </w:r>
      <w:r w:rsidRPr="005C7810">
        <w:rPr>
          <w:rFonts w:ascii="Book Antiqua" w:hAnsi="Book Antiqua" w:cs="Times New Roman"/>
          <w:sz w:val="24"/>
          <w:szCs w:val="24"/>
          <w:lang w:val="en-US"/>
        </w:rPr>
        <w:t xml:space="preserve"> </w:t>
      </w:r>
      <w:r w:rsidR="00990C4E" w:rsidRPr="005C7810">
        <w:rPr>
          <w:rFonts w:ascii="Book Antiqua" w:hAnsi="Book Antiqua" w:cs="Times New Roman"/>
          <w:sz w:val="24"/>
          <w:szCs w:val="24"/>
          <w:lang w:val="en-US"/>
        </w:rPr>
        <w:t>cetuximab and panitumumab</w:t>
      </w:r>
      <w:r w:rsidR="0098796B" w:rsidRPr="005C7810">
        <w:rPr>
          <w:rFonts w:ascii="Book Antiqua" w:hAnsi="Book Antiqua" w:cs="Times New Roman"/>
          <w:sz w:val="24"/>
          <w:szCs w:val="24"/>
          <w:lang w:val="en-US"/>
        </w:rPr>
        <w:t>.</w:t>
      </w:r>
      <w:r w:rsidR="00990C4E"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The results showed that anti-EGFR antibodies </w:t>
      </w:r>
      <w:r w:rsidR="00B702EA" w:rsidRPr="005C7810">
        <w:rPr>
          <w:rFonts w:ascii="Book Antiqua" w:hAnsi="Book Antiqua" w:cs="Times New Roman"/>
          <w:sz w:val="24"/>
          <w:szCs w:val="24"/>
          <w:lang w:val="en-US"/>
        </w:rPr>
        <w:t xml:space="preserve">did </w:t>
      </w:r>
      <w:r w:rsidRPr="005C7810">
        <w:rPr>
          <w:rFonts w:ascii="Book Antiqua" w:hAnsi="Book Antiqua" w:cs="Times New Roman"/>
          <w:sz w:val="24"/>
          <w:szCs w:val="24"/>
          <w:lang w:val="en-US"/>
        </w:rPr>
        <w:t>not provide further benefits for patients with advanced GC receiving chemotherapy</w:t>
      </w:r>
      <w:r w:rsidR="00B702EA" w:rsidRPr="005C7810">
        <w:rPr>
          <w:rFonts w:ascii="Book Antiqua" w:hAnsi="Book Antiqua" w:cs="Times New Roman"/>
          <w:sz w:val="24"/>
          <w:szCs w:val="24"/>
          <w:lang w:val="en-US"/>
        </w:rPr>
        <w:t xml:space="preserve"> as</w:t>
      </w:r>
      <w:r w:rsidRPr="005C7810">
        <w:rPr>
          <w:rFonts w:ascii="Book Antiqua" w:hAnsi="Book Antiqua" w:cs="Times New Roman"/>
          <w:sz w:val="24"/>
          <w:szCs w:val="24"/>
          <w:lang w:val="en-US"/>
        </w:rPr>
        <w:t xml:space="preserve"> first-line treatment</w:t>
      </w:r>
      <w:r w:rsidR="0096352B" w:rsidRPr="005C7810">
        <w:rPr>
          <w:rFonts w:ascii="Book Antiqua" w:hAnsi="Book Antiqua" w:cs="Times New Roman"/>
          <w:sz w:val="24"/>
          <w:szCs w:val="24"/>
          <w:lang w:val="en-US"/>
        </w:rPr>
        <w:t xml:space="preserve"> </w:t>
      </w:r>
      <w:r w:rsidR="00CA75FC" w:rsidRPr="005C7810">
        <w:rPr>
          <w:rFonts w:ascii="Book Antiqua" w:hAnsi="Book Antiqua" w:cs="Times New Roman"/>
          <w:sz w:val="24"/>
          <w:szCs w:val="24"/>
          <w:lang w:val="en-US"/>
        </w:rPr>
        <w:t xml:space="preserve">(EXPAND) </w:t>
      </w:r>
      <w:r w:rsidR="0096352B" w:rsidRPr="005C7810">
        <w:rPr>
          <w:rFonts w:ascii="Book Antiqua" w:hAnsi="Book Antiqua" w:cs="Times New Roman"/>
          <w:sz w:val="24"/>
          <w:szCs w:val="24"/>
          <w:lang w:val="en-US"/>
        </w:rPr>
        <w:t>(</w:t>
      </w:r>
      <w:r w:rsidR="004315A4" w:rsidRPr="005C7810">
        <w:rPr>
          <w:rFonts w:ascii="Book Antiqua" w:hAnsi="Book Antiqua" w:cs="Times New Roman"/>
          <w:sz w:val="24"/>
          <w:szCs w:val="24"/>
          <w:lang w:val="en-US"/>
        </w:rPr>
        <w:t>NCT00678535</w:t>
      </w:r>
      <w:r w:rsidR="0096352B" w:rsidRPr="005C7810">
        <w:rPr>
          <w:rFonts w:ascii="Book Antiqua" w:hAnsi="Book Antiqua" w:cs="Times New Roman"/>
          <w:sz w:val="24"/>
          <w:szCs w:val="24"/>
          <w:lang w:val="en-US"/>
        </w:rPr>
        <w:t>)</w:t>
      </w:r>
      <w:r w:rsidR="00A81D35" w:rsidRPr="005C7810">
        <w:rPr>
          <w:rFonts w:ascii="Book Antiqua" w:hAnsi="Book Antiqua" w:cs="Times New Roman"/>
          <w:sz w:val="24"/>
          <w:szCs w:val="24"/>
          <w:lang w:val="en-US"/>
        </w:rPr>
        <w:fldChar w:fldCharType="begin" w:fldLock="1"/>
      </w:r>
      <w:r w:rsidR="00D83888" w:rsidRPr="005C7810">
        <w:rPr>
          <w:rFonts w:ascii="Book Antiqua" w:hAnsi="Book Antiqua" w:cs="Times New Roman"/>
          <w:sz w:val="24"/>
          <w:szCs w:val="24"/>
          <w:lang w:val="en-US"/>
        </w:rPr>
        <w:instrText>ADDIN CSL_CITATION {"citationItems":[{"id":"ITEM-1","itemData":{"DOI":"10.1016/S1470-2045(13)70102-5","ISSN":"14702045","abstract":"Background: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 (on days 1-14) and intravenous cisplatin 80 mg/m2 (on day 1), with or without weekly cetuximab (400 mg/m2 initial infusion on day 1 followed by 250 mg/m2 per week thereafter). 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Oncology","id":"ITEM-1","issue":"6","issued":{"date-parts":[["2013"]]},"page":"490-499","publisher":"Elsevier Ltd","title":"Capecitabine and cisplatin with or without cetuximab for patients with previously untreated advanced gastric cancer (EXPAND): A randomised, open-label phase 3 trial","type":"article-journal","volume":"14"},"uris":["http://www.mendeley.com/documents/?uuid=f1e6b162-853d-4af9-b385-0a01f626cc73","http://www.mendeley.com/documents/?uuid=7fb7cf1d-b811-4bdf-a802-27d4cdb3553c"]}],"mendeley":{"formattedCitation":"&lt;sup&gt;[134]&lt;/sup&gt;","plainTextFormattedCitation":"[134]","previouslyFormattedCitation":"&lt;sup&gt;[134]&lt;/sup&gt;"},"properties":{"noteIndex":0},"schema":"https://github.com/citation-style-language/schema/raw/master/csl-citation.json"}</w:instrText>
      </w:r>
      <w:r w:rsidR="00A81D35" w:rsidRPr="005C7810">
        <w:rPr>
          <w:rFonts w:ascii="Book Antiqua" w:hAnsi="Book Antiqua" w:cs="Times New Roman"/>
          <w:sz w:val="24"/>
          <w:szCs w:val="24"/>
          <w:lang w:val="en-US"/>
        </w:rPr>
        <w:fldChar w:fldCharType="separate"/>
      </w:r>
      <w:r w:rsidR="00280006" w:rsidRPr="005C7810">
        <w:rPr>
          <w:rFonts w:ascii="Book Antiqua" w:hAnsi="Book Antiqua" w:cs="Times New Roman"/>
          <w:sz w:val="24"/>
          <w:szCs w:val="24"/>
          <w:vertAlign w:val="superscript"/>
          <w:lang w:val="en-US"/>
        </w:rPr>
        <w:t>[134]</w:t>
      </w:r>
      <w:r w:rsidR="00A81D35"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w:t>
      </w:r>
      <w:r w:rsidR="009809D1" w:rsidRPr="005C7810">
        <w:rPr>
          <w:rFonts w:ascii="Book Antiqua" w:hAnsi="Book Antiqua" w:cs="Times New Roman"/>
          <w:sz w:val="24"/>
          <w:szCs w:val="24"/>
          <w:lang w:val="en-US"/>
        </w:rPr>
        <w:t>Panitumumab</w:t>
      </w:r>
      <w:r w:rsidR="00990C4E" w:rsidRPr="005C7810">
        <w:rPr>
          <w:rFonts w:ascii="Book Antiqua" w:hAnsi="Book Antiqua" w:cs="Times New Roman"/>
          <w:sz w:val="24"/>
          <w:szCs w:val="24"/>
          <w:lang w:val="en-US"/>
        </w:rPr>
        <w:t xml:space="preserve"> </w:t>
      </w:r>
      <w:r w:rsidR="009809D1" w:rsidRPr="005C7810">
        <w:rPr>
          <w:rFonts w:ascii="Book Antiqua" w:hAnsi="Book Antiqua" w:cs="Times New Roman"/>
          <w:sz w:val="24"/>
          <w:szCs w:val="24"/>
          <w:lang w:val="en-US"/>
        </w:rPr>
        <w:t>was used as first-line tr</w:t>
      </w:r>
      <w:r w:rsidR="000D35A7" w:rsidRPr="005C7810">
        <w:rPr>
          <w:rFonts w:ascii="Book Antiqua" w:hAnsi="Book Antiqua" w:cs="Times New Roman"/>
          <w:sz w:val="24"/>
          <w:szCs w:val="24"/>
          <w:lang w:val="en-US"/>
        </w:rPr>
        <w:t xml:space="preserve">eatment in </w:t>
      </w:r>
      <w:r w:rsidR="00B702EA" w:rsidRPr="005C7810">
        <w:rPr>
          <w:rFonts w:ascii="Book Antiqua" w:hAnsi="Book Antiqua" w:cs="Times New Roman"/>
          <w:sz w:val="24"/>
          <w:szCs w:val="24"/>
          <w:lang w:val="en-US"/>
        </w:rPr>
        <w:t>a</w:t>
      </w:r>
      <w:r w:rsidR="000D35A7" w:rsidRPr="005C7810">
        <w:rPr>
          <w:rFonts w:ascii="Book Antiqua" w:hAnsi="Book Antiqua" w:cs="Times New Roman"/>
          <w:sz w:val="24"/>
          <w:szCs w:val="24"/>
          <w:lang w:val="en-US"/>
        </w:rPr>
        <w:t xml:space="preserve"> clinical phase I</w:t>
      </w:r>
      <w:r w:rsidR="009809D1" w:rsidRPr="005C7810">
        <w:rPr>
          <w:rFonts w:ascii="Book Antiqua" w:hAnsi="Book Antiqua" w:cs="Times New Roman"/>
          <w:sz w:val="24"/>
          <w:szCs w:val="24"/>
          <w:lang w:val="en-US"/>
        </w:rPr>
        <w:t>/II trial (NCT01716546) in association with 5-FU, cisplatin</w:t>
      </w:r>
      <w:r w:rsidR="004A6501" w:rsidRPr="005C7810">
        <w:rPr>
          <w:rFonts w:ascii="Book Antiqua" w:hAnsi="Book Antiqua" w:cs="Times New Roman"/>
          <w:sz w:val="24"/>
          <w:szCs w:val="24"/>
          <w:lang w:val="en-US"/>
        </w:rPr>
        <w:t>,</w:t>
      </w:r>
      <w:r w:rsidR="009809D1" w:rsidRPr="005C7810">
        <w:rPr>
          <w:rFonts w:ascii="Book Antiqua" w:hAnsi="Book Antiqua" w:cs="Times New Roman"/>
          <w:sz w:val="24"/>
          <w:szCs w:val="24"/>
          <w:lang w:val="en-US"/>
        </w:rPr>
        <w:t xml:space="preserve"> and docetaxel </w:t>
      </w:r>
      <w:r w:rsidR="00B702EA" w:rsidRPr="005C7810">
        <w:rPr>
          <w:rFonts w:ascii="Book Antiqua" w:hAnsi="Book Antiqua" w:cs="Times New Roman"/>
          <w:sz w:val="24"/>
          <w:szCs w:val="24"/>
          <w:lang w:val="en-US"/>
        </w:rPr>
        <w:t>for</w:t>
      </w:r>
      <w:r w:rsidR="009809D1" w:rsidRPr="005C7810">
        <w:rPr>
          <w:rFonts w:ascii="Book Antiqua" w:hAnsi="Book Antiqua" w:cs="Times New Roman"/>
          <w:sz w:val="24"/>
          <w:szCs w:val="24"/>
          <w:lang w:val="en-US"/>
        </w:rPr>
        <w:t xml:space="preserve"> locally advanced or metastatic GC. However, </w:t>
      </w:r>
      <w:r w:rsidR="00B702EA" w:rsidRPr="005C7810">
        <w:rPr>
          <w:rFonts w:ascii="Book Antiqua" w:hAnsi="Book Antiqua" w:cs="Times New Roman"/>
          <w:sz w:val="24"/>
          <w:szCs w:val="24"/>
          <w:lang w:val="en-US"/>
        </w:rPr>
        <w:t>this</w:t>
      </w:r>
      <w:r w:rsidR="009809D1" w:rsidRPr="005C7810">
        <w:rPr>
          <w:rFonts w:ascii="Book Antiqua" w:hAnsi="Book Antiqua" w:cs="Times New Roman"/>
          <w:sz w:val="24"/>
          <w:szCs w:val="24"/>
          <w:lang w:val="en-US"/>
        </w:rPr>
        <w:t xml:space="preserve"> study did not reach its primary endpoint because in an intermediate analysis</w:t>
      </w:r>
      <w:r w:rsidR="00B702EA" w:rsidRPr="005C7810">
        <w:rPr>
          <w:rFonts w:ascii="Book Antiqua" w:hAnsi="Book Antiqua" w:cs="Times New Roman"/>
          <w:sz w:val="24"/>
          <w:szCs w:val="24"/>
          <w:lang w:val="en-US"/>
        </w:rPr>
        <w:t>,</w:t>
      </w:r>
      <w:r w:rsidR="009809D1" w:rsidRPr="005C7810">
        <w:rPr>
          <w:rFonts w:ascii="Book Antiqua" w:hAnsi="Book Antiqua" w:cs="Times New Roman"/>
          <w:sz w:val="24"/>
          <w:szCs w:val="24"/>
          <w:lang w:val="en-US"/>
        </w:rPr>
        <w:t xml:space="preserve"> the number of responses obtained was lower than the prefixed limit</w:t>
      </w:r>
      <w:r w:rsidR="00A81D35" w:rsidRPr="005C7810">
        <w:rPr>
          <w:rFonts w:ascii="Book Antiqua" w:hAnsi="Book Antiqua" w:cs="Times New Roman"/>
          <w:sz w:val="24"/>
          <w:szCs w:val="24"/>
          <w:lang w:val="en-US"/>
        </w:rPr>
        <w:fldChar w:fldCharType="begin" w:fldLock="1"/>
      </w:r>
      <w:r w:rsidR="00D83888" w:rsidRPr="005C7810">
        <w:rPr>
          <w:rFonts w:ascii="Book Antiqua" w:hAnsi="Book Antiqua" w:cs="Times New Roman"/>
          <w:sz w:val="24"/>
          <w:szCs w:val="24"/>
          <w:lang w:val="en-US"/>
        </w:rPr>
        <w:instrText>ADDIN CSL_CITATION {"citationItems":[{"id":"ITEM-1","itemData":{"DOI":"10.20524/aog.2018.0311","abstract":"Background A phase I/II study to define the maximum tolerated dose (MTD) of biweekly docetaxel/cisplatin/5-fluorouracil (DCF) plus panitumumab (P), its efficacy, and tolerability as first-line treatment in advanced gastroesophageal cancer.","author":[{"dropping-particle":"","family":"Kentepozidis","given":"Nikolaos","non-dropping-particle":"","parse-names":false,"suffix":""},{"dropping-particle":"","family":"Economopoulou","given":"Panagiota","non-dropping-particle":"","parse-names":false,"suffix":""},{"dropping-particle":"","family":"Liontos","given":"Michael","non-dropping-particle":"","parse-names":false,"suffix":""},{"dropping-particle":"","family":"Kotsakis","given":"Athanasios","non-dropping-particle":"","parse-names":false,"suffix":""},{"dropping-particle":"","family":"Boukovinas","given":"Ioannis","non-dropping-particle":"","parse-names":false,"suffix":""},{"dropping-particle":"","family":"Vardakis","given":"Nikolaos","non-dropping-particle":"","parse-names":false,"suffix":""},{"dropping-particle":"","family":"Kontopodis","given":"Emmanouil","non-dropping-particle":"","parse-names":false,"suffix":""},{"dropping-particle":"","family":"Prinarakis","given":"Efthimios","non-dropping-particle":"","parse-names":false,"suffix":""},{"dropping-particle":"","family":"Skaltsi","given":"Teressa","non-dropping-particle":"","parse-names":false,"suffix":""},{"dropping-particle":"","family":"Souglakos","given":"John","non-dropping-particle":"","parse-names":false,"suffix":""},{"dropping-particle":"","family":"Georgoulias","given":"Vassilis","non-dropping-particle":"","parse-names":false,"suffix":""}],"id":"ITEM-1","issued":{"date-parts":[["2018"]]},"title":"Panitumumab in combination with modified docetaxel/ cisplatin/5-fluorouracil as first-line treatment in gastric and gastroesophageal junction adenocarcinomas: a multicenter phase II study by the Hellenic Oncology Research Group","type":"article-journal"},"uris":["http://www.mendeley.com/documents/?uuid=0d02de8f-eba5-3cf6-afdd-6a22f9735d57","http://www.mendeley.com/documents/?uuid=3ab2756b-cd8c-47e8-8d5e-c05a8d8fadda"]}],"mendeley":{"formattedCitation":"&lt;sup&gt;[135]&lt;/sup&gt;","plainTextFormattedCitation":"[135]","previouslyFormattedCitation":"&lt;sup&gt;[135]&lt;/sup&gt;"},"properties":{"noteIndex":0},"schema":"https://github.com/citation-style-language/schema/raw/master/csl-citation.json"}</w:instrText>
      </w:r>
      <w:r w:rsidR="00A81D35" w:rsidRPr="005C7810">
        <w:rPr>
          <w:rFonts w:ascii="Book Antiqua" w:hAnsi="Book Antiqua" w:cs="Times New Roman"/>
          <w:sz w:val="24"/>
          <w:szCs w:val="24"/>
          <w:lang w:val="en-US"/>
        </w:rPr>
        <w:fldChar w:fldCharType="separate"/>
      </w:r>
      <w:r w:rsidR="00280006" w:rsidRPr="005C7810">
        <w:rPr>
          <w:rFonts w:ascii="Book Antiqua" w:hAnsi="Book Antiqua" w:cs="Times New Roman"/>
          <w:sz w:val="24"/>
          <w:szCs w:val="24"/>
          <w:vertAlign w:val="superscript"/>
          <w:lang w:val="en-US"/>
        </w:rPr>
        <w:t>[135]</w:t>
      </w:r>
      <w:r w:rsidR="00A81D35" w:rsidRPr="005C7810">
        <w:rPr>
          <w:rFonts w:ascii="Book Antiqua" w:hAnsi="Book Antiqua" w:cs="Times New Roman"/>
          <w:sz w:val="24"/>
          <w:szCs w:val="24"/>
          <w:lang w:val="en-US"/>
        </w:rPr>
        <w:fldChar w:fldCharType="end"/>
      </w:r>
      <w:r w:rsidR="009809D1" w:rsidRPr="005C7810">
        <w:rPr>
          <w:rFonts w:ascii="Book Antiqua" w:hAnsi="Book Antiqua" w:cs="Times New Roman"/>
          <w:sz w:val="24"/>
          <w:szCs w:val="24"/>
          <w:lang w:val="en-US"/>
        </w:rPr>
        <w:t>.</w:t>
      </w:r>
      <w:r w:rsidR="002A377F" w:rsidRPr="005C7810">
        <w:rPr>
          <w:rFonts w:ascii="Book Antiqua" w:hAnsi="Book Antiqua" w:cs="Times New Roman"/>
          <w:sz w:val="24"/>
          <w:szCs w:val="24"/>
          <w:lang w:val="en-US"/>
        </w:rPr>
        <w:t xml:space="preserve"> </w:t>
      </w:r>
      <w:r w:rsidR="003F1550" w:rsidRPr="005C7810">
        <w:rPr>
          <w:rFonts w:ascii="Book Antiqua" w:hAnsi="Book Antiqua" w:cs="Times New Roman"/>
          <w:color w:val="000000"/>
          <w:sz w:val="24"/>
          <w:szCs w:val="24"/>
          <w:lang w:val="en-US"/>
        </w:rPr>
        <w:t xml:space="preserve">Nimotuzumab is the first EGFR humanized monoclonal antibody that binds with high specificity to the </w:t>
      </w:r>
      <w:r w:rsidR="003F1550" w:rsidRPr="005C7810">
        <w:rPr>
          <w:rFonts w:ascii="Book Antiqua" w:hAnsi="Book Antiqua" w:cs="Times New Roman"/>
          <w:color w:val="000000"/>
          <w:sz w:val="24"/>
          <w:szCs w:val="24"/>
          <w:lang w:val="en-US"/>
        </w:rPr>
        <w:lastRenderedPageBreak/>
        <w:t>extracellular region of EGFR. Two clinical trials have been concluded. The phase III study (NCT01813253)</w:t>
      </w:r>
      <w:r w:rsidR="00D83888" w:rsidRPr="005C7810">
        <w:rPr>
          <w:rFonts w:ascii="Book Antiqua" w:hAnsi="Book Antiqua" w:cs="Times New Roman"/>
          <w:color w:val="000000"/>
          <w:sz w:val="24"/>
          <w:szCs w:val="24"/>
          <w:lang w:val="en-US"/>
        </w:rPr>
        <w:t xml:space="preserve"> </w:t>
      </w:r>
      <w:r w:rsidR="003F1550" w:rsidRPr="005C7810">
        <w:rPr>
          <w:rFonts w:ascii="Book Antiqua" w:hAnsi="Book Antiqua" w:cs="Times New Roman"/>
          <w:color w:val="000000"/>
          <w:sz w:val="24"/>
          <w:szCs w:val="24"/>
          <w:lang w:val="en-US"/>
        </w:rPr>
        <w:t>was performed to evaluate the OS in advanced GC patients with EGFR overexpress</w:t>
      </w:r>
      <w:r w:rsidR="00851CD6" w:rsidRPr="005C7810">
        <w:rPr>
          <w:rFonts w:ascii="Book Antiqua" w:hAnsi="Book Antiqua" w:cs="Times New Roman"/>
          <w:color w:val="000000"/>
          <w:sz w:val="24"/>
          <w:szCs w:val="24"/>
          <w:lang w:val="en-US"/>
        </w:rPr>
        <w:t>ion who were</w:t>
      </w:r>
      <w:r w:rsidR="003F1550" w:rsidRPr="005C7810">
        <w:rPr>
          <w:rFonts w:ascii="Book Antiqua" w:hAnsi="Book Antiqua" w:cs="Times New Roman"/>
          <w:color w:val="000000"/>
          <w:sz w:val="24"/>
          <w:szCs w:val="24"/>
          <w:lang w:val="en-US"/>
        </w:rPr>
        <w:t xml:space="preserve"> treated with nimotuzumab in combination with irinotecan </w:t>
      </w:r>
      <w:r w:rsidR="00851CD6" w:rsidRPr="005C7810">
        <w:rPr>
          <w:rFonts w:ascii="Book Antiqua" w:hAnsi="Book Antiqua" w:cs="Times New Roman"/>
          <w:color w:val="000000"/>
          <w:sz w:val="24"/>
          <w:szCs w:val="24"/>
          <w:lang w:val="en-US"/>
        </w:rPr>
        <w:t xml:space="preserve">and </w:t>
      </w:r>
      <w:r w:rsidR="003F1550" w:rsidRPr="005C7810">
        <w:rPr>
          <w:rFonts w:ascii="Book Antiqua" w:hAnsi="Book Antiqua" w:cs="Times New Roman"/>
          <w:color w:val="000000"/>
          <w:sz w:val="24"/>
          <w:szCs w:val="24"/>
          <w:lang w:val="en-US"/>
        </w:rPr>
        <w:t xml:space="preserve">compared to </w:t>
      </w:r>
      <w:r w:rsidR="00851CD6" w:rsidRPr="005C7810">
        <w:rPr>
          <w:rFonts w:ascii="Book Antiqua" w:hAnsi="Book Antiqua" w:cs="Times New Roman"/>
          <w:color w:val="000000"/>
          <w:sz w:val="24"/>
          <w:szCs w:val="24"/>
          <w:lang w:val="en-US"/>
        </w:rPr>
        <w:t>a</w:t>
      </w:r>
      <w:r w:rsidR="003F1550" w:rsidRPr="005C7810">
        <w:rPr>
          <w:rFonts w:ascii="Book Antiqua" w:hAnsi="Book Antiqua" w:cs="Times New Roman"/>
          <w:color w:val="000000"/>
          <w:sz w:val="24"/>
          <w:szCs w:val="24"/>
          <w:lang w:val="en-US"/>
        </w:rPr>
        <w:t xml:space="preserve"> group of patients who received only irinotecan. This study, completed in 2018, has not yet </w:t>
      </w:r>
      <w:r w:rsidR="00851CD6" w:rsidRPr="005C7810">
        <w:rPr>
          <w:rFonts w:ascii="Book Antiqua" w:hAnsi="Book Antiqua" w:cs="Times New Roman"/>
          <w:color w:val="000000"/>
          <w:sz w:val="24"/>
          <w:szCs w:val="24"/>
          <w:lang w:val="en-US"/>
        </w:rPr>
        <w:t>had its</w:t>
      </w:r>
      <w:r w:rsidR="003F1550" w:rsidRPr="005C7810">
        <w:rPr>
          <w:rFonts w:ascii="Book Antiqua" w:hAnsi="Book Antiqua" w:cs="Times New Roman"/>
          <w:color w:val="000000"/>
          <w:sz w:val="24"/>
          <w:szCs w:val="24"/>
          <w:lang w:val="en-US"/>
        </w:rPr>
        <w:t xml:space="preserve"> results</w:t>
      </w:r>
      <w:r w:rsidR="00851CD6" w:rsidRPr="005C7810">
        <w:rPr>
          <w:rFonts w:ascii="Book Antiqua" w:hAnsi="Book Antiqua" w:cs="Times New Roman"/>
          <w:color w:val="000000"/>
          <w:sz w:val="24"/>
          <w:szCs w:val="24"/>
          <w:lang w:val="en-US"/>
        </w:rPr>
        <w:t xml:space="preserve"> reported</w:t>
      </w:r>
      <w:r w:rsidR="00D32DD5" w:rsidRPr="005C7810">
        <w:rPr>
          <w:rFonts w:ascii="Book Antiqua" w:hAnsi="Book Antiqua" w:cs="Times New Roman"/>
          <w:color w:val="000000"/>
          <w:sz w:val="24"/>
          <w:szCs w:val="24"/>
          <w:vertAlign w:val="superscript"/>
          <w:lang w:val="en-US"/>
        </w:rPr>
        <w:fldChar w:fldCharType="begin" w:fldLock="1"/>
      </w:r>
      <w:r w:rsidR="00D32DD5" w:rsidRPr="005C7810">
        <w:rPr>
          <w:rFonts w:ascii="Book Antiqua" w:hAnsi="Book Antiqua" w:cs="Times New Roman"/>
          <w:color w:val="000000"/>
          <w:sz w:val="24"/>
          <w:szCs w:val="24"/>
          <w:vertAlign w:val="superscript"/>
          <w:lang w:val="en-US"/>
        </w:rPr>
        <w:instrText>ADDIN CSL_CITATION {"citationItems":[{"id":"ITEM-1","itemData":{"author":[{"dropping-particle":"","family":"Kuhnil Pharmaceutical Co.","given":"Ltd","non-dropping-particle":"","parse-names":false,"suffix":""}],"container-title":"In: ClinicalTrials.gov[Internet]. Bethesda: U.S. National Library of Medicine. Available from: https://clinicaltrials.gov/ct2/show/NCT01813253 Clinical Trials.gov Identifier: NCT01813253","id":"ITEM-1","issued":{"date-parts":[["0"]]},"title":"Phase 3 Study of Nimotuzumab and Irinotecan as Second Line With Advanced or Recurrect Gastric and Gastroesophageal Junction Cancer","type":"article-journal"},"uris":["http://www.mendeley.com/documents/?uuid=ef95e2e0-389c-41ae-a8d7-61577eff5f1c"]}],"mendeley":{"formattedCitation":"&lt;sup&gt;[136]&lt;/sup&gt;","plainTextFormattedCitation":"[136]","previouslyFormattedCitation":"&lt;sup&gt;[136]&lt;/sup&gt;"},"properties":{"noteIndex":0},"schema":"https://github.com/citation-style-language/schema/raw/master/csl-citation.json"}</w:instrText>
      </w:r>
      <w:r w:rsidR="00D32DD5" w:rsidRPr="005C7810">
        <w:rPr>
          <w:rFonts w:ascii="Book Antiqua" w:hAnsi="Book Antiqua" w:cs="Times New Roman"/>
          <w:color w:val="000000"/>
          <w:sz w:val="24"/>
          <w:szCs w:val="24"/>
          <w:vertAlign w:val="superscript"/>
          <w:lang w:val="en-US"/>
        </w:rPr>
        <w:fldChar w:fldCharType="separate"/>
      </w:r>
      <w:r w:rsidR="00D32DD5" w:rsidRPr="005C7810">
        <w:rPr>
          <w:rFonts w:ascii="Book Antiqua" w:hAnsi="Book Antiqua" w:cs="Times New Roman"/>
          <w:color w:val="000000"/>
          <w:sz w:val="24"/>
          <w:szCs w:val="24"/>
          <w:vertAlign w:val="superscript"/>
          <w:lang w:val="en-US"/>
        </w:rPr>
        <w:t>[136]</w:t>
      </w:r>
      <w:r w:rsidR="00D32DD5" w:rsidRPr="005C7810">
        <w:rPr>
          <w:rFonts w:ascii="Book Antiqua" w:hAnsi="Book Antiqua" w:cs="Times New Roman"/>
          <w:color w:val="000000"/>
          <w:sz w:val="24"/>
          <w:szCs w:val="24"/>
          <w:vertAlign w:val="superscript"/>
          <w:lang w:val="en-US"/>
        </w:rPr>
        <w:fldChar w:fldCharType="end"/>
      </w:r>
      <w:r w:rsidR="003F1550" w:rsidRPr="005C7810">
        <w:rPr>
          <w:rFonts w:ascii="Book Antiqua" w:hAnsi="Book Antiqua" w:cs="Times New Roman"/>
          <w:color w:val="000000"/>
          <w:sz w:val="24"/>
          <w:szCs w:val="24"/>
          <w:lang w:val="en-US"/>
        </w:rPr>
        <w:t xml:space="preserve">. The </w:t>
      </w:r>
      <w:r w:rsidR="00851CD6" w:rsidRPr="005C7810">
        <w:rPr>
          <w:rFonts w:ascii="Book Antiqua" w:hAnsi="Book Antiqua" w:cs="Times New Roman"/>
          <w:color w:val="000000"/>
          <w:sz w:val="24"/>
          <w:szCs w:val="24"/>
          <w:lang w:val="en-US"/>
        </w:rPr>
        <w:t xml:space="preserve">second </w:t>
      </w:r>
      <w:r w:rsidR="003F1550" w:rsidRPr="005C7810">
        <w:rPr>
          <w:rFonts w:ascii="Book Antiqua" w:hAnsi="Book Antiqua" w:cs="Times New Roman"/>
          <w:color w:val="000000"/>
          <w:sz w:val="24"/>
          <w:szCs w:val="24"/>
          <w:lang w:val="en-US"/>
        </w:rPr>
        <w:t>study (NCT02370849)</w:t>
      </w:r>
      <w:r w:rsidR="00D05A12" w:rsidRPr="005C7810">
        <w:rPr>
          <w:rFonts w:ascii="Book Antiqua" w:hAnsi="Book Antiqua" w:cs="Times New Roman"/>
          <w:color w:val="000000"/>
          <w:sz w:val="24"/>
          <w:szCs w:val="24"/>
          <w:lang w:val="en-US"/>
        </w:rPr>
        <w:t xml:space="preserve"> </w:t>
      </w:r>
      <w:r w:rsidR="0082228C" w:rsidRPr="005C7810">
        <w:rPr>
          <w:rFonts w:ascii="Book Antiqua" w:hAnsi="Book Antiqua" w:cs="Times New Roman"/>
          <w:color w:val="000000"/>
          <w:sz w:val="24"/>
          <w:szCs w:val="24"/>
          <w:lang w:val="en-US"/>
        </w:rPr>
        <w:t>e</w:t>
      </w:r>
      <w:r w:rsidR="00D05A12" w:rsidRPr="005C7810">
        <w:rPr>
          <w:rFonts w:ascii="Book Antiqua" w:hAnsi="Book Antiqua" w:cs="Times New Roman"/>
          <w:color w:val="000000"/>
          <w:sz w:val="24"/>
          <w:szCs w:val="24"/>
          <w:lang w:val="en-US"/>
        </w:rPr>
        <w:t>v</w:t>
      </w:r>
      <w:r w:rsidR="003F1550" w:rsidRPr="005C7810">
        <w:rPr>
          <w:rFonts w:ascii="Book Antiqua" w:hAnsi="Book Antiqua" w:cs="Times New Roman"/>
          <w:color w:val="000000"/>
          <w:sz w:val="24"/>
          <w:szCs w:val="24"/>
          <w:lang w:val="en-US"/>
        </w:rPr>
        <w:t xml:space="preserve">aluated the efficacy of cisplatin and S-1 with and without nimotuzumab in patients with advanced </w:t>
      </w:r>
      <w:r w:rsidR="00241980" w:rsidRPr="005C7810">
        <w:rPr>
          <w:rFonts w:ascii="Book Antiqua" w:hAnsi="Book Antiqua" w:cs="Times New Roman"/>
          <w:color w:val="000000"/>
          <w:sz w:val="24"/>
          <w:szCs w:val="24"/>
          <w:lang w:val="en-US"/>
        </w:rPr>
        <w:t xml:space="preserve">GC </w:t>
      </w:r>
      <w:r w:rsidR="00945A33" w:rsidRPr="005C7810">
        <w:rPr>
          <w:rFonts w:ascii="Book Antiqua" w:hAnsi="Book Antiqua" w:cs="Times New Roman"/>
          <w:color w:val="000000"/>
          <w:sz w:val="24"/>
          <w:szCs w:val="24"/>
          <w:lang w:val="en-US"/>
        </w:rPr>
        <w:t xml:space="preserve">who were </w:t>
      </w:r>
      <w:r w:rsidR="003F1550" w:rsidRPr="005C7810">
        <w:rPr>
          <w:rFonts w:ascii="Book Antiqua" w:hAnsi="Book Antiqua" w:cs="Times New Roman"/>
          <w:color w:val="000000"/>
          <w:sz w:val="24"/>
          <w:szCs w:val="24"/>
          <w:lang w:val="en-US"/>
        </w:rPr>
        <w:t>not previously treated</w:t>
      </w:r>
      <w:r w:rsidR="00FA38DA" w:rsidRPr="005C7810">
        <w:rPr>
          <w:rFonts w:ascii="Book Antiqua" w:hAnsi="Book Antiqua" w:cs="Times New Roman"/>
          <w:color w:val="000000"/>
          <w:sz w:val="24"/>
          <w:szCs w:val="24"/>
          <w:vertAlign w:val="superscript"/>
          <w:lang w:val="en-US"/>
        </w:rPr>
        <w:fldChar w:fldCharType="begin" w:fldLock="1"/>
      </w:r>
      <w:r w:rsidR="00FA38DA" w:rsidRPr="005C7810">
        <w:rPr>
          <w:rFonts w:ascii="Book Antiqua" w:hAnsi="Book Antiqua" w:cs="Times New Roman"/>
          <w:color w:val="000000"/>
          <w:sz w:val="24"/>
          <w:szCs w:val="24"/>
          <w:vertAlign w:val="superscript"/>
          <w:lang w:val="en-US"/>
        </w:rPr>
        <w:instrText>ADDIN CSL_CITATION {"citationItems":[{"id":"ITEM-1","itemData":{"author":[{"dropping-particle":"","family":"Chi","given":"Y","non-dropping-particle":"","parse-names":false,"suffix":""}],"container-title":"In: ClinicalTrials.gov[Internet]. Bethesda: U.S. National Library of Medicine. Available from: https://clinicaltrials.gov/ct2/show/NCT02370849 Clinical Trials.gov Identifier: NCT02370849","id":"ITEM-1","issued":{"date-parts":[["0"]]},"title":"Cisplatin and S-1 With or Without Nimotuzumab in Untreated Advanced Gastric Adenocarcinoma","type":"article-journal"},"uris":["http://www.mendeley.com/documents/?uuid=5b740767-7984-4fc1-ba10-540f73523ddf"]}],"mendeley":{"formattedCitation":"&lt;sup&gt;[137]&lt;/sup&gt;","plainTextFormattedCitation":"[137]","previouslyFormattedCitation":"&lt;sup&gt;[137]&lt;/sup&gt;"},"properties":{"noteIndex":0},"schema":"https://github.com/citation-style-language/schema/raw/master/csl-citation.json"}</w:instrText>
      </w:r>
      <w:r w:rsidR="00FA38DA" w:rsidRPr="005C7810">
        <w:rPr>
          <w:rFonts w:ascii="Book Antiqua" w:hAnsi="Book Antiqua" w:cs="Times New Roman"/>
          <w:color w:val="000000"/>
          <w:sz w:val="24"/>
          <w:szCs w:val="24"/>
          <w:vertAlign w:val="superscript"/>
          <w:lang w:val="en-US"/>
        </w:rPr>
        <w:fldChar w:fldCharType="separate"/>
      </w:r>
      <w:r w:rsidR="00FA38DA" w:rsidRPr="005C7810">
        <w:rPr>
          <w:rFonts w:ascii="Book Antiqua" w:hAnsi="Book Antiqua" w:cs="Times New Roman"/>
          <w:color w:val="000000"/>
          <w:sz w:val="24"/>
          <w:szCs w:val="24"/>
          <w:vertAlign w:val="superscript"/>
          <w:lang w:val="en-US"/>
        </w:rPr>
        <w:t>[137]</w:t>
      </w:r>
      <w:r w:rsidR="00FA38DA" w:rsidRPr="005C7810">
        <w:rPr>
          <w:rFonts w:ascii="Book Antiqua" w:hAnsi="Book Antiqua" w:cs="Times New Roman"/>
          <w:color w:val="000000"/>
          <w:sz w:val="24"/>
          <w:szCs w:val="24"/>
          <w:vertAlign w:val="superscript"/>
          <w:lang w:val="en-US"/>
        </w:rPr>
        <w:fldChar w:fldCharType="end"/>
      </w:r>
      <w:r w:rsidR="00FA38DA" w:rsidRPr="005C7810">
        <w:rPr>
          <w:rFonts w:ascii="Book Antiqua" w:hAnsi="Book Antiqua" w:cs="Times New Roman"/>
          <w:color w:val="000000"/>
          <w:sz w:val="24"/>
          <w:szCs w:val="24"/>
          <w:lang w:val="en-US"/>
        </w:rPr>
        <w:t>.</w:t>
      </w:r>
      <w:r w:rsidR="003F1550" w:rsidRPr="005C7810">
        <w:rPr>
          <w:rFonts w:ascii="Book Antiqua" w:hAnsi="Book Antiqua" w:cs="Times New Roman"/>
          <w:color w:val="000000"/>
          <w:sz w:val="24"/>
          <w:szCs w:val="24"/>
          <w:lang w:val="en-US"/>
        </w:rPr>
        <w:t xml:space="preserve"> The combination of nimotuzumab and S-1-cisplatin provided no additional benefit compared to chemotherapy alone in the first-line treatment of unresectable or metastatic </w:t>
      </w:r>
      <w:r w:rsidR="00AB7DC7" w:rsidRPr="005C7810">
        <w:rPr>
          <w:rFonts w:ascii="Book Antiqua" w:hAnsi="Book Antiqua" w:cs="Times New Roman"/>
          <w:color w:val="000000"/>
          <w:sz w:val="24"/>
          <w:szCs w:val="24"/>
          <w:lang w:val="en-US"/>
        </w:rPr>
        <w:t>GC</w:t>
      </w:r>
      <w:r w:rsidR="00B0152B" w:rsidRPr="005C7810">
        <w:rPr>
          <w:rFonts w:ascii="Book Antiqua" w:hAnsi="Book Antiqua" w:cs="Times New Roman"/>
          <w:color w:val="000000"/>
          <w:sz w:val="24"/>
          <w:szCs w:val="24"/>
          <w:lang w:val="en-US"/>
        </w:rPr>
        <w:fldChar w:fldCharType="begin" w:fldLock="1"/>
      </w:r>
      <w:r w:rsidR="00B0152B" w:rsidRPr="005C7810">
        <w:rPr>
          <w:rFonts w:ascii="Book Antiqua" w:hAnsi="Book Antiqua" w:cs="Times New Roman"/>
          <w:color w:val="000000"/>
          <w:sz w:val="24"/>
          <w:szCs w:val="24"/>
          <w:lang w:val="en-US"/>
        </w:rPr>
        <w:instrText>ADDIN CSL_CITATION {"citationItems":[{"id":"ITEM-1","itemData":{"DOI":"10.1097/MD.0000000000000958","ISBN":"0000000000000","ISSN":"15365964","abstract":"This open-label, randomized phase II trial was performed to compare the efficacy and safety of nimotuzumab plus S-1 and cisplatin (NCS) versus S-1 and cisplatin (CS) alone in patients with untreated unresectable or metastatic gastric cancer in the first-line setting. Eligible participants were randomly assigned (1:1) to receive either NCS or CS. The treatment consisted of 3-week cycles of twice-daily S-1 40 mg/m² (on days 1-14) and intravenous cisplatin 30 mg/m² (on days 1, 2), with or without weekly nimotuzumab (200 mg/m²). The primary endpoint was objective response rate (ORR). The second endpoint included progression-free survival (PFS), overall survival (OS), safety and association between efficacy and tumor epidermal growth factor receptor (EGFR) expression. Between October, 2009, and February, 2012, we enrolled 62 patients in Cancer Hospital Chinese Academy of Medical Sciences (CAMS). The ORR for 31 patients allocated NCS was 54.8% compared with 58.1% for 31 patients who were allocated to receive CS alone (P = 0.798). Median PFS for patients in CS arm was significantly improved than that in NCS arm [7.2 months vs. 4.8 months HR = 2.136 (95% CI 1.193-3.826), P = 0.011]. There was also a trend toward better overall survival for patients in CS arm compared with NCS arm [14.3 months vs. 10.2 months; HR = 1.776 (95% CI 0.972-3.246), P = 0.062]. In the EGFR 2+/3+ subgroup, adding nimotuzumab also failed to show additional benefit than chemotherapy alone. Both groups were well tolerated. Less than 10% of patients in both arms developed grade 3/4 toxicity. Combination of nimotuzumab and S-1-cisplatin provided no additional benefit than chemotherapy alone in the first-line treatment of unresectable or metastatic gastric cancer.","author":[{"dropping-particle":"","family":"F, Zheng Z, Shi S, Jiang Z, Qu T, Yuan X, Sun Y, Song Y, Yang L, Zhao J, Wang J","given":"Chi Y.","non-dropping-particle":"Du","parse-names":false,"suffix":""}],"container-title":"Medicine (United States)","id":"ITEM-1","issue":"23","issued":{"date-parts":[["2015"]]},"page":"e958","title":"S-1 and Cisplatin with or Without Nimotuzumab for Patients with Untreated Unresectable or Metastatic Gastric Cancer: A Randomized, Open-Label Phase 2 Trial","type":"article-journal","volume":"94"},"uris":["http://www.mendeley.com/documents/?uuid=6db4f675-797c-4be5-a1d4-d0bd70b12a23"]}],"mendeley":{"formattedCitation":"&lt;sup&gt;[138]&lt;/sup&gt;","plainTextFormattedCitation":"[138]","previouslyFormattedCitation":"&lt;sup&gt;[138]&lt;/sup&gt;"},"properties":{"noteIndex":0},"schema":"https://github.com/citation-style-language/schema/raw/master/csl-citation.json"}</w:instrText>
      </w:r>
      <w:r w:rsidR="00B0152B" w:rsidRPr="005C7810">
        <w:rPr>
          <w:rFonts w:ascii="Book Antiqua" w:hAnsi="Book Antiqua" w:cs="Times New Roman"/>
          <w:color w:val="000000"/>
          <w:sz w:val="24"/>
          <w:szCs w:val="24"/>
          <w:lang w:val="en-US"/>
        </w:rPr>
        <w:fldChar w:fldCharType="separate"/>
      </w:r>
      <w:r w:rsidR="00B0152B" w:rsidRPr="005C7810">
        <w:rPr>
          <w:rFonts w:ascii="Book Antiqua" w:hAnsi="Book Antiqua" w:cs="Times New Roman"/>
          <w:color w:val="000000"/>
          <w:sz w:val="24"/>
          <w:szCs w:val="24"/>
          <w:vertAlign w:val="superscript"/>
          <w:lang w:val="en-US"/>
        </w:rPr>
        <w:t>[138]</w:t>
      </w:r>
      <w:r w:rsidR="00B0152B" w:rsidRPr="005C7810">
        <w:rPr>
          <w:rFonts w:ascii="Book Antiqua" w:hAnsi="Book Antiqua" w:cs="Times New Roman"/>
          <w:color w:val="000000"/>
          <w:sz w:val="24"/>
          <w:szCs w:val="24"/>
          <w:lang w:val="en-US"/>
        </w:rPr>
        <w:fldChar w:fldCharType="end"/>
      </w:r>
      <w:r w:rsidR="00B0152B" w:rsidRPr="005C7810">
        <w:rPr>
          <w:rFonts w:ascii="Book Antiqua" w:hAnsi="Book Antiqua" w:cs="Times New Roman"/>
          <w:color w:val="000000"/>
          <w:sz w:val="24"/>
          <w:szCs w:val="24"/>
          <w:lang w:val="en-US"/>
        </w:rPr>
        <w:t xml:space="preserve"> </w:t>
      </w:r>
    </w:p>
    <w:p w:rsidR="000F5BB0" w:rsidRPr="005C7810" w:rsidRDefault="000F5BB0" w:rsidP="00CD380F">
      <w:pPr>
        <w:shd w:val="clear" w:color="auto" w:fill="FFFFFF"/>
        <w:snapToGrid w:val="0"/>
        <w:spacing w:after="0" w:line="360" w:lineRule="auto"/>
        <w:jc w:val="both"/>
        <w:rPr>
          <w:rFonts w:ascii="Book Antiqua" w:hAnsi="Book Antiqua" w:cs="Times New Roman"/>
          <w:b/>
          <w:sz w:val="24"/>
          <w:szCs w:val="24"/>
          <w:lang w:val="en-US"/>
        </w:rPr>
      </w:pPr>
    </w:p>
    <w:p w:rsidR="000F5BB0" w:rsidRPr="005C7810" w:rsidRDefault="00905D18" w:rsidP="00CD380F">
      <w:pPr>
        <w:shd w:val="clear" w:color="auto" w:fill="FFFFFF"/>
        <w:snapToGrid w:val="0"/>
        <w:spacing w:after="0" w:line="360" w:lineRule="auto"/>
        <w:jc w:val="both"/>
        <w:rPr>
          <w:rFonts w:ascii="Book Antiqua" w:hAnsi="Book Antiqua" w:cs="Times New Roman"/>
          <w:b/>
          <w:i/>
          <w:sz w:val="24"/>
          <w:szCs w:val="24"/>
          <w:lang w:val="en-US"/>
        </w:rPr>
      </w:pPr>
      <w:r w:rsidRPr="005C7810">
        <w:rPr>
          <w:rFonts w:ascii="Book Antiqua" w:hAnsi="Book Antiqua" w:cs="Times New Roman"/>
          <w:b/>
          <w:i/>
          <w:sz w:val="24"/>
          <w:szCs w:val="24"/>
          <w:lang w:val="en-US"/>
        </w:rPr>
        <w:t>mTOR/PI3K/A</w:t>
      </w:r>
      <w:r w:rsidR="004F5189" w:rsidRPr="005C7810">
        <w:rPr>
          <w:rFonts w:ascii="Book Antiqua" w:hAnsi="Book Antiqua" w:cs="Times New Roman"/>
          <w:b/>
          <w:i/>
          <w:sz w:val="24"/>
          <w:szCs w:val="24"/>
          <w:lang w:val="en-US"/>
        </w:rPr>
        <w:t>KT</w:t>
      </w:r>
      <w:r w:rsidRPr="005C7810">
        <w:rPr>
          <w:rFonts w:ascii="Book Antiqua" w:hAnsi="Book Antiqua" w:cs="Times New Roman"/>
          <w:b/>
          <w:i/>
          <w:sz w:val="24"/>
          <w:szCs w:val="24"/>
          <w:lang w:val="en-US"/>
        </w:rPr>
        <w:t xml:space="preserve"> </w:t>
      </w:r>
      <w:r w:rsidR="00C06A28" w:rsidRPr="005C7810">
        <w:rPr>
          <w:rFonts w:ascii="Book Antiqua" w:hAnsi="Book Antiqua" w:cs="Times New Roman"/>
          <w:b/>
          <w:i/>
          <w:sz w:val="24"/>
          <w:szCs w:val="24"/>
          <w:lang w:val="en-US"/>
        </w:rPr>
        <w:t xml:space="preserve">signaling </w:t>
      </w:r>
      <w:r w:rsidRPr="005C7810">
        <w:rPr>
          <w:rFonts w:ascii="Book Antiqua" w:hAnsi="Book Antiqua" w:cs="Times New Roman"/>
          <w:b/>
          <w:i/>
          <w:sz w:val="24"/>
          <w:szCs w:val="24"/>
          <w:lang w:val="en-US"/>
        </w:rPr>
        <w:t>pathway</w:t>
      </w:r>
      <w:r w:rsidRPr="005C7810">
        <w:rPr>
          <w:rFonts w:ascii="Book Antiqua" w:hAnsi="Book Antiqua" w:cs="Times New Roman"/>
          <w:i/>
          <w:sz w:val="24"/>
          <w:szCs w:val="24"/>
          <w:lang w:val="en-US"/>
        </w:rPr>
        <w:t xml:space="preserve"> </w:t>
      </w:r>
    </w:p>
    <w:p w:rsidR="00905D18" w:rsidRPr="005C7810" w:rsidRDefault="007C3450" w:rsidP="00CD380F">
      <w:pPr>
        <w:snapToGrid w:val="0"/>
        <w:spacing w:after="0" w:line="360" w:lineRule="auto"/>
        <w:jc w:val="both"/>
        <w:rPr>
          <w:rFonts w:ascii="Book Antiqua" w:hAnsi="Book Antiqua" w:cs="Times New Roman"/>
          <w:color w:val="000000"/>
          <w:sz w:val="24"/>
          <w:szCs w:val="24"/>
          <w:shd w:val="clear" w:color="auto" w:fill="FFFFFF"/>
          <w:lang w:val="en-US"/>
        </w:rPr>
      </w:pPr>
      <w:r w:rsidRPr="005C7810">
        <w:rPr>
          <w:rFonts w:ascii="Book Antiqua" w:hAnsi="Book Antiqua" w:cs="Times New Roman"/>
          <w:sz w:val="24"/>
          <w:szCs w:val="24"/>
          <w:lang w:val="en-US"/>
        </w:rPr>
        <w:t xml:space="preserve">Everolimus (RAD001) is an mTOR inhibitor with antitumor activity. In </w:t>
      </w:r>
      <w:r w:rsidR="00B702EA" w:rsidRPr="005C7810">
        <w:rPr>
          <w:rFonts w:ascii="Book Antiqua" w:hAnsi="Book Antiqua" w:cs="Times New Roman"/>
          <w:sz w:val="24"/>
          <w:szCs w:val="24"/>
          <w:lang w:val="en-US"/>
        </w:rPr>
        <w:t xml:space="preserve">a </w:t>
      </w:r>
      <w:r w:rsidRPr="005C7810">
        <w:rPr>
          <w:rFonts w:ascii="Book Antiqua" w:hAnsi="Book Antiqua" w:cs="Times New Roman"/>
          <w:sz w:val="24"/>
          <w:szCs w:val="24"/>
          <w:lang w:val="en-US"/>
        </w:rPr>
        <w:t>phase I clinical trial</w:t>
      </w:r>
      <w:r w:rsidR="00E62CD4"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RAD001 was used in combination with capecitabine in patients with refractory GC</w:t>
      </w:r>
      <w:r w:rsidR="00B702EA"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w:t>
      </w:r>
      <w:r w:rsidR="00B702EA" w:rsidRPr="005C7810">
        <w:rPr>
          <w:rFonts w:ascii="Book Antiqua" w:hAnsi="Book Antiqua" w:cs="Times New Roman"/>
          <w:sz w:val="24"/>
          <w:szCs w:val="24"/>
          <w:lang w:val="en-US"/>
        </w:rPr>
        <w:t>t</w:t>
      </w:r>
      <w:r w:rsidRPr="005C7810">
        <w:rPr>
          <w:rFonts w:ascii="Book Antiqua" w:hAnsi="Book Antiqua" w:cs="Times New Roman"/>
          <w:sz w:val="24"/>
          <w:szCs w:val="24"/>
          <w:lang w:val="en-US"/>
        </w:rPr>
        <w:t>he clinical benefits were modest</w:t>
      </w:r>
      <w:r w:rsidR="00AC48A8" w:rsidRPr="005C7810">
        <w:rPr>
          <w:rFonts w:ascii="Book Antiqua" w:hAnsi="Book Antiqua" w:cs="Times New Roman"/>
          <w:sz w:val="24"/>
          <w:szCs w:val="24"/>
          <w:vertAlign w:val="superscript"/>
          <w:lang w:val="en-US"/>
        </w:rPr>
        <w:fldChar w:fldCharType="begin" w:fldLock="1"/>
      </w:r>
      <w:r w:rsidR="00B0152B" w:rsidRPr="005C7810">
        <w:rPr>
          <w:rFonts w:ascii="Book Antiqua" w:hAnsi="Book Antiqua" w:cs="Times New Roman"/>
          <w:sz w:val="24"/>
          <w:szCs w:val="24"/>
          <w:vertAlign w:val="superscript"/>
          <w:lang w:val="en-US"/>
        </w:rPr>
        <w:instrText>ADDIN CSL_CITATION {"citationItems":[{"id":"ITEM-1","itemData":{"DOI":"10.1007/s00280-011-1653-5","ISSN":"03445704","abstract":"PURPOSE: Everolimus is a novel inhibitor of the mammalian target of rapamycin pathway, which is aberrantly activated in cancer cell. We conducted a phase I study of capecitabine plus everolimus (RAD001) in refractory gastric cancer patients.\\n\\nMETHODS: Patients with metastatic gastric cancer and progression after prior chemotherapy were eligible. Four dose levels were planned as follows: Level 1, 5 mg bid/day of everolimus (D1-D21) and 500 mg/m(2) bid/day of capecitabine (D1-14); Level 2, 5 mg bid/day of everolimus (D1-D21) and 750 mg/m(2) bid/day of capecitabine (D1-14); Level 3, 5 mg bid/day of everolimus (D1-D21) and 1000 mg/m(2) bid/day of capecitabine (D1-14); and Level 4, 10 mg bid/day of everolimus (D1-D21) and 1000 mg/m(2) bid/day of capecitabine (D1-14). Treatment was repeated every 3 weeks until disease progression, patient refusal, or any serious adverse event.\\n\\nRESULTS: Fifteen patients were enrolled in this study between November 2009 and April 2010. Fifteen patients were enrolled (median age, 50 years; men, 9). Six patients had received two previous chemotherapy regimens; six patients had three previous chemotherapy regimens before the study treatment. Thus, the majority of patients were heavily pretreated. The dose-limiting toxicities were grade 3 infection, grade 3 mucositis, and grade 3 hyperglycemia and hyponatremia. After a median follow-up duration of 5.6 months (range, 2.3-8.1 months), median PFS was 1.8 months (95% CI, 0.8-2.8 months). The maximum best change observed was a 28.7% decrease in sum of longest diameters when compared with baseline.\\n\\nCONCLUSIONS: The combination of capecitabine and everolimus showed satisfactory toxicity profile and modest clinical benefit in patients with refractory gastric cancer. The recommended dose of capecitabine and everolimus was 650 mg/m(2) twice daily and 5 mg twice daily, respectively.","author":[{"dropping-particle":"","family":"Lim","given":"Taekyu","non-dropping-particle":"","parse-names":false,"suffix":""},{"dropping-particle":"","family":"Lee","given":"Jeeyun","non-dropping-particle":"","parse-names":false,"suffix":""},{"dropping-particle":"","family":"Lee","given":"Duk Joo","non-dropping-particle":"","parse-names":false,"suffix":""},{"dropping-particle":"","family":"Lee","given":"Ha Yeon","non-dropping-particle":"","parse-names":false,"suffix":""},{"dropping-particle":"","family":"Han","given":"Boram","non-dropping-particle":"","parse-names":false,"suffix":""},{"dropping-particle":"","family":"Baek","given":"Kyung Kee","non-dropping-particle":"","parse-names":false,"suffix":""},{"dropping-particle":"","family":"Ahn","given":"Hee Kyung","non-dropping-particle":"","parse-names":false,"suffix":""},{"dropping-particle":"","family":"Lee","given":"Su Jin","non-dropping-particle":"","parse-names":false,"suffix":""},{"dropping-particle":"","family":"Park","given":"Se Hoon","non-dropping-particle":"","parse-names":false,"suffix":""},{"dropping-particle":"","family":"Park","given":"Joon Oh","non-dropping-particle":"","parse-names":false,"suffix":""},{"dropping-particle":"","family":"Park","given":"Young Suk","non-dropping-particle":"","parse-names":false,"suffix":""},{"dropping-particle":"","family":"Lim","given":"Ho Yeong","non-dropping-particle":"","parse-names":false,"suffix":""},{"dropping-particle":"","family":"Kim","given":"Kyoung Mee","non-dropping-particle":"","parse-names":false,"suffix":""},{"dropping-particle":"","family":"Kang","given":"Won Ki","non-dropping-particle":"","parse-names":false,"suffix":""}],"container-title":"Cancer Chemotherapy and Pharmacology","id":"ITEM-1","issue":"1","issued":{"date-parts":[["2011"]]},"page":"255-262","title":"Phase I trial of capecitabine plus everolimus (RAD001) in patients with previously treated metastatic gastric cancer","type":"article-journal","volume":"68"},"uris":["http://www.mendeley.com/documents/?uuid=ffa74df0-d57b-430d-833b-985e44a9d27d","http://www.mendeley.com/documents/?uuid=e810dc3f-487a-4ab0-aa53-4a78758c3c5c"]}],"mendeley":{"formattedCitation":"&lt;sup&gt;[139]&lt;/sup&gt;","plainTextFormattedCitation":"[139]","previouslyFormattedCitation":"&lt;sup&gt;[139]&lt;/sup&gt;"},"properties":{"noteIndex":0},"schema":"https://github.com/citation-style-language/schema/raw/master/csl-citation.json"}</w:instrText>
      </w:r>
      <w:r w:rsidR="00AC48A8" w:rsidRPr="005C7810">
        <w:rPr>
          <w:rFonts w:ascii="Book Antiqua" w:hAnsi="Book Antiqua" w:cs="Times New Roman"/>
          <w:sz w:val="24"/>
          <w:szCs w:val="24"/>
          <w:vertAlign w:val="superscript"/>
          <w:lang w:val="en-US"/>
        </w:rPr>
        <w:fldChar w:fldCharType="separate"/>
      </w:r>
      <w:r w:rsidR="00B0152B" w:rsidRPr="005C7810">
        <w:rPr>
          <w:rFonts w:ascii="Book Antiqua" w:hAnsi="Book Antiqua" w:cs="Times New Roman"/>
          <w:sz w:val="24"/>
          <w:szCs w:val="24"/>
          <w:vertAlign w:val="superscript"/>
          <w:lang w:val="en-US"/>
        </w:rPr>
        <w:t>[139]</w:t>
      </w:r>
      <w:r w:rsidR="00AC48A8" w:rsidRPr="005C7810">
        <w:rPr>
          <w:rFonts w:ascii="Book Antiqua" w:hAnsi="Book Antiqua" w:cs="Times New Roman"/>
          <w:sz w:val="24"/>
          <w:szCs w:val="24"/>
          <w:vertAlign w:val="superscript"/>
          <w:lang w:val="en-US"/>
        </w:rPr>
        <w:fldChar w:fldCharType="end"/>
      </w:r>
      <w:r w:rsidRPr="005C7810">
        <w:rPr>
          <w:rFonts w:ascii="Book Antiqua" w:hAnsi="Book Antiqua" w:cs="Times New Roman"/>
          <w:sz w:val="24"/>
          <w:szCs w:val="24"/>
          <w:lang w:val="en-US"/>
        </w:rPr>
        <w:t>. In phase I clinical trials (NCT01049620) and (NCT01042782), RAD001 was used in combination with capecitabine and oxaliplatin and with mitomycin C, respectively, in patients with advanced GC</w:t>
      </w:r>
      <w:r w:rsidR="00B702EA"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w:t>
      </w:r>
      <w:r w:rsidR="00B702EA" w:rsidRPr="005C7810">
        <w:rPr>
          <w:rFonts w:ascii="Book Antiqua" w:hAnsi="Book Antiqua" w:cs="Times New Roman"/>
          <w:sz w:val="24"/>
          <w:szCs w:val="24"/>
          <w:lang w:val="en-US"/>
        </w:rPr>
        <w:t>t</w:t>
      </w:r>
      <w:r w:rsidRPr="005C7810">
        <w:rPr>
          <w:rFonts w:ascii="Book Antiqua" w:hAnsi="Book Antiqua" w:cs="Times New Roman"/>
          <w:sz w:val="24"/>
          <w:szCs w:val="24"/>
          <w:lang w:val="en-US"/>
        </w:rPr>
        <w:t xml:space="preserve">he results of these trials are </w:t>
      </w:r>
      <w:r w:rsidR="00B702EA" w:rsidRPr="005C7810">
        <w:rPr>
          <w:rFonts w:ascii="Book Antiqua" w:hAnsi="Book Antiqua" w:cs="Times New Roman"/>
          <w:sz w:val="24"/>
          <w:szCs w:val="24"/>
          <w:lang w:val="en-US"/>
        </w:rPr>
        <w:t>un</w:t>
      </w:r>
      <w:r w:rsidRPr="005C7810">
        <w:rPr>
          <w:rFonts w:ascii="Book Antiqua" w:hAnsi="Book Antiqua" w:cs="Times New Roman"/>
          <w:sz w:val="24"/>
          <w:szCs w:val="24"/>
          <w:lang w:val="en-US"/>
        </w:rPr>
        <w:t>known</w:t>
      </w:r>
      <w:r w:rsidR="000922A1" w:rsidRPr="005C7810">
        <w:rPr>
          <w:rFonts w:ascii="Book Antiqua" w:hAnsi="Book Antiqua" w:cs="Times New Roman"/>
          <w:sz w:val="24"/>
          <w:szCs w:val="24"/>
          <w:vertAlign w:val="superscript"/>
          <w:lang w:val="en-US"/>
        </w:rPr>
        <w:fldChar w:fldCharType="begin" w:fldLock="1"/>
      </w:r>
      <w:r w:rsidR="000922A1" w:rsidRPr="005C7810">
        <w:rPr>
          <w:rFonts w:ascii="Book Antiqua" w:hAnsi="Book Antiqua" w:cs="Times New Roman"/>
          <w:sz w:val="24"/>
          <w:szCs w:val="24"/>
          <w:vertAlign w:val="superscript"/>
          <w:lang w:val="en-US"/>
        </w:rPr>
        <w:instrText>ADDIN CSL_CITATION {"citationItems":[{"id":"ITEM-1","itemData":{"author":[{"dropping-particle":"","family":"YK","given":"Kang","non-dropping-particle":"","parse-names":false,"suffix":""}],"container-title":"ClinicalTrials.gov [Internet]. Bethesda (MD): U.S. National Library of Medicine","id":"ITEM-1","issued":{"date-parts":[["0"]]},"title":"RAD001 in Combination With Capecitabine and Oxaliplatin (XELOX) in Patients With Advanced Gastric Cancer.","type":"article-journal"},"uris":["http://www.mendeley.com/documents/?uuid=b0ddd651-f48d-40fb-9c27-6fabc794db30"]},{"id":"ITEM-2","itemData":{"author":[{"dropping-particle":"","family":"Al-Batran","given":"SE","non-dropping-particle":"","parse-names":false,"suffix":""}],"container-title":"In: ClinicalTrials.gov[Internet]. Bethesda: U.S. National Library of Medicine. Available from: https://clinicaltrials.gov/ct2/show/NCT01042782 Clinical Trials.gov Identifier: NCT01042782","id":"ITEM-2","issued":{"date-parts":[["0"]]},"title":"Phase I Study of Daily RAD001 in Combination With Mitomycin C in Patients With Advanced Gastric Cancer or Cancer of the Esophagogastric Junction (S387)","type":"article-journal"},"uris":["http://www.mendeley.com/documents/?uuid=d2cf809e-d289-4b89-8b29-9e368c78b65d"]}],"mendeley":{"formattedCitation":"&lt;sup&gt;[140,141]&lt;/sup&gt;","plainTextFormattedCitation":"[140,141]","previouslyFormattedCitation":"&lt;sup&gt;[140,141]&lt;/sup&gt;"},"properties":{"noteIndex":0},"schema":"https://github.com/citation-style-language/schema/raw/master/csl-citation.json"}</w:instrText>
      </w:r>
      <w:r w:rsidR="000922A1" w:rsidRPr="005C7810">
        <w:rPr>
          <w:rFonts w:ascii="Book Antiqua" w:hAnsi="Book Antiqua" w:cs="Times New Roman"/>
          <w:sz w:val="24"/>
          <w:szCs w:val="24"/>
          <w:vertAlign w:val="superscript"/>
          <w:lang w:val="en-US"/>
        </w:rPr>
        <w:fldChar w:fldCharType="separate"/>
      </w:r>
      <w:r w:rsidR="00884DBB" w:rsidRPr="005C7810">
        <w:rPr>
          <w:rFonts w:ascii="Book Antiqua" w:hAnsi="Book Antiqua" w:cs="Times New Roman"/>
          <w:sz w:val="24"/>
          <w:szCs w:val="24"/>
          <w:vertAlign w:val="superscript"/>
          <w:lang w:val="en-US"/>
        </w:rPr>
        <w:t>[140</w:t>
      </w:r>
      <w:r w:rsidR="009131DA" w:rsidRPr="005C7810">
        <w:rPr>
          <w:rFonts w:ascii="Book Antiqua" w:hAnsi="Book Antiqua" w:cs="Times New Roman"/>
          <w:sz w:val="24"/>
          <w:szCs w:val="24"/>
          <w:vertAlign w:val="superscript"/>
          <w:lang w:val="en-US"/>
        </w:rPr>
        <w:t>,</w:t>
      </w:r>
      <w:r w:rsidR="000922A1" w:rsidRPr="005C7810">
        <w:rPr>
          <w:rFonts w:ascii="Book Antiqua" w:hAnsi="Book Antiqua" w:cs="Times New Roman"/>
          <w:sz w:val="24"/>
          <w:szCs w:val="24"/>
          <w:vertAlign w:val="superscript"/>
          <w:lang w:val="en-US"/>
        </w:rPr>
        <w:t>141]</w:t>
      </w:r>
      <w:r w:rsidR="000922A1" w:rsidRPr="005C7810">
        <w:rPr>
          <w:rFonts w:ascii="Book Antiqua" w:hAnsi="Book Antiqua" w:cs="Times New Roman"/>
          <w:sz w:val="24"/>
          <w:szCs w:val="24"/>
          <w:vertAlign w:val="superscript"/>
          <w:lang w:val="en-US"/>
        </w:rPr>
        <w:fldChar w:fldCharType="end"/>
      </w:r>
      <w:r w:rsidR="008814B5" w:rsidRPr="005C7810">
        <w:rPr>
          <w:rFonts w:ascii="Book Antiqua" w:eastAsia="Times New Roman" w:hAnsi="Book Antiqua" w:cs="Times New Roman"/>
          <w:color w:val="000000"/>
          <w:sz w:val="24"/>
          <w:szCs w:val="24"/>
          <w:lang w:val="en-US" w:eastAsia="it-IT"/>
        </w:rPr>
        <w:t>.</w:t>
      </w:r>
      <w:r w:rsidR="00A32D74" w:rsidRPr="005C7810">
        <w:rPr>
          <w:rFonts w:ascii="Book Antiqua" w:eastAsia="Times New Roman" w:hAnsi="Book Antiqua" w:cs="Times New Roman"/>
          <w:color w:val="000000"/>
          <w:sz w:val="24"/>
          <w:szCs w:val="24"/>
          <w:lang w:val="en-US" w:eastAsia="it-IT"/>
        </w:rPr>
        <w:t xml:space="preserve"> </w:t>
      </w:r>
      <w:r w:rsidRPr="005C7810">
        <w:rPr>
          <w:rFonts w:ascii="Book Antiqua" w:hAnsi="Book Antiqua" w:cs="Times New Roman"/>
          <w:sz w:val="24"/>
          <w:szCs w:val="24"/>
          <w:lang w:val="en-US"/>
        </w:rPr>
        <w:t>In a multicenter phase II study (</w:t>
      </w:r>
      <w:r w:rsidRPr="005C7810">
        <w:rPr>
          <w:rFonts w:ascii="Book Antiqua" w:hAnsi="Book Antiqua" w:cs="Times New Roman"/>
          <w:color w:val="000000"/>
          <w:sz w:val="24"/>
          <w:szCs w:val="24"/>
          <w:shd w:val="clear" w:color="auto" w:fill="FFFFFF"/>
          <w:lang w:val="en-US"/>
        </w:rPr>
        <w:t>NCT00519324)</w:t>
      </w:r>
      <w:r w:rsidRPr="005C7810">
        <w:rPr>
          <w:rFonts w:ascii="Book Antiqua" w:hAnsi="Book Antiqua" w:cs="Times New Roman"/>
          <w:sz w:val="24"/>
          <w:szCs w:val="24"/>
          <w:lang w:val="en-US"/>
        </w:rPr>
        <w:t>, RAD001 was used in patients with metastatic GC with previous chemotherapy failure</w:t>
      </w:r>
      <w:r w:rsidR="00B702EA"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w:t>
      </w:r>
      <w:r w:rsidR="000E76E9" w:rsidRPr="005C7810">
        <w:rPr>
          <w:rFonts w:ascii="Book Antiqua" w:hAnsi="Book Antiqua" w:cs="Times New Roman"/>
          <w:sz w:val="24"/>
          <w:szCs w:val="24"/>
          <w:lang w:val="en-US"/>
        </w:rPr>
        <w:t xml:space="preserve">particularly, </w:t>
      </w:r>
      <w:r w:rsidRPr="005C7810">
        <w:rPr>
          <w:rFonts w:ascii="Book Antiqua" w:hAnsi="Book Antiqua" w:cs="Times New Roman"/>
          <w:sz w:val="24"/>
          <w:szCs w:val="24"/>
          <w:lang w:val="en-US"/>
        </w:rPr>
        <w:t xml:space="preserve">10.1 </w:t>
      </w:r>
      <w:r w:rsidR="000C5160" w:rsidRPr="005C7810">
        <w:rPr>
          <w:rFonts w:ascii="Book Antiqua" w:hAnsi="Book Antiqua" w:cs="Times New Roman"/>
          <w:sz w:val="24"/>
          <w:szCs w:val="24"/>
          <w:lang w:val="en-US"/>
        </w:rPr>
        <w:t>mo</w:t>
      </w:r>
      <w:r w:rsidRPr="005C7810">
        <w:rPr>
          <w:rFonts w:ascii="Book Antiqua" w:hAnsi="Book Antiqua" w:cs="Times New Roman"/>
          <w:sz w:val="24"/>
          <w:szCs w:val="24"/>
          <w:lang w:val="en-US"/>
        </w:rPr>
        <w:t xml:space="preserve"> was the median OS for which the monotherapy with everolimus</w:t>
      </w:r>
      <w:r w:rsidR="00927E14"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in patients in which the previous chemotherapy had failed</w:t>
      </w:r>
      <w:r w:rsidR="00927E14"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showed a </w:t>
      </w:r>
      <w:r w:rsidR="00FD354F" w:rsidRPr="005C7810">
        <w:rPr>
          <w:rFonts w:ascii="Book Antiqua" w:hAnsi="Book Antiqua" w:cs="Times New Roman"/>
          <w:sz w:val="24"/>
          <w:szCs w:val="24"/>
          <w:lang w:val="en-US"/>
        </w:rPr>
        <w:t xml:space="preserve">satisfying </w:t>
      </w:r>
      <w:r w:rsidRPr="005C7810">
        <w:rPr>
          <w:rFonts w:ascii="Book Antiqua" w:hAnsi="Book Antiqua" w:cs="Times New Roman"/>
          <w:sz w:val="24"/>
          <w:szCs w:val="24"/>
          <w:lang w:val="en-US"/>
        </w:rPr>
        <w:t>disease control rate</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{"citationItems":[{"id":"ITEM-1","itemData":{"DOI":"10.1200/JCO.2009.26.2923","ISSN":"0732183X","abstract":"PURPOSE Everolimus, an oral inhibitor of the mammalian target of rapamycin, has shown antitumor activity in gastric cancer in preclinical and phase I studies. This phase II study evaluated the efficacy and safety of everolimus in pretreated patients with advanced gastric cancer. PATIENTS AND METHODS Patients with advanced gastric cancer who experienced progression despite prior chemotherapy received everolimus 10 mg orally daily until disease progression or study discontinuation. The primary end point was disease control rate (DCR; ie, complete response, partial response, or stable disease). Secondary end points included progression-free survival (PFS), overall survival (OS), and safety. RESULTS Fifty-three patients were assessable (median age, 63 years; 51% and 49% received one or two prior chemotherapy regimens, respectively). Although no complete or partial response was obtained, a decrease in tumor size from baseline was observed in 45% of patients by central review. The DCR was 56.0% (95% CI, 41.3% to 70.0%); median PFS was 2.7 months (95% CI, 1.6 to 3.0 months). At a median follow-up time of 9.6 months, median OS was 10.1 months (95% CI, 6.5 to 12.1 months). Common grade 3 or 4 adverse events included anemia, hyponatremia, increased gamma-glutamyltransferase, and lymphopenia. Grade 1 or 2 pneumonitis was reported in eight patients (15.1%). CONCLUSION Everolimus monotherapy resulted in a promising DCR in patients with previously treated advanced gastric cancer. Adverse events are consistent with the reported safety profile of everolimus. These results warrant further evaluation in patients with advanced gastric cancer.","author":[{"dropping-particle":"","family":"Doi","given":"Toshihiko","non-dropping-particle":"","parse-names":false,"suffix":""},{"dropping-particle":"","family":"Muro","given":"Kei","non-dropping-particle":"","parse-names":false,"suffix":""},{"dropping-particle":"","family":"Boku","given":"Narikazu","non-dropping-particle":"","parse-names":false,"suffix":""},{"dropping-particle":"","family":"Yamada","given":"Yasuhide","non-dropping-particle":"","parse-names":false,"suffix":""},{"dropping-particle":"","family":"Nishina","given":"Tomohiro","non-dropping-particle":"","parse-names":false,"suffix":""},{"dropping-particle":"","family":"Takiuchi","given":"Hiroya","non-dropping-particle":"","parse-names":false,"suffix":""},{"dropping-particle":"","family":"Komatsu","given":"Yoshito","non-dropping-particle":"","parse-names":false,"suffix":""},{"dropping-particle":"","family":"Hamamoto","given":"Yasuo","non-dropping-particle":"","parse-names":false,"suffix":""},{"dropping-particle":"","family":"Ohno","given":"Nobutsugu","non-dropping-particle":"","parse-names":false,"suffix":""},{"dropping-particle":"","family":"Fujita","given":"Yoshie","non-dropping-particle":"","parse-names":false,"suffix":""},{"dropping-particle":"","family":"Robson","given":"Matthew","non-dropping-particle":"","parse-names":false,"suffix":""},{"dropping-particle":"","family":"Ohtsu","given":"Atsushi","non-dropping-particle":"","parse-names":false,"suffix":""}],"container-title":"Journal of Clinical Oncology","id":"ITEM-1","issue":"11","issued":{"date-parts":[["2010"]]},"page":"1904-1910","title":"Multicenter phase II study of everolimus in patients with previously treated metastatic gastric cancer","type":"article-journal","volume":"28"},"uris":["http://www.mendeley.com/documents/?uuid=2e5f640b-d678-43af-bcaf-2b5e32c75993","http://www.mendeley.com/documents/?uuid=a182eb16-33a0-4bbf-b2b3-af61814a6272"]}],"mendeley":{"formattedCitation":"&lt;sup&gt;[142]&lt;/sup&gt;","plainTextFormattedCitation":"[142]","previouslyFormattedCitation":"&lt;sup&gt;[142]&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[142]</w:t>
      </w:r>
      <w:r w:rsidR="00AC48A8"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w:t>
      </w:r>
      <w:r w:rsidR="00A53B92" w:rsidRPr="005C7810">
        <w:rPr>
          <w:rFonts w:ascii="Book Antiqua" w:hAnsi="Book Antiqua" w:cs="Times New Roman"/>
          <w:sz w:val="24"/>
          <w:szCs w:val="24"/>
          <w:lang w:val="en-US"/>
        </w:rPr>
        <w:t>Another clinical trial</w:t>
      </w:r>
      <w:r w:rsidR="0098796B" w:rsidRPr="005C7810">
        <w:rPr>
          <w:rFonts w:ascii="Book Antiqua" w:hAnsi="Book Antiqua" w:cs="Times New Roman"/>
          <w:sz w:val="24"/>
          <w:szCs w:val="24"/>
          <w:lang w:val="en-US"/>
        </w:rPr>
        <w:t xml:space="preserve"> (NCT00729482)</w:t>
      </w:r>
      <w:r w:rsidR="00A53B92" w:rsidRPr="005C7810">
        <w:rPr>
          <w:rFonts w:ascii="Book Antiqua" w:hAnsi="Book Antiqua" w:cs="Times New Roman"/>
          <w:sz w:val="24"/>
          <w:szCs w:val="24"/>
          <w:lang w:val="en-US"/>
        </w:rPr>
        <w:t xml:space="preserve"> evaluate</w:t>
      </w:r>
      <w:r w:rsidR="00AA5FCB" w:rsidRPr="005C7810">
        <w:rPr>
          <w:rFonts w:ascii="Book Antiqua" w:hAnsi="Book Antiqua" w:cs="Times New Roman"/>
          <w:sz w:val="24"/>
          <w:szCs w:val="24"/>
          <w:lang w:val="en-US"/>
        </w:rPr>
        <w:t>d</w:t>
      </w:r>
      <w:r w:rsidR="00A53B92" w:rsidRPr="005C7810">
        <w:rPr>
          <w:rFonts w:ascii="Book Antiqua" w:hAnsi="Book Antiqua" w:cs="Times New Roman"/>
          <w:sz w:val="24"/>
          <w:szCs w:val="24"/>
          <w:lang w:val="en-US"/>
        </w:rPr>
        <w:t xml:space="preserve"> the efficacy of RAD001 </w:t>
      </w:r>
      <w:r w:rsidR="00AA5FCB" w:rsidRPr="005C7810">
        <w:rPr>
          <w:rFonts w:ascii="Book Antiqua" w:hAnsi="Book Antiqua" w:cs="Times New Roman"/>
          <w:sz w:val="24"/>
          <w:szCs w:val="24"/>
          <w:lang w:val="en-US"/>
        </w:rPr>
        <w:t>as a</w:t>
      </w:r>
      <w:r w:rsidR="00A53B92" w:rsidRPr="005C7810">
        <w:rPr>
          <w:rFonts w:ascii="Book Antiqua" w:hAnsi="Book Antiqua" w:cs="Times New Roman"/>
          <w:sz w:val="24"/>
          <w:szCs w:val="24"/>
          <w:lang w:val="en-US"/>
        </w:rPr>
        <w:t xml:space="preserve"> monotherapy in patients with advanced GC in whom standard first-line treatment had failed</w:t>
      </w:r>
      <w:r w:rsidR="001E79F3" w:rsidRPr="005C7810">
        <w:rPr>
          <w:rFonts w:ascii="Book Antiqua" w:hAnsi="Book Antiqua" w:cs="Times New Roman"/>
          <w:sz w:val="24"/>
          <w:szCs w:val="24"/>
          <w:lang w:val="en-US"/>
        </w:rPr>
        <w:t xml:space="preserve">. </w:t>
      </w:r>
      <w:r w:rsidR="00A53B92" w:rsidRPr="005C7810">
        <w:rPr>
          <w:rFonts w:ascii="Book Antiqua" w:hAnsi="Book Antiqua" w:cs="Times New Roman"/>
          <w:sz w:val="24"/>
          <w:szCs w:val="24"/>
          <w:lang w:val="en-US"/>
        </w:rPr>
        <w:t>In addition to the efficacy of RAD001, the expression of markers was evaluated in order to identify biomarkers of response to therapy. Tumors that did not have mTOR pathway activation did not benefit from treatment with RAD001</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10.1038/bjc.2012.47","ISSN":"0007-0920","author":[{"dropping-particle":"","family":"Chang","given":"H-M","non-dropping-particle":"","parse-names":false,"suffix":""},{"dropping-particle":"","family":"Lee","given":"C","non-dropping-particle":"","parse-names":false,"suffix":""},{"dropping-particle":"","family":"Ryu","given":"M-H","non-dropping-particle":"","parse-names":false,"suffix":""},{"dropping-particle":"","family":"Yoon","given":"D H","non-dropping-particle":"","parse-names":false,"suffix":""},{"dropping-particle":"","family":"Kim","given":"T W","non-dropping-particle":"","parse-names":false,"suffix":""},{"dropping-particle":"","family":"Kang","given":"Y-K","non-dropping-particle":"","parse-names":false,"suffix":""},{"dropping-particle":"","family":"Lee","given":"H J","non-dropping-particle":"","parse-names":false,"suffix":""},{"dropping-particle":"","family":"Ryoo","given":"B-Y","non-dropping-particle":"","parse-names":false,"suffix":""},{"dropping-particle":"","family":"Lee","given":"J-L","non-dropping-particle":"","parse-names":false,"suffix":""},{"dropping-particle":"","family":"Park","given":"Y S","non-dropping-particle":"","parse-names":false,"suffix":""}],"container-title":"British Journal of Cancer","id":"ITEM-1","issue":"6","issued":{"date-parts":[["2012"]]},"page":"1039-1044","publisher":"Nature Publishing Group","title":"Phase II study of everolimus with biomarker exploration in patients with advanced gastric cancer refractory to chemotherapy including fluoropyrimidine and platinum","type":"article-journal","volume":"106"},"uris":["http://www.mendeley.com/documents/?uuid=309c0601-6f55-4e4d-bfac-de3cf57adaae","http://www.mendeley.com/documents/?uuid=974630a1-6893-4f95-b607-263c55531b31"]}],"mendeley":{"formattedCitation":"&lt;sup&gt;[143]&lt;/sup&gt;","plainTextFormattedCitation":"[143]","previouslyFormattedCitation":"&lt;sup&gt;[143]&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[143]</w:t>
      </w:r>
      <w:r w:rsidR="00AC48A8" w:rsidRPr="005C7810">
        <w:rPr>
          <w:rFonts w:ascii="Book Antiqua" w:hAnsi="Book Antiqua" w:cs="Times New Roman"/>
          <w:sz w:val="24"/>
          <w:szCs w:val="24"/>
          <w:lang w:val="en-US"/>
        </w:rPr>
        <w:fldChar w:fldCharType="end"/>
      </w:r>
      <w:r w:rsidR="00A53B92" w:rsidRPr="005C7810">
        <w:rPr>
          <w:rFonts w:ascii="Book Antiqua" w:hAnsi="Book Antiqua" w:cs="Times New Roman"/>
          <w:sz w:val="24"/>
          <w:szCs w:val="24"/>
          <w:lang w:val="en-US"/>
        </w:rPr>
        <w:t xml:space="preserve">. The median OS was lower than that reported in the study </w:t>
      </w:r>
      <w:r w:rsidR="00AA5FCB" w:rsidRPr="005C7810">
        <w:rPr>
          <w:rFonts w:ascii="Book Antiqua" w:hAnsi="Book Antiqua" w:cs="Times New Roman"/>
          <w:sz w:val="24"/>
          <w:szCs w:val="24"/>
          <w:lang w:val="en-US"/>
        </w:rPr>
        <w:t>conducted</w:t>
      </w:r>
      <w:r w:rsidR="00A53B92" w:rsidRPr="005C7810">
        <w:rPr>
          <w:rFonts w:ascii="Book Antiqua" w:hAnsi="Book Antiqua" w:cs="Times New Roman"/>
          <w:sz w:val="24"/>
          <w:szCs w:val="24"/>
          <w:lang w:val="en-US"/>
        </w:rPr>
        <w:t xml:space="preserve"> by Doi </w:t>
      </w:r>
      <w:r w:rsidR="00A53B92" w:rsidRPr="005C7810">
        <w:rPr>
          <w:rFonts w:ascii="Book Antiqua" w:hAnsi="Book Antiqua" w:cs="Times New Roman"/>
          <w:i/>
          <w:sz w:val="24"/>
          <w:szCs w:val="24"/>
          <w:lang w:val="en-US"/>
        </w:rPr>
        <w:t>et al</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{"citationItems":[{"id":"ITEM-1","itemData":{"DOI":"10.1200/JCO.2009.26.2923","ISSN":"0732183X","abstract":"PURPOSE Everolimus, an oral inhibitor of the mammalian target of rapamycin, has shown antitumor activity in gastric cancer in preclinical and phase I studies. This phase II study evaluated the efficacy and safety of everolimus in pretreated patients with advanced gastric cancer. PATIENTS AND METHODS Patients with advanced gastric cancer who experienced progression despite prior chemotherapy received everolimus 10 mg orally daily until disease progression or study discontinuation. The primary end point was disease control rate (DCR; ie, complete response, partial response, or stable disease). Secondary end points included progression-free survival (PFS), overall survival (OS), and safety. RESULTS Fifty-three patients were assessable (median age, 63 years; 51% and 49% received one or two prior chemotherapy regimens, respectively). Although no complete or partial response was obtained, a decrease in tumor size from baseline was observed in 45% of patients by central review. The DCR was 56.0% (95% CI, 41.3% to 70.0%); median PFS was 2.7 months (95% CI, 1.6 to 3.0 months). At a median follow-up time of 9.6 months, median OS was 10.1 months (95% CI, 6.5 to 12.1 months). Common grade 3 or 4 adverse events included anemia, hyponatremia, increased gamma-glutamyltransferase, and lymphopenia. Grade 1 or 2 pneumonitis was reported in eight patients (15.1%). CONCLUSION Everolimus monotherapy resulted in a promising DCR in patients with previously treated advanced gastric cancer. Adverse events are consistent with the reported safety profile of everolimus. These results warrant further evaluation in patients with advanced gastric cancer.","author":[{"dropping-particle":"","family":"Doi","given":"Toshihiko","non-dropping-particle":"","parse-names":false,"suffix":""},{"dropping-particle":"","family":"Muro","given":"Kei","non-dropping-particle":"","parse-names":false,"suffix":""},{"dropping-particle":"","family":"Boku","given":"Narikazu","non-dropping-particle":"","parse-names":false,"suffix":""},{"dropping-particle":"","family":"Yamada","given":"Yasuhide","non-dropping-particle":"","parse-names":false,"suffix":""},{"dropping-particle":"","family":"Nishina","given":"Tomohiro","non-dropping-particle":"","parse-names":false,"suffix":""},{"dropping-particle":"","family":"Takiuchi","given":"Hiroya","non-dropping-particle":"","parse-names":false,"suffix":""},{"dropping-particle":"","family":"Komatsu","given":"Yoshito","non-dropping-particle":"","parse-names":false,"suffix":""},{"dropping-particle":"","family":"Hamamoto","given":"Yasuo","non-dropping-particle":"","parse-names":false,"suffix":""},{"dropping-particle":"","family":"Ohno","given":"Nobutsugu","non-dropping-particle":"","parse-names":false,"suffix":""},{"dropping-particle":"","family":"Fujita","given":"Yoshie","non-dropping-particle":"","parse-names":false,"suffix":""},{"dropping-particle":"","family":"Robson","given":"Matthew","non-dropping-particle":"","parse-names":false,"suffix":""},{"dropping-particle":"","family":"Ohtsu","given":"Atsushi","non-dropping-particle":"","parse-names":false,"suffix":""}],"container-title":"Journal of Clinical Oncology","id":"ITEM-1","issue":"11","issued":{"date-parts":[["2010"]]},"page":"1904-1910","title":"Multicenter phase II study of everolimus in patients with previously treated metastatic gastric cancer","type":"article-journal","volume":"28"},"uris":["http://www.mendeley.com/documents/?uuid=a182eb16-33a0-4bbf-b2b3-af61814a6272","http://www.mendeley.com/documents/?uuid=2e5f640b-d678-43af-bcaf-2b5e32c75993"]}],"mendeley":{"formattedCitation":"&lt;sup&gt;[142]&lt;/sup&gt;","plainTextFormattedCitation":"[142]","previouslyFormattedCitation":"&lt;sup&gt;[142]&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[142]</w:t>
      </w:r>
      <w:r w:rsidR="00AC48A8" w:rsidRPr="005C7810">
        <w:rPr>
          <w:rFonts w:ascii="Book Antiqua" w:hAnsi="Book Antiqua" w:cs="Times New Roman"/>
          <w:sz w:val="24"/>
          <w:szCs w:val="24"/>
          <w:lang w:val="en-US"/>
        </w:rPr>
        <w:fldChar w:fldCharType="end"/>
      </w:r>
      <w:r w:rsidR="00C93923" w:rsidRPr="005C7810">
        <w:rPr>
          <w:rFonts w:ascii="Book Antiqua" w:hAnsi="Book Antiqua" w:cs="Times New Roman"/>
          <w:sz w:val="24"/>
          <w:szCs w:val="24"/>
          <w:lang w:val="en-US"/>
        </w:rPr>
        <w:t xml:space="preserve">. </w:t>
      </w:r>
      <w:r w:rsidR="00271BC1" w:rsidRPr="005C7810">
        <w:rPr>
          <w:rFonts w:ascii="Book Antiqua" w:hAnsi="Book Antiqua" w:cs="Times New Roman"/>
          <w:sz w:val="24"/>
          <w:szCs w:val="24"/>
          <w:lang w:val="en-US"/>
        </w:rPr>
        <w:t xml:space="preserve">The results of this study showed that the efficacy of RAD001 </w:t>
      </w:r>
      <w:r w:rsidR="00AA5FCB" w:rsidRPr="005C7810">
        <w:rPr>
          <w:rFonts w:ascii="Book Antiqua" w:hAnsi="Book Antiqua" w:cs="Times New Roman"/>
          <w:sz w:val="24"/>
          <w:szCs w:val="24"/>
          <w:lang w:val="en-US"/>
        </w:rPr>
        <w:t>was</w:t>
      </w:r>
      <w:r w:rsidR="00271BC1" w:rsidRPr="005C7810">
        <w:rPr>
          <w:rFonts w:ascii="Book Antiqua" w:hAnsi="Book Antiqua" w:cs="Times New Roman"/>
          <w:sz w:val="24"/>
          <w:szCs w:val="24"/>
          <w:lang w:val="en-US"/>
        </w:rPr>
        <w:t xml:space="preserve"> unsatisfactory compared to conven</w:t>
      </w:r>
      <w:r w:rsidR="00414B97" w:rsidRPr="005C7810">
        <w:rPr>
          <w:rFonts w:ascii="Book Antiqua" w:hAnsi="Book Antiqua" w:cs="Times New Roman"/>
          <w:sz w:val="24"/>
          <w:szCs w:val="24"/>
          <w:lang w:val="en-US"/>
        </w:rPr>
        <w:t xml:space="preserve">tional treatment </w:t>
      </w:r>
      <w:r w:rsidR="00AA5FCB" w:rsidRPr="005C7810">
        <w:rPr>
          <w:rFonts w:ascii="Book Antiqua" w:hAnsi="Book Antiqua" w:cs="Times New Roman"/>
          <w:sz w:val="24"/>
          <w:szCs w:val="24"/>
          <w:lang w:val="en-US"/>
        </w:rPr>
        <w:t>for</w:t>
      </w:r>
      <w:r w:rsidR="00414B97" w:rsidRPr="005C7810">
        <w:rPr>
          <w:rFonts w:ascii="Book Antiqua" w:hAnsi="Book Antiqua" w:cs="Times New Roman"/>
          <w:sz w:val="24"/>
          <w:szCs w:val="24"/>
          <w:lang w:val="en-US"/>
        </w:rPr>
        <w:t xml:space="preserve"> advanced GC</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10.1038/bjc.2012.47","ISSN":"0007-0920","author":[{"dropping-particle":"","family":"Chang","given":"H-M","non-dropping-particle":"","parse-names":false,"suffix":""},{"dropping-particle":"","family":"Lee","given":"C","non-dropping-particle":"","parse-names":false,"suffix":""},{"dropping-particle":"","family":"Ryu","given":"M-H","non-dropping-particle":"","parse-names":false,"suffix":""},{"dropping-particle":"","family":"Yoon","given":"D H","non-dropping-particle":"","parse-names":false,"suffix":""},{"dropping-particle":"","family":"Kim","given":"T W","non-dropping-particle":"","parse-names":false,"suffix":""},{"dropping-particle":"","family":"Kang","given":"Y-K","non-dropping-particle":"","parse-names":false,"suffix":""},{"dropping-particle":"","family":"Lee","given":"H J","non-dropping-particle":"","parse-names":false,"suffix":""},{"dropping-particle":"","family":"Ryoo","given":"B-Y","non-dropping-particle":"","parse-names":false,"suffix":""},{"dropping-particle":"","family":"Lee","given":"J-L","non-dropping-particle":"","parse-names":false,"suffix":""},{"dropping-particle":"","family":"Park","given":"Y S","non-dropping-particle":"","parse-names":false,"suffix":""}],"container-title":"British Journal of Cancer","id":"ITEM-1","issue":"6","issued":{"date-parts":[["2012"]]},"page":"1039-1044","publisher":"Nature Publishing Group","title":"Phase II study of everolimus with biomarker exploration in patients with advanced gastric cancer refractory to chemotherapy including fluoropyrimidine and platinum","type":"article-journal","volume":"106"},"uris":["http://www.mendeley.com/documents/?uuid=974630a1-6893-4f95-b607-263c55531b31","http://www.mendeley.com/documents/?uuid=309c0601-6f55-4e4d-bfac-de3cf57adaae"]}],"mendeley":{"formattedCitation":"&lt;sup&gt;[143]&lt;/sup&gt;","plainTextFormattedCitation":"[143]","previouslyFormattedCitation":"&lt;sup&gt;[143]&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[143]</w:t>
      </w:r>
      <w:r w:rsidR="00AC48A8" w:rsidRPr="005C7810">
        <w:rPr>
          <w:rFonts w:ascii="Book Antiqua" w:hAnsi="Book Antiqua" w:cs="Times New Roman"/>
          <w:sz w:val="24"/>
          <w:szCs w:val="24"/>
          <w:lang w:val="en-US"/>
        </w:rPr>
        <w:fldChar w:fldCharType="end"/>
      </w:r>
      <w:r w:rsidR="00C93923" w:rsidRPr="005C7810">
        <w:rPr>
          <w:rFonts w:ascii="Book Antiqua" w:hAnsi="Book Antiqua" w:cs="Times New Roman"/>
          <w:sz w:val="24"/>
          <w:szCs w:val="24"/>
          <w:lang w:val="en-US"/>
        </w:rPr>
        <w:t>.</w:t>
      </w:r>
      <w:r w:rsidR="00B702EA"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In </w:t>
      </w:r>
      <w:r w:rsidR="00AA5FCB" w:rsidRPr="005C7810">
        <w:rPr>
          <w:rFonts w:ascii="Book Antiqua" w:hAnsi="Book Antiqua" w:cs="Times New Roman"/>
          <w:sz w:val="24"/>
          <w:szCs w:val="24"/>
          <w:lang w:val="en-US"/>
        </w:rPr>
        <w:t xml:space="preserve">the </w:t>
      </w:r>
      <w:r w:rsidRPr="005C7810">
        <w:rPr>
          <w:rFonts w:ascii="Book Antiqua" w:hAnsi="Book Antiqua" w:cs="Times New Roman"/>
          <w:sz w:val="24"/>
          <w:szCs w:val="24"/>
          <w:lang w:val="en-US"/>
        </w:rPr>
        <w:t xml:space="preserve">phase III GRANITE-1 study (NCT00879333), the median OS in patients treated with RAD001 </w:t>
      </w:r>
      <w:r w:rsidR="000C5160" w:rsidRPr="005C7810">
        <w:rPr>
          <w:rFonts w:ascii="Book Antiqua" w:hAnsi="Book Antiqua" w:cs="Times New Roman"/>
          <w:i/>
          <w:sz w:val="24"/>
          <w:szCs w:val="24"/>
          <w:lang w:val="en-US"/>
        </w:rPr>
        <w:t>vs</w:t>
      </w:r>
      <w:r w:rsidRPr="005C7810">
        <w:rPr>
          <w:rFonts w:ascii="Book Antiqua" w:hAnsi="Book Antiqua" w:cs="Times New Roman"/>
          <w:sz w:val="24"/>
          <w:szCs w:val="24"/>
          <w:lang w:val="en-US"/>
        </w:rPr>
        <w:t xml:space="preserve"> placebo was 5.4 </w:t>
      </w:r>
      <w:r w:rsidR="000C5160" w:rsidRPr="005C7810">
        <w:rPr>
          <w:rFonts w:ascii="Book Antiqua" w:hAnsi="Book Antiqua" w:cs="Times New Roman"/>
          <w:i/>
          <w:sz w:val="24"/>
          <w:szCs w:val="24"/>
          <w:lang w:val="en-US"/>
        </w:rPr>
        <w:lastRenderedPageBreak/>
        <w:t>vs</w:t>
      </w:r>
      <w:r w:rsidRPr="005C7810">
        <w:rPr>
          <w:rFonts w:ascii="Book Antiqua" w:hAnsi="Book Antiqua" w:cs="Times New Roman"/>
          <w:sz w:val="24"/>
          <w:szCs w:val="24"/>
          <w:lang w:val="en-US"/>
        </w:rPr>
        <w:t xml:space="preserve"> 4.3 mo. Compared to best supportive therapy (</w:t>
      </w:r>
      <w:r w:rsidR="004E01BF" w:rsidRPr="005C7810">
        <w:rPr>
          <w:rFonts w:ascii="Book Antiqua" w:hAnsi="Book Antiqua" w:cs="Times New Roman"/>
          <w:sz w:val="24"/>
          <w:szCs w:val="24"/>
          <w:lang w:val="en-US"/>
        </w:rPr>
        <w:t xml:space="preserve">referred to as </w:t>
      </w:r>
      <w:r w:rsidRPr="005C7810">
        <w:rPr>
          <w:rFonts w:ascii="Book Antiqua" w:hAnsi="Book Antiqua" w:cs="Times New Roman"/>
          <w:sz w:val="24"/>
          <w:szCs w:val="24"/>
          <w:lang w:val="en-US"/>
        </w:rPr>
        <w:t>BSC</w:t>
      </w:r>
      <w:r w:rsidR="004E01BF" w:rsidRPr="005C7810">
        <w:rPr>
          <w:rFonts w:ascii="Book Antiqua" w:hAnsi="Book Antiqua" w:cs="Times New Roman"/>
          <w:sz w:val="24"/>
          <w:szCs w:val="24"/>
          <w:lang w:val="en-US"/>
        </w:rPr>
        <w:t xml:space="preserve"> in Table 1</w:t>
      </w:r>
      <w:r w:rsidRPr="005C7810">
        <w:rPr>
          <w:rFonts w:ascii="Book Antiqua" w:hAnsi="Book Antiqua" w:cs="Times New Roman"/>
          <w:sz w:val="24"/>
          <w:szCs w:val="24"/>
          <w:lang w:val="en-US"/>
        </w:rPr>
        <w:t xml:space="preserve">), RAD001 did not significantly improve OS in patients with advanced </w:t>
      </w:r>
      <w:r w:rsidR="00AA5FCB" w:rsidRPr="005C7810">
        <w:rPr>
          <w:rFonts w:ascii="Book Antiqua" w:hAnsi="Book Antiqua" w:cs="Times New Roman"/>
          <w:sz w:val="24"/>
          <w:szCs w:val="24"/>
          <w:lang w:val="en-US"/>
        </w:rPr>
        <w:t>GC</w:t>
      </w:r>
      <w:r w:rsidRPr="005C7810">
        <w:rPr>
          <w:rFonts w:ascii="Book Antiqua" w:hAnsi="Book Antiqua" w:cs="Times New Roman"/>
          <w:sz w:val="24"/>
          <w:szCs w:val="24"/>
          <w:lang w:val="en-US"/>
        </w:rPr>
        <w:t xml:space="preserve"> </w:t>
      </w:r>
      <w:r w:rsidR="00CD1F0A" w:rsidRPr="005C7810">
        <w:rPr>
          <w:rFonts w:ascii="Book Antiqua" w:hAnsi="Book Antiqua" w:cs="Times New Roman"/>
          <w:sz w:val="24"/>
          <w:szCs w:val="24"/>
          <w:lang w:val="en-US"/>
        </w:rPr>
        <w:t>who were previously administered</w:t>
      </w:r>
      <w:r w:rsidRPr="005C7810">
        <w:rPr>
          <w:rFonts w:ascii="Book Antiqua" w:hAnsi="Book Antiqua" w:cs="Times New Roman"/>
          <w:sz w:val="24"/>
          <w:szCs w:val="24"/>
          <w:lang w:val="en-US"/>
        </w:rPr>
        <w:t xml:space="preserve"> one or two lines of systemic chemotherapy</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{"citationItems":[{"id":"ITEM-1","itemData":{"DOI":"10.1200/jco.2012.48.3552","ISSN":"0732-183X","author":[{"dropping-particle":"","family":"Ohtsu A, Ajani JA, Bai YX, Bang YJ, Chung HC, Pan HM, Sahmoud T, Shen L, Yeh KH, Chin K, Muro K, Kim YH, Ferry D, Tebbutt NC, Al-Batran SE, Smith H, Costantini C, Rizvi S, Lebwohl D","given":"Van Cutsem E","non-dropping-particle":"","parse-names":false,"suffix":""}],"container-title":"Journal of Clinical Oncology","id":"ITEM-1","issue":"31","issued":{"date-parts":[["2013"]]},"page":"3935-3943","title":"Everolimus for Previously Treated Advanced Gastric Cancer: Results of the Randomized, Double-Blind, Phase III GRANITE-1 Study","type":"article-journal","volume":"31"},"uris":["http://www.mendeley.com/documents/?uuid=5deefac8-dc22-43ef-8c66-b1eb58838ad4","http://www.mendeley.com/documents/?uuid=3b4381d6-5d1b-4a07-bf75-6a4dd69e3282"]}],"mendeley":{"formattedCitation":"&lt;sup&gt;[144]&lt;/sup&gt;","plainTextFormattedCitation":"[144]","previouslyFormattedCitation":"&lt;sup&gt;[144]&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[144]</w:t>
      </w:r>
      <w:r w:rsidR="00AC48A8"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w:t>
      </w:r>
      <w:r w:rsidR="00B702EA" w:rsidRPr="005C7810">
        <w:rPr>
          <w:rFonts w:ascii="Book Antiqua" w:hAnsi="Book Antiqua" w:cs="Times New Roman"/>
          <w:color w:val="000000"/>
          <w:sz w:val="24"/>
          <w:szCs w:val="24"/>
          <w:shd w:val="clear" w:color="auto" w:fill="FFFFFF"/>
          <w:lang w:val="en-US"/>
        </w:rPr>
        <w:t xml:space="preserve"> </w:t>
      </w:r>
      <w:r w:rsidRPr="005C7810">
        <w:rPr>
          <w:rFonts w:ascii="Book Antiqua" w:hAnsi="Book Antiqua" w:cs="Times New Roman"/>
          <w:color w:val="000000"/>
          <w:sz w:val="24"/>
          <w:szCs w:val="24"/>
          <w:shd w:val="clear" w:color="auto" w:fill="FFFFFF"/>
          <w:lang w:val="en-US"/>
        </w:rPr>
        <w:t xml:space="preserve">A clinical trial (NCT01613950) was performed to investigate the efficacy of </w:t>
      </w:r>
      <w:r w:rsidR="0014682B" w:rsidRPr="005C7810">
        <w:rPr>
          <w:rFonts w:ascii="Book Antiqua" w:hAnsi="Book Antiqua" w:cs="Times New Roman"/>
          <w:color w:val="000000"/>
          <w:sz w:val="24"/>
          <w:szCs w:val="24"/>
          <w:shd w:val="clear" w:color="auto" w:fill="FFFFFF"/>
          <w:lang w:val="en-US"/>
        </w:rPr>
        <w:t xml:space="preserve">the </w:t>
      </w:r>
      <w:r w:rsidRPr="005C7810">
        <w:rPr>
          <w:rFonts w:ascii="Book Antiqua" w:hAnsi="Book Antiqua" w:cs="Times New Roman"/>
          <w:color w:val="000000"/>
          <w:sz w:val="24"/>
          <w:szCs w:val="24"/>
          <w:shd w:val="clear" w:color="auto" w:fill="FFFFFF"/>
          <w:lang w:val="en-US"/>
        </w:rPr>
        <w:t xml:space="preserve">combination of alpelisib (BYL719), a potent and selective inhibitor of mutated </w:t>
      </w:r>
      <w:r w:rsidRPr="005C7810">
        <w:rPr>
          <w:rFonts w:ascii="Book Antiqua" w:hAnsi="Book Antiqua" w:cs="Times New Roman"/>
          <w:i/>
          <w:color w:val="000000"/>
          <w:sz w:val="24"/>
          <w:szCs w:val="24"/>
          <w:shd w:val="clear" w:color="auto" w:fill="FFFFFF"/>
          <w:lang w:val="en-US"/>
        </w:rPr>
        <w:t>PI3KCA</w:t>
      </w:r>
      <w:r w:rsidRPr="005C7810">
        <w:rPr>
          <w:rFonts w:ascii="Book Antiqua" w:hAnsi="Book Antiqua" w:cs="Times New Roman"/>
          <w:color w:val="000000"/>
          <w:sz w:val="24"/>
          <w:szCs w:val="24"/>
          <w:shd w:val="clear" w:color="auto" w:fill="FFFFFF"/>
          <w:lang w:val="en-US"/>
        </w:rPr>
        <w:t xml:space="preserve"> and AUY922, a</w:t>
      </w:r>
      <w:r w:rsidR="004E01BF" w:rsidRPr="005C7810">
        <w:rPr>
          <w:rFonts w:ascii="Book Antiqua" w:hAnsi="Book Antiqua" w:cs="Times New Roman"/>
          <w:color w:val="000000"/>
          <w:sz w:val="24"/>
          <w:szCs w:val="24"/>
          <w:shd w:val="clear" w:color="auto" w:fill="FFFFFF"/>
          <w:lang w:val="en-US"/>
        </w:rPr>
        <w:t>n inhibitor of</w:t>
      </w:r>
      <w:r w:rsidR="0014682B" w:rsidRPr="005C7810">
        <w:rPr>
          <w:rFonts w:ascii="Book Antiqua" w:hAnsi="Book Antiqua" w:cs="Times New Roman"/>
          <w:color w:val="000000"/>
          <w:sz w:val="24"/>
          <w:szCs w:val="24"/>
          <w:shd w:val="clear" w:color="auto" w:fill="FFFFFF"/>
          <w:lang w:val="en-US"/>
        </w:rPr>
        <w:t xml:space="preserve"> </w:t>
      </w:r>
      <w:r w:rsidR="00CD1F0A" w:rsidRPr="005C7810">
        <w:rPr>
          <w:rFonts w:ascii="Book Antiqua" w:hAnsi="Book Antiqua" w:cs="Times New Roman"/>
          <w:color w:val="000000"/>
          <w:sz w:val="24"/>
          <w:szCs w:val="24"/>
          <w:shd w:val="clear" w:color="auto" w:fill="FFFFFF"/>
          <w:lang w:val="en-US"/>
        </w:rPr>
        <w:t>h</w:t>
      </w:r>
      <w:r w:rsidRPr="005C7810">
        <w:rPr>
          <w:rFonts w:ascii="Book Antiqua" w:hAnsi="Book Antiqua" w:cs="Times New Roman"/>
          <w:color w:val="000000"/>
          <w:sz w:val="24"/>
          <w:szCs w:val="24"/>
          <w:shd w:val="clear" w:color="auto" w:fill="FFFFFF"/>
          <w:lang w:val="en-US"/>
        </w:rPr>
        <w:t>eat shock protein 90</w:t>
      </w:r>
      <w:r w:rsidR="00357453" w:rsidRPr="005C7810">
        <w:rPr>
          <w:rFonts w:ascii="Book Antiqua" w:hAnsi="Book Antiqua" w:cs="Times New Roman"/>
          <w:color w:val="000000"/>
          <w:sz w:val="24"/>
          <w:szCs w:val="24"/>
          <w:shd w:val="clear" w:color="auto" w:fill="FFFFFF"/>
          <w:lang w:val="en-US"/>
        </w:rPr>
        <w:t xml:space="preserve"> (HSP90</w:t>
      </w:r>
      <w:r w:rsidRPr="005C7810">
        <w:rPr>
          <w:rFonts w:ascii="Book Antiqua" w:hAnsi="Book Antiqua" w:cs="Times New Roman"/>
          <w:color w:val="000000"/>
          <w:sz w:val="24"/>
          <w:szCs w:val="24"/>
          <w:shd w:val="clear" w:color="auto" w:fill="FFFFFF"/>
          <w:lang w:val="en-US"/>
        </w:rPr>
        <w:t xml:space="preserve">), in patients with advanced GC with </w:t>
      </w:r>
      <w:r w:rsidRPr="005C7810">
        <w:rPr>
          <w:rFonts w:ascii="Book Antiqua" w:hAnsi="Book Antiqua" w:cs="Times New Roman"/>
          <w:i/>
          <w:color w:val="000000"/>
          <w:sz w:val="24"/>
          <w:szCs w:val="24"/>
          <w:shd w:val="clear" w:color="auto" w:fill="FFFFFF"/>
          <w:lang w:val="en-US"/>
        </w:rPr>
        <w:t>PIK3CA</w:t>
      </w:r>
      <w:r w:rsidRPr="005C7810">
        <w:rPr>
          <w:rFonts w:ascii="Book Antiqua" w:hAnsi="Book Antiqua" w:cs="Times New Roman"/>
          <w:color w:val="000000"/>
          <w:sz w:val="24"/>
          <w:szCs w:val="24"/>
          <w:shd w:val="clear" w:color="auto" w:fill="FFFFFF"/>
          <w:lang w:val="en-US"/>
        </w:rPr>
        <w:t xml:space="preserve"> mutations and/or amplification of </w:t>
      </w:r>
      <w:r w:rsidRPr="005C7810">
        <w:rPr>
          <w:rFonts w:ascii="Book Antiqua" w:hAnsi="Book Antiqua" w:cs="Times New Roman"/>
          <w:i/>
          <w:color w:val="000000"/>
          <w:sz w:val="24"/>
          <w:szCs w:val="24"/>
          <w:shd w:val="clear" w:color="auto" w:fill="FFFFFF"/>
          <w:lang w:val="en-US"/>
        </w:rPr>
        <w:t>HER2</w:t>
      </w:r>
      <w:r w:rsidR="00E54131" w:rsidRPr="005C7810">
        <w:rPr>
          <w:rFonts w:ascii="Book Antiqua" w:hAnsi="Book Antiqua" w:cs="Times New Roman"/>
          <w:color w:val="000000"/>
          <w:sz w:val="24"/>
          <w:szCs w:val="24"/>
          <w:shd w:val="clear" w:color="auto" w:fill="FFFFFF"/>
          <w:lang w:val="en-US"/>
        </w:rPr>
        <w:t>, respectively</w:t>
      </w:r>
      <w:r w:rsidRPr="005C7810">
        <w:rPr>
          <w:rFonts w:ascii="Book Antiqua" w:hAnsi="Book Antiqua" w:cs="Times New Roman"/>
          <w:color w:val="000000"/>
          <w:sz w:val="24"/>
          <w:szCs w:val="24"/>
          <w:shd w:val="clear" w:color="auto" w:fill="FFFFFF"/>
          <w:lang w:val="en-US"/>
        </w:rPr>
        <w:t>. The results are not yet known</w:t>
      </w:r>
      <w:r w:rsidR="00AC48A8" w:rsidRPr="005C7810">
        <w:rPr>
          <w:rFonts w:ascii="Book Antiqua" w:hAnsi="Book Antiqua" w:cs="Times New Roman"/>
          <w:color w:val="000000"/>
          <w:sz w:val="24"/>
          <w:szCs w:val="24"/>
          <w:shd w:val="clear" w:color="auto" w:fill="FFFFFF"/>
          <w:lang w:val="en-US"/>
        </w:rPr>
        <w:fldChar w:fldCharType="begin" w:fldLock="1"/>
      </w:r>
      <w:r w:rsidR="00B0152B" w:rsidRPr="005C7810">
        <w:rPr>
          <w:rFonts w:ascii="Book Antiqua" w:hAnsi="Book Antiqua" w:cs="Times New Roman"/>
          <w:color w:val="000000"/>
          <w:sz w:val="24"/>
          <w:szCs w:val="24"/>
          <w:shd w:val="clear" w:color="auto" w:fill="FFFFFF"/>
          <w:lang w:val="en-US"/>
        </w:rPr>
        <w:instrText>ADDIN CSL_CITATION {"citationItems":[{"id":"ITEM-1","itemData":{"author":[{"dropping-particle":"","family":"Novartis Pharmaceuticals","given":"","non-dropping-particle":"","parse-names":false,"suffix":""}],"container-title":"ClinicalTrials.gov [Internet]. Bethesda (MD): U.S. National Library of Medicine","id":"ITEM-1","issued":{"date-parts":[["0"]]},"title":"PI3K Inhibitor BYL719 in Combination With the HSP90 Inhibitor AUY922 in Patients With Advanced or Metastatic Gastric Cancer.","type":"article-journal"},"uris":["http://www.mendeley.com/documents/?uuid=2a8bc583-ba3d-46be-8d10-59a88f7183b0","http://www.mendeley.com/documents/?uuid=1d6c6dce-28b7-4393-85e8-412b337df509"]}],"mendeley":{"formattedCitation":"&lt;sup&gt;[145]&lt;/sup&gt;","plainTextFormattedCitation":"[145]","previouslyFormattedCitation":"&lt;sup&gt;[145]&lt;/sup&gt;"},"properties":{"noteIndex":0},"schema":"https://github.com/citation-style-language/schema/raw/master/csl-citation.json"}</w:instrText>
      </w:r>
      <w:r w:rsidR="00AC48A8" w:rsidRPr="005C7810">
        <w:rPr>
          <w:rFonts w:ascii="Book Antiqua" w:hAnsi="Book Antiqua" w:cs="Times New Roman"/>
          <w:color w:val="000000"/>
          <w:sz w:val="24"/>
          <w:szCs w:val="24"/>
          <w:shd w:val="clear" w:color="auto" w:fill="FFFFFF"/>
          <w:lang w:val="en-US"/>
        </w:rPr>
        <w:fldChar w:fldCharType="separate"/>
      </w:r>
      <w:r w:rsidR="00B0152B" w:rsidRPr="005C7810">
        <w:rPr>
          <w:rFonts w:ascii="Book Antiqua" w:hAnsi="Book Antiqua" w:cs="Times New Roman"/>
          <w:color w:val="000000"/>
          <w:sz w:val="24"/>
          <w:szCs w:val="24"/>
          <w:shd w:val="clear" w:color="auto" w:fill="FFFFFF"/>
          <w:vertAlign w:val="superscript"/>
          <w:lang w:val="en-US"/>
        </w:rPr>
        <w:t>[145]</w:t>
      </w:r>
      <w:r w:rsidR="00AC48A8" w:rsidRPr="005C7810">
        <w:rPr>
          <w:rFonts w:ascii="Book Antiqua" w:hAnsi="Book Antiqua" w:cs="Times New Roman"/>
          <w:color w:val="000000"/>
          <w:sz w:val="24"/>
          <w:szCs w:val="24"/>
          <w:shd w:val="clear" w:color="auto" w:fill="FFFFFF"/>
          <w:lang w:val="en-US"/>
        </w:rPr>
        <w:fldChar w:fldCharType="end"/>
      </w:r>
      <w:r w:rsidR="00784210" w:rsidRPr="005C7810">
        <w:rPr>
          <w:rFonts w:ascii="Book Antiqua" w:hAnsi="Book Antiqua" w:cs="Times New Roman"/>
          <w:color w:val="000000"/>
          <w:sz w:val="24"/>
          <w:szCs w:val="24"/>
          <w:shd w:val="clear" w:color="auto" w:fill="FFFFFF"/>
          <w:lang w:val="en-US"/>
        </w:rPr>
        <w:t xml:space="preserve">. </w:t>
      </w:r>
      <w:r w:rsidR="00E0276C" w:rsidRPr="005C7810">
        <w:rPr>
          <w:rFonts w:ascii="Book Antiqua" w:hAnsi="Book Antiqua" w:cs="Times New Roman"/>
          <w:color w:val="000000"/>
          <w:sz w:val="24"/>
          <w:szCs w:val="24"/>
          <w:shd w:val="clear" w:color="auto" w:fill="FFFFFF"/>
          <w:lang w:val="en-US"/>
        </w:rPr>
        <w:t xml:space="preserve">Ipatasertib (GDC-0068), an inhibitor of </w:t>
      </w:r>
      <w:r w:rsidR="00707A2C" w:rsidRPr="005C7810">
        <w:rPr>
          <w:rFonts w:ascii="Book Antiqua" w:hAnsi="Book Antiqua" w:cs="Times New Roman"/>
          <w:color w:val="000000"/>
          <w:sz w:val="24"/>
          <w:szCs w:val="24"/>
          <w:shd w:val="clear" w:color="auto" w:fill="FFFFFF"/>
          <w:lang w:val="en-US"/>
        </w:rPr>
        <w:t>serine/threonine kinase (</w:t>
      </w:r>
      <w:r w:rsidR="00E0276C" w:rsidRPr="005C7810">
        <w:rPr>
          <w:rFonts w:ascii="Book Antiqua" w:hAnsi="Book Antiqua" w:cs="Times New Roman"/>
          <w:color w:val="000000"/>
          <w:sz w:val="24"/>
          <w:szCs w:val="24"/>
          <w:shd w:val="clear" w:color="auto" w:fill="FFFFFF"/>
          <w:lang w:val="en-US"/>
        </w:rPr>
        <w:t>AKT</w:t>
      </w:r>
      <w:r w:rsidR="00707A2C" w:rsidRPr="005C7810">
        <w:rPr>
          <w:rFonts w:ascii="Book Antiqua" w:hAnsi="Book Antiqua" w:cs="Times New Roman"/>
          <w:color w:val="000000"/>
          <w:sz w:val="24"/>
          <w:szCs w:val="24"/>
          <w:shd w:val="clear" w:color="auto" w:fill="FFFFFF"/>
          <w:lang w:val="en-US"/>
        </w:rPr>
        <w:t>)</w:t>
      </w:r>
      <w:r w:rsidR="00E0276C" w:rsidRPr="005C7810">
        <w:rPr>
          <w:rFonts w:ascii="Book Antiqua" w:hAnsi="Book Antiqua" w:cs="Times New Roman"/>
          <w:color w:val="000000"/>
          <w:sz w:val="24"/>
          <w:szCs w:val="24"/>
          <w:shd w:val="clear" w:color="auto" w:fill="FFFFFF"/>
          <w:lang w:val="en-US"/>
        </w:rPr>
        <w:t>, has been used in combination with 5-FU, folinic acid, and oxaliplatin (mFOLFOX6) in advanced or metastatic GC in a multicenter placebo-controlled clinical trial (NCT01896531). The trial is ongoing</w:t>
      </w:r>
      <w:r w:rsidR="00AC48A8" w:rsidRPr="005C7810">
        <w:rPr>
          <w:rFonts w:ascii="Book Antiqua" w:hAnsi="Book Antiqua" w:cs="Times New Roman"/>
          <w:color w:val="000000"/>
          <w:sz w:val="24"/>
          <w:szCs w:val="24"/>
          <w:shd w:val="clear" w:color="auto" w:fill="FFFFFF"/>
          <w:lang w:val="en-US"/>
        </w:rPr>
        <w:fldChar w:fldCharType="begin" w:fldLock="1"/>
      </w:r>
      <w:r w:rsidR="00B0152B" w:rsidRPr="005C7810">
        <w:rPr>
          <w:rFonts w:ascii="Book Antiqua" w:hAnsi="Book Antiqua" w:cs="Times New Roman"/>
          <w:color w:val="000000"/>
          <w:sz w:val="24"/>
          <w:szCs w:val="24"/>
          <w:shd w:val="clear" w:color="auto" w:fill="FFFFFF"/>
          <w:lang w:val="en-US"/>
        </w:rPr>
        <w:instrText>ADDIN CSL_CITATION {"citationItems":[{"id":"ITEM-1","itemData":{"author":[{"dropping-particle":"","family":"Genentech","given":"Inc.","non-dropping-particle":"","parse-names":false,"suffix":""}],"container-title":"ClinicalTrials.gov [Internet]. Bethesda (MD): U.S. National Library of Medicine","id":"ITEM-1","issued":{"date-parts":[["0"]]},"title":"A Study of GDC-0068 in Combination With Fluoropyrimidine Plus Oxaliplatin in Participants With Advanced or Metastatic Gastric or Gastroesophageal Junction Cancer.","type":"article-journal"},"uris":["http://www.mendeley.com/documents/?uuid=b38c9965-9cb5-4c5a-b133-ae3650c7e81c","http://www.mendeley.com/documents/?uuid=68a04577-8b45-492a-a55a-11097ae66bb4"]}],"mendeley":{"formattedCitation":"&lt;sup&gt;[146]&lt;/sup&gt;","plainTextFormattedCitation":"[146]","previouslyFormattedCitation":"&lt;sup&gt;[146]&lt;/sup&gt;"},"properties":{"noteIndex":0},"schema":"https://github.com/citation-style-language/schema/raw/master/csl-citation.json"}</w:instrText>
      </w:r>
      <w:r w:rsidR="00AC48A8" w:rsidRPr="005C7810">
        <w:rPr>
          <w:rFonts w:ascii="Book Antiqua" w:hAnsi="Book Antiqua" w:cs="Times New Roman"/>
          <w:color w:val="000000"/>
          <w:sz w:val="24"/>
          <w:szCs w:val="24"/>
          <w:shd w:val="clear" w:color="auto" w:fill="FFFFFF"/>
          <w:lang w:val="en-US"/>
        </w:rPr>
        <w:fldChar w:fldCharType="separate"/>
      </w:r>
      <w:r w:rsidR="00B0152B" w:rsidRPr="005C7810">
        <w:rPr>
          <w:rFonts w:ascii="Book Antiqua" w:hAnsi="Book Antiqua" w:cs="Times New Roman"/>
          <w:color w:val="000000"/>
          <w:sz w:val="24"/>
          <w:szCs w:val="24"/>
          <w:shd w:val="clear" w:color="auto" w:fill="FFFFFF"/>
          <w:vertAlign w:val="superscript"/>
          <w:lang w:val="en-US"/>
        </w:rPr>
        <w:t>[146]</w:t>
      </w:r>
      <w:r w:rsidR="00AC48A8" w:rsidRPr="005C7810">
        <w:rPr>
          <w:rFonts w:ascii="Book Antiqua" w:hAnsi="Book Antiqua" w:cs="Times New Roman"/>
          <w:color w:val="000000"/>
          <w:sz w:val="24"/>
          <w:szCs w:val="24"/>
          <w:shd w:val="clear" w:color="auto" w:fill="FFFFFF"/>
          <w:lang w:val="en-US"/>
        </w:rPr>
        <w:fldChar w:fldCharType="end"/>
      </w:r>
      <w:r w:rsidR="00E0276C" w:rsidRPr="005C7810">
        <w:rPr>
          <w:rFonts w:ascii="Book Antiqua" w:hAnsi="Book Antiqua" w:cs="Times New Roman"/>
          <w:color w:val="000000"/>
          <w:sz w:val="24"/>
          <w:szCs w:val="24"/>
          <w:shd w:val="clear" w:color="auto" w:fill="FFFFFF"/>
          <w:lang w:val="en-US"/>
        </w:rPr>
        <w:t>.</w:t>
      </w:r>
      <w:r w:rsidR="00784210" w:rsidRPr="005C7810">
        <w:rPr>
          <w:rFonts w:ascii="Book Antiqua" w:hAnsi="Book Antiqua" w:cs="Times New Roman"/>
          <w:color w:val="000000"/>
          <w:sz w:val="24"/>
          <w:szCs w:val="24"/>
          <w:shd w:val="clear" w:color="auto" w:fill="FFFFFF"/>
          <w:lang w:val="en-US"/>
        </w:rPr>
        <w:t xml:space="preserve"> </w:t>
      </w:r>
    </w:p>
    <w:p w:rsidR="00673957" w:rsidRPr="005C7810" w:rsidRDefault="00673957" w:rsidP="00CD380F">
      <w:pPr>
        <w:shd w:val="clear" w:color="auto" w:fill="FFFFFF"/>
        <w:snapToGrid w:val="0"/>
        <w:spacing w:after="0" w:line="360" w:lineRule="auto"/>
        <w:jc w:val="both"/>
        <w:rPr>
          <w:rFonts w:ascii="Book Antiqua" w:hAnsi="Book Antiqua" w:cs="Times New Roman"/>
          <w:sz w:val="24"/>
          <w:szCs w:val="24"/>
          <w:lang w:val="en-US"/>
        </w:rPr>
      </w:pPr>
    </w:p>
    <w:p w:rsidR="00905D18" w:rsidRPr="005C7810" w:rsidRDefault="00E54131" w:rsidP="00CD380F">
      <w:pPr>
        <w:shd w:val="clear" w:color="auto" w:fill="FFFFFF"/>
        <w:snapToGrid w:val="0"/>
        <w:spacing w:after="0" w:line="360" w:lineRule="auto"/>
        <w:jc w:val="both"/>
        <w:rPr>
          <w:rFonts w:ascii="Book Antiqua" w:hAnsi="Book Antiqua" w:cs="Times New Roman"/>
          <w:b/>
          <w:i/>
          <w:sz w:val="24"/>
          <w:szCs w:val="24"/>
          <w:lang w:val="en-US"/>
        </w:rPr>
      </w:pPr>
      <w:r w:rsidRPr="005C7810">
        <w:rPr>
          <w:rFonts w:ascii="Book Antiqua" w:hAnsi="Book Antiqua" w:cs="Times New Roman"/>
          <w:b/>
          <w:i/>
          <w:sz w:val="24"/>
          <w:szCs w:val="24"/>
          <w:lang w:val="en-US"/>
        </w:rPr>
        <w:t>Hepatocyte growth factor</w:t>
      </w:r>
      <w:r w:rsidR="00507687" w:rsidRPr="005C7810">
        <w:rPr>
          <w:rFonts w:ascii="Book Antiqua" w:hAnsi="Book Antiqua" w:cs="Times New Roman"/>
          <w:b/>
          <w:i/>
          <w:sz w:val="24"/>
          <w:szCs w:val="24"/>
          <w:lang w:val="en-US"/>
        </w:rPr>
        <w:t>/</w:t>
      </w:r>
      <w:r w:rsidR="00905D18" w:rsidRPr="005C7810">
        <w:rPr>
          <w:rFonts w:ascii="Book Antiqua" w:hAnsi="Book Antiqua" w:cs="Times New Roman"/>
          <w:b/>
          <w:i/>
          <w:sz w:val="24"/>
          <w:szCs w:val="24"/>
          <w:lang w:val="en-US"/>
        </w:rPr>
        <w:t>MET</w:t>
      </w:r>
      <w:r w:rsidR="00C06A28" w:rsidRPr="005C7810">
        <w:rPr>
          <w:rFonts w:ascii="Book Antiqua" w:hAnsi="Book Antiqua" w:cs="Times New Roman"/>
          <w:b/>
          <w:i/>
          <w:sz w:val="24"/>
          <w:szCs w:val="24"/>
          <w:lang w:val="en-US"/>
        </w:rPr>
        <w:t xml:space="preserve"> signaling pathway </w:t>
      </w:r>
    </w:p>
    <w:p w:rsidR="007C3450" w:rsidRPr="005C7810" w:rsidRDefault="00E54131"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H</w:t>
      </w:r>
      <w:r w:rsidR="007C3450" w:rsidRPr="005C7810">
        <w:rPr>
          <w:rFonts w:ascii="Book Antiqua" w:hAnsi="Book Antiqua" w:cs="Times New Roman"/>
          <w:sz w:val="24"/>
          <w:szCs w:val="24"/>
          <w:lang w:val="en-US"/>
        </w:rPr>
        <w:t xml:space="preserve">igh MET expression </w:t>
      </w:r>
      <w:r w:rsidR="0098796B" w:rsidRPr="005C7810">
        <w:rPr>
          <w:rFonts w:ascii="Book Antiqua" w:hAnsi="Book Antiqua" w:cs="Times New Roman"/>
          <w:sz w:val="24"/>
          <w:szCs w:val="24"/>
          <w:lang w:val="en-US"/>
        </w:rPr>
        <w:t xml:space="preserve">has been </w:t>
      </w:r>
      <w:r w:rsidR="007C3450" w:rsidRPr="005C7810">
        <w:rPr>
          <w:rFonts w:ascii="Book Antiqua" w:hAnsi="Book Antiqua" w:cs="Times New Roman"/>
          <w:sz w:val="24"/>
          <w:szCs w:val="24"/>
          <w:lang w:val="en-US"/>
        </w:rPr>
        <w:t xml:space="preserve">observed in intestinal GC rather than in the diffuse type and </w:t>
      </w:r>
      <w:r w:rsidRPr="005C7810">
        <w:rPr>
          <w:rFonts w:ascii="Book Antiqua" w:hAnsi="Book Antiqua" w:cs="Times New Roman"/>
          <w:sz w:val="24"/>
          <w:szCs w:val="24"/>
          <w:lang w:val="en-US"/>
        </w:rPr>
        <w:t>in</w:t>
      </w:r>
      <w:r w:rsidR="007C3450" w:rsidRPr="005C7810">
        <w:rPr>
          <w:rFonts w:ascii="Book Antiqua" w:hAnsi="Book Antiqua" w:cs="Times New Roman"/>
          <w:sz w:val="24"/>
          <w:szCs w:val="24"/>
          <w:lang w:val="en-US"/>
        </w:rPr>
        <w:t xml:space="preserve"> advanced stage</w:t>
      </w:r>
      <w:r w:rsidRPr="005C7810">
        <w:rPr>
          <w:rFonts w:ascii="Book Antiqua" w:hAnsi="Book Antiqua" w:cs="Times New Roman"/>
          <w:sz w:val="24"/>
          <w:szCs w:val="24"/>
          <w:lang w:val="en-US"/>
        </w:rPr>
        <w:t xml:space="preserve"> disease</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{"citationItems":[{"id":"ITEM-1","itemData":{"DOI":"10.1186/1746-1596-7-57","ISBN":"9744598757151","ISSN":"17461596","abstract":"BACKGROUND: c-MET is an oncogene protein that plays important role in gastric carcinogenesis and has been introduced as a prognostic marker and potential therapeutic target. The aim of this study was to evaluate the frequency of c-MET overexpression and its relationship with clinicopathological variables in gastric cancer of Iranian population using tissue microarray.\\n\\nMETHODS: In a cross sectional study, representative paraffin blocks of 130 patients with gastric carcinoma treated by curative gastrectomy during a 2 years period of 2008-2009 in two university hospitals in Tehran-Iran were collected in tissue microarray and c-MET expression was studied by immunohistochemical staining.\\n\\nRESULTS: Finally 124 cases were evaluated, constituted of 99 male and 25 female with the average age of 61.5 years. In 71% (88/124) of tumors, c-MET high expression was found. c-MET high expression was more associated with intestinal than diffuse tumor type (P = 0.04), deeper tumor invasion, pT3 and pT4 versus pT1 and pT2 (P = 0.014), neural invasion (P = 0.002) and advanced TNM staging, stage 3 and 4 versus stage 1 and2 (P = 0.044). The c-MET high expression was not associated with age, sex, tumor location, differentiation grade and distant metastasis, but relative associations with lymph node metastasis (P = 0.065) and vascular invasion (P = 0.078) were observed.\\n\\nCONCLUSIONS: c-MET oncogene protein was frequently overexpressed in Iranian gastric carcinomas and it was related to clinicopathological characteristics such as tumor type, depth of invasion, neural invasion and TNM staging. It can also support the idea that c-MET is a potential marker for target therapy in Iranian gastric cancer.\\n\\nVIRTUAL SLIDES: The virtual slide(s) for this article can be found here: http://www.diagnosticpathology.diagnomx.eu/vs/9744598757151429.","author":[{"dropping-particle":"","family":"Sotoudeh","given":"Kambiz","non-dropping-particle":"","parse-names":false,"suffix":""},{"dropping-particle":"","family":"Hashemi","given":"Forough","non-dropping-particle":"","parse-names":false,"suffix":""},{"dropping-particle":"","family":"Madjd","given":"Zahra","non-dropping-particle":"","parse-names":false,"suffix":""},{"dropping-particle":"","family":"Sadeghipour","given":"Alireza","non-dropping-particle":"","parse-names":false,"suffix":""},{"dropping-particle":"","family":"Molanaei","given":"Saadat","non-dropping-particle":"","parse-names":false,"suffix":""},{"dropping-particle":"","family":"Kalantary","given":"Elham","non-dropping-particle":"","parse-names":false,"suffix":""}],"container-title":"Diagnostic Pathology","id":"ITEM-1","issue":"1","issued":{"date-parts":[["2012"]]},"page":"1-7","title":"The clinicopathologic association of c-MET overexpression in Iranian gastric carcinomas; an immunohistochemical study of tissue microarrays","type":"article-journal","volume":"7"},"uris":["http://www.mendeley.com/documents/?uuid=f7499e1e-f513-4bbd-8b6c-0c0150593966","http://www.mendeley.com/documents/?uuid=45f18887-71d8-43f9-ae37-3233092ebde5"]}],"mendeley":{"formattedCitation":"&lt;sup&gt;[147]&lt;/sup&gt;","plainTextFormattedCitation":"[147]","previouslyFormattedCitation":"&lt;sup&gt;[147]&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[147]</w:t>
      </w:r>
      <w:r w:rsidR="00AC48A8" w:rsidRPr="005C7810">
        <w:rPr>
          <w:rFonts w:ascii="Book Antiqua" w:hAnsi="Book Antiqua" w:cs="Times New Roman"/>
          <w:sz w:val="24"/>
          <w:szCs w:val="24"/>
          <w:lang w:val="en-US"/>
        </w:rPr>
        <w:fldChar w:fldCharType="end"/>
      </w:r>
      <w:r w:rsidR="007C3450"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MET </w:t>
      </w:r>
      <w:r w:rsidR="007C3450" w:rsidRPr="005C7810">
        <w:rPr>
          <w:rFonts w:ascii="Book Antiqua" w:hAnsi="Book Antiqua" w:cs="Times New Roman"/>
          <w:sz w:val="24"/>
          <w:szCs w:val="24"/>
          <w:lang w:val="en-US"/>
        </w:rPr>
        <w:t xml:space="preserve">positivity </w:t>
      </w:r>
      <w:r w:rsidRPr="005C7810">
        <w:rPr>
          <w:rFonts w:ascii="Book Antiqua" w:hAnsi="Book Antiqua" w:cs="Times New Roman"/>
          <w:sz w:val="24"/>
          <w:szCs w:val="24"/>
          <w:lang w:val="en-US"/>
        </w:rPr>
        <w:t>is</w:t>
      </w:r>
      <w:r w:rsidR="007C3450" w:rsidRPr="005C7810">
        <w:rPr>
          <w:rFonts w:ascii="Book Antiqua" w:hAnsi="Book Antiqua" w:cs="Times New Roman"/>
          <w:sz w:val="24"/>
          <w:szCs w:val="24"/>
          <w:lang w:val="en-US"/>
        </w:rPr>
        <w:t xml:space="preserve"> a prognostic factor </w:t>
      </w:r>
      <w:r w:rsidRPr="005C7810">
        <w:rPr>
          <w:rFonts w:ascii="Book Antiqua" w:hAnsi="Book Antiqua" w:cs="Times New Roman"/>
          <w:sz w:val="24"/>
          <w:szCs w:val="24"/>
          <w:lang w:val="en-US"/>
        </w:rPr>
        <w:t>for</w:t>
      </w:r>
      <w:r w:rsidR="007C3450" w:rsidRPr="005C7810">
        <w:rPr>
          <w:rFonts w:ascii="Book Antiqua" w:hAnsi="Book Antiqua" w:cs="Times New Roman"/>
          <w:sz w:val="24"/>
          <w:szCs w:val="24"/>
          <w:lang w:val="en-US"/>
        </w:rPr>
        <w:t xml:space="preserve"> OS in GC</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{"citationItems":[{"id":"ITEM-1","itemData":{"DOI":"10.1007/s10120-015-0471-6","ISBN":"1012001504","ISSN":"14363305","PMID":"25682441","abstract":"BACKGROUND This study was conducted to investigate whether human epidermal growth factor receptor 2 (HER2) status, epidermal growth factor receptor (EGFR) status, and c-MET status are independent prognostic factors for advanced gastric cancer patients who received standard chemotherapy. METHOD Unresectable or recurrent gastric or gastroesophageal junction cancer patients with histologically confirmed adenocarcinoma treated with S-1 plus cisplatin as first-line chemotherapy were eligible. Formalin-fixed paraffin-embedded tumor samples were examined for HER2, EGFR, and c-MET status using immunohistochemistry (IHC). Additionally, gene amplification was examined using fluorescent in situ hybridization (FISH) for HER2. Positivity was defined as an IHC score of 3+ or an IHC score of 2+/FISH positive for HER2, and an IHC score of 2+ or 3+ for both EGFR and c-MET. RESULTS Of the 293 patients from nine institutions, 43 (15 %) were HER2 positive, 79 (27 %) were EGFR positive, and 120 (41 %) were c-MET positive. Ten patients (3 %) showed positive co-expression of HER2, EGFR, and c-MET. After a median follow-up time of 58.4 months with 280 deaths, there was no significant difference in overall survival (OS) in terms of HER2 and EGFR status. However, there was a significant difference in OS between c-MET-positive and c-MET-negative patients [median, 11.9 months vs 14.2 months; hazard ratio, 1.31 (95 % confidence interval, 1.03-1.67); log-rank P = 0.024]. Multivariate analysis also showed that c-MET positivity was still a prognostic factor for OS [hazard ratio, 1.30 (95 % confidence interval, 1.02-1.67); P = 0.037]. CONCLUSIONS The study suggested that c-MET-positive status had poor prognostic value. These data could be used as the basis for future clinical trials for targeting agents for advanced gastric cancer patients.","author":[{"dropping-particle":"","family":"Fuse","given":"Nozomu","non-dropping-particle":"","parse-names":false,"suffix":""},{"dropping-particle":"","family":"Kuboki","given":"Yasutoshi","non-dropping-particle":"","parse-names":false,"suffix":""},{"dropping-particle":"","family":"Kuwata","given":"Takeshi","non-dropping-particle":"","parse-names":false,"suffix":""},{"dropping-particle":"","family":"Nishina","given":"Tomohiro","non-dropping-particle":"","parse-names":false,"suffix":""},{"dropping-particle":"","family":"Kadowaki","given":"Shigenori","non-dropping-particle":"","parse-names":false,"suffix":""},{"dropping-particle":"","family":"Shinozaki","given":"Eiji","non-dropping-particle":"","parse-names":false,"suffix":""},{"dropping-particle":"","family":"Machida","given":"Nozomu","non-dropping-particle":"","parse-names":false,"suffix":""},{"dropping-particle":"","family":"Yuki","given":"Satoshi","non-dropping-particle":"","parse-names":false,"suffix":""},{"dropping-particle":"","family":"Ooki","given":"Akira","non-dropping-particle":"","parse-names":false,"suffix":""},{"dropping-particle":"","family":"Kajiura","given":"Shinya","non-dropping-particle":"","parse-names":false,"suffix":""},{"dropping-particle":"","family":"Kimura","given":"Tetsuo","non-dropping-particle":"","parse-names":false,"suffix":""},{"dropping-particle":"","family":"Yamanaka","given":"Takeharu","non-dropping-particle":"","parse-names":false,"suffix":""},{"dropping-particle":"","family":"Shitara","given":"Kohei","non-dropping-particle":"","parse-names":false,"suffix":""},{"dropping-particle":"","family":"Nagatsuma","given":"Akiko Kawano","non-dropping-particle":"","parse-names":false,"suffix":""},{"dropping-particle":"","family":"Yoshino","given":"Takayuki","non-dropping-particle":"","parse-names":false,"suffix":""},{"dropping-particle":"","family":"Ochiai","given":"Atsushi","non-dropping-particle":"","parse-names":false,"suffix":""},{"dropping-particle":"","family":"Ohtsu","given":"Atsushi","non-dropping-particle":"","parse-names":false,"suffix":""}],"container-title":"Gastric Cancer","id":"ITEM-1","issue":"1","issued":{"date-parts":[["2016"]]},"page":"183-191","publisher":"Springer Japan","title":"Prognostic impact of HER2, EGFR, and c-MET status on overall survival of advanced gastric cancer patients","type":"article-journal","volume":"19"},"uris":["http://www.mendeley.com/documents/?uuid=d4c0db33-6baa-47c2-9b58-5011571e64a9","http://www.mendeley.com/documents/?uuid=c5e00626-1292-4967-93ff-f5c8eda2c311"]}],"mendeley":{"formattedCitation":"&lt;sup&gt;[148]&lt;/sup&gt;","plainTextFormattedCitation":"[148]","previouslyFormattedCitation":"&lt;sup&gt;[148]&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[148]</w:t>
      </w:r>
      <w:r w:rsidR="00AC48A8" w:rsidRPr="005C7810">
        <w:rPr>
          <w:rFonts w:ascii="Book Antiqua" w:hAnsi="Book Antiqua" w:cs="Times New Roman"/>
          <w:sz w:val="24"/>
          <w:szCs w:val="24"/>
          <w:lang w:val="en-US"/>
        </w:rPr>
        <w:fldChar w:fldCharType="end"/>
      </w:r>
      <w:r w:rsidR="007C3450" w:rsidRPr="005C7810">
        <w:rPr>
          <w:rFonts w:ascii="Book Antiqua" w:hAnsi="Book Antiqua" w:cs="Times New Roman"/>
          <w:sz w:val="24"/>
          <w:szCs w:val="24"/>
          <w:lang w:val="en-US"/>
        </w:rPr>
        <w:t xml:space="preserve">. Patients with GC and MET expression can benefit from anti-MET drugs. Rilotumumab is </w:t>
      </w:r>
      <w:r w:rsidRPr="005C7810">
        <w:rPr>
          <w:rFonts w:ascii="Book Antiqua" w:hAnsi="Book Antiqua" w:cs="Times New Roman"/>
          <w:sz w:val="24"/>
          <w:szCs w:val="24"/>
          <w:lang w:val="en-US"/>
        </w:rPr>
        <w:t>a h</w:t>
      </w:r>
      <w:r w:rsidR="007C3450" w:rsidRPr="005C7810">
        <w:rPr>
          <w:rFonts w:ascii="Book Antiqua" w:hAnsi="Book Antiqua" w:cs="Times New Roman"/>
          <w:sz w:val="24"/>
          <w:szCs w:val="24"/>
          <w:lang w:val="en-US"/>
        </w:rPr>
        <w:t xml:space="preserve">epatocyte </w:t>
      </w:r>
      <w:r w:rsidRPr="005C7810">
        <w:rPr>
          <w:rFonts w:ascii="Book Antiqua" w:hAnsi="Book Antiqua" w:cs="Times New Roman"/>
          <w:sz w:val="24"/>
          <w:szCs w:val="24"/>
          <w:lang w:val="en-US"/>
        </w:rPr>
        <w:t>g</w:t>
      </w:r>
      <w:r w:rsidR="007C3450" w:rsidRPr="005C7810">
        <w:rPr>
          <w:rFonts w:ascii="Book Antiqua" w:hAnsi="Book Antiqua" w:cs="Times New Roman"/>
          <w:sz w:val="24"/>
          <w:szCs w:val="24"/>
          <w:lang w:val="en-US"/>
        </w:rPr>
        <w:t xml:space="preserve">rowth </w:t>
      </w:r>
      <w:r w:rsidRPr="005C7810">
        <w:rPr>
          <w:rFonts w:ascii="Book Antiqua" w:hAnsi="Book Antiqua" w:cs="Times New Roman"/>
          <w:sz w:val="24"/>
          <w:szCs w:val="24"/>
          <w:lang w:val="en-US"/>
        </w:rPr>
        <w:t>f</w:t>
      </w:r>
      <w:r w:rsidR="007C3450" w:rsidRPr="005C7810">
        <w:rPr>
          <w:rFonts w:ascii="Book Antiqua" w:hAnsi="Book Antiqua" w:cs="Times New Roman"/>
          <w:sz w:val="24"/>
          <w:szCs w:val="24"/>
          <w:lang w:val="en-US"/>
        </w:rPr>
        <w:t>actor</w:t>
      </w:r>
      <w:r w:rsidRPr="005C7810">
        <w:rPr>
          <w:rFonts w:ascii="Book Antiqua" w:hAnsi="Book Antiqua" w:cs="Times New Roman"/>
          <w:sz w:val="24"/>
          <w:szCs w:val="24"/>
          <w:lang w:val="en-US"/>
        </w:rPr>
        <w:t xml:space="preserve"> (HGF</w:t>
      </w:r>
      <w:r w:rsidR="007C3450" w:rsidRPr="005C7810">
        <w:rPr>
          <w:rFonts w:ascii="Book Antiqua" w:hAnsi="Book Antiqua" w:cs="Times New Roman"/>
          <w:sz w:val="24"/>
          <w:szCs w:val="24"/>
          <w:lang w:val="en-US"/>
        </w:rPr>
        <w:t xml:space="preserve">) monoclonal antibody that blocks </w:t>
      </w:r>
      <w:r w:rsidR="00CD1DC2" w:rsidRPr="005C7810">
        <w:rPr>
          <w:rFonts w:ascii="Book Antiqua" w:hAnsi="Book Antiqua" w:cs="Times New Roman"/>
          <w:sz w:val="24"/>
          <w:szCs w:val="24"/>
          <w:lang w:val="en-US"/>
        </w:rPr>
        <w:t>binding</w:t>
      </w:r>
      <w:r w:rsidR="007C3450" w:rsidRPr="005C7810">
        <w:rPr>
          <w:rFonts w:ascii="Book Antiqua" w:hAnsi="Book Antiqua" w:cs="Times New Roman"/>
          <w:sz w:val="24"/>
          <w:szCs w:val="24"/>
          <w:lang w:val="en-US"/>
        </w:rPr>
        <w:t xml:space="preserve"> between HGF and its receptor MET. The efficacy of first-line rilotumumab in patients with GC in combination with ECX was demonstrated in</w:t>
      </w:r>
      <w:r w:rsidR="00CD1DC2" w:rsidRPr="005C7810">
        <w:rPr>
          <w:rFonts w:ascii="Book Antiqua" w:hAnsi="Book Antiqua" w:cs="Times New Roman"/>
          <w:sz w:val="24"/>
          <w:szCs w:val="24"/>
          <w:lang w:val="en-US"/>
        </w:rPr>
        <w:t xml:space="preserve"> a</w:t>
      </w:r>
      <w:r w:rsidR="007C3450" w:rsidRPr="005C7810">
        <w:rPr>
          <w:rFonts w:ascii="Book Antiqua" w:hAnsi="Book Antiqua" w:cs="Times New Roman"/>
          <w:sz w:val="24"/>
          <w:szCs w:val="24"/>
          <w:lang w:val="en-US"/>
        </w:rPr>
        <w:t xml:space="preserve"> phase Ib/II clinical study (</w:t>
      </w:r>
      <w:r w:rsidR="007C3450" w:rsidRPr="005C7810">
        <w:rPr>
          <w:rFonts w:ascii="Book Antiqua" w:hAnsi="Book Antiqua" w:cs="Times New Roman"/>
          <w:color w:val="000000"/>
          <w:sz w:val="24"/>
          <w:szCs w:val="24"/>
          <w:shd w:val="clear" w:color="auto" w:fill="FFFFFF"/>
          <w:lang w:val="en-US"/>
        </w:rPr>
        <w:t>NCT00719550)</w:t>
      </w:r>
      <w:r w:rsidR="007C3450" w:rsidRPr="005C7810">
        <w:rPr>
          <w:rFonts w:ascii="Book Antiqua" w:hAnsi="Book Antiqua" w:cs="Times New Roman"/>
          <w:sz w:val="24"/>
          <w:szCs w:val="24"/>
          <w:lang w:val="en-US"/>
        </w:rPr>
        <w:t>. The group of patients who received ECX plus rilotumumab showed a better prognosis than placebo</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{"citationItems":[{"id":"ITEM-1","itemData":{"DOI":"10.1016/S1470-2045(14)70023-3","ISSN":"1470-2045","abstract":"BACKGROUND\nDysregulation of the hepatocyte growth factor (HGF)/MET pathway promotes tumour growth and metastasis. Rilotumumab is a fully human, monoclonal antibody that neutralises HGF. We aimed to assess the safety, efficacy, biomarkers, and pharmacokinetics of rilotumumab combined with epirubicin, cisplatin, and capecitabine (ECX) in patients with advanced gastric or oesophagogastric junction cancer. \n\nMETHODS\nWe recruited patients (≥18 years old) with unresectable locally advanced or metastatic gastric or oesophagogastric junction adenocarcinoma, an Eastern Cooperative Oncology Group (ECOG) performance status of 0 or 1, who had not received previous systemic therapy, from 43 sites worldwide. Phase 1b was an open-label, dose de-escalation study to identify a safe dose of rilotumumab (initial dose 15 mg/kg intravenously on day 1) plus ECX (epirubicin 50 mg/m2 intravenously on day 1, cisplatin 60 mg/m2 intravenously on day 1, capecitabine 625 mg/m2 twice a day orally on days 1–21, respectively), administered every 3 weeks. The phase 1b primary endpoint was the incidence of dose-limiting toxicities in all phase 1b patients who received at least one dose of rilotumumab and completed the dose-limiting toxicity assessment window (first cycle of therapy). Phase 2 was a double-blind study that randomly assigned patients (1:1:1) using an interactive voice response system to receive rilotumumab 15 mg/kg, rilotumumab 7·5 mg/kg, or placebo, plus ECX (doses as above), stratified by ECOG performance status and disease extent. The phase 2 primary endpoint was progression-free survival (PFS), analysed by intention to treat. The study is registered with ClinicalTrials.gov, number NCT00719550. \n\nFINDINGS\nSeven of the nine patients enrolled in the phase 1b study received at least one dose of rilotumumab 15 mg/kg, only two of whom had three dose-limiting toxicities: palmar-plantar erythrodysesthesia, cerebral ischaemia, and deep-vein thrombosis. In phase 2, 121 patients were randomly assigned (40 to rilotumumab 15 mg/kg; 42 to rilotumumab 7·5 mg/kg; 39 to placebo). Median PFS was 5·1 months (95% CI 2·9–7·0) in the rilotumumab 15 mg/kg group, 6·8 months (4·5–7·5) in the rilotumumab 7·5 mg/kg group, 5·7 months (4·5–7·0) in both rilotumumab groups combined, and 4·2 months (2·9–4·9) in the placebo group. The hazard ratio for PFS events compared with placebo was 0·69 (80% CI 0·49–0·97; p=0·164) for rilotumumab 15 mg/kg, 0·53 (80% CI 0·38–0·73; p=0·009) for rilotumumab 7·5 mg/…","author":[{"dropping-particle":"","family":"Iveson","given":"Timothy","non-dropping-particle":"","parse-names":false,"suffix":""},{"dropping-particle":"","family":"Donehower","given":"Ross C","non-dropping-particle":"","parse-names":false,"suffix":""},{"dropping-particle":"","family":"Davidenko","given":"Irina","non-dropping-particle":"","parse-names":false,"suffix":""},{"dropping-particle":"","family":"Tjulandin","given":"Sergey","non-dropping-particle":"","parse-names":false,"suffix":""},{"dropping-particle":"","family":"Deptala","given":"Andrzej","non-dropping-particle":"","parse-names":false,"suffix":""},{"dropping-particle":"","family":"Harrison","given":"Mark","non-dropping-particle":"","parse-names":false,"suffix":""},{"dropping-particle":"","family":"Nirni","given":"Somanath","non-dropping-particle":"","parse-names":false,"suffix":""},{"dropping-particle":"","family":"Lakshmaiah","given":"Kuntegowdanahalli","non-dropping-particle":"","parse-names":false,"suffix":""},{"dropping-particle":"","family":"Thomas","given":"Anne","non-dropping-particle":"","parse-names":false,"suffix":""},{"dropping-particle":"","family":"Jiang","given":"Yizhou","non-dropping-particle":"","parse-names":false,"suffix":""},{"dropping-particle":"","family":"Zhu","given":"Min","non-dropping-particle":"","parse-names":false,"suffix":""},{"dropping-particle":"","family":"Tang","given":"Rui","non-dropping-particle":"","parse-names":false,"suffix":""},{"dropping-particle":"","family":"Anderson","given":"Abraham","non-dropping-particle":"","parse-names":false,"suffix":""},{"dropping-particle":"","family":"Dubey","given":"Sarita","non-dropping-particle":"","parse-names":false,"suffix":""},{"dropping-particle":"","family":"Oliner","given":"Kelly S","non-dropping-particle":"","parse-names":false,"suffix":""},{"dropping-particle":"","family":"Loh","given":"Elwyn","non-dropping-particle":"","parse-names":false,"suffix":""}],"container-title":"The Lancet Oncology","id":"ITEM-1","issue":"9","issued":{"date-parts":[["2014","8","1"]]},"page":"1007-1018","publisher":"Elsevier","title":"Rilotumumab in combination with epirubicin, cisplatin, and capecitabine as first-line treatment for gastric or oesophagogastric junction adenocarcinoma: an open-label, dose de-escalation phase 1b study and a double-blind, randomised phase 2 study","type":"article-journal","volume":"15"},"uris":["http://www.mendeley.com/documents/?uuid=9fb6038f-55be-3d88-942e-2e8e0d821469","http://www.mendeley.com/documents/?uuid=69bc7505-13b3-4891-a9aa-c87bc18773e4"]}],"mendeley":{"formattedCitation":"&lt;sup&gt;[149]&lt;/sup&gt;","plainTextFormattedCitation":"[149]","previouslyFormattedCitation":"&lt;sup&gt;[149]&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[149]</w:t>
      </w:r>
      <w:r w:rsidR="00AC48A8" w:rsidRPr="005C7810">
        <w:rPr>
          <w:rFonts w:ascii="Book Antiqua" w:hAnsi="Book Antiqua" w:cs="Times New Roman"/>
          <w:sz w:val="24"/>
          <w:szCs w:val="24"/>
          <w:lang w:val="en-US"/>
        </w:rPr>
        <w:fldChar w:fldCharType="end"/>
      </w:r>
      <w:r w:rsidR="007C3450" w:rsidRPr="005C7810">
        <w:rPr>
          <w:rFonts w:ascii="Book Antiqua" w:hAnsi="Book Antiqua" w:cs="Times New Roman"/>
          <w:sz w:val="24"/>
          <w:szCs w:val="24"/>
          <w:lang w:val="en-US"/>
        </w:rPr>
        <w:t xml:space="preserve">. The RILOMET-1 </w:t>
      </w:r>
      <w:r w:rsidR="00915FF5" w:rsidRPr="005C7810">
        <w:rPr>
          <w:rFonts w:ascii="Book Antiqua" w:hAnsi="Book Antiqua" w:cs="Times New Roman"/>
          <w:sz w:val="24"/>
          <w:szCs w:val="24"/>
          <w:lang w:val="en-US"/>
        </w:rPr>
        <w:t xml:space="preserve">clinical </w:t>
      </w:r>
      <w:r w:rsidR="007C3450" w:rsidRPr="005C7810">
        <w:rPr>
          <w:rFonts w:ascii="Book Antiqua" w:hAnsi="Book Antiqua" w:cs="Times New Roman"/>
          <w:sz w:val="24"/>
          <w:szCs w:val="24"/>
          <w:lang w:val="en-US"/>
        </w:rPr>
        <w:t xml:space="preserve">trial (NCT01697072) evaluated the efficacy of rilotumumab in combination with epirubicin, cisplatin, and capecitabine. Regarding OS, the addition of rilotumumab to chemotherapy did not bring </w:t>
      </w:r>
      <w:r w:rsidR="00EC5B3D" w:rsidRPr="005C7810">
        <w:rPr>
          <w:rFonts w:ascii="Book Antiqua" w:hAnsi="Book Antiqua" w:cs="Times New Roman"/>
          <w:sz w:val="24"/>
          <w:szCs w:val="24"/>
          <w:lang w:val="en-US"/>
        </w:rPr>
        <w:t xml:space="preserve">about </w:t>
      </w:r>
      <w:r w:rsidR="007C3450" w:rsidRPr="005C7810">
        <w:rPr>
          <w:rFonts w:ascii="Book Antiqua" w:hAnsi="Book Antiqua" w:cs="Times New Roman"/>
          <w:sz w:val="24"/>
          <w:szCs w:val="24"/>
          <w:lang w:val="en-US"/>
        </w:rPr>
        <w:t>benefits compared to chemotherapy alone in MET-positive patients</w:t>
      </w:r>
      <w:r w:rsidR="00AC48A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{"citationItems":[{"id":"ITEM-1","itemData":{"DOI":"10.1016/S1470-2045(17)30566-1","ISBN":"1474-5488 (Electronic)\r1470-2045 (Linking)","ISSN":"14745488","PMID":"28958504","abstract":"Background Rilotumumab is a fully human monoclonal antibody that selectively targets the ligand of the MET receptor, hepatocyte growth factor (HGF). We aimed to assess the efficacy, safety, and pharmacokinetics of rilotumumab combined with epirubicin, cisplatin, and capecitabine, and to assess potential biomarkers, in patients with advanced MET-positive gastric or gastro-oesophageal junction adenocarcinoma. Methods This multicentre, randomised, double-blind, placebo-controlled, phase 3 study was done at 152 centres in 27 countries. We recruited adults (aged ≥18 years) with unresectable locally advanced or metastatic gastric or gastro-oesophageal junction adenocarcinoma, an Eastern Cooperative Oncology Group (ECOG) performance status of 0 or 1, MET-positive tumours (≥25% of tumour cells with membrane staining of ≥1+ staining intensity), and evaluable disease, who had not received previous systemic therapy. Eligible patients were randomly assigned (1:1) via a computerised voice response system to receive rilotumumab 15 mg/kg intravenously or placebo in combination with open-label chemotherapy (epirubicin 50 mg/m2 intravenously; cisplatin 60 mg/m2 intravenously; capecitabine 625 mg/m2 orally twice daily) in 21-day cycles for up to ten cycles. After completion of chemotherapy, patients continued to receive rilotumumab or placebo monotherapy until disease progression, intolerability, withdrawal of consent, or study termination. Randomisation was stratified by disease extent and ECOG performance status. Both patients and physicians were masked to study treatment assignment. The primary endpoint was overall survival, analysed by intention to treat. We report the final analysis. This study is registered with ClinicalTrials.gov, number NCT01697072. Findings Between Nov 7, 2012, and Nov 21, 2014, 609 patients were randomly assigned to rilotumumab plus epirubicin, cisplatin, and capecitabine (rilotumumab group; n=304) or placebo plus epirubicin, cisplatin, and capecitabine (placebo group; n=305). Study treatment was stopped early after an independent data monitoring committee found a higher number of deaths in the rilotumumab group than in the placebo group; all patients in the rilotumumab group subsequently discontinued all study treatment. Median follow-up was 7·7 months (IQR 3·6–12·0) for patients in the rilotumumab group and 9·4 months (5·3–13·1) for patients in the placebo group. Median overall survival was 8·8 months (95% CI 7·7–10·2) in the rilotumumab grou…","author":[{"dropping-particle":"","family":"Catenacci","given":"Daniel V.T.","non-dropping-particle":"","parse-names":false,"suffix":""},{"dropping-particle":"","family":"Tebbutt","given":"Niall C.","non-dropping-particle":"","parse-names":false,"suffix":""},{"dropping-particle":"","family":"Davidenko","given":"Irina","non-dropping-particle":"","parse-names":false,"suffix":""},{"dropping-particle":"","family":"Murad","given":"André M.","non-dropping-particle":"","parse-names":false,"suffix":""},{"dropping-particle":"","family":"Al-Batran","given":"Salah Eddin","non-dropping-particle":"","parse-names":false,"suffix":""},{"dropping-particle":"","family":"Ilson","given":"David H.","non-dropping-particle":"","parse-names":false,"suffix":""},{"dropping-particle":"","family":"Tjulandin","given":"Sergei","non-dropping-particle":"","parse-names":false,"suffix":""},{"dropping-particle":"","family":"Gotovkin","given":"Evengy","non-dropping-particle":"","parse-names":false,"suffix":""},{"dropping-particle":"","family":"Karaszewska","given":"Boguslawa","non-dropping-particle":"","parse-names":false,"suffix":""},{"dropping-particle":"","family":"Bondarenko","given":"Igor","non-dropping-particle":"","parse-names":false,"suffix":""},{"dropping-particle":"","family":"Tejani","given":"Mohamedtaki A.","non-dropping-particle":"","parse-names":false,"suffix":""},{"dropping-particle":"","family":"Udrea","given":"Anghel A.","non-dropping-particle":"","parse-names":false,"suffix":""},{"dropping-particle":"","family":"Tehfe","given":"Mustapha","non-dropping-particle":"","parse-names":false,"suffix":""},{"dropping-particle":"","family":"Vita","given":"Ferdinando","non-dropping-particle":"De","parse-names":false,"suffix":""},{"dropping-particle":"","family":"Turkington","given":"Cheryl","non-dropping-particle":"","parse-names":false,"suffix":""},{"dropping-particle":"","family":"Tang","given":"Rui","non-dropping-particle":"","parse-names":false,"suffix":""},{"dropping-particle":"","family":"Ang","given":"Agnes","non-dropping-particle":"","parse-names":false,"suffix":""},{"dropping-particle":"","family":"Zhang","given":"Yilong","non-dropping-particle":"","parse-names":false,"suffix":""},{"dropping-particle":"","family":"Hoang","given":"Tien","non-dropping-particle":"","parse-names":false,"suffix":""},{"dropping-particle":"","family":"Sidhu","given":"Roger","non-dropping-particle":"","parse-names":false,"suffix":""},{"dropping-particle":"","family":"Cunningham","given":"David","non-dropping-particle":"","parse-names":false,"suffix":""}],"container-title":"The Lancet Oncology","id":"ITEM-1","issue":"11","issued":{"date-parts":[["2017"]]},"page":"1467-1482","title":"Rilotumumab plus epirubicin, cisplatin, and capecitabine as first-line therapy in advanced MET-positive gastric or gastro-oesophageal junction cancer (RILOMET-1): a randomised, double-blind, placebo-controlled, phase 3 trial","type":"article-journal","volume":"18"},"uris":["http://www.mendeley.com/documents/?uuid=4c844e41-167a-4c5a-b8cc-aaa6d17a27a5","http://www.mendeley.com/documents/?uuid=8acf5b1c-57b9-4a0f-b349-46501f722eb7"]}],"mendeley":{"formattedCitation":"&lt;sup&gt;[150]&lt;/sup&gt;","plainTextFormattedCitation":"[150]","previouslyFormattedCitation":"&lt;sup&gt;[150]&lt;/sup&gt;"},"properties":{"noteIndex":0},"schema":"https://github.com/citation-style-language/schema/raw/master/csl-citation.json"}</w:instrText>
      </w:r>
      <w:r w:rsidR="00AC48A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[150]</w:t>
      </w:r>
      <w:r w:rsidR="00AC48A8" w:rsidRPr="005C7810">
        <w:rPr>
          <w:rFonts w:ascii="Book Antiqua" w:hAnsi="Book Antiqua" w:cs="Times New Roman"/>
          <w:sz w:val="24"/>
          <w:szCs w:val="24"/>
          <w:lang w:val="en-US"/>
        </w:rPr>
        <w:fldChar w:fldCharType="end"/>
      </w:r>
      <w:r w:rsidR="007C3450" w:rsidRPr="005C7810">
        <w:rPr>
          <w:rFonts w:ascii="Book Antiqua" w:hAnsi="Book Antiqua" w:cs="Times New Roman"/>
          <w:sz w:val="24"/>
          <w:szCs w:val="24"/>
          <w:lang w:val="en-US"/>
        </w:rPr>
        <w:t xml:space="preserve">, unlike the phase II study in which OS was 10.6 </w:t>
      </w:r>
      <w:r w:rsidR="000C5160" w:rsidRPr="005C7810">
        <w:rPr>
          <w:rFonts w:ascii="Book Antiqua" w:hAnsi="Book Antiqua" w:cs="Times New Roman"/>
          <w:i/>
          <w:sz w:val="24"/>
          <w:szCs w:val="24"/>
          <w:lang w:val="en-US"/>
        </w:rPr>
        <w:t>vs</w:t>
      </w:r>
      <w:r w:rsidR="007C3450" w:rsidRPr="005C7810">
        <w:rPr>
          <w:rFonts w:ascii="Book Antiqua" w:hAnsi="Book Antiqua" w:cs="Times New Roman"/>
          <w:sz w:val="24"/>
          <w:szCs w:val="24"/>
          <w:lang w:val="en-US"/>
        </w:rPr>
        <w:t xml:space="preserve"> 5.7 mo in</w:t>
      </w:r>
      <w:r w:rsidR="00122F6B" w:rsidRPr="005C7810">
        <w:rPr>
          <w:rFonts w:ascii="Book Antiqua" w:hAnsi="Book Antiqua" w:cs="Times New Roman"/>
          <w:sz w:val="24"/>
          <w:szCs w:val="24"/>
          <w:lang w:val="en-US"/>
        </w:rPr>
        <w:t xml:space="preserve"> </w:t>
      </w:r>
      <w:r w:rsidR="007C3450" w:rsidRPr="005C7810">
        <w:rPr>
          <w:rFonts w:ascii="Book Antiqua" w:hAnsi="Book Antiqua" w:cs="Times New Roman"/>
          <w:sz w:val="24"/>
          <w:szCs w:val="24"/>
          <w:lang w:val="en-US"/>
        </w:rPr>
        <w:t>MET-positive patients who received rilotumumab</w:t>
      </w:r>
      <w:r w:rsidR="00EC5B3D" w:rsidRPr="005C7810">
        <w:rPr>
          <w:rFonts w:ascii="Book Antiqua" w:hAnsi="Book Antiqua" w:cs="Times New Roman"/>
          <w:sz w:val="24"/>
          <w:szCs w:val="24"/>
          <w:lang w:val="en-US"/>
        </w:rPr>
        <w:t xml:space="preserve"> </w:t>
      </w:r>
      <w:r w:rsidR="007C3450" w:rsidRPr="005C7810">
        <w:rPr>
          <w:rFonts w:ascii="Book Antiqua" w:hAnsi="Book Antiqua" w:cs="Times New Roman"/>
          <w:sz w:val="24"/>
          <w:szCs w:val="24"/>
          <w:lang w:val="en-US"/>
        </w:rPr>
        <w:t>compared to the placebo group</w:t>
      </w:r>
      <w:r w:rsidR="007C3450" w:rsidRPr="005C7810">
        <w:rPr>
          <w:rFonts w:ascii="Book Antiqua" w:hAnsi="Book Antiqua" w:cs="Times New Roman"/>
          <w:sz w:val="24"/>
          <w:szCs w:val="24"/>
          <w:vertAlign w:val="superscript"/>
          <w:lang w:val="en-US"/>
        </w:rPr>
        <w:t>[1</w:t>
      </w:r>
      <w:r w:rsidR="00884DBB" w:rsidRPr="005C7810">
        <w:rPr>
          <w:rFonts w:ascii="Book Antiqua" w:hAnsi="Book Antiqua" w:cs="Times New Roman"/>
          <w:sz w:val="24"/>
          <w:szCs w:val="24"/>
          <w:vertAlign w:val="superscript"/>
          <w:lang w:val="en-US"/>
        </w:rPr>
        <w:t>49</w:t>
      </w:r>
      <w:r w:rsidR="007C3450" w:rsidRPr="005C7810">
        <w:rPr>
          <w:rFonts w:ascii="Book Antiqua" w:hAnsi="Book Antiqua" w:cs="Times New Roman"/>
          <w:sz w:val="24"/>
          <w:szCs w:val="24"/>
          <w:vertAlign w:val="superscript"/>
          <w:lang w:val="en-US"/>
        </w:rPr>
        <w:t>]</w:t>
      </w:r>
      <w:r w:rsidR="007C3450" w:rsidRPr="005C7810">
        <w:rPr>
          <w:rFonts w:ascii="Book Antiqua" w:hAnsi="Book Antiqua" w:cs="Times New Roman"/>
          <w:sz w:val="24"/>
          <w:szCs w:val="24"/>
          <w:lang w:val="en-US"/>
        </w:rPr>
        <w:t>. The multicenter phase III clinical trial, RILOMET-2 (NCT02137343), in which patients with advanced GC were treated first</w:t>
      </w:r>
      <w:r w:rsidR="00E13184" w:rsidRPr="005C7810">
        <w:rPr>
          <w:rFonts w:ascii="Book Antiqua" w:hAnsi="Book Antiqua" w:cs="Times New Roman"/>
          <w:sz w:val="24"/>
          <w:szCs w:val="24"/>
          <w:lang w:val="en-US"/>
        </w:rPr>
        <w:t>-</w:t>
      </w:r>
      <w:r w:rsidR="007C3450" w:rsidRPr="005C7810">
        <w:rPr>
          <w:rFonts w:ascii="Book Antiqua" w:hAnsi="Book Antiqua" w:cs="Times New Roman"/>
          <w:sz w:val="24"/>
          <w:szCs w:val="24"/>
          <w:lang w:val="en-US"/>
        </w:rPr>
        <w:t>line with rilotumumab plus cisplatin and capecitabine, was closed for a review of the safety of the study</w:t>
      </w:r>
      <w:r w:rsidR="00CA0912"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{"citationItems":[{"id":"ITEM-1","itemData":{"author":[{"dropping-particle":"","family":"Amgen.","given":"","non-dropping-particle":"","parse-names":false,"suffix":""}],"container-title":"ClinicalTrials.gov [Internet]. Bethesda (MD): U.S. National Library of Medicine","id":"ITEM-1","issued":{"date-parts":[["0"]]},"title":"A Phase 3 Study of Rilotumumab (AMG) With Cisplatin and Capecitabine (CX) as First-line Therapy in Gastric Cancer (RILOMET-2). In: ClinicalTrials.g","type":"article-journal"},"uris":["http://www.mendeley.com/documents/?uuid=7fc40279-cac9-4455-b167-b34756fdd580","http://www.mendeley.com/documents/?uuid=1b6e097c-4480-46f2-b231-c44a34df1a3f"]}],"mendeley":{"formattedCitation":"&lt;sup&gt;[151]&lt;/sup&gt;","plainTextFormattedCitation":"[151]","previouslyFormattedCitation":"&lt;sup&gt;[151]&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[151]</w:t>
      </w:r>
      <w:r w:rsidR="00CA0912" w:rsidRPr="005C7810">
        <w:rPr>
          <w:rFonts w:ascii="Book Antiqua" w:hAnsi="Book Antiqua" w:cs="Times New Roman"/>
          <w:sz w:val="24"/>
          <w:szCs w:val="24"/>
          <w:lang w:val="en-US"/>
        </w:rPr>
        <w:fldChar w:fldCharType="end"/>
      </w:r>
      <w:r w:rsidR="007C3450" w:rsidRPr="005C7810">
        <w:rPr>
          <w:rFonts w:ascii="Book Antiqua" w:hAnsi="Book Antiqua" w:cs="Times New Roman"/>
          <w:sz w:val="24"/>
          <w:szCs w:val="24"/>
          <w:lang w:val="en-US"/>
        </w:rPr>
        <w:t>.</w:t>
      </w:r>
      <w:r w:rsidR="00B4327C" w:rsidRPr="005C7810">
        <w:rPr>
          <w:rFonts w:ascii="Book Antiqua" w:hAnsi="Book Antiqua" w:cs="Times New Roman"/>
          <w:sz w:val="24"/>
          <w:szCs w:val="24"/>
          <w:lang w:val="en-US"/>
        </w:rPr>
        <w:t xml:space="preserve"> </w:t>
      </w:r>
      <w:r w:rsidR="007C3450" w:rsidRPr="005C7810">
        <w:rPr>
          <w:rFonts w:ascii="Book Antiqua" w:hAnsi="Book Antiqua" w:cs="Times New Roman"/>
          <w:sz w:val="24"/>
          <w:szCs w:val="24"/>
          <w:lang w:val="en-US"/>
        </w:rPr>
        <w:t>The randomized, multicenter study (</w:t>
      </w:r>
      <w:r w:rsidR="007C3450" w:rsidRPr="005C7810">
        <w:rPr>
          <w:rFonts w:ascii="Book Antiqua" w:hAnsi="Book Antiqua" w:cs="Times New Roman"/>
          <w:color w:val="000000"/>
          <w:sz w:val="24"/>
          <w:szCs w:val="24"/>
          <w:shd w:val="clear" w:color="auto" w:fill="FFFFFF"/>
          <w:lang w:val="en-US"/>
        </w:rPr>
        <w:t>NCT01662869</w:t>
      </w:r>
      <w:r w:rsidR="007C3450" w:rsidRPr="005C7810">
        <w:rPr>
          <w:rFonts w:ascii="Book Antiqua" w:hAnsi="Book Antiqua" w:cs="Times New Roman"/>
          <w:sz w:val="24"/>
          <w:szCs w:val="24"/>
          <w:lang w:val="en-US"/>
        </w:rPr>
        <w:t xml:space="preserve">) </w:t>
      </w:r>
      <w:r w:rsidR="007C3450" w:rsidRPr="005C7810">
        <w:rPr>
          <w:rFonts w:ascii="Book Antiqua" w:hAnsi="Book Antiqua" w:cs="Times New Roman"/>
          <w:color w:val="000000"/>
          <w:sz w:val="24"/>
          <w:szCs w:val="24"/>
          <w:shd w:val="clear" w:color="auto" w:fill="FFFFFF"/>
          <w:lang w:val="en-US"/>
        </w:rPr>
        <w:t>evaluate</w:t>
      </w:r>
      <w:r w:rsidR="00EC5B3D" w:rsidRPr="005C7810">
        <w:rPr>
          <w:rFonts w:ascii="Book Antiqua" w:hAnsi="Book Antiqua" w:cs="Times New Roman"/>
          <w:color w:val="000000"/>
          <w:sz w:val="24"/>
          <w:szCs w:val="24"/>
          <w:shd w:val="clear" w:color="auto" w:fill="FFFFFF"/>
          <w:lang w:val="en-US"/>
        </w:rPr>
        <w:t>d</w:t>
      </w:r>
      <w:r w:rsidR="007C3450" w:rsidRPr="005C7810">
        <w:rPr>
          <w:rFonts w:ascii="Book Antiqua" w:hAnsi="Book Antiqua" w:cs="Times New Roman"/>
          <w:color w:val="000000"/>
          <w:sz w:val="24"/>
          <w:szCs w:val="24"/>
          <w:shd w:val="clear" w:color="auto" w:fill="FFFFFF"/>
          <w:lang w:val="en-US"/>
        </w:rPr>
        <w:t xml:space="preserve"> the efficacy of </w:t>
      </w:r>
      <w:r w:rsidR="00672601" w:rsidRPr="005C7810">
        <w:rPr>
          <w:rFonts w:ascii="Book Antiqua" w:hAnsi="Book Antiqua" w:cs="Times New Roman"/>
          <w:color w:val="000000"/>
          <w:sz w:val="24"/>
          <w:szCs w:val="24"/>
          <w:shd w:val="clear" w:color="auto" w:fill="FFFFFF"/>
          <w:lang w:val="en-US"/>
        </w:rPr>
        <w:t xml:space="preserve">onartuzumab </w:t>
      </w:r>
      <w:r w:rsidR="007C3450" w:rsidRPr="005C7810">
        <w:rPr>
          <w:rFonts w:ascii="Book Antiqua" w:hAnsi="Book Antiqua" w:cs="Times New Roman"/>
          <w:color w:val="000000"/>
          <w:sz w:val="24"/>
          <w:szCs w:val="24"/>
          <w:shd w:val="clear" w:color="auto" w:fill="FFFFFF"/>
          <w:lang w:val="en-US"/>
        </w:rPr>
        <w:t>(</w:t>
      </w:r>
      <w:r w:rsidR="00E13184" w:rsidRPr="005C7810">
        <w:rPr>
          <w:rFonts w:ascii="Book Antiqua" w:hAnsi="Book Antiqua" w:cs="Times New Roman"/>
          <w:color w:val="000000"/>
          <w:sz w:val="24"/>
          <w:szCs w:val="24"/>
          <w:shd w:val="clear" w:color="auto" w:fill="FFFFFF"/>
          <w:lang w:val="en-US"/>
        </w:rPr>
        <w:t xml:space="preserve">monoclonal </w:t>
      </w:r>
      <w:r w:rsidR="007C3450" w:rsidRPr="005C7810">
        <w:rPr>
          <w:rFonts w:ascii="Book Antiqua" w:hAnsi="Book Antiqua" w:cs="Times New Roman"/>
          <w:color w:val="000000"/>
          <w:sz w:val="24"/>
          <w:szCs w:val="24"/>
          <w:shd w:val="clear" w:color="auto" w:fill="FFFFFF"/>
          <w:lang w:val="en-US"/>
        </w:rPr>
        <w:t>anti-</w:t>
      </w:r>
      <w:r w:rsidR="00672601" w:rsidRPr="005C7810">
        <w:rPr>
          <w:rFonts w:ascii="Book Antiqua" w:hAnsi="Book Antiqua" w:cs="Times New Roman"/>
          <w:color w:val="000000"/>
          <w:sz w:val="24"/>
          <w:szCs w:val="24"/>
          <w:shd w:val="clear" w:color="auto" w:fill="FFFFFF"/>
          <w:lang w:val="en-US"/>
        </w:rPr>
        <w:t>MET antibody)</w:t>
      </w:r>
      <w:r w:rsidR="007C3450" w:rsidRPr="005C7810">
        <w:rPr>
          <w:rFonts w:ascii="Book Antiqua" w:hAnsi="Book Antiqua" w:cs="Times New Roman"/>
          <w:color w:val="000000"/>
          <w:sz w:val="24"/>
          <w:szCs w:val="24"/>
          <w:shd w:val="clear" w:color="auto" w:fill="FFFFFF"/>
          <w:lang w:val="en-US"/>
        </w:rPr>
        <w:t xml:space="preserve"> in combinatio</w:t>
      </w:r>
      <w:r w:rsidR="00BD6FB9" w:rsidRPr="005C7810">
        <w:rPr>
          <w:rFonts w:ascii="Book Antiqua" w:hAnsi="Book Antiqua" w:cs="Times New Roman"/>
          <w:color w:val="000000"/>
          <w:sz w:val="24"/>
          <w:szCs w:val="24"/>
          <w:shd w:val="clear" w:color="auto" w:fill="FFFFFF"/>
          <w:lang w:val="en-US"/>
        </w:rPr>
        <w:t xml:space="preserve">n </w:t>
      </w:r>
      <w:r w:rsidR="002E5C2C" w:rsidRPr="005C7810">
        <w:rPr>
          <w:rFonts w:ascii="Book Antiqua" w:hAnsi="Book Antiqua" w:cs="Times New Roman"/>
          <w:color w:val="000000"/>
          <w:sz w:val="24"/>
          <w:szCs w:val="24"/>
          <w:shd w:val="clear" w:color="auto" w:fill="FFFFFF"/>
          <w:lang w:val="en-US"/>
        </w:rPr>
        <w:t>with mFOLFOX6</w:t>
      </w:r>
      <w:r w:rsidR="007C3450" w:rsidRPr="005C7810">
        <w:rPr>
          <w:rFonts w:ascii="Book Antiqua" w:hAnsi="Book Antiqua" w:cs="Times New Roman"/>
          <w:color w:val="000000"/>
          <w:sz w:val="24"/>
          <w:szCs w:val="24"/>
          <w:shd w:val="clear" w:color="auto" w:fill="FFFFFF"/>
          <w:lang w:val="en-US"/>
        </w:rPr>
        <w:t xml:space="preserve"> in </w:t>
      </w:r>
      <w:r w:rsidR="007C3450" w:rsidRPr="005C7810">
        <w:rPr>
          <w:rFonts w:ascii="Book Antiqua" w:hAnsi="Book Antiqua" w:cs="Times New Roman"/>
          <w:color w:val="000000"/>
          <w:sz w:val="24"/>
          <w:szCs w:val="24"/>
          <w:shd w:val="clear" w:color="auto" w:fill="FFFFFF"/>
          <w:lang w:val="en-US"/>
        </w:rPr>
        <w:lastRenderedPageBreak/>
        <w:t xml:space="preserve">patients </w:t>
      </w:r>
      <w:r w:rsidR="00FE2B31" w:rsidRPr="005C7810">
        <w:rPr>
          <w:rFonts w:ascii="Book Antiqua" w:hAnsi="Book Antiqua" w:cs="Times New Roman"/>
          <w:color w:val="000000"/>
          <w:sz w:val="24"/>
          <w:szCs w:val="24"/>
          <w:shd w:val="clear" w:color="auto" w:fill="FFFFFF"/>
          <w:lang w:val="en-US"/>
        </w:rPr>
        <w:t>with metastatic HER2-negative and MET-positive</w:t>
      </w:r>
      <w:r w:rsidR="00EC5B3D" w:rsidRPr="005C7810">
        <w:rPr>
          <w:rFonts w:ascii="Book Antiqua" w:hAnsi="Book Antiqua" w:cs="Times New Roman"/>
          <w:color w:val="000000"/>
          <w:sz w:val="24"/>
          <w:szCs w:val="24"/>
          <w:shd w:val="clear" w:color="auto" w:fill="FFFFFF"/>
          <w:lang w:val="en-US"/>
        </w:rPr>
        <w:t xml:space="preserve"> GC</w:t>
      </w:r>
      <w:r w:rsidR="007C3450" w:rsidRPr="005C7810">
        <w:rPr>
          <w:rFonts w:ascii="Book Antiqua" w:hAnsi="Book Antiqua" w:cs="Times New Roman"/>
          <w:color w:val="000000"/>
          <w:sz w:val="24"/>
          <w:szCs w:val="24"/>
          <w:shd w:val="clear" w:color="auto" w:fill="FFFFFF"/>
          <w:lang w:val="en-US"/>
        </w:rPr>
        <w:t>.</w:t>
      </w:r>
      <w:r w:rsidR="00E13184" w:rsidRPr="005C7810">
        <w:rPr>
          <w:rFonts w:ascii="Book Antiqua" w:hAnsi="Book Antiqua" w:cs="Times New Roman"/>
          <w:color w:val="000000"/>
          <w:sz w:val="24"/>
          <w:szCs w:val="24"/>
          <w:shd w:val="clear" w:color="auto" w:fill="FFFFFF"/>
          <w:lang w:val="en-US"/>
        </w:rPr>
        <w:t xml:space="preserve"> O</w:t>
      </w:r>
      <w:r w:rsidR="007C3450" w:rsidRPr="005C7810">
        <w:rPr>
          <w:rFonts w:ascii="Book Antiqua" w:hAnsi="Book Antiqua" w:cs="Times New Roman"/>
          <w:sz w:val="24"/>
          <w:szCs w:val="24"/>
          <w:lang w:val="en-US"/>
        </w:rPr>
        <w:t xml:space="preserve">nartuzumab did not </w:t>
      </w:r>
      <w:r w:rsidR="0098796B" w:rsidRPr="005C7810">
        <w:rPr>
          <w:rFonts w:ascii="Book Antiqua" w:hAnsi="Book Antiqua" w:cs="Times New Roman"/>
          <w:sz w:val="24"/>
          <w:szCs w:val="24"/>
          <w:lang w:val="en-US"/>
        </w:rPr>
        <w:t xml:space="preserve">yield </w:t>
      </w:r>
      <w:r w:rsidR="007C3450" w:rsidRPr="005C7810">
        <w:rPr>
          <w:rFonts w:ascii="Book Antiqua" w:hAnsi="Book Antiqua" w:cs="Times New Roman"/>
          <w:sz w:val="24"/>
          <w:szCs w:val="24"/>
          <w:lang w:val="en-US"/>
        </w:rPr>
        <w:t>satisfactory results in combination with FOLFOX</w:t>
      </w:r>
      <w:r w:rsidR="00CA0912"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{"citationItems":[{"id":"ITEM-1","itemData":{"DOI":"10.1001/jamaoncol.2016.5580","ISSN":"2374-2445","PMID":"27918764","abstract":"Importance Dysregulation of the mesenchymal-epithelial transition (MET) signaling pathway is associated with poor prognosis in gastroesophageal adenocarcinoma (GEC). We report results of METGastric, a phase 3 trial of the MET inhibitor onartuzumab plus standard first-line chemotherapy for human epidermal growth factor receptor 2 (HER2)-negative, MET-positive, advanced GEC. Objective To determine whether the addition of onartuzumab to first-line fluorouracil, leucovorin, and oxaliplatin (mFOLFOX6) improves efficacy compared with mFOLFOX6 plus placebo in HER2-negative, MET-positive GEC. Design, Setting, and Participants Randomized, double-blind, multicenter trial conducted from November 2012 to March 2014. Patients were 18 years or older with an adenocarcinoma of the stomach or gastroesophageal junction with metastatic disease not amenable for curative therapy. Tumor samples were centrally tested for MET expression using Ventana anti-Total c-MET (SP44) rabbit monoclonal antibody, HER2 status, and Lauren histologic subtype. MET-positive tumors were defined as at least 50% of tumor cells showing weak, moderate, and/or strong staining intensity (MET 1+/2+/3+, respectively) by immunohistochemistry. Interventions Patients with HER2-negative, MET-positive GEC were enrolled and randomized 1:1 to receive mFOLFOX6 with or without onartuzumab (10 mg/kg). Main Outcomes and Measures Co-primary end points: overall survival in the intent-to-treat (ITT) population and in patients with MET 2+/3+ GEC. Secondary end points: progression-free survival (PFS), overall response rate (ORR), and safety. Results Enrollment was stopped early due to sponsor decision, which was agreed with an independent data monitoring committee. At the data cutoff (April 25, 2014) there were 562 patients in the ITT population (n</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283 placebo plus mFOLFOX6 [median age, 58 y; 65% male]; n</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279 onartuzumab plus mFOLFOX6 [median age, 60 y; 67% male]); 109 (38.5%) and 105 (37.6%) of the ITT population were MET 2+/3+, respectively. Addition of onartuzumab to mFOLFOX6 did not significantly improve OS, PFS, or ORR vs placebo plus mFOLFOX6 in the ITT (OS hazard ratio [HR], 0.82; 95% CI, 0.59-1.15; P</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.24; PFS HR, 0.90; 95% CI, 0.71-1.16; P</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.43; ORR, 46.1% vs 40.6%) or MET 2+/3+ populations (OS HR, 0.64; 95% CI, 0.40-1.03; P</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.06; PFS HR, 0.79; 95% CI, 0.54-1.15; P</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w:instrText>
      </w:r>
      <w:r w:rsidR="00B0152B" w:rsidRPr="005C7810">
        <w:rPr>
          <w:rFonts w:ascii="Times New Roman" w:hAnsi="Times New Roman" w:cs="Times New Roman"/>
          <w:sz w:val="24"/>
          <w:szCs w:val="24"/>
          <w:lang w:val="en-US"/>
        </w:rPr>
        <w:instrText> </w:instrText>
      </w:r>
      <w:r w:rsidR="00B0152B" w:rsidRPr="005C7810">
        <w:rPr>
          <w:rFonts w:ascii="Book Antiqua" w:hAnsi="Book Antiqua" w:cs="Times New Roman"/>
          <w:sz w:val="24"/>
          <w:szCs w:val="24"/>
          <w:lang w:val="en-US"/>
        </w:rPr>
        <w:instrText>.22; ORR, 53.8% vs 44.6%). Safety was as expected for onartuzumab. Conclusions and Relevance Addition of onartuzumab to first-line mFOLFO</w:instrText>
      </w:r>
      <w:r w:rsidR="00B0152B" w:rsidRPr="005C7810">
        <w:rPr>
          <w:rFonts w:ascii="Book Antiqua" w:hAnsi="Book Antiqua" w:cs="Book Antiqua"/>
          <w:sz w:val="24"/>
          <w:szCs w:val="24"/>
          <w:lang w:val="en-US"/>
        </w:rPr>
        <w:instrText>…</w:instrText>
      </w:r>
      <w:r w:rsidR="00B0152B" w:rsidRPr="005C7810">
        <w:rPr>
          <w:rFonts w:ascii="Book Antiqua" w:hAnsi="Book Antiqua" w:cs="Times New Roman"/>
          <w:sz w:val="24"/>
          <w:szCs w:val="24"/>
          <w:lang w:val="en-US"/>
        </w:rPr>
        <w:instrText>","author":[{"dropping-particle":"","family":"Shah","given":"Manish A","non-dropping-particle":"","parse-names":false,"suffix":""},{"dropping-particle":"","family":"Bang","given":"Yung-Jue","non-dropping-particle":"","parse-names":false,"suffix":""},{"dropping-particle":"","family":"Lordick","given":"Florian","non-dropping-particle":"","parse-names":false,"suffix":""},{"dropping-particle":"","family":"Alsina","given":"Maria","non-dropping-particle":"","parse-names":false,"suffix":""},{"dropping-particle":"","family":"Chen","given":"Meng","non-dropping-particle":"","parse-names":false,"suffix":""},{"dropping-particle":"","family":"Hack","given":"Stephen P","non-dropping-particle":"","parse-names":false,"suffix":""},{"dropping-particle":"","family":"Bruey","given":"Jean Marie","non-dropping-particle":"","parse-names":false,"suffix":""},{"dropping-particle":"","family":"Smith","given":"Dustin","non-dropping-particle":"","parse-names":false,"suffix":""},{"dropping-particle":"","family":"McCaffery","given":"Ian","non-dropping-particle":"","parse-names":false,"suffix":""},{"dropping-particle":"","family":"Shames","given":"David S","non-dropping-particle":"","parse-names":false,"suffix":""},{"dropping-particle":"","family":"Phan","given":"See","non-dropping-particle":"","parse-names":false,"suffix":""},{"dropping-particle":"","family":"Cunningham","given":"David","non-dropping-particle":"","parse-names":false,"suffix":""}],"container-title":"JAMA oncology","id":"ITEM-1","issue":"5","issued":{"date-parts":[["2017","5","1"]]},"page":"620-627","publisher":"American Medical Association","title":"Effect of Fluorouracil, Leucovorin, and Oxaliplatin With or Without Onartuzumab in HER2-Negative, MET-Positive Gastroesophageal Adenocarcinoma: The METGastric Randomized Clinical Trial.","type":"article-journal","volume":"3"},"uris":["http://www.mendeley.com/documents/?uuid=887c13d2-4fc3-3193-a7f0-2f6015f3dbab","http://www.mendeley.com/documents/?uuid=e7e48369-70b1-4a4b-8506-e22d709e3887"]}],"mendeley":{"formattedCitation":"&lt;sup&gt;[152]&lt;/sup&gt;","plainTextFormattedCitation":"[152]","previouslyFormattedCitation":"&lt;sup&gt;[152]&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[152]</w:t>
      </w:r>
      <w:r w:rsidR="00CA0912" w:rsidRPr="005C7810">
        <w:rPr>
          <w:rFonts w:ascii="Book Antiqua" w:hAnsi="Book Antiqua" w:cs="Times New Roman"/>
          <w:sz w:val="24"/>
          <w:szCs w:val="24"/>
          <w:lang w:val="en-US"/>
        </w:rPr>
        <w:fldChar w:fldCharType="end"/>
      </w:r>
      <w:r w:rsidR="007C3450" w:rsidRPr="005C7810">
        <w:rPr>
          <w:rFonts w:ascii="Book Antiqua" w:hAnsi="Book Antiqua" w:cs="Times New Roman"/>
          <w:sz w:val="24"/>
          <w:szCs w:val="24"/>
          <w:lang w:val="en-US"/>
        </w:rPr>
        <w:t>.</w:t>
      </w:r>
    </w:p>
    <w:p w:rsidR="000F5BB0" w:rsidRPr="005C7810" w:rsidRDefault="000F5BB0" w:rsidP="00CD380F">
      <w:pPr>
        <w:shd w:val="clear" w:color="auto" w:fill="FFFFFF"/>
        <w:snapToGrid w:val="0"/>
        <w:spacing w:after="0" w:line="360" w:lineRule="auto"/>
        <w:jc w:val="both"/>
        <w:rPr>
          <w:rFonts w:ascii="Book Antiqua" w:hAnsi="Book Antiqua" w:cs="Times New Roman"/>
          <w:sz w:val="24"/>
          <w:szCs w:val="24"/>
          <w:lang w:val="en-US"/>
        </w:rPr>
      </w:pPr>
    </w:p>
    <w:p w:rsidR="000F5BB0" w:rsidRPr="005C7810" w:rsidRDefault="000F5BB0" w:rsidP="00CD380F">
      <w:pPr>
        <w:shd w:val="clear" w:color="auto" w:fill="FFFFFF"/>
        <w:snapToGrid w:val="0"/>
        <w:spacing w:after="0" w:line="360" w:lineRule="auto"/>
        <w:jc w:val="both"/>
        <w:rPr>
          <w:rFonts w:ascii="Book Antiqua" w:hAnsi="Book Antiqua" w:cs="Times New Roman"/>
          <w:b/>
          <w:i/>
          <w:sz w:val="24"/>
          <w:szCs w:val="24"/>
          <w:lang w:val="en-US"/>
        </w:rPr>
      </w:pPr>
      <w:r w:rsidRPr="005C7810">
        <w:rPr>
          <w:rFonts w:ascii="Book Antiqua" w:hAnsi="Book Antiqua" w:cs="Times New Roman"/>
          <w:b/>
          <w:i/>
          <w:sz w:val="24"/>
          <w:szCs w:val="24"/>
          <w:lang w:val="en-US"/>
        </w:rPr>
        <w:t xml:space="preserve">VEGF/VEGFR </w:t>
      </w:r>
      <w:r w:rsidR="00C06A28" w:rsidRPr="005C7810">
        <w:rPr>
          <w:rFonts w:ascii="Book Antiqua" w:hAnsi="Book Antiqua" w:cs="Times New Roman"/>
          <w:b/>
          <w:i/>
          <w:sz w:val="24"/>
          <w:szCs w:val="24"/>
          <w:lang w:val="en-US"/>
        </w:rPr>
        <w:t xml:space="preserve">signaling </w:t>
      </w:r>
      <w:r w:rsidR="00BE6A1C" w:rsidRPr="005C7810">
        <w:rPr>
          <w:rFonts w:ascii="Book Antiqua" w:hAnsi="Book Antiqua" w:cs="Times New Roman"/>
          <w:b/>
          <w:i/>
          <w:sz w:val="24"/>
          <w:szCs w:val="24"/>
          <w:lang w:val="en-US"/>
        </w:rPr>
        <w:t xml:space="preserve">pathway </w:t>
      </w:r>
    </w:p>
    <w:p w:rsidR="008C59F6" w:rsidRPr="005C7810" w:rsidRDefault="00B8125B" w:rsidP="00CD380F">
      <w:pPr>
        <w:shd w:val="clear" w:color="auto" w:fill="FFFFFF"/>
        <w:snapToGrid w:val="0"/>
        <w:spacing w:after="0" w:line="360" w:lineRule="auto"/>
        <w:jc w:val="both"/>
        <w:rPr>
          <w:rFonts w:ascii="Book Antiqua" w:hAnsi="Book Antiqua" w:cs="Times New Roman"/>
          <w:color w:val="000000"/>
          <w:sz w:val="24"/>
          <w:szCs w:val="24"/>
          <w:shd w:val="clear" w:color="auto" w:fill="FFFFFF"/>
          <w:lang w:val="en-US"/>
        </w:rPr>
      </w:pPr>
      <w:r w:rsidRPr="005C7810">
        <w:rPr>
          <w:rFonts w:ascii="Book Antiqua" w:hAnsi="Book Antiqua" w:cs="Times New Roman"/>
          <w:sz w:val="24"/>
          <w:szCs w:val="24"/>
          <w:lang w:val="en-US"/>
        </w:rPr>
        <w:t xml:space="preserve">Antibodies </w:t>
      </w:r>
      <w:r w:rsidR="00EC5B3D" w:rsidRPr="005C7810">
        <w:rPr>
          <w:rFonts w:ascii="Book Antiqua" w:hAnsi="Book Antiqua" w:cs="Times New Roman"/>
          <w:sz w:val="24"/>
          <w:szCs w:val="24"/>
          <w:lang w:val="en-US"/>
        </w:rPr>
        <w:t>against</w:t>
      </w:r>
      <w:r w:rsidRPr="005C7810">
        <w:rPr>
          <w:rFonts w:ascii="Book Antiqua" w:hAnsi="Book Antiqua" w:cs="Times New Roman"/>
          <w:sz w:val="24"/>
          <w:szCs w:val="24"/>
          <w:lang w:val="en-US"/>
        </w:rPr>
        <w:t xml:space="preserve"> VEGF and VEGFR have shown anti-tumor effects in combination with chemotherapy </w:t>
      </w:r>
      <w:r w:rsidR="00EC5B3D" w:rsidRPr="005C7810">
        <w:rPr>
          <w:rFonts w:ascii="Book Antiqua" w:hAnsi="Book Antiqua" w:cs="Times New Roman"/>
          <w:sz w:val="24"/>
          <w:szCs w:val="24"/>
          <w:lang w:val="en-US"/>
        </w:rPr>
        <w:t>as</w:t>
      </w:r>
      <w:r w:rsidRPr="005C7810">
        <w:rPr>
          <w:rFonts w:ascii="Book Antiqua" w:hAnsi="Book Antiqua" w:cs="Times New Roman"/>
          <w:sz w:val="24"/>
          <w:szCs w:val="24"/>
          <w:lang w:val="en-US"/>
        </w:rPr>
        <w:t xml:space="preserve"> first and second-line treatment</w:t>
      </w:r>
      <w:r w:rsidR="00EC5B3D" w:rsidRPr="005C7810">
        <w:rPr>
          <w:rFonts w:ascii="Book Antiqua" w:hAnsi="Book Antiqua" w:cs="Times New Roman"/>
          <w:sz w:val="24"/>
          <w:szCs w:val="24"/>
          <w:lang w:val="en-US"/>
        </w:rPr>
        <w:t>s for GC</w:t>
      </w:r>
      <w:r w:rsidRPr="005C7810">
        <w:rPr>
          <w:rFonts w:ascii="Book Antiqua" w:hAnsi="Book Antiqua" w:cs="Times New Roman"/>
          <w:sz w:val="24"/>
          <w:szCs w:val="24"/>
          <w:lang w:val="en-US"/>
        </w:rPr>
        <w:t>. Bevacizumab, a humani</w:t>
      </w:r>
      <w:r w:rsidR="004A6501" w:rsidRPr="005C7810">
        <w:rPr>
          <w:rFonts w:ascii="Book Antiqua" w:hAnsi="Book Antiqua" w:cs="Times New Roman"/>
          <w:sz w:val="24"/>
          <w:szCs w:val="24"/>
          <w:lang w:val="en-US"/>
        </w:rPr>
        <w:t>z</w:t>
      </w:r>
      <w:r w:rsidRPr="005C7810">
        <w:rPr>
          <w:rFonts w:ascii="Book Antiqua" w:hAnsi="Book Antiqua" w:cs="Times New Roman"/>
          <w:sz w:val="24"/>
          <w:szCs w:val="24"/>
          <w:lang w:val="en-US"/>
        </w:rPr>
        <w:t>ed monoclonal antibody against VEGF, inhibits the VEGF/VEGFR signaling pathway</w:t>
      </w:r>
      <w:r w:rsidR="00CA0912"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{"citationItems":[{"id":"ITEM-1","itemData":{"author":[{"dropping-particle":"","family":"Ferrara N, Hillan KJ, Gerber HP","given":"Novotny W","non-dropping-particle":"","parse-names":false,"suffix":""}],"container-title":"Nat Rev Drug Discov","id":"ITEM-1","issued":{"date-parts":[["2004"]]},"page":"391-400","title":"Discovery and development of bevacizumab, an anti-VEGF antibody for treating cancer.","type":"article-journal","volume":"3"},"uris":["http://www.mendeley.com/documents/?uuid=707e02c5-e2d4-489e-8ae9-3ef0fc7c8055","http://www.mendeley.com/documents/?uuid=fed9bb77-56ad-4566-a5cc-7166cfae1cca"]}],"mendeley":{"formattedCitation":"&lt;sup&gt;[153]&lt;/sup&gt;","plainTextFormattedCitation":"[153]","previouslyFormattedCitation":"&lt;sup&gt;[153]&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[153]</w:t>
      </w:r>
      <w:r w:rsidR="00CA0912"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A phase II study </w:t>
      </w:r>
      <w:r w:rsidR="0096352B" w:rsidRPr="005C7810">
        <w:rPr>
          <w:rFonts w:ascii="Book Antiqua" w:hAnsi="Book Antiqua" w:cs="Times New Roman"/>
          <w:sz w:val="24"/>
          <w:szCs w:val="24"/>
          <w:lang w:val="en-US"/>
        </w:rPr>
        <w:t>(</w:t>
      </w:r>
      <w:r w:rsidR="0096352B" w:rsidRPr="005C7810">
        <w:rPr>
          <w:rFonts w:ascii="Book Antiqua" w:hAnsi="Book Antiqua" w:cs="Times New Roman"/>
          <w:sz w:val="24"/>
          <w:szCs w:val="24"/>
          <w:shd w:val="clear" w:color="auto" w:fill="FFFFFF"/>
          <w:lang w:val="en-US"/>
        </w:rPr>
        <w:t>NCT00447330)</w:t>
      </w:r>
      <w:r w:rsidR="0096352B" w:rsidRPr="005C7810">
        <w:rPr>
          <w:rFonts w:ascii="Book Antiqua" w:hAnsi="Book Antiqua"/>
          <w:sz w:val="24"/>
          <w:szCs w:val="24"/>
          <w:shd w:val="clear" w:color="auto" w:fill="FFFFFF"/>
          <w:lang w:val="en-US"/>
        </w:rPr>
        <w:t xml:space="preserve"> </w:t>
      </w:r>
      <w:r w:rsidRPr="005C7810">
        <w:rPr>
          <w:rFonts w:ascii="Book Antiqua" w:hAnsi="Book Antiqua" w:cs="Times New Roman"/>
          <w:sz w:val="24"/>
          <w:szCs w:val="24"/>
          <w:lang w:val="en-US"/>
        </w:rPr>
        <w:t xml:space="preserve">was performed </w:t>
      </w:r>
      <w:r w:rsidR="001F37F4" w:rsidRPr="005C7810">
        <w:rPr>
          <w:rFonts w:ascii="Book Antiqua" w:hAnsi="Book Antiqua" w:cs="Times New Roman"/>
          <w:sz w:val="24"/>
          <w:szCs w:val="24"/>
          <w:lang w:val="en-US"/>
        </w:rPr>
        <w:t>i</w:t>
      </w:r>
      <w:r w:rsidRPr="005C7810">
        <w:rPr>
          <w:rFonts w:ascii="Book Antiqua" w:hAnsi="Book Antiqua" w:cs="Times New Roman"/>
          <w:sz w:val="24"/>
          <w:szCs w:val="24"/>
          <w:lang w:val="en-US"/>
        </w:rPr>
        <w:t>n patients with metastatic GC in combination with capecitabine and oxaliplatin</w:t>
      </w:r>
      <w:r w:rsidR="001F37F4"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an OS of 7.2 and 10.8 </w:t>
      </w:r>
      <w:r w:rsidR="000C5160" w:rsidRPr="005C7810">
        <w:rPr>
          <w:rFonts w:ascii="Book Antiqua" w:hAnsi="Book Antiqua" w:cs="Times New Roman"/>
          <w:sz w:val="24"/>
          <w:szCs w:val="24"/>
          <w:lang w:val="en-US"/>
        </w:rPr>
        <w:t>mo</w:t>
      </w:r>
      <w:r w:rsidRPr="005C7810">
        <w:rPr>
          <w:rFonts w:ascii="Book Antiqua" w:hAnsi="Book Antiqua" w:cs="Times New Roman"/>
          <w:sz w:val="24"/>
          <w:szCs w:val="24"/>
          <w:lang w:val="en-US"/>
        </w:rPr>
        <w:t xml:space="preserve"> was demonstrated in the two groups of patients treated with chemotherapy alone and with the combination with bevacizumab</w:t>
      </w:r>
      <w:r w:rsidR="001F37F4"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respectively</w:t>
      </w:r>
      <w:r w:rsidR="00CA0912"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{"citationItems":[{"id":"ITEM-1","itemData":{"author":[{"dropping-particle":"","family":"Uronis HE, Bendell JC, Altomare I, Blobe GC, Hsu SD, Morse MA, Pang H, Zafar SY, Conkling P, Favaro J, Arrowood CC, Cushman SM, Meadows KL, Brady JC, Nixon AB","given":"Hurwitz HI","non-dropping-particle":"","parse-names":false,"suffix":""}],"container-title":"Oncologist","id":"ITEM-1","issued":{"date-parts":[["2013"]]},"page":"271-272","title":"A phase II study of capecitabine, oxaliplatin, and bevacizumab in the treatment of metastatic esophagogastric adenocarcinomas","type":"article-journal","volume":"18"},"uris":["http://www.mendeley.com/documents/?uuid=4d1d3695-700f-4ea2-9449-6cc8721ae466","http://www.mendeley.com/documents/?uuid=bef5ac88-1a8d-43c8-81d4-ae73f272314a"]}],"mendeley":{"formattedCitation":"&lt;sup&gt;[154]&lt;/sup&gt;","plainTextFormattedCitation":"[154]","previouslyFormattedCitation":"&lt;sup&gt;[154]&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[154]</w:t>
      </w:r>
      <w:r w:rsidR="00CA0912"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Ramucirumab is a humani</w:t>
      </w:r>
      <w:r w:rsidR="004A6501" w:rsidRPr="005C7810">
        <w:rPr>
          <w:rFonts w:ascii="Book Antiqua" w:hAnsi="Book Antiqua" w:cs="Times New Roman"/>
          <w:sz w:val="24"/>
          <w:szCs w:val="24"/>
          <w:lang w:val="en-US"/>
        </w:rPr>
        <w:t>z</w:t>
      </w:r>
      <w:r w:rsidRPr="005C7810">
        <w:rPr>
          <w:rFonts w:ascii="Book Antiqua" w:hAnsi="Book Antiqua" w:cs="Times New Roman"/>
          <w:sz w:val="24"/>
          <w:szCs w:val="24"/>
          <w:lang w:val="en-US"/>
        </w:rPr>
        <w:t>ed monoclonal antibody specific for VEGFR2. By blocki</w:t>
      </w:r>
      <w:r w:rsidR="006C7950" w:rsidRPr="005C7810">
        <w:rPr>
          <w:rFonts w:ascii="Book Antiqua" w:hAnsi="Book Antiqua" w:cs="Times New Roman"/>
          <w:sz w:val="24"/>
          <w:szCs w:val="24"/>
          <w:lang w:val="en-US"/>
        </w:rPr>
        <w:t>ng downstream VEGFR2 signaling</w:t>
      </w:r>
      <w:r w:rsidR="004C5617" w:rsidRPr="005C7810">
        <w:rPr>
          <w:rFonts w:ascii="Book Antiqua" w:hAnsi="Book Antiqua" w:cs="Times New Roman"/>
          <w:sz w:val="24"/>
          <w:szCs w:val="24"/>
          <w:lang w:val="en-US"/>
        </w:rPr>
        <w:t>,</w:t>
      </w:r>
      <w:r w:rsidR="006C7950" w:rsidRPr="005C7810">
        <w:rPr>
          <w:rFonts w:ascii="Book Antiqua" w:hAnsi="Book Antiqua" w:cs="Times New Roman"/>
          <w:sz w:val="24"/>
          <w:szCs w:val="24"/>
          <w:lang w:val="en-US"/>
        </w:rPr>
        <w:t xml:space="preserve"> r</w:t>
      </w:r>
      <w:r w:rsidRPr="005C7810">
        <w:rPr>
          <w:rFonts w:ascii="Book Antiqua" w:hAnsi="Book Antiqua" w:cs="Times New Roman"/>
          <w:sz w:val="24"/>
          <w:szCs w:val="24"/>
          <w:lang w:val="en-US"/>
        </w:rPr>
        <w:t>amucirumab provide</w:t>
      </w:r>
      <w:r w:rsidR="000F06C7" w:rsidRPr="005C7810">
        <w:rPr>
          <w:rFonts w:ascii="Book Antiqua" w:hAnsi="Book Antiqua" w:cs="Times New Roman"/>
          <w:sz w:val="24"/>
          <w:szCs w:val="24"/>
          <w:lang w:val="en-US"/>
        </w:rPr>
        <w:t>s</w:t>
      </w:r>
      <w:r w:rsidRPr="005C7810">
        <w:rPr>
          <w:rFonts w:ascii="Book Antiqua" w:hAnsi="Book Antiqua" w:cs="Times New Roman"/>
          <w:sz w:val="24"/>
          <w:szCs w:val="24"/>
          <w:lang w:val="en-US"/>
        </w:rPr>
        <w:t xml:space="preserve"> antitumor effects both as a single agent (REGARD trial</w:t>
      </w:r>
      <w:r w:rsidR="006B6E52" w:rsidRPr="005C7810">
        <w:rPr>
          <w:rFonts w:ascii="Book Antiqua" w:hAnsi="Book Antiqua" w:cs="Times New Roman"/>
          <w:sz w:val="24"/>
          <w:szCs w:val="24"/>
          <w:lang w:val="en-US"/>
        </w:rPr>
        <w:t xml:space="preserve">, </w:t>
      </w:r>
      <w:r w:rsidR="003755FF" w:rsidRPr="005C7810">
        <w:rPr>
          <w:rFonts w:ascii="Book Antiqua" w:hAnsi="Book Antiqua" w:cs="Times New Roman"/>
          <w:sz w:val="24"/>
          <w:szCs w:val="24"/>
          <w:lang w:val="en-US"/>
        </w:rPr>
        <w:t>NCT00917384)</w:t>
      </w:r>
      <w:r w:rsidR="00CA0912" w:rsidRPr="005C7810">
        <w:rPr>
          <w:rFonts w:ascii="Book Antiqua" w:hAnsi="Book Antiqua" w:cs="Times New Roman"/>
          <w:sz w:val="24"/>
          <w:szCs w:val="24"/>
          <w:lang w:val="en-US"/>
        </w:rPr>
        <w:fldChar w:fldCharType="begin" w:fldLock="1"/>
      </w:r>
      <w:r w:rsidR="001322DE" w:rsidRPr="005C7810">
        <w:rPr>
          <w:rFonts w:ascii="Book Antiqua" w:hAnsi="Book Antiqua" w:cs="Times New Roman"/>
          <w:sz w:val="24"/>
          <w:szCs w:val="24"/>
          <w:lang w:val="en-US"/>
        </w:rPr>
        <w:instrText>ADDIN CSL_CITATION {"citationItems":[{"id":"ITEM-1","itemData":{"DOI":"10.1016/s0140-6736(13)61719-5","ISSN":"01406736","author":[{"dropping-particle":"","family":"Chau","given":"Ian","non-dropping-particle":"","parse-names":false,"suffix":""},{"dropping-particle":"","family":"Tomasek","given":"Jiri","non-dropping-particle":"","parse-names":false,"suffix":""},{"dropping-particle":"","family":"Fuchs","given":"Charles S","non-dropping-particle":"","parse-names":false,"suffix":""},{"dropping-particle":"","family":"Tabernero","given":"Josep","non-dropping-particle":"","parse-names":false,"suffix":""},{"dropping-particle":"","family":"Ferry","given":"David R","non-dropping-particle":"","parse-names":false,"suffix":""},{"dropping-particle":"","family":"Gao","given":"Ling","non-dropping-particle":"","parse-names":false,"suffix":""},{"dropping-particle":"","family":"Topuzov","given":"Eldar","non-dropping-particle":"","parse-names":false,"suffix":""},{"dropping-particle":"","family":"Tehfe","given":"Mustapha","non-dropping-particle":"","parse-names":false,"suffix":""},{"dropping-particle":"","family":"Hsu","given":"Yanzhi","non-dropping-particle":"","parse-names":false,"suffix":""},{"dropping-particle":"","family":"Goswami","given":"Chanchal","non-dropping-particle":"","parse-names":false,"suffix":""},{"dropping-particle":"","family":"Passalacqua","given":"Rodolfo","non-dropping-particle":"","parse-names":false,"suffix":""},{"dropping-particle":"","family":"Koshiji","given":"Minori","non-dropping-particle":"","parse-names":false,"suffix":""},{"dropping-particle":"","family":"Sivanandan","given":"Choondal","non-dropping-particle":"","parse-names":false,"suffix":""},{"dropping-particle":"","family":"Schwartz","given":"Jonathan D","non-dropping-particle":"","parse-names":false,"suffix":""},{"dropping-particle":"","family":"Melichar","given":"Bohuslav","non-dropping-particle":"","parse-names":false,"suffix":""},{"dropping-particle":"","family":"Safran","given":"Howard","non-dropping-particle":"","parse-names":false,"suffix":""},{"dropping-particle":"","family":"Santos","given":"Lucas Vieira","non-dropping-particle":"dos","parse-names":false,"suffix":""},{"dropping-particle":"","family":"Dumitru","given":"Filip","non-dropping-particle":"","parse-names":false,"suffix":""},{"dropping-particle":"","family":"Zalcberg","given":"John Raymond","non-dropping-particle":"","parse-names":false,"suffix":""},{"dropping-particle":"","family":"Liepa","given":"Astra M","non-dropping-particle":"","parse-names":false,"suffix":""},{"dropping-particle":"","family":"Campbell","given":"William","non-dropping-particle":"","parse-names":false,"suffix":""},{"dropping-particle":"","family":"Aprile","given":"Giuseppe","non-dropping-particle":"","parse-names":false,"suffix":""},{"dropping-particle":"","family":"Yong","given":"Cho Jae","non-dropping-particle":"","parse-names":false,"suffix":""},{"dropping-particle":"","family":"Pikiel","given":"Joanna","non-dropping-particle":"","parse-names":false,"suffix":""}],"container-title":"The Lancet","id":"ITEM-1","issue":"9911","issued":{"date-parts":[["2013"]]},"page":"31-39","title":"Ramucirumab monotherapy for previously treated advanced gastric or gastro-oesophageal junction adenocarcinoma (REGARD): an international, randomised, multicentre, placebo-controlled, phase 3 trial","type":"article-journal","volume":"383"},"uris":["http://www.mendeley.com/documents/?uuid=23a24249-8083-4316-ad09-31f9b55b234a","http://www.mendeley.com/documents/?uuid=5e84a102-9725-45df-b40d-512885b50c6b"]}],"mendeley":{"formattedCitation":"&lt;sup&gt;[72]&lt;/sup&gt;","plainTextFormattedCitation":"[72]","previouslyFormattedCitation":"&lt;sup&gt;[72]&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8D5A49" w:rsidRPr="005C7810">
        <w:rPr>
          <w:rFonts w:ascii="Book Antiqua" w:hAnsi="Book Antiqua" w:cs="Times New Roman"/>
          <w:sz w:val="24"/>
          <w:szCs w:val="24"/>
          <w:vertAlign w:val="superscript"/>
          <w:lang w:val="en-US"/>
        </w:rPr>
        <w:t>[72]</w:t>
      </w:r>
      <w:r w:rsidR="00CA0912" w:rsidRPr="005C7810">
        <w:rPr>
          <w:rFonts w:ascii="Book Antiqua" w:hAnsi="Book Antiqua" w:cs="Times New Roman"/>
          <w:sz w:val="24"/>
          <w:szCs w:val="24"/>
          <w:lang w:val="en-US"/>
        </w:rPr>
        <w:fldChar w:fldCharType="end"/>
      </w:r>
      <w:r w:rsidRPr="005C7810">
        <w:rPr>
          <w:rFonts w:ascii="Book Antiqua" w:hAnsi="Book Antiqua" w:cs="Times New Roman"/>
          <w:sz w:val="24"/>
          <w:szCs w:val="24"/>
          <w:vertAlign w:val="superscript"/>
          <w:lang w:val="en-US"/>
        </w:rPr>
        <w:t xml:space="preserve"> </w:t>
      </w:r>
      <w:r w:rsidR="000F06C7" w:rsidRPr="005C7810">
        <w:rPr>
          <w:rFonts w:ascii="Book Antiqua" w:hAnsi="Book Antiqua" w:cs="Times New Roman"/>
          <w:sz w:val="24"/>
          <w:szCs w:val="24"/>
          <w:lang w:val="en-US"/>
        </w:rPr>
        <w:t>and</w:t>
      </w:r>
      <w:r w:rsidRPr="005C7810">
        <w:rPr>
          <w:rFonts w:ascii="Book Antiqua" w:hAnsi="Book Antiqua" w:cs="Times New Roman"/>
          <w:sz w:val="24"/>
          <w:szCs w:val="24"/>
          <w:lang w:val="en-US"/>
        </w:rPr>
        <w:t xml:space="preserve"> in combination with paclitaxel (RAINBOW trial</w:t>
      </w:r>
      <w:r w:rsidR="006B6E52" w:rsidRPr="005C7810">
        <w:rPr>
          <w:rFonts w:ascii="Book Antiqua" w:hAnsi="Book Antiqua" w:cs="Times New Roman"/>
          <w:sz w:val="24"/>
          <w:szCs w:val="24"/>
          <w:lang w:val="en-US"/>
        </w:rPr>
        <w:t xml:space="preserve">, </w:t>
      </w:r>
      <w:r w:rsidR="00851575" w:rsidRPr="005C7810">
        <w:rPr>
          <w:rFonts w:ascii="Book Antiqua" w:hAnsi="Book Antiqua" w:cs="Times New Roman"/>
          <w:color w:val="000000"/>
          <w:sz w:val="24"/>
          <w:szCs w:val="24"/>
          <w:shd w:val="clear" w:color="auto" w:fill="FFFFFF"/>
          <w:lang w:val="en-US"/>
        </w:rPr>
        <w:t>NCT01170663)</w:t>
      </w:r>
      <w:r w:rsidR="00CA0912" w:rsidRPr="005C7810">
        <w:rPr>
          <w:rFonts w:ascii="Book Antiqua" w:hAnsi="Book Antiqua" w:cs="Times New Roman"/>
          <w:color w:val="000000"/>
          <w:sz w:val="24"/>
          <w:szCs w:val="24"/>
          <w:shd w:val="clear" w:color="auto" w:fill="FFFFFF"/>
          <w:lang w:val="en-US"/>
        </w:rPr>
        <w:fldChar w:fldCharType="begin" w:fldLock="1"/>
      </w:r>
      <w:r w:rsidR="001322DE" w:rsidRPr="005C7810">
        <w:rPr>
          <w:rFonts w:ascii="Book Antiqua" w:hAnsi="Book Antiqua" w:cs="Times New Roman"/>
          <w:color w:val="000000"/>
          <w:sz w:val="24"/>
          <w:szCs w:val="24"/>
          <w:shd w:val="clear" w:color="auto" w:fill="FFFFFF"/>
          <w:lang w:val="en-US"/>
        </w:rPr>
        <w:instrText>ADDIN CSL_CITATION {"citationItems":[{"id":"ITEM-1","itemData":{"DOI":"10.1016/S1470-2045(14)70420-6","ISSN":"14745488","PMID":"25240821","abstract":"Background: VEGFR-2 has a role in gastric cancer pathogenesis and progression. We assessed whether ramucirumab, a monoclonal antibody VEGFR-2 antagonist, in combination with paclitaxel would increase overall survival in patients previously treated for advanced gastric cancer compared with placebo plus paclitaxel. Methods: This randomised, placebo-controlled, double-blind, phase 3 trial was done at 170 centres in 27 countries in North and South America, Europe, Asia, and Australia. Patients aged 18 years or older with advanced gastric or gastro-oesophageal junction adenocarcinoma and disease progression on or within 4 months after first-line chemotherapy (platinum plus fluoropyrimidine with or without an anthracycline) were randomly assigned with a centralised interactive voice or web-response system in a 1:1 ratio to receive ramucirumab 8 mg/kg or placebo intravenously on days 1 and 15, plus paclitaxel 80 mg/m2intravenously on days 1, 8, and 15 of a 28-day cycle. A permuted block randomisation, stratified by geographic region, time to progression on first-line therapy, and disease measurability, was used. The primary endpoint was overall survival. Efficacy analysis was by intention to treat, and safety analysis included all patients who received at least one treatment with study drug. This trial is registered with ClinicalTrials.gov, number NCT01170663, and has been completed; patients who are still receiving treatment are in the extension phase. Findings: Between Dec 23, 2010, and Sept 23, 2012, 665 patients were randomly assigned to treatment-330 to ramucirumab plus paclitaxel and 335 to placebo plus paclitaxel. Overall survival was significantly longer in the ramucirumab plus paclitaxel group than in the placebo plus paclitaxel group (median 9·6 months [95% CI 8·5-10·8] vs 7·4 months [95% CI 6·3-8·4], hazard ratio 0·807 [95% CI 0·678-0·962]; p=0·017). Grade 3 or higher adverse events that occurred in more than 5% of patients in the ramucirumab plus paclitaxel group versus placebo plus paclitaxel included neutropenia (133 [41%] of 327 vs 62 [19%] of 329), leucopenia (57 [17%] vs 22 [7%]), hypertension (46 [14%] vs eight [2%]), fatigue (39 [12%] vs 18 [5%]), anaemia (30 [9%] vs 34 [10%]), and abdominal pain (20 [6%] vs 11 [3%]). The incidence of grade 3 or higher febrile neutropenia was low in both groups (ten [3%] vs eight [2%]). Interpretation: The combination of ramucirumab with paclitaxel significantly increases overall survival compared with place…","author":[{"dropping-particle":"","family":"Wilke","given":"Hansjochen","non-dropping-particle":"","parse-names":false,"suffix":""},{"dropping-particle":"","family":"Muro","given":"Kei","non-dropping-particle":"","parse-names":false,"suffix":""},{"dropping-particle":"","family":"Cutsem","given":"Eric","non-dropping-particle":"Van","parse-names":false,"suffix":""},{"dropping-particle":"","family":"Oh","given":"Sang Cheul","non-dropping-particle":"","parse-names":false,"suffix":""},{"dropping-particle":"","family":"Bodoky","given":"György","non-dropping-particle":"","parse-names":false,"suffix":""},{"dropping-particle":"","family":"Shimada","given":"Yasuhiro","non-dropping-particle":"","parse-names":false,"suffix":""},{"dropping-particle":"","family":"Hironaka","given":"Shuichi","non-dropping-particle":"","parse-names":false,"suffix":""},{"dropping-particle":"","family":"Sugimoto","given":"Naotoshi","non-dropping-particle":"","parse-names":false,"suffix":""},{"dropping-particle":"","family":"Lipatov","given":"Oleg","non-dropping-particle":"","parse-names":false,"suffix":""},{"dropping-particle":"","family":"Kim","given":"Tae You","non-dropping-particle":"","parse-names":false,"suffix":""},{"dropping-particle":"","family":"Cunningham","given":"David","non-dropping-particle":"","parse-names":false,"suffix":""},{"dropping-particle":"","family":"Rougier","given":"Philippe","non-dropping-particle":"","parse-names":false,"suffix":""},{"dropping-particle":"","family":"Komatsu","given":"Yoshito","non-dropping-particle":"","parse-names":false,"suffix":""},{"dropping-particle":"","family":"Ajani","given":"Jaffer","non-dropping-particle":"","parse-names":false,"suffix":""},{"dropping-particle":"","family":"Emig","given":"Michael","non-dropping-particle":"","parse-names":false,"suffix":""},{"dropping-particle":"","family":"Carlesi","given":"Roberto","non-dropping-particle":"","parse-names":false,"suffix":""},{"dropping-particle":"","family":"Ferry","given":"David","non-dropping-particle":"","parse-names":false,"suffix":""},{"dropping-particle":"","family":"Chandrawansa","given":"Kumari","non-dropping-particle":"","parse-names":false,"suffix":""},{"dropping-particle":"","family":"Schwartz","given":"Jonathan D.","non-dropping-particle":"","parse-names":false,"suffix":""},{"dropping-particle":"","family":"Ohtsu","given":"Atsushi","non-dropping-particle":"","parse-names":false,"suffix":""}],"container-title":"The Lancet Oncology","id":"ITEM-1","issue":"11","issued":{"date-parts":[["2014"]]},"page":"1224-1235","title":"Ramucirumab plus paclitaxel versus placebo plus paclitaxel in patients with previously treated advanced gastric or gastro-oesophageal junction adenocarcinoma (RAINBOW): A double-blind, randomised phase 3 trial","type":"article-journal","volume":"15"},"uris":["http://www.mendeley.com/documents/?uuid=7d500e87-abe5-487d-8270-72c6e6e57c2e","http://www.mendeley.com/documents/?uuid=3c9fe262-7c34-43dc-8308-5e057be4e93d"]}],"mendeley":{"formattedCitation":"&lt;sup&gt;[73]&lt;/sup&gt;","plainTextFormattedCitation":"[73]","previouslyFormattedCitation":"&lt;sup&gt;[73]&lt;/sup&gt;"},"properties":{"noteIndex":0},"schema":"https://github.com/citation-style-language/schema/raw/master/csl-citation.json"}</w:instrText>
      </w:r>
      <w:r w:rsidR="00CA0912" w:rsidRPr="005C7810">
        <w:rPr>
          <w:rFonts w:ascii="Book Antiqua" w:hAnsi="Book Antiqua" w:cs="Times New Roman"/>
          <w:color w:val="000000"/>
          <w:sz w:val="24"/>
          <w:szCs w:val="24"/>
          <w:shd w:val="clear" w:color="auto" w:fill="FFFFFF"/>
          <w:lang w:val="en-US"/>
        </w:rPr>
        <w:fldChar w:fldCharType="separate"/>
      </w:r>
      <w:r w:rsidR="008D5A49" w:rsidRPr="005C7810">
        <w:rPr>
          <w:rFonts w:ascii="Book Antiqua" w:hAnsi="Book Antiqua" w:cs="Times New Roman"/>
          <w:color w:val="000000"/>
          <w:sz w:val="24"/>
          <w:szCs w:val="24"/>
          <w:shd w:val="clear" w:color="auto" w:fill="FFFFFF"/>
          <w:vertAlign w:val="superscript"/>
          <w:lang w:val="en-US"/>
        </w:rPr>
        <w:t>[73]</w:t>
      </w:r>
      <w:r w:rsidR="00CA0912" w:rsidRPr="005C7810">
        <w:rPr>
          <w:rFonts w:ascii="Book Antiqua" w:hAnsi="Book Antiqua" w:cs="Times New Roman"/>
          <w:color w:val="000000"/>
          <w:sz w:val="24"/>
          <w:szCs w:val="24"/>
          <w:shd w:val="clear" w:color="auto" w:fill="FFFFFF"/>
          <w:lang w:val="en-US"/>
        </w:rPr>
        <w:fldChar w:fldCharType="end"/>
      </w:r>
      <w:r w:rsidR="00851575" w:rsidRPr="005C7810">
        <w:rPr>
          <w:rFonts w:ascii="Book Antiqua" w:hAnsi="Book Antiqua"/>
          <w:color w:val="000000"/>
          <w:sz w:val="24"/>
          <w:szCs w:val="24"/>
          <w:shd w:val="clear" w:color="auto" w:fill="FFFFFF"/>
          <w:lang w:val="en-US"/>
        </w:rPr>
        <w:t xml:space="preserve"> </w:t>
      </w:r>
      <w:r w:rsidRPr="005C7810">
        <w:rPr>
          <w:rFonts w:ascii="Book Antiqua" w:hAnsi="Book Antiqua" w:cs="Times New Roman"/>
          <w:sz w:val="24"/>
          <w:szCs w:val="24"/>
          <w:lang w:val="en-US"/>
        </w:rPr>
        <w:t xml:space="preserve">in patients with metastatic refractory GC. The median OS was significantly longer in the group of patients treated with ramucirumab plus paclitaxel (9.6 </w:t>
      </w:r>
      <w:r w:rsidR="000C5160" w:rsidRPr="005C7810">
        <w:rPr>
          <w:rFonts w:ascii="Book Antiqua" w:hAnsi="Book Antiqua" w:cs="Times New Roman"/>
          <w:sz w:val="24"/>
          <w:szCs w:val="24"/>
          <w:lang w:val="en-US"/>
        </w:rPr>
        <w:t>mo</w:t>
      </w:r>
      <w:r w:rsidRPr="005C7810">
        <w:rPr>
          <w:rFonts w:ascii="Book Antiqua" w:hAnsi="Book Antiqua" w:cs="Times New Roman"/>
          <w:sz w:val="24"/>
          <w:szCs w:val="24"/>
          <w:lang w:val="en-US"/>
        </w:rPr>
        <w:t xml:space="preserve">) compared to </w:t>
      </w:r>
      <w:r w:rsidR="000F06C7" w:rsidRPr="005C7810">
        <w:rPr>
          <w:rFonts w:ascii="Book Antiqua" w:hAnsi="Book Antiqua" w:cs="Times New Roman"/>
          <w:sz w:val="24"/>
          <w:szCs w:val="24"/>
          <w:lang w:val="en-US"/>
        </w:rPr>
        <w:t>those</w:t>
      </w:r>
      <w:r w:rsidRPr="005C7810">
        <w:rPr>
          <w:rFonts w:ascii="Book Antiqua" w:hAnsi="Book Antiqua" w:cs="Times New Roman"/>
          <w:sz w:val="24"/>
          <w:szCs w:val="24"/>
          <w:lang w:val="en-US"/>
        </w:rPr>
        <w:t xml:space="preserve"> treated with paclitaxel plus placebo (7.4 </w:t>
      </w:r>
      <w:r w:rsidR="000C5160" w:rsidRPr="005C7810">
        <w:rPr>
          <w:rFonts w:ascii="Book Antiqua" w:hAnsi="Book Antiqua" w:cs="Times New Roman"/>
          <w:sz w:val="24"/>
          <w:szCs w:val="24"/>
          <w:lang w:val="en-US"/>
        </w:rPr>
        <w:t>mo</w:t>
      </w:r>
      <w:r w:rsidRPr="005C7810">
        <w:rPr>
          <w:rFonts w:ascii="Book Antiqua" w:hAnsi="Book Antiqua" w:cs="Times New Roman"/>
          <w:sz w:val="24"/>
          <w:szCs w:val="24"/>
          <w:lang w:val="en-US"/>
        </w:rPr>
        <w:t xml:space="preserve">). </w:t>
      </w:r>
      <w:r w:rsidR="000F06C7" w:rsidRPr="005C7810">
        <w:rPr>
          <w:rFonts w:ascii="Book Antiqua" w:hAnsi="Book Antiqua" w:cs="Times New Roman"/>
          <w:sz w:val="24"/>
          <w:szCs w:val="24"/>
          <w:lang w:val="en-US"/>
        </w:rPr>
        <w:t>Thus, r</w:t>
      </w:r>
      <w:r w:rsidRPr="005C7810">
        <w:rPr>
          <w:rFonts w:ascii="Book Antiqua" w:hAnsi="Book Antiqua" w:cs="Times New Roman"/>
          <w:sz w:val="24"/>
          <w:szCs w:val="24"/>
          <w:lang w:val="en-US"/>
        </w:rPr>
        <w:t xml:space="preserve">amucirumab </w:t>
      </w:r>
      <w:r w:rsidR="006B6E52" w:rsidRPr="005C7810">
        <w:rPr>
          <w:rFonts w:ascii="Book Antiqua" w:hAnsi="Book Antiqua" w:cs="Times New Roman"/>
          <w:sz w:val="24"/>
          <w:szCs w:val="24"/>
          <w:lang w:val="en-US"/>
        </w:rPr>
        <w:t xml:space="preserve">may </w:t>
      </w:r>
      <w:r w:rsidRPr="005C7810">
        <w:rPr>
          <w:rFonts w:ascii="Book Antiqua" w:hAnsi="Book Antiqua" w:cs="Times New Roman"/>
          <w:sz w:val="24"/>
          <w:szCs w:val="24"/>
          <w:lang w:val="en-US"/>
        </w:rPr>
        <w:t xml:space="preserve">be a new second-line treatment </w:t>
      </w:r>
      <w:r w:rsidR="000F06C7" w:rsidRPr="005C7810">
        <w:rPr>
          <w:rFonts w:ascii="Book Antiqua" w:hAnsi="Book Antiqua" w:cs="Times New Roman"/>
          <w:sz w:val="24"/>
          <w:szCs w:val="24"/>
          <w:lang w:val="en-US"/>
        </w:rPr>
        <w:t>for</w:t>
      </w:r>
      <w:r w:rsidRPr="005C7810">
        <w:rPr>
          <w:rFonts w:ascii="Book Antiqua" w:hAnsi="Book Antiqua" w:cs="Times New Roman"/>
          <w:sz w:val="24"/>
          <w:szCs w:val="24"/>
          <w:lang w:val="en-US"/>
        </w:rPr>
        <w:t xml:space="preserve"> patients with metastatic GC. The addition of ramucirumab to FOLFOX (leucovorin, 5-FU, oxaliplatin) did not improve OS in patients with advanced GC</w:t>
      </w:r>
      <w:r w:rsidR="00CA0912"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{"citationItems":[{"id":"ITEM-1","itemData":{"DOI":"10.1093/annonc/mdw423","author":[{"dropping-particle":"","family":"Yoon","given":"H H","non-dropping-particle":"","parse-names":false,"suffix":""},{"dropping-particle":"","family":"Bendell","given":"J C","non-dropping-particle":"","parse-names":false,"suffix":""},{"dropping-particle":"","family":"Braiteh","given":"F S","non-dropping-particle":"","parse-names":false,"suffix":""},{"dropping-particle":"","family":"Firdaus","given":"I","non-dropping-particle":"","parse-names":false,"suffix":""},{"dropping-particle":"","family":"Philip","given":"P A","non-dropping-particle":"","parse-names":false,"suffix":""},{"dropping-particle":"","family":"Cohn","given":"A L","non-dropping-particle":"","parse-names":false,"suffix":""},{"dropping-particle":"","family":"Lewis","given":"N","non-dropping-particle":"","parse-names":false,"suffix":""},{"dropping-particle":"","family":"Anderson","given":"D M","non-dropping-particle":"","parse-names":false,"suffix":""},{"dropping-particle":"","family":"Arrowsmith","given":"E","non-dropping-particle":"","parse-names":false,"suffix":""},{"dropping-particle":"","family":"Schwartz","given":"J D","non-dropping-particle":"","parse-names":false,"suffix":""},{"dropping-particle":"","family":"Gao","given":"L","non-dropping-particle":"","parse-names":false,"suffix":""},{"dropping-particle":"","family":"Hsu","given":"Y","non-dropping-particle":"","parse-names":false,"suffix":""},{"dropping-particle":"","family":"Xu","given":"Y","non-dropping-particle":"","parse-names":false,"suffix":""},{"dropping-particle":"","family":"Ferry","given":"D","non-dropping-particle":"","parse-names":false,"suffix":""}],"id":"ITEM-1","issued":{"date-parts":[["2016"]]},"page":"2196-2203","title":"Ramucirumab combined with FOLFOX as front-line therapy for advanced esophageal , gastroesophageal junction , or gastric adenocarcinoma : a randomized ,","type":"article-journal"},"uris":["http://www.mendeley.com/documents/?uuid=a8e48a5b-8d6a-46ad-910b-e5eb782b6fcf","http://www.mendeley.com/documents/?uuid=731956cf-c0e4-491a-b52c-9a22011339fd"]}],"mendeley":{"formattedCitation":"&lt;sup&gt;[155]&lt;/sup&gt;","plainTextFormattedCitation":"[155]","previouslyFormattedCitation":"&lt;sup&gt;[155]&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[155]</w:t>
      </w:r>
      <w:r w:rsidR="00CA0912"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w:t>
      </w:r>
      <w:r w:rsidR="00654B9A" w:rsidRPr="005C7810">
        <w:rPr>
          <w:rFonts w:ascii="Book Antiqua" w:hAnsi="Book Antiqua" w:cs="Times New Roman"/>
          <w:sz w:val="24"/>
          <w:szCs w:val="24"/>
          <w:lang w:val="en-US"/>
        </w:rPr>
        <w:t>In a</w:t>
      </w:r>
      <w:r w:rsidR="00A92689" w:rsidRPr="005C7810">
        <w:rPr>
          <w:rFonts w:ascii="Book Antiqua" w:hAnsi="Book Antiqua" w:cs="Times New Roman"/>
          <w:sz w:val="24"/>
          <w:szCs w:val="24"/>
          <w:lang w:val="en-US"/>
        </w:rPr>
        <w:t xml:space="preserve"> phase III study (NCT01512745)</w:t>
      </w:r>
      <w:r w:rsidR="000F06C7" w:rsidRPr="005C7810">
        <w:rPr>
          <w:rFonts w:ascii="Book Antiqua" w:hAnsi="Book Antiqua" w:cs="Times New Roman"/>
          <w:sz w:val="24"/>
          <w:szCs w:val="24"/>
          <w:lang w:val="en-US"/>
        </w:rPr>
        <w:t>,</w:t>
      </w:r>
      <w:r w:rsidR="00A92689" w:rsidRPr="005C7810">
        <w:rPr>
          <w:rFonts w:ascii="Book Antiqua" w:hAnsi="Book Antiqua" w:cs="Times New Roman"/>
          <w:sz w:val="24"/>
          <w:szCs w:val="24"/>
          <w:lang w:val="en-US"/>
        </w:rPr>
        <w:t xml:space="preserve"> apatinib </w:t>
      </w:r>
      <w:r w:rsidR="000C5160" w:rsidRPr="005C7810">
        <w:rPr>
          <w:rFonts w:ascii="Book Antiqua" w:hAnsi="Book Antiqua" w:cs="Times New Roman"/>
          <w:i/>
          <w:sz w:val="24"/>
          <w:szCs w:val="24"/>
          <w:lang w:val="en-US"/>
        </w:rPr>
        <w:t>vs</w:t>
      </w:r>
      <w:r w:rsidR="00A92689" w:rsidRPr="005C7810">
        <w:rPr>
          <w:rFonts w:ascii="Book Antiqua" w:hAnsi="Book Antiqua" w:cs="Times New Roman"/>
          <w:sz w:val="24"/>
          <w:szCs w:val="24"/>
          <w:lang w:val="en-US"/>
        </w:rPr>
        <w:t xml:space="preserve"> placebo was used in patients with advanced/metastatic GC</w:t>
      </w:r>
      <w:r w:rsidR="0045685D" w:rsidRPr="005C7810">
        <w:rPr>
          <w:rFonts w:ascii="Book Antiqua" w:hAnsi="Book Antiqua" w:cs="Times New Roman"/>
          <w:sz w:val="24"/>
          <w:szCs w:val="24"/>
          <w:lang w:val="en-US"/>
        </w:rPr>
        <w:t xml:space="preserve"> who failed two</w:t>
      </w:r>
      <w:r w:rsidR="00A92689" w:rsidRPr="005C7810">
        <w:rPr>
          <w:rFonts w:ascii="Book Antiqua" w:hAnsi="Book Antiqua" w:cs="Times New Roman"/>
          <w:sz w:val="24"/>
          <w:szCs w:val="24"/>
          <w:lang w:val="en-US"/>
        </w:rPr>
        <w:t xml:space="preserve"> lines of chemotherapy. The median OS was 6.5 </w:t>
      </w:r>
      <w:r w:rsidR="000C5160" w:rsidRPr="005C7810">
        <w:rPr>
          <w:rFonts w:ascii="Book Antiqua" w:hAnsi="Book Antiqua" w:cs="Times New Roman"/>
          <w:i/>
          <w:sz w:val="24"/>
          <w:szCs w:val="24"/>
          <w:lang w:val="en-US"/>
        </w:rPr>
        <w:t>vs</w:t>
      </w:r>
      <w:r w:rsidR="00A92689" w:rsidRPr="005C7810">
        <w:rPr>
          <w:rFonts w:ascii="Book Antiqua" w:hAnsi="Book Antiqua" w:cs="Times New Roman"/>
          <w:sz w:val="24"/>
          <w:szCs w:val="24"/>
          <w:lang w:val="en-US"/>
        </w:rPr>
        <w:t xml:space="preserve"> 4.7 </w:t>
      </w:r>
      <w:r w:rsidR="000C5160" w:rsidRPr="005C7810">
        <w:rPr>
          <w:rFonts w:ascii="Book Antiqua" w:hAnsi="Book Antiqua" w:cs="Times New Roman"/>
          <w:sz w:val="24"/>
          <w:szCs w:val="24"/>
          <w:lang w:val="en-US"/>
        </w:rPr>
        <w:t>mo</w:t>
      </w:r>
      <w:r w:rsidR="00CA0912"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{"citationItems":[{"id":"ITEM-1","itemData":{"DOI":"10.1200/JCO.2015.63.5995","author":[{"dropping-particle":"","family":"Li J, Qin S, Xu J, Xiong J, Wu C, Bai Y, Liu W, Tong J, Liu Y, Xu R, Wang Z, Wang Q, Ouyang X, Yang Y, Ba Y, Liang J, Lin X, Luo D, Zheng R, Wang X, Sun G, Wang L, Zheng L, Guo H, Wu J, Xu N, Yang J, Zhang H, Cheng Y, Wang N, Chen L, Fan Z, Sun P","given":"Yu H","non-dropping-particle":"","parse-names":false,"suffix":""}],"id":"ITEM-1","issue":"1448-1454","issued":{"date-parts":[["2016"]]},"title":"Randomized , Double-Blind , Placebo-Controlled Phase III Trial of Apatinib in Patients With Chemotherapy-Refractory Advanced or Metastatic Adenocarcinoma of the Stomach or Gastroesophageal Junction","type":"article-journal","volume":"34"},"uris":["http://www.mendeley.com/documents/?uuid=115c365b-5a88-415d-801a-76fdbf78f297","http://www.mendeley.com/documents/?uuid=6b6ef926-3171-4333-8f2b-6cafbf9b4c6a"]}],"mendeley":{"formattedCitation":"&lt;sup&gt;[156]&lt;/sup&gt;","plainTextFormattedCitation":"[156]","previouslyFormattedCitation":"&lt;sup&gt;[156]&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[156]</w:t>
      </w:r>
      <w:r w:rsidR="00CA0912" w:rsidRPr="005C7810">
        <w:rPr>
          <w:rFonts w:ascii="Book Antiqua" w:hAnsi="Book Antiqua" w:cs="Times New Roman"/>
          <w:sz w:val="24"/>
          <w:szCs w:val="24"/>
          <w:lang w:val="en-US"/>
        </w:rPr>
        <w:fldChar w:fldCharType="end"/>
      </w:r>
      <w:r w:rsidR="00A92689" w:rsidRPr="005C7810">
        <w:rPr>
          <w:rFonts w:ascii="Book Antiqua" w:hAnsi="Book Antiqua" w:cs="Times New Roman"/>
          <w:sz w:val="24"/>
          <w:szCs w:val="24"/>
          <w:lang w:val="en-US"/>
        </w:rPr>
        <w:t xml:space="preserve">. </w:t>
      </w:r>
      <w:r w:rsidR="008E2C9F" w:rsidRPr="005C7810">
        <w:rPr>
          <w:rFonts w:ascii="Book Antiqua" w:hAnsi="Book Antiqua" w:cs="Times New Roman"/>
          <w:sz w:val="24"/>
          <w:szCs w:val="24"/>
          <w:lang w:val="en-US"/>
        </w:rPr>
        <w:t xml:space="preserve">Other studies with apatinib have been started but have not yet been completed </w:t>
      </w:r>
      <w:r w:rsidR="009252F4" w:rsidRPr="005C7810">
        <w:rPr>
          <w:rFonts w:ascii="Book Antiqua" w:hAnsi="Book Antiqua" w:cs="Times New Roman"/>
          <w:sz w:val="24"/>
          <w:szCs w:val="24"/>
          <w:lang w:val="en-US"/>
        </w:rPr>
        <w:t xml:space="preserve">regarding </w:t>
      </w:r>
      <w:r w:rsidR="008E2C9F" w:rsidRPr="005C7810">
        <w:rPr>
          <w:rFonts w:ascii="Book Antiqua" w:hAnsi="Book Antiqua" w:cs="Times New Roman"/>
          <w:sz w:val="24"/>
          <w:szCs w:val="24"/>
          <w:lang w:val="en-US"/>
        </w:rPr>
        <w:t>the use of apatinib alone as first-line maintenance treatment in patients with advanced GC (NCT03255811)</w:t>
      </w:r>
      <w:r w:rsidR="00CA0912"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{"citationItems":[{"id":"ITEM-1","itemData":{"author":[{"dropping-particle":"","family":"M.","given":"Dong","non-dropping-particle":"","parse-names":false,"suffix":""}],"container-title":"ClinicalTrials.gov [Internet]. Bethesda (MD): U.S. National Library of Medicine.","id":"ITEM-1","issued":{"date-parts":[["0"]]},"title":"Clinical Study on Treatment of Apatinib Mesylate in First-line Maintenance of Advanced Gastric Cancer.","type":"article-journal"},"uris":["http://www.mendeley.com/documents/?uuid=e5331af7-9559-4f12-bc61-953d1f55182d","http://www.mendeley.com/documents/?uuid=0b13d0d4-30d2-4b7f-a6c8-1c1d77ca8e21"]}],"mendeley":{"formattedCitation":"&lt;sup&gt;[157]&lt;/sup&gt;","plainTextFormattedCitation":"[157]","previouslyFormattedCitation":"&lt;sup&gt;[157]&lt;/sup&gt;"},"properties":{"noteIndex":0},"schema":"https://github.com/citation-style-language/schema/raw/master/csl-citation.json"}</w:instrText>
      </w:r>
      <w:r w:rsidR="00CA0912"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[157]</w:t>
      </w:r>
      <w:r w:rsidR="00CA0912" w:rsidRPr="005C7810">
        <w:rPr>
          <w:rFonts w:ascii="Book Antiqua" w:hAnsi="Book Antiqua" w:cs="Times New Roman"/>
          <w:sz w:val="24"/>
          <w:szCs w:val="24"/>
          <w:lang w:val="en-US"/>
        </w:rPr>
        <w:fldChar w:fldCharType="end"/>
      </w:r>
      <w:r w:rsidR="00B4327C" w:rsidRPr="005C7810">
        <w:rPr>
          <w:rFonts w:ascii="Book Antiqua" w:hAnsi="Book Antiqua" w:cs="Times New Roman"/>
          <w:sz w:val="24"/>
          <w:szCs w:val="24"/>
          <w:lang w:val="en-US"/>
        </w:rPr>
        <w:t xml:space="preserve"> </w:t>
      </w:r>
      <w:r w:rsidR="008E2C9F" w:rsidRPr="005C7810">
        <w:rPr>
          <w:rFonts w:ascii="Book Antiqua" w:hAnsi="Book Antiqua" w:cs="Times New Roman"/>
          <w:sz w:val="24"/>
          <w:szCs w:val="24"/>
          <w:lang w:val="en-US"/>
        </w:rPr>
        <w:t>and as maintenance treatment with capecitabine (NCT03598348) after first-line chemotherapy</w:t>
      </w:r>
      <w:r w:rsidR="00997C4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{"citationItems":[{"id":"ITEM-1","itemData":{"author":[{"dropping-particle":"","family":"X.","given":"Yuan","non-dropping-particle":"","parse-names":false,"suffix":""}],"container-title":"ClinicalTrials.gov [Internet]. Bethesda (MD): U.S. National Library of Medicine.","id":"ITEM-1","issued":{"date-parts":[["0"]]},"title":"Evaluate the Efficacy of Maintenance Treatment With Capecitabine Plus Apatinib in Advanced Gastric Cancer.","type":"article-journal"},"uris":["http://www.mendeley.com/documents/?uuid=b87455fb-7bba-48d8-be89-b67d346e5be1","http://www.mendeley.com/documents/?uuid=8b42408d-cce1-43f0-9ef2-00e0e28e5b29"]}],"mendeley":{"formattedCitation":"&lt;sup&gt;[158]&lt;/sup&gt;","plainTextFormattedCitation":"[158]","previouslyFormattedCitation":"&lt;sup&gt;[158]&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[158]</w:t>
      </w:r>
      <w:r w:rsidR="00997C48" w:rsidRPr="005C7810">
        <w:rPr>
          <w:rFonts w:ascii="Book Antiqua" w:hAnsi="Book Antiqua" w:cs="Times New Roman"/>
          <w:sz w:val="24"/>
          <w:szCs w:val="24"/>
          <w:lang w:val="en-US"/>
        </w:rPr>
        <w:fldChar w:fldCharType="end"/>
      </w:r>
      <w:r w:rsidR="00A973E6" w:rsidRPr="005C7810">
        <w:rPr>
          <w:rFonts w:ascii="Book Antiqua" w:hAnsi="Book Antiqua" w:cs="Times New Roman"/>
          <w:sz w:val="24"/>
          <w:szCs w:val="24"/>
          <w:lang w:val="en-US"/>
        </w:rPr>
        <w:t>.</w:t>
      </w:r>
      <w:r w:rsidR="00CC1899" w:rsidRPr="005C7810">
        <w:rPr>
          <w:rFonts w:ascii="Book Antiqua" w:hAnsi="Book Antiqua" w:cs="Times New Roman"/>
          <w:color w:val="000000"/>
          <w:sz w:val="24"/>
          <w:szCs w:val="24"/>
          <w:shd w:val="clear" w:color="auto" w:fill="FFFFFF"/>
          <w:lang w:val="en-US"/>
        </w:rPr>
        <w:t xml:space="preserve"> </w:t>
      </w:r>
      <w:r w:rsidR="008C59F6" w:rsidRPr="005C7810">
        <w:rPr>
          <w:rFonts w:ascii="Book Antiqua" w:hAnsi="Book Antiqua" w:cs="Times New Roman"/>
          <w:sz w:val="24"/>
          <w:szCs w:val="24"/>
          <w:lang w:val="en-US"/>
        </w:rPr>
        <w:t>The clinical trial (NCT03104283)</w:t>
      </w:r>
      <w:r w:rsidR="00B4327C" w:rsidRPr="005C7810">
        <w:rPr>
          <w:rFonts w:ascii="Book Antiqua" w:hAnsi="Book Antiqua" w:cs="Times New Roman"/>
          <w:sz w:val="24"/>
          <w:szCs w:val="24"/>
          <w:lang w:val="en-US"/>
        </w:rPr>
        <w:t xml:space="preserve"> </w:t>
      </w:r>
      <w:r w:rsidR="008C59F6" w:rsidRPr="005C7810">
        <w:rPr>
          <w:rFonts w:ascii="Book Antiqua" w:hAnsi="Book Antiqua" w:cs="Times New Roman"/>
          <w:color w:val="000000"/>
          <w:sz w:val="24"/>
          <w:szCs w:val="24"/>
          <w:shd w:val="clear" w:color="auto" w:fill="FFFFFF"/>
          <w:lang w:val="en-US"/>
        </w:rPr>
        <w:t>assess</w:t>
      </w:r>
      <w:r w:rsidR="006B6E52" w:rsidRPr="005C7810">
        <w:rPr>
          <w:rFonts w:ascii="Book Antiqua" w:hAnsi="Book Antiqua" w:cs="Times New Roman"/>
          <w:color w:val="000000"/>
          <w:sz w:val="24"/>
          <w:szCs w:val="24"/>
          <w:shd w:val="clear" w:color="auto" w:fill="FFFFFF"/>
          <w:lang w:val="en-US"/>
        </w:rPr>
        <w:t>ed</w:t>
      </w:r>
      <w:r w:rsidR="008C59F6" w:rsidRPr="005C7810">
        <w:rPr>
          <w:rFonts w:ascii="Book Antiqua" w:hAnsi="Book Antiqua" w:cs="Times New Roman"/>
          <w:color w:val="000000"/>
          <w:sz w:val="24"/>
          <w:szCs w:val="24"/>
          <w:shd w:val="clear" w:color="auto" w:fill="FFFFFF"/>
          <w:lang w:val="en-US"/>
        </w:rPr>
        <w:t xml:space="preserve"> the efficacy and safety of apatinib as monotherapy in elderly advanced </w:t>
      </w:r>
      <w:r w:rsidR="006B6E52" w:rsidRPr="005C7810">
        <w:rPr>
          <w:rFonts w:ascii="Book Antiqua" w:hAnsi="Book Antiqua" w:cs="Times New Roman"/>
          <w:color w:val="000000"/>
          <w:sz w:val="24"/>
          <w:szCs w:val="24"/>
          <w:shd w:val="clear" w:color="auto" w:fill="FFFFFF"/>
          <w:lang w:val="en-US"/>
        </w:rPr>
        <w:t>GC</w:t>
      </w:r>
      <w:r w:rsidR="008C59F6" w:rsidRPr="005C7810">
        <w:rPr>
          <w:rFonts w:ascii="Book Antiqua" w:hAnsi="Book Antiqua" w:cs="Times New Roman"/>
          <w:color w:val="000000"/>
          <w:sz w:val="24"/>
          <w:szCs w:val="24"/>
          <w:shd w:val="clear" w:color="auto" w:fill="FFFFFF"/>
          <w:lang w:val="en-US"/>
        </w:rPr>
        <w:t xml:space="preserve"> patients, and </w:t>
      </w:r>
      <w:r w:rsidR="006B6E52" w:rsidRPr="005C7810">
        <w:rPr>
          <w:rFonts w:ascii="Book Antiqua" w:hAnsi="Book Antiqua" w:cs="Times New Roman"/>
          <w:color w:val="000000"/>
          <w:sz w:val="24"/>
          <w:szCs w:val="24"/>
          <w:shd w:val="clear" w:color="auto" w:fill="FFFFFF"/>
          <w:lang w:val="en-US"/>
        </w:rPr>
        <w:t>determined</w:t>
      </w:r>
      <w:r w:rsidR="008C59F6" w:rsidRPr="005C7810">
        <w:rPr>
          <w:rFonts w:ascii="Book Antiqua" w:hAnsi="Book Antiqua" w:cs="Times New Roman"/>
          <w:color w:val="000000"/>
          <w:sz w:val="24"/>
          <w:szCs w:val="24"/>
          <w:shd w:val="clear" w:color="auto" w:fill="FFFFFF"/>
          <w:lang w:val="en-US"/>
        </w:rPr>
        <w:t xml:space="preserve"> the relationship between </w:t>
      </w:r>
      <w:r w:rsidR="006B6E52" w:rsidRPr="005C7810">
        <w:rPr>
          <w:rFonts w:ascii="Book Antiqua" w:hAnsi="Book Antiqua" w:cs="Times New Roman"/>
          <w:color w:val="000000"/>
          <w:sz w:val="24"/>
          <w:szCs w:val="24"/>
          <w:shd w:val="clear" w:color="auto" w:fill="FFFFFF"/>
          <w:lang w:val="en-US"/>
        </w:rPr>
        <w:t xml:space="preserve">VEGFR2 </w:t>
      </w:r>
      <w:r w:rsidR="008C59F6" w:rsidRPr="005C7810">
        <w:rPr>
          <w:rFonts w:ascii="Book Antiqua" w:hAnsi="Book Antiqua" w:cs="Times New Roman"/>
          <w:color w:val="000000"/>
          <w:sz w:val="24"/>
          <w:szCs w:val="24"/>
          <w:shd w:val="clear" w:color="auto" w:fill="FFFFFF"/>
          <w:lang w:val="en-US"/>
        </w:rPr>
        <w:t>expression and efficacy of apatinib treatment</w:t>
      </w:r>
      <w:r w:rsidR="00997C48" w:rsidRPr="005C7810">
        <w:rPr>
          <w:rFonts w:ascii="Book Antiqua" w:hAnsi="Book Antiqua" w:cs="Times New Roman"/>
          <w:color w:val="000000"/>
          <w:sz w:val="24"/>
          <w:szCs w:val="24"/>
          <w:shd w:val="clear" w:color="auto" w:fill="FFFFFF"/>
          <w:lang w:val="en-US"/>
        </w:rPr>
        <w:fldChar w:fldCharType="begin" w:fldLock="1"/>
      </w:r>
      <w:r w:rsidR="00B0152B" w:rsidRPr="005C7810">
        <w:rPr>
          <w:rFonts w:ascii="Book Antiqua" w:hAnsi="Book Antiqua" w:cs="Times New Roman"/>
          <w:color w:val="000000"/>
          <w:sz w:val="24"/>
          <w:szCs w:val="24"/>
          <w:shd w:val="clear" w:color="auto" w:fill="FFFFFF"/>
          <w:lang w:val="en-US"/>
        </w:rPr>
        <w:instrText>ADDIN CSL_CITATION {"citationItems":[{"id":"ITEM-1","itemData":{"author":[{"dropping-particle":"","family":"J.","given":"Zhao","non-dropping-particle":"","parse-names":false,"suffix":""}],"container-title":"ClinicalTrials.gov [Internet]. Bethesda (MD): U.S. National Library of Medicine","id":"ITEM-1","issued":{"date-parts":[["0"]]},"title":"Apatinib for the Elderly Advanced Gastric Cancer.","type":"article-journal"},"uris":["http://www.mendeley.com/documents/?uuid=9faf5c7e-f671-4ca8-b5fd-0d30ee16eb56","http://www.mendeley.com/documents/?uuid=308a6e31-b9d1-49d7-85a1-ef39a1870136"]}],"mendeley":{"formattedCitation":"&lt;sup&gt;[159]&lt;/sup&gt;","plainTextFormattedCitation":"[159]","previouslyFormattedCitation":"&lt;sup&gt;[159]&lt;/sup&gt;"},"properties":{"noteIndex":0},"schema":"https://github.com/citation-style-language/schema/raw/master/csl-citation.json"}</w:instrText>
      </w:r>
      <w:r w:rsidR="00997C48" w:rsidRPr="005C7810">
        <w:rPr>
          <w:rFonts w:ascii="Book Antiqua" w:hAnsi="Book Antiqua" w:cs="Times New Roman"/>
          <w:color w:val="000000"/>
          <w:sz w:val="24"/>
          <w:szCs w:val="24"/>
          <w:shd w:val="clear" w:color="auto" w:fill="FFFFFF"/>
          <w:lang w:val="en-US"/>
        </w:rPr>
        <w:fldChar w:fldCharType="separate"/>
      </w:r>
      <w:r w:rsidR="00B0152B" w:rsidRPr="005C7810">
        <w:rPr>
          <w:rFonts w:ascii="Book Antiqua" w:hAnsi="Book Antiqua" w:cs="Times New Roman"/>
          <w:color w:val="000000"/>
          <w:sz w:val="24"/>
          <w:szCs w:val="24"/>
          <w:shd w:val="clear" w:color="auto" w:fill="FFFFFF"/>
          <w:vertAlign w:val="superscript"/>
          <w:lang w:val="en-US"/>
        </w:rPr>
        <w:t>[159]</w:t>
      </w:r>
      <w:r w:rsidR="00997C48" w:rsidRPr="005C7810">
        <w:rPr>
          <w:rFonts w:ascii="Book Antiqua" w:hAnsi="Book Antiqua" w:cs="Times New Roman"/>
          <w:color w:val="000000"/>
          <w:sz w:val="24"/>
          <w:szCs w:val="24"/>
          <w:shd w:val="clear" w:color="auto" w:fill="FFFFFF"/>
          <w:lang w:val="en-US"/>
        </w:rPr>
        <w:fldChar w:fldCharType="end"/>
      </w:r>
      <w:r w:rsidR="008C59F6" w:rsidRPr="005C7810">
        <w:rPr>
          <w:rFonts w:ascii="Book Antiqua" w:hAnsi="Book Antiqua" w:cs="Times New Roman"/>
          <w:color w:val="000000"/>
          <w:sz w:val="24"/>
          <w:szCs w:val="24"/>
          <w:shd w:val="clear" w:color="auto" w:fill="FFFFFF"/>
          <w:lang w:val="en-US"/>
        </w:rPr>
        <w:t>.</w:t>
      </w:r>
      <w:r w:rsidR="00180274" w:rsidRPr="005C7810">
        <w:rPr>
          <w:rFonts w:ascii="Book Antiqua" w:hAnsi="Book Antiqua" w:cs="Times New Roman"/>
          <w:color w:val="000000"/>
          <w:sz w:val="24"/>
          <w:szCs w:val="24"/>
          <w:shd w:val="clear" w:color="auto" w:fill="FFFFFF"/>
          <w:lang w:val="en-US"/>
        </w:rPr>
        <w:t xml:space="preserve"> In a retrospective study, the efficacy of the association of apatinib with docetaxel </w:t>
      </w:r>
      <w:r w:rsidR="000C5160" w:rsidRPr="005C7810">
        <w:rPr>
          <w:rFonts w:ascii="Book Antiqua" w:hAnsi="Book Antiqua" w:cs="Times New Roman"/>
          <w:i/>
          <w:color w:val="000000"/>
          <w:sz w:val="24"/>
          <w:szCs w:val="24"/>
          <w:shd w:val="clear" w:color="auto" w:fill="FFFFFF"/>
          <w:lang w:val="en-US"/>
        </w:rPr>
        <w:t>vs</w:t>
      </w:r>
      <w:r w:rsidR="00180274" w:rsidRPr="005C7810">
        <w:rPr>
          <w:rFonts w:ascii="Book Antiqua" w:hAnsi="Book Antiqua" w:cs="Times New Roman"/>
          <w:color w:val="000000"/>
          <w:sz w:val="24"/>
          <w:szCs w:val="24"/>
          <w:shd w:val="clear" w:color="auto" w:fill="FFFFFF"/>
          <w:lang w:val="en-US"/>
        </w:rPr>
        <w:t xml:space="preserve"> apatinib as monotherapy as a second- or third-line treatment in advanced GC was evaluated. The median OS was 3.3 </w:t>
      </w:r>
      <w:r w:rsidR="000C5160" w:rsidRPr="005C7810">
        <w:rPr>
          <w:rFonts w:ascii="Book Antiqua" w:hAnsi="Book Antiqua" w:cs="Times New Roman"/>
          <w:i/>
          <w:color w:val="000000"/>
          <w:sz w:val="24"/>
          <w:szCs w:val="24"/>
          <w:shd w:val="clear" w:color="auto" w:fill="FFFFFF"/>
          <w:lang w:val="en-US"/>
        </w:rPr>
        <w:t>vs</w:t>
      </w:r>
      <w:r w:rsidR="00180274" w:rsidRPr="005C7810">
        <w:rPr>
          <w:rFonts w:ascii="Book Antiqua" w:hAnsi="Book Antiqua" w:cs="Times New Roman"/>
          <w:color w:val="000000"/>
          <w:sz w:val="24"/>
          <w:szCs w:val="24"/>
          <w:shd w:val="clear" w:color="auto" w:fill="FFFFFF"/>
          <w:lang w:val="en-US"/>
        </w:rPr>
        <w:t xml:space="preserve"> 6.0 </w:t>
      </w:r>
      <w:r w:rsidR="000C5160" w:rsidRPr="005C7810">
        <w:rPr>
          <w:rFonts w:ascii="Book Antiqua" w:hAnsi="Book Antiqua" w:cs="Times New Roman"/>
          <w:color w:val="000000"/>
          <w:sz w:val="24"/>
          <w:szCs w:val="24"/>
          <w:shd w:val="clear" w:color="auto" w:fill="FFFFFF"/>
          <w:lang w:val="en-US"/>
        </w:rPr>
        <w:t>mo</w:t>
      </w:r>
      <w:r w:rsidR="00180274" w:rsidRPr="005C7810">
        <w:rPr>
          <w:rFonts w:ascii="Book Antiqua" w:hAnsi="Book Antiqua" w:cs="Times New Roman"/>
          <w:color w:val="000000"/>
          <w:sz w:val="24"/>
          <w:szCs w:val="24"/>
          <w:shd w:val="clear" w:color="auto" w:fill="FFFFFF"/>
          <w:lang w:val="en-US"/>
        </w:rPr>
        <w:t xml:space="preserve"> in patients with apatinib monotherapy and </w:t>
      </w:r>
      <w:r w:rsidR="006B6E52" w:rsidRPr="005C7810">
        <w:rPr>
          <w:rFonts w:ascii="Book Antiqua" w:hAnsi="Book Antiqua" w:cs="Times New Roman"/>
          <w:color w:val="000000"/>
          <w:sz w:val="24"/>
          <w:szCs w:val="24"/>
          <w:shd w:val="clear" w:color="auto" w:fill="FFFFFF"/>
          <w:lang w:val="en-US"/>
        </w:rPr>
        <w:t xml:space="preserve">those </w:t>
      </w:r>
      <w:r w:rsidR="00180274" w:rsidRPr="005C7810">
        <w:rPr>
          <w:rFonts w:ascii="Book Antiqua" w:hAnsi="Book Antiqua" w:cs="Times New Roman"/>
          <w:color w:val="000000"/>
          <w:sz w:val="24"/>
          <w:szCs w:val="24"/>
          <w:shd w:val="clear" w:color="auto" w:fill="FFFFFF"/>
          <w:lang w:val="en-US"/>
        </w:rPr>
        <w:t>with apatinib and docetaxel combination</w:t>
      </w:r>
      <w:r w:rsidR="006B6E52" w:rsidRPr="005C7810">
        <w:rPr>
          <w:rFonts w:ascii="Book Antiqua" w:hAnsi="Book Antiqua" w:cs="Times New Roman"/>
          <w:color w:val="000000"/>
          <w:sz w:val="24"/>
          <w:szCs w:val="24"/>
          <w:shd w:val="clear" w:color="auto" w:fill="FFFFFF"/>
          <w:lang w:val="en-US"/>
        </w:rPr>
        <w:t>, respectively</w:t>
      </w:r>
      <w:r w:rsidR="00470848" w:rsidRPr="005C7810">
        <w:rPr>
          <w:rFonts w:ascii="Book Antiqua" w:hAnsi="Book Antiqua" w:cs="Times New Roman"/>
          <w:color w:val="000000"/>
          <w:sz w:val="24"/>
          <w:szCs w:val="24"/>
          <w:shd w:val="clear" w:color="auto" w:fill="FFFFFF"/>
          <w:lang w:val="en-US"/>
        </w:rPr>
        <w:t xml:space="preserve">. </w:t>
      </w:r>
      <w:r w:rsidR="007D1D8C" w:rsidRPr="005C7810">
        <w:rPr>
          <w:rFonts w:ascii="Book Antiqua" w:hAnsi="Book Antiqua" w:cs="Times New Roman"/>
          <w:color w:val="000000"/>
          <w:sz w:val="24"/>
          <w:szCs w:val="24"/>
          <w:shd w:val="clear" w:color="auto" w:fill="FFFFFF"/>
          <w:lang w:val="en-US"/>
        </w:rPr>
        <w:t xml:space="preserve">Patients with advanced GC benefited more with the combination of apatinib and docetaxel than with </w:t>
      </w:r>
      <w:r w:rsidR="000E2F81" w:rsidRPr="005C7810">
        <w:rPr>
          <w:rFonts w:ascii="Book Antiqua" w:hAnsi="Book Antiqua" w:cs="Times New Roman"/>
          <w:color w:val="000000"/>
          <w:sz w:val="24"/>
          <w:szCs w:val="24"/>
          <w:shd w:val="clear" w:color="auto" w:fill="FFFFFF"/>
          <w:lang w:val="en-US"/>
        </w:rPr>
        <w:t xml:space="preserve">apatinib </w:t>
      </w:r>
      <w:r w:rsidR="007D1D8C" w:rsidRPr="005C7810">
        <w:rPr>
          <w:rFonts w:ascii="Book Antiqua" w:hAnsi="Book Antiqua" w:cs="Times New Roman"/>
          <w:color w:val="000000"/>
          <w:sz w:val="24"/>
          <w:szCs w:val="24"/>
          <w:shd w:val="clear" w:color="auto" w:fill="FFFFFF"/>
          <w:lang w:val="en-US"/>
        </w:rPr>
        <w:t>monotherapy</w:t>
      </w:r>
      <w:r w:rsidR="00997C48" w:rsidRPr="005C7810">
        <w:rPr>
          <w:rFonts w:ascii="Book Antiqua" w:hAnsi="Book Antiqua" w:cs="Times New Roman"/>
          <w:color w:val="000000"/>
          <w:sz w:val="24"/>
          <w:szCs w:val="24"/>
          <w:shd w:val="clear" w:color="auto" w:fill="FFFFFF"/>
          <w:lang w:val="en-US"/>
        </w:rPr>
        <w:fldChar w:fldCharType="begin" w:fldLock="1"/>
      </w:r>
      <w:r w:rsidR="00B0152B" w:rsidRPr="005C7810">
        <w:rPr>
          <w:rFonts w:ascii="Book Antiqua" w:hAnsi="Book Antiqua" w:cs="Times New Roman"/>
          <w:color w:val="000000"/>
          <w:sz w:val="24"/>
          <w:szCs w:val="24"/>
          <w:shd w:val="clear" w:color="auto" w:fill="FFFFFF"/>
          <w:lang w:val="en-US"/>
        </w:rPr>
        <w:instrText>ADDIN CSL_CITATION {"citationItems":[{"id":"ITEM-1","itemData":{"author":[{"dropping-particle":"","family":"Lin H, Han D, Fu G, Liu C, Wang L, Han S, Liu B","given":"Yu J","non-dropping-particle":"","parse-names":false,"suffix":""}],"id":"ITEM-1","issued":{"date-parts":[["2019"]]},"page":"1681-1689","title":"Concurrent apatinib and docetaxel vs apatinib monotherapy as third- or subsequent-line therapy for advanced gastric adenocarcinoma : a retrospective study","type":"article-journal"},"uris":["http://www.mendeley.com/documents/?uuid=bd27f9fc-5c7b-4e81-aa81-75455cf16c53","http://www.mendeley.com/documents/?uuid=31a3499a-2fd7-495c-ae94-3a050f3bb25e"]}],"mendeley":{"formattedCitation":"&lt;sup&gt;[160]&lt;/sup&gt;","plainTextFormattedCitation":"[160]","previouslyFormattedCitation":"&lt;sup&gt;[160]&lt;/sup&gt;"},"properties":{"noteIndex":0},"schema":"https://github.com/citation-style-language/schema/raw/master/csl-citation.json"}</w:instrText>
      </w:r>
      <w:r w:rsidR="00997C48" w:rsidRPr="005C7810">
        <w:rPr>
          <w:rFonts w:ascii="Book Antiqua" w:hAnsi="Book Antiqua" w:cs="Times New Roman"/>
          <w:color w:val="000000"/>
          <w:sz w:val="24"/>
          <w:szCs w:val="24"/>
          <w:shd w:val="clear" w:color="auto" w:fill="FFFFFF"/>
          <w:lang w:val="en-US"/>
        </w:rPr>
        <w:fldChar w:fldCharType="separate"/>
      </w:r>
      <w:r w:rsidR="00B0152B" w:rsidRPr="005C7810">
        <w:rPr>
          <w:rFonts w:ascii="Book Antiqua" w:hAnsi="Book Antiqua" w:cs="Times New Roman"/>
          <w:color w:val="000000"/>
          <w:sz w:val="24"/>
          <w:szCs w:val="24"/>
          <w:shd w:val="clear" w:color="auto" w:fill="FFFFFF"/>
          <w:vertAlign w:val="superscript"/>
          <w:lang w:val="en-US"/>
        </w:rPr>
        <w:t>[160]</w:t>
      </w:r>
      <w:r w:rsidR="00997C48" w:rsidRPr="005C7810">
        <w:rPr>
          <w:rFonts w:ascii="Book Antiqua" w:hAnsi="Book Antiqua" w:cs="Times New Roman"/>
          <w:color w:val="000000"/>
          <w:sz w:val="24"/>
          <w:szCs w:val="24"/>
          <w:shd w:val="clear" w:color="auto" w:fill="FFFFFF"/>
          <w:lang w:val="en-US"/>
        </w:rPr>
        <w:fldChar w:fldCharType="end"/>
      </w:r>
      <w:r w:rsidR="00180274" w:rsidRPr="005C7810">
        <w:rPr>
          <w:rFonts w:ascii="Book Antiqua" w:hAnsi="Book Antiqua" w:cs="Times New Roman"/>
          <w:color w:val="000000"/>
          <w:sz w:val="24"/>
          <w:szCs w:val="24"/>
          <w:shd w:val="clear" w:color="auto" w:fill="FFFFFF"/>
          <w:lang w:val="en-US"/>
        </w:rPr>
        <w:t>.</w:t>
      </w:r>
    </w:p>
    <w:p w:rsidR="000F5BB0" w:rsidRPr="005C7810" w:rsidRDefault="000F5BB0" w:rsidP="00CD380F">
      <w:pPr>
        <w:snapToGrid w:val="0"/>
        <w:spacing w:after="0" w:line="360" w:lineRule="auto"/>
        <w:jc w:val="both"/>
        <w:rPr>
          <w:rFonts w:ascii="Book Antiqua" w:hAnsi="Book Antiqua" w:cs="Times New Roman"/>
          <w:b/>
          <w:color w:val="000000"/>
          <w:sz w:val="24"/>
          <w:szCs w:val="24"/>
          <w:lang w:val="en-US"/>
        </w:rPr>
      </w:pPr>
    </w:p>
    <w:p w:rsidR="000F5BB0" w:rsidRPr="005C7810" w:rsidRDefault="000F5BB0" w:rsidP="00CD380F">
      <w:pPr>
        <w:snapToGrid w:val="0"/>
        <w:spacing w:after="0" w:line="360" w:lineRule="auto"/>
        <w:jc w:val="both"/>
        <w:rPr>
          <w:rFonts w:ascii="Book Antiqua" w:hAnsi="Book Antiqua" w:cs="Times New Roman"/>
          <w:b/>
          <w:i/>
          <w:color w:val="000000"/>
          <w:sz w:val="24"/>
          <w:szCs w:val="24"/>
          <w:lang w:val="en-US"/>
        </w:rPr>
      </w:pPr>
      <w:r w:rsidRPr="005C7810">
        <w:rPr>
          <w:rFonts w:ascii="Book Antiqua" w:hAnsi="Book Antiqua" w:cs="Times New Roman"/>
          <w:b/>
          <w:i/>
          <w:color w:val="000000"/>
          <w:sz w:val="24"/>
          <w:szCs w:val="24"/>
          <w:lang w:val="en-US"/>
        </w:rPr>
        <w:t xml:space="preserve">TP53 </w:t>
      </w:r>
      <w:r w:rsidR="00C06A28" w:rsidRPr="005C7810">
        <w:rPr>
          <w:rFonts w:ascii="Book Antiqua" w:hAnsi="Book Antiqua" w:cs="Times New Roman"/>
          <w:b/>
          <w:i/>
          <w:color w:val="000000"/>
          <w:sz w:val="24"/>
          <w:szCs w:val="24"/>
          <w:lang w:val="en-US"/>
        </w:rPr>
        <w:t xml:space="preserve">signaling pathway </w:t>
      </w:r>
    </w:p>
    <w:p w:rsidR="00AF3F56" w:rsidRPr="005C7810" w:rsidRDefault="0043025D" w:rsidP="00CD380F">
      <w:pPr>
        <w:snapToGrid w:val="0"/>
        <w:spacing w:after="0" w:line="360" w:lineRule="auto"/>
        <w:jc w:val="both"/>
        <w:rPr>
          <w:rFonts w:ascii="Book Antiqua" w:hAnsi="Book Antiqua" w:cs="Times New Roman"/>
          <w:sz w:val="24"/>
          <w:szCs w:val="24"/>
          <w:lang w:val="en-US"/>
        </w:rPr>
      </w:pPr>
      <w:r w:rsidRPr="005C7810">
        <w:rPr>
          <w:rFonts w:ascii="Book Antiqua" w:hAnsi="Book Antiqua" w:cs="Times New Roman"/>
          <w:color w:val="000000"/>
          <w:sz w:val="24"/>
          <w:szCs w:val="24"/>
          <w:lang w:val="en-US"/>
        </w:rPr>
        <w:t xml:space="preserve">A pharmacogenomic study </w:t>
      </w:r>
      <w:r w:rsidR="000E2F81" w:rsidRPr="005C7810">
        <w:rPr>
          <w:rFonts w:ascii="Book Antiqua" w:hAnsi="Book Antiqua" w:cs="Times New Roman"/>
          <w:color w:val="000000"/>
          <w:sz w:val="24"/>
          <w:szCs w:val="24"/>
          <w:lang w:val="en-US"/>
        </w:rPr>
        <w:t>(</w:t>
      </w:r>
      <w:r w:rsidR="000E2F81" w:rsidRPr="005C7810">
        <w:rPr>
          <w:rFonts w:ascii="Book Antiqua" w:hAnsi="Book Antiqua" w:cs="Times New Roman"/>
          <w:color w:val="000000"/>
          <w:sz w:val="24"/>
          <w:szCs w:val="24"/>
          <w:shd w:val="clear" w:color="auto" w:fill="FFFFFF"/>
          <w:lang w:val="en-US"/>
        </w:rPr>
        <w:t xml:space="preserve">NCT01470404) </w:t>
      </w:r>
      <w:r w:rsidRPr="005C7810">
        <w:rPr>
          <w:rFonts w:ascii="Book Antiqua" w:hAnsi="Book Antiqua" w:cs="Times New Roman"/>
          <w:color w:val="000000"/>
          <w:sz w:val="24"/>
          <w:szCs w:val="24"/>
          <w:lang w:val="en-US"/>
        </w:rPr>
        <w:t xml:space="preserve">was performed to evaluate the </w:t>
      </w:r>
      <w:r w:rsidR="006B4D37" w:rsidRPr="005C7810">
        <w:rPr>
          <w:rFonts w:ascii="Book Antiqua" w:hAnsi="Book Antiqua" w:cs="Times New Roman"/>
          <w:color w:val="000000"/>
          <w:sz w:val="24"/>
          <w:szCs w:val="24"/>
          <w:lang w:val="en-US"/>
        </w:rPr>
        <w:t xml:space="preserve">effects </w:t>
      </w:r>
      <w:r w:rsidRPr="005C7810">
        <w:rPr>
          <w:rFonts w:ascii="Book Antiqua" w:hAnsi="Book Antiqua" w:cs="Times New Roman"/>
          <w:color w:val="000000"/>
          <w:sz w:val="24"/>
          <w:szCs w:val="24"/>
          <w:lang w:val="en-US"/>
        </w:rPr>
        <w:t xml:space="preserve">of germline polymorphisms in xenobiotic metabolism genes </w:t>
      </w:r>
      <w:r w:rsidR="006B4D37" w:rsidRPr="005C7810">
        <w:rPr>
          <w:rFonts w:ascii="Book Antiqua" w:hAnsi="Book Antiqua" w:cs="Times New Roman"/>
          <w:color w:val="000000"/>
          <w:sz w:val="24"/>
          <w:szCs w:val="24"/>
          <w:lang w:val="en-US"/>
        </w:rPr>
        <w:t>on</w:t>
      </w:r>
      <w:r w:rsidRPr="005C7810">
        <w:rPr>
          <w:rFonts w:ascii="Book Antiqua" w:hAnsi="Book Antiqua" w:cs="Times New Roman"/>
          <w:color w:val="000000"/>
          <w:sz w:val="24"/>
          <w:szCs w:val="24"/>
          <w:lang w:val="en-US"/>
        </w:rPr>
        <w:t xml:space="preserve"> the toxicity profile, and the role of germline polymorphisms of genes involved in DNA repair and </w:t>
      </w:r>
      <w:r w:rsidR="000E2F81" w:rsidRPr="005C7810">
        <w:rPr>
          <w:rFonts w:ascii="Book Antiqua" w:hAnsi="Book Antiqua" w:cs="Times New Roman"/>
          <w:color w:val="000000"/>
          <w:sz w:val="24"/>
          <w:szCs w:val="24"/>
          <w:lang w:val="en-US"/>
        </w:rPr>
        <w:t xml:space="preserve">the </w:t>
      </w:r>
      <w:r w:rsidR="000E2F81" w:rsidRPr="005C7810">
        <w:rPr>
          <w:rFonts w:ascii="Book Antiqua" w:hAnsi="Book Antiqua" w:cs="Times New Roman"/>
          <w:i/>
          <w:color w:val="000000"/>
          <w:sz w:val="24"/>
          <w:szCs w:val="24"/>
          <w:lang w:val="en-US"/>
        </w:rPr>
        <w:t xml:space="preserve">TP53 </w:t>
      </w:r>
      <w:r w:rsidRPr="005C7810">
        <w:rPr>
          <w:rFonts w:ascii="Book Antiqua" w:hAnsi="Book Antiqua" w:cs="Times New Roman"/>
          <w:color w:val="000000"/>
          <w:sz w:val="24"/>
          <w:szCs w:val="24"/>
          <w:lang w:val="en-US"/>
        </w:rPr>
        <w:t xml:space="preserve">tumor suppressor to predict </w:t>
      </w:r>
      <w:r w:rsidR="000E2F81" w:rsidRPr="005C7810">
        <w:rPr>
          <w:rFonts w:ascii="Book Antiqua" w:hAnsi="Book Antiqua" w:cs="Times New Roman"/>
          <w:color w:val="000000"/>
          <w:sz w:val="24"/>
          <w:szCs w:val="24"/>
          <w:lang w:val="en-US"/>
        </w:rPr>
        <w:t>disease</w:t>
      </w:r>
      <w:r w:rsidRPr="005C7810">
        <w:rPr>
          <w:rFonts w:ascii="Book Antiqua" w:hAnsi="Book Antiqua" w:cs="Times New Roman"/>
          <w:color w:val="000000"/>
          <w:sz w:val="24"/>
          <w:szCs w:val="24"/>
          <w:lang w:val="en-US"/>
        </w:rPr>
        <w:t xml:space="preserve"> recurrence and survival in </w:t>
      </w:r>
      <w:r w:rsidR="000E2F81" w:rsidRPr="005C7810">
        <w:rPr>
          <w:rFonts w:ascii="Book Antiqua" w:hAnsi="Book Antiqua" w:cs="Times New Roman"/>
          <w:color w:val="000000"/>
          <w:sz w:val="24"/>
          <w:szCs w:val="24"/>
          <w:lang w:val="en-US"/>
        </w:rPr>
        <w:t xml:space="preserve">GC </w:t>
      </w:r>
      <w:r w:rsidRPr="005C7810">
        <w:rPr>
          <w:rFonts w:ascii="Book Antiqua" w:hAnsi="Book Antiqua" w:cs="Times New Roman"/>
          <w:color w:val="000000"/>
          <w:sz w:val="24"/>
          <w:szCs w:val="24"/>
          <w:lang w:val="en-US"/>
        </w:rPr>
        <w:t>patients treated with adjuvant chemotherapy</w:t>
      </w:r>
      <w:r w:rsidR="00997C48" w:rsidRPr="005C7810">
        <w:rPr>
          <w:rFonts w:ascii="Book Antiqua" w:hAnsi="Book Antiqua" w:cs="Times New Roman"/>
          <w:color w:val="000000"/>
          <w:sz w:val="24"/>
          <w:szCs w:val="24"/>
          <w:shd w:val="clear" w:color="auto" w:fill="FFFFFF"/>
          <w:lang w:val="en-US"/>
        </w:rPr>
        <w:fldChar w:fldCharType="begin" w:fldLock="1"/>
      </w:r>
      <w:r w:rsidR="00B0152B" w:rsidRPr="005C7810">
        <w:rPr>
          <w:rFonts w:ascii="Book Antiqua" w:hAnsi="Book Antiqua" w:cs="Times New Roman"/>
          <w:color w:val="000000"/>
          <w:sz w:val="24"/>
          <w:szCs w:val="24"/>
          <w:shd w:val="clear" w:color="auto" w:fill="FFFFFF"/>
          <w:lang w:val="en-US"/>
        </w:rPr>
        <w:instrText>ADDIN CSL_CITATION {"citationItems":[{"id":"ITEM-1","itemData":{"author":[{"dropping-particle":"","family":"WK.","given":"Kang","non-dropping-particle":"","parse-names":false,"suffix":""}],"container-title":"ClinicalTrials.gov [Internet]. Bethesda (MD): U.S. National Library of Medicine.","id":"ITEM-1","issued":{"date-parts":[["0"]]},"title":"Pharmacogenomic Study (Adjuvant Chemotherapy).","type":"article-journal"},"uris":["http://www.mendeley.com/documents/?uuid=382306de-63b2-4cbb-8a5b-380ece2c3f22","http://www.mendeley.com/documents/?uuid=c589f6b2-b79d-4c1a-b3c1-4aeb09ecdb62"]}],"mendeley":{"formattedCitation":"&lt;sup&gt;[161]&lt;/sup&gt;","plainTextFormattedCitation":"[161]","previouslyFormattedCitation":"&lt;sup&gt;[161]&lt;/sup&gt;"},"properties":{"noteIndex":0},"schema":"https://github.com/citation-style-language/schema/raw/master/csl-citation.json"}</w:instrText>
      </w:r>
      <w:r w:rsidR="00997C48" w:rsidRPr="005C7810">
        <w:rPr>
          <w:rFonts w:ascii="Book Antiqua" w:hAnsi="Book Antiqua" w:cs="Times New Roman"/>
          <w:color w:val="000000"/>
          <w:sz w:val="24"/>
          <w:szCs w:val="24"/>
          <w:shd w:val="clear" w:color="auto" w:fill="FFFFFF"/>
          <w:lang w:val="en-US"/>
        </w:rPr>
        <w:fldChar w:fldCharType="separate"/>
      </w:r>
      <w:r w:rsidR="00B0152B" w:rsidRPr="005C7810">
        <w:rPr>
          <w:rFonts w:ascii="Book Antiqua" w:hAnsi="Book Antiqua" w:cs="Times New Roman"/>
          <w:color w:val="000000"/>
          <w:sz w:val="24"/>
          <w:szCs w:val="24"/>
          <w:shd w:val="clear" w:color="auto" w:fill="FFFFFF"/>
          <w:vertAlign w:val="superscript"/>
          <w:lang w:val="en-US"/>
        </w:rPr>
        <w:t>[161]</w:t>
      </w:r>
      <w:r w:rsidR="00997C48" w:rsidRPr="005C7810">
        <w:rPr>
          <w:rFonts w:ascii="Book Antiqua" w:hAnsi="Book Antiqua" w:cs="Times New Roman"/>
          <w:color w:val="000000"/>
          <w:sz w:val="24"/>
          <w:szCs w:val="24"/>
          <w:shd w:val="clear" w:color="auto" w:fill="FFFFFF"/>
          <w:lang w:val="en-US"/>
        </w:rPr>
        <w:fldChar w:fldCharType="end"/>
      </w:r>
      <w:r w:rsidRPr="005C7810">
        <w:rPr>
          <w:rFonts w:ascii="Book Antiqua" w:hAnsi="Book Antiqua" w:cs="Times New Roman"/>
          <w:color w:val="000000"/>
          <w:sz w:val="24"/>
          <w:szCs w:val="24"/>
          <w:lang w:val="en-US"/>
        </w:rPr>
        <w:t>.</w:t>
      </w:r>
      <w:r w:rsidR="00B320D9" w:rsidRPr="005C7810">
        <w:rPr>
          <w:rFonts w:ascii="Book Antiqua" w:hAnsi="Book Antiqua" w:cs="Times New Roman"/>
          <w:color w:val="000000"/>
          <w:sz w:val="24"/>
          <w:szCs w:val="24"/>
          <w:lang w:val="en-US"/>
        </w:rPr>
        <w:t xml:space="preserve"> </w:t>
      </w:r>
      <w:r w:rsidR="00EF4467" w:rsidRPr="005C7810">
        <w:rPr>
          <w:rFonts w:ascii="Book Antiqua" w:hAnsi="Book Antiqua" w:cs="Times New Roman"/>
          <w:i/>
          <w:color w:val="000000"/>
          <w:sz w:val="24"/>
          <w:szCs w:val="24"/>
          <w:lang w:val="en-US"/>
        </w:rPr>
        <w:t>TP</w:t>
      </w:r>
      <w:r w:rsidR="00AF3F56" w:rsidRPr="005C7810">
        <w:rPr>
          <w:rFonts w:ascii="Book Antiqua" w:hAnsi="Book Antiqua" w:cs="Times New Roman"/>
          <w:i/>
          <w:color w:val="000000"/>
          <w:sz w:val="24"/>
          <w:szCs w:val="24"/>
          <w:lang w:val="en-US"/>
        </w:rPr>
        <w:t>53</w:t>
      </w:r>
      <w:r w:rsidR="00AF3F56" w:rsidRPr="005C7810">
        <w:rPr>
          <w:rFonts w:ascii="Book Antiqua" w:hAnsi="Book Antiqua" w:cs="Times New Roman"/>
          <w:color w:val="000000"/>
          <w:sz w:val="24"/>
          <w:szCs w:val="24"/>
          <w:lang w:val="en-US"/>
        </w:rPr>
        <w:t xml:space="preserve"> mutat</w:t>
      </w:r>
      <w:r w:rsidR="006B4D37" w:rsidRPr="005C7810">
        <w:rPr>
          <w:rFonts w:ascii="Book Antiqua" w:hAnsi="Book Antiqua" w:cs="Times New Roman"/>
          <w:color w:val="000000"/>
          <w:sz w:val="24"/>
          <w:szCs w:val="24"/>
          <w:lang w:val="en-US"/>
        </w:rPr>
        <w:t>ions</w:t>
      </w:r>
      <w:r w:rsidR="00AF3F56" w:rsidRPr="005C7810">
        <w:rPr>
          <w:rFonts w:ascii="Book Antiqua" w:hAnsi="Book Antiqua" w:cs="Times New Roman"/>
          <w:color w:val="000000"/>
          <w:sz w:val="24"/>
          <w:szCs w:val="24"/>
          <w:lang w:val="en-US"/>
        </w:rPr>
        <w:t xml:space="preserve"> repr</w:t>
      </w:r>
      <w:r w:rsidR="00CC24E8" w:rsidRPr="005C7810">
        <w:rPr>
          <w:rFonts w:ascii="Book Antiqua" w:hAnsi="Book Antiqua" w:cs="Times New Roman"/>
          <w:color w:val="000000"/>
          <w:sz w:val="24"/>
          <w:szCs w:val="24"/>
          <w:lang w:val="en-US"/>
        </w:rPr>
        <w:t>esent</w:t>
      </w:r>
      <w:r w:rsidR="006B4D37" w:rsidRPr="005C7810">
        <w:rPr>
          <w:rFonts w:ascii="Book Antiqua" w:hAnsi="Book Antiqua" w:cs="Times New Roman"/>
          <w:color w:val="000000"/>
          <w:sz w:val="24"/>
          <w:szCs w:val="24"/>
          <w:lang w:val="en-US"/>
        </w:rPr>
        <w:t xml:space="preserve"> </w:t>
      </w:r>
      <w:r w:rsidR="00CC24E8" w:rsidRPr="005C7810">
        <w:rPr>
          <w:rFonts w:ascii="Book Antiqua" w:hAnsi="Book Antiqua" w:cs="Times New Roman"/>
          <w:color w:val="000000"/>
          <w:sz w:val="24"/>
          <w:szCs w:val="24"/>
          <w:lang w:val="en-US"/>
        </w:rPr>
        <w:t>a very attractive target</w:t>
      </w:r>
      <w:r w:rsidR="00AF3F56" w:rsidRPr="005C7810">
        <w:rPr>
          <w:rFonts w:ascii="Book Antiqua" w:hAnsi="Book Antiqua" w:cs="Times New Roman"/>
          <w:color w:val="000000"/>
          <w:sz w:val="24"/>
          <w:szCs w:val="24"/>
          <w:lang w:val="en-US"/>
        </w:rPr>
        <w:t xml:space="preserve"> for cancer therapy. </w:t>
      </w:r>
      <w:r w:rsidR="00CF0E95" w:rsidRPr="005C7810">
        <w:rPr>
          <w:rFonts w:ascii="Book Antiqua" w:hAnsi="Book Antiqua" w:cs="Times New Roman"/>
          <w:color w:val="000000"/>
          <w:sz w:val="24"/>
          <w:szCs w:val="24"/>
          <w:lang w:val="en-US"/>
        </w:rPr>
        <w:t>One of the objectives being pursued is to identify molecules that can restore the func</w:t>
      </w:r>
      <w:r w:rsidR="00EF4467" w:rsidRPr="005C7810">
        <w:rPr>
          <w:rFonts w:ascii="Book Antiqua" w:hAnsi="Book Antiqua" w:cs="Times New Roman"/>
          <w:color w:val="000000"/>
          <w:sz w:val="24"/>
          <w:szCs w:val="24"/>
          <w:lang w:val="en-US"/>
        </w:rPr>
        <w:t>tion of wild-type TP</w:t>
      </w:r>
      <w:r w:rsidR="00CF0E95" w:rsidRPr="005C7810">
        <w:rPr>
          <w:rFonts w:ascii="Book Antiqua" w:hAnsi="Book Antiqua" w:cs="Times New Roman"/>
          <w:color w:val="000000"/>
          <w:sz w:val="24"/>
          <w:szCs w:val="24"/>
          <w:lang w:val="en-US"/>
        </w:rPr>
        <w:t>53. Among these, APR-246 was identified</w:t>
      </w:r>
      <w:r w:rsidR="00997C48" w:rsidRPr="005C7810">
        <w:rPr>
          <w:rFonts w:ascii="Book Antiqua" w:hAnsi="Book Antiqua" w:cs="Times New Roman"/>
          <w:color w:val="000000"/>
          <w:sz w:val="24"/>
          <w:szCs w:val="24"/>
          <w:lang w:val="en-US"/>
        </w:rPr>
        <w:fldChar w:fldCharType="begin" w:fldLock="1"/>
      </w:r>
      <w:r w:rsidR="00B0152B" w:rsidRPr="005C7810">
        <w:rPr>
          <w:rFonts w:ascii="Book Antiqua" w:hAnsi="Book Antiqua" w:cs="Times New Roman"/>
          <w:color w:val="000000"/>
          <w:sz w:val="24"/>
          <w:szCs w:val="24"/>
          <w:lang w:val="en-US"/>
        </w:rPr>
        <w:instrText>ADDIN CSL_CITATION {"citationItems":[{"id":"ITEM-1","itemData":{"author":[{"dropping-particle":"","family":"Bykov","given":"Vladimir J N","non-dropping-particle":"","parse-names":false,"suffix":""},{"dropping-particle":"","family":"Wiman","given":"Klas G","non-dropping-particle":"","parse-names":false,"suffix":""}],"id":"ITEM-1","issued":{"date-parts":[["2014"]]},"page":"2622-2627","title":"Mutant p53 reactivation by small molecules makes its way to the clinic","type":"article-journal","volume":"588"},"uris":["http://www.mendeley.com/documents/?uuid=f3cfa775-7873-4c35-9a01-3d398d1932e2","http://www.mendeley.com/documents/?uuid=df1b29b5-599f-4731-918a-f7a1fe97b973"]}],"mendeley":{"formattedCitation":"&lt;sup&gt;[162]&lt;/sup&gt;","plainTextFormattedCitation":"[162]","previouslyFormattedCitation":"&lt;sup&gt;[162]&lt;/sup&gt;"},"properties":{"noteIndex":0},"schema":"https://github.com/citation-style-language/schema/raw/master/csl-citation.json"}</w:instrText>
      </w:r>
      <w:r w:rsidR="00997C48" w:rsidRPr="005C7810">
        <w:rPr>
          <w:rFonts w:ascii="Book Antiqua" w:hAnsi="Book Antiqua" w:cs="Times New Roman"/>
          <w:color w:val="000000"/>
          <w:sz w:val="24"/>
          <w:szCs w:val="24"/>
          <w:lang w:val="en-US"/>
        </w:rPr>
        <w:fldChar w:fldCharType="separate"/>
      </w:r>
      <w:r w:rsidR="00B0152B" w:rsidRPr="005C7810">
        <w:rPr>
          <w:rFonts w:ascii="Book Antiqua" w:hAnsi="Book Antiqua" w:cs="Times New Roman"/>
          <w:color w:val="000000"/>
          <w:sz w:val="24"/>
          <w:szCs w:val="24"/>
          <w:vertAlign w:val="superscript"/>
          <w:lang w:val="en-US"/>
        </w:rPr>
        <w:t>[162]</w:t>
      </w:r>
      <w:r w:rsidR="00997C48" w:rsidRPr="005C7810">
        <w:rPr>
          <w:rFonts w:ascii="Book Antiqua" w:hAnsi="Book Antiqua" w:cs="Times New Roman"/>
          <w:color w:val="000000"/>
          <w:sz w:val="24"/>
          <w:szCs w:val="24"/>
          <w:lang w:val="en-US"/>
        </w:rPr>
        <w:fldChar w:fldCharType="end"/>
      </w:r>
      <w:r w:rsidR="00B40531" w:rsidRPr="005C7810">
        <w:rPr>
          <w:rFonts w:ascii="Book Antiqua" w:hAnsi="Book Antiqua" w:cs="Times New Roman"/>
          <w:color w:val="000000"/>
          <w:sz w:val="24"/>
          <w:szCs w:val="24"/>
          <w:lang w:val="en-US"/>
        </w:rPr>
        <w:t>,</w:t>
      </w:r>
      <w:r w:rsidR="006B4D37" w:rsidRPr="005C7810">
        <w:rPr>
          <w:rFonts w:ascii="Book Antiqua" w:hAnsi="Book Antiqua" w:cs="Times New Roman"/>
          <w:color w:val="000000"/>
          <w:sz w:val="24"/>
          <w:szCs w:val="24"/>
          <w:lang w:val="en-US"/>
        </w:rPr>
        <w:t xml:space="preserve"> and has</w:t>
      </w:r>
      <w:r w:rsidR="00AF3F56" w:rsidRPr="005C7810">
        <w:rPr>
          <w:rFonts w:ascii="Book Antiqua" w:hAnsi="Book Antiqua" w:cs="Times New Roman"/>
          <w:color w:val="000000"/>
          <w:sz w:val="24"/>
          <w:szCs w:val="24"/>
          <w:lang w:val="en-US"/>
        </w:rPr>
        <w:t xml:space="preserve"> </w:t>
      </w:r>
      <w:r w:rsidR="00CF0E95" w:rsidRPr="005C7810">
        <w:rPr>
          <w:rFonts w:ascii="Book Antiqua" w:hAnsi="Book Antiqua" w:cs="Times New Roman"/>
          <w:color w:val="000000"/>
          <w:sz w:val="24"/>
          <w:szCs w:val="24"/>
          <w:lang w:val="en-US"/>
        </w:rPr>
        <w:t>already</w:t>
      </w:r>
      <w:r w:rsidR="006B4D37" w:rsidRPr="005C7810">
        <w:rPr>
          <w:rFonts w:ascii="Book Antiqua" w:hAnsi="Book Antiqua" w:cs="Times New Roman"/>
          <w:color w:val="000000"/>
          <w:sz w:val="24"/>
          <w:szCs w:val="24"/>
          <w:lang w:val="en-US"/>
        </w:rPr>
        <w:t xml:space="preserve"> been</w:t>
      </w:r>
      <w:r w:rsidR="00CF0E95" w:rsidRPr="005C7810">
        <w:rPr>
          <w:rFonts w:ascii="Book Antiqua" w:hAnsi="Book Antiqua" w:cs="Times New Roman"/>
          <w:color w:val="000000"/>
          <w:sz w:val="24"/>
          <w:szCs w:val="24"/>
          <w:lang w:val="en-US"/>
        </w:rPr>
        <w:t xml:space="preserve"> tested in mouse models of cancer</w:t>
      </w:r>
      <w:r w:rsidR="00997C48" w:rsidRPr="005C7810">
        <w:rPr>
          <w:rFonts w:ascii="Book Antiqua" w:hAnsi="Book Antiqua" w:cs="Times New Roman"/>
          <w:color w:val="000000"/>
          <w:sz w:val="24"/>
          <w:szCs w:val="24"/>
          <w:lang w:val="en-US"/>
        </w:rPr>
        <w:fldChar w:fldCharType="begin" w:fldLock="1"/>
      </w:r>
      <w:r w:rsidR="00B0152B" w:rsidRPr="005C7810">
        <w:rPr>
          <w:rFonts w:ascii="Book Antiqua" w:hAnsi="Book Antiqua" w:cs="Times New Roman"/>
          <w:color w:val="000000"/>
          <w:sz w:val="24"/>
          <w:szCs w:val="24"/>
          <w:lang w:val="en-US"/>
        </w:rPr>
        <w:instrText>ADDIN CSL_CITATION {"citationItems":[{"id":"ITEM-1","itemData":{"DOI":"10.1158/1078-0432.CCR-10-3168","ISSN":"10780432","PMID":"21415220","abstract":"PURPOSE: Small cell lung cancer (SCLC) is a highly malignant disease with poor prognosis, necessitating the need to develop new and efficient treatment modalities. PRIMA-1(Met) (p53-dependent reactivation of massive apoptosis), also known as APR-246, is a small molecule, which restores tumor suppressor function to mutant p53 and induces cancer cell death in various cancer types. Since p53 is mutated in more than 90% of SCLC, we investigated the ability of PRIMA-1(Met) to induce apoptosis and inhibit tumor growth in SCLC with different p53 mutations. EXPERIMENTAL DESIGN: The therapeutic effect of PRIMA-1(Met)/APR-246 was studied in SCLC cells in vitro using cell viability assay, fluorescence-activated cell-sorting analysis, p53 knockdown studies, and Western blot analyses. The antitumor potential of PRIMA-1(Met)/APR-246 was further evaluated in two different SCLC xenograft models. RESULTS: PRIMA-1(Met)/APR-246 efficiently inhibited the growth of the SCLC cell lines expressing mutant p53 in vitro and induced apoptosis, associated with increased fraction of cells with fragmented DNA, caspase-3 activation, PARP cleavage, Bax and Noxa upregulation and Bcl-2 downregulation in the cells. The growth suppressive effect of PRIMA-1(Met)/APR-246 was markedly reduced in SCLC cell lines transfected with p53 siRNA, supporting the role of mutant p53 in PRIMA-1(Met)/APR-246-induced cell death. Moreover, in vivo studies showed significant antitumor effects of PRIMA-1(Met) after i.v. injection in SCLC mouse models with no apparent toxicity. CONCLUSION: This study is the first to show the potential use of p53-reactivating molecules such as PRIMA-1(Met)/APR-246 for the treatment of SCLC.","author":[{"dropping-particle":"","family":"Zandi","given":"Roza","non-dropping-particle":"","parse-names":false,"suffix":""},{"dropping-particle":"","family":"Selivanova","given":"Galina","non-dropping-particle":"","parse-names":false,"suffix":""},{"dropping-particle":"","family":"Christensen","given":"Camilla Laulund","non-dropping-particle":"","parse-names":false,"suffix":""},{"dropping-particle":"","family":"Gerds","given":"Thomas Alexander","non-dropping-particle":"","parse-names":false,"suffix":""},{"dropping-particle":"","family":"Willumsen","given":"Berthe Marie","non-dropping-particle":"","parse-names":false,"suffix":""},{"dropping-particle":"","family":"Poulsen","given":"Hans Skovgaard","non-dropping-particle":"","parse-names":false,"suffix":""}],"container-title":"Clinical Cancer Research","id":"ITEM-1","issue":"9","issued":{"date-parts":[["2011"]]},"page":"2830-2841","title":"PRIMA-1Met/APR-246 induces apoptosis and tumor growth delay in small cell lung cancer expressing mutant p53","type":"article-journal","volume":"17"},"uris":["http://www.mendeley.com/documents/?uuid=880ab0f4-0112-44a2-9d4c-8c40f22abc37","http://www.mendeley.com/documents/?uuid=bcb52aa8-5dbb-4a47-877b-f94408de1e5c"]},{"id":"ITEM-2","itemData":{"DOI":"10.1158/1535-7163.mct-12-1166","ISBN":"1538-8514 (Electronic)\\r1535-7163 (Linking)","ISSN":"1535-7163","PMID":"24030633","abstract":"Targeting p53 by the small-molecule PRIMA-1(Met)/APR-246 has shown promising preclinical activity in various cancer types. However, the mechanism of PRIMA-1(Met)-induced apoptosis is not completely understood and its effect on multiple myeloma cells is unknown. In this study, we evaluated antitumor effect of PRIMA-1(Met) alone or its combination with current antimyeloma agents in multiple myeloma cell lines, patient samples, and a mouse xenograft model. Results of our study showed that PRIMA-1(Met) decreased the viability of multiple myeloma cells irrespective of p53 status, with limited cytotoxicity toward normal hematopoietic cells. Treatment of multiple myeloma cells with PRIMA-1(Met) resulted in induction of apoptosis, inhibition of colony formation, and migration. PRIMA-1(Met) restored wild-type conformation of mutant p53 and induced activation of p73 upregulating Noxa and downregulating Mcl-1 without significant modulation of p53 level. siRNA-mediated silencing of p53 showed a little effect on apoptotic response of PRIMA-1(Met), whereas knockdown of p73 led to substantial attenuation of apoptotic activity in multiple myeloma cells, indicating that PRIMA-1(Met)-induced apoptosis is, at least in part, p73-dependent. Importantly, PRIMA-1(Met) delayed tumor growth and prolonged survival of mice bearing multiple myeloma tumor. Furthermore, combined treatment of PRIMA-1(Met) with dexamethasone or doxorubicin displayed synergistic effects in both multiple myeloma cell lines and primary multiple myeloma samples. Consistent with our in vitro observations, cotreatment with PRIMA-1(Met) and dexamethasone resulted in enhanced antitumor activity in vivo. Our study for the first time shows antimyeloma activity of PRIMA-1(Met) and provides the rationale for its clinical evaluation in patients with multiple myeloma, including the high-risk group with p53 mutation/deletion.","author":[{"dropping-particle":"","family":"Chang","given":"H.","non-dropping-particle":"","parse-names":false,"suffix":""},{"dropping-particle":"","family":"Jiang","given":"H.","non-dropping-particle":"","parse-names":false,"suffix":""},{"dropping-particle":"","family":"Reece","given":"D.","non-dropping-particle":"","parse-names":false,"suffix":""},{"dropping-particle":"","family":"Saha","given":"M. N.","non-dropping-particle":"","parse-names":false,"suffix":""},{"dropping-particle":"","family":"Yang","given":"Y.","non-dropping-particle":"","parse-names":false,"suffix":""}],"container-title":"Molecular Cancer Therapeutics","id":"ITEM-2","issue":"11","issued":{"date-parts":[["2013"]]},"page":"2331-2341","title":"PRIMA-1Met/APR-246 Displays High Antitumor Activity in Multiple Myeloma By Induction of p73 and Noxa","type":"article-journal","volume":"12"},"uris":["http://www.mendeley.com/documents/?uuid=1ea37a32-7d7a-4336-be9f-48d8f23e10d3","http://www.mendeley.com/documents/?uuid=01458759-aea3-4898-84c2-4d388b3f4a60"]},{"id":"ITEM-3","itemData":{"author":[{"dropping-particle":"","family":"Liang Y, Besch-Williford C","given":"Hyder SM","non-dropping-particle":"","parse-names":false,"suffix":""}],"container-title":"International Journal of Oncology","id":"ITEM-3","issued":{"date-parts":[["2009"]]},"page":"1015-1023","title":"PRIMA-1 inhibits growth of breast cancer cells by re-activating mutant p53 protein","type":"article-journal","volume":"35"},"uris":["http://www.mendeley.com/documents/?uuid=18e27a47-1b3b-4ea8-b976-ae7dfcb0cd15","http://www.mendeley.com/documents/?uuid=4e90492c-6ee1-4c71-bb02-800a47cf2897"]}],"mendeley":{"formattedCitation":"&lt;sup&gt;[163–165]&lt;/sup&gt;","plainTextFormattedCitation":"[163–165]","previouslyFormattedCitation":"&lt;sup&gt;[163–165]&lt;/sup&gt;"},"properties":{"noteIndex":0},"schema":"https://github.com/citation-style-language/schema/raw/master/csl-citation.json"}</w:instrText>
      </w:r>
      <w:r w:rsidR="00997C48" w:rsidRPr="005C7810">
        <w:rPr>
          <w:rFonts w:ascii="Book Antiqua" w:hAnsi="Book Antiqua" w:cs="Times New Roman"/>
          <w:color w:val="000000"/>
          <w:sz w:val="24"/>
          <w:szCs w:val="24"/>
          <w:lang w:val="en-US"/>
        </w:rPr>
        <w:fldChar w:fldCharType="separate"/>
      </w:r>
      <w:r w:rsidR="00B0152B" w:rsidRPr="005C7810">
        <w:rPr>
          <w:rFonts w:ascii="Book Antiqua" w:hAnsi="Book Antiqua" w:cs="Times New Roman"/>
          <w:color w:val="000000"/>
          <w:sz w:val="24"/>
          <w:szCs w:val="24"/>
          <w:vertAlign w:val="superscript"/>
          <w:lang w:val="en-US"/>
        </w:rPr>
        <w:t>[163–165]</w:t>
      </w:r>
      <w:r w:rsidR="00997C48" w:rsidRPr="005C7810">
        <w:rPr>
          <w:rFonts w:ascii="Book Antiqua" w:hAnsi="Book Antiqua" w:cs="Times New Roman"/>
          <w:color w:val="000000"/>
          <w:sz w:val="24"/>
          <w:szCs w:val="24"/>
          <w:lang w:val="en-US"/>
        </w:rPr>
        <w:fldChar w:fldCharType="end"/>
      </w:r>
      <w:r w:rsidR="00B40531" w:rsidRPr="005C7810">
        <w:rPr>
          <w:rFonts w:ascii="Book Antiqua" w:eastAsia="Times New Roman" w:hAnsi="Book Antiqua" w:cs="Times New Roman"/>
          <w:color w:val="131413"/>
          <w:sz w:val="24"/>
          <w:szCs w:val="24"/>
          <w:lang w:val="en-US" w:eastAsia="it-IT"/>
        </w:rPr>
        <w:t xml:space="preserve"> </w:t>
      </w:r>
      <w:r w:rsidR="00CC24E8" w:rsidRPr="005C7810">
        <w:rPr>
          <w:rFonts w:ascii="Book Antiqua" w:hAnsi="Book Antiqua" w:cs="Times New Roman"/>
          <w:color w:val="000000"/>
          <w:sz w:val="24"/>
          <w:szCs w:val="24"/>
          <w:lang w:val="en-US"/>
        </w:rPr>
        <w:t>and</w:t>
      </w:r>
      <w:r w:rsidR="00A9552C" w:rsidRPr="005C7810">
        <w:rPr>
          <w:rFonts w:ascii="Book Antiqua" w:hAnsi="Book Antiqua" w:cs="Times New Roman"/>
          <w:color w:val="000000"/>
          <w:sz w:val="24"/>
          <w:szCs w:val="24"/>
          <w:lang w:val="en-US"/>
        </w:rPr>
        <w:t xml:space="preserve"> </w:t>
      </w:r>
      <w:r w:rsidR="006B4D37" w:rsidRPr="005C7810">
        <w:rPr>
          <w:rFonts w:ascii="Book Antiqua" w:hAnsi="Book Antiqua" w:cs="Times New Roman"/>
          <w:color w:val="000000"/>
          <w:sz w:val="24"/>
          <w:szCs w:val="24"/>
          <w:lang w:val="en-US"/>
        </w:rPr>
        <w:t xml:space="preserve">in </w:t>
      </w:r>
      <w:r w:rsidR="00A9552C" w:rsidRPr="005C7810">
        <w:rPr>
          <w:rFonts w:ascii="Book Antiqua" w:hAnsi="Book Antiqua" w:cs="Times New Roman"/>
          <w:color w:val="000000"/>
          <w:sz w:val="24"/>
          <w:szCs w:val="24"/>
          <w:lang w:val="en-US"/>
        </w:rPr>
        <w:t>phase I</w:t>
      </w:r>
      <w:r w:rsidR="00BE10AB" w:rsidRPr="005C7810">
        <w:rPr>
          <w:rFonts w:ascii="Book Antiqua" w:hAnsi="Book Antiqua" w:cs="Times New Roman"/>
          <w:color w:val="000000"/>
          <w:sz w:val="24"/>
          <w:szCs w:val="24"/>
          <w:lang w:val="en-US"/>
        </w:rPr>
        <w:t>/</w:t>
      </w:r>
      <w:r w:rsidR="00A9552C" w:rsidRPr="005C7810">
        <w:rPr>
          <w:rFonts w:ascii="Book Antiqua" w:hAnsi="Book Antiqua" w:cs="Times New Roman"/>
          <w:color w:val="000000"/>
          <w:sz w:val="24"/>
          <w:szCs w:val="24"/>
          <w:lang w:val="en-US"/>
        </w:rPr>
        <w:t>II clinical trials on hematological and prostate malignancies</w:t>
      </w:r>
      <w:r w:rsidR="00997C48" w:rsidRPr="005C7810">
        <w:rPr>
          <w:rFonts w:ascii="Book Antiqua" w:hAnsi="Book Antiqua" w:cs="Times New Roman"/>
          <w:color w:val="000000"/>
          <w:sz w:val="24"/>
          <w:szCs w:val="24"/>
          <w:lang w:val="en-US"/>
        </w:rPr>
        <w:fldChar w:fldCharType="begin" w:fldLock="1"/>
      </w:r>
      <w:r w:rsidR="00B0152B" w:rsidRPr="005C7810">
        <w:rPr>
          <w:rFonts w:ascii="Book Antiqua" w:hAnsi="Book Antiqua" w:cs="Times New Roman"/>
          <w:color w:val="000000"/>
          <w:sz w:val="24"/>
          <w:szCs w:val="24"/>
          <w:lang w:val="en-US"/>
        </w:rPr>
        <w:instrText>ADDIN CSL_CITATION {"citationItems":[{"id":"ITEM-1","itemData":{"DOI":"10.1200/jco.2011.40.7783","ISSN":"0732-183X","author":[{"dropping-particle":"","family":"Lehmann S, Bykov VJ, Ali D, Andren O, Cherif H, Tidefelt U, Uggla B, Yachnin J, Juliusson G, Moshfegh A, Paul C, Wiman KG","given":"Andersson PO","non-dropping-particle":"","parse-names":false,"suffix":""}],"container-title":"Journal of Clinical Oncology","id":"ITEM-1","issue":"29","issued":{"date-parts":[["2012"]]},"page":"3633-3639","title":"Targeting p53 in Vivo: A First-in-Human Study With p53-Targeting Compound APR-246 in Refractory Hematologic Malignancies and Prostate Cancer","type":"article-journal","volume":"30"},"uris":["http://www.mendeley.com/documents/?uuid=2ea18fc1-4a43-434d-863f-7bf78747b67e","http://www.mendeley.com/documents/?uuid=ea051903-69b0-4a81-b634-8272b110f847"]}],"mendeley":{"formattedCitation":"&lt;sup&gt;[166]&lt;/sup&gt;","plainTextFormattedCitation":"[166]","previouslyFormattedCitation":"&lt;sup&gt;[166]&lt;/sup&gt;"},"properties":{"noteIndex":0},"schema":"https://github.com/citation-style-language/schema/raw/master/csl-citation.json"}</w:instrText>
      </w:r>
      <w:r w:rsidR="00997C48" w:rsidRPr="005C7810">
        <w:rPr>
          <w:rFonts w:ascii="Book Antiqua" w:hAnsi="Book Antiqua" w:cs="Times New Roman"/>
          <w:color w:val="000000"/>
          <w:sz w:val="24"/>
          <w:szCs w:val="24"/>
          <w:lang w:val="en-US"/>
        </w:rPr>
        <w:fldChar w:fldCharType="separate"/>
      </w:r>
      <w:r w:rsidR="00B0152B" w:rsidRPr="005C7810">
        <w:rPr>
          <w:rFonts w:ascii="Book Antiqua" w:hAnsi="Book Antiqua" w:cs="Times New Roman"/>
          <w:color w:val="000000"/>
          <w:sz w:val="24"/>
          <w:szCs w:val="24"/>
          <w:vertAlign w:val="superscript"/>
          <w:lang w:val="en-US"/>
        </w:rPr>
        <w:t>[166]</w:t>
      </w:r>
      <w:r w:rsidR="00997C48" w:rsidRPr="005C7810">
        <w:rPr>
          <w:rFonts w:ascii="Book Antiqua" w:hAnsi="Book Antiqua" w:cs="Times New Roman"/>
          <w:color w:val="000000"/>
          <w:sz w:val="24"/>
          <w:szCs w:val="24"/>
          <w:lang w:val="en-US"/>
        </w:rPr>
        <w:fldChar w:fldCharType="end"/>
      </w:r>
      <w:r w:rsidR="00B40531" w:rsidRPr="005C7810">
        <w:rPr>
          <w:rFonts w:ascii="Book Antiqua" w:eastAsia="Times New Roman" w:hAnsi="Book Antiqua" w:cs="Times New Roman"/>
          <w:color w:val="131413"/>
          <w:sz w:val="24"/>
          <w:szCs w:val="24"/>
          <w:lang w:val="en-US" w:eastAsia="it-IT"/>
        </w:rPr>
        <w:t>.</w:t>
      </w:r>
      <w:r w:rsidR="003B27AD" w:rsidRPr="005C7810">
        <w:rPr>
          <w:rFonts w:ascii="Book Antiqua" w:hAnsi="Book Antiqua" w:cs="Times New Roman"/>
          <w:color w:val="000000"/>
          <w:sz w:val="24"/>
          <w:szCs w:val="24"/>
          <w:lang w:val="en-US"/>
        </w:rPr>
        <w:t xml:space="preserve"> </w:t>
      </w:r>
      <w:r w:rsidR="00806ED7" w:rsidRPr="005C7810">
        <w:rPr>
          <w:rFonts w:ascii="Book Antiqua" w:hAnsi="Book Antiqua" w:cs="Times New Roman"/>
          <w:color w:val="000000"/>
          <w:sz w:val="24"/>
          <w:szCs w:val="24"/>
          <w:lang w:val="en-US"/>
        </w:rPr>
        <w:t>A phase I/II study</w:t>
      </w:r>
      <w:r w:rsidR="006B4D37" w:rsidRPr="005C7810">
        <w:rPr>
          <w:rFonts w:ascii="Book Antiqua" w:hAnsi="Book Antiqua" w:cs="Times New Roman"/>
          <w:color w:val="000000"/>
          <w:sz w:val="24"/>
          <w:szCs w:val="24"/>
          <w:lang w:val="en-US"/>
        </w:rPr>
        <w:t xml:space="preserve"> (NCT02999893)</w:t>
      </w:r>
      <w:r w:rsidR="00806ED7" w:rsidRPr="005C7810">
        <w:rPr>
          <w:rFonts w:ascii="Book Antiqua" w:hAnsi="Book Antiqua" w:cs="Times New Roman"/>
          <w:color w:val="000000"/>
          <w:sz w:val="24"/>
          <w:szCs w:val="24"/>
          <w:lang w:val="en-US"/>
        </w:rPr>
        <w:t xml:space="preserve"> was prepared for the treatment of gastro</w:t>
      </w:r>
      <w:r w:rsidR="0045685D" w:rsidRPr="005C7810">
        <w:rPr>
          <w:rFonts w:ascii="Book Antiqua" w:hAnsi="Book Antiqua" w:cs="Times New Roman"/>
          <w:color w:val="000000"/>
          <w:sz w:val="24"/>
          <w:szCs w:val="24"/>
          <w:lang w:val="en-US"/>
        </w:rPr>
        <w:t xml:space="preserve">esophageal tumors with mutated </w:t>
      </w:r>
      <w:r w:rsidR="0045685D" w:rsidRPr="005C7810">
        <w:rPr>
          <w:rFonts w:ascii="Book Antiqua" w:hAnsi="Book Antiqua" w:cs="Times New Roman"/>
          <w:i/>
          <w:color w:val="000000"/>
          <w:sz w:val="24"/>
          <w:szCs w:val="24"/>
          <w:lang w:val="en-US"/>
        </w:rPr>
        <w:t>TP</w:t>
      </w:r>
      <w:r w:rsidR="00806ED7" w:rsidRPr="005C7810">
        <w:rPr>
          <w:rFonts w:ascii="Book Antiqua" w:hAnsi="Book Antiqua" w:cs="Times New Roman"/>
          <w:i/>
          <w:color w:val="000000"/>
          <w:sz w:val="24"/>
          <w:szCs w:val="24"/>
          <w:lang w:val="en-US"/>
        </w:rPr>
        <w:t>53</w:t>
      </w:r>
      <w:r w:rsidR="00997C48" w:rsidRPr="005C7810">
        <w:rPr>
          <w:rFonts w:ascii="Book Antiqua" w:hAnsi="Book Antiqua" w:cs="Times New Roman"/>
          <w:color w:val="000000"/>
          <w:sz w:val="24"/>
          <w:szCs w:val="24"/>
          <w:lang w:val="en-US"/>
        </w:rPr>
        <w:fldChar w:fldCharType="begin" w:fldLock="1"/>
      </w:r>
      <w:r w:rsidR="00B0152B" w:rsidRPr="005C7810">
        <w:rPr>
          <w:rFonts w:ascii="Book Antiqua" w:hAnsi="Book Antiqua" w:cs="Times New Roman"/>
          <w:color w:val="000000"/>
          <w:sz w:val="24"/>
          <w:szCs w:val="24"/>
          <w:lang w:val="en-US"/>
        </w:rPr>
        <w:instrText>ADDIN CSL_CITATION {"citationItems":[{"id":"ITEM-1","itemData":{"author":[{"dropping-particle":"","family":"Lipton L","given":"King J.","non-dropping-particle":"","parse-names":false,"suffix":""}],"container-title":"ClinicalTrials.gov [Internet]. Bethesda (MD): U.S. National Library of Medicine","id":"ITEM-1","issued":{"date-parts":[["0"]]},"title":"A Study of APR-246 in Oesophageal Cancer (APROC)","type":"article-journal"},"uris":["http://www.mendeley.com/documents/?uuid=80197aea-4b08-4260-8bd9-0e9c24110b67","http://www.mendeley.com/documents/?uuid=8fc5ffb8-b30f-4a27-883e-e40a3ddc0710"]}],"mendeley":{"formattedCitation":"&lt;sup&gt;[167]&lt;/sup&gt;","plainTextFormattedCitation":"[167]","previouslyFormattedCitation":"&lt;sup&gt;[167]&lt;/sup&gt;"},"properties":{"noteIndex":0},"schema":"https://github.com/citation-style-language/schema/raw/master/csl-citation.json"}</w:instrText>
      </w:r>
      <w:r w:rsidR="00997C48" w:rsidRPr="005C7810">
        <w:rPr>
          <w:rFonts w:ascii="Book Antiqua" w:hAnsi="Book Antiqua" w:cs="Times New Roman"/>
          <w:color w:val="000000"/>
          <w:sz w:val="24"/>
          <w:szCs w:val="24"/>
          <w:lang w:val="en-US"/>
        </w:rPr>
        <w:fldChar w:fldCharType="separate"/>
      </w:r>
      <w:r w:rsidR="00B0152B" w:rsidRPr="005C7810">
        <w:rPr>
          <w:rFonts w:ascii="Book Antiqua" w:hAnsi="Book Antiqua" w:cs="Times New Roman"/>
          <w:color w:val="000000"/>
          <w:sz w:val="24"/>
          <w:szCs w:val="24"/>
          <w:vertAlign w:val="superscript"/>
          <w:lang w:val="en-US"/>
        </w:rPr>
        <w:t>[167]</w:t>
      </w:r>
      <w:r w:rsidR="00997C48" w:rsidRPr="005C7810">
        <w:rPr>
          <w:rFonts w:ascii="Book Antiqua" w:hAnsi="Book Antiqua" w:cs="Times New Roman"/>
          <w:color w:val="000000"/>
          <w:sz w:val="24"/>
          <w:szCs w:val="24"/>
          <w:lang w:val="en-US"/>
        </w:rPr>
        <w:fldChar w:fldCharType="end"/>
      </w:r>
      <w:r w:rsidR="00B40531" w:rsidRPr="005C7810">
        <w:rPr>
          <w:rFonts w:ascii="Book Antiqua" w:hAnsi="Book Antiqua" w:cs="Times New Roman"/>
          <w:color w:val="000000"/>
          <w:sz w:val="24"/>
          <w:szCs w:val="24"/>
          <w:lang w:val="en-US"/>
        </w:rPr>
        <w:t xml:space="preserve">. </w:t>
      </w:r>
      <w:r w:rsidR="0045685D" w:rsidRPr="005C7810">
        <w:rPr>
          <w:rFonts w:ascii="Book Antiqua" w:hAnsi="Book Antiqua" w:cs="Times New Roman"/>
          <w:color w:val="000000"/>
          <w:sz w:val="24"/>
          <w:szCs w:val="24"/>
          <w:lang w:val="en-US"/>
        </w:rPr>
        <w:t xml:space="preserve">Because </w:t>
      </w:r>
      <w:r w:rsidR="0045685D" w:rsidRPr="005C7810">
        <w:rPr>
          <w:rFonts w:ascii="Book Antiqua" w:hAnsi="Book Antiqua" w:cs="Times New Roman"/>
          <w:i/>
          <w:color w:val="000000"/>
          <w:sz w:val="24"/>
          <w:szCs w:val="24"/>
          <w:lang w:val="en-US"/>
        </w:rPr>
        <w:t>TP</w:t>
      </w:r>
      <w:r w:rsidR="00AF3F56" w:rsidRPr="005C7810">
        <w:rPr>
          <w:rFonts w:ascii="Book Antiqua" w:hAnsi="Book Antiqua" w:cs="Times New Roman"/>
          <w:i/>
          <w:color w:val="000000"/>
          <w:sz w:val="24"/>
          <w:szCs w:val="24"/>
          <w:lang w:val="en-US"/>
        </w:rPr>
        <w:t>53</w:t>
      </w:r>
      <w:r w:rsidR="00AF3F56" w:rsidRPr="005C7810">
        <w:rPr>
          <w:rFonts w:ascii="Book Antiqua" w:hAnsi="Book Antiqua" w:cs="Times New Roman"/>
          <w:color w:val="000000"/>
          <w:sz w:val="24"/>
          <w:szCs w:val="24"/>
          <w:lang w:val="en-US"/>
        </w:rPr>
        <w:t xml:space="preserve"> mutat</w:t>
      </w:r>
      <w:r w:rsidR="006B4D37" w:rsidRPr="005C7810">
        <w:rPr>
          <w:rFonts w:ascii="Book Antiqua" w:hAnsi="Book Antiqua" w:cs="Times New Roman"/>
          <w:color w:val="000000"/>
          <w:sz w:val="24"/>
          <w:szCs w:val="24"/>
          <w:lang w:val="en-US"/>
        </w:rPr>
        <w:t>ions</w:t>
      </w:r>
      <w:r w:rsidR="00AF3F56" w:rsidRPr="005C7810">
        <w:rPr>
          <w:rFonts w:ascii="Book Antiqua" w:hAnsi="Book Antiqua" w:cs="Times New Roman"/>
          <w:color w:val="000000"/>
          <w:sz w:val="24"/>
          <w:szCs w:val="24"/>
          <w:lang w:val="en-US"/>
        </w:rPr>
        <w:t xml:space="preserve"> </w:t>
      </w:r>
      <w:r w:rsidR="007F4B14" w:rsidRPr="005C7810">
        <w:rPr>
          <w:rFonts w:ascii="Book Antiqua" w:hAnsi="Book Antiqua" w:cs="Times New Roman"/>
          <w:color w:val="000000"/>
          <w:sz w:val="24"/>
          <w:szCs w:val="24"/>
          <w:lang w:val="en-US"/>
        </w:rPr>
        <w:t>are</w:t>
      </w:r>
      <w:r w:rsidR="00AF3F56" w:rsidRPr="005C7810">
        <w:rPr>
          <w:rFonts w:ascii="Book Antiqua" w:hAnsi="Book Antiqua" w:cs="Times New Roman"/>
          <w:color w:val="000000"/>
          <w:sz w:val="24"/>
          <w:szCs w:val="24"/>
          <w:lang w:val="en-US"/>
        </w:rPr>
        <w:t xml:space="preserve"> still </w:t>
      </w:r>
      <w:r w:rsidR="00CC24E8" w:rsidRPr="005C7810">
        <w:rPr>
          <w:rFonts w:ascii="Book Antiqua" w:hAnsi="Book Antiqua" w:cs="Times New Roman"/>
          <w:color w:val="000000"/>
          <w:sz w:val="24"/>
          <w:szCs w:val="24"/>
          <w:lang w:val="en-US"/>
        </w:rPr>
        <w:t xml:space="preserve">somewhat </w:t>
      </w:r>
      <w:r w:rsidR="00AF3F56" w:rsidRPr="005C7810">
        <w:rPr>
          <w:rFonts w:ascii="Book Antiqua" w:hAnsi="Book Antiqua" w:cs="Times New Roman"/>
          <w:color w:val="000000"/>
          <w:sz w:val="24"/>
          <w:szCs w:val="24"/>
          <w:lang w:val="en-US"/>
        </w:rPr>
        <w:t>difficult to ad</w:t>
      </w:r>
      <w:r w:rsidR="0045685D" w:rsidRPr="005C7810">
        <w:rPr>
          <w:rFonts w:ascii="Book Antiqua" w:hAnsi="Book Antiqua" w:cs="Times New Roman"/>
          <w:color w:val="000000"/>
          <w:sz w:val="24"/>
          <w:szCs w:val="24"/>
          <w:lang w:val="en-US"/>
        </w:rPr>
        <w:t>dress</w:t>
      </w:r>
      <w:r w:rsidR="00CC24E8" w:rsidRPr="005C7810">
        <w:rPr>
          <w:rFonts w:ascii="Book Antiqua" w:hAnsi="Book Antiqua" w:cs="Times New Roman"/>
          <w:color w:val="000000"/>
          <w:sz w:val="24"/>
          <w:szCs w:val="24"/>
          <w:lang w:val="en-US"/>
        </w:rPr>
        <w:t xml:space="preserve"> adequately</w:t>
      </w:r>
      <w:r w:rsidR="0045685D" w:rsidRPr="005C7810">
        <w:rPr>
          <w:rFonts w:ascii="Book Antiqua" w:hAnsi="Book Antiqua" w:cs="Times New Roman"/>
          <w:color w:val="000000"/>
          <w:sz w:val="24"/>
          <w:szCs w:val="24"/>
          <w:lang w:val="en-US"/>
        </w:rPr>
        <w:t>, identifying TP</w:t>
      </w:r>
      <w:r w:rsidR="00AF3F56" w:rsidRPr="005C7810">
        <w:rPr>
          <w:rFonts w:ascii="Book Antiqua" w:hAnsi="Book Antiqua" w:cs="Times New Roman"/>
          <w:color w:val="000000"/>
          <w:sz w:val="24"/>
          <w:szCs w:val="24"/>
          <w:lang w:val="en-US"/>
        </w:rPr>
        <w:t xml:space="preserve">53-dependent targets may provide new opportunities for </w:t>
      </w:r>
      <w:r w:rsidR="007F4B14" w:rsidRPr="005C7810">
        <w:rPr>
          <w:rFonts w:ascii="Book Antiqua" w:hAnsi="Book Antiqua" w:cs="Times New Roman"/>
          <w:color w:val="000000"/>
          <w:sz w:val="24"/>
          <w:szCs w:val="24"/>
          <w:lang w:val="en-US"/>
        </w:rPr>
        <w:t xml:space="preserve">alternative </w:t>
      </w:r>
      <w:r w:rsidR="00AF3F56" w:rsidRPr="005C7810">
        <w:rPr>
          <w:rFonts w:ascii="Book Antiqua" w:hAnsi="Book Antiqua" w:cs="Times New Roman"/>
          <w:color w:val="000000"/>
          <w:sz w:val="24"/>
          <w:szCs w:val="24"/>
          <w:lang w:val="en-US"/>
        </w:rPr>
        <w:t xml:space="preserve">targeted therapies. </w:t>
      </w:r>
      <w:r w:rsidR="005B1727" w:rsidRPr="005C7810">
        <w:rPr>
          <w:rFonts w:ascii="Book Antiqua" w:hAnsi="Book Antiqua" w:cs="Times New Roman"/>
          <w:color w:val="000000"/>
          <w:sz w:val="24"/>
          <w:szCs w:val="24"/>
          <w:lang w:val="en-US"/>
        </w:rPr>
        <w:t>For example, target</w:t>
      </w:r>
      <w:r w:rsidR="007F4B14" w:rsidRPr="005C7810">
        <w:rPr>
          <w:rFonts w:ascii="Book Antiqua" w:hAnsi="Book Antiqua" w:cs="Times New Roman"/>
          <w:color w:val="000000"/>
          <w:sz w:val="24"/>
          <w:szCs w:val="24"/>
          <w:lang w:val="en-US"/>
        </w:rPr>
        <w:t>ing</w:t>
      </w:r>
      <w:r w:rsidR="005B1727" w:rsidRPr="005C7810">
        <w:rPr>
          <w:rFonts w:ascii="Book Antiqua" w:hAnsi="Book Antiqua" w:cs="Times New Roman"/>
          <w:color w:val="000000"/>
          <w:sz w:val="24"/>
          <w:szCs w:val="24"/>
          <w:lang w:val="en-US"/>
        </w:rPr>
        <w:t xml:space="preserve"> </w:t>
      </w:r>
      <w:r w:rsidR="0005343F" w:rsidRPr="005C7810">
        <w:rPr>
          <w:rFonts w:ascii="Book Antiqua" w:hAnsi="Book Antiqua" w:cs="Times New Roman"/>
          <w:color w:val="000000"/>
          <w:sz w:val="24"/>
          <w:szCs w:val="24"/>
          <w:shd w:val="clear" w:color="auto" w:fill="FFFFFF"/>
          <w:lang w:val="en-US"/>
        </w:rPr>
        <w:t xml:space="preserve">WEE1 G2 </w:t>
      </w:r>
      <w:r w:rsidR="007F4B14" w:rsidRPr="005C7810">
        <w:rPr>
          <w:rFonts w:ascii="Book Antiqua" w:hAnsi="Book Antiqua" w:cs="Times New Roman"/>
          <w:color w:val="000000"/>
          <w:sz w:val="24"/>
          <w:szCs w:val="24"/>
          <w:shd w:val="clear" w:color="auto" w:fill="FFFFFF"/>
          <w:lang w:val="en-US"/>
        </w:rPr>
        <w:t>c</w:t>
      </w:r>
      <w:r w:rsidR="0005343F" w:rsidRPr="005C7810">
        <w:rPr>
          <w:rFonts w:ascii="Book Antiqua" w:hAnsi="Book Antiqua" w:cs="Times New Roman"/>
          <w:color w:val="000000"/>
          <w:sz w:val="24"/>
          <w:szCs w:val="24"/>
          <w:shd w:val="clear" w:color="auto" w:fill="FFFFFF"/>
          <w:lang w:val="en-US"/>
        </w:rPr>
        <w:t xml:space="preserve">heckpoint </w:t>
      </w:r>
      <w:r w:rsidR="007F4B14" w:rsidRPr="005C7810">
        <w:rPr>
          <w:rFonts w:ascii="Book Antiqua" w:hAnsi="Book Antiqua" w:cs="Times New Roman"/>
          <w:color w:val="000000"/>
          <w:sz w:val="24"/>
          <w:szCs w:val="24"/>
          <w:shd w:val="clear" w:color="auto" w:fill="FFFFFF"/>
          <w:lang w:val="en-US"/>
        </w:rPr>
        <w:t>k</w:t>
      </w:r>
      <w:r w:rsidR="0005343F" w:rsidRPr="005C7810">
        <w:rPr>
          <w:rFonts w:ascii="Book Antiqua" w:hAnsi="Book Antiqua" w:cs="Times New Roman"/>
          <w:color w:val="000000"/>
          <w:sz w:val="24"/>
          <w:szCs w:val="24"/>
          <w:shd w:val="clear" w:color="auto" w:fill="FFFFFF"/>
          <w:lang w:val="en-US"/>
        </w:rPr>
        <w:t>inase</w:t>
      </w:r>
      <w:r w:rsidR="004E01BF" w:rsidRPr="005C7810">
        <w:rPr>
          <w:rFonts w:ascii="Book Antiqua" w:hAnsi="Book Antiqua" w:cs="Times New Roman"/>
          <w:color w:val="000000"/>
          <w:sz w:val="24"/>
          <w:szCs w:val="24"/>
          <w:shd w:val="clear" w:color="auto" w:fill="FFFFFF"/>
          <w:lang w:val="en-US"/>
        </w:rPr>
        <w:t xml:space="preserve"> (WEE1)</w:t>
      </w:r>
      <w:r w:rsidR="005B1727" w:rsidRPr="005C7810">
        <w:rPr>
          <w:rFonts w:ascii="Book Antiqua" w:hAnsi="Book Antiqua" w:cs="Times New Roman"/>
          <w:color w:val="000000"/>
          <w:sz w:val="24"/>
          <w:szCs w:val="24"/>
          <w:lang w:val="en-US"/>
        </w:rPr>
        <w:t>, a protein kinase that plays a role in the G2-M cell cycle checkpoint, prevent</w:t>
      </w:r>
      <w:r w:rsidR="007F4B14" w:rsidRPr="005C7810">
        <w:rPr>
          <w:rFonts w:ascii="Book Antiqua" w:hAnsi="Book Antiqua" w:cs="Times New Roman"/>
          <w:color w:val="000000"/>
          <w:sz w:val="24"/>
          <w:szCs w:val="24"/>
          <w:lang w:val="en-US"/>
        </w:rPr>
        <w:t>s</w:t>
      </w:r>
      <w:r w:rsidR="005B1727" w:rsidRPr="005C7810">
        <w:rPr>
          <w:rFonts w:ascii="Book Antiqua" w:hAnsi="Book Antiqua" w:cs="Times New Roman"/>
          <w:color w:val="000000"/>
          <w:sz w:val="24"/>
          <w:szCs w:val="24"/>
          <w:lang w:val="en-US"/>
        </w:rPr>
        <w:t xml:space="preserve"> cells from entering mitosis in response to DNA damage</w:t>
      </w:r>
      <w:r w:rsidR="00997C48" w:rsidRPr="005C7810">
        <w:rPr>
          <w:rFonts w:ascii="Book Antiqua" w:hAnsi="Book Antiqua" w:cs="Times New Roman"/>
          <w:color w:val="000000"/>
          <w:sz w:val="24"/>
          <w:szCs w:val="24"/>
          <w:lang w:val="en-US"/>
        </w:rPr>
        <w:fldChar w:fldCharType="begin" w:fldLock="1"/>
      </w:r>
      <w:r w:rsidR="00B0152B" w:rsidRPr="005C7810">
        <w:rPr>
          <w:rFonts w:ascii="Book Antiqua" w:hAnsi="Book Antiqua" w:cs="Times New Roman"/>
          <w:color w:val="000000"/>
          <w:sz w:val="24"/>
          <w:szCs w:val="24"/>
          <w:lang w:val="en-US"/>
        </w:rPr>
        <w:instrText>ADDIN CSL_CITATION {"citationItems":[{"id":"ITEM-1","itemData":{"DOI":"10.1038/nature03097","ISBN":"1476-4687 (Electronic)\\r0028-0836 (Linking)","ISSN":"00280836","PMID":"15549093","abstract":"All life on earth must cope with constant exposure to DNA-damaging agents such as the Sun's radiation. Highly conserved DNA-repair and cell-cycle checkpoint pathways allow cells to deal with both endogenous and exogenous sources of DNA damage. How much an individual is exposed to these agents and how their cells respond to DNA damage are critical determinants of whether that individual will develop cancer. These cellular responses are also important for determining toxicities and responses to current cancer therapies, most of which target the DNA.","author":[{"dropping-particle":"","family":"Kastan","given":"Michael B.","non-dropping-particle":"","parse-names":false,"suffix":""},{"dropping-particle":"","family":"Bartek","given":"Jiri","non-dropping-particle":"","parse-names":false,"suffix":""}],"container-title":"Nature","id":"ITEM-1","issue":"7015","issued":{"date-parts":[["2004"]]},"page":"316-323","title":"Cell-cycle checkpoints and cancer","type":"article-journal","volume":"432"},"uris":["http://www.mendeley.com/documents/?uuid=67c3c7c6-c2ea-4431-8652-15b5216b21d5","http://www.mendeley.com/documents/?uuid=bcf8d941-c1f3-4625-8010-39b88593d455"]}],"mendeley":{"formattedCitation":"&lt;sup&gt;[168]&lt;/sup&gt;","plainTextFormattedCitation":"[168]","previouslyFormattedCitation":"&lt;sup&gt;[168]&lt;/sup&gt;"},"properties":{"noteIndex":0},"schema":"https://github.com/citation-style-language/schema/raw/master/csl-citation.json"}</w:instrText>
      </w:r>
      <w:r w:rsidR="00997C48" w:rsidRPr="005C7810">
        <w:rPr>
          <w:rFonts w:ascii="Book Antiqua" w:hAnsi="Book Antiqua" w:cs="Times New Roman"/>
          <w:color w:val="000000"/>
          <w:sz w:val="24"/>
          <w:szCs w:val="24"/>
          <w:lang w:val="en-US"/>
        </w:rPr>
        <w:fldChar w:fldCharType="separate"/>
      </w:r>
      <w:r w:rsidR="00B0152B" w:rsidRPr="005C7810">
        <w:rPr>
          <w:rFonts w:ascii="Book Antiqua" w:hAnsi="Book Antiqua" w:cs="Times New Roman"/>
          <w:color w:val="000000"/>
          <w:sz w:val="24"/>
          <w:szCs w:val="24"/>
          <w:vertAlign w:val="superscript"/>
          <w:lang w:val="en-US"/>
        </w:rPr>
        <w:t>[168]</w:t>
      </w:r>
      <w:r w:rsidR="00997C48" w:rsidRPr="005C7810">
        <w:rPr>
          <w:rFonts w:ascii="Book Antiqua" w:hAnsi="Book Antiqua" w:cs="Times New Roman"/>
          <w:color w:val="000000"/>
          <w:sz w:val="24"/>
          <w:szCs w:val="24"/>
          <w:lang w:val="en-US"/>
        </w:rPr>
        <w:fldChar w:fldCharType="end"/>
      </w:r>
      <w:r w:rsidR="005B1727" w:rsidRPr="005C7810">
        <w:rPr>
          <w:rFonts w:ascii="Book Antiqua" w:hAnsi="Book Antiqua" w:cs="Times New Roman"/>
          <w:color w:val="000000"/>
          <w:sz w:val="24"/>
          <w:szCs w:val="24"/>
          <w:lang w:val="en-US"/>
        </w:rPr>
        <w:t>. AZD1775</w:t>
      </w:r>
      <w:r w:rsidR="00EB2885" w:rsidRPr="005C7810">
        <w:rPr>
          <w:rFonts w:ascii="Book Antiqua" w:hAnsi="Book Antiqua" w:cs="Times New Roman"/>
          <w:color w:val="000000"/>
          <w:sz w:val="24"/>
          <w:szCs w:val="24"/>
          <w:lang w:val="en-US"/>
        </w:rPr>
        <w:t xml:space="preserve">, </w:t>
      </w:r>
      <w:r w:rsidR="00CC24E8" w:rsidRPr="005C7810">
        <w:rPr>
          <w:rFonts w:ascii="Book Antiqua" w:hAnsi="Book Antiqua" w:cs="Times New Roman"/>
          <w:color w:val="000000"/>
          <w:sz w:val="24"/>
          <w:szCs w:val="24"/>
          <w:lang w:val="en-US"/>
        </w:rPr>
        <w:t xml:space="preserve">an </w:t>
      </w:r>
      <w:r w:rsidR="00EB2885" w:rsidRPr="005C7810">
        <w:rPr>
          <w:rFonts w:ascii="Book Antiqua" w:hAnsi="Book Antiqua" w:cs="Times New Roman"/>
          <w:color w:val="000000"/>
          <w:sz w:val="24"/>
          <w:szCs w:val="24"/>
          <w:lang w:val="en-US"/>
        </w:rPr>
        <w:t xml:space="preserve">inhibitor of WEE1, </w:t>
      </w:r>
      <w:r w:rsidR="005B1727" w:rsidRPr="005C7810">
        <w:rPr>
          <w:rFonts w:ascii="Book Antiqua" w:hAnsi="Book Antiqua" w:cs="Times New Roman"/>
          <w:color w:val="000000"/>
          <w:sz w:val="24"/>
          <w:szCs w:val="24"/>
          <w:lang w:val="en-US"/>
        </w:rPr>
        <w:t xml:space="preserve">was used in the clinical trial </w:t>
      </w:r>
      <w:r w:rsidR="00B40531" w:rsidRPr="005C7810">
        <w:rPr>
          <w:rFonts w:ascii="Book Antiqua" w:hAnsi="Book Antiqua" w:cs="Times New Roman"/>
          <w:color w:val="000000"/>
          <w:sz w:val="24"/>
          <w:szCs w:val="24"/>
          <w:lang w:val="en-US"/>
        </w:rPr>
        <w:t>(</w:t>
      </w:r>
      <w:r w:rsidR="00B40531" w:rsidRPr="005C7810">
        <w:rPr>
          <w:rFonts w:ascii="Book Antiqua" w:eastAsia="Times New Roman" w:hAnsi="Book Antiqua" w:cs="Times New Roman"/>
          <w:color w:val="000000"/>
          <w:sz w:val="24"/>
          <w:szCs w:val="24"/>
          <w:lang w:val="en-US" w:eastAsia="it-IT"/>
        </w:rPr>
        <w:t>NCT02448329</w:t>
      </w:r>
      <w:r w:rsidR="00B40531" w:rsidRPr="005C7810">
        <w:rPr>
          <w:rFonts w:ascii="Book Antiqua" w:hAnsi="Book Antiqua" w:cs="Times New Roman"/>
          <w:color w:val="000000"/>
          <w:sz w:val="24"/>
          <w:szCs w:val="24"/>
          <w:lang w:val="en-US"/>
        </w:rPr>
        <w:t>)</w:t>
      </w:r>
      <w:r w:rsidR="00B73A5B" w:rsidRPr="005C7810">
        <w:rPr>
          <w:rFonts w:ascii="Book Antiqua" w:hAnsi="Book Antiqua" w:cs="Times New Roman"/>
          <w:color w:val="000000"/>
          <w:sz w:val="24"/>
          <w:szCs w:val="24"/>
          <w:lang w:val="en-US"/>
        </w:rPr>
        <w:t xml:space="preserve"> </w:t>
      </w:r>
      <w:r w:rsidR="007F4B14" w:rsidRPr="005C7810">
        <w:rPr>
          <w:rFonts w:ascii="Book Antiqua" w:hAnsi="Book Antiqua" w:cs="Times New Roman"/>
          <w:color w:val="000000"/>
          <w:sz w:val="24"/>
          <w:szCs w:val="24"/>
          <w:lang w:val="en-US"/>
        </w:rPr>
        <w:t>as</w:t>
      </w:r>
      <w:r w:rsidR="00B73A5B" w:rsidRPr="005C7810">
        <w:rPr>
          <w:rFonts w:ascii="Book Antiqua" w:hAnsi="Book Antiqua" w:cs="Times New Roman"/>
          <w:color w:val="000000"/>
          <w:sz w:val="24"/>
          <w:szCs w:val="24"/>
          <w:lang w:val="en-US"/>
        </w:rPr>
        <w:t xml:space="preserve"> second</w:t>
      </w:r>
      <w:r w:rsidR="0045685D" w:rsidRPr="005C7810">
        <w:rPr>
          <w:rFonts w:ascii="Book Antiqua" w:hAnsi="Book Antiqua" w:cs="Times New Roman"/>
          <w:color w:val="000000"/>
          <w:sz w:val="24"/>
          <w:szCs w:val="24"/>
          <w:lang w:val="en-US"/>
        </w:rPr>
        <w:t>-</w:t>
      </w:r>
      <w:r w:rsidR="00B73A5B" w:rsidRPr="005C7810">
        <w:rPr>
          <w:rFonts w:ascii="Book Antiqua" w:hAnsi="Book Antiqua" w:cs="Times New Roman"/>
          <w:color w:val="000000"/>
          <w:sz w:val="24"/>
          <w:szCs w:val="24"/>
          <w:lang w:val="en-US"/>
        </w:rPr>
        <w:t xml:space="preserve">line therapy in combination with paclitaxel in GC harboring </w:t>
      </w:r>
      <w:r w:rsidR="00B73A5B" w:rsidRPr="005C7810">
        <w:rPr>
          <w:rFonts w:ascii="Book Antiqua" w:hAnsi="Book Antiqua" w:cs="Times New Roman"/>
          <w:i/>
          <w:color w:val="000000"/>
          <w:sz w:val="24"/>
          <w:szCs w:val="24"/>
          <w:lang w:val="en-US"/>
        </w:rPr>
        <w:t>TP53</w:t>
      </w:r>
      <w:r w:rsidR="00B73A5B" w:rsidRPr="005C7810">
        <w:rPr>
          <w:rFonts w:ascii="Book Antiqua" w:hAnsi="Book Antiqua" w:cs="Times New Roman"/>
          <w:color w:val="000000"/>
          <w:sz w:val="24"/>
          <w:szCs w:val="24"/>
          <w:lang w:val="en-US"/>
        </w:rPr>
        <w:t xml:space="preserve"> mutat</w:t>
      </w:r>
      <w:r w:rsidR="007F4B14" w:rsidRPr="005C7810">
        <w:rPr>
          <w:rFonts w:ascii="Book Antiqua" w:hAnsi="Book Antiqua" w:cs="Times New Roman"/>
          <w:color w:val="000000"/>
          <w:sz w:val="24"/>
          <w:szCs w:val="24"/>
          <w:lang w:val="en-US"/>
        </w:rPr>
        <w:t>ions</w:t>
      </w:r>
      <w:r w:rsidR="00997C48" w:rsidRPr="005C7810">
        <w:rPr>
          <w:rFonts w:ascii="Book Antiqua" w:hAnsi="Book Antiqua" w:cs="Times New Roman"/>
          <w:color w:val="000000"/>
          <w:sz w:val="24"/>
          <w:szCs w:val="24"/>
          <w:lang w:val="en-US"/>
        </w:rPr>
        <w:fldChar w:fldCharType="begin" w:fldLock="1"/>
      </w:r>
      <w:r w:rsidR="00B0152B" w:rsidRPr="005C7810">
        <w:rPr>
          <w:rFonts w:ascii="Book Antiqua" w:hAnsi="Book Antiqua" w:cs="Times New Roman"/>
          <w:color w:val="000000"/>
          <w:sz w:val="24"/>
          <w:szCs w:val="24"/>
          <w:lang w:val="en-US"/>
        </w:rPr>
        <w:instrText>ADDIN CSL_CITATION {"citationItems":[{"id":"ITEM-1","itemData":{"author":[{"dropping-particle":"","family":"Ahn YJ","given":"Lee JY","non-dropping-particle":"","parse-names":false,"suffix":""}],"container-title":"ClinicalTrials.gov [Internet]. Bethesda (MD): U.S. National Library of Medicine","id":"ITEM-1","issued":{"date-parts":[["0"]]},"title":"Study of AZD1775 in Combination With Paclitaxel, in Advanced Gastric Adenocarcinoma Patients Harboring TP53 Mutation as a Second-line Chemotherapy","type":"article-journal"},"uris":["http://www.mendeley.com/documents/?uuid=2c96d6af-ad71-4aa5-84ef-09249a265a0d","http://www.mendeley.com/documents/?uuid=9b63d307-ceb8-4b5d-a4a5-fc1b526f03df"]}],"mendeley":{"formattedCitation":"&lt;sup&gt;[169]&lt;/sup&gt;","plainTextFormattedCitation":"[169]","previouslyFormattedCitation":"&lt;sup&gt;[169]&lt;/sup&gt;"},"properties":{"noteIndex":0},"schema":"https://github.com/citation-style-language/schema/raw/master/csl-citation.json"}</w:instrText>
      </w:r>
      <w:r w:rsidR="00997C48" w:rsidRPr="005C7810">
        <w:rPr>
          <w:rFonts w:ascii="Book Antiqua" w:hAnsi="Book Antiqua" w:cs="Times New Roman"/>
          <w:color w:val="000000"/>
          <w:sz w:val="24"/>
          <w:szCs w:val="24"/>
          <w:lang w:val="en-US"/>
        </w:rPr>
        <w:fldChar w:fldCharType="separate"/>
      </w:r>
      <w:r w:rsidR="00B0152B" w:rsidRPr="005C7810">
        <w:rPr>
          <w:rFonts w:ascii="Book Antiqua" w:hAnsi="Book Antiqua" w:cs="Times New Roman"/>
          <w:color w:val="000000"/>
          <w:sz w:val="24"/>
          <w:szCs w:val="24"/>
          <w:vertAlign w:val="superscript"/>
          <w:lang w:val="en-US"/>
        </w:rPr>
        <w:t>[169]</w:t>
      </w:r>
      <w:r w:rsidR="00997C48" w:rsidRPr="005C7810">
        <w:rPr>
          <w:rFonts w:ascii="Book Antiqua" w:hAnsi="Book Antiqua" w:cs="Times New Roman"/>
          <w:color w:val="000000"/>
          <w:sz w:val="24"/>
          <w:szCs w:val="24"/>
          <w:lang w:val="en-US"/>
        </w:rPr>
        <w:fldChar w:fldCharType="end"/>
      </w:r>
      <w:r w:rsidR="00CF0E95" w:rsidRPr="005C7810">
        <w:rPr>
          <w:rFonts w:ascii="Book Antiqua" w:hAnsi="Book Antiqua" w:cs="Times New Roman"/>
          <w:color w:val="000000"/>
          <w:sz w:val="24"/>
          <w:szCs w:val="24"/>
          <w:lang w:val="en-US"/>
        </w:rPr>
        <w:t xml:space="preserve">. </w:t>
      </w:r>
      <w:r w:rsidR="00CC24E8" w:rsidRPr="005C7810">
        <w:rPr>
          <w:rFonts w:ascii="Book Antiqua" w:hAnsi="Book Antiqua" w:cs="Times New Roman"/>
          <w:color w:val="000000"/>
          <w:sz w:val="24"/>
          <w:szCs w:val="24"/>
          <w:shd w:val="clear" w:color="auto" w:fill="FFFFFF"/>
          <w:lang w:val="en-US"/>
        </w:rPr>
        <w:t>O</w:t>
      </w:r>
      <w:r w:rsidR="00AF3F56" w:rsidRPr="005C7810">
        <w:rPr>
          <w:rFonts w:ascii="Book Antiqua" w:hAnsi="Book Antiqua" w:cs="Times New Roman"/>
          <w:color w:val="000000"/>
          <w:sz w:val="24"/>
          <w:szCs w:val="24"/>
          <w:shd w:val="clear" w:color="auto" w:fill="FFFFFF"/>
          <w:lang w:val="en-US"/>
        </w:rPr>
        <w:t>verexpression of AURKA improves the stabilization of MDM2 and promotes the</w:t>
      </w:r>
      <w:r w:rsidR="0045685D" w:rsidRPr="005C7810">
        <w:rPr>
          <w:rFonts w:ascii="Book Antiqua" w:hAnsi="Book Antiqua" w:cs="Times New Roman"/>
          <w:color w:val="000000"/>
          <w:sz w:val="24"/>
          <w:szCs w:val="24"/>
          <w:shd w:val="clear" w:color="auto" w:fill="FFFFFF"/>
          <w:lang w:val="en-US"/>
        </w:rPr>
        <w:t xml:space="preserve"> degradation of TP</w:t>
      </w:r>
      <w:r w:rsidR="00AF3F56" w:rsidRPr="005C7810">
        <w:rPr>
          <w:rFonts w:ascii="Book Antiqua" w:hAnsi="Book Antiqua" w:cs="Times New Roman"/>
          <w:color w:val="000000"/>
          <w:sz w:val="24"/>
          <w:szCs w:val="24"/>
          <w:shd w:val="clear" w:color="auto" w:fill="FFFFFF"/>
          <w:lang w:val="en-US"/>
        </w:rPr>
        <w:t xml:space="preserve">53, </w:t>
      </w:r>
      <w:r w:rsidR="00E46196" w:rsidRPr="005C7810">
        <w:rPr>
          <w:rFonts w:ascii="Book Antiqua" w:hAnsi="Book Antiqua" w:cs="Times New Roman"/>
          <w:color w:val="000000"/>
          <w:sz w:val="24"/>
          <w:szCs w:val="24"/>
          <w:shd w:val="clear" w:color="auto" w:fill="FFFFFF"/>
          <w:lang w:val="en-US"/>
        </w:rPr>
        <w:t xml:space="preserve">inhibiting </w:t>
      </w:r>
      <w:r w:rsidR="00AF3F56" w:rsidRPr="005C7810">
        <w:rPr>
          <w:rFonts w:ascii="Book Antiqua" w:hAnsi="Book Antiqua" w:cs="Times New Roman"/>
          <w:color w:val="000000"/>
          <w:sz w:val="24"/>
          <w:szCs w:val="24"/>
          <w:shd w:val="clear" w:color="auto" w:fill="FFFFFF"/>
          <w:lang w:val="en-US"/>
        </w:rPr>
        <w:t>its proapoptotic function in response to chemotherapy</w:t>
      </w:r>
      <w:r w:rsidR="00997C48" w:rsidRPr="005C7810">
        <w:rPr>
          <w:rFonts w:ascii="Book Antiqua" w:hAnsi="Book Antiqua" w:cs="Times New Roman"/>
          <w:color w:val="000000"/>
          <w:sz w:val="24"/>
          <w:szCs w:val="24"/>
          <w:shd w:val="clear" w:color="auto" w:fill="FFFFFF"/>
          <w:lang w:val="en-US"/>
        </w:rPr>
        <w:fldChar w:fldCharType="begin" w:fldLock="1"/>
      </w:r>
      <w:r w:rsidR="002B0D7B" w:rsidRPr="005C7810">
        <w:rPr>
          <w:rFonts w:ascii="Book Antiqua" w:hAnsi="Book Antiqua" w:cs="Times New Roman"/>
          <w:color w:val="000000"/>
          <w:sz w:val="24"/>
          <w:szCs w:val="24"/>
          <w:shd w:val="clear" w:color="auto" w:fill="FFFFFF"/>
          <w:lang w:val="en-US"/>
        </w:rPr>
        <w:instrText>ADDIN CSL_CITATION {"citationItems":[{"id":"ITEM-1","itemData":{"DOI":"10.1158/1078-0432.ccr-13-1187","ISSN":"1078-0432","author":[{"dropping-particle":"","family":"Sehdev V, Katsha A, Arras J, Peng D, Soutto M, Ecsedy J, Zaika A, Belkhiri A","given":"El-Rifai W","non-dropping-particle":"","parse-names":false,"suffix":""}],"container-title":"Clinical Cancer Research","id":"ITEM-1","issue":"1","issued":{"date-parts":[["2014"]]},"page":"76-86","title":"HDM2 Regulation by AURKA Promotes Cell Survival in Gastric Cancer","type":"article-journal","volume":"20"},"uris":["http://www.mendeley.com/documents/?uuid=c430b371-fcb9-4088-ad81-dfad794e9e4c","http://www.mendeley.com/documents/?uuid=c8d18ce0-4036-41f1-8586-7e16d37c1061"]}],"mendeley":{"formattedCitation":"&lt;sup&gt;[79]&lt;/sup&gt;","plainTextFormattedCitation":"[79]","previouslyFormattedCitation":"&lt;sup&gt;[79]&lt;/sup&gt;"},"properties":{"noteIndex":0},"schema":"https://github.com/citation-style-language/schema/raw/master/csl-citation.json"}</w:instrText>
      </w:r>
      <w:r w:rsidR="00997C48" w:rsidRPr="005C7810">
        <w:rPr>
          <w:rFonts w:ascii="Book Antiqua" w:hAnsi="Book Antiqua" w:cs="Times New Roman"/>
          <w:color w:val="000000"/>
          <w:sz w:val="24"/>
          <w:szCs w:val="24"/>
          <w:shd w:val="clear" w:color="auto" w:fill="FFFFFF"/>
          <w:lang w:val="en-US"/>
        </w:rPr>
        <w:fldChar w:fldCharType="separate"/>
      </w:r>
      <w:r w:rsidR="001322DE" w:rsidRPr="005C7810">
        <w:rPr>
          <w:rFonts w:ascii="Book Antiqua" w:hAnsi="Book Antiqua" w:cs="Times New Roman"/>
          <w:color w:val="000000"/>
          <w:sz w:val="24"/>
          <w:szCs w:val="24"/>
          <w:shd w:val="clear" w:color="auto" w:fill="FFFFFF"/>
          <w:vertAlign w:val="superscript"/>
          <w:lang w:val="en-US"/>
        </w:rPr>
        <w:t>[79]</w:t>
      </w:r>
      <w:r w:rsidR="00997C48" w:rsidRPr="005C7810">
        <w:rPr>
          <w:rFonts w:ascii="Book Antiqua" w:hAnsi="Book Antiqua" w:cs="Times New Roman"/>
          <w:color w:val="000000"/>
          <w:sz w:val="24"/>
          <w:szCs w:val="24"/>
          <w:shd w:val="clear" w:color="auto" w:fill="FFFFFF"/>
          <w:lang w:val="en-US"/>
        </w:rPr>
        <w:fldChar w:fldCharType="end"/>
      </w:r>
      <w:r w:rsidR="00AF3F56" w:rsidRPr="005C7810">
        <w:rPr>
          <w:rFonts w:ascii="Book Antiqua" w:hAnsi="Book Antiqua" w:cs="Times New Roman"/>
          <w:color w:val="000000"/>
          <w:sz w:val="24"/>
          <w:szCs w:val="24"/>
          <w:shd w:val="clear" w:color="auto" w:fill="FFFFFF"/>
          <w:lang w:val="en-US"/>
        </w:rPr>
        <w:t xml:space="preserve">. </w:t>
      </w:r>
      <w:r w:rsidR="00AF3F56" w:rsidRPr="005C7810">
        <w:rPr>
          <w:rFonts w:ascii="Book Antiqua" w:hAnsi="Book Antiqua" w:cs="Times New Roman"/>
          <w:sz w:val="24"/>
          <w:szCs w:val="24"/>
          <w:lang w:val="en-US"/>
        </w:rPr>
        <w:t>This</w:t>
      </w:r>
      <w:r w:rsidR="00D3071D" w:rsidRPr="005C7810">
        <w:rPr>
          <w:rFonts w:ascii="Book Antiqua" w:hAnsi="Book Antiqua" w:cs="Times New Roman"/>
          <w:sz w:val="24"/>
          <w:szCs w:val="24"/>
          <w:lang w:val="en-US"/>
        </w:rPr>
        <w:t xml:space="preserve"> result</w:t>
      </w:r>
      <w:r w:rsidR="00AF3F56" w:rsidRPr="005C7810">
        <w:rPr>
          <w:rFonts w:ascii="Book Antiqua" w:hAnsi="Book Antiqua" w:cs="Times New Roman"/>
          <w:sz w:val="24"/>
          <w:szCs w:val="24"/>
          <w:lang w:val="en-US"/>
        </w:rPr>
        <w:t xml:space="preserve"> justifies the use of AURKA inhibitors in the treatment of GC. </w:t>
      </w:r>
      <w:r w:rsidR="00004842" w:rsidRPr="005C7810">
        <w:rPr>
          <w:rFonts w:ascii="Book Antiqua" w:hAnsi="Book Antiqua" w:cs="Times New Roman"/>
          <w:sz w:val="24"/>
          <w:szCs w:val="24"/>
          <w:lang w:val="en-US"/>
        </w:rPr>
        <w:t xml:space="preserve">The TP53/MDM2 interaction </w:t>
      </w:r>
      <w:r w:rsidR="005754C2" w:rsidRPr="005C7810">
        <w:rPr>
          <w:rFonts w:ascii="Book Antiqua" w:hAnsi="Book Antiqua" w:cs="Times New Roman"/>
          <w:sz w:val="24"/>
          <w:szCs w:val="24"/>
          <w:lang w:val="en-US"/>
        </w:rPr>
        <w:t>i</w:t>
      </w:r>
      <w:r w:rsidR="00004842" w:rsidRPr="005C7810">
        <w:rPr>
          <w:rFonts w:ascii="Book Antiqua" w:hAnsi="Book Antiqua" w:cs="Times New Roman"/>
          <w:sz w:val="24"/>
          <w:szCs w:val="24"/>
          <w:lang w:val="en-US"/>
        </w:rPr>
        <w:t>nhibitor (HDM201) was used in the clinical trial (NCT02143635) in patients with advanced GC</w:t>
      </w:r>
      <w:r w:rsidR="00C550E4" w:rsidRPr="005C7810">
        <w:rPr>
          <w:rFonts w:ascii="Book Antiqua" w:hAnsi="Book Antiqua" w:cs="Times New Roman"/>
          <w:sz w:val="24"/>
          <w:szCs w:val="24"/>
          <w:lang w:val="en-US"/>
        </w:rPr>
        <w:t xml:space="preserve"> characterized </w:t>
      </w:r>
      <w:r w:rsidR="00B35B24" w:rsidRPr="005C7810">
        <w:rPr>
          <w:rFonts w:ascii="Book Antiqua" w:hAnsi="Book Antiqua" w:cs="Times New Roman"/>
          <w:sz w:val="24"/>
          <w:szCs w:val="24"/>
          <w:lang w:val="en-US"/>
        </w:rPr>
        <w:t>by</w:t>
      </w:r>
      <w:r w:rsidR="00004842" w:rsidRPr="005C7810">
        <w:rPr>
          <w:rFonts w:ascii="Book Antiqua" w:hAnsi="Book Antiqua" w:cs="Times New Roman"/>
          <w:sz w:val="24"/>
          <w:szCs w:val="24"/>
          <w:lang w:val="en-US"/>
        </w:rPr>
        <w:t xml:space="preserve"> wild-type TP53</w:t>
      </w:r>
      <w:r w:rsidR="00E46196" w:rsidRPr="005C7810">
        <w:rPr>
          <w:rFonts w:ascii="Book Antiqua" w:hAnsi="Book Antiqua" w:cs="Times New Roman"/>
          <w:sz w:val="24"/>
          <w:szCs w:val="24"/>
          <w:lang w:val="en-US"/>
        </w:rPr>
        <w:t>;</w:t>
      </w:r>
      <w:r w:rsidR="00004842" w:rsidRPr="005C7810">
        <w:rPr>
          <w:rFonts w:ascii="Book Antiqua" w:hAnsi="Book Antiqua" w:cs="Times New Roman"/>
          <w:sz w:val="24"/>
          <w:szCs w:val="24"/>
          <w:lang w:val="en-US"/>
        </w:rPr>
        <w:t xml:space="preserve"> </w:t>
      </w:r>
      <w:r w:rsidR="00E46196" w:rsidRPr="005C7810">
        <w:rPr>
          <w:rFonts w:ascii="Book Antiqua" w:hAnsi="Book Antiqua" w:cs="Times New Roman"/>
          <w:sz w:val="24"/>
          <w:szCs w:val="24"/>
          <w:lang w:val="en-US"/>
        </w:rPr>
        <w:t>t</w:t>
      </w:r>
      <w:r w:rsidR="00004842" w:rsidRPr="005C7810">
        <w:rPr>
          <w:rFonts w:ascii="Book Antiqua" w:hAnsi="Book Antiqua" w:cs="Times New Roman"/>
          <w:sz w:val="24"/>
          <w:szCs w:val="24"/>
          <w:lang w:val="en-US"/>
        </w:rPr>
        <w:t>h</w:t>
      </w:r>
      <w:r w:rsidR="00E46196" w:rsidRPr="005C7810">
        <w:rPr>
          <w:rFonts w:ascii="Book Antiqua" w:hAnsi="Book Antiqua" w:cs="Times New Roman"/>
          <w:sz w:val="24"/>
          <w:szCs w:val="24"/>
          <w:lang w:val="en-US"/>
        </w:rPr>
        <w:t>is</w:t>
      </w:r>
      <w:r w:rsidR="00004842" w:rsidRPr="005C7810">
        <w:rPr>
          <w:rFonts w:ascii="Book Antiqua" w:hAnsi="Book Antiqua" w:cs="Times New Roman"/>
          <w:sz w:val="24"/>
          <w:szCs w:val="24"/>
          <w:lang w:val="en-US"/>
        </w:rPr>
        <w:t xml:space="preserve"> study is ongoing</w:t>
      </w:r>
      <w:r w:rsidR="00997C48"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{"citationItems":[{"id":"ITEM-1","itemData":{"author":[{"dropping-particle":"","family":"Novartis Pharmaceuticals","given":"","non-dropping-particle":"","parse-names":false,"suffix":""}],"container-title":"ClinicalTrials.gov [Internet]. Bethesda (MD): U.S. National Library of Medicine","id":"ITEM-1","issued":{"date-parts":[["0"]]},"title":"Study to Determine and Evaluate a Safe and Tolerated Dose of HDM201 in Patients With Selected Advanced Tumors That Are TP53 wt","type":"article-journal"},"uris":["http://www.mendeley.com/documents/?uuid=1310beda-f868-4c5b-ac2b-359d7f80ad77","http://www.mendeley.com/documents/?uuid=40f50516-6d80-401c-850f-00a611b2af2d"]}],"mendeley":{"formattedCitation":"&lt;sup&gt;[170]&lt;/sup&gt;","plainTextFormattedCitation":"[170]","previouslyFormattedCitation":"&lt;sup&gt;[170]&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[170]</w:t>
      </w:r>
      <w:r w:rsidR="00997C48" w:rsidRPr="005C7810">
        <w:rPr>
          <w:rFonts w:ascii="Book Antiqua" w:hAnsi="Book Antiqua" w:cs="Times New Roman"/>
          <w:sz w:val="24"/>
          <w:szCs w:val="24"/>
          <w:lang w:val="en-US"/>
        </w:rPr>
        <w:fldChar w:fldCharType="end"/>
      </w:r>
      <w:r w:rsidR="00004842" w:rsidRPr="005C7810">
        <w:rPr>
          <w:rFonts w:ascii="Book Antiqua" w:hAnsi="Book Antiqua" w:cs="Times New Roman"/>
          <w:sz w:val="24"/>
          <w:szCs w:val="24"/>
          <w:lang w:val="en-US"/>
        </w:rPr>
        <w:t>.</w:t>
      </w:r>
      <w:r w:rsidR="00B26A44" w:rsidRPr="005C7810">
        <w:rPr>
          <w:rFonts w:ascii="Book Antiqua" w:hAnsi="Book Antiqua" w:cs="Times New Roman"/>
          <w:color w:val="000000"/>
          <w:sz w:val="24"/>
          <w:szCs w:val="24"/>
          <w:lang w:val="en-US"/>
        </w:rPr>
        <w:t xml:space="preserve"> </w:t>
      </w:r>
      <w:r w:rsidR="006A05F4" w:rsidRPr="005C7810">
        <w:rPr>
          <w:rFonts w:ascii="Book Antiqua" w:hAnsi="Book Antiqua" w:cs="Times New Roman"/>
          <w:color w:val="000000"/>
          <w:sz w:val="24"/>
          <w:szCs w:val="24"/>
          <w:lang w:val="en-US"/>
        </w:rPr>
        <w:t xml:space="preserve">No </w:t>
      </w:r>
      <w:r w:rsidR="00E46196" w:rsidRPr="005C7810">
        <w:rPr>
          <w:rFonts w:ascii="Book Antiqua" w:hAnsi="Book Antiqua" w:cs="Times New Roman"/>
          <w:color w:val="000000"/>
          <w:sz w:val="24"/>
          <w:szCs w:val="24"/>
          <w:lang w:val="en-US"/>
        </w:rPr>
        <w:t xml:space="preserve">clinical </w:t>
      </w:r>
      <w:r w:rsidR="006A05F4" w:rsidRPr="005C7810">
        <w:rPr>
          <w:rFonts w:ascii="Book Antiqua" w:hAnsi="Book Antiqua" w:cs="Times New Roman"/>
          <w:color w:val="000000"/>
          <w:sz w:val="24"/>
          <w:szCs w:val="24"/>
          <w:lang w:val="en-US"/>
        </w:rPr>
        <w:t xml:space="preserve">trial </w:t>
      </w:r>
      <w:r w:rsidR="00E46196" w:rsidRPr="005C7810">
        <w:rPr>
          <w:rFonts w:ascii="Book Antiqua" w:hAnsi="Book Antiqua" w:cs="Times New Roman"/>
          <w:color w:val="000000"/>
          <w:sz w:val="24"/>
          <w:szCs w:val="24"/>
          <w:lang w:val="en-US"/>
        </w:rPr>
        <w:t>has been</w:t>
      </w:r>
      <w:r w:rsidR="006A05F4" w:rsidRPr="005C7810">
        <w:rPr>
          <w:rFonts w:ascii="Book Antiqua" w:hAnsi="Book Antiqua" w:cs="Times New Roman"/>
          <w:color w:val="000000"/>
          <w:sz w:val="24"/>
          <w:szCs w:val="24"/>
          <w:lang w:val="en-US"/>
        </w:rPr>
        <w:t xml:space="preserve"> performed on the use of MMP inhibitors in GC. </w:t>
      </w:r>
    </w:p>
    <w:p w:rsidR="000F5BB0" w:rsidRPr="005C7810" w:rsidRDefault="000F5BB0" w:rsidP="00CD380F">
      <w:pPr>
        <w:shd w:val="clear" w:color="auto" w:fill="FFFFFF"/>
        <w:snapToGrid w:val="0"/>
        <w:spacing w:after="0" w:line="360" w:lineRule="auto"/>
        <w:jc w:val="both"/>
        <w:rPr>
          <w:rFonts w:ascii="Book Antiqua" w:hAnsi="Book Antiqua" w:cs="Times New Roman"/>
          <w:sz w:val="24"/>
          <w:szCs w:val="24"/>
          <w:lang w:val="en-US"/>
        </w:rPr>
      </w:pPr>
    </w:p>
    <w:p w:rsidR="00356A51" w:rsidRPr="005C7810" w:rsidRDefault="00356A51" w:rsidP="00CD380F">
      <w:pPr>
        <w:shd w:val="clear" w:color="auto" w:fill="FFFFFF"/>
        <w:snapToGrid w:val="0"/>
        <w:spacing w:after="0" w:line="360" w:lineRule="auto"/>
        <w:jc w:val="both"/>
        <w:rPr>
          <w:rFonts w:ascii="Book Antiqua" w:hAnsi="Book Antiqua" w:cs="Times New Roman"/>
          <w:b/>
          <w:i/>
          <w:color w:val="000000"/>
          <w:sz w:val="24"/>
          <w:szCs w:val="24"/>
          <w:lang w:val="en-US"/>
        </w:rPr>
      </w:pPr>
      <w:r w:rsidRPr="005C7810">
        <w:rPr>
          <w:rFonts w:ascii="Book Antiqua" w:hAnsi="Book Antiqua" w:cs="Times New Roman"/>
          <w:b/>
          <w:i/>
          <w:color w:val="000000"/>
          <w:sz w:val="24"/>
          <w:szCs w:val="24"/>
          <w:lang w:val="en-US"/>
        </w:rPr>
        <w:t>PARP signaling pathway</w:t>
      </w:r>
    </w:p>
    <w:p w:rsidR="008900DB" w:rsidRPr="005C7810" w:rsidRDefault="00503DCE" w:rsidP="00CD380F">
      <w:pPr>
        <w:spacing w:after="0" w:line="360" w:lineRule="auto"/>
        <w:jc w:val="both"/>
        <w:rPr>
          <w:rFonts w:ascii="Book Antiqua" w:hAnsi="Book Antiqua"/>
          <w:color w:val="000000"/>
          <w:sz w:val="24"/>
          <w:szCs w:val="24"/>
          <w:lang w:val="en-US"/>
        </w:rPr>
      </w:pPr>
      <w:r w:rsidRPr="005C7810">
        <w:rPr>
          <w:rFonts w:ascii="Book Antiqua" w:hAnsi="Book Antiqua"/>
          <w:color w:val="000000"/>
          <w:sz w:val="24"/>
          <w:szCs w:val="24"/>
          <w:lang w:val="en-US"/>
        </w:rPr>
        <w:t>In response to DNA damage, sensors and effectors are activated that induce cell cycle arrest, damage repair</w:t>
      </w:r>
      <w:r w:rsidR="00972821" w:rsidRPr="005C7810">
        <w:rPr>
          <w:rFonts w:ascii="Book Antiqua" w:hAnsi="Book Antiqua"/>
          <w:color w:val="000000"/>
          <w:sz w:val="24"/>
          <w:szCs w:val="24"/>
          <w:lang w:val="en-US"/>
        </w:rPr>
        <w:t>,</w:t>
      </w:r>
      <w:r w:rsidRPr="005C7810">
        <w:rPr>
          <w:rFonts w:ascii="Book Antiqua" w:hAnsi="Book Antiqua"/>
          <w:color w:val="000000"/>
          <w:sz w:val="24"/>
          <w:szCs w:val="24"/>
          <w:lang w:val="en-US"/>
        </w:rPr>
        <w:t xml:space="preserve"> and eventually cell apoptosis. PARP inhibitors act by preventing breakage of the single DNA strand and induce tumor cell death</w:t>
      </w:r>
      <w:r w:rsidRPr="005C7810">
        <w:rPr>
          <w:rFonts w:ascii="Book Antiqua" w:hAnsi="Book Antiqua"/>
          <w:color w:val="000000"/>
          <w:sz w:val="24"/>
          <w:szCs w:val="24"/>
          <w:vertAlign w:val="superscript"/>
          <w:lang w:val="en-US"/>
        </w:rPr>
        <w:fldChar w:fldCharType="begin" w:fldLock="1"/>
      </w:r>
      <w:r w:rsidRPr="005C7810">
        <w:rPr>
          <w:rFonts w:ascii="Book Antiqua" w:hAnsi="Book Antiqua"/>
          <w:color w:val="000000"/>
          <w:sz w:val="24"/>
          <w:szCs w:val="24"/>
          <w:vertAlign w:val="superscript"/>
          <w:lang w:val="en-US"/>
        </w:rPr>
        <w:instrText>ADDIN CSL_CITATION {"citationItems":[{"id":"ITEM-1","itemData":{"DOI":"10.1093/annonc/mdq322","ISSN":"09237534","abstract":"BACKGROUND: Poly(adenosine diphosphate [ADP]-ribose) polymerase (PARP) inhibitors, with novel and selective mechanisms of action, have moved from the laboratory to the clinic in just the last few years.\\n\\nDESIGN: We conducted an extensive review of PARP inhibitors using a Medline search. We also searched abstracts in databases of major international oncology meetings from the last 4 years.\\n\\nRESULTS: To understand the mechanisms of action of PARP inhibitors requires a basic understanding of DNA repair mechanisms and the critical role of the PARP enzyme. We briefly review these DNA repair mechanisms, the concept of 'synthetic lethality', and how PARP inhibitors play a role to selectively disrupt DNA repair in cells with absent or dysfunctional BRCA genes. We review the preclinical data highlighting this unique and selective mechanism of action and we discuss early but highly promising clinical data and ongoing studies.\\n\\nCONCLUSION: PARP inhibitors show promise as a powerful therapeutic tool, especially in the management of BRCA-associated breast and ovarian cancers but also in tumours where BRCA genes may be dysfunctional. Clinical studies are ongoing and many translational questions remain unanswered that will help clarify how to determine the best way to use PARP inhibitors.","author":[{"dropping-particle":"","family":"Underhill","given":"C.","non-dropping-particle":"","parse-names":false,"suffix":""},{"dropping-particle":"","family":"Toulmonde","given":"M.","non-dropping-particle":"","parse-names":false,"suffix":""},{"dropping-particle":"","family":"Bonnefoi","given":"H.","non-dropping-particle":"","parse-names":false,"suffix":""}],"container-title":"Annals of Oncology","id":"ITEM-1","issue":"2","issued":{"date-parts":[["2011"]]},"page":"268-279","title":"A review of PARP inhibitors: From bench to bedside","type":"article-journal","volume":"22"},"uris":["http://www.mendeley.com/documents/?uuid=85e98741-00a5-4d83-8fe4-1b3ee13a5a5a"]}],"mendeley":{"formattedCitation":"&lt;sup&gt;[171]&lt;/sup&gt;","plainTextFormattedCitation":"[171]","previouslyFormattedCitation":"&lt;sup&gt;[171]&lt;/sup&gt;"},"properties":{"noteIndex":0},"schema":"https://github.com/citation-style-language/schema/raw/master/csl-citation.json"}</w:instrText>
      </w:r>
      <w:r w:rsidRPr="005C7810">
        <w:rPr>
          <w:rFonts w:ascii="Book Antiqua" w:hAnsi="Book Antiqua"/>
          <w:color w:val="000000"/>
          <w:sz w:val="24"/>
          <w:szCs w:val="24"/>
          <w:vertAlign w:val="superscript"/>
          <w:lang w:val="en-US"/>
        </w:rPr>
        <w:fldChar w:fldCharType="separate"/>
      </w:r>
      <w:r w:rsidRPr="005C7810">
        <w:rPr>
          <w:rFonts w:ascii="Book Antiqua" w:hAnsi="Book Antiqua"/>
          <w:color w:val="000000"/>
          <w:sz w:val="24"/>
          <w:szCs w:val="24"/>
          <w:vertAlign w:val="superscript"/>
          <w:lang w:val="en-US"/>
        </w:rPr>
        <w:t>[171]</w:t>
      </w:r>
      <w:r w:rsidRPr="005C7810">
        <w:rPr>
          <w:rFonts w:ascii="Book Antiqua" w:hAnsi="Book Antiqua"/>
          <w:color w:val="000000"/>
          <w:sz w:val="24"/>
          <w:szCs w:val="24"/>
          <w:vertAlign w:val="superscript"/>
          <w:lang w:val="en-US"/>
        </w:rPr>
        <w:fldChar w:fldCharType="end"/>
      </w:r>
      <w:r w:rsidRPr="005C7810">
        <w:rPr>
          <w:rFonts w:ascii="Book Antiqua" w:hAnsi="Book Antiqua"/>
          <w:color w:val="000000"/>
          <w:sz w:val="24"/>
          <w:szCs w:val="24"/>
          <w:lang w:val="en-US"/>
        </w:rPr>
        <w:t xml:space="preserve">. </w:t>
      </w:r>
      <w:r w:rsidRPr="005C7810">
        <w:rPr>
          <w:rFonts w:ascii="Book Antiqua" w:hAnsi="Book Antiqua"/>
          <w:i/>
          <w:iCs/>
          <w:color w:val="000000"/>
          <w:sz w:val="24"/>
          <w:szCs w:val="24"/>
          <w:lang w:val="en-US"/>
        </w:rPr>
        <w:t>In vitro</w:t>
      </w:r>
      <w:r w:rsidRPr="005C7810">
        <w:rPr>
          <w:rFonts w:ascii="Book Antiqua" w:hAnsi="Book Antiqua"/>
          <w:color w:val="000000"/>
          <w:sz w:val="24"/>
          <w:szCs w:val="24"/>
          <w:lang w:val="en-US"/>
        </w:rPr>
        <w:t xml:space="preserve">, gastric carcinoma cell lines, particularly those in which </w:t>
      </w:r>
      <w:r w:rsidR="002200A6" w:rsidRPr="005C7810">
        <w:rPr>
          <w:rFonts w:ascii="Book Antiqua" w:hAnsi="Book Antiqua"/>
          <w:color w:val="000000"/>
          <w:sz w:val="24"/>
          <w:szCs w:val="24"/>
          <w:lang w:val="en-US"/>
        </w:rPr>
        <w:t xml:space="preserve">the </w:t>
      </w:r>
      <w:r w:rsidRPr="005C7810">
        <w:rPr>
          <w:rFonts w:ascii="Book Antiqua" w:hAnsi="Book Antiqua"/>
          <w:color w:val="000000"/>
          <w:sz w:val="24"/>
          <w:szCs w:val="24"/>
          <w:lang w:val="en-US"/>
        </w:rPr>
        <w:t xml:space="preserve">ATM </w:t>
      </w:r>
      <w:r w:rsidR="002200A6" w:rsidRPr="005C7810">
        <w:rPr>
          <w:rFonts w:ascii="Book Antiqua" w:hAnsi="Book Antiqua"/>
          <w:color w:val="000000"/>
          <w:sz w:val="24"/>
          <w:szCs w:val="24"/>
          <w:lang w:val="en-US"/>
        </w:rPr>
        <w:t>s</w:t>
      </w:r>
      <w:r w:rsidRPr="005C7810">
        <w:rPr>
          <w:rFonts w:ascii="Book Antiqua" w:hAnsi="Book Antiqua"/>
          <w:color w:val="000000"/>
          <w:sz w:val="24"/>
          <w:szCs w:val="24"/>
          <w:lang w:val="en-US"/>
        </w:rPr>
        <w:t>erine/</w:t>
      </w:r>
      <w:r w:rsidR="002200A6" w:rsidRPr="005C7810">
        <w:rPr>
          <w:rFonts w:ascii="Book Antiqua" w:hAnsi="Book Antiqua"/>
          <w:color w:val="000000"/>
          <w:sz w:val="24"/>
          <w:szCs w:val="24"/>
          <w:lang w:val="en-US"/>
        </w:rPr>
        <w:t>t</w:t>
      </w:r>
      <w:r w:rsidRPr="005C7810">
        <w:rPr>
          <w:rFonts w:ascii="Book Antiqua" w:hAnsi="Book Antiqua"/>
          <w:color w:val="000000"/>
          <w:sz w:val="24"/>
          <w:szCs w:val="24"/>
          <w:lang w:val="en-US"/>
        </w:rPr>
        <w:t xml:space="preserve">hreonine </w:t>
      </w:r>
      <w:r w:rsidR="002200A6" w:rsidRPr="005C7810">
        <w:rPr>
          <w:rFonts w:ascii="Book Antiqua" w:hAnsi="Book Antiqua"/>
          <w:color w:val="000000"/>
          <w:sz w:val="24"/>
          <w:szCs w:val="24"/>
          <w:lang w:val="en-US"/>
        </w:rPr>
        <w:t>k</w:t>
      </w:r>
      <w:r w:rsidRPr="005C7810">
        <w:rPr>
          <w:rFonts w:ascii="Book Antiqua" w:hAnsi="Book Antiqua"/>
          <w:color w:val="000000"/>
          <w:sz w:val="24"/>
          <w:szCs w:val="24"/>
          <w:lang w:val="en-US"/>
        </w:rPr>
        <w:t>inase expression levels are low, were sensitive to the action of olaparib</w:t>
      </w:r>
      <w:r w:rsidR="002200A6" w:rsidRPr="005C7810">
        <w:rPr>
          <w:rFonts w:ascii="Book Antiqua" w:hAnsi="Book Antiqua"/>
          <w:color w:val="000000"/>
          <w:sz w:val="24"/>
          <w:szCs w:val="24"/>
          <w:lang w:val="en-US"/>
        </w:rPr>
        <w:t xml:space="preserve"> (PARP inhibitor)</w:t>
      </w:r>
      <w:r w:rsidRPr="005C7810">
        <w:rPr>
          <w:rFonts w:ascii="Book Antiqua" w:hAnsi="Book Antiqua"/>
          <w:color w:val="000000"/>
          <w:sz w:val="24"/>
          <w:szCs w:val="24"/>
          <w:vertAlign w:val="superscript"/>
          <w:lang w:val="en-US"/>
        </w:rPr>
        <w:fldChar w:fldCharType="begin" w:fldLock="1"/>
      </w:r>
      <w:r w:rsidRPr="005C7810">
        <w:rPr>
          <w:rFonts w:ascii="Book Antiqua" w:hAnsi="Book Antiqua"/>
          <w:color w:val="000000"/>
          <w:sz w:val="24"/>
          <w:szCs w:val="24"/>
          <w:vertAlign w:val="superscript"/>
          <w:lang w:val="en-US"/>
        </w:rPr>
        <w:instrText>ADDIN CSL_CITATION {"citationItems":[{"id":"ITEM-1","itemData":{"DOI":"10.4161/cc.29212","ISSN":"15514005","abstract":"Small-molecule inhibitors of poly (ADP-ribose) polymerase (PARP) have shown considerable promise in the treatment of homologous recombination (HR)-defective tumors, such as BRCA1- and BRCA2-deficient breast and ovarian cancers. We previously reported that mantle cell lymphoma cells with deficiency in ataxia telangiectasia mutated (ATM) are sensitive to PARP-1 inhibitors in vitro and in vivo. Here, we report that PARP inhibitors can potentially target ATM deficiency arising in a solid malignancy. We show that ATM protein expression varies between gastric cancer cell lines, with NUGC4 having significantly reduced protein levels. Significant correlation was found between ATM protein expression and sensitivity to the PARP inhibitor olaparib, with NUGC4 being the most sensitive. Moreover, reducing ATM kinase activity using a small-molecule inhibitor (KU55933) or shRNA-mediated depletion of ATM protein enhanced olaparib sensitivity in gastric cancer cell lines with depletion or inactivation of p53. Our results demonstrate that ATM is a potential predictive biomarker for PARP-1 inhibitor activity in gastric cancer harboring disruption of p53, and that combined inhibition of ATM and PARP-1 is a rational strategy for expanding the utility of PARP-1 inhibitors to gastric cancer with p53 disruption. © 2014 Landes Bioscience.","author":[{"dropping-particle":"","family":"Kubota","given":"Eiji","non-dropping-particle":"","parse-names":false,"suffix":""},{"dropping-particle":"","family":"Williamson","given":"Christopher T.","non-dropping-particle":"","parse-names":false,"suffix":""},{"dropping-particle":"","family":"Ye","given":"Ruiqiong","non-dropping-particle":"","parse-names":false,"suffix":""},{"dropping-particle":"","family":"Elegbede","given":"Anifat","non-dropping-particle":"","parse-names":false,"suffix":""},{"dropping-particle":"","family":"Peterson","given":"Lars","non-dropping-particle":"","parse-names":false,"suffix":""},{"dropping-particle":"","family":"Lees-Miller","given":"Susan P.","non-dropping-particle":"","parse-names":false,"suffix":""},{"dropping-particle":"","family":"Bebb","given":"D. Gwyn","non-dropping-particle":"","parse-names":false,"suffix":""}],"container-title":"Cell Cycle","id":"ITEM-1","issue":"13","issued":{"date-parts":[["2014"]]},"page":"2129-2137","title":"Low ATM protein expression and depletion of p53 correlates with olaparib sensitivity in gastric cancer cell lines","type":"article-journal","volume":"13"},"uris":["http://www.mendeley.com/documents/?uuid=63df2798-320e-44ec-894c-2d230a132a56"]}],"mendeley":{"formattedCitation":"&lt;sup&gt;[172]&lt;/sup&gt;","plainTextFormattedCitation":"[172]","previouslyFormattedCitation":"&lt;sup&gt;[172]&lt;/sup&gt;"},"properties":{"noteIndex":0},"schema":"https://github.com/citation-style-language/schema/raw/master/csl-citation.json"}</w:instrText>
      </w:r>
      <w:r w:rsidRPr="005C7810">
        <w:rPr>
          <w:rFonts w:ascii="Book Antiqua" w:hAnsi="Book Antiqua"/>
          <w:color w:val="000000"/>
          <w:sz w:val="24"/>
          <w:szCs w:val="24"/>
          <w:vertAlign w:val="superscript"/>
          <w:lang w:val="en-US"/>
        </w:rPr>
        <w:fldChar w:fldCharType="separate"/>
      </w:r>
      <w:r w:rsidRPr="005C7810">
        <w:rPr>
          <w:rFonts w:ascii="Book Antiqua" w:hAnsi="Book Antiqua"/>
          <w:color w:val="000000"/>
          <w:sz w:val="24"/>
          <w:szCs w:val="24"/>
          <w:vertAlign w:val="superscript"/>
          <w:lang w:val="en-US"/>
        </w:rPr>
        <w:t>[172]</w:t>
      </w:r>
      <w:r w:rsidRPr="005C7810">
        <w:rPr>
          <w:rFonts w:ascii="Book Antiqua" w:hAnsi="Book Antiqua"/>
          <w:color w:val="000000"/>
          <w:sz w:val="24"/>
          <w:szCs w:val="24"/>
          <w:vertAlign w:val="superscript"/>
          <w:lang w:val="en-US"/>
        </w:rPr>
        <w:fldChar w:fldCharType="end"/>
      </w:r>
      <w:r w:rsidRPr="005C7810">
        <w:rPr>
          <w:rFonts w:ascii="Book Antiqua" w:hAnsi="Book Antiqua"/>
          <w:color w:val="000000"/>
          <w:sz w:val="24"/>
          <w:szCs w:val="24"/>
          <w:lang w:val="en-US"/>
        </w:rPr>
        <w:t xml:space="preserve">. In </w:t>
      </w:r>
      <w:r w:rsidR="002200A6" w:rsidRPr="005C7810">
        <w:rPr>
          <w:rFonts w:ascii="Book Antiqua" w:hAnsi="Book Antiqua"/>
          <w:color w:val="000000"/>
          <w:sz w:val="24"/>
          <w:szCs w:val="24"/>
          <w:lang w:val="en-US"/>
        </w:rPr>
        <w:t xml:space="preserve">a </w:t>
      </w:r>
      <w:r w:rsidRPr="005C7810">
        <w:rPr>
          <w:rFonts w:ascii="Book Antiqua" w:hAnsi="Book Antiqua"/>
          <w:color w:val="000000"/>
          <w:sz w:val="24"/>
          <w:szCs w:val="24"/>
          <w:lang w:val="en-US"/>
        </w:rPr>
        <w:t>phase II study</w:t>
      </w:r>
      <w:r w:rsidR="002200A6" w:rsidRPr="005C7810">
        <w:rPr>
          <w:rFonts w:ascii="Book Antiqua" w:hAnsi="Book Antiqua"/>
          <w:color w:val="000000"/>
          <w:sz w:val="24"/>
          <w:szCs w:val="24"/>
          <w:lang w:val="en-US"/>
        </w:rPr>
        <w:t>,</w:t>
      </w:r>
      <w:r w:rsidRPr="005C7810">
        <w:rPr>
          <w:rFonts w:ascii="Book Antiqua" w:hAnsi="Book Antiqua"/>
          <w:color w:val="000000"/>
          <w:sz w:val="24"/>
          <w:szCs w:val="24"/>
          <w:lang w:val="en-US"/>
        </w:rPr>
        <w:t xml:space="preserve"> the efficacy of olaparib (AZD-221) plus paclitaxel was evaluated </w:t>
      </w:r>
      <w:r w:rsidR="002200A6" w:rsidRPr="005C7810">
        <w:rPr>
          <w:rFonts w:ascii="Book Antiqua" w:hAnsi="Book Antiqua"/>
          <w:i/>
          <w:iCs/>
          <w:color w:val="000000"/>
          <w:sz w:val="24"/>
          <w:szCs w:val="24"/>
          <w:lang w:val="en-US"/>
        </w:rPr>
        <w:t xml:space="preserve">vs </w:t>
      </w:r>
      <w:r w:rsidR="002200A6" w:rsidRPr="005C7810">
        <w:rPr>
          <w:rFonts w:ascii="Book Antiqua" w:hAnsi="Book Antiqua"/>
          <w:color w:val="000000"/>
          <w:sz w:val="24"/>
          <w:szCs w:val="24"/>
          <w:lang w:val="en-US"/>
        </w:rPr>
        <w:t xml:space="preserve">paclitaxel </w:t>
      </w:r>
      <w:r w:rsidRPr="005C7810">
        <w:rPr>
          <w:rFonts w:ascii="Book Antiqua" w:hAnsi="Book Antiqua"/>
          <w:color w:val="000000"/>
          <w:sz w:val="24"/>
          <w:szCs w:val="24"/>
          <w:lang w:val="en-US"/>
        </w:rPr>
        <w:t>in patients with recurrent or metastatic GC whose ATM expression levels were low or undetectable (Study 39; NCT01063517)</w:t>
      </w:r>
      <w:r w:rsidR="008676AC" w:rsidRPr="005C7810">
        <w:rPr>
          <w:rFonts w:ascii="Book Antiqua" w:hAnsi="Book Antiqua"/>
          <w:color w:val="000000"/>
          <w:sz w:val="24"/>
          <w:szCs w:val="24"/>
          <w:vertAlign w:val="superscript"/>
          <w:lang w:val="en-US"/>
        </w:rPr>
        <w:fldChar w:fldCharType="begin" w:fldLock="1"/>
      </w:r>
      <w:r w:rsidR="008676AC" w:rsidRPr="005C7810">
        <w:rPr>
          <w:rFonts w:ascii="Book Antiqua" w:hAnsi="Book Antiqua"/>
          <w:color w:val="000000"/>
          <w:sz w:val="24"/>
          <w:szCs w:val="24"/>
          <w:vertAlign w:val="superscript"/>
          <w:lang w:val="en-US"/>
        </w:rPr>
        <w:instrText>ADDIN CSL_CITATION {"citationItems":[{"id":"ITEM-1","itemData":{"author":[{"dropping-particle":"","family":"Bang","given":"YJ","non-dropping-particle":"","parse-names":false,"suffix":""}],"container-title":"In: ClinicalTrials.gov[Internet]. Bethesda: U.S. National Library of Medicine. Available from: https://clinicaltrials.gov/ct2/show/NCT01924533 Clinical Trials.gov Identifier: NCT01924533","id":"ITEM-1","issued":{"date-parts":[["0"]]},"title":"Efficacy and Safety Study of Olaparib in Combination With Paclitaxel to Treat Advanced Gastric Cancer.","type":"article-journal"},"uris":["http://www.mendeley.com/documents/?uuid=889a549d-6d4f-4a7a-bdc7-422450652a40"]}],"mendeley":{"formattedCitation":"&lt;sup&gt;[173]&lt;/sup&gt;","plainTextFormattedCitation":"[173]","previouslyFormattedCitation":"&lt;sup&gt;[173]&lt;/sup&gt;"},"properties":{"noteIndex":0},"schema":"https://github.com/citation-style-language/schema/raw/master/csl-citation.json"}</w:instrText>
      </w:r>
      <w:r w:rsidR="008676AC" w:rsidRPr="005C7810">
        <w:rPr>
          <w:rFonts w:ascii="Book Antiqua" w:hAnsi="Book Antiqua"/>
          <w:color w:val="000000"/>
          <w:sz w:val="24"/>
          <w:szCs w:val="24"/>
          <w:vertAlign w:val="superscript"/>
          <w:lang w:val="en-US"/>
        </w:rPr>
        <w:fldChar w:fldCharType="separate"/>
      </w:r>
      <w:r w:rsidR="008676AC" w:rsidRPr="005C7810">
        <w:rPr>
          <w:rFonts w:ascii="Book Antiqua" w:hAnsi="Book Antiqua"/>
          <w:color w:val="000000"/>
          <w:sz w:val="24"/>
          <w:szCs w:val="24"/>
          <w:vertAlign w:val="superscript"/>
          <w:lang w:val="en-US"/>
        </w:rPr>
        <w:t>[173]</w:t>
      </w:r>
      <w:r w:rsidR="008676AC" w:rsidRPr="005C7810">
        <w:rPr>
          <w:rFonts w:ascii="Book Antiqua" w:hAnsi="Book Antiqua"/>
          <w:color w:val="000000"/>
          <w:sz w:val="24"/>
          <w:szCs w:val="24"/>
          <w:vertAlign w:val="superscript"/>
          <w:lang w:val="en-US"/>
        </w:rPr>
        <w:fldChar w:fldCharType="end"/>
      </w:r>
      <w:r w:rsidR="008676AC" w:rsidRPr="005C7810">
        <w:rPr>
          <w:rFonts w:ascii="Book Antiqua" w:hAnsi="Book Antiqua"/>
          <w:color w:val="000000"/>
          <w:sz w:val="24"/>
          <w:szCs w:val="24"/>
          <w:lang w:val="en-US"/>
        </w:rPr>
        <w:t xml:space="preserve">. </w:t>
      </w:r>
      <w:r w:rsidRPr="005C7810">
        <w:rPr>
          <w:rFonts w:ascii="Book Antiqua" w:hAnsi="Book Antiqua"/>
          <w:color w:val="000000"/>
          <w:sz w:val="24"/>
          <w:szCs w:val="24"/>
          <w:lang w:val="en-US"/>
        </w:rPr>
        <w:t>The combination of olaparib plus paclitaxel significantly improved OS compared to placebo/paclitaxel</w:t>
      </w:r>
      <w:r w:rsidR="002200A6" w:rsidRPr="005C7810">
        <w:rPr>
          <w:rFonts w:ascii="Book Antiqua" w:hAnsi="Book Antiqua"/>
          <w:color w:val="000000"/>
          <w:sz w:val="24"/>
          <w:szCs w:val="24"/>
          <w:lang w:val="en-US"/>
        </w:rPr>
        <w:t>,</w:t>
      </w:r>
      <w:r w:rsidR="008676AC" w:rsidRPr="005C7810">
        <w:rPr>
          <w:rFonts w:ascii="Book Antiqua" w:hAnsi="Book Antiqua"/>
          <w:color w:val="000000"/>
          <w:sz w:val="24"/>
          <w:szCs w:val="24"/>
          <w:lang w:val="en-US"/>
        </w:rPr>
        <w:t xml:space="preserve"> both in the general population</w:t>
      </w:r>
      <w:r w:rsidRPr="005C7810">
        <w:rPr>
          <w:rFonts w:ascii="Book Antiqua" w:hAnsi="Book Antiqua"/>
          <w:color w:val="000000"/>
          <w:sz w:val="24"/>
          <w:szCs w:val="24"/>
          <w:lang w:val="en-US"/>
        </w:rPr>
        <w:t xml:space="preserve"> and in the population with low ATM levels (13.1 </w:t>
      </w:r>
      <w:r w:rsidRPr="005C7810">
        <w:rPr>
          <w:rFonts w:ascii="Book Antiqua" w:hAnsi="Book Antiqua"/>
          <w:i/>
          <w:color w:val="000000"/>
          <w:sz w:val="24"/>
          <w:szCs w:val="24"/>
          <w:lang w:val="en-US"/>
        </w:rPr>
        <w:t>v</w:t>
      </w:r>
      <w:r w:rsidR="007B5FCB" w:rsidRPr="005C7810">
        <w:rPr>
          <w:rFonts w:ascii="Book Antiqua" w:hAnsi="Book Antiqua"/>
          <w:i/>
          <w:color w:val="000000"/>
          <w:sz w:val="24"/>
          <w:szCs w:val="24"/>
          <w:lang w:val="en-US"/>
        </w:rPr>
        <w:t>s</w:t>
      </w:r>
      <w:r w:rsidRPr="005C7810">
        <w:rPr>
          <w:rFonts w:ascii="Book Antiqua" w:hAnsi="Book Antiqua"/>
          <w:i/>
          <w:color w:val="000000"/>
          <w:sz w:val="24"/>
          <w:szCs w:val="24"/>
          <w:lang w:val="en-US"/>
        </w:rPr>
        <w:t xml:space="preserve"> </w:t>
      </w:r>
      <w:r w:rsidRPr="005C7810">
        <w:rPr>
          <w:rFonts w:ascii="Book Antiqua" w:hAnsi="Book Antiqua"/>
          <w:color w:val="000000"/>
          <w:sz w:val="24"/>
          <w:szCs w:val="24"/>
          <w:lang w:val="en-US"/>
        </w:rPr>
        <w:t>8.3 m</w:t>
      </w:r>
      <w:r w:rsidR="00C114B2" w:rsidRPr="005C7810">
        <w:rPr>
          <w:rFonts w:ascii="Book Antiqua" w:hAnsi="Book Antiqua"/>
          <w:color w:val="000000"/>
          <w:sz w:val="24"/>
          <w:szCs w:val="24"/>
          <w:lang w:val="en-US"/>
        </w:rPr>
        <w:t>o</w:t>
      </w:r>
      <w:r w:rsidRPr="005C7810">
        <w:rPr>
          <w:rFonts w:ascii="Book Antiqua" w:hAnsi="Book Antiqua"/>
          <w:color w:val="000000"/>
          <w:sz w:val="24"/>
          <w:szCs w:val="24"/>
          <w:lang w:val="en-US"/>
        </w:rPr>
        <w:t>)</w:t>
      </w:r>
      <w:r w:rsidR="008676AC" w:rsidRPr="005C7810">
        <w:rPr>
          <w:rFonts w:ascii="Book Antiqua" w:hAnsi="Book Antiqua"/>
          <w:color w:val="000000"/>
          <w:sz w:val="24"/>
          <w:szCs w:val="24"/>
          <w:vertAlign w:val="superscript"/>
          <w:lang w:val="en-US"/>
        </w:rPr>
        <w:fldChar w:fldCharType="begin" w:fldLock="1"/>
      </w:r>
      <w:r w:rsidR="008676AC" w:rsidRPr="005C7810">
        <w:rPr>
          <w:rFonts w:ascii="Book Antiqua" w:hAnsi="Book Antiqua"/>
          <w:color w:val="000000"/>
          <w:sz w:val="24"/>
          <w:szCs w:val="24"/>
          <w:vertAlign w:val="superscript"/>
          <w:lang w:val="en-US"/>
        </w:rPr>
        <w:instrText>ADDIN CSL_CITATION {"citationItems":[{"id":"ITEM-1","itemData":{"DOI":"10.1200/JCO.2014.60.0320","ISSN":"15277755","abstract":"PURPOSE: Gastric cancer cell lines, particularly those with low levels of ataxia telangiectasia mutated (ATM), a key activator of DNA damage response, are sensitive to the poly (ADP-ribose) polymerase inhibitor olaparib. We compared the efficacy of olaparib plus paclitaxel (olaparib/paclitaxel) with paclitaxel alone in patients with recurrent or metastatic gastric cancer and assessed whether low ATM expression is predictive of improved clinical outcome for olaparib/paclitaxel. PATIENTS AND METHODS: In this phase II, double-blind study (Study 39; NCT01063517), patients were randomly assigned to oral olaparib 100 mg twice per day (tablets) plus paclitaxel (80 mg/m(2) per day intravenously on days 1, 8, and 15 of every 28-day cycle) or placebo plus paclitaxel (placebo/paclitaxel), followed by maintenance monotherapy with olaparib (200 mg twice per day) or placebo. The study population was enriched to 50% for patients with low or undetectable ATM levels (ATMlow). Primary end point was progression-free survival (PFS). RESULTS: One hundred twenty-three of 124 randomly assigned patients received treatment (olaparib/paclitaxel, n = 61; placebo/paclitaxel, n = 62). The screening prevalence of ATMlow patients was 14%. Olaparib/paclitaxel did not lead to a significant improvement in PFS versus placebo/paclitaxel (overall population: hazard ratio [HR], 0.80; median PFS, 3.91 v 3.55 months, respectively; ATMlow population: HR, 0.74; median PFS, 5.29 v 3.68 months, respectively). However, olaparib/paclitaxel significantly improved overall survival (OS) versus placebo/paclitaxel in both the overall population (HR, 0.56; 80% CI, 0.41 to 0.75; P = .005; median OS, 13.1 v 8.3 months, respectively) and the ATMlow population (HR, 0.35; 80% CI, 0.22 to 0.56; P = .002; median OS, not reached v 8.2 months, respectively). Olaparib/paclitaxel was generally well tolerated, with no unexpected safety findings. CONCLUSION: Olaparib/paclitaxel is active in the treatment of patients with metastatic gastric cancer, with a greater OS benefit in ATMlow patients. A phase III trial in this setting is under way.","author":[{"dropping-particle":"","family":"Bang","given":"Yung Jue","non-dropping-particle":"","parse-names":false,"suffix":""},{"dropping-particle":"","family":"Im","given":"Seock Ah","non-dropping-particle":"","parse-names":false,"suffix":""},{"dropping-particle":"","family":"Lee","given":"Keun Wook","non-dropping-particle":"","parse-names":false,"suffix":""},{"dropping-particle":"","family":"Cho","given":"Jae Yong","non-dropping-particle":"","parse-names":false,"suffix":""},{"dropping-particle":"","family":"Song","given":"Eun Kee","non-dropping-particle":"","parse-names":false,"suffix":""},{"dropping-particle":"","family":"Lee","given":"Kyung Hee","non-dropping-particle":"","parse-names":false,"suffix":""},{"dropping-particle":"","family":"Kim","given":"Yeul Hong","non-dropping-particle":"","parse-names":false,"suffix":""},{"dropping-particle":"","family":"Park","given":"Joon Oh","non-dropping-particle":"","parse-names":false,"suffix":""},{"dropping-particle":"","family":"Chun","given":"Hoo Geun","non-dropping-particle":"","parse-names":false,"suffix":""},{"dropping-particle":"","family":"Zang","given":"Dae Young","non-dropping-particle":"","parse-names":false,"suffix":""},{"dropping-particle":"","family":"Fielding","given":"Anitra","non-dropping-particle":"","parse-names":false,"suffix":""},{"dropping-particle":"","family":"Rowbottom","given":"Jacqui","non-dropping-particle":"","parse-names":false,"suffix":""},{"dropping-particle":"","family":"Hodgson","given":"Darren","non-dropping-particle":"","parse-names":false,"suffix":""},{"dropping-particle":"","family":"O'Connor","given":"Mark J.","non-dropping-particle":"","parse-names":false,"suffix":""},{"dropping-particle":"","family":"Yin","given":"Xiaolu","non-dropping-particle":"","parse-names":false,"suffix":""},{"dropping-particle":"","family":"Kim","given":"Woo Ho","non-dropping-particle":"","parse-names":false,"suffix":""}],"container-title":"Journal of Clinical Oncology","id":"ITEM-1","issue":"33","issued":{"date-parts":[["2015"]]},"page":"3858-3865","title":"Randomized, double-blind phase II trial with prospective classification by ATM protein level to evaluate the efficacy and tolerability of olaparib plus paclitaxel in patients with recurrent or metastatic gastric cancer","type":"article-journal","volume":"33"},"uris":["http://www.mendeley.com/documents/?uuid=45569b01-5068-4bf4-862f-7f8b930c62e5"]}],"mendeley":{"formattedCitation":"&lt;sup&gt;[174]&lt;/sup&gt;","plainTextFormattedCitation":"[174]","previouslyFormattedCitation":"&lt;sup&gt;[174]&lt;/sup&gt;"},"properties":{"noteIndex":0},"schema":"https://github.com/citation-style-language/schema/raw/master/csl-citation.json"}</w:instrText>
      </w:r>
      <w:r w:rsidR="008676AC" w:rsidRPr="005C7810">
        <w:rPr>
          <w:rFonts w:ascii="Book Antiqua" w:hAnsi="Book Antiqua"/>
          <w:color w:val="000000"/>
          <w:sz w:val="24"/>
          <w:szCs w:val="24"/>
          <w:vertAlign w:val="superscript"/>
          <w:lang w:val="en-US"/>
        </w:rPr>
        <w:fldChar w:fldCharType="separate"/>
      </w:r>
      <w:r w:rsidR="008676AC" w:rsidRPr="005C7810">
        <w:rPr>
          <w:rFonts w:ascii="Book Antiqua" w:hAnsi="Book Antiqua"/>
          <w:color w:val="000000"/>
          <w:sz w:val="24"/>
          <w:szCs w:val="24"/>
          <w:vertAlign w:val="superscript"/>
          <w:lang w:val="en-US"/>
        </w:rPr>
        <w:t>[174]</w:t>
      </w:r>
      <w:r w:rsidR="008676AC" w:rsidRPr="005C7810">
        <w:rPr>
          <w:rFonts w:ascii="Book Antiqua" w:hAnsi="Book Antiqua"/>
          <w:color w:val="000000"/>
          <w:sz w:val="24"/>
          <w:szCs w:val="24"/>
          <w:vertAlign w:val="superscript"/>
          <w:lang w:val="en-US"/>
        </w:rPr>
        <w:fldChar w:fldCharType="end"/>
      </w:r>
      <w:r w:rsidR="00C114B2" w:rsidRPr="005C7810">
        <w:rPr>
          <w:rFonts w:ascii="Book Antiqua" w:hAnsi="Book Antiqua"/>
          <w:color w:val="000000"/>
          <w:sz w:val="24"/>
          <w:szCs w:val="24"/>
          <w:lang w:val="en-US"/>
        </w:rPr>
        <w:t>.</w:t>
      </w:r>
      <w:r w:rsidR="008676AC" w:rsidRPr="005C7810">
        <w:rPr>
          <w:rFonts w:ascii="Book Antiqua" w:hAnsi="Book Antiqua"/>
          <w:color w:val="000000"/>
          <w:sz w:val="24"/>
          <w:szCs w:val="24"/>
          <w:lang w:val="en-US"/>
        </w:rPr>
        <w:t xml:space="preserve"> </w:t>
      </w:r>
      <w:r w:rsidR="00DC2D3B" w:rsidRPr="005C7810">
        <w:rPr>
          <w:rFonts w:ascii="Book Antiqua" w:hAnsi="Book Antiqua"/>
          <w:color w:val="000000"/>
          <w:sz w:val="24"/>
          <w:szCs w:val="24"/>
          <w:lang w:val="en-US"/>
        </w:rPr>
        <w:t xml:space="preserve">A multicenter phase III trial </w:t>
      </w:r>
      <w:r w:rsidR="004B6537" w:rsidRPr="005C7810">
        <w:rPr>
          <w:rFonts w:ascii="Book Antiqua" w:hAnsi="Book Antiqua"/>
          <w:color w:val="000000"/>
          <w:sz w:val="24"/>
          <w:szCs w:val="24"/>
          <w:lang w:val="en-US"/>
        </w:rPr>
        <w:t>has</w:t>
      </w:r>
      <w:r w:rsidR="00DC2D3B" w:rsidRPr="005C7810">
        <w:rPr>
          <w:rFonts w:ascii="Book Antiqua" w:hAnsi="Book Antiqua"/>
          <w:color w:val="000000"/>
          <w:sz w:val="24"/>
          <w:szCs w:val="24"/>
          <w:lang w:val="en-US"/>
        </w:rPr>
        <w:t xml:space="preserve"> evaluat</w:t>
      </w:r>
      <w:r w:rsidR="004B6537" w:rsidRPr="005C7810">
        <w:rPr>
          <w:rFonts w:ascii="Book Antiqua" w:hAnsi="Book Antiqua"/>
          <w:color w:val="000000"/>
          <w:sz w:val="24"/>
          <w:szCs w:val="24"/>
          <w:lang w:val="en-US"/>
        </w:rPr>
        <w:t>ed</w:t>
      </w:r>
      <w:r w:rsidR="00DC2D3B" w:rsidRPr="005C7810">
        <w:rPr>
          <w:rFonts w:ascii="Book Antiqua" w:hAnsi="Book Antiqua"/>
          <w:color w:val="000000"/>
          <w:sz w:val="24"/>
          <w:szCs w:val="24"/>
          <w:lang w:val="en-US"/>
        </w:rPr>
        <w:t xml:space="preserve"> the efficacy of olaparib in combination with paclitaxel </w:t>
      </w:r>
      <w:r w:rsidR="00DC2D3B" w:rsidRPr="005C7810">
        <w:rPr>
          <w:rFonts w:ascii="Book Antiqua" w:hAnsi="Book Antiqua"/>
          <w:i/>
          <w:iCs/>
          <w:color w:val="000000"/>
          <w:sz w:val="24"/>
          <w:szCs w:val="24"/>
          <w:lang w:val="en-US"/>
        </w:rPr>
        <w:t>vs</w:t>
      </w:r>
      <w:r w:rsidR="00DC2D3B" w:rsidRPr="005C7810">
        <w:rPr>
          <w:rFonts w:ascii="Book Antiqua" w:hAnsi="Book Antiqua"/>
          <w:color w:val="000000"/>
          <w:sz w:val="24"/>
          <w:szCs w:val="24"/>
          <w:lang w:val="en-US"/>
        </w:rPr>
        <w:t xml:space="preserve"> placebo plus paclitaxel in patients with advanced GC who are progressing after first-line treatment (GOLD, NCT01924533). </w:t>
      </w:r>
      <w:r w:rsidR="004B6537" w:rsidRPr="005C7810">
        <w:rPr>
          <w:rFonts w:ascii="Book Antiqua" w:hAnsi="Book Antiqua"/>
          <w:color w:val="000000"/>
          <w:sz w:val="24"/>
          <w:szCs w:val="24"/>
          <w:lang w:val="en-US"/>
        </w:rPr>
        <w:t>The OS</w:t>
      </w:r>
      <w:r w:rsidR="00DC2D3B" w:rsidRPr="005C7810">
        <w:rPr>
          <w:rFonts w:ascii="Book Antiqua" w:hAnsi="Book Antiqua"/>
          <w:color w:val="000000"/>
          <w:sz w:val="24"/>
          <w:szCs w:val="24"/>
          <w:lang w:val="en-US"/>
        </w:rPr>
        <w:t xml:space="preserve"> did not differ between treatment groups in the overall population (median </w:t>
      </w:r>
      <w:r w:rsidR="008900DB" w:rsidRPr="005C7810">
        <w:rPr>
          <w:rFonts w:ascii="Book Antiqua" w:hAnsi="Book Antiqua"/>
          <w:color w:val="000000"/>
          <w:sz w:val="24"/>
          <w:szCs w:val="24"/>
          <w:lang w:val="en-US"/>
        </w:rPr>
        <w:t>OS</w:t>
      </w:r>
      <w:r w:rsidR="00DC2D3B" w:rsidRPr="005C7810">
        <w:rPr>
          <w:rFonts w:ascii="Book Antiqua" w:hAnsi="Book Antiqua"/>
          <w:color w:val="000000"/>
          <w:sz w:val="24"/>
          <w:szCs w:val="24"/>
          <w:lang w:val="en-US"/>
        </w:rPr>
        <w:t xml:space="preserve"> 8.8 m</w:t>
      </w:r>
      <w:r w:rsidR="00D12C98" w:rsidRPr="005C7810">
        <w:rPr>
          <w:rFonts w:ascii="Book Antiqua" w:hAnsi="Book Antiqua"/>
          <w:color w:val="000000"/>
          <w:sz w:val="24"/>
          <w:szCs w:val="24"/>
          <w:lang w:val="en-US"/>
        </w:rPr>
        <w:t>o</w:t>
      </w:r>
      <w:r w:rsidR="00DC2D3B" w:rsidRPr="005C7810">
        <w:rPr>
          <w:rFonts w:ascii="Book Antiqua" w:hAnsi="Book Antiqua"/>
          <w:color w:val="000000"/>
          <w:sz w:val="24"/>
          <w:szCs w:val="24"/>
          <w:lang w:val="en-US"/>
        </w:rPr>
        <w:t xml:space="preserve"> in the olaparib group </w:t>
      </w:r>
      <w:r w:rsidR="00DC2D3B" w:rsidRPr="005C7810">
        <w:rPr>
          <w:rFonts w:ascii="Book Antiqua" w:hAnsi="Book Antiqua"/>
          <w:i/>
          <w:color w:val="000000"/>
          <w:sz w:val="24"/>
          <w:szCs w:val="24"/>
          <w:lang w:val="en-US"/>
        </w:rPr>
        <w:t>v</w:t>
      </w:r>
      <w:r w:rsidR="004A086E" w:rsidRPr="005C7810">
        <w:rPr>
          <w:rFonts w:ascii="Book Antiqua" w:hAnsi="Book Antiqua"/>
          <w:i/>
          <w:color w:val="000000"/>
          <w:sz w:val="24"/>
          <w:szCs w:val="24"/>
          <w:lang w:val="en-US"/>
        </w:rPr>
        <w:t>s</w:t>
      </w:r>
      <w:r w:rsidR="00DC2D3B" w:rsidRPr="005C7810">
        <w:rPr>
          <w:rFonts w:ascii="Book Antiqua" w:hAnsi="Book Antiqua"/>
          <w:color w:val="000000"/>
          <w:sz w:val="24"/>
          <w:szCs w:val="24"/>
          <w:lang w:val="en-US"/>
        </w:rPr>
        <w:t xml:space="preserve"> 6.9 m</w:t>
      </w:r>
      <w:r w:rsidR="00D12C98" w:rsidRPr="005C7810">
        <w:rPr>
          <w:rFonts w:ascii="Book Antiqua" w:hAnsi="Book Antiqua"/>
          <w:color w:val="000000"/>
          <w:sz w:val="24"/>
          <w:szCs w:val="24"/>
          <w:lang w:val="en-US"/>
        </w:rPr>
        <w:t>o</w:t>
      </w:r>
      <w:r w:rsidR="00DC2D3B" w:rsidRPr="005C7810">
        <w:rPr>
          <w:rFonts w:ascii="Book Antiqua" w:hAnsi="Book Antiqua"/>
          <w:color w:val="000000"/>
          <w:sz w:val="24"/>
          <w:szCs w:val="24"/>
          <w:lang w:val="en-US"/>
        </w:rPr>
        <w:t xml:space="preserve"> in the placebo group or the</w:t>
      </w:r>
      <w:r w:rsidR="00D12C98" w:rsidRPr="005C7810">
        <w:rPr>
          <w:rFonts w:ascii="Book Antiqua" w:hAnsi="Book Antiqua"/>
          <w:color w:val="000000"/>
          <w:sz w:val="24"/>
          <w:szCs w:val="24"/>
          <w:lang w:val="en-US"/>
        </w:rPr>
        <w:t xml:space="preserve"> negative ATM population (12.0 </w:t>
      </w:r>
      <w:r w:rsidR="008900DB" w:rsidRPr="005C7810">
        <w:rPr>
          <w:rFonts w:ascii="Book Antiqua" w:hAnsi="Book Antiqua"/>
          <w:color w:val="000000"/>
          <w:sz w:val="24"/>
          <w:szCs w:val="24"/>
          <w:lang w:val="en-US"/>
        </w:rPr>
        <w:t xml:space="preserve">mo </w:t>
      </w:r>
      <w:r w:rsidR="00D12C98" w:rsidRPr="005C7810">
        <w:rPr>
          <w:rFonts w:ascii="Book Antiqua" w:hAnsi="Book Antiqua"/>
          <w:i/>
          <w:color w:val="000000"/>
          <w:sz w:val="24"/>
          <w:szCs w:val="24"/>
          <w:lang w:val="en-US"/>
        </w:rPr>
        <w:t>v</w:t>
      </w:r>
      <w:r w:rsidR="007B5FCB" w:rsidRPr="005C7810">
        <w:rPr>
          <w:rFonts w:ascii="Book Antiqua" w:hAnsi="Book Antiqua"/>
          <w:i/>
          <w:color w:val="000000"/>
          <w:sz w:val="24"/>
          <w:szCs w:val="24"/>
          <w:lang w:val="en-US"/>
        </w:rPr>
        <w:t>s</w:t>
      </w:r>
      <w:r w:rsidR="00D12C98" w:rsidRPr="005C7810">
        <w:rPr>
          <w:rFonts w:ascii="Book Antiqua" w:hAnsi="Book Antiqua"/>
          <w:color w:val="000000"/>
          <w:sz w:val="24"/>
          <w:szCs w:val="24"/>
          <w:lang w:val="en-US"/>
        </w:rPr>
        <w:t xml:space="preserve"> </w:t>
      </w:r>
      <w:r w:rsidR="00DC2D3B" w:rsidRPr="005C7810">
        <w:rPr>
          <w:rFonts w:ascii="Book Antiqua" w:hAnsi="Book Antiqua"/>
          <w:color w:val="000000"/>
          <w:sz w:val="24"/>
          <w:szCs w:val="24"/>
          <w:lang w:val="en-US"/>
        </w:rPr>
        <w:t>10.0 m</w:t>
      </w:r>
      <w:r w:rsidR="00D12C98" w:rsidRPr="005C7810">
        <w:rPr>
          <w:rFonts w:ascii="Book Antiqua" w:hAnsi="Book Antiqua"/>
          <w:color w:val="000000"/>
          <w:sz w:val="24"/>
          <w:szCs w:val="24"/>
          <w:lang w:val="en-US"/>
        </w:rPr>
        <w:t>o</w:t>
      </w:r>
      <w:r w:rsidR="00DC2D3B" w:rsidRPr="005C7810">
        <w:rPr>
          <w:rFonts w:ascii="Book Antiqua" w:hAnsi="Book Antiqua"/>
          <w:color w:val="000000"/>
          <w:sz w:val="24"/>
          <w:szCs w:val="24"/>
          <w:lang w:val="en-US"/>
        </w:rPr>
        <w:t>)</w:t>
      </w:r>
      <w:r w:rsidR="00D12C98" w:rsidRPr="005C7810">
        <w:rPr>
          <w:rFonts w:ascii="Book Antiqua" w:hAnsi="Book Antiqua"/>
          <w:color w:val="000000"/>
          <w:sz w:val="24"/>
          <w:szCs w:val="24"/>
          <w:vertAlign w:val="superscript"/>
          <w:lang w:val="en-US"/>
        </w:rPr>
        <w:fldChar w:fldCharType="begin" w:fldLock="1"/>
      </w:r>
      <w:r w:rsidR="00D12C98" w:rsidRPr="005C7810">
        <w:rPr>
          <w:rFonts w:ascii="Book Antiqua" w:hAnsi="Book Antiqua"/>
          <w:color w:val="000000"/>
          <w:sz w:val="24"/>
          <w:szCs w:val="24"/>
          <w:vertAlign w:val="superscript"/>
          <w:lang w:val="en-US"/>
        </w:rPr>
        <w:instrText>ADDIN CSL_CITATION {"citationItems":[{"id":"ITEM-1","itemData":{"author":[{"dropping-particle":"","family":"Bang","given":"YJ","non-dropping-particle":"","parse-names":false,"suffix":""}],"container-title":"In: ClinicalTrials.gov[Internet]. Bethesda: U.S. National Library of Medicine. Available from: https://clinicaltrials.gov/ct2/show/NCT01924533 Clinical Trials.gov Identifier: NCT01924533","id":"ITEM-1","issued":{"date-parts":[["0"]]},"title":"Efficacy and Safety Study of Olaparib in Combination With Paclitaxel to Treat Advanced Gastric Cancer.","type":"article-journal"},"uris":["http://www.mendeley.com/documents/?uuid=889a549d-6d4f-4a7a-bdc7-422450652a40"]}],"mendeley":{"formattedCitation":"&lt;sup&gt;[173]&lt;/sup&gt;","plainTextFormattedCitation":"[173]","previouslyFormattedCitation":"&lt;sup&gt;[173]&lt;/sup&gt;"},"properties":{"noteIndex":0},"schema":"https://github.com/citation-style-language/schema/raw/master/csl-citation.json"}</w:instrText>
      </w:r>
      <w:r w:rsidR="00D12C98" w:rsidRPr="005C7810">
        <w:rPr>
          <w:rFonts w:ascii="Book Antiqua" w:hAnsi="Book Antiqua"/>
          <w:color w:val="000000"/>
          <w:sz w:val="24"/>
          <w:szCs w:val="24"/>
          <w:vertAlign w:val="superscript"/>
          <w:lang w:val="en-US"/>
        </w:rPr>
        <w:fldChar w:fldCharType="separate"/>
      </w:r>
      <w:r w:rsidR="00D12C98" w:rsidRPr="005C7810">
        <w:rPr>
          <w:rFonts w:ascii="Book Antiqua" w:hAnsi="Book Antiqua"/>
          <w:color w:val="000000"/>
          <w:sz w:val="24"/>
          <w:szCs w:val="24"/>
          <w:vertAlign w:val="superscript"/>
          <w:lang w:val="en-US"/>
        </w:rPr>
        <w:t>[173]</w:t>
      </w:r>
      <w:r w:rsidR="00D12C98" w:rsidRPr="005C7810">
        <w:rPr>
          <w:rFonts w:ascii="Book Antiqua" w:hAnsi="Book Antiqua"/>
          <w:color w:val="000000"/>
          <w:sz w:val="24"/>
          <w:szCs w:val="24"/>
          <w:vertAlign w:val="superscript"/>
          <w:lang w:val="en-US"/>
        </w:rPr>
        <w:fldChar w:fldCharType="end"/>
      </w:r>
      <w:r w:rsidR="00D12C98" w:rsidRPr="005C7810">
        <w:rPr>
          <w:rFonts w:ascii="Book Antiqua" w:hAnsi="Book Antiqua"/>
          <w:color w:val="000000"/>
          <w:sz w:val="24"/>
          <w:szCs w:val="24"/>
          <w:lang w:val="en-US"/>
        </w:rPr>
        <w:t xml:space="preserve">. </w:t>
      </w:r>
    </w:p>
    <w:p w:rsidR="0082228C" w:rsidRPr="005C7810" w:rsidRDefault="00D12C98" w:rsidP="00CD380F">
      <w:pPr>
        <w:spacing w:after="0" w:line="360" w:lineRule="auto"/>
        <w:ind w:firstLine="708"/>
        <w:jc w:val="both"/>
        <w:rPr>
          <w:rStyle w:val="title-text"/>
          <w:rFonts w:ascii="Book Antiqua" w:hAnsi="Book Antiqua"/>
          <w:color w:val="000000"/>
          <w:sz w:val="24"/>
          <w:szCs w:val="24"/>
          <w:lang w:val="en-US"/>
        </w:rPr>
      </w:pPr>
      <w:r w:rsidRPr="005C7810">
        <w:rPr>
          <w:rFonts w:ascii="Book Antiqua" w:hAnsi="Book Antiqua"/>
          <w:color w:val="000000"/>
          <w:sz w:val="24"/>
          <w:szCs w:val="24"/>
          <w:lang w:val="en-US"/>
        </w:rPr>
        <w:t xml:space="preserve">The GOLD study did not achieve its </w:t>
      </w:r>
      <w:r w:rsidR="0082228C" w:rsidRPr="005C7810">
        <w:rPr>
          <w:rFonts w:ascii="Book Antiqua" w:hAnsi="Book Antiqua"/>
          <w:color w:val="000000"/>
          <w:sz w:val="24"/>
          <w:szCs w:val="24"/>
          <w:lang w:val="en-US"/>
        </w:rPr>
        <w:t xml:space="preserve">primary </w:t>
      </w:r>
      <w:r w:rsidRPr="005C7810">
        <w:rPr>
          <w:rFonts w:ascii="Book Antiqua" w:hAnsi="Book Antiqua"/>
          <w:color w:val="000000"/>
          <w:sz w:val="24"/>
          <w:szCs w:val="24"/>
          <w:lang w:val="en-US"/>
        </w:rPr>
        <w:t xml:space="preserve">objective to show a significant improvement in </w:t>
      </w:r>
      <w:r w:rsidR="008900DB" w:rsidRPr="005C7810">
        <w:rPr>
          <w:rFonts w:ascii="Book Antiqua" w:hAnsi="Book Antiqua"/>
          <w:color w:val="000000"/>
          <w:sz w:val="24"/>
          <w:szCs w:val="24"/>
          <w:lang w:val="en-US"/>
        </w:rPr>
        <w:t>OS</w:t>
      </w:r>
      <w:r w:rsidRPr="005C7810">
        <w:rPr>
          <w:rFonts w:ascii="Book Antiqua" w:hAnsi="Book Antiqua"/>
          <w:color w:val="000000"/>
          <w:sz w:val="24"/>
          <w:szCs w:val="24"/>
          <w:lang w:val="en-US"/>
        </w:rPr>
        <w:t xml:space="preserve"> with olaparib in the overall or ATM-negative population of patients with advanced GC. However, the study provided data on efficacy and safety related to the use of olaparib in combination with a chemotherapy drug and </w:t>
      </w:r>
      <w:r w:rsidR="008900DB" w:rsidRPr="005C7810">
        <w:rPr>
          <w:rFonts w:ascii="Book Antiqua" w:hAnsi="Book Antiqua"/>
          <w:color w:val="000000"/>
          <w:sz w:val="24"/>
          <w:szCs w:val="24"/>
          <w:lang w:val="en-US"/>
        </w:rPr>
        <w:t xml:space="preserve">the </w:t>
      </w:r>
      <w:r w:rsidRPr="005C7810">
        <w:rPr>
          <w:rFonts w:ascii="Book Antiqua" w:hAnsi="Book Antiqua"/>
          <w:color w:val="000000"/>
          <w:sz w:val="24"/>
          <w:szCs w:val="24"/>
          <w:lang w:val="en-US"/>
        </w:rPr>
        <w:t xml:space="preserve">study </w:t>
      </w:r>
      <w:r w:rsidR="008900DB" w:rsidRPr="005C7810">
        <w:rPr>
          <w:rFonts w:ascii="Book Antiqua" w:hAnsi="Book Antiqua"/>
          <w:color w:val="000000"/>
          <w:sz w:val="24"/>
          <w:szCs w:val="24"/>
          <w:lang w:val="en-US"/>
        </w:rPr>
        <w:t xml:space="preserve">itself is foundational </w:t>
      </w:r>
      <w:r w:rsidRPr="005C7810">
        <w:rPr>
          <w:rFonts w:ascii="Book Antiqua" w:hAnsi="Book Antiqua"/>
          <w:color w:val="000000"/>
          <w:sz w:val="24"/>
          <w:szCs w:val="24"/>
          <w:lang w:val="en-US"/>
        </w:rPr>
        <w:t>for other studies in this type of patients</w:t>
      </w:r>
      <w:r w:rsidRPr="005C7810">
        <w:rPr>
          <w:rFonts w:ascii="Book Antiqua" w:hAnsi="Book Antiqua"/>
          <w:color w:val="000000"/>
          <w:sz w:val="24"/>
          <w:szCs w:val="24"/>
          <w:vertAlign w:val="superscript"/>
          <w:lang w:val="en-US"/>
        </w:rPr>
        <w:fldChar w:fldCharType="begin" w:fldLock="1"/>
      </w:r>
      <w:r w:rsidRPr="005C7810">
        <w:rPr>
          <w:rFonts w:ascii="Book Antiqua" w:hAnsi="Book Antiqua"/>
          <w:color w:val="000000"/>
          <w:sz w:val="24"/>
          <w:szCs w:val="24"/>
          <w:vertAlign w:val="superscript"/>
          <w:lang w:val="en-US"/>
        </w:rPr>
        <w:instrText>ADDIN CSL_CITATION {"citationItems":[{"id":"ITEM-1","itemData":{"DOI":"10.1016/S1470-2045(17)30682-4","ISSN":"14745488","abstract":"Background Olaparib combined with paclitaxel has previously shown a significant improvement in overall survival versus placebo plus paclitaxel as second-line therapy in a phase 2 study in Asian patients with advanced gastric cancer, especially in those with ataxia-telangiectasia mutated protein (ATM)-negative tumours. Here, we report the primary efficacy and safety analyses from a subsequent phase 3 trial. Methods This double-blind, randomised, placebo-controlled, phase 3 study (GOLD) recruited Asian patients aged 18 years or older (≥20 years if Japanese) with advanced gastric cancer that had progressed following, or during, first-line chemotherapy. Patients were randomly assigned (1:1) to receive oral olaparib (100 mg twice daily) plus paclitaxel (80 mg/m 2 intravenously) or matching placebo plus paclitaxel. Randomisation was done through an interactive voice response system and no stratification factors were used. Patients and investigators were masked to treatment allocation. Two co-primary populations were assessed: the overall population of all patients and patients whose tumours were ATM-negative (identified after randomisation, before the data cutoff date, March 28, 2016). The primary endpoint in both populations was overall survival (defined as the time from the date of randomisation until death from any cause before data cutoff); a significant difference was defined as p&lt;0·025. Efficacy was assessed in the intention-to-treat populations and safety in patients who received at least one dose of treatment. This trial is registered with ClinicalTrials.gov, number NCT01924533 (study ID, D081BC00004), and is ongoing but no longer recruiting participants. Findings Between Sept 3, 2013, and March 28, 2016, 643 patients were enrolled from 58 study sites in hospitals and medical centres in China, Japan, South Korea, and Taiwan. 525 eligible patients were randomly assigned: 263 to receive olaparib plus paclitaxel and 262 to receive placebo plus paclitaxel. 94 patients were determined to have ATM-negative tumours before unmasking for the primary analysis (48 in the olaparib plus paclitaxel group and 46 in the placebo plus paclitaxel group). Overall survival did not differ between treatment groups in the overall patient population (median overall survival 8·8 months [95% CI 7·4–9·6] in the olaparib group vs 6·9 months [6·3–7·9] in the placebo group; HR 0·79 [97·5% CI 0·63–1·00]; p=0·026) or in the ATM-negative population (12·0 months [7·8–18·1] vs 10·0 mont…","author":[{"dropping-particle":"","family":"Bang","given":"Yung Jue","non-dropping-particle":"","parse-names":false,"suffix":""},{"dropping-particle":"","family":"Xu","given":"Rui Hua","non-dropping-particle":"","parse-names":false,"suffix":""},{"dropping-particle":"","family":"Chin","given":"Keisho","non-dropping-particle":"","parse-names":false,"suffix":""},{"dropping-particle":"","family":"Lee","given":"Keun Wook","non-dropping-particle":"","parse-names":false,"suffix":""},{"dropping-particle":"","family":"Park","given":"Se Hoon","non-dropping-particle":"","parse-names":false,"suffix":""},{"dropping-particle":"","family":"Rha","given":"Sun Young","non-dropping-particle":"","parse-names":false,"suffix":""},{"dropping-particle":"","family":"Shen","given":"Lin","non-dropping-particle":"","parse-names":false,"suffix":""},{"dropping-particle":"","family":"Qin","given":"Shukui","non-dropping-particle":"","parse-names":false,"suffix":""},{"dropping-particle":"","family":"Xu","given":"Nong","non-dropping-particle":"","parse-names":false,"suffix":""},{"dropping-particle":"","family":"Im","given":"Seock Ah","non-dropping-particle":"","parse-names":false,"suffix":""},{"dropping-particle":"","family":"Locker","given":"Gershon","non-dropping-particle":"","parse-names":false,"suffix":""},{"dropping-particle":"","family":"Rowe","given":"Phil","non-dropping-particle":"","parse-names":false,"suffix":""},{"dropping-particle":"","family":"Shi","given":"Xiaojin","non-dropping-particle":"","parse-names":false,"suffix":""},{"dropping-particle":"","family":"Hodgson","given":"Darren","non-dropping-particle":"","parse-names":false,"suffix":""},{"dropping-particle":"","family":"Liu","given":"Yu Zhen","non-dropping-particle":"","parse-names":false,"suffix":""},{"dropping-particle":"","family":"Boku","given":"Narikazu","non-dropping-particle":"","parse-names":false,"suffix":""}],"container-title":"The Lancet Oncology","id":"ITEM-1","issue":"12","issued":{"date-parts":[["2017"]]},"page":"1637-1651","publisher":"Elsevier Ltd","title":"Olaparib in combination with paclitaxel in patients with advanced gastric cancer who have progressed following first-line therapy (GOLD): a double-blind, randomised, placebo-controlled, phase 3 trial","type":"article-journal","volume":"18"},"uris":["http://www.mendeley.com/documents/?uuid=a5e3e62d-66a7-40a2-b72d-fb999df238cd"]}],"mendeley":{"formattedCitation":"&lt;sup&gt;[175]&lt;/sup&gt;","plainTextFormattedCitation":"[175]","previouslyFormattedCitation":"&lt;sup&gt;[175]&lt;/sup&gt;"},"properties":{"noteIndex":0},"schema":"https://github.com/citation-style-language/schema/raw/master/csl-citation.json"}</w:instrText>
      </w:r>
      <w:r w:rsidRPr="005C7810">
        <w:rPr>
          <w:rFonts w:ascii="Book Antiqua" w:hAnsi="Book Antiqua"/>
          <w:color w:val="000000"/>
          <w:sz w:val="24"/>
          <w:szCs w:val="24"/>
          <w:vertAlign w:val="superscript"/>
          <w:lang w:val="en-US"/>
        </w:rPr>
        <w:fldChar w:fldCharType="separate"/>
      </w:r>
      <w:r w:rsidRPr="005C7810">
        <w:rPr>
          <w:rFonts w:ascii="Book Antiqua" w:hAnsi="Book Antiqua"/>
          <w:color w:val="000000"/>
          <w:sz w:val="24"/>
          <w:szCs w:val="24"/>
          <w:vertAlign w:val="superscript"/>
          <w:lang w:val="en-US"/>
        </w:rPr>
        <w:t>[175]</w:t>
      </w:r>
      <w:r w:rsidRPr="005C7810">
        <w:rPr>
          <w:rFonts w:ascii="Book Antiqua" w:hAnsi="Book Antiqua"/>
          <w:color w:val="000000"/>
          <w:sz w:val="24"/>
          <w:szCs w:val="24"/>
          <w:vertAlign w:val="superscript"/>
          <w:lang w:val="en-US"/>
        </w:rPr>
        <w:fldChar w:fldCharType="end"/>
      </w:r>
      <w:r w:rsidRPr="005C7810">
        <w:rPr>
          <w:rFonts w:ascii="Book Antiqua" w:hAnsi="Book Antiqua"/>
          <w:color w:val="000000"/>
          <w:sz w:val="24"/>
          <w:szCs w:val="24"/>
          <w:lang w:val="en-US"/>
        </w:rPr>
        <w:t>.</w:t>
      </w:r>
      <w:r w:rsidR="009B46CC" w:rsidRPr="005C7810">
        <w:rPr>
          <w:rFonts w:ascii="Book Antiqua" w:hAnsi="Book Antiqua"/>
          <w:color w:val="000000"/>
          <w:sz w:val="24"/>
          <w:szCs w:val="24"/>
          <w:lang w:val="en-US"/>
        </w:rPr>
        <w:t xml:space="preserve"> </w:t>
      </w:r>
      <w:r w:rsidR="002D19D9" w:rsidRPr="005C7810">
        <w:rPr>
          <w:rStyle w:val="title-text"/>
          <w:rFonts w:ascii="Book Antiqua" w:hAnsi="Book Antiqua"/>
          <w:color w:val="000000"/>
          <w:sz w:val="24"/>
          <w:szCs w:val="24"/>
          <w:lang w:val="en-US"/>
        </w:rPr>
        <w:t xml:space="preserve">The GOLD trial </w:t>
      </w:r>
      <w:r w:rsidR="008900DB" w:rsidRPr="005C7810">
        <w:rPr>
          <w:rStyle w:val="title-text"/>
          <w:rFonts w:ascii="Book Antiqua" w:hAnsi="Book Antiqua"/>
          <w:color w:val="000000"/>
          <w:sz w:val="24"/>
          <w:szCs w:val="24"/>
          <w:lang w:val="en-US"/>
        </w:rPr>
        <w:t>has been</w:t>
      </w:r>
      <w:r w:rsidR="002D19D9" w:rsidRPr="005C7810">
        <w:rPr>
          <w:rStyle w:val="title-text"/>
          <w:rFonts w:ascii="Book Antiqua" w:hAnsi="Book Antiqua"/>
          <w:color w:val="000000"/>
          <w:sz w:val="24"/>
          <w:szCs w:val="24"/>
          <w:lang w:val="en-US"/>
        </w:rPr>
        <w:t xml:space="preserve"> negative for its endpoints of improved </w:t>
      </w:r>
      <w:r w:rsidR="008900DB" w:rsidRPr="005C7810">
        <w:rPr>
          <w:rStyle w:val="title-text"/>
          <w:rFonts w:ascii="Book Antiqua" w:hAnsi="Book Antiqua"/>
          <w:color w:val="000000"/>
          <w:sz w:val="24"/>
          <w:szCs w:val="24"/>
          <w:lang w:val="en-US"/>
        </w:rPr>
        <w:t>OS,</w:t>
      </w:r>
      <w:r w:rsidR="002D19D9" w:rsidRPr="005C7810">
        <w:rPr>
          <w:rStyle w:val="title-text"/>
          <w:rFonts w:ascii="Book Antiqua" w:hAnsi="Book Antiqua"/>
          <w:color w:val="000000"/>
          <w:sz w:val="24"/>
          <w:szCs w:val="24"/>
          <w:lang w:val="en-US"/>
        </w:rPr>
        <w:t xml:space="preserve"> both in overall patient population </w:t>
      </w:r>
      <w:r w:rsidR="008900DB" w:rsidRPr="005C7810">
        <w:rPr>
          <w:rStyle w:val="title-text"/>
          <w:rFonts w:ascii="Book Antiqua" w:hAnsi="Book Antiqua"/>
          <w:color w:val="000000"/>
          <w:sz w:val="24"/>
          <w:szCs w:val="24"/>
          <w:lang w:val="en-US"/>
        </w:rPr>
        <w:t>and the</w:t>
      </w:r>
      <w:r w:rsidR="002D19D9" w:rsidRPr="005C7810">
        <w:rPr>
          <w:rStyle w:val="title-text"/>
          <w:rFonts w:ascii="Book Antiqua" w:hAnsi="Book Antiqua"/>
          <w:color w:val="000000"/>
          <w:sz w:val="24"/>
          <w:szCs w:val="24"/>
          <w:lang w:val="en-US"/>
        </w:rPr>
        <w:t xml:space="preserve"> ATM-negative population. The differences between </w:t>
      </w:r>
      <w:r w:rsidR="008900DB" w:rsidRPr="005C7810">
        <w:rPr>
          <w:rStyle w:val="title-text"/>
          <w:rFonts w:ascii="Book Antiqua" w:hAnsi="Book Antiqua"/>
          <w:color w:val="000000"/>
          <w:sz w:val="24"/>
          <w:szCs w:val="24"/>
          <w:lang w:val="en-US"/>
        </w:rPr>
        <w:t xml:space="preserve">the </w:t>
      </w:r>
      <w:r w:rsidR="002D19D9" w:rsidRPr="005C7810">
        <w:rPr>
          <w:rStyle w:val="title-text"/>
          <w:rFonts w:ascii="Book Antiqua" w:hAnsi="Book Antiqua"/>
          <w:color w:val="000000"/>
          <w:sz w:val="24"/>
          <w:szCs w:val="24"/>
          <w:lang w:val="en-US"/>
        </w:rPr>
        <w:t xml:space="preserve">GOLD </w:t>
      </w:r>
      <w:r w:rsidR="008900DB" w:rsidRPr="005C7810">
        <w:rPr>
          <w:rStyle w:val="title-text"/>
          <w:rFonts w:ascii="Book Antiqua" w:hAnsi="Book Antiqua"/>
          <w:color w:val="000000"/>
          <w:sz w:val="24"/>
          <w:szCs w:val="24"/>
          <w:lang w:val="en-US"/>
        </w:rPr>
        <w:t xml:space="preserve">trial </w:t>
      </w:r>
      <w:r w:rsidR="002D19D9" w:rsidRPr="005C7810">
        <w:rPr>
          <w:rStyle w:val="title-text"/>
          <w:rFonts w:ascii="Book Antiqua" w:hAnsi="Book Antiqua"/>
          <w:color w:val="000000"/>
          <w:sz w:val="24"/>
          <w:szCs w:val="24"/>
          <w:lang w:val="en-US"/>
        </w:rPr>
        <w:t xml:space="preserve">and Study 39 are the enriched population of ATM-negative patients in Study 39 (51% </w:t>
      </w:r>
      <w:r w:rsidR="002D19D9" w:rsidRPr="005C7810">
        <w:rPr>
          <w:rStyle w:val="title-text"/>
          <w:rFonts w:ascii="Book Antiqua" w:hAnsi="Book Antiqua"/>
          <w:i/>
          <w:color w:val="000000"/>
          <w:sz w:val="24"/>
          <w:szCs w:val="24"/>
          <w:lang w:val="en-US"/>
        </w:rPr>
        <w:t>v</w:t>
      </w:r>
      <w:r w:rsidR="007B5FCB" w:rsidRPr="005C7810">
        <w:rPr>
          <w:rStyle w:val="title-text"/>
          <w:rFonts w:ascii="Book Antiqua" w:hAnsi="Book Antiqua"/>
          <w:i/>
          <w:color w:val="000000"/>
          <w:sz w:val="24"/>
          <w:szCs w:val="24"/>
          <w:lang w:val="en-US"/>
        </w:rPr>
        <w:t>s</w:t>
      </w:r>
      <w:r w:rsidR="002D19D9" w:rsidRPr="005C7810">
        <w:rPr>
          <w:rStyle w:val="title-text"/>
          <w:rFonts w:ascii="Book Antiqua" w:hAnsi="Book Antiqua"/>
          <w:color w:val="000000"/>
          <w:sz w:val="24"/>
          <w:szCs w:val="24"/>
          <w:lang w:val="en-US"/>
        </w:rPr>
        <w:t xml:space="preserve"> 19%) </w:t>
      </w:r>
      <w:r w:rsidR="008900DB" w:rsidRPr="005C7810">
        <w:rPr>
          <w:rStyle w:val="title-text"/>
          <w:rFonts w:ascii="Book Antiqua" w:hAnsi="Book Antiqua"/>
          <w:color w:val="000000"/>
          <w:sz w:val="24"/>
          <w:szCs w:val="24"/>
          <w:lang w:val="en-US"/>
        </w:rPr>
        <w:t xml:space="preserve">with </w:t>
      </w:r>
      <w:r w:rsidR="002D19D9" w:rsidRPr="005C7810">
        <w:rPr>
          <w:rStyle w:val="title-text"/>
          <w:rFonts w:ascii="Book Antiqua" w:hAnsi="Book Antiqua"/>
          <w:color w:val="000000"/>
          <w:sz w:val="24"/>
          <w:szCs w:val="24"/>
          <w:lang w:val="en-US"/>
        </w:rPr>
        <w:t>respect to</w:t>
      </w:r>
      <w:r w:rsidR="0082228C" w:rsidRPr="005C7810">
        <w:rPr>
          <w:rStyle w:val="title-text"/>
          <w:rFonts w:ascii="Book Antiqua" w:hAnsi="Book Antiqua"/>
          <w:color w:val="000000"/>
          <w:sz w:val="24"/>
          <w:szCs w:val="24"/>
          <w:lang w:val="en-US"/>
        </w:rPr>
        <w:t xml:space="preserve"> the</w:t>
      </w:r>
      <w:r w:rsidR="002D19D9" w:rsidRPr="005C7810">
        <w:rPr>
          <w:rStyle w:val="title-text"/>
          <w:rFonts w:ascii="Book Antiqua" w:hAnsi="Book Antiqua"/>
          <w:color w:val="000000"/>
          <w:sz w:val="24"/>
          <w:szCs w:val="24"/>
          <w:lang w:val="en-US"/>
        </w:rPr>
        <w:t xml:space="preserve"> GOLD study. </w:t>
      </w:r>
      <w:r w:rsidR="009B46CC" w:rsidRPr="005C7810">
        <w:rPr>
          <w:rStyle w:val="title-text"/>
          <w:rFonts w:ascii="Book Antiqua" w:hAnsi="Book Antiqua"/>
          <w:color w:val="000000"/>
          <w:sz w:val="24"/>
          <w:szCs w:val="24"/>
          <w:lang w:val="en-US"/>
        </w:rPr>
        <w:t xml:space="preserve">PARP inhibitors are effective in tumors with a definite molecular signature, so it </w:t>
      </w:r>
      <w:r w:rsidR="008900DB" w:rsidRPr="005C7810">
        <w:rPr>
          <w:rStyle w:val="title-text"/>
          <w:rFonts w:ascii="Book Antiqua" w:hAnsi="Book Antiqua"/>
          <w:color w:val="000000"/>
          <w:sz w:val="24"/>
          <w:szCs w:val="24"/>
          <w:lang w:val="en-US"/>
        </w:rPr>
        <w:t xml:space="preserve">may </w:t>
      </w:r>
      <w:r w:rsidR="009B46CC" w:rsidRPr="005C7810">
        <w:rPr>
          <w:rStyle w:val="title-text"/>
          <w:rFonts w:ascii="Book Antiqua" w:hAnsi="Book Antiqua"/>
          <w:color w:val="000000"/>
          <w:sz w:val="24"/>
          <w:szCs w:val="24"/>
          <w:lang w:val="en-US"/>
        </w:rPr>
        <w:t>not</w:t>
      </w:r>
      <w:r w:rsidR="008900DB" w:rsidRPr="005C7810">
        <w:rPr>
          <w:rStyle w:val="title-text"/>
          <w:rFonts w:ascii="Book Antiqua" w:hAnsi="Book Antiqua"/>
          <w:color w:val="000000"/>
          <w:sz w:val="24"/>
          <w:szCs w:val="24"/>
          <w:lang w:val="en-US"/>
        </w:rPr>
        <w:t xml:space="preserve"> be</w:t>
      </w:r>
      <w:r w:rsidR="009B46CC" w:rsidRPr="005C7810">
        <w:rPr>
          <w:rStyle w:val="title-text"/>
          <w:rFonts w:ascii="Book Antiqua" w:hAnsi="Book Antiqua"/>
          <w:color w:val="000000"/>
          <w:sz w:val="24"/>
          <w:szCs w:val="24"/>
          <w:lang w:val="en-US"/>
        </w:rPr>
        <w:t xml:space="preserve"> realistic to expect efficacy from olaparib in an unselected marker population</w:t>
      </w:r>
      <w:r w:rsidR="009B46CC" w:rsidRPr="005C7810">
        <w:rPr>
          <w:rStyle w:val="title-text"/>
          <w:rFonts w:ascii="Book Antiqua" w:hAnsi="Book Antiqua"/>
          <w:color w:val="000000"/>
          <w:sz w:val="24"/>
          <w:szCs w:val="24"/>
          <w:vertAlign w:val="superscript"/>
          <w:lang w:val="en-US"/>
        </w:rPr>
        <w:fldChar w:fldCharType="begin" w:fldLock="1"/>
      </w:r>
      <w:r w:rsidR="009B46CC" w:rsidRPr="005C7810">
        <w:rPr>
          <w:rStyle w:val="title-text"/>
          <w:rFonts w:ascii="Book Antiqua" w:hAnsi="Book Antiqua"/>
          <w:color w:val="000000"/>
          <w:sz w:val="24"/>
          <w:szCs w:val="24"/>
          <w:vertAlign w:val="superscript"/>
          <w:lang w:val="en-US"/>
        </w:rPr>
        <w:instrText>ADDIN CSL_CITATION {"citationItems":[{"id":"ITEM-1","itemData":{"DOI":"10.1016/s1470-2045(17)30719-2","ISSN":"14702045","abstract":"Lancet Oncology, 18 (2017) 1561-1563. doi:10.1016/S1470-2045(17)30719-2","author":[{"dropping-particle":"","family":"Smyth","given":"Elizabeth","non-dropping-particle":"","parse-names":false,"suffix":""}],"container-title":"The Lancet Oncology","id":"ITEM-1","issue":"12","issued":{"date-parts":[["2017"]]},"page":"1561-1563","publisher":"Elsevier Ltd","title":"Missing a GOLDen opportunity in gastric cancer","type":"article-journal","volume":"18"},"uris":["http://www.mendeley.com/documents/?uuid=e5429ee8-b416-40d7-a46d-aaf0f9dcbd6c"]}],"mendeley":{"formattedCitation":"&lt;sup&gt;[176]&lt;/sup&gt;","plainTextFormattedCitation":"[176]","previouslyFormattedCitation":"&lt;sup&gt;[176]&lt;/sup&gt;"},"properties":{"noteIndex":0},"schema":"https://github.com/citation-style-language/schema/raw/master/csl-citation.json"}</w:instrText>
      </w:r>
      <w:r w:rsidR="009B46CC" w:rsidRPr="005C7810">
        <w:rPr>
          <w:rStyle w:val="title-text"/>
          <w:rFonts w:ascii="Book Antiqua" w:hAnsi="Book Antiqua"/>
          <w:color w:val="000000"/>
          <w:sz w:val="24"/>
          <w:szCs w:val="24"/>
          <w:vertAlign w:val="superscript"/>
          <w:lang w:val="en-US"/>
        </w:rPr>
        <w:fldChar w:fldCharType="separate"/>
      </w:r>
      <w:r w:rsidR="009B46CC" w:rsidRPr="005C7810">
        <w:rPr>
          <w:rStyle w:val="title-text"/>
          <w:rFonts w:ascii="Book Antiqua" w:hAnsi="Book Antiqua"/>
          <w:color w:val="000000"/>
          <w:sz w:val="24"/>
          <w:szCs w:val="24"/>
          <w:vertAlign w:val="superscript"/>
          <w:lang w:val="en-US"/>
        </w:rPr>
        <w:t>[176]</w:t>
      </w:r>
      <w:r w:rsidR="009B46CC" w:rsidRPr="005C7810">
        <w:rPr>
          <w:rStyle w:val="title-text"/>
          <w:rFonts w:ascii="Book Antiqua" w:hAnsi="Book Antiqua"/>
          <w:color w:val="000000"/>
          <w:sz w:val="24"/>
          <w:szCs w:val="24"/>
          <w:vertAlign w:val="superscript"/>
          <w:lang w:val="en-US"/>
        </w:rPr>
        <w:fldChar w:fldCharType="end"/>
      </w:r>
      <w:r w:rsidR="009B46CC" w:rsidRPr="005C7810">
        <w:rPr>
          <w:rStyle w:val="title-text"/>
          <w:rFonts w:ascii="Book Antiqua" w:hAnsi="Book Antiqua"/>
          <w:color w:val="000000"/>
          <w:sz w:val="24"/>
          <w:szCs w:val="24"/>
          <w:lang w:val="en-US"/>
        </w:rPr>
        <w:t xml:space="preserve">. </w:t>
      </w:r>
    </w:p>
    <w:p w:rsidR="002D19D9" w:rsidRPr="005C7810" w:rsidRDefault="009B46CC" w:rsidP="00CD380F">
      <w:pPr>
        <w:spacing w:after="0" w:line="360" w:lineRule="auto"/>
        <w:ind w:firstLine="708"/>
        <w:jc w:val="both"/>
        <w:rPr>
          <w:rFonts w:ascii="Book Antiqua" w:hAnsi="Book Antiqua"/>
          <w:color w:val="000000"/>
          <w:sz w:val="24"/>
          <w:szCs w:val="24"/>
          <w:lang w:val="en-US"/>
        </w:rPr>
      </w:pPr>
      <w:r w:rsidRPr="005C7810">
        <w:rPr>
          <w:rStyle w:val="title-text"/>
          <w:rFonts w:ascii="Book Antiqua" w:hAnsi="Book Antiqua"/>
          <w:color w:val="000000"/>
          <w:sz w:val="24"/>
          <w:szCs w:val="24"/>
          <w:lang w:val="en-US"/>
        </w:rPr>
        <w:t xml:space="preserve">Furthermore, the time of exposure to olaparib was shorter in </w:t>
      </w:r>
      <w:r w:rsidR="00E0395D" w:rsidRPr="005C7810">
        <w:rPr>
          <w:rStyle w:val="title-text"/>
          <w:rFonts w:ascii="Book Antiqua" w:hAnsi="Book Antiqua"/>
          <w:color w:val="000000"/>
          <w:sz w:val="24"/>
          <w:szCs w:val="24"/>
          <w:lang w:val="en-US"/>
        </w:rPr>
        <w:t xml:space="preserve">the </w:t>
      </w:r>
      <w:r w:rsidRPr="005C7810">
        <w:rPr>
          <w:rStyle w:val="title-text"/>
          <w:rFonts w:ascii="Book Antiqua" w:hAnsi="Book Antiqua"/>
          <w:color w:val="000000"/>
          <w:sz w:val="24"/>
          <w:szCs w:val="24"/>
          <w:lang w:val="en-US"/>
        </w:rPr>
        <w:t xml:space="preserve">GOLD </w:t>
      </w:r>
      <w:r w:rsidR="00E0395D" w:rsidRPr="005C7810">
        <w:rPr>
          <w:rStyle w:val="title-text"/>
          <w:rFonts w:ascii="Book Antiqua" w:hAnsi="Book Antiqua"/>
          <w:color w:val="000000"/>
          <w:sz w:val="24"/>
          <w:szCs w:val="24"/>
          <w:lang w:val="en-US"/>
        </w:rPr>
        <w:t xml:space="preserve">trial </w:t>
      </w:r>
      <w:r w:rsidRPr="005C7810">
        <w:rPr>
          <w:rStyle w:val="title-text"/>
          <w:rFonts w:ascii="Book Antiqua" w:hAnsi="Book Antiqua"/>
          <w:color w:val="000000"/>
          <w:sz w:val="24"/>
          <w:szCs w:val="24"/>
          <w:lang w:val="en-US"/>
        </w:rPr>
        <w:t>than in Study 39</w:t>
      </w:r>
      <w:r w:rsidRPr="005C7810">
        <w:rPr>
          <w:rStyle w:val="title-text"/>
          <w:rFonts w:ascii="Book Antiqua" w:hAnsi="Book Antiqua"/>
          <w:color w:val="000000"/>
          <w:sz w:val="24"/>
          <w:szCs w:val="24"/>
          <w:vertAlign w:val="superscript"/>
          <w:lang w:val="en-US"/>
        </w:rPr>
        <w:fldChar w:fldCharType="begin" w:fldLock="1"/>
      </w:r>
      <w:r w:rsidRPr="005C7810">
        <w:rPr>
          <w:rStyle w:val="title-text"/>
          <w:rFonts w:ascii="Book Antiqua" w:hAnsi="Book Antiqua"/>
          <w:color w:val="000000"/>
          <w:sz w:val="24"/>
          <w:szCs w:val="24"/>
          <w:vertAlign w:val="superscript"/>
          <w:lang w:val="en-US"/>
        </w:rPr>
        <w:instrText>ADDIN CSL_CITATION {"citationItems":[{"id":"ITEM-1","itemData":{"DOI":"10.1016/s1470-2045(18)30030-5","ISSN":"14702045","author":[{"dropping-particle":"","family":"Bang","given":"Yung-Jue","non-dropping-particle":"","parse-names":false,"suffix":""}],"container-title":"The Lancet Oncology","id":"ITEM-1","issue":"2","issued":{"date-parts":[["2018"]]},"page":"e76","publisher":"Elsevier Ltd","title":"Use of olaparib in patients with advanced gastric cancer – Authors' reply","type":"article-journal","volume":"19"},"uris":["http://www.mendeley.com/documents/?uuid=a0e62792-f29e-4295-9bd9-09bb0ce5a538"]}],"mendeley":{"formattedCitation":"&lt;sup&gt;[177]&lt;/sup&gt;","plainTextFormattedCitation":"[177]","previouslyFormattedCitation":"&lt;sup&gt;[177]&lt;/sup&gt;"},"properties":{"noteIndex":0},"schema":"https://github.com/citation-style-language/schema/raw/master/csl-citation.json"}</w:instrText>
      </w:r>
      <w:r w:rsidRPr="005C7810">
        <w:rPr>
          <w:rStyle w:val="title-text"/>
          <w:rFonts w:ascii="Book Antiqua" w:hAnsi="Book Antiqua"/>
          <w:color w:val="000000"/>
          <w:sz w:val="24"/>
          <w:szCs w:val="24"/>
          <w:vertAlign w:val="superscript"/>
          <w:lang w:val="en-US"/>
        </w:rPr>
        <w:fldChar w:fldCharType="separate"/>
      </w:r>
      <w:r w:rsidRPr="005C7810">
        <w:rPr>
          <w:rStyle w:val="title-text"/>
          <w:rFonts w:ascii="Book Antiqua" w:hAnsi="Book Antiqua"/>
          <w:color w:val="000000"/>
          <w:sz w:val="24"/>
          <w:szCs w:val="24"/>
          <w:vertAlign w:val="superscript"/>
          <w:lang w:val="en-US"/>
        </w:rPr>
        <w:t>[177]</w:t>
      </w:r>
      <w:r w:rsidRPr="005C7810">
        <w:rPr>
          <w:rStyle w:val="title-text"/>
          <w:rFonts w:ascii="Book Antiqua" w:hAnsi="Book Antiqua"/>
          <w:color w:val="000000"/>
          <w:sz w:val="24"/>
          <w:szCs w:val="24"/>
          <w:vertAlign w:val="superscript"/>
          <w:lang w:val="en-US"/>
        </w:rPr>
        <w:fldChar w:fldCharType="end"/>
      </w:r>
      <w:r w:rsidRPr="005C7810">
        <w:rPr>
          <w:rStyle w:val="title-text"/>
          <w:rFonts w:ascii="Book Antiqua" w:hAnsi="Book Antiqua"/>
          <w:color w:val="000000"/>
          <w:sz w:val="24"/>
          <w:szCs w:val="24"/>
          <w:lang w:val="en-US"/>
        </w:rPr>
        <w:t xml:space="preserve">. </w:t>
      </w:r>
      <w:r w:rsidR="00E0395D" w:rsidRPr="005C7810">
        <w:rPr>
          <w:rStyle w:val="title-text"/>
          <w:rFonts w:ascii="Book Antiqua" w:hAnsi="Book Antiqua"/>
          <w:color w:val="000000"/>
          <w:sz w:val="24"/>
          <w:szCs w:val="24"/>
          <w:lang w:val="en-US"/>
        </w:rPr>
        <w:t>A ph</w:t>
      </w:r>
      <w:r w:rsidRPr="005C7810">
        <w:rPr>
          <w:rStyle w:val="title-text"/>
          <w:rFonts w:ascii="Book Antiqua" w:hAnsi="Book Antiqua"/>
          <w:color w:val="000000"/>
          <w:sz w:val="24"/>
          <w:szCs w:val="24"/>
          <w:lang w:val="en-US"/>
        </w:rPr>
        <w:t>ase I</w:t>
      </w:r>
      <w:r w:rsidR="004A086E" w:rsidRPr="005C7810">
        <w:rPr>
          <w:rStyle w:val="title-text"/>
          <w:rFonts w:ascii="Book Antiqua" w:hAnsi="Book Antiqua"/>
          <w:color w:val="000000"/>
          <w:sz w:val="24"/>
          <w:szCs w:val="24"/>
          <w:lang w:val="en-US"/>
        </w:rPr>
        <w:t>/</w:t>
      </w:r>
      <w:r w:rsidRPr="005C7810">
        <w:rPr>
          <w:rStyle w:val="title-text"/>
          <w:rFonts w:ascii="Book Antiqua" w:hAnsi="Book Antiqua"/>
          <w:color w:val="000000"/>
          <w:sz w:val="24"/>
          <w:szCs w:val="24"/>
          <w:lang w:val="en-US"/>
        </w:rPr>
        <w:t xml:space="preserve">II pilot study was prepared to analyze the efficacy of olaparib in combination with ramucirumab in patients with metastatic, recurrent or </w:t>
      </w:r>
      <w:r w:rsidR="009E7B16" w:rsidRPr="005C7810">
        <w:rPr>
          <w:rStyle w:val="title-text"/>
          <w:rFonts w:ascii="Book Antiqua" w:hAnsi="Book Antiqua"/>
          <w:color w:val="000000"/>
          <w:sz w:val="24"/>
          <w:szCs w:val="24"/>
          <w:lang w:val="en-US"/>
        </w:rPr>
        <w:t xml:space="preserve">unresectable </w:t>
      </w:r>
      <w:r w:rsidRPr="005C7810">
        <w:rPr>
          <w:rStyle w:val="title-text"/>
          <w:rFonts w:ascii="Book Antiqua" w:hAnsi="Book Antiqua"/>
          <w:color w:val="000000"/>
          <w:sz w:val="24"/>
          <w:szCs w:val="24"/>
          <w:lang w:val="en-US"/>
        </w:rPr>
        <w:t xml:space="preserve">GC (NCT03008278). The study is </w:t>
      </w:r>
      <w:r w:rsidR="00E0395D" w:rsidRPr="005C7810">
        <w:rPr>
          <w:rStyle w:val="title-text"/>
          <w:rFonts w:ascii="Book Antiqua" w:hAnsi="Book Antiqua"/>
          <w:color w:val="000000"/>
          <w:sz w:val="24"/>
          <w:szCs w:val="24"/>
          <w:lang w:val="en-US"/>
        </w:rPr>
        <w:t xml:space="preserve">currently </w:t>
      </w:r>
      <w:r w:rsidRPr="005C7810">
        <w:rPr>
          <w:rStyle w:val="title-text"/>
          <w:rFonts w:ascii="Book Antiqua" w:hAnsi="Book Antiqua"/>
          <w:color w:val="000000"/>
          <w:sz w:val="24"/>
          <w:szCs w:val="24"/>
          <w:lang w:val="en-US"/>
        </w:rPr>
        <w:t>recruiting</w:t>
      </w:r>
      <w:r w:rsidRPr="005C7810">
        <w:rPr>
          <w:rStyle w:val="title-text"/>
          <w:rFonts w:ascii="Book Antiqua" w:hAnsi="Book Antiqua"/>
          <w:color w:val="000000"/>
          <w:sz w:val="24"/>
          <w:szCs w:val="24"/>
          <w:vertAlign w:val="superscript"/>
          <w:lang w:val="en-US"/>
        </w:rPr>
        <w:fldChar w:fldCharType="begin" w:fldLock="1"/>
      </w:r>
      <w:r w:rsidR="00454589" w:rsidRPr="005C7810">
        <w:rPr>
          <w:rStyle w:val="title-text"/>
          <w:rFonts w:ascii="Book Antiqua" w:hAnsi="Book Antiqua"/>
          <w:color w:val="000000"/>
          <w:sz w:val="24"/>
          <w:szCs w:val="24"/>
          <w:vertAlign w:val="superscript"/>
          <w:lang w:val="en-US"/>
        </w:rPr>
        <w:instrText>ADDIN CSL_CITATION {"citationItems":[{"id":"ITEM-1","itemData":{"author":[{"dropping-particle":"","family":"Cecchini","given":"M","non-dropping-particle":"","parse-names":false,"suffix":""}],"container-title":"In: ClinicalTrials.gov[Internet]. Bethesda: U.S. National Library of Medicine. Available from: https://clinicaltrials.gov/ct2/show/NCT03008278 Clinical Trials.gov Identifier: NCT03008278","id":"ITEM-1","issued":{"date-parts":[["0"]]},"title":"Olaparib and Ramucirumab in Treating Patients With Metastatic or Locally Recurrent Gastric or Gastroesophageal Junction Cancer That Cannot Be Removed by Surgery","type":"article-journal"},"uris":["http://www.mendeley.com/documents/?uuid=98897abb-9a20-4bd7-a22f-24c462a6349c"]}],"mendeley":{"formattedCitation":"&lt;sup&gt;[178]&lt;/sup&gt;","plainTextFormattedCitation":"[178]","previouslyFormattedCitation":"&lt;sup&gt;[178]&lt;/sup&gt;"},"properties":{"noteIndex":0},"schema":"https://github.com/citation-style-language/schema/raw/master/csl-citation.json"}</w:instrText>
      </w:r>
      <w:r w:rsidRPr="005C7810">
        <w:rPr>
          <w:rStyle w:val="title-text"/>
          <w:rFonts w:ascii="Book Antiqua" w:hAnsi="Book Antiqua"/>
          <w:color w:val="000000"/>
          <w:sz w:val="24"/>
          <w:szCs w:val="24"/>
          <w:vertAlign w:val="superscript"/>
          <w:lang w:val="en-US"/>
        </w:rPr>
        <w:fldChar w:fldCharType="separate"/>
      </w:r>
      <w:r w:rsidRPr="005C7810">
        <w:rPr>
          <w:rStyle w:val="title-text"/>
          <w:rFonts w:ascii="Book Antiqua" w:hAnsi="Book Antiqua"/>
          <w:color w:val="000000"/>
          <w:sz w:val="24"/>
          <w:szCs w:val="24"/>
          <w:vertAlign w:val="superscript"/>
          <w:lang w:val="en-US"/>
        </w:rPr>
        <w:t>[178]</w:t>
      </w:r>
      <w:r w:rsidRPr="005C7810">
        <w:rPr>
          <w:rStyle w:val="title-text"/>
          <w:rFonts w:ascii="Book Antiqua" w:hAnsi="Book Antiqua"/>
          <w:color w:val="000000"/>
          <w:sz w:val="24"/>
          <w:szCs w:val="24"/>
          <w:vertAlign w:val="superscript"/>
          <w:lang w:val="en-US"/>
        </w:rPr>
        <w:fldChar w:fldCharType="end"/>
      </w:r>
      <w:r w:rsidR="00454589" w:rsidRPr="005C7810">
        <w:rPr>
          <w:rStyle w:val="title-text"/>
          <w:rFonts w:ascii="Book Antiqua" w:hAnsi="Book Antiqua"/>
          <w:color w:val="000000"/>
          <w:sz w:val="24"/>
          <w:szCs w:val="24"/>
          <w:lang w:val="en-US"/>
        </w:rPr>
        <w:t xml:space="preserve">. </w:t>
      </w:r>
      <w:r w:rsidR="00E0395D" w:rsidRPr="005C7810">
        <w:rPr>
          <w:rStyle w:val="title-text"/>
          <w:rFonts w:ascii="Book Antiqua" w:hAnsi="Book Antiqua"/>
          <w:color w:val="000000"/>
          <w:sz w:val="24"/>
          <w:szCs w:val="24"/>
          <w:lang w:val="en-US"/>
        </w:rPr>
        <w:t xml:space="preserve">Another </w:t>
      </w:r>
      <w:r w:rsidR="00454589" w:rsidRPr="005C7810">
        <w:rPr>
          <w:rStyle w:val="title-text"/>
          <w:rFonts w:ascii="Book Antiqua" w:hAnsi="Book Antiqua"/>
          <w:color w:val="000000"/>
          <w:sz w:val="24"/>
          <w:szCs w:val="24"/>
          <w:lang w:val="en-US"/>
        </w:rPr>
        <w:t>phase I clinical trial (NCT01123876) studied the combination of veliparib (PARP inhibitor) with FOLFIRI in patients with advanced solid tumors, including GC</w:t>
      </w:r>
      <w:r w:rsidR="00454589" w:rsidRPr="005C7810">
        <w:rPr>
          <w:rStyle w:val="title-text"/>
          <w:rFonts w:ascii="Book Antiqua" w:hAnsi="Book Antiqua"/>
          <w:color w:val="000000"/>
          <w:sz w:val="24"/>
          <w:szCs w:val="24"/>
          <w:vertAlign w:val="superscript"/>
          <w:lang w:val="en-US"/>
        </w:rPr>
        <w:fldChar w:fldCharType="begin" w:fldLock="1"/>
      </w:r>
      <w:r w:rsidR="00454589" w:rsidRPr="005C7810">
        <w:rPr>
          <w:rStyle w:val="title-text"/>
          <w:rFonts w:ascii="Book Antiqua" w:hAnsi="Book Antiqua"/>
          <w:color w:val="000000"/>
          <w:sz w:val="24"/>
          <w:szCs w:val="24"/>
          <w:vertAlign w:val="superscript"/>
          <w:lang w:val="en-US"/>
        </w:rPr>
        <w:instrText>ADDIN CSL_CITATION {"citationItems":[{"id":"ITEM-1","itemData":{"author":[{"dropping-particle":"","family":"Shephered","given":"S","non-dropping-particle":"","parse-names":false,"suffix":""}],"container-title":"In: ClinicalTrials.gov[Internet]. Bethesda: U.S. National Library of Medicine. Available from: https://clinicaltrials.gov/ct2/show/NCT01123876 Clinical Trials.gov Identifier: NCT031123876","id":"ITEM-1","issued":{"date-parts":[["0"]]},"title":"Evaluating the Safety and Tolerability of the Poly-ADP Ribose (PARP) Inhibitor With FOLFIRI in Subjects With Solid Tumor","type":"article-journal"},"uris":["http://www.mendeley.com/documents/?uuid=5d0e77fd-411e-4e25-8bb4-eed27cbccb4e"]}],"mendeley":{"formattedCitation":"&lt;sup&gt;[179]&lt;/sup&gt;","plainTextFormattedCitation":"[179]","previouslyFormattedCitation":"&lt;sup&gt;[179]&lt;/sup&gt;"},"properties":{"noteIndex":0},"schema":"https://github.com/citation-style-language/schema/raw/master/csl-citation.json"}</w:instrText>
      </w:r>
      <w:r w:rsidR="00454589" w:rsidRPr="005C7810">
        <w:rPr>
          <w:rStyle w:val="title-text"/>
          <w:rFonts w:ascii="Book Antiqua" w:hAnsi="Book Antiqua"/>
          <w:color w:val="000000"/>
          <w:sz w:val="24"/>
          <w:szCs w:val="24"/>
          <w:vertAlign w:val="superscript"/>
          <w:lang w:val="en-US"/>
        </w:rPr>
        <w:fldChar w:fldCharType="separate"/>
      </w:r>
      <w:r w:rsidR="00454589" w:rsidRPr="005C7810">
        <w:rPr>
          <w:rStyle w:val="title-text"/>
          <w:rFonts w:ascii="Book Antiqua" w:hAnsi="Book Antiqua"/>
          <w:color w:val="000000"/>
          <w:sz w:val="24"/>
          <w:szCs w:val="24"/>
          <w:vertAlign w:val="superscript"/>
          <w:lang w:val="en-US"/>
        </w:rPr>
        <w:t>[179]</w:t>
      </w:r>
      <w:r w:rsidR="00454589" w:rsidRPr="005C7810">
        <w:rPr>
          <w:rStyle w:val="title-text"/>
          <w:rFonts w:ascii="Book Antiqua" w:hAnsi="Book Antiqua"/>
          <w:color w:val="000000"/>
          <w:sz w:val="24"/>
          <w:szCs w:val="24"/>
          <w:vertAlign w:val="superscript"/>
          <w:lang w:val="en-US"/>
        </w:rPr>
        <w:fldChar w:fldCharType="end"/>
      </w:r>
      <w:r w:rsidR="00454589" w:rsidRPr="005C7810">
        <w:rPr>
          <w:rStyle w:val="title-text"/>
          <w:rFonts w:ascii="Book Antiqua" w:hAnsi="Book Antiqua"/>
          <w:color w:val="000000"/>
          <w:sz w:val="24"/>
          <w:szCs w:val="24"/>
          <w:lang w:val="en-US"/>
        </w:rPr>
        <w:t xml:space="preserve">. The antitumor activity of veliparib in combination with FOLFIRI and the acceptable safety profile lay the foundation for further studies. </w:t>
      </w:r>
    </w:p>
    <w:p w:rsidR="00356A51" w:rsidRPr="005C7810" w:rsidRDefault="00356A51" w:rsidP="00CD380F">
      <w:pPr>
        <w:shd w:val="clear" w:color="auto" w:fill="FFFFFF"/>
        <w:snapToGrid w:val="0"/>
        <w:spacing w:after="0" w:line="360" w:lineRule="auto"/>
        <w:jc w:val="both"/>
        <w:rPr>
          <w:rFonts w:ascii="Book Antiqua" w:hAnsi="Book Antiqua" w:cs="Times New Roman"/>
          <w:sz w:val="24"/>
          <w:szCs w:val="24"/>
          <w:lang w:val="en-US"/>
        </w:rPr>
      </w:pPr>
    </w:p>
    <w:p w:rsidR="000F5BB0" w:rsidRPr="005C7810" w:rsidRDefault="00BE6A1C" w:rsidP="00CD380F">
      <w:pPr>
        <w:shd w:val="clear" w:color="auto" w:fill="FFFFFF"/>
        <w:snapToGrid w:val="0"/>
        <w:spacing w:after="0" w:line="360" w:lineRule="auto"/>
        <w:jc w:val="both"/>
        <w:rPr>
          <w:rFonts w:ascii="Book Antiqua" w:hAnsi="Book Antiqua" w:cs="Times New Roman"/>
          <w:b/>
          <w:i/>
          <w:sz w:val="24"/>
          <w:szCs w:val="24"/>
          <w:lang w:val="en-US"/>
        </w:rPr>
      </w:pPr>
      <w:r w:rsidRPr="005C7810">
        <w:rPr>
          <w:rFonts w:ascii="Book Antiqua" w:hAnsi="Book Antiqua" w:cs="Times New Roman"/>
          <w:b/>
          <w:i/>
          <w:sz w:val="24"/>
          <w:szCs w:val="24"/>
          <w:lang w:val="en-US"/>
        </w:rPr>
        <w:t xml:space="preserve">Immune checkpoint </w:t>
      </w:r>
      <w:r w:rsidR="00C06A28" w:rsidRPr="005C7810">
        <w:rPr>
          <w:rFonts w:ascii="Book Antiqua" w:hAnsi="Book Antiqua" w:cs="Times New Roman"/>
          <w:b/>
          <w:i/>
          <w:sz w:val="24"/>
          <w:szCs w:val="24"/>
          <w:lang w:val="en-US"/>
        </w:rPr>
        <w:t>signaling pathway</w:t>
      </w:r>
    </w:p>
    <w:p w:rsidR="0020412D" w:rsidRPr="005C7810" w:rsidRDefault="00B8125B" w:rsidP="00CD380F">
      <w:pPr>
        <w:shd w:val="clear" w:color="auto" w:fill="FFFFFF"/>
        <w:snapToGrid w:val="0"/>
        <w:spacing w:after="0" w:line="360" w:lineRule="auto"/>
        <w:jc w:val="both"/>
        <w:rPr>
          <w:rFonts w:ascii="Book Antiqua" w:eastAsia="Times New Roman" w:hAnsi="Book Antiqua" w:cs="Times New Roman"/>
          <w:color w:val="000000"/>
          <w:sz w:val="24"/>
          <w:szCs w:val="24"/>
          <w:lang w:val="en-US" w:eastAsia="it-IT"/>
        </w:rPr>
      </w:pPr>
      <w:r w:rsidRPr="005C7810">
        <w:rPr>
          <w:rFonts w:ascii="Book Antiqua" w:hAnsi="Book Antiqua" w:cs="Times New Roman"/>
          <w:sz w:val="24"/>
          <w:szCs w:val="24"/>
          <w:lang w:val="en-US"/>
        </w:rPr>
        <w:t xml:space="preserve">Pembrolizumab is the first immune checkpoint inhibitor approved by the </w:t>
      </w:r>
      <w:r w:rsidR="00ED2497" w:rsidRPr="005C7810">
        <w:rPr>
          <w:rFonts w:ascii="Book Antiqua" w:hAnsi="Book Antiqua" w:cs="Times New Roman"/>
          <w:sz w:val="24"/>
          <w:szCs w:val="24"/>
          <w:lang w:val="en-US"/>
        </w:rPr>
        <w:t>U</w:t>
      </w:r>
      <w:r w:rsidR="009131DA" w:rsidRPr="005C7810">
        <w:rPr>
          <w:rFonts w:ascii="Book Antiqua" w:hAnsi="Book Antiqua" w:cs="Times New Roman"/>
          <w:sz w:val="24"/>
          <w:szCs w:val="24"/>
          <w:lang w:val="en-US"/>
        </w:rPr>
        <w:t>nited States</w:t>
      </w:r>
      <w:r w:rsidR="00ED2497"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Food and Drug Administration</w:t>
      </w:r>
      <w:r w:rsidR="00ED2497" w:rsidRPr="005C7810">
        <w:rPr>
          <w:rFonts w:ascii="Book Antiqua" w:hAnsi="Book Antiqua" w:cs="Times New Roman"/>
          <w:sz w:val="24"/>
          <w:szCs w:val="24"/>
          <w:lang w:val="en-US"/>
        </w:rPr>
        <w:t xml:space="preserve"> (FDA</w:t>
      </w:r>
      <w:r w:rsidRPr="005C7810">
        <w:rPr>
          <w:rFonts w:ascii="Book Antiqua" w:hAnsi="Book Antiqua" w:cs="Times New Roman"/>
          <w:sz w:val="24"/>
          <w:szCs w:val="24"/>
          <w:lang w:val="en-US"/>
        </w:rPr>
        <w:t xml:space="preserve">) </w:t>
      </w:r>
      <w:r w:rsidR="00ED2497" w:rsidRPr="005C7810">
        <w:rPr>
          <w:rFonts w:ascii="Book Antiqua" w:hAnsi="Book Antiqua" w:cs="Times New Roman"/>
          <w:sz w:val="24"/>
          <w:szCs w:val="24"/>
          <w:lang w:val="en-US"/>
        </w:rPr>
        <w:t xml:space="preserve">for </w:t>
      </w:r>
      <w:r w:rsidRPr="005C7810">
        <w:rPr>
          <w:rFonts w:ascii="Book Antiqua" w:hAnsi="Book Antiqua" w:cs="Times New Roman"/>
          <w:sz w:val="24"/>
          <w:szCs w:val="24"/>
          <w:lang w:val="en-US"/>
        </w:rPr>
        <w:t>the treatment of advanced or metastatic GC</w:t>
      </w:r>
      <w:r w:rsidR="00997C48"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{"citationItems":[{"id":"ITEM-1","itemData":{"DOI":"10.1634/theoncologist.2018-0221","ISSN":"1083-7159","PMID":"30120163","abstract":"On September 22, 2017, the U.S. Food and Drug Administration (FDA) granted accelerated approval for pembrolizumab (Keytruda, Merck &amp; Co., Inc., Whitehouse Station, NJ) for the treatment of patients with recurrent, locally advanced or metastatic, gastric or gastroesophageal junction (GEJ) adenocarcinoma with disease progression on or after two or more systemic therapies, including fluoropyrimidine- and platinum-containing chemotherapy and, if appropriate, HER2/neu-targeted therapy, and whose tumors express programmed death-ligand 1 (PD-L1), as determined by an FDA-approved test. Approval was based on demonstration of durable overall response rate (ORR) in a multicenter, open-label, multicohort trial (KEYNOTE-059/Cohort 1) that enrolled 259 patients with locally advanced or metastatic gastric or GEJ adenocarcinoma. Among the 55% (n = 143) of patients whose tumors expressed PD-L1 based on a combined positive score ≥1 and either were microsatellite stable or had undetermined microsatellite instability or mismatch repair status, the confirmed ORR as determined by blinded independent central review was 13.3% (95% CI, 8.2-20.0); 1.4% had complete responses. Response durations ranged from 2.8+ to 19.4+ months; 11 patients (58%) had response durations of 6 months or longer, and 5 patients (26%) had response durations of 12 months or longer. The most common (≥20%) adverse reactions of pembrolizumab observed in KEYNOTE-059/Cohort 1 were fatigue, decreased appetite, nausea, and constipation. The most frequent (≥2%) serious adverse drug reactions were pleural effusion, pneumonia, dyspnea, pulmonary embolism, and pneumonitis. Pembrolizumab was approved concurrently with the PD-L1 immunohistochemistry 22C3 pharmDx test (Dako, Agilent, Santa Clara, CA) for selection of patients with gastric cancer for treatment with pembrolizumab based on PD-L1 tumor expression. IMPLICATIONS FOR PRACTICE: This report presents key information on the basis for Food and Drug Administration approval of pembrolizumab for the treatment of patients with locally advanced or metastatic gastric or GEJ adenocarcinoma whose tumors express PD-L1. The report discusses the basis for limiting the indication to patients with PD-L1-expressing tumors and the basis for recommending that PD-L1 status be assessed using a fresh tumor specimen if PD-L1 expression is not detected in an archival gastric or GEJ cancer specimen.","author":[{"dropping-particle":"","family":"Fashoyin-Aje L, Donoghue M, Chen H, He K, Veeraraghavan J, Goldberg KB, Keegan P, McKee AE","given":"Pazdur R","non-dropping-particle":"","parse-names":false,"suffix":""}],"container-title":"The Oncologist","id":"ITEM-1","issue":"1","issued":{"date-parts":[["2019"]]},"page":"103-109","title":"FDA Approval Summary: Pembrolizumab for Recurrent Locally Advanced or Metastatic Gastric or Gastroesophageal Junction Adenocarcinoma Expressing PD‐L1","type":"article-journal","volume":"24"},"uris":["http://www.mendeley.com/documents/?uuid=5363c365-0172-44ae-a888-e8c1cc38c44f","http://www.mendeley.com/documents/?uuid=d546aef9-20e4-4146-82fb-292614fdccc4"]}],"mendeley":{"formattedCitation":"&lt;sup&gt;[180]&lt;/sup&gt;","plainTextFormattedCitation":"[180]","previouslyFormattedCitation":"&lt;sup&gt;[180]&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[180]</w:t>
      </w:r>
      <w:r w:rsidR="00997C48"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In </w:t>
      </w:r>
      <w:r w:rsidR="00ED2497" w:rsidRPr="005C7810">
        <w:rPr>
          <w:rFonts w:ascii="Book Antiqua" w:hAnsi="Book Antiqua" w:cs="Times New Roman"/>
          <w:sz w:val="24"/>
          <w:szCs w:val="24"/>
          <w:lang w:val="en-US"/>
        </w:rPr>
        <w:t>a</w:t>
      </w:r>
      <w:r w:rsidRPr="005C7810">
        <w:rPr>
          <w:rFonts w:ascii="Book Antiqua" w:hAnsi="Book Antiqua" w:cs="Times New Roman"/>
          <w:sz w:val="24"/>
          <w:szCs w:val="24"/>
          <w:lang w:val="en-US"/>
        </w:rPr>
        <w:t xml:space="preserve"> multicenter phase II trial</w:t>
      </w:r>
      <w:r w:rsidR="00ED2497"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KEYNOTE-059</w:t>
      </w:r>
      <w:r w:rsidR="00ED2497" w:rsidRPr="005C7810">
        <w:rPr>
          <w:rFonts w:ascii="Book Antiqua" w:hAnsi="Book Antiqua" w:cs="Times New Roman"/>
          <w:sz w:val="24"/>
          <w:szCs w:val="24"/>
          <w:lang w:val="en-US"/>
        </w:rPr>
        <w:t xml:space="preserve">, </w:t>
      </w:r>
      <w:r w:rsidR="00BE5EA7" w:rsidRPr="005C7810">
        <w:rPr>
          <w:rFonts w:ascii="Book Antiqua" w:hAnsi="Book Antiqua" w:cs="Times New Roman"/>
          <w:sz w:val="24"/>
          <w:szCs w:val="24"/>
          <w:lang w:val="en-US"/>
        </w:rPr>
        <w:t>NCT02335411)</w:t>
      </w:r>
      <w:r w:rsidR="00ED2497" w:rsidRPr="005C7810">
        <w:rPr>
          <w:rFonts w:ascii="Book Antiqua" w:hAnsi="Book Antiqua" w:cs="Times New Roman"/>
          <w:sz w:val="24"/>
          <w:szCs w:val="24"/>
          <w:lang w:val="en-US"/>
        </w:rPr>
        <w:t>,</w:t>
      </w:r>
      <w:r w:rsidRPr="005C7810">
        <w:rPr>
          <w:rFonts w:ascii="Book Antiqua" w:hAnsi="Book Antiqua" w:cs="Times New Roman"/>
          <w:sz w:val="24"/>
          <w:szCs w:val="24"/>
          <w:lang w:val="en-US"/>
        </w:rPr>
        <w:t xml:space="preserve"> the efficacy of pembrolizumab alone </w:t>
      </w:r>
      <w:r w:rsidR="00ED2497" w:rsidRPr="005C7810">
        <w:rPr>
          <w:rFonts w:ascii="Book Antiqua" w:hAnsi="Book Antiqua" w:cs="Times New Roman"/>
          <w:sz w:val="24"/>
          <w:szCs w:val="24"/>
          <w:lang w:val="en-US"/>
        </w:rPr>
        <w:t>was</w:t>
      </w:r>
      <w:r w:rsidRPr="005C7810">
        <w:rPr>
          <w:rFonts w:ascii="Book Antiqua" w:hAnsi="Book Antiqua" w:cs="Times New Roman"/>
          <w:sz w:val="24"/>
          <w:szCs w:val="24"/>
          <w:lang w:val="en-US"/>
        </w:rPr>
        <w:t xml:space="preserve"> demonstrated in patients with advanced GC</w:t>
      </w:r>
      <w:r w:rsidR="00ED2497" w:rsidRPr="005C7810">
        <w:rPr>
          <w:rFonts w:ascii="Book Antiqua" w:hAnsi="Book Antiqua" w:cs="Times New Roman"/>
          <w:sz w:val="24"/>
          <w:szCs w:val="24"/>
          <w:lang w:val="en-US"/>
        </w:rPr>
        <w:t xml:space="preserve"> who had</w:t>
      </w:r>
      <w:r w:rsidRPr="005C7810">
        <w:rPr>
          <w:rFonts w:ascii="Book Antiqua" w:hAnsi="Book Antiqua" w:cs="Times New Roman"/>
          <w:sz w:val="24"/>
          <w:szCs w:val="24"/>
          <w:lang w:val="en-US"/>
        </w:rPr>
        <w:t xml:space="preserve"> previously</w:t>
      </w:r>
      <w:r w:rsidR="00ED2497" w:rsidRPr="005C7810">
        <w:rPr>
          <w:rFonts w:ascii="Book Antiqua" w:hAnsi="Book Antiqua" w:cs="Times New Roman"/>
          <w:sz w:val="24"/>
          <w:szCs w:val="24"/>
          <w:lang w:val="en-US"/>
        </w:rPr>
        <w:t xml:space="preserve"> been</w:t>
      </w:r>
      <w:r w:rsidRPr="005C7810">
        <w:rPr>
          <w:rFonts w:ascii="Book Antiqua" w:hAnsi="Book Antiqua" w:cs="Times New Roman"/>
          <w:sz w:val="24"/>
          <w:szCs w:val="24"/>
          <w:lang w:val="en-US"/>
        </w:rPr>
        <w:t xml:space="preserve"> treated</w:t>
      </w:r>
      <w:r w:rsidR="00997C48"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{"citationItems":[{"id":"ITEM-1","itemData":{"DOI":"10.1001/jamaoncol.2018.0013","ISSN":"2374-2437","author":[{"dropping-particle":"","family":"Fuchs CS, Doi T, Jang RW, Muro K, Satoh T, Machado M, Sun W, Jalal SI, Shah MA, Metges JP, Garrido M, Golan T, Mandala M, Wainberg ZA, Catenacci DV, Ohtsu A, Shitara K, Geva R, Bleeker J, Ko AH, Ku G, Philip P, Enzinger PC, Bang YJ, Levitan D, Wang J, Ros","given":"Yoon HH.","non-dropping-particle":"","parse-names":false,"suffix":""}],"container-title":"JAMA Oncology","id":"ITEM-1","issue":"5","issued":{"date-parts":[["2018"]]},"page":"e180013","title":"Safety and Efficacy of Pembrolizumab Monotherapy in Patients With Previously Treated Advanced Gastric and Gastroesophageal Junction Cancer","type":"article-journal","volume":"4"},"uris":["http://www.mendeley.com/documents/?uuid=78700048-f634-4d78-b77f-0d569cb0b565","http://www.mendeley.com/documents/?uuid=baba4571-7053-47d9-9c58-60d43a3a1fa4"]}],"mendeley":{"formattedCitation":"&lt;sup&gt;[181]&lt;/sup&gt;","plainTextFormattedCitation":"[181]","previouslyFormattedCitation":"&lt;sup&gt;[181]&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[181]</w:t>
      </w:r>
      <w:r w:rsidR="00997C48"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Treatment with pembrolizumab showed a higher overall response rate in PD</w:t>
      </w:r>
      <w:r w:rsidR="00ED2497" w:rsidRPr="005C7810">
        <w:rPr>
          <w:rFonts w:ascii="Book Antiqua" w:hAnsi="Book Antiqua" w:cs="Times New Roman"/>
          <w:sz w:val="24"/>
          <w:szCs w:val="24"/>
          <w:lang w:val="en-US"/>
        </w:rPr>
        <w:t>-</w:t>
      </w:r>
      <w:r w:rsidRPr="005C7810">
        <w:rPr>
          <w:rFonts w:ascii="Book Antiqua" w:hAnsi="Book Antiqua" w:cs="Times New Roman"/>
          <w:sz w:val="24"/>
          <w:szCs w:val="24"/>
          <w:lang w:val="en-US"/>
        </w:rPr>
        <w:t>L1-positive patients than in PD</w:t>
      </w:r>
      <w:r w:rsidR="00ED2497" w:rsidRPr="005C7810">
        <w:rPr>
          <w:rFonts w:ascii="Book Antiqua" w:hAnsi="Book Antiqua" w:cs="Times New Roman"/>
          <w:sz w:val="24"/>
          <w:szCs w:val="24"/>
          <w:lang w:val="en-US"/>
        </w:rPr>
        <w:t>-</w:t>
      </w:r>
      <w:r w:rsidRPr="005C7810">
        <w:rPr>
          <w:rFonts w:ascii="Book Antiqua" w:hAnsi="Book Antiqua" w:cs="Times New Roman"/>
          <w:sz w:val="24"/>
          <w:szCs w:val="24"/>
          <w:lang w:val="en-US"/>
        </w:rPr>
        <w:t>L1-negative patients. Furthermore, in MSI-high patients, the response was higher than</w:t>
      </w:r>
      <w:r w:rsidR="00ED2497" w:rsidRPr="005C7810">
        <w:rPr>
          <w:rFonts w:ascii="Book Antiqua" w:hAnsi="Book Antiqua" w:cs="Times New Roman"/>
          <w:sz w:val="24"/>
          <w:szCs w:val="24"/>
          <w:lang w:val="en-US"/>
        </w:rPr>
        <w:t xml:space="preserve"> that</w:t>
      </w:r>
      <w:r w:rsidRPr="005C7810">
        <w:rPr>
          <w:rFonts w:ascii="Book Antiqua" w:hAnsi="Book Antiqua" w:cs="Times New Roman"/>
          <w:sz w:val="24"/>
          <w:szCs w:val="24"/>
          <w:lang w:val="en-US"/>
        </w:rPr>
        <w:t xml:space="preserve"> in non-MSI high patients. Th</w:t>
      </w:r>
      <w:r w:rsidR="00ED2497" w:rsidRPr="005C7810">
        <w:rPr>
          <w:rFonts w:ascii="Book Antiqua" w:hAnsi="Book Antiqua" w:cs="Times New Roman"/>
          <w:sz w:val="24"/>
          <w:szCs w:val="24"/>
          <w:lang w:val="en-US"/>
        </w:rPr>
        <w:t>ese</w:t>
      </w:r>
      <w:r w:rsidRPr="005C7810">
        <w:rPr>
          <w:rFonts w:ascii="Book Antiqua" w:hAnsi="Book Antiqua" w:cs="Times New Roman"/>
          <w:sz w:val="24"/>
          <w:szCs w:val="24"/>
          <w:lang w:val="en-US"/>
        </w:rPr>
        <w:t xml:space="preserve"> result</w:t>
      </w:r>
      <w:r w:rsidR="00ED2497" w:rsidRPr="005C7810">
        <w:rPr>
          <w:rFonts w:ascii="Book Antiqua" w:hAnsi="Book Antiqua" w:cs="Times New Roman"/>
          <w:sz w:val="24"/>
          <w:szCs w:val="24"/>
          <w:lang w:val="en-US"/>
        </w:rPr>
        <w:t>s</w:t>
      </w:r>
      <w:r w:rsidRPr="005C7810">
        <w:rPr>
          <w:rFonts w:ascii="Book Antiqua" w:hAnsi="Book Antiqua" w:cs="Times New Roman"/>
          <w:sz w:val="24"/>
          <w:szCs w:val="24"/>
          <w:lang w:val="en-US"/>
        </w:rPr>
        <w:t xml:space="preserve"> suggest</w:t>
      </w:r>
      <w:r w:rsidR="00ED2497"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that PD</w:t>
      </w:r>
      <w:r w:rsidR="00ED2497" w:rsidRPr="005C7810">
        <w:rPr>
          <w:rFonts w:ascii="Book Antiqua" w:hAnsi="Book Antiqua" w:cs="Times New Roman"/>
          <w:sz w:val="24"/>
          <w:szCs w:val="24"/>
          <w:lang w:val="en-US"/>
        </w:rPr>
        <w:t>-</w:t>
      </w:r>
      <w:r w:rsidRPr="005C7810">
        <w:rPr>
          <w:rFonts w:ascii="Book Antiqua" w:hAnsi="Book Antiqua" w:cs="Times New Roman"/>
          <w:sz w:val="24"/>
          <w:szCs w:val="24"/>
          <w:lang w:val="en-US"/>
        </w:rPr>
        <w:t>L1 and MSI</w:t>
      </w:r>
      <w:r w:rsidR="00ED2497" w:rsidRPr="005C7810">
        <w:rPr>
          <w:rFonts w:ascii="Book Antiqua" w:hAnsi="Book Antiqua" w:cs="Times New Roman"/>
          <w:sz w:val="24"/>
          <w:szCs w:val="24"/>
          <w:lang w:val="en-US"/>
        </w:rPr>
        <w:t xml:space="preserve"> levels</w:t>
      </w:r>
      <w:r w:rsidRPr="005C7810">
        <w:rPr>
          <w:rFonts w:ascii="Book Antiqua" w:hAnsi="Book Antiqua" w:cs="Times New Roman"/>
          <w:sz w:val="24"/>
          <w:szCs w:val="24"/>
          <w:lang w:val="en-US"/>
        </w:rPr>
        <w:t xml:space="preserve"> may </w:t>
      </w:r>
      <w:r w:rsidR="00ED2497" w:rsidRPr="005C7810">
        <w:rPr>
          <w:rFonts w:ascii="Book Antiqua" w:hAnsi="Book Antiqua" w:cs="Times New Roman"/>
          <w:sz w:val="24"/>
          <w:szCs w:val="24"/>
          <w:lang w:val="en-US"/>
        </w:rPr>
        <w:t xml:space="preserve">be </w:t>
      </w:r>
      <w:r w:rsidRPr="005C7810">
        <w:rPr>
          <w:rFonts w:ascii="Book Antiqua" w:hAnsi="Book Antiqua" w:cs="Times New Roman"/>
          <w:sz w:val="24"/>
          <w:szCs w:val="24"/>
          <w:lang w:val="en-US"/>
        </w:rPr>
        <w:t>predictive biomarkers of pembrolizumab</w:t>
      </w:r>
      <w:r w:rsidR="00ED2497" w:rsidRPr="005C7810">
        <w:rPr>
          <w:rFonts w:ascii="Book Antiqua" w:hAnsi="Book Antiqua" w:cs="Times New Roman"/>
          <w:sz w:val="24"/>
          <w:szCs w:val="24"/>
          <w:lang w:val="en-US"/>
        </w:rPr>
        <w:t xml:space="preserve"> efficacy</w:t>
      </w:r>
      <w:r w:rsidR="00997C48"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{"citationItems":[{"id":"ITEM-1","itemData":{"author":[{"dropping-particle":"","family":"DH","given":"Ilson","non-dropping-particle":"","parse-names":false,"suffix":""}],"container-title":"Curr Opin Gastroenterol","id":"ITEM-1","issue":"465-468","issued":{"date-parts":[["2018"]]},"title":"Advances in the treatment of gastric cancer.","type":"article-journal","volume":"34"},"uris":["http://www.mendeley.com/documents/?uuid=5acc32f6-cf57-4566-8dd8-6a54865db8c1","http://www.mendeley.com/documents/?uuid=2dc53f92-b69c-4be8-9683-f482db27d4b4"]}],"mendeley":{"formattedCitation":"&lt;sup&gt;[182]&lt;/sup&gt;","plainTextFormattedCitation":"[182]","previouslyFormattedCitation":"&lt;sup&gt;[182]&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[182]</w:t>
      </w:r>
      <w:r w:rsidR="00997C48"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In the trial</w:t>
      </w:r>
      <w:r w:rsidR="00F573E6" w:rsidRPr="005C7810">
        <w:rPr>
          <w:rFonts w:ascii="Book Antiqua" w:hAnsi="Book Antiqua" w:cs="Times New Roman"/>
          <w:sz w:val="24"/>
          <w:szCs w:val="24"/>
          <w:lang w:val="en-US"/>
        </w:rPr>
        <w:t xml:space="preserve"> KEYNOTE-061 (NCT02370498), </w:t>
      </w:r>
      <w:r w:rsidR="00ED2497" w:rsidRPr="005C7810">
        <w:rPr>
          <w:rFonts w:ascii="Book Antiqua" w:hAnsi="Book Antiqua" w:cs="Times New Roman"/>
          <w:sz w:val="24"/>
          <w:szCs w:val="24"/>
          <w:lang w:val="en-US"/>
        </w:rPr>
        <w:t xml:space="preserve">which was </w:t>
      </w:r>
      <w:r w:rsidRPr="005C7810">
        <w:rPr>
          <w:rFonts w:ascii="Book Antiqua" w:hAnsi="Book Antiqua" w:cs="Times New Roman"/>
          <w:sz w:val="24"/>
          <w:szCs w:val="24"/>
          <w:lang w:val="en-US"/>
        </w:rPr>
        <w:t xml:space="preserve">performed </w:t>
      </w:r>
      <w:r w:rsidR="00ED2497" w:rsidRPr="005C7810">
        <w:rPr>
          <w:rFonts w:ascii="Book Antiqua" w:hAnsi="Book Antiqua" w:cs="Times New Roman"/>
          <w:sz w:val="24"/>
          <w:szCs w:val="24"/>
          <w:lang w:val="en-US"/>
        </w:rPr>
        <w:t>i</w:t>
      </w:r>
      <w:r w:rsidRPr="005C7810">
        <w:rPr>
          <w:rFonts w:ascii="Book Antiqua" w:hAnsi="Book Antiqua" w:cs="Times New Roman"/>
          <w:sz w:val="24"/>
          <w:szCs w:val="24"/>
          <w:lang w:val="en-US"/>
        </w:rPr>
        <w:t xml:space="preserve">n patients </w:t>
      </w:r>
      <w:r w:rsidR="00F573E6" w:rsidRPr="005C7810">
        <w:rPr>
          <w:rFonts w:ascii="Book Antiqua" w:hAnsi="Book Antiqua" w:cs="Times New Roman"/>
          <w:sz w:val="24"/>
          <w:szCs w:val="24"/>
          <w:lang w:val="en-US"/>
        </w:rPr>
        <w:t>with advanced PD</w:t>
      </w:r>
      <w:r w:rsidR="00ED2497" w:rsidRPr="005C7810">
        <w:rPr>
          <w:rFonts w:ascii="Book Antiqua" w:hAnsi="Book Antiqua" w:cs="Times New Roman"/>
          <w:sz w:val="24"/>
          <w:szCs w:val="24"/>
          <w:lang w:val="en-US"/>
        </w:rPr>
        <w:t>-</w:t>
      </w:r>
      <w:r w:rsidR="00F573E6" w:rsidRPr="005C7810">
        <w:rPr>
          <w:rFonts w:ascii="Book Antiqua" w:hAnsi="Book Antiqua" w:cs="Times New Roman"/>
          <w:sz w:val="24"/>
          <w:szCs w:val="24"/>
          <w:lang w:val="en-US"/>
        </w:rPr>
        <w:t>L1</w:t>
      </w:r>
      <w:r w:rsidR="00ED2497" w:rsidRPr="005C7810">
        <w:rPr>
          <w:rFonts w:ascii="Book Antiqua" w:hAnsi="Book Antiqua" w:cs="Times New Roman"/>
          <w:sz w:val="24"/>
          <w:szCs w:val="24"/>
          <w:lang w:val="en-US"/>
        </w:rPr>
        <w:t>-</w:t>
      </w:r>
      <w:r w:rsidR="00F573E6" w:rsidRPr="005C7810">
        <w:rPr>
          <w:rFonts w:ascii="Book Antiqua" w:hAnsi="Book Antiqua" w:cs="Times New Roman"/>
          <w:sz w:val="24"/>
          <w:szCs w:val="24"/>
          <w:lang w:val="en-US"/>
        </w:rPr>
        <w:t xml:space="preserve">positive GC, </w:t>
      </w:r>
      <w:r w:rsidRPr="005C7810">
        <w:rPr>
          <w:rFonts w:ascii="Book Antiqua" w:hAnsi="Book Antiqua" w:cs="Times New Roman"/>
          <w:sz w:val="24"/>
          <w:szCs w:val="24"/>
          <w:lang w:val="en-US"/>
        </w:rPr>
        <w:t xml:space="preserve">the efficacy of second-line treatment of pembrolizumab </w:t>
      </w:r>
      <w:r w:rsidR="000C5160" w:rsidRPr="005C7810">
        <w:rPr>
          <w:rFonts w:ascii="Book Antiqua" w:hAnsi="Book Antiqua" w:cs="Times New Roman"/>
          <w:i/>
          <w:sz w:val="24"/>
          <w:szCs w:val="24"/>
          <w:lang w:val="en-US"/>
        </w:rPr>
        <w:t>vs</w:t>
      </w:r>
      <w:r w:rsidRPr="005C7810">
        <w:rPr>
          <w:rFonts w:ascii="Book Antiqua" w:hAnsi="Book Antiqua" w:cs="Times New Roman"/>
          <w:sz w:val="24"/>
          <w:szCs w:val="24"/>
          <w:lang w:val="en-US"/>
        </w:rPr>
        <w:t xml:space="preserve"> paclitaxel was compared. Pembrolizumab did not significantly improve OS compared to</w:t>
      </w:r>
      <w:r w:rsidR="00CC24E8" w:rsidRPr="005C7810">
        <w:rPr>
          <w:rFonts w:ascii="Book Antiqua" w:hAnsi="Book Antiqua" w:cs="Times New Roman"/>
          <w:sz w:val="24"/>
          <w:szCs w:val="24"/>
          <w:lang w:val="en-US"/>
        </w:rPr>
        <w:t xml:space="preserve"> paclitaxel</w:t>
      </w:r>
      <w:r w:rsidRPr="005C7810">
        <w:rPr>
          <w:rFonts w:ascii="Book Antiqua" w:hAnsi="Book Antiqua" w:cs="Times New Roman"/>
          <w:sz w:val="24"/>
          <w:szCs w:val="24"/>
          <w:lang w:val="en-US"/>
        </w:rPr>
        <w:t xml:space="preserve"> but ha</w:t>
      </w:r>
      <w:r w:rsidR="00ED2497" w:rsidRPr="005C7810">
        <w:rPr>
          <w:rFonts w:ascii="Book Antiqua" w:hAnsi="Book Antiqua" w:cs="Times New Roman"/>
          <w:sz w:val="24"/>
          <w:szCs w:val="24"/>
          <w:lang w:val="en-US"/>
        </w:rPr>
        <w:t>d</w:t>
      </w:r>
      <w:r w:rsidRPr="005C7810">
        <w:rPr>
          <w:rFonts w:ascii="Book Antiqua" w:hAnsi="Book Antiqua" w:cs="Times New Roman"/>
          <w:sz w:val="24"/>
          <w:szCs w:val="24"/>
          <w:lang w:val="en-US"/>
        </w:rPr>
        <w:t xml:space="preserve"> a better safety profile than paclitaxel</w:t>
      </w:r>
      <w:r w:rsidR="00997C48"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{"citationItems":[{"id":"ITEM-1","itemData":{"DOI":"10.1016/s0140-6736(18)31257-1","ISSN":"01406736","author":[{"dropping-particle":"","family":"Shitara K, Özgüroğlu M, Bang YJ, Di Bartolomeo M, Mandalà M, Ryu MH, Fornaro L, Olesiński T, Caglevic C, Chung HC, Muro K, Goekkurt E, Mansoor W, McDermott RS, Shacham-Shmueli E, Chen X, Mayo C, Kang SP, Ohtsu A","given":"Fuchs CS; KEYNOTE-061 investigators.","non-dropping-particle":"","parse-names":false,"suffix":""}],"container-title":"The Lancet","id":"ITEM-1","issue":"10142","issued":{"date-parts":[["2018"]]},"page":"123-133","title":"Pembrolizumab versus paclitaxel for previously treated, advanced gastric or gastro-oesophageal junction cancer (KEYNOTE-061): a randomised, open-label, controlled, phase 3 trial","type":"article-journal","volume":"392"},"uris":["http://www.mendeley.com/documents/?uuid=2460e306-18dd-4696-b69f-48e73af545e6","http://www.mendeley.com/documents/?uuid=ec73283b-6a82-4255-8e73-57a92da7124a"]}],"mendeley":{"formattedCitation":"&lt;sup&gt;[183]&lt;/sup&gt;","plainTextFormattedCitation":"[183]","previouslyFormattedCitation":"&lt;sup&gt;[183]&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[183]</w:t>
      </w:r>
      <w:r w:rsidR="00997C48"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 xml:space="preserve">. </w:t>
      </w:r>
      <w:r w:rsidR="000572CA" w:rsidRPr="005C7810">
        <w:rPr>
          <w:rFonts w:ascii="Book Antiqua" w:hAnsi="Book Antiqua" w:cs="Times New Roman"/>
          <w:sz w:val="24"/>
          <w:szCs w:val="24"/>
          <w:lang w:val="en-US"/>
        </w:rPr>
        <w:t xml:space="preserve">Pembrolizumab was used </w:t>
      </w:r>
      <w:r w:rsidR="00ED2497" w:rsidRPr="005C7810">
        <w:rPr>
          <w:rFonts w:ascii="Book Antiqua" w:hAnsi="Book Antiqua" w:cs="Times New Roman"/>
          <w:sz w:val="24"/>
          <w:szCs w:val="24"/>
          <w:lang w:val="en-US"/>
        </w:rPr>
        <w:t>as</w:t>
      </w:r>
      <w:r w:rsidR="000572CA" w:rsidRPr="005C7810">
        <w:rPr>
          <w:rFonts w:ascii="Book Antiqua" w:hAnsi="Book Antiqua" w:cs="Times New Roman"/>
          <w:sz w:val="24"/>
          <w:szCs w:val="24"/>
          <w:lang w:val="en-US"/>
        </w:rPr>
        <w:t xml:space="preserve"> first-line monotherapy or in combination with cisplatin, 5-FU</w:t>
      </w:r>
      <w:r w:rsidR="00ED2497" w:rsidRPr="005C7810">
        <w:rPr>
          <w:rFonts w:ascii="Book Antiqua" w:hAnsi="Book Antiqua" w:cs="Times New Roman"/>
          <w:sz w:val="24"/>
          <w:szCs w:val="24"/>
          <w:lang w:val="en-US"/>
        </w:rPr>
        <w:t>,</w:t>
      </w:r>
      <w:r w:rsidR="000572CA" w:rsidRPr="005C7810">
        <w:rPr>
          <w:rFonts w:ascii="Book Antiqua" w:hAnsi="Book Antiqua" w:cs="Times New Roman"/>
          <w:sz w:val="24"/>
          <w:szCs w:val="24"/>
          <w:lang w:val="en-US"/>
        </w:rPr>
        <w:t xml:space="preserve"> or capecitabine in patients with advanced PD</w:t>
      </w:r>
      <w:r w:rsidR="00ED2497" w:rsidRPr="005C7810">
        <w:rPr>
          <w:rFonts w:ascii="Book Antiqua" w:hAnsi="Book Antiqua" w:cs="Times New Roman"/>
          <w:sz w:val="24"/>
          <w:szCs w:val="24"/>
          <w:lang w:val="en-US"/>
        </w:rPr>
        <w:t>-</w:t>
      </w:r>
      <w:r w:rsidR="000572CA" w:rsidRPr="005C7810">
        <w:rPr>
          <w:rFonts w:ascii="Book Antiqua" w:hAnsi="Book Antiqua" w:cs="Times New Roman"/>
          <w:sz w:val="24"/>
          <w:szCs w:val="24"/>
          <w:lang w:val="en-US"/>
        </w:rPr>
        <w:t>L1</w:t>
      </w:r>
      <w:r w:rsidR="00ED2497" w:rsidRPr="005C7810">
        <w:rPr>
          <w:rFonts w:ascii="Book Antiqua" w:hAnsi="Book Antiqua" w:cs="Times New Roman"/>
          <w:sz w:val="24"/>
          <w:szCs w:val="24"/>
          <w:lang w:val="en-US"/>
        </w:rPr>
        <w:t>-</w:t>
      </w:r>
      <w:r w:rsidR="000572CA" w:rsidRPr="005C7810">
        <w:rPr>
          <w:rFonts w:ascii="Book Antiqua" w:hAnsi="Book Antiqua" w:cs="Times New Roman"/>
          <w:sz w:val="24"/>
          <w:szCs w:val="24"/>
          <w:lang w:val="en-US"/>
        </w:rPr>
        <w:t>positive GC</w:t>
      </w:r>
      <w:r w:rsidR="00ED2497" w:rsidRPr="005C7810">
        <w:rPr>
          <w:rFonts w:ascii="Book Antiqua" w:hAnsi="Book Antiqua" w:cs="Times New Roman"/>
          <w:sz w:val="24"/>
          <w:szCs w:val="24"/>
          <w:lang w:val="en-US"/>
        </w:rPr>
        <w:t xml:space="preserve"> (</w:t>
      </w:r>
      <w:r w:rsidR="00F573E6" w:rsidRPr="005C7810">
        <w:rPr>
          <w:rFonts w:ascii="Book Antiqua" w:hAnsi="Book Antiqua" w:cs="Times New Roman"/>
          <w:sz w:val="24"/>
          <w:szCs w:val="24"/>
          <w:lang w:val="en-US"/>
        </w:rPr>
        <w:t>KEYNOTE-062</w:t>
      </w:r>
      <w:r w:rsidR="00ED2497" w:rsidRPr="005C7810">
        <w:rPr>
          <w:rFonts w:ascii="Book Antiqua" w:hAnsi="Book Antiqua" w:cs="Times New Roman"/>
          <w:sz w:val="24"/>
          <w:szCs w:val="24"/>
          <w:lang w:val="en-US"/>
        </w:rPr>
        <w:t xml:space="preserve">, </w:t>
      </w:r>
      <w:r w:rsidR="000572CA" w:rsidRPr="005C7810">
        <w:rPr>
          <w:rFonts w:ascii="Book Antiqua" w:hAnsi="Book Antiqua" w:cs="Times New Roman"/>
          <w:sz w:val="24"/>
          <w:szCs w:val="24"/>
          <w:lang w:val="en-US"/>
        </w:rPr>
        <w:t>NCT02494583)</w:t>
      </w:r>
      <w:r w:rsidR="00ED2497" w:rsidRPr="005C7810">
        <w:rPr>
          <w:rFonts w:ascii="Book Antiqua" w:hAnsi="Book Antiqua" w:cs="Times New Roman"/>
          <w:sz w:val="24"/>
          <w:szCs w:val="24"/>
          <w:lang w:val="en-US"/>
        </w:rPr>
        <w:t>;</w:t>
      </w:r>
      <w:r w:rsidR="002F7042" w:rsidRPr="005C7810">
        <w:rPr>
          <w:rFonts w:ascii="Book Antiqua" w:hAnsi="Book Antiqua" w:cs="Times New Roman"/>
          <w:sz w:val="24"/>
          <w:szCs w:val="24"/>
          <w:lang w:val="en-US"/>
        </w:rPr>
        <w:t xml:space="preserve"> </w:t>
      </w:r>
      <w:r w:rsidR="00ED2497" w:rsidRPr="005C7810">
        <w:rPr>
          <w:rFonts w:ascii="Book Antiqua" w:hAnsi="Book Antiqua" w:cs="Times New Roman"/>
          <w:sz w:val="24"/>
          <w:szCs w:val="24"/>
          <w:lang w:val="en-US"/>
        </w:rPr>
        <w:t>t</w:t>
      </w:r>
      <w:r w:rsidR="00EB2C5D" w:rsidRPr="005C7810">
        <w:rPr>
          <w:rFonts w:ascii="Book Antiqua" w:hAnsi="Book Antiqua" w:cs="Times New Roman"/>
          <w:sz w:val="24"/>
          <w:szCs w:val="24"/>
          <w:lang w:val="en-US"/>
        </w:rPr>
        <w:t>he results of this study are not yet know</w:t>
      </w:r>
      <w:r w:rsidR="00BA5B96" w:rsidRPr="005C7810">
        <w:rPr>
          <w:rFonts w:ascii="Book Antiqua" w:hAnsi="Book Antiqua" w:cs="Times New Roman"/>
          <w:sz w:val="24"/>
          <w:szCs w:val="24"/>
          <w:lang w:val="en-US"/>
        </w:rPr>
        <w:t>n</w:t>
      </w:r>
      <w:r w:rsidR="00997C48"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{"citationItems":[{"id":"ITEM-1","itemData":{"author":[{"dropping-particle":"","family":"Merck Sharp &amp; Dohme Corp.","given":"","non-dropping-particle":"","parse-names":false,"suffix":""}],"container-title":"ClinicalTrials.gov [Internet]. Bethesda (MD): U.S. National Library of Medicine","id":"ITEM-1","issued":{"date-parts":[["0"]]},"title":"Study of Pembrolizumab (MK-3475) as First-Line Monotherapy and Combination Therapy for Treatment of Advanced Gastric or Gastroesophageal Junction Adenocarcinoma (MK-3475-062/KEYNOTE-062","type":"article-journal"},"uris":["http://www.mendeley.com/documents/?uuid=d562062e-5de6-4567-9a01-a209d084ed4b","http://www.mendeley.com/documents/?uuid=0c7377f8-ee48-494c-a554-b45d3b12e758"]}],"mendeley":{"formattedCitation":"&lt;sup&gt;[184]&lt;/sup&gt;","plainTextFormattedCitation":"[184]","previouslyFormattedCitation":"&lt;sup&gt;[184]&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[184]</w:t>
      </w:r>
      <w:r w:rsidR="00997C48" w:rsidRPr="005C7810">
        <w:rPr>
          <w:rFonts w:ascii="Book Antiqua" w:hAnsi="Book Antiqua" w:cs="Times New Roman"/>
          <w:sz w:val="24"/>
          <w:szCs w:val="24"/>
          <w:lang w:val="en-US"/>
        </w:rPr>
        <w:fldChar w:fldCharType="end"/>
      </w:r>
      <w:r w:rsidR="00EB2C5D" w:rsidRPr="005C7810">
        <w:rPr>
          <w:rFonts w:ascii="Book Antiqua" w:hAnsi="Book Antiqua" w:cs="Times New Roman"/>
          <w:sz w:val="24"/>
          <w:szCs w:val="24"/>
          <w:lang w:val="en-US"/>
        </w:rPr>
        <w:t xml:space="preserve">. </w:t>
      </w:r>
      <w:r w:rsidR="00F573E6" w:rsidRPr="005C7810">
        <w:rPr>
          <w:rFonts w:ascii="Book Antiqua" w:hAnsi="Book Antiqua" w:cs="Times New Roman"/>
          <w:sz w:val="24"/>
          <w:szCs w:val="24"/>
          <w:lang w:val="en-US"/>
        </w:rPr>
        <w:t>In the clinical trial KEYNOTE-859</w:t>
      </w:r>
      <w:r w:rsidR="002F7042" w:rsidRPr="005C7810">
        <w:rPr>
          <w:rFonts w:ascii="Book Antiqua" w:hAnsi="Book Antiqua" w:cs="Times New Roman"/>
          <w:sz w:val="24"/>
          <w:szCs w:val="24"/>
          <w:lang w:val="en-US"/>
        </w:rPr>
        <w:t xml:space="preserve"> (</w:t>
      </w:r>
      <w:r w:rsidR="002F7042" w:rsidRPr="005C7810">
        <w:rPr>
          <w:rFonts w:ascii="Book Antiqua" w:hAnsi="Book Antiqua" w:cs="Times New Roman"/>
          <w:color w:val="000000"/>
          <w:sz w:val="24"/>
          <w:szCs w:val="24"/>
          <w:shd w:val="clear" w:color="auto" w:fill="FFFFFF"/>
          <w:lang w:val="en-US"/>
        </w:rPr>
        <w:t>NCT03675737</w:t>
      </w:r>
      <w:r w:rsidR="002F7042" w:rsidRPr="005C7810">
        <w:rPr>
          <w:rFonts w:ascii="Book Antiqua" w:hAnsi="Book Antiqua" w:cs="Times New Roman"/>
          <w:sz w:val="24"/>
          <w:szCs w:val="24"/>
          <w:lang w:val="en-US"/>
        </w:rPr>
        <w:t>)</w:t>
      </w:r>
      <w:r w:rsidR="00EB2C5D" w:rsidRPr="005C7810">
        <w:rPr>
          <w:rFonts w:ascii="Book Antiqua" w:hAnsi="Book Antiqua" w:cs="Times New Roman"/>
          <w:sz w:val="24"/>
          <w:szCs w:val="24"/>
          <w:lang w:val="en-US"/>
        </w:rPr>
        <w:t>,</w:t>
      </w:r>
      <w:r w:rsidR="002F7042" w:rsidRPr="005C7810">
        <w:rPr>
          <w:rFonts w:ascii="Book Antiqua" w:hAnsi="Book Antiqua" w:cs="Times New Roman"/>
          <w:sz w:val="24"/>
          <w:szCs w:val="24"/>
          <w:lang w:val="en-US"/>
        </w:rPr>
        <w:t xml:space="preserve"> </w:t>
      </w:r>
      <w:r w:rsidR="00EB2C5D" w:rsidRPr="005C7810">
        <w:rPr>
          <w:rFonts w:ascii="Book Antiqua" w:hAnsi="Book Antiqua" w:cs="Times New Roman"/>
          <w:sz w:val="24"/>
          <w:szCs w:val="24"/>
          <w:lang w:val="en-US"/>
        </w:rPr>
        <w:t>the efficacy of pembrolizumab in association with chemotherapy with cisplatin and 5-FU or oxaliplatin and</w:t>
      </w:r>
      <w:r w:rsidR="002F7042" w:rsidRPr="005C7810">
        <w:rPr>
          <w:rFonts w:ascii="Book Antiqua" w:hAnsi="Book Antiqua" w:cs="Times New Roman"/>
          <w:sz w:val="24"/>
          <w:szCs w:val="24"/>
          <w:lang w:val="en-US"/>
        </w:rPr>
        <w:t xml:space="preserve"> capecitabine</w:t>
      </w:r>
      <w:r w:rsidR="00EB2C5D" w:rsidRPr="005C7810">
        <w:rPr>
          <w:rFonts w:ascii="Book Antiqua" w:hAnsi="Book Antiqua" w:cs="Times New Roman"/>
          <w:sz w:val="24"/>
          <w:szCs w:val="24"/>
          <w:lang w:val="en-US"/>
        </w:rPr>
        <w:t>,</w:t>
      </w:r>
      <w:r w:rsidR="002F7042" w:rsidRPr="005C7810">
        <w:rPr>
          <w:rFonts w:ascii="Book Antiqua" w:hAnsi="Book Antiqua" w:cs="Times New Roman"/>
          <w:sz w:val="24"/>
          <w:szCs w:val="24"/>
          <w:lang w:val="en-US"/>
        </w:rPr>
        <w:t xml:space="preserve"> in advanced</w:t>
      </w:r>
      <w:r w:rsidR="00FF7C28" w:rsidRPr="005C7810">
        <w:rPr>
          <w:rFonts w:ascii="Book Antiqua" w:hAnsi="Book Antiqua" w:cs="Times New Roman"/>
          <w:sz w:val="24"/>
          <w:szCs w:val="24"/>
          <w:lang w:val="en-US"/>
        </w:rPr>
        <w:t>/metastatic</w:t>
      </w:r>
      <w:r w:rsidR="002F7042" w:rsidRPr="005C7810">
        <w:rPr>
          <w:rFonts w:ascii="Book Antiqua" w:hAnsi="Book Antiqua" w:cs="Times New Roman"/>
          <w:sz w:val="24"/>
          <w:szCs w:val="24"/>
          <w:lang w:val="en-US"/>
        </w:rPr>
        <w:t xml:space="preserve"> </w:t>
      </w:r>
      <w:r w:rsidR="00ED2497" w:rsidRPr="005C7810">
        <w:rPr>
          <w:rFonts w:ascii="Book Antiqua" w:hAnsi="Book Antiqua" w:cs="Times New Roman"/>
          <w:sz w:val="24"/>
          <w:szCs w:val="24"/>
          <w:lang w:val="en-US"/>
        </w:rPr>
        <w:t xml:space="preserve">HER2-negative </w:t>
      </w:r>
      <w:r w:rsidR="002F7042" w:rsidRPr="005C7810">
        <w:rPr>
          <w:rFonts w:ascii="Book Antiqua" w:hAnsi="Book Antiqua" w:cs="Times New Roman"/>
          <w:sz w:val="24"/>
          <w:szCs w:val="24"/>
          <w:lang w:val="en-US"/>
        </w:rPr>
        <w:t>GC</w:t>
      </w:r>
      <w:r w:rsidR="00FF7C28" w:rsidRPr="005C7810">
        <w:rPr>
          <w:rFonts w:ascii="Book Antiqua" w:hAnsi="Book Antiqua" w:cs="Times New Roman"/>
          <w:sz w:val="24"/>
          <w:szCs w:val="24"/>
          <w:lang w:val="en-US"/>
        </w:rPr>
        <w:t xml:space="preserve"> expressing PD</w:t>
      </w:r>
      <w:r w:rsidR="00ED2497" w:rsidRPr="005C7810">
        <w:rPr>
          <w:rFonts w:ascii="Book Antiqua" w:hAnsi="Book Antiqua" w:cs="Times New Roman"/>
          <w:sz w:val="24"/>
          <w:szCs w:val="24"/>
          <w:lang w:val="en-US"/>
        </w:rPr>
        <w:t>-</w:t>
      </w:r>
      <w:r w:rsidR="00FF7C28" w:rsidRPr="005C7810">
        <w:rPr>
          <w:rFonts w:ascii="Book Antiqua" w:hAnsi="Book Antiqua" w:cs="Times New Roman"/>
          <w:sz w:val="24"/>
          <w:szCs w:val="24"/>
          <w:lang w:val="en-US"/>
        </w:rPr>
        <w:t>L1</w:t>
      </w:r>
      <w:r w:rsidR="00EB2C5D" w:rsidRPr="005C7810">
        <w:rPr>
          <w:rFonts w:ascii="Book Antiqua" w:hAnsi="Book Antiqua" w:cs="Times New Roman"/>
          <w:sz w:val="24"/>
          <w:szCs w:val="24"/>
          <w:lang w:val="en-US"/>
        </w:rPr>
        <w:t>, will be evaluated</w:t>
      </w:r>
      <w:r w:rsidR="00997C48"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{"citationItems":[{"id":"ITEM-1","itemData":{"author":[{"dropping-particle":"","family":"Merck Sharp &amp; Dohme Corp.","given":"","non-dropping-particle":"","parse-names":false,"suffix":""}],"container-title":"ClinicalTrials.gov [Internet]. Bethesda (MD): U.S. National Library of Medicine.","id":"ITEM-1","issued":{"date-parts":[["0"]]},"title":"Pembrolizumab (MK-3475) Plus Chemotherapy Versus Placebo Plus Chemotherapy in Participants Gastric or Gastroesophageal Junction (GEJ) Adenocarcinoma (MK-3475-859/KEYNOTE-859)","type":"article-journal"},"uris":["http://www.mendeley.com/documents/?uuid=2003cf73-7825-41cf-8c6a-450a83fe15fa","http://www.mendeley.com/documents/?uuid=c272db21-e282-497a-be83-ecdb1eb7619e"]}],"mendeley":{"formattedCitation":"&lt;sup&gt;[185]&lt;/sup&gt;","plainTextFormattedCitation":"[185]","previouslyFormattedCitation":"&lt;sup&gt;[185]&lt;/sup&gt;"},"properties":{"noteIndex":0},"schema":"https://github.com/citation-style-language/schema/raw/master/csl-citation.json"}</w:instrText>
      </w:r>
      <w:r w:rsidR="00997C48"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[185]</w:t>
      </w:r>
      <w:r w:rsidR="00997C48" w:rsidRPr="005C7810">
        <w:rPr>
          <w:rFonts w:ascii="Book Antiqua" w:hAnsi="Book Antiqua" w:cs="Times New Roman"/>
          <w:sz w:val="24"/>
          <w:szCs w:val="24"/>
          <w:lang w:val="en-US"/>
        </w:rPr>
        <w:fldChar w:fldCharType="end"/>
      </w:r>
      <w:r w:rsidR="000572CA" w:rsidRPr="005C7810">
        <w:rPr>
          <w:rFonts w:ascii="Book Antiqua" w:hAnsi="Book Antiqua" w:cs="Times New Roman"/>
          <w:sz w:val="24"/>
          <w:szCs w:val="24"/>
          <w:lang w:val="en-US"/>
        </w:rPr>
        <w:t>.</w:t>
      </w:r>
      <w:r w:rsidR="002B5BA1" w:rsidRPr="005C7810">
        <w:rPr>
          <w:rFonts w:ascii="Book Antiqua" w:hAnsi="Book Antiqua" w:cs="Times New Roman"/>
          <w:sz w:val="24"/>
          <w:szCs w:val="24"/>
          <w:lang w:val="en-US"/>
        </w:rPr>
        <w:t xml:space="preserve"> </w:t>
      </w:r>
      <w:r w:rsidR="000B4F71" w:rsidRPr="005C7810">
        <w:rPr>
          <w:rFonts w:ascii="Book Antiqua" w:hAnsi="Book Antiqua" w:cs="Times New Roman"/>
          <w:sz w:val="24"/>
          <w:szCs w:val="24"/>
          <w:lang w:val="en-US"/>
        </w:rPr>
        <w:t>Another clinical trial (NCT02954536) is evaluating the first-line efficacy of the combination of pembrolizumab and trastuzumab in combination with chemotherapy in patients with HER2-positive metastatic GC.</w:t>
      </w:r>
      <w:r w:rsidR="00EB2051" w:rsidRPr="005C7810">
        <w:rPr>
          <w:rFonts w:ascii="Book Antiqua" w:hAnsi="Book Antiqua" w:cs="Times New Roman"/>
          <w:sz w:val="24"/>
          <w:szCs w:val="24"/>
          <w:lang w:val="en-US"/>
        </w:rPr>
        <w:t xml:space="preserve"> </w:t>
      </w:r>
      <w:r w:rsidR="00A04CEC" w:rsidRPr="005C7810">
        <w:rPr>
          <w:rFonts w:ascii="Book Antiqua" w:hAnsi="Book Antiqua" w:cs="Times New Roman"/>
          <w:sz w:val="24"/>
          <w:szCs w:val="24"/>
          <w:lang w:val="en-US"/>
        </w:rPr>
        <w:t xml:space="preserve">Preliminary results have been obtained on the safety and efficacy of the treatment. Resistance phenomena have occurred </w:t>
      </w:r>
      <w:r w:rsidR="00A34F62" w:rsidRPr="005C7810">
        <w:rPr>
          <w:rFonts w:ascii="Book Antiqua" w:hAnsi="Book Antiqua" w:cs="Times New Roman"/>
          <w:sz w:val="24"/>
          <w:szCs w:val="24"/>
          <w:lang w:val="en-US"/>
        </w:rPr>
        <w:t xml:space="preserve">because </w:t>
      </w:r>
      <w:r w:rsidR="00A04CEC" w:rsidRPr="005C7810">
        <w:rPr>
          <w:rFonts w:ascii="Book Antiqua" w:hAnsi="Book Antiqua" w:cs="Times New Roman"/>
          <w:sz w:val="24"/>
          <w:szCs w:val="24"/>
          <w:lang w:val="en-US"/>
        </w:rPr>
        <w:t xml:space="preserve">mutations of </w:t>
      </w:r>
      <w:r w:rsidR="00A04CEC" w:rsidRPr="005C7810">
        <w:rPr>
          <w:rFonts w:ascii="Book Antiqua" w:hAnsi="Book Antiqua" w:cs="Times New Roman"/>
          <w:i/>
          <w:sz w:val="24"/>
          <w:szCs w:val="24"/>
          <w:lang w:val="en-US"/>
        </w:rPr>
        <w:t>TP53</w:t>
      </w:r>
      <w:r w:rsidR="00A04CEC" w:rsidRPr="005C7810">
        <w:rPr>
          <w:rFonts w:ascii="Book Antiqua" w:hAnsi="Book Antiqua" w:cs="Times New Roman"/>
          <w:sz w:val="24"/>
          <w:szCs w:val="24"/>
          <w:lang w:val="en-US"/>
        </w:rPr>
        <w:t xml:space="preserve"> (63%) and </w:t>
      </w:r>
      <w:r w:rsidR="00A04CEC" w:rsidRPr="005C7810">
        <w:rPr>
          <w:rFonts w:ascii="Book Antiqua" w:hAnsi="Book Antiqua" w:cs="Times New Roman"/>
          <w:i/>
          <w:sz w:val="24"/>
          <w:szCs w:val="24"/>
          <w:lang w:val="en-US"/>
        </w:rPr>
        <w:t>KRAS</w:t>
      </w:r>
      <w:r w:rsidR="00A04CEC" w:rsidRPr="005C7810">
        <w:rPr>
          <w:rFonts w:ascii="Book Antiqua" w:hAnsi="Book Antiqua" w:cs="Times New Roman"/>
          <w:sz w:val="24"/>
          <w:szCs w:val="24"/>
          <w:lang w:val="en-US"/>
        </w:rPr>
        <w:t xml:space="preserve"> (16%) and loss of </w:t>
      </w:r>
      <w:r w:rsidR="00A04CEC" w:rsidRPr="005C7810">
        <w:rPr>
          <w:rFonts w:ascii="Book Antiqua" w:hAnsi="Book Antiqua" w:cs="Times New Roman"/>
          <w:i/>
          <w:sz w:val="24"/>
          <w:szCs w:val="24"/>
          <w:lang w:val="en-US"/>
        </w:rPr>
        <w:t>ERBB2</w:t>
      </w:r>
      <w:r w:rsidR="00A04CEC" w:rsidRPr="005C7810">
        <w:rPr>
          <w:rFonts w:ascii="Book Antiqua" w:hAnsi="Book Antiqua" w:cs="Times New Roman"/>
          <w:sz w:val="24"/>
          <w:szCs w:val="24"/>
          <w:lang w:val="en-US"/>
        </w:rPr>
        <w:t xml:space="preserve"> amplification in </w:t>
      </w:r>
      <w:r w:rsidR="001D69FA" w:rsidRPr="005C7810">
        <w:rPr>
          <w:rFonts w:ascii="Book Antiqua" w:hAnsi="Book Antiqua" w:cs="Times New Roman"/>
          <w:sz w:val="24"/>
          <w:szCs w:val="24"/>
          <w:lang w:val="en-US"/>
        </w:rPr>
        <w:t xml:space="preserve">disease </w:t>
      </w:r>
      <w:r w:rsidR="00A04CEC" w:rsidRPr="005C7810">
        <w:rPr>
          <w:rFonts w:ascii="Book Antiqua" w:hAnsi="Book Antiqua" w:cs="Times New Roman"/>
          <w:sz w:val="24"/>
          <w:szCs w:val="24"/>
          <w:lang w:val="en-US"/>
        </w:rPr>
        <w:t>progression have been observed</w:t>
      </w:r>
      <w:r w:rsidR="00A62473"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{"citationItems":[{"id":"ITEM-1","itemData":{"author":[{"dropping-particle":"","family":"Janjigian YY, Chou JF, Simmons M, Momtaz P, Sanchez-Vega F, Shcherba M, Ku GY, Won E, Chong CR, Gerdes H, Kelsen DP, Ilson DH, Aljallad K, Segal MF, Millang BM, Schultz N, Shah PM, Solit DB, Capanu M","given":"Frances J.","non-dropping-particle":"","parse-names":false,"suffix":""}],"container-title":"J of Clin Oncol","id":"ITEM-1","issued":{"date-parts":[["2019"]]},"title":"First-line pembrolizumab (P), trastuzumab (T), capecitabine (C) and oxaliplatin (O) in HER2-positive metastatic esophagogastric adenocarcinoma (mEGA).","type":"article-journal","volume":"37"},"uris":["http://www.mendeley.com/documents/?uuid=d25b479e-cfe3-46d1-99c7-a348ebc0f9d0","http://www.mendeley.com/documents/?uuid=a357f165-279e-4e53-bffc-ded754df4105"]}],"mendeley":{"formattedCitation":"&lt;sup&gt;[186]&lt;/sup&gt;","plainTextFormattedCitation":"[186]","previouslyFormattedCitation":"&lt;sup&gt;[186]&lt;/sup&gt;"},"properties":{"noteIndex":0},"schema":"https://github.com/citation-style-language/schema/raw/master/csl-citation.json"}</w:instrText>
      </w:r>
      <w:r w:rsidR="00A62473"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[186]</w:t>
      </w:r>
      <w:r w:rsidR="00A62473" w:rsidRPr="005C7810">
        <w:rPr>
          <w:rFonts w:ascii="Book Antiqua" w:hAnsi="Book Antiqua" w:cs="Times New Roman"/>
          <w:sz w:val="24"/>
          <w:szCs w:val="24"/>
          <w:lang w:val="en-US"/>
        </w:rPr>
        <w:fldChar w:fldCharType="end"/>
      </w:r>
      <w:r w:rsidR="00EB2051" w:rsidRPr="005C7810">
        <w:rPr>
          <w:rFonts w:ascii="Book Antiqua" w:hAnsi="Book Antiqua" w:cs="Times New Roman"/>
          <w:sz w:val="24"/>
          <w:szCs w:val="24"/>
          <w:lang w:val="en-US"/>
        </w:rPr>
        <w:t>.</w:t>
      </w:r>
      <w:r w:rsidR="00B26A44"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Nivolumab is </w:t>
      </w:r>
      <w:r w:rsidR="00A34F62" w:rsidRPr="005C7810">
        <w:rPr>
          <w:rFonts w:ascii="Book Antiqua" w:hAnsi="Book Antiqua" w:cs="Times New Roman"/>
          <w:sz w:val="24"/>
          <w:szCs w:val="24"/>
          <w:lang w:val="en-US"/>
        </w:rPr>
        <w:t xml:space="preserve">a monoclonal antibody that targets </w:t>
      </w:r>
      <w:r w:rsidR="00683674" w:rsidRPr="005C7810">
        <w:rPr>
          <w:rFonts w:ascii="Book Antiqua" w:hAnsi="Book Antiqua" w:cs="Times New Roman"/>
          <w:sz w:val="24"/>
          <w:szCs w:val="24"/>
          <w:lang w:val="en-US"/>
        </w:rPr>
        <w:t>PD</w:t>
      </w:r>
      <w:r w:rsidR="000B791E" w:rsidRPr="005C7810">
        <w:rPr>
          <w:rFonts w:ascii="Book Antiqua" w:hAnsi="Book Antiqua" w:cs="Times New Roman"/>
          <w:sz w:val="24"/>
          <w:szCs w:val="24"/>
          <w:lang w:val="en-US"/>
        </w:rPr>
        <w:t>-</w:t>
      </w:r>
      <w:r w:rsidR="00683674" w:rsidRPr="005C7810">
        <w:rPr>
          <w:rFonts w:ascii="Book Antiqua" w:hAnsi="Book Antiqua" w:cs="Times New Roman"/>
          <w:sz w:val="24"/>
          <w:szCs w:val="24"/>
          <w:lang w:val="en-US"/>
        </w:rPr>
        <w:t>1</w:t>
      </w:r>
      <w:r w:rsidRPr="005C7810">
        <w:rPr>
          <w:rFonts w:ascii="Book Antiqua" w:hAnsi="Book Antiqua" w:cs="Times New Roman"/>
          <w:sz w:val="24"/>
          <w:szCs w:val="24"/>
          <w:lang w:val="en-US"/>
        </w:rPr>
        <w:t xml:space="preserve"> </w:t>
      </w:r>
      <w:r w:rsidR="00A34F62" w:rsidRPr="005C7810">
        <w:rPr>
          <w:rFonts w:ascii="Book Antiqua" w:hAnsi="Book Antiqua" w:cs="Times New Roman"/>
          <w:sz w:val="24"/>
          <w:szCs w:val="24"/>
          <w:lang w:val="en-US"/>
        </w:rPr>
        <w:t xml:space="preserve">and </w:t>
      </w:r>
      <w:r w:rsidRPr="005C7810">
        <w:rPr>
          <w:rFonts w:ascii="Book Antiqua" w:hAnsi="Book Antiqua" w:cs="Times New Roman"/>
          <w:sz w:val="24"/>
          <w:szCs w:val="24"/>
          <w:lang w:val="en-US"/>
        </w:rPr>
        <w:t xml:space="preserve">has received FDA approval </w:t>
      </w:r>
      <w:r w:rsidR="00A34F62" w:rsidRPr="005C7810">
        <w:rPr>
          <w:rFonts w:ascii="Book Antiqua" w:hAnsi="Book Antiqua" w:cs="Times New Roman"/>
          <w:sz w:val="24"/>
          <w:szCs w:val="24"/>
          <w:lang w:val="en-US"/>
        </w:rPr>
        <w:t>for</w:t>
      </w:r>
      <w:r w:rsidRPr="005C7810">
        <w:rPr>
          <w:rFonts w:ascii="Book Antiqua" w:hAnsi="Book Antiqua" w:cs="Times New Roman"/>
          <w:sz w:val="24"/>
          <w:szCs w:val="24"/>
          <w:lang w:val="en-US"/>
        </w:rPr>
        <w:t xml:space="preserve"> neoplastic pathologies. In </w:t>
      </w:r>
      <w:r w:rsidR="00A34F62" w:rsidRPr="005C7810">
        <w:rPr>
          <w:rFonts w:ascii="Book Antiqua" w:hAnsi="Book Antiqua" w:cs="Times New Roman"/>
          <w:sz w:val="24"/>
          <w:szCs w:val="24"/>
          <w:lang w:val="en-US"/>
        </w:rPr>
        <w:t xml:space="preserve">a </w:t>
      </w:r>
      <w:r w:rsidRPr="005C7810">
        <w:rPr>
          <w:rFonts w:ascii="Book Antiqua" w:hAnsi="Book Antiqua" w:cs="Times New Roman"/>
          <w:sz w:val="24"/>
          <w:szCs w:val="24"/>
          <w:lang w:val="en-US"/>
        </w:rPr>
        <w:t xml:space="preserve">clinical trial </w:t>
      </w:r>
      <w:r w:rsidR="007A1555" w:rsidRPr="005C7810">
        <w:rPr>
          <w:rFonts w:ascii="Book Antiqua" w:hAnsi="Book Antiqua" w:cs="Times New Roman"/>
          <w:sz w:val="24"/>
          <w:szCs w:val="24"/>
          <w:lang w:val="en-US"/>
        </w:rPr>
        <w:t>(</w:t>
      </w:r>
      <w:r w:rsidR="007A1555" w:rsidRPr="005C7810">
        <w:rPr>
          <w:rFonts w:ascii="Book Antiqua" w:hAnsi="Book Antiqua" w:cs="Times New Roman"/>
          <w:color w:val="000000"/>
          <w:sz w:val="24"/>
          <w:szCs w:val="24"/>
          <w:shd w:val="clear" w:color="auto" w:fill="FFFFFF"/>
          <w:lang w:val="en-US"/>
        </w:rPr>
        <w:t xml:space="preserve">NCT02267343) </w:t>
      </w:r>
      <w:r w:rsidRPr="005C7810">
        <w:rPr>
          <w:rFonts w:ascii="Book Antiqua" w:hAnsi="Book Antiqua" w:cs="Times New Roman"/>
          <w:sz w:val="24"/>
          <w:szCs w:val="24"/>
          <w:lang w:val="en-US"/>
        </w:rPr>
        <w:t xml:space="preserve">performed </w:t>
      </w:r>
      <w:r w:rsidR="00A34F62" w:rsidRPr="005C7810">
        <w:rPr>
          <w:rFonts w:ascii="Book Antiqua" w:hAnsi="Book Antiqua" w:cs="Times New Roman"/>
          <w:sz w:val="24"/>
          <w:szCs w:val="24"/>
          <w:lang w:val="en-US"/>
        </w:rPr>
        <w:t>in patients with</w:t>
      </w:r>
      <w:r w:rsidRPr="005C7810">
        <w:rPr>
          <w:rFonts w:ascii="Book Antiqua" w:hAnsi="Book Antiqua" w:cs="Times New Roman"/>
          <w:sz w:val="24"/>
          <w:szCs w:val="24"/>
          <w:lang w:val="en-US"/>
        </w:rPr>
        <w:t xml:space="preserve"> locally advanced or metastatic GC refractory to chemotherapy, nivolumab was effective with</w:t>
      </w:r>
      <w:r w:rsidR="00397BB8"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improvement of</w:t>
      </w:r>
      <w:r w:rsidR="00A34F62" w:rsidRPr="005C7810">
        <w:rPr>
          <w:rFonts w:ascii="Book Antiqua" w:hAnsi="Book Antiqua" w:cs="Times New Roman"/>
          <w:sz w:val="24"/>
          <w:szCs w:val="24"/>
          <w:lang w:val="en-US"/>
        </w:rPr>
        <w:t xml:space="preserve"> the median</w:t>
      </w:r>
      <w:r w:rsidRPr="005C7810">
        <w:rPr>
          <w:rFonts w:ascii="Book Antiqua" w:hAnsi="Book Antiqua" w:cs="Times New Roman"/>
          <w:sz w:val="24"/>
          <w:szCs w:val="24"/>
          <w:lang w:val="en-US"/>
        </w:rPr>
        <w:t xml:space="preserve"> OS</w:t>
      </w:r>
      <w:r w:rsidR="00A62473"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{"citationItems":[{"id":"ITEM-1","itemData":{"DOI":"10.1016/S0140-6736(17)31827-5","ISBN":"0140-6736","ISSN":"1474547X","PMID":"28993052","abstract":"Background Patients with advanced gastric or gastro-oesophageal junction cancer refractory to, or intolerant of, two or more previous regimens of chemotherapy have a poor prognosis, and current guidelines do not recommend any specific treatments for these patients. We assessed the efficacy and safety of nivolumab, a fully human IgG4 monoclonal antibody inhibitor of programmed death-1 (PD-1), in patients with advanced gastric or gastro-oesophageal junction cancer who had been previously been treated with two or more chemotherapy regimens. Methods In this randomised, double-blind, placebo-controlled, phase 3 trial done at 49 clinical sites in Japan, South Korea, and Taiwan, eligible patients (aged ≥20 years with unresectable advanced or recurrent gastric or gastro-oesophageal junction cancer refractory to, or intolerant of, standard therapy [including two or more previous chemotherapy regimens], with an Eastern Cooperative Oncology Group [ECOG] performance status of 0–1, and naive to anti-PD-1 therapy or other therapeutic antibodies and pharmacotherapies for the regulation of T cells) were recruited. Patients were randomly assigned (2:1) using an interactive web response system to receive 3 mg/kg nivolumab or placebo intravenously every 2 weeks, stratified by country, ECOG performance status, and number of organs with metastases. Study treatment was continued until progressive disease per investigator assessment or onset of toxicities requiring permanent discontinuation. Patients and investigators were masked to group assignment. The primary endpoint was overall survival in the intention-to-treat population. Safety was analysed in all patients who received at least one dose of study treatment. This study is ongoing but not recruiting new patients, and is registered with ClinicalTrials.gov, number NCT02267343. Findings Between Nov 4, 2014, and Feb 26, 2016, we randomly assigned 493 patients to receive nivolumab (n=330) or placebo (n=163). At the data cutoff (Aug 13, 2016), median follow-up in surviving patients was 8·87 months (IQR 6·57–12·37) in the nivolumab group and 8·59 months (5·65–11·37) in the placebo group. Median overall survival was 5·26 months (95% CI 4·60–6·37) in the nivolumab group and 4·14 months (3·42–4·86) in the placebo group (hazard ratio 0·63, 95% CI 0·51–0·78; p&lt;0·0001). 12-month overall survival rates were 26·2% (95% CI 20·7–32·0) with nivolumab and 10·9% (6·2–17·0) with placebo. Grade 3 or 4 treatment-related adverse events occurred…","author":[{"dropping-particle":"","family":"Kang YK, Boku N, Satoh T, Ryu MH, Chao Y, Kato K, Chung HC, Chen JS, Muro K, Kang WK, Yeh KH, Yoshikawa T, Oh SC, Bai LY, Tamura T, Lee KW, Hamamoto Y, Kim JG, Chin K, Oh DY, Minashi K, Cho JY, Tsuda M","given":"Chen LT","non-dropping-particle":"","parse-names":false,"suffix":""}],"container-title":"The Lancet","id":"ITEM-1","issue":"10111","issued":{"date-parts":[["2017"]]},"page":"2461-2471","publisher":"Elsevier Ltd","title":"Nivolumab in patients with advanced gastric or gastro-oesophageal junction cancer refractory to, or intolerant of, at least two previous chemotherapy regimens (ONO-4538-12, ATTRACTION-2): a randomised, double-blind, placebo-controlled, phase 3 trial","type":"article-journal","volume":"390"},"uris":["http://www.mendeley.com/documents/?uuid=408ac3a7-92db-42d9-a5c3-1e2ddbef72c0","http://www.mendeley.com/documents/?uuid=da1a4819-9399-46dc-9c66-46f7e981dc75"]}],"mendeley":{"formattedCitation":"&lt;sup&gt;[187]&lt;/sup&gt;","plainTextFormattedCitation":"[187]","previouslyFormattedCitation":"&lt;sup&gt;[187]&lt;/sup&gt;"},"properties":{"noteIndex":0},"schema":"https://github.com/citation-style-language/schema/raw/master/csl-citation.json"}</w:instrText>
      </w:r>
      <w:r w:rsidR="00A62473"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[187]</w:t>
      </w:r>
      <w:r w:rsidR="00A62473" w:rsidRPr="005C7810">
        <w:rPr>
          <w:rFonts w:ascii="Book Antiqua" w:hAnsi="Book Antiqua" w:cs="Times New Roman"/>
          <w:sz w:val="24"/>
          <w:szCs w:val="24"/>
          <w:lang w:val="en-US"/>
        </w:rPr>
        <w:fldChar w:fldCharType="end"/>
      </w:r>
      <w:r w:rsidRPr="005C7810">
        <w:rPr>
          <w:rFonts w:ascii="Book Antiqua" w:hAnsi="Book Antiqua" w:cs="Times New Roman"/>
          <w:sz w:val="24"/>
          <w:szCs w:val="24"/>
          <w:lang w:val="en-US"/>
        </w:rPr>
        <w:t>.</w:t>
      </w:r>
      <w:r w:rsidR="007A1555" w:rsidRPr="005C7810">
        <w:rPr>
          <w:rFonts w:ascii="Book Antiqua" w:hAnsi="Book Antiqua" w:cs="Times New Roman"/>
          <w:sz w:val="24"/>
          <w:szCs w:val="24"/>
          <w:vertAlign w:val="superscript"/>
          <w:lang w:val="en-US"/>
        </w:rPr>
        <w:t xml:space="preserve"> </w:t>
      </w:r>
      <w:r w:rsidR="00F72609" w:rsidRPr="005C7810">
        <w:rPr>
          <w:rFonts w:ascii="Book Antiqua" w:hAnsi="Book Antiqua" w:cs="Times New Roman"/>
          <w:sz w:val="24"/>
          <w:szCs w:val="24"/>
          <w:lang w:val="en-US"/>
        </w:rPr>
        <w:t xml:space="preserve">In </w:t>
      </w:r>
      <w:r w:rsidR="00505B6E" w:rsidRPr="005C7810">
        <w:rPr>
          <w:rFonts w:ascii="Book Antiqua" w:hAnsi="Book Antiqua" w:cs="Times New Roman"/>
          <w:sz w:val="24"/>
          <w:szCs w:val="24"/>
          <w:lang w:val="en-US"/>
        </w:rPr>
        <w:t xml:space="preserve">another </w:t>
      </w:r>
      <w:r w:rsidR="00F72609" w:rsidRPr="005C7810">
        <w:rPr>
          <w:rFonts w:ascii="Book Antiqua" w:hAnsi="Book Antiqua" w:cs="Times New Roman"/>
          <w:sz w:val="24"/>
          <w:szCs w:val="24"/>
          <w:lang w:val="en-US"/>
        </w:rPr>
        <w:t>clinical trial (NCT02746796)</w:t>
      </w:r>
      <w:r w:rsidR="00505B6E" w:rsidRPr="005C7810">
        <w:rPr>
          <w:rFonts w:ascii="Book Antiqua" w:hAnsi="Book Antiqua" w:cs="Times New Roman"/>
          <w:sz w:val="24"/>
          <w:szCs w:val="24"/>
          <w:lang w:val="en-US"/>
        </w:rPr>
        <w:t>,</w:t>
      </w:r>
      <w:r w:rsidR="00F72609" w:rsidRPr="005C7810">
        <w:rPr>
          <w:rFonts w:ascii="Book Antiqua" w:hAnsi="Book Antiqua" w:cs="Times New Roman"/>
          <w:sz w:val="24"/>
          <w:szCs w:val="24"/>
          <w:lang w:val="en-US"/>
        </w:rPr>
        <w:t xml:space="preserve"> the efficacy of nivolumab in combination with chemotherapy as first</w:t>
      </w:r>
      <w:r w:rsidR="00505B6E" w:rsidRPr="005C7810">
        <w:rPr>
          <w:rFonts w:ascii="Book Antiqua" w:hAnsi="Book Antiqua" w:cs="Times New Roman"/>
          <w:sz w:val="24"/>
          <w:szCs w:val="24"/>
          <w:lang w:val="en-US"/>
        </w:rPr>
        <w:t>-</w:t>
      </w:r>
      <w:r w:rsidR="00F72609" w:rsidRPr="005C7810">
        <w:rPr>
          <w:rFonts w:ascii="Book Antiqua" w:hAnsi="Book Antiqua" w:cs="Times New Roman"/>
          <w:sz w:val="24"/>
          <w:szCs w:val="24"/>
          <w:lang w:val="en-US"/>
        </w:rPr>
        <w:t>line treatment was tested in patients with advanced or recurrent non-resectable GC</w:t>
      </w:r>
      <w:r w:rsidR="00A62473"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{"citationItems":[{"id":"ITEM-1","itemData":{"DOI":"10.1093/annonc/mdx369.159","ISBN":"0014-4819 (Print)\\r0014-4819 (Linking)","ISSN":"00144819","PMID":"16710681","author":[{"dropping-particle":"","family":"Chen LT, Kang YK, Tanimoto M","given":"Boku N.","non-dropping-particle":"","parse-names":false,"suffix":""}],"container-title":"Annals of Oncol","id":"ITEM-1","issue":"5","issued":{"date-parts":[["2017"]]},"page":"266","title":"ATTRACTION-04 (ONO-4538-37): A randomized, multicenter, phase 2/ 3 study of nivolumab (Nivo) plus chemotherapy in patients (Pts) with previously untreated advanced or recurrent gastric (G) or gastroesophageal junction (GEJ) cancer","type":"article-journal","volume":"28"},"uris":["http://www.mendeley.com/documents/?uuid=0af70295-86dd-4840-8a5c-e48f513293ca","http://www.mendeley.com/documents/?uuid=0771ba3f-2bd8-4ece-a02d-7b8d0e5c2ae4"]}],"mendeley":{"formattedCitation":"&lt;sup&gt;[188]&lt;/sup&gt;","plainTextFormattedCitation":"[188]","previouslyFormattedCitation":"&lt;sup&gt;[188]&lt;/sup&gt;"},"properties":{"noteIndex":0},"schema":"https://github.com/citation-style-language/schema/raw/master/csl-citation.json"}</w:instrText>
      </w:r>
      <w:r w:rsidR="00A62473"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[188]</w:t>
      </w:r>
      <w:r w:rsidR="00A62473" w:rsidRPr="005C7810">
        <w:rPr>
          <w:rFonts w:ascii="Book Antiqua" w:hAnsi="Book Antiqua" w:cs="Times New Roman"/>
          <w:sz w:val="24"/>
          <w:szCs w:val="24"/>
          <w:lang w:val="en-US"/>
        </w:rPr>
        <w:fldChar w:fldCharType="end"/>
      </w:r>
      <w:r w:rsidR="00F72609" w:rsidRPr="005C7810">
        <w:rPr>
          <w:rFonts w:ascii="Book Antiqua" w:hAnsi="Book Antiqua" w:cs="Times New Roman"/>
          <w:sz w:val="24"/>
          <w:szCs w:val="24"/>
          <w:lang w:val="en-US"/>
        </w:rPr>
        <w:t>.</w:t>
      </w:r>
      <w:r w:rsidR="005876C3" w:rsidRPr="005C7810">
        <w:rPr>
          <w:rFonts w:ascii="Book Antiqua" w:hAnsi="Book Antiqua" w:cs="Times New Roman"/>
          <w:sz w:val="24"/>
          <w:szCs w:val="24"/>
          <w:lang w:val="en-US"/>
        </w:rPr>
        <w:t xml:space="preserve"> </w:t>
      </w:r>
      <w:r w:rsidR="00E12EF2" w:rsidRPr="005C7810">
        <w:rPr>
          <w:rFonts w:ascii="Book Antiqua" w:hAnsi="Book Antiqua" w:cs="Times New Roman"/>
          <w:sz w:val="24"/>
          <w:szCs w:val="24"/>
          <w:lang w:val="en-US"/>
        </w:rPr>
        <w:t>In the clinical trial</w:t>
      </w:r>
      <w:r w:rsidR="002B5BA1" w:rsidRPr="005C7810">
        <w:rPr>
          <w:rFonts w:ascii="Book Antiqua" w:hAnsi="Book Antiqua" w:cs="Times New Roman"/>
          <w:sz w:val="24"/>
          <w:szCs w:val="24"/>
          <w:lang w:val="en-US"/>
        </w:rPr>
        <w:t xml:space="preserve"> CheckMate-032 (</w:t>
      </w:r>
      <w:r w:rsidR="00E12EF2" w:rsidRPr="005C7810">
        <w:rPr>
          <w:rFonts w:ascii="Book Antiqua" w:hAnsi="Book Antiqua" w:cs="Times New Roman"/>
          <w:sz w:val="24"/>
          <w:szCs w:val="24"/>
          <w:lang w:val="en-US"/>
        </w:rPr>
        <w:t>NCT01928394), performed on solid tumors including GC, the efficacy of nivolumab in combination with ipilimumab</w:t>
      </w:r>
      <w:r w:rsidR="00C86104" w:rsidRPr="005C7810">
        <w:rPr>
          <w:rFonts w:ascii="Book Antiqua" w:hAnsi="Book Antiqua" w:cs="Times New Roman"/>
          <w:sz w:val="24"/>
          <w:szCs w:val="24"/>
          <w:lang w:val="en-US"/>
        </w:rPr>
        <w:t>, an</w:t>
      </w:r>
      <w:r w:rsidR="00E12EF2" w:rsidRPr="005C7810">
        <w:rPr>
          <w:rFonts w:ascii="Book Antiqua" w:hAnsi="Book Antiqua" w:cs="Times New Roman"/>
          <w:sz w:val="24"/>
          <w:szCs w:val="24"/>
          <w:lang w:val="en-US"/>
        </w:rPr>
        <w:t xml:space="preserve"> </w:t>
      </w:r>
      <w:r w:rsidR="009120B6" w:rsidRPr="005C7810">
        <w:rPr>
          <w:rFonts w:ascii="Book Antiqua" w:hAnsi="Book Antiqua" w:cs="Times New Roman"/>
          <w:sz w:val="24"/>
          <w:szCs w:val="24"/>
          <w:lang w:val="en-US"/>
        </w:rPr>
        <w:t>anti-</w:t>
      </w:r>
      <w:r w:rsidR="00505B6E" w:rsidRPr="005C7810">
        <w:rPr>
          <w:rFonts w:ascii="Book Antiqua" w:hAnsi="Book Antiqua" w:cs="Times New Roman"/>
          <w:color w:val="000000"/>
          <w:sz w:val="24"/>
          <w:szCs w:val="24"/>
          <w:shd w:val="clear" w:color="auto" w:fill="FFFFFF"/>
          <w:lang w:val="en-US"/>
        </w:rPr>
        <w:t>c</w:t>
      </w:r>
      <w:r w:rsidR="00C86104" w:rsidRPr="005C7810">
        <w:rPr>
          <w:rFonts w:ascii="Book Antiqua" w:hAnsi="Book Antiqua" w:cs="Times New Roman"/>
          <w:color w:val="000000"/>
          <w:sz w:val="24"/>
          <w:szCs w:val="24"/>
          <w:shd w:val="clear" w:color="auto" w:fill="FFFFFF"/>
          <w:lang w:val="en-US"/>
        </w:rPr>
        <w:t>ytotoxic T-</w:t>
      </w:r>
      <w:r w:rsidR="00505B6E" w:rsidRPr="005C7810">
        <w:rPr>
          <w:rFonts w:ascii="Book Antiqua" w:hAnsi="Book Antiqua" w:cs="Times New Roman"/>
          <w:color w:val="000000"/>
          <w:sz w:val="24"/>
          <w:szCs w:val="24"/>
          <w:shd w:val="clear" w:color="auto" w:fill="FFFFFF"/>
          <w:lang w:val="en-US"/>
        </w:rPr>
        <w:t>l</w:t>
      </w:r>
      <w:r w:rsidR="00C86104" w:rsidRPr="005C7810">
        <w:rPr>
          <w:rFonts w:ascii="Book Antiqua" w:hAnsi="Book Antiqua" w:cs="Times New Roman"/>
          <w:color w:val="000000"/>
          <w:sz w:val="24"/>
          <w:szCs w:val="24"/>
          <w:shd w:val="clear" w:color="auto" w:fill="FFFFFF"/>
          <w:lang w:val="en-US"/>
        </w:rPr>
        <w:t xml:space="preserve">ymphocyte </w:t>
      </w:r>
      <w:r w:rsidR="00505B6E" w:rsidRPr="005C7810">
        <w:rPr>
          <w:rFonts w:ascii="Book Antiqua" w:hAnsi="Book Antiqua" w:cs="Times New Roman"/>
          <w:color w:val="000000"/>
          <w:sz w:val="24"/>
          <w:szCs w:val="24"/>
          <w:shd w:val="clear" w:color="auto" w:fill="FFFFFF"/>
          <w:lang w:val="en-US"/>
        </w:rPr>
        <w:t>a</w:t>
      </w:r>
      <w:r w:rsidR="00C86104" w:rsidRPr="005C7810">
        <w:rPr>
          <w:rFonts w:ascii="Book Antiqua" w:hAnsi="Book Antiqua" w:cs="Times New Roman"/>
          <w:color w:val="000000"/>
          <w:sz w:val="24"/>
          <w:szCs w:val="24"/>
          <w:shd w:val="clear" w:color="auto" w:fill="FFFFFF"/>
          <w:lang w:val="en-US"/>
        </w:rPr>
        <w:t xml:space="preserve">ssociated </w:t>
      </w:r>
      <w:r w:rsidR="00505B6E" w:rsidRPr="005C7810">
        <w:rPr>
          <w:rFonts w:ascii="Book Antiqua" w:hAnsi="Book Antiqua" w:cs="Times New Roman"/>
          <w:color w:val="000000"/>
          <w:sz w:val="24"/>
          <w:szCs w:val="24"/>
          <w:shd w:val="clear" w:color="auto" w:fill="FFFFFF"/>
          <w:lang w:val="en-US"/>
        </w:rPr>
        <w:t>p</w:t>
      </w:r>
      <w:r w:rsidR="00C86104" w:rsidRPr="005C7810">
        <w:rPr>
          <w:rFonts w:ascii="Book Antiqua" w:hAnsi="Book Antiqua" w:cs="Times New Roman"/>
          <w:color w:val="000000"/>
          <w:sz w:val="24"/>
          <w:szCs w:val="24"/>
          <w:shd w:val="clear" w:color="auto" w:fill="FFFFFF"/>
          <w:lang w:val="en-US"/>
        </w:rPr>
        <w:t>rotein 4</w:t>
      </w:r>
      <w:r w:rsidR="00505B6E" w:rsidRPr="005C7810">
        <w:rPr>
          <w:rFonts w:ascii="Book Antiqua" w:hAnsi="Book Antiqua" w:cs="Times New Roman"/>
          <w:color w:val="000000"/>
          <w:sz w:val="24"/>
          <w:szCs w:val="24"/>
          <w:shd w:val="clear" w:color="auto" w:fill="FFFFFF"/>
          <w:lang w:val="en-US"/>
        </w:rPr>
        <w:t xml:space="preserve"> </w:t>
      </w:r>
      <w:r w:rsidR="00C86104" w:rsidRPr="005C7810">
        <w:rPr>
          <w:rFonts w:ascii="Book Antiqua" w:hAnsi="Book Antiqua" w:cs="Times New Roman"/>
          <w:sz w:val="24"/>
          <w:szCs w:val="24"/>
          <w:lang w:val="en-US"/>
        </w:rPr>
        <w:t>antibody</w:t>
      </w:r>
      <w:r w:rsidR="004E01BF" w:rsidRPr="005C7810">
        <w:rPr>
          <w:rFonts w:ascii="Book Antiqua" w:hAnsi="Book Antiqua" w:cs="Times New Roman"/>
          <w:sz w:val="24"/>
          <w:szCs w:val="24"/>
          <w:lang w:val="en-US"/>
        </w:rPr>
        <w:t xml:space="preserve"> (</w:t>
      </w:r>
      <w:r w:rsidR="004E01BF" w:rsidRPr="005C7810">
        <w:rPr>
          <w:rFonts w:ascii="Book Antiqua" w:hAnsi="Book Antiqua" w:cs="Times New Roman"/>
          <w:i/>
          <w:sz w:val="24"/>
          <w:szCs w:val="24"/>
          <w:lang w:val="en-US"/>
        </w:rPr>
        <w:t>CTLA4</w:t>
      </w:r>
      <w:r w:rsidR="004E01BF" w:rsidRPr="005C7810">
        <w:rPr>
          <w:rFonts w:ascii="Book Antiqua" w:hAnsi="Book Antiqua" w:cs="Times New Roman"/>
          <w:sz w:val="24"/>
          <w:szCs w:val="24"/>
          <w:lang w:val="en-US"/>
        </w:rPr>
        <w:t>)</w:t>
      </w:r>
      <w:r w:rsidR="00C86104" w:rsidRPr="005C7810">
        <w:rPr>
          <w:rFonts w:ascii="Book Antiqua" w:hAnsi="Book Antiqua" w:cs="Times New Roman"/>
          <w:sz w:val="24"/>
          <w:szCs w:val="24"/>
          <w:lang w:val="en-US"/>
        </w:rPr>
        <w:t>,</w:t>
      </w:r>
      <w:r w:rsidR="009120B6" w:rsidRPr="005C7810">
        <w:rPr>
          <w:rFonts w:ascii="Book Antiqua" w:hAnsi="Book Antiqua" w:cs="Times New Roman"/>
          <w:sz w:val="24"/>
          <w:szCs w:val="24"/>
          <w:lang w:val="en-US"/>
        </w:rPr>
        <w:t xml:space="preserve"> </w:t>
      </w:r>
      <w:r w:rsidR="00E12EF2" w:rsidRPr="005C7810">
        <w:rPr>
          <w:rFonts w:ascii="Book Antiqua" w:hAnsi="Book Antiqua" w:cs="Times New Roman"/>
          <w:sz w:val="24"/>
          <w:szCs w:val="24"/>
          <w:lang w:val="en-US"/>
        </w:rPr>
        <w:t>was evaluated. Nivolumab with ipilimumab demonstrate</w:t>
      </w:r>
      <w:r w:rsidR="00505B6E" w:rsidRPr="005C7810">
        <w:rPr>
          <w:rFonts w:ascii="Book Antiqua" w:hAnsi="Book Antiqua" w:cs="Times New Roman"/>
          <w:sz w:val="24"/>
          <w:szCs w:val="24"/>
          <w:lang w:val="en-US"/>
        </w:rPr>
        <w:t>d</w:t>
      </w:r>
      <w:r w:rsidR="00E12EF2" w:rsidRPr="005C7810">
        <w:rPr>
          <w:rFonts w:ascii="Book Antiqua" w:hAnsi="Book Antiqua" w:cs="Times New Roman"/>
          <w:sz w:val="24"/>
          <w:szCs w:val="24"/>
          <w:lang w:val="en-US"/>
        </w:rPr>
        <w:t xml:space="preserve"> encouraging long-term OS in patients with GC refractory to chemotherapy</w:t>
      </w:r>
      <w:r w:rsidR="00A62473"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{"citationItems":[{"id":"ITEM-1","itemData":{"DOI":"10.1200/JCO.2017.76.6212","ISSN":"15277755","PMID":"30110194","abstract":"Purpose Metastatic esophagogastric cancer treatments after failure of second-line chemotherapy are limited. Nivolumab demonstrated superior overall survival (OS) versus placebo in Asian patients with advanced gastric or gastroesophageal junction cancers. We assessed the safety and efficacy of nivolumab and nivolumab plus ipilimumab in Western patients with chemotherapy-refractory esophagogastric cancers. Patients and Methods Patients with locally advanced or metastatic chemotherapy-refractory gastric, esophageal, or gastroesophageal junction cancer from centers in the United States and Europe received nivolumab or nivolumab plus ipilimumab. The primary end point was objective response rate. The association of tumor programmed death-ligand 1 status with response and survival was also evaluated. Results Of 160 treated patients (59 with nivolumab 3 mg/kg, 49 with nivolumab 1 mg/kg plus ipilimumab 3 mg/kg, 52 with nivolumab 3 mg/kg plus ipilimumab 1 mg/kg), 79% had received two or more prior therapies. At the data cutoff, investigator-assessed objective response rates were 12% (95% CI, 5% to 23%), 24% (95% CI, 13% to 39%), and 8% (95% CI, 2% to 19%) in the three groups, respectively. Responses were observed regardless of tumor programmed death-ligand 1 status. With a median follow-up of 28, 24, and 22 months across the three groups, 12-month progression-free survival rates were 8%, 17%, and 10%, respectively; 12-month OS rates were 39%, 35%, and 24%, respectively. Treatment-related grade 3/4 adverse events were reported in 17%, 47%, and 27% of patients in the three groups, respectively. Conclusion Nivolumab and nivolumab plus ipilimumab demonstrated clinically meaningful antitumor activity, durable responses, encouraging long-term OS, and a manageable safety profile in patients with chemotherapy-refractory esophagogastric cancer. Phase III studies evaluating nivolumab or nivolumab plus ipilimumab in earlier lines of therapy for esophagogastric cancers are underway.","author":[{"dropping-particle":"","family":"Janjigian YY, Bendell J, Calvo E, Kim JW, Ascierto PA, Sharma P, Ott PA, Peltola K, Jaeger D, Evans J, de Braud F, Chau I, Harbison CT, Dorange C, Tschaika M","given":"Le DT.","non-dropping-particle":"","parse-names":false,"suffix":""}],"container-title":"Journal of Clinical Oncology","id":"ITEM-1","issue":"28","issued":{"date-parts":[["2018"]]},"page":"2836-2844","title":"CheckMate-032 study: Efficacy and safety of nivolumab and nivolumab plus ipilimumab in patients with metastatic esophagogastric cancer","type":"article-journal","volume":"36"},"uris":["http://www.mendeley.com/documents/?uuid=a1e83696-c4b0-4ac5-a36f-aa5317994b03","http://www.mendeley.com/documents/?uuid=51f0885e-e87c-48a4-b149-75e206da88af"]}],"mendeley":{"formattedCitation":"&lt;sup&gt;[189]&lt;/sup&gt;","plainTextFormattedCitation":"[189]","previouslyFormattedCitation":"&lt;sup&gt;[189]&lt;/sup&gt;"},"properties":{"noteIndex":0},"schema":"https://github.com/citation-style-language/schema/raw/master/csl-citation.json"}</w:instrText>
      </w:r>
      <w:r w:rsidR="00A62473"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[189]</w:t>
      </w:r>
      <w:r w:rsidR="00A62473" w:rsidRPr="005C7810">
        <w:rPr>
          <w:rFonts w:ascii="Book Antiqua" w:hAnsi="Book Antiqua" w:cs="Times New Roman"/>
          <w:sz w:val="24"/>
          <w:szCs w:val="24"/>
          <w:lang w:val="en-US"/>
        </w:rPr>
        <w:fldChar w:fldCharType="end"/>
      </w:r>
      <w:r w:rsidR="00E12EF2" w:rsidRPr="005C7810">
        <w:rPr>
          <w:rFonts w:ascii="Book Antiqua" w:hAnsi="Book Antiqua" w:cs="Times New Roman"/>
          <w:sz w:val="24"/>
          <w:szCs w:val="24"/>
          <w:lang w:val="en-US"/>
        </w:rPr>
        <w:t>.</w:t>
      </w:r>
      <w:r w:rsidR="005E266B" w:rsidRPr="005C7810">
        <w:rPr>
          <w:rFonts w:ascii="Book Antiqua" w:hAnsi="Book Antiqua" w:cs="Times New Roman"/>
          <w:sz w:val="24"/>
          <w:szCs w:val="24"/>
          <w:lang w:val="en-US"/>
        </w:rPr>
        <w:t xml:space="preserve"> </w:t>
      </w:r>
      <w:r w:rsidR="006E0E81" w:rsidRPr="005C7810">
        <w:rPr>
          <w:rFonts w:ascii="Book Antiqua" w:hAnsi="Book Antiqua" w:cs="Times New Roman"/>
          <w:sz w:val="24"/>
          <w:szCs w:val="24"/>
          <w:lang w:val="en-US"/>
        </w:rPr>
        <w:t>In the clinical trial CheckMate</w:t>
      </w:r>
      <w:r w:rsidR="00397BB8" w:rsidRPr="005C7810">
        <w:rPr>
          <w:rFonts w:ascii="Book Antiqua" w:hAnsi="Book Antiqua" w:cs="Times New Roman"/>
          <w:sz w:val="24"/>
          <w:szCs w:val="24"/>
          <w:lang w:val="en-US"/>
        </w:rPr>
        <w:t>-</w:t>
      </w:r>
      <w:r w:rsidR="006E0E81" w:rsidRPr="005C7810">
        <w:rPr>
          <w:rFonts w:ascii="Book Antiqua" w:hAnsi="Book Antiqua" w:cs="Times New Roman"/>
          <w:sz w:val="24"/>
          <w:szCs w:val="24"/>
          <w:lang w:val="en-US"/>
        </w:rPr>
        <w:t>649 (NCT02872116)</w:t>
      </w:r>
      <w:r w:rsidR="00505B6E" w:rsidRPr="005C7810">
        <w:rPr>
          <w:rFonts w:ascii="Book Antiqua" w:hAnsi="Book Antiqua" w:cs="Times New Roman"/>
          <w:sz w:val="24"/>
          <w:szCs w:val="24"/>
          <w:lang w:val="en-US"/>
        </w:rPr>
        <w:t>,</w:t>
      </w:r>
      <w:r w:rsidR="006E0E81" w:rsidRPr="005C7810">
        <w:rPr>
          <w:rFonts w:ascii="Book Antiqua" w:hAnsi="Book Antiqua" w:cs="Times New Roman"/>
          <w:sz w:val="24"/>
          <w:szCs w:val="24"/>
          <w:lang w:val="en-US"/>
        </w:rPr>
        <w:t xml:space="preserve"> the efficacy of </w:t>
      </w:r>
      <w:r w:rsidR="00505B6E" w:rsidRPr="005C7810">
        <w:rPr>
          <w:rFonts w:ascii="Book Antiqua" w:hAnsi="Book Antiqua" w:cs="Times New Roman"/>
          <w:sz w:val="24"/>
          <w:szCs w:val="24"/>
          <w:lang w:val="en-US"/>
        </w:rPr>
        <w:t xml:space="preserve">nivolumab as </w:t>
      </w:r>
      <w:r w:rsidR="006E0E81" w:rsidRPr="005C7810">
        <w:rPr>
          <w:rFonts w:ascii="Book Antiqua" w:hAnsi="Book Antiqua" w:cs="Times New Roman"/>
          <w:sz w:val="24"/>
          <w:szCs w:val="24"/>
          <w:lang w:val="en-US"/>
        </w:rPr>
        <w:t xml:space="preserve">first-line treatment in combination with ipilimumab </w:t>
      </w:r>
      <w:r w:rsidR="000C5160" w:rsidRPr="005C7810">
        <w:rPr>
          <w:rFonts w:ascii="Book Antiqua" w:hAnsi="Book Antiqua" w:cs="Times New Roman"/>
          <w:i/>
          <w:sz w:val="24"/>
          <w:szCs w:val="24"/>
          <w:lang w:val="en-US"/>
        </w:rPr>
        <w:t>vs</w:t>
      </w:r>
      <w:r w:rsidR="006E0E81" w:rsidRPr="005C7810">
        <w:rPr>
          <w:rFonts w:ascii="Book Antiqua" w:hAnsi="Book Antiqua" w:cs="Times New Roman"/>
          <w:sz w:val="24"/>
          <w:szCs w:val="24"/>
          <w:lang w:val="en-US"/>
        </w:rPr>
        <w:t xml:space="preserve"> nivolumab plus chemotherapy </w:t>
      </w:r>
      <w:r w:rsidR="000C5160" w:rsidRPr="005C7810">
        <w:rPr>
          <w:rFonts w:ascii="Book Antiqua" w:hAnsi="Book Antiqua" w:cs="Times New Roman"/>
          <w:i/>
          <w:sz w:val="24"/>
          <w:szCs w:val="24"/>
          <w:lang w:val="en-US"/>
        </w:rPr>
        <w:t>vs</w:t>
      </w:r>
      <w:r w:rsidR="006E0E81" w:rsidRPr="005C7810">
        <w:rPr>
          <w:rFonts w:ascii="Book Antiqua" w:hAnsi="Book Antiqua" w:cs="Times New Roman"/>
          <w:sz w:val="24"/>
          <w:szCs w:val="24"/>
          <w:lang w:val="en-US"/>
        </w:rPr>
        <w:t xml:space="preserve"> chemotherapy alone</w:t>
      </w:r>
      <w:r w:rsidR="00505B6E" w:rsidRPr="005C7810">
        <w:rPr>
          <w:rFonts w:ascii="Book Antiqua" w:hAnsi="Book Antiqua" w:cs="Times New Roman"/>
          <w:sz w:val="24"/>
          <w:szCs w:val="24"/>
          <w:lang w:val="en-US"/>
        </w:rPr>
        <w:t>, is being evaluated</w:t>
      </w:r>
      <w:r w:rsidR="006E0E81" w:rsidRPr="005C7810">
        <w:rPr>
          <w:rFonts w:ascii="Book Antiqua" w:hAnsi="Book Antiqua" w:cs="Times New Roman"/>
          <w:sz w:val="24"/>
          <w:szCs w:val="24"/>
          <w:lang w:val="en-US"/>
        </w:rPr>
        <w:t xml:space="preserve"> in patients with advanced or metastatic GC</w:t>
      </w:r>
      <w:r w:rsidR="00A62473"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{"citationItems":[{"id":"ITEM-1","itemData":{"author":[{"dropping-particle":"","family":"Janjian YY, Adenis A, Aucoin JS, Barone C, Boku N, Chau I, Cleary JM, Feeney K, Franke FA, Moehler M, Roca EL, Schenker M, Li M","given":"Ajani JA.","non-dropping-particle":"","parse-names":false,"suffix":""}],"container-title":"J of Clin Oncol","id":"ITEM-1","issued":{"date-parts":[["2017"]]},"title":"Checkmate 649: A randomized, multicenter, open-label, phase 3 study of nivolumab (Nivo) plus ipilimumab (Ipi) versus oxaliplatin plus fluoropyrimidine in patients (Pts) with previously untreated advanced or metastatic gastric (G) or gastroesophageal junct","type":"article-journal"},"uris":["http://www.mendeley.com/documents/?uuid=fcd3d6b8-74ae-45fa-9ef2-9de052514f13","http://www.mendeley.com/documents/?uuid=30db66d7-137a-4d20-9b67-eddba48df176"]}],"mendeley":{"formattedCitation":"&lt;sup&gt;[190]&lt;/sup&gt;","plainTextFormattedCitation":"[190]","previouslyFormattedCitation":"&lt;sup&gt;[190]&lt;/sup&gt;"},"properties":{"noteIndex":0},"schema":"https://github.com/citation-style-language/schema/raw/master/csl-citation.json"}</w:instrText>
      </w:r>
      <w:r w:rsidR="00A62473"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[190]</w:t>
      </w:r>
      <w:r w:rsidR="00A62473" w:rsidRPr="005C7810">
        <w:rPr>
          <w:rFonts w:ascii="Book Antiqua" w:hAnsi="Book Antiqua" w:cs="Times New Roman"/>
          <w:sz w:val="24"/>
          <w:szCs w:val="24"/>
          <w:lang w:val="en-US"/>
        </w:rPr>
        <w:fldChar w:fldCharType="end"/>
      </w:r>
      <w:r w:rsidR="006E0E81" w:rsidRPr="005C7810">
        <w:rPr>
          <w:rFonts w:ascii="Book Antiqua" w:hAnsi="Book Antiqua" w:cs="Times New Roman"/>
          <w:sz w:val="24"/>
          <w:szCs w:val="24"/>
          <w:lang w:val="en-US"/>
        </w:rPr>
        <w:t>.</w:t>
      </w:r>
      <w:r w:rsidR="009C136E" w:rsidRPr="005C7810">
        <w:rPr>
          <w:rFonts w:ascii="Book Antiqua" w:hAnsi="Book Antiqua" w:cs="Times New Roman"/>
          <w:sz w:val="24"/>
          <w:szCs w:val="24"/>
          <w:lang w:val="en-US"/>
        </w:rPr>
        <w:t xml:space="preserve"> The clinical trial (NCT03777657) is evaluating </w:t>
      </w:r>
      <w:r w:rsidR="00E1206D" w:rsidRPr="005C7810">
        <w:rPr>
          <w:rFonts w:ascii="Book Antiqua" w:hAnsi="Book Antiqua" w:cs="Times New Roman"/>
          <w:sz w:val="24"/>
          <w:szCs w:val="24"/>
          <w:lang w:val="en-US"/>
        </w:rPr>
        <w:t>the efficacy of tislelizumab, a</w:t>
      </w:r>
      <w:r w:rsidR="009C136E" w:rsidRPr="005C7810">
        <w:rPr>
          <w:rFonts w:ascii="Book Antiqua" w:hAnsi="Book Antiqua" w:cs="Times New Roman"/>
          <w:sz w:val="24"/>
          <w:szCs w:val="24"/>
          <w:lang w:val="en-US"/>
        </w:rPr>
        <w:t xml:space="preserve"> </w:t>
      </w:r>
      <w:r w:rsidR="00E1206D" w:rsidRPr="005C7810">
        <w:rPr>
          <w:rFonts w:ascii="Book Antiqua" w:hAnsi="Book Antiqua" w:cs="Times New Roman"/>
          <w:sz w:val="24"/>
          <w:szCs w:val="24"/>
          <w:lang w:val="en-US"/>
        </w:rPr>
        <w:t xml:space="preserve">humanized </w:t>
      </w:r>
      <w:r w:rsidR="009C136E" w:rsidRPr="005C7810">
        <w:rPr>
          <w:rFonts w:ascii="Book Antiqua" w:hAnsi="Book Antiqua" w:cs="Times New Roman"/>
          <w:sz w:val="24"/>
          <w:szCs w:val="24"/>
          <w:lang w:val="en-US"/>
        </w:rPr>
        <w:t>anti-PD1, in combination with oxaliplatin and capecitabine or 5-FU and cisplatin</w:t>
      </w:r>
      <w:r w:rsidR="00A62473"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{"citationItems":[{"id":"ITEM-1","itemData":{"author":[{"dropping-particle":"","family":"Zhang C","given":"Pandit N.","non-dropping-particle":"","parse-names":false,"suffix":""}],"container-title":"ClinicalTrials.gov [Internet]. Bethesda (MD): U.S. National Library of Medicine.","id":"ITEM-1","issued":{"date-parts":[["0"]]},"title":"Tislelizumab in Combination With Chemotherapy as First-Line Treatment in Adults With Inoperable, Locally Advanced or Metastatic Gastric, or Gastroesophageal Junction Carcinoma.","type":"article-journal"},"uris":["http://www.mendeley.com/documents/?uuid=cbac7efa-5893-4935-8734-322b287d46a1","http://www.mendeley.com/documents/?uuid=118fe453-7034-4f8f-a3f9-31265d5a333b"]}],"mendeley":{"formattedCitation":"&lt;sup&gt;[191]&lt;/sup&gt;","plainTextFormattedCitation":"[191]","previouslyFormattedCitation":"&lt;sup&gt;[191]&lt;/sup&gt;"},"properties":{"noteIndex":0},"schema":"https://github.com/citation-style-language/schema/raw/master/csl-citation.json"}</w:instrText>
      </w:r>
      <w:r w:rsidR="00A62473"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[191]</w:t>
      </w:r>
      <w:r w:rsidR="00A62473" w:rsidRPr="005C7810">
        <w:rPr>
          <w:rFonts w:ascii="Book Antiqua" w:hAnsi="Book Antiqua" w:cs="Times New Roman"/>
          <w:sz w:val="24"/>
          <w:szCs w:val="24"/>
          <w:lang w:val="en-US"/>
        </w:rPr>
        <w:fldChar w:fldCharType="end"/>
      </w:r>
      <w:r w:rsidR="009C136E" w:rsidRPr="005C7810">
        <w:rPr>
          <w:rFonts w:ascii="Book Antiqua" w:hAnsi="Book Antiqua" w:cs="Times New Roman"/>
          <w:sz w:val="24"/>
          <w:szCs w:val="24"/>
          <w:lang w:val="en-US"/>
        </w:rPr>
        <w:t>.</w:t>
      </w:r>
    </w:p>
    <w:p w:rsidR="000F5BB0" w:rsidRPr="005C7810" w:rsidRDefault="000F5BB0" w:rsidP="00CD380F">
      <w:pPr>
        <w:shd w:val="clear" w:color="auto" w:fill="FFFFFF"/>
        <w:snapToGrid w:val="0"/>
        <w:spacing w:after="0" w:line="360" w:lineRule="auto"/>
        <w:jc w:val="both"/>
        <w:rPr>
          <w:rFonts w:ascii="Book Antiqua" w:hAnsi="Book Antiqua" w:cs="Times New Roman"/>
          <w:sz w:val="24"/>
          <w:szCs w:val="24"/>
          <w:lang w:val="en-US"/>
        </w:rPr>
      </w:pPr>
    </w:p>
    <w:p w:rsidR="000F5BB0" w:rsidRPr="005C7810" w:rsidRDefault="000F5BB0" w:rsidP="00CD380F">
      <w:pPr>
        <w:shd w:val="clear" w:color="auto" w:fill="FFFFFF"/>
        <w:snapToGrid w:val="0"/>
        <w:spacing w:after="0" w:line="360" w:lineRule="auto"/>
        <w:jc w:val="both"/>
        <w:rPr>
          <w:rFonts w:ascii="Book Antiqua" w:hAnsi="Book Antiqua" w:cs="Times New Roman"/>
          <w:b/>
          <w:i/>
          <w:sz w:val="24"/>
          <w:szCs w:val="24"/>
          <w:lang w:val="en-US"/>
        </w:rPr>
      </w:pPr>
      <w:r w:rsidRPr="005C7810">
        <w:rPr>
          <w:rFonts w:ascii="Book Antiqua" w:hAnsi="Book Antiqua" w:cs="Times New Roman"/>
          <w:b/>
          <w:i/>
          <w:sz w:val="24"/>
          <w:szCs w:val="24"/>
          <w:lang w:val="en-US"/>
        </w:rPr>
        <w:t>Other target</w:t>
      </w:r>
      <w:r w:rsidR="00BE6A1C" w:rsidRPr="005C7810">
        <w:rPr>
          <w:rFonts w:ascii="Book Antiqua" w:hAnsi="Book Antiqua" w:cs="Times New Roman"/>
          <w:b/>
          <w:i/>
          <w:sz w:val="24"/>
          <w:szCs w:val="24"/>
          <w:lang w:val="en-US"/>
        </w:rPr>
        <w:t>s</w:t>
      </w:r>
    </w:p>
    <w:p w:rsidR="00506EC1" w:rsidRPr="005C7810" w:rsidRDefault="00FF07B9" w:rsidP="00CD380F">
      <w:pPr>
        <w:snapToGrid w:val="0"/>
        <w:spacing w:after="0" w:line="360" w:lineRule="auto"/>
        <w:jc w:val="both"/>
        <w:rPr>
          <w:rFonts w:ascii="Book Antiqua" w:eastAsia="Times New Roman" w:hAnsi="Book Antiqua" w:cs="Times New Roman"/>
          <w:color w:val="000000"/>
          <w:sz w:val="24"/>
          <w:szCs w:val="24"/>
          <w:lang w:val="en-US" w:eastAsia="it-IT"/>
        </w:rPr>
      </w:pPr>
      <w:r w:rsidRPr="005C7810">
        <w:rPr>
          <w:rFonts w:ascii="Book Antiqua" w:hAnsi="Book Antiqua" w:cs="Times New Roman"/>
          <w:color w:val="000000"/>
          <w:sz w:val="24"/>
          <w:szCs w:val="24"/>
          <w:lang w:val="en-US"/>
        </w:rPr>
        <w:t xml:space="preserve">Clinical trials </w:t>
      </w:r>
      <w:r w:rsidR="00B128F9" w:rsidRPr="005C7810">
        <w:rPr>
          <w:rFonts w:ascii="Book Antiqua" w:hAnsi="Book Antiqua" w:cs="Times New Roman"/>
          <w:color w:val="000000"/>
          <w:sz w:val="24"/>
          <w:szCs w:val="24"/>
          <w:lang w:val="en-US"/>
        </w:rPr>
        <w:t xml:space="preserve">have been </w:t>
      </w:r>
      <w:r w:rsidRPr="005C7810">
        <w:rPr>
          <w:rFonts w:ascii="Book Antiqua" w:hAnsi="Book Antiqua" w:cs="Times New Roman"/>
          <w:color w:val="000000"/>
          <w:sz w:val="24"/>
          <w:szCs w:val="24"/>
          <w:lang w:val="en-US"/>
        </w:rPr>
        <w:t xml:space="preserve">performed to study the significance of CTCs in advanced/metastatic GC. Some trials </w:t>
      </w:r>
      <w:r w:rsidR="00B128F9" w:rsidRPr="005C7810">
        <w:rPr>
          <w:rFonts w:ascii="Book Antiqua" w:hAnsi="Book Antiqua" w:cs="Times New Roman"/>
          <w:color w:val="000000"/>
          <w:sz w:val="24"/>
          <w:szCs w:val="24"/>
          <w:lang w:val="en-US"/>
        </w:rPr>
        <w:t>(NCT03156777</w:t>
      </w:r>
      <w:r w:rsidR="00B128F9"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{"citationItems":[{"id":"ITEM-1","itemData":{"author":[{"dropping-particle":"","family":"L.","given":"Wei","non-dropping-particle":"","parse-names":false,"suffix":""}],"container-title":"ClinicalTrials.gov [Internet]. Bethesda (MD): U.S. National Library of Medicine.","id":"ITEM-1","issued":{"date-parts":[["0"]]},"title":"Application Value of CTCs Detection for Advanced Gastric Cancer Patients. In:","type":"article-journal"},"uris":["http://www.mendeley.com/documents/?uuid=443273ca-0640-4a16-a4ab-84084c51b5e6","http://www.mendeley.com/documents/?uuid=7d381214-7e80-4f6b-8779-3ac7b0ba5da1"]}],"mendeley":{"formattedCitation":"&lt;sup&gt;[192]&lt;/sup&gt;","plainTextFormattedCitation":"[192]","previouslyFormattedCitation":"&lt;sup&gt;[192]&lt;/sup&gt;"},"properties":{"noteIndex":0},"schema":"https://github.com/citation-style-language/schema/raw/master/csl-citation.json"}</w:instrText>
      </w:r>
      <w:r w:rsidR="00B128F9"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[192]</w:t>
      </w:r>
      <w:r w:rsidR="00B128F9" w:rsidRPr="005C7810">
        <w:rPr>
          <w:rFonts w:ascii="Book Antiqua" w:hAnsi="Book Antiqua" w:cs="Times New Roman"/>
          <w:color w:val="000000"/>
          <w:sz w:val="24"/>
          <w:szCs w:val="24"/>
          <w:lang w:val="en-US"/>
        </w:rPr>
        <w:fldChar w:fldCharType="end"/>
      </w:r>
      <w:r w:rsidR="00AD1516" w:rsidRPr="005C7810">
        <w:rPr>
          <w:rFonts w:ascii="Book Antiqua" w:hAnsi="Book Antiqua" w:cs="Times New Roman"/>
          <w:color w:val="000000"/>
          <w:sz w:val="24"/>
          <w:szCs w:val="24"/>
          <w:lang w:val="en-US"/>
        </w:rPr>
        <w:t xml:space="preserve">, </w:t>
      </w:r>
      <w:r w:rsidR="00B128F9" w:rsidRPr="005C7810">
        <w:rPr>
          <w:rFonts w:ascii="Book Antiqua" w:hAnsi="Book Antiqua" w:cs="Times New Roman"/>
          <w:color w:val="000000"/>
          <w:sz w:val="24"/>
          <w:szCs w:val="24"/>
          <w:lang w:val="en-US"/>
        </w:rPr>
        <w:t>NCT01625702)</w:t>
      </w:r>
      <w:r w:rsidR="00B128F9"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{"citationItems":[{"id":"ITEM-1","itemData":{"author":[{"dropping-particle":"","family":"L.","given":"Shen","non-dropping-particle":"","parse-names":false,"suffix":""}],"container-title":"ClinicalTrials.gov [Internet]. Bethesda (MD): U.S. National Library of Medicine.","id":"ITEM-1","issued":{"date-parts":[["0"]]},"title":"Clinical Significance of Circulating Tumor Cells (CTCs) in Blood of Patients With Advanced/Metastatic Gastric Cancer.","type":"article-journal"},"uris":["http://www.mendeley.com/documents/?uuid=defcd53e-7be4-44ec-a9d5-cc60f5ce3332","http://www.mendeley.com/documents/?uuid=3d8336b8-9cf8-4766-b20d-ee7cc4f40ebb"]}],"mendeley":{"formattedCitation":"&lt;sup&gt;[193]&lt;/sup&gt;","plainTextFormattedCitation":"[193]","previouslyFormattedCitation":"&lt;sup&gt;[193]&lt;/sup&gt;"},"properties":{"noteIndex":0},"schema":"https://github.com/citation-style-language/schema/raw/master/csl-citation.json"}</w:instrText>
      </w:r>
      <w:r w:rsidR="00B128F9"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[193]</w:t>
      </w:r>
      <w:r w:rsidR="00B128F9" w:rsidRPr="005C7810">
        <w:rPr>
          <w:rFonts w:ascii="Book Antiqua" w:hAnsi="Book Antiqua" w:cs="Times New Roman"/>
          <w:color w:val="000000"/>
          <w:sz w:val="24"/>
          <w:szCs w:val="24"/>
          <w:lang w:val="en-US"/>
        </w:rPr>
        <w:fldChar w:fldCharType="end"/>
      </w:r>
      <w:r w:rsidR="00B128F9" w:rsidRPr="005C7810">
        <w:rPr>
          <w:rFonts w:ascii="Book Antiqua" w:hAnsi="Book Antiqua" w:cs="Times New Roman"/>
          <w:color w:val="000000"/>
          <w:sz w:val="24"/>
          <w:szCs w:val="24"/>
          <w:lang w:val="en-US"/>
        </w:rPr>
        <w:t xml:space="preserve"> </w:t>
      </w:r>
      <w:r w:rsidRPr="005C7810">
        <w:rPr>
          <w:rFonts w:ascii="Book Antiqua" w:hAnsi="Book Antiqua" w:cs="Times New Roman"/>
          <w:color w:val="000000"/>
          <w:sz w:val="24"/>
          <w:szCs w:val="24"/>
          <w:lang w:val="en-US"/>
        </w:rPr>
        <w:t>have been designed to evaluate CTCs as markers of prognosis and response to chemotherapy</w:t>
      </w:r>
      <w:r w:rsidR="00B128F9"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 </w:t>
      </w:r>
      <w:r w:rsidR="008663DE" w:rsidRPr="005C7810">
        <w:rPr>
          <w:rFonts w:ascii="Book Antiqua" w:hAnsi="Book Antiqua" w:cs="Times New Roman"/>
          <w:color w:val="000000"/>
          <w:sz w:val="24"/>
          <w:szCs w:val="24"/>
          <w:lang w:val="en-US"/>
        </w:rPr>
        <w:t xml:space="preserve">In </w:t>
      </w:r>
      <w:r w:rsidR="00B128F9" w:rsidRPr="005C7810">
        <w:rPr>
          <w:rFonts w:ascii="Book Antiqua" w:hAnsi="Book Antiqua" w:cs="Times New Roman"/>
          <w:color w:val="000000"/>
          <w:sz w:val="24"/>
          <w:szCs w:val="24"/>
          <w:lang w:val="en-US"/>
        </w:rPr>
        <w:t xml:space="preserve">a </w:t>
      </w:r>
      <w:r w:rsidR="008663DE" w:rsidRPr="005C7810">
        <w:rPr>
          <w:rFonts w:ascii="Book Antiqua" w:hAnsi="Book Antiqua" w:cs="Times New Roman"/>
          <w:color w:val="000000"/>
          <w:sz w:val="24"/>
          <w:szCs w:val="24"/>
          <w:lang w:val="en-US"/>
        </w:rPr>
        <w:t xml:space="preserve">clinical trial (NCT01625702) in </w:t>
      </w:r>
      <w:r w:rsidR="00B128F9" w:rsidRPr="005C7810">
        <w:rPr>
          <w:rFonts w:ascii="Book Antiqua" w:hAnsi="Book Antiqua" w:cs="Times New Roman"/>
          <w:color w:val="000000"/>
          <w:sz w:val="24"/>
          <w:szCs w:val="24"/>
          <w:lang w:val="en-US"/>
        </w:rPr>
        <w:t xml:space="preserve">HER2-positive </w:t>
      </w:r>
      <w:r w:rsidR="008663DE" w:rsidRPr="005C7810">
        <w:rPr>
          <w:rFonts w:ascii="Book Antiqua" w:hAnsi="Book Antiqua" w:cs="Times New Roman"/>
          <w:color w:val="000000"/>
          <w:sz w:val="24"/>
          <w:szCs w:val="24"/>
          <w:lang w:val="en-US"/>
        </w:rPr>
        <w:t>patients, an increased HER2 extracellular domain was a predictor of a better prognosis. The elevated levels of HER2 after therapy w</w:t>
      </w:r>
      <w:r w:rsidR="00B128F9" w:rsidRPr="005C7810">
        <w:rPr>
          <w:rFonts w:ascii="Book Antiqua" w:hAnsi="Book Antiqua" w:cs="Times New Roman"/>
          <w:color w:val="000000"/>
          <w:sz w:val="24"/>
          <w:szCs w:val="24"/>
          <w:lang w:val="en-US"/>
        </w:rPr>
        <w:t>ere</w:t>
      </w:r>
      <w:r w:rsidR="008663DE" w:rsidRPr="005C7810">
        <w:rPr>
          <w:rFonts w:ascii="Book Antiqua" w:hAnsi="Book Antiqua" w:cs="Times New Roman"/>
          <w:color w:val="000000"/>
          <w:sz w:val="24"/>
          <w:szCs w:val="24"/>
          <w:lang w:val="en-US"/>
        </w:rPr>
        <w:t xml:space="preserve"> correlated </w:t>
      </w:r>
      <w:r w:rsidR="00B128F9" w:rsidRPr="005C7810">
        <w:rPr>
          <w:rFonts w:ascii="Book Antiqua" w:hAnsi="Book Antiqua" w:cs="Times New Roman"/>
          <w:color w:val="000000"/>
          <w:sz w:val="24"/>
          <w:szCs w:val="24"/>
          <w:lang w:val="en-US"/>
        </w:rPr>
        <w:t>with a</w:t>
      </w:r>
      <w:r w:rsidR="008663DE" w:rsidRPr="005C7810">
        <w:rPr>
          <w:rFonts w:ascii="Book Antiqua" w:hAnsi="Book Antiqua" w:cs="Times New Roman"/>
          <w:color w:val="000000"/>
          <w:sz w:val="24"/>
          <w:szCs w:val="24"/>
          <w:lang w:val="en-US"/>
        </w:rPr>
        <w:t xml:space="preserve"> negative therapeutic response</w:t>
      </w:r>
      <w:r w:rsidR="00A62473"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{"citationItems":[{"id":"ITEM-1","itemData":{"author":[{"dropping-particle":"","family":"Li Y, Peng Z, Zhang X, Gong J","given":"Shen L.","non-dropping-particle":"","parse-names":false,"suffix":""}],"container-title":"Zhonghua Wei Chang Wai Ke Za Zhi","id":"ITEM-1","issued":{"date-parts":[["2017"]]},"title":"Value of serum human epithelial growth factor receptor 2 extracellular domain and circulating tumor cells in evaluating therapeutic response in advanced gastric cancer.","type":"article-journal"},"uris":["http://www.mendeley.com/documents/?uuid=77760c5f-6527-47c2-bab5-1914d307358a","http://www.mendeley.com/documents/?uuid=928c07aa-f1e5-4197-8a2f-c76d9a0f6567"]}],"mendeley":{"formattedCitation":"&lt;sup&gt;[194]&lt;/sup&gt;","plainTextFormattedCitation":"[194]","previouslyFormattedCitation":"&lt;sup&gt;[194]&lt;/sup&gt;"},"properties":{"noteIndex":0},"schema":"https://github.com/citation-style-language/schema/raw/master/csl-citation.json"}</w:instrText>
      </w:r>
      <w:r w:rsidR="00A62473"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[194]</w:t>
      </w:r>
      <w:r w:rsidR="00A62473" w:rsidRPr="005C7810">
        <w:rPr>
          <w:rFonts w:ascii="Book Antiqua" w:hAnsi="Book Antiqua" w:cs="Times New Roman"/>
          <w:color w:val="000000"/>
          <w:sz w:val="24"/>
          <w:szCs w:val="24"/>
          <w:lang w:val="en-US"/>
        </w:rPr>
        <w:fldChar w:fldCharType="end"/>
      </w:r>
      <w:r w:rsidR="008663DE" w:rsidRPr="005C7810">
        <w:rPr>
          <w:rFonts w:ascii="Book Antiqua" w:hAnsi="Book Antiqua" w:cs="Times New Roman"/>
          <w:color w:val="000000"/>
          <w:sz w:val="24"/>
          <w:szCs w:val="24"/>
          <w:lang w:val="en-US"/>
        </w:rPr>
        <w:t xml:space="preserve">. </w:t>
      </w:r>
      <w:r w:rsidRPr="005C7810">
        <w:rPr>
          <w:rFonts w:ascii="Book Antiqua" w:hAnsi="Book Antiqua" w:cs="Times New Roman"/>
          <w:color w:val="000000"/>
          <w:sz w:val="24"/>
          <w:szCs w:val="24"/>
          <w:lang w:val="en-US"/>
        </w:rPr>
        <w:t xml:space="preserve">Other trials have been designed to evaluate CTCs and </w:t>
      </w:r>
      <w:r w:rsidR="002C017B" w:rsidRPr="005C7810">
        <w:rPr>
          <w:rFonts w:ascii="Book Antiqua" w:hAnsi="Book Antiqua" w:cs="Times New Roman"/>
          <w:sz w:val="24"/>
          <w:szCs w:val="24"/>
          <w:lang w:val="en-US"/>
        </w:rPr>
        <w:t xml:space="preserve">cell-free DNA </w:t>
      </w:r>
      <w:r w:rsidRPr="005C7810">
        <w:rPr>
          <w:rFonts w:ascii="Book Antiqua" w:hAnsi="Book Antiqua" w:cs="Times New Roman"/>
          <w:color w:val="000000"/>
          <w:sz w:val="24"/>
          <w:szCs w:val="24"/>
          <w:lang w:val="en-US"/>
        </w:rPr>
        <w:t>as clinical prognosis markers (NCT01299688)</w:t>
      </w:r>
      <w:r w:rsidR="00A62473"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{"citationItems":[{"id":"ITEM-1","itemData":{"author":[{"dropping-particle":"","family":"WK.","given":"Kang","non-dropping-particle":"","parse-names":false,"suffix":""}],"container-title":"ClinicalTrials.gov [Internet]. Bethesda (MD): U.S. National Library of Medicine","id":"ITEM-1","issued":{"date-parts":[["0"]]},"title":"HER2 Circulating Tumor Cells in Gastric Cancer.","type":"article-journal"},"uris":["http://www.mendeley.com/documents/?uuid=3ada311d-b140-4c15-a61f-8f421a9f01c9","http://www.mendeley.com/documents/?uuid=f99e4bc6-2c4f-4693-afcf-e7192acbe03b"]}],"mendeley":{"formattedCitation":"&lt;sup&gt;[195]&lt;/sup&gt;","plainTextFormattedCitation":"[195]","previouslyFormattedCitation":"&lt;sup&gt;[195]&lt;/sup&gt;"},"properties":{"noteIndex":0},"schema":"https://github.com/citation-style-language/schema/raw/master/csl-citation.json"}</w:instrText>
      </w:r>
      <w:r w:rsidR="00A62473"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[195]</w:t>
      </w:r>
      <w:r w:rsidR="00A62473" w:rsidRPr="005C7810">
        <w:rPr>
          <w:rFonts w:ascii="Book Antiqua" w:hAnsi="Book Antiqua" w:cs="Times New Roman"/>
          <w:color w:val="000000"/>
          <w:sz w:val="24"/>
          <w:szCs w:val="24"/>
          <w:lang w:val="en-US"/>
        </w:rPr>
        <w:fldChar w:fldCharType="end"/>
      </w:r>
      <w:r w:rsidRPr="005C7810">
        <w:rPr>
          <w:rFonts w:ascii="Book Antiqua" w:hAnsi="Book Antiqua" w:cs="Times New Roman"/>
          <w:color w:val="000000"/>
          <w:sz w:val="24"/>
          <w:szCs w:val="24"/>
          <w:lang w:val="en-US"/>
        </w:rPr>
        <w:t xml:space="preserve"> and response</w:t>
      </w:r>
      <w:r w:rsidR="008B5FF1" w:rsidRPr="005C7810">
        <w:rPr>
          <w:rFonts w:ascii="Book Antiqua" w:hAnsi="Book Antiqua" w:cs="Times New Roman"/>
          <w:color w:val="000000"/>
          <w:sz w:val="24"/>
          <w:szCs w:val="24"/>
          <w:lang w:val="en-US"/>
        </w:rPr>
        <w:t xml:space="preserve"> to</w:t>
      </w:r>
      <w:r w:rsidRPr="005C7810">
        <w:rPr>
          <w:rFonts w:ascii="Book Antiqua" w:hAnsi="Book Antiqua" w:cs="Times New Roman"/>
          <w:color w:val="000000"/>
          <w:sz w:val="24"/>
          <w:szCs w:val="24"/>
          <w:lang w:val="en-US"/>
        </w:rPr>
        <w:t xml:space="preserve"> HER2 </w:t>
      </w:r>
      <w:r w:rsidR="008B5FF1" w:rsidRPr="005C7810">
        <w:rPr>
          <w:rFonts w:ascii="Book Antiqua" w:hAnsi="Book Antiqua" w:cs="Times New Roman"/>
          <w:color w:val="000000"/>
          <w:sz w:val="24"/>
          <w:szCs w:val="24"/>
          <w:lang w:val="en-US"/>
        </w:rPr>
        <w:t>(NCT02610218)</w:t>
      </w:r>
      <w:r w:rsidR="008B5FF1"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{"citationItems":[{"id":"ITEM-1","itemData":{"author":[{"dropping-particle":"","family":"L.","given":"Shen","non-dropping-particle":"","parse-names":false,"suffix":""}],"container-title":"ClinicalTrials.gov [Internet]. Bethesda (MD): U.S. National Library of Medicine.","id":"ITEM-1","issued":{"date-parts":[["0"]]},"title":"Liquid Biopsy in Monitoring the Therapeutic Efficacy of Targeted Therapy in Advanced/Metastatic Gastric Cancer.","type":"article-journal"},"uris":["http://www.mendeley.com/documents/?uuid=a0375fcc-cfd6-4161-8efd-f5c8e6c69a91","http://www.mendeley.com/documents/?uuid=f1a22ac0-7ca4-4c11-8902-25791ffb7d7b"]}],"mendeley":{"formattedCitation":"&lt;sup&gt;[196]&lt;/sup&gt;","plainTextFormattedCitation":"[196]","previouslyFormattedCitation":"&lt;sup&gt;[196]&lt;/sup&gt;"},"properties":{"noteIndex":0},"schema":"https://github.com/citation-style-language/schema/raw/master/csl-citation.json"}</w:instrText>
      </w:r>
      <w:r w:rsidR="008B5FF1"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[196]</w:t>
      </w:r>
      <w:r w:rsidR="008B5FF1" w:rsidRPr="005C7810">
        <w:rPr>
          <w:rFonts w:ascii="Book Antiqua" w:hAnsi="Book Antiqua" w:cs="Times New Roman"/>
          <w:color w:val="000000"/>
          <w:sz w:val="24"/>
          <w:szCs w:val="24"/>
          <w:lang w:val="en-US"/>
        </w:rPr>
        <w:fldChar w:fldCharType="end"/>
      </w:r>
      <w:r w:rsidR="008B5FF1" w:rsidRPr="005C7810">
        <w:rPr>
          <w:rFonts w:ascii="Book Antiqua" w:hAnsi="Book Antiqua" w:cs="Times New Roman"/>
          <w:color w:val="000000"/>
          <w:sz w:val="24"/>
          <w:szCs w:val="24"/>
          <w:lang w:val="en-US"/>
        </w:rPr>
        <w:t xml:space="preserve"> </w:t>
      </w:r>
      <w:r w:rsidRPr="005C7810">
        <w:rPr>
          <w:rFonts w:ascii="Book Antiqua" w:hAnsi="Book Antiqua" w:cs="Times New Roman"/>
          <w:color w:val="000000"/>
          <w:sz w:val="24"/>
          <w:szCs w:val="24"/>
          <w:lang w:val="en-US"/>
        </w:rPr>
        <w:t>or VEGFR (NCT02048540)</w:t>
      </w:r>
      <w:r w:rsidR="00A62473"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{"citationItems":[{"id":"ITEM-1","itemData":{"author":[{"dropping-particle":"","family":"N.","given":"Du","non-dropping-particle":"","parse-names":false,"suffix":""}],"container-title":"ClinicalTrials.gov [Internet]. Bethesda (MD): U.S. National Library of Medicine.","id":"ITEM-1","issued":{"date-parts":[["0"]]},"title":"Neoadjuvant Bev plus DOF vs DOF in LAGC and its Association With Circulating Tumor Cell.","type":"article-journal"},"uris":["http://www.mendeley.com/documents/?uuid=089d2535-3e90-4aa4-b3ee-548972a25677","http://www.mendeley.com/documents/?uuid=b6bba604-d21e-49c3-a53f-9462e3869ae5"]}],"mendeley":{"formattedCitation":"&lt;sup&gt;[197]&lt;/sup&gt;","plainTextFormattedCitation":"[197]","previouslyFormattedCitation":"&lt;sup&gt;[197]&lt;/sup&gt;"},"properties":{"noteIndex":0},"schema":"https://github.com/citation-style-language/schema/raw/master/csl-citation.json"}</w:instrText>
      </w:r>
      <w:r w:rsidR="00A62473"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[197]</w:t>
      </w:r>
      <w:r w:rsidR="00A62473" w:rsidRPr="005C7810">
        <w:rPr>
          <w:rFonts w:ascii="Book Antiqua" w:hAnsi="Book Antiqua" w:cs="Times New Roman"/>
          <w:color w:val="000000"/>
          <w:sz w:val="24"/>
          <w:szCs w:val="24"/>
          <w:lang w:val="en-US"/>
        </w:rPr>
        <w:fldChar w:fldCharType="end"/>
      </w:r>
      <w:r w:rsidR="008B5FF1" w:rsidRPr="005C7810">
        <w:rPr>
          <w:rFonts w:ascii="Book Antiqua" w:hAnsi="Book Antiqua" w:cs="Times New Roman"/>
          <w:color w:val="000000"/>
          <w:sz w:val="24"/>
          <w:szCs w:val="24"/>
          <w:lang w:val="en-US"/>
        </w:rPr>
        <w:t xml:space="preserve"> targeting</w:t>
      </w:r>
      <w:r w:rsidR="009307E8" w:rsidRPr="005C7810">
        <w:rPr>
          <w:rFonts w:ascii="Book Antiqua" w:hAnsi="Book Antiqua" w:cs="Times New Roman"/>
          <w:color w:val="000000"/>
          <w:sz w:val="24"/>
          <w:szCs w:val="24"/>
          <w:lang w:val="en-US"/>
        </w:rPr>
        <w:t>.</w:t>
      </w:r>
      <w:r w:rsidR="008357CC" w:rsidRPr="005C7810">
        <w:rPr>
          <w:rFonts w:ascii="Book Antiqua" w:hAnsi="Book Antiqua" w:cs="Times New Roman"/>
          <w:color w:val="000000"/>
          <w:sz w:val="24"/>
          <w:szCs w:val="24"/>
          <w:lang w:val="en-US"/>
        </w:rPr>
        <w:t xml:space="preserve"> </w:t>
      </w:r>
      <w:r w:rsidRPr="005C7810">
        <w:rPr>
          <w:rFonts w:ascii="Book Antiqua" w:hAnsi="Book Antiqua" w:cs="Times New Roman"/>
          <w:color w:val="000000"/>
          <w:sz w:val="24"/>
          <w:szCs w:val="24"/>
          <w:lang w:val="en-US"/>
        </w:rPr>
        <w:t xml:space="preserve">Only one clinical trial </w:t>
      </w:r>
      <w:r w:rsidR="00AD1516" w:rsidRPr="005C7810">
        <w:rPr>
          <w:rFonts w:ascii="Book Antiqua" w:hAnsi="Book Antiqua" w:cs="Times New Roman"/>
          <w:color w:val="000000"/>
          <w:sz w:val="24"/>
          <w:szCs w:val="24"/>
          <w:lang w:val="en-US"/>
        </w:rPr>
        <w:t xml:space="preserve">(NCT01848015) </w:t>
      </w:r>
      <w:r w:rsidRPr="005C7810">
        <w:rPr>
          <w:rFonts w:ascii="Book Antiqua" w:hAnsi="Book Antiqua" w:cs="Times New Roman"/>
          <w:color w:val="000000"/>
          <w:sz w:val="24"/>
          <w:szCs w:val="24"/>
          <w:lang w:val="en-US"/>
        </w:rPr>
        <w:t>was designed to establish the predictive value of CTCs in the recurrence of advanced GC after radical resection</w:t>
      </w:r>
      <w:r w:rsidR="00C11DC4"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{"citationItems":[{"id":"ITEM-1","itemData":{"author":[{"dropping-particle":"","family":"L.","given":"Shen","non-dropping-particle":"","parse-names":false,"suffix":""}],"container-title":"ClinicalTrials.gov [Internet]. Bethesda (MD): U.S. National Library of Medicine.","id":"ITEM-1","issued":{"date-parts":[["0"]]},"title":"Circulating Tumor Cells (CTCs) in Advanced Gastric Cancer. In:","type":"article-journal"},"uris":["http://www.mendeley.com/documents/?uuid=fdb4505c-f658-42c6-94d5-8c1022d93f77","http://www.mendeley.com/documents/?uuid=582e86b6-57d2-445b-860e-455c5a43b3a3"]}],"mendeley":{"formattedCitation":"&lt;sup&gt;[198]&lt;/sup&gt;","plainTextFormattedCitation":"[198]","previouslyFormattedCitation":"&lt;sup&gt;[198]&lt;/sup&gt;"},"properties":{"noteIndex":0},"schema":"https://github.com/citation-style-language/schema/raw/master/csl-citation.json"}</w:instrText>
      </w:r>
      <w:r w:rsidR="00C11DC4"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[198]</w:t>
      </w:r>
      <w:r w:rsidR="00C11DC4" w:rsidRPr="005C7810">
        <w:rPr>
          <w:rFonts w:ascii="Book Antiqua" w:hAnsi="Book Antiqua" w:cs="Times New Roman"/>
          <w:color w:val="000000"/>
          <w:sz w:val="24"/>
          <w:szCs w:val="24"/>
          <w:lang w:val="en-US"/>
        </w:rPr>
        <w:fldChar w:fldCharType="end"/>
      </w:r>
      <w:r w:rsidRPr="005C7810">
        <w:rPr>
          <w:rFonts w:ascii="Book Antiqua" w:hAnsi="Book Antiqua" w:cs="Times New Roman"/>
          <w:color w:val="000000"/>
          <w:sz w:val="24"/>
          <w:szCs w:val="24"/>
          <w:lang w:val="en-US"/>
        </w:rPr>
        <w:t>. Some of these trials have been completed</w:t>
      </w:r>
      <w:r w:rsidR="00397BB8"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 but the results are not yet known.</w:t>
      </w:r>
      <w:r w:rsidR="000C4E8F" w:rsidRPr="005C7810">
        <w:rPr>
          <w:rFonts w:ascii="Book Antiqua" w:hAnsi="Book Antiqua" w:cs="Times New Roman"/>
          <w:color w:val="000000"/>
          <w:sz w:val="24"/>
          <w:szCs w:val="24"/>
          <w:lang w:val="en-US"/>
        </w:rPr>
        <w:t xml:space="preserve"> A study </w:t>
      </w:r>
      <w:r w:rsidR="00AD1516" w:rsidRPr="005C7810">
        <w:rPr>
          <w:rFonts w:ascii="Book Antiqua" w:hAnsi="Book Antiqua" w:cs="Times New Roman"/>
          <w:color w:val="000000"/>
          <w:sz w:val="24"/>
          <w:szCs w:val="24"/>
          <w:lang w:val="en-US"/>
        </w:rPr>
        <w:t>conducted</w:t>
      </w:r>
      <w:r w:rsidR="000C4E8F" w:rsidRPr="005C7810">
        <w:rPr>
          <w:rFonts w:ascii="Book Antiqua" w:hAnsi="Book Antiqua" w:cs="Times New Roman"/>
          <w:color w:val="000000"/>
          <w:sz w:val="24"/>
          <w:szCs w:val="24"/>
          <w:lang w:val="en-US"/>
        </w:rPr>
        <w:t xml:space="preserve"> </w:t>
      </w:r>
      <w:r w:rsidR="00AD1516" w:rsidRPr="005C7810">
        <w:rPr>
          <w:rFonts w:ascii="Book Antiqua" w:hAnsi="Book Antiqua" w:cs="Times New Roman"/>
          <w:color w:val="000000"/>
          <w:sz w:val="24"/>
          <w:szCs w:val="24"/>
          <w:lang w:val="en-US"/>
        </w:rPr>
        <w:t>i</w:t>
      </w:r>
      <w:r w:rsidR="000C4E8F" w:rsidRPr="005C7810">
        <w:rPr>
          <w:rFonts w:ascii="Book Antiqua" w:hAnsi="Book Antiqua" w:cs="Times New Roman"/>
          <w:color w:val="000000"/>
          <w:sz w:val="24"/>
          <w:szCs w:val="24"/>
          <w:lang w:val="en-US"/>
        </w:rPr>
        <w:t>n patients with HER2</w:t>
      </w:r>
      <w:r w:rsidR="00AD1516" w:rsidRPr="005C7810">
        <w:rPr>
          <w:rFonts w:ascii="Book Antiqua" w:hAnsi="Book Antiqua" w:cs="Times New Roman"/>
          <w:color w:val="000000"/>
          <w:sz w:val="24"/>
          <w:szCs w:val="24"/>
          <w:lang w:val="en-US"/>
        </w:rPr>
        <w:t>-</w:t>
      </w:r>
      <w:r w:rsidR="000C4E8F" w:rsidRPr="005C7810">
        <w:rPr>
          <w:rFonts w:ascii="Book Antiqua" w:hAnsi="Book Antiqua" w:cs="Times New Roman"/>
          <w:color w:val="000000"/>
          <w:sz w:val="24"/>
          <w:szCs w:val="24"/>
          <w:lang w:val="en-US"/>
        </w:rPr>
        <w:t xml:space="preserve">positive metastatic GC revealed that the ctDNA of these patients provided useful information </w:t>
      </w:r>
      <w:r w:rsidR="009918AB" w:rsidRPr="005C7810">
        <w:rPr>
          <w:rFonts w:ascii="Book Antiqua" w:hAnsi="Book Antiqua" w:cs="Times New Roman"/>
          <w:color w:val="000000"/>
          <w:sz w:val="24"/>
          <w:szCs w:val="24"/>
          <w:lang w:val="en-US"/>
        </w:rPr>
        <w:t>for</w:t>
      </w:r>
      <w:r w:rsidR="000C4E8F" w:rsidRPr="005C7810">
        <w:rPr>
          <w:rFonts w:ascii="Book Antiqua" w:hAnsi="Book Antiqua" w:cs="Times New Roman"/>
          <w:color w:val="000000"/>
          <w:sz w:val="24"/>
          <w:szCs w:val="24"/>
          <w:lang w:val="en-US"/>
        </w:rPr>
        <w:t xml:space="preserve"> monitoring the response to trastuzumab</w:t>
      </w:r>
      <w:r w:rsidR="009918AB" w:rsidRPr="005C7810">
        <w:rPr>
          <w:rFonts w:ascii="Book Antiqua" w:hAnsi="Book Antiqua" w:cs="Times New Roman"/>
          <w:color w:val="000000"/>
          <w:sz w:val="24"/>
          <w:szCs w:val="24"/>
          <w:lang w:val="en-US"/>
        </w:rPr>
        <w:t xml:space="preserve">, for the purpose of </w:t>
      </w:r>
      <w:r w:rsidR="000C4E8F" w:rsidRPr="005C7810">
        <w:rPr>
          <w:rFonts w:ascii="Book Antiqua" w:hAnsi="Book Antiqua" w:cs="Times New Roman"/>
          <w:color w:val="000000"/>
          <w:sz w:val="24"/>
          <w:szCs w:val="24"/>
          <w:lang w:val="en-US"/>
        </w:rPr>
        <w:t>develop</w:t>
      </w:r>
      <w:r w:rsidR="009918AB" w:rsidRPr="005C7810">
        <w:rPr>
          <w:rFonts w:ascii="Book Antiqua" w:hAnsi="Book Antiqua" w:cs="Times New Roman"/>
          <w:color w:val="000000"/>
          <w:sz w:val="24"/>
          <w:szCs w:val="24"/>
          <w:lang w:val="en-US"/>
        </w:rPr>
        <w:t>ing</w:t>
      </w:r>
      <w:r w:rsidR="000C4E8F" w:rsidRPr="005C7810">
        <w:rPr>
          <w:rFonts w:ascii="Book Antiqua" w:hAnsi="Book Antiqua" w:cs="Times New Roman"/>
          <w:color w:val="000000"/>
          <w:sz w:val="24"/>
          <w:szCs w:val="24"/>
          <w:lang w:val="en-US"/>
        </w:rPr>
        <w:t xml:space="preserve"> therapeutic strategies for HER2</w:t>
      </w:r>
      <w:r w:rsidR="009918AB" w:rsidRPr="005C7810">
        <w:rPr>
          <w:rFonts w:ascii="Book Antiqua" w:hAnsi="Book Antiqua" w:cs="Times New Roman"/>
          <w:color w:val="000000"/>
          <w:sz w:val="24"/>
          <w:szCs w:val="24"/>
          <w:lang w:val="en-US"/>
        </w:rPr>
        <w:t>-</w:t>
      </w:r>
      <w:r w:rsidR="000C4E8F" w:rsidRPr="005C7810">
        <w:rPr>
          <w:rFonts w:ascii="Book Antiqua" w:hAnsi="Book Antiqua" w:cs="Times New Roman"/>
          <w:color w:val="000000"/>
          <w:sz w:val="24"/>
          <w:szCs w:val="24"/>
          <w:lang w:val="en-US"/>
        </w:rPr>
        <w:t>positive but trastuzumab</w:t>
      </w:r>
      <w:r w:rsidR="004E5F8A" w:rsidRPr="005C7810">
        <w:rPr>
          <w:rFonts w:ascii="Book Antiqua" w:hAnsi="Book Antiqua" w:cs="Times New Roman"/>
          <w:color w:val="000000"/>
          <w:sz w:val="24"/>
          <w:szCs w:val="24"/>
          <w:lang w:val="en-US"/>
        </w:rPr>
        <w:t>-</w:t>
      </w:r>
      <w:r w:rsidR="000C4E8F" w:rsidRPr="005C7810">
        <w:rPr>
          <w:rFonts w:ascii="Book Antiqua" w:hAnsi="Book Antiqua" w:cs="Times New Roman"/>
          <w:color w:val="000000"/>
          <w:sz w:val="24"/>
          <w:szCs w:val="24"/>
          <w:lang w:val="en-US"/>
        </w:rPr>
        <w:t>resistant patients</w:t>
      </w:r>
      <w:r w:rsidR="00C11DC4"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{"citationItems":[{"id":"ITEM-1","itemData":{"DOI":"10.1186/s40880-018-0344-6","ISSN":"2523-3548","author":[{"dropping-particle":"","family":"Shen","given":"Lin","non-dropping-particle":"","parse-names":false,"suffix":""}],"container-title":"Cancer Communications","id":"ITEM-1","issue":"1","issued":{"date-parts":[["2018"]]},"page":"3-5","publisher":"BioMed Central","title":"Liquid biopsy: a powerful tool to monitor trastuzumab resistance in HER2-positive metastatic gastric cancer","type":"article-journal","volume":"38"},"uris":["http://www.mendeley.com/documents/?uuid=85febb94-d9cc-43e8-afb3-fb9ec3cacb60","http://www.mendeley.com/documents/?uuid=bca12a46-7210-496e-8130-0715b692493a"]}],"mendeley":{"formattedCitation":"&lt;sup&gt;[199]&lt;/sup&gt;","plainTextFormattedCitation":"[199]","previouslyFormattedCitation":"&lt;sup&gt;[199]&lt;/sup&gt;"},"properties":{"noteIndex":0},"schema":"https://github.com/citation-style-language/schema/raw/master/csl-citation.json"}</w:instrText>
      </w:r>
      <w:r w:rsidR="00C11DC4"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[199]</w:t>
      </w:r>
      <w:r w:rsidR="00C11DC4" w:rsidRPr="005C7810">
        <w:rPr>
          <w:rFonts w:ascii="Book Antiqua" w:hAnsi="Book Antiqua" w:cs="Times New Roman"/>
          <w:color w:val="000000"/>
          <w:sz w:val="24"/>
          <w:szCs w:val="24"/>
          <w:lang w:val="en-US"/>
        </w:rPr>
        <w:fldChar w:fldCharType="end"/>
      </w:r>
      <w:r w:rsidR="000C4E8F" w:rsidRPr="005C7810">
        <w:rPr>
          <w:rFonts w:ascii="Book Antiqua" w:hAnsi="Book Antiqua" w:cs="Times New Roman"/>
          <w:color w:val="000000"/>
          <w:sz w:val="24"/>
          <w:szCs w:val="24"/>
          <w:lang w:val="en-US"/>
        </w:rPr>
        <w:t>.</w:t>
      </w:r>
      <w:r w:rsidR="003C0E99" w:rsidRPr="005C7810">
        <w:rPr>
          <w:rFonts w:ascii="Book Antiqua" w:hAnsi="Book Antiqua" w:cs="Times New Roman"/>
          <w:sz w:val="24"/>
          <w:szCs w:val="24"/>
          <w:lang w:val="en-US"/>
        </w:rPr>
        <w:t xml:space="preserve"> </w:t>
      </w:r>
      <w:r w:rsidR="001C2C8B" w:rsidRPr="005C7810">
        <w:rPr>
          <w:rFonts w:ascii="Book Antiqua" w:hAnsi="Book Antiqua" w:cs="Times New Roman"/>
          <w:sz w:val="24"/>
          <w:szCs w:val="24"/>
          <w:lang w:val="en-US"/>
        </w:rPr>
        <w:t>A phase III clinical study</w:t>
      </w:r>
      <w:r w:rsidR="003C0E99" w:rsidRPr="005C7810">
        <w:rPr>
          <w:rFonts w:ascii="Book Antiqua" w:hAnsi="Book Antiqua" w:cs="Times New Roman"/>
          <w:sz w:val="24"/>
          <w:szCs w:val="24"/>
          <w:lang w:val="en-US"/>
        </w:rPr>
        <w:t xml:space="preserve"> (NCT01178944)</w:t>
      </w:r>
      <w:r w:rsidR="001C2C8B" w:rsidRPr="005C7810">
        <w:rPr>
          <w:rFonts w:ascii="Book Antiqua" w:hAnsi="Book Antiqua" w:cs="Times New Roman"/>
          <w:sz w:val="24"/>
          <w:szCs w:val="24"/>
          <w:lang w:val="en-US"/>
        </w:rPr>
        <w:t xml:space="preserve"> was performed to determine if miR-215-5p levels could be predictive of the</w:t>
      </w:r>
      <w:r w:rsidR="009918AB" w:rsidRPr="005C7810">
        <w:rPr>
          <w:rFonts w:ascii="Book Antiqua" w:hAnsi="Book Antiqua" w:cs="Times New Roman"/>
          <w:sz w:val="24"/>
          <w:szCs w:val="24"/>
          <w:lang w:val="en-US"/>
        </w:rPr>
        <w:t xml:space="preserve"> response to</w:t>
      </w:r>
      <w:r w:rsidR="001C2C8B" w:rsidRPr="005C7810">
        <w:rPr>
          <w:rFonts w:ascii="Book Antiqua" w:hAnsi="Book Antiqua" w:cs="Times New Roman"/>
          <w:sz w:val="24"/>
          <w:szCs w:val="24"/>
          <w:lang w:val="en-US"/>
        </w:rPr>
        <w:t xml:space="preserve"> pralatrexate (a folate analog metabolic inhibitor) in association with oxaliplatin in patients with </w:t>
      </w:r>
      <w:r w:rsidR="00614F3A" w:rsidRPr="005C7810">
        <w:rPr>
          <w:rFonts w:ascii="Book Antiqua" w:hAnsi="Book Antiqua" w:cs="Times New Roman"/>
          <w:sz w:val="24"/>
          <w:szCs w:val="24"/>
          <w:lang w:val="en-US"/>
        </w:rPr>
        <w:t>non-resectable GC</w:t>
      </w:r>
      <w:r w:rsidR="00C11DC4"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{"citationItems":[{"id":"ITEM-1","itemData":{"author":[{"dropping-particle":"","family":"N.","given":"Khushalani","non-dropping-particle":"","parse-names":false,"suffix":""}],"container-title":"ClinicalTrials.gov [Internet]. Bethesda (MD): U.S. National Library of Medicine.","id":"ITEM-1","issued":{"date-parts":[["0"]]},"title":"Pralatrexate and Oxaliplatin in Treating Patients With Unresectable or Metastatic Esophageal, Stomach, or Gastroesophageal Junction Cancer.","type":"article-journal"},"uris":["http://www.mendeley.com/documents/?uuid=2de7bd7f-850b-44cc-b9ba-fd522be04971","http://www.mendeley.com/documents/?uuid=279ede65-ff0d-4b50-a61a-f548f1887633"]}],"mendeley":{"formattedCitation":"&lt;sup&gt;[200]&lt;/sup&gt;","plainTextFormattedCitation":"[200]","previouslyFormattedCitation":"&lt;sup&gt;[200]&lt;/sup&gt;"},"properties":{"noteIndex":0},"schema":"https://github.com/citation-style-language/schema/raw/master/csl-citation.json"}</w:instrText>
      </w:r>
      <w:r w:rsidR="00C11DC4"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[200]</w:t>
      </w:r>
      <w:r w:rsidR="00C11DC4" w:rsidRPr="005C7810">
        <w:rPr>
          <w:rFonts w:ascii="Book Antiqua" w:hAnsi="Book Antiqua" w:cs="Times New Roman"/>
          <w:sz w:val="24"/>
          <w:szCs w:val="24"/>
          <w:lang w:val="en-US"/>
        </w:rPr>
        <w:fldChar w:fldCharType="end"/>
      </w:r>
      <w:r w:rsidR="001028CA" w:rsidRPr="005C7810">
        <w:rPr>
          <w:rFonts w:ascii="Book Antiqua" w:hAnsi="Book Antiqua" w:cs="Times New Roman"/>
          <w:sz w:val="24"/>
          <w:szCs w:val="24"/>
          <w:lang w:val="en-US"/>
        </w:rPr>
        <w:t>.</w:t>
      </w:r>
      <w:r w:rsidR="00614F3A" w:rsidRPr="005C7810">
        <w:rPr>
          <w:rFonts w:ascii="Book Antiqua" w:hAnsi="Book Antiqua" w:cs="Times New Roman"/>
          <w:sz w:val="24"/>
          <w:szCs w:val="24"/>
          <w:lang w:val="en-US"/>
        </w:rPr>
        <w:t xml:space="preserve"> </w:t>
      </w:r>
      <w:r w:rsidR="001C2C8B" w:rsidRPr="005C7810">
        <w:rPr>
          <w:rFonts w:ascii="Book Antiqua" w:hAnsi="Book Antiqua" w:cs="Times New Roman"/>
          <w:sz w:val="24"/>
          <w:szCs w:val="24"/>
          <w:lang w:val="en-US"/>
        </w:rPr>
        <w:t xml:space="preserve">Another study </w:t>
      </w:r>
      <w:r w:rsidR="003C0E99" w:rsidRPr="005C7810">
        <w:rPr>
          <w:rFonts w:ascii="Book Antiqua" w:hAnsi="Book Antiqua" w:cs="Times New Roman"/>
          <w:sz w:val="24"/>
          <w:szCs w:val="24"/>
          <w:lang w:val="en-US"/>
        </w:rPr>
        <w:t xml:space="preserve">(NCT03253107) </w:t>
      </w:r>
      <w:r w:rsidR="001C2C8B" w:rsidRPr="005C7810">
        <w:rPr>
          <w:rFonts w:ascii="Book Antiqua" w:hAnsi="Book Antiqua" w:cs="Times New Roman"/>
          <w:sz w:val="24"/>
          <w:szCs w:val="24"/>
          <w:lang w:val="en-US"/>
        </w:rPr>
        <w:t xml:space="preserve">was </w:t>
      </w:r>
      <w:r w:rsidR="009918AB" w:rsidRPr="005C7810">
        <w:rPr>
          <w:rFonts w:ascii="Book Antiqua" w:hAnsi="Book Antiqua" w:cs="Times New Roman"/>
          <w:sz w:val="24"/>
          <w:szCs w:val="24"/>
          <w:lang w:val="en-US"/>
        </w:rPr>
        <w:t>conducted</w:t>
      </w:r>
      <w:r w:rsidR="001C2C8B" w:rsidRPr="005C7810">
        <w:rPr>
          <w:rFonts w:ascii="Book Antiqua" w:hAnsi="Book Antiqua" w:cs="Times New Roman"/>
          <w:sz w:val="24"/>
          <w:szCs w:val="24"/>
          <w:lang w:val="en-US"/>
        </w:rPr>
        <w:t xml:space="preserve"> to determine if miRNA levels may be </w:t>
      </w:r>
      <w:r w:rsidR="009918AB" w:rsidRPr="005C7810">
        <w:rPr>
          <w:rFonts w:ascii="Book Antiqua" w:hAnsi="Book Antiqua" w:cs="Times New Roman"/>
          <w:sz w:val="24"/>
          <w:szCs w:val="24"/>
          <w:lang w:val="en-US"/>
        </w:rPr>
        <w:t xml:space="preserve">predictive </w:t>
      </w:r>
      <w:r w:rsidR="001C2C8B" w:rsidRPr="005C7810">
        <w:rPr>
          <w:rFonts w:ascii="Book Antiqua" w:hAnsi="Book Antiqua" w:cs="Times New Roman"/>
          <w:sz w:val="24"/>
          <w:szCs w:val="24"/>
          <w:lang w:val="en-US"/>
        </w:rPr>
        <w:t xml:space="preserve">biological markers </w:t>
      </w:r>
      <w:r w:rsidR="009918AB" w:rsidRPr="005C7810">
        <w:rPr>
          <w:rFonts w:ascii="Book Antiqua" w:hAnsi="Book Antiqua" w:cs="Times New Roman"/>
          <w:sz w:val="24"/>
          <w:szCs w:val="24"/>
          <w:lang w:val="en-US"/>
        </w:rPr>
        <w:t>for</w:t>
      </w:r>
      <w:r w:rsidR="001C2C8B" w:rsidRPr="005C7810">
        <w:rPr>
          <w:rFonts w:ascii="Book Antiqua" w:hAnsi="Book Antiqua" w:cs="Times New Roman"/>
          <w:sz w:val="24"/>
          <w:szCs w:val="24"/>
          <w:lang w:val="en-US"/>
        </w:rPr>
        <w:t xml:space="preserve"> the response to chemotherapy</w:t>
      </w:r>
      <w:r w:rsidR="00C11DC4" w:rsidRPr="005C7810">
        <w:rPr>
          <w:rFonts w:ascii="Book Antiqua" w:hAnsi="Book Antiqua" w:cs="Times New Roman"/>
          <w:sz w:val="24"/>
          <w:szCs w:val="24"/>
          <w:lang w:val="en-US"/>
        </w:rPr>
        <w:fldChar w:fldCharType="begin" w:fldLock="1"/>
      </w:r>
      <w:r w:rsidR="004B52C7" w:rsidRPr="005C7810">
        <w:rPr>
          <w:rFonts w:ascii="Book Antiqua" w:hAnsi="Book Antiqua" w:cs="Times New Roman"/>
          <w:sz w:val="24"/>
          <w:szCs w:val="24"/>
          <w:lang w:val="en-US"/>
        </w:rPr>
        <w:instrText>ADDIN CSL_CITATION {"citationItems":[{"id":"ITEM-1","itemData":{"author":[{"dropping-particle":"","family":"SY.","given":"Nam","non-dropping-particle":"","parse-names":false,"suffix":""}],"container-title":"ClinicalTrials.gov [Internet]. Bethesda (MD): U.S. National Library of Medicine.","id":"ITEM-1","issued":{"date-parts":[["0"]]},"title":"Predicting Biomarker of Gastric Cancer Chemotherapy Response.","type":"article-journal"},"uris":["http://www.mendeley.com/documents/?uuid=4d3f33f7-6fbd-4407-b6fe-7e307e026d69","http://www.mendeley.com/documents/?uuid=0d4b357d-e5db-457d-b3c6-9721e2675648"]}],"mendeley":{"formattedCitation":"&lt;sup&gt;[201]&lt;/sup&gt;","plainTextFormattedCitation":"[201]","previouslyFormattedCitation":"&lt;sup&gt;[201]&lt;/sup&gt;"},"properties":{"noteIndex":0},"schema":"https://github.com/citation-style-language/schema/raw/master/csl-citation.json"}</w:instrText>
      </w:r>
      <w:r w:rsidR="00C11DC4"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[201]</w:t>
      </w:r>
      <w:r w:rsidR="00C11DC4" w:rsidRPr="005C7810">
        <w:rPr>
          <w:rFonts w:ascii="Book Antiqua" w:hAnsi="Book Antiqua" w:cs="Times New Roman"/>
          <w:sz w:val="24"/>
          <w:szCs w:val="24"/>
          <w:lang w:val="en-US"/>
        </w:rPr>
        <w:fldChar w:fldCharType="end"/>
      </w:r>
      <w:r w:rsidR="001C2C8B" w:rsidRPr="005C7810">
        <w:rPr>
          <w:rFonts w:ascii="Book Antiqua" w:hAnsi="Book Antiqua" w:cs="Times New Roman"/>
          <w:sz w:val="24"/>
          <w:szCs w:val="24"/>
          <w:lang w:val="en-US"/>
        </w:rPr>
        <w:t>.</w:t>
      </w:r>
      <w:r w:rsidR="00AA6825" w:rsidRPr="005C7810">
        <w:rPr>
          <w:rFonts w:ascii="Book Antiqua" w:hAnsi="Book Antiqua" w:cs="Times New Roman"/>
          <w:sz w:val="24"/>
          <w:szCs w:val="24"/>
          <w:lang w:val="en-US"/>
        </w:rPr>
        <w:t xml:space="preserve"> The results of these trials are not yet known. </w:t>
      </w:r>
      <w:r w:rsidR="00E50585" w:rsidRPr="005C7810">
        <w:rPr>
          <w:rFonts w:ascii="Book Antiqua" w:hAnsi="Book Antiqua" w:cs="Times New Roman"/>
          <w:color w:val="000000"/>
          <w:sz w:val="24"/>
          <w:szCs w:val="24"/>
          <w:lang w:val="en-US"/>
        </w:rPr>
        <w:t xml:space="preserve">A study </w:t>
      </w:r>
      <w:r w:rsidR="003C0E99" w:rsidRPr="005C7810">
        <w:rPr>
          <w:rFonts w:ascii="Book Antiqua" w:hAnsi="Book Antiqua" w:cs="Times New Roman"/>
          <w:color w:val="000000"/>
          <w:sz w:val="24"/>
          <w:szCs w:val="24"/>
          <w:lang w:val="en-US"/>
        </w:rPr>
        <w:t xml:space="preserve">(NCT03057171) </w:t>
      </w:r>
      <w:r w:rsidR="00E50585" w:rsidRPr="005C7810">
        <w:rPr>
          <w:rFonts w:ascii="Book Antiqua" w:hAnsi="Book Antiqua" w:cs="Times New Roman"/>
          <w:color w:val="000000"/>
          <w:sz w:val="24"/>
          <w:szCs w:val="24"/>
          <w:lang w:val="en-US"/>
        </w:rPr>
        <w:t xml:space="preserve">is ongoing on the control of </w:t>
      </w:r>
      <w:r w:rsidR="00E50585" w:rsidRPr="005C7810">
        <w:rPr>
          <w:rFonts w:ascii="Book Antiqua" w:hAnsi="Book Antiqua" w:cs="Times New Roman"/>
          <w:i/>
          <w:color w:val="000000"/>
          <w:sz w:val="24"/>
          <w:szCs w:val="24"/>
          <w:lang w:val="en-US"/>
        </w:rPr>
        <w:t>H. pylori</w:t>
      </w:r>
      <w:r w:rsidR="00E50585" w:rsidRPr="005C7810">
        <w:rPr>
          <w:rFonts w:ascii="Book Antiqua" w:hAnsi="Book Antiqua" w:cs="Times New Roman"/>
          <w:color w:val="000000"/>
          <w:sz w:val="24"/>
          <w:szCs w:val="24"/>
          <w:lang w:val="en-US"/>
        </w:rPr>
        <w:t xml:space="preserve"> on the expression of lncRNA in gastrointestinal diseases including GC</w:t>
      </w:r>
      <w:r w:rsidR="00C11DC4" w:rsidRPr="005C7810">
        <w:rPr>
          <w:rFonts w:ascii="Book Antiqua" w:hAnsi="Book Antiqua" w:cs="Times New Roman"/>
          <w:color w:val="000000"/>
          <w:sz w:val="24"/>
          <w:szCs w:val="24"/>
          <w:lang w:val="en-US"/>
        </w:rPr>
        <w:fldChar w:fldCharType="begin" w:fldLock="1"/>
      </w:r>
      <w:r w:rsidR="004B52C7" w:rsidRPr="005C7810">
        <w:rPr>
          <w:rFonts w:ascii="Book Antiqua" w:hAnsi="Book Antiqua" w:cs="Times New Roman"/>
          <w:color w:val="000000"/>
          <w:sz w:val="24"/>
          <w:szCs w:val="24"/>
          <w:lang w:val="en-US"/>
        </w:rPr>
        <w:instrText>ADDIN CSL_CITATION {"citationItems":[{"id":"ITEM-1","itemData":{"author":[{"dropping-particle":"","family":"SK.","given":"Lee","non-dropping-particle":"","parse-names":false,"suffix":""}],"container-title":"ClinicalTrials.gov [Internet]. Bethesda (MD): U.S. National Library of Medicine.","id":"ITEM-1","issued":{"date-parts":[["0"]]},"title":"A Study on the Gastrointestinal Disease and Helicobacter Pylori Controlled Long Non-coding RNA.","type":"article-journal"},"uris":["http://www.mendeley.com/documents/?uuid=51374d14-e754-4657-8359-30d04957deae","http://www.mendeley.com/documents/?uuid=5fa2199c-fe72-48b4-8110-56ebea80b2d6"]}],"mendeley":{"formattedCitation":"&lt;sup&gt;[202]&lt;/sup&gt;","plainTextFormattedCitation":"[202]","previouslyFormattedCitation":"&lt;sup&gt;[202]&lt;/sup&gt;"},"properties":{"noteIndex":0},"schema":"https://github.com/citation-style-language/schema/raw/master/csl-citation.json"}</w:instrText>
      </w:r>
      <w:r w:rsidR="00C11DC4" w:rsidRPr="005C7810">
        <w:rPr>
          <w:rFonts w:ascii="Book Antiqua" w:hAnsi="Book Antiqua" w:cs="Times New Roman"/>
          <w:color w:val="000000"/>
          <w:sz w:val="24"/>
          <w:szCs w:val="24"/>
          <w:lang w:val="en-US"/>
        </w:rPr>
        <w:fldChar w:fldCharType="separate"/>
      </w:r>
      <w:r w:rsidR="00454589" w:rsidRPr="005C7810">
        <w:rPr>
          <w:rFonts w:ascii="Book Antiqua" w:hAnsi="Book Antiqua" w:cs="Times New Roman"/>
          <w:color w:val="000000"/>
          <w:sz w:val="24"/>
          <w:szCs w:val="24"/>
          <w:vertAlign w:val="superscript"/>
          <w:lang w:val="en-US"/>
        </w:rPr>
        <w:t>[202</w:t>
      </w:r>
      <w:r w:rsidR="0075379B" w:rsidRPr="005C7810">
        <w:rPr>
          <w:rFonts w:ascii="Book Antiqua" w:hAnsi="Book Antiqua" w:cs="Times New Roman"/>
          <w:color w:val="000000"/>
          <w:sz w:val="24"/>
          <w:szCs w:val="24"/>
          <w:vertAlign w:val="superscript"/>
          <w:lang w:val="en-US"/>
        </w:rPr>
        <w:t>,203</w:t>
      </w:r>
      <w:r w:rsidR="00454589" w:rsidRPr="005C7810">
        <w:rPr>
          <w:rFonts w:ascii="Book Antiqua" w:hAnsi="Book Antiqua" w:cs="Times New Roman"/>
          <w:color w:val="000000"/>
          <w:sz w:val="24"/>
          <w:szCs w:val="24"/>
          <w:vertAlign w:val="superscript"/>
          <w:lang w:val="en-US"/>
        </w:rPr>
        <w:t>]</w:t>
      </w:r>
      <w:r w:rsidR="00C11DC4" w:rsidRPr="005C7810">
        <w:rPr>
          <w:rFonts w:ascii="Book Antiqua" w:hAnsi="Book Antiqua" w:cs="Times New Roman"/>
          <w:color w:val="000000"/>
          <w:sz w:val="24"/>
          <w:szCs w:val="24"/>
          <w:lang w:val="en-US"/>
        </w:rPr>
        <w:fldChar w:fldCharType="end"/>
      </w:r>
      <w:r w:rsidR="005622F5" w:rsidRPr="005C7810">
        <w:rPr>
          <w:rFonts w:ascii="Book Antiqua" w:hAnsi="Book Antiqua" w:cs="Times New Roman"/>
          <w:color w:val="000000"/>
          <w:sz w:val="24"/>
          <w:szCs w:val="24"/>
          <w:lang w:val="en-US"/>
        </w:rPr>
        <w:t>.</w:t>
      </w:r>
    </w:p>
    <w:p w:rsidR="00A81608" w:rsidRPr="005C7810" w:rsidRDefault="00A81608" w:rsidP="00CD380F">
      <w:pPr>
        <w:shd w:val="clear" w:color="auto" w:fill="FFFFFF"/>
        <w:snapToGrid w:val="0"/>
        <w:spacing w:after="0" w:line="360" w:lineRule="auto"/>
        <w:jc w:val="both"/>
        <w:rPr>
          <w:rFonts w:ascii="Book Antiqua" w:hAnsi="Book Antiqua" w:cs="Times New Roman"/>
          <w:b/>
          <w:sz w:val="24"/>
          <w:szCs w:val="24"/>
          <w:lang w:val="en-US"/>
        </w:rPr>
      </w:pPr>
    </w:p>
    <w:p w:rsidR="00B41150" w:rsidRPr="005C7810" w:rsidRDefault="00665CAA" w:rsidP="00CD380F">
      <w:pPr>
        <w:shd w:val="clear" w:color="auto" w:fill="FFFFFF"/>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b/>
          <w:sz w:val="24"/>
          <w:szCs w:val="24"/>
          <w:lang w:val="en-US"/>
        </w:rPr>
        <w:t>CONCLUSION</w:t>
      </w:r>
    </w:p>
    <w:p w:rsidR="00C509C4" w:rsidRPr="005C7810" w:rsidRDefault="00B41150" w:rsidP="00CD380F">
      <w:pPr>
        <w:spacing w:after="0" w:line="360" w:lineRule="auto"/>
        <w:jc w:val="both"/>
        <w:rPr>
          <w:rFonts w:ascii="Book Antiqua" w:hAnsi="Book Antiqua" w:cs="Times New Roman"/>
          <w:sz w:val="24"/>
          <w:szCs w:val="24"/>
          <w:lang w:val="en-US"/>
        </w:rPr>
      </w:pPr>
      <w:r w:rsidRPr="005C7810">
        <w:rPr>
          <w:rFonts w:ascii="Book Antiqua" w:hAnsi="Book Antiqua" w:cs="Times New Roman"/>
          <w:sz w:val="24"/>
          <w:szCs w:val="24"/>
          <w:lang w:val="en-US"/>
        </w:rPr>
        <w:t>GC is the f</w:t>
      </w:r>
      <w:r w:rsidR="00DA6E1B" w:rsidRPr="005C7810">
        <w:rPr>
          <w:rFonts w:ascii="Book Antiqua" w:hAnsi="Book Antiqua" w:cs="Times New Roman"/>
          <w:sz w:val="24"/>
          <w:szCs w:val="24"/>
          <w:lang w:val="en-US"/>
        </w:rPr>
        <w:t>if</w:t>
      </w:r>
      <w:r w:rsidRPr="005C7810">
        <w:rPr>
          <w:rFonts w:ascii="Book Antiqua" w:hAnsi="Book Antiqua" w:cs="Times New Roman"/>
          <w:sz w:val="24"/>
          <w:szCs w:val="24"/>
          <w:lang w:val="en-US"/>
        </w:rPr>
        <w:t>th most malignant tumor world</w:t>
      </w:r>
      <w:r w:rsidR="003615DF" w:rsidRPr="005C7810">
        <w:rPr>
          <w:rFonts w:ascii="Book Antiqua" w:hAnsi="Book Antiqua" w:cs="Times New Roman"/>
          <w:sz w:val="24"/>
          <w:szCs w:val="24"/>
          <w:lang w:val="en-US"/>
        </w:rPr>
        <w:t>wide</w:t>
      </w:r>
      <w:r w:rsidRPr="005C7810">
        <w:rPr>
          <w:rFonts w:ascii="Book Antiqua" w:hAnsi="Book Antiqua" w:cs="Times New Roman"/>
          <w:sz w:val="24"/>
          <w:szCs w:val="24"/>
          <w:lang w:val="en-US"/>
        </w:rPr>
        <w:t xml:space="preserve"> and the </w:t>
      </w:r>
      <w:r w:rsidR="00DA6E1B" w:rsidRPr="005C7810">
        <w:rPr>
          <w:rFonts w:ascii="Book Antiqua" w:hAnsi="Book Antiqua" w:cs="Times New Roman"/>
          <w:sz w:val="24"/>
          <w:szCs w:val="24"/>
          <w:lang w:val="en-US"/>
        </w:rPr>
        <w:t>thir</w:t>
      </w:r>
      <w:r w:rsidRPr="005C7810">
        <w:rPr>
          <w:rFonts w:ascii="Book Antiqua" w:hAnsi="Book Antiqua" w:cs="Times New Roman"/>
          <w:sz w:val="24"/>
          <w:szCs w:val="24"/>
          <w:lang w:val="en-US"/>
        </w:rPr>
        <w:t xml:space="preserve">d leading cause of </w:t>
      </w:r>
      <w:r w:rsidR="003615DF" w:rsidRPr="005C7810">
        <w:rPr>
          <w:rFonts w:ascii="Book Antiqua" w:hAnsi="Book Antiqua" w:cs="Times New Roman"/>
          <w:sz w:val="24"/>
          <w:szCs w:val="24"/>
          <w:lang w:val="en-US"/>
        </w:rPr>
        <w:t xml:space="preserve">cancer-related </w:t>
      </w:r>
      <w:r w:rsidRPr="005C7810">
        <w:rPr>
          <w:rFonts w:ascii="Book Antiqua" w:hAnsi="Book Antiqua" w:cs="Times New Roman"/>
          <w:sz w:val="24"/>
          <w:szCs w:val="24"/>
          <w:lang w:val="en-US"/>
        </w:rPr>
        <w:t>death</w:t>
      </w:r>
      <w:r w:rsidR="003615DF" w:rsidRPr="005C7810">
        <w:rPr>
          <w:rFonts w:ascii="Book Antiqua" w:hAnsi="Book Antiqua" w:cs="Times New Roman"/>
          <w:sz w:val="24"/>
          <w:szCs w:val="24"/>
          <w:lang w:val="en-US"/>
        </w:rPr>
        <w:t>s</w:t>
      </w:r>
      <w:r w:rsidR="0000024E" w:rsidRPr="005C7810">
        <w:rPr>
          <w:rFonts w:ascii="Book Antiqua" w:hAnsi="Book Antiqua" w:cs="Times New Roman"/>
          <w:sz w:val="24"/>
          <w:szCs w:val="24"/>
          <w:vertAlign w:val="superscript"/>
          <w:lang w:val="en-US"/>
        </w:rPr>
        <w:fldChar w:fldCharType="begin" w:fldLock="1"/>
      </w:r>
      <w:r w:rsidR="004B52C7" w:rsidRPr="005C7810">
        <w:rPr>
          <w:rFonts w:ascii="Book Antiqua" w:hAnsi="Book Antiqua" w:cs="Times New Roman"/>
          <w:sz w:val="24"/>
          <w:szCs w:val="24"/>
          <w:vertAlign w:val="superscript"/>
          <w:lang w:val="en-US"/>
        </w:rPr>
        <w:instrText>ADDIN CSL_CITATION {"citationItems":[{"id":"ITEM-1","itemData":{"DOI":"10.3322/caac.20107.Available","ISBN":"0007-9235 (Print)\\r0007-9235 (Linking)","ISSN":"01853325","PMID":"10200776","abstract":"The global burden of cancer continues to increase largely because of the aging and growth of the world population alongside an increasing adoption of cancer-causing behaviors, particularly smoking, in economically developing countries. Based on the GLOBOCAN 2008 estimates, about 12.7 million cancer cases and 7.6 million cancer deaths are estimated to have occurred in 2008; of these, 56% of the cases and 64% of the deaths occurred in the economically developing world. Breast cancer is the most frequently diagnosed cancer and the leading cause of cancer death among females, accounting for 23% of the total cancer cases and 14% of the cancer deaths. Lung cancer is the leading cancer site in males, comprising 17% of the total new cancer cases and 23% of the total cancer deaths. Breast cancer is now also the leading cause of cancer death among females in economically developing countries, a shift from the previous decade during which the most common cause of cancer death was cervical cancer. Further, the mortality burden for lung cancer among females in developing countries is as high as the burden for cervical cancer, with each accounting for 11% of the total female cancer deaths. Although overall cancer incidence rates in the developing world are half those seen in the developed world in both sexes, the overall cancer mortality rates are generally similar. Cancer survival tends to be poorer in developing countries, most likely because of a combination of a late stage at diagnosis and limited access to timely and standard treatment. A substantial proportion of the worldwide burden of cancer could be prevented through the application of existing cancer control knowledge and by implementing programs for tobacco control, vaccination (for liver and cervical cancers), and early detection and treatment, as well as public health campaigns promoting physical activity and a healthier dietary intake. Clinicians, public health professionals, and policy makers can play an active role in accelerating the application of such interventions globally. CA Cancer J Clin 2011;61:69–90. VC 2011 American Cancer Society, Inc.","author":[{"dropping-particle":"","family":"Ahmedin Jemal, DVM, PhD1; Freddie Bray, PhD2; Melissa M. Center, MPH3; Jacques Ferlay","given":"ME4;","non-dropping-particle":"","parse-names":false,"suffix":""},{"dropping-particle":"","family":"Elizabeth Ward, PhD5; David Forman","given":"PhD6","non-dropping-particle":"","parse-names":false,"suffix":""}],"container-title":"Ca Cancer J Clin","id":"ITEM-1","issue":"1","issued":{"date-parts":[["2011"]]},"page":"69-90","title":"Global cancer statistics. CA Cancer J Clin. 2011;","type":"article-journal","volume":"61"},"uris":["http://www.mendeley.com/documents/?uuid=6c8f6d41-0064-4125-880c-b6b3bd12cfc3","http://www.mendeley.com/documents/?uuid=b3d257a5-f006-428e-901b-04fe81ce90d6"]}],"mendeley":{"formattedCitation":"&lt;sup&gt;[203]&lt;/sup&gt;","plainTextFormattedCitation":"[203]","previouslyFormattedCitation":"&lt;sup&gt;[203]&lt;/sup&gt;"},"properties":{"noteIndex":0},"schema":"https://github.com/citation-style-language/schema/raw/master/csl-citation.json"}</w:instrText>
      </w:r>
      <w:r w:rsidR="0000024E" w:rsidRPr="005C7810">
        <w:rPr>
          <w:rFonts w:ascii="Book Antiqua" w:hAnsi="Book Antiqua" w:cs="Times New Roman"/>
          <w:sz w:val="24"/>
          <w:szCs w:val="24"/>
          <w:vertAlign w:val="superscript"/>
          <w:lang w:val="en-US"/>
        </w:rPr>
        <w:fldChar w:fldCharType="separate"/>
      </w:r>
      <w:r w:rsidR="00454589" w:rsidRPr="005C7810">
        <w:rPr>
          <w:rFonts w:ascii="Book Antiqua" w:hAnsi="Book Antiqua" w:cs="Times New Roman"/>
          <w:sz w:val="24"/>
          <w:szCs w:val="24"/>
          <w:vertAlign w:val="superscript"/>
          <w:lang w:val="en-US"/>
        </w:rPr>
        <w:t>[</w:t>
      </w:r>
      <w:r w:rsidR="00EB5755" w:rsidRPr="005C7810">
        <w:rPr>
          <w:rFonts w:ascii="Book Antiqua" w:hAnsi="Book Antiqua" w:cs="Times New Roman"/>
          <w:sz w:val="24"/>
          <w:szCs w:val="24"/>
          <w:vertAlign w:val="superscript"/>
          <w:lang w:val="en-US"/>
        </w:rPr>
        <w:t>7</w:t>
      </w:r>
      <w:r w:rsidR="00454589" w:rsidRPr="005C7810">
        <w:rPr>
          <w:rFonts w:ascii="Book Antiqua" w:hAnsi="Book Antiqua" w:cs="Times New Roman"/>
          <w:sz w:val="24"/>
          <w:szCs w:val="24"/>
          <w:vertAlign w:val="superscript"/>
          <w:lang w:val="en-US"/>
        </w:rPr>
        <w:t>]</w:t>
      </w:r>
      <w:r w:rsidR="0000024E" w:rsidRPr="005C7810">
        <w:rPr>
          <w:rFonts w:ascii="Book Antiqua" w:hAnsi="Book Antiqua" w:cs="Times New Roman"/>
          <w:sz w:val="24"/>
          <w:szCs w:val="24"/>
          <w:vertAlign w:val="superscript"/>
          <w:lang w:val="en-US"/>
        </w:rPr>
        <w:fldChar w:fldCharType="end"/>
      </w:r>
      <w:r w:rsidRPr="005C7810">
        <w:rPr>
          <w:rFonts w:ascii="Book Antiqua" w:eastAsia="Times New Roman" w:hAnsi="Book Antiqua" w:cs="Times New Roman"/>
          <w:sz w:val="24"/>
          <w:szCs w:val="24"/>
          <w:lang w:val="en-US"/>
        </w:rPr>
        <w:t xml:space="preserve">. </w:t>
      </w:r>
      <w:r w:rsidRPr="005C7810">
        <w:rPr>
          <w:rFonts w:ascii="Book Antiqua" w:hAnsi="Book Antiqua" w:cs="Times New Roman"/>
          <w:sz w:val="24"/>
          <w:szCs w:val="24"/>
          <w:lang w:val="en-US"/>
        </w:rPr>
        <w:t>Unfortunately, the disease becomes symptomatic in the advanced stage.</w:t>
      </w:r>
      <w:r w:rsidR="005E6B89" w:rsidRPr="005C7810">
        <w:rPr>
          <w:rFonts w:ascii="Book Antiqua" w:hAnsi="Book Antiqua" w:cs="Times New Roman"/>
          <w:sz w:val="24"/>
          <w:szCs w:val="24"/>
          <w:lang w:val="en-US"/>
        </w:rPr>
        <w:t xml:space="preserve"> GC is a complex disease whose onset is linked to a series of environmental and genetic factors</w:t>
      </w:r>
      <w:r w:rsidR="003F607A" w:rsidRPr="005C7810">
        <w:rPr>
          <w:rFonts w:ascii="Book Antiqua" w:hAnsi="Book Antiqua" w:cs="Times New Roman"/>
          <w:sz w:val="24"/>
          <w:szCs w:val="24"/>
          <w:lang w:val="en-US"/>
        </w:rPr>
        <w:fldChar w:fldCharType="begin" w:fldLock="1"/>
      </w:r>
      <w:r w:rsidR="00D32FF3" w:rsidRPr="005C7810">
        <w:rPr>
          <w:rFonts w:ascii="Book Antiqua" w:hAnsi="Book Antiqua" w:cs="Times New Roman"/>
          <w:sz w:val="24"/>
          <w:szCs w:val="24"/>
          <w:lang w:val="en-US"/>
        </w:rPr>
        <w:instrText>ADDIN CSL_CITATION {"citationItems":[{"id":"ITEM-1","itemData":{"author":[{"dropping-particle":"","family":"Manuel Amieva","given":"Richard M. Peek Jr","non-dropping-particle":"","parse-names":false,"suffix":""}],"container-title":"Gastroenterology","id":"ITEM-1","issue":"1","issued":{"date-parts":[["2016"]]},"page":"64-78","title":"Pathobiology of Helicobacter pylori-induced Gastric Cancer","type":"article-journal","volume":"150"},"uris":["http://www.mendeley.com/documents/?uuid=2e3b5046-4dfe-4475-84da-d0af51c66e1a","http://www.mendeley.com/documents/?uuid=883575be-c0f0-4c93-8de1-c562edb1c43e"]},{"id":"ITEM-2","itemData":{"DOI":"10.1016/j.gtc.2013.01.002","ISBN":"9781455770915","ISSN":"08898553","PMID":"23639637","abstract":"This review provides a state of the art description of gastric cancer etiology, the infectious agent, host factors, the precancerous cascade, clinical aspects, and prevention strategies. The biology of Helicobacter pylori, the primary causative agent, is discussed as well as the environmental factors that may modulate its effects. © 2013 Elsevier Inc.","author":[{"dropping-particle":"","family":"Correa","given":"Pelayo","non-dropping-particle":"","parse-names":false,"suffix":""}],"container-title":"Gastroenterology Clinics of North America","id":"ITEM-2","issue":"2","issued":{"date-parts":[["2013"]]},"page":"211-217","title":"Gastric Cancer. Overview.","type":"article-journal","volume":"42"},"uris":["http://www.mendeley.com/documents/?uuid=b6d4c5b1-f6ea-4ce1-8e1b-e758079ac342","http://www.mendeley.com/documents/?uuid=fd058729-255b-4b98-9483-8f40acfbc802","http://www.mendeley.com/documents/?uuid=9835901d-de20-4572-8a00-3838dd3a7ada"]}],"mendeley":{"formattedCitation":"&lt;sup&gt;[5,6]&lt;/sup&gt;","manualFormatting":"[1–2]","plainTextFormattedCitation":"[5,6]","previouslyFormattedCitation":"&lt;sup&gt;[5,6]&lt;/sup&gt;"},"properties":{"noteIndex":0},"schema":"https://github.com/citation-style-language/schema/raw/master/csl-citation.json"}</w:instrText>
      </w:r>
      <w:r w:rsidR="003F607A" w:rsidRPr="005C7810">
        <w:rPr>
          <w:rFonts w:ascii="Book Antiqua" w:hAnsi="Book Antiqua" w:cs="Times New Roman"/>
          <w:sz w:val="24"/>
          <w:szCs w:val="24"/>
          <w:lang w:val="en-US"/>
        </w:rPr>
        <w:fldChar w:fldCharType="separate"/>
      </w:r>
      <w:r w:rsidR="0000024E" w:rsidRPr="005C7810">
        <w:rPr>
          <w:rFonts w:ascii="Book Antiqua" w:hAnsi="Book Antiqua" w:cs="Times New Roman"/>
          <w:sz w:val="24"/>
          <w:szCs w:val="24"/>
          <w:vertAlign w:val="superscript"/>
          <w:lang w:val="en-US"/>
        </w:rPr>
        <w:t>[1</w:t>
      </w:r>
      <w:r w:rsidR="003615DF" w:rsidRPr="005C7810">
        <w:rPr>
          <w:rFonts w:ascii="Book Antiqua" w:hAnsi="Book Antiqua" w:cs="Times New Roman"/>
          <w:sz w:val="24"/>
          <w:szCs w:val="24"/>
          <w:vertAlign w:val="superscript"/>
          <w:lang w:val="en-US"/>
        </w:rPr>
        <w:t>–</w:t>
      </w:r>
      <w:r w:rsidR="00EB5755" w:rsidRPr="005C7810">
        <w:rPr>
          <w:rFonts w:ascii="Book Antiqua" w:hAnsi="Book Antiqua" w:cs="Times New Roman"/>
          <w:sz w:val="24"/>
          <w:szCs w:val="24"/>
          <w:vertAlign w:val="superscript"/>
          <w:lang w:val="en-US"/>
        </w:rPr>
        <w:t>6</w:t>
      </w:r>
      <w:r w:rsidR="0000024E" w:rsidRPr="005C7810">
        <w:rPr>
          <w:rFonts w:ascii="Book Antiqua" w:hAnsi="Book Antiqua" w:cs="Times New Roman"/>
          <w:sz w:val="24"/>
          <w:szCs w:val="24"/>
          <w:vertAlign w:val="superscript"/>
          <w:lang w:val="en-US"/>
        </w:rPr>
        <w:t>]</w:t>
      </w:r>
      <w:r w:rsidR="003F607A" w:rsidRPr="005C7810">
        <w:rPr>
          <w:rFonts w:ascii="Book Antiqua" w:hAnsi="Book Antiqua" w:cs="Times New Roman"/>
          <w:sz w:val="24"/>
          <w:szCs w:val="24"/>
          <w:lang w:val="en-US"/>
        </w:rPr>
        <w:fldChar w:fldCharType="end"/>
      </w:r>
      <w:r w:rsidR="005E6B89" w:rsidRPr="005C7810">
        <w:rPr>
          <w:rFonts w:ascii="Book Antiqua" w:hAnsi="Book Antiqua" w:cs="Times New Roman"/>
          <w:sz w:val="24"/>
          <w:szCs w:val="24"/>
          <w:lang w:val="en-US"/>
        </w:rPr>
        <w:t xml:space="preserve">. </w:t>
      </w:r>
      <w:r w:rsidR="003615DF" w:rsidRPr="005C7810">
        <w:rPr>
          <w:rFonts w:ascii="Book Antiqua" w:hAnsi="Book Antiqua" w:cs="Times New Roman"/>
          <w:sz w:val="24"/>
          <w:szCs w:val="24"/>
          <w:lang w:val="en-US"/>
        </w:rPr>
        <w:t>D</w:t>
      </w:r>
      <w:r w:rsidR="005E6B89" w:rsidRPr="005C7810">
        <w:rPr>
          <w:rFonts w:ascii="Book Antiqua" w:hAnsi="Book Antiqua" w:cs="Times New Roman"/>
          <w:sz w:val="24"/>
          <w:szCs w:val="24"/>
          <w:lang w:val="en-US"/>
        </w:rPr>
        <w:t>espite the increasing knowledge and progress in drug development, due to late diagnosis and extreme intra</w:t>
      </w:r>
      <w:r w:rsidR="003615DF" w:rsidRPr="005C7810">
        <w:rPr>
          <w:rFonts w:ascii="Book Antiqua" w:hAnsi="Book Antiqua" w:cs="Times New Roman"/>
          <w:sz w:val="24"/>
          <w:szCs w:val="24"/>
          <w:lang w:val="en-US"/>
        </w:rPr>
        <w:t>-</w:t>
      </w:r>
      <w:r w:rsidR="005E6B89" w:rsidRPr="005C7810">
        <w:rPr>
          <w:rFonts w:ascii="Book Antiqua" w:hAnsi="Book Antiqua" w:cs="Times New Roman"/>
          <w:sz w:val="24"/>
          <w:szCs w:val="24"/>
          <w:lang w:val="en-US"/>
        </w:rPr>
        <w:t xml:space="preserve"> and inter-tumor heterogeneity, </w:t>
      </w:r>
      <w:r w:rsidR="003615DF" w:rsidRPr="005C7810">
        <w:rPr>
          <w:rFonts w:ascii="Book Antiqua" w:hAnsi="Book Antiqua" w:cs="Times New Roman"/>
          <w:sz w:val="24"/>
          <w:szCs w:val="24"/>
          <w:lang w:val="en-US"/>
        </w:rPr>
        <w:t>the prognosis of GC patients is</w:t>
      </w:r>
      <w:r w:rsidR="005E6B89" w:rsidRPr="005C7810">
        <w:rPr>
          <w:rFonts w:ascii="Book Antiqua" w:hAnsi="Book Antiqua" w:cs="Times New Roman"/>
          <w:sz w:val="24"/>
          <w:szCs w:val="24"/>
          <w:lang w:val="en-US"/>
        </w:rPr>
        <w:t xml:space="preserve"> poor. </w:t>
      </w:r>
      <w:r w:rsidR="006B690A" w:rsidRPr="005C7810">
        <w:rPr>
          <w:rFonts w:ascii="Book Antiqua" w:hAnsi="Book Antiqua" w:cs="Times New Roman"/>
          <w:sz w:val="24"/>
          <w:szCs w:val="24"/>
          <w:lang w:val="en-US"/>
        </w:rPr>
        <w:t xml:space="preserve">The heterogeneity of GC is </w:t>
      </w:r>
      <w:r w:rsidR="003615DF" w:rsidRPr="005C7810">
        <w:rPr>
          <w:rFonts w:ascii="Book Antiqua" w:hAnsi="Book Antiqua" w:cs="Times New Roman"/>
          <w:sz w:val="24"/>
          <w:szCs w:val="24"/>
          <w:lang w:val="en-US"/>
        </w:rPr>
        <w:t xml:space="preserve">mainly </w:t>
      </w:r>
      <w:r w:rsidR="006B690A" w:rsidRPr="005C7810">
        <w:rPr>
          <w:rFonts w:ascii="Book Antiqua" w:hAnsi="Book Antiqua" w:cs="Times New Roman"/>
          <w:sz w:val="24"/>
          <w:szCs w:val="24"/>
          <w:lang w:val="en-US"/>
        </w:rPr>
        <w:t>linked to gen</w:t>
      </w:r>
      <w:r w:rsidR="00DF3E6F" w:rsidRPr="005C7810">
        <w:rPr>
          <w:rFonts w:ascii="Book Antiqua" w:hAnsi="Book Antiqua" w:cs="Times New Roman"/>
          <w:sz w:val="24"/>
          <w:szCs w:val="24"/>
          <w:lang w:val="en-US"/>
        </w:rPr>
        <w:t>etic and epigenetic alterations, but also</w:t>
      </w:r>
      <w:r w:rsidR="006B690A" w:rsidRPr="005C7810">
        <w:rPr>
          <w:rFonts w:ascii="Book Antiqua" w:hAnsi="Book Antiqua" w:cs="Times New Roman"/>
          <w:sz w:val="24"/>
          <w:szCs w:val="24"/>
          <w:lang w:val="en-US"/>
        </w:rPr>
        <w:t xml:space="preserve"> interactions with the microenvironment and the presence of intratumoral cellular clones. Hence</w:t>
      </w:r>
      <w:r w:rsidR="003615DF" w:rsidRPr="005C7810">
        <w:rPr>
          <w:rFonts w:ascii="Book Antiqua" w:hAnsi="Book Antiqua" w:cs="Times New Roman"/>
          <w:sz w:val="24"/>
          <w:szCs w:val="24"/>
          <w:lang w:val="en-US"/>
        </w:rPr>
        <w:t>,</w:t>
      </w:r>
      <w:r w:rsidR="006B690A" w:rsidRPr="005C7810">
        <w:rPr>
          <w:rFonts w:ascii="Book Antiqua" w:hAnsi="Book Antiqua" w:cs="Times New Roman"/>
          <w:sz w:val="24"/>
          <w:szCs w:val="24"/>
          <w:lang w:val="en-US"/>
        </w:rPr>
        <w:t xml:space="preserve"> the</w:t>
      </w:r>
      <w:r w:rsidR="003615DF" w:rsidRPr="005C7810">
        <w:rPr>
          <w:rFonts w:ascii="Book Antiqua" w:hAnsi="Book Antiqua" w:cs="Times New Roman"/>
          <w:sz w:val="24"/>
          <w:szCs w:val="24"/>
          <w:lang w:val="en-US"/>
        </w:rPr>
        <w:t>re are</w:t>
      </w:r>
      <w:r w:rsidR="006B690A" w:rsidRPr="005C7810">
        <w:rPr>
          <w:rFonts w:ascii="Book Antiqua" w:hAnsi="Book Antiqua" w:cs="Times New Roman"/>
          <w:sz w:val="24"/>
          <w:szCs w:val="24"/>
          <w:lang w:val="en-US"/>
        </w:rPr>
        <w:t xml:space="preserve"> variations between patients and within the same tumor. </w:t>
      </w:r>
      <w:r w:rsidR="00DE1669" w:rsidRPr="005C7810">
        <w:rPr>
          <w:rFonts w:ascii="Book Antiqua" w:hAnsi="Book Antiqua" w:cs="Times New Roman"/>
          <w:sz w:val="24"/>
          <w:szCs w:val="24"/>
          <w:lang w:val="en-US"/>
        </w:rPr>
        <w:t>The new classifications,</w:t>
      </w:r>
      <w:r w:rsidR="0088773A" w:rsidRPr="005C7810">
        <w:rPr>
          <w:rFonts w:ascii="Book Antiqua" w:hAnsi="Book Antiqua" w:cs="Times New Roman"/>
          <w:sz w:val="24"/>
          <w:szCs w:val="24"/>
          <w:lang w:val="en-US"/>
        </w:rPr>
        <w:t xml:space="preserve"> TCGA and ACRG, based on molecular profiles and </w:t>
      </w:r>
      <w:r w:rsidR="00C06C91" w:rsidRPr="005C7810">
        <w:rPr>
          <w:rFonts w:ascii="Book Antiqua" w:hAnsi="Book Antiqua" w:cs="Times New Roman"/>
          <w:sz w:val="24"/>
          <w:szCs w:val="24"/>
          <w:lang w:val="en-US"/>
        </w:rPr>
        <w:t>complementary to those based on pathological characteristics</w:t>
      </w:r>
      <w:r w:rsidR="003F607A"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{"citationItems":[{"id":"ITEM-1","itemData":{"author":[{"dropping-particle":"","family":"P","given":"Lauren","non-dropping-particle":"","parse-names":false,"suffix":""}],"container-title":"Acta Patologica Microbiologica Scandinavica","id":"ITEM-1","issued":{"date-parts":[["1965"]]},"page":"31-49","title":"THE TWO HISTOLOGICAL MAIN TYPES OF GASTRIC CARCINOMA: DIFFUSE AND SO‐CALLED INTESTINAL‐TYPE CARCINOMA","type":"article-journal","volume":"64"},"uris":["http://www.mendeley.com/documents/?uuid=f2f30d4d-1a6f-41ae-8128-349876ca6ddc","http://www.mendeley.com/documents/?uuid=649bf799-0120-48cd-88e1-f4fec1ec1e03"]}],"mendeley":{"formattedCitation":"&lt;sup&gt;[15]&lt;/sup&gt;","plainTextFormattedCitation":"[15]","previouslyFormattedCitation":"&lt;sup&gt;[15]&lt;/sup&gt;"},"properties":{"noteIndex":0},"schema":"https://github.com/citation-style-language/schema/raw/master/csl-citation.json"}</w:instrText>
      </w:r>
      <w:r w:rsidR="003F607A"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[15]</w:t>
      </w:r>
      <w:r w:rsidR="003F607A" w:rsidRPr="005C7810">
        <w:rPr>
          <w:rFonts w:ascii="Book Antiqua" w:hAnsi="Book Antiqua" w:cs="Times New Roman"/>
          <w:sz w:val="24"/>
          <w:szCs w:val="24"/>
          <w:lang w:val="en-US"/>
        </w:rPr>
        <w:fldChar w:fldCharType="end"/>
      </w:r>
      <w:r w:rsidR="00C06C91" w:rsidRPr="005C7810">
        <w:rPr>
          <w:rFonts w:ascii="Book Antiqua" w:hAnsi="Book Antiqua" w:cs="Times New Roman"/>
          <w:sz w:val="24"/>
          <w:szCs w:val="24"/>
          <w:lang w:val="en-US"/>
        </w:rPr>
        <w:t xml:space="preserve">, </w:t>
      </w:r>
      <w:r w:rsidR="00DE1669" w:rsidRPr="005C7810">
        <w:rPr>
          <w:rFonts w:ascii="Book Antiqua" w:hAnsi="Book Antiqua" w:cs="Times New Roman"/>
          <w:sz w:val="24"/>
          <w:szCs w:val="24"/>
          <w:lang w:val="en-US"/>
        </w:rPr>
        <w:t>have highlighted four GC subtypes, each characterized by specific genetic alterations</w:t>
      </w:r>
      <w:r w:rsidR="003F607A"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{"citationItems":[{"id":"ITEM-1","itemData":{"DOI":"10.1038/nature13480.Comprehensive","ISBN":"1476-4687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©2014","author":[{"dropping-particle":"","family":"Cancer Genome Atlas Research Network","given":"","non-dropping-particle":"","parse-names":false,"suffix":""},{"dropping-particle":"","family":"Bass","given":"Adam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Michae","given":"David P","non-dropping-particle":"","parse-names":false,"suffix":""},{"dropping-particle":"","family":"Network","given":"Cancer Genome Atlas Research","non-dropping-particle":"","parse-names":false,"suffix":""}],"container-title":"Nature","id":"ITEM-1","issue":"7517","issued":{"date-parts":[["2014"]]},"page":"202-209","title":"Comprehensive molecular characterization of gastric adenocarcinoma","type":"article-journal","volume":"513"},"uris":["http://www.mendeley.com/documents/?uuid=48529cda-a330-4c84-841c-b991b895df6e","http://www.mendeley.com/documents/?uuid=e1ccc661-ce0e-4c30-a67f-a89167ad3e13"]}],"mendeley":{"formattedCitation":"&lt;sup&gt;[29]&lt;/sup&gt;","plainTextFormattedCitation":"[29]","previouslyFormattedCitation":"&lt;sup&gt;[29]&lt;/sup&gt;"},"properties":{"noteIndex":0},"schema":"https://github.com/citation-style-language/schema/raw/master/csl-citation.json"}</w:instrText>
      </w:r>
      <w:r w:rsidR="003F607A"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[29]</w:t>
      </w:r>
      <w:r w:rsidR="003F607A" w:rsidRPr="005C7810">
        <w:rPr>
          <w:rFonts w:ascii="Book Antiqua" w:hAnsi="Book Antiqua" w:cs="Times New Roman"/>
          <w:sz w:val="24"/>
          <w:szCs w:val="24"/>
          <w:lang w:val="en-US"/>
        </w:rPr>
        <w:fldChar w:fldCharType="end"/>
      </w:r>
      <w:r w:rsidR="00DE1669" w:rsidRPr="005C7810">
        <w:rPr>
          <w:rFonts w:ascii="Book Antiqua" w:hAnsi="Book Antiqua" w:cs="Times New Roman"/>
          <w:sz w:val="24"/>
          <w:szCs w:val="24"/>
          <w:lang w:val="en-US"/>
        </w:rPr>
        <w:t>.</w:t>
      </w:r>
      <w:r w:rsidR="00A00D5B" w:rsidRPr="005C7810">
        <w:rPr>
          <w:rFonts w:ascii="Book Antiqua" w:hAnsi="Book Antiqua" w:cs="Times New Roman"/>
          <w:sz w:val="24"/>
          <w:szCs w:val="24"/>
          <w:lang w:val="en-US"/>
        </w:rPr>
        <w:t xml:space="preserve"> </w:t>
      </w:r>
      <w:r w:rsidR="0012013F" w:rsidRPr="005C7810">
        <w:rPr>
          <w:rFonts w:ascii="Book Antiqua" w:hAnsi="Book Antiqua" w:cs="Times New Roman"/>
          <w:sz w:val="24"/>
          <w:szCs w:val="24"/>
          <w:lang w:val="en-US"/>
        </w:rPr>
        <w:t xml:space="preserve">The molecular classification of GC </w:t>
      </w:r>
      <w:r w:rsidR="003615DF" w:rsidRPr="005C7810">
        <w:rPr>
          <w:rFonts w:ascii="Book Antiqua" w:hAnsi="Book Antiqua" w:cs="Times New Roman"/>
          <w:sz w:val="24"/>
          <w:szCs w:val="24"/>
          <w:lang w:val="en-US"/>
        </w:rPr>
        <w:t xml:space="preserve">has </w:t>
      </w:r>
      <w:r w:rsidR="0012013F" w:rsidRPr="005C7810">
        <w:rPr>
          <w:rFonts w:ascii="Book Antiqua" w:hAnsi="Book Antiqua" w:cs="Times New Roman"/>
          <w:sz w:val="24"/>
          <w:szCs w:val="24"/>
          <w:lang w:val="en-US"/>
        </w:rPr>
        <w:t>help</w:t>
      </w:r>
      <w:r w:rsidR="003615DF" w:rsidRPr="005C7810">
        <w:rPr>
          <w:rFonts w:ascii="Book Antiqua" w:hAnsi="Book Antiqua" w:cs="Times New Roman"/>
          <w:sz w:val="24"/>
          <w:szCs w:val="24"/>
          <w:lang w:val="en-US"/>
        </w:rPr>
        <w:t>ed</w:t>
      </w:r>
      <w:r w:rsidR="0012013F" w:rsidRPr="005C7810">
        <w:rPr>
          <w:rFonts w:ascii="Book Antiqua" w:hAnsi="Book Antiqua" w:cs="Times New Roman"/>
          <w:sz w:val="24"/>
          <w:szCs w:val="24"/>
          <w:lang w:val="en-US"/>
        </w:rPr>
        <w:t xml:space="preserve"> to identify molecular alterations that may be targeted by the therapy.</w:t>
      </w:r>
      <w:r w:rsidR="009E5D87" w:rsidRPr="005C7810">
        <w:rPr>
          <w:rFonts w:ascii="Book Antiqua" w:hAnsi="Book Antiqua" w:cs="Times New Roman"/>
          <w:sz w:val="24"/>
          <w:szCs w:val="24"/>
          <w:lang w:val="en-US"/>
        </w:rPr>
        <w:t xml:space="preserve"> </w:t>
      </w:r>
      <w:r w:rsidR="0012013F" w:rsidRPr="005C7810">
        <w:rPr>
          <w:rFonts w:ascii="Book Antiqua" w:hAnsi="Book Antiqua" w:cs="Times New Roman"/>
          <w:sz w:val="24"/>
          <w:szCs w:val="24"/>
          <w:lang w:val="en-US"/>
        </w:rPr>
        <w:t>Furthermore, the molecular profiles of GCs obtained from individual patients</w:t>
      </w:r>
      <w:r w:rsidR="003615DF" w:rsidRPr="005C7810">
        <w:rPr>
          <w:rFonts w:ascii="Book Antiqua" w:hAnsi="Book Antiqua" w:cs="Times New Roman"/>
          <w:sz w:val="24"/>
          <w:szCs w:val="24"/>
          <w:lang w:val="en-US"/>
        </w:rPr>
        <w:t xml:space="preserve"> has</w:t>
      </w:r>
      <w:r w:rsidR="0012013F" w:rsidRPr="005C7810">
        <w:rPr>
          <w:rFonts w:ascii="Book Antiqua" w:hAnsi="Book Antiqua" w:cs="Times New Roman"/>
          <w:sz w:val="24"/>
          <w:szCs w:val="24"/>
          <w:lang w:val="en-US"/>
        </w:rPr>
        <w:t xml:space="preserve"> </w:t>
      </w:r>
      <w:r w:rsidR="003615DF" w:rsidRPr="005C7810">
        <w:rPr>
          <w:rFonts w:ascii="Book Antiqua" w:hAnsi="Book Antiqua" w:cs="Times New Roman"/>
          <w:sz w:val="24"/>
          <w:szCs w:val="24"/>
          <w:lang w:val="en-US"/>
        </w:rPr>
        <w:t xml:space="preserve">provided </w:t>
      </w:r>
      <w:r w:rsidR="0012013F" w:rsidRPr="005C7810">
        <w:rPr>
          <w:rFonts w:ascii="Book Antiqua" w:hAnsi="Book Antiqua" w:cs="Times New Roman"/>
          <w:sz w:val="24"/>
          <w:szCs w:val="24"/>
          <w:lang w:val="en-US"/>
        </w:rPr>
        <w:t xml:space="preserve">new opportunities to identify biomarkers that </w:t>
      </w:r>
      <w:r w:rsidR="003615DF" w:rsidRPr="005C7810">
        <w:rPr>
          <w:rFonts w:ascii="Book Antiqua" w:hAnsi="Book Antiqua" w:cs="Times New Roman"/>
          <w:sz w:val="24"/>
          <w:szCs w:val="24"/>
          <w:lang w:val="en-US"/>
        </w:rPr>
        <w:t xml:space="preserve">may </w:t>
      </w:r>
      <w:r w:rsidR="0012013F" w:rsidRPr="005C7810">
        <w:rPr>
          <w:rFonts w:ascii="Book Antiqua" w:hAnsi="Book Antiqua" w:cs="Times New Roman"/>
          <w:sz w:val="24"/>
          <w:szCs w:val="24"/>
          <w:lang w:val="en-US"/>
        </w:rPr>
        <w:t>predict the tumor response to treatment</w:t>
      </w:r>
      <w:r w:rsidR="003F607A" w:rsidRPr="005C7810">
        <w:rPr>
          <w:rFonts w:ascii="Book Antiqua" w:hAnsi="Book Antiqua" w:cs="Times New Roman"/>
          <w:sz w:val="24"/>
          <w:szCs w:val="24"/>
          <w:lang w:val="en-US"/>
        </w:rPr>
        <w:fldChar w:fldCharType="begin" w:fldLock="1"/>
      </w:r>
      <w:r w:rsidR="00AB32F3" w:rsidRPr="005C7810">
        <w:rPr>
          <w:rFonts w:ascii="Book Antiqua" w:hAnsi="Book Antiqua" w:cs="Times New Roman"/>
          <w:sz w:val="24"/>
          <w:szCs w:val="24"/>
          <w:lang w:val="en-US"/>
        </w:rPr>
        <w:instrText>ADDIN CSL_CITATION {"citationItems":[{"id":"ITEM-1","itemData":{"DOI":"10.1080/15384047.2015.1026479","ISBN":"1538-4047","ISSN":"15558576","PMID":"25778705","abstract":"Background: NCCN states that chemotherapies for advanced esophageal and gastric cancers may be used interchangeably. Biomarkers from gastroesophageal cancer patients were interrogated to identify actionable alterations with therapeutic implications. Methods: 666 gastric and 640 esophageal cancer cases referred to Caris Life Sciences between 2009 thru 2013 were evaluated. Specific testing was performed, which included a combination of sequencing (Sanger, NGS) and protein expression (IHC). Results: In the complete cohort (n D 1306), 30 of 45 genes tested harbored mutations; highest rates were seen in TP53 (54%), APC (10%), SMAD4 (5.9%), KRAS (5.9%), and PIK3CA (5.1%). IHC of TOP2A was high in 76% of cases, TOPO1 in 51% and SPARC in 25%; low IHC of ERCC1 was seen in 65%, RRM1 in 62%, TS in 61% and MGMT in 45%, indicating potential benefit from epirubicin, irinotecan, nab-paclitaxel, platinum-based agents, gemcitabine, 5FU/capecitabine and temozolomide, respectively. In the HER2C cohort (n D 88), 50% of patients demonstrated possible benefit from a combination of trastuzumab with 5FU/capecitabine based on concurrent low TS, 53% with irinotecan (high TOPO1), 63% with cisplatin (low ERCC1) and 55% with gemcitabine (low RRM1). Subgroup analysis by tumor origin demonstrated significant differences in actionable biomarker profiles with HER2 (13% vs. 4.6%), SPARC (34% vs. 15%), TOP2A (86% vs. 67%), and TOPO1 (55% vs. 46%) in esophageal and gastric adenocarcinoma cases respectively (P &lt; 0.05). Conclusion: A comprehensive multiplatform biomarker analysis suggested significant biomarker differences between gastric and esophageal cancers. These results can assist in the development of future clinical trials.","author":[{"dropping-particle":"","family":"Miura","given":"John T.","non-dropping-particle":"","parse-names":false,"suffix":""},{"dropping-particle":"","family":"Xiu","given":"Joanne","non-dropping-particle":"","parse-names":false,"suffix":""},{"dropping-particle":"","family":"Thomas","given":"James","non-dropping-particle":"","parse-names":false,"suffix":""},{"dropping-particle":"","family":"George","given":"Ben","non-dropping-particle":"","parse-names":false,"suffix":""},{"dropping-particle":"","family":"Carron","given":"Benjamin R.","non-dropping-particle":"","parse-names":false,"suffix":""},{"dropping-particle":"","family":"Tsai","given":"Susan","non-dropping-particle":"","parse-names":false,"suffix":""},{"dropping-particle":"","family":"Johnston","given":"Fabian M.","non-dropping-particle":"","parse-names":false,"suffix":""},{"dropping-particle":"","family":"Turaga","given":"Kiran K.","non-dropping-particle":"","parse-names":false,"suffix":""},{"dropping-particle":"","family":"Gamblin","given":"T. Clark","non-dropping-particle":"","parse-names":false,"suffix":""}],"container-title":"Cancer Biology and Therapy","id":"ITEM-1","issue":"5","issued":{"date-parts":[["2015"]]},"page":"764-769","title":"Tumor profiling of gastric and esophageal carcinoma reveal different treatment options","type":"article-journal","volume":"16"},"uris":["http://www.mendeley.com/documents/?uuid=1a0942a2-f6ab-4e23-887d-1542960d9234","http://www.mendeley.com/documents/?uuid=a31823ab-4504-49c8-8875-5b606977c6ed"]},{"id":"ITEM-2","itemData":{"DOI":"10.1136/gutjnl-2011-301839","ISBN":"0017-5749\\r1468-3288","ISSN":"00175749","PMID":"22315472","abstract":"OBJECTIVE Gastric cancer is a major gastrointestinal malignancy for which targeted therapies are emerging as treatment options. This study sought to identify the most prevalent molecular targets in gastric cancer and to elucidate systematic patterns of exclusivity and co-occurrence among these targets, through comprehensive genomic analysis of a large panel of gastric cancers. DESIGN Using high-resolution single nucleotide polymorphism arrays, copy number alterations were profiled in a panel of 233 gastric cancers (193 primary tumours, 40 cell lines) and 98 primary matched gastric non-malignant samples. For selected alterations, their impact on gene expression and clinical outcome were evaluated. RESULTS 22 recurrent focal alterations (13 amplifications and nine deletions) were identified. These included both known targets (FGFR2, ERBB2) and also novel genes in gastric cancer (KLF5, GATA6). Receptor tyrosine kinase (RTK)/RAS alterations were found to be frequent in gastric cancer. This study also demonstrates, for the first time, that these alterations occur in a mutually exclusive fashion, with KRAS gene amplifications highlighting a clinically relevant but previously underappreciated gastric cancer subgroup. FGFR2-amplified gastric cancers were also shown to be sensitive to dovitinib, an orally bioavailable FGFR/VEGFR targeting agent, potentially representing a subtype-specific therapy for FGFR2-amplified gastric cancers. CONCLUSION The study demonstrates the existence of five distinct gastric cancer patient subgroups, defined by the signature genomic alterations FGFR2 (9% of tumours), KRAS (9%), EGFR (8%), ERBB2 (7%) and MET (4%). Collectively, these subgroups suggest that at least 37% of gastric cancer patients may be potentially treatable by RTK/RAS directed therapies.","author":[{"dropping-particle":"","family":"Deng","given":"Niantao","non-dropping-particle":"","parse-names":false,"suffix":""},{"dropping-particle":"","family":"Goh","given":"Liang Kee","non-dropping-particle":"","parse-names":false,"suffix":""},{"dropping-particle":"","family":"Wang","given":"Hannah","non-dropping-particle":"","parse-names":false,"suffix":""},{"dropping-particle":"","family":"Das","given":"Kakoli","non-dropping-particle":"","parse-names":false,"suffix":""},{"dropping-particle":"","family":"Tao","given":"Jiong","non-dropping-particle":"","parse-names":false,"suffix":""},{"dropping-particle":"","family":"Tan","given":"Iain Beehuat","non-dropping-particle":"","parse-names":false,"suffix":""},{"dropping-particle":"","family":"Zhang","given":"Shenli","non-dropping-particle":"","parse-names":false,"suffix":""},{"dropping-particle":"","family":"Lee","given":"Minghui","non-dropping-particle":"","parse-names":false,"suffix":""},{"dropping-particle":"","family":"Wu","given":"Jeanie","non-dropping-particle":"","parse-names":false,"suffix":""},{"dropping-particle":"","family":"Lim","given":"Kiat Hon","non-dropping-particle":"","parse-names":false,"suffix":""},{"dropping-particle":"","family":"Lei","given":"Zhengdeng","non-dropping-particle":"","parse-names":false,"suffix":""},{"dropping-particle":"","family":"Goh","given":"Glenn","non-dropping-particle":"","parse-names":false,"suffix":""},{"dropping-particle":"","family":"Lim","given":"Qing Yan","non-dropping-particle":"","parse-names":false,"suffix":""},{"dropping-particle":"","family":"Tan","given":"Angie Lay Keng","non-dropping-particle":"","parse-names":false,"suffix":""},{"dropping-particle":"","family":"Poh","given":"Dianne Yu Sin","non-dropping-particle":"","parse-names":false,"suffix":""},{"dropping-particle":"","family":"Riahi","given":"Sudep","non-dropping-particle":"","parse-names":false,"suffix":""},{"dropping-particle":"","family":"Bell","given":"Sandra","non-dropping-particle":"","parse-names":false,"suffix":""},{"dropping-particle":"","family":"Shi","given":"Michael M.","non-dropping-particle":"","parse-names":false,"suffix":""},{"dropping-particle":"","family":"Linnartz","given":"Ronald","non-dropping-particle":"","parse-names":false,"suffix":""},{"dropping-particle":"","family":"Zhu","given":"Feng","non-dropping-particle":"","parse-names":false,"suffix":""},{"dropping-particle":"","family":"Yeoh","given":"Khay Guan","non-dropping-particle":"","parse-names":false,"suffix":""},{"dropping-particle":"","family":"Toh","given":"Han Chong","non-dropping-particle":"","parse-names":false,"suffix":""},{"dropping-particle":"","family":"Yong","given":"Wei Peng","non-dropping-particle":"","parse-names":false,"suffix":""},{"dropping-particle":"","family":"Cheong","given":"Hyun Cheol","non-dropping-particle":"","parse-names":false,"suffix":""},{"dropping-particle":"","family":"Rha","given":"Sun Young","non-dropping-particle":"","parse-names":false,"suffix":""},{"dropping-particle":"","family":"Boussioutas","given":"Alex","non-dropping-particle":"","parse-names":false,"suffix":""},{"dropping-particle":"","family":"Grabsch","given":"Heike","non-dropping-particle":"","parse-names":false,"suffix":""},{"dropping-particle":"","family":"Rozen","given":"Steve","non-dropping-particle":"","parse-names":false,"suffix":""},{"dropping-particle":"","family":"Tan","given":"Patrick","non-dropping-particle":"","parse-names":false,"suffix":""}],"container-title":"Gut","id":"ITEM-2","issue":"5","issued":{"date-parts":[["2012"]]},"page":"673-684","title":"A comprehensive survey of genomic alterations in gastric cancer reveals systematic patterns of molecular exclusivity and co-occurrence among distinct therapeutic targets","type":"article-journal","volume":"61"},"uris":["http://www.mendeley.com/documents/?uuid=e9699b02-627e-4e36-8d45-b9ea3e341301","http://www.mendeley.com/documents/?uuid=5fc7cfa7-deb4-4471-b38f-92b79f80daba","http://www.mendeley.com/documents/?uuid=ca97d2ff-566a-4529-bd09-710fed57bac4"]},{"id":"ITEM-3","itemData":{"DOI":"10.1634/theoncologist.2014-0378","ISSN":"1083-7159","PMID":"25882375","abstract":"Background: Gastric cancer (GC) is a major global cancer burden and the second most common cause of global cancer-related deaths. The addn. of anti-ERBB2 (HER2) targeted therapy to chemotherapy improves survival for ERBB2-amplified advanced GC patients; however, the majority of GC patients do not harbor this alteration and thus cannot benefit from targeted therapy under current practice paradigms. Materials and Methods: Prospective comprehensive genomic profiling of 116 predominantly locally advanced or metastatic (90.0%) gastric cancer cases was performed to identify genomic alterations (GAs) assocd. with a potential response to targeted therapies approved by the U.S. Food and Drug Administration or targeted therapy-based clin. trials. Results: Overall, 78% of GC cases harbored one clin. relevant GA or more, with the most frequent alterations being found in TP53 (50%), ARID1A (24%), KRAS (16%), CDH1 (15%), CDKN2A (14%), CCND1 (9.5%), ERBB2 (8.5%), PIK3CA (8.6%), MLL2 (6.9%), FGFR2 (6.0%), and MET (6.0%). Receptor tyrosine kinase genomic alterations were detected in 20.6% of cases, primarily ERBB2, FGFR2, and MET amplification, with ERBB2 alterations evenly split between amplifications and base substitutions. Rare BRAF mutations (2.6%) were also obsd. One MET-amplified GC patient responded for 5 mo to crizotinib, a multitargeted ALK/ROS1/MET inhibitor. Conclusion: Comprehensive genomic profiling of GC identifies clin. relevant GAs that suggest benefit from targeted therapy including MET-amplified GC and ERBB2 base substitutions. [on SciFinder(R)]","author":[{"dropping-particle":"V.","family":"Catenacci","given":"D.","non-dropping-particle":"","parse-names":false,"suffix":""},{"dropping-particle":"","family":"Stephens","given":"P. J.","non-dropping-particle":"","parse-names":false,"suffix":""},{"dropping-particle":"","family":"Ou","given":"S.-H. I.","non-dropping-particle":"","parse-names":false,"suffix":""},{"dropping-particle":"","family":"Ali","given":"S. M.","non-dropping-particle":"","parse-names":false,"suffix":""},{"dropping-particle":"","family":"Chmielecki","given":"J.","non-dropping-particle":"","parse-names":false,"suffix":""},{"dropping-particle":"","family":"Palmer","given":"G. A.","non-dropping-particle":"","parse-names":false,"suffix":""},{"dropping-particle":"","family":"Yelensky","given":"R.","non-dropping-particle":"","parse-names":false,"suffix":""},{"dropping-particle":"","family":"Ross","given":"J. S.","non-dropping-particle":"","parse-names":false,"suffix":""},{"dropping-particle":"","family":"Miller","given":"V. A.","non-dropping-particle":"","parse-names":false,"suffix":""},{"dropping-particle":"","family":"Erlich","given":"R.","non-dropping-particle":"","parse-names":false,"suffix":""},{"dropping-particle":"","family":"Sanford","given":"E. M.","non-dropping-particle":"","parse-names":false,"suffix":""},{"dropping-particle":"","family":"Klempner","given":"S. J.","non-dropping-particle":"","parse-names":false,"suffix":""},{"dropping-particle":"","family":"Morosini","given":"D.","non-dropping-particle":"","parse-names":false,"suffix":""},{"dropping-particle":"","family":"Rubinson","given":"D. A.","non-dropping-particle":"","parse-names":false,"suffix":""},{"dropping-particle":"","family":"Wang","given":"K.","non-dropping-particle":"","parse-names":false,"suffix":""},{"dropping-particle":"","family":"Palma","given":"N. A.","non-dropping-particle":"","parse-names":false,"suffix":""},{"dropping-particle":"","family":"Braiteh","given":"F.","non-dropping-particle":"","parse-names":false,"suffix":""},{"dropping-particle":"","family":"Lipson","given":"D.","non-dropping-particle":"","parse-names":false,"suffix":""}],"container-title":"The Oncologist","id":"ITEM-3","issue":"5","issued":{"date-parts":[["2015"]]},"page":"499-507","title":"Prospective Comprehensive Genomic Profiling of Advanced Gastric Carcinoma Cases Reveals Frequent Clinically Relevant Genomic Alterations and New Routes for Targeted Therapies","type":"article-journal","volume":"20"},"uris":["http://www.mendeley.com/documents/?uuid=d199d697-e235-4d65-af61-069bfbf30d6a","http://www.mendeley.com/documents/?uuid=26da5607-7023-4f31-971a-1b50b9f81ae6","http://www.mendeley.com/documents/?uuid=af03da16-f41e-4ed0-b060-e497e8b5851b"]}],"mendeley":{"formattedCitation":"&lt;sup&gt;[22–24]&lt;/sup&gt;","plainTextFormattedCitation":"[22–24]","previouslyFormattedCitation":"&lt;sup&gt;[22–24]&lt;/sup&gt;"},"properties":{"noteIndex":0},"schema":"https://github.com/citation-style-language/schema/raw/master/csl-citation.json"}</w:instrText>
      </w:r>
      <w:r w:rsidR="003F607A" w:rsidRPr="005C7810">
        <w:rPr>
          <w:rFonts w:ascii="Book Antiqua" w:hAnsi="Book Antiqua" w:cs="Times New Roman"/>
          <w:sz w:val="24"/>
          <w:szCs w:val="24"/>
          <w:lang w:val="en-US"/>
        </w:rPr>
        <w:fldChar w:fldCharType="separate"/>
      </w:r>
      <w:r w:rsidR="00182B66" w:rsidRPr="005C7810">
        <w:rPr>
          <w:rFonts w:ascii="Book Antiqua" w:hAnsi="Book Antiqua" w:cs="Times New Roman"/>
          <w:sz w:val="24"/>
          <w:szCs w:val="24"/>
          <w:vertAlign w:val="superscript"/>
          <w:lang w:val="en-US"/>
        </w:rPr>
        <w:t>[22–24]</w:t>
      </w:r>
      <w:r w:rsidR="003F607A" w:rsidRPr="005C7810">
        <w:rPr>
          <w:rFonts w:ascii="Book Antiqua" w:hAnsi="Book Antiqua" w:cs="Times New Roman"/>
          <w:sz w:val="24"/>
          <w:szCs w:val="24"/>
          <w:lang w:val="en-US"/>
        </w:rPr>
        <w:fldChar w:fldCharType="end"/>
      </w:r>
      <w:r w:rsidR="0012013F" w:rsidRPr="005C7810">
        <w:rPr>
          <w:rFonts w:ascii="Book Antiqua" w:hAnsi="Book Antiqua" w:cs="Times New Roman"/>
          <w:sz w:val="24"/>
          <w:szCs w:val="24"/>
          <w:lang w:val="en-US"/>
        </w:rPr>
        <w:t xml:space="preserve">. </w:t>
      </w:r>
      <w:r w:rsidR="00A00D5B" w:rsidRPr="005C7810">
        <w:rPr>
          <w:rFonts w:ascii="Book Antiqua" w:hAnsi="Book Antiqua" w:cs="Times New Roman"/>
          <w:sz w:val="24"/>
          <w:szCs w:val="24"/>
          <w:lang w:val="en-US"/>
        </w:rPr>
        <w:t>Unfortunately, e</w:t>
      </w:r>
      <w:r w:rsidR="006B690A" w:rsidRPr="005C7810">
        <w:rPr>
          <w:rFonts w:ascii="Book Antiqua" w:hAnsi="Book Antiqua" w:cs="Times New Roman"/>
          <w:sz w:val="24"/>
          <w:szCs w:val="24"/>
          <w:lang w:val="en-US"/>
        </w:rPr>
        <w:t>ven today, the molecular characteristics of tumor</w:t>
      </w:r>
      <w:r w:rsidR="00C356BB" w:rsidRPr="005C7810">
        <w:rPr>
          <w:rFonts w:ascii="Book Antiqua" w:hAnsi="Book Antiqua" w:cs="Times New Roman"/>
          <w:sz w:val="24"/>
          <w:szCs w:val="24"/>
          <w:lang w:val="en-US"/>
        </w:rPr>
        <w:t>s are not taken into significant consideration</w:t>
      </w:r>
      <w:r w:rsidR="006B690A" w:rsidRPr="005C7810">
        <w:rPr>
          <w:rFonts w:ascii="Book Antiqua" w:hAnsi="Book Antiqua" w:cs="Times New Roman"/>
          <w:sz w:val="24"/>
          <w:szCs w:val="24"/>
          <w:lang w:val="en-US"/>
        </w:rPr>
        <w:t xml:space="preserve"> in the management of patient</w:t>
      </w:r>
      <w:r w:rsidR="00C356BB" w:rsidRPr="005C7810">
        <w:rPr>
          <w:rFonts w:ascii="Book Antiqua" w:hAnsi="Book Antiqua" w:cs="Times New Roman"/>
          <w:sz w:val="24"/>
          <w:szCs w:val="24"/>
          <w:lang w:val="en-US"/>
        </w:rPr>
        <w:t>s</w:t>
      </w:r>
      <w:r w:rsidR="006B690A" w:rsidRPr="005C7810">
        <w:rPr>
          <w:rFonts w:ascii="Book Antiqua" w:hAnsi="Book Antiqua" w:cs="Times New Roman"/>
          <w:sz w:val="24"/>
          <w:szCs w:val="24"/>
          <w:lang w:val="en-US"/>
        </w:rPr>
        <w:t xml:space="preserve">. </w:t>
      </w:r>
    </w:p>
    <w:p w:rsidR="00475CB5" w:rsidRPr="005C7810" w:rsidRDefault="004B52C7" w:rsidP="00CD380F">
      <w:pPr>
        <w:spacing w:after="0" w:line="360" w:lineRule="auto"/>
        <w:ind w:firstLine="708"/>
        <w:jc w:val="both"/>
        <w:rPr>
          <w:rFonts w:ascii="Book Antiqua" w:hAnsi="Book Antiqua"/>
          <w:color w:val="000000"/>
          <w:sz w:val="24"/>
          <w:szCs w:val="24"/>
          <w:lang w:val="en-US"/>
        </w:rPr>
      </w:pPr>
      <w:r w:rsidRPr="005C7810">
        <w:rPr>
          <w:rFonts w:ascii="Book Antiqua" w:hAnsi="Book Antiqua" w:cs="Times New Roman"/>
          <w:i/>
          <w:iCs/>
          <w:color w:val="000000"/>
          <w:sz w:val="24"/>
          <w:szCs w:val="24"/>
          <w:lang w:val="en-US"/>
        </w:rPr>
        <w:t>H. pylori</w:t>
      </w:r>
      <w:r w:rsidRPr="005C7810">
        <w:rPr>
          <w:rFonts w:ascii="Book Antiqua" w:hAnsi="Book Antiqua" w:cs="Times New Roman"/>
          <w:color w:val="000000"/>
          <w:sz w:val="24"/>
          <w:szCs w:val="24"/>
          <w:lang w:val="en-US"/>
        </w:rPr>
        <w:t xml:space="preserve"> is responsible for the onset of peptic ulcers and 80% of GC</w:t>
      </w:r>
      <w:r w:rsidR="004A2CD8" w:rsidRPr="005C7810">
        <w:rPr>
          <w:rFonts w:ascii="Book Antiqua" w:hAnsi="Book Antiqua" w:cs="Times New Roman"/>
          <w:color w:val="000000"/>
          <w:sz w:val="24"/>
          <w:szCs w:val="24"/>
          <w:lang w:val="en-US"/>
        </w:rPr>
        <w:t xml:space="preserve"> cases</w:t>
      </w:r>
      <w:r w:rsidRPr="005C7810">
        <w:rPr>
          <w:rFonts w:ascii="Book Antiqua" w:hAnsi="Book Antiqua" w:cs="Times New Roman"/>
          <w:color w:val="000000"/>
          <w:sz w:val="24"/>
          <w:szCs w:val="24"/>
          <w:lang w:val="en-US"/>
        </w:rPr>
        <w:t>. Eradicat</w:t>
      </w:r>
      <w:r w:rsidR="004A2CD8" w:rsidRPr="005C7810">
        <w:rPr>
          <w:rFonts w:ascii="Book Antiqua" w:hAnsi="Book Antiqua" w:cs="Times New Roman"/>
          <w:color w:val="000000"/>
          <w:sz w:val="24"/>
          <w:szCs w:val="24"/>
          <w:lang w:val="en-US"/>
        </w:rPr>
        <w:t>ion of the</w:t>
      </w:r>
      <w:r w:rsidRPr="005C7810">
        <w:rPr>
          <w:rFonts w:ascii="Book Antiqua" w:hAnsi="Book Antiqua" w:cs="Times New Roman"/>
          <w:color w:val="000000"/>
          <w:sz w:val="24"/>
          <w:szCs w:val="24"/>
          <w:lang w:val="en-US"/>
        </w:rPr>
        <w:t xml:space="preserve"> </w:t>
      </w:r>
      <w:r w:rsidRPr="005C7810">
        <w:rPr>
          <w:rFonts w:ascii="Book Antiqua" w:hAnsi="Book Antiqua" w:cs="Times New Roman"/>
          <w:i/>
          <w:iCs/>
          <w:color w:val="000000"/>
          <w:sz w:val="24"/>
          <w:szCs w:val="24"/>
          <w:lang w:val="en-US"/>
        </w:rPr>
        <w:t>H. pylori</w:t>
      </w:r>
      <w:r w:rsidRPr="005C7810">
        <w:rPr>
          <w:rFonts w:ascii="Book Antiqua" w:hAnsi="Book Antiqua" w:cs="Times New Roman"/>
          <w:color w:val="000000"/>
          <w:sz w:val="24"/>
          <w:szCs w:val="24"/>
          <w:lang w:val="en-US"/>
        </w:rPr>
        <w:t xml:space="preserve"> </w:t>
      </w:r>
      <w:r w:rsidR="004A2CD8" w:rsidRPr="005C7810">
        <w:rPr>
          <w:rFonts w:ascii="Book Antiqua" w:hAnsi="Book Antiqua" w:cs="Times New Roman"/>
          <w:color w:val="000000"/>
          <w:sz w:val="24"/>
          <w:szCs w:val="24"/>
          <w:lang w:val="en-US"/>
        </w:rPr>
        <w:t xml:space="preserve">infection </w:t>
      </w:r>
      <w:r w:rsidRPr="005C7810">
        <w:rPr>
          <w:rFonts w:ascii="Book Antiqua" w:hAnsi="Book Antiqua" w:cs="Times New Roman"/>
          <w:color w:val="000000"/>
          <w:sz w:val="24"/>
          <w:szCs w:val="24"/>
          <w:lang w:val="en-US"/>
        </w:rPr>
        <w:t>treats gastritis and peptic ulcers and is a mean to prevent GC. Obviously</w:t>
      </w:r>
      <w:r w:rsidR="0082228C"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 for the treatment of the eradication of the </w:t>
      </w:r>
      <w:r w:rsidRPr="005C7810">
        <w:rPr>
          <w:rFonts w:ascii="Book Antiqua" w:hAnsi="Book Antiqua" w:cs="Times New Roman"/>
          <w:i/>
          <w:iCs/>
          <w:color w:val="000000"/>
          <w:sz w:val="24"/>
          <w:szCs w:val="24"/>
          <w:lang w:val="en-US"/>
        </w:rPr>
        <w:t>H. pylori</w:t>
      </w:r>
      <w:r w:rsidR="004A2CD8" w:rsidRPr="005C7810">
        <w:rPr>
          <w:rFonts w:ascii="Book Antiqua" w:hAnsi="Book Antiqua" w:cs="Times New Roman"/>
          <w:color w:val="000000"/>
          <w:sz w:val="24"/>
          <w:szCs w:val="24"/>
          <w:lang w:val="en-US"/>
        </w:rPr>
        <w:t xml:space="preserve">, </w:t>
      </w:r>
      <w:r w:rsidRPr="005C7810">
        <w:rPr>
          <w:rFonts w:ascii="Book Antiqua" w:hAnsi="Book Antiqua" w:cs="Times New Roman"/>
          <w:color w:val="000000"/>
          <w:sz w:val="24"/>
          <w:szCs w:val="24"/>
          <w:lang w:val="en-US"/>
        </w:rPr>
        <w:t>guidelines have been issued by three separate authoritative groups</w:t>
      </w:r>
      <w:r w:rsidRPr="005C7810">
        <w:rPr>
          <w:rFonts w:ascii="Book Antiqua" w:hAnsi="Book Antiqua" w:cs="Times New Roman"/>
          <w:color w:val="000000"/>
          <w:sz w:val="24"/>
          <w:szCs w:val="24"/>
          <w:vertAlign w:val="superscript"/>
          <w:lang w:val="en-US"/>
        </w:rPr>
        <w:fldChar w:fldCharType="begin" w:fldLock="1"/>
      </w:r>
      <w:r w:rsidR="008C09CB" w:rsidRPr="005C7810">
        <w:rPr>
          <w:rFonts w:ascii="Book Antiqua" w:hAnsi="Book Antiqua" w:cs="Times New Roman"/>
          <w:color w:val="000000"/>
          <w:sz w:val="24"/>
          <w:szCs w:val="24"/>
          <w:vertAlign w:val="superscript"/>
          <w:lang w:val="en-US"/>
        </w:rPr>
        <w:instrText>ADDIN CSL_CITATION {"citationItems":[{"id":"ITEM-1","itemData":{"DOI":"10.1136/gutjnl-2016-312288","ISSN":"14683288","abstract":"Management of Helicobacter pylori infection is evolving and in this 4th edition of the Maastricht consensus report aspects related to the clinical role of H pylori were looked at again in 2010. In the 4th Maastricht/Florence Consensus Conference 44 experts from 24 countries took active part and examined key clinical aspects in three subdivided workshops: (1) Indications and contraindications for diagnosis and treatment, focusing on dyspepsia, non-steroidal anti-inflammatory drugs or aspirin use, gastro-oesophageal reflux disease and extraintestinal manifestations of the infection. (2) Diagnostic tests and treatment of infection. (3) Prevention of gastric cancer and other complications. The results of the individual workshops were submitted to a final consensus voting to all participants. Recommendations are provided on the basis of the best current evidence and plausibility to guide doctors involved in the management of this infection associated with various clinical conditions.","author":[{"dropping-particle":"","family":"Malfertheiner","given":"P.","non-dropping-particle":"","parse-names":false,"suffix":""},{"dropping-particle":"","family":"Megraud","given":"F.","non-dropping-particle":"","parse-names":false,"suffix":""},{"dropping-particle":"","family":"O'Morain","given":"C.","non-dropping-particle":"","parse-names":false,"suffix":""},{"dropping-particle":"","family":"Gisbert","given":"J. P.","non-dropping-particle":"","parse-names":false,"suffix":""},{"dropping-particle":"","family":"Kuipers","given":"E. J.","non-dropping-particle":"","parse-names":false,"suffix":""},{"dropping-particle":"","family":"Axon","given":"A.","non-dropping-particle":"","parse-names":false,"suffix":""},{"dropping-particle":"","family":"Bazzoli","given":"F.","non-dropping-particle":"","parse-names":false,"suffix":""},{"dropping-particle":"","family":"Gasbarrini","given":"A.","non-dropping-particle":"","parse-names":false,"suffix":""},{"dropping-particle":"","family":"Atherton","given":"J.","non-dropping-particle":"","parse-names":false,"suffix":""},{"dropping-particle":"","family":"Graham","given":"D. Y.","non-dropping-particle":"","parse-names":false,"suffix":""},{"dropping-particle":"","family":"Hunt","given":"R.","non-dropping-particle":"","parse-names":false,"suffix":""},{"dropping-particle":"","family":"Moayyedi","given":"P.","non-dropping-particle":"","parse-names":false,"suffix":""},{"dropping-particle":"","family":"Rokkas","given":"T.","non-dropping-particle":"","parse-names":false,"suffix":""},{"dropping-particle":"","family":"Rugge","given":"M.","non-dropping-particle":"","parse-names":false,"suffix":""},{"dropping-particle":"","family":"Selgrad","given":"M.","non-dropping-particle":"","parse-names":false,"suffix":""},{"dropping-particle":"","family":"Suerbaum","given":"S.","non-dropping-particle":"","parse-names":false,"suffix":""},{"dropping-particle":"","family":"Sugano","given":"K.","non-dropping-particle":"","parse-names":false,"suffix":""},{"dropping-particle":"","family":"El-Omar","given":"E.","non-dropping-particle":"","parse-names":false,"suffix":""},{"dropping-particle":"","family":"Agreus","given":"L.","non-dropping-particle":"","parse-names":false,"suffix":""},{"dropping-particle":"","family":"Andersen","given":"L. P.","non-dropping-particle":"","parse-names":false,"suffix":""},{"dropping-particle":"","family":"Coelho","given":"L.","non-dropping-particle":"","parse-names":false,"suffix":""},{"dropping-particle":"","family":"Delchier","given":"J. C.","non-dropping-particle":"","parse-names":false,"suffix":""},{"dropping-particle":"","family":"Mario","given":"F.","non-dropping-particle":"Di","parse-names":false,"suffix":""},{"dropping-particle":"","family":"Dinis-Ribeiro","given":"M.","non-dropping-particle":"","parse-names":false,"suffix":""},{"dropping-particle":"","family":"Fischbach","given":"W.","non-dropping-particle":"","parse-names":false,"suffix":""},{"dropping-particle":"","family":"Flahou","given":"B.","non-dropping-particle":"","parse-names":false,"suffix":""},{"dropping-particle":"","family":"Fock","given":"K. M.","non-dropping-particle":"","parse-names":false,"suffix":""},{"dropping-particle":"","family":"Gasbarrini","given":"G.","non-dropping-particle":"","parse-names":false,"suffix":""},{"dropping-particle":"","family":"Gensini","given":"G.","non-dropping-particle":"","parse-names":false,"suffix":""},{"dropping-particle":"","family":"Goh","given":"K. L.","non-dropping-particle":"","parse-names":false,"suffix":""},{"dropping-particle":"","family":"Herrero","given":"R.","non-dropping-particle":"","parse-names":false,"suffix":""},{"dropping-particle":"","family":"Kupcinskas","given":"L.","non-dropping-particle":"","parse-names":false,"suffix":""},{"dropping-particle":"","family":"Lanas","given":"A.","non-dropping-particle":"","parse-names":false,"suffix":""},{"dropping-particle":"","family":"Leja","given":"M.","non-dropping-particle":"","parse-names":false,"suffix":""},{"dropping-particle":"","family":"Machado","given":"J. C.","non-dropping-particle":"","parse-names":false,"suffix":""},{"dropping-particle":"","family":"Mahachai","given":"V.","non-dropping-particle":"","parse-names":false,"suffix":""},{"dropping-particle":"","family":"Milosavljevic","given":"T.","non-dropping-particle":"","parse-names":false,"suffix":""},{"dropping-particle":"","family":"Niv","given":"Y.","non-dropping-particle":"","parse-names":false,"suffix":""},{"dropping-particle":"","family":"Ristimaki","given":"A.","non-dropping-particle":"","parse-names":false,"suffix":""},{"dropping-particle":"","family":"Tepes","given":"B.","non-dropping-particle":"","parse-names":false,"suffix":""},{"dropping-particle":"","family":"Vaira","given":"D.","non-dropping-particle":"","parse-names":false,"suffix":""},{"dropping-particle":"","family":"Vieth","given":"M.","non-dropping-particle":"","parse-names":false,"suffix":""},{"dropping-particle":"","family":"You","given":"W.","non-dropping-particle":"","parse-names":false,"suffix":""}],"container-title":"Gut","id":"ITEM-1","issue":"1","issued":{"date-parts":[["2016"]]},"page":"6-30","title":"Management of helicobacter pylori infection-the Maastricht V/Florence consensus report","type":"article-journal","volume":"66"},"uris":["http://www.mendeley.com/documents/?uuid=6fec03bd-0d3d-48b2-8c63-be9e25d56678"]},{"id":"ITEM-2","itemData":{"DOI":"10.1038/ajg.2016.563","ISSN":"15720241","abstract":"Helicobacter pylori (H. pylori) infection is a common worldwide infection that is an important cause of peptic ulcer disease and gastric cancer. H. pylori may also have a role in uninvestigated and functional dyspepsia, ulcer risk in patients taking low-dose aspirin or starting therapy with a non-steroidal anti-inflammatory medication, unexplained iron deficiency anemia, and idiopathic thrombocytopenic purpura. While choosing a treatment regimen for H. pylori, patients should be asked about previous antibiotic exposure and this information should be incorporated into the decision-making process. For first-line treatment, clarithromycin triple therapy should be confined to patients with no previous history of macrolide exposure who reside in areas where clarithromycin resistance amongst H. pylori isolates is known to be low. Most patients will be better served by first-line treatment with bismuth quadruple therapy or concomitant therapy consisting of a PPI, clarithromycin, amoxicillin, and metronidazole. When first-line therapy fails, a salvage regimen should avoid antibiotics that were previously used. If a patient received a first-line treatment containing clarithromycin, bismuth quadruple therapy or levofloxacin salvage regimens are the preferred treatment options. If a patient received first-line bismuth quadruple therapy, clarithromycin or levofloxacin-containing salvage regimens are the preferred treatment options. Details regarding the drugs, doses and durations of the recommended and suggested first-line and salvage regimens can be found in the guideline.","author":[{"dropping-particle":"","family":"Chey","given":"William D.","non-dropping-particle":"","parse-names":false,"suffix":""},{"dropping-particle":"","family":"Leontiadis","given":"Grigorios I.","non-dropping-particle":"","parse-names":false,"suffix":""},{"dropping-particle":"","family":"Howden","given":"Colin W.","non-dropping-particle":"","parse-names":false,"suffix":""},{"dropping-particle":"","family":"Moss","given":"Steven F.","non-dropping-particle":"","parse-names":false,"suffix":""}],"container-title":"American Journal of Gastroenterology","id":"ITEM-2","issue":"2","issued":{"date-parts":[["2017"]]},"page":"212-238","title":"ACG Clinical Guideline: Treatment of Helicobacter pylori Infection","type":"article-journal","volume":"112"},"uris":["http://www.mendeley.com/documents/?uuid=ab73e8ba-7111-4b2a-808f-29ffdb40e16d"]},{"id":"ITEM-3","itemData":{"DOI":"10.1053/j.gastro.2016.04.006","ISSN":"15280012","abstract":"Background &amp; Aims Helicobacter pylori infection is increasingly difficult to treat. The purpose of these consensus statements is to provide a review of the literature and specific, updated recommendations for eradication therapy in adults. Methods A systematic literature search identified studies on H pylori treatment. The quality of evidence and strength of recommendations were rated according to the Grading of Recommendation Assessment, Development and Evaluation (GRADE) approach. Statements were developed through an online platform, finalized, and voted on by an international working group of specialists chosen by the Canadian Association of Gastroenterology. Results Because of increasing failure of therapy, the consensus group strongly recommends that all H pylori eradication regimens now be given for 14 days. Recommended first-line strategies include concomitant nonbismuth quadruple therapy (proton pump inhibitor [PPI] + amoxicillin + metronidazole + clarithromycin [PAMC]) and traditional bismuth quadruple therapy (PPI + bismuth + metronidazole + tetracycline [PBMT]). PPI triple therapy (PPI + clarithromycin + either amoxicillin or metronidazole) is restricted to areas with known low clarithromycin resistance or high eradication success with these regimens. Recommended rescue therapies include PBMT and levofloxacin-containing therapy (PPI + amoxicillin + levofloxacin). Rifabutin regimens should be restricted to patients who have failed to respond to at least 3 prior options. Conclusions Optimal treatment of H pylori infection requires careful attention to local antibiotic resistance and eradication patterns. The quadruple therapies PAMC or PBMT should play a more prominent role in eradication of H pylori infection, and all treatments should be given for 14 days.","author":[{"dropping-particle":"","family":"Fallone","given":"Carlo A.","non-dropping-particle":"","parse-names":false,"suffix":""},{"dropping-particle":"","family":"Chiba","given":"Naoki","non-dropping-particle":"","parse-names":false,"suffix":""},{"dropping-particle":"","family":"Zanten","given":"Sander Veldhuyzen","non-dropping-particle":"van","parse-names":false,"suffix":""},{"dropping-particle":"","family":"Fischbach","given":"Lori","non-dropping-particle":"","parse-names":false,"suffix":""},{"dropping-particle":"","family":"Gisbert","given":"Javier P.","non-dropping-particle":"","parse-names":false,"suffix":""},{"dropping-particle":"","family":"Hunt","given":"Richard H.","non-dropping-particle":"","parse-names":false,"suffix":""},{"dropping-particle":"","family":"Jones","given":"Nicola L.","non-dropping-particle":"","parse-names":false,"suffix":""},{"dropping-particle":"","family":"Render","given":"Craig","non-dropping-particle":"","parse-names":false,"suffix":""},{"dropping-particle":"","family":"Leontiadis","given":"Grigorios I.","non-dropping-particle":"","parse-names":false,"suffix":""},{"dropping-particle":"","family":"Moayyedi","given":"Paul","non-dropping-particle":"","parse-names":false,"suffix":""},{"dropping-particle":"","family":"Marshall","given":"John K.","non-dropping-particle":"","parse-names":false,"suffix":""}],"container-title":"Gastroenterology","id":"ITEM-3","issue":"1","issued":{"date-parts":[["2016"]]},"page":"51-69.e14","publisher":"Elsevier, Inc","title":"The Toronto Consensus for the Treatment of Helicobacter pylori Infection in Adults","type":"article-journal","volume":"151"},"uris":["http://www.mendeley.com/documents/?uuid=58af8ef9-be6a-45df-9553-da8a033cb0a3"]}],"mendeley":{"formattedCitation":"&lt;sup&gt;[204–206]&lt;/sup&gt;","plainTextFormattedCitation":"[204–206]","previouslyFormattedCitation":"&lt;sup&gt;[204–206]&lt;/sup&gt;"},"properties":{"noteIndex":0},"schema":"https://github.com/citation-style-language/schema/raw/master/csl-citation.json"}</w:instrText>
      </w:r>
      <w:r w:rsidRPr="005C7810">
        <w:rPr>
          <w:rFonts w:ascii="Book Antiqua" w:hAnsi="Book Antiqua" w:cs="Times New Roman"/>
          <w:color w:val="000000"/>
          <w:sz w:val="24"/>
          <w:szCs w:val="24"/>
          <w:vertAlign w:val="superscript"/>
          <w:lang w:val="en-US"/>
        </w:rPr>
        <w:fldChar w:fldCharType="separate"/>
      </w:r>
      <w:r w:rsidRPr="005C7810">
        <w:rPr>
          <w:rFonts w:ascii="Book Antiqua" w:hAnsi="Book Antiqua" w:cs="Times New Roman"/>
          <w:color w:val="000000"/>
          <w:sz w:val="24"/>
          <w:szCs w:val="24"/>
          <w:vertAlign w:val="superscript"/>
          <w:lang w:val="en-US"/>
        </w:rPr>
        <w:t>[204–206]</w:t>
      </w:r>
      <w:r w:rsidRPr="005C7810">
        <w:rPr>
          <w:rFonts w:ascii="Book Antiqua" w:hAnsi="Book Antiqua" w:cs="Times New Roman"/>
          <w:color w:val="000000"/>
          <w:sz w:val="24"/>
          <w:szCs w:val="24"/>
          <w:vertAlign w:val="superscript"/>
          <w:lang w:val="en-US"/>
        </w:rPr>
        <w:fldChar w:fldCharType="end"/>
      </w:r>
      <w:r w:rsidRPr="005C7810">
        <w:rPr>
          <w:rFonts w:ascii="Book Antiqua" w:hAnsi="Book Antiqua" w:cs="Times New Roman"/>
          <w:color w:val="000000"/>
          <w:sz w:val="24"/>
          <w:szCs w:val="24"/>
          <w:lang w:val="en-US"/>
        </w:rPr>
        <w:t xml:space="preserve"> </w:t>
      </w:r>
      <w:r w:rsidR="008C09CB" w:rsidRPr="005C7810">
        <w:rPr>
          <w:rFonts w:ascii="Book Antiqua" w:hAnsi="Book Antiqua" w:cs="Times New Roman"/>
          <w:color w:val="000000"/>
          <w:sz w:val="24"/>
          <w:szCs w:val="24"/>
          <w:lang w:val="en-US"/>
        </w:rPr>
        <w:t xml:space="preserve">but </w:t>
      </w:r>
      <w:r w:rsidR="004A2CD8" w:rsidRPr="005C7810">
        <w:rPr>
          <w:rFonts w:ascii="Book Antiqua" w:hAnsi="Book Antiqua" w:cs="Times New Roman"/>
          <w:color w:val="000000"/>
          <w:sz w:val="24"/>
          <w:szCs w:val="24"/>
          <w:lang w:val="en-US"/>
        </w:rPr>
        <w:t>none</w:t>
      </w:r>
      <w:r w:rsidR="008C09CB" w:rsidRPr="005C7810">
        <w:rPr>
          <w:rFonts w:ascii="Book Antiqua" w:hAnsi="Book Antiqua" w:cs="Times New Roman"/>
          <w:color w:val="000000"/>
          <w:sz w:val="24"/>
          <w:szCs w:val="24"/>
          <w:lang w:val="en-US"/>
        </w:rPr>
        <w:t xml:space="preserve"> overcome the problem of resistance. </w:t>
      </w:r>
      <w:r w:rsidR="008C09CB" w:rsidRPr="005C7810">
        <w:rPr>
          <w:rFonts w:ascii="Book Antiqua" w:hAnsi="Book Antiqua" w:cs="Times New Roman"/>
          <w:color w:val="000000"/>
          <w:sz w:val="24"/>
          <w:szCs w:val="24"/>
        </w:rPr>
        <w:t xml:space="preserve">Fallone </w:t>
      </w:r>
      <w:r w:rsidR="008C09CB" w:rsidRPr="005C7810">
        <w:rPr>
          <w:rFonts w:ascii="Book Antiqua" w:hAnsi="Book Antiqua" w:cs="Times New Roman"/>
          <w:i/>
          <w:iCs/>
          <w:color w:val="000000"/>
          <w:sz w:val="24"/>
          <w:szCs w:val="24"/>
        </w:rPr>
        <w:t>et al</w:t>
      </w:r>
      <w:r w:rsidR="004A2CD8" w:rsidRPr="005C7810">
        <w:rPr>
          <w:rFonts w:ascii="Book Antiqua" w:hAnsi="Book Antiqua" w:cs="Times New Roman"/>
          <w:color w:val="000000"/>
          <w:sz w:val="24"/>
          <w:szCs w:val="24"/>
          <w:vertAlign w:val="superscript"/>
          <w:lang w:val="en-US"/>
        </w:rPr>
        <w:fldChar w:fldCharType="begin" w:fldLock="1"/>
      </w:r>
      <w:r w:rsidR="004A2CD8" w:rsidRPr="005C7810">
        <w:rPr>
          <w:rFonts w:ascii="Book Antiqua" w:hAnsi="Book Antiqua" w:cs="Times New Roman"/>
          <w:color w:val="000000"/>
          <w:sz w:val="24"/>
          <w:szCs w:val="24"/>
          <w:vertAlign w:val="superscript"/>
        </w:rPr>
        <w:instrText>ADDIN CSL_CITATION {"citationItems":[{"id":"ITEM-1","itemData":{"DOI":"10.1053/j.gastro.2019.04.011","ISSN":"00165085","abstract":"Increasing resistance to antibiotics, worldwide, has adverse effects on the effectiveness of standard therapies to eradicate Helicobacter pylori infection. We reviewed guidelines developed by expert groups in Europe, Canada, and the United States for the treatment of Helicobacter pylori infection. We compared the recommendations of these guidelines, reconciled them, and addressed the increasing resistance of H pylori to antibiotic therapy regimens. The guidelines recommend bismuth for first-line treatment, replacing clarithromycin-based triple therapy. There is consensus for concomitant 4-drug therapy as an alternative, especially when bismuth is not available. When therapy is unsuccessful, it is likely due to resistance to clarithromycin, levofloxacin, and/or metronidazole; these drugs, if previously used, should be avoided in subsequent eradication attempts. Second-line therapies should be bismuth quadruple therapy or levofloxacin triple therapy, depending on suspected resistance, reserving rifabutin-based triple and high-dose dual amoxicillin proton pump inhibitor therapy for subsequent treatment attempts The increasing resistance of H pylori to antibiotic therapy necessitates local availability of susceptibility tests for individuals, and establishment of regional and national monitoring programs to develop evidence-based locally relevant eradication strategies. Further studies into the development of more easily accessible methods of resistance testing, such as biomarker analysis of stool samples, are required. Options under investigation include substituting vonoprazan for proton pump inhibitors, adding probiotics, and vaccine development. Narrow-spectrum antibiotics and new therapeutic targets could be identified based on genomic, proteomic, and metabolomic analyses of H pylori.","author":[{"dropping-particle":"","family":"Fallone","given":"Carlo A.","non-dropping-particle":"","parse-names":false,"suffix":""},{"dropping-particle":"","family":"Moss","given":"Steven F.","non-dropping-particle":"","parse-names":false,"suffix":""},{"dropping-particle":"","family":"Malfertheiner","given":"Peter","non-dropping-particle":"","parse-names":false,"suffix":""}],"container-title":"Gastroenterology","id":"ITEM-1","issue":"May","issued":{"date-parts":[["2019"]]},"page":"1-10","publisher":"Elsevier, Inc","title":"Reconciliation of Recent Helicobacter pylori Treatment Guidelines in a Time of Increasing Resistance to Antibiotics","type":"article-journal"},"uris":["http://www.mendeley.com/documents/?uuid=16a7030e-a436-492e-8e4d-b801dcf3e7d2"]}],"mendeley":{"formattedCitation":"&lt;sup&gt;[207]&lt;/sup&gt;","plainTextFormattedCitation":"[207]","previouslyFormattedCitation":"&lt;sup&gt;[207]&lt;/sup&gt;"},"properties":{"noteIndex":0},"schema":"https://github.com/citation-style-language/schema/raw/master/csl-citation.json"}</w:instrText>
      </w:r>
      <w:r w:rsidR="004A2CD8" w:rsidRPr="005C7810">
        <w:rPr>
          <w:rFonts w:ascii="Book Antiqua" w:hAnsi="Book Antiqua" w:cs="Times New Roman"/>
          <w:color w:val="000000"/>
          <w:sz w:val="24"/>
          <w:szCs w:val="24"/>
          <w:vertAlign w:val="superscript"/>
          <w:lang w:val="en-US"/>
        </w:rPr>
        <w:fldChar w:fldCharType="separate"/>
      </w:r>
      <w:r w:rsidR="004A2CD8" w:rsidRPr="005C7810">
        <w:rPr>
          <w:rFonts w:ascii="Book Antiqua" w:hAnsi="Book Antiqua" w:cs="Times New Roman"/>
          <w:color w:val="000000"/>
          <w:sz w:val="24"/>
          <w:szCs w:val="24"/>
          <w:vertAlign w:val="superscript"/>
        </w:rPr>
        <w:t>[207]</w:t>
      </w:r>
      <w:r w:rsidR="004A2CD8" w:rsidRPr="005C7810">
        <w:rPr>
          <w:rFonts w:ascii="Book Antiqua" w:hAnsi="Book Antiqua" w:cs="Times New Roman"/>
          <w:color w:val="000000"/>
          <w:sz w:val="24"/>
          <w:szCs w:val="24"/>
          <w:vertAlign w:val="superscript"/>
          <w:lang w:val="en-US"/>
        </w:rPr>
        <w:fldChar w:fldCharType="end"/>
      </w:r>
      <w:r w:rsidR="008C09CB" w:rsidRPr="005C7810">
        <w:rPr>
          <w:rFonts w:ascii="Book Antiqua" w:hAnsi="Book Antiqua" w:cs="Times New Roman"/>
          <w:color w:val="000000"/>
          <w:sz w:val="24"/>
          <w:szCs w:val="24"/>
        </w:rPr>
        <w:t xml:space="preserve"> recently revised the guidelines to arrive at the best treatment options</w:t>
      </w:r>
      <w:r w:rsidR="004A2CD8" w:rsidRPr="005C7810">
        <w:rPr>
          <w:rFonts w:ascii="Book Antiqua" w:hAnsi="Book Antiqua" w:cs="Times New Roman"/>
          <w:color w:val="000000"/>
          <w:sz w:val="24"/>
          <w:szCs w:val="24"/>
        </w:rPr>
        <w:t>;</w:t>
      </w:r>
      <w:r w:rsidR="008C09CB" w:rsidRPr="005C7810">
        <w:rPr>
          <w:rFonts w:ascii="Book Antiqua" w:hAnsi="Book Antiqua" w:cs="Times New Roman"/>
          <w:color w:val="000000"/>
          <w:sz w:val="24"/>
          <w:szCs w:val="24"/>
        </w:rPr>
        <w:t xml:space="preserve"> </w:t>
      </w:r>
      <w:r w:rsidR="004A2CD8" w:rsidRPr="005C7810">
        <w:rPr>
          <w:rFonts w:ascii="Book Antiqua" w:hAnsi="Book Antiqua" w:cs="Times New Roman"/>
          <w:color w:val="000000"/>
          <w:sz w:val="24"/>
          <w:szCs w:val="24"/>
        </w:rPr>
        <w:t>h</w:t>
      </w:r>
      <w:r w:rsidR="008C09CB" w:rsidRPr="005C7810">
        <w:rPr>
          <w:rFonts w:ascii="Book Antiqua" w:hAnsi="Book Antiqua" w:cs="Times New Roman"/>
          <w:color w:val="000000"/>
          <w:sz w:val="24"/>
          <w:szCs w:val="24"/>
        </w:rPr>
        <w:t xml:space="preserve">owever, GC still develops after </w:t>
      </w:r>
      <w:r w:rsidR="004A2CD8" w:rsidRPr="005C7810">
        <w:rPr>
          <w:rFonts w:ascii="Book Antiqua" w:hAnsi="Book Antiqua" w:cs="Times New Roman"/>
          <w:color w:val="000000"/>
          <w:sz w:val="24"/>
          <w:szCs w:val="24"/>
        </w:rPr>
        <w:t xml:space="preserve">the </w:t>
      </w:r>
      <w:r w:rsidR="008C09CB" w:rsidRPr="005C7810">
        <w:rPr>
          <w:rFonts w:ascii="Book Antiqua" w:hAnsi="Book Antiqua" w:cs="Times New Roman"/>
          <w:color w:val="000000"/>
          <w:sz w:val="24"/>
          <w:szCs w:val="24"/>
        </w:rPr>
        <w:t xml:space="preserve">eradication. </w:t>
      </w:r>
      <w:r w:rsidR="008C09CB" w:rsidRPr="005C7810">
        <w:rPr>
          <w:rFonts w:ascii="Book Antiqua" w:hAnsi="Book Antiqua" w:cs="Times New Roman"/>
          <w:color w:val="000000"/>
          <w:sz w:val="24"/>
          <w:szCs w:val="24"/>
          <w:lang w:val="en-US"/>
        </w:rPr>
        <w:t xml:space="preserve">Many Japanese </w:t>
      </w:r>
      <w:r w:rsidR="004A2CD8" w:rsidRPr="005C7810">
        <w:rPr>
          <w:rFonts w:ascii="Book Antiqua" w:hAnsi="Book Antiqua" w:cs="Times New Roman"/>
          <w:color w:val="000000"/>
          <w:sz w:val="24"/>
          <w:szCs w:val="24"/>
          <w:lang w:val="en-US"/>
        </w:rPr>
        <w:t xml:space="preserve">investigators </w:t>
      </w:r>
      <w:r w:rsidR="008C09CB" w:rsidRPr="005C7810">
        <w:rPr>
          <w:rFonts w:ascii="Book Antiqua" w:hAnsi="Book Antiqua" w:cs="Times New Roman"/>
          <w:color w:val="000000"/>
          <w:sz w:val="24"/>
          <w:szCs w:val="24"/>
          <w:lang w:val="en-US"/>
        </w:rPr>
        <w:t>have reported that the presence of severe atrophy after eradication represents a risk factor for the development of GC</w:t>
      </w:r>
      <w:r w:rsidR="008C09CB" w:rsidRPr="005C7810">
        <w:rPr>
          <w:rFonts w:ascii="Book Antiqua" w:hAnsi="Book Antiqua" w:cs="Times New Roman"/>
          <w:color w:val="000000"/>
          <w:sz w:val="24"/>
          <w:szCs w:val="24"/>
          <w:vertAlign w:val="superscript"/>
          <w:lang w:val="en-US"/>
        </w:rPr>
        <w:fldChar w:fldCharType="begin" w:fldLock="1"/>
      </w:r>
      <w:r w:rsidR="008C09CB" w:rsidRPr="005C7810">
        <w:rPr>
          <w:rFonts w:ascii="Book Antiqua" w:hAnsi="Book Antiqua" w:cs="Times New Roman"/>
          <w:color w:val="000000"/>
          <w:sz w:val="24"/>
          <w:szCs w:val="24"/>
          <w:vertAlign w:val="superscript"/>
          <w:lang w:val="en-US"/>
        </w:rPr>
        <w:instrText>ADDIN CSL_CITATION {"citationItems":[{"id":"ITEM-1","itemData":{"DOI":"10.3748/wjg.v24.i20.2163","ISBN":"0000000283243","ISSN":"22192840","abstract":"Helicobacter pylori (H. pylori) eradication can reduce gastric cancer. However, gastric cancer still develops after eradication, and cases who received eradication therapy are increasing. In this study, we have reviewed the characteristics and predictors of primary gastric cancer developing after H. pylori eradication. In terms of the characteristics, endoscopic, histologic, and molecular characteristics are reported. Endoscopically, gastric cancer after eradication is often depressed-type and shows a gastritis-like appearance, which sometimes makes the diagnosis difficult. Histologically, most gastric cancer after eradication is intestinal type, and non-neoplastic epithelium, also called epithelium with low-grade atypia, is frequently seen over the tumor, which is presumably the cause of the endoscopic gastritis-like appearance. As for molecular characteristics, some markers, such as Ki67, MUC2, and Wnt5a expression, are lower in cancer from patients in whom H. pylori has been eradicated. In terms of predictors, several Japanese studies have reported that severe endoscopic atrophy at eradication is a risk factor for gastric cancer development. Histologic intestinal metaplasia, especially in the corpus, and long-term use of proton pump inhibitors, are also reported as risk factors for gastric cancer after H. pylori eradication. These studies on the characteristics and predictors of gastric cancer development will become the cornerstone for establishing a novel surveillance program based on the gastric cancer risk stratification specific to H. pylori-eradicated patients.","author":[{"dropping-particle":"","family":"Shichijo","given":"Satoki","non-dropping-particle":"","parse-names":false,"suffix":""},{"dropping-particle":"","family":"Hirata","given":"Yoshihiro","non-dropping-particle":"","parse-names":false,"suffix":""}],"container-title":"World Journal of Gastroenterology","id":"ITEM-1","issue":"20","issued":{"date-parts":[["2018"]]},"page":"2163-2172","title":"Characteristics and predictors of gastric cancer after Helicobacter pylori eradication","type":"article-journal","volume":"24"},"uris":["http://www.mendeley.com/documents/?uuid=d6fe74d4-4350-46be-9d9c-53e89751ffc2"]}],"mendeley":{"formattedCitation":"&lt;sup&gt;[208]&lt;/sup&gt;","plainTextFormattedCitation":"[208]","previouslyFormattedCitation":"&lt;sup&gt;[208]&lt;/sup&gt;"},"properties":{"noteIndex":0},"schema":"https://github.com/citation-style-language/schema/raw/master/csl-citation.json"}</w:instrText>
      </w:r>
      <w:r w:rsidR="008C09CB" w:rsidRPr="005C7810">
        <w:rPr>
          <w:rFonts w:ascii="Book Antiqua" w:hAnsi="Book Antiqua" w:cs="Times New Roman"/>
          <w:color w:val="000000"/>
          <w:sz w:val="24"/>
          <w:szCs w:val="24"/>
          <w:vertAlign w:val="superscript"/>
          <w:lang w:val="en-US"/>
        </w:rPr>
        <w:fldChar w:fldCharType="separate"/>
      </w:r>
      <w:r w:rsidR="008C09CB" w:rsidRPr="005C7810">
        <w:rPr>
          <w:rFonts w:ascii="Book Antiqua" w:hAnsi="Book Antiqua" w:cs="Times New Roman"/>
          <w:color w:val="000000"/>
          <w:sz w:val="24"/>
          <w:szCs w:val="24"/>
          <w:vertAlign w:val="superscript"/>
          <w:lang w:val="en-US"/>
        </w:rPr>
        <w:t>[208]</w:t>
      </w:r>
      <w:r w:rsidR="008C09CB" w:rsidRPr="005C7810">
        <w:rPr>
          <w:rFonts w:ascii="Book Antiqua" w:hAnsi="Book Antiqua" w:cs="Times New Roman"/>
          <w:color w:val="000000"/>
          <w:sz w:val="24"/>
          <w:szCs w:val="24"/>
          <w:vertAlign w:val="superscript"/>
          <w:lang w:val="en-US"/>
        </w:rPr>
        <w:fldChar w:fldCharType="end"/>
      </w:r>
      <w:r w:rsidR="008C09CB" w:rsidRPr="005C7810">
        <w:rPr>
          <w:rFonts w:ascii="Book Antiqua" w:hAnsi="Book Antiqua" w:cs="Times New Roman"/>
          <w:color w:val="000000"/>
          <w:sz w:val="24"/>
          <w:szCs w:val="24"/>
          <w:lang w:val="en-US"/>
        </w:rPr>
        <w:t>. Hence</w:t>
      </w:r>
      <w:r w:rsidR="004A2CD8" w:rsidRPr="005C7810">
        <w:rPr>
          <w:rFonts w:ascii="Book Antiqua" w:hAnsi="Book Antiqua" w:cs="Times New Roman"/>
          <w:color w:val="000000"/>
          <w:sz w:val="24"/>
          <w:szCs w:val="24"/>
          <w:lang w:val="en-US"/>
        </w:rPr>
        <w:t>,</w:t>
      </w:r>
      <w:r w:rsidR="008C09CB" w:rsidRPr="005C7810">
        <w:rPr>
          <w:rFonts w:ascii="Book Antiqua" w:hAnsi="Book Antiqua" w:cs="Times New Roman"/>
          <w:color w:val="000000"/>
          <w:sz w:val="24"/>
          <w:szCs w:val="24"/>
          <w:lang w:val="en-US"/>
        </w:rPr>
        <w:t xml:space="preserve"> the</w:t>
      </w:r>
      <w:r w:rsidR="004A2CD8" w:rsidRPr="005C7810">
        <w:rPr>
          <w:rFonts w:ascii="Book Antiqua" w:hAnsi="Book Antiqua" w:cs="Times New Roman"/>
          <w:color w:val="000000"/>
          <w:sz w:val="24"/>
          <w:szCs w:val="24"/>
          <w:lang w:val="en-US"/>
        </w:rPr>
        <w:t>re is a</w:t>
      </w:r>
      <w:r w:rsidR="008C09CB" w:rsidRPr="005C7810">
        <w:rPr>
          <w:rFonts w:ascii="Book Antiqua" w:hAnsi="Book Antiqua" w:cs="Times New Roman"/>
          <w:color w:val="000000"/>
          <w:sz w:val="24"/>
          <w:szCs w:val="24"/>
          <w:lang w:val="en-US"/>
        </w:rPr>
        <w:t xml:space="preserve"> need for specific endoscopic surveillance programs for this type of patient</w:t>
      </w:r>
      <w:r w:rsidR="006D4749" w:rsidRPr="005C7810">
        <w:rPr>
          <w:rFonts w:ascii="Book Antiqua" w:hAnsi="Book Antiqua" w:cs="Times New Roman"/>
          <w:color w:val="000000"/>
          <w:sz w:val="24"/>
          <w:szCs w:val="24"/>
          <w:lang w:val="en-US"/>
        </w:rPr>
        <w:t>s</w:t>
      </w:r>
      <w:r w:rsidR="008C09CB" w:rsidRPr="005C7810">
        <w:rPr>
          <w:rFonts w:ascii="Book Antiqua" w:hAnsi="Book Antiqua" w:cs="Times New Roman"/>
          <w:color w:val="000000"/>
          <w:sz w:val="24"/>
          <w:szCs w:val="24"/>
          <w:lang w:val="en-US"/>
        </w:rPr>
        <w:t xml:space="preserve">. </w:t>
      </w:r>
    </w:p>
    <w:p w:rsidR="00A5192C" w:rsidRPr="005C7810" w:rsidRDefault="0042523B" w:rsidP="00CD380F">
      <w:pPr>
        <w:spacing w:after="0" w:line="360" w:lineRule="auto"/>
        <w:ind w:firstLine="708"/>
        <w:jc w:val="both"/>
        <w:rPr>
          <w:rFonts w:ascii="Book Antiqua" w:hAnsi="Book Antiqua" w:cs="Times New Roman"/>
          <w:color w:val="000000"/>
          <w:sz w:val="24"/>
          <w:szCs w:val="24"/>
          <w:lang w:val="en-US"/>
        </w:rPr>
      </w:pPr>
      <w:r w:rsidRPr="005C7810">
        <w:rPr>
          <w:rFonts w:ascii="Book Antiqua" w:hAnsi="Book Antiqua" w:cs="Times New Roman"/>
          <w:color w:val="000000"/>
          <w:sz w:val="24"/>
          <w:szCs w:val="24"/>
          <w:lang w:val="en-US"/>
        </w:rPr>
        <w:t xml:space="preserve">Endoscopy </w:t>
      </w:r>
      <w:r w:rsidR="00C73B2D" w:rsidRPr="005C7810">
        <w:rPr>
          <w:rFonts w:ascii="Book Antiqua" w:hAnsi="Book Antiqua" w:cs="Times New Roman"/>
          <w:color w:val="000000"/>
          <w:sz w:val="24"/>
          <w:szCs w:val="24"/>
          <w:lang w:val="en-US"/>
        </w:rPr>
        <w:t xml:space="preserve">plays an important role </w:t>
      </w:r>
      <w:r w:rsidRPr="005C7810">
        <w:rPr>
          <w:rFonts w:ascii="Book Antiqua" w:hAnsi="Book Antiqua" w:cs="Times New Roman"/>
          <w:color w:val="000000"/>
          <w:sz w:val="24"/>
          <w:szCs w:val="24"/>
          <w:lang w:val="en-US"/>
        </w:rPr>
        <w:t>i</w:t>
      </w:r>
      <w:r w:rsidR="00C73B2D" w:rsidRPr="005C7810">
        <w:rPr>
          <w:rFonts w:ascii="Book Antiqua" w:hAnsi="Book Antiqua" w:cs="Times New Roman"/>
          <w:color w:val="000000"/>
          <w:sz w:val="24"/>
          <w:szCs w:val="24"/>
          <w:lang w:val="en-US"/>
        </w:rPr>
        <w:t xml:space="preserve">n </w:t>
      </w:r>
      <w:r w:rsidR="0082228C" w:rsidRPr="005C7810">
        <w:rPr>
          <w:rFonts w:ascii="Book Antiqua" w:hAnsi="Book Antiqua" w:cs="Times New Roman"/>
          <w:color w:val="000000"/>
          <w:sz w:val="24"/>
          <w:szCs w:val="24"/>
          <w:lang w:val="en-US"/>
        </w:rPr>
        <w:t xml:space="preserve">the </w:t>
      </w:r>
      <w:r w:rsidRPr="005C7810">
        <w:rPr>
          <w:rFonts w:ascii="Book Antiqua" w:hAnsi="Book Antiqua" w:cs="Times New Roman"/>
          <w:color w:val="000000"/>
          <w:sz w:val="24"/>
          <w:szCs w:val="24"/>
          <w:lang w:val="en-US"/>
        </w:rPr>
        <w:t>diagnosis of GC</w:t>
      </w:r>
      <w:r w:rsidR="008C09CB" w:rsidRPr="005C7810">
        <w:rPr>
          <w:rFonts w:ascii="Book Antiqua" w:hAnsi="Book Antiqua" w:cs="Times New Roman"/>
          <w:color w:val="000000"/>
          <w:sz w:val="24"/>
          <w:szCs w:val="24"/>
          <w:vertAlign w:val="superscript"/>
          <w:lang w:val="en-US"/>
        </w:rPr>
        <w:fldChar w:fldCharType="begin" w:fldLock="1"/>
      </w:r>
      <w:r w:rsidR="008C09CB" w:rsidRPr="005C7810">
        <w:rPr>
          <w:rFonts w:ascii="Book Antiqua" w:hAnsi="Book Antiqua" w:cs="Times New Roman"/>
          <w:color w:val="000000"/>
          <w:sz w:val="24"/>
          <w:szCs w:val="24"/>
          <w:vertAlign w:val="superscript"/>
          <w:lang w:val="en-US"/>
        </w:rPr>
        <w:instrText>ADDIN CSL_CITATION {"citationItems":[{"id":"ITEM-1","itemData":{"DOI":"10.1016/j.soc.2011.09.002","ISSN":"10553207","abstract":"Gastric cancer is common and is a cause of severe morbidity and mortality. Early diagnosis can improve the chances of cure and prolong survival because prognosis is inversely related to the disease stage. Endoscopy plays an important role in diagnosis. Emerging adjunct technologies such as image-enhanced endoscopy and magnification endoscopy aid in early cancer detection. Endoscopic ultrasonography is an additional useful tool for preoperative staging. Endoscopy for screening, except for high-risk patients, and outside areas of high prevalence, remains controversial. © 2012 Elsevier Inc.","author":[{"dropping-particle":"","family":"Abiad","given":"Rami","non-dropping-particle":"El","parse-names":false,"suffix":""},{"dropping-particle":"","family":"Gerke","given":"Henning","non-dropping-particle":"","parse-names":false,"suffix":""}],"container-title":"Surgical Oncology Clinics of North America","id":"ITEM-1","issue":"1","issued":{"date-parts":[["2012"]]},"page":"1-19","publisher":"Elsevier Inc","title":"Gastric cancer: Endoscopic diagnosis and staging","type":"article-journal","volume":"21"},"uris":["http://www.mendeley.com/documents/?uuid=67713f4c-808e-46e4-b71b-9e493c1ed8f5"]}],"mendeley":{"formattedCitation":"&lt;sup&gt;[209]&lt;/sup&gt;","plainTextFormattedCitation":"[209]","previouslyFormattedCitation":"&lt;sup&gt;[209]&lt;/sup&gt;"},"properties":{"noteIndex":0},"schema":"https://github.com/citation-style-language/schema/raw/master/csl-citation.json"}</w:instrText>
      </w:r>
      <w:r w:rsidR="008C09CB" w:rsidRPr="005C7810">
        <w:rPr>
          <w:rFonts w:ascii="Book Antiqua" w:hAnsi="Book Antiqua" w:cs="Times New Roman"/>
          <w:color w:val="000000"/>
          <w:sz w:val="24"/>
          <w:szCs w:val="24"/>
          <w:vertAlign w:val="superscript"/>
          <w:lang w:val="en-US"/>
        </w:rPr>
        <w:fldChar w:fldCharType="separate"/>
      </w:r>
      <w:r w:rsidR="008C09CB" w:rsidRPr="005C7810">
        <w:rPr>
          <w:rFonts w:ascii="Book Antiqua" w:hAnsi="Book Antiqua" w:cs="Times New Roman"/>
          <w:color w:val="000000"/>
          <w:sz w:val="24"/>
          <w:szCs w:val="24"/>
          <w:vertAlign w:val="superscript"/>
          <w:lang w:val="en-US"/>
        </w:rPr>
        <w:t>[209]</w:t>
      </w:r>
      <w:r w:rsidR="008C09CB" w:rsidRPr="005C7810">
        <w:rPr>
          <w:rFonts w:ascii="Book Antiqua" w:hAnsi="Book Antiqua" w:cs="Times New Roman"/>
          <w:color w:val="000000"/>
          <w:sz w:val="24"/>
          <w:szCs w:val="24"/>
          <w:vertAlign w:val="superscript"/>
          <w:lang w:val="en-US"/>
        </w:rPr>
        <w:fldChar w:fldCharType="end"/>
      </w:r>
      <w:r w:rsidR="008C09CB" w:rsidRPr="005C7810">
        <w:rPr>
          <w:rFonts w:ascii="Book Antiqua" w:hAnsi="Book Antiqua" w:cs="Times New Roman"/>
          <w:color w:val="000000"/>
          <w:sz w:val="24"/>
          <w:szCs w:val="24"/>
          <w:lang w:val="en-US"/>
        </w:rPr>
        <w:t xml:space="preserve">. </w:t>
      </w:r>
      <w:r w:rsidRPr="005C7810">
        <w:rPr>
          <w:rFonts w:ascii="Book Antiqua" w:hAnsi="Book Antiqua" w:cs="Times New Roman"/>
          <w:color w:val="000000"/>
          <w:sz w:val="24"/>
          <w:szCs w:val="24"/>
          <w:lang w:val="en-US"/>
        </w:rPr>
        <w:t>More than 90% of GC</w:t>
      </w:r>
      <w:r w:rsidR="00E272CF" w:rsidRPr="005C7810">
        <w:rPr>
          <w:rFonts w:ascii="Book Antiqua" w:hAnsi="Book Antiqua" w:cs="Times New Roman"/>
          <w:color w:val="000000"/>
          <w:sz w:val="24"/>
          <w:szCs w:val="24"/>
          <w:lang w:val="en-US"/>
        </w:rPr>
        <w:t xml:space="preserve"> case</w:t>
      </w:r>
      <w:r w:rsidRPr="005C7810">
        <w:rPr>
          <w:rFonts w:ascii="Book Antiqua" w:hAnsi="Book Antiqua" w:cs="Times New Roman"/>
          <w:color w:val="000000"/>
          <w:sz w:val="24"/>
          <w:szCs w:val="24"/>
          <w:lang w:val="en-US"/>
        </w:rPr>
        <w:t xml:space="preserve">s </w:t>
      </w:r>
      <w:r w:rsidR="00E272CF" w:rsidRPr="005C7810">
        <w:rPr>
          <w:rFonts w:ascii="Book Antiqua" w:hAnsi="Book Antiqua" w:cs="Times New Roman"/>
          <w:color w:val="000000"/>
          <w:sz w:val="24"/>
          <w:szCs w:val="24"/>
          <w:lang w:val="en-US"/>
        </w:rPr>
        <w:t>are reportedly</w:t>
      </w:r>
      <w:r w:rsidRPr="005C7810">
        <w:rPr>
          <w:rFonts w:ascii="Book Antiqua" w:hAnsi="Book Antiqua" w:cs="Times New Roman"/>
          <w:color w:val="000000"/>
          <w:sz w:val="24"/>
          <w:szCs w:val="24"/>
          <w:lang w:val="en-US"/>
        </w:rPr>
        <w:t xml:space="preserve"> revealed by biopsy-associated endoscopy. </w:t>
      </w:r>
      <w:r w:rsidR="00190279" w:rsidRPr="005C7810">
        <w:rPr>
          <w:rFonts w:ascii="Book Antiqua" w:hAnsi="Book Antiqua" w:cs="Times New Roman"/>
          <w:color w:val="000000"/>
          <w:sz w:val="24"/>
          <w:szCs w:val="24"/>
          <w:lang w:val="en-US"/>
        </w:rPr>
        <w:t>The increased use of endoscopy, thanks also to the revolutionary developments that have occurred recently and that have produced new</w:t>
      </w:r>
      <w:r w:rsidR="0082228C" w:rsidRPr="005C7810">
        <w:rPr>
          <w:rFonts w:ascii="Book Antiqua" w:hAnsi="Book Antiqua" w:cs="Times New Roman"/>
          <w:color w:val="000000"/>
          <w:sz w:val="24"/>
          <w:szCs w:val="24"/>
          <w:lang w:val="en-US"/>
        </w:rPr>
        <w:t>,</w:t>
      </w:r>
      <w:r w:rsidR="00190279" w:rsidRPr="005C7810">
        <w:rPr>
          <w:rFonts w:ascii="Book Antiqua" w:hAnsi="Book Antiqua" w:cs="Times New Roman"/>
          <w:color w:val="000000"/>
          <w:sz w:val="24"/>
          <w:szCs w:val="24"/>
          <w:lang w:val="en-US"/>
        </w:rPr>
        <w:t xml:space="preserve"> more sophisticated systems, has allowed highlight</w:t>
      </w:r>
      <w:r w:rsidR="0082228C" w:rsidRPr="005C7810">
        <w:rPr>
          <w:rFonts w:ascii="Book Antiqua" w:hAnsi="Book Antiqua" w:cs="Times New Roman"/>
          <w:color w:val="000000"/>
          <w:sz w:val="24"/>
          <w:szCs w:val="24"/>
          <w:lang w:val="en-US"/>
        </w:rPr>
        <w:t>ing</w:t>
      </w:r>
      <w:r w:rsidR="00190279" w:rsidRPr="005C7810">
        <w:rPr>
          <w:rFonts w:ascii="Book Antiqua" w:hAnsi="Book Antiqua" w:cs="Times New Roman"/>
          <w:color w:val="000000"/>
          <w:sz w:val="24"/>
          <w:szCs w:val="24"/>
          <w:lang w:val="en-US"/>
        </w:rPr>
        <w:t xml:space="preserve"> </w:t>
      </w:r>
      <w:r w:rsidR="00E272CF" w:rsidRPr="005C7810">
        <w:rPr>
          <w:rFonts w:ascii="Book Antiqua" w:hAnsi="Book Antiqua" w:cs="Times New Roman"/>
          <w:color w:val="000000"/>
          <w:sz w:val="24"/>
          <w:szCs w:val="24"/>
          <w:lang w:val="en-US"/>
        </w:rPr>
        <w:t xml:space="preserve">of </w:t>
      </w:r>
      <w:r w:rsidR="00190279" w:rsidRPr="005C7810">
        <w:rPr>
          <w:rFonts w:ascii="Book Antiqua" w:hAnsi="Book Antiqua" w:cs="Times New Roman"/>
          <w:color w:val="000000"/>
          <w:sz w:val="24"/>
          <w:szCs w:val="24"/>
          <w:lang w:val="en-US"/>
        </w:rPr>
        <w:t>the</w:t>
      </w:r>
      <w:r w:rsidR="00420C30" w:rsidRPr="005C7810">
        <w:rPr>
          <w:rFonts w:ascii="Book Antiqua" w:hAnsi="Book Antiqua" w:cs="Times New Roman"/>
          <w:color w:val="000000"/>
          <w:sz w:val="24"/>
          <w:szCs w:val="24"/>
          <w:lang w:val="en-US"/>
        </w:rPr>
        <w:t xml:space="preserve"> “</w:t>
      </w:r>
      <w:r w:rsidR="00190279" w:rsidRPr="005C7810">
        <w:rPr>
          <w:rFonts w:ascii="Book Antiqua" w:hAnsi="Book Antiqua" w:cs="Times New Roman"/>
          <w:color w:val="000000"/>
          <w:sz w:val="24"/>
          <w:szCs w:val="24"/>
          <w:lang w:val="en-US"/>
        </w:rPr>
        <w:t>early</w:t>
      </w:r>
      <w:r w:rsidR="00E272CF" w:rsidRPr="005C7810">
        <w:rPr>
          <w:rFonts w:ascii="Book Antiqua" w:hAnsi="Book Antiqua" w:cs="Times New Roman"/>
          <w:color w:val="000000"/>
          <w:sz w:val="24"/>
          <w:szCs w:val="24"/>
          <w:lang w:val="en-US"/>
        </w:rPr>
        <w:t>”</w:t>
      </w:r>
      <w:r w:rsidR="00190279" w:rsidRPr="005C7810">
        <w:rPr>
          <w:rFonts w:ascii="Book Antiqua" w:hAnsi="Book Antiqua" w:cs="Times New Roman"/>
          <w:color w:val="000000"/>
          <w:sz w:val="24"/>
          <w:szCs w:val="24"/>
          <w:lang w:val="en-US"/>
        </w:rPr>
        <w:t xml:space="preserve"> </w:t>
      </w:r>
      <w:r w:rsidR="00E272CF" w:rsidRPr="005C7810">
        <w:rPr>
          <w:rFonts w:ascii="Book Antiqua" w:hAnsi="Book Antiqua" w:cs="Times New Roman"/>
          <w:color w:val="000000"/>
          <w:sz w:val="24"/>
          <w:szCs w:val="24"/>
          <w:lang w:val="en-US"/>
        </w:rPr>
        <w:t>GC</w:t>
      </w:r>
      <w:r w:rsidR="00190279" w:rsidRPr="005C7810">
        <w:rPr>
          <w:rFonts w:ascii="Book Antiqua" w:hAnsi="Book Antiqua" w:cs="Times New Roman"/>
          <w:color w:val="000000"/>
          <w:sz w:val="24"/>
          <w:szCs w:val="24"/>
          <w:vertAlign w:val="superscript"/>
          <w:lang w:val="en-US"/>
        </w:rPr>
        <w:fldChar w:fldCharType="begin" w:fldLock="1"/>
      </w:r>
      <w:r w:rsidR="00190279" w:rsidRPr="005C7810">
        <w:rPr>
          <w:rFonts w:ascii="Book Antiqua" w:hAnsi="Book Antiqua" w:cs="Times New Roman"/>
          <w:color w:val="000000"/>
          <w:sz w:val="24"/>
          <w:szCs w:val="24"/>
          <w:vertAlign w:val="superscript"/>
          <w:lang w:val="en-US"/>
        </w:rPr>
        <w:instrText>ADDIN CSL_CITATION {"citationItems":[{"id":"ITEM-1","itemData":{"DOI":"10.1016/j.gii.2014.02.005","ISSN":"22131795","abstract":"Image-enhanced endoscopy refers to techniques of enhancing mucosa surface contrast with the ultimate aim of improving lesion detection and diagnosis. It is vital to detect early gastric cancer as it may be possible to perform curative endoscopic resection. In this topic review, we summarize the options available, such as the traditional dye-based chromoendoscopy, as well as the newer equipment-based techniques such as narrow-band imaging, flexible spectral imaging color enhancement, and i-scan. We further discuss in greater detail the technique of narrow-band imaging combined with magnifying endoscopy, and how this has facilitated lesion characterization and diagnosis based on characteristic abnormal microvascular and microsurface features. Other endoscopic imaging modalities such as autofluorescence imaging and endoscopic microscopy are also briefly discussed.","author":[{"dropping-particle":"","family":"Song","given":"Mingjun","non-dropping-particle":"","parse-names":false,"suffix":""},{"dropping-particle":"","family":"Ang","given":"Tiing Leong","non-dropping-particle":"","parse-names":false,"suffix":""}],"container-title":"Gastrointestinal Intervention","id":"ITEM-1","issue":"1","issued":{"date-parts":[["2014"]]},"page":"1-7","publisher":"The Authors","title":"Early detection of early gastric cancer using image-enhanced endoscopy: Current trends","type":"article-journal","volume":"3"},"uris":["http://www.mendeley.com/documents/?uuid=e7041faa-59cc-43bb-9406-b067cb96b278"]},{"id":"ITEM-2","itemData":{"DOI":"10.4293/jsls.2017.00053","ISSN":"1086-8089","abstract":"© 2018 by JSLS. Background: Gastrointestinal (GI) tumors are the most commonly diagnosed cancers worldwide and the second leading cause of cancer-related death. Endoscopy is the gold standard for diagnosis of GI cancers. Early diagnosis of GI tumors by endoscopy at the precancerous or early stage may decrease the prevalence and mortality rate of GI cancers. The preventive role of endoscopic interventions and the limitations of conventional white-light endoscopy have given rise to myriad innovations. Chromoendoscopy with dye injection can be used to detect lesions at an early stage. However, the prolonged procedure duration and steep learning curve are disadvantages of chromoendoscopy. Recent technological advances in imaging enhancement have enabled detection of GI lesions without the need for dye injection, using digital chromoendoscopy systems, of which flexible spectralimaging color enhancement, narrow-band imaging, and I-Scan are the most frequently used. The combination of endoscopic image magnification and high-definition optical systems using digital endoscopic methods has increased the diagnostic value of endoscopy. The development of confocal laser endomicroscopy has also improved in vivo endoscopic diagnosis. This review focuses on the latest technological innovations in endoscopy.","author":[{"dropping-particle":"","family":"Akarsu","given":"Murat","non-dropping-particle":"","parse-names":false,"suffix":""},{"dropping-particle":"","family":"Akarsu","given":"Cevher","non-dropping-particle":"","parse-names":false,"suffix":""}],"container-title":"JSLS : Journal of the Society of Laparoendoscopic Surgeons","id":"ITEM-2","issue":"1","issued":{"date-parts":[["2018"]]},"page":"e2017.00053","title":"Evaluation of New Technologies in Gastrointestinal Endoscopy","type":"article-journal","volume":"22"},"uris":["http://www.mendeley.com/documents/?uuid=9027b871-0ec2-4edc-86ac-8bd536ce4800"]}],"mendeley":{"formattedCitation":"&lt;sup&gt;[210,211]&lt;/sup&gt;","plainTextFormattedCitation":"[210,211]","previouslyFormattedCitation":"&lt;sup&gt;[210,211]&lt;/sup&gt;"},"properties":{"noteIndex":0},"schema":"https://github.com/citation-style-language/schema/raw/master/csl-citation.json"}</w:instrText>
      </w:r>
      <w:r w:rsidR="00190279" w:rsidRPr="005C7810">
        <w:rPr>
          <w:rFonts w:ascii="Book Antiqua" w:hAnsi="Book Antiqua" w:cs="Times New Roman"/>
          <w:color w:val="000000"/>
          <w:sz w:val="24"/>
          <w:szCs w:val="24"/>
          <w:vertAlign w:val="superscript"/>
          <w:lang w:val="en-US"/>
        </w:rPr>
        <w:fldChar w:fldCharType="separate"/>
      </w:r>
      <w:r w:rsidR="00EB5755" w:rsidRPr="005C7810">
        <w:rPr>
          <w:rFonts w:ascii="Book Antiqua" w:hAnsi="Book Antiqua" w:cs="Times New Roman"/>
          <w:color w:val="000000"/>
          <w:sz w:val="24"/>
          <w:szCs w:val="24"/>
          <w:vertAlign w:val="superscript"/>
          <w:lang w:val="en-US"/>
        </w:rPr>
        <w:t>[210</w:t>
      </w:r>
      <w:r w:rsidR="001253B8" w:rsidRPr="005C7810">
        <w:rPr>
          <w:rFonts w:ascii="Book Antiqua" w:hAnsi="Book Antiqua" w:cs="Times New Roman"/>
          <w:color w:val="000000"/>
          <w:sz w:val="24"/>
          <w:szCs w:val="24"/>
          <w:vertAlign w:val="superscript"/>
          <w:lang w:val="en-US"/>
        </w:rPr>
        <w:t>,</w:t>
      </w:r>
      <w:r w:rsidR="004A086E" w:rsidRPr="005C7810">
        <w:rPr>
          <w:rFonts w:ascii="Book Antiqua" w:hAnsi="Book Antiqua" w:cs="Times New Roman"/>
          <w:color w:val="000000"/>
          <w:sz w:val="24"/>
          <w:szCs w:val="24"/>
          <w:vertAlign w:val="superscript"/>
          <w:lang w:val="en-US"/>
        </w:rPr>
        <w:t>211]</w:t>
      </w:r>
      <w:r w:rsidR="00190279" w:rsidRPr="005C7810">
        <w:rPr>
          <w:rFonts w:ascii="Book Antiqua" w:hAnsi="Book Antiqua" w:cs="Times New Roman"/>
          <w:color w:val="000000"/>
          <w:sz w:val="24"/>
          <w:szCs w:val="24"/>
          <w:vertAlign w:val="superscript"/>
          <w:lang w:val="en-US"/>
        </w:rPr>
        <w:fldChar w:fldCharType="end"/>
      </w:r>
      <w:r w:rsidR="00190279" w:rsidRPr="005C7810">
        <w:rPr>
          <w:rFonts w:ascii="Book Antiqua" w:hAnsi="Book Antiqua" w:cs="Times New Roman"/>
          <w:color w:val="000000"/>
          <w:sz w:val="24"/>
          <w:szCs w:val="24"/>
          <w:lang w:val="en-US"/>
        </w:rPr>
        <w:t xml:space="preserve">. </w:t>
      </w:r>
      <w:r w:rsidR="00A36493" w:rsidRPr="005C7810">
        <w:rPr>
          <w:rFonts w:ascii="Book Antiqua" w:hAnsi="Book Antiqua" w:cs="Times New Roman"/>
          <w:color w:val="000000"/>
          <w:sz w:val="24"/>
          <w:szCs w:val="24"/>
          <w:lang w:val="en-US"/>
        </w:rPr>
        <w:t>Ultrasonographic endoscopy is useful for TNM staging of GC patients</w:t>
      </w:r>
      <w:r w:rsidR="000301B3" w:rsidRPr="005C7810">
        <w:rPr>
          <w:rFonts w:ascii="Book Antiqua" w:hAnsi="Book Antiqua" w:cs="Times New Roman"/>
          <w:color w:val="000000"/>
          <w:sz w:val="24"/>
          <w:szCs w:val="24"/>
          <w:lang w:val="en-US"/>
        </w:rPr>
        <w:t>,</w:t>
      </w:r>
      <w:r w:rsidR="00A36493" w:rsidRPr="005C7810">
        <w:rPr>
          <w:rFonts w:ascii="Book Antiqua" w:hAnsi="Book Antiqua" w:cs="Times New Roman"/>
          <w:color w:val="000000"/>
          <w:sz w:val="24"/>
          <w:szCs w:val="24"/>
          <w:lang w:val="en-US"/>
        </w:rPr>
        <w:t xml:space="preserve"> h</w:t>
      </w:r>
      <w:r w:rsidR="000301B3" w:rsidRPr="005C7810">
        <w:rPr>
          <w:rFonts w:ascii="Book Antiqua" w:hAnsi="Book Antiqua" w:cs="Times New Roman"/>
          <w:color w:val="000000"/>
          <w:sz w:val="24"/>
          <w:szCs w:val="24"/>
          <w:lang w:val="en-US"/>
        </w:rPr>
        <w:t>aving</w:t>
      </w:r>
      <w:r w:rsidR="00A36493" w:rsidRPr="005C7810">
        <w:rPr>
          <w:rFonts w:ascii="Book Antiqua" w:hAnsi="Book Antiqua" w:cs="Times New Roman"/>
          <w:color w:val="000000"/>
          <w:sz w:val="24"/>
          <w:szCs w:val="24"/>
          <w:lang w:val="en-US"/>
        </w:rPr>
        <w:t xml:space="preserve"> a high diagnostic value. This </w:t>
      </w:r>
      <w:r w:rsidR="0082228C" w:rsidRPr="005C7810">
        <w:rPr>
          <w:rFonts w:ascii="Book Antiqua" w:hAnsi="Book Antiqua" w:cs="Times New Roman"/>
          <w:color w:val="000000"/>
          <w:sz w:val="24"/>
          <w:szCs w:val="24"/>
          <w:lang w:val="en-US"/>
        </w:rPr>
        <w:t xml:space="preserve">technique </w:t>
      </w:r>
      <w:r w:rsidR="00A36493" w:rsidRPr="005C7810">
        <w:rPr>
          <w:rFonts w:ascii="Book Antiqua" w:hAnsi="Book Antiqua" w:cs="Times New Roman"/>
          <w:color w:val="000000"/>
          <w:sz w:val="24"/>
          <w:szCs w:val="24"/>
          <w:lang w:val="en-US"/>
        </w:rPr>
        <w:t>allows the patient to be managed for the most appropriate treatment, limiting the occurrence of unnecessary exploratory surgical procedures</w:t>
      </w:r>
      <w:r w:rsidR="00A36493" w:rsidRPr="005C7810">
        <w:rPr>
          <w:rFonts w:ascii="Book Antiqua" w:hAnsi="Book Antiqua" w:cs="Times New Roman"/>
          <w:color w:val="000000"/>
          <w:sz w:val="24"/>
          <w:szCs w:val="24"/>
          <w:vertAlign w:val="superscript"/>
          <w:lang w:val="en-US"/>
        </w:rPr>
        <w:fldChar w:fldCharType="begin" w:fldLock="1"/>
      </w:r>
      <w:r w:rsidR="00A36493" w:rsidRPr="005C7810">
        <w:rPr>
          <w:rFonts w:ascii="Book Antiqua" w:hAnsi="Book Antiqua" w:cs="Times New Roman"/>
          <w:color w:val="000000"/>
          <w:sz w:val="24"/>
          <w:szCs w:val="24"/>
          <w:vertAlign w:val="superscript"/>
          <w:lang w:val="en-US"/>
        </w:rPr>
        <w:instrText>ADDIN CSL_CITATION {"citationItems":[{"id":"ITEM-1","itemData":{"ISBN":"1007-9327","abstract":"Aim: To evaluate the value of endoscopic ultrasonography (EUS) in the preoperative TNM staging of gastric cancer. Methods: Forty-one patients with gastric cancer (12 early stage and 29 advanced stage) proved by esophagogastroduodenoscopy and biopsies preoperatively evaluated with EUS according to TNM (1997) classification of International Union Contrele Cancer (UICC). Pentax EG-3630U/Hitachi EUB-525 echo endoscope with real-time ultrasound imaging linear scanning transducers (7.5 and 5.0 MHz) and Doppler information was used in the current study. EUS staging procedures for tumor depth of invasion (T stage) were performed according to the widely accepted five-layer structure of the gastric wall. All patients underwent surgery. Diagnostic accuracy of EUS for TNM staging of gastric cancer was determined by comparing preoperative EUS with subsequent postoperative histopathologic findings. Results: The overall diagnostic accuracy of EUS in preoperative determination of cancer depth of invasion was 68.3% (41/28) and 83.3% (12/10), 60% (20/12), 100% (5/5), 25% (4/1) for T1, T2, T3, and T4, respectively. The rates for overstaging and understaging were 24.4% (41/10), and 7.3% (41/3), respectively. EUS tended to overstage T criteria, and main reasons for overstaging were thickening of the gastric wall due to perifocal inflammatory change, and absence of serosal layer in certain areas of the stomach. The diagnostic accuracy of metastatic lymph node involvement or N staging of EUS was 100% (17/17) for N0 and 41.7% (24/10) for N+, respectively, and 66% (41/27) overall. Misdiagnosing of the metastatic lymph nodes was related to the difficulty of distinguishing inflammatory lymph nodes from malignant lymph nodes, which imitate similar echo features. Predominant location and distribution of tumors in the stomach were in the antrum (20 patients), and the lesser curvature (17 patients), respectively. Three cases were found as surgically unresectable (T4 N+), and included as being correctly diagnosed by EUS. Conclusion: EUS is a useful diagnostic method for preoperative staging of gastric cancer for T and N criteria. However, EUS evaluation of malignant lymph nodes is still unsatisfactory. © 2006 The WJG Press. All rights reserved.","author":[{"dropping-particle":"","family":"T.","given":"Tsendsuren","non-dropping-particle":"","parse-names":false,"suffix":""},{"dropping-particle":"","family":"S.-M.","given":"Jun","non-dropping-particle":"","parse-names":false,"suffix":""},{"dropping-particle":"","family":"X.-H.","given":"Mian","non-dropping-particle":"","parse-names":false,"suffix":""}],"container-title":"World Journal of Gastroenterology","id":"ITEM-1","issue":"1","issued":{"date-parts":[["2006"]]},"page":"43-47","title":"Usefulness of endoscopic ultrasonography in preoperative TNM staging of gastric cancer","type":"article-journal","volume":"12"},"uris":["http://www.mendeley.com/documents/?uuid=a68644a6-3140-4bb6-a673-2544dbda985e"]}],"mendeley":{"formattedCitation":"&lt;sup&gt;[212]&lt;/sup&gt;","plainTextFormattedCitation":"[212]","previouslyFormattedCitation":"&lt;sup&gt;[212]&lt;/sup&gt;"},"properties":{"noteIndex":0},"schema":"https://github.com/citation-style-language/schema/raw/master/csl-citation.json"}</w:instrText>
      </w:r>
      <w:r w:rsidR="00A36493" w:rsidRPr="005C7810">
        <w:rPr>
          <w:rFonts w:ascii="Book Antiqua" w:hAnsi="Book Antiqua" w:cs="Times New Roman"/>
          <w:color w:val="000000"/>
          <w:sz w:val="24"/>
          <w:szCs w:val="24"/>
          <w:vertAlign w:val="superscript"/>
          <w:lang w:val="en-US"/>
        </w:rPr>
        <w:fldChar w:fldCharType="separate"/>
      </w:r>
      <w:r w:rsidR="00A36493" w:rsidRPr="005C7810">
        <w:rPr>
          <w:rFonts w:ascii="Book Antiqua" w:hAnsi="Book Antiqua" w:cs="Times New Roman"/>
          <w:color w:val="000000"/>
          <w:sz w:val="24"/>
          <w:szCs w:val="24"/>
          <w:vertAlign w:val="superscript"/>
          <w:lang w:val="en-US"/>
        </w:rPr>
        <w:t>[212]</w:t>
      </w:r>
      <w:r w:rsidR="00A36493" w:rsidRPr="005C7810">
        <w:rPr>
          <w:rFonts w:ascii="Book Antiqua" w:hAnsi="Book Antiqua" w:cs="Times New Roman"/>
          <w:color w:val="000000"/>
          <w:sz w:val="24"/>
          <w:szCs w:val="24"/>
          <w:vertAlign w:val="superscript"/>
          <w:lang w:val="en-US"/>
        </w:rPr>
        <w:fldChar w:fldCharType="end"/>
      </w:r>
      <w:r w:rsidR="00A36493" w:rsidRPr="005C7810">
        <w:rPr>
          <w:rFonts w:ascii="Book Antiqua" w:hAnsi="Book Antiqua" w:cs="Times New Roman"/>
          <w:color w:val="000000"/>
          <w:sz w:val="24"/>
          <w:szCs w:val="24"/>
          <w:lang w:val="en-US"/>
        </w:rPr>
        <w:t xml:space="preserve">. Endoscopy can also be curative for early GC or </w:t>
      </w:r>
      <w:r w:rsidR="000301B3" w:rsidRPr="005C7810">
        <w:rPr>
          <w:rFonts w:ascii="Book Antiqua" w:hAnsi="Book Antiqua" w:cs="Times New Roman"/>
          <w:color w:val="000000"/>
          <w:sz w:val="24"/>
          <w:szCs w:val="24"/>
          <w:lang w:val="en-US"/>
        </w:rPr>
        <w:t xml:space="preserve">used as </w:t>
      </w:r>
      <w:r w:rsidR="00A36493" w:rsidRPr="005C7810">
        <w:rPr>
          <w:rFonts w:ascii="Book Antiqua" w:hAnsi="Book Antiqua" w:cs="Times New Roman"/>
          <w:color w:val="000000"/>
          <w:sz w:val="24"/>
          <w:szCs w:val="24"/>
          <w:lang w:val="en-US"/>
        </w:rPr>
        <w:t xml:space="preserve">palliative care for more advanced </w:t>
      </w:r>
      <w:r w:rsidR="000301B3" w:rsidRPr="005C7810">
        <w:rPr>
          <w:rFonts w:ascii="Book Antiqua" w:hAnsi="Book Antiqua" w:cs="Times New Roman"/>
          <w:color w:val="000000"/>
          <w:sz w:val="24"/>
          <w:szCs w:val="24"/>
          <w:lang w:val="en-US"/>
        </w:rPr>
        <w:t>cases</w:t>
      </w:r>
      <w:r w:rsidR="00A36493" w:rsidRPr="005C7810">
        <w:rPr>
          <w:rFonts w:ascii="Book Antiqua" w:hAnsi="Book Antiqua" w:cs="Times New Roman"/>
          <w:color w:val="000000"/>
          <w:sz w:val="24"/>
          <w:szCs w:val="24"/>
          <w:lang w:val="en-US"/>
        </w:rPr>
        <w:t>. In early GC, the endoscopic mucosal resection provides similar effects as traditional surgical resection</w:t>
      </w:r>
      <w:r w:rsidR="00966B73" w:rsidRPr="005C7810">
        <w:rPr>
          <w:rFonts w:ascii="Book Antiqua" w:hAnsi="Book Antiqua" w:cs="Times New Roman"/>
          <w:color w:val="000000"/>
          <w:sz w:val="24"/>
          <w:szCs w:val="24"/>
          <w:vertAlign w:val="superscript"/>
          <w:lang w:val="en-US"/>
        </w:rPr>
        <w:fldChar w:fldCharType="begin" w:fldLock="1"/>
      </w:r>
      <w:r w:rsidR="00D27809" w:rsidRPr="005C7810">
        <w:rPr>
          <w:rFonts w:ascii="Book Antiqua" w:hAnsi="Book Antiqua" w:cs="Times New Roman"/>
          <w:color w:val="000000"/>
          <w:sz w:val="24"/>
          <w:szCs w:val="24"/>
          <w:vertAlign w:val="superscript"/>
          <w:lang w:val="en-US"/>
        </w:rPr>
        <w:instrText>ADDIN CSL_CITATION {"citationItems":[{"id":"ITEM-1","itemData":{"DOI":"10.1136/gut.48.2.225","ISSN":"00175749","abstract":"In Japan, endoscopic mucosal resection (EMR) is accepted as a treatment option for cases of early gastric cancer (EGC) where the probability of lymph node metastasis is low. The results of EMR for EGC at the National Cancer Center Hospital, Tokyo, over a 11 year period are presented.","author":[{"dropping-particle":"","family":"Ono","given":"H.","non-dropping-particle":"","parse-names":false,"suffix":""},{"dropping-particle":"","family":"Kondo","given":"H.","non-dropping-particle":"","parse-names":false,"suffix":""},{"dropping-particle":"","family":"Gotoda","given":"T.","non-dropping-particle":"","parse-names":false,"suffix":""},{"dropping-particle":"","family":"Shirao","given":"K.","non-dropping-particle":"","parse-names":false,"suffix":""},{"dropping-particle":"","family":"Yamaguchi","given":"H.","non-dropping-particle":"","parse-names":false,"suffix":""},{"dropping-particle":"","family":"Saito","given":"D.","non-dropping-particle":"","parse-names":false,"suffix":""},{"dropping-particle":"","family":"Hosokawa","given":"K.","non-dropping-particle":"","parse-names":false,"suffix":""},{"dropping-particle":"","family":"Shimoda","given":"T.","non-dropping-particle":"","parse-names":false,"suffix":""},{"dropping-particle":"","family":"Yoshida","given":"S.","non-dropping-particle":"","parse-names":false,"suffix":""}],"container-title":"Gut","id":"ITEM-1","issue":"2","issued":{"date-parts":[["2001"]]},"page":"225-229","title":"Endoscopic mucosal resection for treatment of early gastric cancer","type":"article-journal","volume":"48"},"uris":["http://www.mendeley.com/documents/?uuid=fc715075-fc44-4f7c-b05c-1ae3d42abbad"]},{"id":"ITEM-2","itemData":{"DOI":"10.11280/gee1973b.36.1692","ISSN":"03871207","abstract":"Clinical study was done for 110 lesions of early gastric cancer in 103 cases which were treated endoscopically during past 13 years. And the results were as follows; 1) Indication for endoscopic resection was that (1) histological type was differentiated adenocarcinoma, (2) diagnosis of depth of invasion was limited to mucosal layer, (3) cancer in hyperplastic polyps, type I or type IIa less than 2cm and type IIc not associated with ulceration less than 1cm. 2) Rate of complete resection was 43.8% in the former period (1981–1990), 77.2% in the latter period (1991–1993). 3) Rate of complete resection improved by using tripod type grasping forceps and unification of resection tecnique to EDSP method by Takekoshi. 4) It was difficult to resect completely type IIa more than 10mm and the lesion on the posterior wall of gastric body. 5) No recurrence was found in the cases resected completely. 6) Recurrent rate of the cases resected incompletely was 5.3%. © 1994, Japan Gastroenterological Endoscopy Society. All rights reserved.","author":[{"dropping-particle":"","family":"Godota","given":"T","non-dropping-particle":"","parse-names":false,"suffix":""}],"container-title":"Cancer","id":"ITEM-2","issued":{"date-parts":[["2007"]]},"page":"1-11","title":"Endoscopic resection of early gastric cancer","type":"article-journal","volume":"10"},"uris":["http://www.mendeley.com/documents/?uuid=533c764c-ee9d-4f28-add7-8d5e58176414"]}],"mendeley":{"formattedCitation":"&lt;sup&gt;[213,214]&lt;/sup&gt;","manualFormatting":"[213-214]","plainTextFormattedCitation":"[213,214]","previouslyFormattedCitation":"&lt;sup&gt;[213,214]&lt;/sup&gt;"},"properties":{"noteIndex":0},"schema":"https://github.com/citation-style-language/schema/raw/master/csl-citation.json"}</w:instrText>
      </w:r>
      <w:r w:rsidR="00966B73" w:rsidRPr="005C7810">
        <w:rPr>
          <w:rFonts w:ascii="Book Antiqua" w:hAnsi="Book Antiqua" w:cs="Times New Roman"/>
          <w:color w:val="000000"/>
          <w:sz w:val="24"/>
          <w:szCs w:val="24"/>
          <w:vertAlign w:val="superscript"/>
          <w:lang w:val="en-US"/>
        </w:rPr>
        <w:fldChar w:fldCharType="separate"/>
      </w:r>
      <w:r w:rsidR="004A086E" w:rsidRPr="005C7810">
        <w:rPr>
          <w:rFonts w:ascii="Book Antiqua" w:hAnsi="Book Antiqua" w:cs="Times New Roman"/>
          <w:color w:val="000000"/>
          <w:sz w:val="24"/>
          <w:szCs w:val="24"/>
          <w:vertAlign w:val="superscript"/>
          <w:lang w:val="en-US"/>
        </w:rPr>
        <w:t>[213</w:t>
      </w:r>
      <w:r w:rsidR="001253B8" w:rsidRPr="005C7810">
        <w:rPr>
          <w:rFonts w:ascii="Book Antiqua" w:hAnsi="Book Antiqua" w:cs="Times New Roman"/>
          <w:color w:val="000000"/>
          <w:sz w:val="24"/>
          <w:szCs w:val="24"/>
          <w:vertAlign w:val="superscript"/>
          <w:lang w:val="en-US"/>
        </w:rPr>
        <w:t>,</w:t>
      </w:r>
      <w:r w:rsidR="00966B73" w:rsidRPr="005C7810">
        <w:rPr>
          <w:rFonts w:ascii="Book Antiqua" w:hAnsi="Book Antiqua" w:cs="Times New Roman"/>
          <w:color w:val="000000"/>
          <w:sz w:val="24"/>
          <w:szCs w:val="24"/>
          <w:vertAlign w:val="superscript"/>
          <w:lang w:val="en-US"/>
        </w:rPr>
        <w:t>214]</w:t>
      </w:r>
      <w:r w:rsidR="00966B73" w:rsidRPr="005C7810">
        <w:rPr>
          <w:rFonts w:ascii="Book Antiqua" w:hAnsi="Book Antiqua" w:cs="Times New Roman"/>
          <w:color w:val="000000"/>
          <w:sz w:val="24"/>
          <w:szCs w:val="24"/>
          <w:vertAlign w:val="superscript"/>
          <w:lang w:val="en-US"/>
        </w:rPr>
        <w:fldChar w:fldCharType="end"/>
      </w:r>
      <w:r w:rsidR="00DD2A21" w:rsidRPr="005C7810">
        <w:rPr>
          <w:rFonts w:ascii="Book Antiqua" w:hAnsi="Book Antiqua" w:cs="Times New Roman"/>
          <w:color w:val="000000"/>
          <w:sz w:val="24"/>
          <w:szCs w:val="24"/>
          <w:lang w:val="en-US"/>
        </w:rPr>
        <w:t>.</w:t>
      </w:r>
      <w:r w:rsidR="00966B73" w:rsidRPr="005C7810">
        <w:rPr>
          <w:rFonts w:ascii="Book Antiqua" w:hAnsi="Book Antiqua" w:cs="Times New Roman"/>
          <w:color w:val="000000"/>
          <w:sz w:val="24"/>
          <w:szCs w:val="24"/>
          <w:lang w:val="en-US"/>
        </w:rPr>
        <w:t xml:space="preserve"> </w:t>
      </w:r>
    </w:p>
    <w:p w:rsidR="002E7839" w:rsidRPr="005C7810" w:rsidRDefault="00233052" w:rsidP="005C7810">
      <w:pPr>
        <w:spacing w:after="0" w:line="360" w:lineRule="auto"/>
        <w:ind w:firstLine="708"/>
        <w:jc w:val="both"/>
        <w:rPr>
          <w:rFonts w:ascii="Book Antiqua" w:hAnsi="Book Antiqua" w:cs="Times New Roman"/>
          <w:bCs/>
          <w:color w:val="000000"/>
          <w:sz w:val="24"/>
          <w:szCs w:val="24"/>
          <w:lang w:val="en-US"/>
        </w:rPr>
      </w:pPr>
      <w:r w:rsidRPr="005C7810">
        <w:rPr>
          <w:rFonts w:ascii="Book Antiqua" w:hAnsi="Book Antiqua" w:cs="Times New Roman"/>
          <w:color w:val="000000"/>
          <w:sz w:val="24"/>
          <w:szCs w:val="24"/>
          <w:lang w:val="en-US"/>
        </w:rPr>
        <w:t>S</w:t>
      </w:r>
      <w:r w:rsidR="000F4372" w:rsidRPr="005C7810">
        <w:rPr>
          <w:rFonts w:ascii="Book Antiqua" w:hAnsi="Book Antiqua" w:cs="Times New Roman"/>
          <w:color w:val="000000"/>
          <w:sz w:val="24"/>
          <w:szCs w:val="24"/>
          <w:lang w:val="en-US"/>
        </w:rPr>
        <w:t xml:space="preserve">urgical resection </w:t>
      </w:r>
      <w:r w:rsidR="000F4372" w:rsidRPr="005C7810">
        <w:rPr>
          <w:rFonts w:ascii="Book Antiqua" w:hAnsi="Book Antiqua" w:cs="Times New Roman"/>
          <w:sz w:val="24"/>
          <w:szCs w:val="24"/>
          <w:lang w:val="en-US"/>
        </w:rPr>
        <w:t xml:space="preserve">with adjuvant or neoadjuvant radiotherapy and chemotherapy with cisplatin, 5-FU, taxane, or irinotecan, remains the most effective treatment for </w:t>
      </w:r>
      <w:r w:rsidR="000F4372" w:rsidRPr="005C7810">
        <w:rPr>
          <w:rFonts w:ascii="Book Antiqua" w:hAnsi="Book Antiqua" w:cs="Times New Roman"/>
          <w:color w:val="000000"/>
          <w:sz w:val="24"/>
          <w:szCs w:val="24"/>
          <w:lang w:val="en-US"/>
        </w:rPr>
        <w:t>advanced</w:t>
      </w:r>
      <w:r w:rsidR="000F4372" w:rsidRPr="005C7810">
        <w:rPr>
          <w:rFonts w:ascii="Book Antiqua" w:hAnsi="Book Antiqua" w:cs="Times New Roman"/>
          <w:sz w:val="24"/>
          <w:szCs w:val="24"/>
          <w:lang w:val="en-US"/>
        </w:rPr>
        <w:t xml:space="preserve"> GC. </w:t>
      </w:r>
      <w:r w:rsidR="00912541" w:rsidRPr="005C7810">
        <w:rPr>
          <w:rFonts w:ascii="Book Antiqua" w:hAnsi="Book Antiqua" w:cs="Times New Roman"/>
          <w:color w:val="000000"/>
          <w:sz w:val="24"/>
          <w:szCs w:val="24"/>
          <w:lang w:val="en-US"/>
        </w:rPr>
        <w:t xml:space="preserve">The recent MRC MAGIC/UK study (ISRCTN93793971) showed that perioperative ECF/ECX chemotherapy led to an improvement in </w:t>
      </w:r>
      <w:r w:rsidR="002E7839" w:rsidRPr="005C7810">
        <w:rPr>
          <w:rFonts w:ascii="Book Antiqua" w:hAnsi="Book Antiqua" w:cs="Times New Roman"/>
          <w:color w:val="000000"/>
          <w:sz w:val="24"/>
          <w:szCs w:val="24"/>
          <w:lang w:val="en-US"/>
        </w:rPr>
        <w:t>OS</w:t>
      </w:r>
      <w:r w:rsidR="00912541" w:rsidRPr="005C7810">
        <w:rPr>
          <w:rFonts w:ascii="Book Antiqua" w:hAnsi="Book Antiqua" w:cs="Times New Roman"/>
          <w:color w:val="000000"/>
          <w:sz w:val="24"/>
          <w:szCs w:val="24"/>
          <w:lang w:val="en-US"/>
        </w:rPr>
        <w:t xml:space="preserve"> and </w:t>
      </w:r>
      <w:r w:rsidR="00277620" w:rsidRPr="005C7810">
        <w:rPr>
          <w:rFonts w:ascii="Book Antiqua" w:hAnsi="Book Antiqua" w:cs="Times New Roman"/>
          <w:color w:val="000000"/>
          <w:sz w:val="24"/>
          <w:szCs w:val="24"/>
          <w:lang w:val="en-US"/>
        </w:rPr>
        <w:t>PFS</w:t>
      </w:r>
      <w:r w:rsidR="00912541" w:rsidRPr="005C7810">
        <w:rPr>
          <w:rFonts w:ascii="Book Antiqua" w:hAnsi="Book Antiqua" w:cs="Times New Roman"/>
          <w:color w:val="000000"/>
          <w:sz w:val="24"/>
          <w:szCs w:val="24"/>
          <w:lang w:val="en-US"/>
        </w:rPr>
        <w:t xml:space="preserve"> in patients with </w:t>
      </w:r>
      <w:r w:rsidR="00EB5755" w:rsidRPr="005C7810">
        <w:rPr>
          <w:rFonts w:ascii="Book Antiqua" w:hAnsi="Book Antiqua" w:cs="Times New Roman"/>
          <w:color w:val="000000"/>
          <w:sz w:val="24"/>
          <w:szCs w:val="24"/>
          <w:lang w:val="en-US"/>
        </w:rPr>
        <w:t xml:space="preserve">resectable </w:t>
      </w:r>
      <w:r w:rsidR="00912541" w:rsidRPr="005C7810">
        <w:rPr>
          <w:rFonts w:ascii="Book Antiqua" w:hAnsi="Book Antiqua" w:cs="Times New Roman"/>
          <w:color w:val="000000"/>
          <w:sz w:val="24"/>
          <w:szCs w:val="24"/>
          <w:lang w:val="en-US"/>
        </w:rPr>
        <w:t>GC</w:t>
      </w:r>
      <w:r w:rsidR="00912541" w:rsidRPr="005C7810">
        <w:rPr>
          <w:rFonts w:ascii="Book Antiqua" w:hAnsi="Book Antiqua" w:cs="Times New Roman"/>
          <w:color w:val="000000"/>
          <w:sz w:val="24"/>
          <w:szCs w:val="24"/>
          <w:vertAlign w:val="superscript"/>
          <w:lang w:val="en-US"/>
        </w:rPr>
        <w:fldChar w:fldCharType="begin" w:fldLock="1"/>
      </w:r>
      <w:r w:rsidR="00912541" w:rsidRPr="005C7810">
        <w:rPr>
          <w:rFonts w:ascii="Book Antiqua" w:hAnsi="Book Antiqua" w:cs="Times New Roman"/>
          <w:color w:val="000000"/>
          <w:sz w:val="24"/>
          <w:szCs w:val="24"/>
          <w:vertAlign w:val="superscript"/>
          <w:lang w:val="en-US"/>
        </w:rPr>
        <w:instrText>ADDIN CSL_CITATION {"citationItems":[{"id":"ITEM-1","itemData":{"DOI":"10.1056/NEJMoa055531","ISSN":"0028-4793","abstract":"BACKGROUND: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 = 0.009; five-year survival rate, 36 percent vs. 23 percent) and of progression-free survival (hazard ratio for progression, 0.66; 95 percent confidence interval, 0.53 to 0.81; P &lt; 0.001). CONCLUSIONS: In patients with operable gastric or lower esophageal adenocarcinomas, a perioperative regimen of ECF decreased tumor size and stage and significantly improved progression-free and overall survival. (Current Controlled Trials number, ISRCTN93793971.) Copyright © 2006 Massachusetts Medical Society. All rights reserved.","author":[{"dropping-particle":"","family":"Cunningham","given":"David","non-dropping-particle":"","parse-names":false,"suffix":""},{"dropping-particle":"","family":"Allum","given":"William H.","non-dropping-particle":"","parse-names":false,"suffix":""},{"dropping-particle":"","family":"Stenning","given":"Sally P.","non-dropping-particle":"","parse-names":false,"suffix":""},{"dropping-particle":"","family":"Thompson","given":"Jeremy N.","non-dropping-particle":"","parse-names":false,"suffix":""},{"dropping-particle":"","family":"Velde","given":"Cornelis J.H.","non-dropping-particle":"Van de","parse-names":false,"suffix":""},{"dropping-particle":"","family":"Nicolson","given":"Marianne","non-dropping-particle":"","parse-names":false,"suffix":""},{"dropping-particle":"","family":"Scarffe","given":"J. Howard","non-dropping-particle":"","parse-names":false,"suffix":""},{"dropping-particle":"","family":"Lofts","given":"Fiona J.","non-dropping-particle":"","parse-names":false,"suffix":""},{"dropping-particle":"","family":"Falk","given":"Stephen J.","non-dropping-particle":"","parse-names":false,"suffix":""},{"dropping-particle":"","family":"Iveson","given":"Timothy J.","non-dropping-particle":"","parse-names":false,"suffix":""},{"dropping-particle":"","family":"Smith","given":"David B.","non-dropping-particle":"","parse-names":false,"suffix":""},{"dropping-particle":"","family":"Langley","given":"Ruth E.","non-dropping-particle":"","parse-names":false,"suffix":""},{"dropping-particle":"","family":"Verma","given":"Monica","non-dropping-particle":"","parse-names":false,"suffix":""},{"dropping-particle":"","family":"Weeden","given":"Simon","non-dropping-particle":"","parse-names":false,"suffix":""},{"dropping-particle":"","family":"Chua","given":"Yu Jo","non-dropping-particle":"","parse-names":false,"suffix":""}],"container-title":"New England Journal of Medicine","id":"ITEM-1","issue":"1","issued":{"date-parts":[["2006"]]},"page":"11-20","title":"Perioperative Chemotherapy versus Surgery Alone for Resectable Gastroesophageal Cancer","type":"article-journal","volume":"355"},"uris":["http://www.mendeley.com/documents/?uuid=76ac0533-8a60-41ff-85c7-771c7fbf723a"]}],"mendeley":{"formattedCitation":"&lt;sup&gt;[215]&lt;/sup&gt;","plainTextFormattedCitation":"[215]","previouslyFormattedCitation":"&lt;sup&gt;[215]&lt;/sup&gt;"},"properties":{"noteIndex":0},"schema":"https://github.com/citation-style-language/schema/raw/master/csl-citation.json"}</w:instrText>
      </w:r>
      <w:r w:rsidR="00912541" w:rsidRPr="005C7810">
        <w:rPr>
          <w:rFonts w:ascii="Book Antiqua" w:hAnsi="Book Antiqua" w:cs="Times New Roman"/>
          <w:color w:val="000000"/>
          <w:sz w:val="24"/>
          <w:szCs w:val="24"/>
          <w:vertAlign w:val="superscript"/>
          <w:lang w:val="en-US"/>
        </w:rPr>
        <w:fldChar w:fldCharType="separate"/>
      </w:r>
      <w:r w:rsidR="00912541" w:rsidRPr="005C7810">
        <w:rPr>
          <w:rFonts w:ascii="Book Antiqua" w:hAnsi="Book Antiqua" w:cs="Times New Roman"/>
          <w:color w:val="000000"/>
          <w:sz w:val="24"/>
          <w:szCs w:val="24"/>
          <w:vertAlign w:val="superscript"/>
          <w:lang w:val="en-US"/>
        </w:rPr>
        <w:t>[215]</w:t>
      </w:r>
      <w:r w:rsidR="00912541" w:rsidRPr="005C7810">
        <w:rPr>
          <w:rFonts w:ascii="Book Antiqua" w:hAnsi="Book Antiqua" w:cs="Times New Roman"/>
          <w:color w:val="000000"/>
          <w:sz w:val="24"/>
          <w:szCs w:val="24"/>
          <w:vertAlign w:val="superscript"/>
          <w:lang w:val="en-US"/>
        </w:rPr>
        <w:fldChar w:fldCharType="end"/>
      </w:r>
      <w:r w:rsidR="00912541" w:rsidRPr="005C7810">
        <w:rPr>
          <w:rFonts w:ascii="Book Antiqua" w:hAnsi="Book Antiqua" w:cs="Times New Roman"/>
          <w:color w:val="000000"/>
          <w:sz w:val="24"/>
          <w:szCs w:val="24"/>
          <w:lang w:val="en-US"/>
        </w:rPr>
        <w:t xml:space="preserve">. Perioperative chemotherapy is the standard of care in most of Europe for localized </w:t>
      </w:r>
      <w:r w:rsidR="00AB7DC7" w:rsidRPr="005C7810">
        <w:rPr>
          <w:rFonts w:ascii="Book Antiqua" w:hAnsi="Book Antiqua" w:cs="Times New Roman"/>
          <w:color w:val="000000"/>
          <w:sz w:val="24"/>
          <w:szCs w:val="24"/>
          <w:lang w:val="en-US"/>
        </w:rPr>
        <w:t>GC</w:t>
      </w:r>
      <w:r w:rsidR="00912541" w:rsidRPr="005C7810">
        <w:rPr>
          <w:rFonts w:ascii="Book Antiqua" w:hAnsi="Book Antiqua" w:cs="Times New Roman"/>
          <w:color w:val="000000"/>
          <w:sz w:val="24"/>
          <w:szCs w:val="24"/>
          <w:lang w:val="en-US"/>
        </w:rPr>
        <w:t xml:space="preserve"> with accepted ECF or ECX regimens</w:t>
      </w:r>
      <w:r w:rsidR="00521927" w:rsidRPr="005C7810">
        <w:rPr>
          <w:rFonts w:ascii="Book Antiqua" w:hAnsi="Book Antiqua" w:cs="Times New Roman"/>
          <w:color w:val="000000"/>
          <w:sz w:val="24"/>
          <w:szCs w:val="24"/>
          <w:vertAlign w:val="superscript"/>
          <w:lang w:val="en-US"/>
        </w:rPr>
        <w:fldChar w:fldCharType="begin" w:fldLock="1"/>
      </w:r>
      <w:r w:rsidR="00521927" w:rsidRPr="005C7810">
        <w:rPr>
          <w:rFonts w:ascii="Book Antiqua" w:hAnsi="Book Antiqua" w:cs="Times New Roman"/>
          <w:color w:val="000000"/>
          <w:sz w:val="24"/>
          <w:szCs w:val="24"/>
          <w:vertAlign w:val="superscript"/>
          <w:lang w:val="en-US"/>
        </w:rPr>
        <w:instrText>ADDIN CSL_CITATION {"citationItems":[{"id":"ITEM-1","itemData":{"author":[{"dropping-particle":"","family":"Mongan, AM, Kalachand, R, King, S, O'Farrell, NJ, Power, D, Ravi, N, Muldoon, C, O'Byrne, K, Reynolds","given":"JV","non-dropping-particle":"","parse-names":false,"suffix":""}],"container-title":"Ir J Med Sci","id":"ITEM-1","issued":{"date-parts":[["2015"]]},"page":"417-423","title":"Outcomes in gastric and junctional cancer using neoadjuvant and adjuvant chemotherapy (epirubicin, oxaliplatin, and capecitabine) and radical surgery","type":"article-journal","volume":"184"},"uris":["http://www.mendeley.com/documents/?uuid=a65821ac-cec7-484d-b7f5-470f8d72a1be"]}],"mendeley":{"formattedCitation":"&lt;sup&gt;[216]&lt;/sup&gt;","plainTextFormattedCitation":"[216]","previouslyFormattedCitation":"&lt;sup&gt;[216]&lt;/sup&gt;"},"properties":{"noteIndex":0},"schema":"https://github.com/citation-style-language/schema/raw/master/csl-citation.json"}</w:instrText>
      </w:r>
      <w:r w:rsidR="00521927" w:rsidRPr="005C7810">
        <w:rPr>
          <w:rFonts w:ascii="Book Antiqua" w:hAnsi="Book Antiqua" w:cs="Times New Roman"/>
          <w:color w:val="000000"/>
          <w:sz w:val="24"/>
          <w:szCs w:val="24"/>
          <w:vertAlign w:val="superscript"/>
          <w:lang w:val="en-US"/>
        </w:rPr>
        <w:fldChar w:fldCharType="separate"/>
      </w:r>
      <w:r w:rsidR="00521927" w:rsidRPr="005C7810">
        <w:rPr>
          <w:rFonts w:ascii="Book Antiqua" w:hAnsi="Book Antiqua" w:cs="Times New Roman"/>
          <w:color w:val="000000"/>
          <w:sz w:val="24"/>
          <w:szCs w:val="24"/>
          <w:vertAlign w:val="superscript"/>
          <w:lang w:val="en-US"/>
        </w:rPr>
        <w:t>[216]</w:t>
      </w:r>
      <w:r w:rsidR="00521927" w:rsidRPr="005C7810">
        <w:rPr>
          <w:rFonts w:ascii="Book Antiqua" w:hAnsi="Book Antiqua" w:cs="Times New Roman"/>
          <w:color w:val="000000"/>
          <w:sz w:val="24"/>
          <w:szCs w:val="24"/>
          <w:vertAlign w:val="superscript"/>
          <w:lang w:val="en-US"/>
        </w:rPr>
        <w:fldChar w:fldCharType="end"/>
      </w:r>
      <w:r w:rsidR="00521927" w:rsidRPr="005C7810">
        <w:rPr>
          <w:rFonts w:ascii="Book Antiqua" w:hAnsi="Book Antiqua" w:cs="Times New Roman"/>
          <w:color w:val="000000"/>
          <w:sz w:val="24"/>
          <w:szCs w:val="24"/>
          <w:lang w:val="en-US"/>
        </w:rPr>
        <w:t xml:space="preserve">. </w:t>
      </w:r>
      <w:r w:rsidR="000F4372" w:rsidRPr="005C7810">
        <w:rPr>
          <w:rFonts w:ascii="Book Antiqua" w:hAnsi="Book Antiqua" w:cs="Times New Roman"/>
          <w:sz w:val="24"/>
          <w:szCs w:val="24"/>
          <w:lang w:val="en-US"/>
        </w:rPr>
        <w:t>However, objective response rates to chemotherapy range from 20% to 40%, indicating variable clinical responses that are mostly likely caused by the biologic heterogeneity of the tumor.</w:t>
      </w:r>
      <w:r w:rsidR="00DB71B4" w:rsidRPr="005C7810">
        <w:rPr>
          <w:rFonts w:ascii="Book Antiqua" w:hAnsi="Book Antiqua" w:cs="Times New Roman"/>
          <w:sz w:val="24"/>
          <w:szCs w:val="24"/>
          <w:lang w:val="en-US"/>
        </w:rPr>
        <w:t xml:space="preserve"> </w:t>
      </w:r>
      <w:r w:rsidR="00DB71B4" w:rsidRPr="005C7810">
        <w:rPr>
          <w:rFonts w:ascii="Book Antiqua" w:hAnsi="Book Antiqua"/>
          <w:bCs/>
          <w:sz w:val="24"/>
          <w:szCs w:val="24"/>
          <w:lang w:val="en-US"/>
        </w:rPr>
        <w:t xml:space="preserve">As </w:t>
      </w:r>
      <w:r w:rsidR="006B690A" w:rsidRPr="005C7810">
        <w:rPr>
          <w:rFonts w:ascii="Book Antiqua" w:hAnsi="Book Antiqua" w:cs="Times New Roman"/>
          <w:bCs/>
          <w:sz w:val="24"/>
          <w:szCs w:val="24"/>
          <w:lang w:val="en-US"/>
        </w:rPr>
        <w:t>with chemotherapy, therapeutic regimens based on target</w:t>
      </w:r>
      <w:r w:rsidR="009C5AA6" w:rsidRPr="005C7810">
        <w:rPr>
          <w:rFonts w:ascii="Book Antiqua" w:hAnsi="Book Antiqua" w:cs="Times New Roman"/>
          <w:bCs/>
          <w:sz w:val="24"/>
          <w:szCs w:val="24"/>
          <w:lang w:val="en-US"/>
        </w:rPr>
        <w:t>ed</w:t>
      </w:r>
      <w:r w:rsidR="00F64830" w:rsidRPr="005C7810">
        <w:rPr>
          <w:rFonts w:ascii="Book Antiqua" w:hAnsi="Book Antiqua"/>
          <w:bCs/>
          <w:sz w:val="24"/>
          <w:szCs w:val="24"/>
          <w:lang w:val="en-US"/>
        </w:rPr>
        <w:t xml:space="preserve"> therapy have r</w:t>
      </w:r>
      <w:r w:rsidR="006B690A" w:rsidRPr="005C7810">
        <w:rPr>
          <w:rFonts w:ascii="Book Antiqua" w:hAnsi="Book Antiqua" w:cs="Times New Roman"/>
          <w:bCs/>
          <w:sz w:val="24"/>
          <w:szCs w:val="24"/>
          <w:lang w:val="en-US"/>
        </w:rPr>
        <w:t xml:space="preserve">ecently been </w:t>
      </w:r>
      <w:r w:rsidR="009C5AA6" w:rsidRPr="005C7810">
        <w:rPr>
          <w:rFonts w:ascii="Book Antiqua" w:hAnsi="Book Antiqua" w:cs="Times New Roman"/>
          <w:bCs/>
          <w:sz w:val="24"/>
          <w:szCs w:val="24"/>
          <w:lang w:val="en-US"/>
        </w:rPr>
        <w:t>introduced</w:t>
      </w:r>
      <w:r w:rsidR="006B690A" w:rsidRPr="005C7810">
        <w:rPr>
          <w:rFonts w:ascii="Book Antiqua" w:hAnsi="Book Antiqua" w:cs="Times New Roman"/>
          <w:bCs/>
          <w:sz w:val="24"/>
          <w:szCs w:val="24"/>
          <w:lang w:val="en-US"/>
        </w:rPr>
        <w:t>, which makes use of small molecules or monoclonal</w:t>
      </w:r>
      <w:r w:rsidR="006B690A" w:rsidRPr="005C7810">
        <w:rPr>
          <w:rFonts w:ascii="Book Antiqua" w:hAnsi="Book Antiqua" w:cs="Times New Roman"/>
          <w:bCs/>
          <w:color w:val="FF0000"/>
          <w:sz w:val="24"/>
          <w:szCs w:val="24"/>
          <w:lang w:val="en-US"/>
        </w:rPr>
        <w:t xml:space="preserve"> </w:t>
      </w:r>
      <w:r w:rsidR="006B690A" w:rsidRPr="005C7810">
        <w:rPr>
          <w:rFonts w:ascii="Book Antiqua" w:hAnsi="Book Antiqua" w:cs="Times New Roman"/>
          <w:bCs/>
          <w:color w:val="000000"/>
          <w:sz w:val="24"/>
          <w:szCs w:val="24"/>
          <w:lang w:val="en-US"/>
        </w:rPr>
        <w:t xml:space="preserve">antibodies that </w:t>
      </w:r>
      <w:r w:rsidR="00B5259C" w:rsidRPr="005C7810">
        <w:rPr>
          <w:rFonts w:ascii="Book Antiqua" w:hAnsi="Book Antiqua" w:cs="Times New Roman"/>
          <w:bCs/>
          <w:color w:val="000000"/>
          <w:sz w:val="24"/>
          <w:szCs w:val="24"/>
          <w:lang w:val="en-US"/>
        </w:rPr>
        <w:t xml:space="preserve">can </w:t>
      </w:r>
      <w:r w:rsidR="006B690A" w:rsidRPr="005C7810">
        <w:rPr>
          <w:rFonts w:ascii="Book Antiqua" w:hAnsi="Book Antiqua" w:cs="Times New Roman"/>
          <w:bCs/>
          <w:color w:val="000000"/>
          <w:sz w:val="24"/>
          <w:szCs w:val="24"/>
          <w:lang w:val="en-US"/>
        </w:rPr>
        <w:t>act on specific molecules capable of modifying molecular pathways involved in proliferation, differentiation</w:t>
      </w:r>
      <w:r w:rsidR="004A6501" w:rsidRPr="005C7810">
        <w:rPr>
          <w:rFonts w:ascii="Book Antiqua" w:hAnsi="Book Antiqua" w:cs="Times New Roman"/>
          <w:bCs/>
          <w:color w:val="000000"/>
          <w:sz w:val="24"/>
          <w:szCs w:val="24"/>
          <w:lang w:val="en-US"/>
        </w:rPr>
        <w:t>,</w:t>
      </w:r>
      <w:r w:rsidR="006B690A" w:rsidRPr="005C7810">
        <w:rPr>
          <w:rFonts w:ascii="Book Antiqua" w:hAnsi="Book Antiqua" w:cs="Times New Roman"/>
          <w:bCs/>
          <w:color w:val="000000"/>
          <w:sz w:val="24"/>
          <w:szCs w:val="24"/>
          <w:lang w:val="en-US"/>
        </w:rPr>
        <w:t xml:space="preserve"> and cell invasion.</w:t>
      </w:r>
      <w:r w:rsidR="00895909" w:rsidRPr="005C7810">
        <w:rPr>
          <w:rFonts w:ascii="Book Antiqua" w:hAnsi="Book Antiqua" w:cs="Times New Roman"/>
          <w:bCs/>
          <w:color w:val="000000"/>
          <w:sz w:val="24"/>
          <w:szCs w:val="24"/>
          <w:lang w:val="en-US"/>
        </w:rPr>
        <w:t xml:space="preserve"> </w:t>
      </w:r>
    </w:p>
    <w:p w:rsidR="008076D5" w:rsidRPr="005C7810" w:rsidRDefault="00895909" w:rsidP="005C7810">
      <w:pPr>
        <w:spacing w:after="0" w:line="360" w:lineRule="auto"/>
        <w:ind w:firstLine="708"/>
        <w:jc w:val="both"/>
        <w:rPr>
          <w:rFonts w:ascii="Book Antiqua" w:hAnsi="Book Antiqua" w:cs="Times New Roman"/>
          <w:bCs/>
          <w:color w:val="000000"/>
          <w:sz w:val="24"/>
          <w:szCs w:val="24"/>
          <w:lang w:val="en-US"/>
        </w:rPr>
      </w:pPr>
      <w:r w:rsidRPr="005C7810">
        <w:rPr>
          <w:rFonts w:ascii="Book Antiqua" w:hAnsi="Book Antiqua" w:cs="Times New Roman"/>
          <w:bCs/>
          <w:color w:val="000000"/>
          <w:sz w:val="24"/>
          <w:szCs w:val="24"/>
          <w:lang w:val="en-US"/>
        </w:rPr>
        <w:t xml:space="preserve">Based on phase III clinical trials </w:t>
      </w:r>
      <w:r w:rsidR="009C5AA6" w:rsidRPr="005C7810">
        <w:rPr>
          <w:rFonts w:ascii="Book Antiqua" w:hAnsi="Book Antiqua" w:cs="Times New Roman"/>
          <w:bCs/>
          <w:color w:val="000000"/>
          <w:sz w:val="24"/>
          <w:szCs w:val="24"/>
          <w:lang w:val="en-US"/>
        </w:rPr>
        <w:t xml:space="preserve">in </w:t>
      </w:r>
      <w:r w:rsidRPr="005C7810">
        <w:rPr>
          <w:rFonts w:ascii="Book Antiqua" w:hAnsi="Book Antiqua" w:cs="Times New Roman"/>
          <w:bCs/>
          <w:color w:val="000000"/>
          <w:sz w:val="24"/>
          <w:szCs w:val="24"/>
          <w:lang w:val="en-US"/>
        </w:rPr>
        <w:t>patients with advanced/metastatic GC, trastuzumab (anti</w:t>
      </w:r>
      <w:r w:rsidR="007718A0" w:rsidRPr="005C7810">
        <w:rPr>
          <w:rFonts w:ascii="Book Antiqua" w:hAnsi="Book Antiqua" w:cs="Times New Roman"/>
          <w:bCs/>
          <w:color w:val="000000"/>
          <w:sz w:val="24"/>
          <w:szCs w:val="24"/>
          <w:lang w:val="en-US"/>
        </w:rPr>
        <w:t>-</w:t>
      </w:r>
      <w:r w:rsidRPr="005C7810">
        <w:rPr>
          <w:rFonts w:ascii="Book Antiqua" w:hAnsi="Book Antiqua" w:cs="Times New Roman"/>
          <w:bCs/>
          <w:color w:val="000000"/>
          <w:sz w:val="24"/>
          <w:szCs w:val="24"/>
          <w:lang w:val="en-US"/>
        </w:rPr>
        <w:t xml:space="preserve">HER2) and ramucirumab (anti-VEGFR2) </w:t>
      </w:r>
      <w:r w:rsidR="009C5AA6" w:rsidRPr="005C7810">
        <w:rPr>
          <w:rFonts w:ascii="Book Antiqua" w:hAnsi="Book Antiqua" w:cs="Times New Roman"/>
          <w:bCs/>
          <w:color w:val="000000"/>
          <w:sz w:val="24"/>
          <w:szCs w:val="24"/>
          <w:lang w:val="en-US"/>
        </w:rPr>
        <w:t xml:space="preserve">have been </w:t>
      </w:r>
      <w:r w:rsidRPr="005C7810">
        <w:rPr>
          <w:rFonts w:ascii="Book Antiqua" w:hAnsi="Book Antiqua" w:cs="Times New Roman"/>
          <w:bCs/>
          <w:color w:val="000000"/>
          <w:sz w:val="24"/>
          <w:szCs w:val="24"/>
          <w:lang w:val="en-US"/>
        </w:rPr>
        <w:t xml:space="preserve">approved </w:t>
      </w:r>
      <w:r w:rsidR="009C5AA6" w:rsidRPr="005C7810">
        <w:rPr>
          <w:rFonts w:ascii="Book Antiqua" w:hAnsi="Book Antiqua" w:cs="Times New Roman"/>
          <w:bCs/>
          <w:color w:val="000000"/>
          <w:sz w:val="24"/>
          <w:szCs w:val="24"/>
          <w:lang w:val="en-US"/>
        </w:rPr>
        <w:t>as</w:t>
      </w:r>
      <w:r w:rsidRPr="005C7810">
        <w:rPr>
          <w:rFonts w:ascii="Book Antiqua" w:hAnsi="Book Antiqua" w:cs="Times New Roman"/>
          <w:bCs/>
          <w:color w:val="000000"/>
          <w:sz w:val="24"/>
          <w:szCs w:val="24"/>
          <w:lang w:val="en-US"/>
        </w:rPr>
        <w:t xml:space="preserve"> first</w:t>
      </w:r>
      <w:r w:rsidR="00CD71D2" w:rsidRPr="005C7810">
        <w:rPr>
          <w:rFonts w:ascii="Book Antiqua" w:hAnsi="Book Antiqua" w:cs="Times New Roman"/>
          <w:bCs/>
          <w:color w:val="000000"/>
          <w:sz w:val="24"/>
          <w:szCs w:val="24"/>
          <w:lang w:val="en-US"/>
        </w:rPr>
        <w:t>-</w:t>
      </w:r>
      <w:r w:rsidRPr="005C7810">
        <w:rPr>
          <w:rFonts w:ascii="Book Antiqua" w:hAnsi="Book Antiqua" w:cs="Times New Roman"/>
          <w:bCs/>
          <w:color w:val="000000"/>
          <w:sz w:val="24"/>
          <w:szCs w:val="24"/>
          <w:lang w:val="en-US"/>
        </w:rPr>
        <w:t xml:space="preserve"> and second</w:t>
      </w:r>
      <w:r w:rsidR="00CD71D2" w:rsidRPr="005C7810">
        <w:rPr>
          <w:rFonts w:ascii="Book Antiqua" w:hAnsi="Book Antiqua" w:cs="Times New Roman"/>
          <w:bCs/>
          <w:color w:val="000000"/>
          <w:sz w:val="24"/>
          <w:szCs w:val="24"/>
          <w:lang w:val="en-US"/>
        </w:rPr>
        <w:t>-</w:t>
      </w:r>
      <w:r w:rsidRPr="005C7810">
        <w:rPr>
          <w:rFonts w:ascii="Book Antiqua" w:hAnsi="Book Antiqua" w:cs="Times New Roman"/>
          <w:bCs/>
          <w:color w:val="000000"/>
          <w:sz w:val="24"/>
          <w:szCs w:val="24"/>
          <w:lang w:val="en-US"/>
        </w:rPr>
        <w:t xml:space="preserve">line therapies in </w:t>
      </w:r>
      <w:r w:rsidR="009C5AA6" w:rsidRPr="005C7810">
        <w:rPr>
          <w:rFonts w:ascii="Book Antiqua" w:hAnsi="Book Antiqua" w:cs="Times New Roman"/>
          <w:bCs/>
          <w:color w:val="000000"/>
          <w:sz w:val="24"/>
          <w:szCs w:val="24"/>
          <w:lang w:val="en-US"/>
        </w:rPr>
        <w:t xml:space="preserve">these </w:t>
      </w:r>
      <w:r w:rsidRPr="005C7810">
        <w:rPr>
          <w:rFonts w:ascii="Book Antiqua" w:hAnsi="Book Antiqua" w:cs="Times New Roman"/>
          <w:bCs/>
          <w:color w:val="000000"/>
          <w:sz w:val="24"/>
          <w:szCs w:val="24"/>
          <w:lang w:val="en-US"/>
        </w:rPr>
        <w:t>patients</w:t>
      </w:r>
      <w:r w:rsidR="003F607A" w:rsidRPr="005C7810">
        <w:rPr>
          <w:rFonts w:ascii="Book Antiqua" w:hAnsi="Book Antiqua" w:cs="Times New Roman"/>
          <w:bCs/>
          <w:color w:val="000000"/>
          <w:sz w:val="24"/>
          <w:szCs w:val="24"/>
          <w:vertAlign w:val="superscript"/>
          <w:lang w:val="en-US"/>
        </w:rPr>
        <w:fldChar w:fldCharType="begin" w:fldLock="1"/>
      </w:r>
      <w:r w:rsidR="003B649A" w:rsidRPr="005C7810">
        <w:rPr>
          <w:rFonts w:ascii="Book Antiqua" w:hAnsi="Book Antiqua" w:cs="Times New Roman"/>
          <w:bCs/>
          <w:color w:val="000000"/>
          <w:sz w:val="24"/>
          <w:szCs w:val="24"/>
          <w:vertAlign w:val="superscript"/>
          <w:lang w:val="en-US"/>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Lancet","id":"ITEM-1","issue":"9742","issued":{"date-parts":[["2010"]]},"page":"687-697","publisher":"Elsevier Ltd","title":"Trastuzumab in combination with chemotherapy versus chemotherapy alone for treatment of HER2-positive advanced gastric or gastro-oesophageal junction cancer (ToGA): A phase 3, open-label, randomised controlled trial","type":"article-journal","volume":"376"},"uris":["http://www.mendeley.com/documents/?uuid=f5fb2335-ea93-4f6c-8e6e-d08ad3924e0e","http://www.mendeley.com/documents/?uuid=59471859-bcb7-4767-bd8b-9ef88517dd33"]},{"id":"ITEM-2","itemData":{"DOI":"10.1016/s0140-6736(13)61719-5","ISSN":"01406736","author":[{"dropping-particle":"","family":"Chau","given":"Ian","non-dropping-particle":"","parse-names":false,"suffix":""},{"dropping-particle":"","family":"Tomasek","given":"Jiri","non-dropping-particle":"","parse-names":false,"suffix":""},{"dropping-particle":"","family":"Fuchs","given":"Charles S","non-dropping-particle":"","parse-names":false,"suffix":""},{"dropping-particle":"","family":"Tabernero","given":"Josep","non-dropping-particle":"","parse-names":false,"suffix":""},{"dropping-particle":"","family":"Ferry","given":"David R","non-dropping-particle":"","parse-names":false,"suffix":""},{"dropping-particle":"","family":"Gao","given":"Ling","non-dropping-particle":"","parse-names":false,"suffix":""},{"dropping-particle":"","family":"Topuzov","given":"Eldar","non-dropping-particle":"","parse-names":false,"suffix":""},{"dropping-particle":"","family":"Tehfe","given":"Mustapha","non-dropping-particle":"","parse-names":false,"suffix":""},{"dropping-particle":"","family":"Hsu","given":"Yanzhi","non-dropping-particle":"","parse-names":false,"suffix":""},{"dropping-particle":"","family":"Goswami","given":"Chanchal","non-dropping-particle":"","parse-names":false,"suffix":""},{"dropping-particle":"","family":"Passalacqua","given":"Rodolfo","non-dropping-particle":"","parse-names":false,"suffix":""},{"dropping-particle":"","family":"Koshiji","given":"Minori","non-dropping-particle":"","parse-names":false,"suffix":""},{"dropping-particle":"","family":"Sivanandan","given":"Choondal","non-dropping-particle":"","parse-names":false,"suffix":""},{"dropping-particle":"","family":"Schwartz","given":"Jonathan D","non-dropping-particle":"","parse-names":false,"suffix":""},{"dropping-particle":"","family":"Melichar","given":"Bohuslav","non-dropping-particle":"","parse-names":false,"suffix":""},{"dropping-particle":"","family":"Safran","given":"Howard","non-dropping-particle":"","parse-names":false,"suffix":""},{"dropping-particle":"","family":"Santos","given":"Lucas Vieira","non-dropping-particle":"dos","parse-names":false,"suffix":""},{"dropping-particle":"","family":"Dumitru","given":"Filip","non-dropping-particle":"","parse-names":false,"suffix":""},{"dropping-particle":"","family":"Zalcberg","given":"John Raymond","non-dropping-particle":"","parse-names":false,"suffix":""},{"dropping-particle":"","family":"Liepa","given":"Astra M","non-dropping-particle":"","parse-names":false,"suffix":""},{"dropping-particle":"","family":"Campbell","given":"William","non-dropping-particle":"","parse-names":false,"suffix":""},{"dropping-particle":"","family":"Aprile","given":"Giuseppe","non-dropping-particle":"","parse-names":false,"suffix":""},{"dropping-particle":"","family":"Yong","given":"Cho Jae","non-dropping-particle":"","parse-names":false,"suffix":""},{"dropping-particle":"","family":"Pikiel","given":"Joanna","non-dropping-particle":"","parse-names":false,"suffix":""}],"container-title":"The Lancet","id":"ITEM-2","issue":"9911","issued":{"date-parts":[["2013"]]},"page":"31-39","title":"Ramucirumab monotherapy for previously treated advanced gastric or gastro-oesophageal junction adenocarcinoma (REGARD): an international, randomised, multicentre, placebo-controlled, phase 3 trial","type":"article-journal","volume":"383"},"uris":["http://www.mendeley.com/documents/?uuid=23a24249-8083-4316-ad09-31f9b55b234a","http://www.mendeley.com/documents/?uuid=5e84a102-9725-45df-b40d-512885b50c6b","http://www.mendeley.com/documents/?uuid=f0734ff6-e9e0-41ba-b064-407f6f56e7fe"]},{"id":"ITEM-3","itemData":{"DOI":"10.1016/S1470-2045(14)70420-6","ISSN":"14745488","PMID":"25240821","abstract":"Background: VEGFR-2 has a role in gastric cancer pathogenesis and progression. We assessed whether ramucirumab, a monoclonal antibody VEGFR-2 antagonist, in combination with paclitaxel would increase overall survival in patients previously treated for advanced gastric cancer compared with placebo plus paclitaxel. Methods: This randomised, placebo-controlled, double-blind, phase 3 trial was done at 170 centres in 27 countries in North and South America, Europe, Asia, and Australia. Patients aged 18 years or older with advanced gastric or gastro-oesophageal junction adenocarcinoma and disease progression on or within 4 months after first-line chemotherapy (platinum plus fluoropyrimidine with or without an anthracycline) were randomly assigned with a centralised interactive voice or web-response system in a 1:1 ratio to receive ramucirumab 8 mg/kg or placebo intravenously on days 1 and 15, plus paclitaxel 80 mg/m2intravenously on days 1, 8, and 15 of a 28-day cycle. A permuted block randomisation, stratified by geographic region, time to progression on first-line therapy, and disease measurability, was used. The primary endpoint was overall survival. Efficacy analysis was by intention to treat, and safety analysis included all patients who received at least one treatment with study drug. This trial is registered with ClinicalTrials.gov, number NCT01170663, and has been completed; patients who are still receiving treatment are in the extension phase. Findings: Between Dec 23, 2010, and Sept 23, 2012, 665 patients were randomly assigned to treatment-330 to ramucirumab plus paclitaxel and 335 to placebo plus paclitaxel. Overall survival was significantly longer in the ramucirumab plus paclitaxel group than in the placebo plus paclitaxel group (median 9·6 months [95% CI 8·5-10·8] vs 7·4 months [95% CI 6·3-8·4], hazard ratio 0·807 [95% CI 0·678-0·962]; p=0·017). Grade 3 or higher adverse events that occurred in more than 5% of patients in the ramucirumab plus paclitaxel group versus placebo plus paclitaxel included neutropenia (133 [41%] of 327 vs 62 [19%] of 329), leucopenia (57 [17%] vs 22 [7%]), hypertension (46 [14%] vs eight [2%]), fatigue (39 [12%] vs 18 [5%]), anaemia (30 [9%] vs 34 [10%]), and abdominal pain (20 [6%] vs 11 [3%]). The incidence of grade 3 or higher febrile neutropenia was low in both groups (ten [3%] vs eight [2%]). Interpretation: The combination of ramucirumab with paclitaxel significantly increases overall survival compared with place…","author":[{"dropping-particle":"","family":"Wilke","given":"Hansjochen","non-dropping-particle":"","parse-names":false,"suffix":""},{"dropping-particle":"","family":"Muro","given":"Kei","non-dropping-particle":"","parse-names":false,"suffix":""},{"dropping-particle":"","family":"Cutsem","given":"Eric","non-dropping-particle":"Van","parse-names":false,"suffix":""},{"dropping-particle":"","family":"Oh","given":"Sang Cheul","non-dropping-particle":"","parse-names":false,"suffix":""},{"dropping-particle":"","family":"Bodoky","given":"György","non-dropping-particle":"","parse-names":false,"suffix":""},{"dropping-particle":"","family":"Shimada","given":"Yasuhiro","non-dropping-particle":"","parse-names":false,"suffix":""},{"dropping-particle":"","family":"Hironaka","given":"Shuichi","non-dropping-particle":"","parse-names":false,"suffix":""},{"dropping-particle":"","family":"Sugimoto","given":"Naotoshi","non-dropping-particle":"","parse-names":false,"suffix":""},{"dropping-particle":"","family":"Lipatov","given":"Oleg","non-dropping-particle":"","parse-names":false,"suffix":""},{"dropping-particle":"","family":"Kim","given":"Tae You","non-dropping-particle":"","parse-names":false,"suffix":""},{"dropping-particle":"","family":"Cunningham","given":"David","non-dropping-particle":"","parse-names":false,"suffix":""},{"dropping-particle":"","family":"Rougier","given":"Philippe","non-dropping-particle":"","parse-names":false,"suffix":""},{"dropping-particle":"","family":"Komatsu","given":"Yoshito","non-dropping-particle":"","parse-names":false,"suffix":""},{"dropping-particle":"","family":"Ajani","given":"Jaffer","non-dropping-particle":"","parse-names":false,"suffix":""},{"dropping-particle":"","family":"Emig","given":"Michael","non-dropping-particle":"","parse-names":false,"suffix":""},{"dropping-particle":"","family":"Carlesi","given":"Roberto","non-dropping-particle":"","parse-names":false,"suffix":""},{"dropping-particle":"","family":"Ferry","given":"David","non-dropping-particle":"","parse-names":false,"suffix":""},{"dropping-particle":"","family":"Chandrawansa","given":"Kumari","non-dropping-particle":"","parse-names":false,"suffix":""},{"dropping-particle":"","family":"Schwartz","given":"Jonathan D.","non-dropping-particle":"","parse-names":false,"suffix":""},{"dropping-particle":"","family":"Ohtsu","given":"Atsushi","non-dropping-particle":"","parse-names":false,"suffix":""}],"container-title":"The Lancet Oncology","id":"ITEM-3","issue":"11","issued":{"date-parts":[["2014"]]},"page":"1224-1235","title":"Ramucirumab plus paclitaxel versus placebo plus paclitaxel in patients with previously treated advanced gastric or gastro-oesophageal junction adenocarcinoma (RAINBOW): A double-blind, randomised phase 3 trial","type":"article-journal","volume":"15"},"uris":["http://www.mendeley.com/documents/?uuid=7d500e87-abe5-487d-8270-72c6e6e57c2e","http://www.mendeley.com/documents/?uuid=3c9fe262-7c34-43dc-8308-5e057be4e93d","http://www.mendeley.com/documents/?uuid=c6a5bc52-6f02-4e1a-98aa-a7a336266933"]}],"mendeley":{"formattedCitation":"&lt;sup&gt;[72,73,124]&lt;/sup&gt;","manualFormatting":"[66–67,102]","plainTextFormattedCitation":"[72,73,124]","previouslyFormattedCitation":"&lt;sup&gt;[72,73,124]&lt;/sup&gt;"},"properties":{"noteIndex":0},"schema":"https://github.com/citation-style-language/schema/raw/master/csl-citation.json"}</w:instrText>
      </w:r>
      <w:r w:rsidR="003F607A" w:rsidRPr="005C7810">
        <w:rPr>
          <w:rFonts w:ascii="Book Antiqua" w:hAnsi="Book Antiqua" w:cs="Times New Roman"/>
          <w:bCs/>
          <w:color w:val="000000"/>
          <w:sz w:val="24"/>
          <w:szCs w:val="24"/>
          <w:vertAlign w:val="superscript"/>
          <w:lang w:val="en-US"/>
        </w:rPr>
        <w:fldChar w:fldCharType="separate"/>
      </w:r>
      <w:r w:rsidR="00EB5755" w:rsidRPr="005C7810">
        <w:rPr>
          <w:rFonts w:ascii="Book Antiqua" w:hAnsi="Book Antiqua" w:cs="Times New Roman"/>
          <w:bCs/>
          <w:color w:val="000000"/>
          <w:sz w:val="24"/>
          <w:szCs w:val="24"/>
          <w:vertAlign w:val="superscript"/>
          <w:lang w:val="en-US"/>
        </w:rPr>
        <w:t>[72</w:t>
      </w:r>
      <w:r w:rsidR="007718A0" w:rsidRPr="005C7810">
        <w:rPr>
          <w:rFonts w:ascii="Book Antiqua" w:hAnsi="Book Antiqua" w:cs="Times New Roman"/>
          <w:bCs/>
          <w:color w:val="000000"/>
          <w:sz w:val="24"/>
          <w:szCs w:val="24"/>
          <w:vertAlign w:val="superscript"/>
          <w:lang w:val="en-US"/>
        </w:rPr>
        <w:t>–</w:t>
      </w:r>
      <w:r w:rsidR="00EB5755" w:rsidRPr="005C7810">
        <w:rPr>
          <w:rFonts w:ascii="Book Antiqua" w:hAnsi="Book Antiqua" w:cs="Times New Roman"/>
          <w:bCs/>
          <w:color w:val="000000"/>
          <w:sz w:val="24"/>
          <w:szCs w:val="24"/>
          <w:vertAlign w:val="superscript"/>
          <w:lang w:val="en-US"/>
        </w:rPr>
        <w:t>74,124</w:t>
      </w:r>
      <w:r w:rsidR="0000024E" w:rsidRPr="005C7810">
        <w:rPr>
          <w:rFonts w:ascii="Book Antiqua" w:hAnsi="Book Antiqua" w:cs="Times New Roman"/>
          <w:bCs/>
          <w:color w:val="000000"/>
          <w:sz w:val="24"/>
          <w:szCs w:val="24"/>
          <w:vertAlign w:val="superscript"/>
          <w:lang w:val="en-US"/>
        </w:rPr>
        <w:t>]</w:t>
      </w:r>
      <w:r w:rsidR="003F607A" w:rsidRPr="005C7810">
        <w:rPr>
          <w:rFonts w:ascii="Book Antiqua" w:hAnsi="Book Antiqua" w:cs="Times New Roman"/>
          <w:bCs/>
          <w:color w:val="000000"/>
          <w:sz w:val="24"/>
          <w:szCs w:val="24"/>
          <w:vertAlign w:val="superscript"/>
          <w:lang w:val="en-US"/>
        </w:rPr>
        <w:fldChar w:fldCharType="end"/>
      </w:r>
      <w:r w:rsidRPr="005C7810">
        <w:rPr>
          <w:rFonts w:ascii="Book Antiqua" w:hAnsi="Book Antiqua" w:cs="Times New Roman"/>
          <w:bCs/>
          <w:color w:val="000000"/>
          <w:sz w:val="24"/>
          <w:szCs w:val="24"/>
          <w:lang w:val="en-US"/>
        </w:rPr>
        <w:t xml:space="preserve">. However, </w:t>
      </w:r>
      <w:r w:rsidR="009C5AA6" w:rsidRPr="005C7810">
        <w:rPr>
          <w:rFonts w:ascii="Book Antiqua" w:hAnsi="Book Antiqua" w:cs="Times New Roman"/>
          <w:bCs/>
          <w:color w:val="000000"/>
          <w:sz w:val="24"/>
          <w:szCs w:val="24"/>
          <w:lang w:val="en-US"/>
        </w:rPr>
        <w:t xml:space="preserve">the </w:t>
      </w:r>
      <w:r w:rsidRPr="005C7810">
        <w:rPr>
          <w:rFonts w:ascii="Book Antiqua" w:hAnsi="Book Antiqua" w:cs="Times New Roman"/>
          <w:bCs/>
          <w:color w:val="000000"/>
          <w:sz w:val="24"/>
          <w:szCs w:val="24"/>
          <w:lang w:val="en-US"/>
        </w:rPr>
        <w:t xml:space="preserve">survival </w:t>
      </w:r>
      <w:r w:rsidR="009C5AA6" w:rsidRPr="005C7810">
        <w:rPr>
          <w:rFonts w:ascii="Book Antiqua" w:hAnsi="Book Antiqua" w:cs="Times New Roman"/>
          <w:bCs/>
          <w:color w:val="000000"/>
          <w:sz w:val="24"/>
          <w:szCs w:val="24"/>
          <w:lang w:val="en-US"/>
        </w:rPr>
        <w:t>of</w:t>
      </w:r>
      <w:r w:rsidRPr="005C7810">
        <w:rPr>
          <w:rFonts w:ascii="Book Antiqua" w:hAnsi="Book Antiqua" w:cs="Times New Roman"/>
          <w:bCs/>
          <w:color w:val="000000"/>
          <w:sz w:val="24"/>
          <w:szCs w:val="24"/>
          <w:lang w:val="en-US"/>
        </w:rPr>
        <w:t xml:space="preserve"> patients receiving these therapies is not very high</w:t>
      </w:r>
      <w:r w:rsidR="00CD71D2" w:rsidRPr="005C7810">
        <w:rPr>
          <w:rFonts w:ascii="Book Antiqua" w:hAnsi="Book Antiqua" w:cs="Times New Roman"/>
          <w:bCs/>
          <w:color w:val="000000"/>
          <w:sz w:val="24"/>
          <w:szCs w:val="24"/>
          <w:lang w:val="en-US"/>
        </w:rPr>
        <w:t>,</w:t>
      </w:r>
      <w:r w:rsidRPr="005C7810">
        <w:rPr>
          <w:rFonts w:ascii="Book Antiqua" w:hAnsi="Book Antiqua" w:cs="Times New Roman"/>
          <w:bCs/>
          <w:color w:val="000000"/>
          <w:sz w:val="24"/>
          <w:szCs w:val="24"/>
          <w:lang w:val="en-US"/>
        </w:rPr>
        <w:t xml:space="preserve"> and</w:t>
      </w:r>
      <w:r w:rsidR="009C5AA6" w:rsidRPr="005C7810">
        <w:rPr>
          <w:rFonts w:ascii="Book Antiqua" w:hAnsi="Book Antiqua" w:cs="Times New Roman"/>
          <w:bCs/>
          <w:color w:val="000000"/>
          <w:sz w:val="24"/>
          <w:szCs w:val="24"/>
          <w:lang w:val="en-US"/>
        </w:rPr>
        <w:t xml:space="preserve"> with the</w:t>
      </w:r>
      <w:r w:rsidRPr="005C7810">
        <w:rPr>
          <w:rFonts w:ascii="Book Antiqua" w:hAnsi="Book Antiqua" w:cs="Times New Roman"/>
          <w:bCs/>
          <w:color w:val="000000"/>
          <w:sz w:val="24"/>
          <w:szCs w:val="24"/>
          <w:lang w:val="en-US"/>
        </w:rPr>
        <w:t xml:space="preserve"> </w:t>
      </w:r>
      <w:r w:rsidR="009E5D87" w:rsidRPr="005C7810">
        <w:rPr>
          <w:rFonts w:ascii="Book Antiqua" w:hAnsi="Book Antiqua" w:cs="Times New Roman"/>
          <w:bCs/>
          <w:color w:val="000000"/>
          <w:sz w:val="24"/>
          <w:szCs w:val="24"/>
          <w:lang w:val="en-US"/>
        </w:rPr>
        <w:t>except</w:t>
      </w:r>
      <w:r w:rsidR="009C5AA6" w:rsidRPr="005C7810">
        <w:rPr>
          <w:rFonts w:ascii="Book Antiqua" w:hAnsi="Book Antiqua" w:cs="Times New Roman"/>
          <w:bCs/>
          <w:color w:val="000000"/>
          <w:sz w:val="24"/>
          <w:szCs w:val="24"/>
          <w:lang w:val="en-US"/>
        </w:rPr>
        <w:t xml:space="preserve">ion of </w:t>
      </w:r>
      <w:r w:rsidRPr="005C7810">
        <w:rPr>
          <w:rFonts w:ascii="Book Antiqua" w:hAnsi="Book Antiqua" w:cs="Times New Roman"/>
          <w:bCs/>
          <w:color w:val="000000"/>
          <w:sz w:val="24"/>
          <w:szCs w:val="24"/>
          <w:lang w:val="en-US"/>
        </w:rPr>
        <w:t>HER2, there are no markers that can be used to evaluate the response to therapy.</w:t>
      </w:r>
      <w:r w:rsidRPr="005C7810">
        <w:rPr>
          <w:rFonts w:ascii="Book Antiqua" w:hAnsi="Book Antiqua" w:cs="Times New Roman"/>
          <w:bCs/>
          <w:color w:val="FF0000"/>
          <w:sz w:val="24"/>
          <w:szCs w:val="24"/>
          <w:lang w:val="en-US"/>
        </w:rPr>
        <w:t xml:space="preserve"> </w:t>
      </w:r>
      <w:r w:rsidR="000D7A25" w:rsidRPr="005C7810">
        <w:rPr>
          <w:rFonts w:ascii="Book Antiqua" w:hAnsi="Book Antiqua" w:cs="Times New Roman"/>
          <w:bCs/>
          <w:color w:val="000000"/>
          <w:sz w:val="24"/>
          <w:szCs w:val="24"/>
          <w:lang w:val="en-US"/>
        </w:rPr>
        <w:t>Data from preclinical studies have shown a relationship between HER-2 overexpression and activation of angiogenesis in breast cancer cells</w:t>
      </w:r>
      <w:r w:rsidR="00257F6F" w:rsidRPr="005C7810">
        <w:rPr>
          <w:rFonts w:ascii="Book Antiqua" w:hAnsi="Book Antiqua" w:cs="Times New Roman"/>
          <w:bCs/>
          <w:color w:val="000000"/>
          <w:sz w:val="24"/>
          <w:szCs w:val="24"/>
          <w:vertAlign w:val="superscript"/>
          <w:lang w:val="en-US"/>
        </w:rPr>
        <w:fldChar w:fldCharType="begin" w:fldLock="1"/>
      </w:r>
      <w:r w:rsidR="00257F6F" w:rsidRPr="005C7810">
        <w:rPr>
          <w:rFonts w:ascii="Book Antiqua" w:hAnsi="Book Antiqua" w:cs="Times New Roman"/>
          <w:bCs/>
          <w:color w:val="000000"/>
          <w:sz w:val="24"/>
          <w:szCs w:val="24"/>
          <w:vertAlign w:val="superscript"/>
          <w:lang w:val="en-US"/>
        </w:rPr>
        <w:instrText>ADDIN CSL_CITATION {"citationItems":[{"id":"ITEM-1","itemData":{"author":[{"dropping-particle":"","family":"Alameddine RS1, Otrock ZK, Awada A","given":"Shamseddine A.","non-dropping-particle":"","parse-names":false,"suffix":""}],"container-title":"Curr Opinions Oncol","id":"ITEM-1","issue":"3","issued":{"date-parts":[["2013"]]},"page":"313-324","title":"Crosstalk between HER2 signaling and angiogenesis in breast cancer: molecular basis, clinical applications and challenges","type":"article-journal","volume":"25"},"uris":["http://www.mendeley.com/documents/?uuid=7ef0caab-ef85-43bc-a942-3ff2ae028c8c"]}],"mendeley":{"formattedCitation":"&lt;sup&gt;[217]&lt;/sup&gt;","plainTextFormattedCitation":"[217]","previouslyFormattedCitation":"&lt;sup&gt;[217]&lt;/sup&gt;"},"properties":{"noteIndex":0},"schema":"https://github.com/citation-style-language/schema/raw/master/csl-citation.json"}</w:instrText>
      </w:r>
      <w:r w:rsidR="00257F6F" w:rsidRPr="005C7810">
        <w:rPr>
          <w:rFonts w:ascii="Book Antiqua" w:hAnsi="Book Antiqua" w:cs="Times New Roman"/>
          <w:bCs/>
          <w:color w:val="000000"/>
          <w:sz w:val="24"/>
          <w:szCs w:val="24"/>
          <w:vertAlign w:val="superscript"/>
          <w:lang w:val="en-US"/>
        </w:rPr>
        <w:fldChar w:fldCharType="separate"/>
      </w:r>
      <w:r w:rsidR="00257F6F" w:rsidRPr="005C7810">
        <w:rPr>
          <w:rFonts w:ascii="Book Antiqua" w:hAnsi="Book Antiqua" w:cs="Times New Roman"/>
          <w:bCs/>
          <w:color w:val="000000"/>
          <w:sz w:val="24"/>
          <w:szCs w:val="24"/>
          <w:vertAlign w:val="superscript"/>
          <w:lang w:val="en-US"/>
        </w:rPr>
        <w:t>[217]</w:t>
      </w:r>
      <w:r w:rsidR="00257F6F" w:rsidRPr="005C7810">
        <w:rPr>
          <w:rFonts w:ascii="Book Antiqua" w:hAnsi="Book Antiqua" w:cs="Times New Roman"/>
          <w:bCs/>
          <w:color w:val="000000"/>
          <w:sz w:val="24"/>
          <w:szCs w:val="24"/>
          <w:vertAlign w:val="superscript"/>
          <w:lang w:val="en-US"/>
        </w:rPr>
        <w:fldChar w:fldCharType="end"/>
      </w:r>
      <w:r w:rsidR="00257F6F" w:rsidRPr="005C7810">
        <w:rPr>
          <w:rFonts w:ascii="Book Antiqua" w:hAnsi="Book Antiqua" w:cs="Times New Roman"/>
          <w:bCs/>
          <w:color w:val="000000"/>
          <w:sz w:val="24"/>
          <w:szCs w:val="24"/>
          <w:lang w:val="en-US"/>
        </w:rPr>
        <w:t xml:space="preserve">. </w:t>
      </w:r>
      <w:r w:rsidR="000D7A25" w:rsidRPr="005C7810">
        <w:rPr>
          <w:rFonts w:ascii="Book Antiqua" w:hAnsi="Book Antiqua" w:cs="Times New Roman"/>
          <w:bCs/>
          <w:color w:val="000000"/>
          <w:sz w:val="24"/>
          <w:szCs w:val="24"/>
          <w:lang w:val="en-US"/>
        </w:rPr>
        <w:t xml:space="preserve">A retrospective study showed significant efficacy </w:t>
      </w:r>
      <w:r w:rsidR="00BB4B1E" w:rsidRPr="005C7810">
        <w:rPr>
          <w:rFonts w:ascii="Book Antiqua" w:hAnsi="Book Antiqua" w:cs="Times New Roman"/>
          <w:bCs/>
          <w:color w:val="000000"/>
          <w:sz w:val="24"/>
          <w:szCs w:val="24"/>
          <w:lang w:val="en-US"/>
        </w:rPr>
        <w:t xml:space="preserve">of the </w:t>
      </w:r>
      <w:r w:rsidR="000D7A25" w:rsidRPr="005C7810">
        <w:rPr>
          <w:rFonts w:ascii="Book Antiqua" w:hAnsi="Book Antiqua" w:cs="Times New Roman"/>
          <w:bCs/>
          <w:color w:val="000000"/>
          <w:sz w:val="24"/>
          <w:szCs w:val="24"/>
          <w:lang w:val="en-US"/>
        </w:rPr>
        <w:t>combin</w:t>
      </w:r>
      <w:r w:rsidR="00BB4B1E" w:rsidRPr="005C7810">
        <w:rPr>
          <w:rFonts w:ascii="Book Antiqua" w:hAnsi="Book Antiqua" w:cs="Times New Roman"/>
          <w:bCs/>
          <w:color w:val="000000"/>
          <w:sz w:val="24"/>
          <w:szCs w:val="24"/>
          <w:lang w:val="en-US"/>
        </w:rPr>
        <w:t>ation of</w:t>
      </w:r>
      <w:r w:rsidR="000D7A25" w:rsidRPr="005C7810">
        <w:rPr>
          <w:rFonts w:ascii="Book Antiqua" w:hAnsi="Book Antiqua" w:cs="Times New Roman"/>
          <w:bCs/>
          <w:color w:val="000000"/>
          <w:sz w:val="24"/>
          <w:szCs w:val="24"/>
          <w:lang w:val="en-US"/>
        </w:rPr>
        <w:t xml:space="preserve"> a biological therapy with ramucirumab with a chemotherapeutic (paclitaxel) in patients in whom trastuzumab therapy had failed</w:t>
      </w:r>
      <w:r w:rsidR="00D033D0" w:rsidRPr="005C7810">
        <w:rPr>
          <w:rFonts w:ascii="Book Antiqua" w:hAnsi="Book Antiqua" w:cs="Times New Roman"/>
          <w:bCs/>
          <w:color w:val="000000"/>
          <w:sz w:val="24"/>
          <w:szCs w:val="24"/>
          <w:vertAlign w:val="superscript"/>
          <w:lang w:val="en-US"/>
        </w:rPr>
        <w:fldChar w:fldCharType="begin" w:fldLock="1"/>
      </w:r>
      <w:r w:rsidR="00D033D0" w:rsidRPr="005C7810">
        <w:rPr>
          <w:rFonts w:ascii="Book Antiqua" w:hAnsi="Book Antiqua" w:cs="Times New Roman"/>
          <w:bCs/>
          <w:color w:val="000000"/>
          <w:sz w:val="24"/>
          <w:szCs w:val="24"/>
          <w:vertAlign w:val="superscript"/>
          <w:lang w:val="en-US"/>
        </w:rPr>
        <w:instrText>ADDIN CSL_CITATION {"citationItems":[{"id":"ITEM-1","itemData":{"DOI":"10.2217/fon-2017-0434","ISSN":"17448301","abstract":"AIM: Patients with advanced gastric cancer have a relatively poor prognosis with few therapeutic alternatives beyond first-line therapy. The purpose of this manuscript is to highlight the potential for prolonged responses in patients with HER-2-positive disease. Patients, materials &amp; methods: We analyzed the data of patients diagnosed with HER-2-positive-advanced gastric cancer who progressed on trastuzumab-based combination therapy and subsequently received second-line therapy consisting of ramucirumab in combination with paclitaxel., RESULTS: Most patients had a stable disease after ramucirumab-based therapy (50%, 5/10), median duration to disease control was 8 months., CONCLUSION: The prolonged duration of response that we observed indicates that an interaction between the EGF pathway and the angiogenesis pathway requires further clinical investigations.","author":[{"dropping-particle":"","family":"Tehfe","given":"Mustapha","non-dropping-particle":"","parse-names":false,"suffix":""},{"dropping-particle":"","family":"Tabchi","given":"Samer","non-dropping-particle":"","parse-names":false,"suffix":""},{"dropping-particle":"","family":"Laterza","given":"Maria Maddalena","non-dropping-particle":"","parse-names":false,"suffix":""},{"dropping-particle":"De","family":"Vita","given":"Ferdinando","non-dropping-particle":"","parse-names":false,"suffix":""}],"container-title":"Future Oncology","id":"ITEM-1","issue":"3","issued":{"date-parts":[["2018"]]},"page":"223-228","title":"Ramucirumab in HER-2-positive gastroesophageal adenocarcinoma: An argument for overcoming trastuzumab resistance","type":"article-journal","volume":"14"},"uris":["http://www.mendeley.com/documents/?uuid=2206d124-236e-4110-b269-bdb98f128fff"]}],"mendeley":{"formattedCitation":"&lt;sup&gt;[218]&lt;/sup&gt;","plainTextFormattedCitation":"[218]","previouslyFormattedCitation":"&lt;sup&gt;[218]&lt;/sup&gt;"},"properties":{"noteIndex":0},"schema":"https://github.com/citation-style-language/schema/raw/master/csl-citation.json"}</w:instrText>
      </w:r>
      <w:r w:rsidR="00D033D0" w:rsidRPr="005C7810">
        <w:rPr>
          <w:rFonts w:ascii="Book Antiqua" w:hAnsi="Book Antiqua" w:cs="Times New Roman"/>
          <w:bCs/>
          <w:color w:val="000000"/>
          <w:sz w:val="24"/>
          <w:szCs w:val="24"/>
          <w:vertAlign w:val="superscript"/>
          <w:lang w:val="en-US"/>
        </w:rPr>
        <w:fldChar w:fldCharType="separate"/>
      </w:r>
      <w:r w:rsidR="00D033D0" w:rsidRPr="005C7810">
        <w:rPr>
          <w:rFonts w:ascii="Book Antiqua" w:hAnsi="Book Antiqua" w:cs="Times New Roman"/>
          <w:bCs/>
          <w:color w:val="000000"/>
          <w:sz w:val="24"/>
          <w:szCs w:val="24"/>
          <w:vertAlign w:val="superscript"/>
          <w:lang w:val="en-US"/>
        </w:rPr>
        <w:t>[218]</w:t>
      </w:r>
      <w:r w:rsidR="00D033D0" w:rsidRPr="005C7810">
        <w:rPr>
          <w:rFonts w:ascii="Book Antiqua" w:hAnsi="Book Antiqua" w:cs="Times New Roman"/>
          <w:bCs/>
          <w:color w:val="000000"/>
          <w:sz w:val="24"/>
          <w:szCs w:val="24"/>
          <w:vertAlign w:val="superscript"/>
          <w:lang w:val="en-US"/>
        </w:rPr>
        <w:fldChar w:fldCharType="end"/>
      </w:r>
      <w:r w:rsidR="00D033D0" w:rsidRPr="005C7810">
        <w:rPr>
          <w:rFonts w:ascii="Book Antiqua" w:hAnsi="Book Antiqua" w:cs="Times New Roman"/>
          <w:bCs/>
          <w:color w:val="000000"/>
          <w:sz w:val="24"/>
          <w:szCs w:val="24"/>
          <w:lang w:val="en-US"/>
        </w:rPr>
        <w:t xml:space="preserve">. This study </w:t>
      </w:r>
      <w:r w:rsidR="00BB4B1E" w:rsidRPr="005C7810">
        <w:rPr>
          <w:rFonts w:ascii="Book Antiqua" w:hAnsi="Book Antiqua" w:cs="Times New Roman"/>
          <w:bCs/>
          <w:color w:val="000000"/>
          <w:sz w:val="24"/>
          <w:szCs w:val="24"/>
          <w:lang w:val="en-US"/>
        </w:rPr>
        <w:t xml:space="preserve">has </w:t>
      </w:r>
      <w:r w:rsidR="000D7A25" w:rsidRPr="005C7810">
        <w:rPr>
          <w:rFonts w:ascii="Book Antiqua" w:hAnsi="Book Antiqua" w:cs="Times New Roman"/>
          <w:bCs/>
          <w:color w:val="000000"/>
          <w:sz w:val="24"/>
          <w:szCs w:val="24"/>
          <w:lang w:val="en-US"/>
        </w:rPr>
        <w:t>demonstrate</w:t>
      </w:r>
      <w:r w:rsidR="00BB4B1E" w:rsidRPr="005C7810">
        <w:rPr>
          <w:rFonts w:ascii="Book Antiqua" w:hAnsi="Book Antiqua" w:cs="Times New Roman"/>
          <w:bCs/>
          <w:color w:val="000000"/>
          <w:sz w:val="24"/>
          <w:szCs w:val="24"/>
          <w:lang w:val="en-US"/>
        </w:rPr>
        <w:t>d</w:t>
      </w:r>
      <w:r w:rsidR="000D7A25" w:rsidRPr="005C7810">
        <w:rPr>
          <w:rFonts w:ascii="Book Antiqua" w:hAnsi="Book Antiqua" w:cs="Times New Roman"/>
          <w:bCs/>
          <w:color w:val="000000"/>
          <w:sz w:val="24"/>
          <w:szCs w:val="24"/>
          <w:lang w:val="en-US"/>
        </w:rPr>
        <w:t xml:space="preserve"> the crosstalk between HER-2 signaling and angiogenesis in GC</w:t>
      </w:r>
      <w:r w:rsidR="00BB4B1E" w:rsidRPr="005C7810">
        <w:rPr>
          <w:rFonts w:ascii="Book Antiqua" w:hAnsi="Book Antiqua" w:cs="Times New Roman"/>
          <w:bCs/>
          <w:color w:val="000000"/>
          <w:sz w:val="24"/>
          <w:szCs w:val="24"/>
          <w:lang w:val="en-US"/>
        </w:rPr>
        <w:t>, which can</w:t>
      </w:r>
      <w:r w:rsidR="000D7A25" w:rsidRPr="005C7810">
        <w:rPr>
          <w:rFonts w:ascii="Book Antiqua" w:hAnsi="Book Antiqua" w:cs="Times New Roman"/>
          <w:bCs/>
          <w:color w:val="000000"/>
          <w:sz w:val="24"/>
          <w:szCs w:val="24"/>
          <w:lang w:val="en-US"/>
        </w:rPr>
        <w:t xml:space="preserve"> explain tumor survival.</w:t>
      </w:r>
      <w:r w:rsidR="00D033D0" w:rsidRPr="005C7810">
        <w:rPr>
          <w:rFonts w:ascii="Book Antiqua" w:hAnsi="Book Antiqua" w:cs="Times New Roman"/>
          <w:bCs/>
          <w:color w:val="000000"/>
          <w:sz w:val="24"/>
          <w:szCs w:val="24"/>
          <w:lang w:val="en-US"/>
        </w:rPr>
        <w:t xml:space="preserve"> </w:t>
      </w:r>
      <w:r w:rsidR="000D7A25" w:rsidRPr="005C7810">
        <w:rPr>
          <w:rFonts w:ascii="Book Antiqua" w:hAnsi="Book Antiqua" w:cs="Times New Roman"/>
          <w:bCs/>
          <w:color w:val="000000"/>
          <w:sz w:val="24"/>
          <w:szCs w:val="24"/>
          <w:lang w:val="en-US"/>
        </w:rPr>
        <w:t xml:space="preserve">Therefore, trastuzumab resistance could be overcome by inhibiting the angiogenic pathway. </w:t>
      </w:r>
      <w:r w:rsidR="00D033D0" w:rsidRPr="005C7810">
        <w:rPr>
          <w:rFonts w:ascii="Book Antiqua" w:hAnsi="Book Antiqua" w:cs="Times New Roman"/>
          <w:bCs/>
          <w:color w:val="000000"/>
          <w:sz w:val="24"/>
          <w:szCs w:val="24"/>
          <w:lang w:val="en-US"/>
        </w:rPr>
        <w:t xml:space="preserve">An analysis </w:t>
      </w:r>
      <w:r w:rsidR="000D7A25" w:rsidRPr="005C7810">
        <w:rPr>
          <w:rFonts w:ascii="Book Antiqua" w:hAnsi="Book Antiqua" w:cs="Times New Roman"/>
          <w:bCs/>
          <w:color w:val="000000"/>
          <w:sz w:val="24"/>
          <w:szCs w:val="24"/>
          <w:lang w:val="en-US"/>
        </w:rPr>
        <w:t>of subgroups extrapolated from the RAINBOW study showed that patients who had already been treated with trastuzumab benefited from treatment with ramucirumab in combination with paclitaxel</w:t>
      </w:r>
      <w:r w:rsidR="00010A1A" w:rsidRPr="005C7810">
        <w:rPr>
          <w:rFonts w:ascii="Book Antiqua" w:hAnsi="Book Antiqua" w:cs="Times New Roman"/>
          <w:bCs/>
          <w:color w:val="000000"/>
          <w:sz w:val="24"/>
          <w:szCs w:val="24"/>
          <w:vertAlign w:val="superscript"/>
          <w:lang w:val="en-US"/>
        </w:rPr>
        <w:fldChar w:fldCharType="begin" w:fldLock="1"/>
      </w:r>
      <w:r w:rsidR="00010A1A" w:rsidRPr="005C7810">
        <w:rPr>
          <w:rFonts w:ascii="Book Antiqua" w:hAnsi="Book Antiqua" w:cs="Times New Roman"/>
          <w:bCs/>
          <w:color w:val="000000"/>
          <w:sz w:val="24"/>
          <w:szCs w:val="24"/>
          <w:vertAlign w:val="superscript"/>
          <w:lang w:val="en-US"/>
        </w:rPr>
        <w:instrText>ADDIN CSL_CITATION {"citationItems":[{"id":"ITEM-1","itemData":{"DOI":"10.2217/fon-2019-0243","ISSN":"1479-6694","author":[{"dropping-particle":"","family":"Vita","given":"Ferdinando","non-dropping-particle":"De","parse-names":false,"suffix":""},{"dropping-particle":"","family":"Borg","given":"Christophe","non-dropping-particle":"","parse-names":false,"suffix":""},{"dropping-particle":"","family":"Farina","given":"Gabriella","non-dropping-particle":"","parse-names":false,"suffix":""},{"dropping-particle":"","family":"Geva","given":"Ravit","non-dropping-particle":"","parse-names":false,"suffix":""},{"dropping-particle":"","family":"Carton","given":"Iris","non-dropping-particle":"","parse-names":false,"suffix":""},{"dropping-particle":"","family":"Cuku","given":"Hera","non-dropping-particle":"","parse-names":false,"suffix":""},{"dropping-particle":"","family":"Wei","given":"Ran","non-dropping-particle":"","parse-names":false,"suffix":""},{"dropping-particle":"","family":"Muro","given":"Kei","non-dropping-particle":"","parse-names":false,"suffix":""}],"container-title":"Future Oncology","id":"ITEM-1","issued":{"date-parts":[["2019"]]},"page":"fon-2019-0243","title":"Ramucirumab and paclitaxel in patients with gastric cancer and prior trastuzumab: subgroup analysis from RAINBOW study","type":"article-journal"},"uris":["http://www.mendeley.com/documents/?uuid=4d1ec52e-06e9-4d2b-a7f7-fd86f056a23b"]}],"mendeley":{"formattedCitation":"&lt;sup&gt;[219]&lt;/sup&gt;","plainTextFormattedCitation":"[219]","previouslyFormattedCitation":"&lt;sup&gt;[219]&lt;/sup&gt;"},"properties":{"noteIndex":0},"schema":"https://github.com/citation-style-language/schema/raw/master/csl-citation.json"}</w:instrText>
      </w:r>
      <w:r w:rsidR="00010A1A" w:rsidRPr="005C7810">
        <w:rPr>
          <w:rFonts w:ascii="Book Antiqua" w:hAnsi="Book Antiqua" w:cs="Times New Roman"/>
          <w:bCs/>
          <w:color w:val="000000"/>
          <w:sz w:val="24"/>
          <w:szCs w:val="24"/>
          <w:vertAlign w:val="superscript"/>
          <w:lang w:val="en-US"/>
        </w:rPr>
        <w:fldChar w:fldCharType="separate"/>
      </w:r>
      <w:r w:rsidR="00010A1A" w:rsidRPr="005C7810">
        <w:rPr>
          <w:rFonts w:ascii="Book Antiqua" w:hAnsi="Book Antiqua" w:cs="Times New Roman"/>
          <w:bCs/>
          <w:color w:val="000000"/>
          <w:sz w:val="24"/>
          <w:szCs w:val="24"/>
          <w:vertAlign w:val="superscript"/>
          <w:lang w:val="en-US"/>
        </w:rPr>
        <w:t>[219]</w:t>
      </w:r>
      <w:r w:rsidR="00010A1A" w:rsidRPr="005C7810">
        <w:rPr>
          <w:rFonts w:ascii="Book Antiqua" w:hAnsi="Book Antiqua" w:cs="Times New Roman"/>
          <w:bCs/>
          <w:color w:val="000000"/>
          <w:sz w:val="24"/>
          <w:szCs w:val="24"/>
          <w:vertAlign w:val="superscript"/>
          <w:lang w:val="en-US"/>
        </w:rPr>
        <w:fldChar w:fldCharType="end"/>
      </w:r>
      <w:r w:rsidR="00010A1A" w:rsidRPr="005C7810">
        <w:rPr>
          <w:rFonts w:ascii="Book Antiqua" w:hAnsi="Book Antiqua" w:cs="Times New Roman"/>
          <w:bCs/>
          <w:color w:val="000000"/>
          <w:sz w:val="24"/>
          <w:szCs w:val="24"/>
          <w:lang w:val="en-US"/>
        </w:rPr>
        <w:t xml:space="preserve">. </w:t>
      </w:r>
      <w:r w:rsidR="002D065F" w:rsidRPr="005C7810">
        <w:rPr>
          <w:rFonts w:ascii="Book Antiqua" w:hAnsi="Book Antiqua" w:cs="Times New Roman"/>
          <w:bCs/>
          <w:color w:val="000000"/>
          <w:sz w:val="24"/>
          <w:szCs w:val="24"/>
          <w:lang w:val="en-US"/>
        </w:rPr>
        <w:t>New studies will be needed to evaluate the efficacy of sequential block</w:t>
      </w:r>
      <w:r w:rsidR="008076D5" w:rsidRPr="005C7810">
        <w:rPr>
          <w:rFonts w:ascii="Book Antiqua" w:hAnsi="Book Antiqua" w:cs="Times New Roman"/>
          <w:bCs/>
          <w:color w:val="000000"/>
          <w:sz w:val="24"/>
          <w:szCs w:val="24"/>
          <w:lang w:val="en-US"/>
        </w:rPr>
        <w:t>ades</w:t>
      </w:r>
      <w:r w:rsidR="002D065F" w:rsidRPr="005C7810">
        <w:rPr>
          <w:rFonts w:ascii="Book Antiqua" w:hAnsi="Book Antiqua" w:cs="Times New Roman"/>
          <w:bCs/>
          <w:color w:val="000000"/>
          <w:sz w:val="24"/>
          <w:szCs w:val="24"/>
          <w:lang w:val="en-US"/>
        </w:rPr>
        <w:t xml:space="preserve"> of both pathways to improve the survival of patients with GC. </w:t>
      </w:r>
    </w:p>
    <w:p w:rsidR="00EF4A99" w:rsidRPr="005C7810" w:rsidRDefault="00895909" w:rsidP="005C7810">
      <w:pPr>
        <w:spacing w:after="0" w:line="360" w:lineRule="auto"/>
        <w:ind w:firstLine="708"/>
        <w:jc w:val="both"/>
        <w:rPr>
          <w:rFonts w:ascii="Book Antiqua" w:hAnsi="Book Antiqua" w:cs="Times New Roman"/>
          <w:bCs/>
          <w:color w:val="000000"/>
          <w:sz w:val="24"/>
          <w:szCs w:val="24"/>
          <w:lang w:val="en-US"/>
        </w:rPr>
      </w:pPr>
      <w:r w:rsidRPr="005C7810">
        <w:rPr>
          <w:rFonts w:ascii="Book Antiqua" w:hAnsi="Book Antiqua" w:cs="Times New Roman"/>
          <w:bCs/>
          <w:color w:val="000000"/>
          <w:sz w:val="24"/>
          <w:szCs w:val="24"/>
          <w:lang w:val="en-US"/>
        </w:rPr>
        <w:t>Other monoclonal anti</w:t>
      </w:r>
      <w:r w:rsidR="00CD71D2" w:rsidRPr="005C7810">
        <w:rPr>
          <w:rFonts w:ascii="Book Antiqua" w:hAnsi="Book Antiqua" w:cs="Times New Roman"/>
          <w:bCs/>
          <w:color w:val="000000"/>
          <w:sz w:val="24"/>
          <w:szCs w:val="24"/>
          <w:lang w:val="en-US"/>
        </w:rPr>
        <w:t>bodies</w:t>
      </w:r>
      <w:r w:rsidR="009C5AA6" w:rsidRPr="005C7810">
        <w:rPr>
          <w:rFonts w:ascii="Book Antiqua" w:hAnsi="Book Antiqua" w:cs="Times New Roman"/>
          <w:bCs/>
          <w:color w:val="000000"/>
          <w:sz w:val="24"/>
          <w:szCs w:val="24"/>
          <w:lang w:val="en-US"/>
        </w:rPr>
        <w:t xml:space="preserve">, such as cetuximab and panitumumab (anti-EGFR), have </w:t>
      </w:r>
      <w:r w:rsidR="00CD71D2" w:rsidRPr="005C7810">
        <w:rPr>
          <w:rFonts w:ascii="Book Antiqua" w:hAnsi="Book Antiqua" w:cs="Times New Roman"/>
          <w:bCs/>
          <w:color w:val="000000"/>
          <w:sz w:val="24"/>
          <w:szCs w:val="24"/>
          <w:lang w:val="en-US"/>
        </w:rPr>
        <w:t>also</w:t>
      </w:r>
      <w:r w:rsidR="009C5AA6" w:rsidRPr="005C7810">
        <w:rPr>
          <w:rFonts w:ascii="Book Antiqua" w:hAnsi="Book Antiqua" w:cs="Times New Roman"/>
          <w:bCs/>
          <w:color w:val="000000"/>
          <w:sz w:val="24"/>
          <w:szCs w:val="24"/>
          <w:lang w:val="en-US"/>
        </w:rPr>
        <w:t xml:space="preserve"> been</w:t>
      </w:r>
      <w:r w:rsidR="00CD71D2" w:rsidRPr="005C7810">
        <w:rPr>
          <w:rFonts w:ascii="Book Antiqua" w:hAnsi="Book Antiqua" w:cs="Times New Roman"/>
          <w:bCs/>
          <w:color w:val="000000"/>
          <w:sz w:val="24"/>
          <w:szCs w:val="24"/>
          <w:lang w:val="en-US"/>
        </w:rPr>
        <w:t xml:space="preserve"> tested in advanced/metastatic GC</w:t>
      </w:r>
      <w:r w:rsidR="009C5AA6" w:rsidRPr="005C7810">
        <w:rPr>
          <w:rFonts w:ascii="Book Antiqua" w:hAnsi="Book Antiqua" w:cs="Times New Roman"/>
          <w:bCs/>
          <w:color w:val="000000"/>
          <w:sz w:val="24"/>
          <w:szCs w:val="24"/>
          <w:lang w:val="en-US"/>
        </w:rPr>
        <w:t xml:space="preserve"> but</w:t>
      </w:r>
      <w:r w:rsidR="00CD71D2" w:rsidRPr="005C7810">
        <w:rPr>
          <w:rFonts w:ascii="Book Antiqua" w:hAnsi="Book Antiqua" w:cs="Times New Roman"/>
          <w:bCs/>
          <w:color w:val="000000"/>
          <w:sz w:val="24"/>
          <w:szCs w:val="24"/>
          <w:lang w:val="en-US"/>
        </w:rPr>
        <w:t xml:space="preserve"> </w:t>
      </w:r>
      <w:r w:rsidR="009C5AA6" w:rsidRPr="005C7810">
        <w:rPr>
          <w:rFonts w:ascii="Book Antiqua" w:hAnsi="Book Antiqua" w:cs="Times New Roman"/>
          <w:bCs/>
          <w:color w:val="000000"/>
          <w:sz w:val="24"/>
          <w:szCs w:val="24"/>
          <w:lang w:val="en-US"/>
        </w:rPr>
        <w:t>t</w:t>
      </w:r>
      <w:r w:rsidR="00CD71D2" w:rsidRPr="005C7810">
        <w:rPr>
          <w:rFonts w:ascii="Book Antiqua" w:hAnsi="Book Antiqua" w:cs="Times New Roman"/>
          <w:bCs/>
          <w:color w:val="000000"/>
          <w:sz w:val="24"/>
          <w:szCs w:val="24"/>
          <w:lang w:val="en-US"/>
        </w:rPr>
        <w:t xml:space="preserve">he results </w:t>
      </w:r>
      <w:r w:rsidR="00E61E9A" w:rsidRPr="005C7810">
        <w:rPr>
          <w:rFonts w:ascii="Book Antiqua" w:hAnsi="Book Antiqua" w:cs="Times New Roman"/>
          <w:bCs/>
          <w:color w:val="000000"/>
          <w:sz w:val="24"/>
          <w:szCs w:val="24"/>
          <w:lang w:val="en-US"/>
        </w:rPr>
        <w:t xml:space="preserve">on survival rates </w:t>
      </w:r>
      <w:r w:rsidR="009C5AA6" w:rsidRPr="005C7810">
        <w:rPr>
          <w:rFonts w:ascii="Book Antiqua" w:hAnsi="Book Antiqua" w:cs="Times New Roman"/>
          <w:bCs/>
          <w:color w:val="000000"/>
          <w:sz w:val="24"/>
          <w:szCs w:val="24"/>
          <w:lang w:val="en-US"/>
        </w:rPr>
        <w:t>have</w:t>
      </w:r>
      <w:r w:rsidRPr="005C7810">
        <w:rPr>
          <w:rFonts w:ascii="Book Antiqua" w:hAnsi="Book Antiqua" w:cs="Times New Roman"/>
          <w:bCs/>
          <w:color w:val="000000"/>
          <w:sz w:val="24"/>
          <w:szCs w:val="24"/>
          <w:lang w:val="en-US"/>
        </w:rPr>
        <w:t xml:space="preserve"> not </w:t>
      </w:r>
      <w:r w:rsidR="009C5AA6" w:rsidRPr="005C7810">
        <w:rPr>
          <w:rFonts w:ascii="Book Antiqua" w:hAnsi="Book Antiqua" w:cs="Times New Roman"/>
          <w:bCs/>
          <w:color w:val="000000"/>
          <w:sz w:val="24"/>
          <w:szCs w:val="24"/>
          <w:lang w:val="en-US"/>
        </w:rPr>
        <w:t xml:space="preserve">been </w:t>
      </w:r>
      <w:r w:rsidRPr="005C7810">
        <w:rPr>
          <w:rFonts w:ascii="Book Antiqua" w:hAnsi="Book Antiqua" w:cs="Times New Roman"/>
          <w:bCs/>
          <w:color w:val="000000"/>
          <w:sz w:val="24"/>
          <w:szCs w:val="24"/>
          <w:lang w:val="en-US"/>
        </w:rPr>
        <w:t>encouraging</w:t>
      </w:r>
      <w:r w:rsidR="003F607A" w:rsidRPr="005C7810">
        <w:rPr>
          <w:rFonts w:ascii="Book Antiqua" w:hAnsi="Book Antiqua" w:cs="Times New Roman"/>
          <w:bCs/>
          <w:color w:val="000000"/>
          <w:sz w:val="24"/>
          <w:szCs w:val="24"/>
          <w:vertAlign w:val="superscript"/>
          <w:lang w:val="en-US"/>
        </w:rPr>
        <w:fldChar w:fldCharType="begin" w:fldLock="1"/>
      </w:r>
      <w:r w:rsidR="00D83888" w:rsidRPr="005C7810">
        <w:rPr>
          <w:rFonts w:ascii="Book Antiqua" w:hAnsi="Book Antiqua" w:cs="Times New Roman"/>
          <w:bCs/>
          <w:color w:val="000000"/>
          <w:sz w:val="24"/>
          <w:szCs w:val="24"/>
          <w:vertAlign w:val="superscript"/>
          <w:lang w:val="en-US"/>
        </w:rPr>
        <w:instrText>ADDIN CSL_CITATION {"citationItems":[{"id":"ITEM-1","itemData":{"DOI":"10.1016/S1470-2045(13)70102-5","ISSN":"14702045","abstract":"Background: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 (on days 1-14) and intravenous cisplatin 80 mg/m2 (on day 1), with or without weekly cetuximab (400 mg/m2 initial infusion on day 1 followed by 250 mg/m2 per week thereafter). 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Oncology","id":"ITEM-1","issue":"6","issued":{"date-parts":[["2013"]]},"page":"490-499","publisher":"Elsevier Ltd","title":"Capecitabine and cisplatin with or without cetuximab for patients with previously untreated advanced gastric cancer (EXPAND): A randomised, open-label phase 3 trial","type":"article-journal","volume":"14"},"uris":["http://www.mendeley.com/documents/?uuid=7fb7cf1d-b811-4bdf-a802-27d4cdb3553c","http://www.mendeley.com/documents/?uuid=f1e6b162-853d-4af9-b385-0a01f626cc73"]},{"id":"ITEM-2","itemData":{"DOI":"10.20524/aog.2018.0311","abstract":"Background A phase I/II study to define the maximum tolerated dose (MTD) of biweekly docetaxel/cisplatin/5-fluorouracil (DCF) plus panitumumab (P), its efficacy, and tolerability as first-line treatment in advanced gastroesophageal cancer.","author":[{"dropping-particle":"","family":"Kentepozidis","given":"Nikolaos","non-dropping-particle":"","parse-names":false,"suffix":""},{"dropping-particle":"","family":"Economopoulou","given":"Panagiota","non-dropping-particle":"","parse-names":false,"suffix":""},{"dropping-particle":"","family":"Liontos","given":"Michael","non-dropping-particle":"","parse-names":false,"suffix":""},{"dropping-particle":"","family":"Kotsakis","given":"Athanasios","non-dropping-particle":"","parse-names":false,"suffix":""},{"dropping-particle":"","family":"Boukovinas","given":"Ioannis","non-dropping-particle":"","parse-names":false,"suffix":""},{"dropping-particle":"","family":"Vardakis","given":"Nikolaos","non-dropping-particle":"","parse-names":false,"suffix":""},{"dropping-particle":"","family":"Kontopodis","given":"Emmanouil","non-dropping-particle":"","parse-names":false,"suffix":""},{"dropping-particle":"","family":"Prinarakis","given":"Efthimios","non-dropping-particle":"","parse-names":false,"suffix":""},{"dropping-particle":"","family":"Skaltsi","given":"Teressa","non-dropping-particle":"","parse-names":false,"suffix":""},{"dropping-particle":"","family":"Souglakos","given":"John","non-dropping-particle":"","parse-names":false,"suffix":""},{"dropping-particle":"","family":"Georgoulias","given":"Vassilis","non-dropping-particle":"","parse-names":false,"suffix":""}],"id":"ITEM-2","issued":{"date-parts":[["2018"]]},"title":"Panitumumab in combination with modified docetaxel/ cisplatin/5-fluorouracil as first-line treatment in gastric and gastroesophageal junction adenocarcinomas: a multicenter phase II study by the Hellenic Oncology Research Group","type":"article-journal"},"uris":["http://www.mendeley.com/documents/?uuid=3ab2756b-cd8c-47e8-8d5e-c05a8d8fadda","http://www.mendeley.com/documents/?uuid=0d02de8f-eba5-3cf6-afdd-6a22f9735d57","http://www.mendeley.com/documents/?uuid=1178943e-b523-4a78-82c3-28f7f0d5c45e"]}],"mendeley":{"formattedCitation":"&lt;sup&gt;[134,135]&lt;/sup&gt;","manualFormatting":"[109–110]","plainTextFormattedCitation":"[134,135]","previouslyFormattedCitation":"&lt;sup&gt;[134,135]&lt;/sup&gt;"},"properties":{"noteIndex":0},"schema":"https://github.com/citation-style-language/schema/raw/master/csl-citation.json"}</w:instrText>
      </w:r>
      <w:r w:rsidR="003F607A" w:rsidRPr="005C7810">
        <w:rPr>
          <w:rFonts w:ascii="Book Antiqua" w:hAnsi="Book Antiqua" w:cs="Times New Roman"/>
          <w:bCs/>
          <w:color w:val="000000"/>
          <w:sz w:val="24"/>
          <w:szCs w:val="24"/>
          <w:vertAlign w:val="superscript"/>
          <w:lang w:val="en-US"/>
        </w:rPr>
        <w:fldChar w:fldCharType="separate"/>
      </w:r>
      <w:r w:rsidR="00EB5755" w:rsidRPr="005C7810">
        <w:rPr>
          <w:rFonts w:ascii="Book Antiqua" w:hAnsi="Book Antiqua" w:cs="Times New Roman"/>
          <w:bCs/>
          <w:color w:val="000000"/>
          <w:sz w:val="24"/>
          <w:szCs w:val="24"/>
          <w:vertAlign w:val="superscript"/>
          <w:lang w:val="en-US"/>
        </w:rPr>
        <w:t>[134</w:t>
      </w:r>
      <w:r w:rsidR="007718A0" w:rsidRPr="005C7810">
        <w:rPr>
          <w:rFonts w:ascii="Book Antiqua" w:hAnsi="Book Antiqua" w:cs="Times New Roman"/>
          <w:bCs/>
          <w:color w:val="000000"/>
          <w:sz w:val="24"/>
          <w:szCs w:val="24"/>
          <w:vertAlign w:val="superscript"/>
          <w:lang w:val="en-US"/>
        </w:rPr>
        <w:t>–</w:t>
      </w:r>
      <w:r w:rsidR="00EB5755" w:rsidRPr="005C7810">
        <w:rPr>
          <w:rFonts w:ascii="Book Antiqua" w:hAnsi="Book Antiqua" w:cs="Times New Roman"/>
          <w:bCs/>
          <w:color w:val="000000"/>
          <w:sz w:val="24"/>
          <w:szCs w:val="24"/>
          <w:vertAlign w:val="superscript"/>
          <w:lang w:val="en-US"/>
        </w:rPr>
        <w:t>135</w:t>
      </w:r>
      <w:r w:rsidR="0000024E" w:rsidRPr="005C7810">
        <w:rPr>
          <w:rFonts w:ascii="Book Antiqua" w:hAnsi="Book Antiqua" w:cs="Times New Roman"/>
          <w:bCs/>
          <w:color w:val="000000"/>
          <w:sz w:val="24"/>
          <w:szCs w:val="24"/>
          <w:vertAlign w:val="superscript"/>
          <w:lang w:val="en-US"/>
        </w:rPr>
        <w:t>]</w:t>
      </w:r>
      <w:r w:rsidR="003F607A" w:rsidRPr="005C7810">
        <w:rPr>
          <w:rFonts w:ascii="Book Antiqua" w:hAnsi="Book Antiqua" w:cs="Times New Roman"/>
          <w:bCs/>
          <w:color w:val="000000"/>
          <w:sz w:val="24"/>
          <w:szCs w:val="24"/>
          <w:vertAlign w:val="superscript"/>
          <w:lang w:val="en-US"/>
        </w:rPr>
        <w:fldChar w:fldCharType="end"/>
      </w:r>
      <w:r w:rsidRPr="005C7810">
        <w:rPr>
          <w:rFonts w:ascii="Book Antiqua" w:hAnsi="Book Antiqua" w:cs="Times New Roman"/>
          <w:bCs/>
          <w:color w:val="000000"/>
          <w:sz w:val="24"/>
          <w:szCs w:val="24"/>
          <w:lang w:val="en-US"/>
        </w:rPr>
        <w:t xml:space="preserve">. </w:t>
      </w:r>
      <w:r w:rsidR="00C06C91" w:rsidRPr="005C7810">
        <w:rPr>
          <w:rFonts w:ascii="Book Antiqua" w:hAnsi="Book Antiqua" w:cs="Times New Roman"/>
          <w:bCs/>
          <w:color w:val="000000"/>
          <w:sz w:val="24"/>
          <w:szCs w:val="24"/>
          <w:lang w:val="en-US"/>
        </w:rPr>
        <w:t>Un</w:t>
      </w:r>
      <w:r w:rsidR="001B6F01" w:rsidRPr="005C7810">
        <w:rPr>
          <w:rFonts w:ascii="Book Antiqua" w:hAnsi="Book Antiqua" w:cs="Times New Roman"/>
          <w:bCs/>
          <w:color w:val="000000"/>
          <w:sz w:val="24"/>
          <w:szCs w:val="24"/>
          <w:lang w:val="en-US"/>
        </w:rPr>
        <w:t xml:space="preserve">acceptable </w:t>
      </w:r>
      <w:r w:rsidR="00C06C91" w:rsidRPr="005C7810">
        <w:rPr>
          <w:rFonts w:ascii="Book Antiqua" w:hAnsi="Book Antiqua" w:cs="Times New Roman"/>
          <w:bCs/>
          <w:color w:val="000000"/>
          <w:sz w:val="24"/>
          <w:szCs w:val="24"/>
          <w:lang w:val="en-US"/>
        </w:rPr>
        <w:t>results were obtained with RAD001, a</w:t>
      </w:r>
      <w:r w:rsidR="007F2572" w:rsidRPr="005C7810">
        <w:rPr>
          <w:rFonts w:ascii="Book Antiqua" w:hAnsi="Book Antiqua" w:cs="Times New Roman"/>
          <w:bCs/>
          <w:color w:val="000000"/>
          <w:sz w:val="24"/>
          <w:szCs w:val="24"/>
          <w:lang w:val="en-US"/>
        </w:rPr>
        <w:t>n</w:t>
      </w:r>
      <w:r w:rsidR="00C06C91" w:rsidRPr="005C7810">
        <w:rPr>
          <w:rFonts w:ascii="Book Antiqua" w:hAnsi="Book Antiqua" w:cs="Times New Roman"/>
          <w:bCs/>
          <w:color w:val="000000"/>
          <w:sz w:val="24"/>
          <w:szCs w:val="24"/>
          <w:lang w:val="en-US"/>
        </w:rPr>
        <w:t xml:space="preserve"> mTOR inhibitor. The efficacy of RAD001 is unsatisfactory compared to conventional treatment </w:t>
      </w:r>
      <w:r w:rsidR="00E61E9A" w:rsidRPr="005C7810">
        <w:rPr>
          <w:rFonts w:ascii="Book Antiqua" w:hAnsi="Book Antiqua" w:cs="Times New Roman"/>
          <w:bCs/>
          <w:color w:val="000000"/>
          <w:sz w:val="24"/>
          <w:szCs w:val="24"/>
          <w:lang w:val="en-US"/>
        </w:rPr>
        <w:t>for</w:t>
      </w:r>
      <w:r w:rsidR="00C06C91" w:rsidRPr="005C7810">
        <w:rPr>
          <w:rFonts w:ascii="Book Antiqua" w:hAnsi="Book Antiqua" w:cs="Times New Roman"/>
          <w:bCs/>
          <w:color w:val="000000"/>
          <w:sz w:val="24"/>
          <w:szCs w:val="24"/>
          <w:lang w:val="en-US"/>
        </w:rPr>
        <w:t xml:space="preserve"> advanced GCs</w:t>
      </w:r>
      <w:r w:rsidR="00185134" w:rsidRPr="005C7810">
        <w:rPr>
          <w:rFonts w:ascii="Book Antiqua" w:hAnsi="Book Antiqua" w:cs="Times New Roman"/>
          <w:bCs/>
          <w:color w:val="000000"/>
          <w:sz w:val="24"/>
          <w:szCs w:val="24"/>
          <w:vertAlign w:val="superscript"/>
          <w:lang w:val="en-US"/>
        </w:rPr>
        <w:fldChar w:fldCharType="begin" w:fldLock="1"/>
      </w:r>
      <w:r w:rsidR="00B0152B" w:rsidRPr="005C7810">
        <w:rPr>
          <w:rFonts w:ascii="Book Antiqua" w:hAnsi="Book Antiqua" w:cs="Times New Roman"/>
          <w:bCs/>
          <w:color w:val="000000"/>
          <w:sz w:val="24"/>
          <w:szCs w:val="24"/>
          <w:vertAlign w:val="superscript"/>
          <w:lang w:val="en-US"/>
        </w:rPr>
        <w:instrText>ADDIN CSL_CITATION {"citationItems":[{"id":"ITEM-1","itemData":{"DOI":"10.1007/s00280-011-1653-5","ISSN":"03445704","abstract":"PURPOSE: Everolimus is a novel inhibitor of the mammalian target of rapamycin pathway, which is aberrantly activated in cancer cell. We conducted a phase I study of capecitabine plus everolimus (RAD001) in refractory gastric cancer patients.\\n\\nMETHODS: Patients with metastatic gastric cancer and progression after prior chemotherapy were eligible. Four dose levels were planned as follows: Level 1, 5 mg bid/day of everolimus (D1-D21) and 500 mg/m(2) bid/day of capecitabine (D1-14); Level 2, 5 mg bid/day of everolimus (D1-D21) and 750 mg/m(2) bid/day of capecitabine (D1-14); Level 3, 5 mg bid/day of everolimus (D1-D21) and 1000 mg/m(2) bid/day of capecitabine (D1-14); and Level 4, 10 mg bid/day of everolimus (D1-D21) and 1000 mg/m(2) bid/day of capecitabine (D1-14). Treatment was repeated every 3 weeks until disease progression, patient refusal, or any serious adverse event.\\n\\nRESULTS: Fifteen patients were enrolled in this study between November 2009 and April 2010. Fifteen patients were enrolled (median age, 50 years; men, 9). Six patients had received two previous chemotherapy regimens; six patients had three previous chemotherapy regimens before the study treatment. Thus, the majority of patients were heavily pretreated. The dose-limiting toxicities were grade 3 infection, grade 3 mucositis, and grade 3 hyperglycemia and hyponatremia. After a median follow-up duration of 5.6 months (range, 2.3-8.1 months), median PFS was 1.8 months (95% CI, 0.8-2.8 months). The maximum best change observed was a 28.7% decrease in sum of longest diameters when compared with baseline.\\n\\nCONCLUSIONS: The combination of capecitabine and everolimus showed satisfactory toxicity profile and modest clinical benefit in patients with refractory gastric cancer. The recommended dose of capecitabine and everolimus was 650 mg/m(2) twice daily and 5 mg twice daily, respectively.","author":[{"dropping-particle":"","family":"Lim","given":"Taekyu","non-dropping-particle":"","parse-names":false,"suffix":""},{"dropping-particle":"","family":"Lee","given":"Jeeyun","non-dropping-particle":"","parse-names":false,"suffix":""},{"dropping-particle":"","family":"Lee","given":"Duk Joo","non-dropping-particle":"","parse-names":false,"suffix":""},{"dropping-particle":"","family":"Lee","given":"Ha Yeon","non-dropping-particle":"","parse-names":false,"suffix":""},{"dropping-particle":"","family":"Han","given":"Boram","non-dropping-particle":"","parse-names":false,"suffix":""},{"dropping-particle":"","family":"Baek","given":"Kyung Kee","non-dropping-particle":"","parse-names":false,"suffix":""},{"dropping-particle":"","family":"Ahn","given":"Hee Kyung","non-dropping-particle":"","parse-names":false,"suffix":""},{"dropping-particle":"","family":"Lee","given":"Su Jin","non-dropping-particle":"","parse-names":false,"suffix":""},{"dropping-particle":"","family":"Park","given":"Se Hoon","non-dropping-particle":"","parse-names":false,"suffix":""},{"dropping-particle":"","family":"Park","given":"Joon Oh","non-dropping-particle":"","parse-names":false,"suffix":""},{"dropping-particle":"","family":"Park","given":"Young Suk","non-dropping-particle":"","parse-names":false,"suffix":""},{"dropping-particle":"","family":"Lim","given":"Ho Yeong","non-dropping-particle":"","parse-names":false,"suffix":""},{"dropping-particle":"","family":"Kim","given":"Kyoung Mee","non-dropping-particle":"","parse-names":false,"suffix":""},{"dropping-particle":"","family":"Kang","given":"Won Ki","non-dropping-particle":"","parse-names":false,"suffix":""}],"container-title":"Cancer Chemotherapy and Pharmacology","id":"ITEM-1","issue":"1","issued":{"date-parts":[["2011"]]},"page":"255-262","title":"Phase I trial of capecitabine plus everolimus (RAD001) in patients with previously treated metastatic gastric cancer","type":"article-journal","volume":"68"},"uris":["http://www.mendeley.com/documents/?uuid=e810dc3f-487a-4ab0-aa53-4a78758c3c5c","http://www.mendeley.com/documents/?uuid=ffa74df0-d57b-430d-833b-985e44a9d27d"]},{"id":"ITEM-2","itemData":{"DOI":"10.1038/bjc.2012.47","ISSN":"0007-0920","author":[{"dropping-particle":"","family":"Chang","given":"H-M","non-dropping-particle":"","parse-names":false,"suffix":""},{"dropping-particle":"","family":"Lee","given":"C","non-dropping-particle":"","parse-names":false,"suffix":""},{"dropping-particle":"","family":"Ryu","given":"M-H","non-dropping-particle":"","parse-names":false,"suffix":""},{"dropping-particle":"","family":"Yoon","given":"D H","non-dropping-particle":"","parse-names":false,"suffix":""},{"dropping-particle":"","family":"Kim","given":"T W","non-dropping-particle":"","parse-names":false,"suffix":""},{"dropping-particle":"","family":"Kang","given":"Y-K","non-dropping-particle":"","parse-names":false,"suffix":""},{"dropping-particle":"","family":"Lee","given":"H J","non-dropping-particle":"","parse-names":false,"suffix":""},{"dropping-particle":"","family":"Ryoo","given":"B-Y","non-dropping-particle":"","parse-names":false,"suffix":""},{"dropping-particle":"","family":"Lee","given":"J-L","non-dropping-particle":"","parse-names":false,"suffix":""},{"dropping-particle":"","family":"Park","given":"Y S","non-dropping-particle":"","parse-names":false,"suffix":""}],"container-title":"British Journal of Cancer","id":"ITEM-2","issue":"6","issued":{"date-parts":[["2012"]]},"page":"1039-1044","publisher":"Nature Publishing Group","title":"Phase II study of everolimus with biomarker exploration in patients with advanced gastric cancer refractory to chemotherapy including fluoropyrimidine and platinum","type":"article-journal","volume":"106"},"uris":["http://www.mendeley.com/documents/?uuid=974630a1-6893-4f95-b607-263c55531b31","http://www.mendeley.com/documents/?uuid=309c0601-6f55-4e4d-bfac-de3cf57adaae","http://www.mendeley.com/documents/?uuid=a122c8ef-d55a-4c22-bcd0-f7eda331c2d8"]}],"mendeley":{"formattedCitation":"&lt;sup&gt;[139,143]&lt;/sup&gt;","plainTextFormattedCitation":"[139,143]","previouslyFormattedCitation":"&lt;sup&gt;[139,143]&lt;/sup&gt;"},"properties":{"noteIndex":0},"schema":"https://github.com/citation-style-language/schema/raw/master/csl-citation.json"}</w:instrText>
      </w:r>
      <w:r w:rsidR="00185134" w:rsidRPr="005C7810">
        <w:rPr>
          <w:rFonts w:ascii="Book Antiqua" w:hAnsi="Book Antiqua" w:cs="Times New Roman"/>
          <w:bCs/>
          <w:color w:val="000000"/>
          <w:sz w:val="24"/>
          <w:szCs w:val="24"/>
          <w:vertAlign w:val="superscript"/>
          <w:lang w:val="en-US"/>
        </w:rPr>
        <w:fldChar w:fldCharType="separate"/>
      </w:r>
      <w:r w:rsidR="00B0152B" w:rsidRPr="005C7810">
        <w:rPr>
          <w:rFonts w:ascii="Book Antiqua" w:hAnsi="Book Antiqua" w:cs="Times New Roman"/>
          <w:bCs/>
          <w:color w:val="000000"/>
          <w:sz w:val="24"/>
          <w:szCs w:val="24"/>
          <w:vertAlign w:val="superscript"/>
          <w:lang w:val="en-US"/>
        </w:rPr>
        <w:t>[139,143]</w:t>
      </w:r>
      <w:r w:rsidR="00185134" w:rsidRPr="005C7810">
        <w:rPr>
          <w:rFonts w:ascii="Book Antiqua" w:hAnsi="Book Antiqua" w:cs="Times New Roman"/>
          <w:bCs/>
          <w:color w:val="000000"/>
          <w:sz w:val="24"/>
          <w:szCs w:val="24"/>
          <w:vertAlign w:val="superscript"/>
          <w:lang w:val="en-US"/>
        </w:rPr>
        <w:fldChar w:fldCharType="end"/>
      </w:r>
      <w:r w:rsidR="00C06C91" w:rsidRPr="005C7810">
        <w:rPr>
          <w:rFonts w:ascii="Book Antiqua" w:hAnsi="Book Antiqua" w:cs="Times New Roman"/>
          <w:bCs/>
          <w:color w:val="000000"/>
          <w:sz w:val="24"/>
          <w:szCs w:val="24"/>
          <w:lang w:val="en-US"/>
        </w:rPr>
        <w:t>.</w:t>
      </w:r>
      <w:r w:rsidR="003615DF" w:rsidRPr="005C7810">
        <w:rPr>
          <w:rFonts w:ascii="Book Antiqua" w:hAnsi="Book Antiqua" w:cs="Times New Roman"/>
          <w:bCs/>
          <w:color w:val="000000"/>
          <w:sz w:val="24"/>
          <w:szCs w:val="24"/>
          <w:lang w:val="en-US"/>
        </w:rPr>
        <w:t xml:space="preserve"> </w:t>
      </w:r>
      <w:r w:rsidR="009010E7" w:rsidRPr="005C7810">
        <w:rPr>
          <w:rFonts w:ascii="Book Antiqua" w:hAnsi="Book Antiqua" w:cs="Times New Roman"/>
          <w:bCs/>
          <w:color w:val="000000"/>
          <w:sz w:val="24"/>
          <w:szCs w:val="24"/>
          <w:lang w:val="en-US"/>
        </w:rPr>
        <w:t>Anti-MET monoclonal antibodies, such as rilotumumab and onartuzumab, in combination with chemotherapy</w:t>
      </w:r>
      <w:r w:rsidR="004A6501" w:rsidRPr="005C7810">
        <w:rPr>
          <w:rFonts w:ascii="Book Antiqua" w:hAnsi="Book Antiqua" w:cs="Times New Roman"/>
          <w:bCs/>
          <w:color w:val="000000"/>
          <w:sz w:val="24"/>
          <w:szCs w:val="24"/>
          <w:lang w:val="en-US"/>
        </w:rPr>
        <w:t>,</w:t>
      </w:r>
      <w:r w:rsidR="009010E7" w:rsidRPr="005C7810">
        <w:rPr>
          <w:rFonts w:ascii="Book Antiqua" w:hAnsi="Book Antiqua" w:cs="Times New Roman"/>
          <w:bCs/>
          <w:color w:val="000000"/>
          <w:sz w:val="24"/>
          <w:szCs w:val="24"/>
          <w:lang w:val="en-US"/>
        </w:rPr>
        <w:t xml:space="preserve"> did not bring benefits compared to chemotherapy alone</w:t>
      </w:r>
      <w:r w:rsidR="0000024E" w:rsidRPr="005C7810">
        <w:rPr>
          <w:rFonts w:ascii="Book Antiqua" w:hAnsi="Book Antiqua" w:cs="Times New Roman"/>
          <w:bCs/>
          <w:color w:val="000000"/>
          <w:sz w:val="24"/>
          <w:szCs w:val="24"/>
          <w:vertAlign w:val="superscript"/>
          <w:lang w:val="en-US"/>
        </w:rPr>
        <w:fldChar w:fldCharType="begin" w:fldLock="1"/>
      </w:r>
      <w:r w:rsidR="00B0152B" w:rsidRPr="005C7810">
        <w:rPr>
          <w:rFonts w:ascii="Book Antiqua" w:hAnsi="Book Antiqua" w:cs="Times New Roman"/>
          <w:bCs/>
          <w:color w:val="000000"/>
          <w:sz w:val="24"/>
          <w:szCs w:val="24"/>
          <w:vertAlign w:val="superscript"/>
          <w:lang w:val="en-US"/>
        </w:rPr>
        <w:instrText>ADDIN CSL_CITATION {"citationItems":[{"id":"ITEM-1","itemData":{"DOI":"10.1016/S1470-2045(14)70023-3","ISSN":"1470-2045","abstract":"BACKGROUND\nDysregulation of the hepatocyte growth factor (HGF)/MET pathway promotes tumour growth and metastasis. Rilotumumab is a fully human, monoclonal antibody that neutralises HGF. We aimed to assess the safety, efficacy, biomarkers, and pharmacokinetics of rilotumumab combined with epirubicin, cisplatin, and capecitabine (ECX) in patients with advanced gastric or oesophagogastric junction cancer. \n\nMETHODS\nWe recruited patients (≥18 years old) with unresectable locally advanced or metastatic gastric or oesophagogastric junction adenocarcinoma, an Eastern Cooperative Oncology Group (ECOG) performance status of 0 or 1, who had not received previous systemic therapy, from 43 sites worldwide. Phase 1b was an open-label, dose de-escalation study to identify a safe dose of rilotumumab (initial dose 15 mg/kg intravenously on day 1) plus ECX (epirubicin 50 mg/m2 intravenously on day 1, cisplatin 60 mg/m2 intravenously on day 1, capecitabine 625 mg/m2 twice a day orally on days 1–21, respectively), administered every 3 weeks. The phase 1b primary endpoint was the incidence of dose-limiting toxicities in all phase 1b patients who received at least one dose of rilotumumab and completed the dose-limiting toxicity assessment window (first cycle of therapy). Phase 2 was a double-blind study that randomly assigned patients (1:1:1) using an interactive voice response system to receive rilotumumab 15 mg/kg, rilotumumab 7·5 mg/kg, or placebo, plus ECX (doses as above), stratified by ECOG performance status and disease extent. The phase 2 primary endpoint was progression-free survival (PFS), analysed by intention to treat. The study is registered with ClinicalTrials.gov, number NCT00719550. \n\nFINDINGS\nSeven of the nine patients enrolled in the phase 1b study received at least one dose of rilotumumab 15 mg/kg, only two of whom had three dose-limiting toxicities: palmar-plantar erythrodysesthesia, cerebral ischaemia, and deep-vein thrombosis. In phase 2, 121 patients were randomly assigned (40 to rilotumumab 15 mg/kg; 42 to rilotumumab 7·5 mg/kg; 39 to placebo). Median PFS was 5·1 months (95% CI 2·9–7·0) in the rilotumumab 15 mg/kg group, 6·8 months (4·5–7·5) in the rilotumumab 7·5 mg/kg group, 5·7 months (4·5–7·0) in both rilotumumab groups combined, and 4·2 months (2·9–4·9) in the placebo group. The hazard ratio for PFS events compared with placebo was 0·69 (80% CI 0·49–0·97; p=0·164) for rilotumumab 15 mg/kg, 0·53 (80% CI 0·38–0·73; p=0·009) for rilotumumab 7·5 mg/…","author":[{"dropping-particle":"","family":"Iveson","given":"Timothy","non-dropping-particle":"","parse-names":false,"suffix":""},{"dropping-particle":"","family":"Donehower","given":"Ross C","non-dropping-particle":"","parse-names":false,"suffix":""},{"dropping-particle":"","family":"Davidenko","given":"Irina","non-dropping-particle":"","parse-names":false,"suffix":""},{"dropping-particle":"","family":"Tjulandin","given":"Sergey","non-dropping-particle":"","parse-names":false,"suffix":""},{"dropping-particle":"","family":"Deptala","given":"Andrzej","non-dropping-particle":"","parse-names":false,"suffix":""},{"dropping-particle":"","family":"Harrison","given":"Mark","non-dropping-particle":"","parse-names":false,"suffix":""},{"dropping-particle":"","family":"Nirni","given":"Somanath","non-dropping-particle":"","parse-names":false,"suffix":""},{"dropping-particle":"","family":"Lakshmaiah","given":"Kuntegowdanahalli","non-dropping-particle":"","parse-names":false,"suffix":""},{"dropping-particle":"","family":"Thomas","given":"Anne","non-dropping-particle":"","parse-names":false,"suffix":""},{"dropping-particle":"","family":"Jiang","given":"Yizhou","non-dropping-particle":"","parse-names":false,"suffix":""},{"dropping-particle":"","family":"Zhu","given":"Min","non-dropping-particle":"","parse-names":false,"suffix":""},{"dropping-particle":"","family":"Tang","given":"Rui","non-dropping-particle":"","parse-names":false,"suffix":""},{"dropping-particle":"","family":"Anderson","given":"Abraham","non-dropping-particle":"","parse-names":false,"suffix":""},{"dropping-particle":"","family":"Dubey","given":"Sarita","non-dropping-particle":"","parse-names":false,"suffix":""},{"dropping-particle":"","family":"Oliner","given":"Kelly S","non-dropping-particle":"","parse-names":false,"suffix":""},{"dropping-particle":"","family":"Loh","given":"Elwyn","non-dropping-particle":"","parse-names":false,"suffix":""}],"container-title":"The Lancet Oncology","id":"ITEM-1","issue":"9","issued":{"date-parts":[["2014","8","1"]]},"page":"1007-1018","publisher":"Elsevier","title":"Rilotumumab in combination with epirubicin, cisplatin, and capecitabine as first-line treatment for gastric or oesophagogastric junction adenocarcinoma: an open-label, dose de-escalation phase 1b study and a double-blind, randomised phase 2 study","type":"article-journal","volume":"15"},"uris":["http://www.mendeley.com/documents/?uuid=69bc7505-13b3-4891-a9aa-c87bc18773e4","http://www.mendeley.com/documents/?uuid=9fb6038f-55be-3d88-942e-2e8e0d821469"]},{"id":"ITEM-2","itemData":{"DOI":"10.1016/S1470-2045(17)30566-1","ISBN":"1474-5488 (Electronic)\r1470-2045 (Linking)","ISSN":"14745488","PMID":"28958504","abstract":"Background Rilotumumab is a fully human monoclonal antibody that selectively targets the ligand of the MET receptor, hepatocyte growth factor (HGF). We aimed to assess the efficacy, safety, and pharmacokinetics of rilotumumab combined with epirubicin, cisplatin, and capecitabine, and to assess potential biomarkers, in patients with advanced MET-positive gastric or gastro-oesophageal junction adenocarcinoma. Methods This multicentre, randomised, double-blind, placebo-controlled, phase 3 study was done at 152 centres in 27 countries. We recruited adults (aged ≥18 years) with unresectable locally advanced or metastatic gastric or gastro-oesophageal junction adenocarcinoma, an Eastern Cooperative Oncology Group (ECOG) performance status of 0 or 1, MET-positive tumours (≥25% of tumour cells with membrane staining of ≥1+ staining intensity), and evaluable disease, who had not received previous systemic therapy. Eligible patients were randomly assigned (1:1) via a computerised voice response system to receive rilotumumab 15 mg/kg intravenously or placebo in combination with open-label chemotherapy (epirubicin 50 mg/m2 intravenously; cisplatin 60 mg/m2 intravenously; capecitabine 625 mg/m2 orally twice daily) in 21-day cycles for up to ten cycles. After completion of chemotherapy, patients continued to receive rilotumumab or placebo monotherapy until disease progression, intolerability, withdrawal of consent, or study termination. Randomisation was stratified by disease extent and ECOG performance status. Both patients and physicians were masked to study treatment assignment. The primary endpoint was overall survival, analysed by intention to treat. We report the final analysis. This study is registered with ClinicalTrials.gov, number NCT01697072. Findings Between Nov 7, 2012, and Nov 21, 2014, 609 patients were randomly assigned to rilotumumab plus epirubicin, cisplatin, and capecitabine (rilotumumab group; n=304) or placebo plus epirubicin, cisplatin, and capecitabine (placebo group; n=305). Study treatment was stopped early after an independent data monitoring committee found a higher number of deaths in the rilotumumab group than in the placebo group; all patients in the rilotumumab group subsequently discontinued all study treatment. Median follow-up was 7·7 months (IQR 3·6–12·0) for patients in the rilotumumab group and 9·4 months (5·3–13·1) for patients in the placebo group. Median overall survival was 8·8 months (95% CI 7·7–10·2) in the rilotumumab grou…","author":[{"dropping-particle":"","family":"Catenacci","given":"Daniel V.T.","non-dropping-particle":"","parse-names":false,"suffix":""},{"dropping-particle":"","family":"Tebbutt","given":"Niall C.","non-dropping-particle":"","parse-names":false,"suffix":""},{"dropping-particle":"","family":"Davidenko","given":"Irina","non-dropping-particle":"","parse-names":false,"suffix":""},{"dropping-particle":"","family":"Murad","given":"André M.","non-dropping-particle":"","parse-names":false,"suffix":""},{"dropping-particle":"","family":"Al-Batran","given":"Salah Eddin","non-dropping-particle":"","parse-names":false,"suffix":""},{"dropping-particle":"","family":"Ilson","given":"David H.","non-dropping-particle":"","parse-names":false,"suffix":""},{"dropping-particle":"","family":"Tjulandin","given":"Sergei","non-dropping-particle":"","parse-names":false,"suffix":""},{"dropping-particle":"","family":"Gotovkin","given":"Evengy","non-dropping-particle":"","parse-names":false,"suffix":""},{"dropping-particle":"","family":"Karaszewska","given":"Boguslawa","non-dropping-particle":"","parse-names":false,"suffix":""},{"dropping-particle":"","family":"Bondarenko","given":"Igor","non-dropping-particle":"","parse-names":false,"suffix":""},{"dropping-particle":"","family":"Tejani","given":"Mohamedtaki A.","non-dropping-particle":"","parse-names":false,"suffix":""},{"dropping-particle":"","family":"Udrea","given":"Anghel A.","non-dropping-particle":"","parse-names":false,"suffix":""},{"dropping-particle":"","family":"Tehfe","given":"Mustapha","non-dropping-particle":"","parse-names":false,"suffix":""},{"dropping-particle":"","family":"Vita","given":"Ferdinando","non-dropping-particle":"De","parse-names":false,"suffix":""},{"dropping-particle":"","family":"Turkington","given":"Cheryl","non-dropping-particle":"","parse-names":false,"suffix":""},{"dropping-particle":"","family":"Tang","given":"Rui","non-dropping-particle":"","parse-names":false,"suffix":""},{"dropping-particle":"","family":"Ang","given":"Agnes","non-dropping-particle":"","parse-names":false,"suffix":""},{"dropping-particle":"","family":"Zhang","given":"Yilong","non-dropping-particle":"","parse-names":false,"suffix":""},{"dropping-particle":"","family":"Hoang","given":"Tien","non-dropping-particle":"","parse-names":false,"suffix":""},{"dropping-particle":"","family":"Sidhu","given":"Roger","non-dropping-particle":"","parse-names":false,"suffix":""},{"dropping-particle":"","family":"Cunningham","given":"David","non-dropping-particle":"","parse-names":false,"suffix":""}],"container-title":"The Lancet Oncology","id":"ITEM-2","issue":"11","issued":{"date-parts":[["2017"]]},"page":"1467-1482","title":"Rilotumumab plus epirubicin, cisplatin, and capecitabine as first-line therapy in advanced MET-positive gastric or gastro-oesophageal junction cancer (RILOMET-1): a randomised, double-blind, placebo-controlled, phase 3 trial","type":"article-journal","volume":"18"},"uris":["http://www.mendeley.com/documents/?uuid=8acf5b1c-57b9-4a0f-b349-46501f722eb7","http://www.mendeley.com/documents/?uuid=4c844e41-167a-4c5a-b8cc-aaa6d17a27a5","http://www.mendeley.com/documents/?uuid=4d52a60f-7ad9-4c58-979b-0021ca8f86bf"]},{"id":"ITEM-3","itemData":{"author":[{"dropping-particle":"","family":"Amgen.","given":"","non-dropping-particle":"","parse-names":false,"suffix":""}],"container-title":"ClinicalTrials.gov [Internet]. Bethesda (MD): U.S. National Library of Medicine","id":"ITEM-3","issued":{"date-parts":[["0"]]},"title":"A Phase 3 Study of Rilotumumab (AMG) With Cisplatin and Capecitabine (CX) as First-line Therapy in Gastric Cancer (RILOMET-2). In: ClinicalTrials.g","type":"article-journal"},"uris":["http://www.mendeley.com/documents/?uuid=1b6e097c-4480-46f2-b231-c44a34df1a3f","http://www.mendeley.com/documents/?uuid=7fc40279-cac9-4455-b167-b34756fdd580","http://www.mendeley.com/documents/?uuid=1840da69-607d-4b9f-9749-cdb67a85e08c"]},{"id":"ITEM-4","itemData":{"DOI":"10.1001/jamaoncol.2016.5580","ISSN":"2374-2445","PMID":"27918764","abstract":"Importance Dysregulation of the mesenchymal-epithelial transition (MET) signaling pathway is associated with poor prognosis in gastroesophageal adenocarcinoma (GEC). We report results of METGastric, a phase 3 trial of the MET inhibitor onartuzumab plus standard first-line chemotherapy for human epidermal growth factor receptor 2 (HER2)-negative, MET-positive, advanced GEC. Objective To determine whether the addition of onartuzumab to first-line fluorouracil, leucovorin, and oxaliplatin (mFOLFOX6) improves efficacy compared with mFOLFOX6 plus placebo in HER2-negative, MET-positive GEC. Design, Setting, and Participants Randomized, double-blind, multicenter trial conducted from November 2012 to March 2014. Patients were 18 years or older with an adenocarcinoma of the stomach or gastroesophageal junction with metastatic disease not amenable for curative therapy. Tumor samples were centrally tested for MET expression using Ventana anti-Total c-MET (SP44) rabbit monoclonal antibody, HER2 status, and Lauren histologic subtype. MET-positive tumors were defined as at least 50% of tumor cells showing weak, moderate, and/or strong staining intensity (MET 1+/2+/3+, respectively) by immunohistochemistry. Interventions Patients with HER2-negative, MET-positive GEC were enrolled and randomized 1:1 to receive mFOLFOX6 with or without onartuzumab (10 mg/kg). Main Outcomes and Measures Co-primary end points: overall survival in the intent-to-treat (ITT) population and in patients with MET 2+/3+ GEC. Secondary end points: progression-free survival (PFS), overall response rate (ORR), and safety. Results Enrollment was stopped early due to sponsor decision, which was agreed with an independent data monitoring committee. At the data cutoff (April 25, 2014) there were 562 patients in the ITT population (n</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283 placebo plus mFOLFOX6 [median age, 58 y; 65% male]; n</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279 onartuzumab plus mFOLFOX6 [median age, 60 y; 67% male]); 109 (38.5%) and 105 (37.6%) of the ITT population were MET 2+/3+, respectively. Addition of onartuzumab to mFOLFOX6 did not significantly improve OS, PFS, or ORR vs placebo plus mFOLFOX6 in the ITT (OS hazard ratio [HR], 0.82; 95% CI, 0.59-1.15; P</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.24; PFS HR, 0.90; 95% CI, 0.71-1.16; P</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.43; ORR, 46.1% vs 40.6%) or MET 2+/3+ populations (OS HR, 0.64; 95% CI, 0.40-1.03; P</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.06; PFS HR, 0.79; 95% CI, 0.54-1.15; P</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w:instrText>
      </w:r>
      <w:r w:rsidR="00B0152B" w:rsidRPr="005C7810">
        <w:rPr>
          <w:rFonts w:ascii="Times New Roman" w:hAnsi="Times New Roman" w:cs="Times New Roman"/>
          <w:bCs/>
          <w:color w:val="000000"/>
          <w:sz w:val="24"/>
          <w:szCs w:val="24"/>
          <w:vertAlign w:val="superscript"/>
          <w:lang w:val="en-US"/>
        </w:rPr>
        <w:instrText> </w:instrText>
      </w:r>
      <w:r w:rsidR="00B0152B" w:rsidRPr="005C7810">
        <w:rPr>
          <w:rFonts w:ascii="Book Antiqua" w:hAnsi="Book Antiqua" w:cs="Times New Roman"/>
          <w:bCs/>
          <w:color w:val="000000"/>
          <w:sz w:val="24"/>
          <w:szCs w:val="24"/>
          <w:vertAlign w:val="superscript"/>
          <w:lang w:val="en-US"/>
        </w:rPr>
        <w:instrText>.22; ORR, 53.8% vs 44.6%). Safety was as expected for onartuzumab. Conclusions and Relevance Addition of onartuzumab to first-line mFOLFO…","author":[{"dropping-particle":"","family":"Shah","given":"Manish A","non-dropping-particle":"","parse-names":false,"suffix":""},{"dropping-particle":"","family":"Bang","given":"Yung-Jue","non-dropping-particle":"","parse-names":false,"suffix":""},{"dropping-particle":"","family":"Lordick","given":"Florian","non-dropping-particle":"","parse-names":false,"suffix":""},{"dropping-particle":"","family":"Alsina","given":"Maria","non-dropping-particle":"","parse-names":false,"suffix":""},{"dropping-particle":"","family":"Chen","given":"Meng","non-dropping-particle":"","parse-names":false,"suffix":""},{"dropping-particle":"","family":"Hack","given":"Stephen P","non-dropping-particle":"","parse-names":false,"suffix":""},{"dropping-particle":"","family":"Bruey","given":"Jean Marie","non-dropping-particle":"","parse-names":false,"suffix":""},{"dropping-particle":"","family":"Smith","given":"Dustin","non-dropping-particle":"","parse-names":false,"suffix":""},{"dropping-particle":"","family":"McCaffery","given":"Ian","non-dropping-particle":"","parse-names":false,"suffix":""},{"dropping-particle":"","family":"Shames","given":"David S","non-dropping-particle":"","parse-names":false,"suffix":""},{"dropping-particle":"","family":"Phan","given":"See","non-dropping-particle":"","parse-names":false,"suffix":""},{"dropping-particle":"","family":"Cunningham","given":"David","non-dropping-particle":"","parse-names":false,"suffix":""}],"container-title":"JAMA oncology","id":"ITEM-4","issue":"5","issued":{"date-parts":[["2017","5","1"]]},"page":"620-627","publisher":"American Medical Association","title":"Effect of Fluorouracil, Leucovorin, and Oxaliplatin With or Without Onartuzumab in HER2-Negative, MET-Positive Gastroesophageal Adenocarcinoma: The METGastric Randomized Clinical Trial.","type":"article-journal","volume":"3"},"uris":["http://www.mendeley.com/documents/?uuid=e7e48369-70b1-4a4b-8506-e22d709e3887","http://www.mendeley.com/documents/?uuid=887c13d2-4fc3-3193-a7f0-2f6015f3dbab","http://www.mendeley.com/documents/?uuid=31667d95-d1c7-4cf3-88d3-9dff7c5a4bf3"]}],"mendeley":{"formattedCitation":"&lt;sup&gt;[149–152]&lt;/sup&gt;","plainTextFormattedCitation":"[149–152]","previouslyFormattedCitation":"&lt;sup&gt;[149–152]&lt;/sup&gt;"},"properties":{"noteIndex":0},"schema":"https://github.com/citation-style-language/schema/raw/master/csl-citation.json"}</w:instrText>
      </w:r>
      <w:r w:rsidR="0000024E" w:rsidRPr="005C7810">
        <w:rPr>
          <w:rFonts w:ascii="Book Antiqua" w:hAnsi="Book Antiqua" w:cs="Times New Roman"/>
          <w:bCs/>
          <w:color w:val="000000"/>
          <w:sz w:val="24"/>
          <w:szCs w:val="24"/>
          <w:vertAlign w:val="superscript"/>
          <w:lang w:val="en-US"/>
        </w:rPr>
        <w:fldChar w:fldCharType="separate"/>
      </w:r>
      <w:r w:rsidR="00B0152B" w:rsidRPr="005C7810">
        <w:rPr>
          <w:rFonts w:ascii="Book Antiqua" w:hAnsi="Book Antiqua" w:cs="Times New Roman"/>
          <w:bCs/>
          <w:color w:val="000000"/>
          <w:sz w:val="24"/>
          <w:szCs w:val="24"/>
          <w:vertAlign w:val="superscript"/>
          <w:lang w:val="en-US"/>
        </w:rPr>
        <w:t>[149–152]</w:t>
      </w:r>
      <w:r w:rsidR="0000024E" w:rsidRPr="005C7810">
        <w:rPr>
          <w:rFonts w:ascii="Book Antiqua" w:hAnsi="Book Antiqua" w:cs="Times New Roman"/>
          <w:bCs/>
          <w:color w:val="000000"/>
          <w:sz w:val="24"/>
          <w:szCs w:val="24"/>
          <w:vertAlign w:val="superscript"/>
          <w:lang w:val="en-US"/>
        </w:rPr>
        <w:fldChar w:fldCharType="end"/>
      </w:r>
      <w:r w:rsidR="009010E7" w:rsidRPr="005C7810">
        <w:rPr>
          <w:rFonts w:ascii="Book Antiqua" w:hAnsi="Book Antiqua" w:cs="Times New Roman"/>
          <w:bCs/>
          <w:color w:val="000000"/>
          <w:sz w:val="24"/>
          <w:szCs w:val="24"/>
          <w:lang w:val="en-US"/>
        </w:rPr>
        <w:t xml:space="preserve">. </w:t>
      </w:r>
      <w:r w:rsidR="000730A9" w:rsidRPr="005C7810">
        <w:rPr>
          <w:rFonts w:ascii="Book Antiqua" w:hAnsi="Book Antiqua" w:cs="Times New Roman"/>
          <w:bCs/>
          <w:color w:val="000000"/>
          <w:sz w:val="24"/>
          <w:szCs w:val="24"/>
          <w:lang w:val="en-US"/>
        </w:rPr>
        <w:t xml:space="preserve">A study was prepared to more effectively target MET with a mixture of two humanized monoclonal antibodies that target two non-overlapping MET epitopes. The results represent efficacy data demonstrated on preclinical models and are part of a clinical trial </w:t>
      </w:r>
      <w:r w:rsidR="00F631C9" w:rsidRPr="005C7810">
        <w:rPr>
          <w:rFonts w:ascii="Book Antiqua" w:hAnsi="Book Antiqua" w:cs="Times New Roman"/>
          <w:bCs/>
          <w:color w:val="000000"/>
          <w:sz w:val="24"/>
          <w:szCs w:val="24"/>
          <w:lang w:val="en-US"/>
        </w:rPr>
        <w:t>(</w:t>
      </w:r>
      <w:r w:rsidR="00F631C9" w:rsidRPr="005C7810">
        <w:rPr>
          <w:rFonts w:ascii="Book Antiqua" w:hAnsi="Book Antiqua"/>
          <w:bCs/>
          <w:color w:val="000000"/>
          <w:sz w:val="24"/>
          <w:szCs w:val="24"/>
          <w:lang w:val="en-US"/>
        </w:rPr>
        <w:t>NCT02648724)</w:t>
      </w:r>
      <w:r w:rsidR="0097123B" w:rsidRPr="005C7810">
        <w:rPr>
          <w:rFonts w:ascii="Book Antiqua" w:hAnsi="Book Antiqua"/>
          <w:bCs/>
          <w:color w:val="000000"/>
          <w:sz w:val="24"/>
          <w:szCs w:val="24"/>
          <w:vertAlign w:val="superscript"/>
          <w:lang w:val="en-US"/>
        </w:rPr>
        <w:fldChar w:fldCharType="begin" w:fldLock="1"/>
      </w:r>
      <w:r w:rsidR="00E04315" w:rsidRPr="005C7810">
        <w:rPr>
          <w:rFonts w:ascii="Book Antiqua" w:hAnsi="Book Antiqua"/>
          <w:bCs/>
          <w:color w:val="000000"/>
          <w:sz w:val="24"/>
          <w:szCs w:val="24"/>
          <w:vertAlign w:val="superscript"/>
          <w:lang w:val="en-US"/>
        </w:rPr>
        <w:instrText>ADDIN CSL_CITATION {"citationItems":[{"id":"ITEM-1","itemData":{"author":[{"dropping-particle":"","family":"Patnaik, A, Camidge","given":"DR","non-dropping-particle":"","parse-names":false,"suffix":""}],"container-title":"In: ClinicalTrials.gov[Internet]. Bethesda: U.S. National Library of Medicine. Available from: https://clinicaltrials.gov/ct2/show/NCT02648724 Clinical Trials.gov Identifier: NCT02648724","id":"ITEM-1","issued":{"date-parts":[["0"]]},"title":"Sym015 (Anti-MET) in Patients With Advanced Solid Tumor Malignancies","type":"article-journal"},"uris":["http://www.mendeley.com/documents/?uuid=2f36ac67-0b0c-4936-9490-7b3fc950b4d3"]}],"mendeley":{"formattedCitation":"&lt;sup&gt;[220]&lt;/sup&gt;","plainTextFormattedCitation":"[220]","previouslyFormattedCitation":"&lt;sup&gt;[220]&lt;/sup&gt;"},"properties":{"noteIndex":0},"schema":"https://github.com/citation-style-language/schema/raw/master/csl-citation.json"}</w:instrText>
      </w:r>
      <w:r w:rsidR="0097123B" w:rsidRPr="005C7810">
        <w:rPr>
          <w:rFonts w:ascii="Book Antiqua" w:hAnsi="Book Antiqua"/>
          <w:bCs/>
          <w:color w:val="000000"/>
          <w:sz w:val="24"/>
          <w:szCs w:val="24"/>
          <w:vertAlign w:val="superscript"/>
          <w:lang w:val="en-US"/>
        </w:rPr>
        <w:fldChar w:fldCharType="separate"/>
      </w:r>
      <w:r w:rsidR="0097123B" w:rsidRPr="005C7810">
        <w:rPr>
          <w:rFonts w:ascii="Book Antiqua" w:hAnsi="Book Antiqua"/>
          <w:bCs/>
          <w:color w:val="000000"/>
          <w:sz w:val="24"/>
          <w:szCs w:val="24"/>
          <w:vertAlign w:val="superscript"/>
          <w:lang w:val="en-US"/>
        </w:rPr>
        <w:t>[220]</w:t>
      </w:r>
      <w:r w:rsidR="0097123B" w:rsidRPr="005C7810">
        <w:rPr>
          <w:rFonts w:ascii="Book Antiqua" w:hAnsi="Book Antiqua"/>
          <w:bCs/>
          <w:color w:val="000000"/>
          <w:sz w:val="24"/>
          <w:szCs w:val="24"/>
          <w:vertAlign w:val="superscript"/>
          <w:lang w:val="en-US"/>
        </w:rPr>
        <w:fldChar w:fldCharType="end"/>
      </w:r>
      <w:r w:rsidR="0097123B" w:rsidRPr="005C7810">
        <w:rPr>
          <w:rFonts w:ascii="Book Antiqua" w:hAnsi="Book Antiqua" w:cs="Times New Roman"/>
          <w:bCs/>
          <w:color w:val="000000"/>
          <w:sz w:val="24"/>
          <w:szCs w:val="24"/>
          <w:lang w:val="en-US"/>
        </w:rPr>
        <w:t xml:space="preserve"> </w:t>
      </w:r>
      <w:r w:rsidR="000730A9" w:rsidRPr="005C7810">
        <w:rPr>
          <w:rFonts w:ascii="Book Antiqua" w:hAnsi="Book Antiqua" w:cs="Times New Roman"/>
          <w:bCs/>
          <w:color w:val="000000"/>
          <w:sz w:val="24"/>
          <w:szCs w:val="24"/>
          <w:lang w:val="en-US"/>
        </w:rPr>
        <w:t xml:space="preserve">carried out on patients with NSLC and </w:t>
      </w:r>
      <w:r w:rsidR="00F631C9" w:rsidRPr="005C7810">
        <w:rPr>
          <w:rFonts w:ascii="Book Antiqua" w:hAnsi="Book Antiqua" w:cs="Times New Roman"/>
          <w:bCs/>
          <w:color w:val="000000"/>
          <w:sz w:val="24"/>
          <w:szCs w:val="24"/>
          <w:lang w:val="en-US"/>
        </w:rPr>
        <w:t>MET amplification</w:t>
      </w:r>
      <w:r w:rsidR="003267ED" w:rsidRPr="005C7810">
        <w:rPr>
          <w:rFonts w:ascii="Book Antiqua" w:hAnsi="Book Antiqua" w:cs="Times New Roman"/>
          <w:bCs/>
          <w:color w:val="000000"/>
          <w:sz w:val="24"/>
          <w:szCs w:val="24"/>
          <w:vertAlign w:val="superscript"/>
          <w:lang w:val="en-US"/>
        </w:rPr>
        <w:fldChar w:fldCharType="begin" w:fldLock="1"/>
      </w:r>
      <w:r w:rsidR="003267ED" w:rsidRPr="005C7810">
        <w:rPr>
          <w:rFonts w:ascii="Book Antiqua" w:hAnsi="Book Antiqua" w:cs="Times New Roman"/>
          <w:bCs/>
          <w:color w:val="000000"/>
          <w:sz w:val="24"/>
          <w:szCs w:val="24"/>
          <w:vertAlign w:val="superscript"/>
          <w:lang w:val="en-US"/>
        </w:rPr>
        <w:instrText>ADDIN CSL_CITATION {"citationItems":[{"id":"ITEM-1","itemData":{"DOI":"10.1158/1078-0432.CCR-17-0782","ISSN":"15573265","abstract":"Purpose: Activation of the receptor tyrosine kinase MET is associated with poor clinical outcome in certain cancers. To target MET more effectively, we developed an antagonistic antibody mixture, Sym015, consisting of two humanized mAbs directed against nonoverlapping epitopes of MET.Experimental Design/Results: We screened a large panel of well-annotated human cancer cell lines and identified a subset with highly elevated MET expression. In particular, cell lines of lung cancer and gastric cancer origin demonstrated high MET expression and activation, and Sym015 triggered degradation of MET and significantly inhibited growth of these cell lines. Next, we tested Sym015 in patient- and cell line-derived xenograft models with high MET expression and/or MET exon 14 skipping alterations, and in models harboring MET amplification as a mechanism of resistance to EGFR-targeting agents. Sym015 effectively inhibited tumor growth in all these models and was superior to an analogue of emibetuzumab, a monoclonal IgG4 antibody against MET currently in clinical development. Sym015 also induced antibody-dependent cellular cytotoxicity (ADCC) in vitro, suggesting that secondary effector functions contribute to the efficacy of Sym015.Retrospectively, all responsive, high MET-expressing models were scored as highly MET-amplified by in situ hybridization, pointing to MET amplification as a predictive biomarker for efficacy. Preclinical toxicology studies in monkeys showed that Sym015 was well tolerated, with a pharmacokinetic profile supporting administration of Sym015 every second or third week in humans.Conclusions: The preclinical efficacy and safety data provide a clear rationale for the ongoing clinical studies of Sym015 in patients with MET-amplified tumors. Clin Cancer Res; 23(19); 5923-35. ©2017 AACR.","author":[{"dropping-particle":"","family":"Poulsen","given":"Thomas Tuxen","non-dropping-particle":"","parse-names":false,"suffix":""},{"dropping-particle":"","family":"Grandal","given":"Michael Monrad","non-dropping-particle":"","parse-names":false,"suffix":""},{"dropping-particle":"","family":"Skartved","given":"Niels Jørgen Østergaard","non-dropping-particle":"","parse-names":false,"suffix":""},{"dropping-particle":"","family":"Hald","given":"Rikke","non-dropping-particle":"","parse-names":false,"suffix":""},{"dropping-particle":"","family":"Alifrangis","given":"Lene","non-dropping-particle":"","parse-names":false,"suffix":""},{"dropping-particle":"","family":"Koefoed","given":"Klaus","non-dropping-particle":"","parse-names":false,"suffix":""},{"dropping-particle":"","family":"Lindsted","given":"Trine","non-dropping-particle":"","parse-names":false,"suffix":""},{"dropping-particle":"","family":"Frohlich","given":"Camilla","non-dropping-particle":"","parse-names":false,"suffix":""},{"dropping-particle":"","family":"Pollmann","given":"Sofie Ellebæk","non-dropping-particle":"","parse-names":false,"suffix":""},{"dropping-particle":"","family":"Eriksen","given":"Karsten Wessel","non-dropping-particle":"","parse-names":false,"suffix":""},{"dropping-particle":"","family":"Dahlman","given":"Anna","non-dropping-particle":"","parse-names":false,"suffix":""},{"dropping-particle":"","family":"Bouquin","given":"Helle Jane Jacobsen Thomas","non-dropping-particle":"","parse-names":false,"suffix":""},{"dropping-particle":"","family":"Pedersen","given":"Mikkel Wandahl","non-dropping-particle":"","parse-names":false,"suffix":""},{"dropping-particle":"","family":"Horak","given":"Ivan David","non-dropping-particle":"","parse-names":false,"suffix":""},{"dropping-particle":"","family":"Lantto","given":"Johan","non-dropping-particle":"","parse-names":false,"suffix":""},{"dropping-particle":"","family":"Kragh","given":"Michael","non-dropping-particle":"","parse-names":false,"suffix":""}],"container-title":"Clinical Cancer Research","id":"ITEM-1","issue":"19","issued":{"date-parts":[["2017"]]},"page":"5923-5935","title":"Sym015: A highly efficacious antibody mixture against met-amplified tumors","type":"article-journal","volume":"23"},"uris":["http://www.mendeley.com/documents/?uuid=20b0f217-2d63-4a23-80be-e8061a82d89c"]}],"mendeley":{"formattedCitation":"&lt;sup&gt;[221]&lt;/sup&gt;","plainTextFormattedCitation":"[221]","previouslyFormattedCitation":"&lt;sup&gt;[221]&lt;/sup&gt;"},"properties":{"noteIndex":0},"schema":"https://github.com/citation-style-language/schema/raw/master/csl-citation.json"}</w:instrText>
      </w:r>
      <w:r w:rsidR="003267ED" w:rsidRPr="005C7810">
        <w:rPr>
          <w:rFonts w:ascii="Book Antiqua" w:hAnsi="Book Antiqua" w:cs="Times New Roman"/>
          <w:bCs/>
          <w:color w:val="000000"/>
          <w:sz w:val="24"/>
          <w:szCs w:val="24"/>
          <w:vertAlign w:val="superscript"/>
          <w:lang w:val="en-US"/>
        </w:rPr>
        <w:fldChar w:fldCharType="separate"/>
      </w:r>
      <w:r w:rsidR="003267ED" w:rsidRPr="005C7810">
        <w:rPr>
          <w:rFonts w:ascii="Book Antiqua" w:hAnsi="Book Antiqua" w:cs="Times New Roman"/>
          <w:bCs/>
          <w:color w:val="000000"/>
          <w:sz w:val="24"/>
          <w:szCs w:val="24"/>
          <w:vertAlign w:val="superscript"/>
          <w:lang w:val="en-US"/>
        </w:rPr>
        <w:t>[221]</w:t>
      </w:r>
      <w:r w:rsidR="003267ED" w:rsidRPr="005C7810">
        <w:rPr>
          <w:rFonts w:ascii="Book Antiqua" w:hAnsi="Book Antiqua" w:cs="Times New Roman"/>
          <w:bCs/>
          <w:color w:val="000000"/>
          <w:sz w:val="24"/>
          <w:szCs w:val="24"/>
          <w:vertAlign w:val="superscript"/>
          <w:lang w:val="en-US"/>
        </w:rPr>
        <w:fldChar w:fldCharType="end"/>
      </w:r>
      <w:r w:rsidR="00F631C9" w:rsidRPr="005C7810">
        <w:rPr>
          <w:rFonts w:ascii="Book Antiqua" w:hAnsi="Book Antiqua" w:cs="Times New Roman"/>
          <w:bCs/>
          <w:color w:val="000000"/>
          <w:sz w:val="24"/>
          <w:szCs w:val="24"/>
          <w:lang w:val="en-US"/>
        </w:rPr>
        <w:t xml:space="preserve">. </w:t>
      </w:r>
      <w:r w:rsidR="000730A9" w:rsidRPr="005C7810">
        <w:rPr>
          <w:rFonts w:ascii="Book Antiqua" w:hAnsi="Book Antiqua" w:cs="Times New Roman"/>
          <w:bCs/>
          <w:color w:val="000000"/>
          <w:sz w:val="24"/>
          <w:szCs w:val="24"/>
          <w:lang w:val="en-US"/>
        </w:rPr>
        <w:t xml:space="preserve">The advantage of antibody mixtures is their ability to orchestrate the internalization of the receptor and its degradation more effectively than a single monoclonal antibody, as previously shown for the </w:t>
      </w:r>
      <w:r w:rsidR="00EF4A99" w:rsidRPr="005C7810">
        <w:rPr>
          <w:rFonts w:ascii="Book Antiqua" w:hAnsi="Book Antiqua" w:cs="Times New Roman"/>
          <w:bCs/>
          <w:color w:val="000000"/>
          <w:sz w:val="24"/>
          <w:szCs w:val="24"/>
          <w:lang w:val="en-US"/>
        </w:rPr>
        <w:t>EGFR</w:t>
      </w:r>
      <w:r w:rsidR="000730A9" w:rsidRPr="005C7810">
        <w:rPr>
          <w:rFonts w:ascii="Book Antiqua" w:hAnsi="Book Antiqua" w:cs="Times New Roman"/>
          <w:bCs/>
          <w:color w:val="000000"/>
          <w:sz w:val="24"/>
          <w:szCs w:val="24"/>
          <w:lang w:val="en-US"/>
        </w:rPr>
        <w:t xml:space="preserve"> family</w:t>
      </w:r>
      <w:r w:rsidR="00465E9E" w:rsidRPr="005C7810">
        <w:rPr>
          <w:rFonts w:ascii="Book Antiqua" w:hAnsi="Book Antiqua" w:cs="Times New Roman"/>
          <w:bCs/>
          <w:color w:val="000000"/>
          <w:sz w:val="24"/>
          <w:szCs w:val="24"/>
          <w:vertAlign w:val="superscript"/>
          <w:lang w:val="en-US"/>
        </w:rPr>
        <w:fldChar w:fldCharType="begin" w:fldLock="1"/>
      </w:r>
      <w:r w:rsidR="00465E9E" w:rsidRPr="005C7810">
        <w:rPr>
          <w:rFonts w:ascii="Book Antiqua" w:hAnsi="Book Antiqua" w:cs="Times New Roman"/>
          <w:bCs/>
          <w:color w:val="000000"/>
          <w:sz w:val="24"/>
          <w:szCs w:val="24"/>
          <w:vertAlign w:val="superscript"/>
          <w:lang w:val="en-US"/>
        </w:rPr>
        <w:instrText>ADDIN CSL_CITATION {"citationItems":[{"id":"ITEM-1","itemData":{"DOI":"10.1158/1535-7163.MCT-14-0697","ISSN":"1535-7163","abstract":"© 2015 American Association for Cancer Research. HER2 plays an important role in the development and maintenance of the malignant phenotype of several human cancers. As such, it is a frequently pursued therapeutic target and two antibodies targeting HER2 have been clinically approved, trastuzumab and pertuzumab. It has been suggested that optimal inhibition of HER2 is achieved when utilizing two or more antibodies targeting nonoverlapping epitopes. Superior clinical activity of the trastuzumab plus pertuzumab combination in metastatic breast cancer supports this hypothesis. Because trastuzumab and pertuzumab were not codeveloped, there may be potential for further optimizing HER2 targeting. The study herein evaluated functional activity of anti-HER2 antibody combinations identifying optimal epitope combinations that provide efficacious HER2 inhibition. High-affinity antibodies to all four extracellular domains on HER2 were identified and tested for ability to inhibit growth of different HER2-dependent tumor cell lines. An antibody mixture targeting three HER2 subdomains proved to be superior to trastuzumab, pertuzumab, or a combination in vitro and to trastuzumab in two in vivo models. Specifically, the tripartite antibody mixture induced efficient HER2 internalization and degradation demonstrating increased sensitivity in cell lines with HER2 amplification and high EGFR levels. When compared with individual and clinically approved mAbs, the synergistic tripartite antibody targeting HER2 subdomains I, II, and IV demonstrates superior anticancer activity.","author":[{"dropping-particle":"","family":"Pedersen","given":"M. W.","non-dropping-particle":"","parse-names":false,"suffix":""},{"dropping-particle":"","family":"Jacobsen","given":"H. J.","non-dropping-particle":"","parse-names":false,"suffix":""},{"dropping-particle":"","family":"Koefoed","given":"K.","non-dropping-particle":"","parse-names":false,"suffix":""},{"dropping-particle":"","family":"Dahlman","given":"A.","non-dropping-particle":"","parse-names":false,"suffix":""},{"dropping-particle":"","family":"Kjaer","given":"I.","non-dropping-particle":"","parse-names":false,"suffix":""},{"dropping-particle":"","family":"Poulsen","given":"T. T.","non-dropping-particle":"","parse-names":false,"suffix":""},{"dropping-particle":"","family":"Meijer","given":"P.-J.","non-dropping-particle":"","parse-names":false,"suffix":""},{"dropping-particle":"","family":"Nielsen","given":"L. S.","non-dropping-particle":"","parse-names":false,"suffix":""},{"dropping-particle":"","family":"Horak","given":"I. D.","non-dropping-particle":"","parse-names":false,"suffix":""},{"dropping-particle":"","family":"Lantto","given":"J.","non-dropping-particle":"","parse-names":false,"suffix":""},{"dropping-particle":"","family":"Kragh","given":"M.","non-dropping-particle":"","parse-names":false,"suffix":""}],"container-title":"Molecular Cancer Therapeutics","id":"ITEM-1","issue":"3","issued":{"date-parts":[["2015"]]},"page":"669-680","title":"Targeting Three Distinct HER2 Domains with a Recombinant Antibody Mixture Overcomes Trastuzumab Resistance","type":"article-journal","volume":"14"},"uris":["http://www.mendeley.com/documents/?uuid=bac145b7-d7f7-4c2b-a3db-30154e5afcb2"]}],"mendeley":{"formattedCitation":"&lt;sup&gt;[222]&lt;/sup&gt;","plainTextFormattedCitation":"[222]","previouslyFormattedCitation":"&lt;sup&gt;[222]&lt;/sup&gt;"},"properties":{"noteIndex":0},"schema":"https://github.com/citation-style-language/schema/raw/master/csl-citation.json"}</w:instrText>
      </w:r>
      <w:r w:rsidR="00465E9E" w:rsidRPr="005C7810">
        <w:rPr>
          <w:rFonts w:ascii="Book Antiqua" w:hAnsi="Book Antiqua" w:cs="Times New Roman"/>
          <w:bCs/>
          <w:color w:val="000000"/>
          <w:sz w:val="24"/>
          <w:szCs w:val="24"/>
          <w:vertAlign w:val="superscript"/>
          <w:lang w:val="en-US"/>
        </w:rPr>
        <w:fldChar w:fldCharType="separate"/>
      </w:r>
      <w:r w:rsidR="00465E9E" w:rsidRPr="005C7810">
        <w:rPr>
          <w:rFonts w:ascii="Book Antiqua" w:hAnsi="Book Antiqua" w:cs="Times New Roman"/>
          <w:bCs/>
          <w:color w:val="000000"/>
          <w:sz w:val="24"/>
          <w:szCs w:val="24"/>
          <w:vertAlign w:val="superscript"/>
          <w:lang w:val="en-US"/>
        </w:rPr>
        <w:t>[222]</w:t>
      </w:r>
      <w:r w:rsidR="00465E9E" w:rsidRPr="005C7810">
        <w:rPr>
          <w:rFonts w:ascii="Book Antiqua" w:hAnsi="Book Antiqua" w:cs="Times New Roman"/>
          <w:bCs/>
          <w:color w:val="000000"/>
          <w:sz w:val="24"/>
          <w:szCs w:val="24"/>
          <w:vertAlign w:val="superscript"/>
          <w:lang w:val="en-US"/>
        </w:rPr>
        <w:fldChar w:fldCharType="end"/>
      </w:r>
      <w:r w:rsidR="003267ED" w:rsidRPr="005C7810">
        <w:rPr>
          <w:rFonts w:ascii="Book Antiqua" w:hAnsi="Book Antiqua" w:cs="Times New Roman"/>
          <w:bCs/>
          <w:color w:val="000000"/>
          <w:sz w:val="24"/>
          <w:szCs w:val="24"/>
          <w:lang w:val="en-US"/>
        </w:rPr>
        <w:t>.</w:t>
      </w:r>
      <w:r w:rsidR="000730A9" w:rsidRPr="005C7810">
        <w:rPr>
          <w:rFonts w:ascii="Book Antiqua" w:hAnsi="Book Antiqua" w:cs="Times New Roman"/>
          <w:bCs/>
          <w:color w:val="000000"/>
          <w:sz w:val="24"/>
          <w:szCs w:val="24"/>
          <w:lang w:val="en-US"/>
        </w:rPr>
        <w:t xml:space="preserve"> </w:t>
      </w:r>
    </w:p>
    <w:p w:rsidR="00EF4A99" w:rsidRPr="005C7810" w:rsidRDefault="004A0E81" w:rsidP="005C7810">
      <w:pPr>
        <w:spacing w:after="0" w:line="360" w:lineRule="auto"/>
        <w:ind w:firstLine="708"/>
        <w:jc w:val="both"/>
        <w:rPr>
          <w:rFonts w:ascii="Book Antiqua" w:hAnsi="Book Antiqua" w:cs="Times New Roman"/>
          <w:bCs/>
          <w:color w:val="000000"/>
          <w:sz w:val="24"/>
          <w:szCs w:val="24"/>
          <w:lang w:val="en-US"/>
        </w:rPr>
      </w:pPr>
      <w:r w:rsidRPr="005C7810">
        <w:rPr>
          <w:rFonts w:ascii="Book Antiqua" w:hAnsi="Book Antiqua" w:cs="Times New Roman"/>
          <w:bCs/>
          <w:color w:val="000000"/>
          <w:sz w:val="24"/>
          <w:szCs w:val="24"/>
          <w:lang w:val="en-US"/>
        </w:rPr>
        <w:t xml:space="preserve">PARP inhibitors </w:t>
      </w:r>
      <w:r w:rsidR="00262094" w:rsidRPr="005C7810">
        <w:rPr>
          <w:rFonts w:ascii="Book Antiqua" w:hAnsi="Book Antiqua" w:cs="Times New Roman"/>
          <w:bCs/>
          <w:color w:val="000000"/>
          <w:sz w:val="24"/>
          <w:szCs w:val="24"/>
          <w:lang w:val="en-US"/>
        </w:rPr>
        <w:t xml:space="preserve">are </w:t>
      </w:r>
      <w:r w:rsidRPr="005C7810">
        <w:rPr>
          <w:rFonts w:ascii="Book Antiqua" w:hAnsi="Book Antiqua" w:cs="Times New Roman"/>
          <w:bCs/>
          <w:color w:val="000000"/>
          <w:sz w:val="24"/>
          <w:szCs w:val="24"/>
          <w:lang w:val="en-US"/>
        </w:rPr>
        <w:t>very effective in the treatment of ovarian and breast tumors in which DNA repair systems are altered and BRCA1/2 mutations</w:t>
      </w:r>
      <w:r w:rsidR="00EF4A99" w:rsidRPr="005C7810">
        <w:rPr>
          <w:rFonts w:ascii="Book Antiqua" w:hAnsi="Book Antiqua" w:cs="Times New Roman"/>
          <w:bCs/>
          <w:color w:val="000000"/>
          <w:sz w:val="24"/>
          <w:szCs w:val="24"/>
          <w:lang w:val="en-US"/>
        </w:rPr>
        <w:t xml:space="preserve"> are present</w:t>
      </w:r>
      <w:r w:rsidRPr="005C7810">
        <w:rPr>
          <w:rFonts w:ascii="Book Antiqua" w:hAnsi="Book Antiqua" w:cs="Times New Roman"/>
          <w:bCs/>
          <w:color w:val="000000"/>
          <w:sz w:val="24"/>
          <w:szCs w:val="24"/>
          <w:lang w:val="en-US"/>
        </w:rPr>
        <w:t>, which makes them more sensitive to these inhibitors</w:t>
      </w:r>
      <w:r w:rsidRPr="005C7810">
        <w:rPr>
          <w:rFonts w:ascii="Book Antiqua" w:hAnsi="Book Antiqua" w:cs="Times New Roman"/>
          <w:bCs/>
          <w:color w:val="000000"/>
          <w:sz w:val="24"/>
          <w:szCs w:val="24"/>
          <w:vertAlign w:val="superscript"/>
          <w:lang w:val="en-US"/>
        </w:rPr>
        <w:fldChar w:fldCharType="begin" w:fldLock="1"/>
      </w:r>
      <w:r w:rsidRPr="005C7810">
        <w:rPr>
          <w:rFonts w:ascii="Book Antiqua" w:hAnsi="Book Antiqua" w:cs="Times New Roman"/>
          <w:bCs/>
          <w:color w:val="000000"/>
          <w:sz w:val="24"/>
          <w:szCs w:val="24"/>
          <w:vertAlign w:val="superscript"/>
          <w:lang w:val="en-US"/>
        </w:rPr>
        <w:instrText>ADDIN CSL_CITATION {"citationItems":[{"id":"ITEM-1","itemData":{"author":[{"dropping-particle":"","family":"Mateo, J, Lord, CJ, Serra, V, Tutt, A, Balmana, J, Castroviejo-Bermejo, M, Cruz, C, Oaknin, A, Kaye, SB, de Bono","given":"JS","non-dropping-particle":"","parse-names":false,"suffix":""}],"container-title":"Annals of Oncology","id":"ITEM-1","issued":{"date-parts":[["2019"]]},"title":"A decade of clinical development of PARP inhibitors in perspective","type":"article-journal"},"uris":["http://www.mendeley.com/documents/?uuid=b95f0e71-8024-4527-8b38-e7f1dc16bb59"]}],"mendeley":{"formattedCitation":"&lt;sup&gt;[223]&lt;/sup&gt;","plainTextFormattedCitation":"[223]","previouslyFormattedCitation":"&lt;sup&gt;[223]&lt;/sup&gt;"},"properties":{"noteIndex":0},"schema":"https://github.com/citation-style-language/schema/raw/master/csl-citation.json"}</w:instrText>
      </w:r>
      <w:r w:rsidRPr="005C7810">
        <w:rPr>
          <w:rFonts w:ascii="Book Antiqua" w:hAnsi="Book Antiqua" w:cs="Times New Roman"/>
          <w:bCs/>
          <w:color w:val="000000"/>
          <w:sz w:val="24"/>
          <w:szCs w:val="24"/>
          <w:vertAlign w:val="superscript"/>
          <w:lang w:val="en-US"/>
        </w:rPr>
        <w:fldChar w:fldCharType="separate"/>
      </w:r>
      <w:r w:rsidRPr="005C7810">
        <w:rPr>
          <w:rFonts w:ascii="Book Antiqua" w:hAnsi="Book Antiqua" w:cs="Times New Roman"/>
          <w:bCs/>
          <w:color w:val="000000"/>
          <w:sz w:val="24"/>
          <w:szCs w:val="24"/>
          <w:vertAlign w:val="superscript"/>
          <w:lang w:val="en-US"/>
        </w:rPr>
        <w:t>[223]</w:t>
      </w:r>
      <w:r w:rsidRPr="005C7810">
        <w:rPr>
          <w:rFonts w:ascii="Book Antiqua" w:hAnsi="Book Antiqua" w:cs="Times New Roman"/>
          <w:bCs/>
          <w:color w:val="000000"/>
          <w:sz w:val="24"/>
          <w:szCs w:val="24"/>
          <w:vertAlign w:val="superscript"/>
          <w:lang w:val="en-US"/>
        </w:rPr>
        <w:fldChar w:fldCharType="end"/>
      </w:r>
      <w:r w:rsidRPr="005C7810">
        <w:rPr>
          <w:rFonts w:ascii="Book Antiqua" w:hAnsi="Book Antiqua" w:cs="Times New Roman"/>
          <w:bCs/>
          <w:color w:val="000000"/>
          <w:sz w:val="24"/>
          <w:szCs w:val="24"/>
          <w:lang w:val="en-US"/>
        </w:rPr>
        <w:t xml:space="preserve">. </w:t>
      </w:r>
      <w:r w:rsidR="008B7DC7" w:rsidRPr="005C7810">
        <w:rPr>
          <w:rFonts w:ascii="Book Antiqua" w:hAnsi="Book Antiqua" w:cs="Times New Roman"/>
          <w:bCs/>
          <w:color w:val="000000"/>
          <w:sz w:val="24"/>
          <w:szCs w:val="24"/>
          <w:lang w:val="en-US"/>
        </w:rPr>
        <w:t xml:space="preserve">New biomarkers are being explored, which go beyond BRCA1/2 mutations and DNA repair mechanism deficits to stratify sensitive patients, new combinations of PARP inhibitors, and/or combinations with checkpoint inhibitors to </w:t>
      </w:r>
      <w:r w:rsidR="00533B8C" w:rsidRPr="005C7810">
        <w:rPr>
          <w:rFonts w:ascii="Book Antiqua" w:hAnsi="Book Antiqua" w:cs="Times New Roman"/>
          <w:bCs/>
          <w:color w:val="000000"/>
          <w:sz w:val="24"/>
          <w:szCs w:val="24"/>
          <w:lang w:val="en-US"/>
        </w:rPr>
        <w:t xml:space="preserve">determine who will be </w:t>
      </w:r>
      <w:r w:rsidR="008B7DC7" w:rsidRPr="005C7810">
        <w:rPr>
          <w:rFonts w:ascii="Book Antiqua" w:hAnsi="Book Antiqua" w:cs="Times New Roman"/>
          <w:bCs/>
          <w:color w:val="000000"/>
          <w:sz w:val="24"/>
          <w:szCs w:val="24"/>
          <w:lang w:val="en-US"/>
        </w:rPr>
        <w:t xml:space="preserve">eligible for this treatment </w:t>
      </w:r>
      <w:r w:rsidR="00533B8C" w:rsidRPr="005C7810">
        <w:rPr>
          <w:rFonts w:ascii="Book Antiqua" w:hAnsi="Book Antiqua" w:cs="Times New Roman"/>
          <w:bCs/>
          <w:color w:val="000000"/>
          <w:sz w:val="24"/>
          <w:szCs w:val="24"/>
          <w:lang w:val="en-US"/>
        </w:rPr>
        <w:t xml:space="preserve">for </w:t>
      </w:r>
      <w:r w:rsidR="008B7DC7" w:rsidRPr="005C7810">
        <w:rPr>
          <w:rFonts w:ascii="Book Antiqua" w:hAnsi="Book Antiqua" w:cs="Times New Roman"/>
          <w:bCs/>
          <w:color w:val="000000"/>
          <w:sz w:val="24"/>
          <w:szCs w:val="24"/>
          <w:lang w:val="en-US"/>
        </w:rPr>
        <w:t>other solid tumors</w:t>
      </w:r>
      <w:r w:rsidR="00533B8C" w:rsidRPr="005C7810">
        <w:rPr>
          <w:rFonts w:ascii="Book Antiqua" w:hAnsi="Book Antiqua" w:cs="Times New Roman"/>
          <w:bCs/>
          <w:color w:val="000000"/>
          <w:sz w:val="24"/>
          <w:szCs w:val="24"/>
          <w:lang w:val="en-US"/>
        </w:rPr>
        <w:t>,</w:t>
      </w:r>
      <w:r w:rsidR="008B7DC7" w:rsidRPr="005C7810">
        <w:rPr>
          <w:rFonts w:ascii="Book Antiqua" w:hAnsi="Book Antiqua" w:cs="Times New Roman"/>
          <w:bCs/>
          <w:color w:val="000000"/>
          <w:sz w:val="24"/>
          <w:szCs w:val="24"/>
          <w:lang w:val="en-US"/>
        </w:rPr>
        <w:t xml:space="preserve"> including GC</w:t>
      </w:r>
      <w:r w:rsidR="008B7DC7" w:rsidRPr="005C7810">
        <w:rPr>
          <w:rFonts w:ascii="Book Antiqua" w:hAnsi="Book Antiqua" w:cs="Times New Roman"/>
          <w:bCs/>
          <w:color w:val="000000"/>
          <w:sz w:val="24"/>
          <w:szCs w:val="24"/>
          <w:vertAlign w:val="superscript"/>
          <w:lang w:val="en-US"/>
        </w:rPr>
        <w:fldChar w:fldCharType="begin" w:fldLock="1"/>
      </w:r>
      <w:r w:rsidR="008B7DC7" w:rsidRPr="005C7810">
        <w:rPr>
          <w:rFonts w:ascii="Book Antiqua" w:hAnsi="Book Antiqua" w:cs="Times New Roman"/>
          <w:bCs/>
          <w:color w:val="000000"/>
          <w:sz w:val="24"/>
          <w:szCs w:val="24"/>
          <w:vertAlign w:val="superscript"/>
          <w:lang w:val="en-US"/>
        </w:rPr>
        <w:instrText>ADDIN CSL_CITATION {"citationItems":[{"id":"ITEM-1","itemData":{"author":[{"dropping-particle":"","family":"Piliè P, Gay CM, Byers LA, O’Connor MJ","given":"Yap TA","non-dropping-particle":"","parse-names":false,"suffix":""}],"container-title":"Clin Cancer Res","id":"ITEM-1","issued":{"date-parts":[["2019"]]},"title":"PARP inhibitors: extending benefit beyond BRCA-mutant cancers.","type":"article-journal","volume":"26"},"uris":["http://www.mendeley.com/documents/?uuid=d15a7924-5ef7-4608-9ab1-6522b060196c"]}],"mendeley":{"formattedCitation":"&lt;sup&gt;[224]&lt;/sup&gt;","plainTextFormattedCitation":"[224]","previouslyFormattedCitation":"&lt;sup&gt;[224]&lt;/sup&gt;"},"properties":{"noteIndex":0},"schema":"https://github.com/citation-style-language/schema/raw/master/csl-citation.json"}</w:instrText>
      </w:r>
      <w:r w:rsidR="008B7DC7" w:rsidRPr="005C7810">
        <w:rPr>
          <w:rFonts w:ascii="Book Antiqua" w:hAnsi="Book Antiqua" w:cs="Times New Roman"/>
          <w:bCs/>
          <w:color w:val="000000"/>
          <w:sz w:val="24"/>
          <w:szCs w:val="24"/>
          <w:vertAlign w:val="superscript"/>
          <w:lang w:val="en-US"/>
        </w:rPr>
        <w:fldChar w:fldCharType="separate"/>
      </w:r>
      <w:r w:rsidR="008B7DC7" w:rsidRPr="005C7810">
        <w:rPr>
          <w:rFonts w:ascii="Book Antiqua" w:hAnsi="Book Antiqua" w:cs="Times New Roman"/>
          <w:bCs/>
          <w:color w:val="000000"/>
          <w:sz w:val="24"/>
          <w:szCs w:val="24"/>
          <w:vertAlign w:val="superscript"/>
          <w:lang w:val="en-US"/>
        </w:rPr>
        <w:t>[224]</w:t>
      </w:r>
      <w:r w:rsidR="008B7DC7" w:rsidRPr="005C7810">
        <w:rPr>
          <w:rFonts w:ascii="Book Antiqua" w:hAnsi="Book Antiqua" w:cs="Times New Roman"/>
          <w:bCs/>
          <w:color w:val="000000"/>
          <w:sz w:val="24"/>
          <w:szCs w:val="24"/>
          <w:vertAlign w:val="superscript"/>
          <w:lang w:val="en-US"/>
        </w:rPr>
        <w:fldChar w:fldCharType="end"/>
      </w:r>
      <w:r w:rsidR="008B7DC7" w:rsidRPr="005C7810">
        <w:rPr>
          <w:rFonts w:ascii="Book Antiqua" w:hAnsi="Book Antiqua" w:cs="Times New Roman"/>
          <w:bCs/>
          <w:color w:val="000000"/>
          <w:sz w:val="24"/>
          <w:szCs w:val="24"/>
          <w:lang w:val="en-US"/>
        </w:rPr>
        <w:t xml:space="preserve">. </w:t>
      </w:r>
      <w:r w:rsidR="00205981" w:rsidRPr="005C7810">
        <w:rPr>
          <w:rFonts w:ascii="Book Antiqua" w:hAnsi="Book Antiqua" w:cs="Times New Roman"/>
          <w:bCs/>
          <w:color w:val="000000"/>
          <w:sz w:val="24"/>
          <w:szCs w:val="24"/>
          <w:lang w:val="en-US"/>
        </w:rPr>
        <w:t>It has been hypothesized that the inhibition of PARP may trigger mechanisms based on the recognition of new tumor cell antigens by the immune system, making the PARP inhibitors potential partner</w:t>
      </w:r>
      <w:r w:rsidR="00533B8C" w:rsidRPr="005C7810">
        <w:rPr>
          <w:rFonts w:ascii="Book Antiqua" w:hAnsi="Book Antiqua" w:cs="Times New Roman"/>
          <w:bCs/>
          <w:color w:val="000000"/>
          <w:sz w:val="24"/>
          <w:szCs w:val="24"/>
          <w:lang w:val="en-US"/>
        </w:rPr>
        <w:t>s</w:t>
      </w:r>
      <w:r w:rsidR="00205981" w:rsidRPr="005C7810">
        <w:rPr>
          <w:rFonts w:ascii="Book Antiqua" w:hAnsi="Book Antiqua" w:cs="Times New Roman"/>
          <w:bCs/>
          <w:color w:val="000000"/>
          <w:sz w:val="24"/>
          <w:szCs w:val="24"/>
          <w:lang w:val="en-US"/>
        </w:rPr>
        <w:t xml:space="preserve"> for combination with immune checkpoint inhibitors. </w:t>
      </w:r>
    </w:p>
    <w:p w:rsidR="00E01626" w:rsidRPr="005C7810" w:rsidRDefault="00895909" w:rsidP="00CD380F">
      <w:pPr>
        <w:spacing w:after="0" w:line="360" w:lineRule="auto"/>
        <w:ind w:firstLine="708"/>
        <w:jc w:val="both"/>
        <w:rPr>
          <w:rFonts w:ascii="Book Antiqua" w:hAnsi="Book Antiqua" w:cs="Times New Roman"/>
          <w:sz w:val="24"/>
          <w:szCs w:val="24"/>
          <w:lang w:val="en-US"/>
        </w:rPr>
      </w:pPr>
      <w:r w:rsidRPr="005C7810">
        <w:rPr>
          <w:rFonts w:ascii="Book Antiqua" w:hAnsi="Book Antiqua" w:cs="Times New Roman"/>
          <w:sz w:val="24"/>
          <w:szCs w:val="24"/>
          <w:lang w:val="en-US"/>
        </w:rPr>
        <w:t>Recently, patient</w:t>
      </w:r>
      <w:r w:rsidR="00E61E9A" w:rsidRPr="005C7810">
        <w:rPr>
          <w:rFonts w:ascii="Book Antiqua" w:hAnsi="Book Antiqua" w:cs="Times New Roman"/>
          <w:sz w:val="24"/>
          <w:szCs w:val="24"/>
          <w:lang w:val="en-US"/>
        </w:rPr>
        <w:t>s</w:t>
      </w:r>
      <w:r w:rsidRPr="005C7810">
        <w:rPr>
          <w:rFonts w:ascii="Book Antiqua" w:hAnsi="Book Antiqua" w:cs="Times New Roman"/>
          <w:sz w:val="24"/>
          <w:szCs w:val="24"/>
          <w:lang w:val="en-US"/>
        </w:rPr>
        <w:t xml:space="preserve"> with GC </w:t>
      </w:r>
      <w:r w:rsidR="00E61E9A" w:rsidRPr="005C7810">
        <w:rPr>
          <w:rFonts w:ascii="Book Antiqua" w:hAnsi="Book Antiqua" w:cs="Times New Roman"/>
          <w:sz w:val="24"/>
          <w:szCs w:val="24"/>
          <w:lang w:val="en-US"/>
        </w:rPr>
        <w:t>have</w:t>
      </w:r>
      <w:r w:rsidRPr="005C7810">
        <w:rPr>
          <w:rFonts w:ascii="Book Antiqua" w:hAnsi="Book Antiqua" w:cs="Times New Roman"/>
          <w:sz w:val="24"/>
          <w:szCs w:val="24"/>
          <w:lang w:val="en-US"/>
        </w:rPr>
        <w:t xml:space="preserve"> also </w:t>
      </w:r>
      <w:r w:rsidR="00E61E9A" w:rsidRPr="005C7810">
        <w:rPr>
          <w:rFonts w:ascii="Book Antiqua" w:hAnsi="Book Antiqua" w:cs="Times New Roman"/>
          <w:sz w:val="24"/>
          <w:szCs w:val="24"/>
          <w:lang w:val="en-US"/>
        </w:rPr>
        <w:t>been studied</w:t>
      </w:r>
      <w:r w:rsidRPr="005C7810">
        <w:rPr>
          <w:rFonts w:ascii="Book Antiqua" w:hAnsi="Book Antiqua" w:cs="Times New Roman"/>
          <w:sz w:val="24"/>
          <w:szCs w:val="24"/>
          <w:lang w:val="en-US"/>
        </w:rPr>
        <w:t xml:space="preserve"> from </w:t>
      </w:r>
      <w:r w:rsidR="00E61E9A" w:rsidRPr="005C7810">
        <w:rPr>
          <w:rFonts w:ascii="Book Antiqua" w:hAnsi="Book Antiqua" w:cs="Times New Roman"/>
          <w:sz w:val="24"/>
          <w:szCs w:val="24"/>
          <w:lang w:val="en-US"/>
        </w:rPr>
        <w:t xml:space="preserve">an </w:t>
      </w:r>
      <w:r w:rsidRPr="005C7810">
        <w:rPr>
          <w:rFonts w:ascii="Book Antiqua" w:hAnsi="Book Antiqua" w:cs="Times New Roman"/>
          <w:sz w:val="24"/>
          <w:szCs w:val="24"/>
          <w:lang w:val="en-US"/>
        </w:rPr>
        <w:t>immun</w:t>
      </w:r>
      <w:r w:rsidR="00E61E9A" w:rsidRPr="005C7810">
        <w:rPr>
          <w:rFonts w:ascii="Book Antiqua" w:hAnsi="Book Antiqua" w:cs="Times New Roman"/>
          <w:sz w:val="24"/>
          <w:szCs w:val="24"/>
          <w:lang w:val="en-US"/>
        </w:rPr>
        <w:t>otherapy view</w:t>
      </w:r>
      <w:r w:rsidRPr="005C7810">
        <w:rPr>
          <w:rFonts w:ascii="Book Antiqua" w:hAnsi="Book Antiqua" w:cs="Times New Roman"/>
          <w:sz w:val="24"/>
          <w:szCs w:val="24"/>
          <w:lang w:val="en-US"/>
        </w:rPr>
        <w:t xml:space="preserve">point. </w:t>
      </w:r>
      <w:r w:rsidR="00211ED2" w:rsidRPr="005C7810">
        <w:rPr>
          <w:rFonts w:ascii="Book Antiqua" w:hAnsi="Book Antiqua" w:cs="Times New Roman"/>
          <w:sz w:val="24"/>
          <w:szCs w:val="24"/>
          <w:lang w:val="en-US"/>
        </w:rPr>
        <w:t xml:space="preserve">Pembrolizumab and nivolumab </w:t>
      </w:r>
      <w:r w:rsidR="007F2572" w:rsidRPr="005C7810">
        <w:rPr>
          <w:rFonts w:ascii="Book Antiqua" w:hAnsi="Book Antiqua" w:cs="Times New Roman"/>
          <w:sz w:val="24"/>
          <w:szCs w:val="24"/>
          <w:lang w:val="en-US"/>
        </w:rPr>
        <w:t>received</w:t>
      </w:r>
      <w:r w:rsidR="00211ED2" w:rsidRPr="005C7810">
        <w:rPr>
          <w:rFonts w:ascii="Book Antiqua" w:hAnsi="Book Antiqua" w:cs="Times New Roman"/>
          <w:sz w:val="24"/>
          <w:szCs w:val="24"/>
          <w:lang w:val="en-US"/>
        </w:rPr>
        <w:t xml:space="preserve"> FDA approval </w:t>
      </w:r>
      <w:r w:rsidR="00E61E9A" w:rsidRPr="005C7810">
        <w:rPr>
          <w:rFonts w:ascii="Book Antiqua" w:hAnsi="Book Antiqua" w:cs="Times New Roman"/>
          <w:sz w:val="24"/>
          <w:szCs w:val="24"/>
          <w:lang w:val="en-US"/>
        </w:rPr>
        <w:t>for</w:t>
      </w:r>
      <w:r w:rsidR="00211ED2" w:rsidRPr="005C7810">
        <w:rPr>
          <w:rFonts w:ascii="Book Antiqua" w:hAnsi="Book Antiqua" w:cs="Times New Roman"/>
          <w:sz w:val="24"/>
          <w:szCs w:val="24"/>
          <w:lang w:val="en-US"/>
        </w:rPr>
        <w:t xml:space="preserve"> GC</w:t>
      </w:r>
      <w:r w:rsidR="0000024E" w:rsidRPr="005C7810">
        <w:rPr>
          <w:rFonts w:ascii="Book Antiqua" w:hAnsi="Book Antiqua" w:cs="Times New Roman"/>
          <w:sz w:val="24"/>
          <w:szCs w:val="24"/>
          <w:lang w:val="en-US"/>
        </w:rPr>
        <w:fldChar w:fldCharType="begin" w:fldLock="1"/>
      </w:r>
      <w:r w:rsidR="008C09CB" w:rsidRPr="005C7810">
        <w:rPr>
          <w:rFonts w:ascii="Book Antiqua" w:hAnsi="Book Antiqua" w:cs="Times New Roman"/>
          <w:sz w:val="24"/>
          <w:szCs w:val="24"/>
          <w:lang w:val="en-US"/>
        </w:rPr>
        <w:instrText>ADDIN CSL_CITATION {"citationItems":[{"id":"ITEM-1","itemData":{"DOI":"10.1634/theoncologist.2018-0221","ISSN":"1083-7159","PMID":"30120163","abstract":"On September 22, 2017, the U.S. Food and Drug Administration (FDA) granted accelerated approval for pembrolizumab (Keytruda, Merck &amp; Co., Inc., Whitehouse Station, NJ) for the treatment of patients with recurrent, locally advanced or metastatic, gastric or gastroesophageal junction (GEJ) adenocarcinoma with disease progression on or after two or more systemic therapies, including fluoropyrimidine- and platinum-containing chemotherapy and, if appropriate, HER2/neu-targeted therapy, and whose tumors express programmed death-ligand 1 (PD-L1), as determined by an FDA-approved test. Approval was based on demonstration of durable overall response rate (ORR) in a multicenter, open-label, multicohort trial (KEYNOTE-059/Cohort 1) that enrolled 259 patients with locally advanced or metastatic gastric or GEJ adenocarcinoma. Among the 55% (n = 143) of patients whose tumors expressed PD-L1 based on a combined positive score ≥1 and either were microsatellite stable or had undetermined microsatellite instability or mismatch repair status, the confirmed ORR as determined by blinded independent central review was 13.3% (95% CI, 8.2-20.0); 1.4% had complete responses. Response durations ranged from 2.8+ to 19.4+ months; 11 patients (58%) had response durations of 6 months or longer, and 5 patients (26%) had response durations of 12 months or longer. The most common (≥20%) adverse reactions of pembrolizumab observed in KEYNOTE-059/Cohort 1 were fatigue, decreased appetite, nausea, and constipation. The most frequent (≥2%) serious adverse drug reactions were pleural effusion, pneumonia, dyspnea, pulmonary embolism, and pneumonitis. Pembrolizumab was approved concurrently with the PD-L1 immunohistochemistry 22C3 pharmDx test (Dako, Agilent, Santa Clara, CA) for selection of patients with gastric cancer for treatment with pembrolizumab based on PD-L1 tumor expression. IMPLICATIONS FOR PRACTICE: This report presents key information on the basis for Food and Drug Administration approval of pembrolizumab for the treatment of patients with locally advanced or metastatic gastric or GEJ adenocarcinoma whose tumors express PD-L1. The report discusses the basis for limiting the indication to patients with PD-L1-expressing tumors and the basis for recommending that PD-L1 status be assessed using a fresh tumor specimen if PD-L1 expression is not detected in an archival gastric or GEJ cancer specimen.","author":[{"dropping-particle":"","family":"Fashoyin-Aje L, Donoghue M, Chen H, He K, Veeraraghavan J, Goldberg KB, Keegan P, McKee AE","given":"Pazdur R","non-dropping-particle":"","parse-names":false,"suffix":""}],"container-title":"The Oncologist","id":"ITEM-1","issue":"1","issued":{"date-parts":[["2019"]]},"page":"103-109","title":"FDA Approval Summary: Pembrolizumab for Recurrent Locally Advanced or Metastatic Gastric or Gastroesophageal Junction Adenocarcinoma Expressing PD‐L1","type":"article-journal","volume":"24"},"uris":["http://www.mendeley.com/documents/?uuid=d546aef9-20e4-4146-82fb-292614fdccc4","http://www.mendeley.com/documents/?uuid=5363c365-0172-44ae-a888-e8c1cc38c44f"]}],"mendeley":{"formattedCitation":"&lt;sup&gt;[180]&lt;/sup&gt;","plainTextFormattedCitation":"[180]","previouslyFormattedCitation":"&lt;sup&gt;[180]&lt;/sup&gt;"},"properties":{"noteIndex":0},"schema":"https://github.com/citation-style-language/schema/raw/master/csl-citation.json"}</w:instrText>
      </w:r>
      <w:r w:rsidR="0000024E" w:rsidRPr="005C7810">
        <w:rPr>
          <w:rFonts w:ascii="Book Antiqua" w:hAnsi="Book Antiqua" w:cs="Times New Roman"/>
          <w:sz w:val="24"/>
          <w:szCs w:val="24"/>
          <w:lang w:val="en-US"/>
        </w:rPr>
        <w:fldChar w:fldCharType="separate"/>
      </w:r>
      <w:r w:rsidR="00454589" w:rsidRPr="005C7810">
        <w:rPr>
          <w:rFonts w:ascii="Book Antiqua" w:hAnsi="Book Antiqua" w:cs="Times New Roman"/>
          <w:sz w:val="24"/>
          <w:szCs w:val="24"/>
          <w:vertAlign w:val="superscript"/>
          <w:lang w:val="en-US"/>
        </w:rPr>
        <w:t>[180]</w:t>
      </w:r>
      <w:r w:rsidR="0000024E" w:rsidRPr="005C7810">
        <w:rPr>
          <w:rFonts w:ascii="Book Antiqua" w:hAnsi="Book Antiqua" w:cs="Times New Roman"/>
          <w:sz w:val="24"/>
          <w:szCs w:val="24"/>
          <w:lang w:val="en-US"/>
        </w:rPr>
        <w:fldChar w:fldCharType="end"/>
      </w:r>
      <w:r w:rsidR="00211ED2" w:rsidRPr="005C7810">
        <w:rPr>
          <w:rFonts w:ascii="Book Antiqua" w:hAnsi="Book Antiqua" w:cs="Times New Roman"/>
          <w:sz w:val="24"/>
          <w:szCs w:val="24"/>
          <w:lang w:val="en-US"/>
        </w:rPr>
        <w:t xml:space="preserve">. </w:t>
      </w:r>
      <w:r w:rsidRPr="005C7810">
        <w:rPr>
          <w:rFonts w:ascii="Book Antiqua" w:hAnsi="Book Antiqua" w:cs="Times New Roman"/>
          <w:sz w:val="24"/>
          <w:szCs w:val="24"/>
          <w:lang w:val="en-US"/>
        </w:rPr>
        <w:t xml:space="preserve">Anti-PD1 antibodies have been used in phase II and </w:t>
      </w:r>
      <w:r w:rsidR="007718A0" w:rsidRPr="005C7810">
        <w:rPr>
          <w:rFonts w:ascii="Book Antiqua" w:hAnsi="Book Antiqua" w:cs="Times New Roman"/>
          <w:sz w:val="24"/>
          <w:szCs w:val="24"/>
          <w:lang w:val="en-US"/>
        </w:rPr>
        <w:t xml:space="preserve">phase </w:t>
      </w:r>
      <w:r w:rsidRPr="005C7810">
        <w:rPr>
          <w:rFonts w:ascii="Book Antiqua" w:hAnsi="Book Antiqua" w:cs="Times New Roman"/>
          <w:sz w:val="24"/>
          <w:szCs w:val="24"/>
          <w:lang w:val="en-US"/>
        </w:rPr>
        <w:t>III clinical tr</w:t>
      </w:r>
      <w:r w:rsidR="00211ED2" w:rsidRPr="005C7810">
        <w:rPr>
          <w:rFonts w:ascii="Book Antiqua" w:hAnsi="Book Antiqua" w:cs="Times New Roman"/>
          <w:sz w:val="24"/>
          <w:szCs w:val="24"/>
          <w:lang w:val="en-US"/>
        </w:rPr>
        <w:t xml:space="preserve">ials and appear to be promising, </w:t>
      </w:r>
      <w:r w:rsidR="009F6DB3" w:rsidRPr="005C7810">
        <w:rPr>
          <w:rFonts w:ascii="Book Antiqua" w:hAnsi="Book Antiqua" w:cs="Times New Roman"/>
          <w:sz w:val="24"/>
          <w:szCs w:val="24"/>
          <w:lang w:val="en-US"/>
        </w:rPr>
        <w:t>especially in patients overexpressi</w:t>
      </w:r>
      <w:r w:rsidR="00AA4078" w:rsidRPr="005C7810">
        <w:rPr>
          <w:rFonts w:ascii="Book Antiqua" w:hAnsi="Book Antiqua" w:cs="Times New Roman"/>
          <w:sz w:val="24"/>
          <w:szCs w:val="24"/>
          <w:lang w:val="en-US"/>
        </w:rPr>
        <w:t>ng</w:t>
      </w:r>
      <w:r w:rsidR="009F6DB3" w:rsidRPr="005C7810">
        <w:rPr>
          <w:rFonts w:ascii="Book Antiqua" w:hAnsi="Book Antiqua" w:cs="Times New Roman"/>
          <w:sz w:val="24"/>
          <w:szCs w:val="24"/>
          <w:lang w:val="en-US"/>
        </w:rPr>
        <w:t xml:space="preserve"> PD</w:t>
      </w:r>
      <w:r w:rsidR="007718A0" w:rsidRPr="005C7810">
        <w:rPr>
          <w:rFonts w:ascii="Book Antiqua" w:hAnsi="Book Antiqua" w:cs="Times New Roman"/>
          <w:sz w:val="24"/>
          <w:szCs w:val="24"/>
          <w:lang w:val="en-US"/>
        </w:rPr>
        <w:t>-</w:t>
      </w:r>
      <w:r w:rsidR="009F6DB3" w:rsidRPr="005C7810">
        <w:rPr>
          <w:rFonts w:ascii="Book Antiqua" w:hAnsi="Book Antiqua" w:cs="Times New Roman"/>
          <w:sz w:val="24"/>
          <w:szCs w:val="24"/>
          <w:lang w:val="en-US"/>
        </w:rPr>
        <w:t>L1</w:t>
      </w:r>
      <w:r w:rsidR="00211ED2" w:rsidRPr="005C7810">
        <w:rPr>
          <w:rFonts w:ascii="Book Antiqua" w:hAnsi="Book Antiqua" w:cs="Times New Roman"/>
          <w:sz w:val="24"/>
          <w:szCs w:val="24"/>
          <w:lang w:val="en-US"/>
        </w:rPr>
        <w:t>.</w:t>
      </w:r>
      <w:r w:rsidR="00FC5117" w:rsidRPr="005C7810">
        <w:rPr>
          <w:rFonts w:ascii="Book Antiqua" w:hAnsi="Book Antiqua" w:cs="Times New Roman"/>
          <w:sz w:val="24"/>
          <w:szCs w:val="24"/>
          <w:lang w:val="en-US"/>
        </w:rPr>
        <w:t xml:space="preserve"> Further clinical trials are underway to evaluate the efficacy of these antibodies in association with chemotherapy. At the same time, </w:t>
      </w:r>
      <w:r w:rsidR="00AA4078" w:rsidRPr="005C7810">
        <w:rPr>
          <w:rFonts w:ascii="Book Antiqua" w:hAnsi="Book Antiqua" w:cs="Times New Roman"/>
          <w:sz w:val="24"/>
          <w:szCs w:val="24"/>
          <w:lang w:val="en-US"/>
        </w:rPr>
        <w:t>other</w:t>
      </w:r>
      <w:r w:rsidR="00A05909" w:rsidRPr="005C7810">
        <w:rPr>
          <w:rFonts w:ascii="Book Antiqua" w:hAnsi="Book Antiqua" w:cs="Times New Roman"/>
          <w:sz w:val="24"/>
          <w:szCs w:val="24"/>
          <w:lang w:val="en-US"/>
        </w:rPr>
        <w:t xml:space="preserve"> </w:t>
      </w:r>
      <w:r w:rsidR="00FC5117" w:rsidRPr="005C7810">
        <w:rPr>
          <w:rFonts w:ascii="Book Antiqua" w:hAnsi="Book Antiqua" w:cs="Times New Roman"/>
          <w:sz w:val="24"/>
          <w:szCs w:val="24"/>
          <w:lang w:val="en-US"/>
        </w:rPr>
        <w:t>pathway</w:t>
      </w:r>
      <w:r w:rsidR="00AA4078" w:rsidRPr="005C7810">
        <w:rPr>
          <w:rFonts w:ascii="Book Antiqua" w:hAnsi="Book Antiqua" w:cs="Times New Roman"/>
          <w:sz w:val="24"/>
          <w:szCs w:val="24"/>
          <w:lang w:val="en-US"/>
        </w:rPr>
        <w:t>s</w:t>
      </w:r>
      <w:r w:rsidR="00FC5117" w:rsidRPr="005C7810">
        <w:rPr>
          <w:rFonts w:ascii="Book Antiqua" w:hAnsi="Book Antiqua" w:cs="Times New Roman"/>
          <w:sz w:val="24"/>
          <w:szCs w:val="24"/>
          <w:lang w:val="en-US"/>
        </w:rPr>
        <w:t xml:space="preserve"> such as the TP53 signaling pathway</w:t>
      </w:r>
      <w:r w:rsidR="00E42A38" w:rsidRPr="005C7810">
        <w:rPr>
          <w:rFonts w:ascii="Book Antiqua" w:hAnsi="Book Antiqua" w:cs="Times New Roman"/>
          <w:sz w:val="24"/>
          <w:szCs w:val="24"/>
          <w:lang w:val="en-US"/>
        </w:rPr>
        <w:t>,</w:t>
      </w:r>
      <w:r w:rsidR="00FC5117" w:rsidRPr="005C7810">
        <w:rPr>
          <w:rFonts w:ascii="Book Antiqua" w:hAnsi="Book Antiqua" w:cs="Times New Roman"/>
          <w:sz w:val="24"/>
          <w:szCs w:val="24"/>
          <w:lang w:val="en-US"/>
        </w:rPr>
        <w:t xml:space="preserve"> are being studied </w:t>
      </w:r>
      <w:r w:rsidR="00E42A38" w:rsidRPr="005C7810">
        <w:rPr>
          <w:rFonts w:ascii="Book Antiqua" w:hAnsi="Book Antiqua" w:cs="Times New Roman"/>
          <w:sz w:val="24"/>
          <w:szCs w:val="24"/>
          <w:lang w:val="en-US"/>
        </w:rPr>
        <w:t>to identify inhibitory molecules</w:t>
      </w:r>
      <w:r w:rsidR="0000024E" w:rsidRPr="005C7810">
        <w:rPr>
          <w:rFonts w:ascii="Book Antiqua" w:hAnsi="Book Antiqua" w:cs="Times New Roman"/>
          <w:sz w:val="24"/>
          <w:szCs w:val="24"/>
          <w:lang w:val="en-US"/>
        </w:rPr>
        <w:fldChar w:fldCharType="begin" w:fldLock="1"/>
      </w:r>
      <w:r w:rsidR="00B0152B" w:rsidRPr="005C7810">
        <w:rPr>
          <w:rFonts w:ascii="Book Antiqua" w:hAnsi="Book Antiqua" w:cs="Times New Roman"/>
          <w:sz w:val="24"/>
          <w:szCs w:val="24"/>
          <w:lang w:val="en-US"/>
        </w:rPr>
        <w:instrText>ADDIN CSL_CITATION {"citationItems":[{"id":"ITEM-1","itemData":{"author":[{"dropping-particle":"","family":"Bykov","given":"Vladimir J N","non-dropping-particle":"","parse-names":false,"suffix":""},{"dropping-particle":"","family":"Wiman","given":"Klas G","non-dropping-particle":"","parse-names":false,"suffix":""}],"id":"ITEM-1","issued":{"date-parts":[["2014"]]},"page":"2622-2627","title":"Mutant p53 reactivation by small molecules makes its way to the clinic","type":"article-journal","volume":"588"},"uris":["http://www.mendeley.com/documents/?uuid=df1b29b5-599f-4731-918a-f7a1fe97b973","http://www.mendeley.com/documents/?uuid=f3cfa775-7873-4c35-9a01-3d398d1932e2"]},{"id":"ITEM-2","itemData":{"DOI":"10.1158/1078-0432.CCR-10-3168","ISSN":"10780432","PMID":"21415220","abstract":"PURPOSE: Small cell lung cancer (SCLC) is a highly malignant disease with poor prognosis, necessitating the need to develop new and efficient treatment modalities. PRIMA-1(Met) (p53-dependent reactivation of massive apoptosis), also known as APR-246, is a small molecule, which restores tumor suppressor function to mutant p53 and induces cancer cell death in various cancer types. Since p53 is mutated in more than 90% of SCLC, we investigated the ability of PRIMA-1(Met) to induce apoptosis and inhibit tumor growth in SCLC with different p53 mutations. EXPERIMENTAL DESIGN: The therapeutic effect of PRIMA-1(Met)/APR-246 was studied in SCLC cells in vitro using cell viability assay, fluorescence-activated cell-sorting analysis, p53 knockdown studies, and Western blot analyses. The antitumor potential of PRIMA-1(Met)/APR-246 was further evaluated in two different SCLC xenograft models. RESULTS: PRIMA-1(Met)/APR-246 efficiently inhibited the growth of the SCLC cell lines expressing mutant p53 in vitro and induced apoptosis, associated with increased fraction of cells with fragmented DNA, caspase-3 activation, PARP cleavage, Bax and Noxa upregulation and Bcl-2 downregulation in the cells. The growth suppressive effect of PRIMA-1(Met)/APR-246 was markedly reduced in SCLC cell lines transfected with p53 siRNA, supporting the role of mutant p53 in PRIMA-1(Met)/APR-246-induced cell death. Moreover, in vivo studies showed significant antitumor effects of PRIMA-1(Met) after i.v. injection in SCLC mouse models with no apparent toxicity. CONCLUSION: This study is the first to show the potential use of p53-reactivating molecules such as PRIMA-1(Met)/APR-246 for the treatment of SCLC.","author":[{"dropping-particle":"","family":"Zandi","given":"Roza","non-dropping-particle":"","parse-names":false,"suffix":""},{"dropping-particle":"","family":"Selivanova","given":"Galina","non-dropping-particle":"","parse-names":false,"suffix":""},{"dropping-particle":"","family":"Christensen","given":"Camilla Laulund","non-dropping-particle":"","parse-names":false,"suffix":""},{"dropping-particle":"","family":"Gerds","given":"Thomas Alexander","non-dropping-particle":"","parse-names":false,"suffix":""},{"dropping-particle":"","family":"Willumsen","given":"Berthe Marie","non-dropping-particle":"","parse-names":false,"suffix":""},{"dropping-particle":"","family":"Poulsen","given":"Hans Skovgaard","non-dropping-particle":"","parse-names":false,"suffix":""}],"container-title":"Clinical Cancer Research","id":"ITEM-2","issue":"9","issued":{"date-parts":[["2011"]]},"page":"2830-2841","title":"PRIMA-1Met/APR-246 induces apoptosis and tumor growth delay in small cell lung cancer expressing mutant p53","type":"article-journal","volume":"17"},"uris":["http://www.mendeley.com/documents/?uuid=bcb52aa8-5dbb-4a47-877b-f94408de1e5c","http://www.mendeley.com/documents/?uuid=880ab0f4-0112-44a2-9d4c-8c40f22abc37","http://www.mendeley.com/documents/?uuid=da6eea15-fd94-4bad-835c-7e040be98e1e"]},{"id":"ITEM-3","itemData":{"DOI":"10.1158/1535-7163.mct-12-1166","ISBN":"1538-8514 (Electronic)\\r1535-7163 (Linking)","ISSN":"1535-7163","PMID":"24030633","abstract":"Targeting p53 by the small-molecule PRIMA-1(Met)/APR-246 has shown promising preclinical activity in various cancer types. However, the mechanism of PRIMA-1(Met)-induced apoptosis is not completely understood and its effect on multiple myeloma cells is unknown. In this study, we evaluated antitumor effect of PRIMA-1(Met) alone or its combination with current antimyeloma agents in multiple myeloma cell lines, patient samples, and a mouse xenograft model. Results of our study showed that PRIMA-1(Met) decreased the viability of multiple myeloma cells irrespective of p53 status, with limited cytotoxicity toward normal hematopoietic cells. Treatment of multiple myeloma cells with PRIMA-1(Met) resulted in induction of apoptosis, inhibition of colony formation, and migration. PRIMA-1(Met) restored wild-type conformation of mutant p53 and induced activation of p73 upregulating Noxa and downregulating Mcl-1 without significant modulation of p53 level. siRNA-mediated silencing of p53 showed a little effect on apoptotic response of PRIMA-1(Met), whereas knockdown of p73 led to substantial attenuation of apoptotic activity in multiple myeloma cells, indicating that PRIMA-1(Met)-induced apoptosis is, at least in part, p73-dependent. Importantly, PRIMA-1(Met) delayed tumor growth and prolonged survival of mice bearing multiple myeloma tumor. Furthermore, combined treatment of PRIMA-1(Met) with dexamethasone or doxorubicin displayed synergistic effects in both multiple myeloma cell lines and primary multiple myeloma samples. Consistent with our in vitro observations, cotreatment with PRIMA-1(Met) and dexamethasone resulted in enhanced antitumor activity in vivo. Our study for the first time shows antimyeloma activity of PRIMA-1(Met) and provides the rationale for its clinical evaluation in patients with multiple myeloma, including the high-risk group with p53 mutation/deletion.","author":[{"dropping-particle":"","family":"Chang","given":"H.","non-dropping-particle":"","parse-names":false,"suffix":""},{"dropping-particle":"","family":"Jiang","given":"H.","non-dropping-particle":"","parse-names":false,"suffix":""},{"dropping-particle":"","family":"Reece","given":"D.","non-dropping-particle":"","parse-names":false,"suffix":""},{"dropping-particle":"","family":"Saha","given":"M. N.","non-dropping-particle":"","parse-names":false,"suffix":""},{"dropping-particle":"","family":"Yang","given":"Y.","non-dropping-particle":"","parse-names":false,"suffix":""}],"container-title":"Molecular Cancer Therapeutics","id":"ITEM-3","issue":"11","issued":{"date-parts":[["2013"]]},"page":"2331-2341","title":"PRIMA-1Met/APR-246 Displays High Antitumor Activity in Multiple Myeloma By Induction of p73 and Noxa","type":"article-journal","volume":"12"},"uris":["http://www.mendeley.com/documents/?uuid=01458759-aea3-4898-84c2-4d388b3f4a60","http://www.mendeley.com/documents/?uuid=1ea37a32-7d7a-4336-be9f-48d8f23e10d3","http://www.mendeley.com/documents/?uuid=0347bf96-69aa-48d2-9be8-7cd4da6dade6"]},{"id":"ITEM-4","itemData":{"author":[{"dropping-particle":"","family":"Liang Y, Besch-Williford C","given":"Hyder SM","non-dropping-particle":"","parse-names":false,"suffix":""}],"container-title":"International Journal of Oncology","id":"ITEM-4","issued":{"date-parts":[["2009"]]},"page":"1015-1023","title":"PRIMA-1 inhibits growth of breast cancer cells by re-activating mutant p53 protein","type":"article-journal","volume":"35"},"uris":["http://www.mendeley.com/documents/?uuid=4e90492c-6ee1-4c71-bb02-800a47cf2897","http://www.mendeley.com/documents/?uuid=18e27a47-1b3b-4ea8-b976-ae7dfcb0cd15","http://www.mendeley.com/documents/?uuid=b975758d-ac3a-4274-9219-79209354ce8f"]},{"id":"ITEM-5","itemData":{"DOI":"10.1200/jco.2011.40.7783","ISSN":"0732-183X","author":[{"dropping-particle":"","family":"Lehmann S, Bykov VJ, Ali D, Andren O, Cherif H, Tidefelt U, Uggla B, Yachnin J, Juliusson G, Moshfegh A, Paul C, Wiman KG","given":"Andersson PO","non-dropping-particle":"","parse-names":false,"suffix":""}],"container-title":"Journal of Clinical Oncology","id":"ITEM-5","issue":"29","issued":{"date-parts":[["2012"]]},"page":"3633-3639","title":"Targeting p53 in Vivo: A First-in-Human Study With p53-Targeting Compound APR-246 in Refractory Hematologic Malignancies and Prostate Cancer","type":"article-journal","volume":"30"},"uris":["http://www.mendeley.com/documents/?uuid=ea051903-69b0-4a81-b634-8272b110f847","http://www.mendeley.com/documents/?uuid=2ea18fc1-4a43-434d-863f-7bf78747b67e","http://www.mendeley.com/documents/?uuid=f54c2cb1-203c-46c0-9afd-d3d377f258dc"]}],"mendeley":{"formattedCitation":"&lt;sup&gt;[162–166]&lt;/sup&gt;","plainTextFormattedCitation":"[162–166]","previouslyFormattedCitation":"&lt;sup&gt;[162–166]&lt;/sup&gt;"},"properties":{"noteIndex":0},"schema":"https://github.com/citation-style-language/schema/raw/master/csl-citation.json"}</w:instrText>
      </w:r>
      <w:r w:rsidR="0000024E" w:rsidRPr="005C7810">
        <w:rPr>
          <w:rFonts w:ascii="Book Antiqua" w:hAnsi="Book Antiqua" w:cs="Times New Roman"/>
          <w:sz w:val="24"/>
          <w:szCs w:val="24"/>
          <w:lang w:val="en-US"/>
        </w:rPr>
        <w:fldChar w:fldCharType="separate"/>
      </w:r>
      <w:r w:rsidR="00B0152B" w:rsidRPr="005C7810">
        <w:rPr>
          <w:rFonts w:ascii="Book Antiqua" w:hAnsi="Book Antiqua" w:cs="Times New Roman"/>
          <w:sz w:val="24"/>
          <w:szCs w:val="24"/>
          <w:vertAlign w:val="superscript"/>
          <w:lang w:val="en-US"/>
        </w:rPr>
        <w:t>[162–166]</w:t>
      </w:r>
      <w:r w:rsidR="0000024E" w:rsidRPr="005C7810">
        <w:rPr>
          <w:rFonts w:ascii="Book Antiqua" w:hAnsi="Book Antiqua" w:cs="Times New Roman"/>
          <w:sz w:val="24"/>
          <w:szCs w:val="24"/>
          <w:lang w:val="en-US"/>
        </w:rPr>
        <w:fldChar w:fldCharType="end"/>
      </w:r>
      <w:r w:rsidR="00FC5117" w:rsidRPr="005C7810">
        <w:rPr>
          <w:rFonts w:ascii="Book Antiqua" w:hAnsi="Book Antiqua" w:cs="Times New Roman"/>
          <w:sz w:val="24"/>
          <w:szCs w:val="24"/>
          <w:lang w:val="en-US"/>
        </w:rPr>
        <w:t xml:space="preserve">. </w:t>
      </w:r>
      <w:r w:rsidR="00AA4078" w:rsidRPr="005C7810">
        <w:rPr>
          <w:rFonts w:ascii="Book Antiqua" w:hAnsi="Book Antiqua" w:cs="Times New Roman"/>
          <w:sz w:val="24"/>
          <w:szCs w:val="24"/>
          <w:lang w:val="en-US"/>
        </w:rPr>
        <w:t>S</w:t>
      </w:r>
      <w:r w:rsidR="00FE79EF" w:rsidRPr="005C7810">
        <w:rPr>
          <w:rFonts w:ascii="Book Antiqua" w:hAnsi="Book Antiqua" w:cs="Times New Roman"/>
          <w:sz w:val="24"/>
          <w:szCs w:val="24"/>
          <w:lang w:val="en-US"/>
        </w:rPr>
        <w:t xml:space="preserve">trategic </w:t>
      </w:r>
      <w:r w:rsidR="007F2572" w:rsidRPr="005C7810">
        <w:rPr>
          <w:rFonts w:ascii="Book Antiqua" w:hAnsi="Book Antiqua" w:cs="Times New Roman"/>
          <w:sz w:val="24"/>
          <w:szCs w:val="24"/>
          <w:lang w:val="en-US"/>
        </w:rPr>
        <w:t>o</w:t>
      </w:r>
      <w:r w:rsidR="0085144C" w:rsidRPr="005C7810">
        <w:rPr>
          <w:rFonts w:ascii="Book Antiqua" w:hAnsi="Book Antiqua" w:cs="Times New Roman"/>
          <w:sz w:val="24"/>
          <w:szCs w:val="24"/>
          <w:lang w:val="en-US"/>
        </w:rPr>
        <w:t>pportunit</w:t>
      </w:r>
      <w:r w:rsidR="00AA4078" w:rsidRPr="005C7810">
        <w:rPr>
          <w:rFonts w:ascii="Book Antiqua" w:hAnsi="Book Antiqua" w:cs="Times New Roman"/>
          <w:sz w:val="24"/>
          <w:szCs w:val="24"/>
          <w:lang w:val="en-US"/>
        </w:rPr>
        <w:t>ies</w:t>
      </w:r>
      <w:r w:rsidR="0085144C" w:rsidRPr="005C7810">
        <w:rPr>
          <w:rFonts w:ascii="Book Antiqua" w:hAnsi="Book Antiqua" w:cs="Times New Roman"/>
          <w:sz w:val="24"/>
          <w:szCs w:val="24"/>
          <w:lang w:val="en-US"/>
        </w:rPr>
        <w:t xml:space="preserve"> can </w:t>
      </w:r>
      <w:r w:rsidR="00AA4078" w:rsidRPr="005C7810">
        <w:rPr>
          <w:rFonts w:ascii="Book Antiqua" w:hAnsi="Book Antiqua" w:cs="Times New Roman"/>
          <w:sz w:val="24"/>
          <w:szCs w:val="24"/>
          <w:lang w:val="en-US"/>
        </w:rPr>
        <w:t xml:space="preserve">also </w:t>
      </w:r>
      <w:r w:rsidR="0085144C" w:rsidRPr="005C7810">
        <w:rPr>
          <w:rFonts w:ascii="Book Antiqua" w:hAnsi="Book Antiqua" w:cs="Times New Roman"/>
          <w:sz w:val="24"/>
          <w:szCs w:val="24"/>
          <w:lang w:val="en-US"/>
        </w:rPr>
        <w:t xml:space="preserve">be provided by </w:t>
      </w:r>
      <w:r w:rsidR="00AA4078" w:rsidRPr="005C7810">
        <w:rPr>
          <w:rFonts w:ascii="Book Antiqua" w:hAnsi="Book Antiqua" w:cs="Times New Roman"/>
          <w:sz w:val="24"/>
          <w:szCs w:val="24"/>
          <w:lang w:val="en-US"/>
        </w:rPr>
        <w:t>studying</w:t>
      </w:r>
      <w:r w:rsidR="0085144C" w:rsidRPr="005C7810">
        <w:rPr>
          <w:rFonts w:ascii="Book Antiqua" w:hAnsi="Book Antiqua" w:cs="Times New Roman"/>
          <w:sz w:val="24"/>
          <w:szCs w:val="24"/>
          <w:lang w:val="en-US"/>
        </w:rPr>
        <w:t xml:space="preserve"> </w:t>
      </w:r>
      <w:r w:rsidR="00AA4078" w:rsidRPr="005C7810">
        <w:rPr>
          <w:rFonts w:ascii="Book Antiqua" w:hAnsi="Book Antiqua" w:cs="Times New Roman"/>
          <w:sz w:val="24"/>
          <w:szCs w:val="24"/>
          <w:lang w:val="en-US"/>
        </w:rPr>
        <w:t>the potential of bio</w:t>
      </w:r>
      <w:r w:rsidR="0085144C" w:rsidRPr="005C7810">
        <w:rPr>
          <w:rFonts w:ascii="Book Antiqua" w:hAnsi="Book Antiqua" w:cs="Times New Roman"/>
          <w:sz w:val="24"/>
          <w:szCs w:val="24"/>
          <w:lang w:val="en-US"/>
        </w:rPr>
        <w:t>markers such as CTCs, ctDNA, miRNA</w:t>
      </w:r>
      <w:r w:rsidR="004A6501" w:rsidRPr="005C7810">
        <w:rPr>
          <w:rFonts w:ascii="Book Antiqua" w:hAnsi="Book Antiqua" w:cs="Times New Roman"/>
          <w:sz w:val="24"/>
          <w:szCs w:val="24"/>
          <w:lang w:val="en-US"/>
        </w:rPr>
        <w:t>,</w:t>
      </w:r>
      <w:r w:rsidR="0085144C" w:rsidRPr="005C7810">
        <w:rPr>
          <w:rFonts w:ascii="Book Antiqua" w:hAnsi="Book Antiqua" w:cs="Times New Roman"/>
          <w:sz w:val="24"/>
          <w:szCs w:val="24"/>
          <w:lang w:val="en-US"/>
        </w:rPr>
        <w:t xml:space="preserve"> and lncRNA</w:t>
      </w:r>
      <w:r w:rsidR="00AA4078" w:rsidRPr="005C7810">
        <w:rPr>
          <w:rFonts w:ascii="Book Antiqua" w:hAnsi="Book Antiqua" w:cs="Times New Roman"/>
          <w:sz w:val="24"/>
          <w:szCs w:val="24"/>
          <w:lang w:val="en-US"/>
        </w:rPr>
        <w:t xml:space="preserve"> to </w:t>
      </w:r>
      <w:r w:rsidR="0085144C" w:rsidRPr="005C7810">
        <w:rPr>
          <w:rFonts w:ascii="Book Antiqua" w:hAnsi="Book Antiqua" w:cs="Times New Roman"/>
          <w:sz w:val="24"/>
          <w:szCs w:val="24"/>
          <w:lang w:val="en-US"/>
        </w:rPr>
        <w:t>predi</w:t>
      </w:r>
      <w:r w:rsidR="004A6501" w:rsidRPr="005C7810">
        <w:rPr>
          <w:rFonts w:ascii="Book Antiqua" w:hAnsi="Book Antiqua" w:cs="Times New Roman"/>
          <w:sz w:val="24"/>
          <w:szCs w:val="24"/>
          <w:lang w:val="en-US"/>
        </w:rPr>
        <w:t>c</w:t>
      </w:r>
      <w:r w:rsidR="0085144C" w:rsidRPr="005C7810">
        <w:rPr>
          <w:rFonts w:ascii="Book Antiqua" w:hAnsi="Book Antiqua" w:cs="Times New Roman"/>
          <w:sz w:val="24"/>
          <w:szCs w:val="24"/>
          <w:lang w:val="en-US"/>
        </w:rPr>
        <w:t xml:space="preserve">t response </w:t>
      </w:r>
      <w:r w:rsidR="00AA4078" w:rsidRPr="005C7810">
        <w:rPr>
          <w:rFonts w:ascii="Book Antiqua" w:hAnsi="Book Antiqua" w:cs="Times New Roman"/>
          <w:sz w:val="24"/>
          <w:szCs w:val="24"/>
          <w:lang w:val="en-US"/>
        </w:rPr>
        <w:t>to therapy</w:t>
      </w:r>
      <w:r w:rsidR="00761DF1" w:rsidRPr="005C7810">
        <w:rPr>
          <w:rFonts w:ascii="Book Antiqua" w:hAnsi="Book Antiqua" w:cs="Times New Roman"/>
          <w:sz w:val="24"/>
          <w:szCs w:val="24"/>
          <w:lang w:val="en-US"/>
        </w:rPr>
        <w:t xml:space="preserve"> and resistance phenomena</w:t>
      </w:r>
      <w:r w:rsidR="0085144C" w:rsidRPr="005C7810">
        <w:rPr>
          <w:rFonts w:ascii="Book Antiqua" w:hAnsi="Book Antiqua" w:cs="Times New Roman"/>
          <w:sz w:val="24"/>
          <w:szCs w:val="24"/>
          <w:lang w:val="en-US"/>
        </w:rPr>
        <w:t>.</w:t>
      </w:r>
      <w:r w:rsidR="003615DF" w:rsidRPr="005C7810">
        <w:rPr>
          <w:rFonts w:ascii="Book Antiqua" w:hAnsi="Book Antiqua" w:cs="Times New Roman"/>
          <w:sz w:val="24"/>
          <w:szCs w:val="24"/>
          <w:lang w:val="en-US"/>
        </w:rPr>
        <w:t xml:space="preserve"> </w:t>
      </w:r>
    </w:p>
    <w:p w:rsidR="00E54CB7" w:rsidRPr="005C7810" w:rsidRDefault="000E3D46" w:rsidP="00CD380F">
      <w:pPr>
        <w:spacing w:after="0" w:line="360" w:lineRule="auto"/>
        <w:ind w:firstLine="708"/>
        <w:jc w:val="both"/>
        <w:rPr>
          <w:rFonts w:ascii="Book Antiqua" w:hAnsi="Book Antiqua" w:cs="Times New Roman"/>
          <w:sz w:val="24"/>
          <w:szCs w:val="24"/>
          <w:lang w:val="en-US"/>
        </w:rPr>
      </w:pPr>
      <w:r w:rsidRPr="005C7810">
        <w:rPr>
          <w:rFonts w:ascii="Book Antiqua" w:hAnsi="Book Antiqua" w:cs="Times New Roman"/>
          <w:color w:val="000000"/>
          <w:sz w:val="24"/>
          <w:szCs w:val="24"/>
          <w:lang w:val="en-US"/>
        </w:rPr>
        <w:t>There is no doubt that targeted therapies allow patients to live longer</w:t>
      </w:r>
      <w:r w:rsidR="00262094" w:rsidRPr="005C7810">
        <w:rPr>
          <w:rFonts w:ascii="Book Antiqua" w:hAnsi="Book Antiqua" w:cs="Times New Roman"/>
          <w:color w:val="000000"/>
          <w:sz w:val="24"/>
          <w:szCs w:val="24"/>
          <w:lang w:val="en-US"/>
        </w:rPr>
        <w:t>,</w:t>
      </w:r>
      <w:r w:rsidRPr="005C7810">
        <w:rPr>
          <w:rFonts w:ascii="Book Antiqua" w:hAnsi="Book Antiqua" w:cs="Times New Roman"/>
          <w:color w:val="000000"/>
          <w:sz w:val="24"/>
          <w:szCs w:val="24"/>
          <w:lang w:val="en-US"/>
        </w:rPr>
        <w:t xml:space="preserve"> whether they are administered alone or in combination with chemotherapy. </w:t>
      </w:r>
      <w:r w:rsidR="000B44A7" w:rsidRPr="005C7810">
        <w:rPr>
          <w:rFonts w:ascii="Book Antiqua" w:hAnsi="Book Antiqua" w:cs="Times New Roman"/>
          <w:color w:val="000000"/>
          <w:sz w:val="24"/>
          <w:szCs w:val="24"/>
          <w:lang w:val="en-US"/>
        </w:rPr>
        <w:t xml:space="preserve">Today the probability of observing patients who survive several years after the diagnosis of cancer is much higher, thanks to the targeted therapies. </w:t>
      </w:r>
      <w:r w:rsidR="00262094" w:rsidRPr="005C7810">
        <w:rPr>
          <w:rFonts w:ascii="Book Antiqua" w:hAnsi="Book Antiqua" w:cs="Times New Roman"/>
          <w:color w:val="000000"/>
          <w:sz w:val="24"/>
          <w:szCs w:val="24"/>
          <w:lang w:val="en-US"/>
        </w:rPr>
        <w:t>T</w:t>
      </w:r>
      <w:r w:rsidRPr="005C7810">
        <w:rPr>
          <w:rFonts w:ascii="Book Antiqua" w:hAnsi="Book Antiqua" w:cs="Times New Roman"/>
          <w:color w:val="000000"/>
          <w:sz w:val="24"/>
          <w:szCs w:val="24"/>
          <w:lang w:val="en-US"/>
        </w:rPr>
        <w:t>he target</w:t>
      </w:r>
      <w:r w:rsidR="00761DF1" w:rsidRPr="005C7810">
        <w:rPr>
          <w:rFonts w:ascii="Book Antiqua" w:hAnsi="Book Antiqua" w:cs="Times New Roman"/>
          <w:color w:val="000000"/>
          <w:sz w:val="24"/>
          <w:szCs w:val="24"/>
          <w:lang w:val="en-US"/>
        </w:rPr>
        <w:t>ed</w:t>
      </w:r>
      <w:r w:rsidRPr="005C7810">
        <w:rPr>
          <w:rFonts w:ascii="Book Antiqua" w:hAnsi="Book Antiqua" w:cs="Times New Roman"/>
          <w:color w:val="000000"/>
          <w:sz w:val="24"/>
          <w:szCs w:val="24"/>
          <w:lang w:val="en-US"/>
        </w:rPr>
        <w:t xml:space="preserve"> therapies must be provided to groups of patients who can benefit from them, screened on the molecular profiles to which the therapy is effective. </w:t>
      </w:r>
      <w:r w:rsidR="00E21AE9" w:rsidRPr="005C7810">
        <w:rPr>
          <w:rFonts w:ascii="Book Antiqua" w:hAnsi="Book Antiqua" w:cs="Times New Roman"/>
          <w:color w:val="000000"/>
          <w:sz w:val="24"/>
          <w:szCs w:val="24"/>
          <w:lang w:val="en-US"/>
        </w:rPr>
        <w:t>M</w:t>
      </w:r>
      <w:r w:rsidR="00D27809" w:rsidRPr="005C7810">
        <w:rPr>
          <w:rFonts w:ascii="Book Antiqua" w:hAnsi="Book Antiqua" w:cs="Times New Roman"/>
          <w:color w:val="000000"/>
          <w:sz w:val="24"/>
          <w:szCs w:val="24"/>
          <w:lang w:val="en-US"/>
        </w:rPr>
        <w:t>olecular profil</w:t>
      </w:r>
      <w:r w:rsidR="00E21AE9" w:rsidRPr="005C7810">
        <w:rPr>
          <w:rFonts w:ascii="Book Antiqua" w:hAnsi="Book Antiqua" w:cs="Times New Roman"/>
          <w:color w:val="000000"/>
          <w:sz w:val="24"/>
          <w:szCs w:val="24"/>
          <w:lang w:val="en-US"/>
        </w:rPr>
        <w:t>ing</w:t>
      </w:r>
      <w:r w:rsidR="00D27809" w:rsidRPr="005C7810">
        <w:rPr>
          <w:rFonts w:ascii="Book Antiqua" w:hAnsi="Book Antiqua" w:cs="Times New Roman"/>
          <w:color w:val="000000"/>
          <w:sz w:val="24"/>
          <w:szCs w:val="24"/>
          <w:lang w:val="en-US"/>
        </w:rPr>
        <w:t xml:space="preserve"> regarding the overexpression and</w:t>
      </w:r>
      <w:r w:rsidR="00761DF1" w:rsidRPr="005C7810">
        <w:rPr>
          <w:rFonts w:ascii="Book Antiqua" w:hAnsi="Book Antiqua" w:cs="Times New Roman"/>
          <w:color w:val="000000"/>
          <w:sz w:val="24"/>
          <w:szCs w:val="24"/>
          <w:lang w:val="en-US"/>
        </w:rPr>
        <w:t>/or</w:t>
      </w:r>
      <w:r w:rsidR="00D27809" w:rsidRPr="005C7810">
        <w:rPr>
          <w:rFonts w:ascii="Book Antiqua" w:hAnsi="Book Antiqua" w:cs="Times New Roman"/>
          <w:color w:val="000000"/>
          <w:sz w:val="24"/>
          <w:szCs w:val="24"/>
          <w:lang w:val="en-US"/>
        </w:rPr>
        <w:t xml:space="preserve"> mutation of the target</w:t>
      </w:r>
      <w:r w:rsidR="00761DF1" w:rsidRPr="005C7810">
        <w:rPr>
          <w:rFonts w:ascii="Book Antiqua" w:hAnsi="Book Antiqua" w:cs="Times New Roman"/>
          <w:color w:val="000000"/>
          <w:sz w:val="24"/>
          <w:szCs w:val="24"/>
          <w:lang w:val="en-US"/>
        </w:rPr>
        <w:t>s</w:t>
      </w:r>
      <w:r w:rsidR="00D27809" w:rsidRPr="005C7810">
        <w:rPr>
          <w:rFonts w:ascii="Book Antiqua" w:hAnsi="Book Antiqua" w:cs="Times New Roman"/>
          <w:color w:val="000000"/>
          <w:sz w:val="24"/>
          <w:szCs w:val="24"/>
          <w:lang w:val="en-US"/>
        </w:rPr>
        <w:t xml:space="preserve"> must be carried out on tissue biopsies</w:t>
      </w:r>
      <w:r w:rsidR="00E21AE9" w:rsidRPr="005C7810">
        <w:rPr>
          <w:rFonts w:ascii="Book Antiqua" w:hAnsi="Book Antiqua" w:cs="Times New Roman"/>
          <w:color w:val="000000"/>
          <w:sz w:val="24"/>
          <w:szCs w:val="24"/>
          <w:lang w:val="en-US"/>
        </w:rPr>
        <w:t>, both</w:t>
      </w:r>
      <w:r w:rsidR="00D27809" w:rsidRPr="005C7810">
        <w:rPr>
          <w:rFonts w:ascii="Book Antiqua" w:hAnsi="Book Antiqua" w:cs="Times New Roman"/>
          <w:color w:val="000000"/>
          <w:sz w:val="24"/>
          <w:szCs w:val="24"/>
          <w:lang w:val="en-US"/>
        </w:rPr>
        <w:t xml:space="preserve"> in </w:t>
      </w:r>
      <w:r w:rsidR="00761DF1" w:rsidRPr="005C7810">
        <w:rPr>
          <w:rFonts w:ascii="Book Antiqua" w:hAnsi="Book Antiqua" w:cs="Times New Roman"/>
          <w:color w:val="000000"/>
          <w:sz w:val="24"/>
          <w:szCs w:val="24"/>
          <w:lang w:val="en-US"/>
        </w:rPr>
        <w:t>resectable and unresectable</w:t>
      </w:r>
      <w:r w:rsidR="00D27809" w:rsidRPr="005C7810">
        <w:rPr>
          <w:rFonts w:ascii="Book Antiqua" w:hAnsi="Book Antiqua" w:cs="Times New Roman"/>
          <w:color w:val="000000"/>
          <w:sz w:val="24"/>
          <w:szCs w:val="24"/>
          <w:lang w:val="en-US"/>
        </w:rPr>
        <w:t xml:space="preserve"> patients, </w:t>
      </w:r>
      <w:r w:rsidR="00761DF1" w:rsidRPr="005C7810">
        <w:rPr>
          <w:rFonts w:ascii="Book Antiqua" w:hAnsi="Book Antiqua" w:cs="Times New Roman"/>
          <w:color w:val="000000"/>
          <w:sz w:val="24"/>
          <w:szCs w:val="24"/>
          <w:lang w:val="en-US"/>
        </w:rPr>
        <w:t xml:space="preserve">to establish the correct targeted therapy </w:t>
      </w:r>
      <w:r w:rsidR="00E21AE9" w:rsidRPr="005C7810">
        <w:rPr>
          <w:rFonts w:ascii="Book Antiqua" w:hAnsi="Book Antiqua" w:cs="Times New Roman"/>
          <w:color w:val="000000"/>
          <w:sz w:val="24"/>
          <w:szCs w:val="24"/>
          <w:lang w:val="en-US"/>
        </w:rPr>
        <w:t xml:space="preserve">to be used </w:t>
      </w:r>
      <w:r w:rsidR="00761DF1" w:rsidRPr="005C7810">
        <w:rPr>
          <w:rFonts w:ascii="Book Antiqua" w:hAnsi="Book Antiqua" w:cs="Times New Roman"/>
          <w:color w:val="000000"/>
          <w:sz w:val="24"/>
          <w:szCs w:val="24"/>
          <w:lang w:val="en-US"/>
        </w:rPr>
        <w:t xml:space="preserve">alone or associated </w:t>
      </w:r>
      <w:r w:rsidR="00262094" w:rsidRPr="005C7810">
        <w:rPr>
          <w:rFonts w:ascii="Book Antiqua" w:hAnsi="Book Antiqua" w:cs="Times New Roman"/>
          <w:color w:val="000000"/>
          <w:sz w:val="24"/>
          <w:szCs w:val="24"/>
          <w:lang w:val="en-US"/>
        </w:rPr>
        <w:t xml:space="preserve">with </w:t>
      </w:r>
      <w:r w:rsidR="00761DF1" w:rsidRPr="005C7810">
        <w:rPr>
          <w:rFonts w:ascii="Book Antiqua" w:hAnsi="Book Antiqua" w:cs="Times New Roman"/>
          <w:color w:val="000000"/>
          <w:sz w:val="24"/>
          <w:szCs w:val="24"/>
          <w:lang w:val="en-US"/>
        </w:rPr>
        <w:t xml:space="preserve">chemotherapy. </w:t>
      </w:r>
      <w:r w:rsidR="00E54CB7" w:rsidRPr="005C7810">
        <w:rPr>
          <w:rFonts w:ascii="Book Antiqua" w:hAnsi="Book Antiqua" w:cs="Times New Roman"/>
          <w:color w:val="000000"/>
          <w:sz w:val="24"/>
          <w:szCs w:val="24"/>
          <w:lang w:val="en-US"/>
        </w:rPr>
        <w:t>I</w:t>
      </w:r>
      <w:r w:rsidR="00E54CB7" w:rsidRPr="005C7810">
        <w:rPr>
          <w:rFonts w:ascii="Book Antiqua" w:hAnsi="Book Antiqua" w:cs="Times New Roman"/>
          <w:sz w:val="24"/>
          <w:szCs w:val="24"/>
          <w:lang w:val="en-US"/>
        </w:rPr>
        <w:t xml:space="preserve">t is necessary to continue to study the heterogeneity of GC. The fact that GC </w:t>
      </w:r>
      <w:r w:rsidR="002711F2" w:rsidRPr="005C7810">
        <w:rPr>
          <w:rFonts w:ascii="Book Antiqua" w:hAnsi="Book Antiqua" w:cs="Times New Roman"/>
          <w:sz w:val="24"/>
          <w:szCs w:val="24"/>
          <w:lang w:val="en-US"/>
        </w:rPr>
        <w:t xml:space="preserve">has </w:t>
      </w:r>
      <w:r w:rsidR="00E54CB7" w:rsidRPr="005C7810">
        <w:rPr>
          <w:rFonts w:ascii="Book Antiqua" w:hAnsi="Book Antiqua" w:cs="Times New Roman"/>
          <w:sz w:val="24"/>
          <w:szCs w:val="24"/>
          <w:lang w:val="en-US"/>
        </w:rPr>
        <w:t>gen</w:t>
      </w:r>
      <w:r w:rsidR="002711F2" w:rsidRPr="005C7810">
        <w:rPr>
          <w:rFonts w:ascii="Book Antiqua" w:hAnsi="Book Antiqua" w:cs="Times New Roman"/>
          <w:sz w:val="24"/>
          <w:szCs w:val="24"/>
          <w:lang w:val="en-US"/>
        </w:rPr>
        <w:t>etic</w:t>
      </w:r>
      <w:r w:rsidR="00E54CB7" w:rsidRPr="005C7810">
        <w:rPr>
          <w:rFonts w:ascii="Book Antiqua" w:hAnsi="Book Antiqua" w:cs="Times New Roman"/>
          <w:sz w:val="24"/>
          <w:szCs w:val="24"/>
          <w:lang w:val="en-US"/>
        </w:rPr>
        <w:t xml:space="preserve"> variations between different patients and/or in the same patient during its progression and/or during or after therapy</w:t>
      </w:r>
      <w:r w:rsidR="006B753E" w:rsidRPr="005C7810">
        <w:rPr>
          <w:rFonts w:ascii="Book Antiqua" w:hAnsi="Book Antiqua" w:cs="Times New Roman"/>
          <w:sz w:val="24"/>
          <w:szCs w:val="24"/>
          <w:lang w:val="en-US"/>
        </w:rPr>
        <w:t xml:space="preserve"> (</w:t>
      </w:r>
      <w:r w:rsidR="00E54CB7" w:rsidRPr="005C7810">
        <w:rPr>
          <w:rFonts w:ascii="Book Antiqua" w:hAnsi="Book Antiqua" w:cs="Times New Roman"/>
          <w:sz w:val="24"/>
          <w:szCs w:val="24"/>
          <w:lang w:val="en-US"/>
        </w:rPr>
        <w:t>conventional or target</w:t>
      </w:r>
      <w:r w:rsidR="004A6501" w:rsidRPr="005C7810">
        <w:rPr>
          <w:rFonts w:ascii="Book Antiqua" w:hAnsi="Book Antiqua" w:cs="Times New Roman"/>
          <w:sz w:val="24"/>
          <w:szCs w:val="24"/>
          <w:lang w:val="en-US"/>
        </w:rPr>
        <w:t>ed</w:t>
      </w:r>
      <w:r w:rsidR="006B753E" w:rsidRPr="005C7810">
        <w:rPr>
          <w:rFonts w:ascii="Book Antiqua" w:hAnsi="Book Antiqua" w:cs="Times New Roman"/>
          <w:sz w:val="24"/>
          <w:szCs w:val="24"/>
          <w:lang w:val="en-US"/>
        </w:rPr>
        <w:t>) should drive</w:t>
      </w:r>
      <w:r w:rsidR="00E54CB7" w:rsidRPr="005C7810">
        <w:rPr>
          <w:rFonts w:ascii="Book Antiqua" w:hAnsi="Book Antiqua" w:cs="Times New Roman"/>
          <w:sz w:val="24"/>
          <w:szCs w:val="24"/>
          <w:lang w:val="en-US"/>
        </w:rPr>
        <w:t xml:space="preserve"> investigat</w:t>
      </w:r>
      <w:r w:rsidR="006B753E" w:rsidRPr="005C7810">
        <w:rPr>
          <w:rFonts w:ascii="Book Antiqua" w:hAnsi="Book Antiqua" w:cs="Times New Roman"/>
          <w:sz w:val="24"/>
          <w:szCs w:val="24"/>
          <w:lang w:val="en-US"/>
        </w:rPr>
        <w:t>ions into</w:t>
      </w:r>
      <w:r w:rsidR="00E54CB7" w:rsidRPr="005C7810">
        <w:rPr>
          <w:rFonts w:ascii="Book Antiqua" w:hAnsi="Book Antiqua" w:cs="Times New Roman"/>
          <w:sz w:val="24"/>
          <w:szCs w:val="24"/>
          <w:lang w:val="en-US"/>
        </w:rPr>
        <w:t xml:space="preserve"> the molecular characteristics present in tumor tissue</w:t>
      </w:r>
      <w:r w:rsidR="006B753E" w:rsidRPr="005C7810">
        <w:rPr>
          <w:rFonts w:ascii="Book Antiqua" w:hAnsi="Book Antiqua" w:cs="Times New Roman"/>
          <w:sz w:val="24"/>
          <w:szCs w:val="24"/>
          <w:lang w:val="en-US"/>
        </w:rPr>
        <w:t>,</w:t>
      </w:r>
      <w:r w:rsidR="00E54CB7" w:rsidRPr="005C7810">
        <w:rPr>
          <w:rFonts w:ascii="Book Antiqua" w:hAnsi="Book Antiqua" w:cs="Times New Roman"/>
          <w:sz w:val="24"/>
          <w:szCs w:val="24"/>
          <w:lang w:val="en-US"/>
        </w:rPr>
        <w:t xml:space="preserve"> and t</w:t>
      </w:r>
      <w:r w:rsidR="006B753E" w:rsidRPr="005C7810">
        <w:rPr>
          <w:rFonts w:ascii="Book Antiqua" w:hAnsi="Book Antiqua" w:cs="Times New Roman"/>
          <w:sz w:val="24"/>
          <w:szCs w:val="24"/>
          <w:lang w:val="en-US"/>
        </w:rPr>
        <w:t>he</w:t>
      </w:r>
      <w:r w:rsidR="00E54CB7" w:rsidRPr="005C7810">
        <w:rPr>
          <w:rFonts w:ascii="Book Antiqua" w:hAnsi="Book Antiqua" w:cs="Times New Roman"/>
          <w:sz w:val="24"/>
          <w:szCs w:val="24"/>
          <w:lang w:val="en-US"/>
        </w:rPr>
        <w:t xml:space="preserve"> use </w:t>
      </w:r>
      <w:r w:rsidR="006B753E" w:rsidRPr="005C7810">
        <w:rPr>
          <w:rFonts w:ascii="Book Antiqua" w:hAnsi="Book Antiqua" w:cs="Times New Roman"/>
          <w:sz w:val="24"/>
          <w:szCs w:val="24"/>
          <w:lang w:val="en-US"/>
        </w:rPr>
        <w:t xml:space="preserve">of </w:t>
      </w:r>
      <w:r w:rsidR="00E54CB7" w:rsidRPr="005C7810">
        <w:rPr>
          <w:rFonts w:ascii="Book Antiqua" w:hAnsi="Book Antiqua" w:cs="Times New Roman"/>
          <w:sz w:val="24"/>
          <w:szCs w:val="24"/>
          <w:lang w:val="en-US"/>
        </w:rPr>
        <w:t xml:space="preserve">circulating biomarkers </w:t>
      </w:r>
      <w:r w:rsidR="006B753E" w:rsidRPr="005C7810">
        <w:rPr>
          <w:rFonts w:ascii="Book Antiqua" w:hAnsi="Book Antiqua" w:cs="Times New Roman"/>
          <w:sz w:val="24"/>
          <w:szCs w:val="24"/>
          <w:lang w:val="en-US"/>
        </w:rPr>
        <w:t xml:space="preserve">to predict and monitor </w:t>
      </w:r>
      <w:r w:rsidR="00E54CB7" w:rsidRPr="005C7810">
        <w:rPr>
          <w:rFonts w:ascii="Book Antiqua" w:hAnsi="Book Antiqua" w:cs="Times New Roman"/>
          <w:sz w:val="24"/>
          <w:szCs w:val="24"/>
          <w:lang w:val="en-US"/>
        </w:rPr>
        <w:t>disease progression and response to therapy. Furthermore</w:t>
      </w:r>
      <w:r w:rsidR="004A6501" w:rsidRPr="005C7810">
        <w:rPr>
          <w:rFonts w:ascii="Book Antiqua" w:hAnsi="Book Antiqua" w:cs="Times New Roman"/>
          <w:sz w:val="24"/>
          <w:szCs w:val="24"/>
          <w:lang w:val="en-US"/>
        </w:rPr>
        <w:t>,</w:t>
      </w:r>
      <w:r w:rsidR="00E54CB7" w:rsidRPr="005C7810">
        <w:rPr>
          <w:rFonts w:ascii="Book Antiqua" w:hAnsi="Book Antiqua" w:cs="Times New Roman"/>
          <w:sz w:val="24"/>
          <w:szCs w:val="24"/>
          <w:lang w:val="en-US"/>
        </w:rPr>
        <w:t xml:space="preserve"> the association of several markers </w:t>
      </w:r>
      <w:r w:rsidR="006B753E" w:rsidRPr="005C7810">
        <w:rPr>
          <w:rFonts w:ascii="Book Antiqua" w:hAnsi="Book Antiqua" w:cs="Times New Roman"/>
          <w:sz w:val="24"/>
          <w:szCs w:val="24"/>
          <w:lang w:val="en-US"/>
        </w:rPr>
        <w:t xml:space="preserve">should be considered </w:t>
      </w:r>
      <w:r w:rsidR="00E54CB7" w:rsidRPr="005C7810">
        <w:rPr>
          <w:rFonts w:ascii="Book Antiqua" w:hAnsi="Book Antiqua" w:cs="Times New Roman"/>
          <w:sz w:val="24"/>
          <w:szCs w:val="24"/>
          <w:lang w:val="en-US"/>
        </w:rPr>
        <w:t xml:space="preserve">in order to </w:t>
      </w:r>
      <w:r w:rsidR="006B753E" w:rsidRPr="005C7810">
        <w:rPr>
          <w:rFonts w:ascii="Book Antiqua" w:hAnsi="Book Antiqua" w:cs="Times New Roman"/>
          <w:sz w:val="24"/>
          <w:szCs w:val="24"/>
          <w:lang w:val="en-US"/>
        </w:rPr>
        <w:t xml:space="preserve">appropriately </w:t>
      </w:r>
      <w:r w:rsidR="00E54CB7" w:rsidRPr="005C7810">
        <w:rPr>
          <w:rFonts w:ascii="Book Antiqua" w:hAnsi="Book Antiqua" w:cs="Times New Roman"/>
          <w:sz w:val="24"/>
          <w:szCs w:val="24"/>
          <w:lang w:val="en-US"/>
        </w:rPr>
        <w:t xml:space="preserve">classify the tumor and </w:t>
      </w:r>
      <w:r w:rsidR="000E1A17" w:rsidRPr="005C7810">
        <w:rPr>
          <w:rFonts w:ascii="Book Antiqua" w:hAnsi="Book Antiqua" w:cs="Times New Roman"/>
          <w:sz w:val="24"/>
          <w:szCs w:val="24"/>
          <w:lang w:val="en-US"/>
        </w:rPr>
        <w:t xml:space="preserve">to </w:t>
      </w:r>
      <w:r w:rsidR="00E54CB7" w:rsidRPr="005C7810">
        <w:rPr>
          <w:rFonts w:ascii="Book Antiqua" w:hAnsi="Book Antiqua" w:cs="Times New Roman"/>
          <w:sz w:val="24"/>
          <w:szCs w:val="24"/>
          <w:lang w:val="en-US"/>
        </w:rPr>
        <w:t>establish therapeutic strateg</w:t>
      </w:r>
      <w:r w:rsidR="002711F2" w:rsidRPr="005C7810">
        <w:rPr>
          <w:rFonts w:ascii="Book Antiqua" w:hAnsi="Book Antiqua" w:cs="Times New Roman"/>
          <w:sz w:val="24"/>
          <w:szCs w:val="24"/>
          <w:lang w:val="en-US"/>
        </w:rPr>
        <w:t>ies</w:t>
      </w:r>
      <w:r w:rsidR="00E54CB7" w:rsidRPr="005C7810">
        <w:rPr>
          <w:rFonts w:ascii="Book Antiqua" w:hAnsi="Book Antiqua" w:cs="Times New Roman"/>
          <w:sz w:val="24"/>
          <w:szCs w:val="24"/>
          <w:lang w:val="en-US"/>
        </w:rPr>
        <w:t xml:space="preserve"> that </w:t>
      </w:r>
      <w:r w:rsidR="002711F2" w:rsidRPr="005C7810">
        <w:rPr>
          <w:rFonts w:ascii="Book Antiqua" w:hAnsi="Book Antiqua" w:cs="Times New Roman"/>
          <w:sz w:val="24"/>
          <w:szCs w:val="24"/>
          <w:lang w:val="en-US"/>
        </w:rPr>
        <w:t>increase</w:t>
      </w:r>
      <w:r w:rsidR="00E54CB7" w:rsidRPr="005C7810">
        <w:rPr>
          <w:rFonts w:ascii="Book Antiqua" w:hAnsi="Book Antiqua" w:cs="Times New Roman"/>
          <w:sz w:val="24"/>
          <w:szCs w:val="24"/>
          <w:lang w:val="en-US"/>
        </w:rPr>
        <w:t xml:space="preserve"> survival</w:t>
      </w:r>
      <w:r w:rsidR="002711F2" w:rsidRPr="005C7810">
        <w:rPr>
          <w:rFonts w:ascii="Book Antiqua" w:hAnsi="Book Antiqua" w:cs="Times New Roman"/>
          <w:sz w:val="24"/>
          <w:szCs w:val="24"/>
          <w:lang w:val="en-US"/>
        </w:rPr>
        <w:t xml:space="preserve"> rates</w:t>
      </w:r>
      <w:r w:rsidR="00E54CB7" w:rsidRPr="005C7810">
        <w:rPr>
          <w:rFonts w:ascii="Book Antiqua" w:hAnsi="Book Antiqua" w:cs="Times New Roman"/>
          <w:sz w:val="24"/>
          <w:szCs w:val="24"/>
          <w:lang w:val="en-US"/>
        </w:rPr>
        <w:t>.</w:t>
      </w:r>
      <w:r w:rsidR="009A48DA" w:rsidRPr="005C7810">
        <w:rPr>
          <w:rFonts w:ascii="Book Antiqua" w:hAnsi="Book Antiqua" w:cs="Times New Roman"/>
          <w:sz w:val="24"/>
          <w:szCs w:val="24"/>
          <w:lang w:val="en-US"/>
        </w:rPr>
        <w:t xml:space="preserve"> </w:t>
      </w:r>
    </w:p>
    <w:p w:rsidR="00D01F82" w:rsidRPr="005C7810" w:rsidRDefault="004E01BF" w:rsidP="00CD380F">
      <w:pPr>
        <w:shd w:val="clear" w:color="auto" w:fill="FFFFFF"/>
        <w:snapToGrid w:val="0"/>
        <w:spacing w:after="0" w:line="360" w:lineRule="auto"/>
        <w:jc w:val="both"/>
        <w:rPr>
          <w:rFonts w:ascii="Book Antiqua" w:hAnsi="Book Antiqua" w:cs="Times New Roman"/>
          <w:b/>
          <w:sz w:val="24"/>
          <w:szCs w:val="24"/>
          <w:lang w:val="en-US"/>
        </w:rPr>
      </w:pPr>
      <w:r w:rsidRPr="005C7810">
        <w:rPr>
          <w:rFonts w:ascii="Book Antiqua" w:hAnsi="Book Antiqua" w:cs="Times New Roman"/>
          <w:b/>
          <w:sz w:val="24"/>
          <w:szCs w:val="24"/>
          <w:lang w:val="en-US"/>
        </w:rPr>
        <w:br w:type="page"/>
      </w:r>
      <w:r w:rsidR="00D01F82" w:rsidRPr="005C7810">
        <w:rPr>
          <w:rFonts w:ascii="Book Antiqua" w:hAnsi="Book Antiqua" w:cs="Times New Roman"/>
          <w:b/>
          <w:sz w:val="24"/>
          <w:szCs w:val="24"/>
          <w:lang w:val="en-US"/>
        </w:rPr>
        <w:t>REFERENCES</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 </w:t>
      </w:r>
      <w:r w:rsidRPr="005C7810">
        <w:rPr>
          <w:rFonts w:ascii="Book Antiqua" w:eastAsia="等线" w:hAnsi="Book Antiqua" w:cs="Times New Roman"/>
          <w:b/>
          <w:kern w:val="2"/>
          <w:sz w:val="24"/>
          <w:szCs w:val="24"/>
          <w:lang w:val="en-US" w:eastAsia="zh-CN"/>
        </w:rPr>
        <w:t>Nguyen LT</w:t>
      </w:r>
      <w:r w:rsidRPr="005C7810">
        <w:rPr>
          <w:rFonts w:ascii="Book Antiqua" w:eastAsia="等线" w:hAnsi="Book Antiqua" w:cs="Times New Roman"/>
          <w:kern w:val="2"/>
          <w:sz w:val="24"/>
          <w:szCs w:val="24"/>
          <w:lang w:val="en-US" w:eastAsia="zh-CN"/>
        </w:rPr>
        <w:t xml:space="preserve">, Uchida T, Murakami K, Fujioka T, Moriyama M. Helicobacter pylori virulence and the diversity of gastric cancer in Asia. </w:t>
      </w:r>
      <w:r w:rsidRPr="005C7810">
        <w:rPr>
          <w:rFonts w:ascii="Book Antiqua" w:eastAsia="等线" w:hAnsi="Book Antiqua" w:cs="Times New Roman"/>
          <w:i/>
          <w:kern w:val="2"/>
          <w:sz w:val="24"/>
          <w:szCs w:val="24"/>
          <w:lang w:val="en-US" w:eastAsia="zh-CN"/>
        </w:rPr>
        <w:t>J Med Microbiol</w:t>
      </w:r>
      <w:r w:rsidRPr="005C7810">
        <w:rPr>
          <w:rFonts w:ascii="Book Antiqua" w:eastAsia="等线" w:hAnsi="Book Antiqua" w:cs="Times New Roman"/>
          <w:kern w:val="2"/>
          <w:sz w:val="24"/>
          <w:szCs w:val="24"/>
          <w:lang w:val="en-US" w:eastAsia="zh-CN"/>
        </w:rPr>
        <w:t xml:space="preserve"> 2008; </w:t>
      </w:r>
      <w:r w:rsidRPr="005C7810">
        <w:rPr>
          <w:rFonts w:ascii="Book Antiqua" w:eastAsia="等线" w:hAnsi="Book Antiqua" w:cs="Times New Roman"/>
          <w:b/>
          <w:kern w:val="2"/>
          <w:sz w:val="24"/>
          <w:szCs w:val="24"/>
          <w:lang w:val="en-US" w:eastAsia="zh-CN"/>
        </w:rPr>
        <w:t>57</w:t>
      </w:r>
      <w:r w:rsidRPr="005C7810">
        <w:rPr>
          <w:rFonts w:ascii="Book Antiqua" w:eastAsia="等线" w:hAnsi="Book Antiqua" w:cs="Times New Roman"/>
          <w:kern w:val="2"/>
          <w:sz w:val="24"/>
          <w:szCs w:val="24"/>
          <w:lang w:val="en-US" w:eastAsia="zh-CN"/>
        </w:rPr>
        <w:t>: 1445-1453 [PMID: 19018013 DOI: 10.1099/jmm.0.2008/003160-0]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 </w:t>
      </w:r>
      <w:r w:rsidRPr="005C7810">
        <w:rPr>
          <w:rFonts w:ascii="Book Antiqua" w:eastAsia="等线" w:hAnsi="Book Antiqua" w:cs="Times New Roman"/>
          <w:b/>
          <w:kern w:val="2"/>
          <w:sz w:val="24"/>
          <w:szCs w:val="24"/>
          <w:lang w:val="en-US" w:eastAsia="zh-CN"/>
        </w:rPr>
        <w:t>Uemura N</w:t>
      </w:r>
      <w:r w:rsidRPr="005C7810">
        <w:rPr>
          <w:rFonts w:ascii="Book Antiqua" w:eastAsia="等线" w:hAnsi="Book Antiqua" w:cs="Times New Roman"/>
          <w:kern w:val="2"/>
          <w:sz w:val="24"/>
          <w:szCs w:val="24"/>
          <w:lang w:val="en-US" w:eastAsia="zh-CN"/>
        </w:rPr>
        <w:t xml:space="preserve">, Okamoto S, Yamamoto S, Matsumura N, Yamaguchi S, Yamakido M, Taniyama K, Sasaki N, Schlemper RJ. Helicobacter pylori infection and the development of gastric cancer. </w:t>
      </w:r>
      <w:r w:rsidRPr="005C7810">
        <w:rPr>
          <w:rFonts w:ascii="Book Antiqua" w:eastAsia="等线" w:hAnsi="Book Antiqua" w:cs="Times New Roman"/>
          <w:i/>
          <w:kern w:val="2"/>
          <w:sz w:val="24"/>
          <w:szCs w:val="24"/>
          <w:lang w:val="en-US" w:eastAsia="zh-CN"/>
        </w:rPr>
        <w:t>N Engl J Med</w:t>
      </w:r>
      <w:r w:rsidRPr="005C7810">
        <w:rPr>
          <w:rFonts w:ascii="Book Antiqua" w:eastAsia="等线" w:hAnsi="Book Antiqua" w:cs="Times New Roman"/>
          <w:kern w:val="2"/>
          <w:sz w:val="24"/>
          <w:szCs w:val="24"/>
          <w:lang w:val="en-US" w:eastAsia="zh-CN"/>
        </w:rPr>
        <w:t xml:space="preserve"> 2001; </w:t>
      </w:r>
      <w:r w:rsidRPr="005C7810">
        <w:rPr>
          <w:rFonts w:ascii="Book Antiqua" w:eastAsia="等线" w:hAnsi="Book Antiqua" w:cs="Times New Roman"/>
          <w:b/>
          <w:kern w:val="2"/>
          <w:sz w:val="24"/>
          <w:szCs w:val="24"/>
          <w:lang w:val="en-US" w:eastAsia="zh-CN"/>
        </w:rPr>
        <w:t>345</w:t>
      </w:r>
      <w:r w:rsidRPr="005C7810">
        <w:rPr>
          <w:rFonts w:ascii="Book Antiqua" w:eastAsia="等线" w:hAnsi="Book Antiqua" w:cs="Times New Roman"/>
          <w:kern w:val="2"/>
          <w:sz w:val="24"/>
          <w:szCs w:val="24"/>
          <w:lang w:val="en-US" w:eastAsia="zh-CN"/>
        </w:rPr>
        <w:t>: 784-789 [PMID: 11556297 DOI: 10.1056/NEJMoa001999]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 </w:t>
      </w:r>
      <w:r w:rsidRPr="005C7810">
        <w:rPr>
          <w:rFonts w:ascii="Book Antiqua" w:eastAsia="等线" w:hAnsi="Book Antiqua" w:cs="Times New Roman"/>
          <w:b/>
          <w:kern w:val="2"/>
          <w:sz w:val="24"/>
          <w:szCs w:val="24"/>
          <w:lang w:val="en-US" w:eastAsia="zh-CN"/>
        </w:rPr>
        <w:t>de Martel C</w:t>
      </w:r>
      <w:r w:rsidRPr="005C7810">
        <w:rPr>
          <w:rFonts w:ascii="Book Antiqua" w:eastAsia="等线" w:hAnsi="Book Antiqua" w:cs="Times New Roman"/>
          <w:kern w:val="2"/>
          <w:sz w:val="24"/>
          <w:szCs w:val="24"/>
          <w:lang w:val="en-US" w:eastAsia="zh-CN"/>
        </w:rPr>
        <w:t xml:space="preserve">, Forman D, Plummer M. Gastric cancer: epidemiology and risk factors. </w:t>
      </w:r>
      <w:r w:rsidRPr="005C7810">
        <w:rPr>
          <w:rFonts w:ascii="Book Antiqua" w:eastAsia="等线" w:hAnsi="Book Antiqua" w:cs="Times New Roman"/>
          <w:i/>
          <w:kern w:val="2"/>
          <w:sz w:val="24"/>
          <w:szCs w:val="24"/>
          <w:lang w:val="en-US" w:eastAsia="zh-CN"/>
        </w:rPr>
        <w:t>Gastroenterol Clin North Am</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42</w:t>
      </w:r>
      <w:r w:rsidRPr="005C7810">
        <w:rPr>
          <w:rFonts w:ascii="Book Antiqua" w:eastAsia="等线" w:hAnsi="Book Antiqua" w:cs="Times New Roman"/>
          <w:kern w:val="2"/>
          <w:sz w:val="24"/>
          <w:szCs w:val="24"/>
          <w:lang w:val="en-US" w:eastAsia="zh-CN"/>
        </w:rPr>
        <w:t>: 219-240 [PMID: 23639638 DOI: 10.1016/j.gtc.2013.01.003]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 </w:t>
      </w:r>
      <w:r w:rsidRPr="005C7810">
        <w:rPr>
          <w:rFonts w:ascii="Book Antiqua" w:eastAsia="等线" w:hAnsi="Book Antiqua" w:cs="Times New Roman"/>
          <w:b/>
          <w:bCs/>
          <w:kern w:val="2"/>
          <w:sz w:val="24"/>
          <w:szCs w:val="24"/>
          <w:lang w:val="en-US" w:eastAsia="zh-CN"/>
        </w:rPr>
        <w:t>Cover TL</w:t>
      </w:r>
      <w:r w:rsidRPr="005C7810">
        <w:rPr>
          <w:rFonts w:ascii="Book Antiqua" w:eastAsia="等线" w:hAnsi="Book Antiqua" w:cs="Times New Roman"/>
          <w:kern w:val="2"/>
          <w:sz w:val="24"/>
          <w:szCs w:val="24"/>
          <w:lang w:val="en-US" w:eastAsia="zh-CN"/>
        </w:rPr>
        <w:t xml:space="preserve">. Helicobacter pylori Diversity and Gastric Cancer Risk. </w:t>
      </w:r>
      <w:r w:rsidRPr="005C7810">
        <w:rPr>
          <w:rFonts w:ascii="Book Antiqua" w:eastAsia="等线" w:hAnsi="Book Antiqua" w:cs="Times New Roman"/>
          <w:i/>
          <w:iCs/>
          <w:kern w:val="2"/>
          <w:sz w:val="24"/>
          <w:szCs w:val="24"/>
          <w:lang w:val="en-US" w:eastAsia="zh-CN"/>
        </w:rPr>
        <w:t>MBio</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bCs/>
          <w:kern w:val="2"/>
          <w:sz w:val="24"/>
          <w:szCs w:val="24"/>
          <w:lang w:val="en-US" w:eastAsia="zh-CN"/>
        </w:rPr>
        <w:t>7</w:t>
      </w:r>
      <w:r w:rsidRPr="005C7810">
        <w:rPr>
          <w:rFonts w:ascii="Book Antiqua" w:eastAsia="等线" w:hAnsi="Book Antiqua" w:cs="Times New Roman"/>
          <w:kern w:val="2"/>
          <w:sz w:val="24"/>
          <w:szCs w:val="24"/>
          <w:lang w:val="en-US" w:eastAsia="zh-CN"/>
        </w:rPr>
        <w:t>: e01869-e01815 [PMID: 26814181 DOI: 10.1128/mBio.01869-15]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 </w:t>
      </w:r>
      <w:r w:rsidRPr="005C7810">
        <w:rPr>
          <w:rFonts w:ascii="Book Antiqua" w:eastAsia="等线" w:hAnsi="Book Antiqua" w:cs="Times New Roman"/>
          <w:b/>
          <w:kern w:val="2"/>
          <w:sz w:val="24"/>
          <w:szCs w:val="24"/>
          <w:lang w:val="en-US" w:eastAsia="zh-CN"/>
        </w:rPr>
        <w:t>Amieva M</w:t>
      </w:r>
      <w:r w:rsidRPr="005C7810">
        <w:rPr>
          <w:rFonts w:ascii="Book Antiqua" w:eastAsia="等线" w:hAnsi="Book Antiqua" w:cs="Times New Roman"/>
          <w:kern w:val="2"/>
          <w:sz w:val="24"/>
          <w:szCs w:val="24"/>
          <w:lang w:val="en-US" w:eastAsia="zh-CN"/>
        </w:rPr>
        <w:t xml:space="preserve">, Peek RM Jr. Pathobiology of Helicobacter pylori-Induced Gastric Cancer. </w:t>
      </w:r>
      <w:r w:rsidRPr="005C7810">
        <w:rPr>
          <w:rFonts w:ascii="Book Antiqua" w:eastAsia="等线" w:hAnsi="Book Antiqua" w:cs="Times New Roman"/>
          <w:i/>
          <w:kern w:val="2"/>
          <w:sz w:val="24"/>
          <w:szCs w:val="24"/>
          <w:lang w:val="en-US" w:eastAsia="zh-CN"/>
        </w:rPr>
        <w:t>Gastroenterology</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150</w:t>
      </w:r>
      <w:r w:rsidRPr="005C7810">
        <w:rPr>
          <w:rFonts w:ascii="Book Antiqua" w:eastAsia="等线" w:hAnsi="Book Antiqua" w:cs="Times New Roman"/>
          <w:kern w:val="2"/>
          <w:sz w:val="24"/>
          <w:szCs w:val="24"/>
          <w:lang w:val="en-US" w:eastAsia="zh-CN"/>
        </w:rPr>
        <w:t>: 64-78 [PMID: 26385073 DOI: 10.1053/j.gastro.2015.09.004]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 </w:t>
      </w:r>
      <w:r w:rsidRPr="005C7810">
        <w:rPr>
          <w:rFonts w:ascii="Book Antiqua" w:eastAsia="等线" w:hAnsi="Book Antiqua" w:cs="Times New Roman"/>
          <w:b/>
          <w:kern w:val="2"/>
          <w:sz w:val="24"/>
          <w:szCs w:val="24"/>
          <w:lang w:val="en-US" w:eastAsia="zh-CN"/>
        </w:rPr>
        <w:t>Correa P</w:t>
      </w:r>
      <w:r w:rsidRPr="005C7810">
        <w:rPr>
          <w:rFonts w:ascii="Book Antiqua" w:eastAsia="等线" w:hAnsi="Book Antiqua" w:cs="Times New Roman"/>
          <w:kern w:val="2"/>
          <w:sz w:val="24"/>
          <w:szCs w:val="24"/>
          <w:lang w:val="en-US" w:eastAsia="zh-CN"/>
        </w:rPr>
        <w:t xml:space="preserve">. Gastric cancer: overview. </w:t>
      </w:r>
      <w:r w:rsidRPr="005C7810">
        <w:rPr>
          <w:rFonts w:ascii="Book Antiqua" w:eastAsia="等线" w:hAnsi="Book Antiqua" w:cs="Times New Roman"/>
          <w:i/>
          <w:kern w:val="2"/>
          <w:sz w:val="24"/>
          <w:szCs w:val="24"/>
          <w:lang w:val="en-US" w:eastAsia="zh-CN"/>
        </w:rPr>
        <w:t>Gastroenterol Clin North Am</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42</w:t>
      </w:r>
      <w:r w:rsidRPr="005C7810">
        <w:rPr>
          <w:rFonts w:ascii="Book Antiqua" w:eastAsia="等线" w:hAnsi="Book Antiqua" w:cs="Times New Roman"/>
          <w:kern w:val="2"/>
          <w:sz w:val="24"/>
          <w:szCs w:val="24"/>
          <w:lang w:val="en-US" w:eastAsia="zh-CN"/>
        </w:rPr>
        <w:t>: 211-217 [PMID: 23639637 DOI: 10.1016/j.gtc.2013.01.002]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 </w:t>
      </w:r>
      <w:r w:rsidRPr="005C7810">
        <w:rPr>
          <w:rFonts w:ascii="Book Antiqua" w:eastAsia="等线" w:hAnsi="Book Antiqua" w:cs="Times New Roman"/>
          <w:b/>
          <w:kern w:val="2"/>
          <w:sz w:val="24"/>
          <w:szCs w:val="24"/>
          <w:lang w:val="en-US" w:eastAsia="zh-CN"/>
        </w:rPr>
        <w:t>Bray F</w:t>
      </w:r>
      <w:r w:rsidRPr="005C7810">
        <w:rPr>
          <w:rFonts w:ascii="Book Antiqua" w:eastAsia="等线" w:hAnsi="Book Antiqua" w:cs="Times New Roman"/>
          <w:kern w:val="2"/>
          <w:sz w:val="24"/>
          <w:szCs w:val="24"/>
          <w:lang w:val="en-US" w:eastAsia="zh-CN"/>
        </w:rPr>
        <w:t xml:space="preserve">, Ferlay J, Soerjomataram I, Siegel RL, Torre LA, Jemal A. Global cancer statistics 2018: GLOBOCAN estimates of incidence and mortality worldwide for 36 cancers in 185 countries. </w:t>
      </w:r>
      <w:r w:rsidRPr="005C7810">
        <w:rPr>
          <w:rFonts w:ascii="Book Antiqua" w:eastAsia="等线" w:hAnsi="Book Antiqua" w:cs="Times New Roman"/>
          <w:i/>
          <w:kern w:val="2"/>
          <w:sz w:val="24"/>
          <w:szCs w:val="24"/>
          <w:lang w:val="en-US" w:eastAsia="zh-CN"/>
        </w:rPr>
        <w:t>CA Cancer J Clin</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68</w:t>
      </w:r>
      <w:r w:rsidRPr="005C7810">
        <w:rPr>
          <w:rFonts w:ascii="Book Antiqua" w:eastAsia="等线" w:hAnsi="Book Antiqua" w:cs="Times New Roman"/>
          <w:kern w:val="2"/>
          <w:sz w:val="24"/>
          <w:szCs w:val="24"/>
          <w:lang w:val="en-US" w:eastAsia="zh-CN"/>
        </w:rPr>
        <w:t>: 394-424 [PMID: 30207593 DOI: 10.3322/caac.21492]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 </w:t>
      </w:r>
      <w:r w:rsidRPr="005C7810">
        <w:rPr>
          <w:rFonts w:ascii="Book Antiqua" w:eastAsia="等线" w:hAnsi="Book Antiqua" w:cs="Times New Roman"/>
          <w:b/>
          <w:kern w:val="2"/>
          <w:sz w:val="24"/>
          <w:szCs w:val="24"/>
          <w:lang w:val="en-US" w:eastAsia="zh-CN"/>
        </w:rPr>
        <w:t>Asaka M</w:t>
      </w:r>
      <w:r w:rsidRPr="005C7810">
        <w:rPr>
          <w:rFonts w:ascii="Book Antiqua" w:eastAsia="等线" w:hAnsi="Book Antiqua" w:cs="Times New Roman"/>
          <w:kern w:val="2"/>
          <w:sz w:val="24"/>
          <w:szCs w:val="24"/>
          <w:lang w:val="en-US" w:eastAsia="zh-CN"/>
        </w:rPr>
        <w:t xml:space="preserve">, Mabe K. Strategies for eliminating death from gastric cancer in Japan. </w:t>
      </w:r>
      <w:r w:rsidRPr="005C7810">
        <w:rPr>
          <w:rFonts w:ascii="Book Antiqua" w:eastAsia="等线" w:hAnsi="Book Antiqua" w:cs="Times New Roman"/>
          <w:i/>
          <w:kern w:val="2"/>
          <w:sz w:val="24"/>
          <w:szCs w:val="24"/>
          <w:lang w:val="en-US" w:eastAsia="zh-CN"/>
        </w:rPr>
        <w:t>Proc Jpn Acad Ser B Phys Biol Sci</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90</w:t>
      </w:r>
      <w:r w:rsidRPr="005C7810">
        <w:rPr>
          <w:rFonts w:ascii="Book Antiqua" w:eastAsia="等线" w:hAnsi="Book Antiqua" w:cs="Times New Roman"/>
          <w:kern w:val="2"/>
          <w:sz w:val="24"/>
          <w:szCs w:val="24"/>
          <w:lang w:val="en-US" w:eastAsia="zh-CN"/>
        </w:rPr>
        <w:t>: 251-258 [PMID: 25169671 DOI: 10.2183/pjab.90.251]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 </w:t>
      </w:r>
      <w:r w:rsidRPr="005C7810">
        <w:rPr>
          <w:rFonts w:ascii="Book Antiqua" w:eastAsia="等线" w:hAnsi="Book Antiqua" w:cs="Times New Roman"/>
          <w:b/>
          <w:kern w:val="2"/>
          <w:sz w:val="24"/>
          <w:szCs w:val="24"/>
          <w:lang w:val="en-US" w:eastAsia="zh-CN"/>
        </w:rPr>
        <w:t>Parkin DM</w:t>
      </w:r>
      <w:r w:rsidRPr="005C7810">
        <w:rPr>
          <w:rFonts w:ascii="Book Antiqua" w:eastAsia="等线" w:hAnsi="Book Antiqua" w:cs="Times New Roman"/>
          <w:kern w:val="2"/>
          <w:sz w:val="24"/>
          <w:szCs w:val="24"/>
          <w:lang w:val="en-US" w:eastAsia="zh-CN"/>
        </w:rPr>
        <w:t xml:space="preserve">, Bray F, Ferlay J, Pisani P. Global cancer statistics, 2002. </w:t>
      </w:r>
      <w:r w:rsidRPr="005C7810">
        <w:rPr>
          <w:rFonts w:ascii="Book Antiqua" w:eastAsia="等线" w:hAnsi="Book Antiqua" w:cs="Times New Roman"/>
          <w:i/>
          <w:kern w:val="2"/>
          <w:sz w:val="24"/>
          <w:szCs w:val="24"/>
          <w:lang w:val="en-US" w:eastAsia="zh-CN"/>
        </w:rPr>
        <w:t>CA Cancer J Clin</w:t>
      </w:r>
      <w:r w:rsidRPr="005C7810">
        <w:rPr>
          <w:rFonts w:ascii="Book Antiqua" w:eastAsia="等线" w:hAnsi="Book Antiqua" w:cs="Times New Roman"/>
          <w:kern w:val="2"/>
          <w:sz w:val="24"/>
          <w:szCs w:val="24"/>
          <w:lang w:val="en-US" w:eastAsia="zh-CN"/>
        </w:rPr>
        <w:t xml:space="preserve"> 2005; </w:t>
      </w:r>
      <w:r w:rsidRPr="005C7810">
        <w:rPr>
          <w:rFonts w:ascii="Book Antiqua" w:eastAsia="等线" w:hAnsi="Book Antiqua" w:cs="Times New Roman"/>
          <w:b/>
          <w:kern w:val="2"/>
          <w:sz w:val="24"/>
          <w:szCs w:val="24"/>
          <w:lang w:val="en-US" w:eastAsia="zh-CN"/>
        </w:rPr>
        <w:t>55</w:t>
      </w:r>
      <w:r w:rsidRPr="005C7810">
        <w:rPr>
          <w:rFonts w:ascii="Book Antiqua" w:eastAsia="等线" w:hAnsi="Book Antiqua" w:cs="Times New Roman"/>
          <w:kern w:val="2"/>
          <w:sz w:val="24"/>
          <w:szCs w:val="24"/>
          <w:lang w:val="en-US" w:eastAsia="zh-CN"/>
        </w:rPr>
        <w:t>: 74-108 [PMID: 15761078 DOI: 10.3322/canjclin.55.2.74]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 </w:t>
      </w:r>
      <w:r w:rsidRPr="005C7810">
        <w:rPr>
          <w:rFonts w:ascii="Book Antiqua" w:eastAsia="等线" w:hAnsi="Book Antiqua" w:cs="Times New Roman"/>
          <w:b/>
          <w:kern w:val="2"/>
          <w:sz w:val="24"/>
          <w:szCs w:val="24"/>
          <w:lang w:val="en-US" w:eastAsia="zh-CN"/>
        </w:rPr>
        <w:t>Karimi P</w:t>
      </w:r>
      <w:r w:rsidRPr="005C7810">
        <w:rPr>
          <w:rFonts w:ascii="Book Antiqua" w:eastAsia="等线" w:hAnsi="Book Antiqua" w:cs="Times New Roman"/>
          <w:kern w:val="2"/>
          <w:sz w:val="24"/>
          <w:szCs w:val="24"/>
          <w:lang w:val="en-US" w:eastAsia="zh-CN"/>
        </w:rPr>
        <w:t xml:space="preserve">, Islami F, Anandasabapathy S, Freedman ND, Kamangar F. Gastric cancer: descriptive epidemiology, risk factors, screening, and prevention. </w:t>
      </w:r>
      <w:r w:rsidRPr="005C7810">
        <w:rPr>
          <w:rFonts w:ascii="Book Antiqua" w:eastAsia="等线" w:hAnsi="Book Antiqua" w:cs="Times New Roman"/>
          <w:i/>
          <w:kern w:val="2"/>
          <w:sz w:val="24"/>
          <w:szCs w:val="24"/>
          <w:lang w:val="en-US" w:eastAsia="zh-CN"/>
        </w:rPr>
        <w:t>Cancer Epidemiol Biomarkers Prev</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23</w:t>
      </w:r>
      <w:r w:rsidRPr="005C7810">
        <w:rPr>
          <w:rFonts w:ascii="Book Antiqua" w:eastAsia="等线" w:hAnsi="Book Antiqua" w:cs="Times New Roman"/>
          <w:kern w:val="2"/>
          <w:sz w:val="24"/>
          <w:szCs w:val="24"/>
          <w:lang w:val="en-US" w:eastAsia="zh-CN"/>
        </w:rPr>
        <w:t>: 700-713 [PMID: 24618998 DOI: 10.1158/1055-9965.EPI-13-1057]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 </w:t>
      </w:r>
      <w:r w:rsidRPr="005C7810">
        <w:rPr>
          <w:rFonts w:ascii="Book Antiqua" w:eastAsia="等线" w:hAnsi="Book Antiqua" w:cs="Times New Roman"/>
          <w:b/>
          <w:kern w:val="2"/>
          <w:sz w:val="24"/>
          <w:szCs w:val="24"/>
          <w:lang w:val="en-US" w:eastAsia="zh-CN"/>
        </w:rPr>
        <w:t>Kaneko S</w:t>
      </w:r>
      <w:r w:rsidRPr="005C7810">
        <w:rPr>
          <w:rFonts w:ascii="Book Antiqua" w:eastAsia="等线" w:hAnsi="Book Antiqua" w:cs="Times New Roman"/>
          <w:kern w:val="2"/>
          <w:sz w:val="24"/>
          <w:szCs w:val="24"/>
          <w:lang w:val="en-US" w:eastAsia="zh-CN"/>
        </w:rPr>
        <w:t xml:space="preserve">, Yoshimura T. Time trend analysis of gastric cancer incidence in Japan by histological types, 1975-1989.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2001; </w:t>
      </w:r>
      <w:r w:rsidRPr="005C7810">
        <w:rPr>
          <w:rFonts w:ascii="Book Antiqua" w:eastAsia="等线" w:hAnsi="Book Antiqua" w:cs="Times New Roman"/>
          <w:b/>
          <w:kern w:val="2"/>
          <w:sz w:val="24"/>
          <w:szCs w:val="24"/>
          <w:lang w:val="en-US" w:eastAsia="zh-CN"/>
        </w:rPr>
        <w:t>84</w:t>
      </w:r>
      <w:r w:rsidRPr="005C7810">
        <w:rPr>
          <w:rFonts w:ascii="Book Antiqua" w:eastAsia="等线" w:hAnsi="Book Antiqua" w:cs="Times New Roman"/>
          <w:kern w:val="2"/>
          <w:sz w:val="24"/>
          <w:szCs w:val="24"/>
          <w:lang w:val="en-US" w:eastAsia="zh-CN"/>
        </w:rPr>
        <w:t>: 400-405 [PMID: 11161407 DOI: 10.1054/bjoc.2000.1602]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 </w:t>
      </w:r>
      <w:r w:rsidRPr="005C7810">
        <w:rPr>
          <w:rFonts w:ascii="Book Antiqua" w:eastAsia="等线" w:hAnsi="Book Antiqua" w:cs="Times New Roman"/>
          <w:b/>
          <w:kern w:val="2"/>
          <w:sz w:val="24"/>
          <w:szCs w:val="24"/>
          <w:lang w:val="en-US" w:eastAsia="zh-CN"/>
        </w:rPr>
        <w:t>Bertuccio P</w:t>
      </w:r>
      <w:r w:rsidRPr="005C7810">
        <w:rPr>
          <w:rFonts w:ascii="Book Antiqua" w:eastAsia="等线" w:hAnsi="Book Antiqua" w:cs="Times New Roman"/>
          <w:kern w:val="2"/>
          <w:sz w:val="24"/>
          <w:szCs w:val="24"/>
          <w:lang w:val="en-US" w:eastAsia="zh-CN"/>
        </w:rPr>
        <w:t xml:space="preserve">, Chatenoud L, Levi F, Praud D, Ferlay J, Negri E, Malvezzi M, La Vecchia C. Recent patterns in gastric cancer: a global overview. </w:t>
      </w:r>
      <w:r w:rsidRPr="005C7810">
        <w:rPr>
          <w:rFonts w:ascii="Book Antiqua" w:eastAsia="等线" w:hAnsi="Book Antiqua" w:cs="Times New Roman"/>
          <w:i/>
          <w:kern w:val="2"/>
          <w:sz w:val="24"/>
          <w:szCs w:val="24"/>
          <w:lang w:val="en-US" w:eastAsia="zh-CN"/>
        </w:rPr>
        <w:t>Int J Cancer</w:t>
      </w:r>
      <w:r w:rsidRPr="005C7810">
        <w:rPr>
          <w:rFonts w:ascii="Book Antiqua" w:eastAsia="等线" w:hAnsi="Book Antiqua" w:cs="Times New Roman"/>
          <w:kern w:val="2"/>
          <w:sz w:val="24"/>
          <w:szCs w:val="24"/>
          <w:lang w:val="en-US" w:eastAsia="zh-CN"/>
        </w:rPr>
        <w:t xml:space="preserve"> 2009; </w:t>
      </w:r>
      <w:r w:rsidRPr="005C7810">
        <w:rPr>
          <w:rFonts w:ascii="Book Antiqua" w:eastAsia="等线" w:hAnsi="Book Antiqua" w:cs="Times New Roman"/>
          <w:b/>
          <w:kern w:val="2"/>
          <w:sz w:val="24"/>
          <w:szCs w:val="24"/>
          <w:lang w:val="en-US" w:eastAsia="zh-CN"/>
        </w:rPr>
        <w:t>125</w:t>
      </w:r>
      <w:r w:rsidRPr="005C7810">
        <w:rPr>
          <w:rFonts w:ascii="Book Antiqua" w:eastAsia="等线" w:hAnsi="Book Antiqua" w:cs="Times New Roman"/>
          <w:kern w:val="2"/>
          <w:sz w:val="24"/>
          <w:szCs w:val="24"/>
          <w:lang w:val="en-US" w:eastAsia="zh-CN"/>
        </w:rPr>
        <w:t>: 666-673 [PMID: 19382179 DOI: 10.1002/ijc.24290]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 </w:t>
      </w:r>
      <w:r w:rsidRPr="005C7810">
        <w:rPr>
          <w:rFonts w:ascii="Book Antiqua" w:eastAsia="等线" w:hAnsi="Book Antiqua" w:cs="Times New Roman"/>
          <w:b/>
          <w:kern w:val="2"/>
          <w:sz w:val="24"/>
          <w:szCs w:val="24"/>
          <w:lang w:val="en-US" w:eastAsia="zh-CN"/>
        </w:rPr>
        <w:t>Muñoz N</w:t>
      </w:r>
      <w:r w:rsidRPr="005C7810">
        <w:rPr>
          <w:rFonts w:ascii="Book Antiqua" w:eastAsia="等线" w:hAnsi="Book Antiqua" w:cs="Times New Roman"/>
          <w:kern w:val="2"/>
          <w:sz w:val="24"/>
          <w:szCs w:val="24"/>
          <w:lang w:val="en-US" w:eastAsia="zh-CN"/>
        </w:rPr>
        <w:t xml:space="preserve">, Franceschi S. Epidemiology of gastric cancer and perspectives for prevention. </w:t>
      </w:r>
      <w:r w:rsidRPr="005C7810">
        <w:rPr>
          <w:rFonts w:ascii="Book Antiqua" w:eastAsia="等线" w:hAnsi="Book Antiqua" w:cs="Times New Roman"/>
          <w:i/>
          <w:kern w:val="2"/>
          <w:sz w:val="24"/>
          <w:szCs w:val="24"/>
          <w:lang w:val="en-US" w:eastAsia="zh-CN"/>
        </w:rPr>
        <w:t>Salud Publica Mex</w:t>
      </w:r>
      <w:r w:rsidRPr="005C7810">
        <w:rPr>
          <w:rFonts w:ascii="Book Antiqua" w:eastAsia="等线" w:hAnsi="Book Antiqua" w:cs="Times New Roman"/>
          <w:kern w:val="2"/>
          <w:sz w:val="24"/>
          <w:szCs w:val="24"/>
          <w:lang w:val="en-US" w:eastAsia="zh-CN"/>
        </w:rPr>
        <w:t xml:space="preserve"> 1997; </w:t>
      </w:r>
      <w:r w:rsidRPr="005C7810">
        <w:rPr>
          <w:rFonts w:ascii="Book Antiqua" w:eastAsia="等线" w:hAnsi="Book Antiqua" w:cs="Times New Roman"/>
          <w:b/>
          <w:kern w:val="2"/>
          <w:sz w:val="24"/>
          <w:szCs w:val="24"/>
          <w:lang w:val="en-US" w:eastAsia="zh-CN"/>
        </w:rPr>
        <w:t>39</w:t>
      </w:r>
      <w:r w:rsidRPr="005C7810">
        <w:rPr>
          <w:rFonts w:ascii="Book Antiqua" w:eastAsia="等线" w:hAnsi="Book Antiqua" w:cs="Times New Roman"/>
          <w:kern w:val="2"/>
          <w:sz w:val="24"/>
          <w:szCs w:val="24"/>
          <w:lang w:val="en-US" w:eastAsia="zh-CN"/>
        </w:rPr>
        <w:t>: 318-330 [PMID: 9337564 DOI: 10.1590/S0036-36341997000400010]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 </w:t>
      </w:r>
      <w:r w:rsidRPr="005C7810">
        <w:rPr>
          <w:rFonts w:ascii="Book Antiqua" w:eastAsia="等线" w:hAnsi="Book Antiqua" w:cs="Times New Roman"/>
          <w:b/>
          <w:kern w:val="2"/>
          <w:sz w:val="24"/>
          <w:szCs w:val="24"/>
          <w:lang w:val="en-US" w:eastAsia="zh-CN"/>
        </w:rPr>
        <w:t>Bosman FT,</w:t>
      </w:r>
      <w:r w:rsidRPr="005C7810">
        <w:rPr>
          <w:rFonts w:ascii="Book Antiqua" w:eastAsia="等线" w:hAnsi="Book Antiqua" w:cs="Times New Roman"/>
          <w:kern w:val="2"/>
          <w:sz w:val="24"/>
          <w:szCs w:val="24"/>
          <w:lang w:val="en-US" w:eastAsia="zh-CN"/>
        </w:rPr>
        <w:t xml:space="preserve"> Carneiro F, Hruban RH, Theise ND. WHO Classification of tumours of the digestive system. 4th ed. IARC: Lyon, France, 2010: 44-58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 </w:t>
      </w:r>
      <w:r w:rsidRPr="005C7810">
        <w:rPr>
          <w:rFonts w:ascii="Book Antiqua" w:eastAsia="等线" w:hAnsi="Book Antiqua" w:cs="Times New Roman"/>
          <w:b/>
          <w:kern w:val="2"/>
          <w:sz w:val="24"/>
          <w:szCs w:val="24"/>
          <w:lang w:val="en-US" w:eastAsia="zh-CN"/>
        </w:rPr>
        <w:t>Lauren P</w:t>
      </w:r>
      <w:r w:rsidRPr="005C7810">
        <w:rPr>
          <w:rFonts w:ascii="Book Antiqua" w:eastAsia="等线" w:hAnsi="Book Antiqua" w:cs="Times New Roman"/>
          <w:kern w:val="2"/>
          <w:sz w:val="24"/>
          <w:szCs w:val="24"/>
          <w:lang w:val="en-US" w:eastAsia="zh-CN"/>
        </w:rPr>
        <w:t xml:space="preserve">. The Two Histological Main Types of Gastric Carcinoma: Diffuse And So-Called Intestinal-Type Carcinoma. An Attempt at A Histo-Clinical Classification. </w:t>
      </w:r>
      <w:r w:rsidRPr="005C7810">
        <w:rPr>
          <w:rFonts w:ascii="Book Antiqua" w:eastAsia="等线" w:hAnsi="Book Antiqua" w:cs="Times New Roman"/>
          <w:i/>
          <w:kern w:val="2"/>
          <w:sz w:val="24"/>
          <w:szCs w:val="24"/>
          <w:lang w:val="en-US" w:eastAsia="zh-CN"/>
        </w:rPr>
        <w:t>Acta Pathol Microbiol Scand</w:t>
      </w:r>
      <w:r w:rsidRPr="005C7810">
        <w:rPr>
          <w:rFonts w:ascii="Book Antiqua" w:eastAsia="等线" w:hAnsi="Book Antiqua" w:cs="Times New Roman"/>
          <w:kern w:val="2"/>
          <w:sz w:val="24"/>
          <w:szCs w:val="24"/>
          <w:lang w:val="en-US" w:eastAsia="zh-CN"/>
        </w:rPr>
        <w:t xml:space="preserve"> 1965; </w:t>
      </w:r>
      <w:r w:rsidRPr="005C7810">
        <w:rPr>
          <w:rFonts w:ascii="Book Antiqua" w:eastAsia="等线" w:hAnsi="Book Antiqua" w:cs="Times New Roman"/>
          <w:b/>
          <w:kern w:val="2"/>
          <w:sz w:val="24"/>
          <w:szCs w:val="24"/>
          <w:lang w:val="en-US" w:eastAsia="zh-CN"/>
        </w:rPr>
        <w:t>64</w:t>
      </w:r>
      <w:r w:rsidRPr="005C7810">
        <w:rPr>
          <w:rFonts w:ascii="Book Antiqua" w:eastAsia="等线" w:hAnsi="Book Antiqua" w:cs="Times New Roman"/>
          <w:kern w:val="2"/>
          <w:sz w:val="24"/>
          <w:szCs w:val="24"/>
          <w:lang w:val="en-US" w:eastAsia="zh-CN"/>
        </w:rPr>
        <w:t>: 31-49 [PMID: 14320675 DOI: 10.1111/apm.1965.64.1.31]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 </w:t>
      </w:r>
      <w:r w:rsidRPr="005C7810">
        <w:rPr>
          <w:rFonts w:ascii="Book Antiqua" w:eastAsia="等线" w:hAnsi="Book Antiqua" w:cs="Times New Roman"/>
          <w:b/>
          <w:kern w:val="2"/>
          <w:sz w:val="24"/>
          <w:szCs w:val="24"/>
          <w:lang w:val="en-US" w:eastAsia="zh-CN"/>
        </w:rPr>
        <w:t>Qiu MZ</w:t>
      </w:r>
      <w:r w:rsidRPr="005C7810">
        <w:rPr>
          <w:rFonts w:ascii="Book Antiqua" w:eastAsia="等线" w:hAnsi="Book Antiqua" w:cs="Times New Roman"/>
          <w:kern w:val="2"/>
          <w:sz w:val="24"/>
          <w:szCs w:val="24"/>
          <w:lang w:val="en-US" w:eastAsia="zh-CN"/>
        </w:rPr>
        <w:t xml:space="preserve">, Cai MY, Zhang DS, Wang ZQ, Wang DS, Li YH, Xu RH. Clinicopathological characteristics and prognostic analysis of Lauren classification in gastric adenocarcinoma in China. </w:t>
      </w:r>
      <w:r w:rsidRPr="005C7810">
        <w:rPr>
          <w:rFonts w:ascii="Book Antiqua" w:eastAsia="等线" w:hAnsi="Book Antiqua" w:cs="Times New Roman"/>
          <w:i/>
          <w:kern w:val="2"/>
          <w:sz w:val="24"/>
          <w:szCs w:val="24"/>
          <w:lang w:val="en-US" w:eastAsia="zh-CN"/>
        </w:rPr>
        <w:t>J Transl Med</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11</w:t>
      </w:r>
      <w:r w:rsidRPr="005C7810">
        <w:rPr>
          <w:rFonts w:ascii="Book Antiqua" w:eastAsia="等线" w:hAnsi="Book Antiqua" w:cs="Times New Roman"/>
          <w:kern w:val="2"/>
          <w:sz w:val="24"/>
          <w:szCs w:val="24"/>
          <w:lang w:val="en-US" w:eastAsia="zh-CN"/>
        </w:rPr>
        <w:t>: 58 [PMID: 23497313 DOI: 10.1186/1479-5876-11-58]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 </w:t>
      </w:r>
      <w:r w:rsidRPr="005C7810">
        <w:rPr>
          <w:rFonts w:ascii="Book Antiqua" w:eastAsia="等线" w:hAnsi="Book Antiqua" w:cs="Times New Roman"/>
          <w:b/>
          <w:kern w:val="2"/>
          <w:sz w:val="24"/>
          <w:szCs w:val="24"/>
          <w:lang w:val="en-US" w:eastAsia="zh-CN"/>
        </w:rPr>
        <w:t>Ahn HS</w:t>
      </w:r>
      <w:r w:rsidRPr="005C7810">
        <w:rPr>
          <w:rFonts w:ascii="Book Antiqua" w:eastAsia="等线" w:hAnsi="Book Antiqua" w:cs="Times New Roman"/>
          <w:kern w:val="2"/>
          <w:sz w:val="24"/>
          <w:szCs w:val="24"/>
          <w:lang w:val="en-US" w:eastAsia="zh-CN"/>
        </w:rPr>
        <w:t xml:space="preserve">, Lee HJ, Hahn S, Kim WH, Lee KU, Sano T, Edge SB, Yang HK. Evaluation of the seventh American Joint Committee on Cancer/International Union Against Cancer Classification of gastric adenocarcinoma in comparison with the sixth classification. </w:t>
      </w:r>
      <w:r w:rsidRPr="005C7810">
        <w:rPr>
          <w:rFonts w:ascii="Book Antiqua" w:eastAsia="等线" w:hAnsi="Book Antiqua" w:cs="Times New Roman"/>
          <w:i/>
          <w:kern w:val="2"/>
          <w:sz w:val="24"/>
          <w:szCs w:val="24"/>
          <w:lang w:val="en-US" w:eastAsia="zh-CN"/>
        </w:rPr>
        <w:t>Cancer</w:t>
      </w:r>
      <w:r w:rsidRPr="005C7810">
        <w:rPr>
          <w:rFonts w:ascii="Book Antiqua" w:eastAsia="等线" w:hAnsi="Book Antiqua" w:cs="Times New Roman"/>
          <w:kern w:val="2"/>
          <w:sz w:val="24"/>
          <w:szCs w:val="24"/>
          <w:lang w:val="en-US" w:eastAsia="zh-CN"/>
        </w:rPr>
        <w:t xml:space="preserve"> 2010; </w:t>
      </w:r>
      <w:r w:rsidRPr="005C7810">
        <w:rPr>
          <w:rFonts w:ascii="Book Antiqua" w:eastAsia="等线" w:hAnsi="Book Antiqua" w:cs="Times New Roman"/>
          <w:b/>
          <w:kern w:val="2"/>
          <w:sz w:val="24"/>
          <w:szCs w:val="24"/>
          <w:lang w:val="en-US" w:eastAsia="zh-CN"/>
        </w:rPr>
        <w:t>116</w:t>
      </w:r>
      <w:r w:rsidRPr="005C7810">
        <w:rPr>
          <w:rFonts w:ascii="Book Antiqua" w:eastAsia="等线" w:hAnsi="Book Antiqua" w:cs="Times New Roman"/>
          <w:kern w:val="2"/>
          <w:sz w:val="24"/>
          <w:szCs w:val="24"/>
          <w:lang w:val="en-US" w:eastAsia="zh-CN"/>
        </w:rPr>
        <w:t>: 5592-5598 [PMID: 20737569 DOI: 10.1002/cncr.25550]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 </w:t>
      </w:r>
      <w:r w:rsidRPr="005C7810">
        <w:rPr>
          <w:rFonts w:ascii="Book Antiqua" w:eastAsia="等线" w:hAnsi="Book Antiqua" w:cs="Times New Roman"/>
          <w:b/>
          <w:kern w:val="2"/>
          <w:sz w:val="24"/>
          <w:szCs w:val="24"/>
          <w:lang w:val="en-US" w:eastAsia="zh-CN"/>
        </w:rPr>
        <w:t>Laurén PA</w:t>
      </w:r>
      <w:r w:rsidRPr="005C7810">
        <w:rPr>
          <w:rFonts w:ascii="Book Antiqua" w:eastAsia="等线" w:hAnsi="Book Antiqua" w:cs="Times New Roman"/>
          <w:kern w:val="2"/>
          <w:sz w:val="24"/>
          <w:szCs w:val="24"/>
          <w:lang w:val="en-US" w:eastAsia="zh-CN"/>
        </w:rPr>
        <w:t xml:space="preserve">, Nevalainen TJ. Epidemiology of intestinal and diffuse types of gastric carcinoma. A time-trend study in Finland with comparison between studies from high- and low-risk areas. </w:t>
      </w:r>
      <w:r w:rsidRPr="005C7810">
        <w:rPr>
          <w:rFonts w:ascii="Book Antiqua" w:eastAsia="等线" w:hAnsi="Book Antiqua" w:cs="Times New Roman"/>
          <w:i/>
          <w:kern w:val="2"/>
          <w:sz w:val="24"/>
          <w:szCs w:val="24"/>
          <w:lang w:val="en-US" w:eastAsia="zh-CN"/>
        </w:rPr>
        <w:t>Cancer</w:t>
      </w:r>
      <w:r w:rsidRPr="005C7810">
        <w:rPr>
          <w:rFonts w:ascii="Book Antiqua" w:eastAsia="等线" w:hAnsi="Book Antiqua" w:cs="Times New Roman"/>
          <w:kern w:val="2"/>
          <w:sz w:val="24"/>
          <w:szCs w:val="24"/>
          <w:lang w:val="en-US" w:eastAsia="zh-CN"/>
        </w:rPr>
        <w:t xml:space="preserve"> 1993; </w:t>
      </w:r>
      <w:r w:rsidRPr="005C7810">
        <w:rPr>
          <w:rFonts w:ascii="Book Antiqua" w:eastAsia="等线" w:hAnsi="Book Antiqua" w:cs="Times New Roman"/>
          <w:b/>
          <w:kern w:val="2"/>
          <w:sz w:val="24"/>
          <w:szCs w:val="24"/>
          <w:lang w:val="en-US" w:eastAsia="zh-CN"/>
        </w:rPr>
        <w:t>71</w:t>
      </w:r>
      <w:r w:rsidRPr="005C7810">
        <w:rPr>
          <w:rFonts w:ascii="Book Antiqua" w:eastAsia="等线" w:hAnsi="Book Antiqua" w:cs="Times New Roman"/>
          <w:kern w:val="2"/>
          <w:sz w:val="24"/>
          <w:szCs w:val="24"/>
          <w:lang w:val="en-US" w:eastAsia="zh-CN"/>
        </w:rPr>
        <w:t>: 2926-2933 [PMID: 8490820 DOI: 10.1002/1097-0142(19930515)71:10&lt;2926::AID-CNCR2820711007&gt;3.0.CO;2-X]</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 </w:t>
      </w:r>
      <w:r w:rsidRPr="005C7810">
        <w:rPr>
          <w:rFonts w:ascii="Book Antiqua" w:eastAsia="等线" w:hAnsi="Book Antiqua" w:cs="Times New Roman"/>
          <w:b/>
          <w:kern w:val="2"/>
          <w:sz w:val="24"/>
          <w:szCs w:val="24"/>
          <w:lang w:val="en-US" w:eastAsia="zh-CN"/>
        </w:rPr>
        <w:t>Ribeiro MM</w:t>
      </w:r>
      <w:r w:rsidRPr="005C7810">
        <w:rPr>
          <w:rFonts w:ascii="Book Antiqua" w:eastAsia="等线" w:hAnsi="Book Antiqua" w:cs="Times New Roman"/>
          <w:kern w:val="2"/>
          <w:sz w:val="24"/>
          <w:szCs w:val="24"/>
          <w:lang w:val="en-US" w:eastAsia="zh-CN"/>
        </w:rPr>
        <w:t xml:space="preserve">, Sarmento JA, Sobrinho Simões MA, Bastos J. Prognostic significance of Lauren and Ming classifications and other pathologic parameters in gastric carcinoma. </w:t>
      </w:r>
      <w:r w:rsidRPr="005C7810">
        <w:rPr>
          <w:rFonts w:ascii="Book Antiqua" w:eastAsia="等线" w:hAnsi="Book Antiqua" w:cs="Times New Roman"/>
          <w:i/>
          <w:kern w:val="2"/>
          <w:sz w:val="24"/>
          <w:szCs w:val="24"/>
          <w:lang w:val="en-US" w:eastAsia="zh-CN"/>
        </w:rPr>
        <w:t>Cancer</w:t>
      </w:r>
      <w:r w:rsidRPr="005C7810">
        <w:rPr>
          <w:rFonts w:ascii="Book Antiqua" w:eastAsia="等线" w:hAnsi="Book Antiqua" w:cs="Times New Roman"/>
          <w:kern w:val="2"/>
          <w:sz w:val="24"/>
          <w:szCs w:val="24"/>
          <w:lang w:val="en-US" w:eastAsia="zh-CN"/>
        </w:rPr>
        <w:t xml:space="preserve"> 1981; </w:t>
      </w:r>
      <w:r w:rsidRPr="005C7810">
        <w:rPr>
          <w:rFonts w:ascii="Book Antiqua" w:eastAsia="等线" w:hAnsi="Book Antiqua" w:cs="Times New Roman"/>
          <w:b/>
          <w:kern w:val="2"/>
          <w:sz w:val="24"/>
          <w:szCs w:val="24"/>
          <w:lang w:val="en-US" w:eastAsia="zh-CN"/>
        </w:rPr>
        <w:t>47</w:t>
      </w:r>
      <w:r w:rsidRPr="005C7810">
        <w:rPr>
          <w:rFonts w:ascii="Book Antiqua" w:eastAsia="等线" w:hAnsi="Book Antiqua" w:cs="Times New Roman"/>
          <w:kern w:val="2"/>
          <w:sz w:val="24"/>
          <w:szCs w:val="24"/>
          <w:lang w:val="en-US" w:eastAsia="zh-CN"/>
        </w:rPr>
        <w:t>: 780-784 [PMID: 7226025 DOI: 10.1002/1097-0142(19810215)47:4&lt;780::AID-CNCR2820470424&gt;3.0.CO;2-G]</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 </w:t>
      </w:r>
      <w:r w:rsidRPr="005C7810">
        <w:rPr>
          <w:rFonts w:ascii="Book Antiqua" w:eastAsia="等线" w:hAnsi="Book Antiqua" w:cs="Times New Roman"/>
          <w:b/>
          <w:kern w:val="2"/>
          <w:sz w:val="24"/>
          <w:szCs w:val="24"/>
          <w:lang w:val="en-US" w:eastAsia="zh-CN"/>
        </w:rPr>
        <w:t>Amorosi A</w:t>
      </w:r>
      <w:r w:rsidRPr="005C7810">
        <w:rPr>
          <w:rFonts w:ascii="Book Antiqua" w:eastAsia="等线" w:hAnsi="Book Antiqua" w:cs="Times New Roman"/>
          <w:kern w:val="2"/>
          <w:sz w:val="24"/>
          <w:szCs w:val="24"/>
          <w:lang w:val="en-US" w:eastAsia="zh-CN"/>
        </w:rPr>
        <w:t xml:space="preserve">, Bianchi S, Buiatti E, Cipriani F, Palli D, Zampi G. Gastric cancer in a high-risk area in Italy. Histopathologic patterns according to Lauren's classification. </w:t>
      </w:r>
      <w:r w:rsidRPr="005C7810">
        <w:rPr>
          <w:rFonts w:ascii="Book Antiqua" w:eastAsia="等线" w:hAnsi="Book Antiqua" w:cs="Times New Roman"/>
          <w:i/>
          <w:kern w:val="2"/>
          <w:sz w:val="24"/>
          <w:szCs w:val="24"/>
          <w:lang w:val="en-US" w:eastAsia="zh-CN"/>
        </w:rPr>
        <w:t>Cancer</w:t>
      </w:r>
      <w:r w:rsidRPr="005C7810">
        <w:rPr>
          <w:rFonts w:ascii="Book Antiqua" w:eastAsia="等线" w:hAnsi="Book Antiqua" w:cs="Times New Roman"/>
          <w:kern w:val="2"/>
          <w:sz w:val="24"/>
          <w:szCs w:val="24"/>
          <w:lang w:val="en-US" w:eastAsia="zh-CN"/>
        </w:rPr>
        <w:t xml:space="preserve"> 1988; </w:t>
      </w:r>
      <w:r w:rsidRPr="005C7810">
        <w:rPr>
          <w:rFonts w:ascii="Book Antiqua" w:eastAsia="等线" w:hAnsi="Book Antiqua" w:cs="Times New Roman"/>
          <w:b/>
          <w:kern w:val="2"/>
          <w:sz w:val="24"/>
          <w:szCs w:val="24"/>
          <w:lang w:val="en-US" w:eastAsia="zh-CN"/>
        </w:rPr>
        <w:t>62</w:t>
      </w:r>
      <w:r w:rsidRPr="005C7810">
        <w:rPr>
          <w:rFonts w:ascii="Book Antiqua" w:eastAsia="等线" w:hAnsi="Book Antiqua" w:cs="Times New Roman"/>
          <w:kern w:val="2"/>
          <w:sz w:val="24"/>
          <w:szCs w:val="24"/>
          <w:lang w:val="en-US" w:eastAsia="zh-CN"/>
        </w:rPr>
        <w:t>: 2191-2196 [PMID: 3179931 DOI: 10.1002/1097-0142(19881115)62:10&lt;2191::AID-CNCR2820621020&gt;3.0.CO;2-5]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 </w:t>
      </w:r>
      <w:r w:rsidRPr="005C7810">
        <w:rPr>
          <w:rFonts w:ascii="Book Antiqua" w:eastAsia="等线" w:hAnsi="Book Antiqua" w:cs="Times New Roman"/>
          <w:b/>
          <w:kern w:val="2"/>
          <w:sz w:val="24"/>
          <w:szCs w:val="24"/>
          <w:lang w:val="en-US" w:eastAsia="zh-CN"/>
        </w:rPr>
        <w:t>Karlberg BE</w:t>
      </w:r>
      <w:r w:rsidRPr="005C7810">
        <w:rPr>
          <w:rFonts w:ascii="Book Antiqua" w:eastAsia="等线" w:hAnsi="Book Antiqua" w:cs="Times New Roman"/>
          <w:kern w:val="2"/>
          <w:sz w:val="24"/>
          <w:szCs w:val="24"/>
          <w:lang w:val="en-US" w:eastAsia="zh-CN"/>
        </w:rPr>
        <w:t xml:space="preserve">, Thulin T, Fagerberg SE, Schersten B, Tolagen K, Vikesdal O, Malmberg L. Effects of prazosin on plasma renin activity and blood pressure. </w:t>
      </w:r>
      <w:r w:rsidRPr="005C7810">
        <w:rPr>
          <w:rFonts w:ascii="Book Antiqua" w:eastAsia="等线" w:hAnsi="Book Antiqua" w:cs="Times New Roman"/>
          <w:i/>
          <w:kern w:val="2"/>
          <w:sz w:val="24"/>
          <w:szCs w:val="24"/>
          <w:lang w:val="en-US" w:eastAsia="zh-CN"/>
        </w:rPr>
        <w:t>J Clin Pharmacol</w:t>
      </w:r>
      <w:r w:rsidRPr="005C7810">
        <w:rPr>
          <w:rFonts w:ascii="Book Antiqua" w:eastAsia="等线" w:hAnsi="Book Antiqua" w:cs="Times New Roman"/>
          <w:kern w:val="2"/>
          <w:sz w:val="24"/>
          <w:szCs w:val="24"/>
          <w:lang w:val="en-US" w:eastAsia="zh-CN"/>
        </w:rPr>
        <w:t xml:space="preserve"> 1979; </w:t>
      </w:r>
      <w:r w:rsidRPr="005C7810">
        <w:rPr>
          <w:rFonts w:ascii="Book Antiqua" w:eastAsia="等线" w:hAnsi="Book Antiqua" w:cs="Times New Roman"/>
          <w:b/>
          <w:kern w:val="2"/>
          <w:sz w:val="24"/>
          <w:szCs w:val="24"/>
          <w:lang w:val="en-US" w:eastAsia="zh-CN"/>
        </w:rPr>
        <w:t>19</w:t>
      </w:r>
      <w:r w:rsidRPr="005C7810">
        <w:rPr>
          <w:rFonts w:ascii="Book Antiqua" w:eastAsia="等线" w:hAnsi="Book Antiqua" w:cs="Times New Roman"/>
          <w:kern w:val="2"/>
          <w:sz w:val="24"/>
          <w:szCs w:val="24"/>
          <w:lang w:val="en-US" w:eastAsia="zh-CN"/>
        </w:rPr>
        <w:t>: 357-365 [PMID: 479380 DOI: 10.1016/S0344-0338(11)80878-2]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22 </w:t>
      </w:r>
      <w:r w:rsidRPr="005C7810">
        <w:rPr>
          <w:rFonts w:ascii="Book Antiqua" w:eastAsia="等线" w:hAnsi="Book Antiqua" w:cs="Times New Roman"/>
          <w:b/>
          <w:kern w:val="2"/>
          <w:sz w:val="24"/>
          <w:szCs w:val="24"/>
          <w:lang w:val="en-US" w:eastAsia="zh-CN"/>
        </w:rPr>
        <w:t>Miura JT</w:t>
      </w:r>
      <w:r w:rsidRPr="005C7810">
        <w:rPr>
          <w:rFonts w:ascii="Book Antiqua" w:eastAsia="等线" w:hAnsi="Book Antiqua" w:cs="Times New Roman"/>
          <w:kern w:val="2"/>
          <w:sz w:val="24"/>
          <w:szCs w:val="24"/>
          <w:lang w:val="en-US" w:eastAsia="zh-CN"/>
        </w:rPr>
        <w:t xml:space="preserve">, Xiu J, Thomas J, George B, Carron BR, Tsai S, Johnston FM, Turaga KK, Gamblin TC. Tumor profiling of gastric and esophageal carcinoma reveal different treatment options. </w:t>
      </w:r>
      <w:r w:rsidRPr="005C7810">
        <w:rPr>
          <w:rFonts w:ascii="Book Antiqua" w:eastAsia="等线" w:hAnsi="Book Antiqua" w:cs="Times New Roman"/>
          <w:i/>
          <w:kern w:val="2"/>
          <w:sz w:val="24"/>
          <w:szCs w:val="24"/>
          <w:lang w:val="en-US" w:eastAsia="zh-CN"/>
        </w:rPr>
        <w:t>Cancer Biol Ther</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16</w:t>
      </w:r>
      <w:r w:rsidRPr="005C7810">
        <w:rPr>
          <w:rFonts w:ascii="Book Antiqua" w:eastAsia="等线" w:hAnsi="Book Antiqua" w:cs="Times New Roman"/>
          <w:kern w:val="2"/>
          <w:sz w:val="24"/>
          <w:szCs w:val="24"/>
          <w:lang w:val="en-US" w:eastAsia="zh-CN"/>
        </w:rPr>
        <w:t>: 764-769 [PMID: 25778705 DOI: 10.1080/15384047.2015.1026479]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23 </w:t>
      </w:r>
      <w:r w:rsidRPr="005C7810">
        <w:rPr>
          <w:rFonts w:ascii="Book Antiqua" w:eastAsia="等线" w:hAnsi="Book Antiqua" w:cs="Times New Roman"/>
          <w:b/>
          <w:kern w:val="2"/>
          <w:sz w:val="24"/>
          <w:szCs w:val="24"/>
          <w:lang w:val="en-US" w:eastAsia="zh-CN"/>
        </w:rPr>
        <w:t>Deng N</w:t>
      </w:r>
      <w:r w:rsidRPr="005C7810">
        <w:rPr>
          <w:rFonts w:ascii="Book Antiqua" w:eastAsia="等线" w:hAnsi="Book Antiqua" w:cs="Times New Roman"/>
          <w:kern w:val="2"/>
          <w:sz w:val="24"/>
          <w:szCs w:val="24"/>
          <w:lang w:val="en-US" w:eastAsia="zh-CN"/>
        </w:rPr>
        <w:t xml:space="preserve">, Goh LK, Wang H, Das K, Tao J, Tan IB, Zhang S, Lee M, Wu J, Lim KH, Lei Z, Goh G, Lim QY, Tan AL, Sin Poh DY, Riahi S, Bell S, Shi MM, Linnartz R, Zhu F, Yeoh KG, Toh HC, Yong WP, Cheong HC, Rha SY, Boussioutas A, Grabsch H, Rozen S, Tan P. A comprehensive survey of genomic alterations in gastric cancer reveals systematic patterns of molecular exclusivity and co-occurrence among distinct therapeutic targets. </w:t>
      </w:r>
      <w:r w:rsidRPr="005C7810">
        <w:rPr>
          <w:rFonts w:ascii="Book Antiqua" w:eastAsia="等线" w:hAnsi="Book Antiqua" w:cs="Times New Roman"/>
          <w:i/>
          <w:kern w:val="2"/>
          <w:sz w:val="24"/>
          <w:szCs w:val="24"/>
          <w:lang w:val="en-US" w:eastAsia="zh-CN"/>
        </w:rPr>
        <w:t>Gut</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61</w:t>
      </w:r>
      <w:r w:rsidRPr="005C7810">
        <w:rPr>
          <w:rFonts w:ascii="Book Antiqua" w:eastAsia="等线" w:hAnsi="Book Antiqua" w:cs="Times New Roman"/>
          <w:kern w:val="2"/>
          <w:sz w:val="24"/>
          <w:szCs w:val="24"/>
          <w:lang w:val="en-US" w:eastAsia="zh-CN"/>
        </w:rPr>
        <w:t>: 673-684 [PMID: 22315472 DOI: 10.1136/gutjnl-2011-301839]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24 </w:t>
      </w:r>
      <w:r w:rsidRPr="005C7810">
        <w:rPr>
          <w:rFonts w:ascii="Book Antiqua" w:eastAsia="等线" w:hAnsi="Book Antiqua" w:cs="Times New Roman"/>
          <w:b/>
          <w:kern w:val="2"/>
          <w:sz w:val="24"/>
          <w:szCs w:val="24"/>
          <w:lang w:val="en-US" w:eastAsia="zh-CN"/>
        </w:rPr>
        <w:t>Ali SM</w:t>
      </w:r>
      <w:r w:rsidRPr="005C7810">
        <w:rPr>
          <w:rFonts w:ascii="Book Antiqua" w:eastAsia="等线" w:hAnsi="Book Antiqua" w:cs="Times New Roman"/>
          <w:kern w:val="2"/>
          <w:sz w:val="24"/>
          <w:szCs w:val="24"/>
          <w:lang w:val="en-US" w:eastAsia="zh-CN"/>
        </w:rPr>
        <w:t xml:space="preserve">, Sanford EM, Klempner SJ, Rubinson DA, Wang K, Palma NA, Chmielecki J, Yelensky R, Palmer GA, Morosini D, Lipson D, Catenacci DV, Braiteh F, Erlich R, Stephens PJ, Ross JS, Ou SH, Miller VA. Prospective comprehensive genomic profiling of advanced gastric carcinoma cases reveals frequent clinically relevant genomic alterations and new routes for targeted therapies. </w:t>
      </w:r>
      <w:r w:rsidRPr="005C7810">
        <w:rPr>
          <w:rFonts w:ascii="Book Antiqua" w:eastAsia="等线" w:hAnsi="Book Antiqua" w:cs="Times New Roman"/>
          <w:i/>
          <w:kern w:val="2"/>
          <w:sz w:val="24"/>
          <w:szCs w:val="24"/>
          <w:lang w:val="en-US" w:eastAsia="zh-CN"/>
        </w:rPr>
        <w:t>Oncologist</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20</w:t>
      </w:r>
      <w:r w:rsidRPr="005C7810">
        <w:rPr>
          <w:rFonts w:ascii="Book Antiqua" w:eastAsia="等线" w:hAnsi="Book Antiqua" w:cs="Times New Roman"/>
          <w:kern w:val="2"/>
          <w:sz w:val="24"/>
          <w:szCs w:val="24"/>
          <w:lang w:val="en-US" w:eastAsia="zh-CN"/>
        </w:rPr>
        <w:t>: 499-507 [PMID: 25882375 DOI: 10.1634/theoncologist.2014-0378]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25 </w:t>
      </w:r>
      <w:r w:rsidRPr="005C7810">
        <w:rPr>
          <w:rFonts w:ascii="Book Antiqua" w:eastAsia="等线" w:hAnsi="Book Antiqua" w:cs="Times New Roman"/>
          <w:b/>
          <w:kern w:val="2"/>
          <w:sz w:val="24"/>
          <w:szCs w:val="24"/>
          <w:lang w:val="en-US" w:eastAsia="zh-CN"/>
        </w:rPr>
        <w:t>Luo B</w:t>
      </w:r>
      <w:r w:rsidRPr="005C7810">
        <w:rPr>
          <w:rFonts w:ascii="Book Antiqua" w:eastAsia="等线" w:hAnsi="Book Antiqua" w:cs="Times New Roman"/>
          <w:kern w:val="2"/>
          <w:sz w:val="24"/>
          <w:szCs w:val="24"/>
          <w:lang w:val="en-US" w:eastAsia="zh-CN"/>
        </w:rPr>
        <w:t xml:space="preserve">, Wang Y, Wang XF, Liang H, Yan LP, Huang BH, Zhao P. Expression of Epstein-Barr virus genes in EBV-associated gastric carcinomas. </w:t>
      </w:r>
      <w:r w:rsidRPr="005C7810">
        <w:rPr>
          <w:rFonts w:ascii="Book Antiqua" w:eastAsia="等线" w:hAnsi="Book Antiqua" w:cs="Times New Roman"/>
          <w:i/>
          <w:kern w:val="2"/>
          <w:sz w:val="24"/>
          <w:szCs w:val="24"/>
          <w:lang w:val="en-US" w:eastAsia="zh-CN"/>
        </w:rPr>
        <w:t>World J Gastroenterol</w:t>
      </w:r>
      <w:r w:rsidRPr="005C7810">
        <w:rPr>
          <w:rFonts w:ascii="Book Antiqua" w:eastAsia="等线" w:hAnsi="Book Antiqua" w:cs="Times New Roman"/>
          <w:kern w:val="2"/>
          <w:sz w:val="24"/>
          <w:szCs w:val="24"/>
          <w:lang w:val="en-US" w:eastAsia="zh-CN"/>
        </w:rPr>
        <w:t xml:space="preserve"> 2005; </w:t>
      </w:r>
      <w:r w:rsidRPr="005C7810">
        <w:rPr>
          <w:rFonts w:ascii="Book Antiqua" w:eastAsia="等线" w:hAnsi="Book Antiqua" w:cs="Times New Roman"/>
          <w:b/>
          <w:kern w:val="2"/>
          <w:sz w:val="24"/>
          <w:szCs w:val="24"/>
          <w:lang w:val="en-US" w:eastAsia="zh-CN"/>
        </w:rPr>
        <w:t>11</w:t>
      </w:r>
      <w:r w:rsidRPr="005C7810">
        <w:rPr>
          <w:rFonts w:ascii="Book Antiqua" w:eastAsia="等线" w:hAnsi="Book Antiqua" w:cs="Times New Roman"/>
          <w:kern w:val="2"/>
          <w:sz w:val="24"/>
          <w:szCs w:val="24"/>
          <w:lang w:val="en-US" w:eastAsia="zh-CN"/>
        </w:rPr>
        <w:t>: 629-633 [PMID: 15655811 DOI</w:t>
      </w:r>
      <w:r w:rsidRPr="005C7810">
        <w:rPr>
          <w:rFonts w:ascii="Book Antiqua" w:eastAsia="等线" w:hAnsi="Book Antiqua" w:cs="Times New Roman" w:hint="eastAsia"/>
          <w:kern w:val="2"/>
          <w:sz w:val="24"/>
          <w:szCs w:val="24"/>
          <w:lang w:val="en-US" w:eastAsia="zh-CN"/>
        </w:rPr>
        <w:t>:</w:t>
      </w:r>
      <w:r w:rsidRPr="005C7810">
        <w:rPr>
          <w:rFonts w:ascii="Book Antiqua" w:eastAsia="等线" w:hAnsi="Book Antiqua" w:cs="Times New Roman"/>
          <w:kern w:val="2"/>
          <w:sz w:val="24"/>
          <w:szCs w:val="24"/>
          <w:lang w:val="en-US" w:eastAsia="zh-CN"/>
        </w:rPr>
        <w:t xml:space="preserve"> 10.3748/wjg.v11.i5.629]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26 </w:t>
      </w:r>
      <w:r w:rsidRPr="005C7810">
        <w:rPr>
          <w:rFonts w:ascii="Book Antiqua" w:eastAsia="等线" w:hAnsi="Book Antiqua" w:cs="Times New Roman"/>
          <w:b/>
          <w:kern w:val="2"/>
          <w:sz w:val="24"/>
          <w:szCs w:val="24"/>
          <w:lang w:val="en-US" w:eastAsia="zh-CN"/>
        </w:rPr>
        <w:t>Lee JH</w:t>
      </w:r>
      <w:r w:rsidRPr="005C7810">
        <w:rPr>
          <w:rFonts w:ascii="Book Antiqua" w:eastAsia="等线" w:hAnsi="Book Antiqua" w:cs="Times New Roman"/>
          <w:kern w:val="2"/>
          <w:sz w:val="24"/>
          <w:szCs w:val="24"/>
          <w:lang w:val="en-US" w:eastAsia="zh-CN"/>
        </w:rPr>
        <w:t xml:space="preserve">, Kim SH, Han SH, An JS, Lee ES, Kim YS. Clinicopathological and molecular characteristics of Epstein-Barr virus-associated gastric carcinoma: a meta-analysis. </w:t>
      </w:r>
      <w:r w:rsidRPr="005C7810">
        <w:rPr>
          <w:rFonts w:ascii="Book Antiqua" w:eastAsia="等线" w:hAnsi="Book Antiqua" w:cs="Times New Roman"/>
          <w:i/>
          <w:kern w:val="2"/>
          <w:sz w:val="24"/>
          <w:szCs w:val="24"/>
          <w:lang w:val="en-US" w:eastAsia="zh-CN"/>
        </w:rPr>
        <w:t>J Gastroenterol Hepatol</w:t>
      </w:r>
      <w:r w:rsidRPr="005C7810">
        <w:rPr>
          <w:rFonts w:ascii="Book Antiqua" w:eastAsia="等线" w:hAnsi="Book Antiqua" w:cs="Times New Roman"/>
          <w:kern w:val="2"/>
          <w:sz w:val="24"/>
          <w:szCs w:val="24"/>
          <w:lang w:val="en-US" w:eastAsia="zh-CN"/>
        </w:rPr>
        <w:t xml:space="preserve"> 2009; </w:t>
      </w:r>
      <w:r w:rsidRPr="005C7810">
        <w:rPr>
          <w:rFonts w:ascii="Book Antiqua" w:eastAsia="等线" w:hAnsi="Book Antiqua" w:cs="Times New Roman"/>
          <w:b/>
          <w:kern w:val="2"/>
          <w:sz w:val="24"/>
          <w:szCs w:val="24"/>
          <w:lang w:val="en-US" w:eastAsia="zh-CN"/>
        </w:rPr>
        <w:t>24</w:t>
      </w:r>
      <w:r w:rsidRPr="005C7810">
        <w:rPr>
          <w:rFonts w:ascii="Book Antiqua" w:eastAsia="等线" w:hAnsi="Book Antiqua" w:cs="Times New Roman"/>
          <w:kern w:val="2"/>
          <w:sz w:val="24"/>
          <w:szCs w:val="24"/>
          <w:lang w:val="en-US" w:eastAsia="zh-CN"/>
        </w:rPr>
        <w:t>: 354-365 [PMID: 19335785 DOI: 10.1111/j.1440-1746.2009.05775.x]</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27 </w:t>
      </w:r>
      <w:r w:rsidRPr="005C7810">
        <w:rPr>
          <w:rFonts w:ascii="Book Antiqua" w:eastAsia="等线" w:hAnsi="Book Antiqua" w:cs="Times New Roman"/>
          <w:b/>
          <w:kern w:val="2"/>
          <w:sz w:val="24"/>
          <w:szCs w:val="24"/>
          <w:lang w:val="en-US" w:eastAsia="zh-CN"/>
        </w:rPr>
        <w:t>Geddert H</w:t>
      </w:r>
      <w:r w:rsidRPr="005C7810">
        <w:rPr>
          <w:rFonts w:ascii="Book Antiqua" w:eastAsia="等线" w:hAnsi="Book Antiqua" w:cs="Times New Roman"/>
          <w:kern w:val="2"/>
          <w:sz w:val="24"/>
          <w:szCs w:val="24"/>
          <w:lang w:val="en-US" w:eastAsia="zh-CN"/>
        </w:rPr>
        <w:t xml:space="preserve">, Zur Hausen A, Gabbert HE, Sarbia M. EBV-infection in cardiac and non-cardiac gastric adenocarcinomas is associated with promoter methylation of p16, p14 and APC, but not hMLH1. </w:t>
      </w:r>
      <w:r w:rsidRPr="005C7810">
        <w:rPr>
          <w:rFonts w:ascii="Book Antiqua" w:eastAsia="等线" w:hAnsi="Book Antiqua" w:cs="Times New Roman"/>
          <w:i/>
          <w:kern w:val="2"/>
          <w:sz w:val="24"/>
          <w:szCs w:val="24"/>
          <w:lang w:val="en-US" w:eastAsia="zh-CN"/>
        </w:rPr>
        <w:t>Anal Cell Pathol (Amst)</w:t>
      </w:r>
      <w:r w:rsidRPr="005C7810">
        <w:rPr>
          <w:rFonts w:ascii="Book Antiqua" w:eastAsia="等线" w:hAnsi="Book Antiqua" w:cs="Times New Roman"/>
          <w:kern w:val="2"/>
          <w:sz w:val="24"/>
          <w:szCs w:val="24"/>
          <w:lang w:val="en-US" w:eastAsia="zh-CN"/>
        </w:rPr>
        <w:t xml:space="preserve"> 2010; </w:t>
      </w:r>
      <w:r w:rsidRPr="005C7810">
        <w:rPr>
          <w:rFonts w:ascii="Book Antiqua" w:eastAsia="等线" w:hAnsi="Book Antiqua" w:cs="Times New Roman"/>
          <w:b/>
          <w:kern w:val="2"/>
          <w:sz w:val="24"/>
          <w:szCs w:val="24"/>
          <w:lang w:val="en-US" w:eastAsia="zh-CN"/>
        </w:rPr>
        <w:t>33</w:t>
      </w:r>
      <w:r w:rsidRPr="005C7810">
        <w:rPr>
          <w:rFonts w:ascii="Book Antiqua" w:eastAsia="等线" w:hAnsi="Book Antiqua" w:cs="Times New Roman"/>
          <w:kern w:val="2"/>
          <w:sz w:val="24"/>
          <w:szCs w:val="24"/>
          <w:lang w:val="en-US" w:eastAsia="zh-CN"/>
        </w:rPr>
        <w:t>: 143-149 [PMID: 20978327 DOI: 10.3233/ACP-CLO-2010-0540]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28 </w:t>
      </w:r>
      <w:r w:rsidRPr="005C7810">
        <w:rPr>
          <w:rFonts w:ascii="Book Antiqua" w:eastAsia="等线" w:hAnsi="Book Antiqua" w:cs="Times New Roman"/>
          <w:b/>
          <w:kern w:val="2"/>
          <w:sz w:val="24"/>
          <w:szCs w:val="24"/>
          <w:lang w:val="en-US" w:eastAsia="zh-CN"/>
        </w:rPr>
        <w:t>Lee J</w:t>
      </w:r>
      <w:r w:rsidRPr="005C7810">
        <w:rPr>
          <w:rFonts w:ascii="Book Antiqua" w:eastAsia="等线" w:hAnsi="Book Antiqua" w:cs="Times New Roman"/>
          <w:kern w:val="2"/>
          <w:sz w:val="24"/>
          <w:szCs w:val="24"/>
          <w:lang w:val="en-US" w:eastAsia="zh-CN"/>
        </w:rPr>
        <w:t xml:space="preserve">, van Hummelen P, Go C, Palescandolo E, Jang J, Park HY, Kang SY, Park JO, Kang WK, MacConaill L, Kim KM. High-throughput mutation profiling identifies frequent somatic mutations in advanced gastric adenocarcinoma. </w:t>
      </w:r>
      <w:r w:rsidRPr="005C7810">
        <w:rPr>
          <w:rFonts w:ascii="Book Antiqua" w:eastAsia="等线" w:hAnsi="Book Antiqua" w:cs="Times New Roman"/>
          <w:i/>
          <w:kern w:val="2"/>
          <w:sz w:val="24"/>
          <w:szCs w:val="24"/>
          <w:lang w:val="en-US" w:eastAsia="zh-CN"/>
        </w:rPr>
        <w:t>PLoS One</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7</w:t>
      </w:r>
      <w:r w:rsidRPr="005C7810">
        <w:rPr>
          <w:rFonts w:ascii="Book Antiqua" w:eastAsia="等线" w:hAnsi="Book Antiqua" w:cs="Times New Roman"/>
          <w:kern w:val="2"/>
          <w:sz w:val="24"/>
          <w:szCs w:val="24"/>
          <w:lang w:val="en-US" w:eastAsia="zh-CN"/>
        </w:rPr>
        <w:t>: e38892 [PMID: 22723903 DOI: 10.1371/journal.pone.0038892]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29 </w:t>
      </w:r>
      <w:r w:rsidRPr="005C7810">
        <w:rPr>
          <w:rFonts w:ascii="Book Antiqua" w:eastAsia="等线" w:hAnsi="Book Antiqua" w:cs="Times New Roman"/>
          <w:b/>
          <w:kern w:val="2"/>
          <w:sz w:val="24"/>
          <w:szCs w:val="24"/>
          <w:lang w:val="en-US" w:eastAsia="zh-CN"/>
        </w:rPr>
        <w:t>Cancer Genome Atlas Research Network.</w:t>
      </w:r>
      <w:r w:rsidRPr="005C7810">
        <w:rPr>
          <w:rFonts w:ascii="Book Antiqua" w:eastAsia="等线" w:hAnsi="Book Antiqua" w:cs="Times New Roman"/>
          <w:kern w:val="2"/>
          <w:sz w:val="24"/>
          <w:szCs w:val="24"/>
          <w:lang w:val="en-US" w:eastAsia="zh-CN"/>
        </w:rPr>
        <w:t xml:space="preserve"> Comprehensive molecular characterization of gastric adenocarcinoma. </w:t>
      </w:r>
      <w:r w:rsidRPr="005C7810">
        <w:rPr>
          <w:rFonts w:ascii="Book Antiqua" w:eastAsia="等线" w:hAnsi="Book Antiqua" w:cs="Times New Roman"/>
          <w:i/>
          <w:kern w:val="2"/>
          <w:sz w:val="24"/>
          <w:szCs w:val="24"/>
          <w:lang w:val="en-US" w:eastAsia="zh-CN"/>
        </w:rPr>
        <w:t>Nature</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513</w:t>
      </w:r>
      <w:r w:rsidRPr="005C7810">
        <w:rPr>
          <w:rFonts w:ascii="Book Antiqua" w:eastAsia="等线" w:hAnsi="Book Antiqua" w:cs="Times New Roman"/>
          <w:kern w:val="2"/>
          <w:sz w:val="24"/>
          <w:szCs w:val="24"/>
          <w:lang w:val="en-US" w:eastAsia="zh-CN"/>
        </w:rPr>
        <w:t>: 202-209 [PMID: 25079317 DOI: 10.1038/nature13480]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30 </w:t>
      </w:r>
      <w:r w:rsidRPr="005C7810">
        <w:rPr>
          <w:rFonts w:ascii="Book Antiqua" w:eastAsia="等线" w:hAnsi="Book Antiqua" w:cs="Times New Roman"/>
          <w:b/>
          <w:kern w:val="2"/>
          <w:sz w:val="24"/>
          <w:szCs w:val="24"/>
          <w:lang w:val="en-US" w:eastAsia="zh-CN"/>
        </w:rPr>
        <w:t>Muro K,</w:t>
      </w:r>
      <w:r w:rsidRPr="005C7810">
        <w:rPr>
          <w:rFonts w:ascii="Book Antiqua" w:eastAsia="等线" w:hAnsi="Book Antiqua" w:cs="Times New Roman"/>
          <w:kern w:val="2"/>
          <w:sz w:val="24"/>
          <w:szCs w:val="24"/>
          <w:lang w:val="en-US" w:eastAsia="zh-CN"/>
        </w:rPr>
        <w:t xml:space="preserve"> Bang Y, Shankaran V, Geva R, Catenacci DV, Gupta S, Eder JP, Berger R, Gonzales EJ, Pulini J, Ray AB, Doller-Filhart M, Emancipator K, Pathiraja K, Shu X, Koshiji MR, Cheng J, Chung HC. A Phase 1B study of pembrolizumab (Pembro; Mk-3475) in patients (pts) with advanced gastric cancer. </w:t>
      </w:r>
      <w:r w:rsidRPr="005C7810">
        <w:rPr>
          <w:rFonts w:ascii="Book Antiqua" w:eastAsia="等线" w:hAnsi="Book Antiqua" w:cs="Times New Roman"/>
          <w:i/>
          <w:iCs/>
          <w:kern w:val="2"/>
          <w:sz w:val="24"/>
          <w:szCs w:val="24"/>
          <w:lang w:val="en-US" w:eastAsia="zh-CN"/>
        </w:rPr>
        <w:t xml:space="preserve">Ann Oncol </w:t>
      </w:r>
      <w:r w:rsidRPr="005C7810">
        <w:rPr>
          <w:rFonts w:ascii="Book Antiqua" w:eastAsia="等线" w:hAnsi="Book Antiqua" w:cs="Times New Roman"/>
          <w:kern w:val="2"/>
          <w:sz w:val="24"/>
          <w:szCs w:val="24"/>
          <w:lang w:val="en-US" w:eastAsia="zh-CN"/>
        </w:rPr>
        <w:t xml:space="preserve">2017; </w:t>
      </w:r>
      <w:r w:rsidRPr="005C7810">
        <w:rPr>
          <w:rFonts w:ascii="Book Antiqua" w:eastAsia="等线" w:hAnsi="Book Antiqua" w:cs="Times New Roman"/>
          <w:b/>
          <w:bCs/>
          <w:kern w:val="2"/>
          <w:sz w:val="24"/>
          <w:szCs w:val="24"/>
          <w:lang w:val="en-US" w:eastAsia="zh-CN"/>
        </w:rPr>
        <w:t>25</w:t>
      </w:r>
      <w:r w:rsidRPr="005C7810">
        <w:rPr>
          <w:rFonts w:ascii="Book Antiqua" w:eastAsia="等线" w:hAnsi="Book Antiqua" w:cs="Times New Roman"/>
          <w:kern w:val="2"/>
          <w:sz w:val="24"/>
          <w:szCs w:val="24"/>
          <w:lang w:val="en-US" w:eastAsia="zh-CN"/>
        </w:rPr>
        <w:t>: 2014 [DOI: 10.1093/annonc/mdu438.15]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31 </w:t>
      </w:r>
      <w:r w:rsidRPr="005C7810">
        <w:rPr>
          <w:rFonts w:ascii="Book Antiqua" w:eastAsia="等线" w:hAnsi="Book Antiqua" w:cs="Times New Roman"/>
          <w:b/>
          <w:kern w:val="2"/>
          <w:sz w:val="24"/>
          <w:szCs w:val="24"/>
          <w:lang w:val="en-US" w:eastAsia="zh-CN"/>
        </w:rPr>
        <w:t>Muro K</w:t>
      </w:r>
      <w:r w:rsidRPr="005C7810">
        <w:rPr>
          <w:rFonts w:ascii="Book Antiqua" w:eastAsia="等线" w:hAnsi="Book Antiqua" w:cs="Times New Roman"/>
          <w:kern w:val="2"/>
          <w:sz w:val="24"/>
          <w:szCs w:val="24"/>
          <w:lang w:val="en-US" w:eastAsia="zh-CN"/>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17</w:t>
      </w:r>
      <w:r w:rsidRPr="005C7810">
        <w:rPr>
          <w:rFonts w:ascii="Book Antiqua" w:eastAsia="等线" w:hAnsi="Book Antiqua" w:cs="Times New Roman"/>
          <w:kern w:val="2"/>
          <w:sz w:val="24"/>
          <w:szCs w:val="24"/>
          <w:lang w:val="en-US" w:eastAsia="zh-CN"/>
        </w:rPr>
        <w:t>: 717-726 [PMID: 27157491 DOI: 10.1016/S1470-2045(16)00175-3]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32 </w:t>
      </w:r>
      <w:r w:rsidRPr="005C7810">
        <w:rPr>
          <w:rFonts w:ascii="Book Antiqua" w:eastAsia="等线" w:hAnsi="Book Antiqua" w:cs="Times New Roman"/>
          <w:b/>
          <w:kern w:val="2"/>
          <w:sz w:val="24"/>
          <w:szCs w:val="24"/>
          <w:lang w:val="en-US" w:eastAsia="zh-CN"/>
        </w:rPr>
        <w:t>Wang K</w:t>
      </w:r>
      <w:r w:rsidRPr="005C7810">
        <w:rPr>
          <w:rFonts w:ascii="Book Antiqua" w:eastAsia="等线" w:hAnsi="Book Antiqua" w:cs="Times New Roman"/>
          <w:kern w:val="2"/>
          <w:sz w:val="24"/>
          <w:szCs w:val="24"/>
          <w:lang w:val="en-US" w:eastAsia="zh-CN"/>
        </w:rPr>
        <w:t xml:space="preserve">, Kan J, Yuen ST, Shi ST, Chu KM, Law S, Chan TL, Kan Z, Chan AS, Tsui WY, Lee SP, Ho SL, Chan AK, Cheng GH, Roberts PC, Rejto PA, Gibson NW, Pocalyko DJ, Mao M, Xu J, Leung SY. Exome sequencing identifies frequent mutation of ARID1A in molecular subtypes of gastric cancer. </w:t>
      </w:r>
      <w:r w:rsidRPr="005C7810">
        <w:rPr>
          <w:rFonts w:ascii="Book Antiqua" w:eastAsia="等线" w:hAnsi="Book Antiqua" w:cs="Times New Roman"/>
          <w:i/>
          <w:kern w:val="2"/>
          <w:sz w:val="24"/>
          <w:szCs w:val="24"/>
          <w:lang w:val="en-US" w:eastAsia="zh-CN"/>
        </w:rPr>
        <w:t>Nat Genet</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43</w:t>
      </w:r>
      <w:r w:rsidRPr="005C7810">
        <w:rPr>
          <w:rFonts w:ascii="Book Antiqua" w:eastAsia="等线" w:hAnsi="Book Antiqua" w:cs="Times New Roman"/>
          <w:kern w:val="2"/>
          <w:sz w:val="24"/>
          <w:szCs w:val="24"/>
          <w:lang w:val="en-US" w:eastAsia="zh-CN"/>
        </w:rPr>
        <w:t>: 1219-1223 [PMID: 22037554 DOI: 10.1038/ng.982]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33 </w:t>
      </w:r>
      <w:r w:rsidRPr="005C7810">
        <w:rPr>
          <w:rFonts w:ascii="Book Antiqua" w:eastAsia="等线" w:hAnsi="Book Antiqua" w:cs="Times New Roman"/>
          <w:b/>
          <w:kern w:val="2"/>
          <w:sz w:val="24"/>
          <w:szCs w:val="24"/>
          <w:lang w:val="en-US" w:eastAsia="zh-CN"/>
        </w:rPr>
        <w:t>Velho S</w:t>
      </w:r>
      <w:r w:rsidRPr="005C7810">
        <w:rPr>
          <w:rFonts w:ascii="Book Antiqua" w:eastAsia="等线" w:hAnsi="Book Antiqua" w:cs="Times New Roman"/>
          <w:kern w:val="2"/>
          <w:sz w:val="24"/>
          <w:szCs w:val="24"/>
          <w:lang w:val="en-US" w:eastAsia="zh-CN"/>
        </w:rPr>
        <w:t xml:space="preserve">, Oliveira C, Ferreira A, Ferreira AC, Suriano G, Schwartz S Jr, Duval A, Carneiro F, Machado JC, Hamelin R, Seruca R. The prevalence of PIK3CA mutations in gastric and colon cancer. </w:t>
      </w:r>
      <w:r w:rsidRPr="005C7810">
        <w:rPr>
          <w:rFonts w:ascii="Book Antiqua" w:eastAsia="等线" w:hAnsi="Book Antiqua" w:cs="Times New Roman"/>
          <w:i/>
          <w:kern w:val="2"/>
          <w:sz w:val="24"/>
          <w:szCs w:val="24"/>
          <w:lang w:val="en-US" w:eastAsia="zh-CN"/>
        </w:rPr>
        <w:t>Eur J Cancer</w:t>
      </w:r>
      <w:r w:rsidRPr="005C7810">
        <w:rPr>
          <w:rFonts w:ascii="Book Antiqua" w:eastAsia="等线" w:hAnsi="Book Antiqua" w:cs="Times New Roman"/>
          <w:kern w:val="2"/>
          <w:sz w:val="24"/>
          <w:szCs w:val="24"/>
          <w:lang w:val="en-US" w:eastAsia="zh-CN"/>
        </w:rPr>
        <w:t xml:space="preserve"> 2005; </w:t>
      </w:r>
      <w:r w:rsidRPr="005C7810">
        <w:rPr>
          <w:rFonts w:ascii="Book Antiqua" w:eastAsia="等线" w:hAnsi="Book Antiqua" w:cs="Times New Roman"/>
          <w:b/>
          <w:kern w:val="2"/>
          <w:sz w:val="24"/>
          <w:szCs w:val="24"/>
          <w:lang w:val="en-US" w:eastAsia="zh-CN"/>
        </w:rPr>
        <w:t>41</w:t>
      </w:r>
      <w:r w:rsidRPr="005C7810">
        <w:rPr>
          <w:rFonts w:ascii="Book Antiqua" w:eastAsia="等线" w:hAnsi="Book Antiqua" w:cs="Times New Roman"/>
          <w:kern w:val="2"/>
          <w:sz w:val="24"/>
          <w:szCs w:val="24"/>
          <w:lang w:val="en-US" w:eastAsia="zh-CN"/>
        </w:rPr>
        <w:t>: 1649-1654 [PMID: 15994075 DOI: 10.1016/j.ejca.2005.04.022]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34 </w:t>
      </w:r>
      <w:r w:rsidRPr="005C7810">
        <w:rPr>
          <w:rFonts w:ascii="Book Antiqua" w:eastAsia="等线" w:hAnsi="Book Antiqua" w:cs="Times New Roman"/>
          <w:b/>
          <w:kern w:val="2"/>
          <w:sz w:val="24"/>
          <w:szCs w:val="24"/>
          <w:lang w:val="en-US" w:eastAsia="zh-CN"/>
        </w:rPr>
        <w:t>Ratti M</w:t>
      </w:r>
      <w:r w:rsidRPr="005C7810">
        <w:rPr>
          <w:rFonts w:ascii="Book Antiqua" w:eastAsia="等线" w:hAnsi="Book Antiqua" w:cs="Times New Roman"/>
          <w:kern w:val="2"/>
          <w:sz w:val="24"/>
          <w:szCs w:val="24"/>
          <w:lang w:val="en-US" w:eastAsia="zh-CN"/>
        </w:rPr>
        <w:t xml:space="preserve">, Lampis A, Hahne JC, Passalacqua R, Valeri N. Microsatellite instability in gastric cancer: molecular bases, clinical perspectives, and new treatment approaches. </w:t>
      </w:r>
      <w:r w:rsidRPr="005C7810">
        <w:rPr>
          <w:rFonts w:ascii="Book Antiqua" w:eastAsia="等线" w:hAnsi="Book Antiqua" w:cs="Times New Roman"/>
          <w:i/>
          <w:kern w:val="2"/>
          <w:sz w:val="24"/>
          <w:szCs w:val="24"/>
          <w:lang w:val="en-US" w:eastAsia="zh-CN"/>
        </w:rPr>
        <w:t>Cell Mol Life Sci</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75</w:t>
      </w:r>
      <w:r w:rsidRPr="005C7810">
        <w:rPr>
          <w:rFonts w:ascii="Book Antiqua" w:eastAsia="等线" w:hAnsi="Book Antiqua" w:cs="Times New Roman"/>
          <w:kern w:val="2"/>
          <w:sz w:val="24"/>
          <w:szCs w:val="24"/>
          <w:lang w:val="en-US" w:eastAsia="zh-CN"/>
        </w:rPr>
        <w:t>: 4151-4162 [PMID: 30173350 DOI: 10.1007/s00018-018-2906-9]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35 </w:t>
      </w:r>
      <w:r w:rsidRPr="005C7810">
        <w:rPr>
          <w:rFonts w:ascii="Book Antiqua" w:eastAsia="等线" w:hAnsi="Book Antiqua" w:cs="Times New Roman"/>
          <w:b/>
          <w:kern w:val="2"/>
          <w:sz w:val="24"/>
          <w:szCs w:val="24"/>
          <w:lang w:val="en-US" w:eastAsia="zh-CN"/>
        </w:rPr>
        <w:t>Jo YS</w:t>
      </w:r>
      <w:r w:rsidRPr="005C7810">
        <w:rPr>
          <w:rFonts w:ascii="Book Antiqua" w:eastAsia="等线" w:hAnsi="Book Antiqua" w:cs="Times New Roman"/>
          <w:kern w:val="2"/>
          <w:sz w:val="24"/>
          <w:szCs w:val="24"/>
          <w:lang w:val="en-US" w:eastAsia="zh-CN"/>
        </w:rPr>
        <w:t xml:space="preserve">, Kim MS, Lee JH, Lee SH, An CH, Yoo NJ. Frequent frameshift mutations in 2 mononucleotide repeats of RNF43 gene and its regional heterogeneity in gastric and colorectal cancers. </w:t>
      </w:r>
      <w:r w:rsidRPr="005C7810">
        <w:rPr>
          <w:rFonts w:ascii="Book Antiqua" w:eastAsia="等线" w:hAnsi="Book Antiqua" w:cs="Times New Roman"/>
          <w:i/>
          <w:kern w:val="2"/>
          <w:sz w:val="24"/>
          <w:szCs w:val="24"/>
          <w:lang w:val="en-US" w:eastAsia="zh-CN"/>
        </w:rPr>
        <w:t>Hum Pathol</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46</w:t>
      </w:r>
      <w:r w:rsidRPr="005C7810">
        <w:rPr>
          <w:rFonts w:ascii="Book Antiqua" w:eastAsia="等线" w:hAnsi="Book Antiqua" w:cs="Times New Roman"/>
          <w:kern w:val="2"/>
          <w:sz w:val="24"/>
          <w:szCs w:val="24"/>
          <w:lang w:val="en-US" w:eastAsia="zh-CN"/>
        </w:rPr>
        <w:t>: 1640-1646 [PMID: 26297255 DOI: 10.1016/j.humpath.2015.07.004]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36 </w:t>
      </w:r>
      <w:r w:rsidRPr="005C7810">
        <w:rPr>
          <w:rFonts w:ascii="Book Antiqua" w:eastAsia="等线" w:hAnsi="Book Antiqua" w:cs="Times New Roman"/>
          <w:b/>
          <w:kern w:val="2"/>
          <w:sz w:val="24"/>
          <w:szCs w:val="24"/>
          <w:lang w:val="en-US" w:eastAsia="zh-CN"/>
        </w:rPr>
        <w:t>Tamura G</w:t>
      </w:r>
      <w:r w:rsidRPr="005C7810">
        <w:rPr>
          <w:rFonts w:ascii="Book Antiqua" w:eastAsia="等线" w:hAnsi="Book Antiqua" w:cs="Times New Roman"/>
          <w:kern w:val="2"/>
          <w:sz w:val="24"/>
          <w:szCs w:val="24"/>
          <w:lang w:val="en-US" w:eastAsia="zh-CN"/>
        </w:rPr>
        <w:t xml:space="preserve">. Alterations of tumor suppressor and tumor-related genes in the development and progression of gastric cancer. </w:t>
      </w:r>
      <w:r w:rsidRPr="005C7810">
        <w:rPr>
          <w:rFonts w:ascii="Book Antiqua" w:eastAsia="等线" w:hAnsi="Book Antiqua" w:cs="Times New Roman"/>
          <w:i/>
          <w:kern w:val="2"/>
          <w:sz w:val="24"/>
          <w:szCs w:val="24"/>
          <w:lang w:val="en-US" w:eastAsia="zh-CN"/>
        </w:rPr>
        <w:t>World J Gastroenterol</w:t>
      </w:r>
      <w:r w:rsidRPr="005C7810">
        <w:rPr>
          <w:rFonts w:ascii="Book Antiqua" w:eastAsia="等线" w:hAnsi="Book Antiqua" w:cs="Times New Roman"/>
          <w:kern w:val="2"/>
          <w:sz w:val="24"/>
          <w:szCs w:val="24"/>
          <w:lang w:val="en-US" w:eastAsia="zh-CN"/>
        </w:rPr>
        <w:t xml:space="preserve"> 2006;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192-198 [PMID: 16482617 DOI: 10.3748/wjg.v12.i2.192]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37 </w:t>
      </w:r>
      <w:r w:rsidRPr="005C7810">
        <w:rPr>
          <w:rFonts w:ascii="Book Antiqua" w:eastAsia="等线" w:hAnsi="Book Antiqua" w:cs="Times New Roman"/>
          <w:b/>
          <w:kern w:val="2"/>
          <w:sz w:val="24"/>
          <w:szCs w:val="24"/>
          <w:lang w:val="en-US" w:eastAsia="zh-CN"/>
        </w:rPr>
        <w:t>Huo X</w:t>
      </w:r>
      <w:r w:rsidRPr="005C7810">
        <w:rPr>
          <w:rFonts w:ascii="Book Antiqua" w:eastAsia="等线" w:hAnsi="Book Antiqua" w:cs="Times New Roman"/>
          <w:kern w:val="2"/>
          <w:sz w:val="24"/>
          <w:szCs w:val="24"/>
          <w:lang w:val="en-US" w:eastAsia="zh-CN"/>
        </w:rPr>
        <w:t xml:space="preserve">, Xiao X, Zhang S, Zhou D, Chen Z. Association of Intron Microsatellite Instability and Exon Mutational Profile of </w:t>
      </w:r>
      <w:r w:rsidRPr="005C7810">
        <w:rPr>
          <w:rFonts w:ascii="Book Antiqua" w:eastAsia="等线" w:hAnsi="Book Antiqua" w:cs="Times New Roman"/>
          <w:i/>
          <w:iCs/>
          <w:kern w:val="2"/>
          <w:sz w:val="24"/>
          <w:szCs w:val="24"/>
          <w:lang w:val="en-US" w:eastAsia="zh-CN"/>
        </w:rPr>
        <w:t>TP53</w:t>
      </w:r>
      <w:r w:rsidRPr="005C7810">
        <w:rPr>
          <w:rFonts w:ascii="Book Antiqua" w:eastAsia="等线" w:hAnsi="Book Antiqua" w:cs="Times New Roman"/>
          <w:kern w:val="2"/>
          <w:sz w:val="24"/>
          <w:szCs w:val="24"/>
          <w:lang w:val="en-US" w:eastAsia="zh-CN"/>
        </w:rPr>
        <w:t xml:space="preserve"> in Human Gastric Cancers. </w:t>
      </w:r>
      <w:r w:rsidRPr="005C7810">
        <w:rPr>
          <w:rFonts w:ascii="Book Antiqua" w:eastAsia="等线" w:hAnsi="Book Antiqua" w:cs="Times New Roman"/>
          <w:i/>
          <w:kern w:val="2"/>
          <w:sz w:val="24"/>
          <w:szCs w:val="24"/>
          <w:lang w:val="en-US" w:eastAsia="zh-CN"/>
        </w:rPr>
        <w:t>Anticancer Res</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37</w:t>
      </w:r>
      <w:r w:rsidRPr="005C7810">
        <w:rPr>
          <w:rFonts w:ascii="Book Antiqua" w:eastAsia="等线" w:hAnsi="Book Antiqua" w:cs="Times New Roman"/>
          <w:kern w:val="2"/>
          <w:sz w:val="24"/>
          <w:szCs w:val="24"/>
          <w:lang w:val="en-US" w:eastAsia="zh-CN"/>
        </w:rPr>
        <w:t>: 4507-4514 [PMID: 28739746 DOI: 10.21873/anticanres.11847]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38 </w:t>
      </w:r>
      <w:r w:rsidRPr="005C7810">
        <w:rPr>
          <w:rFonts w:ascii="Book Antiqua" w:eastAsia="等线" w:hAnsi="Book Antiqua" w:cs="Times New Roman"/>
          <w:b/>
          <w:kern w:val="2"/>
          <w:sz w:val="24"/>
          <w:szCs w:val="24"/>
          <w:lang w:val="en-US" w:eastAsia="zh-CN"/>
        </w:rPr>
        <w:t>Polom K</w:t>
      </w:r>
      <w:r w:rsidRPr="005C7810">
        <w:rPr>
          <w:rFonts w:ascii="Book Antiqua" w:eastAsia="等线" w:hAnsi="Book Antiqua" w:cs="Times New Roman"/>
          <w:kern w:val="2"/>
          <w:sz w:val="24"/>
          <w:szCs w:val="24"/>
          <w:lang w:val="en-US" w:eastAsia="zh-CN"/>
        </w:rPr>
        <w:t xml:space="preserve">, Das K, Marrelli D, Roviello G, Pascale V, Voglino C, Rho H, Tan P, Roviello F. KRAS Mutation in Gastric Cancer and Prognostication Associated with Microsatellite Instability Status. </w:t>
      </w:r>
      <w:r w:rsidRPr="005C7810">
        <w:rPr>
          <w:rFonts w:ascii="Book Antiqua" w:eastAsia="等线" w:hAnsi="Book Antiqua" w:cs="Times New Roman"/>
          <w:i/>
          <w:kern w:val="2"/>
          <w:sz w:val="24"/>
          <w:szCs w:val="24"/>
          <w:lang w:val="en-US" w:eastAsia="zh-CN"/>
        </w:rPr>
        <w:t>Pathol Oncol Res</w:t>
      </w:r>
      <w:r w:rsidRPr="005C7810">
        <w:rPr>
          <w:rFonts w:ascii="Book Antiqua" w:eastAsia="等线" w:hAnsi="Book Antiqua" w:cs="Times New Roman"/>
          <w:kern w:val="2"/>
          <w:sz w:val="24"/>
          <w:szCs w:val="24"/>
          <w:lang w:val="en-US" w:eastAsia="zh-CN"/>
        </w:rPr>
        <w:t xml:space="preserve"> 2019; </w:t>
      </w:r>
      <w:r w:rsidRPr="005C7810">
        <w:rPr>
          <w:rFonts w:ascii="Book Antiqua" w:eastAsia="等线" w:hAnsi="Book Antiqua" w:cs="Times New Roman"/>
          <w:b/>
          <w:kern w:val="2"/>
          <w:sz w:val="24"/>
          <w:szCs w:val="24"/>
          <w:lang w:val="en-US" w:eastAsia="zh-CN"/>
        </w:rPr>
        <w:t>25</w:t>
      </w:r>
      <w:r w:rsidRPr="005C7810">
        <w:rPr>
          <w:rFonts w:ascii="Book Antiqua" w:eastAsia="等线" w:hAnsi="Book Antiqua" w:cs="Times New Roman"/>
          <w:kern w:val="2"/>
          <w:sz w:val="24"/>
          <w:szCs w:val="24"/>
          <w:lang w:val="en-US" w:eastAsia="zh-CN"/>
        </w:rPr>
        <w:t>: 333-340 [PMID: 29116623 DOI: 10.1007/s12253-017-0348-6]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39 </w:t>
      </w:r>
      <w:r w:rsidRPr="005C7810">
        <w:rPr>
          <w:rFonts w:ascii="Book Antiqua" w:eastAsia="等线" w:hAnsi="Book Antiqua" w:cs="Times New Roman"/>
          <w:b/>
          <w:kern w:val="2"/>
          <w:sz w:val="24"/>
          <w:szCs w:val="24"/>
          <w:lang w:val="en-US" w:eastAsia="zh-CN"/>
        </w:rPr>
        <w:t>Sohn BH</w:t>
      </w:r>
      <w:r w:rsidRPr="005C7810">
        <w:rPr>
          <w:rFonts w:ascii="Book Antiqua" w:eastAsia="等线" w:hAnsi="Book Antiqua" w:cs="Times New Roman"/>
          <w:kern w:val="2"/>
          <w:sz w:val="24"/>
          <w:szCs w:val="24"/>
          <w:lang w:val="en-US" w:eastAsia="zh-CN"/>
        </w:rPr>
        <w:t xml:space="preserve">, Hwang JE, Jang HJ, Lee HS, Oh SC, Shim JJ, Lee KW, Kim EH, Yim SY, Lee SH, Cheong JH, Jeong W, Cho JY, Kim J, Chae J, Lee J, Kang WK, Kim S, Noh SH, Ajani JA, Lee JS. Clinical Significance of Four Molecular Subtypes of Gastric Cancer Identified by The Cancer Genome Atlas Project. </w:t>
      </w:r>
      <w:r w:rsidRPr="005C7810">
        <w:rPr>
          <w:rFonts w:ascii="Book Antiqua" w:eastAsia="等线" w:hAnsi="Book Antiqua" w:cs="Times New Roman"/>
          <w:i/>
          <w:kern w:val="2"/>
          <w:sz w:val="24"/>
          <w:szCs w:val="24"/>
          <w:lang w:val="en-US" w:eastAsia="zh-CN"/>
        </w:rPr>
        <w:t>Clin Cancer Res</w:t>
      </w:r>
      <w:r w:rsidRPr="005C7810">
        <w:rPr>
          <w:rFonts w:ascii="Book Antiqua" w:eastAsia="等线" w:hAnsi="Book Antiqua" w:cs="Times New Roman"/>
          <w:kern w:val="2"/>
          <w:sz w:val="24"/>
          <w:szCs w:val="24"/>
          <w:lang w:val="en-US" w:eastAsia="zh-CN"/>
        </w:rPr>
        <w:t xml:space="preserve"> 2017 [PMID: 28747339 DOI: 10.1158/1078-0432.ccr-16-2211]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40 </w:t>
      </w:r>
      <w:r w:rsidRPr="005C7810">
        <w:rPr>
          <w:rFonts w:ascii="Book Antiqua" w:eastAsia="等线" w:hAnsi="Book Antiqua" w:cs="Times New Roman"/>
          <w:b/>
          <w:kern w:val="2"/>
          <w:sz w:val="24"/>
          <w:szCs w:val="24"/>
          <w:lang w:val="en-US" w:eastAsia="zh-CN"/>
        </w:rPr>
        <w:t>Sepulveda AR,</w:t>
      </w:r>
      <w:r w:rsidRPr="005C7810">
        <w:rPr>
          <w:rFonts w:ascii="Book Antiqua" w:eastAsia="等线" w:hAnsi="Book Antiqua" w:cs="Times New Roman"/>
          <w:kern w:val="2"/>
          <w:sz w:val="24"/>
          <w:szCs w:val="24"/>
          <w:lang w:val="en-US" w:eastAsia="zh-CN"/>
        </w:rPr>
        <w:t xml:space="preserve"> Del Portillo AJ. Molecular basis of diseases of the gastrointestinal tract. In: Coleman WB, Tsongalis GJ. Molecular Pathology (Second Edition). Elsevier, 2018: 387-415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41 </w:t>
      </w:r>
      <w:r w:rsidRPr="005C7810">
        <w:rPr>
          <w:rFonts w:ascii="Book Antiqua" w:eastAsia="等线" w:hAnsi="Book Antiqua" w:cs="Times New Roman"/>
          <w:b/>
          <w:kern w:val="2"/>
          <w:sz w:val="24"/>
          <w:szCs w:val="24"/>
          <w:lang w:val="en-US" w:eastAsia="zh-CN"/>
        </w:rPr>
        <w:t>Oliveira C</w:t>
      </w:r>
      <w:r w:rsidRPr="005C7810">
        <w:rPr>
          <w:rFonts w:ascii="Book Antiqua" w:eastAsia="等线" w:hAnsi="Book Antiqua" w:cs="Times New Roman"/>
          <w:kern w:val="2"/>
          <w:sz w:val="24"/>
          <w:szCs w:val="24"/>
          <w:lang w:val="en-US" w:eastAsia="zh-CN"/>
        </w:rPr>
        <w:t xml:space="preserve">, Pinheiro H, Figueiredo J, Seruca R, Carneiro F. Familial gastric cancer: genetic susceptibility, pathology, and implications for management.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16</w:t>
      </w:r>
      <w:r w:rsidRPr="005C7810">
        <w:rPr>
          <w:rFonts w:ascii="Book Antiqua" w:eastAsia="等线" w:hAnsi="Book Antiqua" w:cs="Times New Roman"/>
          <w:kern w:val="2"/>
          <w:sz w:val="24"/>
          <w:szCs w:val="24"/>
          <w:lang w:val="en-US" w:eastAsia="zh-CN"/>
        </w:rPr>
        <w:t>: e60-e70 [PMID: 25638682 DOI: 10.1016/S1470-2045(14)71016-2]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42 </w:t>
      </w:r>
      <w:r w:rsidRPr="005C7810">
        <w:rPr>
          <w:rFonts w:ascii="Book Antiqua" w:eastAsia="等线" w:hAnsi="Book Antiqua" w:cs="Times New Roman"/>
          <w:b/>
          <w:kern w:val="2"/>
          <w:sz w:val="24"/>
          <w:szCs w:val="24"/>
          <w:lang w:val="en-US" w:eastAsia="zh-CN"/>
        </w:rPr>
        <w:t>Wang K</w:t>
      </w:r>
      <w:r w:rsidRPr="005C7810">
        <w:rPr>
          <w:rFonts w:ascii="Book Antiqua" w:eastAsia="等线" w:hAnsi="Book Antiqua" w:cs="Times New Roman"/>
          <w:kern w:val="2"/>
          <w:sz w:val="24"/>
          <w:szCs w:val="24"/>
          <w:lang w:val="en-US" w:eastAsia="zh-CN"/>
        </w:rPr>
        <w:t xml:space="preserve">, Yuen ST, Xu J, Lee SP, Yan HH, Shi ST, Siu HC, Deng S, Chu KM, Law S, Chan KH, Chan AS, Tsui WY, Ho SL, Chan AK, Man JL, Foglizzo V, Ng MK, Chan AS, Ching YP, Cheng GH, Xie T, Fernandez J, Li VS, Clevers H, Rejto PA, Mao M, Leung SY. Whole-genome sequencing and comprehensive molecular profiling identify new driver mutations in gastric cancer. </w:t>
      </w:r>
      <w:r w:rsidRPr="005C7810">
        <w:rPr>
          <w:rFonts w:ascii="Book Antiqua" w:eastAsia="等线" w:hAnsi="Book Antiqua" w:cs="Times New Roman"/>
          <w:i/>
          <w:kern w:val="2"/>
          <w:sz w:val="24"/>
          <w:szCs w:val="24"/>
          <w:lang w:val="en-US" w:eastAsia="zh-CN"/>
        </w:rPr>
        <w:t>Nat Genet</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46</w:t>
      </w:r>
      <w:r w:rsidRPr="005C7810">
        <w:rPr>
          <w:rFonts w:ascii="Book Antiqua" w:eastAsia="等线" w:hAnsi="Book Antiqua" w:cs="Times New Roman"/>
          <w:kern w:val="2"/>
          <w:sz w:val="24"/>
          <w:szCs w:val="24"/>
          <w:lang w:val="en-US" w:eastAsia="zh-CN"/>
        </w:rPr>
        <w:t>: 573-582 [PMID: 24816253 DOI: 10.1038/ng.2983]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43 </w:t>
      </w:r>
      <w:r w:rsidRPr="005C7810">
        <w:rPr>
          <w:rFonts w:ascii="Book Antiqua" w:eastAsia="等线" w:hAnsi="Book Antiqua" w:cs="Times New Roman"/>
          <w:b/>
          <w:kern w:val="2"/>
          <w:sz w:val="24"/>
          <w:szCs w:val="24"/>
          <w:lang w:val="en-US" w:eastAsia="zh-CN"/>
        </w:rPr>
        <w:t>Ridley AJ</w:t>
      </w:r>
      <w:r w:rsidRPr="005C7810">
        <w:rPr>
          <w:rFonts w:ascii="Book Antiqua" w:eastAsia="等线" w:hAnsi="Book Antiqua" w:cs="Times New Roman"/>
          <w:kern w:val="2"/>
          <w:sz w:val="24"/>
          <w:szCs w:val="24"/>
          <w:lang w:val="en-US" w:eastAsia="zh-CN"/>
        </w:rPr>
        <w:t xml:space="preserve">, Schwartz MA, Burridge K, Firtel RA, Ginsberg MH, Borisy G, Parsons JT, Horwitz AR. Cell migration: integrating signals from front to back. </w:t>
      </w:r>
      <w:r w:rsidRPr="005C7810">
        <w:rPr>
          <w:rFonts w:ascii="Book Antiqua" w:eastAsia="等线" w:hAnsi="Book Antiqua" w:cs="Times New Roman"/>
          <w:i/>
          <w:kern w:val="2"/>
          <w:sz w:val="24"/>
          <w:szCs w:val="24"/>
          <w:lang w:val="en-US" w:eastAsia="zh-CN"/>
        </w:rPr>
        <w:t>Science</w:t>
      </w:r>
      <w:r w:rsidRPr="005C7810">
        <w:rPr>
          <w:rFonts w:ascii="Book Antiqua" w:eastAsia="等线" w:hAnsi="Book Antiqua" w:cs="Times New Roman"/>
          <w:kern w:val="2"/>
          <w:sz w:val="24"/>
          <w:szCs w:val="24"/>
          <w:lang w:val="en-US" w:eastAsia="zh-CN"/>
        </w:rPr>
        <w:t xml:space="preserve"> 2003; </w:t>
      </w:r>
      <w:r w:rsidRPr="005C7810">
        <w:rPr>
          <w:rFonts w:ascii="Book Antiqua" w:eastAsia="等线" w:hAnsi="Book Antiqua" w:cs="Times New Roman"/>
          <w:b/>
          <w:kern w:val="2"/>
          <w:sz w:val="24"/>
          <w:szCs w:val="24"/>
          <w:lang w:val="en-US" w:eastAsia="zh-CN"/>
        </w:rPr>
        <w:t>302</w:t>
      </w:r>
      <w:r w:rsidRPr="005C7810">
        <w:rPr>
          <w:rFonts w:ascii="Book Antiqua" w:eastAsia="等线" w:hAnsi="Book Antiqua" w:cs="Times New Roman"/>
          <w:kern w:val="2"/>
          <w:sz w:val="24"/>
          <w:szCs w:val="24"/>
          <w:lang w:val="en-US" w:eastAsia="zh-CN"/>
        </w:rPr>
        <w:t>: 1704-1709 [PMID: 14657486 DOI: 10.1126/science.1092053]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44 </w:t>
      </w:r>
      <w:r w:rsidRPr="005C7810">
        <w:rPr>
          <w:rFonts w:ascii="Book Antiqua" w:eastAsia="等线" w:hAnsi="Book Antiqua" w:cs="Times New Roman"/>
          <w:b/>
          <w:kern w:val="2"/>
          <w:sz w:val="24"/>
          <w:szCs w:val="24"/>
          <w:lang w:val="en-US" w:eastAsia="zh-CN"/>
        </w:rPr>
        <w:t>Thumkeo D</w:t>
      </w:r>
      <w:r w:rsidRPr="005C7810">
        <w:rPr>
          <w:rFonts w:ascii="Book Antiqua" w:eastAsia="等线" w:hAnsi="Book Antiqua" w:cs="Times New Roman"/>
          <w:kern w:val="2"/>
          <w:sz w:val="24"/>
          <w:szCs w:val="24"/>
          <w:lang w:val="en-US" w:eastAsia="zh-CN"/>
        </w:rPr>
        <w:t xml:space="preserve">, Watanabe S, Narumiya S. Physiological roles of Rho and Rho effectors in mammals. </w:t>
      </w:r>
      <w:r w:rsidRPr="005C7810">
        <w:rPr>
          <w:rFonts w:ascii="Book Antiqua" w:eastAsia="等线" w:hAnsi="Book Antiqua" w:cs="Times New Roman"/>
          <w:i/>
          <w:kern w:val="2"/>
          <w:sz w:val="24"/>
          <w:szCs w:val="24"/>
          <w:lang w:val="en-US" w:eastAsia="zh-CN"/>
        </w:rPr>
        <w:t>Eur J Cell Biol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92</w:t>
      </w:r>
      <w:r w:rsidRPr="005C7810">
        <w:rPr>
          <w:rFonts w:ascii="Book Antiqua" w:eastAsia="等线" w:hAnsi="Book Antiqua" w:cs="Times New Roman"/>
          <w:kern w:val="2"/>
          <w:sz w:val="24"/>
          <w:szCs w:val="24"/>
          <w:lang w:val="en-US" w:eastAsia="zh-CN"/>
        </w:rPr>
        <w:t>: 303-315 [PMID: 24183240 DOI: 10.1016/j.ejcb.2013.09.002]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45 </w:t>
      </w:r>
      <w:r w:rsidRPr="005C7810">
        <w:rPr>
          <w:rFonts w:ascii="Book Antiqua" w:eastAsia="等线" w:hAnsi="Book Antiqua" w:cs="Times New Roman"/>
          <w:b/>
          <w:kern w:val="2"/>
          <w:sz w:val="24"/>
          <w:szCs w:val="24"/>
          <w:lang w:val="en-US" w:eastAsia="zh-CN"/>
        </w:rPr>
        <w:t>Cristescu R</w:t>
      </w:r>
      <w:r w:rsidRPr="005C7810">
        <w:rPr>
          <w:rFonts w:ascii="Book Antiqua" w:eastAsia="等线" w:hAnsi="Book Antiqua" w:cs="Times New Roman"/>
          <w:kern w:val="2"/>
          <w:sz w:val="24"/>
          <w:szCs w:val="24"/>
          <w:lang w:val="en-US" w:eastAsia="zh-CN"/>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5C7810">
        <w:rPr>
          <w:rFonts w:ascii="Book Antiqua" w:eastAsia="等线" w:hAnsi="Book Antiqua" w:cs="Times New Roman"/>
          <w:i/>
          <w:kern w:val="2"/>
          <w:sz w:val="24"/>
          <w:szCs w:val="24"/>
          <w:lang w:val="en-US" w:eastAsia="zh-CN"/>
        </w:rPr>
        <w:t>Nat Med</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21</w:t>
      </w:r>
      <w:r w:rsidRPr="005C7810">
        <w:rPr>
          <w:rFonts w:ascii="Book Antiqua" w:eastAsia="等线" w:hAnsi="Book Antiqua" w:cs="Times New Roman"/>
          <w:kern w:val="2"/>
          <w:sz w:val="24"/>
          <w:szCs w:val="24"/>
          <w:lang w:val="en-US" w:eastAsia="zh-CN"/>
        </w:rPr>
        <w:t>: 449-456 [PMID: 25894828 DOI: 10.1038/nm.3850]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46 </w:t>
      </w:r>
      <w:r w:rsidRPr="005C7810">
        <w:rPr>
          <w:rFonts w:ascii="Book Antiqua" w:eastAsia="等线" w:hAnsi="Book Antiqua" w:cs="Times New Roman"/>
          <w:b/>
          <w:kern w:val="2"/>
          <w:sz w:val="24"/>
          <w:szCs w:val="24"/>
          <w:lang w:val="en-US" w:eastAsia="zh-CN"/>
        </w:rPr>
        <w:t>Ang YL</w:t>
      </w:r>
      <w:r w:rsidRPr="005C7810">
        <w:rPr>
          <w:rFonts w:ascii="Book Antiqua" w:eastAsia="等线" w:hAnsi="Book Antiqua" w:cs="Times New Roman"/>
          <w:kern w:val="2"/>
          <w:sz w:val="24"/>
          <w:szCs w:val="24"/>
          <w:lang w:val="en-US" w:eastAsia="zh-CN"/>
        </w:rPr>
        <w:t xml:space="preserve">, Yong WP, Tan P. Translating gastric cancer genomics into targeted therapies. </w:t>
      </w:r>
      <w:r w:rsidRPr="005C7810">
        <w:rPr>
          <w:rFonts w:ascii="Book Antiqua" w:eastAsia="等线" w:hAnsi="Book Antiqua" w:cs="Times New Roman"/>
          <w:i/>
          <w:kern w:val="2"/>
          <w:sz w:val="24"/>
          <w:szCs w:val="24"/>
          <w:lang w:val="en-US" w:eastAsia="zh-CN"/>
        </w:rPr>
        <w:t>Crit Rev Oncol Hematol</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100</w:t>
      </w:r>
      <w:r w:rsidRPr="005C7810">
        <w:rPr>
          <w:rFonts w:ascii="Book Antiqua" w:eastAsia="等线" w:hAnsi="Book Antiqua" w:cs="Times New Roman"/>
          <w:kern w:val="2"/>
          <w:sz w:val="24"/>
          <w:szCs w:val="24"/>
          <w:lang w:val="en-US" w:eastAsia="zh-CN"/>
        </w:rPr>
        <w:t>: 141-146 [PMID: 26947813 DOI: 10.1016/j.critrevonc.2016.02.007]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47 </w:t>
      </w:r>
      <w:r w:rsidRPr="005C7810">
        <w:rPr>
          <w:rFonts w:ascii="Book Antiqua" w:eastAsia="等线" w:hAnsi="Book Antiqua" w:cs="Times New Roman"/>
          <w:b/>
          <w:kern w:val="2"/>
          <w:sz w:val="24"/>
          <w:szCs w:val="24"/>
          <w:lang w:val="en-US" w:eastAsia="zh-CN"/>
        </w:rPr>
        <w:t>Shimada H</w:t>
      </w:r>
      <w:r w:rsidRPr="005C7810">
        <w:rPr>
          <w:rFonts w:ascii="Book Antiqua" w:eastAsia="等线" w:hAnsi="Book Antiqua" w:cs="Times New Roman"/>
          <w:kern w:val="2"/>
          <w:sz w:val="24"/>
          <w:szCs w:val="24"/>
          <w:lang w:val="en-US" w:eastAsia="zh-CN"/>
        </w:rPr>
        <w:t xml:space="preserve">, Noie T, Ohashi M, Oba K, Takahashi Y. Clinical significance of serum tumor markers for gastric cancer: a systematic review of literature by the Task Force of the Japanese Gastric Cancer Association. </w:t>
      </w:r>
      <w:r w:rsidRPr="005C7810">
        <w:rPr>
          <w:rFonts w:ascii="Book Antiqua" w:eastAsia="等线" w:hAnsi="Book Antiqua" w:cs="Times New Roman"/>
          <w:i/>
          <w:kern w:val="2"/>
          <w:sz w:val="24"/>
          <w:szCs w:val="24"/>
          <w:lang w:val="en-US" w:eastAsia="zh-CN"/>
        </w:rPr>
        <w:t>Gastric Cancer</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17</w:t>
      </w:r>
      <w:r w:rsidRPr="005C7810">
        <w:rPr>
          <w:rFonts w:ascii="Book Antiqua" w:eastAsia="等线" w:hAnsi="Book Antiqua" w:cs="Times New Roman"/>
          <w:kern w:val="2"/>
          <w:sz w:val="24"/>
          <w:szCs w:val="24"/>
          <w:lang w:val="en-US" w:eastAsia="zh-CN"/>
        </w:rPr>
        <w:t>: 26-33 [PMID: 23572188 DOI: 10.1007/s10120-013-0259-5]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48 </w:t>
      </w:r>
      <w:r w:rsidRPr="005C7810">
        <w:rPr>
          <w:rFonts w:ascii="Book Antiqua" w:eastAsia="等线" w:hAnsi="Book Antiqua" w:cs="Times New Roman"/>
          <w:b/>
          <w:kern w:val="2"/>
          <w:sz w:val="24"/>
          <w:szCs w:val="24"/>
          <w:lang w:val="en-US" w:eastAsia="zh-CN"/>
        </w:rPr>
        <w:t>Marrelli D</w:t>
      </w:r>
      <w:r w:rsidRPr="005C7810">
        <w:rPr>
          <w:rFonts w:ascii="Book Antiqua" w:eastAsia="等线" w:hAnsi="Book Antiqua" w:cs="Times New Roman"/>
          <w:kern w:val="2"/>
          <w:sz w:val="24"/>
          <w:szCs w:val="24"/>
          <w:lang w:val="en-US" w:eastAsia="zh-CN"/>
        </w:rPr>
        <w:t xml:space="preserve">, Pinto E, De Stefano A, Farnetani M, Garosi L, Roviello F. Clinical utility of CEA, CA 19-9, and CA 72-4 in the follow-up of patients with resectable gastric cancer. </w:t>
      </w:r>
      <w:r w:rsidRPr="005C7810">
        <w:rPr>
          <w:rFonts w:ascii="Book Antiqua" w:eastAsia="等线" w:hAnsi="Book Antiqua" w:cs="Times New Roman"/>
          <w:i/>
          <w:kern w:val="2"/>
          <w:sz w:val="24"/>
          <w:szCs w:val="24"/>
          <w:lang w:val="en-US" w:eastAsia="zh-CN"/>
        </w:rPr>
        <w:t>Am J Surg</w:t>
      </w:r>
      <w:r w:rsidRPr="005C7810">
        <w:rPr>
          <w:rFonts w:ascii="Book Antiqua" w:eastAsia="等线" w:hAnsi="Book Antiqua" w:cs="Times New Roman"/>
          <w:kern w:val="2"/>
          <w:sz w:val="24"/>
          <w:szCs w:val="24"/>
          <w:lang w:val="en-US" w:eastAsia="zh-CN"/>
        </w:rPr>
        <w:t xml:space="preserve"> 2001; </w:t>
      </w:r>
      <w:r w:rsidRPr="005C7810">
        <w:rPr>
          <w:rFonts w:ascii="Book Antiqua" w:eastAsia="等线" w:hAnsi="Book Antiqua" w:cs="Times New Roman"/>
          <w:b/>
          <w:kern w:val="2"/>
          <w:sz w:val="24"/>
          <w:szCs w:val="24"/>
          <w:lang w:val="en-US" w:eastAsia="zh-CN"/>
        </w:rPr>
        <w:t>181</w:t>
      </w:r>
      <w:r w:rsidRPr="005C7810">
        <w:rPr>
          <w:rFonts w:ascii="Book Antiqua" w:eastAsia="等线" w:hAnsi="Book Antiqua" w:cs="Times New Roman"/>
          <w:kern w:val="2"/>
          <w:sz w:val="24"/>
          <w:szCs w:val="24"/>
          <w:lang w:val="en-US" w:eastAsia="zh-CN"/>
        </w:rPr>
        <w:t>: 16-19 [PMID: 11248169 DOI: 10.1016/S0002-9610(00)00549-3]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49 </w:t>
      </w:r>
      <w:r w:rsidRPr="005C7810">
        <w:rPr>
          <w:rFonts w:ascii="Book Antiqua" w:eastAsia="等线" w:hAnsi="Book Antiqua" w:cs="Times New Roman"/>
          <w:b/>
          <w:kern w:val="2"/>
          <w:sz w:val="24"/>
          <w:szCs w:val="24"/>
          <w:lang w:val="en-US" w:eastAsia="zh-CN"/>
        </w:rPr>
        <w:t>Song YX</w:t>
      </w:r>
      <w:r w:rsidRPr="005C7810">
        <w:rPr>
          <w:rFonts w:ascii="Book Antiqua" w:eastAsia="等线" w:hAnsi="Book Antiqua" w:cs="Times New Roman"/>
          <w:kern w:val="2"/>
          <w:sz w:val="24"/>
          <w:szCs w:val="24"/>
          <w:lang w:val="en-US" w:eastAsia="zh-CN"/>
        </w:rPr>
        <w:t xml:space="preserve">, Huang XZ, Gao P, Sun JX, Chen XW, Yang YC, Zhang C, Liu HP, Wang HC, Wang ZN. Clinicopathologic and Prognostic Value of Serum Carbohydrate Antigen 19-9 in Gastric Cancer: A Meta-Analysis. </w:t>
      </w:r>
      <w:r w:rsidRPr="005C7810">
        <w:rPr>
          <w:rFonts w:ascii="Book Antiqua" w:eastAsia="等线" w:hAnsi="Book Antiqua" w:cs="Times New Roman"/>
          <w:i/>
          <w:kern w:val="2"/>
          <w:sz w:val="24"/>
          <w:szCs w:val="24"/>
          <w:lang w:val="en-US" w:eastAsia="zh-CN"/>
        </w:rPr>
        <w:t>Dis Markers</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2015</w:t>
      </w:r>
      <w:r w:rsidRPr="005C7810">
        <w:rPr>
          <w:rFonts w:ascii="Book Antiqua" w:eastAsia="等线" w:hAnsi="Book Antiqua" w:cs="Times New Roman"/>
          <w:kern w:val="2"/>
          <w:sz w:val="24"/>
          <w:szCs w:val="24"/>
          <w:lang w:val="en-US" w:eastAsia="zh-CN"/>
        </w:rPr>
        <w:t>: 549843 [PMID: 26576068 DOI: 10.1155/2015/549843]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50 </w:t>
      </w:r>
      <w:r w:rsidRPr="005C7810">
        <w:rPr>
          <w:rFonts w:ascii="Book Antiqua" w:eastAsia="等线" w:hAnsi="Book Antiqua" w:cs="Times New Roman"/>
          <w:b/>
          <w:kern w:val="2"/>
          <w:sz w:val="24"/>
          <w:szCs w:val="24"/>
          <w:lang w:val="en-US" w:eastAsia="zh-CN"/>
        </w:rPr>
        <w:t>Kono K</w:t>
      </w:r>
      <w:r w:rsidRPr="005C7810">
        <w:rPr>
          <w:rFonts w:ascii="Book Antiqua" w:eastAsia="等线" w:hAnsi="Book Antiqua" w:cs="Times New Roman"/>
          <w:kern w:val="2"/>
          <w:sz w:val="24"/>
          <w:szCs w:val="24"/>
          <w:lang w:val="en-US" w:eastAsia="zh-CN"/>
        </w:rPr>
        <w:t xml:space="preserve">, Amemiya H, Sekikawa T, Iizuka H, Takahashi A, Fujii H, Matsumoto Y. Clinicopathologic features of gastric cancers producing alpha-fetoprotein. </w:t>
      </w:r>
      <w:r w:rsidRPr="005C7810">
        <w:rPr>
          <w:rFonts w:ascii="Book Antiqua" w:eastAsia="等线" w:hAnsi="Book Antiqua" w:cs="Times New Roman"/>
          <w:i/>
          <w:kern w:val="2"/>
          <w:sz w:val="24"/>
          <w:szCs w:val="24"/>
          <w:lang w:val="en-US" w:eastAsia="zh-CN"/>
        </w:rPr>
        <w:t>Dig Surg</w:t>
      </w:r>
      <w:r w:rsidRPr="005C7810">
        <w:rPr>
          <w:rFonts w:ascii="Book Antiqua" w:eastAsia="等线" w:hAnsi="Book Antiqua" w:cs="Times New Roman"/>
          <w:kern w:val="2"/>
          <w:sz w:val="24"/>
          <w:szCs w:val="24"/>
          <w:lang w:val="en-US" w:eastAsia="zh-CN"/>
        </w:rPr>
        <w:t xml:space="preserve"> 2002; </w:t>
      </w:r>
      <w:r w:rsidRPr="005C7810">
        <w:rPr>
          <w:rFonts w:ascii="Book Antiqua" w:eastAsia="等线" w:hAnsi="Book Antiqua" w:cs="Times New Roman"/>
          <w:b/>
          <w:kern w:val="2"/>
          <w:sz w:val="24"/>
          <w:szCs w:val="24"/>
          <w:lang w:val="en-US" w:eastAsia="zh-CN"/>
        </w:rPr>
        <w:t>19</w:t>
      </w:r>
      <w:r w:rsidRPr="005C7810">
        <w:rPr>
          <w:rFonts w:ascii="Book Antiqua" w:eastAsia="等线" w:hAnsi="Book Antiqua" w:cs="Times New Roman"/>
          <w:kern w:val="2"/>
          <w:sz w:val="24"/>
          <w:szCs w:val="24"/>
          <w:lang w:val="en-US" w:eastAsia="zh-CN"/>
        </w:rPr>
        <w:t>: 359-65; discussion 365 [PMID: 12435906 DOI: 10.1159/000065838]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51 </w:t>
      </w:r>
      <w:r w:rsidRPr="005C7810">
        <w:rPr>
          <w:rFonts w:ascii="Book Antiqua" w:eastAsia="等线" w:hAnsi="Book Antiqua" w:cs="Times New Roman"/>
          <w:b/>
          <w:kern w:val="2"/>
          <w:sz w:val="24"/>
          <w:szCs w:val="24"/>
          <w:lang w:val="en-US" w:eastAsia="zh-CN"/>
        </w:rPr>
        <w:t>Akiyama T,</w:t>
      </w:r>
      <w:r w:rsidRPr="005C7810">
        <w:rPr>
          <w:rFonts w:ascii="Book Antiqua" w:eastAsia="等线" w:hAnsi="Book Antiqua" w:cs="Times New Roman"/>
          <w:kern w:val="2"/>
          <w:sz w:val="24"/>
          <w:szCs w:val="24"/>
          <w:lang w:val="en-US" w:eastAsia="zh-CN"/>
        </w:rPr>
        <w:t xml:space="preserve"> Sudo C, Ogawara H, Toyoshima K, Yamamoto T. The product of the human c-erbB-2 gene: a 185-kilodalton glycoprotein with tyrosine kinase activity. Science 1986; 232: 1644-1646 PMID: 3012781</w:t>
      </w:r>
      <w:r w:rsidRPr="005C7810">
        <w:rPr>
          <w:rFonts w:ascii="Book Antiqua" w:eastAsia="等线" w:hAnsi="Book Antiqua" w:cs="Times New Roman" w:hint="eastAsia"/>
          <w:kern w:val="2"/>
          <w:sz w:val="24"/>
          <w:szCs w:val="24"/>
          <w:lang w:val="en-US" w:eastAsia="zh-CN"/>
        </w:rPr>
        <w:t xml:space="preserve"> </w:t>
      </w:r>
      <w:r w:rsidRPr="005C7810">
        <w:rPr>
          <w:rFonts w:ascii="Book Antiqua" w:eastAsia="等线" w:hAnsi="Book Antiqua" w:cs="Times New Roman"/>
          <w:kern w:val="2"/>
          <w:sz w:val="24"/>
          <w:szCs w:val="24"/>
          <w:lang w:val="en-US" w:eastAsia="zh-CN"/>
        </w:rPr>
        <w:t>DOI:</w:t>
      </w:r>
      <w:r w:rsidRPr="005C7810">
        <w:rPr>
          <w:rFonts w:ascii="Book Antiqua" w:eastAsia="等线" w:hAnsi="Book Antiqua" w:cs="Times New Roman" w:hint="eastAsia"/>
          <w:kern w:val="2"/>
          <w:sz w:val="24"/>
          <w:szCs w:val="24"/>
          <w:lang w:val="en-US" w:eastAsia="zh-CN"/>
        </w:rPr>
        <w:t xml:space="preserve"> </w:t>
      </w:r>
      <w:r w:rsidRPr="005C7810">
        <w:rPr>
          <w:rFonts w:ascii="Book Antiqua" w:eastAsia="等线" w:hAnsi="Book Antiqua" w:cs="Times New Roman"/>
          <w:kern w:val="2"/>
          <w:sz w:val="24"/>
          <w:szCs w:val="24"/>
          <w:lang w:val="en-US" w:eastAsia="zh-CN"/>
        </w:rPr>
        <w:t>10.1126/science.3012781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52 </w:t>
      </w:r>
      <w:r w:rsidRPr="005C7810">
        <w:rPr>
          <w:rFonts w:ascii="Book Antiqua" w:eastAsia="等线" w:hAnsi="Book Antiqua" w:cs="Times New Roman"/>
          <w:b/>
          <w:kern w:val="2"/>
          <w:sz w:val="24"/>
          <w:szCs w:val="24"/>
          <w:lang w:val="en-US" w:eastAsia="zh-CN"/>
        </w:rPr>
        <w:t>Sheng WQ</w:t>
      </w:r>
      <w:r w:rsidRPr="005C7810">
        <w:rPr>
          <w:rFonts w:ascii="Book Antiqua" w:eastAsia="等线" w:hAnsi="Book Antiqua" w:cs="Times New Roman"/>
          <w:kern w:val="2"/>
          <w:sz w:val="24"/>
          <w:szCs w:val="24"/>
          <w:lang w:val="en-US" w:eastAsia="zh-CN"/>
        </w:rPr>
        <w:t xml:space="preserve">, Huang D, Ying JM, Lu N, Wu HM, Liu YH, Liu JP, Bu H, Zhou XY, Du X. HER2 status in gastric cancers: a retrospective analysis from four Chinese representative clinical centers and assessment of its prognostic significance.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24</w:t>
      </w:r>
      <w:r w:rsidRPr="005C7810">
        <w:rPr>
          <w:rFonts w:ascii="Book Antiqua" w:eastAsia="等线" w:hAnsi="Book Antiqua" w:cs="Times New Roman"/>
          <w:kern w:val="2"/>
          <w:sz w:val="24"/>
          <w:szCs w:val="24"/>
          <w:lang w:val="en-US" w:eastAsia="zh-CN"/>
        </w:rPr>
        <w:t>: 2360-2364 [PMID: 23788757 DOI: 10.1093/annonc/mdt232]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53 </w:t>
      </w:r>
      <w:r w:rsidRPr="005C7810">
        <w:rPr>
          <w:rFonts w:ascii="Book Antiqua" w:eastAsia="等线" w:hAnsi="Book Antiqua" w:cs="Times New Roman"/>
          <w:b/>
          <w:kern w:val="2"/>
          <w:sz w:val="24"/>
          <w:szCs w:val="24"/>
          <w:lang w:val="en-US" w:eastAsia="zh-CN"/>
        </w:rPr>
        <w:t>Gravalos C</w:t>
      </w:r>
      <w:r w:rsidRPr="005C7810">
        <w:rPr>
          <w:rFonts w:ascii="Book Antiqua" w:eastAsia="等线" w:hAnsi="Book Antiqua" w:cs="Times New Roman"/>
          <w:kern w:val="2"/>
          <w:sz w:val="24"/>
          <w:szCs w:val="24"/>
          <w:lang w:val="en-US" w:eastAsia="zh-CN"/>
        </w:rPr>
        <w:t xml:space="preserve">, Jimeno A. HER2 in gastric cancer: a new prognostic factor and a novel therapeutic target.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2008; </w:t>
      </w:r>
      <w:r w:rsidRPr="005C7810">
        <w:rPr>
          <w:rFonts w:ascii="Book Antiqua" w:eastAsia="等线" w:hAnsi="Book Antiqua" w:cs="Times New Roman"/>
          <w:b/>
          <w:kern w:val="2"/>
          <w:sz w:val="24"/>
          <w:szCs w:val="24"/>
          <w:lang w:val="en-US" w:eastAsia="zh-CN"/>
        </w:rPr>
        <w:t>19</w:t>
      </w:r>
      <w:r w:rsidRPr="005C7810">
        <w:rPr>
          <w:rFonts w:ascii="Book Antiqua" w:eastAsia="等线" w:hAnsi="Book Antiqua" w:cs="Times New Roman"/>
          <w:kern w:val="2"/>
          <w:sz w:val="24"/>
          <w:szCs w:val="24"/>
          <w:lang w:val="en-US" w:eastAsia="zh-CN"/>
        </w:rPr>
        <w:t>: 1523-1529 [PMID: 18441328 DOI: 10.1093/annonc/mdn169]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54 </w:t>
      </w:r>
      <w:r w:rsidRPr="005C7810">
        <w:rPr>
          <w:rFonts w:ascii="Book Antiqua" w:eastAsia="等线" w:hAnsi="Book Antiqua" w:cs="Times New Roman"/>
          <w:b/>
          <w:kern w:val="2"/>
          <w:sz w:val="24"/>
          <w:szCs w:val="24"/>
          <w:lang w:val="en-US" w:eastAsia="zh-CN"/>
        </w:rPr>
        <w:t>Janjigian YY</w:t>
      </w:r>
      <w:r w:rsidRPr="005C7810">
        <w:rPr>
          <w:rFonts w:ascii="Book Antiqua" w:eastAsia="等线" w:hAnsi="Book Antiqua" w:cs="Times New Roman"/>
          <w:kern w:val="2"/>
          <w:sz w:val="24"/>
          <w:szCs w:val="24"/>
          <w:lang w:val="en-US" w:eastAsia="zh-CN"/>
        </w:rPr>
        <w:t xml:space="preserve">, Werner D, Pauligk C, Steinmetz K, Kelsen DP, Jäger E, Altmannsberger HM, Robinson E, Tafe LJ, Tang LH, Shah MA, Al-Batran SE. Prognosis of metastatic gastric and gastroesophageal junction cancer by HER2 status: a European and USA International collaborative analysis.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23</w:t>
      </w:r>
      <w:r w:rsidRPr="005C7810">
        <w:rPr>
          <w:rFonts w:ascii="Book Antiqua" w:eastAsia="等线" w:hAnsi="Book Antiqua" w:cs="Times New Roman"/>
          <w:kern w:val="2"/>
          <w:sz w:val="24"/>
          <w:szCs w:val="24"/>
          <w:lang w:val="en-US" w:eastAsia="zh-CN"/>
        </w:rPr>
        <w:t>: 2656-2662 [PMID: 22689179 DOI: 10.1093/annonc/mds104]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55 </w:t>
      </w:r>
      <w:r w:rsidRPr="005C7810">
        <w:rPr>
          <w:rFonts w:ascii="Book Antiqua" w:eastAsia="等线" w:hAnsi="Book Antiqua" w:cs="Times New Roman"/>
          <w:b/>
          <w:kern w:val="2"/>
          <w:sz w:val="24"/>
          <w:szCs w:val="24"/>
          <w:lang w:val="en-US" w:eastAsia="zh-CN"/>
        </w:rPr>
        <w:t>Bozzetti C</w:t>
      </w:r>
      <w:r w:rsidRPr="005C7810">
        <w:rPr>
          <w:rFonts w:ascii="Book Antiqua" w:eastAsia="等线" w:hAnsi="Book Antiqua" w:cs="Times New Roman"/>
          <w:kern w:val="2"/>
          <w:sz w:val="24"/>
          <w:szCs w:val="24"/>
          <w:lang w:val="en-US" w:eastAsia="zh-CN"/>
        </w:rPr>
        <w:t xml:space="preserve">, Negri FV, Lagrasta CA, Crafa P, Bassano C, Tamagnini I, Gardini G, Nizzoli R, Leonardi F, Gasparro D, Camisa R, Cavalli S, Silini EM, Ardizzoni A. Comparison of HER2 status in primary and paired metastatic sites of gastric carcinoma.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104</w:t>
      </w:r>
      <w:r w:rsidRPr="005C7810">
        <w:rPr>
          <w:rFonts w:ascii="Book Antiqua" w:eastAsia="等线" w:hAnsi="Book Antiqua" w:cs="Times New Roman"/>
          <w:kern w:val="2"/>
          <w:sz w:val="24"/>
          <w:szCs w:val="24"/>
          <w:lang w:val="en-US" w:eastAsia="zh-CN"/>
        </w:rPr>
        <w:t>: 1372-1376 [PMID: 21487407 DOI: 10.1038/bjc.2011.121]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56 </w:t>
      </w:r>
      <w:r w:rsidRPr="005C7810">
        <w:rPr>
          <w:rFonts w:ascii="Book Antiqua" w:eastAsia="等线" w:hAnsi="Book Antiqua" w:cs="Times New Roman"/>
          <w:b/>
          <w:kern w:val="2"/>
          <w:sz w:val="24"/>
          <w:szCs w:val="24"/>
          <w:lang w:val="en-US" w:eastAsia="zh-CN"/>
        </w:rPr>
        <w:t>Kim MA</w:t>
      </w:r>
      <w:r w:rsidRPr="005C7810">
        <w:rPr>
          <w:rFonts w:ascii="Book Antiqua" w:eastAsia="等线" w:hAnsi="Book Antiqua" w:cs="Times New Roman"/>
          <w:kern w:val="2"/>
          <w:sz w:val="24"/>
          <w:szCs w:val="24"/>
          <w:lang w:val="en-US" w:eastAsia="zh-CN"/>
        </w:rPr>
        <w:t xml:space="preserve">, Lee HS, Lee HE, Jeon YK, Yang HK, Kim WH. EGFR in gastric carcinomas: prognostic significance of protein overexpression and high gene copy number. </w:t>
      </w:r>
      <w:r w:rsidRPr="005C7810">
        <w:rPr>
          <w:rFonts w:ascii="Book Antiqua" w:eastAsia="等线" w:hAnsi="Book Antiqua" w:cs="Times New Roman"/>
          <w:i/>
          <w:kern w:val="2"/>
          <w:sz w:val="24"/>
          <w:szCs w:val="24"/>
          <w:lang w:val="en-US" w:eastAsia="zh-CN"/>
        </w:rPr>
        <w:t>Histopathology</w:t>
      </w:r>
      <w:r w:rsidRPr="005C7810">
        <w:rPr>
          <w:rFonts w:ascii="Book Antiqua" w:eastAsia="等线" w:hAnsi="Book Antiqua" w:cs="Times New Roman"/>
          <w:kern w:val="2"/>
          <w:sz w:val="24"/>
          <w:szCs w:val="24"/>
          <w:lang w:val="en-US" w:eastAsia="zh-CN"/>
        </w:rPr>
        <w:t xml:space="preserve"> 2008; </w:t>
      </w:r>
      <w:r w:rsidRPr="005C7810">
        <w:rPr>
          <w:rFonts w:ascii="Book Antiqua" w:eastAsia="等线" w:hAnsi="Book Antiqua" w:cs="Times New Roman"/>
          <w:b/>
          <w:kern w:val="2"/>
          <w:sz w:val="24"/>
          <w:szCs w:val="24"/>
          <w:lang w:val="en-US" w:eastAsia="zh-CN"/>
        </w:rPr>
        <w:t>52</w:t>
      </w:r>
      <w:r w:rsidRPr="005C7810">
        <w:rPr>
          <w:rFonts w:ascii="Book Antiqua" w:eastAsia="等线" w:hAnsi="Book Antiqua" w:cs="Times New Roman"/>
          <w:kern w:val="2"/>
          <w:sz w:val="24"/>
          <w:szCs w:val="24"/>
          <w:lang w:val="en-US" w:eastAsia="zh-CN"/>
        </w:rPr>
        <w:t>: 738-746 [PMID: 18397279 DOI: 10.1111/j.1365-2559.2008.03021.x]</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57 </w:t>
      </w:r>
      <w:r w:rsidRPr="005C7810">
        <w:rPr>
          <w:rFonts w:ascii="Book Antiqua" w:eastAsia="等线" w:hAnsi="Book Antiqua" w:cs="Times New Roman"/>
          <w:b/>
          <w:kern w:val="2"/>
          <w:sz w:val="24"/>
          <w:szCs w:val="24"/>
          <w:lang w:val="en-US" w:eastAsia="zh-CN"/>
        </w:rPr>
        <w:t>Wang KL</w:t>
      </w:r>
      <w:r w:rsidRPr="005C7810">
        <w:rPr>
          <w:rFonts w:ascii="Book Antiqua" w:eastAsia="等线" w:hAnsi="Book Antiqua" w:cs="Times New Roman"/>
          <w:kern w:val="2"/>
          <w:sz w:val="24"/>
          <w:szCs w:val="24"/>
          <w:lang w:val="en-US" w:eastAsia="zh-CN"/>
        </w:rPr>
        <w:t xml:space="preserve">, Wu TT, Choi IS, Wang H, Resetkova E, Correa AM, Hofstetter WL, Swisher SG, Ajani JA, Rashid A, Albarracin CT. Expression of epidermal growth factor receptor in esophageal and esophagogastric junction adenocarcinomas: association with poor outcome. </w:t>
      </w:r>
      <w:r w:rsidRPr="005C7810">
        <w:rPr>
          <w:rFonts w:ascii="Book Antiqua" w:eastAsia="等线" w:hAnsi="Book Antiqua" w:cs="Times New Roman"/>
          <w:i/>
          <w:kern w:val="2"/>
          <w:sz w:val="24"/>
          <w:szCs w:val="24"/>
          <w:lang w:val="en-US" w:eastAsia="zh-CN"/>
        </w:rPr>
        <w:t>Cancer</w:t>
      </w:r>
      <w:r w:rsidRPr="005C7810">
        <w:rPr>
          <w:rFonts w:ascii="Book Antiqua" w:eastAsia="等线" w:hAnsi="Book Antiqua" w:cs="Times New Roman"/>
          <w:kern w:val="2"/>
          <w:sz w:val="24"/>
          <w:szCs w:val="24"/>
          <w:lang w:val="en-US" w:eastAsia="zh-CN"/>
        </w:rPr>
        <w:t xml:space="preserve"> 2007; </w:t>
      </w:r>
      <w:r w:rsidRPr="005C7810">
        <w:rPr>
          <w:rFonts w:ascii="Book Antiqua" w:eastAsia="等线" w:hAnsi="Book Antiqua" w:cs="Times New Roman"/>
          <w:b/>
          <w:kern w:val="2"/>
          <w:sz w:val="24"/>
          <w:szCs w:val="24"/>
          <w:lang w:val="en-US" w:eastAsia="zh-CN"/>
        </w:rPr>
        <w:t>109</w:t>
      </w:r>
      <w:r w:rsidRPr="005C7810">
        <w:rPr>
          <w:rFonts w:ascii="Book Antiqua" w:eastAsia="等线" w:hAnsi="Book Antiqua" w:cs="Times New Roman"/>
          <w:kern w:val="2"/>
          <w:sz w:val="24"/>
          <w:szCs w:val="24"/>
          <w:lang w:val="en-US" w:eastAsia="zh-CN"/>
        </w:rPr>
        <w:t>: 658-667 [PMID: 17211865 DOI: 10.1002/cncr.22445]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58 </w:t>
      </w:r>
      <w:r w:rsidRPr="005C7810">
        <w:rPr>
          <w:rFonts w:ascii="Book Antiqua" w:eastAsia="等线" w:hAnsi="Book Antiqua" w:cs="Times New Roman"/>
          <w:b/>
          <w:kern w:val="2"/>
          <w:sz w:val="24"/>
          <w:szCs w:val="24"/>
          <w:lang w:val="en-US" w:eastAsia="zh-CN"/>
        </w:rPr>
        <w:t>Liu S</w:t>
      </w:r>
      <w:r w:rsidRPr="005C7810">
        <w:rPr>
          <w:rFonts w:ascii="Book Antiqua" w:eastAsia="等线" w:hAnsi="Book Antiqua" w:cs="Times New Roman"/>
          <w:kern w:val="2"/>
          <w:sz w:val="24"/>
          <w:szCs w:val="24"/>
          <w:lang w:val="en-US" w:eastAsia="zh-CN"/>
        </w:rPr>
        <w:t xml:space="preserve">, Yang H, Ge X, Su L, Zhang A, Liang L. Drug resistance analysis of gefitinib-targeted therapy in non-small cell lung cancer. </w:t>
      </w:r>
      <w:r w:rsidRPr="005C7810">
        <w:rPr>
          <w:rFonts w:ascii="Book Antiqua" w:eastAsia="等线" w:hAnsi="Book Antiqua" w:cs="Times New Roman"/>
          <w:i/>
          <w:kern w:val="2"/>
          <w:sz w:val="24"/>
          <w:szCs w:val="24"/>
          <w:lang w:val="en-US" w:eastAsia="zh-CN"/>
        </w:rPr>
        <w:t>Oncol Lett</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3941-3943 [PMID: 27895753 DOI: 10.3892/ol.2016.5171]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59 </w:t>
      </w:r>
      <w:r w:rsidRPr="005C7810">
        <w:rPr>
          <w:rFonts w:ascii="Book Antiqua" w:eastAsia="等线" w:hAnsi="Book Antiqua" w:cs="Times New Roman"/>
          <w:b/>
          <w:kern w:val="2"/>
          <w:sz w:val="24"/>
          <w:szCs w:val="24"/>
          <w:lang w:val="en-US" w:eastAsia="zh-CN"/>
        </w:rPr>
        <w:t>Westover D</w:t>
      </w:r>
      <w:r w:rsidRPr="005C7810">
        <w:rPr>
          <w:rFonts w:ascii="Book Antiqua" w:eastAsia="等线" w:hAnsi="Book Antiqua" w:cs="Times New Roman"/>
          <w:kern w:val="2"/>
          <w:sz w:val="24"/>
          <w:szCs w:val="24"/>
          <w:lang w:val="en-US" w:eastAsia="zh-CN"/>
        </w:rPr>
        <w:t xml:space="preserve">, Zugazagoitia J, Cho BC, Lovly CM, Paz-Ares L. Mechanisms of acquired resistance to first- and second-generation EGFR tyrosine kinase inhibitors.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29</w:t>
      </w:r>
      <w:r w:rsidRPr="005C7810">
        <w:rPr>
          <w:rFonts w:ascii="Book Antiqua" w:eastAsia="等线" w:hAnsi="Book Antiqua" w:cs="Times New Roman"/>
          <w:kern w:val="2"/>
          <w:sz w:val="24"/>
          <w:szCs w:val="24"/>
          <w:lang w:val="en-US" w:eastAsia="zh-CN"/>
        </w:rPr>
        <w:t>: i10-i19 [PMID: 29462254 DOI: 10.1093/annonc/mdx703]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60 </w:t>
      </w:r>
      <w:r w:rsidRPr="005C7810">
        <w:rPr>
          <w:rFonts w:ascii="Book Antiqua" w:eastAsia="等线" w:hAnsi="Book Antiqua" w:cs="Times New Roman"/>
          <w:b/>
          <w:kern w:val="2"/>
          <w:sz w:val="24"/>
          <w:szCs w:val="24"/>
          <w:lang w:val="en-US" w:eastAsia="zh-CN"/>
        </w:rPr>
        <w:t>Betts G</w:t>
      </w:r>
      <w:r w:rsidRPr="005C7810">
        <w:rPr>
          <w:rFonts w:ascii="Book Antiqua" w:eastAsia="等线" w:hAnsi="Book Antiqua" w:cs="Times New Roman"/>
          <w:kern w:val="2"/>
          <w:sz w:val="24"/>
          <w:szCs w:val="24"/>
          <w:lang w:val="en-US" w:eastAsia="zh-CN"/>
        </w:rPr>
        <w:t xml:space="preserve">, Valentine H, Pritchard S, Swindell R, Williams V, Morgan S, Griffiths EA, Welch I, West C, Womack C. FGFR2, HER2 and cMet in gastric adenocarcinoma: detection, prognostic significance and assessment of downstream pathway activation. </w:t>
      </w:r>
      <w:r w:rsidRPr="005C7810">
        <w:rPr>
          <w:rFonts w:ascii="Book Antiqua" w:eastAsia="等线" w:hAnsi="Book Antiqua" w:cs="Times New Roman"/>
          <w:i/>
          <w:kern w:val="2"/>
          <w:sz w:val="24"/>
          <w:szCs w:val="24"/>
          <w:lang w:val="en-US" w:eastAsia="zh-CN"/>
        </w:rPr>
        <w:t>Virchows Arch</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464</w:t>
      </w:r>
      <w:r w:rsidRPr="005C7810">
        <w:rPr>
          <w:rFonts w:ascii="Book Antiqua" w:eastAsia="等线" w:hAnsi="Book Antiqua" w:cs="Times New Roman"/>
          <w:kern w:val="2"/>
          <w:sz w:val="24"/>
          <w:szCs w:val="24"/>
          <w:lang w:val="en-US" w:eastAsia="zh-CN"/>
        </w:rPr>
        <w:t>: 145-156 [PMID: 24306956 DOI: 10.1007/s00428-013-1517-y]</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61 </w:t>
      </w:r>
      <w:r w:rsidRPr="005C7810">
        <w:rPr>
          <w:rFonts w:ascii="Book Antiqua" w:eastAsia="等线" w:hAnsi="Book Antiqua" w:cs="Times New Roman"/>
          <w:b/>
          <w:kern w:val="2"/>
          <w:sz w:val="24"/>
          <w:szCs w:val="24"/>
          <w:lang w:val="en-US" w:eastAsia="zh-CN"/>
        </w:rPr>
        <w:t>Hosoda K</w:t>
      </w:r>
      <w:r w:rsidRPr="005C7810">
        <w:rPr>
          <w:rFonts w:ascii="Book Antiqua" w:eastAsia="等线" w:hAnsi="Book Antiqua" w:cs="Times New Roman"/>
          <w:kern w:val="2"/>
          <w:sz w:val="24"/>
          <w:szCs w:val="24"/>
          <w:lang w:val="en-US" w:eastAsia="zh-CN"/>
        </w:rPr>
        <w:t xml:space="preserve">, Yamashita K, Ushiku H, Ema A, Moriya H, Mieno H, Washio M, Watanabe M. Prognostic relevance of FGFR2 expression in stage II/III gastric cancer with curative resection and S-1 chemotherapy. </w:t>
      </w:r>
      <w:r w:rsidRPr="005C7810">
        <w:rPr>
          <w:rFonts w:ascii="Book Antiqua" w:eastAsia="等线" w:hAnsi="Book Antiqua" w:cs="Times New Roman"/>
          <w:i/>
          <w:kern w:val="2"/>
          <w:sz w:val="24"/>
          <w:szCs w:val="24"/>
          <w:lang w:val="en-US" w:eastAsia="zh-CN"/>
        </w:rPr>
        <w:t>Oncol Lett</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15</w:t>
      </w:r>
      <w:r w:rsidRPr="005C7810">
        <w:rPr>
          <w:rFonts w:ascii="Book Antiqua" w:eastAsia="等线" w:hAnsi="Book Antiqua" w:cs="Times New Roman"/>
          <w:kern w:val="2"/>
          <w:sz w:val="24"/>
          <w:szCs w:val="24"/>
          <w:lang w:val="en-US" w:eastAsia="zh-CN"/>
        </w:rPr>
        <w:t>: 1853-1860 [PMID: 29434882 DOI: 10.3892/ol.2017.7515]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62 </w:t>
      </w:r>
      <w:r w:rsidRPr="005C7810">
        <w:rPr>
          <w:rFonts w:ascii="Book Antiqua" w:eastAsia="等线" w:hAnsi="Book Antiqua" w:cs="Times New Roman"/>
          <w:b/>
          <w:kern w:val="2"/>
          <w:sz w:val="24"/>
          <w:szCs w:val="24"/>
          <w:lang w:val="en-US" w:eastAsia="zh-CN"/>
        </w:rPr>
        <w:t>Chan AO</w:t>
      </w:r>
      <w:r w:rsidRPr="005C7810">
        <w:rPr>
          <w:rFonts w:ascii="Book Antiqua" w:eastAsia="等线" w:hAnsi="Book Antiqua" w:cs="Times New Roman"/>
          <w:kern w:val="2"/>
          <w:sz w:val="24"/>
          <w:szCs w:val="24"/>
          <w:lang w:val="en-US" w:eastAsia="zh-CN"/>
        </w:rPr>
        <w:t xml:space="preserve">. E-cadherin in gastric cancer. </w:t>
      </w:r>
      <w:r w:rsidRPr="005C7810">
        <w:rPr>
          <w:rFonts w:ascii="Book Antiqua" w:eastAsia="等线" w:hAnsi="Book Antiqua" w:cs="Times New Roman"/>
          <w:i/>
          <w:kern w:val="2"/>
          <w:sz w:val="24"/>
          <w:szCs w:val="24"/>
          <w:lang w:val="en-US" w:eastAsia="zh-CN"/>
        </w:rPr>
        <w:t>World J Gastroenterol</w:t>
      </w:r>
      <w:r w:rsidRPr="005C7810">
        <w:rPr>
          <w:rFonts w:ascii="Book Antiqua" w:eastAsia="等线" w:hAnsi="Book Antiqua" w:cs="Times New Roman"/>
          <w:kern w:val="2"/>
          <w:sz w:val="24"/>
          <w:szCs w:val="24"/>
          <w:lang w:val="en-US" w:eastAsia="zh-CN"/>
        </w:rPr>
        <w:t xml:space="preserve"> 2006;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199-203 [PMID: 16482618 DOI: 10.3748/wjg.v12.i2.199]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63 </w:t>
      </w:r>
      <w:r w:rsidRPr="005C7810">
        <w:rPr>
          <w:rFonts w:ascii="Book Antiqua" w:eastAsia="等线" w:hAnsi="Book Antiqua" w:cs="Times New Roman"/>
          <w:b/>
          <w:kern w:val="2"/>
          <w:sz w:val="24"/>
          <w:szCs w:val="24"/>
          <w:lang w:val="en-US" w:eastAsia="zh-CN"/>
        </w:rPr>
        <w:t>Corso G</w:t>
      </w:r>
      <w:r w:rsidRPr="005C7810">
        <w:rPr>
          <w:rFonts w:ascii="Book Antiqua" w:eastAsia="等线" w:hAnsi="Book Antiqua" w:cs="Times New Roman"/>
          <w:kern w:val="2"/>
          <w:sz w:val="24"/>
          <w:szCs w:val="24"/>
          <w:lang w:val="en-US" w:eastAsia="zh-CN"/>
        </w:rPr>
        <w:t xml:space="preserve">, Carvalho J, Marrelli D, Vindigni C, Carvalho B, Seruca R, Roviello F, Oliveira C. Somatic mutations and deletions of the E-cadherin gene predict poor survival of patients with gastric cancer.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31</w:t>
      </w:r>
      <w:r w:rsidRPr="005C7810">
        <w:rPr>
          <w:rFonts w:ascii="Book Antiqua" w:eastAsia="等线" w:hAnsi="Book Antiqua" w:cs="Times New Roman"/>
          <w:kern w:val="2"/>
          <w:sz w:val="24"/>
          <w:szCs w:val="24"/>
          <w:lang w:val="en-US" w:eastAsia="zh-CN"/>
        </w:rPr>
        <w:t>: 868-875 [PMID: 23341533 DOI: 10.1200/jco.2012.44.4612]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64 </w:t>
      </w:r>
      <w:r w:rsidRPr="005C7810">
        <w:rPr>
          <w:rFonts w:ascii="Book Antiqua" w:eastAsia="等线" w:hAnsi="Book Antiqua" w:cs="Times New Roman"/>
          <w:b/>
          <w:kern w:val="2"/>
          <w:sz w:val="24"/>
          <w:szCs w:val="24"/>
          <w:lang w:val="en-US" w:eastAsia="zh-CN"/>
        </w:rPr>
        <w:t>Samuels Y</w:t>
      </w:r>
      <w:r w:rsidRPr="005C7810">
        <w:rPr>
          <w:rFonts w:ascii="Book Antiqua" w:eastAsia="等线" w:hAnsi="Book Antiqua" w:cs="Times New Roman"/>
          <w:kern w:val="2"/>
          <w:sz w:val="24"/>
          <w:szCs w:val="24"/>
          <w:lang w:val="en-US" w:eastAsia="zh-CN"/>
        </w:rPr>
        <w:t xml:space="preserve">, Ericson K. Oncogenic PI3K and its role in cancer. </w:t>
      </w:r>
      <w:r w:rsidRPr="005C7810">
        <w:rPr>
          <w:rFonts w:ascii="Book Antiqua" w:eastAsia="等线" w:hAnsi="Book Antiqua" w:cs="Times New Roman"/>
          <w:i/>
          <w:kern w:val="2"/>
          <w:sz w:val="24"/>
          <w:szCs w:val="24"/>
          <w:lang w:val="en-US" w:eastAsia="zh-CN"/>
        </w:rPr>
        <w:t>Curr Opin Oncol</w:t>
      </w:r>
      <w:r w:rsidRPr="005C7810">
        <w:rPr>
          <w:rFonts w:ascii="Book Antiqua" w:eastAsia="等线" w:hAnsi="Book Antiqua" w:cs="Times New Roman"/>
          <w:kern w:val="2"/>
          <w:sz w:val="24"/>
          <w:szCs w:val="24"/>
          <w:lang w:val="en-US" w:eastAsia="zh-CN"/>
        </w:rPr>
        <w:t xml:space="preserve"> 2006; </w:t>
      </w:r>
      <w:r w:rsidRPr="005C7810">
        <w:rPr>
          <w:rFonts w:ascii="Book Antiqua" w:eastAsia="等线" w:hAnsi="Book Antiqua" w:cs="Times New Roman"/>
          <w:b/>
          <w:kern w:val="2"/>
          <w:sz w:val="24"/>
          <w:szCs w:val="24"/>
          <w:lang w:val="en-US" w:eastAsia="zh-CN"/>
        </w:rPr>
        <w:t>18</w:t>
      </w:r>
      <w:r w:rsidRPr="005C7810">
        <w:rPr>
          <w:rFonts w:ascii="Book Antiqua" w:eastAsia="等线" w:hAnsi="Book Antiqua" w:cs="Times New Roman"/>
          <w:kern w:val="2"/>
          <w:sz w:val="24"/>
          <w:szCs w:val="24"/>
          <w:lang w:val="en-US" w:eastAsia="zh-CN"/>
        </w:rPr>
        <w:t>: 77-82 [PMID: 16357568 DOI: 10.1097/01.cco.0000198021.99347.b9]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65 </w:t>
      </w:r>
      <w:r w:rsidRPr="005C7810">
        <w:rPr>
          <w:rFonts w:ascii="Book Antiqua" w:eastAsia="等线" w:hAnsi="Book Antiqua" w:cs="Times New Roman"/>
          <w:b/>
          <w:kern w:val="2"/>
          <w:sz w:val="24"/>
          <w:szCs w:val="24"/>
          <w:lang w:val="en-US" w:eastAsia="zh-CN"/>
        </w:rPr>
        <w:t>Wen YG</w:t>
      </w:r>
      <w:r w:rsidRPr="005C7810">
        <w:rPr>
          <w:rFonts w:ascii="Book Antiqua" w:eastAsia="等线" w:hAnsi="Book Antiqua" w:cs="Times New Roman"/>
          <w:kern w:val="2"/>
          <w:sz w:val="24"/>
          <w:szCs w:val="24"/>
          <w:lang w:val="en-US" w:eastAsia="zh-CN"/>
        </w:rPr>
        <w:t xml:space="preserve">, Wang Q, Zhou CZ, Qiu GQ, Peng ZH, Tang HM. Mutation analysis of tumor suppressor gene PTEN in patients with gastric carcinomas and its impact on PI3K/AKT pathway. </w:t>
      </w:r>
      <w:r w:rsidRPr="005C7810">
        <w:rPr>
          <w:rFonts w:ascii="Book Antiqua" w:eastAsia="等线" w:hAnsi="Book Antiqua" w:cs="Times New Roman"/>
          <w:i/>
          <w:kern w:val="2"/>
          <w:sz w:val="24"/>
          <w:szCs w:val="24"/>
          <w:lang w:val="en-US" w:eastAsia="zh-CN"/>
        </w:rPr>
        <w:t>Oncol Rep</w:t>
      </w:r>
      <w:r w:rsidRPr="005C7810">
        <w:rPr>
          <w:rFonts w:ascii="Book Antiqua" w:eastAsia="等线" w:hAnsi="Book Antiqua" w:cs="Times New Roman"/>
          <w:kern w:val="2"/>
          <w:sz w:val="24"/>
          <w:szCs w:val="24"/>
          <w:lang w:val="en-US" w:eastAsia="zh-CN"/>
        </w:rPr>
        <w:t xml:space="preserve"> 2010; </w:t>
      </w:r>
      <w:r w:rsidRPr="005C7810">
        <w:rPr>
          <w:rFonts w:ascii="Book Antiqua" w:eastAsia="等线" w:hAnsi="Book Antiqua" w:cs="Times New Roman"/>
          <w:b/>
          <w:kern w:val="2"/>
          <w:sz w:val="24"/>
          <w:szCs w:val="24"/>
          <w:lang w:val="en-US" w:eastAsia="zh-CN"/>
        </w:rPr>
        <w:t>24</w:t>
      </w:r>
      <w:r w:rsidRPr="005C7810">
        <w:rPr>
          <w:rFonts w:ascii="Book Antiqua" w:eastAsia="等线" w:hAnsi="Book Antiqua" w:cs="Times New Roman"/>
          <w:kern w:val="2"/>
          <w:sz w:val="24"/>
          <w:szCs w:val="24"/>
          <w:lang w:val="en-US" w:eastAsia="zh-CN"/>
        </w:rPr>
        <w:t>: 89-95 [PMID: 20514448 DOI: 10.3892/or_00000832]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66 </w:t>
      </w:r>
      <w:r w:rsidRPr="005C7810">
        <w:rPr>
          <w:rFonts w:ascii="Book Antiqua" w:eastAsia="等线" w:hAnsi="Book Antiqua" w:cs="Times New Roman"/>
          <w:b/>
          <w:kern w:val="2"/>
          <w:sz w:val="24"/>
          <w:szCs w:val="24"/>
          <w:lang w:val="en-US" w:eastAsia="zh-CN"/>
        </w:rPr>
        <w:t>Lang SA</w:t>
      </w:r>
      <w:r w:rsidRPr="005C7810">
        <w:rPr>
          <w:rFonts w:ascii="Book Antiqua" w:eastAsia="等线" w:hAnsi="Book Antiqua" w:cs="Times New Roman"/>
          <w:kern w:val="2"/>
          <w:sz w:val="24"/>
          <w:szCs w:val="24"/>
          <w:lang w:val="en-US" w:eastAsia="zh-CN"/>
        </w:rPr>
        <w:t xml:space="preserve">, Gaumann A, Koehl GE, Seidel U, Bataille F, Klein D, Ellis LM, Bolder U, Hofstaedter F, Schlitt HJ, Geissler EK, Stoeltzing O. Mammalian target of rapamycin is activated in human gastric cancer and serves as a target for therapy in an experimental model. </w:t>
      </w:r>
      <w:r w:rsidRPr="005C7810">
        <w:rPr>
          <w:rFonts w:ascii="Book Antiqua" w:eastAsia="等线" w:hAnsi="Book Antiqua" w:cs="Times New Roman"/>
          <w:i/>
          <w:kern w:val="2"/>
          <w:sz w:val="24"/>
          <w:szCs w:val="24"/>
          <w:lang w:val="en-US" w:eastAsia="zh-CN"/>
        </w:rPr>
        <w:t>Int J Cancer</w:t>
      </w:r>
      <w:r w:rsidRPr="005C7810">
        <w:rPr>
          <w:rFonts w:ascii="Book Antiqua" w:eastAsia="等线" w:hAnsi="Book Antiqua" w:cs="Times New Roman"/>
          <w:kern w:val="2"/>
          <w:sz w:val="24"/>
          <w:szCs w:val="24"/>
          <w:lang w:val="en-US" w:eastAsia="zh-CN"/>
        </w:rPr>
        <w:t xml:space="preserve"> 2007; </w:t>
      </w:r>
      <w:r w:rsidRPr="005C7810">
        <w:rPr>
          <w:rFonts w:ascii="Book Antiqua" w:eastAsia="等线" w:hAnsi="Book Antiqua" w:cs="Times New Roman"/>
          <w:b/>
          <w:kern w:val="2"/>
          <w:sz w:val="24"/>
          <w:szCs w:val="24"/>
          <w:lang w:val="en-US" w:eastAsia="zh-CN"/>
        </w:rPr>
        <w:t>120</w:t>
      </w:r>
      <w:r w:rsidRPr="005C7810">
        <w:rPr>
          <w:rFonts w:ascii="Book Antiqua" w:eastAsia="等线" w:hAnsi="Book Antiqua" w:cs="Times New Roman"/>
          <w:kern w:val="2"/>
          <w:sz w:val="24"/>
          <w:szCs w:val="24"/>
          <w:lang w:val="en-US" w:eastAsia="zh-CN"/>
        </w:rPr>
        <w:t>: 1803-1810 [PMID: 17230506 DOI: 10.1002/ijc.22442]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67 </w:t>
      </w:r>
      <w:r w:rsidRPr="005C7810">
        <w:rPr>
          <w:rFonts w:ascii="Book Antiqua" w:eastAsia="等线" w:hAnsi="Book Antiqua" w:cs="Times New Roman"/>
          <w:b/>
          <w:kern w:val="2"/>
          <w:sz w:val="24"/>
          <w:szCs w:val="24"/>
          <w:lang w:val="en-US" w:eastAsia="zh-CN"/>
        </w:rPr>
        <w:t>Matsuoka T</w:t>
      </w:r>
      <w:r w:rsidRPr="005C7810">
        <w:rPr>
          <w:rFonts w:ascii="Book Antiqua" w:eastAsia="等线" w:hAnsi="Book Antiqua" w:cs="Times New Roman"/>
          <w:kern w:val="2"/>
          <w:sz w:val="24"/>
          <w:szCs w:val="24"/>
          <w:lang w:val="en-US" w:eastAsia="zh-CN"/>
        </w:rPr>
        <w:t xml:space="preserve">, Yashiro M. The Role of PI3K/Akt/mTOR Signaling in Gastric Carcinoma. </w:t>
      </w:r>
      <w:r w:rsidRPr="005C7810">
        <w:rPr>
          <w:rFonts w:ascii="Book Antiqua" w:eastAsia="等线" w:hAnsi="Book Antiqua" w:cs="Times New Roman"/>
          <w:i/>
          <w:kern w:val="2"/>
          <w:sz w:val="24"/>
          <w:szCs w:val="24"/>
          <w:lang w:val="en-US" w:eastAsia="zh-CN"/>
        </w:rPr>
        <w:t>Cancers (Basel)</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6</w:t>
      </w:r>
      <w:r w:rsidRPr="005C7810">
        <w:rPr>
          <w:rFonts w:ascii="Book Antiqua" w:eastAsia="等线" w:hAnsi="Book Antiqua" w:cs="Times New Roman"/>
          <w:kern w:val="2"/>
          <w:sz w:val="24"/>
          <w:szCs w:val="24"/>
          <w:lang w:val="en-US" w:eastAsia="zh-CN"/>
        </w:rPr>
        <w:t>: 1441-1463 [PMID: 25003395 DOI: 10.3390/cancers6031441]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68 </w:t>
      </w:r>
      <w:r w:rsidRPr="005C7810">
        <w:rPr>
          <w:rFonts w:ascii="Book Antiqua" w:eastAsia="等线" w:hAnsi="Book Antiqua" w:cs="Times New Roman"/>
          <w:b/>
          <w:kern w:val="2"/>
          <w:sz w:val="24"/>
          <w:szCs w:val="24"/>
          <w:lang w:val="en-US" w:eastAsia="zh-CN"/>
        </w:rPr>
        <w:t>Iizasa H</w:t>
      </w:r>
      <w:r w:rsidRPr="005C7810">
        <w:rPr>
          <w:rFonts w:ascii="Book Antiqua" w:eastAsia="等线" w:hAnsi="Book Antiqua" w:cs="Times New Roman"/>
          <w:kern w:val="2"/>
          <w:sz w:val="24"/>
          <w:szCs w:val="24"/>
          <w:lang w:val="en-US" w:eastAsia="zh-CN"/>
        </w:rPr>
        <w:t xml:space="preserve">, Nanbo A, Nishikawa J, Jinushi M, Yoshiyama H. Epstein-Barr Virus (EBV)-associated gastric carcinoma. </w:t>
      </w:r>
      <w:r w:rsidRPr="005C7810">
        <w:rPr>
          <w:rFonts w:ascii="Book Antiqua" w:eastAsia="等线" w:hAnsi="Book Antiqua" w:cs="Times New Roman"/>
          <w:i/>
          <w:kern w:val="2"/>
          <w:sz w:val="24"/>
          <w:szCs w:val="24"/>
          <w:lang w:val="en-US" w:eastAsia="zh-CN"/>
        </w:rPr>
        <w:t>Viruses</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4</w:t>
      </w:r>
      <w:r w:rsidRPr="005C7810">
        <w:rPr>
          <w:rFonts w:ascii="Book Antiqua" w:eastAsia="等线" w:hAnsi="Book Antiqua" w:cs="Times New Roman"/>
          <w:kern w:val="2"/>
          <w:sz w:val="24"/>
          <w:szCs w:val="24"/>
          <w:lang w:val="en-US" w:eastAsia="zh-CN"/>
        </w:rPr>
        <w:t>: 3420-3439 [PMID: 23342366 DOI: 10.3390/v4123420]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69 </w:t>
      </w:r>
      <w:r w:rsidRPr="005C7810">
        <w:rPr>
          <w:rFonts w:ascii="Book Antiqua" w:eastAsia="等线" w:hAnsi="Book Antiqua" w:cs="Times New Roman"/>
          <w:b/>
          <w:kern w:val="2"/>
          <w:sz w:val="24"/>
          <w:szCs w:val="24"/>
          <w:lang w:val="en-US" w:eastAsia="zh-CN"/>
        </w:rPr>
        <w:t>Lee HE</w:t>
      </w:r>
      <w:r w:rsidRPr="005C7810">
        <w:rPr>
          <w:rFonts w:ascii="Book Antiqua" w:eastAsia="等线" w:hAnsi="Book Antiqua" w:cs="Times New Roman"/>
          <w:kern w:val="2"/>
          <w:sz w:val="24"/>
          <w:szCs w:val="24"/>
          <w:lang w:val="en-US" w:eastAsia="zh-CN"/>
        </w:rPr>
        <w:t xml:space="preserve">, Kim MA, Lee HS, Jung EJ, Yang HK, Lee BL, Bang YJ, Kim WH. MET in gastric carcinomas: comparison between protein expression and gene copy number and impact on clinical outcome.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107</w:t>
      </w:r>
      <w:r w:rsidRPr="005C7810">
        <w:rPr>
          <w:rFonts w:ascii="Book Antiqua" w:eastAsia="等线" w:hAnsi="Book Antiqua" w:cs="Times New Roman"/>
          <w:kern w:val="2"/>
          <w:sz w:val="24"/>
          <w:szCs w:val="24"/>
          <w:lang w:val="en-US" w:eastAsia="zh-CN"/>
        </w:rPr>
        <w:t>: 325-333 [PMID: 22644302 DOI: 10.1038/bjc.2012.237]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70 </w:t>
      </w:r>
      <w:r w:rsidRPr="005C7810">
        <w:rPr>
          <w:rFonts w:ascii="Book Antiqua" w:eastAsia="等线" w:hAnsi="Book Antiqua" w:cs="Times New Roman"/>
          <w:b/>
          <w:kern w:val="2"/>
          <w:sz w:val="24"/>
          <w:szCs w:val="24"/>
          <w:lang w:val="en-US" w:eastAsia="zh-CN"/>
        </w:rPr>
        <w:t>Noguchi E</w:t>
      </w:r>
      <w:r w:rsidRPr="005C7810">
        <w:rPr>
          <w:rFonts w:ascii="Book Antiqua" w:eastAsia="等线" w:hAnsi="Book Antiqua" w:cs="Times New Roman"/>
          <w:kern w:val="2"/>
          <w:sz w:val="24"/>
          <w:szCs w:val="24"/>
          <w:lang w:val="en-US" w:eastAsia="zh-CN"/>
        </w:rPr>
        <w:t xml:space="preserve">, Saito N, Kobayashi M, Kameoka S. Clinical significance of hepatocyte growth factor/c-Met expression in the assessment of gastric cancer progression. </w:t>
      </w:r>
      <w:r w:rsidRPr="005C7810">
        <w:rPr>
          <w:rFonts w:ascii="Book Antiqua" w:eastAsia="等线" w:hAnsi="Book Antiqua" w:cs="Times New Roman"/>
          <w:i/>
          <w:kern w:val="2"/>
          <w:sz w:val="24"/>
          <w:szCs w:val="24"/>
          <w:lang w:val="en-US" w:eastAsia="zh-CN"/>
        </w:rPr>
        <w:t>Mol Med Rep</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11</w:t>
      </w:r>
      <w:r w:rsidRPr="005C7810">
        <w:rPr>
          <w:rFonts w:ascii="Book Antiqua" w:eastAsia="等线" w:hAnsi="Book Antiqua" w:cs="Times New Roman"/>
          <w:kern w:val="2"/>
          <w:sz w:val="24"/>
          <w:szCs w:val="24"/>
          <w:lang w:val="en-US" w:eastAsia="zh-CN"/>
        </w:rPr>
        <w:t>: 3423-3431 [PMID: 25592281 DOI: 10.3892/mmr.2015.3205]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71 </w:t>
      </w:r>
      <w:r w:rsidRPr="005C7810">
        <w:rPr>
          <w:rFonts w:ascii="Book Antiqua" w:eastAsia="等线" w:hAnsi="Book Antiqua" w:cs="Times New Roman"/>
          <w:b/>
          <w:kern w:val="2"/>
          <w:sz w:val="24"/>
          <w:szCs w:val="24"/>
          <w:lang w:val="en-US" w:eastAsia="zh-CN"/>
        </w:rPr>
        <w:t>Lieto E</w:t>
      </w:r>
      <w:r w:rsidRPr="005C7810">
        <w:rPr>
          <w:rFonts w:ascii="Book Antiqua" w:eastAsia="等线" w:hAnsi="Book Antiqua" w:cs="Times New Roman"/>
          <w:kern w:val="2"/>
          <w:sz w:val="24"/>
          <w:szCs w:val="24"/>
          <w:lang w:val="en-US" w:eastAsia="zh-CN"/>
        </w:rPr>
        <w:t xml:space="preserve">, Ferraraccio F, Orditura M, Castellano P, Mura AL, Pinto M, Zamboli A, De Vita F, Galizia G. Expression of vascular endothelial growth factor (VEGF) and epidermal growth factor receptor (EGFR) is an independent prognostic indicator of worse outcome in gastric cancer patients. </w:t>
      </w:r>
      <w:r w:rsidRPr="005C7810">
        <w:rPr>
          <w:rFonts w:ascii="Book Antiqua" w:eastAsia="等线" w:hAnsi="Book Antiqua" w:cs="Times New Roman"/>
          <w:i/>
          <w:kern w:val="2"/>
          <w:sz w:val="24"/>
          <w:szCs w:val="24"/>
          <w:lang w:val="en-US" w:eastAsia="zh-CN"/>
        </w:rPr>
        <w:t>Ann Surg Oncol</w:t>
      </w:r>
      <w:r w:rsidRPr="005C7810">
        <w:rPr>
          <w:rFonts w:ascii="Book Antiqua" w:eastAsia="等线" w:hAnsi="Book Antiqua" w:cs="Times New Roman"/>
          <w:kern w:val="2"/>
          <w:sz w:val="24"/>
          <w:szCs w:val="24"/>
          <w:lang w:val="en-US" w:eastAsia="zh-CN"/>
        </w:rPr>
        <w:t xml:space="preserve"> 2008; </w:t>
      </w:r>
      <w:r w:rsidRPr="005C7810">
        <w:rPr>
          <w:rFonts w:ascii="Book Antiqua" w:eastAsia="等线" w:hAnsi="Book Antiqua" w:cs="Times New Roman"/>
          <w:b/>
          <w:kern w:val="2"/>
          <w:sz w:val="24"/>
          <w:szCs w:val="24"/>
          <w:lang w:val="en-US" w:eastAsia="zh-CN"/>
        </w:rPr>
        <w:t>15</w:t>
      </w:r>
      <w:r w:rsidRPr="005C7810">
        <w:rPr>
          <w:rFonts w:ascii="Book Antiqua" w:eastAsia="等线" w:hAnsi="Book Antiqua" w:cs="Times New Roman"/>
          <w:kern w:val="2"/>
          <w:sz w:val="24"/>
          <w:szCs w:val="24"/>
          <w:lang w:val="en-US" w:eastAsia="zh-CN"/>
        </w:rPr>
        <w:t>: 69-79 [PMID: 17896140 DOI: 10.1245/s10434-007-9596-0]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72 </w:t>
      </w:r>
      <w:r w:rsidRPr="005C7810">
        <w:rPr>
          <w:rFonts w:ascii="Book Antiqua" w:eastAsia="等线" w:hAnsi="Book Antiqua" w:cs="Times New Roman"/>
          <w:b/>
          <w:kern w:val="2"/>
          <w:sz w:val="24"/>
          <w:szCs w:val="24"/>
          <w:lang w:val="en-US" w:eastAsia="zh-CN"/>
        </w:rPr>
        <w:t>Fuchs CS</w:t>
      </w:r>
      <w:r w:rsidRPr="005C7810">
        <w:rPr>
          <w:rFonts w:ascii="Book Antiqua" w:eastAsia="等线" w:hAnsi="Book Antiqua" w:cs="Times New Roman"/>
          <w:kern w:val="2"/>
          <w:sz w:val="24"/>
          <w:szCs w:val="24"/>
          <w:lang w:val="en-US" w:eastAsia="zh-CN"/>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5C7810">
        <w:rPr>
          <w:rFonts w:ascii="Book Antiqua" w:eastAsia="等线" w:hAnsi="Book Antiqua" w:cs="Times New Roman"/>
          <w:i/>
          <w:kern w:val="2"/>
          <w:sz w:val="24"/>
          <w:szCs w:val="24"/>
          <w:lang w:val="en-US" w:eastAsia="zh-CN"/>
        </w:rPr>
        <w:t>Lancet</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383</w:t>
      </w:r>
      <w:r w:rsidRPr="005C7810">
        <w:rPr>
          <w:rFonts w:ascii="Book Antiqua" w:eastAsia="等线" w:hAnsi="Book Antiqua" w:cs="Times New Roman"/>
          <w:kern w:val="2"/>
          <w:sz w:val="24"/>
          <w:szCs w:val="24"/>
          <w:lang w:val="en-US" w:eastAsia="zh-CN"/>
        </w:rPr>
        <w:t>: 31-39 [PMID: 24094768 DOI: 10.1016/s0140-6736(13)61719-5]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73 </w:t>
      </w:r>
      <w:r w:rsidRPr="005C7810">
        <w:rPr>
          <w:rFonts w:ascii="Book Antiqua" w:eastAsia="等线" w:hAnsi="Book Antiqua" w:cs="Times New Roman"/>
          <w:b/>
          <w:kern w:val="2"/>
          <w:sz w:val="24"/>
          <w:szCs w:val="24"/>
          <w:lang w:val="en-US" w:eastAsia="zh-CN"/>
        </w:rPr>
        <w:t>Wilke H</w:t>
      </w:r>
      <w:r w:rsidRPr="005C7810">
        <w:rPr>
          <w:rFonts w:ascii="Book Antiqua" w:eastAsia="等线" w:hAnsi="Book Antiqua" w:cs="Times New Roman"/>
          <w:kern w:val="2"/>
          <w:sz w:val="24"/>
          <w:szCs w:val="24"/>
          <w:lang w:val="en-US" w:eastAsia="zh-CN"/>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15</w:t>
      </w:r>
      <w:r w:rsidRPr="005C7810">
        <w:rPr>
          <w:rFonts w:ascii="Book Antiqua" w:eastAsia="等线" w:hAnsi="Book Antiqua" w:cs="Times New Roman"/>
          <w:kern w:val="2"/>
          <w:sz w:val="24"/>
          <w:szCs w:val="24"/>
          <w:lang w:val="en-US" w:eastAsia="zh-CN"/>
        </w:rPr>
        <w:t>: 1224-1235 [PMID: 25240821 DOI: 10.1016/S1470-2045(14)70420-6]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74 </w:t>
      </w:r>
      <w:r w:rsidRPr="005C7810">
        <w:rPr>
          <w:rFonts w:ascii="Book Antiqua" w:eastAsia="等线" w:hAnsi="Book Antiqua" w:cs="Times New Roman"/>
          <w:b/>
          <w:kern w:val="2"/>
          <w:sz w:val="24"/>
          <w:szCs w:val="24"/>
          <w:lang w:val="en-US" w:eastAsia="zh-CN"/>
        </w:rPr>
        <w:t>Oki E</w:t>
      </w:r>
      <w:r w:rsidRPr="005C7810">
        <w:rPr>
          <w:rFonts w:ascii="Book Antiqua" w:eastAsia="等线" w:hAnsi="Book Antiqua" w:cs="Times New Roman"/>
          <w:kern w:val="2"/>
          <w:sz w:val="24"/>
          <w:szCs w:val="24"/>
          <w:lang w:val="en-US" w:eastAsia="zh-CN"/>
        </w:rPr>
        <w:t xml:space="preserve">, Zhao Y, Yoshida R, Egashira A, Ohgaki K, Morita M, Kakeji Y, Maehara Y. The difference in p53 mutations between cancers of the upper and lower gastrointestinal tract. </w:t>
      </w:r>
      <w:r w:rsidRPr="005C7810">
        <w:rPr>
          <w:rFonts w:ascii="Book Antiqua" w:eastAsia="等线" w:hAnsi="Book Antiqua" w:cs="Times New Roman"/>
          <w:i/>
          <w:kern w:val="2"/>
          <w:sz w:val="24"/>
          <w:szCs w:val="24"/>
          <w:lang w:val="en-US" w:eastAsia="zh-CN"/>
        </w:rPr>
        <w:t>Digestion</w:t>
      </w:r>
      <w:r w:rsidRPr="005C7810">
        <w:rPr>
          <w:rFonts w:ascii="Book Antiqua" w:eastAsia="等线" w:hAnsi="Book Antiqua" w:cs="Times New Roman"/>
          <w:kern w:val="2"/>
          <w:sz w:val="24"/>
          <w:szCs w:val="24"/>
          <w:lang w:val="en-US" w:eastAsia="zh-CN"/>
        </w:rPr>
        <w:t xml:space="preserve"> 2009; </w:t>
      </w:r>
      <w:r w:rsidRPr="005C7810">
        <w:rPr>
          <w:rFonts w:ascii="Book Antiqua" w:eastAsia="等线" w:hAnsi="Book Antiqua" w:cs="Times New Roman"/>
          <w:b/>
          <w:kern w:val="2"/>
          <w:sz w:val="24"/>
          <w:szCs w:val="24"/>
          <w:lang w:val="en-US" w:eastAsia="zh-CN"/>
        </w:rPr>
        <w:t>79</w:t>
      </w:r>
      <w:r w:rsidRPr="005C7810">
        <w:rPr>
          <w:rFonts w:ascii="Book Antiqua" w:eastAsia="等线" w:hAnsi="Book Antiqua" w:cs="Times New Roman"/>
          <w:bCs/>
          <w:kern w:val="2"/>
          <w:sz w:val="24"/>
          <w:szCs w:val="24"/>
          <w:lang w:val="en-US" w:eastAsia="zh-CN"/>
        </w:rPr>
        <w:t xml:space="preserve">: </w:t>
      </w:r>
      <w:r w:rsidRPr="005C7810">
        <w:rPr>
          <w:rFonts w:ascii="Book Antiqua" w:eastAsia="等线" w:hAnsi="Book Antiqua" w:cs="Times New Roman"/>
          <w:kern w:val="2"/>
          <w:sz w:val="24"/>
          <w:szCs w:val="24"/>
          <w:lang w:val="en-US" w:eastAsia="zh-CN"/>
        </w:rPr>
        <w:t>33-39 [PMID: 19153488 DOI: 10.1159/000167864]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75 </w:t>
      </w:r>
      <w:r w:rsidRPr="005C7810">
        <w:rPr>
          <w:rFonts w:ascii="Book Antiqua" w:eastAsia="等线" w:hAnsi="Book Antiqua" w:cs="Times New Roman"/>
          <w:b/>
          <w:kern w:val="2"/>
          <w:sz w:val="24"/>
          <w:szCs w:val="24"/>
          <w:lang w:val="en-US" w:eastAsia="zh-CN"/>
        </w:rPr>
        <w:t>Endoh Y</w:t>
      </w:r>
      <w:r w:rsidRPr="005C7810">
        <w:rPr>
          <w:rFonts w:ascii="Book Antiqua" w:eastAsia="等线" w:hAnsi="Book Antiqua" w:cs="Times New Roman"/>
          <w:kern w:val="2"/>
          <w:sz w:val="24"/>
          <w:szCs w:val="24"/>
          <w:lang w:val="en-US" w:eastAsia="zh-CN"/>
        </w:rPr>
        <w:t xml:space="preserve">, Sakata K, Tamura G, Ohmura K, Ajioka Y, Watanabe H, Motoyama T. Cellular phenotypes of differentiated-type adenocarcinomas and precancerous lesions of the stomach are dependent on the genetic pathways. </w:t>
      </w:r>
      <w:r w:rsidRPr="005C7810">
        <w:rPr>
          <w:rFonts w:ascii="Book Antiqua" w:eastAsia="等线" w:hAnsi="Book Antiqua" w:cs="Times New Roman"/>
          <w:i/>
          <w:kern w:val="2"/>
          <w:sz w:val="24"/>
          <w:szCs w:val="24"/>
          <w:lang w:val="en-US" w:eastAsia="zh-CN"/>
        </w:rPr>
        <w:t>J Pathol</w:t>
      </w:r>
      <w:r w:rsidRPr="005C7810">
        <w:rPr>
          <w:rFonts w:ascii="Book Antiqua" w:eastAsia="等线" w:hAnsi="Book Antiqua" w:cs="Times New Roman"/>
          <w:kern w:val="2"/>
          <w:sz w:val="24"/>
          <w:szCs w:val="24"/>
          <w:lang w:val="en-US" w:eastAsia="zh-CN"/>
        </w:rPr>
        <w:t xml:space="preserve"> 2000; </w:t>
      </w:r>
      <w:r w:rsidRPr="005C7810">
        <w:rPr>
          <w:rFonts w:ascii="Book Antiqua" w:eastAsia="等线" w:hAnsi="Book Antiqua" w:cs="Times New Roman"/>
          <w:b/>
          <w:kern w:val="2"/>
          <w:sz w:val="24"/>
          <w:szCs w:val="24"/>
          <w:lang w:val="en-US" w:eastAsia="zh-CN"/>
        </w:rPr>
        <w:t>191</w:t>
      </w:r>
      <w:r w:rsidRPr="005C7810">
        <w:rPr>
          <w:rFonts w:ascii="Book Antiqua" w:eastAsia="等线" w:hAnsi="Book Antiqua" w:cs="Times New Roman"/>
          <w:kern w:val="2"/>
          <w:sz w:val="24"/>
          <w:szCs w:val="24"/>
          <w:lang w:val="en-US" w:eastAsia="zh-CN"/>
        </w:rPr>
        <w:t>: 257-263 [PMID: 10878546 DOI: 10.1002/path.958]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76 </w:t>
      </w:r>
      <w:r w:rsidRPr="005C7810">
        <w:rPr>
          <w:rFonts w:ascii="Book Antiqua" w:eastAsia="等线" w:hAnsi="Book Antiqua" w:cs="Times New Roman"/>
          <w:b/>
          <w:kern w:val="2"/>
          <w:sz w:val="24"/>
          <w:szCs w:val="24"/>
          <w:lang w:val="en-US" w:eastAsia="zh-CN"/>
        </w:rPr>
        <w:t>Muller PA</w:t>
      </w:r>
      <w:r w:rsidRPr="005C7810">
        <w:rPr>
          <w:rFonts w:ascii="Book Antiqua" w:eastAsia="等线" w:hAnsi="Book Antiqua" w:cs="Times New Roman"/>
          <w:kern w:val="2"/>
          <w:sz w:val="24"/>
          <w:szCs w:val="24"/>
          <w:lang w:val="en-US" w:eastAsia="zh-CN"/>
        </w:rPr>
        <w:t xml:space="preserve">, Vousden KH. p53 mutations in cancer. </w:t>
      </w:r>
      <w:r w:rsidRPr="005C7810">
        <w:rPr>
          <w:rFonts w:ascii="Book Antiqua" w:eastAsia="等线" w:hAnsi="Book Antiqua" w:cs="Times New Roman"/>
          <w:i/>
          <w:kern w:val="2"/>
          <w:sz w:val="24"/>
          <w:szCs w:val="24"/>
          <w:lang w:val="en-US" w:eastAsia="zh-CN"/>
        </w:rPr>
        <w:t>Nat Cell Biol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15</w:t>
      </w:r>
      <w:r w:rsidRPr="005C7810">
        <w:rPr>
          <w:rFonts w:ascii="Book Antiqua" w:eastAsia="等线" w:hAnsi="Book Antiqua" w:cs="Times New Roman"/>
          <w:kern w:val="2"/>
          <w:sz w:val="24"/>
          <w:szCs w:val="24"/>
          <w:lang w:val="en-US" w:eastAsia="zh-CN"/>
        </w:rPr>
        <w:t>: 2-8 [PMID: 23263379 DOI: 10.1038/ncb2641]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77 </w:t>
      </w:r>
      <w:r w:rsidRPr="005C7810">
        <w:rPr>
          <w:rFonts w:ascii="Book Antiqua" w:eastAsia="等线" w:hAnsi="Book Antiqua" w:cs="Times New Roman"/>
          <w:b/>
          <w:kern w:val="2"/>
          <w:sz w:val="24"/>
          <w:szCs w:val="24"/>
          <w:lang w:val="en-US" w:eastAsia="zh-CN"/>
        </w:rPr>
        <w:t>Park S</w:t>
      </w:r>
      <w:r w:rsidRPr="005C7810">
        <w:rPr>
          <w:rFonts w:ascii="Book Antiqua" w:eastAsia="等线" w:hAnsi="Book Antiqua" w:cs="Times New Roman"/>
          <w:kern w:val="2"/>
          <w:sz w:val="24"/>
          <w:szCs w:val="24"/>
          <w:lang w:val="en-US" w:eastAsia="zh-CN"/>
        </w:rPr>
        <w:t xml:space="preserve">, Lee J, Kim YH, Park J, Shin JW, Nam S. Clinical Relevance and Molecular Phenotypes in Gastric Cancer, of TP53 Mutations and Gene Expressions, in Combination With Other Gene Mutations. </w:t>
      </w:r>
      <w:r w:rsidRPr="005C7810">
        <w:rPr>
          <w:rFonts w:ascii="Book Antiqua" w:eastAsia="等线" w:hAnsi="Book Antiqua" w:cs="Times New Roman"/>
          <w:i/>
          <w:kern w:val="2"/>
          <w:sz w:val="24"/>
          <w:szCs w:val="24"/>
          <w:lang w:val="en-US" w:eastAsia="zh-CN"/>
        </w:rPr>
        <w:t>Sci Rep</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6</w:t>
      </w:r>
      <w:r w:rsidRPr="005C7810">
        <w:rPr>
          <w:rFonts w:ascii="Book Antiqua" w:eastAsia="等线" w:hAnsi="Book Antiqua" w:cs="Times New Roman"/>
          <w:kern w:val="2"/>
          <w:sz w:val="24"/>
          <w:szCs w:val="24"/>
          <w:lang w:val="en-US" w:eastAsia="zh-CN"/>
        </w:rPr>
        <w:t>: 34822 [PMID: 27708434 DOI: 10.1038/srep34822]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78 </w:t>
      </w:r>
      <w:r w:rsidRPr="005C7810">
        <w:rPr>
          <w:rFonts w:ascii="Book Antiqua" w:eastAsia="等线" w:hAnsi="Book Antiqua" w:cs="Times New Roman"/>
          <w:b/>
          <w:kern w:val="2"/>
          <w:sz w:val="24"/>
          <w:szCs w:val="24"/>
          <w:lang w:val="en-US" w:eastAsia="zh-CN"/>
        </w:rPr>
        <w:t>Sakakura C</w:t>
      </w:r>
      <w:r w:rsidRPr="005C7810">
        <w:rPr>
          <w:rFonts w:ascii="Book Antiqua" w:eastAsia="等线" w:hAnsi="Book Antiqua" w:cs="Times New Roman"/>
          <w:kern w:val="2"/>
          <w:sz w:val="24"/>
          <w:szCs w:val="24"/>
          <w:lang w:val="en-US" w:eastAsia="zh-CN"/>
        </w:rPr>
        <w:t xml:space="preserve">, Hagiwara A, Yasuoka R, Fujita Y, Nakanishi M, Masuda K, Shimomura K, Nakamura Y, Inazawa J, Abe T, Yamagishi H. Tumour-amplified kinase BTAK is amplified and overexpressed in gastric cancers with possible involvement in aneuploid formation.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2001; </w:t>
      </w:r>
      <w:r w:rsidRPr="005C7810">
        <w:rPr>
          <w:rFonts w:ascii="Book Antiqua" w:eastAsia="等线" w:hAnsi="Book Antiqua" w:cs="Times New Roman"/>
          <w:b/>
          <w:kern w:val="2"/>
          <w:sz w:val="24"/>
          <w:szCs w:val="24"/>
          <w:lang w:val="en-US" w:eastAsia="zh-CN"/>
        </w:rPr>
        <w:t>84</w:t>
      </w:r>
      <w:r w:rsidRPr="005C7810">
        <w:rPr>
          <w:rFonts w:ascii="Book Antiqua" w:eastAsia="等线" w:hAnsi="Book Antiqua" w:cs="Times New Roman"/>
          <w:kern w:val="2"/>
          <w:sz w:val="24"/>
          <w:szCs w:val="24"/>
          <w:lang w:val="en-US" w:eastAsia="zh-CN"/>
        </w:rPr>
        <w:t>: 824-831 [PMID: 11259099 DOI: 10.1054/bjoc.2000.1684]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79 </w:t>
      </w:r>
      <w:r w:rsidRPr="005C7810">
        <w:rPr>
          <w:rFonts w:ascii="Book Antiqua" w:eastAsia="等线" w:hAnsi="Book Antiqua" w:cs="Times New Roman"/>
          <w:b/>
          <w:kern w:val="2"/>
          <w:sz w:val="24"/>
          <w:szCs w:val="24"/>
          <w:lang w:val="en-US" w:eastAsia="zh-CN"/>
        </w:rPr>
        <w:t>Sehdev V</w:t>
      </w:r>
      <w:r w:rsidRPr="005C7810">
        <w:rPr>
          <w:rFonts w:ascii="Book Antiqua" w:eastAsia="等线" w:hAnsi="Book Antiqua" w:cs="Times New Roman"/>
          <w:kern w:val="2"/>
          <w:sz w:val="24"/>
          <w:szCs w:val="24"/>
          <w:lang w:val="en-US" w:eastAsia="zh-CN"/>
        </w:rPr>
        <w:t xml:space="preserve">, Katsha A, Arras J, Peng D, Soutto M, Ecsedy J, Zaika A, Belkhiri A, El-Rifai W. HDM2 regulation by AURKA promotes cell survival in gastric cancer. </w:t>
      </w:r>
      <w:r w:rsidRPr="005C7810">
        <w:rPr>
          <w:rFonts w:ascii="Book Antiqua" w:eastAsia="等线" w:hAnsi="Book Antiqua" w:cs="Times New Roman"/>
          <w:i/>
          <w:kern w:val="2"/>
          <w:sz w:val="24"/>
          <w:szCs w:val="24"/>
          <w:lang w:val="en-US" w:eastAsia="zh-CN"/>
        </w:rPr>
        <w:t>Clin Cancer Res</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20</w:t>
      </w:r>
      <w:r w:rsidRPr="005C7810">
        <w:rPr>
          <w:rFonts w:ascii="Book Antiqua" w:eastAsia="等线" w:hAnsi="Book Antiqua" w:cs="Times New Roman"/>
          <w:kern w:val="2"/>
          <w:sz w:val="24"/>
          <w:szCs w:val="24"/>
          <w:lang w:val="en-US" w:eastAsia="zh-CN"/>
        </w:rPr>
        <w:t>: 76-86 [PMID: 24240108 DOI: 10.1158/1078-0432.ccr-13-1187]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80 </w:t>
      </w:r>
      <w:r w:rsidRPr="005C7810">
        <w:rPr>
          <w:rFonts w:ascii="Book Antiqua" w:eastAsia="等线" w:hAnsi="Book Antiqua" w:cs="Times New Roman"/>
          <w:b/>
          <w:kern w:val="2"/>
          <w:sz w:val="24"/>
          <w:szCs w:val="24"/>
          <w:lang w:val="en-US" w:eastAsia="zh-CN"/>
        </w:rPr>
        <w:t>Amé JC</w:t>
      </w:r>
      <w:r w:rsidRPr="005C7810">
        <w:rPr>
          <w:rFonts w:ascii="Book Antiqua" w:eastAsia="等线" w:hAnsi="Book Antiqua" w:cs="Times New Roman"/>
          <w:kern w:val="2"/>
          <w:sz w:val="24"/>
          <w:szCs w:val="24"/>
          <w:lang w:val="en-US" w:eastAsia="zh-CN"/>
        </w:rPr>
        <w:t xml:space="preserve">, Spenlehauer C, de Murcia G. The PARP superfamily. </w:t>
      </w:r>
      <w:r w:rsidRPr="005C7810">
        <w:rPr>
          <w:rFonts w:ascii="Book Antiqua" w:eastAsia="等线" w:hAnsi="Book Antiqua" w:cs="Times New Roman"/>
          <w:i/>
          <w:kern w:val="2"/>
          <w:sz w:val="24"/>
          <w:szCs w:val="24"/>
          <w:lang w:val="en-US" w:eastAsia="zh-CN"/>
        </w:rPr>
        <w:t>Bioessays</w:t>
      </w:r>
      <w:r w:rsidRPr="005C7810">
        <w:rPr>
          <w:rFonts w:ascii="Book Antiqua" w:eastAsia="等线" w:hAnsi="Book Antiqua" w:cs="Times New Roman"/>
          <w:kern w:val="2"/>
          <w:sz w:val="24"/>
          <w:szCs w:val="24"/>
          <w:lang w:val="en-US" w:eastAsia="zh-CN"/>
        </w:rPr>
        <w:t xml:space="preserve"> 2004; </w:t>
      </w:r>
      <w:r w:rsidRPr="005C7810">
        <w:rPr>
          <w:rFonts w:ascii="Book Antiqua" w:eastAsia="等线" w:hAnsi="Book Antiqua" w:cs="Times New Roman"/>
          <w:b/>
          <w:kern w:val="2"/>
          <w:sz w:val="24"/>
          <w:szCs w:val="24"/>
          <w:lang w:val="en-US" w:eastAsia="zh-CN"/>
        </w:rPr>
        <w:t>26</w:t>
      </w:r>
      <w:r w:rsidRPr="005C7810">
        <w:rPr>
          <w:rFonts w:ascii="Book Antiqua" w:eastAsia="等线" w:hAnsi="Book Antiqua" w:cs="Times New Roman"/>
          <w:kern w:val="2"/>
          <w:sz w:val="24"/>
          <w:szCs w:val="24"/>
          <w:lang w:val="en-US" w:eastAsia="zh-CN"/>
        </w:rPr>
        <w:t>: 882-893 [PMID: 15273990 DOI: 10.1002/bies.20085]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81 </w:t>
      </w:r>
      <w:r w:rsidRPr="005C7810">
        <w:rPr>
          <w:rFonts w:ascii="Book Antiqua" w:eastAsia="等线" w:hAnsi="Book Antiqua" w:cs="Times New Roman"/>
          <w:b/>
          <w:kern w:val="2"/>
          <w:sz w:val="24"/>
          <w:szCs w:val="24"/>
          <w:lang w:val="en-US" w:eastAsia="zh-CN"/>
        </w:rPr>
        <w:t>D'Amours D</w:t>
      </w:r>
      <w:r w:rsidRPr="005C7810">
        <w:rPr>
          <w:rFonts w:ascii="Book Antiqua" w:eastAsia="等线" w:hAnsi="Book Antiqua" w:cs="Times New Roman"/>
          <w:kern w:val="2"/>
          <w:sz w:val="24"/>
          <w:szCs w:val="24"/>
          <w:lang w:val="en-US" w:eastAsia="zh-CN"/>
        </w:rPr>
        <w:t xml:space="preserve">, Desnoyers S, D'Silva I, Poirier GG. Poly(ADP-ribosyl)ation reactions in the regulation of nuclear functions. </w:t>
      </w:r>
      <w:r w:rsidRPr="005C7810">
        <w:rPr>
          <w:rFonts w:ascii="Book Antiqua" w:eastAsia="等线" w:hAnsi="Book Antiqua" w:cs="Times New Roman"/>
          <w:i/>
          <w:kern w:val="2"/>
          <w:sz w:val="24"/>
          <w:szCs w:val="24"/>
          <w:lang w:val="en-US" w:eastAsia="zh-CN"/>
        </w:rPr>
        <w:t>Biochem J</w:t>
      </w:r>
      <w:r w:rsidRPr="005C7810">
        <w:rPr>
          <w:rFonts w:ascii="Book Antiqua" w:eastAsia="等线" w:hAnsi="Book Antiqua" w:cs="Times New Roman"/>
          <w:kern w:val="2"/>
          <w:sz w:val="24"/>
          <w:szCs w:val="24"/>
          <w:lang w:val="en-US" w:eastAsia="zh-CN"/>
        </w:rPr>
        <w:t xml:space="preserve"> 1999; </w:t>
      </w:r>
      <w:r w:rsidRPr="005C7810">
        <w:rPr>
          <w:rFonts w:ascii="Book Antiqua" w:eastAsia="等线" w:hAnsi="Book Antiqua" w:cs="Times New Roman"/>
          <w:b/>
          <w:kern w:val="2"/>
          <w:sz w:val="24"/>
          <w:szCs w:val="24"/>
          <w:lang w:val="en-US" w:eastAsia="zh-CN"/>
        </w:rPr>
        <w:t>342</w:t>
      </w:r>
      <w:r w:rsidRPr="005C7810">
        <w:rPr>
          <w:rFonts w:ascii="Book Antiqua" w:eastAsia="等线" w:hAnsi="Book Antiqua" w:cs="Times New Roman"/>
          <w:kern w:val="2"/>
          <w:sz w:val="24"/>
          <w:szCs w:val="24"/>
          <w:lang w:val="en-US" w:eastAsia="zh-CN"/>
        </w:rPr>
        <w:t>: 249-268 [PMID: 10455009 DOI: 10.1042/bj3420249]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82 </w:t>
      </w:r>
      <w:r w:rsidRPr="005C7810">
        <w:rPr>
          <w:rFonts w:ascii="Book Antiqua" w:eastAsia="等线" w:hAnsi="Book Antiqua" w:cs="Times New Roman"/>
          <w:b/>
          <w:kern w:val="2"/>
          <w:sz w:val="24"/>
          <w:szCs w:val="24"/>
          <w:lang w:val="en-US" w:eastAsia="zh-CN"/>
        </w:rPr>
        <w:t>Nomura F</w:t>
      </w:r>
      <w:r w:rsidRPr="005C7810">
        <w:rPr>
          <w:rFonts w:ascii="Book Antiqua" w:eastAsia="等线" w:hAnsi="Book Antiqua" w:cs="Times New Roman"/>
          <w:kern w:val="2"/>
          <w:sz w:val="24"/>
          <w:szCs w:val="24"/>
          <w:lang w:val="en-US" w:eastAsia="zh-CN"/>
        </w:rPr>
        <w:t xml:space="preserve">, Yaguchi M, Togawa A, Miyazaki M, Isobe K, Miyake M, Noda M, Nakai T. Enhancement of poly-adenosine diphosphate-ribosylation in human hepatocellular carcinoma. </w:t>
      </w:r>
      <w:r w:rsidRPr="005C7810">
        <w:rPr>
          <w:rFonts w:ascii="Book Antiqua" w:eastAsia="等线" w:hAnsi="Book Antiqua" w:cs="Times New Roman"/>
          <w:i/>
          <w:kern w:val="2"/>
          <w:sz w:val="24"/>
          <w:szCs w:val="24"/>
          <w:lang w:val="en-US" w:eastAsia="zh-CN"/>
        </w:rPr>
        <w:t>J Gastroenterol Hepatol</w:t>
      </w:r>
      <w:r w:rsidRPr="005C7810">
        <w:rPr>
          <w:rFonts w:ascii="Book Antiqua" w:eastAsia="等线" w:hAnsi="Book Antiqua" w:cs="Times New Roman"/>
          <w:kern w:val="2"/>
          <w:sz w:val="24"/>
          <w:szCs w:val="24"/>
          <w:lang w:val="en-US" w:eastAsia="zh-CN"/>
        </w:rPr>
        <w:t xml:space="preserve"> 2000; </w:t>
      </w:r>
      <w:r w:rsidRPr="005C7810">
        <w:rPr>
          <w:rFonts w:ascii="Book Antiqua" w:eastAsia="等线" w:hAnsi="Book Antiqua" w:cs="Times New Roman"/>
          <w:b/>
          <w:kern w:val="2"/>
          <w:sz w:val="24"/>
          <w:szCs w:val="24"/>
          <w:lang w:val="en-US" w:eastAsia="zh-CN"/>
        </w:rPr>
        <w:t>15</w:t>
      </w:r>
      <w:r w:rsidRPr="005C7810">
        <w:rPr>
          <w:rFonts w:ascii="Book Antiqua" w:eastAsia="等线" w:hAnsi="Book Antiqua" w:cs="Times New Roman"/>
          <w:kern w:val="2"/>
          <w:sz w:val="24"/>
          <w:szCs w:val="24"/>
          <w:lang w:val="en-US" w:eastAsia="zh-CN"/>
        </w:rPr>
        <w:t>: 529-535 [PMID: 10847440 DOI: 10.1046/j.1440-1746.2000.02193.x]</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83 </w:t>
      </w:r>
      <w:r w:rsidRPr="005C7810">
        <w:rPr>
          <w:rFonts w:ascii="Book Antiqua" w:eastAsia="等线" w:hAnsi="Book Antiqua" w:cs="Times New Roman"/>
          <w:b/>
          <w:kern w:val="2"/>
          <w:sz w:val="24"/>
          <w:szCs w:val="24"/>
          <w:lang w:val="en-US" w:eastAsia="zh-CN"/>
        </w:rPr>
        <w:t>Ossovskaya V</w:t>
      </w:r>
      <w:r w:rsidRPr="005C7810">
        <w:rPr>
          <w:rFonts w:ascii="Book Antiqua" w:eastAsia="等线" w:hAnsi="Book Antiqua" w:cs="Times New Roman"/>
          <w:kern w:val="2"/>
          <w:sz w:val="24"/>
          <w:szCs w:val="24"/>
          <w:lang w:val="en-US" w:eastAsia="zh-CN"/>
        </w:rPr>
        <w:t xml:space="preserve">, Koo IC, Kaldjian EP, Alvares C, Sherman BM. Upregulation of Poly (ADP-Ribose) Polymerase-1 (PARP1) in Triple-Negative Breast Cancer and Other Primary Human Tumor Types. </w:t>
      </w:r>
      <w:r w:rsidRPr="005C7810">
        <w:rPr>
          <w:rFonts w:ascii="Book Antiqua" w:eastAsia="等线" w:hAnsi="Book Antiqua" w:cs="Times New Roman"/>
          <w:i/>
          <w:kern w:val="2"/>
          <w:sz w:val="24"/>
          <w:szCs w:val="24"/>
          <w:lang w:val="en-US" w:eastAsia="zh-CN"/>
        </w:rPr>
        <w:t>Genes Cancer</w:t>
      </w:r>
      <w:r w:rsidRPr="005C7810">
        <w:rPr>
          <w:rFonts w:ascii="Book Antiqua" w:eastAsia="等线" w:hAnsi="Book Antiqua" w:cs="Times New Roman"/>
          <w:kern w:val="2"/>
          <w:sz w:val="24"/>
          <w:szCs w:val="24"/>
          <w:lang w:val="en-US" w:eastAsia="zh-CN"/>
        </w:rPr>
        <w:t xml:space="preserve"> 2010; </w:t>
      </w:r>
      <w:r w:rsidRPr="005C7810">
        <w:rPr>
          <w:rFonts w:ascii="Book Antiqua" w:eastAsia="等线" w:hAnsi="Book Antiqua" w:cs="Times New Roman"/>
          <w:b/>
          <w:kern w:val="2"/>
          <w:sz w:val="24"/>
          <w:szCs w:val="24"/>
          <w:lang w:val="en-US" w:eastAsia="zh-CN"/>
        </w:rPr>
        <w:t>1</w:t>
      </w:r>
      <w:r w:rsidRPr="005C7810">
        <w:rPr>
          <w:rFonts w:ascii="Book Antiqua" w:eastAsia="等线" w:hAnsi="Book Antiqua" w:cs="Times New Roman"/>
          <w:kern w:val="2"/>
          <w:sz w:val="24"/>
          <w:szCs w:val="24"/>
          <w:lang w:val="en-US" w:eastAsia="zh-CN"/>
        </w:rPr>
        <w:t>: 812-821 [PMID: 21779467 DOI: 10.1177/1947601910383418]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84 </w:t>
      </w:r>
      <w:r w:rsidRPr="005C7810">
        <w:rPr>
          <w:rFonts w:ascii="Book Antiqua" w:eastAsia="等线" w:hAnsi="Book Antiqua" w:cs="Times New Roman"/>
          <w:b/>
          <w:kern w:val="2"/>
          <w:sz w:val="24"/>
          <w:szCs w:val="24"/>
          <w:lang w:val="en-US" w:eastAsia="zh-CN"/>
        </w:rPr>
        <w:t>Liu Y</w:t>
      </w:r>
      <w:r w:rsidRPr="005C7810">
        <w:rPr>
          <w:rFonts w:ascii="Book Antiqua" w:eastAsia="等线" w:hAnsi="Book Antiqua" w:cs="Times New Roman"/>
          <w:kern w:val="2"/>
          <w:sz w:val="24"/>
          <w:szCs w:val="24"/>
          <w:lang w:val="en-US" w:eastAsia="zh-CN"/>
        </w:rPr>
        <w:t xml:space="preserve">, Zhang Y, Zhao Y, Gao D, Xing J, Liu H. High PARP-1 expression is associated with tumor invasion and poor prognosis in gastric cancer. </w:t>
      </w:r>
      <w:r w:rsidRPr="005C7810">
        <w:rPr>
          <w:rFonts w:ascii="Book Antiqua" w:eastAsia="等线" w:hAnsi="Book Antiqua" w:cs="Times New Roman"/>
          <w:i/>
          <w:kern w:val="2"/>
          <w:sz w:val="24"/>
          <w:szCs w:val="24"/>
          <w:lang w:val="en-US" w:eastAsia="zh-CN"/>
        </w:rPr>
        <w:t>Oncol Lett</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3825-3835 [PMID: 27895737 DOI: 10.3892/ol.2016.5169]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85 </w:t>
      </w:r>
      <w:r w:rsidRPr="005C7810">
        <w:rPr>
          <w:rFonts w:ascii="Book Antiqua" w:eastAsia="等线" w:hAnsi="Book Antiqua" w:cs="Times New Roman"/>
          <w:b/>
          <w:kern w:val="2"/>
          <w:sz w:val="24"/>
          <w:szCs w:val="24"/>
          <w:lang w:val="en-US" w:eastAsia="zh-CN"/>
        </w:rPr>
        <w:t>Xu X</w:t>
      </w:r>
      <w:r w:rsidRPr="005C7810">
        <w:rPr>
          <w:rFonts w:ascii="Book Antiqua" w:eastAsia="等线" w:hAnsi="Book Antiqua" w:cs="Times New Roman"/>
          <w:kern w:val="2"/>
          <w:sz w:val="24"/>
          <w:szCs w:val="24"/>
          <w:lang w:val="en-US" w:eastAsia="zh-CN"/>
        </w:rPr>
        <w:t xml:space="preserve">, Chen L, Xu B, Xie Q, Sun M, Deng X, Wu C, Jiang J. Increased MT2-MMP expression in gastric cancer patients is associated with poor prognosis. </w:t>
      </w:r>
      <w:r w:rsidRPr="005C7810">
        <w:rPr>
          <w:rFonts w:ascii="Book Antiqua" w:eastAsia="等线" w:hAnsi="Book Antiqua" w:cs="Times New Roman"/>
          <w:i/>
          <w:kern w:val="2"/>
          <w:sz w:val="24"/>
          <w:szCs w:val="24"/>
          <w:lang w:val="en-US" w:eastAsia="zh-CN"/>
        </w:rPr>
        <w:t>Int J Clin Exp Pathol</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8</w:t>
      </w:r>
      <w:r w:rsidRPr="005C7810">
        <w:rPr>
          <w:rFonts w:ascii="Book Antiqua" w:eastAsia="等线" w:hAnsi="Book Antiqua" w:cs="Times New Roman"/>
          <w:kern w:val="2"/>
          <w:sz w:val="24"/>
          <w:szCs w:val="24"/>
          <w:lang w:val="en-US" w:eastAsia="zh-CN"/>
        </w:rPr>
        <w:t>: 1985-1990 [PMID: 25973093]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86 </w:t>
      </w:r>
      <w:r w:rsidRPr="005C7810">
        <w:rPr>
          <w:rFonts w:ascii="Book Antiqua" w:eastAsia="等线" w:hAnsi="Book Antiqua" w:cs="Times New Roman"/>
          <w:b/>
          <w:kern w:val="2"/>
          <w:sz w:val="24"/>
          <w:szCs w:val="24"/>
          <w:lang w:val="en-US" w:eastAsia="zh-CN"/>
        </w:rPr>
        <w:t>Chen J</w:t>
      </w:r>
      <w:r w:rsidRPr="005C7810">
        <w:rPr>
          <w:rFonts w:ascii="Book Antiqua" w:eastAsia="等线" w:hAnsi="Book Antiqua" w:cs="Times New Roman"/>
          <w:kern w:val="2"/>
          <w:sz w:val="24"/>
          <w:szCs w:val="24"/>
          <w:lang w:val="en-US" w:eastAsia="zh-CN"/>
        </w:rPr>
        <w:t xml:space="preserve">, Chen LJ, Zhou HC, Yang RB, Lu Y, Xia YL, Wu W, Hu LW. Prognostic value of matrix metalloproteinase-9 in gastric cancer: a meta-analysis. </w:t>
      </w:r>
      <w:r w:rsidRPr="005C7810">
        <w:rPr>
          <w:rFonts w:ascii="Book Antiqua" w:eastAsia="等线" w:hAnsi="Book Antiqua" w:cs="Times New Roman"/>
          <w:i/>
          <w:kern w:val="2"/>
          <w:sz w:val="24"/>
          <w:szCs w:val="24"/>
          <w:lang w:val="en-US" w:eastAsia="zh-CN"/>
        </w:rPr>
        <w:t>Hepatogastroenterology</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61</w:t>
      </w:r>
      <w:r w:rsidRPr="005C7810">
        <w:rPr>
          <w:rFonts w:ascii="Book Antiqua" w:eastAsia="等线" w:hAnsi="Book Antiqua" w:cs="Times New Roman"/>
          <w:kern w:val="2"/>
          <w:sz w:val="24"/>
          <w:szCs w:val="24"/>
          <w:lang w:val="en-US" w:eastAsia="zh-CN"/>
        </w:rPr>
        <w:t>: 518-524 [PMID: 24901174 DOI: 10.5754/hge12954]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87 </w:t>
      </w:r>
      <w:r w:rsidRPr="005C7810">
        <w:rPr>
          <w:rFonts w:ascii="Book Antiqua" w:eastAsia="等线" w:hAnsi="Book Antiqua" w:cs="Times New Roman"/>
          <w:b/>
          <w:kern w:val="2"/>
          <w:sz w:val="24"/>
          <w:szCs w:val="24"/>
          <w:lang w:val="en-US" w:eastAsia="zh-CN"/>
        </w:rPr>
        <w:t>Heymann WR</w:t>
      </w:r>
      <w:r w:rsidRPr="005C7810">
        <w:rPr>
          <w:rFonts w:ascii="Book Antiqua" w:eastAsia="等线" w:hAnsi="Book Antiqua" w:cs="Times New Roman"/>
          <w:kern w:val="2"/>
          <w:sz w:val="24"/>
          <w:szCs w:val="24"/>
          <w:lang w:val="en-US" w:eastAsia="zh-CN"/>
        </w:rPr>
        <w:t xml:space="preserve">. Choosing the right biologic for psoriatic patients may be in the cards. </w:t>
      </w:r>
      <w:r w:rsidRPr="005C7810">
        <w:rPr>
          <w:rFonts w:ascii="Book Antiqua" w:eastAsia="等线" w:hAnsi="Book Antiqua" w:cs="Times New Roman"/>
          <w:i/>
          <w:kern w:val="2"/>
          <w:sz w:val="24"/>
          <w:szCs w:val="24"/>
          <w:lang w:val="en-US" w:eastAsia="zh-CN"/>
        </w:rPr>
        <w:t>J Am Acad Dermatol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79</w:t>
      </w:r>
      <w:r w:rsidRPr="005C7810">
        <w:rPr>
          <w:rFonts w:ascii="Book Antiqua" w:eastAsia="等线" w:hAnsi="Book Antiqua" w:cs="Times New Roman"/>
          <w:kern w:val="2"/>
          <w:sz w:val="24"/>
          <w:szCs w:val="24"/>
          <w:lang w:val="en-US" w:eastAsia="zh-CN"/>
        </w:rPr>
        <w:t>: 441-442 [PMID: 29969699 DOI: 10.1093/ajcp/aqy013]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88 </w:t>
      </w:r>
      <w:r w:rsidRPr="005C7810">
        <w:rPr>
          <w:rFonts w:ascii="Book Antiqua" w:eastAsia="等线" w:hAnsi="Book Antiqua" w:cs="Times New Roman"/>
          <w:b/>
          <w:kern w:val="2"/>
          <w:sz w:val="24"/>
          <w:szCs w:val="24"/>
          <w:lang w:val="en-US" w:eastAsia="zh-CN"/>
        </w:rPr>
        <w:t>Sharpe AH</w:t>
      </w:r>
      <w:r w:rsidRPr="005C7810">
        <w:rPr>
          <w:rFonts w:ascii="Book Antiqua" w:eastAsia="等线" w:hAnsi="Book Antiqua" w:cs="Times New Roman"/>
          <w:kern w:val="2"/>
          <w:sz w:val="24"/>
          <w:szCs w:val="24"/>
          <w:lang w:val="en-US" w:eastAsia="zh-CN"/>
        </w:rPr>
        <w:t xml:space="preserve">, Wherry EJ, Ahmed R, Freeman GJ. The function of programmed cell death 1 and its ligands in regulating autoimmunity and infection. </w:t>
      </w:r>
      <w:r w:rsidRPr="005C7810">
        <w:rPr>
          <w:rFonts w:ascii="Book Antiqua" w:eastAsia="等线" w:hAnsi="Book Antiqua" w:cs="Times New Roman"/>
          <w:i/>
          <w:kern w:val="2"/>
          <w:sz w:val="24"/>
          <w:szCs w:val="24"/>
          <w:lang w:val="en-US" w:eastAsia="zh-CN"/>
        </w:rPr>
        <w:t>Nat Immunol</w:t>
      </w:r>
      <w:r w:rsidRPr="005C7810">
        <w:rPr>
          <w:rFonts w:ascii="Book Antiqua" w:eastAsia="等线" w:hAnsi="Book Antiqua" w:cs="Times New Roman"/>
          <w:kern w:val="2"/>
          <w:sz w:val="24"/>
          <w:szCs w:val="24"/>
          <w:lang w:val="en-US" w:eastAsia="zh-CN"/>
        </w:rPr>
        <w:t xml:space="preserve"> 2007; </w:t>
      </w:r>
      <w:r w:rsidRPr="005C7810">
        <w:rPr>
          <w:rFonts w:ascii="Book Antiqua" w:eastAsia="等线" w:hAnsi="Book Antiqua" w:cs="Times New Roman"/>
          <w:b/>
          <w:kern w:val="2"/>
          <w:sz w:val="24"/>
          <w:szCs w:val="24"/>
          <w:lang w:val="en-US" w:eastAsia="zh-CN"/>
        </w:rPr>
        <w:t>8</w:t>
      </w:r>
      <w:r w:rsidRPr="005C7810">
        <w:rPr>
          <w:rFonts w:ascii="Book Antiqua" w:eastAsia="等线" w:hAnsi="Book Antiqua" w:cs="Times New Roman"/>
          <w:kern w:val="2"/>
          <w:sz w:val="24"/>
          <w:szCs w:val="24"/>
          <w:lang w:val="en-US" w:eastAsia="zh-CN"/>
        </w:rPr>
        <w:t>: 239-245 [PMID: 17304234 DOI: 10.1038/ni1443]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89 </w:t>
      </w:r>
      <w:r w:rsidRPr="005C7810">
        <w:rPr>
          <w:rFonts w:ascii="Book Antiqua" w:eastAsia="等线" w:hAnsi="Book Antiqua" w:cs="Times New Roman"/>
          <w:b/>
          <w:kern w:val="2"/>
          <w:sz w:val="24"/>
          <w:szCs w:val="24"/>
          <w:lang w:val="en-US" w:eastAsia="zh-CN"/>
        </w:rPr>
        <w:t>Gu L</w:t>
      </w:r>
      <w:r w:rsidRPr="005C7810">
        <w:rPr>
          <w:rFonts w:ascii="Book Antiqua" w:eastAsia="等线" w:hAnsi="Book Antiqua" w:cs="Times New Roman"/>
          <w:kern w:val="2"/>
          <w:sz w:val="24"/>
          <w:szCs w:val="24"/>
          <w:lang w:val="en-US" w:eastAsia="zh-CN"/>
        </w:rPr>
        <w:t xml:space="preserve">, Chen M, Guo D, Zhu H, Zhang W, Pan J, Zhong X, Li X, Qian H, Wang X. PD-L1 and gastric cancer prognosis: A systematic review and meta-analysis. </w:t>
      </w:r>
      <w:r w:rsidRPr="005C7810">
        <w:rPr>
          <w:rFonts w:ascii="Book Antiqua" w:eastAsia="等线" w:hAnsi="Book Antiqua" w:cs="Times New Roman"/>
          <w:i/>
          <w:kern w:val="2"/>
          <w:sz w:val="24"/>
          <w:szCs w:val="24"/>
          <w:lang w:val="en-US" w:eastAsia="zh-CN"/>
        </w:rPr>
        <w:t>PLoS One</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e0182692 [PMID: 28796808 DOI: 10.1371/journal.pone.0182692]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90 </w:t>
      </w:r>
      <w:r w:rsidRPr="005C7810">
        <w:rPr>
          <w:rFonts w:ascii="Book Antiqua" w:eastAsia="等线" w:hAnsi="Book Antiqua" w:cs="Times New Roman"/>
          <w:b/>
          <w:kern w:val="2"/>
          <w:sz w:val="24"/>
          <w:szCs w:val="24"/>
          <w:lang w:val="en-US" w:eastAsia="zh-CN"/>
        </w:rPr>
        <w:t>Allard WJ</w:t>
      </w:r>
      <w:r w:rsidRPr="005C7810">
        <w:rPr>
          <w:rFonts w:ascii="Book Antiqua" w:eastAsia="等线" w:hAnsi="Book Antiqua" w:cs="Times New Roman"/>
          <w:kern w:val="2"/>
          <w:sz w:val="24"/>
          <w:szCs w:val="24"/>
          <w:lang w:val="en-US" w:eastAsia="zh-CN"/>
        </w:rPr>
        <w:t xml:space="preserve">, Matera J, Miller MC, Repollet M, Connelly MC, Rao C, Tibbe AG, Uhr JW, Terstappen LW. Tumor cells circulate in the peripheral blood of all major carcinomas but not in healthy subjects or patients with nonmalignant diseases. </w:t>
      </w:r>
      <w:r w:rsidRPr="005C7810">
        <w:rPr>
          <w:rFonts w:ascii="Book Antiqua" w:eastAsia="等线" w:hAnsi="Book Antiqua" w:cs="Times New Roman"/>
          <w:i/>
          <w:kern w:val="2"/>
          <w:sz w:val="24"/>
          <w:szCs w:val="24"/>
          <w:lang w:val="en-US" w:eastAsia="zh-CN"/>
        </w:rPr>
        <w:t>Clin Cancer Res</w:t>
      </w:r>
      <w:r w:rsidRPr="005C7810">
        <w:rPr>
          <w:rFonts w:ascii="Book Antiqua" w:eastAsia="等线" w:hAnsi="Book Antiqua" w:cs="Times New Roman"/>
          <w:kern w:val="2"/>
          <w:sz w:val="24"/>
          <w:szCs w:val="24"/>
          <w:lang w:val="en-US" w:eastAsia="zh-CN"/>
        </w:rPr>
        <w:t xml:space="preserve"> 2004; </w:t>
      </w:r>
      <w:r w:rsidRPr="005C7810">
        <w:rPr>
          <w:rFonts w:ascii="Book Antiqua" w:eastAsia="等线" w:hAnsi="Book Antiqua" w:cs="Times New Roman"/>
          <w:b/>
          <w:kern w:val="2"/>
          <w:sz w:val="24"/>
          <w:szCs w:val="24"/>
          <w:lang w:val="en-US" w:eastAsia="zh-CN"/>
        </w:rPr>
        <w:t>10</w:t>
      </w:r>
      <w:r w:rsidRPr="005C7810">
        <w:rPr>
          <w:rFonts w:ascii="Book Antiqua" w:eastAsia="等线" w:hAnsi="Book Antiqua" w:cs="Times New Roman"/>
          <w:kern w:val="2"/>
          <w:sz w:val="24"/>
          <w:szCs w:val="24"/>
          <w:lang w:val="en-US" w:eastAsia="zh-CN"/>
        </w:rPr>
        <w:t>: 6897-6904 [PMID: 15501967 DOI: 10.1158/1078-0432.CCR-04-0378]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91 </w:t>
      </w:r>
      <w:r w:rsidRPr="005C7810">
        <w:rPr>
          <w:rFonts w:ascii="Book Antiqua" w:eastAsia="等线" w:hAnsi="Book Antiqua" w:cs="Times New Roman"/>
          <w:b/>
          <w:kern w:val="2"/>
          <w:sz w:val="24"/>
          <w:szCs w:val="24"/>
          <w:lang w:val="en-US" w:eastAsia="zh-CN"/>
        </w:rPr>
        <w:t>Glaves D</w:t>
      </w:r>
      <w:r w:rsidRPr="005C7810">
        <w:rPr>
          <w:rFonts w:ascii="Book Antiqua" w:eastAsia="等线" w:hAnsi="Book Antiqua" w:cs="Times New Roman"/>
          <w:kern w:val="2"/>
          <w:sz w:val="24"/>
          <w:szCs w:val="24"/>
          <w:lang w:val="en-US" w:eastAsia="zh-CN"/>
        </w:rPr>
        <w:t xml:space="preserve">. Correlation between circulating cancer cells and incidence of metastases.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1983; </w:t>
      </w:r>
      <w:r w:rsidRPr="005C7810">
        <w:rPr>
          <w:rFonts w:ascii="Book Antiqua" w:eastAsia="等线" w:hAnsi="Book Antiqua" w:cs="Times New Roman"/>
          <w:b/>
          <w:kern w:val="2"/>
          <w:sz w:val="24"/>
          <w:szCs w:val="24"/>
          <w:lang w:val="en-US" w:eastAsia="zh-CN"/>
        </w:rPr>
        <w:t>48</w:t>
      </w:r>
      <w:r w:rsidRPr="005C7810">
        <w:rPr>
          <w:rFonts w:ascii="Book Antiqua" w:eastAsia="等线" w:hAnsi="Book Antiqua" w:cs="Times New Roman"/>
          <w:kern w:val="2"/>
          <w:sz w:val="24"/>
          <w:szCs w:val="24"/>
          <w:lang w:val="en-US" w:eastAsia="zh-CN"/>
        </w:rPr>
        <w:t>: 665-673 [PMID: 6639858 DOI: 10.1038/bjc.1983.248]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92 </w:t>
      </w:r>
      <w:r w:rsidRPr="005C7810">
        <w:rPr>
          <w:rFonts w:ascii="Book Antiqua" w:eastAsia="等线" w:hAnsi="Book Antiqua" w:cs="Times New Roman"/>
          <w:b/>
          <w:kern w:val="2"/>
          <w:sz w:val="24"/>
          <w:szCs w:val="24"/>
          <w:lang w:val="en-US" w:eastAsia="zh-CN"/>
        </w:rPr>
        <w:t>Qi Q</w:t>
      </w:r>
      <w:r w:rsidRPr="005C7810">
        <w:rPr>
          <w:rFonts w:ascii="Book Antiqua" w:eastAsia="等线" w:hAnsi="Book Antiqua" w:cs="Times New Roman"/>
          <w:kern w:val="2"/>
          <w:sz w:val="24"/>
          <w:szCs w:val="24"/>
          <w:lang w:val="en-US" w:eastAsia="zh-CN"/>
        </w:rPr>
        <w:t xml:space="preserve">, Pan YF, Shen JJ, Gu XQ, Han SW, Liao HH, Jiang YZ, Zhong LP. Circulating DNA for detection of gastric cancer. </w:t>
      </w:r>
      <w:r w:rsidRPr="005C7810">
        <w:rPr>
          <w:rFonts w:ascii="Book Antiqua" w:eastAsia="等线" w:hAnsi="Book Antiqua" w:cs="Times New Roman"/>
          <w:i/>
          <w:kern w:val="2"/>
          <w:sz w:val="24"/>
          <w:szCs w:val="24"/>
          <w:lang w:val="en-US" w:eastAsia="zh-CN"/>
        </w:rPr>
        <w:t>Eur Rev Med Pharmacol Sci</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20</w:t>
      </w:r>
      <w:r w:rsidRPr="005C7810">
        <w:rPr>
          <w:rFonts w:ascii="Book Antiqua" w:eastAsia="等线" w:hAnsi="Book Antiqua" w:cs="Times New Roman"/>
          <w:kern w:val="2"/>
          <w:sz w:val="24"/>
          <w:szCs w:val="24"/>
          <w:lang w:val="en-US" w:eastAsia="zh-CN"/>
        </w:rPr>
        <w:t>: 2558-2564 [PMID: 27383305]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93 </w:t>
      </w:r>
      <w:r w:rsidRPr="005C7810">
        <w:rPr>
          <w:rFonts w:ascii="Book Antiqua" w:eastAsia="等线" w:hAnsi="Book Antiqua" w:cs="Times New Roman"/>
          <w:b/>
          <w:kern w:val="2"/>
          <w:sz w:val="24"/>
          <w:szCs w:val="24"/>
          <w:lang w:val="en-US" w:eastAsia="zh-CN"/>
        </w:rPr>
        <w:t>Gao Y</w:t>
      </w:r>
      <w:r w:rsidRPr="005C7810">
        <w:rPr>
          <w:rFonts w:ascii="Book Antiqua" w:eastAsia="等线" w:hAnsi="Book Antiqua" w:cs="Times New Roman"/>
          <w:kern w:val="2"/>
          <w:sz w:val="24"/>
          <w:szCs w:val="24"/>
          <w:lang w:val="en-US" w:eastAsia="zh-CN"/>
        </w:rPr>
        <w:t xml:space="preserve">, Zhang K, Xi H, Cai A, Wu X, Cui J, Li J, Qiao Z, Wei B, Chen L. Diagnostic and prognostic value of circulating tumor DNA in gastric cancer: a meta-analysis. </w:t>
      </w:r>
      <w:r w:rsidRPr="005C7810">
        <w:rPr>
          <w:rFonts w:ascii="Book Antiqua" w:eastAsia="等线" w:hAnsi="Book Antiqua" w:cs="Times New Roman"/>
          <w:i/>
          <w:kern w:val="2"/>
          <w:sz w:val="24"/>
          <w:szCs w:val="24"/>
          <w:lang w:val="en-US" w:eastAsia="zh-CN"/>
        </w:rPr>
        <w:t>Oncotarget</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8</w:t>
      </w:r>
      <w:r w:rsidRPr="005C7810">
        <w:rPr>
          <w:rFonts w:ascii="Book Antiqua" w:eastAsia="等线" w:hAnsi="Book Antiqua" w:cs="Times New Roman"/>
          <w:kern w:val="2"/>
          <w:sz w:val="24"/>
          <w:szCs w:val="24"/>
          <w:lang w:val="en-US" w:eastAsia="zh-CN"/>
        </w:rPr>
        <w:t>: 6330-6340 [PMID: 28009985 DOI: 10.18632/oncotarget.14064]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94 </w:t>
      </w:r>
      <w:r w:rsidRPr="005C7810">
        <w:rPr>
          <w:rFonts w:ascii="Book Antiqua" w:eastAsia="等线" w:hAnsi="Book Antiqua" w:cs="Times New Roman"/>
          <w:b/>
          <w:kern w:val="2"/>
          <w:sz w:val="24"/>
          <w:szCs w:val="24"/>
          <w:lang w:val="en-US" w:eastAsia="zh-CN"/>
        </w:rPr>
        <w:t>Shoda K</w:t>
      </w:r>
      <w:r w:rsidRPr="005C7810">
        <w:rPr>
          <w:rFonts w:ascii="Book Antiqua" w:eastAsia="等线" w:hAnsi="Book Antiqua" w:cs="Times New Roman"/>
          <w:kern w:val="2"/>
          <w:sz w:val="24"/>
          <w:szCs w:val="24"/>
          <w:lang w:val="en-US" w:eastAsia="zh-CN"/>
        </w:rPr>
        <w:t xml:space="preserve">, Ichikawa D, Fujita Y, Masuda K, Hiramoto H, Hamada J, Arita T, Konishi H, Kosuga T, Komatsu S, Shiozaki A, Okamoto K, Imoto I, Otsuji E. Clinical utility of circulating cell-free Epstein-Barr virus DNA in patients with gastric cancer. </w:t>
      </w:r>
      <w:r w:rsidRPr="005C7810">
        <w:rPr>
          <w:rFonts w:ascii="Book Antiqua" w:eastAsia="等线" w:hAnsi="Book Antiqua" w:cs="Times New Roman"/>
          <w:i/>
          <w:kern w:val="2"/>
          <w:sz w:val="24"/>
          <w:szCs w:val="24"/>
          <w:lang w:val="en-US" w:eastAsia="zh-CN"/>
        </w:rPr>
        <w:t>Oncotarget</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8</w:t>
      </w:r>
      <w:r w:rsidRPr="005C7810">
        <w:rPr>
          <w:rFonts w:ascii="Book Antiqua" w:eastAsia="等线" w:hAnsi="Book Antiqua" w:cs="Times New Roman"/>
          <w:kern w:val="2"/>
          <w:sz w:val="24"/>
          <w:szCs w:val="24"/>
          <w:lang w:val="en-US" w:eastAsia="zh-CN"/>
        </w:rPr>
        <w:t>: 28796-28804 [PMID: 28430637 DOI: 10.18632/oncotarget.15675]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95 </w:t>
      </w:r>
      <w:r w:rsidRPr="005C7810">
        <w:rPr>
          <w:rFonts w:ascii="Book Antiqua" w:eastAsia="等线" w:hAnsi="Book Antiqua" w:cs="Times New Roman"/>
          <w:b/>
          <w:kern w:val="2"/>
          <w:sz w:val="24"/>
          <w:szCs w:val="24"/>
          <w:lang w:val="en-US" w:eastAsia="zh-CN"/>
        </w:rPr>
        <w:t>Han TS</w:t>
      </w:r>
      <w:r w:rsidRPr="005C7810">
        <w:rPr>
          <w:rFonts w:ascii="Book Antiqua" w:eastAsia="等线" w:hAnsi="Book Antiqua" w:cs="Times New Roman"/>
          <w:kern w:val="2"/>
          <w:sz w:val="24"/>
          <w:szCs w:val="24"/>
          <w:lang w:val="en-US" w:eastAsia="zh-CN"/>
        </w:rPr>
        <w:t xml:space="preserve">, Hur K, Xu G, Choi B, Okugawa Y, Toiyama Y, Oshima H, Oshima M, Lee HJ, Kim VN, Chang AN, Goel A, Yang HK. MicroRNA-29c mediates initiation of gastric carcinogenesis by directly targeting ITGB1. </w:t>
      </w:r>
      <w:r w:rsidRPr="005C7810">
        <w:rPr>
          <w:rFonts w:ascii="Book Antiqua" w:eastAsia="等线" w:hAnsi="Book Antiqua" w:cs="Times New Roman"/>
          <w:i/>
          <w:kern w:val="2"/>
          <w:sz w:val="24"/>
          <w:szCs w:val="24"/>
          <w:lang w:val="en-US" w:eastAsia="zh-CN"/>
        </w:rPr>
        <w:t>Gut</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64</w:t>
      </w:r>
      <w:r w:rsidRPr="005C7810">
        <w:rPr>
          <w:rFonts w:ascii="Book Antiqua" w:eastAsia="等线" w:hAnsi="Book Antiqua" w:cs="Times New Roman"/>
          <w:kern w:val="2"/>
          <w:sz w:val="24"/>
          <w:szCs w:val="24"/>
          <w:lang w:val="en-US" w:eastAsia="zh-CN"/>
        </w:rPr>
        <w:t>: 203-214 [PMID: 24870620 DOI: 10.1136/gutjnl-2013-306640]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96 </w:t>
      </w:r>
      <w:r w:rsidRPr="005C7810">
        <w:rPr>
          <w:rFonts w:ascii="Book Antiqua" w:eastAsia="等线" w:hAnsi="Book Antiqua" w:cs="Times New Roman"/>
          <w:b/>
          <w:kern w:val="2"/>
          <w:sz w:val="24"/>
          <w:szCs w:val="24"/>
          <w:lang w:val="en-US" w:eastAsia="zh-CN"/>
        </w:rPr>
        <w:t>Zhu X</w:t>
      </w:r>
      <w:r w:rsidRPr="005C7810">
        <w:rPr>
          <w:rFonts w:ascii="Book Antiqua" w:eastAsia="等线" w:hAnsi="Book Antiqua" w:cs="Times New Roman"/>
          <w:kern w:val="2"/>
          <w:sz w:val="24"/>
          <w:szCs w:val="24"/>
          <w:lang w:val="en-US" w:eastAsia="zh-CN"/>
        </w:rPr>
        <w:t xml:space="preserve">, Lv M, Wang H, Guan W. Identification of circulating microRNAs as novel potential biomarkers for gastric cancer detection: a systematic review and meta-analysis. </w:t>
      </w:r>
      <w:r w:rsidRPr="005C7810">
        <w:rPr>
          <w:rFonts w:ascii="Book Antiqua" w:eastAsia="等线" w:hAnsi="Book Antiqua" w:cs="Times New Roman"/>
          <w:i/>
          <w:kern w:val="2"/>
          <w:sz w:val="24"/>
          <w:szCs w:val="24"/>
          <w:lang w:val="en-US" w:eastAsia="zh-CN"/>
        </w:rPr>
        <w:t>Dig Dis Sci</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59</w:t>
      </w:r>
      <w:r w:rsidRPr="005C7810">
        <w:rPr>
          <w:rFonts w:ascii="Book Antiqua" w:eastAsia="等线" w:hAnsi="Book Antiqua" w:cs="Times New Roman"/>
          <w:kern w:val="2"/>
          <w:sz w:val="24"/>
          <w:szCs w:val="24"/>
          <w:lang w:val="en-US" w:eastAsia="zh-CN"/>
        </w:rPr>
        <w:t>: 911-919 [PMID: 24337687 DOI: 10.1007/s10620-013-2970-9]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97 </w:t>
      </w:r>
      <w:r w:rsidRPr="005C7810">
        <w:rPr>
          <w:rFonts w:ascii="Book Antiqua" w:eastAsia="等线" w:hAnsi="Book Antiqua" w:cs="Times New Roman"/>
          <w:b/>
          <w:kern w:val="2"/>
          <w:sz w:val="24"/>
          <w:szCs w:val="24"/>
          <w:lang w:val="en-US" w:eastAsia="zh-CN"/>
        </w:rPr>
        <w:t>Wu HH</w:t>
      </w:r>
      <w:r w:rsidRPr="005C7810">
        <w:rPr>
          <w:rFonts w:ascii="Book Antiqua" w:eastAsia="等线" w:hAnsi="Book Antiqua" w:cs="Times New Roman"/>
          <w:kern w:val="2"/>
          <w:sz w:val="24"/>
          <w:szCs w:val="24"/>
          <w:lang w:val="en-US" w:eastAsia="zh-CN"/>
        </w:rPr>
        <w:t xml:space="preserve">, Lin WC, Tsai KW. Advances in molecular biomarkers for gastric cancer: miRNAs as emerging novel cancer markers. </w:t>
      </w:r>
      <w:r w:rsidRPr="005C7810">
        <w:rPr>
          <w:rFonts w:ascii="Book Antiqua" w:eastAsia="等线" w:hAnsi="Book Antiqua" w:cs="Times New Roman"/>
          <w:i/>
          <w:kern w:val="2"/>
          <w:sz w:val="24"/>
          <w:szCs w:val="24"/>
          <w:lang w:val="en-US" w:eastAsia="zh-CN"/>
        </w:rPr>
        <w:t>Expert Rev Mol Med</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16</w:t>
      </w:r>
      <w:r w:rsidRPr="005C7810">
        <w:rPr>
          <w:rFonts w:ascii="Book Antiqua" w:eastAsia="等线" w:hAnsi="Book Antiqua" w:cs="Times New Roman"/>
          <w:kern w:val="2"/>
          <w:sz w:val="24"/>
          <w:szCs w:val="24"/>
          <w:lang w:val="en-US" w:eastAsia="zh-CN"/>
        </w:rPr>
        <w:t>: e1 [PMID: 24456939 DOI: 10.1017/erm.2013.16]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98 </w:t>
      </w:r>
      <w:r w:rsidRPr="005C7810">
        <w:rPr>
          <w:rFonts w:ascii="Book Antiqua" w:eastAsia="等线" w:hAnsi="Book Antiqua" w:cs="Times New Roman"/>
          <w:b/>
          <w:kern w:val="2"/>
          <w:sz w:val="24"/>
          <w:szCs w:val="24"/>
          <w:lang w:val="en-US" w:eastAsia="zh-CN"/>
        </w:rPr>
        <w:t>Liu HS</w:t>
      </w:r>
      <w:r w:rsidRPr="005C7810">
        <w:rPr>
          <w:rFonts w:ascii="Book Antiqua" w:eastAsia="等线" w:hAnsi="Book Antiqua" w:cs="Times New Roman"/>
          <w:kern w:val="2"/>
          <w:sz w:val="24"/>
          <w:szCs w:val="24"/>
          <w:lang w:val="en-US" w:eastAsia="zh-CN"/>
        </w:rPr>
        <w:t xml:space="preserve">, Xiao HS. MicroRNAs as potential biomarkers for gastric cancer. </w:t>
      </w:r>
      <w:r w:rsidRPr="005C7810">
        <w:rPr>
          <w:rFonts w:ascii="Book Antiqua" w:eastAsia="等线" w:hAnsi="Book Antiqua" w:cs="Times New Roman"/>
          <w:i/>
          <w:kern w:val="2"/>
          <w:sz w:val="24"/>
          <w:szCs w:val="24"/>
          <w:lang w:val="en-US" w:eastAsia="zh-CN"/>
        </w:rPr>
        <w:t>World J Gastroenterol</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20</w:t>
      </w:r>
      <w:r w:rsidRPr="005C7810">
        <w:rPr>
          <w:rFonts w:ascii="Book Antiqua" w:eastAsia="等线" w:hAnsi="Book Antiqua" w:cs="Times New Roman"/>
          <w:kern w:val="2"/>
          <w:sz w:val="24"/>
          <w:szCs w:val="24"/>
          <w:lang w:val="en-US" w:eastAsia="zh-CN"/>
        </w:rPr>
        <w:t>: 12007-12017 [PMID: 25232237 DOI: 10.3748/wjg.v20.i34.12007]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99 </w:t>
      </w:r>
      <w:r w:rsidRPr="005C7810">
        <w:rPr>
          <w:rFonts w:ascii="Book Antiqua" w:eastAsia="等线" w:hAnsi="Book Antiqua" w:cs="Times New Roman"/>
          <w:b/>
          <w:kern w:val="2"/>
          <w:sz w:val="24"/>
          <w:szCs w:val="24"/>
          <w:lang w:val="en-US" w:eastAsia="zh-CN"/>
        </w:rPr>
        <w:t>Sierzega M</w:t>
      </w:r>
      <w:r w:rsidRPr="005C7810">
        <w:rPr>
          <w:rFonts w:ascii="Book Antiqua" w:eastAsia="等线" w:hAnsi="Book Antiqua" w:cs="Times New Roman"/>
          <w:kern w:val="2"/>
          <w:sz w:val="24"/>
          <w:szCs w:val="24"/>
          <w:lang w:val="en-US" w:eastAsia="zh-CN"/>
        </w:rPr>
        <w:t xml:space="preserve">, Kaczor M, Kolodziejczyk P, Kulig J, Sanak M, Richter P. Evaluation of serum microRNA biomarkers for gastric cancer based on blood and tissue pools profiling: the importance of miR-21 and miR-331.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117</w:t>
      </w:r>
      <w:r w:rsidRPr="005C7810">
        <w:rPr>
          <w:rFonts w:ascii="Book Antiqua" w:eastAsia="等线" w:hAnsi="Book Antiqua" w:cs="Times New Roman"/>
          <w:kern w:val="2"/>
          <w:sz w:val="24"/>
          <w:szCs w:val="24"/>
          <w:lang w:val="en-US" w:eastAsia="zh-CN"/>
        </w:rPr>
        <w:t>: 266-273 [PMID: 28641313 DOI: 10.1038/bjc.2017.190]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100 </w:t>
      </w:r>
      <w:r w:rsidRPr="005C7810">
        <w:rPr>
          <w:rFonts w:ascii="Book Antiqua" w:eastAsia="等线" w:hAnsi="Book Antiqua" w:cs="Times New Roman"/>
          <w:b/>
          <w:kern w:val="2"/>
          <w:sz w:val="24"/>
          <w:szCs w:val="24"/>
          <w:lang w:val="en-US" w:eastAsia="zh-CN"/>
        </w:rPr>
        <w:t>Huang Z</w:t>
      </w:r>
      <w:r w:rsidRPr="005C7810">
        <w:rPr>
          <w:rFonts w:ascii="Book Antiqua" w:eastAsia="等线" w:hAnsi="Book Antiqua" w:cs="Times New Roman"/>
          <w:kern w:val="2"/>
          <w:sz w:val="24"/>
          <w:szCs w:val="24"/>
          <w:lang w:val="en-US" w:eastAsia="zh-CN"/>
        </w:rPr>
        <w:t xml:space="preserve">, Zhu D, Wu L, He M, Zhou X, Zhang L, Zhang H, Wang W, Zhu J, Cheng W, Chen Y, Fan Y, Qi L, Yin Y, Zhu W, Shu Y, Liu P. Six Serum-Based miRNAs as Potential Diagnostic Biomarkers for Gastric Cancer. </w:t>
      </w:r>
      <w:r w:rsidRPr="005C7810">
        <w:rPr>
          <w:rFonts w:ascii="Book Antiqua" w:eastAsia="等线" w:hAnsi="Book Antiqua" w:cs="Times New Roman"/>
          <w:i/>
          <w:kern w:val="2"/>
          <w:sz w:val="24"/>
          <w:szCs w:val="24"/>
          <w:lang w:val="en-US" w:eastAsia="zh-CN"/>
        </w:rPr>
        <w:t>Cancer Epidemiol Biomarkers Prev</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26</w:t>
      </w:r>
      <w:r w:rsidRPr="005C7810">
        <w:rPr>
          <w:rFonts w:ascii="Book Antiqua" w:eastAsia="等线" w:hAnsi="Book Antiqua" w:cs="Times New Roman"/>
          <w:kern w:val="2"/>
          <w:sz w:val="24"/>
          <w:szCs w:val="24"/>
          <w:lang w:val="en-US" w:eastAsia="zh-CN"/>
        </w:rPr>
        <w:t>: 188-196 [PMID: 27756776 DOI: 10.1158/1055-9965.EPI-16-0607]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101 </w:t>
      </w:r>
      <w:r w:rsidRPr="005C7810">
        <w:rPr>
          <w:rFonts w:ascii="Book Antiqua" w:eastAsia="等线" w:hAnsi="Book Antiqua" w:cs="Times New Roman"/>
          <w:b/>
          <w:kern w:val="2"/>
          <w:sz w:val="24"/>
          <w:szCs w:val="24"/>
          <w:lang w:val="en-US" w:eastAsia="zh-CN"/>
        </w:rPr>
        <w:t>Zhang Y</w:t>
      </w:r>
      <w:r w:rsidRPr="005C7810">
        <w:rPr>
          <w:rFonts w:ascii="Book Antiqua" w:eastAsia="等线" w:hAnsi="Book Antiqua" w:cs="Times New Roman"/>
          <w:kern w:val="2"/>
          <w:sz w:val="24"/>
          <w:szCs w:val="24"/>
          <w:lang w:val="en-US" w:eastAsia="zh-CN"/>
        </w:rPr>
        <w:t xml:space="preserve">, Guan DH, Bi RX, Xie J, Yang CH, Jiang YH. Prognostic value of microRNAs in gastric cancer: a meta-analysis. </w:t>
      </w:r>
      <w:r w:rsidRPr="005C7810">
        <w:rPr>
          <w:rFonts w:ascii="Book Antiqua" w:eastAsia="等线" w:hAnsi="Book Antiqua" w:cs="Times New Roman"/>
          <w:i/>
          <w:kern w:val="2"/>
          <w:sz w:val="24"/>
          <w:szCs w:val="24"/>
          <w:lang w:val="en-US" w:eastAsia="zh-CN"/>
        </w:rPr>
        <w:t>Oncotarget</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8</w:t>
      </w:r>
      <w:r w:rsidRPr="005C7810">
        <w:rPr>
          <w:rFonts w:ascii="Book Antiqua" w:eastAsia="等线" w:hAnsi="Book Antiqua" w:cs="Times New Roman"/>
          <w:kern w:val="2"/>
          <w:sz w:val="24"/>
          <w:szCs w:val="24"/>
          <w:lang w:val="en-US" w:eastAsia="zh-CN"/>
        </w:rPr>
        <w:t>: 55489-55510 [PMID: 28903436 DOI: 10.18632/oncotarget.18590]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102 </w:t>
      </w:r>
      <w:r w:rsidRPr="005C7810">
        <w:rPr>
          <w:rFonts w:ascii="Book Antiqua" w:eastAsia="等线" w:hAnsi="Book Antiqua" w:cs="Times New Roman"/>
          <w:b/>
          <w:kern w:val="2"/>
          <w:sz w:val="24"/>
          <w:szCs w:val="24"/>
          <w:lang w:val="en-US" w:eastAsia="zh-CN"/>
        </w:rPr>
        <w:t>Fang XY</w:t>
      </w:r>
      <w:r w:rsidRPr="005C7810">
        <w:rPr>
          <w:rFonts w:ascii="Book Antiqua" w:eastAsia="等线" w:hAnsi="Book Antiqua" w:cs="Times New Roman"/>
          <w:kern w:val="2"/>
          <w:sz w:val="24"/>
          <w:szCs w:val="24"/>
          <w:lang w:val="en-US" w:eastAsia="zh-CN"/>
        </w:rPr>
        <w:t xml:space="preserve">, Pan HF, Leng RX, Ye DQ. Long noncoding RNAs: novel insights into gastric cancer. </w:t>
      </w:r>
      <w:r w:rsidRPr="005C7810">
        <w:rPr>
          <w:rFonts w:ascii="Book Antiqua" w:eastAsia="等线" w:hAnsi="Book Antiqua" w:cs="Times New Roman"/>
          <w:i/>
          <w:kern w:val="2"/>
          <w:sz w:val="24"/>
          <w:szCs w:val="24"/>
          <w:lang w:val="en-US" w:eastAsia="zh-CN"/>
        </w:rPr>
        <w:t>Cancer Lett</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356</w:t>
      </w:r>
      <w:r w:rsidRPr="005C7810">
        <w:rPr>
          <w:rFonts w:ascii="Book Antiqua" w:eastAsia="等线" w:hAnsi="Book Antiqua" w:cs="Times New Roman"/>
          <w:kern w:val="2"/>
          <w:sz w:val="24"/>
          <w:szCs w:val="24"/>
          <w:lang w:val="en-US" w:eastAsia="zh-CN"/>
        </w:rPr>
        <w:t>: 357-366 [PMID: 25444905 DOI: 10.1016/j.canlet.2014.11.005]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103 </w:t>
      </w:r>
      <w:r w:rsidRPr="005C7810">
        <w:rPr>
          <w:rFonts w:ascii="Book Antiqua" w:eastAsia="等线" w:hAnsi="Book Antiqua" w:cs="Times New Roman"/>
          <w:b/>
          <w:kern w:val="2"/>
          <w:sz w:val="24"/>
          <w:szCs w:val="24"/>
          <w:lang w:val="en-US" w:eastAsia="zh-CN"/>
        </w:rPr>
        <w:t>Song H</w:t>
      </w:r>
      <w:r w:rsidRPr="005C7810">
        <w:rPr>
          <w:rFonts w:ascii="Book Antiqua" w:eastAsia="等线" w:hAnsi="Book Antiqua" w:cs="Times New Roman"/>
          <w:kern w:val="2"/>
          <w:sz w:val="24"/>
          <w:szCs w:val="24"/>
          <w:lang w:val="en-US" w:eastAsia="zh-CN"/>
        </w:rPr>
        <w:t xml:space="preserve">, Sun W, Ye G, Ding X, Liu Z, Zhang S, Xia T, Xiao B, Xi Y, Guo J. Long non-coding RNA expression profile in human gastric cancer and its clinical significances. </w:t>
      </w:r>
      <w:r w:rsidRPr="005C7810">
        <w:rPr>
          <w:rFonts w:ascii="Book Antiqua" w:eastAsia="等线" w:hAnsi="Book Antiqua" w:cs="Times New Roman"/>
          <w:i/>
          <w:kern w:val="2"/>
          <w:sz w:val="24"/>
          <w:szCs w:val="24"/>
          <w:lang w:val="en-US" w:eastAsia="zh-CN"/>
        </w:rPr>
        <w:t>J Transl Med</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11</w:t>
      </w:r>
      <w:r w:rsidRPr="005C7810">
        <w:rPr>
          <w:rFonts w:ascii="Book Antiqua" w:eastAsia="等线" w:hAnsi="Book Antiqua" w:cs="Times New Roman"/>
          <w:kern w:val="2"/>
          <w:sz w:val="24"/>
          <w:szCs w:val="24"/>
          <w:lang w:val="en-US" w:eastAsia="zh-CN"/>
        </w:rPr>
        <w:t>: 225 [PMID: 24063685 DOI: 10.1186/1479-5876-11-225]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104 </w:t>
      </w:r>
      <w:r w:rsidRPr="005C7810">
        <w:rPr>
          <w:rFonts w:ascii="Book Antiqua" w:eastAsia="等线" w:hAnsi="Book Antiqua" w:cs="Times New Roman"/>
          <w:b/>
          <w:kern w:val="2"/>
          <w:sz w:val="24"/>
          <w:szCs w:val="24"/>
          <w:lang w:val="en-US" w:eastAsia="zh-CN"/>
        </w:rPr>
        <w:t>Yuan CL</w:t>
      </w:r>
      <w:r w:rsidRPr="005C7810">
        <w:rPr>
          <w:rFonts w:ascii="Book Antiqua" w:eastAsia="等线" w:hAnsi="Book Antiqua" w:cs="Times New Roman"/>
          <w:kern w:val="2"/>
          <w:sz w:val="24"/>
          <w:szCs w:val="24"/>
          <w:lang w:val="en-US" w:eastAsia="zh-CN"/>
        </w:rPr>
        <w:t xml:space="preserve">, Li H, Zhu L, Liu Z, Zhou J, Shu Y. Aberrant expression of long noncoding RNA PVT1 and its diagnostic and prognostic significance in patients with gastric cancer. </w:t>
      </w:r>
      <w:r w:rsidRPr="005C7810">
        <w:rPr>
          <w:rFonts w:ascii="Book Antiqua" w:eastAsia="等线" w:hAnsi="Book Antiqua" w:cs="Times New Roman"/>
          <w:i/>
          <w:kern w:val="2"/>
          <w:sz w:val="24"/>
          <w:szCs w:val="24"/>
          <w:lang w:val="en-US" w:eastAsia="zh-CN"/>
        </w:rPr>
        <w:t>Neoplasma</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63</w:t>
      </w:r>
      <w:r w:rsidRPr="005C7810">
        <w:rPr>
          <w:rFonts w:ascii="Book Antiqua" w:eastAsia="等线" w:hAnsi="Book Antiqua" w:cs="Times New Roman"/>
          <w:kern w:val="2"/>
          <w:sz w:val="24"/>
          <w:szCs w:val="24"/>
          <w:lang w:val="en-US" w:eastAsia="zh-CN"/>
        </w:rPr>
        <w:t>: 442-449 [PMID: 26925791 DOI: 10.4149/314_150825N45]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105 </w:t>
      </w:r>
      <w:r w:rsidRPr="005C7810">
        <w:rPr>
          <w:rFonts w:ascii="Book Antiqua" w:eastAsia="等线" w:hAnsi="Book Antiqua" w:cs="Times New Roman"/>
          <w:b/>
          <w:kern w:val="2"/>
          <w:sz w:val="24"/>
          <w:szCs w:val="24"/>
          <w:lang w:val="en-US" w:eastAsia="zh-CN"/>
        </w:rPr>
        <w:t>Fan QH</w:t>
      </w:r>
      <w:r w:rsidRPr="005C7810">
        <w:rPr>
          <w:rFonts w:ascii="Book Antiqua" w:eastAsia="等线" w:hAnsi="Book Antiqua" w:cs="Times New Roman"/>
          <w:kern w:val="2"/>
          <w:sz w:val="24"/>
          <w:szCs w:val="24"/>
          <w:lang w:val="en-US" w:eastAsia="zh-CN"/>
        </w:rPr>
        <w:t xml:space="preserve">, Yu R, Huang WX, Cui XX, Luo BH, Zhang LY. The has-miR-526b binding-site rs8506G&amp;gt;a polymorphism in the lincRNA-NR_024015 exon identified by GWASs predispose to non-cardia gastric cancer risk. </w:t>
      </w:r>
      <w:r w:rsidRPr="005C7810">
        <w:rPr>
          <w:rFonts w:ascii="Book Antiqua" w:eastAsia="等线" w:hAnsi="Book Antiqua" w:cs="Times New Roman"/>
          <w:i/>
          <w:kern w:val="2"/>
          <w:sz w:val="24"/>
          <w:szCs w:val="24"/>
          <w:lang w:val="en-US" w:eastAsia="zh-CN"/>
        </w:rPr>
        <w:t>PLoS One</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9</w:t>
      </w:r>
      <w:r w:rsidRPr="005C7810">
        <w:rPr>
          <w:rFonts w:ascii="Book Antiqua" w:eastAsia="等线" w:hAnsi="Book Antiqua" w:cs="Times New Roman"/>
          <w:kern w:val="2"/>
          <w:sz w:val="24"/>
          <w:szCs w:val="24"/>
          <w:lang w:val="en-US" w:eastAsia="zh-CN"/>
        </w:rPr>
        <w:t>: e90008 [PMID: 24595048 DOI: 10.1371/journal.pone.0090008]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106 </w:t>
      </w:r>
      <w:r w:rsidRPr="005C7810">
        <w:rPr>
          <w:rFonts w:ascii="Book Antiqua" w:eastAsia="等线" w:hAnsi="Book Antiqua" w:cs="Times New Roman"/>
          <w:b/>
          <w:kern w:val="2"/>
          <w:sz w:val="24"/>
          <w:szCs w:val="24"/>
          <w:lang w:val="en-US" w:eastAsia="zh-CN"/>
        </w:rPr>
        <w:t>Miner TJ</w:t>
      </w:r>
      <w:r w:rsidRPr="005C7810">
        <w:rPr>
          <w:rFonts w:ascii="Book Antiqua" w:eastAsia="等线" w:hAnsi="Book Antiqua" w:cs="Times New Roman"/>
          <w:kern w:val="2"/>
          <w:sz w:val="24"/>
          <w:szCs w:val="24"/>
          <w:lang w:val="en-US" w:eastAsia="zh-CN"/>
        </w:rPr>
        <w:t xml:space="preserve">, Karpeh MS. Gastrectomy for gastric cancer: defining critical elements of patient selection and outcome assessment. </w:t>
      </w:r>
      <w:r w:rsidRPr="005C7810">
        <w:rPr>
          <w:rFonts w:ascii="Book Antiqua" w:eastAsia="等线" w:hAnsi="Book Antiqua" w:cs="Times New Roman"/>
          <w:i/>
          <w:kern w:val="2"/>
          <w:sz w:val="24"/>
          <w:szCs w:val="24"/>
          <w:lang w:val="en-US" w:eastAsia="zh-CN"/>
        </w:rPr>
        <w:t>Surg Oncol Clin N Am</w:t>
      </w:r>
      <w:r w:rsidRPr="005C7810">
        <w:rPr>
          <w:rFonts w:ascii="Book Antiqua" w:eastAsia="等线" w:hAnsi="Book Antiqua" w:cs="Times New Roman"/>
          <w:kern w:val="2"/>
          <w:sz w:val="24"/>
          <w:szCs w:val="24"/>
          <w:lang w:val="en-US" w:eastAsia="zh-CN"/>
        </w:rPr>
        <w:t xml:space="preserve"> 2004; </w:t>
      </w:r>
      <w:r w:rsidRPr="005C7810">
        <w:rPr>
          <w:rFonts w:ascii="Book Antiqua" w:eastAsia="等线" w:hAnsi="Book Antiqua" w:cs="Times New Roman"/>
          <w:b/>
          <w:kern w:val="2"/>
          <w:sz w:val="24"/>
          <w:szCs w:val="24"/>
          <w:lang w:val="en-US" w:eastAsia="zh-CN"/>
        </w:rPr>
        <w:t>13</w:t>
      </w:r>
      <w:r w:rsidRPr="005C7810">
        <w:rPr>
          <w:rFonts w:ascii="Book Antiqua" w:eastAsia="等线" w:hAnsi="Book Antiqua" w:cs="Times New Roman"/>
          <w:kern w:val="2"/>
          <w:sz w:val="24"/>
          <w:szCs w:val="24"/>
          <w:lang w:val="en-US" w:eastAsia="zh-CN"/>
        </w:rPr>
        <w:t>: 455-466, viii [PMID: 15236728 DOI: 10.1016/j.soc.2004.03.004]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107 </w:t>
      </w:r>
      <w:r w:rsidRPr="005C7810">
        <w:rPr>
          <w:rFonts w:ascii="Book Antiqua" w:eastAsia="等线" w:hAnsi="Book Antiqua" w:cs="Times New Roman"/>
          <w:b/>
          <w:kern w:val="2"/>
          <w:sz w:val="24"/>
          <w:szCs w:val="24"/>
          <w:lang w:val="en-US" w:eastAsia="zh-CN"/>
        </w:rPr>
        <w:t>Koeda K</w:t>
      </w:r>
      <w:r w:rsidRPr="005C7810">
        <w:rPr>
          <w:rFonts w:ascii="Book Antiqua" w:eastAsia="等线" w:hAnsi="Book Antiqua" w:cs="Times New Roman"/>
          <w:kern w:val="2"/>
          <w:sz w:val="24"/>
          <w:szCs w:val="24"/>
          <w:lang w:val="en-US" w:eastAsia="zh-CN"/>
        </w:rPr>
        <w:t xml:space="preserve">, Nishizuka S, Wakabayashi G. Minimally invasive surgery for gastric cancer: the future standard of care. </w:t>
      </w:r>
      <w:r w:rsidRPr="005C7810">
        <w:rPr>
          <w:rFonts w:ascii="Book Antiqua" w:eastAsia="等线" w:hAnsi="Book Antiqua" w:cs="Times New Roman"/>
          <w:i/>
          <w:kern w:val="2"/>
          <w:sz w:val="24"/>
          <w:szCs w:val="24"/>
          <w:lang w:val="en-US" w:eastAsia="zh-CN"/>
        </w:rPr>
        <w:t>World J Surg</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35</w:t>
      </w:r>
      <w:r w:rsidRPr="005C7810">
        <w:rPr>
          <w:rFonts w:ascii="Book Antiqua" w:eastAsia="等线" w:hAnsi="Book Antiqua" w:cs="Times New Roman"/>
          <w:kern w:val="2"/>
          <w:sz w:val="24"/>
          <w:szCs w:val="24"/>
          <w:lang w:val="en-US" w:eastAsia="zh-CN"/>
        </w:rPr>
        <w:t>: 1469-1477 [PMID: 21476116 DOI: 10.1007/s00268-011-1051-5]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108 </w:t>
      </w:r>
      <w:r w:rsidRPr="005C7810">
        <w:rPr>
          <w:rFonts w:ascii="Book Antiqua" w:eastAsia="等线" w:hAnsi="Book Antiqua" w:cs="Times New Roman"/>
          <w:b/>
          <w:kern w:val="2"/>
          <w:sz w:val="24"/>
          <w:szCs w:val="24"/>
          <w:lang w:val="en-US" w:eastAsia="zh-CN"/>
        </w:rPr>
        <w:t>Parisi A</w:t>
      </w:r>
      <w:r w:rsidRPr="005C7810">
        <w:rPr>
          <w:rFonts w:ascii="Book Antiqua" w:eastAsia="等线" w:hAnsi="Book Antiqua" w:cs="Times New Roman"/>
          <w:kern w:val="2"/>
          <w:sz w:val="24"/>
          <w:szCs w:val="24"/>
          <w:lang w:val="en-US" w:eastAsia="zh-CN"/>
        </w:rPr>
        <w:t xml:space="preserve">, Nguyen NT, Reim D, Zhang S, Jiang ZW, Brower ST, Azagra JS, Facy O, Alimoglu O, Jackson PG, Tsujimoto H, Kurokawa Y, Zang L, Coburn NG, Yu PW, Zhang B, Qi F, Coratti A, Annecchiarico M, Novotny A, Goergen M, Lequeu JB, Eren T, Leblebici M, Al-Refaie W, Takiguchi S, Ma J, Zhao YL, Liu T, Desiderio J. Current status of minimally invasive surgery for gastric cancer: A literature review to highlight studies limits. </w:t>
      </w:r>
      <w:r w:rsidRPr="005C7810">
        <w:rPr>
          <w:rFonts w:ascii="Book Antiqua" w:eastAsia="等线" w:hAnsi="Book Antiqua" w:cs="Times New Roman"/>
          <w:i/>
          <w:kern w:val="2"/>
          <w:sz w:val="24"/>
          <w:szCs w:val="24"/>
          <w:lang w:val="en-US" w:eastAsia="zh-CN"/>
        </w:rPr>
        <w:t>Int J Surg</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17</w:t>
      </w:r>
      <w:r w:rsidRPr="005C7810">
        <w:rPr>
          <w:rFonts w:ascii="Book Antiqua" w:eastAsia="等线" w:hAnsi="Book Antiqua" w:cs="Times New Roman"/>
          <w:kern w:val="2"/>
          <w:sz w:val="24"/>
          <w:szCs w:val="24"/>
          <w:lang w:val="en-US" w:eastAsia="zh-CN"/>
        </w:rPr>
        <w:t>: 34-40 [PMID: 25758348 DOI: 10.1016/j.ijsu.2015.02.021]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109 </w:t>
      </w:r>
      <w:r w:rsidRPr="005C7810">
        <w:rPr>
          <w:rFonts w:ascii="Book Antiqua" w:eastAsia="等线" w:hAnsi="Book Antiqua" w:cs="Times New Roman"/>
          <w:b/>
          <w:kern w:val="2"/>
          <w:sz w:val="24"/>
          <w:szCs w:val="24"/>
          <w:lang w:val="en-US" w:eastAsia="zh-CN"/>
        </w:rPr>
        <w:t>Haverkamp L</w:t>
      </w:r>
      <w:r w:rsidRPr="005C7810">
        <w:rPr>
          <w:rFonts w:ascii="Book Antiqua" w:eastAsia="等线" w:hAnsi="Book Antiqua" w:cs="Times New Roman"/>
          <w:kern w:val="2"/>
          <w:sz w:val="24"/>
          <w:szCs w:val="24"/>
          <w:lang w:val="en-US" w:eastAsia="zh-CN"/>
        </w:rPr>
        <w:t xml:space="preserve">, Weijs TJ, van der Sluis PC, van der Tweel I, Ruurda JP, van Hillegersberg R. Laparoscopic total gastrectomy versus open total gastrectomy for cancer: a systematic review and meta-analysis. </w:t>
      </w:r>
      <w:r w:rsidRPr="005C7810">
        <w:rPr>
          <w:rFonts w:ascii="Book Antiqua" w:eastAsia="等线" w:hAnsi="Book Antiqua" w:cs="Times New Roman"/>
          <w:i/>
          <w:kern w:val="2"/>
          <w:sz w:val="24"/>
          <w:szCs w:val="24"/>
          <w:lang w:val="en-US" w:eastAsia="zh-CN"/>
        </w:rPr>
        <w:t>Surg Endosc</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27</w:t>
      </w:r>
      <w:r w:rsidRPr="005C7810">
        <w:rPr>
          <w:rFonts w:ascii="Book Antiqua" w:eastAsia="等线" w:hAnsi="Book Antiqua" w:cs="Times New Roman"/>
          <w:kern w:val="2"/>
          <w:sz w:val="24"/>
          <w:szCs w:val="24"/>
          <w:lang w:val="en-US" w:eastAsia="zh-CN"/>
        </w:rPr>
        <w:t>: 1509-1520 [PMID: 23263644 DOI: 10.1007/s00464-012-2661-1]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110 </w:t>
      </w:r>
      <w:r w:rsidRPr="005C7810">
        <w:rPr>
          <w:rFonts w:ascii="Book Antiqua" w:eastAsia="等线" w:hAnsi="Book Antiqua" w:cs="Times New Roman"/>
          <w:b/>
          <w:kern w:val="2"/>
          <w:sz w:val="24"/>
          <w:szCs w:val="24"/>
          <w:lang w:val="en-US" w:eastAsia="zh-CN"/>
        </w:rPr>
        <w:t>Hashizume M</w:t>
      </w:r>
      <w:r w:rsidRPr="005C7810">
        <w:rPr>
          <w:rFonts w:ascii="Book Antiqua" w:eastAsia="等线" w:hAnsi="Book Antiqua" w:cs="Times New Roman"/>
          <w:kern w:val="2"/>
          <w:sz w:val="24"/>
          <w:szCs w:val="24"/>
          <w:lang w:val="en-US" w:eastAsia="zh-CN"/>
        </w:rPr>
        <w:t xml:space="preserve">, Sugimachi K. Robot-assisted gastric surgery. </w:t>
      </w:r>
      <w:r w:rsidRPr="005C7810">
        <w:rPr>
          <w:rFonts w:ascii="Book Antiqua" w:eastAsia="等线" w:hAnsi="Book Antiqua" w:cs="Times New Roman"/>
          <w:i/>
          <w:kern w:val="2"/>
          <w:sz w:val="24"/>
          <w:szCs w:val="24"/>
          <w:lang w:val="en-US" w:eastAsia="zh-CN"/>
        </w:rPr>
        <w:t>Surg Clin North Am</w:t>
      </w:r>
      <w:r w:rsidRPr="005C7810">
        <w:rPr>
          <w:rFonts w:ascii="Book Antiqua" w:eastAsia="等线" w:hAnsi="Book Antiqua" w:cs="Times New Roman"/>
          <w:kern w:val="2"/>
          <w:sz w:val="24"/>
          <w:szCs w:val="24"/>
          <w:lang w:val="en-US" w:eastAsia="zh-CN"/>
        </w:rPr>
        <w:t xml:space="preserve"> 2003; </w:t>
      </w:r>
      <w:r w:rsidRPr="005C7810">
        <w:rPr>
          <w:rFonts w:ascii="Book Antiqua" w:eastAsia="等线" w:hAnsi="Book Antiqua" w:cs="Times New Roman"/>
          <w:b/>
          <w:kern w:val="2"/>
          <w:sz w:val="24"/>
          <w:szCs w:val="24"/>
          <w:lang w:val="en-US" w:eastAsia="zh-CN"/>
        </w:rPr>
        <w:t>83</w:t>
      </w:r>
      <w:r w:rsidRPr="005C7810">
        <w:rPr>
          <w:rFonts w:ascii="Book Antiqua" w:eastAsia="等线" w:hAnsi="Book Antiqua" w:cs="Times New Roman"/>
          <w:kern w:val="2"/>
          <w:sz w:val="24"/>
          <w:szCs w:val="24"/>
          <w:lang w:val="en-US" w:eastAsia="zh-CN"/>
        </w:rPr>
        <w:t>: 1429-1444 [PMID: 14712877 DOI: 10.1016/S0039-6109(03)00158-0]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111 </w:t>
      </w:r>
      <w:r w:rsidRPr="005C7810">
        <w:rPr>
          <w:rFonts w:ascii="Book Antiqua" w:eastAsia="等线" w:hAnsi="Book Antiqua" w:cs="Times New Roman"/>
          <w:b/>
          <w:kern w:val="2"/>
          <w:sz w:val="24"/>
          <w:szCs w:val="24"/>
          <w:lang w:val="en-US" w:eastAsia="zh-CN"/>
        </w:rPr>
        <w:t>Woo Y</w:t>
      </w:r>
      <w:r w:rsidRPr="005C7810">
        <w:rPr>
          <w:rFonts w:ascii="Book Antiqua" w:eastAsia="等线" w:hAnsi="Book Antiqua" w:cs="Times New Roman"/>
          <w:kern w:val="2"/>
          <w:sz w:val="24"/>
          <w:szCs w:val="24"/>
          <w:lang w:val="en-US" w:eastAsia="zh-CN"/>
        </w:rPr>
        <w:t xml:space="preserve">, Hyung WJ, Pak KH, Inaba K, Obama K, Choi SH, Noh SH. Robotic gastrectomy as an oncologically sound alternative to laparoscopic resections for the treatment of early-stage gastric cancers. </w:t>
      </w:r>
      <w:r w:rsidRPr="005C7810">
        <w:rPr>
          <w:rFonts w:ascii="Book Antiqua" w:eastAsia="等线" w:hAnsi="Book Antiqua" w:cs="Times New Roman"/>
          <w:i/>
          <w:kern w:val="2"/>
          <w:sz w:val="24"/>
          <w:szCs w:val="24"/>
          <w:lang w:val="en-US" w:eastAsia="zh-CN"/>
        </w:rPr>
        <w:t>Arch Surg</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146</w:t>
      </w:r>
      <w:r w:rsidRPr="005C7810">
        <w:rPr>
          <w:rFonts w:ascii="Book Antiqua" w:eastAsia="等线" w:hAnsi="Book Antiqua" w:cs="Times New Roman"/>
          <w:kern w:val="2"/>
          <w:sz w:val="24"/>
          <w:szCs w:val="24"/>
          <w:lang w:val="en-US" w:eastAsia="zh-CN"/>
        </w:rPr>
        <w:t>: 1086-1092 [PMID: 21576595 DOI: 10.1001/archsurg.2011.114]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112 </w:t>
      </w:r>
      <w:r w:rsidRPr="005C7810">
        <w:rPr>
          <w:rFonts w:ascii="Book Antiqua" w:eastAsia="等线" w:hAnsi="Book Antiqua" w:cs="Times New Roman"/>
          <w:b/>
          <w:kern w:val="2"/>
          <w:sz w:val="24"/>
          <w:szCs w:val="24"/>
          <w:lang w:val="en-US" w:eastAsia="zh-CN"/>
        </w:rPr>
        <w:t>Park JY</w:t>
      </w:r>
      <w:r w:rsidRPr="005C7810">
        <w:rPr>
          <w:rFonts w:ascii="Book Antiqua" w:eastAsia="等线" w:hAnsi="Book Antiqua" w:cs="Times New Roman"/>
          <w:kern w:val="2"/>
          <w:sz w:val="24"/>
          <w:szCs w:val="24"/>
          <w:lang w:val="en-US" w:eastAsia="zh-CN"/>
        </w:rPr>
        <w:t xml:space="preserve">, Kim YW, Ryu KW, Eom BW, Yoon HM, Reim D. Emerging Role of Robot-assisted Gastrectomy: Analysis of Consecutive 200 Cases. </w:t>
      </w:r>
      <w:r w:rsidRPr="005C7810">
        <w:rPr>
          <w:rFonts w:ascii="Book Antiqua" w:eastAsia="等线" w:hAnsi="Book Antiqua" w:cs="Times New Roman"/>
          <w:i/>
          <w:kern w:val="2"/>
          <w:sz w:val="24"/>
          <w:szCs w:val="24"/>
          <w:lang w:val="en-US" w:eastAsia="zh-CN"/>
        </w:rPr>
        <w:t>J Gastric Cancer</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13</w:t>
      </w:r>
      <w:r w:rsidRPr="005C7810">
        <w:rPr>
          <w:rFonts w:ascii="Book Antiqua" w:eastAsia="等线" w:hAnsi="Book Antiqua" w:cs="Times New Roman"/>
          <w:kern w:val="2"/>
          <w:sz w:val="24"/>
          <w:szCs w:val="24"/>
          <w:lang w:val="en-US" w:eastAsia="zh-CN"/>
        </w:rPr>
        <w:t>: 255-262 [PMID: 24511422 DOI: 10.5230/jgc.2013.13.4.255]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113 </w:t>
      </w:r>
      <w:r w:rsidRPr="005C7810">
        <w:rPr>
          <w:rFonts w:ascii="Book Antiqua" w:eastAsia="等线" w:hAnsi="Book Antiqua" w:cs="Times New Roman"/>
          <w:b/>
          <w:bCs/>
          <w:kern w:val="2"/>
          <w:sz w:val="24"/>
          <w:szCs w:val="24"/>
          <w:lang w:val="en-US" w:eastAsia="zh-CN"/>
        </w:rPr>
        <w:t>Kang BH</w:t>
      </w:r>
      <w:r w:rsidRPr="005C7810">
        <w:rPr>
          <w:rFonts w:ascii="Book Antiqua" w:eastAsia="等线" w:hAnsi="Book Antiqua" w:cs="Times New Roman"/>
          <w:kern w:val="2"/>
          <w:sz w:val="24"/>
          <w:szCs w:val="24"/>
          <w:lang w:val="en-US" w:eastAsia="zh-CN"/>
        </w:rPr>
        <w:t xml:space="preserve">, Xuan Y, Hur H, Ahn CW, Cho YK, Han SU. Comparison of Surgical Outcomes between Robotic and Laparoscopic Gastrectomy for Gastric Cancer: The Learning Curve of Robotic Surgery. </w:t>
      </w:r>
      <w:r w:rsidRPr="005C7810">
        <w:rPr>
          <w:rFonts w:ascii="Book Antiqua" w:eastAsia="等线" w:hAnsi="Book Antiqua" w:cs="Times New Roman"/>
          <w:i/>
          <w:iCs/>
          <w:kern w:val="2"/>
          <w:sz w:val="24"/>
          <w:szCs w:val="24"/>
          <w:lang w:val="en-US" w:eastAsia="zh-CN"/>
        </w:rPr>
        <w:t>J Gastric Cancer</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bCs/>
          <w:kern w:val="2"/>
          <w:sz w:val="24"/>
          <w:szCs w:val="24"/>
          <w:lang w:val="en-US" w:eastAsia="zh-CN"/>
        </w:rPr>
        <w:t>12</w:t>
      </w:r>
      <w:r w:rsidRPr="005C7810">
        <w:rPr>
          <w:rFonts w:ascii="Book Antiqua" w:eastAsia="等线" w:hAnsi="Book Antiqua" w:cs="Times New Roman"/>
          <w:kern w:val="2"/>
          <w:sz w:val="24"/>
          <w:szCs w:val="24"/>
          <w:lang w:val="en-US" w:eastAsia="zh-CN"/>
        </w:rPr>
        <w:t>: 156-163 [PMID: 23094227 DOI: 10.5230/jgc.2012.12.3.156]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114 </w:t>
      </w:r>
      <w:r w:rsidRPr="005C7810">
        <w:rPr>
          <w:rFonts w:ascii="Book Antiqua" w:eastAsia="等线" w:hAnsi="Book Antiqua" w:cs="Times New Roman"/>
          <w:b/>
          <w:kern w:val="2"/>
          <w:sz w:val="24"/>
          <w:szCs w:val="24"/>
          <w:lang w:val="en-US" w:eastAsia="zh-CN"/>
        </w:rPr>
        <w:t>Hyun MH</w:t>
      </w:r>
      <w:r w:rsidRPr="005C7810">
        <w:rPr>
          <w:rFonts w:ascii="Book Antiqua" w:eastAsia="等线" w:hAnsi="Book Antiqua" w:cs="Times New Roman"/>
          <w:kern w:val="2"/>
          <w:sz w:val="24"/>
          <w:szCs w:val="24"/>
          <w:lang w:val="en-US" w:eastAsia="zh-CN"/>
        </w:rPr>
        <w:t xml:space="preserve">, Lee CH, Kwon YJ, Cho SI, Jang YJ, Kim DH, Kim JH, Park SH, Mok YJ, Park SS. Robot versus laparoscopic gastrectomy for cancer by an experienced surgeon: comparisons of surgery, complications, and surgical stress. </w:t>
      </w:r>
      <w:r w:rsidRPr="005C7810">
        <w:rPr>
          <w:rFonts w:ascii="Book Antiqua" w:eastAsia="等线" w:hAnsi="Book Antiqua" w:cs="Times New Roman"/>
          <w:i/>
          <w:kern w:val="2"/>
          <w:sz w:val="24"/>
          <w:szCs w:val="24"/>
          <w:lang w:val="en-US" w:eastAsia="zh-CN"/>
        </w:rPr>
        <w:t>Ann Surg Oncol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20</w:t>
      </w:r>
      <w:r w:rsidRPr="005C7810">
        <w:rPr>
          <w:rFonts w:ascii="Book Antiqua" w:eastAsia="等线" w:hAnsi="Book Antiqua" w:cs="Times New Roman"/>
          <w:kern w:val="2"/>
          <w:sz w:val="24"/>
          <w:szCs w:val="24"/>
          <w:lang w:val="en-US" w:eastAsia="zh-CN"/>
        </w:rPr>
        <w:t>: 1258-1265 [PMID: 23080320 DOI: 10.1245/s10434-012-2679-6]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115 </w:t>
      </w:r>
      <w:r w:rsidRPr="005C7810">
        <w:rPr>
          <w:rFonts w:ascii="Book Antiqua" w:eastAsia="等线" w:hAnsi="Book Antiqua" w:cs="Times New Roman"/>
          <w:b/>
          <w:kern w:val="2"/>
          <w:sz w:val="24"/>
          <w:szCs w:val="24"/>
          <w:lang w:val="en-US" w:eastAsia="zh-CN"/>
        </w:rPr>
        <w:t>Junfeng Z</w:t>
      </w:r>
      <w:r w:rsidRPr="005C7810">
        <w:rPr>
          <w:rFonts w:ascii="Book Antiqua" w:eastAsia="等线" w:hAnsi="Book Antiqua" w:cs="Times New Roman"/>
          <w:kern w:val="2"/>
          <w:sz w:val="24"/>
          <w:szCs w:val="24"/>
          <w:lang w:val="en-US" w:eastAsia="zh-CN"/>
        </w:rPr>
        <w:t xml:space="preserve">, Yan S, Bo T, Yingxue H, Dongzhu Z, Yongliang Z, Feng Q, Peiwu Y. Robotic gastrectomy versus laparoscopic gastrectomy for gastric cancer: comparison of surgical performance and short-term outcomes. </w:t>
      </w:r>
      <w:r w:rsidRPr="005C7810">
        <w:rPr>
          <w:rFonts w:ascii="Book Antiqua" w:eastAsia="等线" w:hAnsi="Book Antiqua" w:cs="Times New Roman"/>
          <w:i/>
          <w:kern w:val="2"/>
          <w:sz w:val="24"/>
          <w:szCs w:val="24"/>
          <w:lang w:val="en-US" w:eastAsia="zh-CN"/>
        </w:rPr>
        <w:t>Surg Endosc</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28</w:t>
      </w:r>
      <w:r w:rsidRPr="005C7810">
        <w:rPr>
          <w:rFonts w:ascii="Book Antiqua" w:eastAsia="等线" w:hAnsi="Book Antiqua" w:cs="Times New Roman"/>
          <w:kern w:val="2"/>
          <w:sz w:val="24"/>
          <w:szCs w:val="24"/>
          <w:lang w:val="en-US" w:eastAsia="zh-CN"/>
        </w:rPr>
        <w:t>: 1779-1787 [PMID: 24385251 DOI: 10.1007/s00464-013-3385-6]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116 </w:t>
      </w:r>
      <w:r w:rsidRPr="005C7810">
        <w:rPr>
          <w:rFonts w:ascii="Book Antiqua" w:eastAsia="等线" w:hAnsi="Book Antiqua" w:cs="Times New Roman"/>
          <w:b/>
          <w:kern w:val="2"/>
          <w:sz w:val="24"/>
          <w:szCs w:val="24"/>
          <w:lang w:val="en-US" w:eastAsia="zh-CN"/>
        </w:rPr>
        <w:t>Procopiuc L</w:t>
      </w:r>
      <w:r w:rsidRPr="005C7810">
        <w:rPr>
          <w:rFonts w:ascii="Book Antiqua" w:eastAsia="等线" w:hAnsi="Book Antiqua" w:cs="Times New Roman"/>
          <w:kern w:val="2"/>
          <w:sz w:val="24"/>
          <w:szCs w:val="24"/>
          <w:lang w:val="en-US" w:eastAsia="zh-CN"/>
        </w:rPr>
        <w:t xml:space="preserve">, Tudor Ş, Mănuc M, Diculescu M, Vasilescu C. Robot-assisted surgery for gastric cancer. </w:t>
      </w:r>
      <w:r w:rsidRPr="005C7810">
        <w:rPr>
          <w:rFonts w:ascii="Book Antiqua" w:eastAsia="等线" w:hAnsi="Book Antiqua" w:cs="Times New Roman"/>
          <w:i/>
          <w:kern w:val="2"/>
          <w:sz w:val="24"/>
          <w:szCs w:val="24"/>
          <w:lang w:val="en-US" w:eastAsia="zh-CN"/>
        </w:rPr>
        <w:t>World J Gastrointest Oncol</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8</w:t>
      </w:r>
      <w:r w:rsidRPr="005C7810">
        <w:rPr>
          <w:rFonts w:ascii="Book Antiqua" w:eastAsia="等线" w:hAnsi="Book Antiqua" w:cs="Times New Roman"/>
          <w:kern w:val="2"/>
          <w:sz w:val="24"/>
          <w:szCs w:val="24"/>
          <w:lang w:val="en-US" w:eastAsia="zh-CN"/>
        </w:rPr>
        <w:t>: 8-17 [PMID: 26798433 DOI: 10.4251/wjgo.v8.i1.8]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117 </w:t>
      </w:r>
      <w:r w:rsidRPr="005C7810">
        <w:rPr>
          <w:rFonts w:ascii="Book Antiqua" w:eastAsia="等线" w:hAnsi="Book Antiqua" w:cs="Times New Roman"/>
          <w:b/>
          <w:kern w:val="2"/>
          <w:sz w:val="24"/>
          <w:szCs w:val="24"/>
          <w:lang w:val="en-US" w:eastAsia="zh-CN"/>
        </w:rPr>
        <w:t>Wagner AD</w:t>
      </w:r>
      <w:r w:rsidRPr="005C7810">
        <w:rPr>
          <w:rFonts w:ascii="Book Antiqua" w:eastAsia="等线" w:hAnsi="Book Antiqua" w:cs="Times New Roman"/>
          <w:kern w:val="2"/>
          <w:sz w:val="24"/>
          <w:szCs w:val="24"/>
          <w:lang w:val="en-US" w:eastAsia="zh-CN"/>
        </w:rPr>
        <w:t xml:space="preserve">, Unverzagt S, Grothe W, Kleber G, Grothey A, Haerting J, Fleig WE. Chemotherapy for advanced gastric cancer. </w:t>
      </w:r>
      <w:r w:rsidRPr="005C7810">
        <w:rPr>
          <w:rFonts w:ascii="Book Antiqua" w:eastAsia="等线" w:hAnsi="Book Antiqua" w:cs="Times New Roman"/>
          <w:i/>
          <w:kern w:val="2"/>
          <w:sz w:val="24"/>
          <w:szCs w:val="24"/>
          <w:lang w:val="en-US" w:eastAsia="zh-CN"/>
        </w:rPr>
        <w:t>Cochrane Database Syst Rev</w:t>
      </w:r>
      <w:r w:rsidRPr="005C7810">
        <w:rPr>
          <w:rFonts w:ascii="Book Antiqua" w:eastAsia="等线" w:hAnsi="Book Antiqua" w:cs="Times New Roman"/>
          <w:kern w:val="2"/>
          <w:sz w:val="24"/>
          <w:szCs w:val="24"/>
          <w:lang w:val="en-US" w:eastAsia="zh-CN"/>
        </w:rPr>
        <w:t xml:space="preserve"> 2010; </w:t>
      </w:r>
      <w:r w:rsidR="00CD380F" w:rsidRPr="005C7810">
        <w:rPr>
          <w:rFonts w:ascii="Book Antiqua" w:eastAsia="等线" w:hAnsi="Book Antiqua" w:cs="Times New Roman"/>
          <w:b/>
          <w:bCs/>
          <w:kern w:val="2"/>
          <w:sz w:val="24"/>
          <w:szCs w:val="24"/>
          <w:lang w:val="en-US" w:eastAsia="zh-CN"/>
        </w:rPr>
        <w:t>(3)</w:t>
      </w:r>
      <w:r w:rsidRPr="005C7810">
        <w:rPr>
          <w:rFonts w:ascii="Book Antiqua" w:eastAsia="等线" w:hAnsi="Book Antiqua" w:cs="Times New Roman"/>
          <w:kern w:val="2"/>
          <w:sz w:val="24"/>
          <w:szCs w:val="24"/>
          <w:lang w:val="en-US" w:eastAsia="zh-CN"/>
        </w:rPr>
        <w:t>: CD004064 [PMID: 20238327 DOI: 10.1016/j.ctrv.2007.01.004]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118 </w:t>
      </w:r>
      <w:r w:rsidRPr="005C7810">
        <w:rPr>
          <w:rFonts w:ascii="Book Antiqua" w:eastAsia="等线" w:hAnsi="Book Antiqua" w:cs="Times New Roman"/>
          <w:b/>
          <w:kern w:val="2"/>
          <w:sz w:val="24"/>
          <w:szCs w:val="24"/>
          <w:lang w:val="en-US" w:eastAsia="zh-CN"/>
        </w:rPr>
        <w:t>Ferlay J</w:t>
      </w:r>
      <w:r w:rsidRPr="005C7810">
        <w:rPr>
          <w:rFonts w:ascii="Book Antiqua" w:eastAsia="等线" w:hAnsi="Book Antiqua" w:cs="Times New Roman"/>
          <w:kern w:val="2"/>
          <w:sz w:val="24"/>
          <w:szCs w:val="24"/>
          <w:lang w:val="en-US" w:eastAsia="zh-CN"/>
        </w:rPr>
        <w:t xml:space="preserve">, Shin HR, Bray F, Forman D, Mathers C, Parkin DM. Estimates of worldwide burden of cancer in 2008: GLOBOCAN 2008. </w:t>
      </w:r>
      <w:r w:rsidRPr="005C7810">
        <w:rPr>
          <w:rFonts w:ascii="Book Antiqua" w:eastAsia="等线" w:hAnsi="Book Antiqua" w:cs="Times New Roman"/>
          <w:i/>
          <w:kern w:val="2"/>
          <w:sz w:val="24"/>
          <w:szCs w:val="24"/>
          <w:lang w:val="en-US" w:eastAsia="zh-CN"/>
        </w:rPr>
        <w:t>Int J Cancer</w:t>
      </w:r>
      <w:r w:rsidRPr="005C7810">
        <w:rPr>
          <w:rFonts w:ascii="Book Antiqua" w:eastAsia="等线" w:hAnsi="Book Antiqua" w:cs="Times New Roman"/>
          <w:kern w:val="2"/>
          <w:sz w:val="24"/>
          <w:szCs w:val="24"/>
          <w:lang w:val="en-US" w:eastAsia="zh-CN"/>
        </w:rPr>
        <w:t xml:space="preserve"> 2010; </w:t>
      </w:r>
      <w:r w:rsidRPr="005C7810">
        <w:rPr>
          <w:rFonts w:ascii="Book Antiqua" w:eastAsia="等线" w:hAnsi="Book Antiqua" w:cs="Times New Roman"/>
          <w:b/>
          <w:kern w:val="2"/>
          <w:sz w:val="24"/>
          <w:szCs w:val="24"/>
          <w:lang w:val="en-US" w:eastAsia="zh-CN"/>
        </w:rPr>
        <w:t>127</w:t>
      </w:r>
      <w:r w:rsidRPr="005C7810">
        <w:rPr>
          <w:rFonts w:ascii="Book Antiqua" w:eastAsia="等线" w:hAnsi="Book Antiqua" w:cs="Times New Roman"/>
          <w:kern w:val="2"/>
          <w:sz w:val="24"/>
          <w:szCs w:val="24"/>
          <w:lang w:val="en-US" w:eastAsia="zh-CN"/>
        </w:rPr>
        <w:t>: 2893-2917 [PMID: 21351269 DOI: 10.1002/ijc.25516]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119 </w:t>
      </w:r>
      <w:r w:rsidRPr="005C7810">
        <w:rPr>
          <w:rFonts w:ascii="Book Antiqua" w:eastAsia="等线" w:hAnsi="Book Antiqua" w:cs="Times New Roman"/>
          <w:b/>
          <w:kern w:val="2"/>
          <w:sz w:val="24"/>
          <w:szCs w:val="24"/>
          <w:lang w:val="en-US" w:eastAsia="zh-CN"/>
        </w:rPr>
        <w:t>Wesolowski R,</w:t>
      </w:r>
      <w:r w:rsidRPr="005C7810">
        <w:rPr>
          <w:rFonts w:ascii="Book Antiqua" w:eastAsia="等线" w:hAnsi="Book Antiqua" w:cs="Times New Roman"/>
          <w:kern w:val="2"/>
          <w:sz w:val="24"/>
          <w:szCs w:val="24"/>
          <w:lang w:val="en-US" w:eastAsia="zh-CN"/>
        </w:rPr>
        <w:t xml:space="preserve"> Lee C, Kim R. Is there a role for second-line chemotherapy in advanced gastric cancer? Lancet Oncol 2009; 10: 903-912 [PMID: 19717092 DOI: 10.1016/S1470-2045(09)70136-6]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120 </w:t>
      </w:r>
      <w:r w:rsidRPr="005C7810">
        <w:rPr>
          <w:rFonts w:ascii="Book Antiqua" w:eastAsia="等线" w:hAnsi="Book Antiqua" w:cs="Times New Roman"/>
          <w:b/>
          <w:kern w:val="2"/>
          <w:sz w:val="24"/>
          <w:szCs w:val="24"/>
          <w:lang w:val="en-US" w:eastAsia="zh-CN"/>
        </w:rPr>
        <w:t>Al-Batran SE</w:t>
      </w:r>
      <w:r w:rsidRPr="005C7810">
        <w:rPr>
          <w:rFonts w:ascii="Book Antiqua" w:eastAsia="等线" w:hAnsi="Book Antiqua" w:cs="Times New Roman"/>
          <w:kern w:val="2"/>
          <w:sz w:val="24"/>
          <w:szCs w:val="24"/>
          <w:lang w:val="en-US" w:eastAsia="zh-CN"/>
        </w:rPr>
        <w:t xml:space="preserve">, Homann N, Pauligk C, Illerhaus G, Martens UM, Stoehlmacher J, Schmalenberg H, Luley KB, Prasnikar N, Egger M, Probst S, Messmann H, Moehler M, Fischbach W, Hartmann JT, Mayer F, Höffkes HG, Koenigsmann M, Arnold D, Kraus TW, Grimm K, Berkhoff S, Post S, Jäger E, Bechstein W, Ronellenfitsch U, Mönig S, Hofheinz RD. Effect of Neoadjuvant Chemotherapy Followed by Surgical Resection on Survival in Patients With Limited Metastatic Gastric or Gastroesophageal Junction Cancer: The AIO-FLOT3 Trial. </w:t>
      </w:r>
      <w:r w:rsidRPr="005C7810">
        <w:rPr>
          <w:rFonts w:ascii="Book Antiqua" w:eastAsia="等线" w:hAnsi="Book Antiqua" w:cs="Times New Roman"/>
          <w:i/>
          <w:kern w:val="2"/>
          <w:sz w:val="24"/>
          <w:szCs w:val="24"/>
          <w:lang w:val="en-US" w:eastAsia="zh-CN"/>
        </w:rPr>
        <w:t>JAMA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3</w:t>
      </w:r>
      <w:r w:rsidRPr="005C7810">
        <w:rPr>
          <w:rFonts w:ascii="Book Antiqua" w:eastAsia="等线" w:hAnsi="Book Antiqua" w:cs="Times New Roman"/>
          <w:kern w:val="2"/>
          <w:sz w:val="24"/>
          <w:szCs w:val="24"/>
          <w:lang w:val="en-US" w:eastAsia="zh-CN"/>
        </w:rPr>
        <w:t>: 1237-1244 [PMID: 28448662 DOI: 10.1001/jamaoncol.2017.0515]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121 </w:t>
      </w:r>
      <w:r w:rsidRPr="005C7810">
        <w:rPr>
          <w:rFonts w:ascii="Book Antiqua" w:eastAsia="等线" w:hAnsi="Book Antiqua" w:cs="Times New Roman"/>
          <w:b/>
          <w:kern w:val="2"/>
          <w:sz w:val="24"/>
          <w:szCs w:val="24"/>
          <w:lang w:val="en-US" w:eastAsia="zh-CN"/>
        </w:rPr>
        <w:t>Al-Batran SE,</w:t>
      </w:r>
      <w:r w:rsidRPr="005C7810">
        <w:rPr>
          <w:rFonts w:ascii="Book Antiqua" w:eastAsia="等线" w:hAnsi="Book Antiqua" w:cs="Times New Roman"/>
          <w:kern w:val="2"/>
          <w:sz w:val="24"/>
          <w:szCs w:val="24"/>
          <w:lang w:val="en-US" w:eastAsia="zh-CN"/>
        </w:rPr>
        <w:t xml:space="preserve"> Homann N, Schmalemberg H, Kopp HG, Haag GM, Luley KB, Shmiegel WH, Folprecht G, Probst S, Prasnikar N, Tuss-Patience PC, Fischbach W, Trojan J, Koenigsmann M, Pauligk C, Goetze TO, Jaeger E, Meiler J, Schuler MH, Hofheinz RAl-Batran SE, Homa HR. Perioperative chemotherapy with docetaxel, oxaliplatin, and fluorouracil/leucovorin (FLOT) versus epirubicin, cisplatin, and fluorouracil or capecitabine (ECF/ECX) for resectable gastric or gastroesophageal junction (GEJ) adenocarcinoma (FLOT4-AIO): a multicenter, randomized phase 3 trial. </w:t>
      </w:r>
      <w:r w:rsidRPr="005C7810">
        <w:rPr>
          <w:rFonts w:ascii="Book Antiqua" w:eastAsia="等线" w:hAnsi="Book Antiqua" w:cs="Times New Roman"/>
          <w:i/>
          <w:iCs/>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bCs/>
          <w:kern w:val="2"/>
          <w:sz w:val="24"/>
          <w:szCs w:val="24"/>
          <w:lang w:val="en-US" w:eastAsia="zh-CN"/>
        </w:rPr>
        <w:t>35</w:t>
      </w:r>
      <w:r w:rsidRPr="005C7810">
        <w:rPr>
          <w:rFonts w:ascii="Book Antiqua" w:eastAsia="等线" w:hAnsi="Book Antiqua" w:cs="Times New Roman"/>
          <w:kern w:val="2"/>
          <w:sz w:val="24"/>
          <w:szCs w:val="24"/>
          <w:lang w:val="en-US" w:eastAsia="zh-CN"/>
        </w:rPr>
        <w:t>: 4004 [DOI: 10.1200/JCO.2017.35.15_suppl.4004]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122 </w:t>
      </w:r>
      <w:r w:rsidRPr="005C7810">
        <w:rPr>
          <w:rFonts w:ascii="Book Antiqua" w:eastAsia="等线" w:hAnsi="Book Antiqua" w:cs="Times New Roman"/>
          <w:b/>
          <w:kern w:val="2"/>
          <w:sz w:val="24"/>
          <w:szCs w:val="24"/>
          <w:lang w:val="en-US" w:eastAsia="zh-CN"/>
        </w:rPr>
        <w:t>Cai Z</w:t>
      </w:r>
      <w:r w:rsidRPr="005C7810">
        <w:rPr>
          <w:rFonts w:ascii="Book Antiqua" w:eastAsia="等线" w:hAnsi="Book Antiqua" w:cs="Times New Roman"/>
          <w:kern w:val="2"/>
          <w:sz w:val="24"/>
          <w:szCs w:val="24"/>
          <w:lang w:val="en-US" w:eastAsia="zh-CN"/>
        </w:rPr>
        <w:t xml:space="preserve">, Yin Y, Zhao Z, Xin C, Cai Z, Yin Y, Shen C, Yin X, Wang J, Chen Z, Zhou Y, Zhang B. Comparative Effectiveness of Neoadjuvant Treatments for Resectable Gastroesophageal Cancer: A Network Meta-Analysis. </w:t>
      </w:r>
      <w:r w:rsidRPr="005C7810">
        <w:rPr>
          <w:rFonts w:ascii="Book Antiqua" w:eastAsia="等线" w:hAnsi="Book Antiqua" w:cs="Times New Roman"/>
          <w:i/>
          <w:kern w:val="2"/>
          <w:sz w:val="24"/>
          <w:szCs w:val="24"/>
          <w:lang w:val="en-US" w:eastAsia="zh-CN"/>
        </w:rPr>
        <w:t>Front Pharmacol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9</w:t>
      </w:r>
      <w:r w:rsidRPr="005C7810">
        <w:rPr>
          <w:rFonts w:ascii="Book Antiqua" w:eastAsia="等线" w:hAnsi="Book Antiqua" w:cs="Times New Roman"/>
          <w:kern w:val="2"/>
          <w:sz w:val="24"/>
          <w:szCs w:val="24"/>
          <w:lang w:val="en-US" w:eastAsia="zh-CN"/>
        </w:rPr>
        <w:t>: 872 [PMID: 30127746 DOI: 10.3389/fphar.2018.00872]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123 </w:t>
      </w:r>
      <w:r w:rsidRPr="005C7810">
        <w:rPr>
          <w:rFonts w:ascii="Book Antiqua" w:eastAsia="等线" w:hAnsi="Book Antiqua" w:cs="Times New Roman"/>
          <w:b/>
          <w:kern w:val="2"/>
          <w:sz w:val="24"/>
          <w:szCs w:val="24"/>
          <w:lang w:val="en-US" w:eastAsia="zh-CN"/>
        </w:rPr>
        <w:t>Langer R</w:t>
      </w:r>
      <w:r w:rsidRPr="005C7810">
        <w:rPr>
          <w:rFonts w:ascii="Book Antiqua" w:eastAsia="等线" w:hAnsi="Book Antiqua" w:cs="Times New Roman"/>
          <w:kern w:val="2"/>
          <w:sz w:val="24"/>
          <w:szCs w:val="24"/>
          <w:lang w:val="en-US" w:eastAsia="zh-CN"/>
        </w:rPr>
        <w:t xml:space="preserve">, Von Rahden BH, Nahrig J, Von Weyhern C, Reiter R, Feith M, Stein HJ, Siewert JR, Höfler H, Sarbia M. Prognostic significance of expression patterns of c-erbB-2, p53, p16INK4A, p27KIP1, cyclin D1 and epidermal growth factor receptor in oesophageal adenocarcinoma: a tissue microarray study. </w:t>
      </w:r>
      <w:r w:rsidRPr="005C7810">
        <w:rPr>
          <w:rFonts w:ascii="Book Antiqua" w:eastAsia="等线" w:hAnsi="Book Antiqua" w:cs="Times New Roman"/>
          <w:i/>
          <w:kern w:val="2"/>
          <w:sz w:val="24"/>
          <w:szCs w:val="24"/>
          <w:lang w:val="en-US" w:eastAsia="zh-CN"/>
        </w:rPr>
        <w:t>J Clin Pathol</w:t>
      </w:r>
      <w:r w:rsidRPr="005C7810">
        <w:rPr>
          <w:rFonts w:ascii="Book Antiqua" w:eastAsia="等线" w:hAnsi="Book Antiqua" w:cs="Times New Roman"/>
          <w:kern w:val="2"/>
          <w:sz w:val="24"/>
          <w:szCs w:val="24"/>
          <w:lang w:val="en-US" w:eastAsia="zh-CN"/>
        </w:rPr>
        <w:t xml:space="preserve"> 2006; </w:t>
      </w:r>
      <w:r w:rsidRPr="005C7810">
        <w:rPr>
          <w:rFonts w:ascii="Book Antiqua" w:eastAsia="等线" w:hAnsi="Book Antiqua" w:cs="Times New Roman"/>
          <w:b/>
          <w:kern w:val="2"/>
          <w:sz w:val="24"/>
          <w:szCs w:val="24"/>
          <w:lang w:val="en-US" w:eastAsia="zh-CN"/>
        </w:rPr>
        <w:t>59</w:t>
      </w:r>
      <w:r w:rsidRPr="005C7810">
        <w:rPr>
          <w:rFonts w:ascii="Book Antiqua" w:eastAsia="等线" w:hAnsi="Book Antiqua" w:cs="Times New Roman"/>
          <w:kern w:val="2"/>
          <w:sz w:val="24"/>
          <w:szCs w:val="24"/>
          <w:lang w:val="en-US" w:eastAsia="zh-CN"/>
        </w:rPr>
        <w:t>: 631-634 [PMID: 16731604 DOI: 10.1136/jcp.2005.034298]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124 </w:t>
      </w:r>
      <w:r w:rsidRPr="005C7810">
        <w:rPr>
          <w:rFonts w:ascii="Book Antiqua" w:eastAsia="等线" w:hAnsi="Book Antiqua" w:cs="Times New Roman"/>
          <w:b/>
          <w:kern w:val="2"/>
          <w:sz w:val="24"/>
          <w:szCs w:val="24"/>
          <w:lang w:val="en-US" w:eastAsia="zh-CN"/>
        </w:rPr>
        <w:t>Bang YJ</w:t>
      </w:r>
      <w:r w:rsidRPr="005C7810">
        <w:rPr>
          <w:rFonts w:ascii="Book Antiqua" w:eastAsia="等线" w:hAnsi="Book Antiqua" w:cs="Times New Roman"/>
          <w:kern w:val="2"/>
          <w:sz w:val="24"/>
          <w:szCs w:val="24"/>
          <w:lang w:val="en-US" w:eastAsia="zh-CN"/>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5C7810">
        <w:rPr>
          <w:rFonts w:ascii="Book Antiqua" w:eastAsia="等线" w:hAnsi="Book Antiqua" w:cs="Times New Roman"/>
          <w:i/>
          <w:kern w:val="2"/>
          <w:sz w:val="24"/>
          <w:szCs w:val="24"/>
          <w:lang w:val="en-US" w:eastAsia="zh-CN"/>
        </w:rPr>
        <w:t>Lancet</w:t>
      </w:r>
      <w:r w:rsidRPr="005C7810">
        <w:rPr>
          <w:rFonts w:ascii="Book Antiqua" w:eastAsia="等线" w:hAnsi="Book Antiqua" w:cs="Times New Roman"/>
          <w:kern w:val="2"/>
          <w:sz w:val="24"/>
          <w:szCs w:val="24"/>
          <w:lang w:val="en-US" w:eastAsia="zh-CN"/>
        </w:rPr>
        <w:t xml:space="preserve"> 2010; </w:t>
      </w:r>
      <w:r w:rsidRPr="005C7810">
        <w:rPr>
          <w:rFonts w:ascii="Book Antiqua" w:eastAsia="等线" w:hAnsi="Book Antiqua" w:cs="Times New Roman"/>
          <w:b/>
          <w:kern w:val="2"/>
          <w:sz w:val="24"/>
          <w:szCs w:val="24"/>
          <w:lang w:val="en-US" w:eastAsia="zh-CN"/>
        </w:rPr>
        <w:t>376</w:t>
      </w:r>
      <w:r w:rsidRPr="005C7810">
        <w:rPr>
          <w:rFonts w:ascii="Book Antiqua" w:eastAsia="等线" w:hAnsi="Book Antiqua" w:cs="Times New Roman"/>
          <w:kern w:val="2"/>
          <w:sz w:val="24"/>
          <w:szCs w:val="24"/>
          <w:lang w:val="en-US" w:eastAsia="zh-CN"/>
        </w:rPr>
        <w:t>: 687-697 [PMID: 20728210 DOI: 10.1016/S0140-6736(10)61121-X]</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125 </w:t>
      </w:r>
      <w:r w:rsidRPr="005C7810">
        <w:rPr>
          <w:rFonts w:ascii="Book Antiqua" w:eastAsia="等线" w:hAnsi="Book Antiqua" w:cs="Times New Roman"/>
          <w:b/>
          <w:kern w:val="2"/>
          <w:sz w:val="24"/>
          <w:szCs w:val="24"/>
          <w:lang w:val="en-US" w:eastAsia="zh-CN"/>
        </w:rPr>
        <w:t>Chua C</w:t>
      </w:r>
      <w:r w:rsidRPr="005C7810">
        <w:rPr>
          <w:rFonts w:ascii="Book Antiqua" w:eastAsia="等线" w:hAnsi="Book Antiqua" w:cs="Times New Roman"/>
          <w:kern w:val="2"/>
          <w:sz w:val="24"/>
          <w:szCs w:val="24"/>
          <w:lang w:val="en-US" w:eastAsia="zh-CN"/>
        </w:rPr>
        <w:t xml:space="preserve">, Tan IB, Yamada Y, Rha SY, Yong WP, Ong WS, Tham CK, Ng M, Tai DW, Iwasa S, Lim HY, Choo SP. Phase II study of trastuzumab in combination with S-1 and cisplatin in the first-line treatment of human epidermal growth factor receptor HER2-positive advanced gastric cancer. </w:t>
      </w:r>
      <w:r w:rsidRPr="005C7810">
        <w:rPr>
          <w:rFonts w:ascii="Book Antiqua" w:eastAsia="等线" w:hAnsi="Book Antiqua" w:cs="Times New Roman"/>
          <w:i/>
          <w:kern w:val="2"/>
          <w:sz w:val="24"/>
          <w:szCs w:val="24"/>
          <w:lang w:val="en-US" w:eastAsia="zh-CN"/>
        </w:rPr>
        <w:t>Cancer Chemother Pharmacol</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76</w:t>
      </w:r>
      <w:r w:rsidRPr="005C7810">
        <w:rPr>
          <w:rFonts w:ascii="Book Antiqua" w:eastAsia="等线" w:hAnsi="Book Antiqua" w:cs="Times New Roman"/>
          <w:kern w:val="2"/>
          <w:sz w:val="24"/>
          <w:szCs w:val="24"/>
          <w:lang w:val="en-US" w:eastAsia="zh-CN"/>
        </w:rPr>
        <w:t>: 397-408 [PMID: 26099969 DOI: 10.1007/s00280-015-2811-y]</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126 </w:t>
      </w:r>
      <w:r w:rsidRPr="005C7810">
        <w:rPr>
          <w:rFonts w:ascii="Book Antiqua" w:eastAsia="等线" w:hAnsi="Book Antiqua" w:cs="Times New Roman"/>
          <w:b/>
          <w:kern w:val="2"/>
          <w:sz w:val="24"/>
          <w:szCs w:val="24"/>
          <w:lang w:val="en-US" w:eastAsia="zh-CN"/>
        </w:rPr>
        <w:t>Thuss-Patience PC</w:t>
      </w:r>
      <w:r w:rsidRPr="005C7810">
        <w:rPr>
          <w:rFonts w:ascii="Book Antiqua" w:eastAsia="等线" w:hAnsi="Book Antiqua" w:cs="Times New Roman"/>
          <w:kern w:val="2"/>
          <w:sz w:val="24"/>
          <w:szCs w:val="24"/>
          <w:lang w:val="en-US" w:eastAsia="zh-CN"/>
        </w:rPr>
        <w:t xml:space="preserve">, Shah MA, Ohtsu A, Van Cutsem E, Ajani JA, Castro H, Mansoor W, Chung HC, Bodoky G, Shitara K, Phillips GDL, van der Horst T, Harle-Yge ML, Althaus BL, Kang YK. Trastuzumab emtansine versus taxane use for previously treated HER2-positive locally advanced or metastatic gastric or gastro-oesophageal junction adenocarcinoma (GATSBY): an international randomised, open-label, adaptive, phase 2/3 study.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18</w:t>
      </w:r>
      <w:r w:rsidRPr="005C7810">
        <w:rPr>
          <w:rFonts w:ascii="Book Antiqua" w:eastAsia="等线" w:hAnsi="Book Antiqua" w:cs="Times New Roman"/>
          <w:kern w:val="2"/>
          <w:sz w:val="24"/>
          <w:szCs w:val="24"/>
          <w:lang w:val="en-US" w:eastAsia="zh-CN"/>
        </w:rPr>
        <w:t>: 640-653 [PMID: 28343975 DOI: 10.1016/S1470-2045(17)30111-0]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127 </w:t>
      </w:r>
      <w:r w:rsidRPr="005C7810">
        <w:rPr>
          <w:rFonts w:ascii="Book Antiqua" w:eastAsia="等线" w:hAnsi="Book Antiqua" w:cs="Times New Roman"/>
          <w:b/>
          <w:kern w:val="2"/>
          <w:sz w:val="24"/>
          <w:szCs w:val="24"/>
          <w:lang w:val="en-US" w:eastAsia="zh-CN"/>
        </w:rPr>
        <w:t>Tabernero J</w:t>
      </w:r>
      <w:r w:rsidRPr="005C7810">
        <w:rPr>
          <w:rFonts w:ascii="Book Antiqua" w:eastAsia="等线" w:hAnsi="Book Antiqua" w:cs="Times New Roman"/>
          <w:kern w:val="2"/>
          <w:sz w:val="24"/>
          <w:szCs w:val="24"/>
          <w:lang w:val="en-US" w:eastAsia="zh-CN"/>
        </w:rPr>
        <w:t xml:space="preserve">, Hoff PM, Shen L, Ohtsu A, Shah MA, Cheng K, Song C, Wu H, Eng-Wong J, Kim K, Kang YK. Pertuzumab plus trastuzumab and chemotherapy for HER2-positive metastatic gastric or gastro-oesophageal junction cancer (JACOB): final analysis of a double-blind, randomised, placebo-controlled phase 3 study.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19</w:t>
      </w:r>
      <w:r w:rsidRPr="005C7810">
        <w:rPr>
          <w:rFonts w:ascii="Book Antiqua" w:eastAsia="等线" w:hAnsi="Book Antiqua" w:cs="Times New Roman"/>
          <w:kern w:val="2"/>
          <w:sz w:val="24"/>
          <w:szCs w:val="24"/>
          <w:lang w:val="en-US" w:eastAsia="zh-CN"/>
        </w:rPr>
        <w:t>: 1372-1384 [PMID: 30217672 DOI: 10.1016/S1470-2045(18)30481-9]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128 </w:t>
      </w:r>
      <w:r w:rsidRPr="005C7810">
        <w:rPr>
          <w:rFonts w:ascii="Book Antiqua" w:eastAsia="等线" w:hAnsi="Book Antiqua" w:cs="Times New Roman"/>
          <w:b/>
          <w:kern w:val="2"/>
          <w:sz w:val="24"/>
          <w:szCs w:val="24"/>
          <w:lang w:val="en-US" w:eastAsia="zh-CN"/>
        </w:rPr>
        <w:t>Hecht JR</w:t>
      </w:r>
      <w:r w:rsidRPr="005C7810">
        <w:rPr>
          <w:rFonts w:ascii="Book Antiqua" w:eastAsia="等线" w:hAnsi="Book Antiqua" w:cs="Times New Roman"/>
          <w:kern w:val="2"/>
          <w:sz w:val="24"/>
          <w:szCs w:val="24"/>
          <w:lang w:val="en-US" w:eastAsia="zh-CN"/>
        </w:rPr>
        <w:t xml:space="preserve">, Bang YJ, Qin SK, Chung HC, Xu JM, Park JO, Jeziorski K, Shparyk Y, Hoff PM, Sobrero A, Salman P, Li J, Protsenko SA, Wainberg ZA, Buyse M, Afenjar K, Houé V, Garcia A, Kaneko T, Huang Y, Khan-Wasti S, Santillana S, Press MF, Slamon D. Lapatinib in Combination With Capecitabine Plus Oxaliplatin in Human Epidermal Growth Factor Receptor 2-Positive Advanced or Metastatic Gastric, Esophageal, or Gastroesophageal Adenocarcinoma: TRIO-013/LOGiC--A Randomized Phase III Trial.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34</w:t>
      </w:r>
      <w:r w:rsidRPr="005C7810">
        <w:rPr>
          <w:rFonts w:ascii="Book Antiqua" w:eastAsia="等线" w:hAnsi="Book Antiqua" w:cs="Times New Roman"/>
          <w:kern w:val="2"/>
          <w:sz w:val="24"/>
          <w:szCs w:val="24"/>
          <w:lang w:val="en-US" w:eastAsia="zh-CN"/>
        </w:rPr>
        <w:t>: 443-451 [PMID: 26628478 DOI: 10.1200/jco.2015.62.6598]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129 </w:t>
      </w:r>
      <w:r w:rsidRPr="005C7810">
        <w:rPr>
          <w:rFonts w:ascii="Book Antiqua" w:eastAsia="等线" w:hAnsi="Book Antiqua" w:cs="Times New Roman"/>
          <w:b/>
          <w:kern w:val="2"/>
          <w:sz w:val="24"/>
          <w:szCs w:val="24"/>
          <w:lang w:val="en-US" w:eastAsia="zh-CN"/>
        </w:rPr>
        <w:t>Kim ST</w:t>
      </w:r>
      <w:r w:rsidRPr="005C7810">
        <w:rPr>
          <w:rFonts w:ascii="Book Antiqua" w:eastAsia="等线" w:hAnsi="Book Antiqua" w:cs="Times New Roman"/>
          <w:kern w:val="2"/>
          <w:sz w:val="24"/>
          <w:szCs w:val="24"/>
          <w:lang w:val="en-US" w:eastAsia="zh-CN"/>
        </w:rPr>
        <w:t xml:space="preserve">, Banks KC, Pectasides E, Kim SY, Kim K, Lanman RB, Talasaz A, An J, Choi MG, Lee JH, Sohn TS, Bae JM, Kim S, Park SH, Park JO, Park YS, Lim HY, Kim NKD, Park W, Lee H, Bass AJ, Kim K, Kang WK, Lee J. Impact of genomic alterations on lapatinib treatment outcome and cell-free genomic landscape during HER2 therapy in HER2+ gastric cancer patients.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29</w:t>
      </w:r>
      <w:r w:rsidRPr="005C7810">
        <w:rPr>
          <w:rFonts w:ascii="Book Antiqua" w:eastAsia="等线" w:hAnsi="Book Antiqua" w:cs="Times New Roman"/>
          <w:kern w:val="2"/>
          <w:sz w:val="24"/>
          <w:szCs w:val="24"/>
          <w:lang w:val="en-US" w:eastAsia="zh-CN"/>
        </w:rPr>
        <w:t>: 1037-1048 [PMID: 29409051 DOI: 10.1093/annonc/mdy034]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130 </w:t>
      </w:r>
      <w:r w:rsidRPr="005C7810">
        <w:rPr>
          <w:rFonts w:ascii="Book Antiqua" w:eastAsia="等线" w:hAnsi="Book Antiqua" w:cs="Times New Roman"/>
          <w:b/>
          <w:kern w:val="2"/>
          <w:sz w:val="24"/>
          <w:szCs w:val="24"/>
          <w:lang w:val="en-US" w:eastAsia="zh-CN"/>
        </w:rPr>
        <w:t>Wiedermann U,</w:t>
      </w:r>
      <w:r w:rsidRPr="005C7810">
        <w:rPr>
          <w:rFonts w:ascii="Book Antiqua" w:eastAsia="等线" w:hAnsi="Book Antiqua" w:cs="Times New Roman"/>
          <w:kern w:val="2"/>
          <w:sz w:val="24"/>
          <w:szCs w:val="24"/>
          <w:lang w:val="en-US" w:eastAsia="zh-CN"/>
        </w:rPr>
        <w:t xml:space="preserve"> Good AJ, Garner-Spitzer E, Chao Y, Bulat I, Dechaphunkul A, Airpornwirat W, Charoentum C, Yen CJ, Yau TC, Maglakelidze M, Tanasanvimon S, Maneechavakajorn J, Sookprasert A, Bai LY, Chou WC, Ungtrakul T, Chong L, Ede N. A phase Ib/II open label study of IMU-131 HER2/Neu peptide vaccine plus cisplatin and either 5-fluorouracil or capecitabine chemotherapy in patients with HER2/Neu overexpressing metastatic or advanced adenocarcinoma of the stomach or gastroesophageal junc. </w:t>
      </w:r>
      <w:r w:rsidRPr="005C7810">
        <w:rPr>
          <w:rFonts w:ascii="Book Antiqua" w:eastAsia="等线" w:hAnsi="Book Antiqua" w:cs="Times New Roman"/>
          <w:i/>
          <w:iCs/>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2019; 37 Suppl 4 [DOI: 10.1200/JCO.2019.37.4_suppl.TPS176]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131 </w:t>
      </w:r>
      <w:r w:rsidRPr="005C7810">
        <w:rPr>
          <w:rFonts w:ascii="Book Antiqua" w:eastAsia="等线" w:hAnsi="Book Antiqua" w:cs="Times New Roman"/>
          <w:b/>
          <w:bCs/>
          <w:kern w:val="2"/>
          <w:sz w:val="24"/>
          <w:szCs w:val="24"/>
          <w:lang w:val="en-US" w:eastAsia="zh-CN"/>
        </w:rPr>
        <w:t>Wang J</w:t>
      </w:r>
      <w:r w:rsidRPr="005C7810">
        <w:rPr>
          <w:rFonts w:ascii="Book Antiqua" w:eastAsia="等线" w:hAnsi="Book Antiqua" w:cs="Times New Roman"/>
          <w:kern w:val="2"/>
          <w:sz w:val="24"/>
          <w:szCs w:val="24"/>
          <w:lang w:val="en-US" w:eastAsia="zh-CN"/>
        </w:rPr>
        <w:t>. Phase I study of pyrotinib in patients with HER2-positive solid tumors. In: ClinicalTrials.gov [Internet]. Bethesda (MD): U.S. National Library of Medicine. Available from: https//clinicaltrials.gov/show/NCT02500199 ClinicalTrials.gov Identifier: NCT02500199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132 </w:t>
      </w:r>
      <w:r w:rsidRPr="005C7810">
        <w:rPr>
          <w:rFonts w:ascii="Book Antiqua" w:eastAsia="等线" w:hAnsi="Book Antiqua" w:cs="Times New Roman"/>
          <w:b/>
          <w:bCs/>
          <w:kern w:val="2"/>
          <w:sz w:val="24"/>
          <w:szCs w:val="24"/>
          <w:lang w:val="en-US" w:eastAsia="zh-CN"/>
        </w:rPr>
        <w:t>Yang Q</w:t>
      </w:r>
      <w:r w:rsidRPr="005C7810">
        <w:rPr>
          <w:rFonts w:ascii="Book Antiqua" w:eastAsia="等线" w:hAnsi="Book Antiqua" w:cs="Times New Roman"/>
          <w:kern w:val="2"/>
          <w:sz w:val="24"/>
          <w:szCs w:val="24"/>
          <w:lang w:val="en-US" w:eastAsia="zh-CN"/>
        </w:rPr>
        <w:t>. Study evaluating pyrotinib/pyrotinib in combination with docetaxel in patients with HER2+ advanced gastric cancer. In: ClinicalTrials.gov [Internet]. Bethesda (MD): U.S. National Library of Medicine. Available from: https//clinicaltrials.gov/show/NCT02378389 ClinicalTrials.gov Identifier: NCT02378389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133 </w:t>
      </w:r>
      <w:r w:rsidRPr="005C7810">
        <w:rPr>
          <w:rFonts w:ascii="Book Antiqua" w:eastAsia="等线" w:hAnsi="Book Antiqua" w:cs="Times New Roman"/>
          <w:b/>
          <w:kern w:val="2"/>
          <w:sz w:val="24"/>
          <w:szCs w:val="24"/>
          <w:lang w:val="en-US" w:eastAsia="zh-CN"/>
        </w:rPr>
        <w:t>Zhao H</w:t>
      </w:r>
      <w:r w:rsidRPr="005C7810">
        <w:rPr>
          <w:rFonts w:ascii="Book Antiqua" w:eastAsia="等线" w:hAnsi="Book Antiqua" w:cs="Times New Roman"/>
          <w:kern w:val="2"/>
          <w:sz w:val="24"/>
          <w:szCs w:val="24"/>
          <w:lang w:val="en-US" w:eastAsia="zh-CN"/>
        </w:rPr>
        <w:t xml:space="preserve">, Wang J, Zhang Y, Yuan M, Yang S, Li L, Yang H. Prognostic Values of </w:t>
      </w:r>
      <w:r w:rsidRPr="005C7810">
        <w:rPr>
          <w:rFonts w:ascii="Book Antiqua" w:eastAsia="等线" w:hAnsi="Book Antiqua" w:cs="Times New Roman"/>
          <w:i/>
          <w:iCs/>
          <w:kern w:val="2"/>
          <w:sz w:val="24"/>
          <w:szCs w:val="24"/>
          <w:lang w:val="en-US" w:eastAsia="zh-CN"/>
        </w:rPr>
        <w:t>CCNE1</w:t>
      </w:r>
      <w:r w:rsidRPr="005C7810">
        <w:rPr>
          <w:rFonts w:ascii="Book Antiqua" w:eastAsia="等线" w:hAnsi="Book Antiqua" w:cs="Times New Roman"/>
          <w:kern w:val="2"/>
          <w:sz w:val="24"/>
          <w:szCs w:val="24"/>
          <w:lang w:val="en-US" w:eastAsia="zh-CN"/>
        </w:rPr>
        <w:t xml:space="preserve"> Amplification and Overexpression in Cancer Patients: A Systematic Review and Meta-analysis. </w:t>
      </w:r>
      <w:r w:rsidRPr="005C7810">
        <w:rPr>
          <w:rFonts w:ascii="Book Antiqua" w:eastAsia="等线" w:hAnsi="Book Antiqua" w:cs="Times New Roman"/>
          <w:i/>
          <w:kern w:val="2"/>
          <w:sz w:val="24"/>
          <w:szCs w:val="24"/>
          <w:lang w:val="en-US" w:eastAsia="zh-CN"/>
        </w:rPr>
        <w:t>J Cancer</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9</w:t>
      </w:r>
      <w:r w:rsidRPr="005C7810">
        <w:rPr>
          <w:rFonts w:ascii="Book Antiqua" w:eastAsia="等线" w:hAnsi="Book Antiqua" w:cs="Times New Roman"/>
          <w:kern w:val="2"/>
          <w:sz w:val="24"/>
          <w:szCs w:val="24"/>
          <w:lang w:val="en-US" w:eastAsia="zh-CN"/>
        </w:rPr>
        <w:t>: 2397-2407 [PMID: 30026836 DOI: 10.7150/jca.24179]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134 </w:t>
      </w:r>
      <w:r w:rsidRPr="005C7810">
        <w:rPr>
          <w:rFonts w:ascii="Book Antiqua" w:eastAsia="等线" w:hAnsi="Book Antiqua" w:cs="Times New Roman"/>
          <w:b/>
          <w:kern w:val="2"/>
          <w:sz w:val="24"/>
          <w:szCs w:val="24"/>
          <w:lang w:val="en-US" w:eastAsia="zh-CN"/>
        </w:rPr>
        <w:t>Lordick F</w:t>
      </w:r>
      <w:r w:rsidRPr="005C7810">
        <w:rPr>
          <w:rFonts w:ascii="Book Antiqua" w:eastAsia="等线" w:hAnsi="Book Antiqua" w:cs="Times New Roman"/>
          <w:kern w:val="2"/>
          <w:sz w:val="24"/>
          <w:szCs w:val="24"/>
          <w:lang w:val="en-US" w:eastAsia="zh-CN"/>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14</w:t>
      </w:r>
      <w:r w:rsidRPr="005C7810">
        <w:rPr>
          <w:rFonts w:ascii="Book Antiqua" w:eastAsia="等线" w:hAnsi="Book Antiqua" w:cs="Times New Roman"/>
          <w:kern w:val="2"/>
          <w:sz w:val="24"/>
          <w:szCs w:val="24"/>
          <w:lang w:val="en-US" w:eastAsia="zh-CN"/>
        </w:rPr>
        <w:t>: 490-499 [PMID: 23594786 DOI: 10.1016/S1470-2045(13)70102-5]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135 </w:t>
      </w:r>
      <w:r w:rsidRPr="005C7810">
        <w:rPr>
          <w:rFonts w:ascii="Book Antiqua" w:eastAsia="等线" w:hAnsi="Book Antiqua" w:cs="Times New Roman"/>
          <w:b/>
          <w:kern w:val="2"/>
          <w:sz w:val="24"/>
          <w:szCs w:val="24"/>
          <w:lang w:val="en-US" w:eastAsia="zh-CN"/>
        </w:rPr>
        <w:t>Kentepozidis N</w:t>
      </w:r>
      <w:r w:rsidRPr="005C7810">
        <w:rPr>
          <w:rFonts w:ascii="Book Antiqua" w:eastAsia="等线" w:hAnsi="Book Antiqua" w:cs="Times New Roman"/>
          <w:kern w:val="2"/>
          <w:sz w:val="24"/>
          <w:szCs w:val="24"/>
          <w:lang w:val="en-US" w:eastAsia="zh-CN"/>
        </w:rPr>
        <w:t xml:space="preserve">, Economopoulou P, Liontos M, Kotsakis A, Boukovinas I, Vardakis N, Kontopodis E, Prinarakis E, Skaltsi T, Souglakos J, Georgoulias V. Panitumumab in combination with modified docetaxel/cisplatin/5-fluorouracil as first-line treatment in gastric and gastroesophageal junction adenocarcinomas: a multicenter phase II study by the Hellenic Oncology Research Group. </w:t>
      </w:r>
      <w:r w:rsidRPr="005C7810">
        <w:rPr>
          <w:rFonts w:ascii="Book Antiqua" w:eastAsia="等线" w:hAnsi="Book Antiqua" w:cs="Times New Roman"/>
          <w:i/>
          <w:kern w:val="2"/>
          <w:sz w:val="24"/>
          <w:szCs w:val="24"/>
          <w:lang w:val="en-US" w:eastAsia="zh-CN"/>
        </w:rPr>
        <w:t>Ann Gastroenterol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31</w:t>
      </w:r>
      <w:r w:rsidRPr="005C7810">
        <w:rPr>
          <w:rFonts w:ascii="Book Antiqua" w:eastAsia="等线" w:hAnsi="Book Antiqua" w:cs="Times New Roman"/>
          <w:kern w:val="2"/>
          <w:sz w:val="24"/>
          <w:szCs w:val="24"/>
          <w:lang w:val="en-US" w:eastAsia="zh-CN"/>
        </w:rPr>
        <w:t>: 698-704 [PMID: 30386120 DOI: 10.20524/aog.2018.0311]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136 </w:t>
      </w:r>
      <w:r w:rsidRPr="005C7810">
        <w:rPr>
          <w:rFonts w:ascii="Book Antiqua" w:eastAsia="等线" w:hAnsi="Book Antiqua" w:cs="Times New Roman"/>
          <w:b/>
          <w:bCs/>
          <w:kern w:val="2"/>
          <w:sz w:val="24"/>
          <w:szCs w:val="24"/>
          <w:lang w:val="en-US" w:eastAsia="zh-CN"/>
        </w:rPr>
        <w:t>Kuhnil Pharmaceutical Co. L</w:t>
      </w:r>
      <w:r w:rsidRPr="005C7810">
        <w:rPr>
          <w:rFonts w:ascii="Book Antiqua" w:eastAsia="等线" w:hAnsi="Book Antiqua" w:cs="Times New Roman"/>
          <w:kern w:val="2"/>
          <w:sz w:val="24"/>
          <w:szCs w:val="24"/>
          <w:lang w:val="en-US" w:eastAsia="zh-CN"/>
        </w:rPr>
        <w:t>. Phase 3 study of nimotuzumab and irinotecan as second line with advanced or recurrect gastric and gastroesophageal junction cancer. In: ClinicalTrials.gov [Internet]. Bethesda (MD): U.S. National Library of Medicine. Available from: https//clinicaltrials.gov/show/ NCT01813253 ClinicalTrials.gov Identifier: NCT01813253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137 </w:t>
      </w:r>
      <w:r w:rsidRPr="005C7810">
        <w:rPr>
          <w:rFonts w:ascii="Book Antiqua" w:eastAsia="等线" w:hAnsi="Book Antiqua" w:cs="Times New Roman"/>
          <w:b/>
          <w:bCs/>
          <w:kern w:val="2"/>
          <w:sz w:val="24"/>
          <w:szCs w:val="24"/>
          <w:lang w:val="en-US" w:eastAsia="zh-CN"/>
        </w:rPr>
        <w:t>Chi Y</w:t>
      </w:r>
      <w:r w:rsidRPr="005C7810">
        <w:rPr>
          <w:rFonts w:ascii="Book Antiqua" w:eastAsia="等线" w:hAnsi="Book Antiqua" w:cs="Times New Roman"/>
          <w:kern w:val="2"/>
          <w:sz w:val="24"/>
          <w:szCs w:val="24"/>
          <w:lang w:val="en-US" w:eastAsia="zh-CN"/>
        </w:rPr>
        <w:t>. Cisplatin and S-1 with or without nimotuzumab in untreated advanced gastric adenocarcinoma. In: ClinicalTrials.gov [Internet]. Bethesda (MD): U.S. National Library of Medicine. Available from: https//clinicaltrials.gov/show/ NCT02370849 ClinicalTrials.gov Identifier: NCT02370849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138 </w:t>
      </w:r>
      <w:r w:rsidRPr="005C7810">
        <w:rPr>
          <w:rFonts w:ascii="Book Antiqua" w:eastAsia="等线" w:hAnsi="Book Antiqua" w:cs="Times New Roman"/>
          <w:b/>
          <w:kern w:val="2"/>
          <w:sz w:val="24"/>
          <w:szCs w:val="24"/>
          <w:lang w:val="en-US" w:eastAsia="zh-CN"/>
        </w:rPr>
        <w:t>Du F</w:t>
      </w:r>
      <w:r w:rsidRPr="005C7810">
        <w:rPr>
          <w:rFonts w:ascii="Book Antiqua" w:eastAsia="等线" w:hAnsi="Book Antiqua" w:cs="Times New Roman"/>
          <w:kern w:val="2"/>
          <w:sz w:val="24"/>
          <w:szCs w:val="24"/>
          <w:lang w:val="en-US" w:eastAsia="zh-CN"/>
        </w:rPr>
        <w:t xml:space="preserve">, Zheng Z, Shi S, Jiang Z, Qu T, Yuan X, Sun Y, Song Y, Yang L, Zhao J, Wang J, Chi Y. S-1 and Cisplatin With or Without Nimotuzumab for Patients With Untreated Unresectable or Metastatic Gastric Cancer: A Randomized, Open-Label Phase 2 Trial. </w:t>
      </w:r>
      <w:r w:rsidRPr="005C7810">
        <w:rPr>
          <w:rFonts w:ascii="Book Antiqua" w:eastAsia="等线" w:hAnsi="Book Antiqua" w:cs="Times New Roman"/>
          <w:i/>
          <w:kern w:val="2"/>
          <w:sz w:val="24"/>
          <w:szCs w:val="24"/>
          <w:lang w:val="en-US" w:eastAsia="zh-CN"/>
        </w:rPr>
        <w:t>Medicine (Baltimore)</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94</w:t>
      </w:r>
      <w:r w:rsidRPr="005C7810">
        <w:rPr>
          <w:rFonts w:ascii="Book Antiqua" w:eastAsia="等线" w:hAnsi="Book Antiqua" w:cs="Times New Roman"/>
          <w:kern w:val="2"/>
          <w:sz w:val="24"/>
          <w:szCs w:val="24"/>
          <w:lang w:val="en-US" w:eastAsia="zh-CN"/>
        </w:rPr>
        <w:t>: e958 [PMID: 26061330 DOI: 10.1097/MD.0000000000000958]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139 </w:t>
      </w:r>
      <w:r w:rsidRPr="005C7810">
        <w:rPr>
          <w:rFonts w:ascii="Book Antiqua" w:eastAsia="等线" w:hAnsi="Book Antiqua" w:cs="Times New Roman"/>
          <w:b/>
          <w:kern w:val="2"/>
          <w:sz w:val="24"/>
          <w:szCs w:val="24"/>
          <w:lang w:val="en-US" w:eastAsia="zh-CN"/>
        </w:rPr>
        <w:t>Lim T</w:t>
      </w:r>
      <w:r w:rsidRPr="005C7810">
        <w:rPr>
          <w:rFonts w:ascii="Book Antiqua" w:eastAsia="等线" w:hAnsi="Book Antiqua" w:cs="Times New Roman"/>
          <w:kern w:val="2"/>
          <w:sz w:val="24"/>
          <w:szCs w:val="24"/>
          <w:lang w:val="en-US" w:eastAsia="zh-CN"/>
        </w:rPr>
        <w:t xml:space="preserve">, Lee J, Lee DJ, Lee HY, Han B, Baek KK, Ahn HK, Lee SJ, Park SH, Park JO, Park YS, Lim HY, Kim KM, Kang WK. Phase I trial of capecitabine plus everolimus (RAD001) in patients with previously treated metastatic gastric cancer. </w:t>
      </w:r>
      <w:r w:rsidRPr="005C7810">
        <w:rPr>
          <w:rFonts w:ascii="Book Antiqua" w:eastAsia="等线" w:hAnsi="Book Antiqua" w:cs="Times New Roman"/>
          <w:i/>
          <w:kern w:val="2"/>
          <w:sz w:val="24"/>
          <w:szCs w:val="24"/>
          <w:lang w:val="en-US" w:eastAsia="zh-CN"/>
        </w:rPr>
        <w:t>Cancer Chemother Pharmacol</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68</w:t>
      </w:r>
      <w:r w:rsidRPr="005C7810">
        <w:rPr>
          <w:rFonts w:ascii="Book Antiqua" w:eastAsia="等线" w:hAnsi="Book Antiqua" w:cs="Times New Roman"/>
          <w:kern w:val="2"/>
          <w:sz w:val="24"/>
          <w:szCs w:val="24"/>
          <w:lang w:val="en-US" w:eastAsia="zh-CN"/>
        </w:rPr>
        <w:t>: 255-262 [PMID: 21526353 DOI: 10.1007/s00280-011-1653-5]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140 </w:t>
      </w:r>
      <w:r w:rsidRPr="005C7810">
        <w:rPr>
          <w:rFonts w:ascii="Book Antiqua" w:eastAsia="等线" w:hAnsi="Book Antiqua" w:cs="Times New Roman"/>
          <w:b/>
          <w:bCs/>
          <w:kern w:val="2"/>
          <w:sz w:val="24"/>
          <w:szCs w:val="24"/>
          <w:lang w:val="en-US" w:eastAsia="zh-CN"/>
        </w:rPr>
        <w:t>Kang YK</w:t>
      </w:r>
      <w:r w:rsidRPr="005C7810">
        <w:rPr>
          <w:rFonts w:ascii="Book Antiqua" w:eastAsia="等线" w:hAnsi="Book Antiqua" w:cs="Times New Roman"/>
          <w:kern w:val="2"/>
          <w:sz w:val="24"/>
          <w:szCs w:val="24"/>
          <w:lang w:val="en-US" w:eastAsia="zh-CN"/>
        </w:rPr>
        <w:t>. RAD001 in combination with capecitabine and oxaliplatin (XELOX) in patients with advanced gastric cancer. In: ClinicalTrials.gov [Internet]. Bethesda (MD): U.S. National Library of Medicine. Available from: https//clinicaltrials.gov/show/NCT01049620 ClinicalTrials.gov Identifier: NCT01049620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141 </w:t>
      </w:r>
      <w:r w:rsidRPr="005C7810">
        <w:rPr>
          <w:rFonts w:ascii="Book Antiqua" w:eastAsia="等线" w:hAnsi="Book Antiqua" w:cs="Times New Roman"/>
          <w:b/>
          <w:bCs/>
          <w:kern w:val="2"/>
          <w:sz w:val="24"/>
          <w:szCs w:val="24"/>
          <w:lang w:val="en-US" w:eastAsia="zh-CN"/>
        </w:rPr>
        <w:t>Al-Batran S</w:t>
      </w:r>
      <w:r w:rsidRPr="005C7810">
        <w:rPr>
          <w:rFonts w:ascii="Book Antiqua" w:eastAsia="等线" w:hAnsi="Book Antiqua" w:cs="Times New Roman"/>
          <w:kern w:val="2"/>
          <w:sz w:val="24"/>
          <w:szCs w:val="24"/>
          <w:lang w:val="en-US" w:eastAsia="zh-CN"/>
        </w:rPr>
        <w:t>. Phase I study of daily RAD001 in combination with mitomycin C in patients with advanced gastric cancer or cancer of the esophagogastric junction (S387). In: ClinicalTrials.gov [Internet]. Bethesda (MD): U.S. National Library of Medicine. Available from: https//clinicaltrials.gov/show/ NCT01042782 ClinicalTrials.gov Identifier: NCT01042782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142 </w:t>
      </w:r>
      <w:r w:rsidRPr="005C7810">
        <w:rPr>
          <w:rFonts w:ascii="Book Antiqua" w:eastAsia="等线" w:hAnsi="Book Antiqua" w:cs="Times New Roman"/>
          <w:b/>
          <w:kern w:val="2"/>
          <w:sz w:val="24"/>
          <w:szCs w:val="24"/>
          <w:lang w:val="en-US" w:eastAsia="zh-CN"/>
        </w:rPr>
        <w:t>Doi T</w:t>
      </w:r>
      <w:r w:rsidRPr="005C7810">
        <w:rPr>
          <w:rFonts w:ascii="Book Antiqua" w:eastAsia="等线" w:hAnsi="Book Antiqua" w:cs="Times New Roman"/>
          <w:kern w:val="2"/>
          <w:sz w:val="24"/>
          <w:szCs w:val="24"/>
          <w:lang w:val="en-US" w:eastAsia="zh-CN"/>
        </w:rPr>
        <w:t xml:space="preserve">, Muro K, Boku N, Yamada Y, Nishina T, Takiuchi H, Komatsu Y, Hamamoto Y, Ohno N, Fujita Y, Robson M, Ohtsu A. Multicenter phase II study of everolimus in patients with previously treated metastatic gastric cancer.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2010; </w:t>
      </w:r>
      <w:r w:rsidRPr="005C7810">
        <w:rPr>
          <w:rFonts w:ascii="Book Antiqua" w:eastAsia="等线" w:hAnsi="Book Antiqua" w:cs="Times New Roman"/>
          <w:b/>
          <w:kern w:val="2"/>
          <w:sz w:val="24"/>
          <w:szCs w:val="24"/>
          <w:lang w:val="en-US" w:eastAsia="zh-CN"/>
        </w:rPr>
        <w:t>28</w:t>
      </w:r>
      <w:r w:rsidRPr="005C7810">
        <w:rPr>
          <w:rFonts w:ascii="Book Antiqua" w:eastAsia="等线" w:hAnsi="Book Antiqua" w:cs="Times New Roman"/>
          <w:kern w:val="2"/>
          <w:sz w:val="24"/>
          <w:szCs w:val="24"/>
          <w:lang w:val="en-US" w:eastAsia="zh-CN"/>
        </w:rPr>
        <w:t>: 1904-1910 [PMID: 20231677 DOI: 10.1200/JCO.2009.26.2923]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143 </w:t>
      </w:r>
      <w:r w:rsidRPr="005C7810">
        <w:rPr>
          <w:rFonts w:ascii="Book Antiqua" w:eastAsia="等线" w:hAnsi="Book Antiqua" w:cs="Times New Roman"/>
          <w:b/>
          <w:kern w:val="2"/>
          <w:sz w:val="24"/>
          <w:szCs w:val="24"/>
          <w:lang w:val="en-US" w:eastAsia="zh-CN"/>
        </w:rPr>
        <w:t>Yoon DH</w:t>
      </w:r>
      <w:r w:rsidRPr="005C7810">
        <w:rPr>
          <w:rFonts w:ascii="Book Antiqua" w:eastAsia="等线" w:hAnsi="Book Antiqua" w:cs="Times New Roman"/>
          <w:kern w:val="2"/>
          <w:sz w:val="24"/>
          <w:szCs w:val="24"/>
          <w:lang w:val="en-US" w:eastAsia="zh-CN"/>
        </w:rPr>
        <w:t xml:space="preserve">, Ryu MH, Park YS, Lee HJ, Lee C, Ryoo BY, Lee JL, Chang HM, Kim TW, Kang YK. Phase II study of everolimus with biomarker exploration in patients with advanced gastric cancer refractory to chemotherapy including fluoropyrimidine and platinum.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106</w:t>
      </w:r>
      <w:r w:rsidRPr="005C7810">
        <w:rPr>
          <w:rFonts w:ascii="Book Antiqua" w:eastAsia="等线" w:hAnsi="Book Antiqua" w:cs="Times New Roman"/>
          <w:kern w:val="2"/>
          <w:sz w:val="24"/>
          <w:szCs w:val="24"/>
          <w:lang w:val="en-US" w:eastAsia="zh-CN"/>
        </w:rPr>
        <w:t>: 1039-1044 [PMID: 22343617 DOI: 10.1038/bjc.2012.47]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144 </w:t>
      </w:r>
      <w:r w:rsidRPr="005C7810">
        <w:rPr>
          <w:rFonts w:ascii="Book Antiqua" w:eastAsia="等线" w:hAnsi="Book Antiqua" w:cs="Times New Roman"/>
          <w:b/>
          <w:kern w:val="2"/>
          <w:sz w:val="24"/>
          <w:szCs w:val="24"/>
          <w:lang w:val="en-US" w:eastAsia="zh-CN"/>
        </w:rPr>
        <w:t>Ohtsu A</w:t>
      </w:r>
      <w:r w:rsidRPr="005C7810">
        <w:rPr>
          <w:rFonts w:ascii="Book Antiqua" w:eastAsia="等线" w:hAnsi="Book Antiqua" w:cs="Times New Roman"/>
          <w:kern w:val="2"/>
          <w:sz w:val="24"/>
          <w:szCs w:val="24"/>
          <w:lang w:val="en-US" w:eastAsia="zh-CN"/>
        </w:rPr>
        <w:t xml:space="preserve">,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31</w:t>
      </w:r>
      <w:r w:rsidRPr="005C7810">
        <w:rPr>
          <w:rFonts w:ascii="Book Antiqua" w:eastAsia="等线" w:hAnsi="Book Antiqua" w:cs="Times New Roman"/>
          <w:kern w:val="2"/>
          <w:sz w:val="24"/>
          <w:szCs w:val="24"/>
          <w:lang w:val="en-US" w:eastAsia="zh-CN"/>
        </w:rPr>
        <w:t>: 3935-3943 [PMID: 24043745 DOI: 10.1200/jco.2012.48.3552]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145 </w:t>
      </w:r>
      <w:r w:rsidRPr="005C7810">
        <w:rPr>
          <w:rFonts w:ascii="Book Antiqua" w:eastAsia="等线" w:hAnsi="Book Antiqua" w:cs="Times New Roman"/>
          <w:b/>
          <w:bCs/>
          <w:kern w:val="2"/>
          <w:sz w:val="24"/>
          <w:szCs w:val="24"/>
          <w:lang w:val="en-US" w:eastAsia="zh-CN"/>
        </w:rPr>
        <w:t>Novartis Pharmaceuticals</w:t>
      </w:r>
      <w:r w:rsidRPr="005C7810">
        <w:rPr>
          <w:rFonts w:ascii="Book Antiqua" w:eastAsia="等线" w:hAnsi="Book Antiqua" w:cs="Times New Roman"/>
          <w:kern w:val="2"/>
          <w:sz w:val="24"/>
          <w:szCs w:val="24"/>
          <w:lang w:val="en-US" w:eastAsia="zh-CN"/>
        </w:rPr>
        <w:t>. PI3K inhibitor BYL719 in combination with the HSP90 inhibitor AUY922 in patients with advanced or metastatic gastric cancer. In: ClinicalTrials.gov [Internet]. Bethesda (MD): U.S. National Library of Medicine. Available from: https//clinicaltrials.gov/show/NCT01613950 ClinicalTrials.gov Identifier: NCT01613950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146 </w:t>
      </w:r>
      <w:r w:rsidRPr="005C7810">
        <w:rPr>
          <w:rFonts w:ascii="Book Antiqua" w:eastAsia="等线" w:hAnsi="Book Antiqua" w:cs="Times New Roman"/>
          <w:b/>
          <w:bCs/>
          <w:kern w:val="2"/>
          <w:sz w:val="24"/>
          <w:szCs w:val="24"/>
          <w:lang w:val="en-US" w:eastAsia="zh-CN"/>
        </w:rPr>
        <w:t>Genentech Inc</w:t>
      </w:r>
      <w:r w:rsidRPr="005C7810">
        <w:rPr>
          <w:rFonts w:ascii="Book Antiqua" w:eastAsia="等线" w:hAnsi="Book Antiqua" w:cs="Times New Roman"/>
          <w:kern w:val="2"/>
          <w:sz w:val="24"/>
          <w:szCs w:val="24"/>
          <w:lang w:val="en-US" w:eastAsia="zh-CN"/>
        </w:rPr>
        <w:t>. A study of GDC-0068 in combination with fluoropyrimidine plus oxaliplatin in participants with advanced or metastatic gastric or gastroesophageal junction cancer. In: ClinicalTrials.gov [Internet]. Bethesda (MD): U.S. National Library of Medicine. Available from: https//clinicaltrials.gov/show/ NCT01896531 ClinicalTrials.gov Identifier: NCT01896531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147 </w:t>
      </w:r>
      <w:r w:rsidRPr="005C7810">
        <w:rPr>
          <w:rFonts w:ascii="Book Antiqua" w:eastAsia="等线" w:hAnsi="Book Antiqua" w:cs="Times New Roman"/>
          <w:b/>
          <w:kern w:val="2"/>
          <w:sz w:val="24"/>
          <w:szCs w:val="24"/>
          <w:lang w:val="en-US" w:eastAsia="zh-CN"/>
        </w:rPr>
        <w:t>Sotoudeh K</w:t>
      </w:r>
      <w:r w:rsidRPr="005C7810">
        <w:rPr>
          <w:rFonts w:ascii="Book Antiqua" w:eastAsia="等线" w:hAnsi="Book Antiqua" w:cs="Times New Roman"/>
          <w:kern w:val="2"/>
          <w:sz w:val="24"/>
          <w:szCs w:val="24"/>
          <w:lang w:val="en-US" w:eastAsia="zh-CN"/>
        </w:rPr>
        <w:t xml:space="preserve">, Hashemi F, Madjd Z, Sadeghipour A, Molanaei S, Kalantary E. The clinicopathologic association of c-MET overexpression in Iranian gastric carcinomas; an immunohistochemical study of tissue microarrays. </w:t>
      </w:r>
      <w:r w:rsidRPr="005C7810">
        <w:rPr>
          <w:rFonts w:ascii="Book Antiqua" w:eastAsia="等线" w:hAnsi="Book Antiqua" w:cs="Times New Roman"/>
          <w:i/>
          <w:kern w:val="2"/>
          <w:sz w:val="24"/>
          <w:szCs w:val="24"/>
          <w:lang w:val="en-US" w:eastAsia="zh-CN"/>
        </w:rPr>
        <w:t>Diagn Pathol</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7</w:t>
      </w:r>
      <w:r w:rsidRPr="005C7810">
        <w:rPr>
          <w:rFonts w:ascii="Book Antiqua" w:eastAsia="等线" w:hAnsi="Book Antiqua" w:cs="Times New Roman"/>
          <w:kern w:val="2"/>
          <w:sz w:val="24"/>
          <w:szCs w:val="24"/>
          <w:lang w:val="en-US" w:eastAsia="zh-CN"/>
        </w:rPr>
        <w:t>: 57 [PMID: 22640970 DOI: 10.1186/1746-1596-7-57]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148 </w:t>
      </w:r>
      <w:r w:rsidRPr="005C7810">
        <w:rPr>
          <w:rFonts w:ascii="Book Antiqua" w:eastAsia="等线" w:hAnsi="Book Antiqua" w:cs="Times New Roman"/>
          <w:b/>
          <w:kern w:val="2"/>
          <w:sz w:val="24"/>
          <w:szCs w:val="24"/>
          <w:lang w:val="en-US" w:eastAsia="zh-CN"/>
        </w:rPr>
        <w:t>Fuse N</w:t>
      </w:r>
      <w:r w:rsidRPr="005C7810">
        <w:rPr>
          <w:rFonts w:ascii="Book Antiqua" w:eastAsia="等线" w:hAnsi="Book Antiqua" w:cs="Times New Roman"/>
          <w:kern w:val="2"/>
          <w:sz w:val="24"/>
          <w:szCs w:val="24"/>
          <w:lang w:val="en-US" w:eastAsia="zh-CN"/>
        </w:rPr>
        <w:t xml:space="preserve">, Kuboki Y, Kuwata T, Nishina T, Kadowaki S, Shinozaki E, Machida N, Yuki S, Ooki A, Kajiura S, Kimura T, Yamanaka T, Shitara K, Nagatsuma AK, Yoshino T, Ochiai A, Ohtsu A. Prognostic impact of HER2, EGFR, and c-MET status on overall survival of advanced gastric cancer patients. </w:t>
      </w:r>
      <w:r w:rsidRPr="005C7810">
        <w:rPr>
          <w:rFonts w:ascii="Book Antiqua" w:eastAsia="等线" w:hAnsi="Book Antiqua" w:cs="Times New Roman"/>
          <w:i/>
          <w:kern w:val="2"/>
          <w:sz w:val="24"/>
          <w:szCs w:val="24"/>
          <w:lang w:val="en-US" w:eastAsia="zh-CN"/>
        </w:rPr>
        <w:t>Gastric Cancer</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19</w:t>
      </w:r>
      <w:r w:rsidRPr="005C7810">
        <w:rPr>
          <w:rFonts w:ascii="Book Antiqua" w:eastAsia="等线" w:hAnsi="Book Antiqua" w:cs="Times New Roman"/>
          <w:kern w:val="2"/>
          <w:sz w:val="24"/>
          <w:szCs w:val="24"/>
          <w:lang w:val="en-US" w:eastAsia="zh-CN"/>
        </w:rPr>
        <w:t>: 183-191 [PMID: 25682441 DOI: 10.1007/s10120-015-0471-6]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149 </w:t>
      </w:r>
      <w:r w:rsidRPr="005C7810">
        <w:rPr>
          <w:rFonts w:ascii="Book Antiqua" w:eastAsia="等线" w:hAnsi="Book Antiqua" w:cs="Times New Roman"/>
          <w:b/>
          <w:kern w:val="2"/>
          <w:sz w:val="24"/>
          <w:szCs w:val="24"/>
          <w:lang w:val="en-US" w:eastAsia="zh-CN"/>
        </w:rPr>
        <w:t>Iveson T</w:t>
      </w:r>
      <w:r w:rsidRPr="005C7810">
        <w:rPr>
          <w:rFonts w:ascii="Book Antiqua" w:eastAsia="等线" w:hAnsi="Book Antiqua" w:cs="Times New Roman"/>
          <w:kern w:val="2"/>
          <w:sz w:val="24"/>
          <w:szCs w:val="24"/>
          <w:lang w:val="en-US" w:eastAsia="zh-CN"/>
        </w:rPr>
        <w:t xml:space="preserve">, Donehower RC, Davidenko I, Tjulandin S, Deptala A, Harrison M, Nirni S, Lakshmaiah K, Thomas A, Jiang Y, Zhu M, Tang R, Anderson A, Dubey S, Oliner KS, Loh E. Rilotumumab in combination with epirubicin, cisplatin, and capecitabine as first-line treatment for gastric or oesophagogastric junction adenocarcinoma: an open-label, dose de-escalation phase 1b study and a double-blind, randomised phase 2 study.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15</w:t>
      </w:r>
      <w:r w:rsidRPr="005C7810">
        <w:rPr>
          <w:rFonts w:ascii="Book Antiqua" w:eastAsia="等线" w:hAnsi="Book Antiqua" w:cs="Times New Roman"/>
          <w:kern w:val="2"/>
          <w:sz w:val="24"/>
          <w:szCs w:val="24"/>
          <w:lang w:val="en-US" w:eastAsia="zh-CN"/>
        </w:rPr>
        <w:t>: 1007-1018 [PMID: 24965569 DOI: 10.1016/S1470-2045(14)70023-3]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150 </w:t>
      </w:r>
      <w:r w:rsidRPr="005C7810">
        <w:rPr>
          <w:rFonts w:ascii="Book Antiqua" w:eastAsia="等线" w:hAnsi="Book Antiqua" w:cs="Times New Roman"/>
          <w:b/>
          <w:kern w:val="2"/>
          <w:sz w:val="24"/>
          <w:szCs w:val="24"/>
          <w:lang w:val="en-US" w:eastAsia="zh-CN"/>
        </w:rPr>
        <w:t>Catenacci DVT</w:t>
      </w:r>
      <w:r w:rsidRPr="005C7810">
        <w:rPr>
          <w:rFonts w:ascii="Book Antiqua" w:eastAsia="等线" w:hAnsi="Book Antiqua" w:cs="Times New Roman"/>
          <w:kern w:val="2"/>
          <w:sz w:val="24"/>
          <w:szCs w:val="24"/>
          <w:lang w:val="en-US" w:eastAsia="zh-CN"/>
        </w:rPr>
        <w:t xml:space="preserve">, Tebbutt NC, Davidenko I, Murad AM, Al-Batran SE, Ilson DH, Tjulandin S, Gotovkin E, Karaszewska B, Bondarenko I, Tejani MA, Udrea AA, Tehfe M, De Vita F, Turkington C, Tang R, Ang A, Zhang Y, Hoang T, Sidhu R, Cunningham D. Rilotumumab plus epirubicin, cisplatin, and capecitabine as first-line therapy in advanced MET-positive gastric or gastro-oesophageal junction cancer (RILOMET-1): a randomised, double-blind, placebo-controlled, phase 3 trial.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18</w:t>
      </w:r>
      <w:r w:rsidRPr="005C7810">
        <w:rPr>
          <w:rFonts w:ascii="Book Antiqua" w:eastAsia="等线" w:hAnsi="Book Antiqua" w:cs="Times New Roman"/>
          <w:kern w:val="2"/>
          <w:sz w:val="24"/>
          <w:szCs w:val="24"/>
          <w:lang w:val="en-US" w:eastAsia="zh-CN"/>
        </w:rPr>
        <w:t>: 1467-1482 [PMID: 28958504 DOI: 10.1016/S1470-2045(17)30566-1]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151 </w:t>
      </w:r>
      <w:r w:rsidRPr="005C7810">
        <w:rPr>
          <w:rFonts w:ascii="Book Antiqua" w:eastAsia="等线" w:hAnsi="Book Antiqua" w:cs="Times New Roman"/>
          <w:b/>
          <w:bCs/>
          <w:kern w:val="2"/>
          <w:sz w:val="24"/>
          <w:szCs w:val="24"/>
          <w:lang w:val="en-US" w:eastAsia="zh-CN"/>
        </w:rPr>
        <w:t>Amgen</w:t>
      </w:r>
      <w:r w:rsidRPr="005C7810">
        <w:rPr>
          <w:rFonts w:ascii="Book Antiqua" w:eastAsia="等线" w:hAnsi="Book Antiqua" w:cs="Times New Roman"/>
          <w:kern w:val="2"/>
          <w:sz w:val="24"/>
          <w:szCs w:val="24"/>
          <w:lang w:val="en-US" w:eastAsia="zh-CN"/>
        </w:rPr>
        <w:t>. A Phase 3 study of rilotumumab (AMG) with cisplatin and capecitabine (CX) as first-line therapy in gastric cancer (RILOMET-2). In: ClinicalTrials.gov [Internet]. Bethesda (MD): U.S. National Library of Medicine. Available from: https//clinicaltrials.gov/show/NCT02137343 ClinicalTrials.gov Identifier: NCT02137343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152 </w:t>
      </w:r>
      <w:r w:rsidRPr="005C7810">
        <w:rPr>
          <w:rFonts w:ascii="Book Antiqua" w:eastAsia="等线" w:hAnsi="Book Antiqua" w:cs="Times New Roman"/>
          <w:b/>
          <w:kern w:val="2"/>
          <w:sz w:val="24"/>
          <w:szCs w:val="24"/>
          <w:lang w:val="en-US" w:eastAsia="zh-CN"/>
        </w:rPr>
        <w:t>Shah MA</w:t>
      </w:r>
      <w:r w:rsidRPr="005C7810">
        <w:rPr>
          <w:rFonts w:ascii="Book Antiqua" w:eastAsia="等线" w:hAnsi="Book Antiqua" w:cs="Times New Roman"/>
          <w:kern w:val="2"/>
          <w:sz w:val="24"/>
          <w:szCs w:val="24"/>
          <w:lang w:val="en-US" w:eastAsia="zh-CN"/>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sidRPr="005C7810">
        <w:rPr>
          <w:rFonts w:ascii="Book Antiqua" w:eastAsia="等线" w:hAnsi="Book Antiqua" w:cs="Times New Roman"/>
          <w:i/>
          <w:kern w:val="2"/>
          <w:sz w:val="24"/>
          <w:szCs w:val="24"/>
          <w:lang w:val="en-US" w:eastAsia="zh-CN"/>
        </w:rPr>
        <w:t>JAMA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3</w:t>
      </w:r>
      <w:r w:rsidRPr="005C7810">
        <w:rPr>
          <w:rFonts w:ascii="Book Antiqua" w:eastAsia="等线" w:hAnsi="Book Antiqua" w:cs="Times New Roman"/>
          <w:kern w:val="2"/>
          <w:sz w:val="24"/>
          <w:szCs w:val="24"/>
          <w:lang w:val="en-US" w:eastAsia="zh-CN"/>
        </w:rPr>
        <w:t>: 620-627 [PMID: 27918764 DOI: 10.1001/jamaoncol.2016.5580]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153 </w:t>
      </w:r>
      <w:r w:rsidRPr="005C7810">
        <w:rPr>
          <w:rFonts w:ascii="Book Antiqua" w:eastAsia="等线" w:hAnsi="Book Antiqua" w:cs="Times New Roman"/>
          <w:b/>
          <w:kern w:val="2"/>
          <w:sz w:val="24"/>
          <w:szCs w:val="24"/>
          <w:lang w:val="en-US" w:eastAsia="zh-CN"/>
        </w:rPr>
        <w:t>Ferrara N</w:t>
      </w:r>
      <w:r w:rsidRPr="005C7810">
        <w:rPr>
          <w:rFonts w:ascii="Book Antiqua" w:eastAsia="等线" w:hAnsi="Book Antiqua" w:cs="Times New Roman"/>
          <w:kern w:val="2"/>
          <w:sz w:val="24"/>
          <w:szCs w:val="24"/>
          <w:lang w:val="en-US" w:eastAsia="zh-CN"/>
        </w:rPr>
        <w:t xml:space="preserve">, Hillan KJ, Gerber HP, Novotny W. Discovery and development of bevacizumab, an anti-VEGF antibody for treating cancer. </w:t>
      </w:r>
      <w:r w:rsidRPr="005C7810">
        <w:rPr>
          <w:rFonts w:ascii="Book Antiqua" w:eastAsia="等线" w:hAnsi="Book Antiqua" w:cs="Times New Roman"/>
          <w:i/>
          <w:kern w:val="2"/>
          <w:sz w:val="24"/>
          <w:szCs w:val="24"/>
          <w:lang w:val="en-US" w:eastAsia="zh-CN"/>
        </w:rPr>
        <w:t>Nat Rev Drug Discov</w:t>
      </w:r>
      <w:r w:rsidRPr="005C7810">
        <w:rPr>
          <w:rFonts w:ascii="Book Antiqua" w:eastAsia="等线" w:hAnsi="Book Antiqua" w:cs="Times New Roman"/>
          <w:kern w:val="2"/>
          <w:sz w:val="24"/>
          <w:szCs w:val="24"/>
          <w:lang w:val="en-US" w:eastAsia="zh-CN"/>
        </w:rPr>
        <w:t xml:space="preserve"> 2004; </w:t>
      </w:r>
      <w:r w:rsidRPr="005C7810">
        <w:rPr>
          <w:rFonts w:ascii="Book Antiqua" w:eastAsia="等线" w:hAnsi="Book Antiqua" w:cs="Times New Roman"/>
          <w:b/>
          <w:kern w:val="2"/>
          <w:sz w:val="24"/>
          <w:szCs w:val="24"/>
          <w:lang w:val="en-US" w:eastAsia="zh-CN"/>
        </w:rPr>
        <w:t>3</w:t>
      </w:r>
      <w:r w:rsidRPr="005C7810">
        <w:rPr>
          <w:rFonts w:ascii="Book Antiqua" w:eastAsia="等线" w:hAnsi="Book Antiqua" w:cs="Times New Roman"/>
          <w:kern w:val="2"/>
          <w:sz w:val="24"/>
          <w:szCs w:val="24"/>
          <w:lang w:val="en-US" w:eastAsia="zh-CN"/>
        </w:rPr>
        <w:t>: 391-400 [PMID: 15136787 DOI: 10.1038/ndr1381]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154 </w:t>
      </w:r>
      <w:r w:rsidRPr="005C7810">
        <w:rPr>
          <w:rFonts w:ascii="Book Antiqua" w:eastAsia="等线" w:hAnsi="Book Antiqua" w:cs="Times New Roman"/>
          <w:b/>
          <w:kern w:val="2"/>
          <w:sz w:val="24"/>
          <w:szCs w:val="24"/>
          <w:lang w:val="en-US" w:eastAsia="zh-CN"/>
        </w:rPr>
        <w:t>Uronis HE</w:t>
      </w:r>
      <w:r w:rsidRPr="005C7810">
        <w:rPr>
          <w:rFonts w:ascii="Book Antiqua" w:eastAsia="等线" w:hAnsi="Book Antiqua" w:cs="Times New Roman"/>
          <w:kern w:val="2"/>
          <w:sz w:val="24"/>
          <w:szCs w:val="24"/>
          <w:lang w:val="en-US" w:eastAsia="zh-CN"/>
        </w:rPr>
        <w:t xml:space="preserve">, Bendell JC, Altomare I, Blobe GC, Hsu SD, Morse MA, Pang H, Zafar SY, Conkling P, Favaro J, Arrowood CC, Cushman SM, Meadows KL, Brady JC, Nixon AB, Hurwitz HI. A phase II study of capecitabine, oxaliplatin, and bevacizumab in the treatment of metastatic esophagogastric adenocarcinomas. </w:t>
      </w:r>
      <w:r w:rsidRPr="005C7810">
        <w:rPr>
          <w:rFonts w:ascii="Book Antiqua" w:eastAsia="等线" w:hAnsi="Book Antiqua" w:cs="Times New Roman"/>
          <w:i/>
          <w:kern w:val="2"/>
          <w:sz w:val="24"/>
          <w:szCs w:val="24"/>
          <w:lang w:val="en-US" w:eastAsia="zh-CN"/>
        </w:rPr>
        <w:t>Oncologist</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18</w:t>
      </w:r>
      <w:r w:rsidRPr="005C7810">
        <w:rPr>
          <w:rFonts w:ascii="Book Antiqua" w:eastAsia="等线" w:hAnsi="Book Antiqua" w:cs="Times New Roman"/>
          <w:kern w:val="2"/>
          <w:sz w:val="24"/>
          <w:szCs w:val="24"/>
          <w:lang w:val="en-US" w:eastAsia="zh-CN"/>
        </w:rPr>
        <w:t>: 271-272 [PMID: 23485624 DOI: 10.1634/theoncologist.2012-0404]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155 </w:t>
      </w:r>
      <w:r w:rsidRPr="005C7810">
        <w:rPr>
          <w:rFonts w:ascii="Book Antiqua" w:eastAsia="等线" w:hAnsi="Book Antiqua" w:cs="Times New Roman"/>
          <w:b/>
          <w:kern w:val="2"/>
          <w:sz w:val="24"/>
          <w:szCs w:val="24"/>
          <w:lang w:val="en-US" w:eastAsia="zh-CN"/>
        </w:rPr>
        <w:t>Yoon HH</w:t>
      </w:r>
      <w:r w:rsidRPr="005C7810">
        <w:rPr>
          <w:rFonts w:ascii="Book Antiqua" w:eastAsia="等线" w:hAnsi="Book Antiqua" w:cs="Times New Roman"/>
          <w:kern w:val="2"/>
          <w:sz w:val="24"/>
          <w:szCs w:val="24"/>
          <w:lang w:val="en-US" w:eastAsia="zh-CN"/>
        </w:rPr>
        <w:t xml:space="preserve">, Bendell JC, Braiteh FS, Firdaus I, Philip PA, Cohn AL, Lewis N, Anderson DM, Arrowsmith E, Schwartz JD, Gao L, Hsu Y, Xu Y, Ferry D, Alberts SR, Wainberg ZA. Ramucirumab combined with FOLFOX as front-line therapy for advanced esophageal, gastroesophageal junction, or gastric adenocarcinoma: a randomized, double-blind, multicenter Phase II trial.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27</w:t>
      </w:r>
      <w:r w:rsidRPr="005C7810">
        <w:rPr>
          <w:rFonts w:ascii="Book Antiqua" w:eastAsia="等线" w:hAnsi="Book Antiqua" w:cs="Times New Roman"/>
          <w:kern w:val="2"/>
          <w:sz w:val="24"/>
          <w:szCs w:val="24"/>
          <w:lang w:val="en-US" w:eastAsia="zh-CN"/>
        </w:rPr>
        <w:t>: 2196-2203 [PMID: 27765757 DOI: 10.1093/annonc/mdw423]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156 </w:t>
      </w:r>
      <w:r w:rsidRPr="005C7810">
        <w:rPr>
          <w:rFonts w:ascii="Book Antiqua" w:eastAsia="等线" w:hAnsi="Book Antiqua" w:cs="Times New Roman"/>
          <w:b/>
          <w:kern w:val="2"/>
          <w:sz w:val="24"/>
          <w:szCs w:val="24"/>
          <w:lang w:val="en-US" w:eastAsia="zh-CN"/>
        </w:rPr>
        <w:t>Li J</w:t>
      </w:r>
      <w:r w:rsidRPr="005C7810">
        <w:rPr>
          <w:rFonts w:ascii="Book Antiqua" w:eastAsia="等线" w:hAnsi="Book Antiqua" w:cs="Times New Roman"/>
          <w:kern w:val="2"/>
          <w:sz w:val="24"/>
          <w:szCs w:val="24"/>
          <w:lang w:val="en-US" w:eastAsia="zh-CN"/>
        </w:rPr>
        <w:t xml:space="preserve">, Qin S, Xu J, Xiong J, Wu C, Bai Y, Liu W, Tong J, Liu Y, Xu R, Wang Z, Wang Q, Ouyang X, Yang Y, Ba Y, Liang J, Lin X, Luo D, Zheng R, Wang X, Sun G, Wang L, Zheng L, Guo H, Wu J, Xu N, Yang J, Zhang H, Cheng Y, Wang N, Chen L, Fan Z, Sun P, Yu H. Randomized, Double-Blind, Placebo-Controlled Phase III Trial of Apatinib in Patients With Chemotherapy-Refractory Advanced or Metastatic Adenocarcinoma of the Stomach or Gastroesophageal Junction.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34</w:t>
      </w:r>
      <w:r w:rsidRPr="005C7810">
        <w:rPr>
          <w:rFonts w:ascii="Book Antiqua" w:eastAsia="等线" w:hAnsi="Book Antiqua" w:cs="Times New Roman"/>
          <w:kern w:val="2"/>
          <w:sz w:val="24"/>
          <w:szCs w:val="24"/>
          <w:lang w:val="en-US" w:eastAsia="zh-CN"/>
        </w:rPr>
        <w:t>: 1448-1454 [PMID: 26884585 DOI: 10.1200/JCO.2015.63.5995]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157 </w:t>
      </w:r>
      <w:r w:rsidRPr="005C7810">
        <w:rPr>
          <w:rFonts w:ascii="Book Antiqua" w:eastAsia="等线" w:hAnsi="Book Antiqua" w:cs="Times New Roman"/>
          <w:b/>
          <w:bCs/>
          <w:kern w:val="2"/>
          <w:sz w:val="24"/>
          <w:szCs w:val="24"/>
          <w:lang w:val="en-US" w:eastAsia="zh-CN"/>
        </w:rPr>
        <w:t>Dong M</w:t>
      </w:r>
      <w:r w:rsidRPr="005C7810">
        <w:rPr>
          <w:rFonts w:ascii="Book Antiqua" w:eastAsia="等线" w:hAnsi="Book Antiqua" w:cs="Times New Roman"/>
          <w:kern w:val="2"/>
          <w:sz w:val="24"/>
          <w:szCs w:val="24"/>
          <w:lang w:val="en-US" w:eastAsia="zh-CN"/>
        </w:rPr>
        <w:t>. Clinical study on treatment of apatinib mesylate in first-line maintenance of advanced gastric cancer. In: ClinicalTrials.gov [Internet]. Bethesda (MD): U.S. National Library of Medicine. Available from: https//clinicaltrials.gov/show/NCT03255811 ClinicalTrials.gov Identifier: NCT03255811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158</w:t>
      </w:r>
      <w:r w:rsidRPr="005C7810">
        <w:rPr>
          <w:rFonts w:ascii="Book Antiqua" w:eastAsia="等线" w:hAnsi="Book Antiqua" w:cs="Times New Roman"/>
          <w:b/>
          <w:bCs/>
          <w:kern w:val="2"/>
          <w:sz w:val="24"/>
          <w:szCs w:val="24"/>
          <w:lang w:val="en-US" w:eastAsia="zh-CN"/>
        </w:rPr>
        <w:t xml:space="preserve"> Yuan X</w:t>
      </w:r>
      <w:r w:rsidRPr="005C7810">
        <w:rPr>
          <w:rFonts w:ascii="Book Antiqua" w:eastAsia="等线" w:hAnsi="Book Antiqua" w:cs="Times New Roman"/>
          <w:kern w:val="2"/>
          <w:sz w:val="24"/>
          <w:szCs w:val="24"/>
          <w:lang w:val="en-US" w:eastAsia="zh-CN"/>
        </w:rPr>
        <w:t>. Evaluate the efficacy of maintenance treatment with capecitabine plus apatinib in advanced gastric cancer. In: ClinicalTrials.gov [Internet]. Bethesda (MD): U.S. National Library of Medicine. Available from: https//clinicaltrials.gov/show/NCT03598348 ClinicalTrials.gov Identifier: NCT03598348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159 </w:t>
      </w:r>
      <w:r w:rsidRPr="005C7810">
        <w:rPr>
          <w:rFonts w:ascii="Book Antiqua" w:eastAsia="等线" w:hAnsi="Book Antiqua" w:cs="Times New Roman"/>
          <w:b/>
          <w:bCs/>
          <w:kern w:val="2"/>
          <w:sz w:val="24"/>
          <w:szCs w:val="24"/>
          <w:lang w:val="en-US" w:eastAsia="zh-CN"/>
        </w:rPr>
        <w:t>Zhao J</w:t>
      </w:r>
      <w:r w:rsidRPr="005C7810">
        <w:rPr>
          <w:rFonts w:ascii="Book Antiqua" w:eastAsia="等线" w:hAnsi="Book Antiqua" w:cs="Times New Roman"/>
          <w:kern w:val="2"/>
          <w:sz w:val="24"/>
          <w:szCs w:val="24"/>
          <w:lang w:val="en-US" w:eastAsia="zh-CN"/>
        </w:rPr>
        <w:t>. Apatinib for the elderly advanced gastric cancer. In: ClinicalTrials.gov [Internet]. Bethesda (MD): U.S. National Library of Medicine. Available from: https//clinicaltrials.gov/show/NCT03104283 ClinicalTrials.gov Identifier: NCT03104283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160 </w:t>
      </w:r>
      <w:r w:rsidRPr="005C7810">
        <w:rPr>
          <w:rFonts w:ascii="Book Antiqua" w:eastAsia="等线" w:hAnsi="Book Antiqua" w:cs="Times New Roman"/>
          <w:b/>
          <w:kern w:val="2"/>
          <w:sz w:val="24"/>
          <w:szCs w:val="24"/>
          <w:lang w:val="en-US" w:eastAsia="zh-CN"/>
        </w:rPr>
        <w:t>Lin H</w:t>
      </w:r>
      <w:r w:rsidRPr="005C7810">
        <w:rPr>
          <w:rFonts w:ascii="Book Antiqua" w:eastAsia="等线" w:hAnsi="Book Antiqua" w:cs="Times New Roman"/>
          <w:kern w:val="2"/>
          <w:sz w:val="24"/>
          <w:szCs w:val="24"/>
          <w:lang w:val="en-US" w:eastAsia="zh-CN"/>
        </w:rPr>
        <w:t xml:space="preserve">, Han D, Fu G, Liu C, Wang L, Han S, Liu B, Yu J. Concurrent apatinib and docetaxel vs apatinib monotherapy as third- or subsequent-line therapy for advanced gastric adenocarcinoma: a retrospective study. </w:t>
      </w:r>
      <w:r w:rsidRPr="005C7810">
        <w:rPr>
          <w:rFonts w:ascii="Book Antiqua" w:eastAsia="等线" w:hAnsi="Book Antiqua" w:cs="Times New Roman"/>
          <w:i/>
          <w:kern w:val="2"/>
          <w:sz w:val="24"/>
          <w:szCs w:val="24"/>
          <w:lang w:val="en-US" w:eastAsia="zh-CN"/>
        </w:rPr>
        <w:t>Onco Targets Ther</w:t>
      </w:r>
      <w:r w:rsidRPr="005C7810">
        <w:rPr>
          <w:rFonts w:ascii="Book Antiqua" w:eastAsia="等线" w:hAnsi="Book Antiqua" w:cs="Times New Roman"/>
          <w:kern w:val="2"/>
          <w:sz w:val="24"/>
          <w:szCs w:val="24"/>
          <w:lang w:val="en-US" w:eastAsia="zh-CN"/>
        </w:rPr>
        <w:t xml:space="preserve"> 2019;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1681-1689 [PMID: 30881023 DOI: 10.2147/OTT.S193801]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161 </w:t>
      </w:r>
      <w:r w:rsidRPr="005C7810">
        <w:rPr>
          <w:rFonts w:ascii="Book Antiqua" w:eastAsia="等线" w:hAnsi="Book Antiqua" w:cs="Times New Roman"/>
          <w:b/>
          <w:bCs/>
          <w:kern w:val="2"/>
          <w:sz w:val="24"/>
          <w:szCs w:val="24"/>
          <w:lang w:val="en-US" w:eastAsia="zh-CN"/>
        </w:rPr>
        <w:t>Kang WK</w:t>
      </w:r>
      <w:r w:rsidRPr="005C7810">
        <w:rPr>
          <w:rFonts w:ascii="Book Antiqua" w:eastAsia="等线" w:hAnsi="Book Antiqua" w:cs="Times New Roman"/>
          <w:kern w:val="2"/>
          <w:sz w:val="24"/>
          <w:szCs w:val="24"/>
          <w:lang w:val="en-US" w:eastAsia="zh-CN"/>
        </w:rPr>
        <w:t>. Pharmacogenomic study (adjuvant chemotherapy). In: ClinicalTrials.gov [Internet]. Bethesda (MD): U.S. National Library of Medicine. Available from: https//clinicaltrials.gov/show/NCT01470404 ClinicalTrials.gov Identifier: NCT01470404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162 </w:t>
      </w:r>
      <w:r w:rsidRPr="005C7810">
        <w:rPr>
          <w:rFonts w:ascii="Book Antiqua" w:eastAsia="等线" w:hAnsi="Book Antiqua" w:cs="Times New Roman"/>
          <w:b/>
          <w:kern w:val="2"/>
          <w:sz w:val="24"/>
          <w:szCs w:val="24"/>
          <w:lang w:val="en-US" w:eastAsia="zh-CN"/>
        </w:rPr>
        <w:t>Bykov VJ</w:t>
      </w:r>
      <w:r w:rsidRPr="005C7810">
        <w:rPr>
          <w:rFonts w:ascii="Book Antiqua" w:eastAsia="等线" w:hAnsi="Book Antiqua" w:cs="Times New Roman"/>
          <w:kern w:val="2"/>
          <w:sz w:val="24"/>
          <w:szCs w:val="24"/>
          <w:lang w:val="en-US" w:eastAsia="zh-CN"/>
        </w:rPr>
        <w:t xml:space="preserve">, Wiman KG. Mutant p53 reactivation by small molecules makes its way to the clinic. </w:t>
      </w:r>
      <w:r w:rsidRPr="005C7810">
        <w:rPr>
          <w:rFonts w:ascii="Book Antiqua" w:eastAsia="等线" w:hAnsi="Book Antiqua" w:cs="Times New Roman"/>
          <w:i/>
          <w:kern w:val="2"/>
          <w:sz w:val="24"/>
          <w:szCs w:val="24"/>
          <w:lang w:val="en-US" w:eastAsia="zh-CN"/>
        </w:rPr>
        <w:t>FEBS Lett</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588</w:t>
      </w:r>
      <w:r w:rsidRPr="005C7810">
        <w:rPr>
          <w:rFonts w:ascii="Book Antiqua" w:eastAsia="等线" w:hAnsi="Book Antiqua" w:cs="Times New Roman"/>
          <w:kern w:val="2"/>
          <w:sz w:val="24"/>
          <w:szCs w:val="24"/>
          <w:lang w:val="en-US" w:eastAsia="zh-CN"/>
        </w:rPr>
        <w:t>: 2622-2627 [PMID: 24768524 DOI: 10.1016/j.febslet.2014.04.017]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163 </w:t>
      </w:r>
      <w:r w:rsidRPr="005C7810">
        <w:rPr>
          <w:rFonts w:ascii="Book Antiqua" w:eastAsia="等线" w:hAnsi="Book Antiqua" w:cs="Times New Roman"/>
          <w:b/>
          <w:kern w:val="2"/>
          <w:sz w:val="24"/>
          <w:szCs w:val="24"/>
          <w:lang w:val="en-US" w:eastAsia="zh-CN"/>
        </w:rPr>
        <w:t>Zandi R</w:t>
      </w:r>
      <w:r w:rsidRPr="005C7810">
        <w:rPr>
          <w:rFonts w:ascii="Book Antiqua" w:eastAsia="等线" w:hAnsi="Book Antiqua" w:cs="Times New Roman"/>
          <w:kern w:val="2"/>
          <w:sz w:val="24"/>
          <w:szCs w:val="24"/>
          <w:lang w:val="en-US" w:eastAsia="zh-CN"/>
        </w:rPr>
        <w:t xml:space="preserve">, Selivanova G, Christensen CL, Gerds TA, Willumsen BM, Poulsen HS. PRIMA-1Met/APR-246 induces apoptosis and tumor growth delay in small cell lung cancer expressing mutant p53. </w:t>
      </w:r>
      <w:r w:rsidRPr="005C7810">
        <w:rPr>
          <w:rFonts w:ascii="Book Antiqua" w:eastAsia="等线" w:hAnsi="Book Antiqua" w:cs="Times New Roman"/>
          <w:i/>
          <w:kern w:val="2"/>
          <w:sz w:val="24"/>
          <w:szCs w:val="24"/>
          <w:lang w:val="en-US" w:eastAsia="zh-CN"/>
        </w:rPr>
        <w:t>Clin Cancer Res</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17</w:t>
      </w:r>
      <w:r w:rsidRPr="005C7810">
        <w:rPr>
          <w:rFonts w:ascii="Book Antiqua" w:eastAsia="等线" w:hAnsi="Book Antiqua" w:cs="Times New Roman"/>
          <w:kern w:val="2"/>
          <w:sz w:val="24"/>
          <w:szCs w:val="24"/>
          <w:lang w:val="en-US" w:eastAsia="zh-CN"/>
        </w:rPr>
        <w:t>: 2830-2841 [PMID: 21415220 DOI: 10.1158/1078-0432.CCR-10-3168]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164 </w:t>
      </w:r>
      <w:r w:rsidRPr="005C7810">
        <w:rPr>
          <w:rFonts w:ascii="Book Antiqua" w:eastAsia="等线" w:hAnsi="Book Antiqua" w:cs="Times New Roman"/>
          <w:b/>
          <w:kern w:val="2"/>
          <w:sz w:val="24"/>
          <w:szCs w:val="24"/>
          <w:lang w:val="en-US" w:eastAsia="zh-CN"/>
        </w:rPr>
        <w:t>Saha MN</w:t>
      </w:r>
      <w:r w:rsidRPr="005C7810">
        <w:rPr>
          <w:rFonts w:ascii="Book Antiqua" w:eastAsia="等线" w:hAnsi="Book Antiqua" w:cs="Times New Roman"/>
          <w:kern w:val="2"/>
          <w:sz w:val="24"/>
          <w:szCs w:val="24"/>
          <w:lang w:val="en-US" w:eastAsia="zh-CN"/>
        </w:rPr>
        <w:t xml:space="preserve">, Jiang H, Yang Y, Reece D, Chang H. PRIMA-1Met/APR-246 displays high antitumor activity in multiple myeloma by induction of p73 and Noxa. </w:t>
      </w:r>
      <w:r w:rsidRPr="005C7810">
        <w:rPr>
          <w:rFonts w:ascii="Book Antiqua" w:eastAsia="等线" w:hAnsi="Book Antiqua" w:cs="Times New Roman"/>
          <w:i/>
          <w:kern w:val="2"/>
          <w:sz w:val="24"/>
          <w:szCs w:val="24"/>
          <w:lang w:val="en-US" w:eastAsia="zh-CN"/>
        </w:rPr>
        <w:t>Mol Cancer Ther</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2331-2341 [PMID: 24030633 DOI: 10.1158/1535-7163.mct-12-1166]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165 </w:t>
      </w:r>
      <w:r w:rsidRPr="005C7810">
        <w:rPr>
          <w:rFonts w:ascii="Book Antiqua" w:eastAsia="等线" w:hAnsi="Book Antiqua" w:cs="Times New Roman"/>
          <w:b/>
          <w:kern w:val="2"/>
          <w:sz w:val="24"/>
          <w:szCs w:val="24"/>
          <w:lang w:val="en-US" w:eastAsia="zh-CN"/>
        </w:rPr>
        <w:t>Liang Y</w:t>
      </w:r>
      <w:r w:rsidRPr="005C7810">
        <w:rPr>
          <w:rFonts w:ascii="Book Antiqua" w:eastAsia="等线" w:hAnsi="Book Antiqua" w:cs="Times New Roman"/>
          <w:kern w:val="2"/>
          <w:sz w:val="24"/>
          <w:szCs w:val="24"/>
          <w:lang w:val="en-US" w:eastAsia="zh-CN"/>
        </w:rPr>
        <w:t xml:space="preserve">, Besch-Williford C, Hyder SM. PRIMA-1 inhibits growth of breast cancer cells by re-activating mutant p53 protein. </w:t>
      </w:r>
      <w:r w:rsidRPr="005C7810">
        <w:rPr>
          <w:rFonts w:ascii="Book Antiqua" w:eastAsia="等线" w:hAnsi="Book Antiqua" w:cs="Times New Roman"/>
          <w:i/>
          <w:kern w:val="2"/>
          <w:sz w:val="24"/>
          <w:szCs w:val="24"/>
          <w:lang w:val="en-US" w:eastAsia="zh-CN"/>
        </w:rPr>
        <w:t>Int J Oncol</w:t>
      </w:r>
      <w:r w:rsidRPr="005C7810">
        <w:rPr>
          <w:rFonts w:ascii="Book Antiqua" w:eastAsia="等线" w:hAnsi="Book Antiqua" w:cs="Times New Roman"/>
          <w:kern w:val="2"/>
          <w:sz w:val="24"/>
          <w:szCs w:val="24"/>
          <w:lang w:val="en-US" w:eastAsia="zh-CN"/>
        </w:rPr>
        <w:t xml:space="preserve"> 2009; </w:t>
      </w:r>
      <w:r w:rsidRPr="005C7810">
        <w:rPr>
          <w:rFonts w:ascii="Book Antiqua" w:eastAsia="等线" w:hAnsi="Book Antiqua" w:cs="Times New Roman"/>
          <w:b/>
          <w:kern w:val="2"/>
          <w:sz w:val="24"/>
          <w:szCs w:val="24"/>
          <w:lang w:val="en-US" w:eastAsia="zh-CN"/>
        </w:rPr>
        <w:t>35</w:t>
      </w:r>
      <w:r w:rsidRPr="005C7810">
        <w:rPr>
          <w:rFonts w:ascii="Book Antiqua" w:eastAsia="等线" w:hAnsi="Book Antiqua" w:cs="Times New Roman"/>
          <w:kern w:val="2"/>
          <w:sz w:val="24"/>
          <w:szCs w:val="24"/>
          <w:lang w:val="en-US" w:eastAsia="zh-CN"/>
        </w:rPr>
        <w:t>: 1015-1023 [PMID: 19787255 DOI: 10.3892/ijo_00000416]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166 </w:t>
      </w:r>
      <w:r w:rsidRPr="005C7810">
        <w:rPr>
          <w:rFonts w:ascii="Book Antiqua" w:eastAsia="等线" w:hAnsi="Book Antiqua" w:cs="Times New Roman"/>
          <w:b/>
          <w:kern w:val="2"/>
          <w:sz w:val="24"/>
          <w:szCs w:val="24"/>
          <w:lang w:val="en-US" w:eastAsia="zh-CN"/>
        </w:rPr>
        <w:t>Lehmann S</w:t>
      </w:r>
      <w:r w:rsidRPr="005C7810">
        <w:rPr>
          <w:rFonts w:ascii="Book Antiqua" w:eastAsia="等线" w:hAnsi="Book Antiqua" w:cs="Times New Roman"/>
          <w:kern w:val="2"/>
          <w:sz w:val="24"/>
          <w:szCs w:val="24"/>
          <w:lang w:val="en-US" w:eastAsia="zh-CN"/>
        </w:rPr>
        <w:t xml:space="preserve">, Bykov VJ, Ali D, Andrén O, Cherif H, Tidefelt U, Uggla B, Yachnin J, Juliusson G, Moshfegh A, Paul C, Wiman KG, Andersson PO. Targeting p53 in vivo: a first-in-human study with p53-targeting compound APR-246 in refractory hematologic malignancies and prostate cancer.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30</w:t>
      </w:r>
      <w:r w:rsidRPr="005C7810">
        <w:rPr>
          <w:rFonts w:ascii="Book Antiqua" w:eastAsia="等线" w:hAnsi="Book Antiqua" w:cs="Times New Roman"/>
          <w:kern w:val="2"/>
          <w:sz w:val="24"/>
          <w:szCs w:val="24"/>
          <w:lang w:val="en-US" w:eastAsia="zh-CN"/>
        </w:rPr>
        <w:t>: 3633-3639 [PMID: 22965953 DOI: 10.1200/jco.2011.40.7783]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167 </w:t>
      </w:r>
      <w:r w:rsidRPr="005C7810">
        <w:rPr>
          <w:rFonts w:ascii="Book Antiqua" w:eastAsia="等线" w:hAnsi="Book Antiqua" w:cs="Times New Roman"/>
          <w:b/>
          <w:kern w:val="2"/>
          <w:sz w:val="24"/>
          <w:szCs w:val="24"/>
          <w:lang w:val="en-US" w:eastAsia="zh-CN"/>
        </w:rPr>
        <w:t>Lipton L,</w:t>
      </w:r>
      <w:r w:rsidRPr="005C7810">
        <w:rPr>
          <w:rFonts w:ascii="Book Antiqua" w:eastAsia="等线" w:hAnsi="Book Antiqua" w:cs="Times New Roman"/>
          <w:kern w:val="2"/>
          <w:sz w:val="24"/>
          <w:szCs w:val="24"/>
          <w:lang w:val="en-US" w:eastAsia="zh-CN"/>
        </w:rPr>
        <w:t xml:space="preserve"> King J. A study of APR-246 in oesophageal cancer (APROC). In: ClinicalTrials.gov [Internet]. Bethesda (MD): U.S. National Library of Medicine. Available from: https//clinicaltrials.gov/show/NCT02999893 ClinicalTrials.gov Identifier: NCT02999893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168 </w:t>
      </w:r>
      <w:r w:rsidRPr="005C7810">
        <w:rPr>
          <w:rFonts w:ascii="Book Antiqua" w:eastAsia="等线" w:hAnsi="Book Antiqua" w:cs="Times New Roman"/>
          <w:b/>
          <w:kern w:val="2"/>
          <w:sz w:val="24"/>
          <w:szCs w:val="24"/>
          <w:lang w:val="en-US" w:eastAsia="zh-CN"/>
        </w:rPr>
        <w:t>Kastan MB</w:t>
      </w:r>
      <w:r w:rsidRPr="005C7810">
        <w:rPr>
          <w:rFonts w:ascii="Book Antiqua" w:eastAsia="等线" w:hAnsi="Book Antiqua" w:cs="Times New Roman"/>
          <w:kern w:val="2"/>
          <w:sz w:val="24"/>
          <w:szCs w:val="24"/>
          <w:lang w:val="en-US" w:eastAsia="zh-CN"/>
        </w:rPr>
        <w:t xml:space="preserve">, Bartek J. Cell-cycle checkpoints and cancer. </w:t>
      </w:r>
      <w:r w:rsidRPr="005C7810">
        <w:rPr>
          <w:rFonts w:ascii="Book Antiqua" w:eastAsia="等线" w:hAnsi="Book Antiqua" w:cs="Times New Roman"/>
          <w:i/>
          <w:kern w:val="2"/>
          <w:sz w:val="24"/>
          <w:szCs w:val="24"/>
          <w:lang w:val="en-US" w:eastAsia="zh-CN"/>
        </w:rPr>
        <w:t>Nature</w:t>
      </w:r>
      <w:r w:rsidRPr="005C7810">
        <w:rPr>
          <w:rFonts w:ascii="Book Antiqua" w:eastAsia="等线" w:hAnsi="Book Antiqua" w:cs="Times New Roman"/>
          <w:kern w:val="2"/>
          <w:sz w:val="24"/>
          <w:szCs w:val="24"/>
          <w:lang w:val="en-US" w:eastAsia="zh-CN"/>
        </w:rPr>
        <w:t xml:space="preserve"> 2004; </w:t>
      </w:r>
      <w:r w:rsidRPr="005C7810">
        <w:rPr>
          <w:rFonts w:ascii="Book Antiqua" w:eastAsia="等线" w:hAnsi="Book Antiqua" w:cs="Times New Roman"/>
          <w:b/>
          <w:kern w:val="2"/>
          <w:sz w:val="24"/>
          <w:szCs w:val="24"/>
          <w:lang w:val="en-US" w:eastAsia="zh-CN"/>
        </w:rPr>
        <w:t>432</w:t>
      </w:r>
      <w:r w:rsidRPr="005C7810">
        <w:rPr>
          <w:rFonts w:ascii="Book Antiqua" w:eastAsia="等线" w:hAnsi="Book Antiqua" w:cs="Times New Roman"/>
          <w:kern w:val="2"/>
          <w:sz w:val="24"/>
          <w:szCs w:val="24"/>
          <w:lang w:val="en-US" w:eastAsia="zh-CN"/>
        </w:rPr>
        <w:t>: 316-323 [PMID: 15549093 DOI: 10.1038/nature03097]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169 </w:t>
      </w:r>
      <w:r w:rsidRPr="005C7810">
        <w:rPr>
          <w:rFonts w:ascii="Book Antiqua" w:eastAsia="等线" w:hAnsi="Book Antiqua" w:cs="Times New Roman"/>
          <w:b/>
          <w:kern w:val="2"/>
          <w:sz w:val="24"/>
          <w:szCs w:val="24"/>
          <w:lang w:val="en-US" w:eastAsia="zh-CN"/>
        </w:rPr>
        <w:t>Ahn YJ,</w:t>
      </w:r>
      <w:r w:rsidRPr="005C7810">
        <w:rPr>
          <w:rFonts w:ascii="Book Antiqua" w:eastAsia="等线" w:hAnsi="Book Antiqua" w:cs="Times New Roman"/>
          <w:kern w:val="2"/>
          <w:sz w:val="24"/>
          <w:szCs w:val="24"/>
          <w:lang w:val="en-US" w:eastAsia="zh-CN"/>
        </w:rPr>
        <w:t xml:space="preserve"> Lee J. Study of AZD1775 in combination with paclitaxel, in advanced gastric adenocarcinoma patients harboring TP53 mutation as a second-line chemotherapy. In: ClinicalTrials.gov [Internet]. Bethesda (MD): U.S. National Library of Medicine. Available from: https//clinicaltrials.gov/show/NCT02448329 ClinicalTrials.gov Identifier: NCT02448329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170 </w:t>
      </w:r>
      <w:r w:rsidRPr="005C7810">
        <w:rPr>
          <w:rFonts w:ascii="Book Antiqua" w:eastAsia="等线" w:hAnsi="Book Antiqua" w:cs="Times New Roman"/>
          <w:b/>
          <w:bCs/>
          <w:kern w:val="2"/>
          <w:sz w:val="24"/>
          <w:szCs w:val="24"/>
          <w:lang w:val="en-US" w:eastAsia="zh-CN"/>
        </w:rPr>
        <w:t>Novartis Pharmaceuticals</w:t>
      </w:r>
      <w:r w:rsidRPr="005C7810">
        <w:rPr>
          <w:rFonts w:ascii="Book Antiqua" w:eastAsia="等线" w:hAnsi="Book Antiqua" w:cs="Times New Roman"/>
          <w:kern w:val="2"/>
          <w:sz w:val="24"/>
          <w:szCs w:val="24"/>
          <w:lang w:val="en-US" w:eastAsia="zh-CN"/>
        </w:rPr>
        <w:t>. Study to determine and evaluate a safe and tolerated dose of HDM201 in patients with selected advanced tumors that are TP53 wt. In: ClinicalTrials.gov [Internet]. Bethesda (MD): U.S. National Library of Medicine. Available from: https//clinicaltrials.gov/show/NCT02143635 ClinicalTrials.gov Identifier: NCT02143635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171 </w:t>
      </w:r>
      <w:r w:rsidRPr="005C7810">
        <w:rPr>
          <w:rFonts w:ascii="Book Antiqua" w:eastAsia="等线" w:hAnsi="Book Antiqua" w:cs="Times New Roman"/>
          <w:b/>
          <w:kern w:val="2"/>
          <w:sz w:val="24"/>
          <w:szCs w:val="24"/>
          <w:lang w:val="en-US" w:eastAsia="zh-CN"/>
        </w:rPr>
        <w:t>Underhill C</w:t>
      </w:r>
      <w:r w:rsidRPr="005C7810">
        <w:rPr>
          <w:rFonts w:ascii="Book Antiqua" w:eastAsia="等线" w:hAnsi="Book Antiqua" w:cs="Times New Roman"/>
          <w:kern w:val="2"/>
          <w:sz w:val="24"/>
          <w:szCs w:val="24"/>
          <w:lang w:val="en-US" w:eastAsia="zh-CN"/>
        </w:rPr>
        <w:t xml:space="preserve">, Toulmonde M, Bonnefoi H. A review of PARP inhibitors: from bench to bedside.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22</w:t>
      </w:r>
      <w:r w:rsidRPr="005C7810">
        <w:rPr>
          <w:rFonts w:ascii="Book Antiqua" w:eastAsia="等线" w:hAnsi="Book Antiqua" w:cs="Times New Roman"/>
          <w:kern w:val="2"/>
          <w:sz w:val="24"/>
          <w:szCs w:val="24"/>
          <w:lang w:val="en-US" w:eastAsia="zh-CN"/>
        </w:rPr>
        <w:t>: 268-279 [PMID: 20643861 DOI: 10.1093/annonc/mdq322]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172 </w:t>
      </w:r>
      <w:r w:rsidRPr="005C7810">
        <w:rPr>
          <w:rFonts w:ascii="Book Antiqua" w:eastAsia="等线" w:hAnsi="Book Antiqua" w:cs="Times New Roman"/>
          <w:b/>
          <w:kern w:val="2"/>
          <w:sz w:val="24"/>
          <w:szCs w:val="24"/>
          <w:lang w:val="en-US" w:eastAsia="zh-CN"/>
        </w:rPr>
        <w:t>Kubota E</w:t>
      </w:r>
      <w:r w:rsidRPr="005C7810">
        <w:rPr>
          <w:rFonts w:ascii="Book Antiqua" w:eastAsia="等线" w:hAnsi="Book Antiqua" w:cs="Times New Roman"/>
          <w:kern w:val="2"/>
          <w:sz w:val="24"/>
          <w:szCs w:val="24"/>
          <w:lang w:val="en-US" w:eastAsia="zh-CN"/>
        </w:rPr>
        <w:t xml:space="preserve">, Williamson CT, Ye R, Elegbede A, Peterson L, Lees-Miller SP, Bebb DG. Low ATM protein expression and depletion of p53 correlates with olaparib sensitivity in gastric cancer cell lines. </w:t>
      </w:r>
      <w:r w:rsidRPr="005C7810">
        <w:rPr>
          <w:rFonts w:ascii="Book Antiqua" w:eastAsia="等线" w:hAnsi="Book Antiqua" w:cs="Times New Roman"/>
          <w:i/>
          <w:kern w:val="2"/>
          <w:sz w:val="24"/>
          <w:szCs w:val="24"/>
          <w:lang w:val="en-US" w:eastAsia="zh-CN"/>
        </w:rPr>
        <w:t>Cell Cycle</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kern w:val="2"/>
          <w:sz w:val="24"/>
          <w:szCs w:val="24"/>
          <w:lang w:val="en-US" w:eastAsia="zh-CN"/>
        </w:rPr>
        <w:t>13</w:t>
      </w:r>
      <w:r w:rsidRPr="005C7810">
        <w:rPr>
          <w:rFonts w:ascii="Book Antiqua" w:eastAsia="等线" w:hAnsi="Book Antiqua" w:cs="Times New Roman"/>
          <w:kern w:val="2"/>
          <w:sz w:val="24"/>
          <w:szCs w:val="24"/>
          <w:lang w:val="en-US" w:eastAsia="zh-CN"/>
        </w:rPr>
        <w:t>: 2129-2137 [PMID: 24841718 DOI: 10.4161/cc.29212]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173 </w:t>
      </w:r>
      <w:r w:rsidRPr="005C7810">
        <w:rPr>
          <w:rFonts w:ascii="Book Antiqua" w:eastAsia="等线" w:hAnsi="Book Antiqua" w:cs="Times New Roman"/>
          <w:b/>
          <w:bCs/>
          <w:kern w:val="2"/>
          <w:sz w:val="24"/>
          <w:szCs w:val="24"/>
          <w:lang w:val="en-US" w:eastAsia="zh-CN"/>
        </w:rPr>
        <w:t>Bang Y</w:t>
      </w:r>
      <w:r w:rsidRPr="005C7810">
        <w:rPr>
          <w:rFonts w:ascii="Book Antiqua" w:eastAsia="等线" w:hAnsi="Book Antiqua" w:cs="Times New Roman"/>
          <w:kern w:val="2"/>
          <w:sz w:val="24"/>
          <w:szCs w:val="24"/>
          <w:lang w:val="en-US" w:eastAsia="zh-CN"/>
        </w:rPr>
        <w:t>. Efficacy and safety study of olaparib in combination with paclitaxel to treat advanced gastric cancer. In: ClinicalTrials.gov [Internet]. Bethesda (MD): U.S. National Library of Medicine. Available from: https//clinicaltrials.gov/show/NCT01924533 ClinicalTrials.gov Identifier: NCT01924533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174 </w:t>
      </w:r>
      <w:r w:rsidRPr="005C7810">
        <w:rPr>
          <w:rFonts w:ascii="Book Antiqua" w:eastAsia="等线" w:hAnsi="Book Antiqua" w:cs="Times New Roman"/>
          <w:b/>
          <w:kern w:val="2"/>
          <w:sz w:val="24"/>
          <w:szCs w:val="24"/>
          <w:lang w:val="en-US" w:eastAsia="zh-CN"/>
        </w:rPr>
        <w:t>Bang YJ</w:t>
      </w:r>
      <w:r w:rsidRPr="005C7810">
        <w:rPr>
          <w:rFonts w:ascii="Book Antiqua" w:eastAsia="等线" w:hAnsi="Book Antiqua" w:cs="Times New Roman"/>
          <w:kern w:val="2"/>
          <w:sz w:val="24"/>
          <w:szCs w:val="24"/>
          <w:lang w:val="en-US" w:eastAsia="zh-CN"/>
        </w:rPr>
        <w:t xml:space="preserve">, Im SA, Lee KW, Cho JY, Song EK, Lee KH, Kim YH, Park JO, Chun HG, Zang DY, Fielding A, Rowbottom J, Hodgson D, O'Connor MJ, Yin X, Kim WH. Randomized, Double-Blind Phase II Trial With Prospective Classification by ATM Protein Level to Evaluate the Efficacy and Tolerability of Olaparib Plus Paclitaxel in Patients With Recurrent or Metastatic Gastric Cancer.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33</w:t>
      </w:r>
      <w:r w:rsidRPr="005C7810">
        <w:rPr>
          <w:rFonts w:ascii="Book Antiqua" w:eastAsia="等线" w:hAnsi="Book Antiqua" w:cs="Times New Roman"/>
          <w:kern w:val="2"/>
          <w:sz w:val="24"/>
          <w:szCs w:val="24"/>
          <w:lang w:val="en-US" w:eastAsia="zh-CN"/>
        </w:rPr>
        <w:t>: 3858-3865 [PMID: 26282658 DOI: 10.1200/JCO.2014.60.0320]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175 </w:t>
      </w:r>
      <w:r w:rsidRPr="005C7810">
        <w:rPr>
          <w:rFonts w:ascii="Book Antiqua" w:eastAsia="等线" w:hAnsi="Book Antiqua" w:cs="Times New Roman"/>
          <w:b/>
          <w:kern w:val="2"/>
          <w:sz w:val="24"/>
          <w:szCs w:val="24"/>
          <w:lang w:val="en-US" w:eastAsia="zh-CN"/>
        </w:rPr>
        <w:t>Bang YJ</w:t>
      </w:r>
      <w:r w:rsidRPr="005C7810">
        <w:rPr>
          <w:rFonts w:ascii="Book Antiqua" w:eastAsia="等线" w:hAnsi="Book Antiqua" w:cs="Times New Roman"/>
          <w:kern w:val="2"/>
          <w:sz w:val="24"/>
          <w:szCs w:val="24"/>
          <w:lang w:val="en-US" w:eastAsia="zh-CN"/>
        </w:rPr>
        <w:t xml:space="preserve">, Xu RH, Chin K, Lee KW, Park SH, Rha SY, Shen L, Qin S, Xu N, Im SA, Locker G, Rowe P, Shi X, Hodgson D, Liu YZ, Boku N. Olaparib in combination with paclitaxel in patients with advanced gastric cancer who have progressed following first-line therapy (GOLD): a double-blind, randomised, placebo-controlled, phase 3 trial.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18</w:t>
      </w:r>
      <w:r w:rsidRPr="005C7810">
        <w:rPr>
          <w:rFonts w:ascii="Book Antiqua" w:eastAsia="等线" w:hAnsi="Book Antiqua" w:cs="Times New Roman"/>
          <w:kern w:val="2"/>
          <w:sz w:val="24"/>
          <w:szCs w:val="24"/>
          <w:lang w:val="en-US" w:eastAsia="zh-CN"/>
        </w:rPr>
        <w:t>: 1637-1651 [PMID: 29103871 DOI: 10.1016/S1470-2045(17)30682-4]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176 </w:t>
      </w:r>
      <w:r w:rsidRPr="005C7810">
        <w:rPr>
          <w:rFonts w:ascii="Book Antiqua" w:eastAsia="等线" w:hAnsi="Book Antiqua" w:cs="Times New Roman"/>
          <w:b/>
          <w:kern w:val="2"/>
          <w:sz w:val="24"/>
          <w:szCs w:val="24"/>
          <w:lang w:val="en-US" w:eastAsia="zh-CN"/>
        </w:rPr>
        <w:t>Smyth E</w:t>
      </w:r>
      <w:r w:rsidRPr="005C7810">
        <w:rPr>
          <w:rFonts w:ascii="Book Antiqua" w:eastAsia="等线" w:hAnsi="Book Antiqua" w:cs="Times New Roman"/>
          <w:kern w:val="2"/>
          <w:sz w:val="24"/>
          <w:szCs w:val="24"/>
          <w:lang w:val="en-US" w:eastAsia="zh-CN"/>
        </w:rPr>
        <w:t xml:space="preserve">. Missing a GOLDen opportunity in gastric cancer.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18</w:t>
      </w:r>
      <w:r w:rsidRPr="005C7810">
        <w:rPr>
          <w:rFonts w:ascii="Book Antiqua" w:eastAsia="等线" w:hAnsi="Book Antiqua" w:cs="Times New Roman"/>
          <w:kern w:val="2"/>
          <w:sz w:val="24"/>
          <w:szCs w:val="24"/>
          <w:lang w:val="en-US" w:eastAsia="zh-CN"/>
        </w:rPr>
        <w:t>: 1561-1563 [PMID: 29103869 DOI: 10.1016/s1470-2045(17)30719-2]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177 </w:t>
      </w:r>
      <w:r w:rsidRPr="005C7810">
        <w:rPr>
          <w:rFonts w:ascii="Book Antiqua" w:eastAsia="等线" w:hAnsi="Book Antiqua" w:cs="Times New Roman"/>
          <w:b/>
          <w:kern w:val="2"/>
          <w:sz w:val="24"/>
          <w:szCs w:val="24"/>
          <w:lang w:val="en-US" w:eastAsia="zh-CN"/>
        </w:rPr>
        <w:t>Bang YJ</w:t>
      </w:r>
      <w:r w:rsidRPr="005C7810">
        <w:rPr>
          <w:rFonts w:ascii="Book Antiqua" w:eastAsia="等线" w:hAnsi="Book Antiqua" w:cs="Times New Roman"/>
          <w:kern w:val="2"/>
          <w:sz w:val="24"/>
          <w:szCs w:val="24"/>
          <w:lang w:val="en-US" w:eastAsia="zh-CN"/>
        </w:rPr>
        <w:t xml:space="preserve">. Use of olaparib in patients with advanced gastric cancer - Authors' reply. </w:t>
      </w:r>
      <w:r w:rsidRPr="005C7810">
        <w:rPr>
          <w:rFonts w:ascii="Book Antiqua" w:eastAsia="等线" w:hAnsi="Book Antiqua" w:cs="Times New Roman"/>
          <w:i/>
          <w:kern w:val="2"/>
          <w:sz w:val="24"/>
          <w:szCs w:val="24"/>
          <w:lang w:val="en-US" w:eastAsia="zh-CN"/>
        </w:rPr>
        <w:t>Lancet Oncol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19</w:t>
      </w:r>
      <w:r w:rsidRPr="005C7810">
        <w:rPr>
          <w:rFonts w:ascii="Book Antiqua" w:eastAsia="等线" w:hAnsi="Book Antiqua" w:cs="Times New Roman"/>
          <w:kern w:val="2"/>
          <w:sz w:val="24"/>
          <w:szCs w:val="24"/>
          <w:lang w:val="en-US" w:eastAsia="zh-CN"/>
        </w:rPr>
        <w:t>: e76 [PMID: 29413477 DOI: 10.1016/s1470-2045(18)30030-5]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178 </w:t>
      </w:r>
      <w:r w:rsidRPr="005C7810">
        <w:rPr>
          <w:rFonts w:ascii="Book Antiqua" w:eastAsia="等线" w:hAnsi="Book Antiqua" w:cs="Times New Roman"/>
          <w:b/>
          <w:bCs/>
          <w:kern w:val="2"/>
          <w:sz w:val="24"/>
          <w:szCs w:val="24"/>
          <w:lang w:val="en-US" w:eastAsia="zh-CN"/>
        </w:rPr>
        <w:t>Cecchini M</w:t>
      </w:r>
      <w:r w:rsidRPr="005C7810">
        <w:rPr>
          <w:rFonts w:ascii="Book Antiqua" w:eastAsia="等线" w:hAnsi="Book Antiqua" w:cs="Times New Roman"/>
          <w:kern w:val="2"/>
          <w:sz w:val="24"/>
          <w:szCs w:val="24"/>
          <w:lang w:val="en-US" w:eastAsia="zh-CN"/>
        </w:rPr>
        <w:t>. Olaparib and ramucirumab in treating patients with metastatic or locally recurrent gastric or gastroesophageal junction cancer that cannot be removed by surgery. In: ClinicalTrials.gov [Internet]. Bethesda (MD): U.S. National Library of Medicine. Available from: https//clinicaltrials.gov/show/ NCT03008278 ClinicalTrials.gov Identifier: NCT03008278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179 </w:t>
      </w:r>
      <w:r w:rsidRPr="005C7810">
        <w:rPr>
          <w:rFonts w:ascii="Book Antiqua" w:eastAsia="等线" w:hAnsi="Book Antiqua" w:cs="Times New Roman"/>
          <w:b/>
          <w:kern w:val="2"/>
          <w:sz w:val="24"/>
          <w:szCs w:val="24"/>
          <w:lang w:val="en-US" w:eastAsia="zh-CN"/>
        </w:rPr>
        <w:t>Berlin J</w:t>
      </w:r>
      <w:r w:rsidRPr="005C7810">
        <w:rPr>
          <w:rFonts w:ascii="Book Antiqua" w:eastAsia="等线" w:hAnsi="Book Antiqua" w:cs="Times New Roman"/>
          <w:kern w:val="2"/>
          <w:sz w:val="24"/>
          <w:szCs w:val="24"/>
          <w:lang w:val="en-US" w:eastAsia="zh-CN"/>
        </w:rPr>
        <w:t xml:space="preserve">, Ramanathan RK, Strickler JH, Subramaniam DS, Marshall J, Kang YK, Hetman R, Dudley MW, Zeng J, Nickner C, Xiong H, Komarnitsky P, Shepherd SP, Hurwitz H, Lenz HJ. A phase 1 dose-escalation study of veliparib with bimonthly FOLFIRI in patients with advanced solid tumours. </w:t>
      </w:r>
      <w:r w:rsidRPr="005C7810">
        <w:rPr>
          <w:rFonts w:ascii="Book Antiqua" w:eastAsia="等线" w:hAnsi="Book Antiqua" w:cs="Times New Roman"/>
          <w:i/>
          <w:kern w:val="2"/>
          <w:sz w:val="24"/>
          <w:szCs w:val="24"/>
          <w:lang w:val="en-US" w:eastAsia="zh-CN"/>
        </w:rPr>
        <w:t>Br J Cancer</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118</w:t>
      </w:r>
      <w:r w:rsidRPr="005C7810">
        <w:rPr>
          <w:rFonts w:ascii="Book Antiqua" w:eastAsia="等线" w:hAnsi="Book Antiqua" w:cs="Times New Roman"/>
          <w:kern w:val="2"/>
          <w:sz w:val="24"/>
          <w:szCs w:val="24"/>
          <w:lang w:val="en-US" w:eastAsia="zh-CN"/>
        </w:rPr>
        <w:t>: 938-946 [PMID: 29527010 DOI: 10.1038/s41416-018-0003-3]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180 </w:t>
      </w:r>
      <w:r w:rsidRPr="005C7810">
        <w:rPr>
          <w:rFonts w:ascii="Book Antiqua" w:eastAsia="等线" w:hAnsi="Book Antiqua" w:cs="Times New Roman"/>
          <w:b/>
          <w:kern w:val="2"/>
          <w:sz w:val="24"/>
          <w:szCs w:val="24"/>
          <w:lang w:val="en-US" w:eastAsia="zh-CN"/>
        </w:rPr>
        <w:t>Fashoyin-Aje L</w:t>
      </w:r>
      <w:r w:rsidRPr="005C7810">
        <w:rPr>
          <w:rFonts w:ascii="Book Antiqua" w:eastAsia="等线" w:hAnsi="Book Antiqua" w:cs="Times New Roman"/>
          <w:kern w:val="2"/>
          <w:sz w:val="24"/>
          <w:szCs w:val="24"/>
          <w:lang w:val="en-US" w:eastAsia="zh-CN"/>
        </w:rPr>
        <w:t xml:space="preserve">, Donoghue M, Chen H, He K, Veeraraghavan J, Goldberg KB, Keegan P, McKee AE, Pazdur R. FDA Approval Summary: Pembrolizumab for Recurrent Locally Advanced or Metastatic Gastric or Gastroesophageal Junction Adenocarcinoma Expressing PD-L1. </w:t>
      </w:r>
      <w:r w:rsidRPr="005C7810">
        <w:rPr>
          <w:rFonts w:ascii="Book Antiqua" w:eastAsia="等线" w:hAnsi="Book Antiqua" w:cs="Times New Roman"/>
          <w:i/>
          <w:kern w:val="2"/>
          <w:sz w:val="24"/>
          <w:szCs w:val="24"/>
          <w:lang w:val="en-US" w:eastAsia="zh-CN"/>
        </w:rPr>
        <w:t>Oncologist</w:t>
      </w:r>
      <w:r w:rsidRPr="005C7810">
        <w:rPr>
          <w:rFonts w:ascii="Book Antiqua" w:eastAsia="等线" w:hAnsi="Book Antiqua" w:cs="Times New Roman"/>
          <w:kern w:val="2"/>
          <w:sz w:val="24"/>
          <w:szCs w:val="24"/>
          <w:lang w:val="en-US" w:eastAsia="zh-CN"/>
        </w:rPr>
        <w:t xml:space="preserve"> 2019; </w:t>
      </w:r>
      <w:r w:rsidRPr="005C7810">
        <w:rPr>
          <w:rFonts w:ascii="Book Antiqua" w:eastAsia="等线" w:hAnsi="Book Antiqua" w:cs="Times New Roman"/>
          <w:b/>
          <w:kern w:val="2"/>
          <w:sz w:val="24"/>
          <w:szCs w:val="24"/>
          <w:lang w:val="en-US" w:eastAsia="zh-CN"/>
        </w:rPr>
        <w:t>24</w:t>
      </w:r>
      <w:r w:rsidRPr="005C7810">
        <w:rPr>
          <w:rFonts w:ascii="Book Antiqua" w:eastAsia="等线" w:hAnsi="Book Antiqua" w:cs="Times New Roman"/>
          <w:kern w:val="2"/>
          <w:sz w:val="24"/>
          <w:szCs w:val="24"/>
          <w:lang w:val="en-US" w:eastAsia="zh-CN"/>
        </w:rPr>
        <w:t>: 103-109 [PMID: 30120163 DOI: 10.1634/theoncologist.2018-0221]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181 </w:t>
      </w:r>
      <w:r w:rsidRPr="005C7810">
        <w:rPr>
          <w:rFonts w:ascii="Book Antiqua" w:eastAsia="等线" w:hAnsi="Book Antiqua" w:cs="Times New Roman"/>
          <w:b/>
          <w:kern w:val="2"/>
          <w:sz w:val="24"/>
          <w:szCs w:val="24"/>
          <w:lang w:val="en-US" w:eastAsia="zh-CN"/>
        </w:rPr>
        <w:t>Fuchs CS</w:t>
      </w:r>
      <w:r w:rsidRPr="005C7810">
        <w:rPr>
          <w:rFonts w:ascii="Book Antiqua" w:eastAsia="等线" w:hAnsi="Book Antiqua" w:cs="Times New Roman"/>
          <w:kern w:val="2"/>
          <w:sz w:val="24"/>
          <w:szCs w:val="24"/>
          <w:lang w:val="en-US" w:eastAsia="zh-CN"/>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5C7810">
        <w:rPr>
          <w:rFonts w:ascii="Book Antiqua" w:eastAsia="等线" w:hAnsi="Book Antiqua" w:cs="Times New Roman"/>
          <w:i/>
          <w:kern w:val="2"/>
          <w:sz w:val="24"/>
          <w:szCs w:val="24"/>
          <w:lang w:val="en-US" w:eastAsia="zh-CN"/>
        </w:rPr>
        <w:t>JAMA Oncol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4</w:t>
      </w:r>
      <w:r w:rsidRPr="005C7810">
        <w:rPr>
          <w:rFonts w:ascii="Book Antiqua" w:eastAsia="等线" w:hAnsi="Book Antiqua" w:cs="Times New Roman"/>
          <w:kern w:val="2"/>
          <w:sz w:val="24"/>
          <w:szCs w:val="24"/>
          <w:lang w:val="en-US" w:eastAsia="zh-CN"/>
        </w:rPr>
        <w:t>: e180013 [PMID: 29543932 DOI: 10.1001/jamaoncol.2018.0013]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182 </w:t>
      </w:r>
      <w:r w:rsidRPr="005C7810">
        <w:rPr>
          <w:rFonts w:ascii="Book Antiqua" w:eastAsia="等线" w:hAnsi="Book Antiqua" w:cs="Times New Roman"/>
          <w:b/>
          <w:kern w:val="2"/>
          <w:sz w:val="24"/>
          <w:szCs w:val="24"/>
          <w:lang w:val="en-US" w:eastAsia="zh-CN"/>
        </w:rPr>
        <w:t>Ilson DH</w:t>
      </w:r>
      <w:r w:rsidRPr="005C7810">
        <w:rPr>
          <w:rFonts w:ascii="Book Antiqua" w:eastAsia="等线" w:hAnsi="Book Antiqua" w:cs="Times New Roman"/>
          <w:kern w:val="2"/>
          <w:sz w:val="24"/>
          <w:szCs w:val="24"/>
          <w:lang w:val="en-US" w:eastAsia="zh-CN"/>
        </w:rPr>
        <w:t xml:space="preserve">. Advances in the treatment of gastric cancer. </w:t>
      </w:r>
      <w:r w:rsidRPr="005C7810">
        <w:rPr>
          <w:rFonts w:ascii="Book Antiqua" w:eastAsia="等线" w:hAnsi="Book Antiqua" w:cs="Times New Roman"/>
          <w:i/>
          <w:kern w:val="2"/>
          <w:sz w:val="24"/>
          <w:szCs w:val="24"/>
          <w:lang w:val="en-US" w:eastAsia="zh-CN"/>
        </w:rPr>
        <w:t>Curr Opin Gastroenterol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34</w:t>
      </w:r>
      <w:r w:rsidRPr="005C7810">
        <w:rPr>
          <w:rFonts w:ascii="Book Antiqua" w:eastAsia="等线" w:hAnsi="Book Antiqua" w:cs="Times New Roman"/>
          <w:kern w:val="2"/>
          <w:sz w:val="24"/>
          <w:szCs w:val="24"/>
          <w:lang w:val="en-US" w:eastAsia="zh-CN"/>
        </w:rPr>
        <w:t>: 465-468 [PMID: 30303856 DOI: 101097/MOG.0000000000000475]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183 </w:t>
      </w:r>
      <w:r w:rsidRPr="005C7810">
        <w:rPr>
          <w:rFonts w:ascii="Book Antiqua" w:eastAsia="等线" w:hAnsi="Book Antiqua" w:cs="Times New Roman"/>
          <w:b/>
          <w:kern w:val="2"/>
          <w:sz w:val="24"/>
          <w:szCs w:val="24"/>
          <w:lang w:val="en-US" w:eastAsia="zh-CN"/>
        </w:rPr>
        <w:t>Shitara K</w:t>
      </w:r>
      <w:r w:rsidRPr="005C7810">
        <w:rPr>
          <w:rFonts w:ascii="Book Antiqua" w:eastAsia="等线" w:hAnsi="Book Antiqua" w:cs="Times New Roman"/>
          <w:kern w:val="2"/>
          <w:sz w:val="24"/>
          <w:szCs w:val="24"/>
          <w:lang w:val="en-US" w:eastAsia="zh-CN"/>
        </w:rPr>
        <w:t xml:space="preserve">, Özgüroğlu M, Bang YJ, Di Bartolomeo M, Mandalà M, Ryu MH, Fornaro L, Olesiński T, Caglevic C, Chung HC, Muro K, Goekkurt E, Mansoor W, McDermott RS, Shacham-Shmueli E, Chen X, Mayo C, Kang SP, Ohtsu A, Fuchs CS; KEYNOTE-061 investigators. Pembrolizumab versus paclitaxel for previously treated, advanced gastric or gastro-oesophageal junction cancer (KEYNOTE-061): a randomised, open-label, controlled, phase 3 trial. </w:t>
      </w:r>
      <w:r w:rsidRPr="005C7810">
        <w:rPr>
          <w:rFonts w:ascii="Book Antiqua" w:eastAsia="等线" w:hAnsi="Book Antiqua" w:cs="Times New Roman"/>
          <w:i/>
          <w:kern w:val="2"/>
          <w:sz w:val="24"/>
          <w:szCs w:val="24"/>
          <w:lang w:val="en-US" w:eastAsia="zh-CN"/>
        </w:rPr>
        <w:t>Lancet</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392</w:t>
      </w:r>
      <w:r w:rsidRPr="005C7810">
        <w:rPr>
          <w:rFonts w:ascii="Book Antiqua" w:eastAsia="等线" w:hAnsi="Book Antiqua" w:cs="Times New Roman"/>
          <w:kern w:val="2"/>
          <w:sz w:val="24"/>
          <w:szCs w:val="24"/>
          <w:lang w:val="en-US" w:eastAsia="zh-CN"/>
        </w:rPr>
        <w:t>: 123-133 [PMID: 29880231 DOI: 10.1016/s0140-6736(18)31257-1]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184 </w:t>
      </w:r>
      <w:r w:rsidRPr="005C7810">
        <w:rPr>
          <w:rFonts w:ascii="Book Antiqua" w:eastAsia="等线" w:hAnsi="Book Antiqua" w:cs="Times New Roman"/>
          <w:b/>
          <w:bCs/>
          <w:kern w:val="2"/>
          <w:sz w:val="24"/>
          <w:szCs w:val="24"/>
          <w:lang w:val="en-US" w:eastAsia="zh-CN"/>
        </w:rPr>
        <w:t>Merck Sharp Dohme Corp</w:t>
      </w:r>
      <w:r w:rsidRPr="005C7810">
        <w:rPr>
          <w:rFonts w:ascii="Book Antiqua" w:eastAsia="等线" w:hAnsi="Book Antiqua" w:cs="Times New Roman"/>
          <w:kern w:val="2"/>
          <w:sz w:val="24"/>
          <w:szCs w:val="24"/>
          <w:lang w:val="en-US" w:eastAsia="zh-CN"/>
        </w:rPr>
        <w:t>. Study of pembrolizumab (MK-3475) as first-line monotherapy and combination therapy for treatment of advanced gastric or gastroesophageal junction adenocarcinoma (MK-3475-062/KEYNOTE-062. In: ClinicalTrials.gov [Internet]. Bethesda (MD): U.S. National Library of Medicine. Available from: https//clinicaltrials.gov/show/NCT02494583 ClinicalTrials.gov Identifier: NCT02494583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185 </w:t>
      </w:r>
      <w:r w:rsidRPr="005C7810">
        <w:rPr>
          <w:rFonts w:ascii="Book Antiqua" w:eastAsia="等线" w:hAnsi="Book Antiqua" w:cs="Times New Roman"/>
          <w:b/>
          <w:bCs/>
          <w:kern w:val="2"/>
          <w:sz w:val="24"/>
          <w:szCs w:val="24"/>
          <w:lang w:val="en-US" w:eastAsia="zh-CN"/>
        </w:rPr>
        <w:t>Merck Sharp Dohme Corp</w:t>
      </w:r>
      <w:r w:rsidRPr="005C7810">
        <w:rPr>
          <w:rFonts w:ascii="Book Antiqua" w:eastAsia="等线" w:hAnsi="Book Antiqua" w:cs="Times New Roman"/>
          <w:kern w:val="2"/>
          <w:sz w:val="24"/>
          <w:szCs w:val="24"/>
          <w:lang w:val="en-US" w:eastAsia="zh-CN"/>
        </w:rPr>
        <w:t>. Pembrolizumab (MK-3475) plus chemotherapy versus placebo plus chemotherapy in participants gastric or gastroesophageal junction (GEJ) adenocarcinoma (MK-3475-859/KEYNOTE-859). In: ClinicalTrials.gov [Internet]. Bethesda (MD): U.S. National Library of Medicine. Available from: https//clinicaltrials.gov/show/NCT03675737 ClinicalTrials.gov Identifier: NCT03675737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186 </w:t>
      </w:r>
      <w:r w:rsidRPr="005C7810">
        <w:rPr>
          <w:rFonts w:ascii="Book Antiqua" w:eastAsia="等线" w:hAnsi="Book Antiqua" w:cs="Times New Roman"/>
          <w:b/>
          <w:kern w:val="2"/>
          <w:sz w:val="24"/>
          <w:szCs w:val="24"/>
          <w:lang w:val="en-US" w:eastAsia="zh-CN"/>
        </w:rPr>
        <w:t>Janjigian YY,</w:t>
      </w:r>
      <w:r w:rsidRPr="005C7810">
        <w:rPr>
          <w:rFonts w:ascii="Book Antiqua" w:eastAsia="等线" w:hAnsi="Book Antiqua" w:cs="Times New Roman"/>
          <w:kern w:val="2"/>
          <w:sz w:val="24"/>
          <w:szCs w:val="24"/>
          <w:lang w:val="en-US" w:eastAsia="zh-CN"/>
        </w:rPr>
        <w:t xml:space="preserve"> Chou JF, Simmons M, Momtaz P, Sanchez-Vega F, Shcherba M, Ku GY, Won E, Chong CR, Gerdes H, Kelsen DP, Ilson DH, Aljallad K, Segal MF, Millang BM, Schultz N, Shah PM, Solit DB, Capanu M, Frances J. First-line pembrolizumab (P), trastuzumab (T), capecitabine (C) and oxaliplatin (O) in HER2-positive metastatic esophagogastric adenocarcinoma (mEGA). </w:t>
      </w:r>
      <w:r w:rsidRPr="005C7810">
        <w:rPr>
          <w:rFonts w:ascii="Book Antiqua" w:eastAsia="等线" w:hAnsi="Book Antiqua" w:cs="Times New Roman"/>
          <w:i/>
          <w:iCs/>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2019; </w:t>
      </w:r>
      <w:r w:rsidRPr="005C7810">
        <w:rPr>
          <w:rFonts w:ascii="Book Antiqua" w:eastAsia="等线" w:hAnsi="Book Antiqua" w:cs="Times New Roman"/>
          <w:b/>
          <w:bCs/>
          <w:kern w:val="2"/>
          <w:sz w:val="24"/>
          <w:szCs w:val="24"/>
          <w:lang w:val="en-US" w:eastAsia="zh-CN"/>
        </w:rPr>
        <w:t>37</w:t>
      </w:r>
      <w:r w:rsidRPr="005C7810">
        <w:rPr>
          <w:rFonts w:ascii="Book Antiqua" w:eastAsia="等线" w:hAnsi="Book Antiqua" w:cs="Times New Roman"/>
          <w:kern w:val="2"/>
          <w:sz w:val="24"/>
          <w:szCs w:val="24"/>
          <w:lang w:val="en-US" w:eastAsia="zh-CN"/>
        </w:rPr>
        <w:t>: 62-62 [DOI: 10.1200/JCO.2019.37.4_suppl.62]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187 </w:t>
      </w:r>
      <w:r w:rsidRPr="005C7810">
        <w:rPr>
          <w:rFonts w:ascii="Book Antiqua" w:eastAsia="等线" w:hAnsi="Book Antiqua" w:cs="Times New Roman"/>
          <w:b/>
          <w:kern w:val="2"/>
          <w:sz w:val="24"/>
          <w:szCs w:val="24"/>
          <w:lang w:val="en-US" w:eastAsia="zh-CN"/>
        </w:rPr>
        <w:t>Kang YK</w:t>
      </w:r>
      <w:r w:rsidRPr="005C7810">
        <w:rPr>
          <w:rFonts w:ascii="Book Antiqua" w:eastAsia="等线" w:hAnsi="Book Antiqua" w:cs="Times New Roman"/>
          <w:kern w:val="2"/>
          <w:sz w:val="24"/>
          <w:szCs w:val="24"/>
          <w:lang w:val="en-US" w:eastAsia="zh-CN"/>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5C7810">
        <w:rPr>
          <w:rFonts w:ascii="Book Antiqua" w:eastAsia="等线" w:hAnsi="Book Antiqua" w:cs="Times New Roman"/>
          <w:i/>
          <w:kern w:val="2"/>
          <w:sz w:val="24"/>
          <w:szCs w:val="24"/>
          <w:lang w:val="en-US" w:eastAsia="zh-CN"/>
        </w:rPr>
        <w:t>Lancet</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390</w:t>
      </w:r>
      <w:r w:rsidRPr="005C7810">
        <w:rPr>
          <w:rFonts w:ascii="Book Antiqua" w:eastAsia="等线" w:hAnsi="Book Antiqua" w:cs="Times New Roman"/>
          <w:kern w:val="2"/>
          <w:sz w:val="24"/>
          <w:szCs w:val="24"/>
          <w:lang w:val="en-US" w:eastAsia="zh-CN"/>
        </w:rPr>
        <w:t>: 2461-2471 [PMID: 28993052 DOI: 10.1016/S0140-6736(17)31827-5]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188 </w:t>
      </w:r>
      <w:r w:rsidRPr="005C7810">
        <w:rPr>
          <w:rFonts w:ascii="Book Antiqua" w:eastAsia="等线" w:hAnsi="Book Antiqua" w:cs="Times New Roman"/>
          <w:b/>
          <w:kern w:val="2"/>
          <w:sz w:val="24"/>
          <w:szCs w:val="24"/>
          <w:lang w:val="en-US" w:eastAsia="zh-CN"/>
        </w:rPr>
        <w:t>Wang Y</w:t>
      </w:r>
      <w:r w:rsidRPr="005C7810">
        <w:rPr>
          <w:rFonts w:ascii="Book Antiqua" w:eastAsia="等线" w:hAnsi="Book Antiqua" w:cs="Times New Roman"/>
          <w:kern w:val="2"/>
          <w:sz w:val="24"/>
          <w:szCs w:val="24"/>
          <w:lang w:val="en-US" w:eastAsia="zh-CN"/>
        </w:rPr>
        <w:t xml:space="preserve">, Asaka T, Zatsiorsky VM, Latash ML. Muscle synergies during voluntary body sway: combining across-trials and within-a-trial analyses. </w:t>
      </w:r>
      <w:r w:rsidRPr="005C7810">
        <w:rPr>
          <w:rFonts w:ascii="Book Antiqua" w:eastAsia="等线" w:hAnsi="Book Antiqua" w:cs="Times New Roman"/>
          <w:i/>
          <w:kern w:val="2"/>
          <w:sz w:val="24"/>
          <w:szCs w:val="24"/>
          <w:lang w:val="en-US" w:eastAsia="zh-CN"/>
        </w:rPr>
        <w:t>Exp Brain Res</w:t>
      </w:r>
      <w:r w:rsidRPr="005C7810">
        <w:rPr>
          <w:rFonts w:ascii="Book Antiqua" w:eastAsia="等线" w:hAnsi="Book Antiqua" w:cs="Times New Roman"/>
          <w:kern w:val="2"/>
          <w:sz w:val="24"/>
          <w:szCs w:val="24"/>
          <w:lang w:val="en-US" w:eastAsia="zh-CN"/>
        </w:rPr>
        <w:t xml:space="preserve"> 2006; </w:t>
      </w:r>
      <w:r w:rsidRPr="005C7810">
        <w:rPr>
          <w:rFonts w:ascii="Book Antiqua" w:eastAsia="等线" w:hAnsi="Book Antiqua" w:cs="Times New Roman"/>
          <w:b/>
          <w:kern w:val="2"/>
          <w:sz w:val="24"/>
          <w:szCs w:val="24"/>
          <w:lang w:val="en-US" w:eastAsia="zh-CN"/>
        </w:rPr>
        <w:t>174</w:t>
      </w:r>
      <w:r w:rsidRPr="005C7810">
        <w:rPr>
          <w:rFonts w:ascii="Book Antiqua" w:eastAsia="等线" w:hAnsi="Book Antiqua" w:cs="Times New Roman"/>
          <w:kern w:val="2"/>
          <w:sz w:val="24"/>
          <w:szCs w:val="24"/>
          <w:lang w:val="en-US" w:eastAsia="zh-CN"/>
        </w:rPr>
        <w:t>: 679-693 [PMID: 16710681 DOI: 10.1093/annonc/mdx369.159]</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189 </w:t>
      </w:r>
      <w:r w:rsidRPr="005C7810">
        <w:rPr>
          <w:rFonts w:ascii="Book Antiqua" w:eastAsia="等线" w:hAnsi="Book Antiqua" w:cs="Times New Roman"/>
          <w:b/>
          <w:kern w:val="2"/>
          <w:sz w:val="24"/>
          <w:szCs w:val="24"/>
          <w:lang w:val="en-US" w:eastAsia="zh-CN"/>
        </w:rPr>
        <w:t>Janjigian YY</w:t>
      </w:r>
      <w:r w:rsidRPr="005C7810">
        <w:rPr>
          <w:rFonts w:ascii="Book Antiqua" w:eastAsia="等线" w:hAnsi="Book Antiqua" w:cs="Times New Roman"/>
          <w:kern w:val="2"/>
          <w:sz w:val="24"/>
          <w:szCs w:val="24"/>
          <w:lang w:val="en-US" w:eastAsia="zh-CN"/>
        </w:rPr>
        <w:t xml:space="preserve">, Bendell J, Calvo E, Kim JW, Ascierto PA, Sharma P, Ott PA, Peltola K, Jaeger D, Evans J, de Braud F, Chau I, Harbison CT, Dorange C, Tschaika M, Le DT. CheckMate-032 Study: Efficacy and Safety of Nivolumab and Nivolumab Plus Ipilimumab in Patients With Metastatic Esophagogastric Cancer. </w:t>
      </w:r>
      <w:r w:rsidRPr="005C7810">
        <w:rPr>
          <w:rFonts w:ascii="Book Antiqua" w:eastAsia="等线" w:hAnsi="Book Antiqua" w:cs="Times New Roman"/>
          <w:i/>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36</w:t>
      </w:r>
      <w:r w:rsidRPr="005C7810">
        <w:rPr>
          <w:rFonts w:ascii="Book Antiqua" w:eastAsia="等线" w:hAnsi="Book Antiqua" w:cs="Times New Roman"/>
          <w:kern w:val="2"/>
          <w:sz w:val="24"/>
          <w:szCs w:val="24"/>
          <w:lang w:val="en-US" w:eastAsia="zh-CN"/>
        </w:rPr>
        <w:t>: 2836-2844 [PMID: 30110194 DOI: 10.1200/JCO.2017.76.6212]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190 </w:t>
      </w:r>
      <w:r w:rsidRPr="005C7810">
        <w:rPr>
          <w:rFonts w:ascii="Book Antiqua" w:eastAsia="等线" w:hAnsi="Book Antiqua" w:cs="Times New Roman"/>
          <w:b/>
          <w:kern w:val="2"/>
          <w:sz w:val="24"/>
          <w:szCs w:val="24"/>
          <w:lang w:val="en-US" w:eastAsia="zh-CN"/>
        </w:rPr>
        <w:t>Janjian YY,</w:t>
      </w:r>
      <w:r w:rsidRPr="005C7810">
        <w:rPr>
          <w:rFonts w:ascii="Book Antiqua" w:eastAsia="等线" w:hAnsi="Book Antiqua" w:cs="Times New Roman"/>
          <w:kern w:val="2"/>
          <w:sz w:val="24"/>
          <w:szCs w:val="24"/>
          <w:lang w:val="en-US" w:eastAsia="zh-CN"/>
        </w:rPr>
        <w:t xml:space="preserve"> Adenis A, Aucoin JS, Barone C, Boku N, Chau I, Cleary JM, Feeney K, Franke FA, Moehler M, Roca EL, Schenker M, Li M, Ajani JA. Checkmate 649: A randomized, multicenter, open-label, phase 3 study of nivolumab (Nivo) plus ipilimumab (Ipi) versus oxaliplatin plus fluoropyrimidine in patients (Pts) with previously untreated advanced or metastatic gastric (G) or gastroesophageal junct. </w:t>
      </w:r>
      <w:r w:rsidRPr="005C7810">
        <w:rPr>
          <w:rFonts w:ascii="Book Antiqua" w:eastAsia="等线" w:hAnsi="Book Antiqua" w:cs="Times New Roman"/>
          <w:i/>
          <w:iCs/>
          <w:kern w:val="2"/>
          <w:sz w:val="24"/>
          <w:szCs w:val="24"/>
          <w:lang w:val="en-US" w:eastAsia="zh-CN"/>
        </w:rPr>
        <w:t>J Clin Oncol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bCs/>
          <w:kern w:val="2"/>
          <w:sz w:val="24"/>
          <w:szCs w:val="24"/>
          <w:lang w:val="en-US" w:eastAsia="zh-CN"/>
        </w:rPr>
        <w:t>35</w:t>
      </w:r>
      <w:r w:rsidRPr="005C7810">
        <w:rPr>
          <w:rFonts w:ascii="Book Antiqua" w:eastAsia="等线" w:hAnsi="Book Antiqua" w:cs="Times New Roman"/>
          <w:kern w:val="2"/>
          <w:sz w:val="24"/>
          <w:szCs w:val="24"/>
          <w:lang w:val="en-US" w:eastAsia="zh-CN"/>
        </w:rPr>
        <w:t xml:space="preserve"> [DOI: 10.1200/JCO.2017.35.4_suppl.TPS213]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191 </w:t>
      </w:r>
      <w:r w:rsidRPr="005C7810">
        <w:rPr>
          <w:rFonts w:ascii="Book Antiqua" w:eastAsia="等线" w:hAnsi="Book Antiqua" w:cs="Times New Roman"/>
          <w:b/>
          <w:kern w:val="2"/>
          <w:sz w:val="24"/>
          <w:szCs w:val="24"/>
          <w:lang w:val="en-US" w:eastAsia="zh-CN"/>
        </w:rPr>
        <w:t>Zhang C,</w:t>
      </w:r>
      <w:r w:rsidRPr="005C7810">
        <w:rPr>
          <w:rFonts w:ascii="Book Antiqua" w:eastAsia="等线" w:hAnsi="Book Antiqua" w:cs="Times New Roman"/>
          <w:kern w:val="2"/>
          <w:sz w:val="24"/>
          <w:szCs w:val="24"/>
          <w:lang w:val="en-US" w:eastAsia="zh-CN"/>
        </w:rPr>
        <w:t xml:space="preserve"> Pandit N. Tislelizumab in combination with chemotherapy as first-line treatment in adults with inoperable, locally advanced or metastatic gastric, or gastroesophageal junction carcinoma. In: ClinicalTrials.gov [Internet]. Bethesda (MD): U.S. National Library of Medicine. Available from: https//clinicaltrials.gov/show/NCT03777657 ClinicalTrials.gov Identifier: NCT03777657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192 </w:t>
      </w:r>
      <w:r w:rsidRPr="005C7810">
        <w:rPr>
          <w:rFonts w:ascii="Book Antiqua" w:eastAsia="等线" w:hAnsi="Book Antiqua" w:cs="Times New Roman"/>
          <w:b/>
          <w:bCs/>
          <w:kern w:val="2"/>
          <w:sz w:val="24"/>
          <w:szCs w:val="24"/>
          <w:lang w:val="en-US" w:eastAsia="zh-CN"/>
        </w:rPr>
        <w:t>Wei L.</w:t>
      </w:r>
      <w:r w:rsidRPr="005C7810">
        <w:rPr>
          <w:rFonts w:ascii="Book Antiqua" w:eastAsia="等线" w:hAnsi="Book Antiqua" w:cs="Times New Roman"/>
          <w:kern w:val="2"/>
          <w:sz w:val="24"/>
          <w:szCs w:val="24"/>
          <w:lang w:val="en-US" w:eastAsia="zh-CN"/>
        </w:rPr>
        <w:t xml:space="preserve"> Application value of CTCs detection for advanced gastric cancer patients. In: ClinicalTrials.gov [Internet]. Bethesda (MD): U.S. National Library of Medicine. Available from: https//clinicaltrials.gov/show/NCT03156777 ClinicalTrials.gov Identifier: NCT03156777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193 </w:t>
      </w:r>
      <w:r w:rsidRPr="005C7810">
        <w:rPr>
          <w:rFonts w:ascii="Book Antiqua" w:eastAsia="等线" w:hAnsi="Book Antiqua" w:cs="Times New Roman"/>
          <w:b/>
          <w:bCs/>
          <w:kern w:val="2"/>
          <w:sz w:val="24"/>
          <w:szCs w:val="24"/>
          <w:lang w:val="en-US" w:eastAsia="zh-CN"/>
        </w:rPr>
        <w:t>Shen L.</w:t>
      </w:r>
      <w:r w:rsidRPr="005C7810">
        <w:rPr>
          <w:rFonts w:ascii="Book Antiqua" w:eastAsia="等线" w:hAnsi="Book Antiqua" w:cs="Times New Roman"/>
          <w:kern w:val="2"/>
          <w:sz w:val="24"/>
          <w:szCs w:val="24"/>
          <w:lang w:val="en-US" w:eastAsia="zh-CN"/>
        </w:rPr>
        <w:t xml:space="preserve"> Clinical significance of circulating tumor cells (CTCs) in blood of patients with advanced/metastatic gastric cancer. In: ClinicalTrials.gov [Internet]. Bethesda (MD): U.S. National Library of Medicine. Available from: https//clinicaltrials.gov/show/NCT01625702 ClinicalTrials.gov Identifier: NCT01625702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194 </w:t>
      </w:r>
      <w:r w:rsidRPr="005C7810">
        <w:rPr>
          <w:rFonts w:ascii="Book Antiqua" w:eastAsia="等线" w:hAnsi="Book Antiqua" w:cs="Times New Roman"/>
          <w:b/>
          <w:kern w:val="2"/>
          <w:sz w:val="24"/>
          <w:szCs w:val="24"/>
          <w:lang w:val="en-US" w:eastAsia="zh-CN"/>
        </w:rPr>
        <w:t>Li Y</w:t>
      </w:r>
      <w:r w:rsidRPr="005C7810">
        <w:rPr>
          <w:rFonts w:ascii="Book Antiqua" w:eastAsia="等线" w:hAnsi="Book Antiqua" w:cs="Times New Roman"/>
          <w:kern w:val="2"/>
          <w:sz w:val="24"/>
          <w:szCs w:val="24"/>
          <w:lang w:val="en-US" w:eastAsia="zh-CN"/>
        </w:rPr>
        <w:t xml:space="preserve">, Peng Z, Zhang X, Gong J, Shen L. [Value of serum human epithelial growth factor receptor 2 extracellular domain and circulating tumor cells in evaluating therapeutic response in advanced gastric cancer]. </w:t>
      </w:r>
      <w:r w:rsidRPr="005C7810">
        <w:rPr>
          <w:rFonts w:ascii="Book Antiqua" w:eastAsia="等线" w:hAnsi="Book Antiqua" w:cs="Times New Roman"/>
          <w:i/>
          <w:kern w:val="2"/>
          <w:sz w:val="24"/>
          <w:szCs w:val="24"/>
          <w:lang w:val="en-US" w:eastAsia="zh-CN"/>
        </w:rPr>
        <w:t>Zhonghua Wei Chang Wai Ke Za Zhi</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20</w:t>
      </w:r>
      <w:r w:rsidRPr="005C7810">
        <w:rPr>
          <w:rFonts w:ascii="Book Antiqua" w:eastAsia="等线" w:hAnsi="Book Antiqua" w:cs="Times New Roman"/>
          <w:kern w:val="2"/>
          <w:sz w:val="24"/>
          <w:szCs w:val="24"/>
          <w:lang w:val="en-US" w:eastAsia="zh-CN"/>
        </w:rPr>
        <w:t>: 1293-1299 [PMID: 29178102 DOI: 10.3760/cma.j.issn.1671-0274.2017.11.017]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195 </w:t>
      </w:r>
      <w:r w:rsidRPr="005C7810">
        <w:rPr>
          <w:rFonts w:ascii="Book Antiqua" w:eastAsia="等线" w:hAnsi="Book Antiqua" w:cs="Times New Roman"/>
          <w:b/>
          <w:bCs/>
          <w:kern w:val="2"/>
          <w:sz w:val="24"/>
          <w:szCs w:val="24"/>
          <w:lang w:val="en-US" w:eastAsia="zh-CN"/>
        </w:rPr>
        <w:t>Kang WK</w:t>
      </w:r>
      <w:r w:rsidRPr="005C7810">
        <w:rPr>
          <w:rFonts w:ascii="Book Antiqua" w:eastAsia="等线" w:hAnsi="Book Antiqua" w:cs="Times New Roman"/>
          <w:kern w:val="2"/>
          <w:sz w:val="24"/>
          <w:szCs w:val="24"/>
          <w:lang w:val="en-US" w:eastAsia="zh-CN"/>
        </w:rPr>
        <w:t>. HER2 Circulating tumor cells in gastric cancer. In: ClinicalTrials.gov [Internet]. Bethesda (MD): U.S. National Library of Medicine. Available from: https//clinicaltrials.gov/show/NCT01299688 ClinicalTrials.gov Identifier: NCT01299688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196 </w:t>
      </w:r>
      <w:r w:rsidRPr="005C7810">
        <w:rPr>
          <w:rFonts w:ascii="Book Antiqua" w:eastAsia="等线" w:hAnsi="Book Antiqua" w:cs="Times New Roman"/>
          <w:b/>
          <w:bCs/>
          <w:kern w:val="2"/>
          <w:sz w:val="24"/>
          <w:szCs w:val="24"/>
          <w:lang w:val="en-US" w:eastAsia="zh-CN"/>
        </w:rPr>
        <w:t>Shen L</w:t>
      </w:r>
      <w:r w:rsidRPr="005C7810">
        <w:rPr>
          <w:rFonts w:ascii="Book Antiqua" w:eastAsia="等线" w:hAnsi="Book Antiqua" w:cs="Times New Roman"/>
          <w:kern w:val="2"/>
          <w:sz w:val="24"/>
          <w:szCs w:val="24"/>
          <w:lang w:val="en-US" w:eastAsia="zh-CN"/>
        </w:rPr>
        <w:t>. Liquid biopsy in monitoring the therapeutic efficacy of targeted therapy in advanced/metastatic gastric cancer. In: ClinicalTrials.gov [Internet]. Bethesda (MD): U.S. National Library of Medicine. Available from: https//clinicaltrials.gov/show/NCT02610218 ClinicalTrials.gov Identifier: NCT02610218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197 </w:t>
      </w:r>
      <w:r w:rsidRPr="005C7810">
        <w:rPr>
          <w:rFonts w:ascii="Book Antiqua" w:eastAsia="等线" w:hAnsi="Book Antiqua" w:cs="Times New Roman"/>
          <w:b/>
          <w:bCs/>
          <w:kern w:val="2"/>
          <w:sz w:val="24"/>
          <w:szCs w:val="24"/>
          <w:lang w:val="en-US" w:eastAsia="zh-CN"/>
        </w:rPr>
        <w:t>Du N</w:t>
      </w:r>
      <w:r w:rsidRPr="005C7810">
        <w:rPr>
          <w:rFonts w:ascii="Book Antiqua" w:eastAsia="等线" w:hAnsi="Book Antiqua" w:cs="Times New Roman"/>
          <w:kern w:val="2"/>
          <w:sz w:val="24"/>
          <w:szCs w:val="24"/>
          <w:lang w:val="en-US" w:eastAsia="zh-CN"/>
        </w:rPr>
        <w:t>. Neoadjuvant Bev plus DOF vs DOF in LAGC and its association with circulating tumor cell. In: ClinicalTrials.gov [Internet]. Bethesda (MD): U.S. National Library of Medicine. Available from: https//clinicaltrials.gov/show/NCT02048540 ClinicalTrials.gov Identifier: NCT02048540</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198 </w:t>
      </w:r>
      <w:r w:rsidRPr="005C7810">
        <w:rPr>
          <w:rFonts w:ascii="Book Antiqua" w:eastAsia="等线" w:hAnsi="Book Antiqua" w:cs="Times New Roman"/>
          <w:b/>
          <w:bCs/>
          <w:kern w:val="2"/>
          <w:sz w:val="24"/>
          <w:szCs w:val="24"/>
          <w:lang w:val="en-US" w:eastAsia="zh-CN"/>
        </w:rPr>
        <w:t>Shen L</w:t>
      </w:r>
      <w:r w:rsidRPr="005C7810">
        <w:rPr>
          <w:rFonts w:ascii="Book Antiqua" w:eastAsia="等线" w:hAnsi="Book Antiqua" w:cs="Times New Roman"/>
          <w:kern w:val="2"/>
          <w:sz w:val="24"/>
          <w:szCs w:val="24"/>
          <w:lang w:val="en-US" w:eastAsia="zh-CN"/>
        </w:rPr>
        <w:t>. Circulating tumor cells (CTCs) in advanced gastric cancer. In: ClinicalTrials.gov [Internet]. Bethesda (MD): U.S. National Library of Medicine. Available from: https//clinicaltrials.gov/show/NCT01848015 ClinicalTrials.gov Identifier: NCT01848015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199 </w:t>
      </w:r>
      <w:r w:rsidRPr="005C7810">
        <w:rPr>
          <w:rFonts w:ascii="Book Antiqua" w:eastAsia="等线" w:hAnsi="Book Antiqua" w:cs="Times New Roman"/>
          <w:b/>
          <w:kern w:val="2"/>
          <w:sz w:val="24"/>
          <w:szCs w:val="24"/>
          <w:lang w:val="en-US" w:eastAsia="zh-CN"/>
        </w:rPr>
        <w:t>Shen L</w:t>
      </w:r>
      <w:r w:rsidRPr="005C7810">
        <w:rPr>
          <w:rFonts w:ascii="Book Antiqua" w:eastAsia="等线" w:hAnsi="Book Antiqua" w:cs="Times New Roman"/>
          <w:kern w:val="2"/>
          <w:sz w:val="24"/>
          <w:szCs w:val="24"/>
          <w:lang w:val="en-US" w:eastAsia="zh-CN"/>
        </w:rPr>
        <w:t xml:space="preserve">. Liquid biopsy: a powerful tool to monitor trastuzumab resistance in HER2-positive metastatic gastric cancer. </w:t>
      </w:r>
      <w:r w:rsidRPr="005C7810">
        <w:rPr>
          <w:rFonts w:ascii="Book Antiqua" w:eastAsia="等线" w:hAnsi="Book Antiqua" w:cs="Times New Roman"/>
          <w:i/>
          <w:kern w:val="2"/>
          <w:sz w:val="24"/>
          <w:szCs w:val="24"/>
          <w:lang w:val="en-US" w:eastAsia="zh-CN"/>
        </w:rPr>
        <w:t>Cancer Commun (Lond)</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38</w:t>
      </w:r>
      <w:r w:rsidRPr="005C7810">
        <w:rPr>
          <w:rFonts w:ascii="Book Antiqua" w:eastAsia="等线" w:hAnsi="Book Antiqua" w:cs="Times New Roman"/>
          <w:kern w:val="2"/>
          <w:sz w:val="24"/>
          <w:szCs w:val="24"/>
          <w:lang w:val="en-US" w:eastAsia="zh-CN"/>
        </w:rPr>
        <w:t>: 72 [PMID: 30563572 DOI: 10.1186/s40880-018-0344-6]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200 </w:t>
      </w:r>
      <w:r w:rsidRPr="005C7810">
        <w:rPr>
          <w:rFonts w:ascii="Book Antiqua" w:eastAsia="等线" w:hAnsi="Book Antiqua" w:cs="Times New Roman"/>
          <w:b/>
          <w:kern w:val="2"/>
          <w:sz w:val="24"/>
          <w:szCs w:val="24"/>
          <w:lang w:val="en-US" w:eastAsia="zh-CN"/>
        </w:rPr>
        <w:t xml:space="preserve">Khushalani N. </w:t>
      </w:r>
      <w:r w:rsidRPr="005C7810">
        <w:rPr>
          <w:rFonts w:ascii="Book Antiqua" w:eastAsia="等线" w:hAnsi="Book Antiqua" w:cs="Times New Roman"/>
          <w:bCs/>
          <w:kern w:val="2"/>
          <w:sz w:val="24"/>
          <w:szCs w:val="24"/>
          <w:lang w:val="en-US" w:eastAsia="zh-CN"/>
        </w:rPr>
        <w:t xml:space="preserve">Pralatrexate and oxaliplatin in treating patients with unresectable or metastatic esophageal, </w:t>
      </w:r>
      <w:r w:rsidRPr="005C7810">
        <w:rPr>
          <w:rFonts w:ascii="Book Antiqua" w:eastAsia="等线" w:hAnsi="Book Antiqua" w:cs="Times New Roman"/>
          <w:kern w:val="2"/>
          <w:sz w:val="24"/>
          <w:szCs w:val="24"/>
          <w:lang w:val="en-US" w:eastAsia="zh-CN"/>
        </w:rPr>
        <w:t>stomach, or gastroesophageal junction cancer. In: ClinicalTrials.gov [Internet]. Bethesda (MD): U.S. National Library of Medicine. Available from: https//clinicaltrials.gov/show/NCT01178944 ClinicalTrials.gov Identifier: NCT01178944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201 </w:t>
      </w:r>
      <w:r w:rsidRPr="005C7810">
        <w:rPr>
          <w:rFonts w:ascii="Book Antiqua" w:eastAsia="等线" w:hAnsi="Book Antiqua" w:cs="Times New Roman"/>
          <w:b/>
          <w:bCs/>
          <w:kern w:val="2"/>
          <w:sz w:val="24"/>
          <w:szCs w:val="24"/>
          <w:lang w:val="en-US" w:eastAsia="zh-CN"/>
        </w:rPr>
        <w:t>Nam SY</w:t>
      </w:r>
      <w:r w:rsidRPr="005C7810">
        <w:rPr>
          <w:rFonts w:ascii="Book Antiqua" w:eastAsia="等线" w:hAnsi="Book Antiqua" w:cs="Times New Roman"/>
          <w:kern w:val="2"/>
          <w:sz w:val="24"/>
          <w:szCs w:val="24"/>
          <w:lang w:val="en-US" w:eastAsia="zh-CN"/>
        </w:rPr>
        <w:t>. Predicting biomarker of gastric cancer chemotherapy response. In: ClinicalTrials.gov [Internet]. Bethesda (MD): U.S. National Library of Medicine. Available from: https//clinicaltrials.gov/show/NCT03253107 ClinicalTrials.gov Identifier: NCT03253107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202 </w:t>
      </w:r>
      <w:r w:rsidRPr="005C7810">
        <w:rPr>
          <w:rFonts w:ascii="Book Antiqua" w:eastAsia="等线" w:hAnsi="Book Antiqua" w:cs="Times New Roman"/>
          <w:b/>
          <w:bCs/>
          <w:kern w:val="2"/>
          <w:sz w:val="24"/>
          <w:szCs w:val="24"/>
          <w:lang w:val="en-US" w:eastAsia="zh-CN"/>
        </w:rPr>
        <w:t>Lee SK</w:t>
      </w:r>
      <w:r w:rsidRPr="005C7810">
        <w:rPr>
          <w:rFonts w:ascii="Book Antiqua" w:eastAsia="等线" w:hAnsi="Book Antiqua" w:cs="Times New Roman"/>
          <w:kern w:val="2"/>
          <w:sz w:val="24"/>
          <w:szCs w:val="24"/>
          <w:lang w:val="en-US" w:eastAsia="zh-CN"/>
        </w:rPr>
        <w:t>. A study on the gastrointestinal disease and Helicobacter Pylori controlled long non-coding RNA. In: ClinicalTrials.gov [Internet]. Bethesda (MD): U.S. National Library of Medicine. Available from: https//clinicaltrials.gov/show/NCT03057171 ClinicalTrials.gov Identifier: NCT03057171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203 </w:t>
      </w:r>
      <w:r w:rsidRPr="005C7810">
        <w:rPr>
          <w:rFonts w:ascii="Book Antiqua" w:eastAsia="等线" w:hAnsi="Book Antiqua" w:cs="Times New Roman"/>
          <w:b/>
          <w:kern w:val="2"/>
          <w:sz w:val="24"/>
          <w:szCs w:val="24"/>
          <w:lang w:val="en-US" w:eastAsia="zh-CN"/>
        </w:rPr>
        <w:t>Jemal A</w:t>
      </w:r>
      <w:r w:rsidRPr="005C7810">
        <w:rPr>
          <w:rFonts w:ascii="Book Antiqua" w:eastAsia="等线" w:hAnsi="Book Antiqua" w:cs="Times New Roman"/>
          <w:kern w:val="2"/>
          <w:sz w:val="24"/>
          <w:szCs w:val="24"/>
          <w:lang w:val="en-US" w:eastAsia="zh-CN"/>
        </w:rPr>
        <w:t xml:space="preserve">, Bray F, Center MM, Ferlay J, Ward E, Forman D. Global cancer statistics. </w:t>
      </w:r>
      <w:r w:rsidRPr="005C7810">
        <w:rPr>
          <w:rFonts w:ascii="Book Antiqua" w:eastAsia="等线" w:hAnsi="Book Antiqua" w:cs="Times New Roman"/>
          <w:i/>
          <w:kern w:val="2"/>
          <w:sz w:val="24"/>
          <w:szCs w:val="24"/>
          <w:lang w:val="en-US" w:eastAsia="zh-CN"/>
        </w:rPr>
        <w:t>CA Cancer J Clin</w:t>
      </w:r>
      <w:r w:rsidRPr="005C7810">
        <w:rPr>
          <w:rFonts w:ascii="Book Antiqua" w:eastAsia="等线" w:hAnsi="Book Antiqua" w:cs="Times New Roman"/>
          <w:kern w:val="2"/>
          <w:sz w:val="24"/>
          <w:szCs w:val="24"/>
          <w:lang w:val="en-US" w:eastAsia="zh-CN"/>
        </w:rPr>
        <w:t xml:space="preserve"> 2011; </w:t>
      </w:r>
      <w:r w:rsidRPr="005C7810">
        <w:rPr>
          <w:rFonts w:ascii="Book Antiqua" w:eastAsia="等线" w:hAnsi="Book Antiqua" w:cs="Times New Roman"/>
          <w:b/>
          <w:kern w:val="2"/>
          <w:sz w:val="24"/>
          <w:szCs w:val="24"/>
          <w:lang w:val="en-US" w:eastAsia="zh-CN"/>
        </w:rPr>
        <w:t>61</w:t>
      </w:r>
      <w:r w:rsidRPr="005C7810">
        <w:rPr>
          <w:rFonts w:ascii="Book Antiqua" w:eastAsia="等线" w:hAnsi="Book Antiqua" w:cs="Times New Roman"/>
          <w:kern w:val="2"/>
          <w:sz w:val="24"/>
          <w:szCs w:val="24"/>
          <w:lang w:val="en-US" w:eastAsia="zh-CN"/>
        </w:rPr>
        <w:t>: 69-90 [PMID: 21296855 DOI: 10.3322/caac.20107]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204 </w:t>
      </w:r>
      <w:r w:rsidRPr="005C7810">
        <w:rPr>
          <w:rFonts w:ascii="Book Antiqua" w:eastAsia="等线" w:hAnsi="Book Antiqua" w:cs="Times New Roman"/>
          <w:b/>
          <w:kern w:val="2"/>
          <w:sz w:val="24"/>
          <w:szCs w:val="24"/>
          <w:lang w:val="en-US" w:eastAsia="zh-CN"/>
        </w:rPr>
        <w:t>Malfertheiner P</w:t>
      </w:r>
      <w:r w:rsidRPr="005C7810">
        <w:rPr>
          <w:rFonts w:ascii="Book Antiqua" w:eastAsia="等线" w:hAnsi="Book Antiqua" w:cs="Times New Roman"/>
          <w:kern w:val="2"/>
          <w:sz w:val="24"/>
          <w:szCs w:val="24"/>
          <w:lang w:val="en-US" w:eastAsia="zh-CN"/>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5C7810">
        <w:rPr>
          <w:rFonts w:ascii="Book Antiqua" w:eastAsia="等线" w:hAnsi="Book Antiqua" w:cs="Times New Roman"/>
          <w:i/>
          <w:kern w:val="2"/>
          <w:sz w:val="24"/>
          <w:szCs w:val="24"/>
          <w:lang w:val="en-US" w:eastAsia="zh-CN"/>
        </w:rPr>
        <w:t>Gut</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66</w:t>
      </w:r>
      <w:r w:rsidRPr="005C7810">
        <w:rPr>
          <w:rFonts w:ascii="Book Antiqua" w:eastAsia="等线" w:hAnsi="Book Antiqua" w:cs="Times New Roman"/>
          <w:kern w:val="2"/>
          <w:sz w:val="24"/>
          <w:szCs w:val="24"/>
          <w:lang w:val="en-US" w:eastAsia="zh-CN"/>
        </w:rPr>
        <w:t>: 6-30 [PMID: 27707777 DOI: 10.1136/gutjnl-2016-312288]</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205 </w:t>
      </w:r>
      <w:r w:rsidRPr="005C7810">
        <w:rPr>
          <w:rFonts w:ascii="Book Antiqua" w:eastAsia="等线" w:hAnsi="Book Antiqua" w:cs="Times New Roman"/>
          <w:b/>
          <w:kern w:val="2"/>
          <w:sz w:val="24"/>
          <w:szCs w:val="24"/>
          <w:lang w:val="en-US" w:eastAsia="zh-CN"/>
        </w:rPr>
        <w:t>Chey WD</w:t>
      </w:r>
      <w:r w:rsidRPr="005C7810">
        <w:rPr>
          <w:rFonts w:ascii="Book Antiqua" w:eastAsia="等线" w:hAnsi="Book Antiqua" w:cs="Times New Roman"/>
          <w:kern w:val="2"/>
          <w:sz w:val="24"/>
          <w:szCs w:val="24"/>
          <w:lang w:val="en-US" w:eastAsia="zh-CN"/>
        </w:rPr>
        <w:t xml:space="preserve">, Leontiadis GI, Howden CW, Moss SF. ACG Clinical Guideline: Treatment of Helicobacter pylori Infection. </w:t>
      </w:r>
      <w:r w:rsidRPr="005C7810">
        <w:rPr>
          <w:rFonts w:ascii="Book Antiqua" w:eastAsia="等线" w:hAnsi="Book Antiqua" w:cs="Times New Roman"/>
          <w:i/>
          <w:kern w:val="2"/>
          <w:sz w:val="24"/>
          <w:szCs w:val="24"/>
          <w:lang w:val="en-US" w:eastAsia="zh-CN"/>
        </w:rPr>
        <w:t>Am J Gastroenterol</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112</w:t>
      </w:r>
      <w:r w:rsidRPr="005C7810">
        <w:rPr>
          <w:rFonts w:ascii="Book Antiqua" w:eastAsia="等线" w:hAnsi="Book Antiqua" w:cs="Times New Roman"/>
          <w:kern w:val="2"/>
          <w:sz w:val="24"/>
          <w:szCs w:val="24"/>
          <w:lang w:val="en-US" w:eastAsia="zh-CN"/>
        </w:rPr>
        <w:t>: 212-239 [PMID: 28071659 DOI: 10.1038/ajg.2016.563]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206 </w:t>
      </w:r>
      <w:r w:rsidRPr="005C7810">
        <w:rPr>
          <w:rFonts w:ascii="Book Antiqua" w:eastAsia="等线" w:hAnsi="Book Antiqua" w:cs="Times New Roman"/>
          <w:b/>
          <w:kern w:val="2"/>
          <w:sz w:val="24"/>
          <w:szCs w:val="24"/>
          <w:lang w:val="en-US" w:eastAsia="zh-CN"/>
        </w:rPr>
        <w:t>Fallone CA</w:t>
      </w:r>
      <w:r w:rsidRPr="005C7810">
        <w:rPr>
          <w:rFonts w:ascii="Book Antiqua" w:eastAsia="等线" w:hAnsi="Book Antiqua" w:cs="Times New Roman"/>
          <w:kern w:val="2"/>
          <w:sz w:val="24"/>
          <w:szCs w:val="24"/>
          <w:lang w:val="en-US" w:eastAsia="zh-CN"/>
        </w:rPr>
        <w:t xml:space="preserve">, Chiba N, van Zanten SV, Fischbach L, Gisbert JP, Hunt RH, Jones NL, Render C, Leontiadis GI, Moayyedi P, Marshall JK. The Toronto Consensus for the Treatment of Helicobacter pylori Infection in Adults. </w:t>
      </w:r>
      <w:r w:rsidRPr="005C7810">
        <w:rPr>
          <w:rFonts w:ascii="Book Antiqua" w:eastAsia="等线" w:hAnsi="Book Antiqua" w:cs="Times New Roman"/>
          <w:i/>
          <w:kern w:val="2"/>
          <w:sz w:val="24"/>
          <w:szCs w:val="24"/>
          <w:lang w:val="en-US" w:eastAsia="zh-CN"/>
        </w:rPr>
        <w:t>Gastroenterology</w:t>
      </w:r>
      <w:r w:rsidRPr="005C7810">
        <w:rPr>
          <w:rFonts w:ascii="Book Antiqua" w:eastAsia="等线" w:hAnsi="Book Antiqua" w:cs="Times New Roman"/>
          <w:kern w:val="2"/>
          <w:sz w:val="24"/>
          <w:szCs w:val="24"/>
          <w:lang w:val="en-US" w:eastAsia="zh-CN"/>
        </w:rPr>
        <w:t xml:space="preserve"> 2016; </w:t>
      </w:r>
      <w:r w:rsidRPr="005C7810">
        <w:rPr>
          <w:rFonts w:ascii="Book Antiqua" w:eastAsia="等线" w:hAnsi="Book Antiqua" w:cs="Times New Roman"/>
          <w:b/>
          <w:kern w:val="2"/>
          <w:sz w:val="24"/>
          <w:szCs w:val="24"/>
          <w:lang w:val="en-US" w:eastAsia="zh-CN"/>
        </w:rPr>
        <w:t>151</w:t>
      </w:r>
      <w:r w:rsidRPr="005C7810">
        <w:rPr>
          <w:rFonts w:ascii="Book Antiqua" w:eastAsia="等线" w:hAnsi="Book Antiqua" w:cs="Times New Roman"/>
          <w:kern w:val="2"/>
          <w:sz w:val="24"/>
          <w:szCs w:val="24"/>
          <w:lang w:val="en-US" w:eastAsia="zh-CN"/>
        </w:rPr>
        <w:t>: 51-69.e14 [PMID: 27102658 DOI: 10.1053/j.gastro.2016.04.006]</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207 </w:t>
      </w:r>
      <w:r w:rsidRPr="005C7810">
        <w:rPr>
          <w:rFonts w:ascii="Book Antiqua" w:eastAsia="等线" w:hAnsi="Book Antiqua" w:cs="Times New Roman"/>
          <w:b/>
          <w:kern w:val="2"/>
          <w:sz w:val="24"/>
          <w:szCs w:val="24"/>
          <w:lang w:val="en-US" w:eastAsia="zh-CN"/>
        </w:rPr>
        <w:t>Fallone CA</w:t>
      </w:r>
      <w:r w:rsidRPr="005C7810">
        <w:rPr>
          <w:rFonts w:ascii="Book Antiqua" w:eastAsia="等线" w:hAnsi="Book Antiqua" w:cs="Times New Roman"/>
          <w:kern w:val="2"/>
          <w:sz w:val="24"/>
          <w:szCs w:val="24"/>
          <w:lang w:val="en-US" w:eastAsia="zh-CN"/>
        </w:rPr>
        <w:t xml:space="preserve">, Moss SF, Malfertheiner P. Reconciliation of Recent Helicobacter pylori Treatment Guidelines in a Time of Increasing Resistance to Antibiotics. </w:t>
      </w:r>
      <w:r w:rsidRPr="005C7810">
        <w:rPr>
          <w:rFonts w:ascii="Book Antiqua" w:eastAsia="等线" w:hAnsi="Book Antiqua" w:cs="Times New Roman"/>
          <w:i/>
          <w:kern w:val="2"/>
          <w:sz w:val="24"/>
          <w:szCs w:val="24"/>
          <w:lang w:val="en-US" w:eastAsia="zh-CN"/>
        </w:rPr>
        <w:t>Gastroenterology</w:t>
      </w:r>
      <w:r w:rsidRPr="005C7810">
        <w:rPr>
          <w:rFonts w:ascii="Book Antiqua" w:eastAsia="等线" w:hAnsi="Book Antiqua" w:cs="Times New Roman"/>
          <w:kern w:val="2"/>
          <w:sz w:val="24"/>
          <w:szCs w:val="24"/>
          <w:lang w:val="en-US" w:eastAsia="zh-CN"/>
        </w:rPr>
        <w:t xml:space="preserve"> 2019; </w:t>
      </w:r>
      <w:r w:rsidRPr="005C7810">
        <w:rPr>
          <w:rFonts w:ascii="Book Antiqua" w:eastAsia="等线" w:hAnsi="Book Antiqua" w:cs="Times New Roman"/>
          <w:b/>
          <w:kern w:val="2"/>
          <w:sz w:val="24"/>
          <w:szCs w:val="24"/>
          <w:lang w:val="en-US" w:eastAsia="zh-CN"/>
        </w:rPr>
        <w:t>157</w:t>
      </w:r>
      <w:r w:rsidRPr="005C7810">
        <w:rPr>
          <w:rFonts w:ascii="Book Antiqua" w:eastAsia="等线" w:hAnsi="Book Antiqua" w:cs="Times New Roman"/>
          <w:kern w:val="2"/>
          <w:sz w:val="24"/>
          <w:szCs w:val="24"/>
          <w:lang w:val="en-US" w:eastAsia="zh-CN"/>
        </w:rPr>
        <w:t>: 44-53 [PMID: 30998990 DOI: 10.1053/j.gastro.2019.04.011]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208 </w:t>
      </w:r>
      <w:r w:rsidRPr="005C7810">
        <w:rPr>
          <w:rFonts w:ascii="Book Antiqua" w:eastAsia="等线" w:hAnsi="Book Antiqua" w:cs="Times New Roman"/>
          <w:b/>
          <w:kern w:val="2"/>
          <w:sz w:val="24"/>
          <w:szCs w:val="24"/>
          <w:lang w:val="en-US" w:eastAsia="zh-CN"/>
        </w:rPr>
        <w:t>Shichijo S</w:t>
      </w:r>
      <w:r w:rsidRPr="005C7810">
        <w:rPr>
          <w:rFonts w:ascii="Book Antiqua" w:eastAsia="等线" w:hAnsi="Book Antiqua" w:cs="Times New Roman"/>
          <w:kern w:val="2"/>
          <w:sz w:val="24"/>
          <w:szCs w:val="24"/>
          <w:lang w:val="en-US" w:eastAsia="zh-CN"/>
        </w:rPr>
        <w:t xml:space="preserve">, Hirata Y. Characteristics and predictors of gastric cancer after </w:t>
      </w:r>
      <w:r w:rsidRPr="005C7810">
        <w:rPr>
          <w:rFonts w:ascii="Book Antiqua" w:eastAsia="等线" w:hAnsi="Book Antiqua" w:cs="Times New Roman"/>
          <w:i/>
          <w:iCs/>
          <w:kern w:val="2"/>
          <w:sz w:val="24"/>
          <w:szCs w:val="24"/>
          <w:lang w:val="en-US" w:eastAsia="zh-CN"/>
        </w:rPr>
        <w:t>Helicobacter pylori</w:t>
      </w:r>
      <w:r w:rsidRPr="005C7810">
        <w:rPr>
          <w:rFonts w:ascii="Book Antiqua" w:eastAsia="等线" w:hAnsi="Book Antiqua" w:cs="Times New Roman"/>
          <w:kern w:val="2"/>
          <w:sz w:val="24"/>
          <w:szCs w:val="24"/>
          <w:lang w:val="en-US" w:eastAsia="zh-CN"/>
        </w:rPr>
        <w:t xml:space="preserve"> eradication. </w:t>
      </w:r>
      <w:r w:rsidRPr="005C7810">
        <w:rPr>
          <w:rFonts w:ascii="Book Antiqua" w:eastAsia="等线" w:hAnsi="Book Antiqua" w:cs="Times New Roman"/>
          <w:i/>
          <w:kern w:val="2"/>
          <w:sz w:val="24"/>
          <w:szCs w:val="24"/>
          <w:lang w:val="en-US" w:eastAsia="zh-CN"/>
        </w:rPr>
        <w:t>World J Gastroenterol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24</w:t>
      </w:r>
      <w:r w:rsidRPr="005C7810">
        <w:rPr>
          <w:rFonts w:ascii="Book Antiqua" w:eastAsia="等线" w:hAnsi="Book Antiqua" w:cs="Times New Roman"/>
          <w:kern w:val="2"/>
          <w:sz w:val="24"/>
          <w:szCs w:val="24"/>
          <w:lang w:val="en-US" w:eastAsia="zh-CN"/>
        </w:rPr>
        <w:t>: 2163-2172 [PMID: 29853734 DOI: 10.3748/wjg.v24.i20.2163]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209 </w:t>
      </w:r>
      <w:r w:rsidRPr="005C7810">
        <w:rPr>
          <w:rFonts w:ascii="Book Antiqua" w:eastAsia="等线" w:hAnsi="Book Antiqua" w:cs="Times New Roman"/>
          <w:b/>
          <w:kern w:val="2"/>
          <w:sz w:val="24"/>
          <w:szCs w:val="24"/>
          <w:lang w:val="en-US" w:eastAsia="zh-CN"/>
        </w:rPr>
        <w:t>El Abiad R</w:t>
      </w:r>
      <w:r w:rsidRPr="005C7810">
        <w:rPr>
          <w:rFonts w:ascii="Book Antiqua" w:eastAsia="等线" w:hAnsi="Book Antiqua" w:cs="Times New Roman"/>
          <w:kern w:val="2"/>
          <w:sz w:val="24"/>
          <w:szCs w:val="24"/>
          <w:lang w:val="en-US" w:eastAsia="zh-CN"/>
        </w:rPr>
        <w:t xml:space="preserve">, Gerke H. Gastric cancer: endoscopic diagnosis and staging. </w:t>
      </w:r>
      <w:r w:rsidRPr="005C7810">
        <w:rPr>
          <w:rFonts w:ascii="Book Antiqua" w:eastAsia="等线" w:hAnsi="Book Antiqua" w:cs="Times New Roman"/>
          <w:i/>
          <w:kern w:val="2"/>
          <w:sz w:val="24"/>
          <w:szCs w:val="24"/>
          <w:lang w:val="en-US" w:eastAsia="zh-CN"/>
        </w:rPr>
        <w:t>Surg Oncol Clin N Am</w:t>
      </w:r>
      <w:r w:rsidRPr="005C7810">
        <w:rPr>
          <w:rFonts w:ascii="Book Antiqua" w:eastAsia="等线" w:hAnsi="Book Antiqua" w:cs="Times New Roman"/>
          <w:kern w:val="2"/>
          <w:sz w:val="24"/>
          <w:szCs w:val="24"/>
          <w:lang w:val="en-US" w:eastAsia="zh-CN"/>
        </w:rPr>
        <w:t xml:space="preserve"> 2012; </w:t>
      </w:r>
      <w:r w:rsidRPr="005C7810">
        <w:rPr>
          <w:rFonts w:ascii="Book Antiqua" w:eastAsia="等线" w:hAnsi="Book Antiqua" w:cs="Times New Roman"/>
          <w:b/>
          <w:kern w:val="2"/>
          <w:sz w:val="24"/>
          <w:szCs w:val="24"/>
          <w:lang w:val="en-US" w:eastAsia="zh-CN"/>
        </w:rPr>
        <w:t>21</w:t>
      </w:r>
      <w:r w:rsidRPr="005C7810">
        <w:rPr>
          <w:rFonts w:ascii="Book Antiqua" w:eastAsia="等线" w:hAnsi="Book Antiqua" w:cs="Times New Roman"/>
          <w:kern w:val="2"/>
          <w:sz w:val="24"/>
          <w:szCs w:val="24"/>
          <w:lang w:val="en-US" w:eastAsia="zh-CN"/>
        </w:rPr>
        <w:t>: 1-19 [PMID: 22098828 DOI: 10.1016/j.soc.2011.09.002]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210 </w:t>
      </w:r>
      <w:r w:rsidRPr="005C7810">
        <w:rPr>
          <w:rFonts w:ascii="Book Antiqua" w:eastAsia="等线" w:hAnsi="Book Antiqua" w:cs="Times New Roman"/>
          <w:b/>
          <w:kern w:val="2"/>
          <w:sz w:val="24"/>
          <w:szCs w:val="24"/>
          <w:lang w:val="en-US" w:eastAsia="zh-CN"/>
        </w:rPr>
        <w:t>Song M,</w:t>
      </w:r>
      <w:r w:rsidRPr="005C7810">
        <w:rPr>
          <w:rFonts w:ascii="Book Antiqua" w:eastAsia="等线" w:hAnsi="Book Antiqua" w:cs="Times New Roman"/>
          <w:kern w:val="2"/>
          <w:sz w:val="24"/>
          <w:szCs w:val="24"/>
          <w:lang w:val="en-US" w:eastAsia="zh-CN"/>
        </w:rPr>
        <w:t xml:space="preserve"> Ang TL. Early detection of early gastric cancer using image-enhanced endoscopy: Current trends. </w:t>
      </w:r>
      <w:r w:rsidRPr="005C7810">
        <w:rPr>
          <w:rFonts w:ascii="Book Antiqua" w:eastAsia="等线" w:hAnsi="Book Antiqua" w:cs="Times New Roman"/>
          <w:i/>
          <w:iCs/>
          <w:kern w:val="2"/>
          <w:sz w:val="24"/>
          <w:szCs w:val="24"/>
          <w:lang w:val="en-US" w:eastAsia="zh-CN"/>
        </w:rPr>
        <w:t>Gastrointest Interv</w:t>
      </w:r>
      <w:r w:rsidRPr="005C7810">
        <w:rPr>
          <w:rFonts w:ascii="Book Antiqua" w:eastAsia="等线" w:hAnsi="Book Antiqua" w:cs="Times New Roman"/>
          <w:kern w:val="2"/>
          <w:sz w:val="24"/>
          <w:szCs w:val="24"/>
          <w:lang w:val="en-US" w:eastAsia="zh-CN"/>
        </w:rPr>
        <w:t xml:space="preserve"> 2014; </w:t>
      </w:r>
      <w:r w:rsidRPr="005C7810">
        <w:rPr>
          <w:rFonts w:ascii="Book Antiqua" w:eastAsia="等线" w:hAnsi="Book Antiqua" w:cs="Times New Roman"/>
          <w:b/>
          <w:bCs/>
          <w:kern w:val="2"/>
          <w:sz w:val="24"/>
          <w:szCs w:val="24"/>
          <w:lang w:val="en-US" w:eastAsia="zh-CN"/>
        </w:rPr>
        <w:t>3</w:t>
      </w:r>
      <w:r w:rsidRPr="005C7810">
        <w:rPr>
          <w:rFonts w:ascii="Book Antiqua" w:eastAsia="等线" w:hAnsi="Book Antiqua" w:cs="Times New Roman"/>
          <w:kern w:val="2"/>
          <w:sz w:val="24"/>
          <w:szCs w:val="24"/>
          <w:lang w:val="en-US" w:eastAsia="zh-CN"/>
        </w:rPr>
        <w:t>: 1-7 [DOI: 10.1016/j.gii.2014.02.005]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211 </w:t>
      </w:r>
      <w:r w:rsidRPr="005C7810">
        <w:rPr>
          <w:rFonts w:ascii="Book Antiqua" w:eastAsia="等线" w:hAnsi="Book Antiqua" w:cs="Times New Roman"/>
          <w:b/>
          <w:kern w:val="2"/>
          <w:sz w:val="24"/>
          <w:szCs w:val="24"/>
          <w:lang w:val="en-US" w:eastAsia="zh-CN"/>
        </w:rPr>
        <w:t>Akarsu M</w:t>
      </w:r>
      <w:r w:rsidRPr="005C7810">
        <w:rPr>
          <w:rFonts w:ascii="Book Antiqua" w:eastAsia="等线" w:hAnsi="Book Antiqua" w:cs="Times New Roman"/>
          <w:kern w:val="2"/>
          <w:sz w:val="24"/>
          <w:szCs w:val="24"/>
          <w:lang w:val="en-US" w:eastAsia="zh-CN"/>
        </w:rPr>
        <w:t xml:space="preserve">, Akarsu C. Evaluation of New Technologies in Gastrointestinal Endoscopy. </w:t>
      </w:r>
      <w:r w:rsidRPr="005C7810">
        <w:rPr>
          <w:rFonts w:ascii="Book Antiqua" w:eastAsia="等线" w:hAnsi="Book Antiqua" w:cs="Times New Roman"/>
          <w:i/>
          <w:kern w:val="2"/>
          <w:sz w:val="24"/>
          <w:szCs w:val="24"/>
          <w:lang w:val="en-US" w:eastAsia="zh-CN"/>
        </w:rPr>
        <w:t>JSLS</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22</w:t>
      </w:r>
      <w:r w:rsidRPr="005C7810">
        <w:rPr>
          <w:rFonts w:ascii="Book Antiqua" w:eastAsia="等线" w:hAnsi="Book Antiqua" w:cs="Times New Roman"/>
          <w:kern w:val="2"/>
          <w:sz w:val="24"/>
          <w:szCs w:val="24"/>
          <w:lang w:val="en-US" w:eastAsia="zh-CN"/>
        </w:rPr>
        <w:t>: 00053 [PMID: 29398900 DOI: 10.4293/jsls.2017.00053]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212 </w:t>
      </w:r>
      <w:r w:rsidRPr="005C7810">
        <w:rPr>
          <w:rFonts w:ascii="Book Antiqua" w:eastAsia="等线" w:hAnsi="Book Antiqua" w:cs="Times New Roman"/>
          <w:b/>
          <w:kern w:val="2"/>
          <w:sz w:val="24"/>
          <w:szCs w:val="24"/>
          <w:lang w:val="en-US" w:eastAsia="zh-CN"/>
        </w:rPr>
        <w:t>Tsendsuren T</w:t>
      </w:r>
      <w:r w:rsidRPr="005C7810">
        <w:rPr>
          <w:rFonts w:ascii="Book Antiqua" w:eastAsia="等线" w:hAnsi="Book Antiqua" w:cs="Times New Roman"/>
          <w:kern w:val="2"/>
          <w:sz w:val="24"/>
          <w:szCs w:val="24"/>
          <w:lang w:val="en-US" w:eastAsia="zh-CN"/>
        </w:rPr>
        <w:t xml:space="preserve">, Jun SM, Mian XH. Usefulness of endoscopic ultrasonography in preoperative TNM staging of gastric cancer. </w:t>
      </w:r>
      <w:r w:rsidRPr="005C7810">
        <w:rPr>
          <w:rFonts w:ascii="Book Antiqua" w:eastAsia="等线" w:hAnsi="Book Antiqua" w:cs="Times New Roman"/>
          <w:i/>
          <w:kern w:val="2"/>
          <w:sz w:val="24"/>
          <w:szCs w:val="24"/>
          <w:lang w:val="en-US" w:eastAsia="zh-CN"/>
        </w:rPr>
        <w:t>World J Gastroenterol</w:t>
      </w:r>
      <w:r w:rsidRPr="005C7810">
        <w:rPr>
          <w:rFonts w:ascii="Book Antiqua" w:eastAsia="等线" w:hAnsi="Book Antiqua" w:cs="Times New Roman"/>
          <w:kern w:val="2"/>
          <w:sz w:val="24"/>
          <w:szCs w:val="24"/>
          <w:lang w:val="en-US" w:eastAsia="zh-CN"/>
        </w:rPr>
        <w:t xml:space="preserve"> 2006; </w:t>
      </w:r>
      <w:r w:rsidRPr="005C7810">
        <w:rPr>
          <w:rFonts w:ascii="Book Antiqua" w:eastAsia="等线" w:hAnsi="Book Antiqua" w:cs="Times New Roman"/>
          <w:b/>
          <w:kern w:val="2"/>
          <w:sz w:val="24"/>
          <w:szCs w:val="24"/>
          <w:lang w:val="en-US" w:eastAsia="zh-CN"/>
        </w:rPr>
        <w:t>12</w:t>
      </w:r>
      <w:r w:rsidRPr="005C7810">
        <w:rPr>
          <w:rFonts w:ascii="Book Antiqua" w:eastAsia="等线" w:hAnsi="Book Antiqua" w:cs="Times New Roman"/>
          <w:kern w:val="2"/>
          <w:sz w:val="24"/>
          <w:szCs w:val="24"/>
          <w:lang w:val="en-US" w:eastAsia="zh-CN"/>
        </w:rPr>
        <w:t>: 43-47 [PMID: 16440415 DOI: 10.3748/wjg.v12.i1.43]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213 </w:t>
      </w:r>
      <w:r w:rsidRPr="005C7810">
        <w:rPr>
          <w:rFonts w:ascii="Book Antiqua" w:eastAsia="等线" w:hAnsi="Book Antiqua" w:cs="Times New Roman"/>
          <w:b/>
          <w:kern w:val="2"/>
          <w:sz w:val="24"/>
          <w:szCs w:val="24"/>
          <w:lang w:val="en-US" w:eastAsia="zh-CN"/>
        </w:rPr>
        <w:t>Ono H</w:t>
      </w:r>
      <w:r w:rsidRPr="005C7810">
        <w:rPr>
          <w:rFonts w:ascii="Book Antiqua" w:eastAsia="等线" w:hAnsi="Book Antiqua" w:cs="Times New Roman"/>
          <w:kern w:val="2"/>
          <w:sz w:val="24"/>
          <w:szCs w:val="24"/>
          <w:lang w:val="en-US" w:eastAsia="zh-CN"/>
        </w:rPr>
        <w:t xml:space="preserve">, Kondo H, Gotoda T, Shirao K, Yamaguchi H, Saito D, Hosokawa K, Shimoda T, Yoshida S. Endoscopic mucosal resection for treatment of early gastric cancer. </w:t>
      </w:r>
      <w:r w:rsidRPr="005C7810">
        <w:rPr>
          <w:rFonts w:ascii="Book Antiqua" w:eastAsia="等线" w:hAnsi="Book Antiqua" w:cs="Times New Roman"/>
          <w:i/>
          <w:kern w:val="2"/>
          <w:sz w:val="24"/>
          <w:szCs w:val="24"/>
          <w:lang w:val="en-US" w:eastAsia="zh-CN"/>
        </w:rPr>
        <w:t>Gut</w:t>
      </w:r>
      <w:r w:rsidRPr="005C7810">
        <w:rPr>
          <w:rFonts w:ascii="Book Antiqua" w:eastAsia="等线" w:hAnsi="Book Antiqua" w:cs="Times New Roman"/>
          <w:kern w:val="2"/>
          <w:sz w:val="24"/>
          <w:szCs w:val="24"/>
          <w:lang w:val="en-US" w:eastAsia="zh-CN"/>
        </w:rPr>
        <w:t xml:space="preserve"> 2001; </w:t>
      </w:r>
      <w:r w:rsidRPr="005C7810">
        <w:rPr>
          <w:rFonts w:ascii="Book Antiqua" w:eastAsia="等线" w:hAnsi="Book Antiqua" w:cs="Times New Roman"/>
          <w:b/>
          <w:kern w:val="2"/>
          <w:sz w:val="24"/>
          <w:szCs w:val="24"/>
          <w:lang w:val="en-US" w:eastAsia="zh-CN"/>
        </w:rPr>
        <w:t>48</w:t>
      </w:r>
      <w:r w:rsidRPr="005C7810">
        <w:rPr>
          <w:rFonts w:ascii="Book Antiqua" w:eastAsia="等线" w:hAnsi="Book Antiqua" w:cs="Times New Roman"/>
          <w:kern w:val="2"/>
          <w:sz w:val="24"/>
          <w:szCs w:val="24"/>
          <w:lang w:val="en-US" w:eastAsia="zh-CN"/>
        </w:rPr>
        <w:t>: 225-229 [PMID: 11156645 DOI: 10.1136/gut.48.2.225]</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214 </w:t>
      </w:r>
      <w:r w:rsidRPr="005C7810">
        <w:rPr>
          <w:rFonts w:ascii="Book Antiqua" w:eastAsia="等线" w:hAnsi="Book Antiqua" w:cs="Times New Roman"/>
          <w:b/>
          <w:kern w:val="2"/>
          <w:sz w:val="24"/>
          <w:szCs w:val="24"/>
          <w:lang w:val="en-US" w:eastAsia="zh-CN"/>
        </w:rPr>
        <w:t>Gotoda T</w:t>
      </w:r>
      <w:r w:rsidRPr="005C7810">
        <w:rPr>
          <w:rFonts w:ascii="Book Antiqua" w:eastAsia="等线" w:hAnsi="Book Antiqua" w:cs="Times New Roman"/>
          <w:kern w:val="2"/>
          <w:sz w:val="24"/>
          <w:szCs w:val="24"/>
          <w:lang w:val="en-US" w:eastAsia="zh-CN"/>
        </w:rPr>
        <w:t xml:space="preserve">. Endoscopic resection of early gastric cancer. </w:t>
      </w:r>
      <w:r w:rsidRPr="005C7810">
        <w:rPr>
          <w:rFonts w:ascii="Book Antiqua" w:eastAsia="等线" w:hAnsi="Book Antiqua" w:cs="Times New Roman"/>
          <w:i/>
          <w:kern w:val="2"/>
          <w:sz w:val="24"/>
          <w:szCs w:val="24"/>
          <w:lang w:val="en-US" w:eastAsia="zh-CN"/>
        </w:rPr>
        <w:t>Gastric Cancer</w:t>
      </w:r>
      <w:r w:rsidRPr="005C7810">
        <w:rPr>
          <w:rFonts w:ascii="Book Antiqua" w:eastAsia="等线" w:hAnsi="Book Antiqua" w:cs="Times New Roman"/>
          <w:kern w:val="2"/>
          <w:sz w:val="24"/>
          <w:szCs w:val="24"/>
          <w:lang w:val="en-US" w:eastAsia="zh-CN"/>
        </w:rPr>
        <w:t xml:space="preserve"> 2007; </w:t>
      </w:r>
      <w:r w:rsidRPr="005C7810">
        <w:rPr>
          <w:rFonts w:ascii="Book Antiqua" w:eastAsia="等线" w:hAnsi="Book Antiqua" w:cs="Times New Roman"/>
          <w:b/>
          <w:kern w:val="2"/>
          <w:sz w:val="24"/>
          <w:szCs w:val="24"/>
          <w:lang w:val="en-US" w:eastAsia="zh-CN"/>
        </w:rPr>
        <w:t>10</w:t>
      </w:r>
      <w:r w:rsidRPr="005C7810">
        <w:rPr>
          <w:rFonts w:ascii="Book Antiqua" w:eastAsia="等线" w:hAnsi="Book Antiqua" w:cs="Times New Roman"/>
          <w:kern w:val="2"/>
          <w:sz w:val="24"/>
          <w:szCs w:val="24"/>
          <w:lang w:val="en-US" w:eastAsia="zh-CN"/>
        </w:rPr>
        <w:t>: 1-11 [PMID: 17334711 DOI: 10.1007/s10120-006-0408-1]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215 </w:t>
      </w:r>
      <w:r w:rsidRPr="005C7810">
        <w:rPr>
          <w:rFonts w:ascii="Book Antiqua" w:eastAsia="等线" w:hAnsi="Book Antiqua" w:cs="Times New Roman"/>
          <w:b/>
          <w:kern w:val="2"/>
          <w:sz w:val="24"/>
          <w:szCs w:val="24"/>
          <w:lang w:val="en-US" w:eastAsia="zh-CN"/>
        </w:rPr>
        <w:t>Cunningham D</w:t>
      </w:r>
      <w:r w:rsidRPr="005C7810">
        <w:rPr>
          <w:rFonts w:ascii="Book Antiqua" w:eastAsia="等线" w:hAnsi="Book Antiqua" w:cs="Times New Roman"/>
          <w:kern w:val="2"/>
          <w:sz w:val="24"/>
          <w:szCs w:val="24"/>
          <w:lang w:val="en-US" w:eastAsia="zh-CN"/>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5C7810">
        <w:rPr>
          <w:rFonts w:ascii="Book Antiqua" w:eastAsia="等线" w:hAnsi="Book Antiqua" w:cs="Times New Roman"/>
          <w:i/>
          <w:kern w:val="2"/>
          <w:sz w:val="24"/>
          <w:szCs w:val="24"/>
          <w:lang w:val="en-US" w:eastAsia="zh-CN"/>
        </w:rPr>
        <w:t>N Engl J Med</w:t>
      </w:r>
      <w:r w:rsidRPr="005C7810">
        <w:rPr>
          <w:rFonts w:ascii="Book Antiqua" w:eastAsia="等线" w:hAnsi="Book Antiqua" w:cs="Times New Roman"/>
          <w:kern w:val="2"/>
          <w:sz w:val="24"/>
          <w:szCs w:val="24"/>
          <w:lang w:val="en-US" w:eastAsia="zh-CN"/>
        </w:rPr>
        <w:t xml:space="preserve"> 2006; </w:t>
      </w:r>
      <w:r w:rsidRPr="005C7810">
        <w:rPr>
          <w:rFonts w:ascii="Book Antiqua" w:eastAsia="等线" w:hAnsi="Book Antiqua" w:cs="Times New Roman"/>
          <w:b/>
          <w:kern w:val="2"/>
          <w:sz w:val="24"/>
          <w:szCs w:val="24"/>
          <w:lang w:val="en-US" w:eastAsia="zh-CN"/>
        </w:rPr>
        <w:t>355</w:t>
      </w:r>
      <w:r w:rsidRPr="005C7810">
        <w:rPr>
          <w:rFonts w:ascii="Book Antiqua" w:eastAsia="等线" w:hAnsi="Book Antiqua" w:cs="Times New Roman"/>
          <w:kern w:val="2"/>
          <w:sz w:val="24"/>
          <w:szCs w:val="24"/>
          <w:lang w:val="en-US" w:eastAsia="zh-CN"/>
        </w:rPr>
        <w:t>: 11-20 [PMID: 16822992 DOI: 10.1056/NEJMoa055531]</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216 </w:t>
      </w:r>
      <w:r w:rsidRPr="005C7810">
        <w:rPr>
          <w:rFonts w:ascii="Book Antiqua" w:eastAsia="等线" w:hAnsi="Book Antiqua" w:cs="Times New Roman"/>
          <w:b/>
          <w:kern w:val="2"/>
          <w:sz w:val="24"/>
          <w:szCs w:val="24"/>
          <w:lang w:val="en-US" w:eastAsia="zh-CN"/>
        </w:rPr>
        <w:t>Mongan AM</w:t>
      </w:r>
      <w:r w:rsidRPr="005C7810">
        <w:rPr>
          <w:rFonts w:ascii="Book Antiqua" w:eastAsia="等线" w:hAnsi="Book Antiqua" w:cs="Times New Roman"/>
          <w:kern w:val="2"/>
          <w:sz w:val="24"/>
          <w:szCs w:val="24"/>
          <w:lang w:val="en-US" w:eastAsia="zh-CN"/>
        </w:rPr>
        <w:t xml:space="preserve">, Kalachand R, King S, O'Farrell NJ, Power D, Ravi N, Muldoon C, O'Byrne K, Reynolds JV. Outcomes in gastric and junctional cancer using neoadjuvant and adjuvant chemotherapy (epirubicin, oxaliplatin, and capecitabine) and radical surgery. </w:t>
      </w:r>
      <w:r w:rsidRPr="005C7810">
        <w:rPr>
          <w:rFonts w:ascii="Book Antiqua" w:eastAsia="等线" w:hAnsi="Book Antiqua" w:cs="Times New Roman"/>
          <w:i/>
          <w:kern w:val="2"/>
          <w:sz w:val="24"/>
          <w:szCs w:val="24"/>
          <w:lang w:val="en-US" w:eastAsia="zh-CN"/>
        </w:rPr>
        <w:t>Ir J Med Sci</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184</w:t>
      </w:r>
      <w:r w:rsidRPr="005C7810">
        <w:rPr>
          <w:rFonts w:ascii="Book Antiqua" w:eastAsia="等线" w:hAnsi="Book Antiqua" w:cs="Times New Roman"/>
          <w:kern w:val="2"/>
          <w:sz w:val="24"/>
          <w:szCs w:val="24"/>
          <w:lang w:val="en-US" w:eastAsia="zh-CN"/>
        </w:rPr>
        <w:t>: 417-423 [PMID: 24879337 DOI: 10.1007/s11845-014-1135-y]</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217 </w:t>
      </w:r>
      <w:r w:rsidRPr="005C7810">
        <w:rPr>
          <w:rFonts w:ascii="Book Antiqua" w:eastAsia="等线" w:hAnsi="Book Antiqua" w:cs="Times New Roman"/>
          <w:b/>
          <w:kern w:val="2"/>
          <w:sz w:val="24"/>
          <w:szCs w:val="24"/>
          <w:lang w:val="en-US" w:eastAsia="zh-CN"/>
        </w:rPr>
        <w:t>Alameddine RS</w:t>
      </w:r>
      <w:r w:rsidRPr="005C7810">
        <w:rPr>
          <w:rFonts w:ascii="Book Antiqua" w:eastAsia="等线" w:hAnsi="Book Antiqua" w:cs="Times New Roman"/>
          <w:kern w:val="2"/>
          <w:sz w:val="24"/>
          <w:szCs w:val="24"/>
          <w:lang w:val="en-US" w:eastAsia="zh-CN"/>
        </w:rPr>
        <w:t xml:space="preserve">, Otrock ZK, Awada A, Shamseddine A. Crosstalk between HER2 signaling and angiogenesis in breast cancer: molecular basis, clinical applications and challenges. </w:t>
      </w:r>
      <w:r w:rsidRPr="005C7810">
        <w:rPr>
          <w:rFonts w:ascii="Book Antiqua" w:eastAsia="等线" w:hAnsi="Book Antiqua" w:cs="Times New Roman"/>
          <w:i/>
          <w:kern w:val="2"/>
          <w:sz w:val="24"/>
          <w:szCs w:val="24"/>
          <w:lang w:val="en-US" w:eastAsia="zh-CN"/>
        </w:rPr>
        <w:t>Curr Opin Oncol</w:t>
      </w:r>
      <w:r w:rsidRPr="005C7810">
        <w:rPr>
          <w:rFonts w:ascii="Book Antiqua" w:eastAsia="等线" w:hAnsi="Book Antiqua" w:cs="Times New Roman"/>
          <w:kern w:val="2"/>
          <w:sz w:val="24"/>
          <w:szCs w:val="24"/>
          <w:lang w:val="en-US" w:eastAsia="zh-CN"/>
        </w:rPr>
        <w:t xml:space="preserve"> 2013; </w:t>
      </w:r>
      <w:r w:rsidRPr="005C7810">
        <w:rPr>
          <w:rFonts w:ascii="Book Antiqua" w:eastAsia="等线" w:hAnsi="Book Antiqua" w:cs="Times New Roman"/>
          <w:b/>
          <w:kern w:val="2"/>
          <w:sz w:val="24"/>
          <w:szCs w:val="24"/>
          <w:lang w:val="en-US" w:eastAsia="zh-CN"/>
        </w:rPr>
        <w:t>25</w:t>
      </w:r>
      <w:r w:rsidRPr="005C7810">
        <w:rPr>
          <w:rFonts w:ascii="Book Antiqua" w:eastAsia="等线" w:hAnsi="Book Antiqua" w:cs="Times New Roman"/>
          <w:kern w:val="2"/>
          <w:sz w:val="24"/>
          <w:szCs w:val="24"/>
          <w:lang w:val="en-US" w:eastAsia="zh-CN"/>
        </w:rPr>
        <w:t>: 313-324 [PMID: 23518595 DOI: 10.1097/CCO.0b013e32835ff362]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218 </w:t>
      </w:r>
      <w:r w:rsidRPr="005C7810">
        <w:rPr>
          <w:rFonts w:ascii="Book Antiqua" w:eastAsia="等线" w:hAnsi="Book Antiqua" w:cs="Times New Roman"/>
          <w:b/>
          <w:kern w:val="2"/>
          <w:sz w:val="24"/>
          <w:szCs w:val="24"/>
          <w:lang w:val="en-US" w:eastAsia="zh-CN"/>
        </w:rPr>
        <w:t>Tehfe M</w:t>
      </w:r>
      <w:r w:rsidRPr="005C7810">
        <w:rPr>
          <w:rFonts w:ascii="Book Antiqua" w:eastAsia="等线" w:hAnsi="Book Antiqua" w:cs="Times New Roman"/>
          <w:kern w:val="2"/>
          <w:sz w:val="24"/>
          <w:szCs w:val="24"/>
          <w:lang w:val="en-US" w:eastAsia="zh-CN"/>
        </w:rPr>
        <w:t xml:space="preserve">, Tabchi S, Laterza MM, De Vita F. Ramucirumab in HER-2-positive gastroesophageal adenocarcinoma: an argument for overcoming trastuzumab resistance. </w:t>
      </w:r>
      <w:r w:rsidRPr="005C7810">
        <w:rPr>
          <w:rFonts w:ascii="Book Antiqua" w:eastAsia="等线" w:hAnsi="Book Antiqua" w:cs="Times New Roman"/>
          <w:i/>
          <w:kern w:val="2"/>
          <w:sz w:val="24"/>
          <w:szCs w:val="24"/>
          <w:lang w:val="en-US" w:eastAsia="zh-CN"/>
        </w:rPr>
        <w:t>Future Oncol</w:t>
      </w:r>
      <w:r w:rsidRPr="005C7810">
        <w:rPr>
          <w:rFonts w:ascii="Book Antiqua" w:eastAsia="等线" w:hAnsi="Book Antiqua" w:cs="Times New Roman"/>
          <w:kern w:val="2"/>
          <w:sz w:val="24"/>
          <w:szCs w:val="24"/>
          <w:lang w:val="en-US" w:eastAsia="zh-CN"/>
        </w:rPr>
        <w:t xml:space="preserve"> 2018; </w:t>
      </w:r>
      <w:r w:rsidRPr="005C7810">
        <w:rPr>
          <w:rFonts w:ascii="Book Antiqua" w:eastAsia="等线" w:hAnsi="Book Antiqua" w:cs="Times New Roman"/>
          <w:b/>
          <w:kern w:val="2"/>
          <w:sz w:val="24"/>
          <w:szCs w:val="24"/>
          <w:lang w:val="en-US" w:eastAsia="zh-CN"/>
        </w:rPr>
        <w:t>14</w:t>
      </w:r>
      <w:r w:rsidRPr="005C7810">
        <w:rPr>
          <w:rFonts w:ascii="Book Antiqua" w:eastAsia="等线" w:hAnsi="Book Antiqua" w:cs="Times New Roman"/>
          <w:kern w:val="2"/>
          <w:sz w:val="24"/>
          <w:szCs w:val="24"/>
          <w:lang w:val="en-US" w:eastAsia="zh-CN"/>
        </w:rPr>
        <w:t>: 223-228 [PMID: 29318901 DOI: 10.2217/fon-2017-0434]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219 </w:t>
      </w:r>
      <w:r w:rsidRPr="005C7810">
        <w:rPr>
          <w:rFonts w:ascii="Book Antiqua" w:eastAsia="等线" w:hAnsi="Book Antiqua" w:cs="Times New Roman"/>
          <w:b/>
          <w:kern w:val="2"/>
          <w:sz w:val="24"/>
          <w:szCs w:val="24"/>
          <w:lang w:val="en-US" w:eastAsia="zh-CN"/>
        </w:rPr>
        <w:t>De Vita F</w:t>
      </w:r>
      <w:r w:rsidRPr="005C7810">
        <w:rPr>
          <w:rFonts w:ascii="Book Antiqua" w:eastAsia="等线" w:hAnsi="Book Antiqua" w:cs="Times New Roman"/>
          <w:kern w:val="2"/>
          <w:sz w:val="24"/>
          <w:szCs w:val="24"/>
          <w:lang w:val="en-US" w:eastAsia="zh-CN"/>
        </w:rPr>
        <w:t xml:space="preserve">, Borg C, Farina G, Geva R, Carton I, Cuku H, Wei R, Muro K. Ramucirumab and paclitaxel in patients with gastric cancer and prior trastuzumab: subgroup analysis from RAINBOW study. </w:t>
      </w:r>
      <w:r w:rsidRPr="005C7810">
        <w:rPr>
          <w:rFonts w:ascii="Book Antiqua" w:eastAsia="等线" w:hAnsi="Book Antiqua" w:cs="Times New Roman"/>
          <w:i/>
          <w:kern w:val="2"/>
          <w:sz w:val="24"/>
          <w:szCs w:val="24"/>
          <w:lang w:val="en-US" w:eastAsia="zh-CN"/>
        </w:rPr>
        <w:t>Future Oncol</w:t>
      </w:r>
      <w:r w:rsidRPr="005C7810">
        <w:rPr>
          <w:rFonts w:ascii="Book Antiqua" w:eastAsia="等线" w:hAnsi="Book Antiqua" w:cs="Times New Roman"/>
          <w:kern w:val="2"/>
          <w:sz w:val="24"/>
          <w:szCs w:val="24"/>
          <w:lang w:val="en-US" w:eastAsia="zh-CN"/>
        </w:rPr>
        <w:t xml:space="preserve"> 2019; </w:t>
      </w:r>
      <w:r w:rsidRPr="005C7810">
        <w:rPr>
          <w:rFonts w:ascii="Book Antiqua" w:eastAsia="等线" w:hAnsi="Book Antiqua" w:cs="Times New Roman"/>
          <w:b/>
          <w:kern w:val="2"/>
          <w:sz w:val="24"/>
          <w:szCs w:val="24"/>
          <w:lang w:val="en-US" w:eastAsia="zh-CN"/>
        </w:rPr>
        <w:t>15</w:t>
      </w:r>
      <w:r w:rsidRPr="005C7810">
        <w:rPr>
          <w:rFonts w:ascii="Book Antiqua" w:eastAsia="等线" w:hAnsi="Book Antiqua" w:cs="Times New Roman"/>
          <w:kern w:val="2"/>
          <w:sz w:val="24"/>
          <w:szCs w:val="24"/>
          <w:lang w:val="en-US" w:eastAsia="zh-CN"/>
        </w:rPr>
        <w:t>: 2723-2731 [PMID: 31234645 DOI: 10.2217/fon-2019-0243]</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220 </w:t>
      </w:r>
      <w:r w:rsidRPr="005C7810">
        <w:rPr>
          <w:rFonts w:ascii="Book Antiqua" w:eastAsia="等线" w:hAnsi="Book Antiqua" w:cs="Times New Roman"/>
          <w:b/>
          <w:kern w:val="2"/>
          <w:sz w:val="24"/>
          <w:szCs w:val="24"/>
          <w:lang w:val="en-US" w:eastAsia="zh-CN"/>
        </w:rPr>
        <w:t>Patnaik A,</w:t>
      </w:r>
      <w:r w:rsidRPr="005C7810">
        <w:rPr>
          <w:rFonts w:ascii="Book Antiqua" w:eastAsia="等线" w:hAnsi="Book Antiqua" w:cs="Times New Roman"/>
          <w:kern w:val="2"/>
          <w:sz w:val="24"/>
          <w:szCs w:val="24"/>
          <w:lang w:val="en-US" w:eastAsia="zh-CN"/>
        </w:rPr>
        <w:t xml:space="preserve"> Camidge D. Sym015 (Anti-MET) in patients with advanced solid tumor malignancies. In: ClinicalTrials.gov [Internet]. Bethesda (MD): U.S. National Library of Medicine. Available from: https//clinicaltrials.gov/show/NCT02648724 ClinicalTrials.gov Identifier: NCT02648724</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221 </w:t>
      </w:r>
      <w:r w:rsidRPr="005C7810">
        <w:rPr>
          <w:rFonts w:ascii="Book Antiqua" w:eastAsia="等线" w:hAnsi="Book Antiqua" w:cs="Times New Roman"/>
          <w:b/>
          <w:kern w:val="2"/>
          <w:sz w:val="24"/>
          <w:szCs w:val="24"/>
          <w:lang w:val="en-US" w:eastAsia="zh-CN"/>
        </w:rPr>
        <w:t>Poulsen TT</w:t>
      </w:r>
      <w:r w:rsidRPr="005C7810">
        <w:rPr>
          <w:rFonts w:ascii="Book Antiqua" w:eastAsia="等线" w:hAnsi="Book Antiqua" w:cs="Times New Roman"/>
          <w:kern w:val="2"/>
          <w:sz w:val="24"/>
          <w:szCs w:val="24"/>
          <w:lang w:val="en-US" w:eastAsia="zh-CN"/>
        </w:rPr>
        <w:t xml:space="preserve">, Grandal MM, Skartved NJØ, Hald R, Alifrangis L, Koefoed K, Lindsted T, Fröhlich C, Pollmann SE, Eriksen KW, Dahlman A, Jacobsen HJ, Bouquin T, Pedersen MW, Horak ID, Lantto J, Kragh M. Sym015: A Highly Efficacious Antibody Mixture against </w:t>
      </w:r>
      <w:r w:rsidRPr="005C7810">
        <w:rPr>
          <w:rFonts w:ascii="Book Antiqua" w:eastAsia="等线" w:hAnsi="Book Antiqua" w:cs="Times New Roman"/>
          <w:i/>
          <w:iCs/>
          <w:kern w:val="2"/>
          <w:sz w:val="24"/>
          <w:szCs w:val="24"/>
          <w:lang w:val="en-US" w:eastAsia="zh-CN"/>
        </w:rPr>
        <w:t>MET</w:t>
      </w:r>
      <w:r w:rsidRPr="005C7810">
        <w:rPr>
          <w:rFonts w:ascii="Book Antiqua" w:eastAsia="等线" w:hAnsi="Book Antiqua" w:cs="Times New Roman"/>
          <w:kern w:val="2"/>
          <w:sz w:val="24"/>
          <w:szCs w:val="24"/>
          <w:lang w:val="en-US" w:eastAsia="zh-CN"/>
        </w:rPr>
        <w:t xml:space="preserve">-Amplified Tumors. </w:t>
      </w:r>
      <w:r w:rsidRPr="005C7810">
        <w:rPr>
          <w:rFonts w:ascii="Book Antiqua" w:eastAsia="等线" w:hAnsi="Book Antiqua" w:cs="Times New Roman"/>
          <w:i/>
          <w:kern w:val="2"/>
          <w:sz w:val="24"/>
          <w:szCs w:val="24"/>
          <w:lang w:val="en-US" w:eastAsia="zh-CN"/>
        </w:rPr>
        <w:t>Clin Cancer Res</w:t>
      </w:r>
      <w:r w:rsidRPr="005C7810">
        <w:rPr>
          <w:rFonts w:ascii="Book Antiqua" w:eastAsia="等线" w:hAnsi="Book Antiqua" w:cs="Times New Roman"/>
          <w:kern w:val="2"/>
          <w:sz w:val="24"/>
          <w:szCs w:val="24"/>
          <w:lang w:val="en-US" w:eastAsia="zh-CN"/>
        </w:rPr>
        <w:t xml:space="preserve"> 2017; </w:t>
      </w:r>
      <w:r w:rsidRPr="005C7810">
        <w:rPr>
          <w:rFonts w:ascii="Book Antiqua" w:eastAsia="等线" w:hAnsi="Book Antiqua" w:cs="Times New Roman"/>
          <w:b/>
          <w:kern w:val="2"/>
          <w:sz w:val="24"/>
          <w:szCs w:val="24"/>
          <w:lang w:val="en-US" w:eastAsia="zh-CN"/>
        </w:rPr>
        <w:t>23</w:t>
      </w:r>
      <w:r w:rsidRPr="005C7810">
        <w:rPr>
          <w:rFonts w:ascii="Book Antiqua" w:eastAsia="等线" w:hAnsi="Book Antiqua" w:cs="Times New Roman"/>
          <w:kern w:val="2"/>
          <w:sz w:val="24"/>
          <w:szCs w:val="24"/>
          <w:lang w:val="en-US" w:eastAsia="zh-CN"/>
        </w:rPr>
        <w:t>: 5923-5935 [PMID: 28679766 DOI: 10.1158/1078-0432.CCR-17-0782]</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222 </w:t>
      </w:r>
      <w:r w:rsidRPr="005C7810">
        <w:rPr>
          <w:rFonts w:ascii="Book Antiqua" w:eastAsia="等线" w:hAnsi="Book Antiqua" w:cs="Times New Roman"/>
          <w:b/>
          <w:kern w:val="2"/>
          <w:sz w:val="24"/>
          <w:szCs w:val="24"/>
          <w:lang w:val="en-US" w:eastAsia="zh-CN"/>
        </w:rPr>
        <w:t>Pedersen MW</w:t>
      </w:r>
      <w:r w:rsidRPr="005C7810">
        <w:rPr>
          <w:rFonts w:ascii="Book Antiqua" w:eastAsia="等线" w:hAnsi="Book Antiqua" w:cs="Times New Roman"/>
          <w:kern w:val="2"/>
          <w:sz w:val="24"/>
          <w:szCs w:val="24"/>
          <w:lang w:val="en-US" w:eastAsia="zh-CN"/>
        </w:rPr>
        <w:t xml:space="preserve">, Jacobsen HJ, Koefoed K, Dahlman A, Kjær I, Poulsen TT, Meijer PJ, Nielsen LS, Horak ID, Lantto J, Kragh M. Targeting Three Distinct HER2 Domains with a Recombinant Antibody Mixture Overcomes Trastuzumab Resistance. </w:t>
      </w:r>
      <w:r w:rsidRPr="005C7810">
        <w:rPr>
          <w:rFonts w:ascii="Book Antiqua" w:eastAsia="等线" w:hAnsi="Book Antiqua" w:cs="Times New Roman"/>
          <w:i/>
          <w:kern w:val="2"/>
          <w:sz w:val="24"/>
          <w:szCs w:val="24"/>
          <w:lang w:val="en-US" w:eastAsia="zh-CN"/>
        </w:rPr>
        <w:t>Mol Cancer Ther</w:t>
      </w:r>
      <w:r w:rsidRPr="005C7810">
        <w:rPr>
          <w:rFonts w:ascii="Book Antiqua" w:eastAsia="等线" w:hAnsi="Book Antiqua" w:cs="Times New Roman"/>
          <w:kern w:val="2"/>
          <w:sz w:val="24"/>
          <w:szCs w:val="24"/>
          <w:lang w:val="en-US" w:eastAsia="zh-CN"/>
        </w:rPr>
        <w:t xml:space="preserve"> 2015; </w:t>
      </w:r>
      <w:r w:rsidRPr="005C7810">
        <w:rPr>
          <w:rFonts w:ascii="Book Antiqua" w:eastAsia="等线" w:hAnsi="Book Antiqua" w:cs="Times New Roman"/>
          <w:b/>
          <w:kern w:val="2"/>
          <w:sz w:val="24"/>
          <w:szCs w:val="24"/>
          <w:lang w:val="en-US" w:eastAsia="zh-CN"/>
        </w:rPr>
        <w:t>14</w:t>
      </w:r>
      <w:r w:rsidRPr="005C7810">
        <w:rPr>
          <w:rFonts w:ascii="Book Antiqua" w:eastAsia="等线" w:hAnsi="Book Antiqua" w:cs="Times New Roman"/>
          <w:kern w:val="2"/>
          <w:sz w:val="24"/>
          <w:szCs w:val="24"/>
          <w:lang w:val="en-US" w:eastAsia="zh-CN"/>
        </w:rPr>
        <w:t>: 669-680 [PMID: 25612619 DOI: 10.1158/1535-7163.MCT-14-0697]</w:t>
      </w:r>
    </w:p>
    <w:p w:rsidR="00443AE1" w:rsidRPr="005C7810" w:rsidRDefault="00443AE1" w:rsidP="00CD380F">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5C7810">
        <w:rPr>
          <w:rFonts w:ascii="Book Antiqua" w:eastAsia="等线" w:hAnsi="Book Antiqua" w:cs="Times New Roman"/>
          <w:kern w:val="2"/>
          <w:sz w:val="24"/>
          <w:szCs w:val="24"/>
          <w:lang w:val="en-US" w:eastAsia="zh-CN"/>
        </w:rPr>
        <w:t xml:space="preserve">223 </w:t>
      </w:r>
      <w:r w:rsidRPr="005C7810">
        <w:rPr>
          <w:rFonts w:ascii="Book Antiqua" w:eastAsia="等线" w:hAnsi="Book Antiqua" w:cs="Times New Roman"/>
          <w:b/>
          <w:kern w:val="2"/>
          <w:sz w:val="24"/>
          <w:szCs w:val="24"/>
          <w:lang w:val="en-US" w:eastAsia="zh-CN"/>
        </w:rPr>
        <w:t>Mateo J</w:t>
      </w:r>
      <w:r w:rsidRPr="005C7810">
        <w:rPr>
          <w:rFonts w:ascii="Book Antiqua" w:eastAsia="等线" w:hAnsi="Book Antiqua" w:cs="Times New Roman"/>
          <w:kern w:val="2"/>
          <w:sz w:val="24"/>
          <w:szCs w:val="24"/>
          <w:lang w:val="en-US" w:eastAsia="zh-CN"/>
        </w:rPr>
        <w:t xml:space="preserve">, Lord CJ, Serra V, Tutt A, Balmaña J, Castroviejo-Bermejo M, Cruz C, Oaknin A, Kaye SB, de Bono JS. A decade of clinical development of PARP inhibitors in perspective. </w:t>
      </w:r>
      <w:r w:rsidRPr="005C7810">
        <w:rPr>
          <w:rFonts w:ascii="Book Antiqua" w:eastAsia="等线" w:hAnsi="Book Antiqua" w:cs="Times New Roman"/>
          <w:i/>
          <w:kern w:val="2"/>
          <w:sz w:val="24"/>
          <w:szCs w:val="24"/>
          <w:lang w:val="en-US" w:eastAsia="zh-CN"/>
        </w:rPr>
        <w:t>Ann Oncol</w:t>
      </w:r>
      <w:r w:rsidRPr="005C7810">
        <w:rPr>
          <w:rFonts w:ascii="Book Antiqua" w:eastAsia="等线" w:hAnsi="Book Antiqua" w:cs="Times New Roman"/>
          <w:kern w:val="2"/>
          <w:sz w:val="24"/>
          <w:szCs w:val="24"/>
          <w:lang w:val="en-US" w:eastAsia="zh-CN"/>
        </w:rPr>
        <w:t xml:space="preserve"> 2019 [PMID: 31218365 DOI: 10.1093/annonc/mdz192]</w:t>
      </w:r>
    </w:p>
    <w:p w:rsidR="00443AE1" w:rsidRPr="005C7810" w:rsidRDefault="00443AE1" w:rsidP="00CD380F">
      <w:pPr>
        <w:widowControl w:val="0"/>
        <w:suppressAutoHyphens w:val="0"/>
        <w:spacing w:after="0" w:line="360" w:lineRule="auto"/>
        <w:jc w:val="both"/>
        <w:rPr>
          <w:rFonts w:ascii="Book Antiqua" w:eastAsia="等线" w:hAnsi="Book Antiqua" w:cs="Times New Roman"/>
          <w:bCs/>
          <w:kern w:val="2"/>
          <w:sz w:val="24"/>
          <w:szCs w:val="24"/>
          <w:lang w:val="en-US" w:eastAsia="zh-CN"/>
        </w:rPr>
      </w:pPr>
      <w:r w:rsidRPr="005C7810">
        <w:rPr>
          <w:rFonts w:ascii="Book Antiqua" w:eastAsia="等线" w:hAnsi="Book Antiqua" w:cs="Times New Roman"/>
          <w:kern w:val="2"/>
          <w:sz w:val="24"/>
          <w:szCs w:val="24"/>
          <w:lang w:val="en-US" w:eastAsia="zh-CN"/>
        </w:rPr>
        <w:t xml:space="preserve">224 </w:t>
      </w:r>
      <w:r w:rsidRPr="005C7810">
        <w:rPr>
          <w:rFonts w:ascii="Book Antiqua" w:eastAsia="等线" w:hAnsi="Book Antiqua" w:cs="Times New Roman"/>
          <w:b/>
          <w:kern w:val="2"/>
          <w:sz w:val="24"/>
          <w:szCs w:val="24"/>
          <w:lang w:val="en-US" w:eastAsia="zh-CN"/>
        </w:rPr>
        <w:t xml:space="preserve">Pilié PG, </w:t>
      </w:r>
      <w:r w:rsidRPr="005C7810">
        <w:rPr>
          <w:rFonts w:ascii="Book Antiqua" w:eastAsia="等线" w:hAnsi="Book Antiqua" w:cs="Times New Roman"/>
          <w:bCs/>
          <w:kern w:val="2"/>
          <w:sz w:val="24"/>
          <w:szCs w:val="24"/>
          <w:lang w:val="en-US" w:eastAsia="zh-CN"/>
        </w:rPr>
        <w:t xml:space="preserve">Gay CM, Byers LA, O'Connor MJ, Yap TA. PARP Inhibitors: Extending Benefit Beyond </w:t>
      </w:r>
      <w:r w:rsidRPr="005C7810">
        <w:rPr>
          <w:rFonts w:ascii="Book Antiqua" w:eastAsia="等线" w:hAnsi="Book Antiqua" w:cs="Times New Roman"/>
          <w:bCs/>
          <w:i/>
          <w:iCs/>
          <w:kern w:val="2"/>
          <w:sz w:val="24"/>
          <w:szCs w:val="24"/>
          <w:lang w:val="en-US" w:eastAsia="zh-CN"/>
        </w:rPr>
        <w:t>BRCA</w:t>
      </w:r>
      <w:r w:rsidRPr="005C7810">
        <w:rPr>
          <w:rFonts w:ascii="Book Antiqua" w:eastAsia="等线" w:hAnsi="Book Antiqua" w:cs="Times New Roman"/>
          <w:bCs/>
          <w:kern w:val="2"/>
          <w:sz w:val="24"/>
          <w:szCs w:val="24"/>
          <w:lang w:val="en-US" w:eastAsia="zh-CN"/>
        </w:rPr>
        <w:t xml:space="preserve">-Mutant Cancers. </w:t>
      </w:r>
      <w:r w:rsidRPr="005C7810">
        <w:rPr>
          <w:rFonts w:ascii="Book Antiqua" w:eastAsia="等线" w:hAnsi="Book Antiqua" w:cs="Times New Roman"/>
          <w:bCs/>
          <w:i/>
          <w:iCs/>
          <w:kern w:val="2"/>
          <w:sz w:val="24"/>
          <w:szCs w:val="24"/>
          <w:lang w:val="en-US" w:eastAsia="zh-CN"/>
        </w:rPr>
        <w:t>Clin Cancer Res</w:t>
      </w:r>
      <w:r w:rsidRPr="005C7810">
        <w:rPr>
          <w:rFonts w:ascii="Book Antiqua" w:eastAsia="等线" w:hAnsi="Book Antiqua" w:cs="Times New Roman"/>
          <w:bCs/>
          <w:kern w:val="2"/>
          <w:sz w:val="24"/>
          <w:szCs w:val="24"/>
          <w:lang w:val="en-US" w:eastAsia="zh-CN"/>
        </w:rPr>
        <w:t xml:space="preserve"> 2019; </w:t>
      </w:r>
      <w:r w:rsidRPr="005C7810">
        <w:rPr>
          <w:rFonts w:ascii="Book Antiqua" w:eastAsia="等线" w:hAnsi="Book Antiqua" w:cs="Times New Roman"/>
          <w:b/>
          <w:kern w:val="2"/>
          <w:sz w:val="24"/>
          <w:szCs w:val="24"/>
          <w:lang w:val="en-US" w:eastAsia="zh-CN"/>
        </w:rPr>
        <w:t>25</w:t>
      </w:r>
      <w:r w:rsidRPr="005C7810">
        <w:rPr>
          <w:rFonts w:ascii="Book Antiqua" w:eastAsia="等线" w:hAnsi="Book Antiqua" w:cs="Times New Roman"/>
          <w:bCs/>
          <w:kern w:val="2"/>
          <w:sz w:val="24"/>
          <w:szCs w:val="24"/>
          <w:lang w:val="en-US" w:eastAsia="zh-CN"/>
        </w:rPr>
        <w:t>: 3759-3771 [PMID: 30760478 DOI: 10.1158/1078-0432.CCR-18-0968]</w:t>
      </w:r>
    </w:p>
    <w:p w:rsidR="00443AE1" w:rsidRPr="005C7810" w:rsidRDefault="00443AE1" w:rsidP="00CD380F">
      <w:pPr>
        <w:shd w:val="clear" w:color="auto" w:fill="FFFFFF"/>
        <w:snapToGrid w:val="0"/>
        <w:spacing w:after="0" w:line="360" w:lineRule="auto"/>
        <w:jc w:val="both"/>
        <w:rPr>
          <w:rFonts w:ascii="Book Antiqua" w:hAnsi="Book Antiqua" w:cs="Times New Roman"/>
          <w:b/>
          <w:sz w:val="24"/>
          <w:szCs w:val="24"/>
          <w:lang w:val="en-US"/>
        </w:rPr>
      </w:pPr>
    </w:p>
    <w:p w:rsidR="0062555A" w:rsidRPr="005C7810" w:rsidRDefault="0062555A" w:rsidP="00CD380F">
      <w:pPr>
        <w:widowControl w:val="0"/>
        <w:autoSpaceDE w:val="0"/>
        <w:autoSpaceDN w:val="0"/>
        <w:adjustRightInd w:val="0"/>
        <w:spacing w:after="0" w:line="360" w:lineRule="auto"/>
        <w:ind w:hanging="640"/>
        <w:jc w:val="both"/>
        <w:rPr>
          <w:rFonts w:ascii="Book Antiqua" w:hAnsi="Book Antiqua"/>
          <w:sz w:val="28"/>
          <w:szCs w:val="28"/>
          <w:lang w:val="en-US"/>
        </w:rPr>
      </w:pPr>
    </w:p>
    <w:p w:rsidR="00AD6739" w:rsidRPr="006C5F25" w:rsidRDefault="00AD6739" w:rsidP="00CD380F">
      <w:pPr>
        <w:spacing w:after="0" w:line="360" w:lineRule="auto"/>
        <w:jc w:val="right"/>
        <w:rPr>
          <w:rFonts w:ascii="Book Antiqua" w:hAnsi="Book Antiqua" w:cs="Mangal" w:hint="eastAsia"/>
          <w:b/>
          <w:bCs/>
          <w:sz w:val="28"/>
          <w:szCs w:val="24"/>
          <w:lang w:eastAsia="zh-CN" w:bidi="hi-IN"/>
        </w:rPr>
      </w:pPr>
      <w:bookmarkStart w:id="139" w:name="OLE_LINK502"/>
      <w:bookmarkStart w:id="140" w:name="OLE_LINK480"/>
      <w:bookmarkStart w:id="141" w:name="OLE_LINK2090"/>
      <w:bookmarkStart w:id="142" w:name="OLE_LINK2200"/>
      <w:bookmarkStart w:id="143" w:name="OLE_LINK2199"/>
      <w:bookmarkStart w:id="144" w:name="OLE_LINK2198"/>
      <w:bookmarkStart w:id="145" w:name="OLE_LINK2162"/>
      <w:bookmarkStart w:id="146" w:name="OLE_LINK1963"/>
      <w:bookmarkStart w:id="147" w:name="OLE_LINK1962"/>
      <w:bookmarkStart w:id="148" w:name="OLE_LINK1812"/>
      <w:bookmarkStart w:id="149" w:name="OLE_LINK1811"/>
      <w:bookmarkStart w:id="150" w:name="OLE_LINK1807"/>
      <w:bookmarkStart w:id="151" w:name="OLE_LINK1806"/>
      <w:bookmarkStart w:id="152" w:name="OLE_LINK1636"/>
      <w:bookmarkStart w:id="153" w:name="OLE_LINK1845"/>
      <w:bookmarkStart w:id="154" w:name="OLE_LINK1844"/>
      <w:bookmarkStart w:id="155" w:name="OLE_LINK1843"/>
      <w:bookmarkStart w:id="156" w:name="OLE_LINK1803"/>
      <w:bookmarkStart w:id="157" w:name="OLE_LINK1802"/>
      <w:bookmarkStart w:id="158" w:name="OLE_LINK1801"/>
      <w:bookmarkStart w:id="159" w:name="OLE_LINK1800"/>
      <w:bookmarkStart w:id="160" w:name="OLE_LINK1282"/>
      <w:bookmarkStart w:id="161" w:name="OLE_LINK1266"/>
      <w:bookmarkStart w:id="162" w:name="OLE_LINK1264"/>
      <w:bookmarkStart w:id="163" w:name="OLE_LINK1261"/>
      <w:bookmarkStart w:id="164" w:name="OLE_LINK1260"/>
      <w:bookmarkStart w:id="165" w:name="OLE_LINK1044"/>
      <w:bookmarkStart w:id="166" w:name="OLE_LINK1043"/>
      <w:bookmarkStart w:id="167" w:name="OLE_LINK1039"/>
      <w:bookmarkStart w:id="168" w:name="OLE_LINK1038"/>
      <w:bookmarkStart w:id="169" w:name="OLE_LINK1036"/>
      <w:bookmarkStart w:id="170" w:name="OLE_LINK1035"/>
      <w:bookmarkStart w:id="171" w:name="OLE_LINK987"/>
      <w:bookmarkStart w:id="172" w:name="OLE_LINK947"/>
      <w:bookmarkStart w:id="173" w:name="OLE_LINK946"/>
      <w:bookmarkStart w:id="174" w:name="OLE_LINK945"/>
      <w:bookmarkStart w:id="175" w:name="OLE_LINK1127"/>
      <w:bookmarkStart w:id="176" w:name="OLE_LINK962"/>
      <w:bookmarkStart w:id="177" w:name="OLE_LINK959"/>
      <w:bookmarkStart w:id="178" w:name="OLE_LINK1185"/>
      <w:bookmarkStart w:id="179" w:name="OLE_LINK1159"/>
      <w:bookmarkStart w:id="180" w:name="OLE_LINK1158"/>
      <w:bookmarkStart w:id="181" w:name="OLE_LINK1157"/>
      <w:bookmarkStart w:id="182" w:name="OLE_LINK1156"/>
      <w:bookmarkStart w:id="183" w:name="OLE_LINK1065"/>
      <w:bookmarkStart w:id="184" w:name="OLE_LINK1064"/>
      <w:bookmarkStart w:id="185" w:name="OLE_LINK1023"/>
      <w:bookmarkStart w:id="186" w:name="OLE_LINK1022"/>
      <w:bookmarkStart w:id="187" w:name="OLE_LINK1021"/>
      <w:r w:rsidRPr="005C7810">
        <w:rPr>
          <w:rFonts w:ascii="Book Antiqua" w:eastAsia="Lucida Sans Unicode" w:hAnsi="Book Antiqua" w:cs="Arial"/>
          <w:b/>
          <w:noProof/>
          <w:sz w:val="24"/>
          <w:szCs w:val="24"/>
          <w:lang w:eastAsia="hi-IN" w:bidi="hi-IN"/>
        </w:rPr>
        <w:t>P-Reviewer</w:t>
      </w:r>
      <w:r w:rsidRPr="005C7810">
        <w:rPr>
          <w:rFonts w:ascii="Book Antiqua" w:hAnsi="Book Antiqua" w:cs="Arial"/>
          <w:b/>
          <w:noProof/>
          <w:sz w:val="24"/>
          <w:szCs w:val="24"/>
          <w:lang w:bidi="hi-IN"/>
        </w:rPr>
        <w:t>:</w:t>
      </w:r>
      <w:r w:rsidRPr="005C7810">
        <w:rPr>
          <w:rFonts w:ascii="Book Antiqua" w:hAnsi="Book Antiqua"/>
          <w:sz w:val="24"/>
          <w:szCs w:val="24"/>
        </w:rPr>
        <w:t xml:space="preserve"> </w:t>
      </w:r>
      <w:r w:rsidR="001F4C1A" w:rsidRPr="005C7810">
        <w:rPr>
          <w:rFonts w:ascii="Book Antiqua" w:hAnsi="Book Antiqua"/>
          <w:sz w:val="24"/>
          <w:szCs w:val="24"/>
        </w:rPr>
        <w:t>Ahmed M, Limpakan S, Yuan Y, Vilaichone R</w:t>
      </w:r>
      <w:r w:rsidRPr="005C7810">
        <w:rPr>
          <w:rFonts w:ascii="Book Antiqua" w:hAnsi="Book Antiqua"/>
          <w:sz w:val="24"/>
          <w:szCs w:val="24"/>
        </w:rPr>
        <w:t xml:space="preserve"> </w:t>
      </w:r>
      <w:r w:rsidRPr="005C7810">
        <w:rPr>
          <w:rFonts w:ascii="Book Antiqua" w:eastAsia="Lucida Sans Unicode" w:hAnsi="Book Antiqua" w:cs="Mangal"/>
          <w:b/>
          <w:bCs/>
          <w:sz w:val="24"/>
          <w:szCs w:val="24"/>
          <w:lang w:eastAsia="hi-IN" w:bidi="hi-IN"/>
        </w:rPr>
        <w:t>S-Editor</w:t>
      </w:r>
      <w:r w:rsidRPr="005C7810">
        <w:rPr>
          <w:rFonts w:ascii="Book Antiqua" w:hAnsi="Book Antiqua" w:cs="Mangal"/>
          <w:b/>
          <w:bCs/>
          <w:sz w:val="24"/>
          <w:szCs w:val="24"/>
          <w:lang w:bidi="hi-IN"/>
        </w:rPr>
        <w:t>:</w:t>
      </w:r>
      <w:r w:rsidRPr="005C7810">
        <w:rPr>
          <w:rFonts w:ascii="Book Antiqua" w:eastAsia="Lucida Sans Unicode" w:hAnsi="Book Antiqua" w:cs="Mangal"/>
          <w:bCs/>
          <w:sz w:val="24"/>
          <w:szCs w:val="24"/>
          <w:lang w:eastAsia="hi-IN" w:bidi="hi-IN"/>
        </w:rPr>
        <w:t xml:space="preserve"> </w:t>
      </w:r>
      <w:r w:rsidRPr="005C7810">
        <w:rPr>
          <w:rFonts w:ascii="Book Antiqua" w:hAnsi="Book Antiqua" w:cs="Mangal"/>
          <w:bCs/>
          <w:sz w:val="24"/>
          <w:szCs w:val="24"/>
          <w:lang w:bidi="hi-IN"/>
        </w:rPr>
        <w:t>Ma YJ</w:t>
      </w:r>
      <w:r w:rsidRPr="005C7810">
        <w:rPr>
          <w:rFonts w:ascii="Book Antiqua" w:eastAsia="Lucida Sans Unicode" w:hAnsi="Book Antiqua" w:cs="Mangal"/>
          <w:b/>
          <w:bCs/>
          <w:sz w:val="24"/>
          <w:szCs w:val="24"/>
          <w:lang w:eastAsia="hi-IN" w:bidi="hi-IN"/>
        </w:rPr>
        <w:t xml:space="preserve"> L-Editor</w:t>
      </w:r>
      <w:r w:rsidRPr="005C7810">
        <w:rPr>
          <w:rFonts w:ascii="Book Antiqua" w:hAnsi="Book Antiqua" w:cs="Mangal"/>
          <w:b/>
          <w:bCs/>
          <w:sz w:val="24"/>
          <w:szCs w:val="24"/>
          <w:lang w:bidi="hi-IN"/>
        </w:rPr>
        <w:t>:</w:t>
      </w:r>
      <w:r w:rsidR="00CE53B4" w:rsidRPr="005C7810">
        <w:rPr>
          <w:rFonts w:ascii="Book Antiqua" w:hAnsi="Book Antiqua" w:cs="Mangal"/>
          <w:b/>
          <w:bCs/>
          <w:sz w:val="24"/>
          <w:szCs w:val="24"/>
          <w:lang w:bidi="hi-IN"/>
        </w:rPr>
        <w:t xml:space="preserve"> </w:t>
      </w:r>
      <w:r w:rsidR="005C7810" w:rsidRPr="001A664A">
        <w:rPr>
          <w:rFonts w:ascii="Book Antiqua" w:hAnsi="Book Antiqua" w:cs="Mangal"/>
          <w:bCs/>
          <w:sz w:val="24"/>
          <w:szCs w:val="24"/>
          <w:lang w:bidi="hi-IN"/>
        </w:rPr>
        <w:t xml:space="preserve">Filipodia </w:t>
      </w:r>
      <w:r w:rsidR="005C7810" w:rsidRPr="001A664A">
        <w:rPr>
          <w:rFonts w:ascii="Book Antiqua" w:eastAsia="Lucida Sans Unicode" w:hAnsi="Book Antiqua" w:cs="Mangal"/>
          <w:b/>
          <w:bCs/>
          <w:sz w:val="24"/>
          <w:szCs w:val="24"/>
          <w:lang w:eastAsia="hi-IN" w:bidi="hi-IN"/>
        </w:rPr>
        <w:t>E</w:t>
      </w:r>
      <w:r w:rsidR="005C7810">
        <w:rPr>
          <w:rFonts w:ascii="Book Antiqua" w:eastAsia="Lucida Sans Unicode" w:hAnsi="Book Antiqua" w:cs="Mangal"/>
          <w:b/>
          <w:bCs/>
          <w:sz w:val="24"/>
          <w:szCs w:val="24"/>
          <w:lang w:eastAsia="hi-IN" w:bidi="hi-IN"/>
        </w:rPr>
        <w:t>-</w:t>
      </w:r>
      <w:r w:rsidR="005C7810" w:rsidRPr="001A664A">
        <w:rPr>
          <w:rFonts w:ascii="Book Antiqua" w:eastAsia="Lucida Sans Unicode" w:hAnsi="Book Antiqua" w:cs="Mangal"/>
          <w:b/>
          <w:bCs/>
          <w:sz w:val="24"/>
          <w:szCs w:val="24"/>
          <w:lang w:eastAsia="hi-IN" w:bidi="hi-IN"/>
        </w:rPr>
        <w:t>Editor</w:t>
      </w:r>
      <w:r w:rsidR="005C7810" w:rsidRPr="001A664A">
        <w:rPr>
          <w:rFonts w:ascii="Book Antiqua" w:hAnsi="Book Antiqua" w:cs="Mangal"/>
          <w:b/>
          <w:bCs/>
          <w:sz w:val="24"/>
          <w:szCs w:val="24"/>
          <w:lang w:bidi="hi-IN"/>
        </w:rPr>
        <w:t>:</w:t>
      </w:r>
      <w:r w:rsidR="005C7810" w:rsidRPr="001A664A">
        <w:rPr>
          <w:sz w:val="24"/>
          <w:szCs w:val="24"/>
        </w:rPr>
        <w:t xml:space="preserve"> </w:t>
      </w:r>
      <w:r w:rsidR="005C7810" w:rsidRPr="000A484F">
        <w:rPr>
          <w:rFonts w:ascii="Book Antiqua" w:hAnsi="Book Antiqua" w:hint="eastAsia"/>
          <w:color w:val="000000"/>
          <w:sz w:val="24"/>
        </w:rPr>
        <w:t>Qi LL</w:t>
      </w:r>
    </w:p>
    <w:p w:rsidR="00AD6739" w:rsidRPr="005C7810" w:rsidRDefault="00AD6739" w:rsidP="00CD380F">
      <w:pPr>
        <w:spacing w:after="0" w:line="360" w:lineRule="auto"/>
        <w:rPr>
          <w:rFonts w:ascii="Book Antiqua" w:hAnsi="Book Antiqua" w:cs="Mangal"/>
          <w:b/>
          <w:bCs/>
          <w:sz w:val="24"/>
          <w:szCs w:val="24"/>
          <w:lang w:eastAsia="pt-BR" w:bidi="hi-IN"/>
        </w:rPr>
      </w:pPr>
    </w:p>
    <w:p w:rsidR="00AD6739" w:rsidRPr="005C7810" w:rsidRDefault="00AD6739" w:rsidP="00CD380F">
      <w:pPr>
        <w:shd w:val="clear" w:color="auto" w:fill="FFFFFF"/>
        <w:snapToGrid w:val="0"/>
        <w:spacing w:after="0" w:line="360" w:lineRule="auto"/>
        <w:rPr>
          <w:rFonts w:ascii="Book Antiqua" w:hAnsi="Book Antiqua" w:cs="Helvetica"/>
          <w:b/>
          <w:sz w:val="24"/>
          <w:szCs w:val="24"/>
        </w:rPr>
      </w:pPr>
      <w:r w:rsidRPr="005C7810">
        <w:rPr>
          <w:rFonts w:ascii="Book Antiqua" w:hAnsi="Book Antiqua" w:cs="Helvetica"/>
          <w:b/>
          <w:sz w:val="24"/>
          <w:szCs w:val="24"/>
        </w:rPr>
        <w:t xml:space="preserve">Specialty type: </w:t>
      </w:r>
      <w:r w:rsidR="009131DA" w:rsidRPr="005C7810">
        <w:rPr>
          <w:rFonts w:ascii="Book Antiqua" w:eastAsia="微软雅黑" w:hAnsi="Book Antiqua" w:cs="宋体"/>
          <w:sz w:val="24"/>
          <w:szCs w:val="24"/>
        </w:rPr>
        <w:t>Oncology</w:t>
      </w:r>
    </w:p>
    <w:p w:rsidR="00AD6739" w:rsidRPr="005C7810" w:rsidRDefault="00AD6739" w:rsidP="00CD380F">
      <w:pPr>
        <w:shd w:val="clear" w:color="auto" w:fill="FFFFFF"/>
        <w:snapToGrid w:val="0"/>
        <w:spacing w:after="0" w:line="360" w:lineRule="auto"/>
        <w:rPr>
          <w:rFonts w:ascii="Book Antiqua" w:hAnsi="Book Antiqua" w:cs="Helvetica"/>
          <w:b/>
          <w:sz w:val="24"/>
          <w:szCs w:val="24"/>
          <w:lang w:val="pt-BR"/>
        </w:rPr>
      </w:pPr>
      <w:r w:rsidRPr="005C7810">
        <w:rPr>
          <w:rFonts w:ascii="Book Antiqua" w:hAnsi="Book Antiqua" w:cs="Helvetica"/>
          <w:b/>
          <w:sz w:val="24"/>
          <w:szCs w:val="24"/>
        </w:rPr>
        <w:t xml:space="preserve">Country of origin: </w:t>
      </w:r>
      <w:r w:rsidR="00E30A6C" w:rsidRPr="005C7810">
        <w:rPr>
          <w:rFonts w:ascii="Book Antiqua" w:hAnsi="Book Antiqua" w:cs="Helvetica"/>
          <w:sz w:val="24"/>
          <w:szCs w:val="24"/>
        </w:rPr>
        <w:t>Italy</w:t>
      </w:r>
    </w:p>
    <w:p w:rsidR="00AD6739" w:rsidRPr="005C7810" w:rsidRDefault="00AD6739" w:rsidP="00CD380F">
      <w:pPr>
        <w:shd w:val="clear" w:color="auto" w:fill="FFFFFF"/>
        <w:snapToGrid w:val="0"/>
        <w:spacing w:after="0" w:line="360" w:lineRule="auto"/>
        <w:rPr>
          <w:rFonts w:ascii="Book Antiqua" w:hAnsi="Book Antiqua" w:cs="Helvetica"/>
          <w:b/>
          <w:sz w:val="24"/>
          <w:szCs w:val="24"/>
        </w:rPr>
      </w:pPr>
      <w:r w:rsidRPr="005C7810">
        <w:rPr>
          <w:rFonts w:ascii="Book Antiqua" w:hAnsi="Book Antiqua" w:cs="Helvetica"/>
          <w:b/>
          <w:sz w:val="24"/>
          <w:szCs w:val="24"/>
        </w:rPr>
        <w:t>Peer-review report classification</w:t>
      </w:r>
    </w:p>
    <w:p w:rsidR="00AD6739" w:rsidRPr="005C7810" w:rsidRDefault="00AD6739" w:rsidP="00CD380F">
      <w:pPr>
        <w:shd w:val="clear" w:color="auto" w:fill="FFFFFF"/>
        <w:snapToGrid w:val="0"/>
        <w:spacing w:after="0" w:line="360" w:lineRule="auto"/>
        <w:rPr>
          <w:rFonts w:ascii="Book Antiqua" w:hAnsi="Book Antiqua" w:cs="Helvetica"/>
          <w:sz w:val="24"/>
          <w:szCs w:val="24"/>
        </w:rPr>
      </w:pPr>
      <w:r w:rsidRPr="005C7810">
        <w:rPr>
          <w:rFonts w:ascii="Book Antiqua" w:hAnsi="Book Antiqua" w:cs="Helvetica"/>
          <w:sz w:val="24"/>
          <w:szCs w:val="24"/>
        </w:rPr>
        <w:t xml:space="preserve">Grade A (Excellent): </w:t>
      </w:r>
      <w:r w:rsidR="00CE53B4" w:rsidRPr="005C7810">
        <w:rPr>
          <w:rFonts w:ascii="Book Antiqua" w:hAnsi="Book Antiqua" w:cs="Helvetica"/>
          <w:sz w:val="24"/>
          <w:szCs w:val="24"/>
        </w:rPr>
        <w:t>0</w:t>
      </w:r>
    </w:p>
    <w:p w:rsidR="00AD6739" w:rsidRPr="005C7810" w:rsidRDefault="00AD6739" w:rsidP="00CD380F">
      <w:pPr>
        <w:shd w:val="clear" w:color="auto" w:fill="FFFFFF"/>
        <w:snapToGrid w:val="0"/>
        <w:spacing w:after="0" w:line="360" w:lineRule="auto"/>
        <w:rPr>
          <w:rFonts w:ascii="Book Antiqua" w:hAnsi="Book Antiqua" w:cs="Helvetica"/>
          <w:sz w:val="24"/>
          <w:szCs w:val="24"/>
        </w:rPr>
      </w:pPr>
      <w:r w:rsidRPr="005C7810">
        <w:rPr>
          <w:rFonts w:ascii="Book Antiqua" w:hAnsi="Book Antiqua" w:cs="Helvetica"/>
          <w:sz w:val="24"/>
          <w:szCs w:val="24"/>
        </w:rPr>
        <w:t>Grade B (Very good): B</w:t>
      </w:r>
    </w:p>
    <w:p w:rsidR="00AD6739" w:rsidRPr="005C7810" w:rsidRDefault="00AD6739" w:rsidP="00CD380F">
      <w:pPr>
        <w:shd w:val="clear" w:color="auto" w:fill="FFFFFF"/>
        <w:snapToGrid w:val="0"/>
        <w:spacing w:after="0" w:line="360" w:lineRule="auto"/>
        <w:rPr>
          <w:rFonts w:ascii="Book Antiqua" w:hAnsi="Book Antiqua" w:cs="Helvetica"/>
          <w:sz w:val="24"/>
          <w:szCs w:val="24"/>
        </w:rPr>
      </w:pPr>
      <w:r w:rsidRPr="005C7810">
        <w:rPr>
          <w:rFonts w:ascii="Book Antiqua" w:hAnsi="Book Antiqua" w:cs="Helvetica"/>
          <w:sz w:val="24"/>
          <w:szCs w:val="24"/>
        </w:rPr>
        <w:t xml:space="preserve">Grade C (Good): </w:t>
      </w:r>
      <w:r w:rsidR="00CE53B4" w:rsidRPr="005C7810">
        <w:rPr>
          <w:rFonts w:ascii="Book Antiqua" w:hAnsi="Book Antiqua" w:cs="Helvetica"/>
          <w:sz w:val="24"/>
          <w:szCs w:val="24"/>
        </w:rPr>
        <w:t>C, C, C</w:t>
      </w:r>
    </w:p>
    <w:p w:rsidR="00AD6739" w:rsidRPr="005C7810" w:rsidRDefault="00AD6739" w:rsidP="00CD380F">
      <w:pPr>
        <w:shd w:val="clear" w:color="auto" w:fill="FFFFFF"/>
        <w:snapToGrid w:val="0"/>
        <w:spacing w:after="0" w:line="360" w:lineRule="auto"/>
        <w:rPr>
          <w:rFonts w:ascii="Book Antiqua" w:hAnsi="Book Antiqua" w:cs="Helvetica"/>
          <w:sz w:val="24"/>
          <w:szCs w:val="24"/>
        </w:rPr>
      </w:pPr>
      <w:r w:rsidRPr="005C7810">
        <w:rPr>
          <w:rFonts w:ascii="Book Antiqua" w:hAnsi="Book Antiqua" w:cs="Helvetica"/>
          <w:sz w:val="24"/>
          <w:szCs w:val="24"/>
        </w:rPr>
        <w:t xml:space="preserve">Grade D (Fair): </w:t>
      </w:r>
      <w:bookmarkEnd w:id="139"/>
      <w:bookmarkEnd w:id="140"/>
      <w:r w:rsidRPr="005C7810">
        <w:rPr>
          <w:rFonts w:ascii="Book Antiqua" w:hAnsi="Book Antiqua" w:cs="Helvetica"/>
          <w:sz w:val="24"/>
          <w:szCs w:val="24"/>
        </w:rPr>
        <w:t>0</w:t>
      </w:r>
    </w:p>
    <w:p w:rsidR="00AD6739" w:rsidRPr="005C7810" w:rsidRDefault="00AD6739" w:rsidP="00CD380F">
      <w:pPr>
        <w:shd w:val="clear" w:color="auto" w:fill="FFFFFF"/>
        <w:snapToGrid w:val="0"/>
        <w:spacing w:after="0" w:line="360" w:lineRule="auto"/>
        <w:rPr>
          <w:rFonts w:ascii="Book Antiqua" w:hAnsi="Book Antiqua" w:cs="Helvetica"/>
          <w:sz w:val="24"/>
          <w:szCs w:val="24"/>
        </w:rPr>
      </w:pPr>
      <w:r w:rsidRPr="005C7810">
        <w:rPr>
          <w:rFonts w:ascii="Book Antiqua" w:hAnsi="Book Antiqua" w:cs="Helvetica"/>
          <w:sz w:val="24"/>
          <w:szCs w:val="24"/>
        </w:rPr>
        <w:t xml:space="preserve">Grade E (Poor):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C7810">
        <w:rPr>
          <w:rFonts w:ascii="Book Antiqua" w:hAnsi="Book Antiqua" w:cs="Helvetica"/>
          <w:sz w:val="24"/>
          <w:szCs w:val="24"/>
        </w:rPr>
        <w:t>0</w:t>
      </w:r>
    </w:p>
    <w:p w:rsidR="00AE4CE6" w:rsidRPr="005C7810" w:rsidRDefault="00E9194D" w:rsidP="00CD380F">
      <w:pPr>
        <w:shd w:val="clear" w:color="auto" w:fill="FFFFFF"/>
        <w:snapToGrid w:val="0"/>
        <w:spacing w:after="0" w:line="360" w:lineRule="auto"/>
        <w:ind w:hanging="567"/>
        <w:jc w:val="both"/>
        <w:rPr>
          <w:rFonts w:ascii="Book Antiqua" w:hAnsi="Book Antiqua" w:cs="Times New Roman"/>
          <w:b/>
          <w:sz w:val="24"/>
          <w:szCs w:val="24"/>
          <w:lang w:val="en-US"/>
        </w:rPr>
      </w:pPr>
      <w:r>
        <w:rPr>
          <w:rFonts w:ascii="Book Antiqua" w:hAnsi="Book Antiqua" w:cs="Times New Roman"/>
          <w:b/>
          <w:noProof/>
          <w:sz w:val="24"/>
          <w:szCs w:val="24"/>
          <w:lang w:val="en-US" w:eastAsia="zh-CN"/>
        </w:rPr>
        <w:drawing>
          <wp:inline distT="0" distB="0" distL="0" distR="0">
            <wp:extent cx="4864735" cy="4886325"/>
            <wp:effectExtent l="0" t="0" r="0" b="9525"/>
            <wp:docPr id="1" name="图片 1" descr="SMXJVJW4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XJVJW4_Fi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735" cy="4886325"/>
                    </a:xfrm>
                    <a:prstGeom prst="rect">
                      <a:avLst/>
                    </a:prstGeom>
                    <a:noFill/>
                    <a:ln>
                      <a:noFill/>
                    </a:ln>
                  </pic:spPr>
                </pic:pic>
              </a:graphicData>
            </a:graphic>
          </wp:inline>
        </w:drawing>
      </w:r>
    </w:p>
    <w:p w:rsidR="00247451" w:rsidRPr="005C7810" w:rsidRDefault="00247451" w:rsidP="00CD380F">
      <w:pPr>
        <w:shd w:val="clear" w:color="auto" w:fill="FFFFFF"/>
        <w:snapToGrid w:val="0"/>
        <w:spacing w:after="0" w:line="360" w:lineRule="auto"/>
        <w:ind w:hanging="567"/>
        <w:jc w:val="both"/>
        <w:rPr>
          <w:rFonts w:ascii="Book Antiqua" w:hAnsi="Book Antiqua" w:cs="Times New Roman"/>
          <w:b/>
          <w:sz w:val="24"/>
          <w:szCs w:val="24"/>
          <w:lang w:val="en-US"/>
        </w:rPr>
      </w:pPr>
    </w:p>
    <w:p w:rsidR="0084287D" w:rsidRPr="005C7810" w:rsidRDefault="0084287D" w:rsidP="00CD380F">
      <w:pPr>
        <w:shd w:val="clear" w:color="auto" w:fill="FFFFFF"/>
        <w:snapToGrid w:val="0"/>
        <w:spacing w:after="0" w:line="360" w:lineRule="auto"/>
        <w:jc w:val="both"/>
        <w:rPr>
          <w:rFonts w:ascii="Book Antiqua" w:hAnsi="Book Antiqua" w:cs="Times New Roman"/>
          <w:color w:val="000000"/>
          <w:sz w:val="24"/>
          <w:szCs w:val="24"/>
          <w:lang w:val="en-US"/>
        </w:rPr>
      </w:pPr>
      <w:r w:rsidRPr="005C7810">
        <w:rPr>
          <w:rFonts w:ascii="Book Antiqua" w:hAnsi="Book Antiqua" w:cs="Times New Roman"/>
          <w:b/>
          <w:color w:val="000000"/>
          <w:sz w:val="24"/>
          <w:szCs w:val="24"/>
          <w:lang w:val="en-US"/>
        </w:rPr>
        <w:t xml:space="preserve">Figure 1 Epidemiology of gastric cancer. </w:t>
      </w:r>
      <w:r w:rsidR="008D69EF" w:rsidRPr="005C7810">
        <w:rPr>
          <w:rFonts w:ascii="Book Antiqua" w:hAnsi="Book Antiqua" w:cs="Times New Roman"/>
          <w:color w:val="000000"/>
          <w:sz w:val="24"/>
          <w:szCs w:val="24"/>
          <w:lang w:val="en-US"/>
        </w:rPr>
        <w:t>Fre</w:t>
      </w:r>
      <w:r w:rsidR="00701F8D" w:rsidRPr="005C7810">
        <w:rPr>
          <w:rFonts w:ascii="Book Antiqua" w:hAnsi="Book Antiqua" w:cs="Times New Roman"/>
          <w:color w:val="000000"/>
          <w:sz w:val="24"/>
          <w:szCs w:val="24"/>
          <w:lang w:val="en-US"/>
        </w:rPr>
        <w:t>quenc</w:t>
      </w:r>
      <w:r w:rsidR="00BD1E1A" w:rsidRPr="005C7810">
        <w:rPr>
          <w:rFonts w:ascii="Book Antiqua" w:hAnsi="Book Antiqua" w:cs="Times New Roman"/>
          <w:color w:val="000000"/>
          <w:sz w:val="24"/>
          <w:szCs w:val="24"/>
          <w:lang w:val="en-US"/>
        </w:rPr>
        <w:t>y</w:t>
      </w:r>
      <w:r w:rsidR="00701F8D" w:rsidRPr="005C7810">
        <w:rPr>
          <w:rFonts w:ascii="Book Antiqua" w:hAnsi="Book Antiqua" w:cs="Times New Roman"/>
          <w:color w:val="000000"/>
          <w:sz w:val="24"/>
          <w:szCs w:val="24"/>
          <w:lang w:val="en-US"/>
        </w:rPr>
        <w:t xml:space="preserve"> of diagnosis, </w:t>
      </w:r>
      <w:r w:rsidR="00247451" w:rsidRPr="005C7810">
        <w:rPr>
          <w:rFonts w:ascii="Book Antiqua" w:hAnsi="Book Antiqua" w:cs="Times New Roman"/>
          <w:color w:val="000000"/>
          <w:sz w:val="24"/>
          <w:szCs w:val="24"/>
          <w:lang w:val="en-US"/>
        </w:rPr>
        <w:t xml:space="preserve">leading cause of </w:t>
      </w:r>
      <w:r w:rsidR="00701F8D" w:rsidRPr="005C7810">
        <w:rPr>
          <w:rFonts w:ascii="Book Antiqua" w:hAnsi="Book Antiqua" w:cs="Times New Roman"/>
          <w:color w:val="000000"/>
          <w:sz w:val="24"/>
          <w:szCs w:val="24"/>
          <w:lang w:val="en-US"/>
        </w:rPr>
        <w:t>cancer death,</w:t>
      </w:r>
      <w:r w:rsidR="00CE53B4" w:rsidRPr="005C7810">
        <w:rPr>
          <w:rFonts w:ascii="Book Antiqua" w:hAnsi="Book Antiqua" w:cs="Times New Roman"/>
          <w:color w:val="000000"/>
          <w:sz w:val="24"/>
          <w:szCs w:val="24"/>
          <w:lang w:val="en-US"/>
        </w:rPr>
        <w:t xml:space="preserve"> </w:t>
      </w:r>
      <w:r w:rsidR="00BD1E1A" w:rsidRPr="005C7810">
        <w:rPr>
          <w:rFonts w:ascii="Book Antiqua" w:hAnsi="Book Antiqua" w:cs="Times New Roman"/>
          <w:color w:val="000000"/>
          <w:sz w:val="24"/>
          <w:szCs w:val="24"/>
          <w:lang w:val="en-US"/>
        </w:rPr>
        <w:t xml:space="preserve">and </w:t>
      </w:r>
      <w:r w:rsidRPr="005C7810">
        <w:rPr>
          <w:rFonts w:ascii="Book Antiqua" w:hAnsi="Book Antiqua" w:cs="Times New Roman"/>
          <w:color w:val="000000"/>
          <w:sz w:val="24"/>
          <w:szCs w:val="24"/>
          <w:lang w:val="en-US"/>
        </w:rPr>
        <w:t>risk areas</w:t>
      </w:r>
      <w:r w:rsidR="00701F8D" w:rsidRPr="005C7810">
        <w:rPr>
          <w:rFonts w:ascii="Book Antiqua" w:hAnsi="Book Antiqua" w:cs="Times New Roman"/>
          <w:color w:val="000000"/>
          <w:sz w:val="24"/>
          <w:szCs w:val="24"/>
          <w:lang w:val="en-US"/>
        </w:rPr>
        <w:t xml:space="preserve"> worldwide</w:t>
      </w:r>
      <w:r w:rsidR="00247451" w:rsidRPr="005C7810">
        <w:rPr>
          <w:rFonts w:ascii="Book Antiqua" w:hAnsi="Book Antiqua" w:cs="Times New Roman"/>
          <w:color w:val="000000"/>
          <w:sz w:val="24"/>
          <w:szCs w:val="24"/>
          <w:lang w:val="en-US"/>
        </w:rPr>
        <w:t>.</w:t>
      </w:r>
    </w:p>
    <w:p w:rsidR="00CB0CD5" w:rsidRPr="005C7810" w:rsidRDefault="00CB0CD5" w:rsidP="00CD380F">
      <w:pPr>
        <w:widowControl w:val="0"/>
        <w:autoSpaceDE w:val="0"/>
        <w:autoSpaceDN w:val="0"/>
        <w:adjustRightInd w:val="0"/>
        <w:snapToGrid w:val="0"/>
        <w:spacing w:after="0" w:line="360" w:lineRule="auto"/>
        <w:ind w:hanging="640"/>
        <w:jc w:val="both"/>
        <w:rPr>
          <w:rFonts w:ascii="Book Antiqua" w:hAnsi="Book Antiqua" w:cs="Times New Roman"/>
          <w:sz w:val="24"/>
          <w:szCs w:val="24"/>
          <w:lang w:val="en-US"/>
        </w:rPr>
      </w:pPr>
    </w:p>
    <w:p w:rsidR="00AE4CE6" w:rsidRPr="005C7810" w:rsidRDefault="00E9194D" w:rsidP="00CD380F">
      <w:pPr>
        <w:autoSpaceDE w:val="0"/>
        <w:autoSpaceDN w:val="0"/>
        <w:adjustRightInd w:val="0"/>
        <w:snapToGrid w:val="0"/>
        <w:spacing w:after="0" w:line="360" w:lineRule="auto"/>
        <w:ind w:firstLine="708"/>
        <w:jc w:val="both"/>
        <w:rPr>
          <w:rFonts w:ascii="Book Antiqua" w:hAnsi="Book Antiqua" w:cs="Calibri"/>
          <w:sz w:val="24"/>
          <w:szCs w:val="24"/>
          <w:lang w:val="en-US"/>
        </w:rPr>
      </w:pPr>
      <w:r>
        <w:rPr>
          <w:rFonts w:ascii="Book Antiqua" w:hAnsi="Book Antiqua" w:cs="Calibri"/>
          <w:noProof/>
          <w:sz w:val="24"/>
          <w:szCs w:val="24"/>
          <w:lang w:val="en-US" w:eastAsia="zh-CN"/>
        </w:rPr>
        <w:drawing>
          <wp:inline distT="0" distB="0" distL="0" distR="0">
            <wp:extent cx="5384165" cy="3767455"/>
            <wp:effectExtent l="0" t="0" r="6985" b="4445"/>
            <wp:docPr id="2" name="图片 2" descr="4FHPTBVG_revision_files_4FHPTBVG_Fig1_Revi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FHPTBVG_revision_files_4FHPTBVG_Fig1_Revisi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4165" cy="3767455"/>
                    </a:xfrm>
                    <a:prstGeom prst="rect">
                      <a:avLst/>
                    </a:prstGeom>
                    <a:noFill/>
                    <a:ln>
                      <a:noFill/>
                    </a:ln>
                  </pic:spPr>
                </pic:pic>
              </a:graphicData>
            </a:graphic>
          </wp:inline>
        </w:drawing>
      </w:r>
    </w:p>
    <w:p w:rsidR="00AE4CE6" w:rsidRPr="005C7810" w:rsidRDefault="000E14A0" w:rsidP="00CD380F">
      <w:pPr>
        <w:snapToGrid w:val="0"/>
        <w:spacing w:after="0" w:line="360" w:lineRule="auto"/>
        <w:jc w:val="both"/>
        <w:rPr>
          <w:rFonts w:ascii="Book Antiqua" w:hAnsi="Book Antiqua" w:cs="Calibri"/>
          <w:sz w:val="24"/>
          <w:szCs w:val="24"/>
          <w:lang w:val="en-US"/>
        </w:rPr>
      </w:pPr>
      <w:r w:rsidRPr="005C7810">
        <w:rPr>
          <w:rFonts w:ascii="Book Antiqua" w:hAnsi="Book Antiqua" w:cs="Times New Roman"/>
          <w:b/>
          <w:sz w:val="24"/>
          <w:szCs w:val="24"/>
          <w:lang w:val="en-US"/>
        </w:rPr>
        <w:t xml:space="preserve">Figure </w:t>
      </w:r>
      <w:r w:rsidR="0084287D" w:rsidRPr="005C7810">
        <w:rPr>
          <w:rFonts w:ascii="Book Antiqua" w:hAnsi="Book Antiqua" w:cs="Times New Roman"/>
          <w:b/>
          <w:sz w:val="24"/>
          <w:szCs w:val="24"/>
          <w:lang w:val="en-US"/>
        </w:rPr>
        <w:t>2</w:t>
      </w:r>
      <w:r w:rsidR="00AE4CE6" w:rsidRPr="005C7810">
        <w:rPr>
          <w:rFonts w:ascii="Book Antiqua" w:hAnsi="Book Antiqua" w:cs="Times New Roman"/>
          <w:b/>
          <w:sz w:val="24"/>
          <w:szCs w:val="24"/>
          <w:lang w:val="en-US"/>
        </w:rPr>
        <w:t xml:space="preserve"> </w:t>
      </w:r>
      <w:r w:rsidR="00CE53B4" w:rsidRPr="005C7810">
        <w:rPr>
          <w:rFonts w:ascii="Book Antiqua" w:hAnsi="Book Antiqua" w:cs="Times New Roman"/>
          <w:b/>
          <w:sz w:val="24"/>
          <w:szCs w:val="24"/>
          <w:lang w:val="en-US"/>
        </w:rPr>
        <w:t xml:space="preserve">The Cancer Genome Atlas </w:t>
      </w:r>
      <w:r w:rsidR="00A30D57" w:rsidRPr="005C7810">
        <w:rPr>
          <w:rFonts w:ascii="Book Antiqua" w:hAnsi="Book Antiqua" w:cs="Times New Roman"/>
          <w:b/>
          <w:sz w:val="24"/>
          <w:szCs w:val="24"/>
          <w:lang w:val="en-US"/>
        </w:rPr>
        <w:t xml:space="preserve">gastric tumor classification. </w:t>
      </w:r>
      <w:r w:rsidR="00BD1E1A" w:rsidRPr="005C7810">
        <w:rPr>
          <w:rFonts w:ascii="Book Antiqua" w:hAnsi="Book Antiqua" w:cs="Times New Roman"/>
          <w:bCs/>
          <w:sz w:val="24"/>
          <w:szCs w:val="24"/>
          <w:lang w:val="en-US"/>
        </w:rPr>
        <w:t xml:space="preserve">The </w:t>
      </w:r>
      <w:r w:rsidR="001F3B94" w:rsidRPr="005C7810">
        <w:rPr>
          <w:rFonts w:ascii="Book Antiqua" w:hAnsi="Book Antiqua" w:cs="Times New Roman"/>
          <w:sz w:val="24"/>
          <w:szCs w:val="24"/>
          <w:lang w:val="en-US"/>
        </w:rPr>
        <w:t xml:space="preserve">TCGA </w:t>
      </w:r>
      <w:r w:rsidR="00AE4CE6" w:rsidRPr="005C7810">
        <w:rPr>
          <w:rFonts w:ascii="Book Antiqua" w:hAnsi="Book Antiqua" w:cs="Times New Roman"/>
          <w:sz w:val="24"/>
          <w:szCs w:val="24"/>
          <w:lang w:val="en-US"/>
        </w:rPr>
        <w:t xml:space="preserve">study divides GC into four molecular subtypes: CIN (chromosomal instability); EBV (Epstein-Barr virus); GS (genomically stable); </w:t>
      </w:r>
      <w:r w:rsidR="00BD1E1A" w:rsidRPr="005C7810">
        <w:rPr>
          <w:rFonts w:ascii="Book Antiqua" w:hAnsi="Book Antiqua" w:cs="Times New Roman"/>
          <w:sz w:val="24"/>
          <w:szCs w:val="24"/>
          <w:lang w:val="en-US"/>
        </w:rPr>
        <w:t xml:space="preserve">and </w:t>
      </w:r>
      <w:r w:rsidR="00AE4CE6" w:rsidRPr="005C7810">
        <w:rPr>
          <w:rFonts w:ascii="Book Antiqua" w:hAnsi="Book Antiqua" w:cs="Times New Roman"/>
          <w:sz w:val="24"/>
          <w:szCs w:val="24"/>
          <w:lang w:val="en-US"/>
        </w:rPr>
        <w:t>MSI (microsatellite instable).</w:t>
      </w:r>
      <w:r w:rsidR="004E01BF" w:rsidRPr="005C7810">
        <w:rPr>
          <w:rFonts w:ascii="Book Antiqua" w:hAnsi="Book Antiqua" w:cs="Times New Roman"/>
          <w:b/>
          <w:sz w:val="24"/>
          <w:szCs w:val="24"/>
          <w:lang w:val="en-US"/>
        </w:rPr>
        <w:t xml:space="preserve"> </w:t>
      </w:r>
      <w:r w:rsidR="001F3B94" w:rsidRPr="005C7810">
        <w:rPr>
          <w:rFonts w:ascii="Book Antiqua" w:hAnsi="Book Antiqua" w:cs="Times New Roman"/>
          <w:sz w:val="24"/>
          <w:szCs w:val="24"/>
          <w:lang w:val="en-US"/>
        </w:rPr>
        <w:t>GC:</w:t>
      </w:r>
      <w:r w:rsidR="001F3B94" w:rsidRPr="005C7810">
        <w:rPr>
          <w:rFonts w:ascii="Book Antiqua" w:hAnsi="Book Antiqua" w:cs="Calibri"/>
          <w:sz w:val="24"/>
          <w:szCs w:val="24"/>
          <w:lang w:val="en-US"/>
        </w:rPr>
        <w:t xml:space="preserve"> Gastric cancer; TCGA: T</w:t>
      </w:r>
      <w:r w:rsidR="001F3B94" w:rsidRPr="005C7810">
        <w:rPr>
          <w:rFonts w:ascii="Book Antiqua" w:hAnsi="Book Antiqua" w:cs="Times New Roman"/>
          <w:sz w:val="24"/>
          <w:szCs w:val="24"/>
          <w:lang w:val="en-US"/>
        </w:rPr>
        <w:t>he Cancer Genome Atlas.</w:t>
      </w:r>
    </w:p>
    <w:p w:rsidR="00E54137" w:rsidRPr="005C7810" w:rsidRDefault="00E54137" w:rsidP="00CD380F">
      <w:pPr>
        <w:widowControl w:val="0"/>
        <w:autoSpaceDE w:val="0"/>
        <w:autoSpaceDN w:val="0"/>
        <w:adjustRightInd w:val="0"/>
        <w:snapToGrid w:val="0"/>
        <w:spacing w:after="0" w:line="360" w:lineRule="auto"/>
        <w:ind w:hanging="640"/>
        <w:jc w:val="both"/>
        <w:rPr>
          <w:rFonts w:ascii="Book Antiqua" w:hAnsi="Book Antiqua" w:cs="Times New Roman"/>
          <w:b/>
          <w:sz w:val="24"/>
          <w:szCs w:val="24"/>
          <w:lang w:val="en-US"/>
        </w:rPr>
      </w:pPr>
    </w:p>
    <w:p w:rsidR="00F27BCE" w:rsidRPr="005C7810" w:rsidRDefault="00F27BCE" w:rsidP="00CD380F">
      <w:pPr>
        <w:widowControl w:val="0"/>
        <w:autoSpaceDE w:val="0"/>
        <w:autoSpaceDN w:val="0"/>
        <w:adjustRightInd w:val="0"/>
        <w:snapToGrid w:val="0"/>
        <w:spacing w:after="0" w:line="360" w:lineRule="auto"/>
        <w:ind w:hanging="640"/>
        <w:jc w:val="both"/>
        <w:rPr>
          <w:rFonts w:ascii="Book Antiqua" w:hAnsi="Book Antiqua" w:cs="Calibri"/>
          <w:b/>
          <w:sz w:val="24"/>
          <w:szCs w:val="24"/>
          <w:lang w:val="en-US"/>
        </w:rPr>
      </w:pPr>
      <w:r w:rsidRPr="005C7810">
        <w:rPr>
          <w:rFonts w:ascii="Book Antiqua" w:hAnsi="Book Antiqua" w:cs="Times New Roman"/>
          <w:b/>
          <w:sz w:val="24"/>
          <w:szCs w:val="24"/>
          <w:lang w:val="en-US"/>
        </w:rPr>
        <w:br w:type="page"/>
      </w:r>
      <w:r w:rsidR="00E9194D">
        <w:rPr>
          <w:rFonts w:ascii="Book Antiqua" w:hAnsi="Book Antiqua" w:cs="Calibri"/>
          <w:b/>
          <w:noProof/>
          <w:sz w:val="24"/>
          <w:szCs w:val="24"/>
          <w:lang w:val="en-US" w:eastAsia="zh-CN"/>
        </w:rPr>
        <w:drawing>
          <wp:inline distT="0" distB="0" distL="0" distR="0">
            <wp:extent cx="5010785" cy="3072130"/>
            <wp:effectExtent l="0" t="0" r="0" b="0"/>
            <wp:docPr id="3" name="图片 3" descr="4FHPTBVG_revision_files_4FHPTBVG_Fig2_Revi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FHPTBVG_revision_files_4FHPTBVG_Fig2_Revisio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785" cy="3072130"/>
                    </a:xfrm>
                    <a:prstGeom prst="rect">
                      <a:avLst/>
                    </a:prstGeom>
                    <a:noFill/>
                    <a:ln>
                      <a:noFill/>
                    </a:ln>
                  </pic:spPr>
                </pic:pic>
              </a:graphicData>
            </a:graphic>
          </wp:inline>
        </w:drawing>
      </w:r>
    </w:p>
    <w:p w:rsidR="001F3B94" w:rsidRPr="005C7810" w:rsidRDefault="00F27BCE" w:rsidP="00CD380F">
      <w:pPr>
        <w:pStyle w:val="1"/>
        <w:tabs>
          <w:tab w:val="num" w:pos="0"/>
        </w:tabs>
        <w:snapToGrid w:val="0"/>
        <w:spacing w:before="0" w:after="0" w:line="360" w:lineRule="auto"/>
        <w:ind w:left="0" w:firstLine="0"/>
        <w:jc w:val="both"/>
        <w:rPr>
          <w:rFonts w:ascii="Book Antiqua" w:hAnsi="Book Antiqua" w:cs="Calibri"/>
          <w:b w:val="0"/>
          <w:sz w:val="24"/>
          <w:szCs w:val="24"/>
          <w:lang w:val="en-US"/>
        </w:rPr>
      </w:pPr>
      <w:r w:rsidRPr="005C7810">
        <w:rPr>
          <w:rFonts w:ascii="Book Antiqua" w:hAnsi="Book Antiqua"/>
          <w:sz w:val="24"/>
          <w:szCs w:val="24"/>
          <w:lang w:val="en-US"/>
        </w:rPr>
        <w:t xml:space="preserve">Figure </w:t>
      </w:r>
      <w:r w:rsidR="0084287D" w:rsidRPr="005C7810">
        <w:rPr>
          <w:rFonts w:ascii="Book Antiqua" w:hAnsi="Book Antiqua"/>
          <w:sz w:val="24"/>
          <w:szCs w:val="24"/>
          <w:lang w:val="en-US"/>
        </w:rPr>
        <w:t>3</w:t>
      </w:r>
      <w:r w:rsidRPr="005C7810">
        <w:rPr>
          <w:rFonts w:ascii="Book Antiqua" w:hAnsi="Book Antiqua"/>
          <w:sz w:val="24"/>
          <w:szCs w:val="24"/>
          <w:lang w:val="en-US"/>
        </w:rPr>
        <w:t xml:space="preserve"> </w:t>
      </w:r>
      <w:r w:rsidR="00CE53B4" w:rsidRPr="005C7810">
        <w:rPr>
          <w:rFonts w:ascii="Book Antiqua" w:hAnsi="Book Antiqua"/>
          <w:sz w:val="24"/>
          <w:szCs w:val="24"/>
          <w:lang w:val="en-US"/>
        </w:rPr>
        <w:t xml:space="preserve">Asian Cancer Research Group </w:t>
      </w:r>
      <w:r w:rsidRPr="005C7810">
        <w:rPr>
          <w:rFonts w:ascii="Book Antiqua" w:hAnsi="Book Antiqua"/>
          <w:sz w:val="24"/>
          <w:szCs w:val="24"/>
          <w:lang w:val="en-US"/>
        </w:rPr>
        <w:t>gastric tumor classification.</w:t>
      </w:r>
      <w:r w:rsidRPr="005C7810">
        <w:rPr>
          <w:rFonts w:ascii="Book Antiqua" w:hAnsi="Book Antiqua"/>
          <w:b w:val="0"/>
          <w:sz w:val="24"/>
          <w:szCs w:val="24"/>
          <w:lang w:val="en-US"/>
        </w:rPr>
        <w:t xml:space="preserve"> </w:t>
      </w:r>
      <w:r w:rsidR="001F3B94" w:rsidRPr="005C7810">
        <w:rPr>
          <w:rFonts w:ascii="Book Antiqua" w:hAnsi="Book Antiqua"/>
          <w:b w:val="0"/>
          <w:sz w:val="24"/>
          <w:szCs w:val="24"/>
          <w:lang w:val="en-US"/>
        </w:rPr>
        <w:t>Gastric cancer</w:t>
      </w:r>
      <w:r w:rsidRPr="005C7810">
        <w:rPr>
          <w:rFonts w:ascii="Book Antiqua" w:hAnsi="Book Antiqua"/>
          <w:b w:val="0"/>
          <w:sz w:val="24"/>
          <w:szCs w:val="24"/>
          <w:lang w:val="en-US"/>
        </w:rPr>
        <w:t xml:space="preserve"> was classified into four subtypes: MSI; MSS (</w:t>
      </w:r>
      <w:r w:rsidR="001F3B94" w:rsidRPr="005C7810">
        <w:rPr>
          <w:rFonts w:ascii="Book Antiqua" w:hAnsi="Book Antiqua"/>
          <w:b w:val="0"/>
          <w:sz w:val="24"/>
          <w:szCs w:val="24"/>
          <w:lang w:val="en-US"/>
        </w:rPr>
        <w:t>s</w:t>
      </w:r>
      <w:r w:rsidRPr="005C7810">
        <w:rPr>
          <w:rFonts w:ascii="Book Antiqua" w:hAnsi="Book Antiqua"/>
          <w:b w:val="0"/>
          <w:sz w:val="24"/>
          <w:szCs w:val="24"/>
          <w:lang w:val="en-US"/>
        </w:rPr>
        <w:t xml:space="preserve">table </w:t>
      </w:r>
      <w:r w:rsidR="001F3B94" w:rsidRPr="005C7810">
        <w:rPr>
          <w:rFonts w:ascii="Book Antiqua" w:hAnsi="Book Antiqua"/>
          <w:b w:val="0"/>
          <w:sz w:val="24"/>
          <w:szCs w:val="24"/>
          <w:lang w:val="en-US"/>
        </w:rPr>
        <w:t>m</w:t>
      </w:r>
      <w:r w:rsidRPr="005C7810">
        <w:rPr>
          <w:rFonts w:ascii="Book Antiqua" w:hAnsi="Book Antiqua"/>
          <w:b w:val="0"/>
          <w:sz w:val="24"/>
          <w:szCs w:val="24"/>
          <w:lang w:val="en-US"/>
        </w:rPr>
        <w:t xml:space="preserve">icrosatellite); MSS/TP53+ (MSS with active TP53); MSS/TP53- (MSS with inactive TP53); MSS/EMT (MSS with </w:t>
      </w:r>
      <w:r w:rsidR="001F3B94" w:rsidRPr="005C7810">
        <w:rPr>
          <w:rFonts w:ascii="Book Antiqua" w:hAnsi="Book Antiqua"/>
          <w:b w:val="0"/>
          <w:sz w:val="24"/>
          <w:szCs w:val="24"/>
          <w:lang w:val="en-US"/>
        </w:rPr>
        <w:t>e</w:t>
      </w:r>
      <w:r w:rsidRPr="005C7810">
        <w:rPr>
          <w:rFonts w:ascii="Book Antiqua" w:hAnsi="Book Antiqua"/>
          <w:b w:val="0"/>
          <w:sz w:val="24"/>
          <w:szCs w:val="24"/>
          <w:lang w:val="en-US"/>
        </w:rPr>
        <w:t>pithelial-</w:t>
      </w:r>
      <w:r w:rsidR="001F3B94" w:rsidRPr="005C7810">
        <w:rPr>
          <w:rFonts w:ascii="Book Antiqua" w:hAnsi="Book Antiqua"/>
          <w:b w:val="0"/>
          <w:sz w:val="24"/>
          <w:szCs w:val="24"/>
          <w:lang w:val="en-US"/>
        </w:rPr>
        <w:t>m</w:t>
      </w:r>
      <w:r w:rsidRPr="005C7810">
        <w:rPr>
          <w:rFonts w:ascii="Book Antiqua" w:hAnsi="Book Antiqua"/>
          <w:b w:val="0"/>
          <w:sz w:val="24"/>
          <w:szCs w:val="24"/>
          <w:lang w:val="en-US"/>
        </w:rPr>
        <w:t xml:space="preserve">esenchymal </w:t>
      </w:r>
      <w:r w:rsidR="001F3B94" w:rsidRPr="005C7810">
        <w:rPr>
          <w:rFonts w:ascii="Book Antiqua" w:hAnsi="Book Antiqua"/>
          <w:b w:val="0"/>
          <w:sz w:val="24"/>
          <w:szCs w:val="24"/>
          <w:lang w:val="en-US"/>
        </w:rPr>
        <w:t>t</w:t>
      </w:r>
      <w:r w:rsidRPr="005C7810">
        <w:rPr>
          <w:rFonts w:ascii="Book Antiqua" w:hAnsi="Book Antiqua"/>
          <w:b w:val="0"/>
          <w:sz w:val="24"/>
          <w:szCs w:val="24"/>
          <w:lang w:val="en-US"/>
        </w:rPr>
        <w:t>ransition).</w:t>
      </w:r>
      <w:r w:rsidR="001F3B94" w:rsidRPr="005C7810">
        <w:rPr>
          <w:rFonts w:ascii="Book Antiqua" w:hAnsi="Book Antiqua"/>
          <w:b w:val="0"/>
          <w:sz w:val="24"/>
          <w:szCs w:val="24"/>
          <w:lang w:val="en-US"/>
        </w:rPr>
        <w:t xml:space="preserve"> A</w:t>
      </w:r>
      <w:r w:rsidR="009B5024" w:rsidRPr="005C7810">
        <w:rPr>
          <w:rFonts w:ascii="Book Antiqua" w:hAnsi="Book Antiqua"/>
          <w:b w:val="0"/>
          <w:sz w:val="24"/>
          <w:szCs w:val="24"/>
          <w:lang w:val="en-US"/>
        </w:rPr>
        <w:t>C</w:t>
      </w:r>
      <w:r w:rsidR="001F3B94" w:rsidRPr="005C7810">
        <w:rPr>
          <w:rFonts w:ascii="Book Antiqua" w:hAnsi="Book Antiqua"/>
          <w:b w:val="0"/>
          <w:sz w:val="24"/>
          <w:szCs w:val="24"/>
          <w:lang w:val="en-US"/>
        </w:rPr>
        <w:t>R</w:t>
      </w:r>
      <w:r w:rsidR="009B5024" w:rsidRPr="005C7810">
        <w:rPr>
          <w:rFonts w:ascii="Book Antiqua" w:hAnsi="Book Antiqua"/>
          <w:b w:val="0"/>
          <w:sz w:val="24"/>
          <w:szCs w:val="24"/>
          <w:lang w:val="en-US"/>
        </w:rPr>
        <w:t>G</w:t>
      </w:r>
      <w:r w:rsidR="001F3B94" w:rsidRPr="005C7810">
        <w:rPr>
          <w:rFonts w:ascii="Book Antiqua" w:hAnsi="Book Antiqua"/>
          <w:b w:val="0"/>
          <w:sz w:val="24"/>
          <w:szCs w:val="24"/>
          <w:lang w:val="en-US"/>
        </w:rPr>
        <w:t>: Asian Cancer Research Group.</w:t>
      </w:r>
    </w:p>
    <w:p w:rsidR="00F27BCE" w:rsidRPr="005C7810" w:rsidRDefault="001F3B94" w:rsidP="00CD380F">
      <w:pPr>
        <w:pStyle w:val="1"/>
        <w:tabs>
          <w:tab w:val="num" w:pos="0"/>
        </w:tabs>
        <w:snapToGrid w:val="0"/>
        <w:spacing w:before="0" w:after="0" w:line="360" w:lineRule="auto"/>
        <w:ind w:left="0" w:firstLine="0"/>
        <w:jc w:val="both"/>
        <w:rPr>
          <w:rFonts w:ascii="Book Antiqua" w:hAnsi="Book Antiqua" w:cs="Calibri"/>
          <w:b w:val="0"/>
          <w:sz w:val="24"/>
          <w:szCs w:val="24"/>
          <w:lang w:val="en-US"/>
        </w:rPr>
        <w:sectPr w:rsidR="00F27BCE" w:rsidRPr="005C7810" w:rsidSect="00C00FFF">
          <w:footerReference w:type="even" r:id="rId13"/>
          <w:footerReference w:type="default" r:id="rId14"/>
          <w:pgSz w:w="11906" w:h="16838"/>
          <w:pgMar w:top="1440" w:right="1440" w:bottom="1440" w:left="1440" w:header="720" w:footer="720" w:gutter="0"/>
          <w:cols w:space="720"/>
          <w:docGrid w:linePitch="360" w:charSpace="-2049"/>
        </w:sectPr>
      </w:pPr>
      <w:r w:rsidRPr="005C7810">
        <w:rPr>
          <w:rFonts w:ascii="Book Antiqua" w:hAnsi="Book Antiqua"/>
          <w:b w:val="0"/>
          <w:sz w:val="24"/>
          <w:szCs w:val="24"/>
          <w:lang w:val="en-US"/>
        </w:rPr>
        <w:t xml:space="preserve"> </w:t>
      </w:r>
    </w:p>
    <w:p w:rsidR="00E54137" w:rsidRPr="005C7810" w:rsidRDefault="00E54137" w:rsidP="00CD380F">
      <w:pPr>
        <w:snapToGrid w:val="0"/>
        <w:spacing w:after="0" w:line="360" w:lineRule="auto"/>
        <w:rPr>
          <w:rFonts w:ascii="Book Antiqua" w:hAnsi="Book Antiqua" w:cs="Times New Roman"/>
          <w:b/>
          <w:sz w:val="24"/>
          <w:szCs w:val="24"/>
          <w:lang w:val="en-US"/>
        </w:rPr>
      </w:pPr>
      <w:r w:rsidRPr="005C7810">
        <w:rPr>
          <w:rFonts w:ascii="Book Antiqua" w:hAnsi="Book Antiqua" w:cs="Times New Roman"/>
          <w:b/>
          <w:sz w:val="24"/>
          <w:szCs w:val="24"/>
          <w:lang w:val="en-US"/>
        </w:rPr>
        <w:t>Table 1 Clinical trials classified on molecular targets</w:t>
      </w:r>
    </w:p>
    <w:tbl>
      <w:tblPr>
        <w:tblW w:w="15551" w:type="dxa"/>
        <w:tblCellMar>
          <w:left w:w="70" w:type="dxa"/>
          <w:right w:w="70" w:type="dxa"/>
        </w:tblCellMar>
        <w:tblLook w:val="04A0" w:firstRow="1" w:lastRow="0" w:firstColumn="1" w:lastColumn="0" w:noHBand="0" w:noVBand="1"/>
      </w:tblPr>
      <w:tblGrid>
        <w:gridCol w:w="1830"/>
        <w:gridCol w:w="1251"/>
        <w:gridCol w:w="3178"/>
        <w:gridCol w:w="1604"/>
        <w:gridCol w:w="1325"/>
        <w:gridCol w:w="1340"/>
        <w:gridCol w:w="674"/>
        <w:gridCol w:w="2125"/>
        <w:gridCol w:w="1172"/>
        <w:gridCol w:w="1052"/>
      </w:tblGrid>
      <w:tr w:rsidR="00E54137" w:rsidRPr="005C7810" w:rsidTr="00CE53B4">
        <w:trPr>
          <w:trHeight w:val="405"/>
        </w:trPr>
        <w:tc>
          <w:tcPr>
            <w:tcW w:w="1830"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bookmarkStart w:id="188" w:name="RANGE!A1:J35"/>
            <w:r w:rsidRPr="005C7810">
              <w:rPr>
                <w:rFonts w:ascii="Book Antiqua" w:eastAsia="Times New Roman" w:hAnsi="Book Antiqua" w:cs="Times New Roman"/>
                <w:b/>
                <w:bCs/>
                <w:color w:val="000000"/>
                <w:sz w:val="20"/>
                <w:szCs w:val="20"/>
                <w:lang w:val="en-US" w:eastAsia="it-IT"/>
              </w:rPr>
              <w:t>Signaling</w:t>
            </w:r>
            <w:bookmarkEnd w:id="188"/>
          </w:p>
        </w:tc>
        <w:tc>
          <w:tcPr>
            <w:tcW w:w="1251"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Molecular target</w:t>
            </w:r>
          </w:p>
        </w:tc>
        <w:tc>
          <w:tcPr>
            <w:tcW w:w="3178"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Therapeutic agents</w:t>
            </w:r>
          </w:p>
        </w:tc>
        <w:tc>
          <w:tcPr>
            <w:tcW w:w="1604"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Clinical trial (Identifier)</w:t>
            </w:r>
          </w:p>
        </w:tc>
        <w:tc>
          <w:tcPr>
            <w:tcW w:w="1325"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Type of trial</w:t>
            </w:r>
          </w:p>
        </w:tc>
        <w:tc>
          <w:tcPr>
            <w:tcW w:w="1340"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Line of treatment</w:t>
            </w:r>
          </w:p>
        </w:tc>
        <w:tc>
          <w:tcPr>
            <w:tcW w:w="674"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Phase</w:t>
            </w:r>
          </w:p>
        </w:tc>
        <w:tc>
          <w:tcPr>
            <w:tcW w:w="2125"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Patient's stage</w:t>
            </w:r>
          </w:p>
        </w:tc>
        <w:tc>
          <w:tcPr>
            <w:tcW w:w="1172"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Status</w:t>
            </w:r>
          </w:p>
        </w:tc>
        <w:tc>
          <w:tcPr>
            <w:tcW w:w="1052" w:type="dxa"/>
            <w:tcBorders>
              <w:top w:val="single" w:sz="4" w:space="0" w:color="auto"/>
              <w:left w:val="nil"/>
              <w:bottom w:val="single" w:sz="4" w:space="0" w:color="auto"/>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r w:rsidRPr="005C7810">
              <w:rPr>
                <w:rFonts w:ascii="Book Antiqua" w:eastAsia="Times New Roman" w:hAnsi="Book Antiqua" w:cs="Times New Roman"/>
                <w:b/>
                <w:bCs/>
                <w:color w:val="000000"/>
                <w:sz w:val="20"/>
                <w:szCs w:val="20"/>
                <w:lang w:val="en-US" w:eastAsia="it-IT"/>
              </w:rPr>
              <w:t>Reference</w:t>
            </w:r>
          </w:p>
        </w:tc>
      </w:tr>
      <w:tr w:rsidR="00E54137" w:rsidRPr="005C7810" w:rsidTr="00CE53B4">
        <w:trPr>
          <w:trHeight w:val="285"/>
        </w:trPr>
        <w:tc>
          <w:tcPr>
            <w:tcW w:w="1830"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b/>
                <w:bCs/>
                <w:color w:val="000000"/>
                <w:sz w:val="20"/>
                <w:szCs w:val="20"/>
                <w:lang w:val="en-US" w:eastAsia="it-IT"/>
              </w:rPr>
            </w:pPr>
          </w:p>
        </w:tc>
        <w:tc>
          <w:tcPr>
            <w:tcW w:w="1251"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3178"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1604"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1325"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1340"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674"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2125"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1172"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c>
          <w:tcPr>
            <w:tcW w:w="1052" w:type="dxa"/>
            <w:tcBorders>
              <w:top w:val="single" w:sz="4" w:space="0" w:color="auto"/>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sz w:val="20"/>
                <w:szCs w:val="20"/>
                <w:lang w:val="en-US" w:eastAsia="it-IT"/>
              </w:rPr>
            </w:pPr>
          </w:p>
        </w:tc>
      </w:tr>
      <w:tr w:rsidR="00E54137" w:rsidRPr="005C7810" w:rsidTr="00CE53B4">
        <w:trPr>
          <w:trHeight w:val="608"/>
        </w:trPr>
        <w:tc>
          <w:tcPr>
            <w:tcW w:w="183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EGFR </w:t>
            </w:r>
          </w:p>
        </w:tc>
        <w:tc>
          <w:tcPr>
            <w:tcW w:w="1251"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Trastuzumab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5-FU/cisplatin/capecitabine</w:t>
            </w:r>
            <w:r w:rsidR="00CE53B4" w:rsidRPr="005C7810">
              <w:rPr>
                <w:rFonts w:ascii="Book Antiqua" w:eastAsia="Times New Roman" w:hAnsi="Book Antiqua" w:cs="Times New Roman"/>
                <w:color w:val="000000"/>
                <w:sz w:val="20"/>
                <w:szCs w:val="20"/>
                <w:lang w:val="en-US" w:eastAsia="it-IT"/>
              </w:rPr>
              <w:t xml:space="preserve"> </w:t>
            </w:r>
          </w:p>
        </w:tc>
        <w:tc>
          <w:tcPr>
            <w:tcW w:w="160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ToGA (NCT01041404)</w:t>
            </w:r>
          </w:p>
        </w:tc>
        <w:tc>
          <w:tcPr>
            <w:tcW w:w="13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open-label</w:t>
            </w:r>
          </w:p>
        </w:tc>
        <w:tc>
          <w:tcPr>
            <w:tcW w:w="134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 HER2-positive</w:t>
            </w:r>
          </w:p>
        </w:tc>
        <w:tc>
          <w:tcPr>
            <w:tcW w:w="1172"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E60A0B" w:rsidRPr="005C7810" w:rsidRDefault="00E5019A"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124</w:t>
            </w:r>
            <w:r w:rsidRPr="005C7810">
              <w:rPr>
                <w:rFonts w:ascii="Book Antiqua" w:eastAsia="Times New Roman" w:hAnsi="Book Antiqua" w:cs="Times New Roman"/>
                <w:color w:val="000000"/>
                <w:sz w:val="20"/>
                <w:szCs w:val="20"/>
                <w:lang w:val="en-US" w:eastAsia="it-IT"/>
              </w:rPr>
              <w:t>]</w:t>
            </w:r>
          </w:p>
        </w:tc>
      </w:tr>
      <w:tr w:rsidR="00E54137" w:rsidRPr="005C7810" w:rsidTr="00CE53B4">
        <w:trPr>
          <w:trHeight w:val="608"/>
        </w:trPr>
        <w:tc>
          <w:tcPr>
            <w:tcW w:w="183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Trastuzumab/TS-1/cisplatin</w:t>
            </w:r>
          </w:p>
        </w:tc>
        <w:tc>
          <w:tcPr>
            <w:tcW w:w="160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NCT01736410</w:t>
            </w:r>
          </w:p>
        </w:tc>
        <w:tc>
          <w:tcPr>
            <w:tcW w:w="13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non-randomized, open-label</w:t>
            </w:r>
          </w:p>
        </w:tc>
        <w:tc>
          <w:tcPr>
            <w:tcW w:w="134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 HER2-positive</w:t>
            </w:r>
          </w:p>
        </w:tc>
        <w:tc>
          <w:tcPr>
            <w:tcW w:w="1172"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E54137" w:rsidRPr="005C7810" w:rsidRDefault="00E5019A"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125</w:t>
            </w:r>
            <w:r w:rsidRPr="005C7810">
              <w:rPr>
                <w:rFonts w:ascii="Book Antiqua" w:eastAsia="Times New Roman" w:hAnsi="Book Antiqua" w:cs="Times New Roman"/>
                <w:color w:val="000000"/>
                <w:sz w:val="20"/>
                <w:szCs w:val="20"/>
                <w:lang w:val="en-US" w:eastAsia="it-IT"/>
              </w:rPr>
              <w:t>]</w:t>
            </w:r>
          </w:p>
        </w:tc>
      </w:tr>
      <w:tr w:rsidR="00254722" w:rsidRPr="005C7810" w:rsidTr="00CE53B4">
        <w:trPr>
          <w:trHeight w:val="608"/>
        </w:trPr>
        <w:tc>
          <w:tcPr>
            <w:tcW w:w="1830"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eastAsia="it-IT"/>
              </w:rPr>
            </w:pPr>
            <w:r w:rsidRPr="005C7810">
              <w:rPr>
                <w:rFonts w:ascii="Book Antiqua" w:eastAsia="Times New Roman" w:hAnsi="Book Antiqua" w:cs="Times New Roman"/>
                <w:color w:val="000000"/>
                <w:sz w:val="20"/>
                <w:szCs w:val="20"/>
                <w:lang w:eastAsia="it-IT"/>
              </w:rPr>
              <w:t xml:space="preserve">Trastuzumab emtansine </w:t>
            </w:r>
            <w:r w:rsidRPr="005C7810">
              <w:rPr>
                <w:rFonts w:ascii="Book Antiqua" w:eastAsia="Times New Roman" w:hAnsi="Book Antiqua" w:cs="Times New Roman"/>
                <w:i/>
                <w:color w:val="000000"/>
                <w:sz w:val="20"/>
                <w:szCs w:val="20"/>
                <w:lang w:eastAsia="it-IT"/>
              </w:rPr>
              <w:t>vs</w:t>
            </w:r>
            <w:r w:rsidRPr="005C7810">
              <w:rPr>
                <w:rFonts w:ascii="Book Antiqua" w:eastAsia="Times New Roman" w:hAnsi="Book Antiqua" w:cs="Times New Roman"/>
                <w:color w:val="000000"/>
                <w:sz w:val="20"/>
                <w:szCs w:val="20"/>
                <w:lang w:eastAsia="it-IT"/>
              </w:rPr>
              <w:t xml:space="preserve"> docetaxel-paclitaxel</w:t>
            </w:r>
          </w:p>
        </w:tc>
        <w:tc>
          <w:tcPr>
            <w:tcW w:w="1604"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GATSBY</w:t>
            </w:r>
          </w:p>
          <w:p w:rsidR="00BD3582" w:rsidRPr="005C7810" w:rsidRDefault="00BD358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(NCT016441939)</w:t>
            </w:r>
          </w:p>
        </w:tc>
        <w:tc>
          <w:tcPr>
            <w:tcW w:w="1325"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open-label</w:t>
            </w:r>
          </w:p>
        </w:tc>
        <w:tc>
          <w:tcPr>
            <w:tcW w:w="1340"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II/III</w:t>
            </w:r>
          </w:p>
        </w:tc>
        <w:tc>
          <w:tcPr>
            <w:tcW w:w="2125"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 HER2-positive</w:t>
            </w:r>
          </w:p>
        </w:tc>
        <w:tc>
          <w:tcPr>
            <w:tcW w:w="1172"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tcPr>
          <w:p w:rsidR="00254722" w:rsidRPr="005C7810" w:rsidRDefault="0025472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BC6592" w:rsidRPr="005C7810">
              <w:rPr>
                <w:rFonts w:ascii="Book Antiqua" w:eastAsia="Times New Roman" w:hAnsi="Book Antiqua" w:cs="Times New Roman"/>
                <w:color w:val="000000"/>
                <w:sz w:val="20"/>
                <w:szCs w:val="20"/>
                <w:lang w:val="en-US" w:eastAsia="it-IT"/>
              </w:rPr>
              <w:t>126</w:t>
            </w:r>
            <w:r w:rsidRPr="005C7810">
              <w:rPr>
                <w:rFonts w:ascii="Book Antiqua" w:eastAsia="Times New Roman" w:hAnsi="Book Antiqua" w:cs="Times New Roman"/>
                <w:color w:val="000000"/>
                <w:sz w:val="20"/>
                <w:szCs w:val="20"/>
                <w:lang w:val="en-US" w:eastAsia="it-IT"/>
              </w:rPr>
              <w:t>]</w:t>
            </w:r>
          </w:p>
        </w:tc>
      </w:tr>
      <w:tr w:rsidR="00E54137" w:rsidRPr="005C7810" w:rsidTr="00CE53B4">
        <w:trPr>
          <w:trHeight w:val="810"/>
        </w:trPr>
        <w:tc>
          <w:tcPr>
            <w:tcW w:w="183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eastAsia="it-IT"/>
              </w:rPr>
            </w:pPr>
            <w:r w:rsidRPr="005C7810">
              <w:rPr>
                <w:rFonts w:ascii="Book Antiqua" w:eastAsia="Times New Roman" w:hAnsi="Book Antiqua" w:cs="Times New Roman"/>
                <w:color w:val="000000"/>
                <w:sz w:val="20"/>
                <w:szCs w:val="20"/>
                <w:lang w:eastAsia="it-IT"/>
              </w:rPr>
              <w:t xml:space="preserve"> Pertuzumab </w:t>
            </w:r>
            <w:r w:rsidRPr="005C7810">
              <w:rPr>
                <w:rFonts w:ascii="Book Antiqua" w:eastAsia="Times New Roman" w:hAnsi="Book Antiqua" w:cs="Times New Roman"/>
                <w:color w:val="000000"/>
                <w:sz w:val="20"/>
                <w:szCs w:val="20"/>
                <w:u w:val="single"/>
                <w:lang w:eastAsia="it-IT"/>
              </w:rPr>
              <w:t>+</w:t>
            </w:r>
            <w:r w:rsidRPr="005C7810">
              <w:rPr>
                <w:rFonts w:ascii="Book Antiqua" w:eastAsia="Times New Roman" w:hAnsi="Book Antiqua" w:cs="Times New Roman"/>
                <w:color w:val="000000"/>
                <w:sz w:val="20"/>
                <w:szCs w:val="20"/>
                <w:lang w:eastAsia="it-IT"/>
              </w:rPr>
              <w:t xml:space="preserve"> trastuzumab/5-FU/cisplatin/capecitabine</w:t>
            </w:r>
          </w:p>
        </w:tc>
        <w:tc>
          <w:tcPr>
            <w:tcW w:w="160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JACOB (NCT01774786)</w:t>
            </w:r>
          </w:p>
        </w:tc>
        <w:tc>
          <w:tcPr>
            <w:tcW w:w="13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double</w:t>
            </w:r>
          </w:p>
        </w:tc>
        <w:tc>
          <w:tcPr>
            <w:tcW w:w="134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Metastatic gastric cancer, HER2-positive</w:t>
            </w:r>
          </w:p>
        </w:tc>
        <w:tc>
          <w:tcPr>
            <w:tcW w:w="1172"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E54137" w:rsidRPr="005C7810" w:rsidRDefault="00E5019A"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127</w:t>
            </w:r>
            <w:r w:rsidRPr="005C7810">
              <w:rPr>
                <w:rFonts w:ascii="Book Antiqua" w:eastAsia="Times New Roman" w:hAnsi="Book Antiqua" w:cs="Times New Roman"/>
                <w:color w:val="000000"/>
                <w:sz w:val="20"/>
                <w:szCs w:val="20"/>
                <w:lang w:val="en-US" w:eastAsia="it-IT"/>
              </w:rPr>
              <w:t>]</w:t>
            </w:r>
          </w:p>
        </w:tc>
      </w:tr>
      <w:tr w:rsidR="00E54137" w:rsidRPr="005C7810" w:rsidTr="00CE53B4">
        <w:trPr>
          <w:trHeight w:val="608"/>
        </w:trPr>
        <w:tc>
          <w:tcPr>
            <w:tcW w:w="183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Lapatinib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oxaliplatin/capecitabine</w:t>
            </w:r>
          </w:p>
        </w:tc>
        <w:tc>
          <w:tcPr>
            <w:tcW w:w="160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TRIO-013/LOGiC (NCT00680901)</w:t>
            </w:r>
          </w:p>
        </w:tc>
        <w:tc>
          <w:tcPr>
            <w:tcW w:w="13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quadruple</w:t>
            </w:r>
          </w:p>
        </w:tc>
        <w:tc>
          <w:tcPr>
            <w:tcW w:w="134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gastric cancer, HER2-positive</w:t>
            </w:r>
          </w:p>
        </w:tc>
        <w:tc>
          <w:tcPr>
            <w:tcW w:w="1172"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E54137" w:rsidRPr="005C7810" w:rsidRDefault="00E5019A"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128</w:t>
            </w:r>
            <w:r w:rsidRPr="005C7810">
              <w:rPr>
                <w:rFonts w:ascii="Book Antiqua" w:eastAsia="Times New Roman" w:hAnsi="Book Antiqua" w:cs="Times New Roman"/>
                <w:color w:val="000000"/>
                <w:sz w:val="20"/>
                <w:szCs w:val="20"/>
                <w:lang w:val="en-US" w:eastAsia="it-IT"/>
              </w:rPr>
              <w:t>]</w:t>
            </w:r>
          </w:p>
        </w:tc>
      </w:tr>
      <w:tr w:rsidR="00E54137" w:rsidRPr="005C7810" w:rsidTr="00CE53B4">
        <w:trPr>
          <w:trHeight w:val="810"/>
        </w:trPr>
        <w:tc>
          <w:tcPr>
            <w:tcW w:w="183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IMU-131 vaccine (HER-Vaxx) + 5-FU/cisplatin or capecitabine</w:t>
            </w:r>
          </w:p>
        </w:tc>
        <w:tc>
          <w:tcPr>
            <w:tcW w:w="160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NCT02795988</w:t>
            </w:r>
          </w:p>
        </w:tc>
        <w:tc>
          <w:tcPr>
            <w:tcW w:w="1325"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Non-randomized, open-label</w:t>
            </w:r>
          </w:p>
        </w:tc>
        <w:tc>
          <w:tcPr>
            <w:tcW w:w="1340"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First/second</w:t>
            </w:r>
          </w:p>
        </w:tc>
        <w:tc>
          <w:tcPr>
            <w:tcW w:w="674"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Ib/II</w:t>
            </w:r>
          </w:p>
        </w:tc>
        <w:tc>
          <w:tcPr>
            <w:tcW w:w="2125" w:type="dxa"/>
            <w:tcBorders>
              <w:top w:val="nil"/>
              <w:left w:val="nil"/>
              <w:bottom w:val="nil"/>
              <w:right w:val="nil"/>
            </w:tcBorders>
            <w:shd w:val="clear" w:color="auto" w:fill="auto"/>
            <w:hideMark/>
          </w:tcPr>
          <w:p w:rsidR="00682129"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gastric cancer, HER2-positive</w:t>
            </w:r>
          </w:p>
        </w:tc>
        <w:tc>
          <w:tcPr>
            <w:tcW w:w="1172" w:type="dxa"/>
            <w:tcBorders>
              <w:top w:val="nil"/>
              <w:left w:val="nil"/>
              <w:bottom w:val="nil"/>
              <w:right w:val="nil"/>
            </w:tcBorders>
            <w:shd w:val="clear" w:color="auto" w:fill="auto"/>
            <w:hideMark/>
          </w:tcPr>
          <w:p w:rsidR="00E54137" w:rsidRPr="005C7810" w:rsidRDefault="00E5413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hideMark/>
          </w:tcPr>
          <w:p w:rsidR="00E54137" w:rsidRPr="005C7810" w:rsidRDefault="00E5019A"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130</w:t>
            </w:r>
            <w:r w:rsidRPr="005C7810">
              <w:rPr>
                <w:rFonts w:ascii="Book Antiqua" w:eastAsia="Times New Roman" w:hAnsi="Book Antiqua" w:cs="Times New Roman"/>
                <w:color w:val="000000"/>
                <w:sz w:val="20"/>
                <w:szCs w:val="20"/>
                <w:lang w:val="en-US" w:eastAsia="it-IT"/>
              </w:rPr>
              <w:t>]</w:t>
            </w:r>
          </w:p>
        </w:tc>
      </w:tr>
      <w:tr w:rsidR="00CE27D6" w:rsidRPr="005C7810" w:rsidTr="00CE53B4">
        <w:trPr>
          <w:trHeight w:val="810"/>
        </w:trPr>
        <w:tc>
          <w:tcPr>
            <w:tcW w:w="1830" w:type="dxa"/>
            <w:tcBorders>
              <w:top w:val="nil"/>
              <w:left w:val="nil"/>
              <w:bottom w:val="nil"/>
              <w:right w:val="nil"/>
            </w:tcBorders>
            <w:shd w:val="clear" w:color="auto" w:fill="auto"/>
          </w:tcPr>
          <w:p w:rsidR="00CE27D6" w:rsidRPr="005C7810" w:rsidRDefault="00CE27D6"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CE27D6" w:rsidRPr="005C7810" w:rsidRDefault="00CE27D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tcPr>
          <w:p w:rsidR="00CE27D6" w:rsidRPr="005C7810" w:rsidRDefault="00CE27D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Pyrotinib</w:t>
            </w:r>
          </w:p>
        </w:tc>
        <w:tc>
          <w:tcPr>
            <w:tcW w:w="1604" w:type="dxa"/>
            <w:tcBorders>
              <w:top w:val="nil"/>
              <w:left w:val="nil"/>
              <w:bottom w:val="nil"/>
              <w:right w:val="nil"/>
            </w:tcBorders>
            <w:shd w:val="clear" w:color="auto" w:fill="auto"/>
          </w:tcPr>
          <w:p w:rsidR="00CE27D6" w:rsidRPr="005C7810" w:rsidRDefault="00CE27D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(NCT02500199)</w:t>
            </w:r>
          </w:p>
        </w:tc>
        <w:tc>
          <w:tcPr>
            <w:tcW w:w="1325" w:type="dxa"/>
            <w:tcBorders>
              <w:top w:val="nil"/>
              <w:left w:val="nil"/>
              <w:bottom w:val="nil"/>
              <w:right w:val="nil"/>
            </w:tcBorders>
            <w:shd w:val="clear" w:color="auto" w:fill="auto"/>
          </w:tcPr>
          <w:p w:rsidR="00CE27D6"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Open-label</w:t>
            </w:r>
          </w:p>
        </w:tc>
        <w:tc>
          <w:tcPr>
            <w:tcW w:w="1340" w:type="dxa"/>
            <w:tcBorders>
              <w:top w:val="nil"/>
              <w:left w:val="nil"/>
              <w:bottom w:val="nil"/>
              <w:right w:val="nil"/>
            </w:tcBorders>
            <w:shd w:val="clear" w:color="auto" w:fill="auto"/>
          </w:tcPr>
          <w:p w:rsidR="00CE27D6"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tcPr>
          <w:p w:rsidR="00CE27D6"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w:t>
            </w:r>
          </w:p>
        </w:tc>
        <w:tc>
          <w:tcPr>
            <w:tcW w:w="2125" w:type="dxa"/>
            <w:tcBorders>
              <w:top w:val="nil"/>
              <w:left w:val="nil"/>
              <w:bottom w:val="nil"/>
              <w:right w:val="nil"/>
            </w:tcBorders>
            <w:shd w:val="clear" w:color="auto" w:fill="auto"/>
          </w:tcPr>
          <w:p w:rsidR="00CE27D6"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 HER2-positive</w:t>
            </w:r>
          </w:p>
        </w:tc>
        <w:tc>
          <w:tcPr>
            <w:tcW w:w="1172" w:type="dxa"/>
            <w:tcBorders>
              <w:top w:val="nil"/>
              <w:left w:val="nil"/>
              <w:bottom w:val="nil"/>
              <w:right w:val="nil"/>
            </w:tcBorders>
            <w:shd w:val="clear" w:color="auto" w:fill="auto"/>
          </w:tcPr>
          <w:p w:rsidR="00CE27D6"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tcPr>
          <w:p w:rsidR="00CE27D6"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3F1550" w:rsidRPr="005C7810">
              <w:rPr>
                <w:rFonts w:ascii="Book Antiqua" w:eastAsia="Times New Roman" w:hAnsi="Book Antiqua" w:cs="Times New Roman"/>
                <w:color w:val="000000"/>
                <w:sz w:val="20"/>
                <w:szCs w:val="20"/>
                <w:lang w:val="en-US" w:eastAsia="it-IT"/>
              </w:rPr>
              <w:t>131</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HER2</w:t>
            </w:r>
          </w:p>
        </w:tc>
        <w:tc>
          <w:tcPr>
            <w:tcW w:w="3178"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Pyrotinib</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docetaxel</w:t>
            </w:r>
          </w:p>
        </w:tc>
        <w:tc>
          <w:tcPr>
            <w:tcW w:w="1604"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(NCT02378389)</w:t>
            </w:r>
          </w:p>
        </w:tc>
        <w:tc>
          <w:tcPr>
            <w:tcW w:w="1325"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Open-label</w:t>
            </w:r>
          </w:p>
        </w:tc>
        <w:tc>
          <w:tcPr>
            <w:tcW w:w="1340"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w:t>
            </w:r>
          </w:p>
        </w:tc>
        <w:tc>
          <w:tcPr>
            <w:tcW w:w="2125"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 HER2-positive</w:t>
            </w:r>
          </w:p>
        </w:tc>
        <w:tc>
          <w:tcPr>
            <w:tcW w:w="1172"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3F1550" w:rsidRPr="005C7810">
              <w:rPr>
                <w:rFonts w:ascii="Book Antiqua" w:eastAsia="Times New Roman" w:hAnsi="Book Antiqua" w:cs="Times New Roman"/>
                <w:color w:val="000000"/>
                <w:sz w:val="20"/>
                <w:szCs w:val="20"/>
                <w:lang w:val="en-US" w:eastAsia="it-IT"/>
              </w:rPr>
              <w:t>132</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EGFR</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Cetuximab</w:t>
            </w:r>
            <w:r w:rsidR="00BC6592"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cisplatin/capecitabine </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EXPAND (NCT00678535)</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134</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EGFR</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Panitumumab + 5-FU/cisplatin/docetaxel</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NCT01716546</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Locally advanced/metastatic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Terminated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135</w:t>
            </w:r>
            <w:r w:rsidRPr="005C7810">
              <w:rPr>
                <w:rFonts w:ascii="Book Antiqua" w:eastAsia="Times New Roman" w:hAnsi="Book Antiqua" w:cs="Times New Roman"/>
                <w:color w:val="000000"/>
                <w:sz w:val="20"/>
                <w:szCs w:val="20"/>
                <w:lang w:val="en-US" w:eastAsia="it-IT"/>
              </w:rPr>
              <w:t>]</w:t>
            </w:r>
          </w:p>
        </w:tc>
      </w:tr>
      <w:tr w:rsidR="00AD2332" w:rsidRPr="005C7810" w:rsidTr="00CE53B4">
        <w:trPr>
          <w:trHeight w:val="608"/>
        </w:trPr>
        <w:tc>
          <w:tcPr>
            <w:tcW w:w="1830"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EGFR</w:t>
            </w:r>
          </w:p>
        </w:tc>
        <w:tc>
          <w:tcPr>
            <w:tcW w:w="3178"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Nimotuzumab</w:t>
            </w:r>
            <w:r w:rsidR="00064007" w:rsidRPr="005C7810">
              <w:rPr>
                <w:rFonts w:ascii="Book Antiqua" w:eastAsia="Times New Roman" w:hAnsi="Book Antiqua" w:cs="Times New Roman"/>
                <w:color w:val="000000"/>
                <w:sz w:val="20"/>
                <w:szCs w:val="20"/>
                <w:lang w:val="en-US" w:eastAsia="it-IT"/>
              </w:rPr>
              <w:t xml:space="preserve"> + irinotecan</w:t>
            </w:r>
          </w:p>
          <w:p w:rsidR="00064007" w:rsidRPr="005C7810" w:rsidRDefault="0006400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i/>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irinotecan</w:t>
            </w:r>
          </w:p>
        </w:tc>
        <w:tc>
          <w:tcPr>
            <w:tcW w:w="1604" w:type="dxa"/>
            <w:tcBorders>
              <w:top w:val="nil"/>
              <w:left w:val="nil"/>
              <w:bottom w:val="nil"/>
              <w:right w:val="nil"/>
            </w:tcBorders>
            <w:shd w:val="clear" w:color="auto" w:fill="auto"/>
          </w:tcPr>
          <w:p w:rsidR="00AD2332" w:rsidRPr="005C7810" w:rsidRDefault="009231B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hAnsi="Book Antiqua"/>
                <w:color w:val="000000"/>
                <w:sz w:val="20"/>
                <w:szCs w:val="20"/>
                <w:shd w:val="clear" w:color="auto" w:fill="FFFFFF"/>
                <w:lang w:val="en-US"/>
              </w:rPr>
              <w:t>ENRICH (</w:t>
            </w:r>
            <w:r w:rsidR="00AD2332" w:rsidRPr="005C7810">
              <w:rPr>
                <w:rFonts w:ascii="Book Antiqua" w:hAnsi="Book Antiqua"/>
                <w:color w:val="000000"/>
                <w:sz w:val="20"/>
                <w:szCs w:val="20"/>
                <w:shd w:val="clear" w:color="auto" w:fill="FFFFFF"/>
                <w:lang w:val="en-US"/>
              </w:rPr>
              <w:t>NCT01813253</w:t>
            </w:r>
            <w:r w:rsidRPr="005C7810">
              <w:rPr>
                <w:rFonts w:ascii="Book Antiqua" w:hAnsi="Book Antiqua"/>
                <w:color w:val="000000"/>
                <w:sz w:val="20"/>
                <w:szCs w:val="20"/>
                <w:shd w:val="clear" w:color="auto" w:fill="FFFFFF"/>
                <w:lang w:val="en-US"/>
              </w:rPr>
              <w:t>)</w:t>
            </w:r>
          </w:p>
        </w:tc>
        <w:tc>
          <w:tcPr>
            <w:tcW w:w="1325" w:type="dxa"/>
            <w:tcBorders>
              <w:top w:val="nil"/>
              <w:left w:val="nil"/>
              <w:bottom w:val="nil"/>
              <w:right w:val="nil"/>
            </w:tcBorders>
            <w:shd w:val="clear" w:color="auto" w:fill="auto"/>
          </w:tcPr>
          <w:p w:rsidR="00AD2332" w:rsidRPr="005C7810" w:rsidRDefault="0006400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open-label</w:t>
            </w:r>
          </w:p>
        </w:tc>
        <w:tc>
          <w:tcPr>
            <w:tcW w:w="1340" w:type="dxa"/>
            <w:tcBorders>
              <w:top w:val="nil"/>
              <w:left w:val="nil"/>
              <w:bottom w:val="nil"/>
              <w:right w:val="nil"/>
            </w:tcBorders>
            <w:shd w:val="clear" w:color="auto" w:fill="auto"/>
          </w:tcPr>
          <w:p w:rsidR="00AD2332" w:rsidRPr="005C7810" w:rsidRDefault="0006400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tcPr>
          <w:p w:rsidR="00AD2332" w:rsidRPr="005C7810" w:rsidRDefault="0006400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tcPr>
          <w:p w:rsidR="00AD2332" w:rsidRPr="005C7810" w:rsidRDefault="0006400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Advanced/recurred gastric cancer, EFGR overexpressed</w:t>
            </w:r>
          </w:p>
        </w:tc>
        <w:tc>
          <w:tcPr>
            <w:tcW w:w="1172" w:type="dxa"/>
            <w:tcBorders>
              <w:top w:val="nil"/>
              <w:left w:val="nil"/>
              <w:bottom w:val="nil"/>
              <w:right w:val="nil"/>
            </w:tcBorders>
            <w:shd w:val="clear" w:color="auto" w:fill="auto"/>
          </w:tcPr>
          <w:p w:rsidR="00AD2332" w:rsidRPr="005C7810" w:rsidRDefault="0006400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Terminated</w:t>
            </w:r>
          </w:p>
        </w:tc>
        <w:tc>
          <w:tcPr>
            <w:tcW w:w="1052" w:type="dxa"/>
            <w:tcBorders>
              <w:top w:val="nil"/>
              <w:left w:val="nil"/>
              <w:bottom w:val="nil"/>
              <w:right w:val="nil"/>
            </w:tcBorders>
            <w:shd w:val="clear" w:color="auto" w:fill="auto"/>
          </w:tcPr>
          <w:p w:rsidR="00AD2332" w:rsidRPr="005C7810" w:rsidRDefault="00064007"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76430D" w:rsidRPr="005C7810">
              <w:rPr>
                <w:rFonts w:ascii="Book Antiqua" w:eastAsia="Times New Roman" w:hAnsi="Book Antiqua" w:cs="Times New Roman"/>
                <w:color w:val="000000"/>
                <w:sz w:val="20"/>
                <w:szCs w:val="20"/>
                <w:lang w:val="en-US" w:eastAsia="it-IT"/>
              </w:rPr>
              <w:t>136</w:t>
            </w:r>
            <w:r w:rsidRPr="005C7810">
              <w:rPr>
                <w:rFonts w:ascii="Book Antiqua" w:eastAsia="Times New Roman" w:hAnsi="Book Antiqua" w:cs="Times New Roman"/>
                <w:color w:val="000000"/>
                <w:sz w:val="20"/>
                <w:szCs w:val="20"/>
                <w:lang w:val="en-US" w:eastAsia="it-IT"/>
              </w:rPr>
              <w:t>]</w:t>
            </w:r>
          </w:p>
        </w:tc>
      </w:tr>
      <w:tr w:rsidR="00AD2332" w:rsidRPr="005C7810" w:rsidTr="00CE53B4">
        <w:trPr>
          <w:trHeight w:val="608"/>
        </w:trPr>
        <w:tc>
          <w:tcPr>
            <w:tcW w:w="1830"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EGFR</w:t>
            </w:r>
          </w:p>
        </w:tc>
        <w:tc>
          <w:tcPr>
            <w:tcW w:w="3178"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Nimotuzumab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w:t>
            </w:r>
            <w:r w:rsidR="00DF19BC" w:rsidRPr="005C7810">
              <w:rPr>
                <w:rFonts w:ascii="Book Antiqua" w:eastAsia="Times New Roman" w:hAnsi="Book Antiqua" w:cs="Times New Roman"/>
                <w:color w:val="000000"/>
                <w:sz w:val="20"/>
                <w:szCs w:val="20"/>
                <w:lang w:val="en-US" w:eastAsia="it-IT"/>
              </w:rPr>
              <w:t>S-1/</w:t>
            </w:r>
            <w:r w:rsidRPr="005C7810">
              <w:rPr>
                <w:rFonts w:ascii="Book Antiqua" w:eastAsia="Times New Roman" w:hAnsi="Book Antiqua" w:cs="Times New Roman"/>
                <w:color w:val="000000"/>
                <w:sz w:val="20"/>
                <w:szCs w:val="20"/>
                <w:lang w:val="en-US" w:eastAsia="it-IT"/>
              </w:rPr>
              <w:t>cisplatin</w:t>
            </w:r>
          </w:p>
        </w:tc>
        <w:tc>
          <w:tcPr>
            <w:tcW w:w="1604"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hAnsi="Book Antiqua"/>
                <w:color w:val="000000"/>
                <w:sz w:val="20"/>
                <w:szCs w:val="20"/>
                <w:shd w:val="clear" w:color="auto" w:fill="FFFFFF"/>
                <w:lang w:val="en-US"/>
              </w:rPr>
              <w:t>NCT02370849</w:t>
            </w:r>
          </w:p>
        </w:tc>
        <w:tc>
          <w:tcPr>
            <w:tcW w:w="1325"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open-label</w:t>
            </w:r>
          </w:p>
        </w:tc>
        <w:tc>
          <w:tcPr>
            <w:tcW w:w="1340"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tcPr>
          <w:p w:rsidR="00AD2332" w:rsidRPr="005C7810" w:rsidRDefault="00DF19B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Locally a</w:t>
            </w:r>
            <w:r w:rsidR="00AD2332" w:rsidRPr="005C7810">
              <w:rPr>
                <w:rFonts w:ascii="Book Antiqua" w:eastAsia="Times New Roman" w:hAnsi="Book Antiqua" w:cs="Times New Roman"/>
                <w:color w:val="000000"/>
                <w:sz w:val="20"/>
                <w:szCs w:val="20"/>
                <w:lang w:val="en-US" w:eastAsia="it-IT"/>
              </w:rPr>
              <w:t>d</w:t>
            </w:r>
            <w:r w:rsidRPr="005C7810">
              <w:rPr>
                <w:rFonts w:ascii="Book Antiqua" w:eastAsia="Times New Roman" w:hAnsi="Book Antiqua" w:cs="Times New Roman"/>
                <w:color w:val="000000"/>
                <w:sz w:val="20"/>
                <w:szCs w:val="20"/>
                <w:lang w:val="en-US" w:eastAsia="it-IT"/>
              </w:rPr>
              <w:t xml:space="preserve">vanced/metastatic </w:t>
            </w:r>
            <w:r w:rsidR="00AD2332" w:rsidRPr="005C7810">
              <w:rPr>
                <w:rFonts w:ascii="Book Antiqua" w:eastAsia="Times New Roman" w:hAnsi="Book Antiqua" w:cs="Times New Roman"/>
                <w:color w:val="000000"/>
                <w:sz w:val="20"/>
                <w:szCs w:val="20"/>
                <w:lang w:val="en-US" w:eastAsia="it-IT"/>
              </w:rPr>
              <w:t>gastric cancer</w:t>
            </w:r>
          </w:p>
        </w:tc>
        <w:tc>
          <w:tcPr>
            <w:tcW w:w="1172"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tcPr>
          <w:p w:rsidR="00AD2332" w:rsidRPr="005C7810" w:rsidRDefault="00AD2332"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76430D" w:rsidRPr="005C7810">
              <w:rPr>
                <w:rFonts w:ascii="Book Antiqua" w:eastAsia="Times New Roman" w:hAnsi="Book Antiqua" w:cs="Times New Roman"/>
                <w:color w:val="000000"/>
                <w:sz w:val="20"/>
                <w:szCs w:val="20"/>
                <w:lang w:val="en-US" w:eastAsia="it-IT"/>
              </w:rPr>
              <w:t>138</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mTOR/PI3K/AKT</w:t>
            </w: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mTOR</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Everolimus </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NCT00519324</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Second/third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refractory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142</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mTOR</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Everolimus </w:t>
            </w:r>
          </w:p>
        </w:tc>
        <w:tc>
          <w:tcPr>
            <w:tcW w:w="1604" w:type="dxa"/>
            <w:tcBorders>
              <w:top w:val="nil"/>
              <w:left w:val="nil"/>
              <w:bottom w:val="nil"/>
              <w:right w:val="nil"/>
            </w:tcBorders>
            <w:shd w:val="clear" w:color="auto" w:fill="auto"/>
            <w:noWrap/>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NCT00729482</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refractory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143</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mTOR</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Everolimus + BSC </w:t>
            </w:r>
            <w:r w:rsidRPr="005C7810">
              <w:rPr>
                <w:rFonts w:ascii="Book Antiqua" w:eastAsia="Times New Roman" w:hAnsi="Book Antiqua" w:cs="Times New Roman"/>
                <w:i/>
                <w:iCs/>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placebo + BSC</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GRANITE-1 (NCT00879333)</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quadruple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Second/third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144</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1013"/>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PI3KCA</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Alpelisib + AUY922</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NCT01613950</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Second/third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Ib</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Advanced/metastatic gastric cancer, PIK3CA mutations and/or HER2 amplification </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145</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AKT</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Ipatasertib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5FU/oxaliplatin/leucovorin</w:t>
            </w:r>
          </w:p>
        </w:tc>
        <w:tc>
          <w:tcPr>
            <w:tcW w:w="1604" w:type="dxa"/>
            <w:tcBorders>
              <w:top w:val="nil"/>
              <w:left w:val="nil"/>
              <w:bottom w:val="nil"/>
              <w:right w:val="nil"/>
            </w:tcBorders>
            <w:shd w:val="clear" w:color="auto" w:fill="auto"/>
            <w:noWrap/>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NCT01896531</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double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146</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HGF/MET</w:t>
            </w: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HGF </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eastAsia="it-IT"/>
              </w:rPr>
            </w:pPr>
            <w:r w:rsidRPr="005C7810">
              <w:rPr>
                <w:rFonts w:ascii="Book Antiqua" w:eastAsia="Times New Roman" w:hAnsi="Book Antiqua" w:cs="Times New Roman"/>
                <w:color w:val="000000"/>
                <w:sz w:val="20"/>
                <w:szCs w:val="20"/>
                <w:lang w:eastAsia="it-IT"/>
              </w:rPr>
              <w:t xml:space="preserve">Rilotumumab vs rilotumumab </w:t>
            </w:r>
            <w:r w:rsidRPr="005C7810">
              <w:rPr>
                <w:rFonts w:ascii="Book Antiqua" w:eastAsia="Times New Roman" w:hAnsi="Book Antiqua" w:cs="Times New Roman"/>
                <w:color w:val="000000"/>
                <w:sz w:val="20"/>
                <w:szCs w:val="20"/>
                <w:u w:val="single"/>
                <w:lang w:eastAsia="it-IT"/>
              </w:rPr>
              <w:t>+</w:t>
            </w:r>
            <w:r w:rsidRPr="005C7810">
              <w:rPr>
                <w:rFonts w:ascii="Book Antiqua" w:eastAsia="Times New Roman" w:hAnsi="Book Antiqua" w:cs="Times New Roman"/>
                <w:color w:val="000000"/>
                <w:sz w:val="20"/>
                <w:szCs w:val="20"/>
                <w:lang w:eastAsia="it-IT"/>
              </w:rPr>
              <w:t xml:space="preserve"> epirubicin/cisplatin/capecitabine </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NCT00719550</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Ib/II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Locally advanced/metastatic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5E73EA" w:rsidRPr="005C7810">
              <w:rPr>
                <w:rFonts w:ascii="Book Antiqua" w:eastAsia="Times New Roman" w:hAnsi="Book Antiqua" w:cs="Times New Roman"/>
                <w:color w:val="000000"/>
                <w:sz w:val="20"/>
                <w:szCs w:val="20"/>
                <w:lang w:val="en-US" w:eastAsia="it-IT"/>
              </w:rPr>
              <w:t>1</w:t>
            </w:r>
            <w:r w:rsidR="00AD1EC8" w:rsidRPr="005C7810">
              <w:rPr>
                <w:rFonts w:ascii="Book Antiqua" w:eastAsia="Times New Roman" w:hAnsi="Book Antiqua" w:cs="Times New Roman"/>
                <w:color w:val="000000"/>
                <w:sz w:val="20"/>
                <w:szCs w:val="20"/>
                <w:lang w:val="en-US" w:eastAsia="it-IT"/>
              </w:rPr>
              <w:t>49</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HGF </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Rilotumumab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epirubicin/cisplatin/capecitabine </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RILOMET-1 (NCT01697072)</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triple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Locally advanced/metastatic gastric cancer, MET-positive</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Terminated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150</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HGF </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Rilotumumab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/cisplatin/capecitabine </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RILOMET-2 (NCT02137343)</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triple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Terminated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151</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Onartuzumab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5-FU/leucovorin/oxaliplatin</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NCT01662869</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double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Metastatic gastric cancer, HER-2 negative, MET-positive</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152</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VEGF/VEGFR </w:t>
            </w: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VEGFR2</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Ramucirumab + BSC </w:t>
            </w:r>
            <w:r w:rsidRPr="005C7810">
              <w:rPr>
                <w:rFonts w:ascii="Book Antiqua" w:eastAsia="Times New Roman" w:hAnsi="Book Antiqua" w:cs="Times New Roman"/>
                <w:i/>
                <w:iCs/>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placebo + BSC</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REGARD (NCT00917384)</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quadruple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Metastatic/locally recurrent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72</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VEGFR2</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Ramucirumab </w:t>
            </w:r>
            <w:r w:rsidRPr="005C7810">
              <w:rPr>
                <w:rFonts w:ascii="Book Antiqua" w:eastAsia="Times New Roman" w:hAnsi="Book Antiqua" w:cs="Times New Roman"/>
                <w:color w:val="000000"/>
                <w:sz w:val="20"/>
                <w:szCs w:val="20"/>
                <w:u w:val="single"/>
                <w:lang w:val="en-US" w:eastAsia="it-IT"/>
              </w:rPr>
              <w:t>+</w:t>
            </w:r>
            <w:r w:rsidRPr="005C7810">
              <w:rPr>
                <w:rFonts w:ascii="Book Antiqua" w:eastAsia="Times New Roman" w:hAnsi="Book Antiqua" w:cs="Times New Roman"/>
                <w:color w:val="000000"/>
                <w:sz w:val="20"/>
                <w:szCs w:val="20"/>
                <w:lang w:val="en-US" w:eastAsia="it-IT"/>
              </w:rPr>
              <w:t xml:space="preserve"> paclitaxel</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RAINBOW (NCT01170663)</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double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Metastatic, refractory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73</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VEGFR2</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Apatinib </w:t>
            </w:r>
            <w:r w:rsidRPr="005C7810">
              <w:rPr>
                <w:rFonts w:ascii="Book Antiqua" w:eastAsia="Times New Roman" w:hAnsi="Book Antiqua" w:cs="Times New Roman"/>
                <w:i/>
                <w:iCs/>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placebo</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NCT01512745</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quadruple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Third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r w:rsidR="00AD1EC8" w:rsidRPr="005C7810">
              <w:rPr>
                <w:rFonts w:ascii="Book Antiqua" w:eastAsia="Times New Roman" w:hAnsi="Book Antiqua" w:cs="Times New Roman"/>
                <w:color w:val="000000"/>
                <w:sz w:val="20"/>
                <w:szCs w:val="20"/>
                <w:lang w:val="en-US" w:eastAsia="it-IT"/>
              </w:rPr>
              <w:t>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refractory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156</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1013"/>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TP53</w:t>
            </w: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TP53</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Polymorphisms of xenobiotic metabolism, DNA repair, and TP53 genes</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NCT01470404</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softHyphen/>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softHyphen/>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Gastric cancer treated with adjuvant chemotherapy</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161</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1013"/>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TP53</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APR-246 + 5-FU/cisplatin</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NCT02999893</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platinum resistant gastroesophageal cancer, TP53 mutated</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167</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TP53</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AZD1775 (WEE inhibitor) + paclitaxel</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NCT02448329</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Single center</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 TP53 mutated</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169</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TP53</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HDM201 (inhibitor TP53/MDM2 interaction)</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NCT02143635</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non-randomized,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gastric cancer, TP53 wild-type</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170</w:t>
            </w:r>
            <w:r w:rsidRPr="005C7810">
              <w:rPr>
                <w:rFonts w:ascii="Book Antiqua" w:eastAsia="Times New Roman" w:hAnsi="Book Antiqua" w:cs="Times New Roman"/>
                <w:color w:val="000000"/>
                <w:sz w:val="20"/>
                <w:szCs w:val="20"/>
                <w:lang w:val="en-US" w:eastAsia="it-IT"/>
              </w:rPr>
              <w:t>]</w:t>
            </w:r>
          </w:p>
        </w:tc>
      </w:tr>
      <w:tr w:rsidR="002F47EB" w:rsidRPr="005C7810" w:rsidTr="00CE53B4">
        <w:trPr>
          <w:trHeight w:val="1013"/>
        </w:trPr>
        <w:tc>
          <w:tcPr>
            <w:tcW w:w="1830" w:type="dxa"/>
            <w:tcBorders>
              <w:top w:val="nil"/>
              <w:left w:val="nil"/>
              <w:bottom w:val="nil"/>
              <w:right w:val="nil"/>
            </w:tcBorders>
            <w:shd w:val="clear" w:color="auto" w:fill="auto"/>
          </w:tcPr>
          <w:p w:rsidR="002F47EB" w:rsidRPr="005C7810" w:rsidRDefault="002F47EB"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PARP</w:t>
            </w:r>
          </w:p>
        </w:tc>
        <w:tc>
          <w:tcPr>
            <w:tcW w:w="1251" w:type="dxa"/>
            <w:tcBorders>
              <w:top w:val="nil"/>
              <w:left w:val="nil"/>
              <w:bottom w:val="nil"/>
              <w:right w:val="nil"/>
            </w:tcBorders>
            <w:shd w:val="clear" w:color="auto" w:fill="auto"/>
          </w:tcPr>
          <w:p w:rsidR="002F47EB" w:rsidRPr="005C7810" w:rsidRDefault="002F47EB"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PARP</w:t>
            </w:r>
          </w:p>
        </w:tc>
        <w:tc>
          <w:tcPr>
            <w:tcW w:w="3178" w:type="dxa"/>
            <w:tcBorders>
              <w:top w:val="nil"/>
              <w:left w:val="nil"/>
              <w:bottom w:val="nil"/>
              <w:right w:val="nil"/>
            </w:tcBorders>
            <w:shd w:val="clear" w:color="auto" w:fill="auto"/>
          </w:tcPr>
          <w:p w:rsidR="002F47EB" w:rsidRPr="005C7810" w:rsidRDefault="002F47EB"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Olaparib+paclitaxel </w:t>
            </w:r>
            <w:r w:rsidRPr="005C7810">
              <w:rPr>
                <w:rFonts w:ascii="Book Antiqua" w:eastAsia="Times New Roman" w:hAnsi="Book Antiqua" w:cs="Times New Roman"/>
                <w:i/>
                <w:iCs/>
                <w:color w:val="000000"/>
                <w:sz w:val="20"/>
                <w:szCs w:val="20"/>
                <w:lang w:val="en-US" w:eastAsia="it-IT"/>
              </w:rPr>
              <w:t>vs</w:t>
            </w:r>
            <w:r w:rsidR="00295EFC"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paclitaxel</w:t>
            </w:r>
          </w:p>
        </w:tc>
        <w:tc>
          <w:tcPr>
            <w:tcW w:w="1604" w:type="dxa"/>
            <w:tcBorders>
              <w:top w:val="nil"/>
              <w:left w:val="nil"/>
              <w:bottom w:val="nil"/>
              <w:right w:val="nil"/>
            </w:tcBorders>
            <w:shd w:val="clear" w:color="auto" w:fill="auto"/>
          </w:tcPr>
          <w:p w:rsidR="002F47EB" w:rsidRPr="005C7810" w:rsidRDefault="002F47EB"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Study 39</w:t>
            </w:r>
          </w:p>
          <w:p w:rsidR="002F47EB" w:rsidRPr="005C7810" w:rsidRDefault="002F47EB"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(NCT01063517)</w:t>
            </w:r>
          </w:p>
        </w:tc>
        <w:tc>
          <w:tcPr>
            <w:tcW w:w="1325" w:type="dxa"/>
            <w:tcBorders>
              <w:top w:val="nil"/>
              <w:left w:val="nil"/>
              <w:bottom w:val="nil"/>
              <w:right w:val="nil"/>
            </w:tcBorders>
            <w:shd w:val="clear" w:color="auto" w:fill="auto"/>
          </w:tcPr>
          <w:p w:rsidR="002F47EB" w:rsidRPr="005C7810" w:rsidRDefault="00295EF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Multicenter, randomized, </w:t>
            </w:r>
            <w:r w:rsidR="001F6D06" w:rsidRPr="005C7810">
              <w:rPr>
                <w:rFonts w:ascii="Book Antiqua" w:eastAsia="Times New Roman" w:hAnsi="Book Antiqua" w:cs="Times New Roman"/>
                <w:color w:val="000000"/>
                <w:sz w:val="20"/>
                <w:szCs w:val="20"/>
                <w:lang w:val="en-US" w:eastAsia="it-IT"/>
              </w:rPr>
              <w:t xml:space="preserve">double </w:t>
            </w:r>
          </w:p>
        </w:tc>
        <w:tc>
          <w:tcPr>
            <w:tcW w:w="1340" w:type="dxa"/>
            <w:tcBorders>
              <w:top w:val="nil"/>
              <w:left w:val="nil"/>
              <w:bottom w:val="nil"/>
              <w:right w:val="nil"/>
            </w:tcBorders>
            <w:shd w:val="clear" w:color="auto" w:fill="auto"/>
          </w:tcPr>
          <w:p w:rsidR="002F47EB" w:rsidRPr="005C7810" w:rsidRDefault="00295EF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tcPr>
          <w:p w:rsidR="002F47EB" w:rsidRPr="005C7810" w:rsidRDefault="00295EF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tcPr>
          <w:p w:rsidR="002F47EB" w:rsidRPr="005C7810" w:rsidRDefault="00295EF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Metastatic/recurrent gastric cancer</w:t>
            </w:r>
            <w:r w:rsidR="0011292E" w:rsidRPr="005C7810">
              <w:rPr>
                <w:rFonts w:ascii="Book Antiqua" w:eastAsia="Times New Roman" w:hAnsi="Book Antiqua" w:cs="Times New Roman"/>
                <w:color w:val="000000"/>
                <w:sz w:val="20"/>
                <w:szCs w:val="20"/>
                <w:lang w:val="en-US" w:eastAsia="it-IT"/>
              </w:rPr>
              <w:t>,</w:t>
            </w:r>
            <w:r w:rsidR="0005054E" w:rsidRPr="005C7810">
              <w:rPr>
                <w:rFonts w:ascii="Book Antiqua" w:eastAsia="Times New Roman" w:hAnsi="Book Antiqua" w:cs="Times New Roman"/>
                <w:color w:val="000000"/>
                <w:sz w:val="20"/>
                <w:szCs w:val="20"/>
                <w:lang w:val="en-US" w:eastAsia="it-IT"/>
              </w:rPr>
              <w:t xml:space="preserve"> </w:t>
            </w:r>
            <w:r w:rsidR="0011292E" w:rsidRPr="005C7810">
              <w:rPr>
                <w:rFonts w:ascii="Book Antiqua" w:eastAsia="Times New Roman" w:hAnsi="Book Antiqua" w:cs="Times New Roman"/>
                <w:color w:val="000000"/>
                <w:sz w:val="20"/>
                <w:szCs w:val="20"/>
                <w:lang w:val="en-US" w:eastAsia="it-IT"/>
              </w:rPr>
              <w:t>low ATM expression</w:t>
            </w:r>
          </w:p>
        </w:tc>
        <w:tc>
          <w:tcPr>
            <w:tcW w:w="1172" w:type="dxa"/>
            <w:tcBorders>
              <w:top w:val="nil"/>
              <w:left w:val="nil"/>
              <w:bottom w:val="nil"/>
              <w:right w:val="nil"/>
            </w:tcBorders>
            <w:shd w:val="clear" w:color="auto" w:fill="auto"/>
          </w:tcPr>
          <w:p w:rsidR="002F47EB" w:rsidRPr="005C7810" w:rsidRDefault="00295EF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tcPr>
          <w:p w:rsidR="002F47EB" w:rsidRPr="005C7810" w:rsidRDefault="00295EFC"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[174]</w:t>
            </w:r>
          </w:p>
        </w:tc>
      </w:tr>
      <w:tr w:rsidR="00A23188" w:rsidRPr="005C7810" w:rsidTr="00CE53B4">
        <w:trPr>
          <w:trHeight w:val="1013"/>
        </w:trPr>
        <w:tc>
          <w:tcPr>
            <w:tcW w:w="1830" w:type="dxa"/>
            <w:tcBorders>
              <w:top w:val="nil"/>
              <w:left w:val="nil"/>
              <w:bottom w:val="nil"/>
              <w:right w:val="nil"/>
            </w:tcBorders>
            <w:shd w:val="clear" w:color="auto" w:fill="auto"/>
          </w:tcPr>
          <w:p w:rsidR="00A23188" w:rsidRPr="005C7810" w:rsidRDefault="00A23188"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PARP</w:t>
            </w:r>
          </w:p>
        </w:tc>
        <w:tc>
          <w:tcPr>
            <w:tcW w:w="3178"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Olaparib</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 xml:space="preserve">paclitaxel </w:t>
            </w:r>
            <w:r w:rsidRPr="005C7810">
              <w:rPr>
                <w:rFonts w:ascii="Book Antiqua" w:eastAsia="Times New Roman" w:hAnsi="Book Antiqua" w:cs="Times New Roman"/>
                <w:i/>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placebo</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paclitaxel</w:t>
            </w:r>
          </w:p>
        </w:tc>
        <w:tc>
          <w:tcPr>
            <w:tcW w:w="1604"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GOLD (NCT01924533)</w:t>
            </w:r>
          </w:p>
        </w:tc>
        <w:tc>
          <w:tcPr>
            <w:tcW w:w="1325"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w:t>
            </w:r>
            <w:r w:rsidR="00CE53B4"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 xml:space="preserve">randomized, double </w:t>
            </w:r>
          </w:p>
        </w:tc>
        <w:tc>
          <w:tcPr>
            <w:tcW w:w="1340"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w:t>
            </w:r>
          </w:p>
        </w:tc>
        <w:tc>
          <w:tcPr>
            <w:tcW w:w="1172"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tcPr>
          <w:p w:rsidR="00A23188"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[175]</w:t>
            </w:r>
          </w:p>
        </w:tc>
      </w:tr>
      <w:tr w:rsidR="001F6D06" w:rsidRPr="005C7810" w:rsidTr="00CE53B4">
        <w:trPr>
          <w:trHeight w:val="1013"/>
        </w:trPr>
        <w:tc>
          <w:tcPr>
            <w:tcW w:w="1830"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PARP</w:t>
            </w:r>
          </w:p>
        </w:tc>
        <w:tc>
          <w:tcPr>
            <w:tcW w:w="3178"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Olaparib</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ramucirumab</w:t>
            </w:r>
            <w:r w:rsidR="00CE53B4" w:rsidRPr="005C7810">
              <w:rPr>
                <w:rFonts w:ascii="Book Antiqua" w:eastAsia="Times New Roman" w:hAnsi="Book Antiqua" w:cs="Times New Roman"/>
                <w:color w:val="000000"/>
                <w:sz w:val="20"/>
                <w:szCs w:val="20"/>
                <w:lang w:val="en-US" w:eastAsia="it-IT"/>
              </w:rPr>
              <w:t xml:space="preserve"> </w:t>
            </w:r>
          </w:p>
        </w:tc>
        <w:tc>
          <w:tcPr>
            <w:tcW w:w="1604"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NCT03008278</w:t>
            </w:r>
          </w:p>
        </w:tc>
        <w:tc>
          <w:tcPr>
            <w:tcW w:w="1325"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Open-label</w:t>
            </w:r>
          </w:p>
        </w:tc>
        <w:tc>
          <w:tcPr>
            <w:tcW w:w="1340" w:type="dxa"/>
            <w:tcBorders>
              <w:top w:val="nil"/>
              <w:left w:val="nil"/>
              <w:bottom w:val="nil"/>
              <w:right w:val="nil"/>
            </w:tcBorders>
            <w:shd w:val="clear" w:color="auto" w:fill="auto"/>
          </w:tcPr>
          <w:p w:rsidR="001F6D06" w:rsidRPr="005C7810" w:rsidRDefault="00F44699"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Metastatic/recurrent gastric cancer</w:t>
            </w:r>
          </w:p>
        </w:tc>
        <w:tc>
          <w:tcPr>
            <w:tcW w:w="1172"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tcPr>
          <w:p w:rsidR="001F6D06" w:rsidRPr="005C7810" w:rsidRDefault="001F6D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[178]</w:t>
            </w:r>
          </w:p>
        </w:tc>
      </w:tr>
      <w:tr w:rsidR="00166306" w:rsidRPr="005C7810" w:rsidTr="00CE53B4">
        <w:trPr>
          <w:trHeight w:val="1013"/>
        </w:trPr>
        <w:tc>
          <w:tcPr>
            <w:tcW w:w="1830"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PARP</w:t>
            </w:r>
          </w:p>
        </w:tc>
        <w:tc>
          <w:tcPr>
            <w:tcW w:w="3178"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Veliparib</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w:t>
            </w:r>
            <w:r w:rsidR="0005054E"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FOLFIRI</w:t>
            </w:r>
          </w:p>
        </w:tc>
        <w:tc>
          <w:tcPr>
            <w:tcW w:w="1604"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NCT01123876</w:t>
            </w:r>
          </w:p>
        </w:tc>
        <w:tc>
          <w:tcPr>
            <w:tcW w:w="1325"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Open-label</w:t>
            </w:r>
          </w:p>
        </w:tc>
        <w:tc>
          <w:tcPr>
            <w:tcW w:w="1340"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r w:rsidR="0005054E" w:rsidRPr="005C7810">
              <w:rPr>
                <w:rFonts w:ascii="Book Antiqua" w:eastAsia="Times New Roman" w:hAnsi="Book Antiqua" w:cs="Times New Roman"/>
                <w:color w:val="000000"/>
                <w:sz w:val="20"/>
                <w:szCs w:val="20"/>
                <w:lang w:val="en-US" w:eastAsia="it-IT"/>
              </w:rPr>
              <w:t>s</w:t>
            </w:r>
            <w:r w:rsidRPr="005C7810">
              <w:rPr>
                <w:rFonts w:ascii="Book Antiqua" w:eastAsia="Times New Roman" w:hAnsi="Book Antiqua" w:cs="Times New Roman"/>
                <w:color w:val="000000"/>
                <w:sz w:val="20"/>
                <w:szCs w:val="20"/>
                <w:lang w:val="en-US" w:eastAsia="it-IT"/>
              </w:rPr>
              <w:t>econd</w:t>
            </w:r>
          </w:p>
        </w:tc>
        <w:tc>
          <w:tcPr>
            <w:tcW w:w="674"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w:t>
            </w:r>
          </w:p>
        </w:tc>
        <w:tc>
          <w:tcPr>
            <w:tcW w:w="2125"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w:t>
            </w:r>
          </w:p>
        </w:tc>
        <w:tc>
          <w:tcPr>
            <w:tcW w:w="1172"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Completed</w:t>
            </w:r>
          </w:p>
        </w:tc>
        <w:tc>
          <w:tcPr>
            <w:tcW w:w="1052" w:type="dxa"/>
            <w:tcBorders>
              <w:top w:val="nil"/>
              <w:left w:val="nil"/>
              <w:bottom w:val="nil"/>
              <w:right w:val="nil"/>
            </w:tcBorders>
            <w:shd w:val="clear" w:color="auto" w:fill="auto"/>
          </w:tcPr>
          <w:p w:rsidR="00166306" w:rsidRPr="005C7810" w:rsidRDefault="00166306"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[179]</w:t>
            </w:r>
          </w:p>
        </w:tc>
      </w:tr>
      <w:tr w:rsidR="000E3C04" w:rsidRPr="005C7810" w:rsidTr="00CE53B4">
        <w:trPr>
          <w:trHeight w:val="1013"/>
        </w:trPr>
        <w:tc>
          <w:tcPr>
            <w:tcW w:w="1830" w:type="dxa"/>
            <w:tcBorders>
              <w:top w:val="nil"/>
              <w:left w:val="nil"/>
              <w:bottom w:val="nil"/>
              <w:right w:val="nil"/>
            </w:tcBorders>
            <w:shd w:val="clear" w:color="auto" w:fill="auto"/>
            <w:hideMark/>
          </w:tcPr>
          <w:p w:rsidR="000E3C04" w:rsidRPr="005C7810" w:rsidRDefault="005E7F6A"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Immune checkpoint</w:t>
            </w: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eastAsia="it-IT"/>
              </w:rPr>
            </w:pPr>
            <w:r w:rsidRPr="005C7810">
              <w:rPr>
                <w:rFonts w:ascii="Book Antiqua" w:eastAsia="Times New Roman" w:hAnsi="Book Antiqua" w:cs="Times New Roman"/>
                <w:color w:val="000000"/>
                <w:sz w:val="20"/>
                <w:szCs w:val="20"/>
                <w:lang w:eastAsia="it-IT"/>
              </w:rPr>
              <w:t>Pembrolizumab</w:t>
            </w:r>
            <w:r w:rsidR="00CE53B4" w:rsidRPr="005C7810">
              <w:rPr>
                <w:rFonts w:ascii="Book Antiqua" w:eastAsia="Times New Roman" w:hAnsi="Book Antiqua" w:cs="Times New Roman"/>
                <w:color w:val="000000"/>
                <w:sz w:val="20"/>
                <w:szCs w:val="20"/>
                <w:lang w:eastAsia="it-IT"/>
              </w:rPr>
              <w:t xml:space="preserve"> </w:t>
            </w:r>
            <w:r w:rsidRPr="005C7810">
              <w:rPr>
                <w:rFonts w:ascii="Book Antiqua" w:eastAsia="Times New Roman" w:hAnsi="Book Antiqua" w:cs="Times New Roman"/>
                <w:i/>
                <w:iCs/>
                <w:color w:val="000000"/>
                <w:sz w:val="20"/>
                <w:szCs w:val="20"/>
                <w:lang w:eastAsia="it-IT"/>
              </w:rPr>
              <w:t>vs</w:t>
            </w:r>
            <w:r w:rsidRPr="005C7810">
              <w:rPr>
                <w:rFonts w:ascii="Book Antiqua" w:eastAsia="Times New Roman" w:hAnsi="Book Antiqua" w:cs="Times New Roman"/>
                <w:color w:val="000000"/>
                <w:sz w:val="20"/>
                <w:szCs w:val="20"/>
                <w:lang w:eastAsia="it-IT"/>
              </w:rPr>
              <w:t xml:space="preserve"> pembrolizumab </w:t>
            </w:r>
            <w:r w:rsidR="005E7F6A" w:rsidRPr="005C7810">
              <w:rPr>
                <w:rFonts w:ascii="Book Antiqua" w:eastAsia="等线" w:hAnsi="Book Antiqua" w:cs="Times New Roman"/>
                <w:color w:val="000000"/>
                <w:sz w:val="20"/>
                <w:szCs w:val="20"/>
                <w:lang w:eastAsia="zh-CN"/>
              </w:rPr>
              <w:t>±</w:t>
            </w:r>
            <w:r w:rsidRPr="005C7810">
              <w:rPr>
                <w:rFonts w:ascii="Book Antiqua" w:eastAsia="Times New Roman" w:hAnsi="Book Antiqua" w:cs="Times New Roman"/>
                <w:color w:val="000000"/>
                <w:sz w:val="20"/>
                <w:szCs w:val="20"/>
                <w:lang w:eastAsia="it-IT"/>
              </w:rPr>
              <w:t xml:space="preserve"> 5FU/cisplatin or capecitabine</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KEYNOTE-059 (NCT02335411)</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non-randomized,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Second/third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Metastatic/recurrent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181</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Pembrolizumab</w:t>
            </w:r>
            <w:r w:rsidR="00CE53B4"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i/>
                <w:iCs/>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paclitaxel</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KEYNOTE-061 (NCT02370498)</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183</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eastAsia="it-IT"/>
              </w:rPr>
            </w:pPr>
            <w:r w:rsidRPr="005C7810">
              <w:rPr>
                <w:rFonts w:ascii="Book Antiqua" w:eastAsia="Times New Roman" w:hAnsi="Book Antiqua" w:cs="Times New Roman"/>
                <w:color w:val="000000"/>
                <w:sz w:val="20"/>
                <w:szCs w:val="20"/>
                <w:lang w:eastAsia="it-IT"/>
              </w:rPr>
              <w:t xml:space="preserve">Pembrolizumab </w:t>
            </w:r>
            <w:r w:rsidRPr="005C7810">
              <w:rPr>
                <w:rFonts w:ascii="Book Antiqua" w:eastAsia="Times New Roman" w:hAnsi="Book Antiqua" w:cs="Times New Roman"/>
                <w:i/>
                <w:iCs/>
                <w:color w:val="000000"/>
                <w:sz w:val="20"/>
                <w:szCs w:val="20"/>
                <w:lang w:eastAsia="it-IT"/>
              </w:rPr>
              <w:t>vs</w:t>
            </w:r>
            <w:r w:rsidRPr="005C7810">
              <w:rPr>
                <w:rFonts w:ascii="Book Antiqua" w:eastAsia="Times New Roman" w:hAnsi="Book Antiqua" w:cs="Times New Roman"/>
                <w:color w:val="000000"/>
                <w:sz w:val="20"/>
                <w:szCs w:val="20"/>
                <w:lang w:eastAsia="it-IT"/>
              </w:rPr>
              <w:t xml:space="preserve"> pembrolizumab </w:t>
            </w:r>
            <w:r w:rsidR="00A46CF0" w:rsidRPr="005C7810">
              <w:rPr>
                <w:rFonts w:ascii="Book Antiqua" w:eastAsia="等线" w:hAnsi="Book Antiqua" w:cs="Times New Roman"/>
                <w:color w:val="000000"/>
                <w:sz w:val="20"/>
                <w:szCs w:val="20"/>
                <w:lang w:eastAsia="zh-CN"/>
              </w:rPr>
              <w:t>±</w:t>
            </w:r>
            <w:r w:rsidRPr="005C7810">
              <w:rPr>
                <w:rFonts w:ascii="Book Antiqua" w:eastAsia="Times New Roman" w:hAnsi="Book Antiqua" w:cs="Times New Roman"/>
                <w:color w:val="000000"/>
                <w:sz w:val="20"/>
                <w:szCs w:val="20"/>
                <w:lang w:eastAsia="it-IT"/>
              </w:rPr>
              <w:t xml:space="preserve"> 5FU/cisplatin or capecitabine</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KEYNOTE-062 (NCT02494583)</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quadruple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184</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Pembrolizumab </w:t>
            </w:r>
            <w:r w:rsidR="00A46CF0" w:rsidRPr="005C7810">
              <w:rPr>
                <w:rFonts w:ascii="Book Antiqua" w:eastAsia="等线" w:hAnsi="Book Antiqua" w:cs="Times New Roman"/>
                <w:color w:val="000000"/>
                <w:sz w:val="20"/>
                <w:szCs w:val="20"/>
                <w:lang w:eastAsia="zh-CN"/>
              </w:rPr>
              <w:t>±</w:t>
            </w:r>
            <w:r w:rsidRPr="005C7810">
              <w:rPr>
                <w:rFonts w:ascii="Book Antiqua" w:eastAsia="Times New Roman" w:hAnsi="Book Antiqua" w:cs="Times New Roman"/>
                <w:color w:val="000000"/>
                <w:sz w:val="20"/>
                <w:szCs w:val="20"/>
                <w:lang w:val="en-US" w:eastAsia="it-IT"/>
              </w:rPr>
              <w:t xml:space="preserve"> 5-FU/cisplatin or oxaliplatin/capecitabine</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KEYNOTE-0859 (NCT03675737)</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double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185</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eastAsia="it-IT"/>
              </w:rPr>
            </w:pPr>
            <w:r w:rsidRPr="005C7810">
              <w:rPr>
                <w:rFonts w:ascii="Book Antiqua" w:eastAsia="Times New Roman" w:hAnsi="Book Antiqua" w:cs="Times New Roman"/>
                <w:color w:val="000000"/>
                <w:sz w:val="20"/>
                <w:szCs w:val="20"/>
                <w:lang w:eastAsia="it-IT"/>
              </w:rPr>
              <w:t xml:space="preserve">Pembrolizumab/trastuzumab </w:t>
            </w:r>
            <w:r w:rsidR="00B150D5" w:rsidRPr="005C7810">
              <w:rPr>
                <w:rFonts w:ascii="Book Antiqua" w:eastAsia="等线" w:hAnsi="Book Antiqua" w:cs="Times New Roman"/>
                <w:color w:val="000000"/>
                <w:sz w:val="20"/>
                <w:szCs w:val="20"/>
                <w:lang w:eastAsia="zh-CN"/>
              </w:rPr>
              <w:t>±</w:t>
            </w:r>
            <w:r w:rsidRPr="005C7810">
              <w:rPr>
                <w:rFonts w:ascii="Book Antiqua" w:eastAsia="Times New Roman" w:hAnsi="Book Antiqua" w:cs="Times New Roman"/>
                <w:color w:val="000000"/>
                <w:sz w:val="20"/>
                <w:szCs w:val="20"/>
                <w:lang w:eastAsia="it-IT"/>
              </w:rPr>
              <w:t xml:space="preserve"> cisplatin/capecitabine/oxaliplatin</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NCT02954536</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Single group,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gastric cancer, HER2-positive</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186</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Nivolumab </w:t>
            </w:r>
            <w:r w:rsidRPr="005C7810">
              <w:rPr>
                <w:rFonts w:ascii="Book Antiqua" w:eastAsia="Times New Roman" w:hAnsi="Book Antiqua" w:cs="Times New Roman"/>
                <w:i/>
                <w:iCs/>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placebo</w:t>
            </w:r>
          </w:p>
        </w:tc>
        <w:tc>
          <w:tcPr>
            <w:tcW w:w="1604" w:type="dxa"/>
            <w:tcBorders>
              <w:top w:val="nil"/>
              <w:left w:val="nil"/>
              <w:bottom w:val="nil"/>
              <w:right w:val="nil"/>
            </w:tcBorders>
            <w:shd w:val="clear" w:color="auto" w:fill="auto"/>
            <w:hideMark/>
          </w:tcPr>
          <w:p w:rsidR="000E3C04" w:rsidRPr="005C7810" w:rsidRDefault="00AD1EC8"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ATTRACTION-2</w:t>
            </w:r>
            <w:r w:rsidR="000E3C04" w:rsidRPr="005C7810">
              <w:rPr>
                <w:rFonts w:ascii="Book Antiqua" w:eastAsia="Times New Roman" w:hAnsi="Book Antiqua" w:cs="Times New Roman"/>
                <w:color w:val="000000"/>
                <w:sz w:val="20"/>
                <w:szCs w:val="20"/>
                <w:lang w:val="en-US" w:eastAsia="it-IT"/>
              </w:rPr>
              <w:t xml:space="preserve"> (NCT02267343)</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quadruple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Advanced/recurrent</w:t>
            </w:r>
            <w:r w:rsidR="00CE53B4"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187</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Nivolumab </w:t>
            </w:r>
            <w:r w:rsidR="00B150D5" w:rsidRPr="005C7810">
              <w:rPr>
                <w:rFonts w:ascii="Book Antiqua" w:eastAsia="等线" w:hAnsi="Book Antiqua" w:cs="Times New Roman"/>
                <w:color w:val="000000"/>
                <w:sz w:val="20"/>
                <w:szCs w:val="20"/>
                <w:lang w:eastAsia="zh-CN"/>
              </w:rPr>
              <w:t>±</w:t>
            </w:r>
            <w:r w:rsidRPr="005C7810">
              <w:rPr>
                <w:rFonts w:ascii="Book Antiqua" w:eastAsia="Times New Roman" w:hAnsi="Book Antiqua" w:cs="Times New Roman"/>
                <w:color w:val="000000"/>
                <w:sz w:val="20"/>
                <w:szCs w:val="20"/>
                <w:lang w:val="en-US" w:eastAsia="it-IT"/>
              </w:rPr>
              <w:t xml:space="preserve"> capecitabine/oxaliplatin</w:t>
            </w:r>
          </w:p>
        </w:tc>
        <w:tc>
          <w:tcPr>
            <w:tcW w:w="1604" w:type="dxa"/>
            <w:tcBorders>
              <w:top w:val="nil"/>
              <w:left w:val="nil"/>
              <w:bottom w:val="nil"/>
              <w:right w:val="nil"/>
            </w:tcBorders>
            <w:shd w:val="clear" w:color="auto" w:fill="auto"/>
            <w:hideMark/>
          </w:tcPr>
          <w:p w:rsidR="000E3C04" w:rsidRPr="005C7810" w:rsidRDefault="00AD1EC8"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ATTRACTION-</w:t>
            </w:r>
            <w:r w:rsidR="000E3C04" w:rsidRPr="005C7810">
              <w:rPr>
                <w:rFonts w:ascii="Book Antiqua" w:eastAsia="Times New Roman" w:hAnsi="Book Antiqua" w:cs="Times New Roman"/>
                <w:color w:val="000000"/>
                <w:sz w:val="20"/>
                <w:szCs w:val="20"/>
                <w:lang w:val="en-US" w:eastAsia="it-IT"/>
              </w:rPr>
              <w:t>4 (NCT02746796)</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quadruple</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Advanced/recurrent refractory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188</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608"/>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Nivolumab </w:t>
            </w:r>
            <w:r w:rsidR="00B150D5" w:rsidRPr="005C7810">
              <w:rPr>
                <w:rFonts w:ascii="Book Antiqua" w:eastAsia="等线" w:hAnsi="Book Antiqua" w:cs="Times New Roman"/>
                <w:color w:val="000000"/>
                <w:sz w:val="20"/>
                <w:szCs w:val="20"/>
                <w:lang w:eastAsia="zh-CN"/>
              </w:rPr>
              <w:t>±</w:t>
            </w:r>
            <w:r w:rsidRPr="005C7810">
              <w:rPr>
                <w:rFonts w:ascii="Book Antiqua" w:eastAsia="Times New Roman" w:hAnsi="Book Antiqua" w:cs="Times New Roman"/>
                <w:color w:val="000000"/>
                <w:sz w:val="20"/>
                <w:szCs w:val="20"/>
                <w:lang w:val="en-US" w:eastAsia="it-IT"/>
              </w:rPr>
              <w:t xml:space="preserve"> ipilimumab</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CHECKMATE-032 (NCT01928394)</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open 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First/second</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refractory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Active</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189</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1013"/>
        </w:trPr>
        <w:tc>
          <w:tcPr>
            <w:tcW w:w="183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Nivolumab </w:t>
            </w:r>
            <w:r w:rsidR="00B150D5" w:rsidRPr="005C7810">
              <w:rPr>
                <w:rFonts w:ascii="Book Antiqua" w:eastAsia="等线" w:hAnsi="Book Antiqua" w:cs="Times New Roman"/>
                <w:color w:val="000000"/>
                <w:sz w:val="20"/>
                <w:szCs w:val="20"/>
                <w:lang w:eastAsia="zh-CN"/>
              </w:rPr>
              <w:t>±</w:t>
            </w:r>
            <w:r w:rsidR="00CE53B4" w:rsidRPr="005C7810">
              <w:rPr>
                <w:rFonts w:ascii="Book Antiqua" w:eastAsia="Times New Roman" w:hAnsi="Book Antiqua" w:cs="Times New Roman"/>
                <w:color w:val="000000"/>
                <w:sz w:val="20"/>
                <w:szCs w:val="20"/>
                <w:lang w:val="en-US" w:eastAsia="it-IT"/>
              </w:rPr>
              <w:t xml:space="preserve"> </w:t>
            </w:r>
            <w:r w:rsidRPr="005C7810">
              <w:rPr>
                <w:rFonts w:ascii="Book Antiqua" w:eastAsia="Times New Roman" w:hAnsi="Book Antiqua" w:cs="Times New Roman"/>
                <w:color w:val="000000"/>
                <w:sz w:val="20"/>
                <w:szCs w:val="20"/>
                <w:lang w:val="en-US" w:eastAsia="it-IT"/>
              </w:rPr>
              <w:t xml:space="preserve">ipilimumab </w:t>
            </w:r>
            <w:r w:rsidRPr="005C7810">
              <w:rPr>
                <w:rFonts w:ascii="Book Antiqua" w:eastAsia="Times New Roman" w:hAnsi="Book Antiqua" w:cs="Times New Roman"/>
                <w:i/>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nivolumab + chemotherapy </w:t>
            </w:r>
            <w:r w:rsidRPr="005C7810">
              <w:rPr>
                <w:rFonts w:ascii="Book Antiqua" w:eastAsia="Times New Roman" w:hAnsi="Book Antiqua" w:cs="Times New Roman"/>
                <w:i/>
                <w:color w:val="000000"/>
                <w:sz w:val="20"/>
                <w:szCs w:val="20"/>
                <w:lang w:val="en-US" w:eastAsia="it-IT"/>
              </w:rPr>
              <w:t>vs</w:t>
            </w:r>
            <w:r w:rsidRPr="005C7810">
              <w:rPr>
                <w:rFonts w:ascii="Book Antiqua" w:eastAsia="Times New Roman" w:hAnsi="Book Antiqua" w:cs="Times New Roman"/>
                <w:color w:val="000000"/>
                <w:sz w:val="20"/>
                <w:szCs w:val="20"/>
                <w:lang w:val="en-US" w:eastAsia="it-IT"/>
              </w:rPr>
              <w:t xml:space="preserve"> chemotherapy</w:t>
            </w:r>
          </w:p>
        </w:tc>
        <w:tc>
          <w:tcPr>
            <w:tcW w:w="160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CHECKMATE-649 (NCT02872116)</w:t>
            </w:r>
          </w:p>
        </w:tc>
        <w:tc>
          <w:tcPr>
            <w:tcW w:w="13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Multicenter, randomized, open-label</w:t>
            </w:r>
          </w:p>
        </w:tc>
        <w:tc>
          <w:tcPr>
            <w:tcW w:w="1340"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Advanced/metastatic gastric cancer</w:t>
            </w:r>
          </w:p>
        </w:tc>
        <w:tc>
          <w:tcPr>
            <w:tcW w:w="117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nil"/>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190</w:t>
            </w:r>
            <w:r w:rsidRPr="005C7810">
              <w:rPr>
                <w:rFonts w:ascii="Book Antiqua" w:eastAsia="Times New Roman" w:hAnsi="Book Antiqua" w:cs="Times New Roman"/>
                <w:color w:val="000000"/>
                <w:sz w:val="20"/>
                <w:szCs w:val="20"/>
                <w:lang w:val="en-US" w:eastAsia="it-IT"/>
              </w:rPr>
              <w:t>]</w:t>
            </w:r>
          </w:p>
        </w:tc>
      </w:tr>
      <w:tr w:rsidR="000E3C04" w:rsidRPr="005C7810" w:rsidTr="00CE53B4">
        <w:trPr>
          <w:trHeight w:val="810"/>
        </w:trPr>
        <w:tc>
          <w:tcPr>
            <w:tcW w:w="1830"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p>
        </w:tc>
        <w:tc>
          <w:tcPr>
            <w:tcW w:w="1251"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PD-1</w:t>
            </w:r>
          </w:p>
        </w:tc>
        <w:tc>
          <w:tcPr>
            <w:tcW w:w="3178"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 xml:space="preserve">Tislelizumab </w:t>
            </w:r>
            <w:r w:rsidR="00B150D5" w:rsidRPr="005C7810">
              <w:rPr>
                <w:rFonts w:ascii="Book Antiqua" w:eastAsia="等线" w:hAnsi="Book Antiqua" w:cs="Times New Roman"/>
                <w:color w:val="000000"/>
                <w:sz w:val="20"/>
                <w:szCs w:val="20"/>
                <w:lang w:eastAsia="zh-CN"/>
              </w:rPr>
              <w:t>±</w:t>
            </w:r>
            <w:r w:rsidRPr="005C7810">
              <w:rPr>
                <w:rFonts w:ascii="Book Antiqua" w:eastAsia="Times New Roman" w:hAnsi="Book Antiqua" w:cs="Times New Roman"/>
                <w:color w:val="000000"/>
                <w:sz w:val="20"/>
                <w:szCs w:val="20"/>
                <w:lang w:val="en-US" w:eastAsia="it-IT"/>
              </w:rPr>
              <w:t xml:space="preserve"> oxaliplatin/capecitabine or 5-FU/cisplatin</w:t>
            </w:r>
          </w:p>
        </w:tc>
        <w:tc>
          <w:tcPr>
            <w:tcW w:w="1604"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NCT03777657</w:t>
            </w:r>
          </w:p>
        </w:tc>
        <w:tc>
          <w:tcPr>
            <w:tcW w:w="1325"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Randomized, triple</w:t>
            </w:r>
          </w:p>
        </w:tc>
        <w:tc>
          <w:tcPr>
            <w:tcW w:w="1340"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First</w:t>
            </w:r>
          </w:p>
        </w:tc>
        <w:tc>
          <w:tcPr>
            <w:tcW w:w="674"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III</w:t>
            </w:r>
          </w:p>
        </w:tc>
        <w:tc>
          <w:tcPr>
            <w:tcW w:w="2125"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Locally advanced/metastatic gastric cancer</w:t>
            </w:r>
          </w:p>
        </w:tc>
        <w:tc>
          <w:tcPr>
            <w:tcW w:w="1172"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Recruiting</w:t>
            </w:r>
          </w:p>
        </w:tc>
        <w:tc>
          <w:tcPr>
            <w:tcW w:w="1052" w:type="dxa"/>
            <w:tcBorders>
              <w:top w:val="nil"/>
              <w:left w:val="nil"/>
              <w:bottom w:val="single" w:sz="4" w:space="0" w:color="auto"/>
              <w:right w:val="nil"/>
            </w:tcBorders>
            <w:shd w:val="clear" w:color="auto" w:fill="auto"/>
            <w:hideMark/>
          </w:tcPr>
          <w:p w:rsidR="000E3C04" w:rsidRPr="005C7810" w:rsidRDefault="000E3C04" w:rsidP="00CD380F">
            <w:pPr>
              <w:snapToGrid w:val="0"/>
              <w:spacing w:after="0" w:line="360" w:lineRule="auto"/>
              <w:jc w:val="center"/>
              <w:rPr>
                <w:rFonts w:ascii="Book Antiqua" w:eastAsia="Times New Roman" w:hAnsi="Book Antiqua" w:cs="Times New Roman"/>
                <w:color w:val="000000"/>
                <w:sz w:val="20"/>
                <w:szCs w:val="20"/>
                <w:lang w:val="en-US" w:eastAsia="it-IT"/>
              </w:rPr>
            </w:pPr>
            <w:r w:rsidRPr="005C7810">
              <w:rPr>
                <w:rFonts w:ascii="Book Antiqua" w:eastAsia="Times New Roman" w:hAnsi="Book Antiqua" w:cs="Times New Roman"/>
                <w:color w:val="000000"/>
                <w:sz w:val="20"/>
                <w:szCs w:val="20"/>
                <w:lang w:val="en-US" w:eastAsia="it-IT"/>
              </w:rPr>
              <w:t>[</w:t>
            </w:r>
            <w:r w:rsidR="00AD1EC8" w:rsidRPr="005C7810">
              <w:rPr>
                <w:rFonts w:ascii="Book Antiqua" w:eastAsia="Times New Roman" w:hAnsi="Book Antiqua" w:cs="Times New Roman"/>
                <w:color w:val="000000"/>
                <w:sz w:val="20"/>
                <w:szCs w:val="20"/>
                <w:lang w:val="en-US" w:eastAsia="it-IT"/>
              </w:rPr>
              <w:t>191</w:t>
            </w:r>
            <w:r w:rsidRPr="005C7810">
              <w:rPr>
                <w:rFonts w:ascii="Book Antiqua" w:eastAsia="Times New Roman" w:hAnsi="Book Antiqua" w:cs="Times New Roman"/>
                <w:color w:val="000000"/>
                <w:sz w:val="20"/>
                <w:szCs w:val="20"/>
                <w:lang w:val="en-US" w:eastAsia="it-IT"/>
              </w:rPr>
              <w:t>]</w:t>
            </w:r>
          </w:p>
        </w:tc>
      </w:tr>
    </w:tbl>
    <w:p w:rsidR="00E54137" w:rsidRPr="003B1A3E" w:rsidRDefault="00CE53B4" w:rsidP="00CD380F">
      <w:pPr>
        <w:snapToGrid w:val="0"/>
        <w:spacing w:after="0" w:line="360" w:lineRule="auto"/>
        <w:rPr>
          <w:rFonts w:ascii="Book Antiqua" w:hAnsi="Book Antiqua" w:cs="Times New Roman"/>
          <w:sz w:val="24"/>
          <w:szCs w:val="24"/>
          <w:lang w:val="en-US"/>
        </w:rPr>
      </w:pPr>
      <w:r w:rsidRPr="005C7810">
        <w:rPr>
          <w:rFonts w:ascii="Book Antiqua" w:eastAsia="Times New Roman" w:hAnsi="Book Antiqua" w:cs="Times New Roman"/>
          <w:color w:val="000000"/>
          <w:sz w:val="20"/>
          <w:szCs w:val="20"/>
          <w:lang w:val="en-US" w:eastAsia="it-IT"/>
        </w:rPr>
        <w:t xml:space="preserve">EGFR: </w:t>
      </w:r>
      <w:r w:rsidR="005E7F6A" w:rsidRPr="005C7810">
        <w:rPr>
          <w:rFonts w:ascii="Book Antiqua" w:eastAsia="Times New Roman" w:hAnsi="Book Antiqua" w:cs="Times New Roman"/>
          <w:caps/>
          <w:color w:val="000000"/>
          <w:sz w:val="20"/>
          <w:szCs w:val="20"/>
          <w:lang w:val="en-US" w:eastAsia="it-IT"/>
        </w:rPr>
        <w:t>e</w:t>
      </w:r>
      <w:r w:rsidR="005E7F6A" w:rsidRPr="005C7810">
        <w:rPr>
          <w:rFonts w:ascii="Book Antiqua" w:eastAsia="Times New Roman" w:hAnsi="Book Antiqua" w:cs="Times New Roman"/>
          <w:color w:val="000000"/>
          <w:sz w:val="20"/>
          <w:szCs w:val="20"/>
          <w:lang w:val="en-US" w:eastAsia="it-IT"/>
        </w:rPr>
        <w:t xml:space="preserve">pidermal growth factor receptor; HGF: </w:t>
      </w:r>
      <w:r w:rsidR="005E7F6A" w:rsidRPr="005C7810">
        <w:rPr>
          <w:rFonts w:ascii="Book Antiqua" w:eastAsia="Times New Roman" w:hAnsi="Book Antiqua" w:cs="Times New Roman"/>
          <w:caps/>
          <w:color w:val="000000"/>
          <w:sz w:val="20"/>
          <w:szCs w:val="20"/>
          <w:lang w:val="en-US" w:eastAsia="it-IT"/>
        </w:rPr>
        <w:t>h</w:t>
      </w:r>
      <w:r w:rsidR="005E7F6A" w:rsidRPr="005C7810">
        <w:rPr>
          <w:rFonts w:ascii="Book Antiqua" w:eastAsia="Times New Roman" w:hAnsi="Book Antiqua" w:cs="Times New Roman"/>
          <w:color w:val="000000"/>
          <w:sz w:val="20"/>
          <w:szCs w:val="20"/>
          <w:lang w:val="en-US" w:eastAsia="it-IT"/>
        </w:rPr>
        <w:t xml:space="preserve">epatocyte growth factor; </w:t>
      </w:r>
      <w:r w:rsidR="00D94DDC" w:rsidRPr="005C7810">
        <w:rPr>
          <w:rFonts w:ascii="Book Antiqua" w:eastAsia="Times New Roman" w:hAnsi="Book Antiqua" w:cs="Times New Roman"/>
          <w:color w:val="000000"/>
          <w:sz w:val="20"/>
          <w:szCs w:val="20"/>
          <w:lang w:val="en-US" w:eastAsia="it-IT"/>
        </w:rPr>
        <w:t>VEGF</w:t>
      </w:r>
      <w:r w:rsidR="00D94DDC" w:rsidRPr="005C7810">
        <w:rPr>
          <w:rFonts w:ascii="宋体" w:hAnsi="宋体" w:cs="宋体" w:hint="eastAsia"/>
          <w:color w:val="000000"/>
          <w:sz w:val="20"/>
          <w:szCs w:val="20"/>
          <w:lang w:val="en-US" w:eastAsia="zh-CN"/>
        </w:rPr>
        <w:t>:</w:t>
      </w:r>
      <w:r w:rsidR="00D94DDC" w:rsidRPr="005C7810">
        <w:rPr>
          <w:rFonts w:ascii="Book Antiqua" w:eastAsia="Times New Roman" w:hAnsi="Book Antiqua" w:cs="Times New Roman"/>
          <w:color w:val="000000"/>
          <w:sz w:val="20"/>
          <w:szCs w:val="20"/>
          <w:lang w:val="en-US" w:eastAsia="it-IT"/>
        </w:rPr>
        <w:t xml:space="preserve"> Vascular endothelial growth factor; PD-1: </w:t>
      </w:r>
      <w:r w:rsidR="00D94DDC" w:rsidRPr="005C7810">
        <w:rPr>
          <w:rFonts w:ascii="Book Antiqua" w:eastAsia="Times New Roman" w:hAnsi="Book Antiqua" w:cs="Times New Roman"/>
          <w:caps/>
          <w:color w:val="000000"/>
          <w:sz w:val="20"/>
          <w:szCs w:val="20"/>
          <w:lang w:val="en-US" w:eastAsia="it-IT"/>
        </w:rPr>
        <w:t>p</w:t>
      </w:r>
      <w:r w:rsidR="00D94DDC" w:rsidRPr="005C7810">
        <w:rPr>
          <w:rFonts w:ascii="Book Antiqua" w:eastAsia="Times New Roman" w:hAnsi="Book Antiqua" w:cs="Times New Roman"/>
          <w:color w:val="000000"/>
          <w:sz w:val="20"/>
          <w:szCs w:val="20"/>
          <w:lang w:val="en-US" w:eastAsia="it-IT"/>
        </w:rPr>
        <w:t>rogrammed cell death 1.</w:t>
      </w:r>
      <w:r w:rsidR="00D94DDC">
        <w:rPr>
          <w:rFonts w:ascii="Book Antiqua" w:eastAsia="Times New Roman" w:hAnsi="Book Antiqua" w:cs="Times New Roman"/>
          <w:color w:val="000000"/>
          <w:sz w:val="20"/>
          <w:szCs w:val="20"/>
          <w:lang w:val="en-US" w:eastAsia="it-IT"/>
        </w:rPr>
        <w:t xml:space="preserve"> </w:t>
      </w:r>
    </w:p>
    <w:p w:rsidR="00E54137" w:rsidRPr="003B1A3E" w:rsidRDefault="00E54137" w:rsidP="00CD380F">
      <w:pPr>
        <w:widowControl w:val="0"/>
        <w:autoSpaceDE w:val="0"/>
        <w:autoSpaceDN w:val="0"/>
        <w:adjustRightInd w:val="0"/>
        <w:snapToGrid w:val="0"/>
        <w:spacing w:after="0" w:line="360" w:lineRule="auto"/>
        <w:ind w:hanging="640"/>
        <w:jc w:val="both"/>
        <w:rPr>
          <w:rFonts w:ascii="Book Antiqua" w:hAnsi="Book Antiqua" w:cs="Times New Roman"/>
          <w:sz w:val="24"/>
          <w:szCs w:val="24"/>
          <w:lang w:val="en-US"/>
        </w:rPr>
      </w:pPr>
    </w:p>
    <w:sectPr w:rsidR="00E54137" w:rsidRPr="003B1A3E" w:rsidSect="00E541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5E" w:rsidRDefault="00145B5E" w:rsidP="00416DBB">
      <w:pPr>
        <w:spacing w:after="0" w:line="240" w:lineRule="auto"/>
      </w:pPr>
      <w:r>
        <w:separator/>
      </w:r>
    </w:p>
  </w:endnote>
  <w:endnote w:type="continuationSeparator" w:id="0">
    <w:p w:rsidR="00145B5E" w:rsidRDefault="00145B5E" w:rsidP="0041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ont922">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yriad Pro">
    <w:panose1 w:val="00000000000000000000"/>
    <w:charset w:val="00"/>
    <w:family w:val="swiss"/>
    <w:notTrueType/>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dvTimes">
    <w:altName w:val="宋体"/>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CD" w:rsidRDefault="00E633CD" w:rsidP="00ED0DCE">
    <w:pPr>
      <w:pStyle w:val="aa"/>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p w:rsidR="00E633CD" w:rsidRDefault="00E633C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CD" w:rsidRPr="00C4340C" w:rsidRDefault="00E633CD" w:rsidP="00ED0DCE">
    <w:pPr>
      <w:pStyle w:val="aa"/>
      <w:framePr w:wrap="none" w:vAnchor="text" w:hAnchor="margin" w:xAlign="center" w:y="1"/>
      <w:rPr>
        <w:rStyle w:val="af0"/>
        <w:rFonts w:ascii="Book Antiqua" w:hAnsi="Book Antiqua"/>
        <w:sz w:val="24"/>
        <w:szCs w:val="24"/>
      </w:rPr>
    </w:pPr>
    <w:r w:rsidRPr="00C4340C">
      <w:rPr>
        <w:rStyle w:val="af0"/>
        <w:rFonts w:ascii="Book Antiqua" w:hAnsi="Book Antiqua"/>
        <w:sz w:val="24"/>
        <w:szCs w:val="24"/>
      </w:rPr>
      <w:fldChar w:fldCharType="begin"/>
    </w:r>
    <w:r w:rsidRPr="00C4340C">
      <w:rPr>
        <w:rStyle w:val="af0"/>
        <w:rFonts w:ascii="Book Antiqua" w:hAnsi="Book Antiqua"/>
        <w:sz w:val="24"/>
        <w:szCs w:val="24"/>
      </w:rPr>
      <w:instrText xml:space="preserve"> PAGE </w:instrText>
    </w:r>
    <w:r w:rsidRPr="00C4340C">
      <w:rPr>
        <w:rStyle w:val="af0"/>
        <w:rFonts w:ascii="Book Antiqua" w:hAnsi="Book Antiqua"/>
        <w:sz w:val="24"/>
        <w:szCs w:val="24"/>
      </w:rPr>
      <w:fldChar w:fldCharType="separate"/>
    </w:r>
    <w:r w:rsidR="00E9194D">
      <w:rPr>
        <w:rStyle w:val="af0"/>
        <w:rFonts w:ascii="Book Antiqua" w:hAnsi="Book Antiqua"/>
        <w:noProof/>
        <w:sz w:val="24"/>
        <w:szCs w:val="24"/>
      </w:rPr>
      <w:t>1</w:t>
    </w:r>
    <w:r w:rsidRPr="00C4340C">
      <w:rPr>
        <w:rStyle w:val="af0"/>
        <w:rFonts w:ascii="Book Antiqua" w:hAnsi="Book Antiqua"/>
        <w:sz w:val="24"/>
        <w:szCs w:val="24"/>
      </w:rPr>
      <w:fldChar w:fldCharType="end"/>
    </w:r>
  </w:p>
  <w:p w:rsidR="00E633CD" w:rsidRPr="00C4340C" w:rsidRDefault="00E633CD">
    <w:pPr>
      <w:pStyle w:val="aa"/>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5E" w:rsidRDefault="00145B5E" w:rsidP="00416DBB">
      <w:pPr>
        <w:spacing w:after="0" w:line="240" w:lineRule="auto"/>
      </w:pPr>
      <w:r>
        <w:separator/>
      </w:r>
    </w:p>
  </w:footnote>
  <w:footnote w:type="continuationSeparator" w:id="0">
    <w:p w:rsidR="00145B5E" w:rsidRDefault="00145B5E" w:rsidP="0041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6EC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3661"/>
        </w:tabs>
        <w:ind w:left="3661" w:hanging="432"/>
      </w:pPr>
    </w:lvl>
    <w:lvl w:ilvl="1">
      <w:start w:val="1"/>
      <w:numFmt w:val="none"/>
      <w:suff w:val="nothing"/>
      <w:lvlText w:val=""/>
      <w:lvlJc w:val="left"/>
      <w:pPr>
        <w:tabs>
          <w:tab w:val="num" w:pos="3805"/>
        </w:tabs>
        <w:ind w:left="3805" w:hanging="576"/>
      </w:pPr>
    </w:lvl>
    <w:lvl w:ilvl="2">
      <w:start w:val="1"/>
      <w:numFmt w:val="none"/>
      <w:suff w:val="nothing"/>
      <w:lvlText w:val=""/>
      <w:lvlJc w:val="left"/>
      <w:pPr>
        <w:tabs>
          <w:tab w:val="num" w:pos="3949"/>
        </w:tabs>
        <w:ind w:left="3949" w:hanging="720"/>
      </w:pPr>
    </w:lvl>
    <w:lvl w:ilvl="3">
      <w:start w:val="1"/>
      <w:numFmt w:val="none"/>
      <w:suff w:val="nothing"/>
      <w:lvlText w:val=""/>
      <w:lvlJc w:val="left"/>
      <w:pPr>
        <w:tabs>
          <w:tab w:val="num" w:pos="4093"/>
        </w:tabs>
        <w:ind w:left="4093" w:hanging="864"/>
      </w:pPr>
    </w:lvl>
    <w:lvl w:ilvl="4">
      <w:start w:val="1"/>
      <w:numFmt w:val="none"/>
      <w:suff w:val="nothing"/>
      <w:lvlText w:val=""/>
      <w:lvlJc w:val="left"/>
      <w:pPr>
        <w:tabs>
          <w:tab w:val="num" w:pos="4237"/>
        </w:tabs>
        <w:ind w:left="4237" w:hanging="1008"/>
      </w:pPr>
    </w:lvl>
    <w:lvl w:ilvl="5">
      <w:start w:val="1"/>
      <w:numFmt w:val="none"/>
      <w:suff w:val="nothing"/>
      <w:lvlText w:val=""/>
      <w:lvlJc w:val="left"/>
      <w:pPr>
        <w:tabs>
          <w:tab w:val="num" w:pos="4381"/>
        </w:tabs>
        <w:ind w:left="4381" w:hanging="1152"/>
      </w:pPr>
    </w:lvl>
    <w:lvl w:ilvl="6">
      <w:start w:val="1"/>
      <w:numFmt w:val="none"/>
      <w:suff w:val="nothing"/>
      <w:lvlText w:val=""/>
      <w:lvlJc w:val="left"/>
      <w:pPr>
        <w:tabs>
          <w:tab w:val="num" w:pos="4525"/>
        </w:tabs>
        <w:ind w:left="4525" w:hanging="1296"/>
      </w:pPr>
    </w:lvl>
    <w:lvl w:ilvl="7">
      <w:start w:val="1"/>
      <w:numFmt w:val="none"/>
      <w:suff w:val="nothing"/>
      <w:lvlText w:val=""/>
      <w:lvlJc w:val="left"/>
      <w:pPr>
        <w:tabs>
          <w:tab w:val="num" w:pos="4669"/>
        </w:tabs>
        <w:ind w:left="4669" w:hanging="1440"/>
      </w:pPr>
    </w:lvl>
    <w:lvl w:ilvl="8">
      <w:start w:val="1"/>
      <w:numFmt w:val="none"/>
      <w:suff w:val="nothing"/>
      <w:lvlText w:val=""/>
      <w:lvlJc w:val="left"/>
      <w:pPr>
        <w:tabs>
          <w:tab w:val="num" w:pos="4813"/>
        </w:tabs>
        <w:ind w:left="4813" w:hanging="1584"/>
      </w:pPr>
    </w:lvl>
  </w:abstractNum>
  <w:abstractNum w:abstractNumId="2">
    <w:nsid w:val="1D0B68DC"/>
    <w:multiLevelType w:val="multilevel"/>
    <w:tmpl w:val="0CE6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B1B3E"/>
    <w:multiLevelType w:val="multilevel"/>
    <w:tmpl w:val="AAB0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embedSystemFonts/>
  <w:attachedTemplate r:id="rId1"/>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NLM0MLA0MzYxNTNX0lEKTi0uzszPAykwsawFAFMGo1otAAAA"/>
  </w:docVars>
  <w:rsids>
    <w:rsidRoot w:val="00C34121"/>
    <w:rsid w:val="0000024E"/>
    <w:rsid w:val="000013E8"/>
    <w:rsid w:val="00002850"/>
    <w:rsid w:val="0000320A"/>
    <w:rsid w:val="00003628"/>
    <w:rsid w:val="00003DFA"/>
    <w:rsid w:val="00004842"/>
    <w:rsid w:val="00004F76"/>
    <w:rsid w:val="000061F1"/>
    <w:rsid w:val="00007A8A"/>
    <w:rsid w:val="00010A1A"/>
    <w:rsid w:val="00010C6E"/>
    <w:rsid w:val="000114A6"/>
    <w:rsid w:val="00012B96"/>
    <w:rsid w:val="0001594C"/>
    <w:rsid w:val="00016F69"/>
    <w:rsid w:val="000207BF"/>
    <w:rsid w:val="000210B1"/>
    <w:rsid w:val="0002398C"/>
    <w:rsid w:val="00023FF9"/>
    <w:rsid w:val="000241A5"/>
    <w:rsid w:val="000250C4"/>
    <w:rsid w:val="00026570"/>
    <w:rsid w:val="00027D08"/>
    <w:rsid w:val="000301B3"/>
    <w:rsid w:val="00032DA1"/>
    <w:rsid w:val="0003332E"/>
    <w:rsid w:val="00036B1E"/>
    <w:rsid w:val="00037E8E"/>
    <w:rsid w:val="0004033B"/>
    <w:rsid w:val="00040E3D"/>
    <w:rsid w:val="00041E95"/>
    <w:rsid w:val="00042624"/>
    <w:rsid w:val="000447F0"/>
    <w:rsid w:val="0005054E"/>
    <w:rsid w:val="0005343F"/>
    <w:rsid w:val="00053573"/>
    <w:rsid w:val="00053761"/>
    <w:rsid w:val="00053BE0"/>
    <w:rsid w:val="0005650B"/>
    <w:rsid w:val="000572CA"/>
    <w:rsid w:val="00061C9C"/>
    <w:rsid w:val="00063139"/>
    <w:rsid w:val="0006334C"/>
    <w:rsid w:val="00064007"/>
    <w:rsid w:val="00064089"/>
    <w:rsid w:val="00064F8C"/>
    <w:rsid w:val="000654BE"/>
    <w:rsid w:val="000670D4"/>
    <w:rsid w:val="000700E0"/>
    <w:rsid w:val="00070562"/>
    <w:rsid w:val="000730A9"/>
    <w:rsid w:val="00073CCF"/>
    <w:rsid w:val="000748CC"/>
    <w:rsid w:val="00076A96"/>
    <w:rsid w:val="0007758D"/>
    <w:rsid w:val="00080745"/>
    <w:rsid w:val="00080C80"/>
    <w:rsid w:val="00080F5A"/>
    <w:rsid w:val="00083ECA"/>
    <w:rsid w:val="00084C86"/>
    <w:rsid w:val="0008574F"/>
    <w:rsid w:val="00085AEF"/>
    <w:rsid w:val="00085F00"/>
    <w:rsid w:val="00087909"/>
    <w:rsid w:val="0009064F"/>
    <w:rsid w:val="0009089F"/>
    <w:rsid w:val="00090F11"/>
    <w:rsid w:val="000922A1"/>
    <w:rsid w:val="000927DD"/>
    <w:rsid w:val="00092DB4"/>
    <w:rsid w:val="000A0CDD"/>
    <w:rsid w:val="000A108C"/>
    <w:rsid w:val="000A12E7"/>
    <w:rsid w:val="000A3FCA"/>
    <w:rsid w:val="000A56DB"/>
    <w:rsid w:val="000A68FD"/>
    <w:rsid w:val="000A70FC"/>
    <w:rsid w:val="000B008E"/>
    <w:rsid w:val="000B17E0"/>
    <w:rsid w:val="000B2B77"/>
    <w:rsid w:val="000B44A7"/>
    <w:rsid w:val="000B4F71"/>
    <w:rsid w:val="000B56A8"/>
    <w:rsid w:val="000B5A45"/>
    <w:rsid w:val="000B625C"/>
    <w:rsid w:val="000B791E"/>
    <w:rsid w:val="000C231B"/>
    <w:rsid w:val="000C2D64"/>
    <w:rsid w:val="000C2D98"/>
    <w:rsid w:val="000C352B"/>
    <w:rsid w:val="000C3548"/>
    <w:rsid w:val="000C35B3"/>
    <w:rsid w:val="000C405B"/>
    <w:rsid w:val="000C4E8F"/>
    <w:rsid w:val="000C5160"/>
    <w:rsid w:val="000C57D4"/>
    <w:rsid w:val="000C60B3"/>
    <w:rsid w:val="000C7F9A"/>
    <w:rsid w:val="000D06AB"/>
    <w:rsid w:val="000D2B64"/>
    <w:rsid w:val="000D2D2A"/>
    <w:rsid w:val="000D35A7"/>
    <w:rsid w:val="000D471E"/>
    <w:rsid w:val="000D527A"/>
    <w:rsid w:val="000D760B"/>
    <w:rsid w:val="000D7A25"/>
    <w:rsid w:val="000E01A0"/>
    <w:rsid w:val="000E0716"/>
    <w:rsid w:val="000E09B6"/>
    <w:rsid w:val="000E14A0"/>
    <w:rsid w:val="000E1A17"/>
    <w:rsid w:val="000E2159"/>
    <w:rsid w:val="000E2B67"/>
    <w:rsid w:val="000E2F81"/>
    <w:rsid w:val="000E3C04"/>
    <w:rsid w:val="000E3D46"/>
    <w:rsid w:val="000E4C31"/>
    <w:rsid w:val="000E5A79"/>
    <w:rsid w:val="000E6788"/>
    <w:rsid w:val="000E76E9"/>
    <w:rsid w:val="000E78C5"/>
    <w:rsid w:val="000F06C7"/>
    <w:rsid w:val="000F143B"/>
    <w:rsid w:val="000F3371"/>
    <w:rsid w:val="000F3A2B"/>
    <w:rsid w:val="000F4372"/>
    <w:rsid w:val="000F5BB0"/>
    <w:rsid w:val="000F7E5E"/>
    <w:rsid w:val="001000D6"/>
    <w:rsid w:val="00101B0D"/>
    <w:rsid w:val="001028CA"/>
    <w:rsid w:val="001028D7"/>
    <w:rsid w:val="001029A6"/>
    <w:rsid w:val="00103CBA"/>
    <w:rsid w:val="00105667"/>
    <w:rsid w:val="00106259"/>
    <w:rsid w:val="00107F7A"/>
    <w:rsid w:val="001102CB"/>
    <w:rsid w:val="00110750"/>
    <w:rsid w:val="0011292E"/>
    <w:rsid w:val="0011371B"/>
    <w:rsid w:val="0012013F"/>
    <w:rsid w:val="00122F6B"/>
    <w:rsid w:val="00123F34"/>
    <w:rsid w:val="00124B0E"/>
    <w:rsid w:val="001253B8"/>
    <w:rsid w:val="00125472"/>
    <w:rsid w:val="00130CCD"/>
    <w:rsid w:val="001315C6"/>
    <w:rsid w:val="001322DE"/>
    <w:rsid w:val="00133D16"/>
    <w:rsid w:val="0013491B"/>
    <w:rsid w:val="00136B34"/>
    <w:rsid w:val="0013736C"/>
    <w:rsid w:val="001419D2"/>
    <w:rsid w:val="00145B5E"/>
    <w:rsid w:val="0014682B"/>
    <w:rsid w:val="00147860"/>
    <w:rsid w:val="00150158"/>
    <w:rsid w:val="001501CA"/>
    <w:rsid w:val="0015024F"/>
    <w:rsid w:val="00150299"/>
    <w:rsid w:val="001509A2"/>
    <w:rsid w:val="00150A00"/>
    <w:rsid w:val="00152031"/>
    <w:rsid w:val="0015292B"/>
    <w:rsid w:val="001550C5"/>
    <w:rsid w:val="001562FE"/>
    <w:rsid w:val="00157BD4"/>
    <w:rsid w:val="0016147A"/>
    <w:rsid w:val="00161791"/>
    <w:rsid w:val="00166306"/>
    <w:rsid w:val="00171CA5"/>
    <w:rsid w:val="00173E86"/>
    <w:rsid w:val="001745D0"/>
    <w:rsid w:val="00174E9E"/>
    <w:rsid w:val="00176950"/>
    <w:rsid w:val="001801FF"/>
    <w:rsid w:val="00180274"/>
    <w:rsid w:val="00181983"/>
    <w:rsid w:val="00181F3D"/>
    <w:rsid w:val="00182B66"/>
    <w:rsid w:val="00185134"/>
    <w:rsid w:val="0018565F"/>
    <w:rsid w:val="0018653D"/>
    <w:rsid w:val="00186875"/>
    <w:rsid w:val="00190279"/>
    <w:rsid w:val="0019419B"/>
    <w:rsid w:val="00195115"/>
    <w:rsid w:val="0019567F"/>
    <w:rsid w:val="00197D44"/>
    <w:rsid w:val="001A137A"/>
    <w:rsid w:val="001A4F94"/>
    <w:rsid w:val="001B0453"/>
    <w:rsid w:val="001B12B1"/>
    <w:rsid w:val="001B2FAE"/>
    <w:rsid w:val="001B39C9"/>
    <w:rsid w:val="001B3D3D"/>
    <w:rsid w:val="001B6D5C"/>
    <w:rsid w:val="001B6F01"/>
    <w:rsid w:val="001B7697"/>
    <w:rsid w:val="001C2C8B"/>
    <w:rsid w:val="001C38B4"/>
    <w:rsid w:val="001C4BE3"/>
    <w:rsid w:val="001C7BBB"/>
    <w:rsid w:val="001D0B5E"/>
    <w:rsid w:val="001D22F4"/>
    <w:rsid w:val="001D2F71"/>
    <w:rsid w:val="001D69FA"/>
    <w:rsid w:val="001E4A73"/>
    <w:rsid w:val="001E69D5"/>
    <w:rsid w:val="001E6D46"/>
    <w:rsid w:val="001E6EAE"/>
    <w:rsid w:val="001E79F3"/>
    <w:rsid w:val="001F37F4"/>
    <w:rsid w:val="001F3B94"/>
    <w:rsid w:val="001F4185"/>
    <w:rsid w:val="001F4C1A"/>
    <w:rsid w:val="001F6D06"/>
    <w:rsid w:val="001F7B52"/>
    <w:rsid w:val="00200663"/>
    <w:rsid w:val="00200920"/>
    <w:rsid w:val="00200A99"/>
    <w:rsid w:val="00201575"/>
    <w:rsid w:val="00202B0D"/>
    <w:rsid w:val="00202F2A"/>
    <w:rsid w:val="0020412D"/>
    <w:rsid w:val="00205981"/>
    <w:rsid w:val="0020653D"/>
    <w:rsid w:val="00207481"/>
    <w:rsid w:val="00211ED2"/>
    <w:rsid w:val="0021229F"/>
    <w:rsid w:val="00212AEA"/>
    <w:rsid w:val="00212DDC"/>
    <w:rsid w:val="00214B21"/>
    <w:rsid w:val="002163E9"/>
    <w:rsid w:val="002167AD"/>
    <w:rsid w:val="002200A6"/>
    <w:rsid w:val="0022314C"/>
    <w:rsid w:val="00223A32"/>
    <w:rsid w:val="00224600"/>
    <w:rsid w:val="00224B57"/>
    <w:rsid w:val="002254E2"/>
    <w:rsid w:val="00226AD6"/>
    <w:rsid w:val="00231413"/>
    <w:rsid w:val="00232368"/>
    <w:rsid w:val="00232AF0"/>
    <w:rsid w:val="00233052"/>
    <w:rsid w:val="002334F7"/>
    <w:rsid w:val="002335E3"/>
    <w:rsid w:val="002340B0"/>
    <w:rsid w:val="00235240"/>
    <w:rsid w:val="002365FD"/>
    <w:rsid w:val="002376FB"/>
    <w:rsid w:val="00237AC5"/>
    <w:rsid w:val="00237DC0"/>
    <w:rsid w:val="00240EB0"/>
    <w:rsid w:val="002412FE"/>
    <w:rsid w:val="002413D8"/>
    <w:rsid w:val="00241980"/>
    <w:rsid w:val="002436F7"/>
    <w:rsid w:val="00245F6C"/>
    <w:rsid w:val="002460A5"/>
    <w:rsid w:val="0024625B"/>
    <w:rsid w:val="00247451"/>
    <w:rsid w:val="00250136"/>
    <w:rsid w:val="002516B6"/>
    <w:rsid w:val="00251AFC"/>
    <w:rsid w:val="0025296E"/>
    <w:rsid w:val="002536D8"/>
    <w:rsid w:val="00254722"/>
    <w:rsid w:val="00257F6F"/>
    <w:rsid w:val="00262094"/>
    <w:rsid w:val="002625D2"/>
    <w:rsid w:val="00262E1E"/>
    <w:rsid w:val="002635BA"/>
    <w:rsid w:val="002649C6"/>
    <w:rsid w:val="00265736"/>
    <w:rsid w:val="00265FF0"/>
    <w:rsid w:val="00266160"/>
    <w:rsid w:val="002711F2"/>
    <w:rsid w:val="00271BC1"/>
    <w:rsid w:val="00272618"/>
    <w:rsid w:val="002733EA"/>
    <w:rsid w:val="00273BFF"/>
    <w:rsid w:val="00273EA7"/>
    <w:rsid w:val="0027465E"/>
    <w:rsid w:val="002757B2"/>
    <w:rsid w:val="00275BBE"/>
    <w:rsid w:val="00276DA8"/>
    <w:rsid w:val="00277620"/>
    <w:rsid w:val="00280006"/>
    <w:rsid w:val="00280ED9"/>
    <w:rsid w:val="00281EF1"/>
    <w:rsid w:val="0028376D"/>
    <w:rsid w:val="0028469F"/>
    <w:rsid w:val="00286BB5"/>
    <w:rsid w:val="002910FE"/>
    <w:rsid w:val="00291171"/>
    <w:rsid w:val="002915CC"/>
    <w:rsid w:val="0029378C"/>
    <w:rsid w:val="00293A1D"/>
    <w:rsid w:val="00295EFC"/>
    <w:rsid w:val="00295F1E"/>
    <w:rsid w:val="00296767"/>
    <w:rsid w:val="00296949"/>
    <w:rsid w:val="00296B8D"/>
    <w:rsid w:val="00297E13"/>
    <w:rsid w:val="002A0544"/>
    <w:rsid w:val="002A08D3"/>
    <w:rsid w:val="002A1239"/>
    <w:rsid w:val="002A2B5C"/>
    <w:rsid w:val="002A377F"/>
    <w:rsid w:val="002A42E6"/>
    <w:rsid w:val="002A464C"/>
    <w:rsid w:val="002A52A6"/>
    <w:rsid w:val="002A78D3"/>
    <w:rsid w:val="002B09F4"/>
    <w:rsid w:val="002B0D7B"/>
    <w:rsid w:val="002B5BA1"/>
    <w:rsid w:val="002B60A7"/>
    <w:rsid w:val="002C017B"/>
    <w:rsid w:val="002C1572"/>
    <w:rsid w:val="002C2045"/>
    <w:rsid w:val="002C25E6"/>
    <w:rsid w:val="002C27E4"/>
    <w:rsid w:val="002C3FFB"/>
    <w:rsid w:val="002C41D1"/>
    <w:rsid w:val="002C4493"/>
    <w:rsid w:val="002C5328"/>
    <w:rsid w:val="002D045C"/>
    <w:rsid w:val="002D065F"/>
    <w:rsid w:val="002D1587"/>
    <w:rsid w:val="002D173A"/>
    <w:rsid w:val="002D183E"/>
    <w:rsid w:val="002D19D9"/>
    <w:rsid w:val="002D24A5"/>
    <w:rsid w:val="002D35CD"/>
    <w:rsid w:val="002D3B4B"/>
    <w:rsid w:val="002D3F64"/>
    <w:rsid w:val="002D44C6"/>
    <w:rsid w:val="002D44CE"/>
    <w:rsid w:val="002D5FEE"/>
    <w:rsid w:val="002D7679"/>
    <w:rsid w:val="002D76C3"/>
    <w:rsid w:val="002E1BF8"/>
    <w:rsid w:val="002E4FF6"/>
    <w:rsid w:val="002E5C2C"/>
    <w:rsid w:val="002E7839"/>
    <w:rsid w:val="002F2C18"/>
    <w:rsid w:val="002F3298"/>
    <w:rsid w:val="002F47EB"/>
    <w:rsid w:val="002F62C3"/>
    <w:rsid w:val="002F7042"/>
    <w:rsid w:val="002F7FD6"/>
    <w:rsid w:val="00301887"/>
    <w:rsid w:val="00301B2C"/>
    <w:rsid w:val="003026BC"/>
    <w:rsid w:val="00304B7E"/>
    <w:rsid w:val="003053F9"/>
    <w:rsid w:val="0030547E"/>
    <w:rsid w:val="003063D4"/>
    <w:rsid w:val="003117C9"/>
    <w:rsid w:val="0031203F"/>
    <w:rsid w:val="003128BA"/>
    <w:rsid w:val="0031460A"/>
    <w:rsid w:val="00315AB7"/>
    <w:rsid w:val="00316D19"/>
    <w:rsid w:val="00320892"/>
    <w:rsid w:val="00320DD9"/>
    <w:rsid w:val="00321C42"/>
    <w:rsid w:val="00322400"/>
    <w:rsid w:val="00322499"/>
    <w:rsid w:val="00324ABD"/>
    <w:rsid w:val="00324C5B"/>
    <w:rsid w:val="003256BF"/>
    <w:rsid w:val="003259E9"/>
    <w:rsid w:val="003267ED"/>
    <w:rsid w:val="00327314"/>
    <w:rsid w:val="0033013D"/>
    <w:rsid w:val="00331ACF"/>
    <w:rsid w:val="00332BCA"/>
    <w:rsid w:val="00333F98"/>
    <w:rsid w:val="00334221"/>
    <w:rsid w:val="00335D40"/>
    <w:rsid w:val="00337108"/>
    <w:rsid w:val="003377C7"/>
    <w:rsid w:val="00337E59"/>
    <w:rsid w:val="0034137F"/>
    <w:rsid w:val="00341862"/>
    <w:rsid w:val="00342920"/>
    <w:rsid w:val="003432EE"/>
    <w:rsid w:val="0034368C"/>
    <w:rsid w:val="00352B65"/>
    <w:rsid w:val="00353967"/>
    <w:rsid w:val="00353C78"/>
    <w:rsid w:val="003560F7"/>
    <w:rsid w:val="00356A51"/>
    <w:rsid w:val="00357453"/>
    <w:rsid w:val="00357949"/>
    <w:rsid w:val="003608D3"/>
    <w:rsid w:val="003612E8"/>
    <w:rsid w:val="003615DF"/>
    <w:rsid w:val="00361630"/>
    <w:rsid w:val="00361DF8"/>
    <w:rsid w:val="00362925"/>
    <w:rsid w:val="003629B0"/>
    <w:rsid w:val="00362C60"/>
    <w:rsid w:val="003656C6"/>
    <w:rsid w:val="00366ABB"/>
    <w:rsid w:val="0036736A"/>
    <w:rsid w:val="00370E73"/>
    <w:rsid w:val="003716E6"/>
    <w:rsid w:val="00372563"/>
    <w:rsid w:val="00372E4A"/>
    <w:rsid w:val="003743BA"/>
    <w:rsid w:val="003755FF"/>
    <w:rsid w:val="00375ADC"/>
    <w:rsid w:val="00375C74"/>
    <w:rsid w:val="00377039"/>
    <w:rsid w:val="003812AA"/>
    <w:rsid w:val="0038190A"/>
    <w:rsid w:val="00383650"/>
    <w:rsid w:val="00383A6E"/>
    <w:rsid w:val="00385A9A"/>
    <w:rsid w:val="00386C1B"/>
    <w:rsid w:val="003875AB"/>
    <w:rsid w:val="00387908"/>
    <w:rsid w:val="003916D2"/>
    <w:rsid w:val="00392FC7"/>
    <w:rsid w:val="00393263"/>
    <w:rsid w:val="00393E18"/>
    <w:rsid w:val="003941EB"/>
    <w:rsid w:val="00397060"/>
    <w:rsid w:val="00397AEC"/>
    <w:rsid w:val="00397BB8"/>
    <w:rsid w:val="003A0ED0"/>
    <w:rsid w:val="003A5326"/>
    <w:rsid w:val="003A595B"/>
    <w:rsid w:val="003A630F"/>
    <w:rsid w:val="003B1A3E"/>
    <w:rsid w:val="003B27AD"/>
    <w:rsid w:val="003B418E"/>
    <w:rsid w:val="003B440A"/>
    <w:rsid w:val="003B649A"/>
    <w:rsid w:val="003B65A1"/>
    <w:rsid w:val="003B6DC5"/>
    <w:rsid w:val="003B7216"/>
    <w:rsid w:val="003B75F2"/>
    <w:rsid w:val="003C087D"/>
    <w:rsid w:val="003C0E99"/>
    <w:rsid w:val="003C2268"/>
    <w:rsid w:val="003C33EC"/>
    <w:rsid w:val="003C4CDE"/>
    <w:rsid w:val="003C4D3A"/>
    <w:rsid w:val="003C7982"/>
    <w:rsid w:val="003D0079"/>
    <w:rsid w:val="003D011F"/>
    <w:rsid w:val="003D0E9A"/>
    <w:rsid w:val="003D2DA7"/>
    <w:rsid w:val="003D4238"/>
    <w:rsid w:val="003D4E43"/>
    <w:rsid w:val="003D7C66"/>
    <w:rsid w:val="003E0408"/>
    <w:rsid w:val="003E109C"/>
    <w:rsid w:val="003E1388"/>
    <w:rsid w:val="003E3283"/>
    <w:rsid w:val="003E4407"/>
    <w:rsid w:val="003E5DC0"/>
    <w:rsid w:val="003E7DEE"/>
    <w:rsid w:val="003F0E0A"/>
    <w:rsid w:val="003F11BD"/>
    <w:rsid w:val="003F1550"/>
    <w:rsid w:val="003F227F"/>
    <w:rsid w:val="003F3B7E"/>
    <w:rsid w:val="003F45E7"/>
    <w:rsid w:val="003F4B93"/>
    <w:rsid w:val="003F607A"/>
    <w:rsid w:val="003F64C6"/>
    <w:rsid w:val="00400317"/>
    <w:rsid w:val="0040031D"/>
    <w:rsid w:val="004014FA"/>
    <w:rsid w:val="00403487"/>
    <w:rsid w:val="00404FD0"/>
    <w:rsid w:val="00405D42"/>
    <w:rsid w:val="004107D6"/>
    <w:rsid w:val="00410E01"/>
    <w:rsid w:val="0041255B"/>
    <w:rsid w:val="00412BCC"/>
    <w:rsid w:val="00414B97"/>
    <w:rsid w:val="00415FC7"/>
    <w:rsid w:val="00416C86"/>
    <w:rsid w:val="00416DBB"/>
    <w:rsid w:val="00420C30"/>
    <w:rsid w:val="00421A01"/>
    <w:rsid w:val="0042324C"/>
    <w:rsid w:val="0042523B"/>
    <w:rsid w:val="0042575C"/>
    <w:rsid w:val="0042575D"/>
    <w:rsid w:val="00425FC3"/>
    <w:rsid w:val="00426442"/>
    <w:rsid w:val="00426CB4"/>
    <w:rsid w:val="0043025D"/>
    <w:rsid w:val="0043051F"/>
    <w:rsid w:val="00430924"/>
    <w:rsid w:val="004315A4"/>
    <w:rsid w:val="004319C2"/>
    <w:rsid w:val="0043458D"/>
    <w:rsid w:val="004370AC"/>
    <w:rsid w:val="00442336"/>
    <w:rsid w:val="00443AE1"/>
    <w:rsid w:val="004455D2"/>
    <w:rsid w:val="00445EF6"/>
    <w:rsid w:val="00450C83"/>
    <w:rsid w:val="00454224"/>
    <w:rsid w:val="00454589"/>
    <w:rsid w:val="0045685D"/>
    <w:rsid w:val="00463F8C"/>
    <w:rsid w:val="00465E9E"/>
    <w:rsid w:val="00467199"/>
    <w:rsid w:val="004676A4"/>
    <w:rsid w:val="00467C43"/>
    <w:rsid w:val="00470848"/>
    <w:rsid w:val="0047227F"/>
    <w:rsid w:val="004742E4"/>
    <w:rsid w:val="004755A3"/>
    <w:rsid w:val="00475CB5"/>
    <w:rsid w:val="00476FDF"/>
    <w:rsid w:val="004777A4"/>
    <w:rsid w:val="0048514D"/>
    <w:rsid w:val="004855B1"/>
    <w:rsid w:val="00485B90"/>
    <w:rsid w:val="004866CE"/>
    <w:rsid w:val="00487B18"/>
    <w:rsid w:val="00492A84"/>
    <w:rsid w:val="004945AD"/>
    <w:rsid w:val="00494891"/>
    <w:rsid w:val="004955E7"/>
    <w:rsid w:val="00495D6B"/>
    <w:rsid w:val="00496852"/>
    <w:rsid w:val="00496C75"/>
    <w:rsid w:val="00496EC5"/>
    <w:rsid w:val="004A00B2"/>
    <w:rsid w:val="004A076F"/>
    <w:rsid w:val="004A086E"/>
    <w:rsid w:val="004A0AC9"/>
    <w:rsid w:val="004A0E81"/>
    <w:rsid w:val="004A1464"/>
    <w:rsid w:val="004A18DF"/>
    <w:rsid w:val="004A2CD8"/>
    <w:rsid w:val="004A2D80"/>
    <w:rsid w:val="004A5672"/>
    <w:rsid w:val="004A5DA5"/>
    <w:rsid w:val="004A6501"/>
    <w:rsid w:val="004B2BC4"/>
    <w:rsid w:val="004B4495"/>
    <w:rsid w:val="004B52A9"/>
    <w:rsid w:val="004B52C7"/>
    <w:rsid w:val="004B6537"/>
    <w:rsid w:val="004C06B7"/>
    <w:rsid w:val="004C0A78"/>
    <w:rsid w:val="004C1594"/>
    <w:rsid w:val="004C2620"/>
    <w:rsid w:val="004C293A"/>
    <w:rsid w:val="004C4F5D"/>
    <w:rsid w:val="004C50FE"/>
    <w:rsid w:val="004C5617"/>
    <w:rsid w:val="004D4492"/>
    <w:rsid w:val="004D53BE"/>
    <w:rsid w:val="004D61F1"/>
    <w:rsid w:val="004D72C6"/>
    <w:rsid w:val="004D7FD1"/>
    <w:rsid w:val="004E01BF"/>
    <w:rsid w:val="004E13DF"/>
    <w:rsid w:val="004E376F"/>
    <w:rsid w:val="004E3A1E"/>
    <w:rsid w:val="004E3E2A"/>
    <w:rsid w:val="004E3FDD"/>
    <w:rsid w:val="004E4546"/>
    <w:rsid w:val="004E57DB"/>
    <w:rsid w:val="004E5F8A"/>
    <w:rsid w:val="004F5189"/>
    <w:rsid w:val="004F5966"/>
    <w:rsid w:val="00501FA1"/>
    <w:rsid w:val="00502968"/>
    <w:rsid w:val="00503558"/>
    <w:rsid w:val="00503DCE"/>
    <w:rsid w:val="005041FF"/>
    <w:rsid w:val="00505B6E"/>
    <w:rsid w:val="0050627C"/>
    <w:rsid w:val="00506EC1"/>
    <w:rsid w:val="00507687"/>
    <w:rsid w:val="00507750"/>
    <w:rsid w:val="00511F99"/>
    <w:rsid w:val="00513154"/>
    <w:rsid w:val="00513EE6"/>
    <w:rsid w:val="005159EB"/>
    <w:rsid w:val="005201C1"/>
    <w:rsid w:val="0052067F"/>
    <w:rsid w:val="00521927"/>
    <w:rsid w:val="00523AB5"/>
    <w:rsid w:val="005243A4"/>
    <w:rsid w:val="00524579"/>
    <w:rsid w:val="0052623E"/>
    <w:rsid w:val="00526380"/>
    <w:rsid w:val="00531E6D"/>
    <w:rsid w:val="00532041"/>
    <w:rsid w:val="005327E7"/>
    <w:rsid w:val="0053365B"/>
    <w:rsid w:val="00533B8C"/>
    <w:rsid w:val="00533FA3"/>
    <w:rsid w:val="005346AA"/>
    <w:rsid w:val="00534DAD"/>
    <w:rsid w:val="0053528E"/>
    <w:rsid w:val="00535702"/>
    <w:rsid w:val="00535860"/>
    <w:rsid w:val="00535B3A"/>
    <w:rsid w:val="005363F6"/>
    <w:rsid w:val="0054087A"/>
    <w:rsid w:val="00541C5E"/>
    <w:rsid w:val="00542D24"/>
    <w:rsid w:val="005443D6"/>
    <w:rsid w:val="005451FB"/>
    <w:rsid w:val="00545F03"/>
    <w:rsid w:val="00546F52"/>
    <w:rsid w:val="00550885"/>
    <w:rsid w:val="00550E17"/>
    <w:rsid w:val="00551C5D"/>
    <w:rsid w:val="00552646"/>
    <w:rsid w:val="00560FAA"/>
    <w:rsid w:val="005622F5"/>
    <w:rsid w:val="00562F2D"/>
    <w:rsid w:val="00567BDA"/>
    <w:rsid w:val="005709A0"/>
    <w:rsid w:val="00570A65"/>
    <w:rsid w:val="00570E36"/>
    <w:rsid w:val="0057151C"/>
    <w:rsid w:val="00573AE5"/>
    <w:rsid w:val="00574673"/>
    <w:rsid w:val="00574CCC"/>
    <w:rsid w:val="00575179"/>
    <w:rsid w:val="005754C2"/>
    <w:rsid w:val="00575E06"/>
    <w:rsid w:val="005769E0"/>
    <w:rsid w:val="00581B1B"/>
    <w:rsid w:val="0058535D"/>
    <w:rsid w:val="00585371"/>
    <w:rsid w:val="00585647"/>
    <w:rsid w:val="00585892"/>
    <w:rsid w:val="00586697"/>
    <w:rsid w:val="00586D43"/>
    <w:rsid w:val="0058704D"/>
    <w:rsid w:val="005876C3"/>
    <w:rsid w:val="005879A5"/>
    <w:rsid w:val="00587B7D"/>
    <w:rsid w:val="00592D2A"/>
    <w:rsid w:val="0059436C"/>
    <w:rsid w:val="00596E9A"/>
    <w:rsid w:val="00596FC5"/>
    <w:rsid w:val="0059746F"/>
    <w:rsid w:val="005A0088"/>
    <w:rsid w:val="005A09F9"/>
    <w:rsid w:val="005A3A03"/>
    <w:rsid w:val="005A49A7"/>
    <w:rsid w:val="005A6323"/>
    <w:rsid w:val="005A7730"/>
    <w:rsid w:val="005B1727"/>
    <w:rsid w:val="005B41D8"/>
    <w:rsid w:val="005B58CC"/>
    <w:rsid w:val="005B5D85"/>
    <w:rsid w:val="005C06B8"/>
    <w:rsid w:val="005C0F9E"/>
    <w:rsid w:val="005C1E43"/>
    <w:rsid w:val="005C2216"/>
    <w:rsid w:val="005C3921"/>
    <w:rsid w:val="005C49CA"/>
    <w:rsid w:val="005C5291"/>
    <w:rsid w:val="005C7810"/>
    <w:rsid w:val="005C7D97"/>
    <w:rsid w:val="005D012F"/>
    <w:rsid w:val="005D019F"/>
    <w:rsid w:val="005D0477"/>
    <w:rsid w:val="005D090C"/>
    <w:rsid w:val="005D11BE"/>
    <w:rsid w:val="005D16C9"/>
    <w:rsid w:val="005D1E72"/>
    <w:rsid w:val="005D3318"/>
    <w:rsid w:val="005D3537"/>
    <w:rsid w:val="005D36DE"/>
    <w:rsid w:val="005D3FC2"/>
    <w:rsid w:val="005D4168"/>
    <w:rsid w:val="005D4A7E"/>
    <w:rsid w:val="005D5CB0"/>
    <w:rsid w:val="005D7247"/>
    <w:rsid w:val="005E09CA"/>
    <w:rsid w:val="005E17A3"/>
    <w:rsid w:val="005E266B"/>
    <w:rsid w:val="005E41D2"/>
    <w:rsid w:val="005E4DE5"/>
    <w:rsid w:val="005E53EA"/>
    <w:rsid w:val="005E5BC3"/>
    <w:rsid w:val="005E5D6B"/>
    <w:rsid w:val="005E62BE"/>
    <w:rsid w:val="005E6B89"/>
    <w:rsid w:val="005E73EA"/>
    <w:rsid w:val="005E7F6A"/>
    <w:rsid w:val="005F04D1"/>
    <w:rsid w:val="005F08A7"/>
    <w:rsid w:val="005F0E8F"/>
    <w:rsid w:val="005F1604"/>
    <w:rsid w:val="005F34F3"/>
    <w:rsid w:val="005F363C"/>
    <w:rsid w:val="00600138"/>
    <w:rsid w:val="00600647"/>
    <w:rsid w:val="006007B7"/>
    <w:rsid w:val="0060266F"/>
    <w:rsid w:val="00602C85"/>
    <w:rsid w:val="00602CFB"/>
    <w:rsid w:val="00603D2A"/>
    <w:rsid w:val="0060684A"/>
    <w:rsid w:val="00607999"/>
    <w:rsid w:val="00610776"/>
    <w:rsid w:val="00611618"/>
    <w:rsid w:val="006119F9"/>
    <w:rsid w:val="00611CA3"/>
    <w:rsid w:val="00613E3A"/>
    <w:rsid w:val="00614503"/>
    <w:rsid w:val="00614F3A"/>
    <w:rsid w:val="00620C81"/>
    <w:rsid w:val="00624DA7"/>
    <w:rsid w:val="0062555A"/>
    <w:rsid w:val="006266C4"/>
    <w:rsid w:val="00626A80"/>
    <w:rsid w:val="006312D6"/>
    <w:rsid w:val="00631D3D"/>
    <w:rsid w:val="00631E9D"/>
    <w:rsid w:val="0063205D"/>
    <w:rsid w:val="00632627"/>
    <w:rsid w:val="006342E7"/>
    <w:rsid w:val="006350A5"/>
    <w:rsid w:val="006363B4"/>
    <w:rsid w:val="0063691E"/>
    <w:rsid w:val="00637E83"/>
    <w:rsid w:val="006413A2"/>
    <w:rsid w:val="006417E7"/>
    <w:rsid w:val="006424E9"/>
    <w:rsid w:val="006434A7"/>
    <w:rsid w:val="006445E6"/>
    <w:rsid w:val="00644A89"/>
    <w:rsid w:val="006474DF"/>
    <w:rsid w:val="00650BE2"/>
    <w:rsid w:val="0065156B"/>
    <w:rsid w:val="00652386"/>
    <w:rsid w:val="00652ADE"/>
    <w:rsid w:val="00652EEB"/>
    <w:rsid w:val="0065368B"/>
    <w:rsid w:val="00654B91"/>
    <w:rsid w:val="00654B9A"/>
    <w:rsid w:val="00654C4D"/>
    <w:rsid w:val="00654DE2"/>
    <w:rsid w:val="00656F41"/>
    <w:rsid w:val="006633C4"/>
    <w:rsid w:val="00663FF0"/>
    <w:rsid w:val="00664EB8"/>
    <w:rsid w:val="006653BC"/>
    <w:rsid w:val="00665736"/>
    <w:rsid w:val="00665885"/>
    <w:rsid w:val="00665CAA"/>
    <w:rsid w:val="006665BF"/>
    <w:rsid w:val="00667100"/>
    <w:rsid w:val="006677CD"/>
    <w:rsid w:val="006705FA"/>
    <w:rsid w:val="00671A97"/>
    <w:rsid w:val="00672601"/>
    <w:rsid w:val="00673957"/>
    <w:rsid w:val="0067423A"/>
    <w:rsid w:val="00674D98"/>
    <w:rsid w:val="00675E4B"/>
    <w:rsid w:val="006771AD"/>
    <w:rsid w:val="006772E3"/>
    <w:rsid w:val="0068020A"/>
    <w:rsid w:val="0068079F"/>
    <w:rsid w:val="006807E6"/>
    <w:rsid w:val="00681E3D"/>
    <w:rsid w:val="00682129"/>
    <w:rsid w:val="00683195"/>
    <w:rsid w:val="00683545"/>
    <w:rsid w:val="00683674"/>
    <w:rsid w:val="00686204"/>
    <w:rsid w:val="00686846"/>
    <w:rsid w:val="00691FC6"/>
    <w:rsid w:val="00693B71"/>
    <w:rsid w:val="00694BF6"/>
    <w:rsid w:val="00695AB1"/>
    <w:rsid w:val="0069658A"/>
    <w:rsid w:val="00697B02"/>
    <w:rsid w:val="006A03B0"/>
    <w:rsid w:val="006A05F4"/>
    <w:rsid w:val="006A1584"/>
    <w:rsid w:val="006A2492"/>
    <w:rsid w:val="006A3B91"/>
    <w:rsid w:val="006A5920"/>
    <w:rsid w:val="006A6128"/>
    <w:rsid w:val="006A78EE"/>
    <w:rsid w:val="006B197C"/>
    <w:rsid w:val="006B3065"/>
    <w:rsid w:val="006B4D37"/>
    <w:rsid w:val="006B52F9"/>
    <w:rsid w:val="006B53C0"/>
    <w:rsid w:val="006B690A"/>
    <w:rsid w:val="006B6C48"/>
    <w:rsid w:val="006B6E52"/>
    <w:rsid w:val="006B753E"/>
    <w:rsid w:val="006C3212"/>
    <w:rsid w:val="006C3FA9"/>
    <w:rsid w:val="006C408B"/>
    <w:rsid w:val="006C5F25"/>
    <w:rsid w:val="006C777E"/>
    <w:rsid w:val="006C7950"/>
    <w:rsid w:val="006D112A"/>
    <w:rsid w:val="006D1577"/>
    <w:rsid w:val="006D182F"/>
    <w:rsid w:val="006D1962"/>
    <w:rsid w:val="006D1C2D"/>
    <w:rsid w:val="006D3181"/>
    <w:rsid w:val="006D4749"/>
    <w:rsid w:val="006D5285"/>
    <w:rsid w:val="006D7E78"/>
    <w:rsid w:val="006E0E81"/>
    <w:rsid w:val="006E1BB7"/>
    <w:rsid w:val="006E2D9D"/>
    <w:rsid w:val="006E36FD"/>
    <w:rsid w:val="006E404C"/>
    <w:rsid w:val="006E526B"/>
    <w:rsid w:val="006F0940"/>
    <w:rsid w:val="006F261C"/>
    <w:rsid w:val="006F4F3C"/>
    <w:rsid w:val="006F62A8"/>
    <w:rsid w:val="006F74CB"/>
    <w:rsid w:val="006F7BBD"/>
    <w:rsid w:val="00700297"/>
    <w:rsid w:val="00701800"/>
    <w:rsid w:val="00701F8D"/>
    <w:rsid w:val="007043DA"/>
    <w:rsid w:val="00705856"/>
    <w:rsid w:val="0070759A"/>
    <w:rsid w:val="00707A2C"/>
    <w:rsid w:val="00707C15"/>
    <w:rsid w:val="00707D87"/>
    <w:rsid w:val="00710763"/>
    <w:rsid w:val="007162D5"/>
    <w:rsid w:val="00716EBA"/>
    <w:rsid w:val="007173C3"/>
    <w:rsid w:val="00720B24"/>
    <w:rsid w:val="007241AE"/>
    <w:rsid w:val="00724A44"/>
    <w:rsid w:val="00725A95"/>
    <w:rsid w:val="00725B45"/>
    <w:rsid w:val="00725BE4"/>
    <w:rsid w:val="007309F9"/>
    <w:rsid w:val="007312F9"/>
    <w:rsid w:val="00731BCC"/>
    <w:rsid w:val="00732746"/>
    <w:rsid w:val="00735AF8"/>
    <w:rsid w:val="00736092"/>
    <w:rsid w:val="00736FCE"/>
    <w:rsid w:val="00737220"/>
    <w:rsid w:val="00740FF8"/>
    <w:rsid w:val="00741512"/>
    <w:rsid w:val="007432E3"/>
    <w:rsid w:val="00744B3A"/>
    <w:rsid w:val="00744DB3"/>
    <w:rsid w:val="007454D5"/>
    <w:rsid w:val="007455BF"/>
    <w:rsid w:val="007470D5"/>
    <w:rsid w:val="00752A06"/>
    <w:rsid w:val="00752BA6"/>
    <w:rsid w:val="0075379B"/>
    <w:rsid w:val="007547B1"/>
    <w:rsid w:val="007547F2"/>
    <w:rsid w:val="00761DF1"/>
    <w:rsid w:val="007627A4"/>
    <w:rsid w:val="00763CB1"/>
    <w:rsid w:val="00763D54"/>
    <w:rsid w:val="0076422A"/>
    <w:rsid w:val="0076430D"/>
    <w:rsid w:val="0076470E"/>
    <w:rsid w:val="0076471B"/>
    <w:rsid w:val="007718A0"/>
    <w:rsid w:val="007740AE"/>
    <w:rsid w:val="007772DC"/>
    <w:rsid w:val="0078063E"/>
    <w:rsid w:val="00780876"/>
    <w:rsid w:val="0078224A"/>
    <w:rsid w:val="00783AE3"/>
    <w:rsid w:val="00784210"/>
    <w:rsid w:val="0078563F"/>
    <w:rsid w:val="00785ABF"/>
    <w:rsid w:val="00791012"/>
    <w:rsid w:val="0079118B"/>
    <w:rsid w:val="0079396B"/>
    <w:rsid w:val="00793F5E"/>
    <w:rsid w:val="00794469"/>
    <w:rsid w:val="00794952"/>
    <w:rsid w:val="00795029"/>
    <w:rsid w:val="007965DE"/>
    <w:rsid w:val="007978DD"/>
    <w:rsid w:val="007A13A7"/>
    <w:rsid w:val="007A1555"/>
    <w:rsid w:val="007A3E48"/>
    <w:rsid w:val="007A4212"/>
    <w:rsid w:val="007A64A3"/>
    <w:rsid w:val="007B2711"/>
    <w:rsid w:val="007B3E67"/>
    <w:rsid w:val="007B405E"/>
    <w:rsid w:val="007B4648"/>
    <w:rsid w:val="007B588D"/>
    <w:rsid w:val="007B5D65"/>
    <w:rsid w:val="007B5FCB"/>
    <w:rsid w:val="007C0478"/>
    <w:rsid w:val="007C181E"/>
    <w:rsid w:val="007C3450"/>
    <w:rsid w:val="007C3D7C"/>
    <w:rsid w:val="007C5793"/>
    <w:rsid w:val="007C5F88"/>
    <w:rsid w:val="007C727F"/>
    <w:rsid w:val="007D1D8C"/>
    <w:rsid w:val="007D2346"/>
    <w:rsid w:val="007D309F"/>
    <w:rsid w:val="007D5160"/>
    <w:rsid w:val="007D5683"/>
    <w:rsid w:val="007D5730"/>
    <w:rsid w:val="007E0952"/>
    <w:rsid w:val="007E1C9A"/>
    <w:rsid w:val="007E34D7"/>
    <w:rsid w:val="007E39CE"/>
    <w:rsid w:val="007E5620"/>
    <w:rsid w:val="007E5B7B"/>
    <w:rsid w:val="007E71C6"/>
    <w:rsid w:val="007F012C"/>
    <w:rsid w:val="007F1AD5"/>
    <w:rsid w:val="007F2572"/>
    <w:rsid w:val="007F2C68"/>
    <w:rsid w:val="007F304A"/>
    <w:rsid w:val="007F3F43"/>
    <w:rsid w:val="007F4B14"/>
    <w:rsid w:val="007F64F1"/>
    <w:rsid w:val="007F69E4"/>
    <w:rsid w:val="007F6FBC"/>
    <w:rsid w:val="007F727A"/>
    <w:rsid w:val="00801A6C"/>
    <w:rsid w:val="00801F82"/>
    <w:rsid w:val="00802611"/>
    <w:rsid w:val="008048BA"/>
    <w:rsid w:val="00804D23"/>
    <w:rsid w:val="00806ED7"/>
    <w:rsid w:val="008076D5"/>
    <w:rsid w:val="00807A1E"/>
    <w:rsid w:val="0081067D"/>
    <w:rsid w:val="00810770"/>
    <w:rsid w:val="00811DA9"/>
    <w:rsid w:val="00813884"/>
    <w:rsid w:val="0081456D"/>
    <w:rsid w:val="008146CB"/>
    <w:rsid w:val="00815286"/>
    <w:rsid w:val="00815996"/>
    <w:rsid w:val="0082228C"/>
    <w:rsid w:val="00824B35"/>
    <w:rsid w:val="0082735A"/>
    <w:rsid w:val="008321E7"/>
    <w:rsid w:val="008357CC"/>
    <w:rsid w:val="00836039"/>
    <w:rsid w:val="0084287D"/>
    <w:rsid w:val="00843848"/>
    <w:rsid w:val="0084387F"/>
    <w:rsid w:val="008455A9"/>
    <w:rsid w:val="00845AC5"/>
    <w:rsid w:val="00845D0F"/>
    <w:rsid w:val="008474D7"/>
    <w:rsid w:val="0085144C"/>
    <w:rsid w:val="00851575"/>
    <w:rsid w:val="008516E2"/>
    <w:rsid w:val="00851CD6"/>
    <w:rsid w:val="00851E34"/>
    <w:rsid w:val="00852EB4"/>
    <w:rsid w:val="00854D3D"/>
    <w:rsid w:val="00855FA5"/>
    <w:rsid w:val="00856B5E"/>
    <w:rsid w:val="00856CD9"/>
    <w:rsid w:val="0085732A"/>
    <w:rsid w:val="00857EF7"/>
    <w:rsid w:val="00860665"/>
    <w:rsid w:val="00862F20"/>
    <w:rsid w:val="00862F6D"/>
    <w:rsid w:val="00863308"/>
    <w:rsid w:val="008645F0"/>
    <w:rsid w:val="008663DE"/>
    <w:rsid w:val="008676AC"/>
    <w:rsid w:val="008679E0"/>
    <w:rsid w:val="00867AA3"/>
    <w:rsid w:val="00867AC3"/>
    <w:rsid w:val="00867BEB"/>
    <w:rsid w:val="00872A73"/>
    <w:rsid w:val="00872AD6"/>
    <w:rsid w:val="00875F71"/>
    <w:rsid w:val="008814B5"/>
    <w:rsid w:val="00882551"/>
    <w:rsid w:val="008828A5"/>
    <w:rsid w:val="00882D60"/>
    <w:rsid w:val="0088375B"/>
    <w:rsid w:val="008841D0"/>
    <w:rsid w:val="00884DBB"/>
    <w:rsid w:val="008866A1"/>
    <w:rsid w:val="0088773A"/>
    <w:rsid w:val="00887C35"/>
    <w:rsid w:val="008900DB"/>
    <w:rsid w:val="0089109F"/>
    <w:rsid w:val="00892ED4"/>
    <w:rsid w:val="00893BA0"/>
    <w:rsid w:val="0089462B"/>
    <w:rsid w:val="00895909"/>
    <w:rsid w:val="00897050"/>
    <w:rsid w:val="008A013F"/>
    <w:rsid w:val="008A298D"/>
    <w:rsid w:val="008A2C02"/>
    <w:rsid w:val="008A407A"/>
    <w:rsid w:val="008A5371"/>
    <w:rsid w:val="008A57C5"/>
    <w:rsid w:val="008A5F56"/>
    <w:rsid w:val="008B01C3"/>
    <w:rsid w:val="008B04DE"/>
    <w:rsid w:val="008B292D"/>
    <w:rsid w:val="008B3781"/>
    <w:rsid w:val="008B3CBF"/>
    <w:rsid w:val="008B3D0E"/>
    <w:rsid w:val="008B5487"/>
    <w:rsid w:val="008B5FF1"/>
    <w:rsid w:val="008B6329"/>
    <w:rsid w:val="008B7DC7"/>
    <w:rsid w:val="008C09CB"/>
    <w:rsid w:val="008C44A7"/>
    <w:rsid w:val="008C465E"/>
    <w:rsid w:val="008C49F7"/>
    <w:rsid w:val="008C59F6"/>
    <w:rsid w:val="008D2509"/>
    <w:rsid w:val="008D2CFC"/>
    <w:rsid w:val="008D3EB1"/>
    <w:rsid w:val="008D403C"/>
    <w:rsid w:val="008D41B7"/>
    <w:rsid w:val="008D4C27"/>
    <w:rsid w:val="008D58BA"/>
    <w:rsid w:val="008D5A49"/>
    <w:rsid w:val="008D6018"/>
    <w:rsid w:val="008D6865"/>
    <w:rsid w:val="008D69EF"/>
    <w:rsid w:val="008D70DC"/>
    <w:rsid w:val="008D78CB"/>
    <w:rsid w:val="008E104C"/>
    <w:rsid w:val="008E16EB"/>
    <w:rsid w:val="008E2C9F"/>
    <w:rsid w:val="008E32FD"/>
    <w:rsid w:val="008F19E4"/>
    <w:rsid w:val="008F21E8"/>
    <w:rsid w:val="008F4A4F"/>
    <w:rsid w:val="00900D9C"/>
    <w:rsid w:val="009010E7"/>
    <w:rsid w:val="009015D2"/>
    <w:rsid w:val="00904F9B"/>
    <w:rsid w:val="00904FB3"/>
    <w:rsid w:val="00905526"/>
    <w:rsid w:val="00905D18"/>
    <w:rsid w:val="00906D32"/>
    <w:rsid w:val="00911038"/>
    <w:rsid w:val="0091185A"/>
    <w:rsid w:val="009120B6"/>
    <w:rsid w:val="00912541"/>
    <w:rsid w:val="009131DA"/>
    <w:rsid w:val="00913563"/>
    <w:rsid w:val="00913B54"/>
    <w:rsid w:val="00915FF5"/>
    <w:rsid w:val="009163A9"/>
    <w:rsid w:val="00917B10"/>
    <w:rsid w:val="009208D3"/>
    <w:rsid w:val="00920B9C"/>
    <w:rsid w:val="009223EC"/>
    <w:rsid w:val="009231BC"/>
    <w:rsid w:val="009252F4"/>
    <w:rsid w:val="00925C89"/>
    <w:rsid w:val="0092696C"/>
    <w:rsid w:val="009272FA"/>
    <w:rsid w:val="00927E14"/>
    <w:rsid w:val="009305B0"/>
    <w:rsid w:val="009307E8"/>
    <w:rsid w:val="00930B31"/>
    <w:rsid w:val="00931A62"/>
    <w:rsid w:val="00931AE6"/>
    <w:rsid w:val="009341E4"/>
    <w:rsid w:val="009361B3"/>
    <w:rsid w:val="00940DC2"/>
    <w:rsid w:val="00941A9C"/>
    <w:rsid w:val="00941DEC"/>
    <w:rsid w:val="009424E4"/>
    <w:rsid w:val="00942958"/>
    <w:rsid w:val="0094473D"/>
    <w:rsid w:val="00945A33"/>
    <w:rsid w:val="00946D56"/>
    <w:rsid w:val="009537FE"/>
    <w:rsid w:val="00953D24"/>
    <w:rsid w:val="00956DC6"/>
    <w:rsid w:val="00960470"/>
    <w:rsid w:val="00960BEF"/>
    <w:rsid w:val="00961514"/>
    <w:rsid w:val="00961A24"/>
    <w:rsid w:val="0096352B"/>
    <w:rsid w:val="00964A27"/>
    <w:rsid w:val="00966B73"/>
    <w:rsid w:val="00967F34"/>
    <w:rsid w:val="0097123B"/>
    <w:rsid w:val="00972821"/>
    <w:rsid w:val="00972901"/>
    <w:rsid w:val="00974280"/>
    <w:rsid w:val="009809D1"/>
    <w:rsid w:val="00980C1D"/>
    <w:rsid w:val="00984EE6"/>
    <w:rsid w:val="00985040"/>
    <w:rsid w:val="0098764D"/>
    <w:rsid w:val="0098796B"/>
    <w:rsid w:val="00990C4E"/>
    <w:rsid w:val="00990E71"/>
    <w:rsid w:val="009913CD"/>
    <w:rsid w:val="00991557"/>
    <w:rsid w:val="009918AB"/>
    <w:rsid w:val="00991985"/>
    <w:rsid w:val="00991F69"/>
    <w:rsid w:val="0099213F"/>
    <w:rsid w:val="009927D2"/>
    <w:rsid w:val="00993529"/>
    <w:rsid w:val="00993F94"/>
    <w:rsid w:val="0099470E"/>
    <w:rsid w:val="009949AB"/>
    <w:rsid w:val="00995850"/>
    <w:rsid w:val="00996109"/>
    <w:rsid w:val="00996A7F"/>
    <w:rsid w:val="00997C48"/>
    <w:rsid w:val="009A28F4"/>
    <w:rsid w:val="009A32BE"/>
    <w:rsid w:val="009A3B58"/>
    <w:rsid w:val="009A484B"/>
    <w:rsid w:val="009A48DA"/>
    <w:rsid w:val="009A65E4"/>
    <w:rsid w:val="009B103A"/>
    <w:rsid w:val="009B322B"/>
    <w:rsid w:val="009B36DE"/>
    <w:rsid w:val="009B3A99"/>
    <w:rsid w:val="009B46CC"/>
    <w:rsid w:val="009B5024"/>
    <w:rsid w:val="009B56EA"/>
    <w:rsid w:val="009B6563"/>
    <w:rsid w:val="009B6B1E"/>
    <w:rsid w:val="009C0988"/>
    <w:rsid w:val="009C136E"/>
    <w:rsid w:val="009C1DB1"/>
    <w:rsid w:val="009C47BE"/>
    <w:rsid w:val="009C578D"/>
    <w:rsid w:val="009C58D3"/>
    <w:rsid w:val="009C5AA6"/>
    <w:rsid w:val="009C7672"/>
    <w:rsid w:val="009C76CB"/>
    <w:rsid w:val="009D06E7"/>
    <w:rsid w:val="009D0E28"/>
    <w:rsid w:val="009D1632"/>
    <w:rsid w:val="009D3A45"/>
    <w:rsid w:val="009D4291"/>
    <w:rsid w:val="009D48FA"/>
    <w:rsid w:val="009D52CB"/>
    <w:rsid w:val="009D7D29"/>
    <w:rsid w:val="009E0587"/>
    <w:rsid w:val="009E0B2C"/>
    <w:rsid w:val="009E19AF"/>
    <w:rsid w:val="009E2022"/>
    <w:rsid w:val="009E5387"/>
    <w:rsid w:val="009E5606"/>
    <w:rsid w:val="009E5D87"/>
    <w:rsid w:val="009E75A1"/>
    <w:rsid w:val="009E7B16"/>
    <w:rsid w:val="009F1315"/>
    <w:rsid w:val="009F48C7"/>
    <w:rsid w:val="009F4942"/>
    <w:rsid w:val="009F60CA"/>
    <w:rsid w:val="009F62BD"/>
    <w:rsid w:val="009F6DB3"/>
    <w:rsid w:val="009F6EB2"/>
    <w:rsid w:val="00A004D9"/>
    <w:rsid w:val="00A009FE"/>
    <w:rsid w:val="00A00D5B"/>
    <w:rsid w:val="00A01BA3"/>
    <w:rsid w:val="00A02E40"/>
    <w:rsid w:val="00A04068"/>
    <w:rsid w:val="00A04CEC"/>
    <w:rsid w:val="00A05413"/>
    <w:rsid w:val="00A05909"/>
    <w:rsid w:val="00A0592D"/>
    <w:rsid w:val="00A06308"/>
    <w:rsid w:val="00A0677A"/>
    <w:rsid w:val="00A1081F"/>
    <w:rsid w:val="00A114E0"/>
    <w:rsid w:val="00A11EED"/>
    <w:rsid w:val="00A13141"/>
    <w:rsid w:val="00A13468"/>
    <w:rsid w:val="00A14BD7"/>
    <w:rsid w:val="00A17A46"/>
    <w:rsid w:val="00A20232"/>
    <w:rsid w:val="00A20FC7"/>
    <w:rsid w:val="00A22FB9"/>
    <w:rsid w:val="00A23188"/>
    <w:rsid w:val="00A24AED"/>
    <w:rsid w:val="00A254B9"/>
    <w:rsid w:val="00A26D69"/>
    <w:rsid w:val="00A30D57"/>
    <w:rsid w:val="00A30FB7"/>
    <w:rsid w:val="00A32D74"/>
    <w:rsid w:val="00A3309E"/>
    <w:rsid w:val="00A34E82"/>
    <w:rsid w:val="00A34E86"/>
    <w:rsid w:val="00A34F62"/>
    <w:rsid w:val="00A36493"/>
    <w:rsid w:val="00A364BC"/>
    <w:rsid w:val="00A366CE"/>
    <w:rsid w:val="00A40F41"/>
    <w:rsid w:val="00A41507"/>
    <w:rsid w:val="00A41732"/>
    <w:rsid w:val="00A418F2"/>
    <w:rsid w:val="00A43487"/>
    <w:rsid w:val="00A43AA8"/>
    <w:rsid w:val="00A43ACB"/>
    <w:rsid w:val="00A43F39"/>
    <w:rsid w:val="00A457DF"/>
    <w:rsid w:val="00A45E80"/>
    <w:rsid w:val="00A461CD"/>
    <w:rsid w:val="00A46CF0"/>
    <w:rsid w:val="00A46D82"/>
    <w:rsid w:val="00A504A0"/>
    <w:rsid w:val="00A51854"/>
    <w:rsid w:val="00A518C3"/>
    <w:rsid w:val="00A5192C"/>
    <w:rsid w:val="00A51A12"/>
    <w:rsid w:val="00A51D80"/>
    <w:rsid w:val="00A51DA6"/>
    <w:rsid w:val="00A53B92"/>
    <w:rsid w:val="00A54714"/>
    <w:rsid w:val="00A557A8"/>
    <w:rsid w:val="00A55D6E"/>
    <w:rsid w:val="00A56C9F"/>
    <w:rsid w:val="00A62473"/>
    <w:rsid w:val="00A64975"/>
    <w:rsid w:val="00A64998"/>
    <w:rsid w:val="00A65532"/>
    <w:rsid w:val="00A656B4"/>
    <w:rsid w:val="00A66604"/>
    <w:rsid w:val="00A700BE"/>
    <w:rsid w:val="00A71FB1"/>
    <w:rsid w:val="00A73388"/>
    <w:rsid w:val="00A75FAE"/>
    <w:rsid w:val="00A81608"/>
    <w:rsid w:val="00A81D35"/>
    <w:rsid w:val="00A83ADC"/>
    <w:rsid w:val="00A840D4"/>
    <w:rsid w:val="00A86B6D"/>
    <w:rsid w:val="00A86F61"/>
    <w:rsid w:val="00A87A8E"/>
    <w:rsid w:val="00A90076"/>
    <w:rsid w:val="00A92689"/>
    <w:rsid w:val="00A92868"/>
    <w:rsid w:val="00A92949"/>
    <w:rsid w:val="00A94D8D"/>
    <w:rsid w:val="00A9552C"/>
    <w:rsid w:val="00A95881"/>
    <w:rsid w:val="00A96C9A"/>
    <w:rsid w:val="00A973E6"/>
    <w:rsid w:val="00AA1162"/>
    <w:rsid w:val="00AA1344"/>
    <w:rsid w:val="00AA379D"/>
    <w:rsid w:val="00AA37F3"/>
    <w:rsid w:val="00AA3FF0"/>
    <w:rsid w:val="00AA4078"/>
    <w:rsid w:val="00AA5211"/>
    <w:rsid w:val="00AA5863"/>
    <w:rsid w:val="00AA5FCB"/>
    <w:rsid w:val="00AA6825"/>
    <w:rsid w:val="00AB0621"/>
    <w:rsid w:val="00AB32F3"/>
    <w:rsid w:val="00AB3B21"/>
    <w:rsid w:val="00AB523A"/>
    <w:rsid w:val="00AB58FA"/>
    <w:rsid w:val="00AB5DF6"/>
    <w:rsid w:val="00AB60DA"/>
    <w:rsid w:val="00AB63C1"/>
    <w:rsid w:val="00AB6650"/>
    <w:rsid w:val="00AB6923"/>
    <w:rsid w:val="00AB6A6C"/>
    <w:rsid w:val="00AB75BF"/>
    <w:rsid w:val="00AB7B32"/>
    <w:rsid w:val="00AB7DC7"/>
    <w:rsid w:val="00AC30CA"/>
    <w:rsid w:val="00AC48A8"/>
    <w:rsid w:val="00AC61E1"/>
    <w:rsid w:val="00AC74A8"/>
    <w:rsid w:val="00AC7CE6"/>
    <w:rsid w:val="00AD1516"/>
    <w:rsid w:val="00AD1EC8"/>
    <w:rsid w:val="00AD2332"/>
    <w:rsid w:val="00AD28ED"/>
    <w:rsid w:val="00AD415C"/>
    <w:rsid w:val="00AD50F7"/>
    <w:rsid w:val="00AD6739"/>
    <w:rsid w:val="00AD6C41"/>
    <w:rsid w:val="00AD733C"/>
    <w:rsid w:val="00AE14DE"/>
    <w:rsid w:val="00AE1B6F"/>
    <w:rsid w:val="00AE2047"/>
    <w:rsid w:val="00AE220F"/>
    <w:rsid w:val="00AE2737"/>
    <w:rsid w:val="00AE2FD9"/>
    <w:rsid w:val="00AE3080"/>
    <w:rsid w:val="00AE4171"/>
    <w:rsid w:val="00AE4CE6"/>
    <w:rsid w:val="00AE5E4C"/>
    <w:rsid w:val="00AE623A"/>
    <w:rsid w:val="00AF0307"/>
    <w:rsid w:val="00AF0A7E"/>
    <w:rsid w:val="00AF1160"/>
    <w:rsid w:val="00AF1C24"/>
    <w:rsid w:val="00AF3F56"/>
    <w:rsid w:val="00AF5634"/>
    <w:rsid w:val="00AF5B8B"/>
    <w:rsid w:val="00AF64AA"/>
    <w:rsid w:val="00AF663C"/>
    <w:rsid w:val="00AF68B8"/>
    <w:rsid w:val="00B0152B"/>
    <w:rsid w:val="00B02741"/>
    <w:rsid w:val="00B03A05"/>
    <w:rsid w:val="00B03A64"/>
    <w:rsid w:val="00B043B0"/>
    <w:rsid w:val="00B07204"/>
    <w:rsid w:val="00B07682"/>
    <w:rsid w:val="00B077DE"/>
    <w:rsid w:val="00B128F9"/>
    <w:rsid w:val="00B12A3E"/>
    <w:rsid w:val="00B150D5"/>
    <w:rsid w:val="00B1570F"/>
    <w:rsid w:val="00B20903"/>
    <w:rsid w:val="00B21C62"/>
    <w:rsid w:val="00B22A2F"/>
    <w:rsid w:val="00B230B0"/>
    <w:rsid w:val="00B24D23"/>
    <w:rsid w:val="00B25888"/>
    <w:rsid w:val="00B266E6"/>
    <w:rsid w:val="00B269CA"/>
    <w:rsid w:val="00B26A44"/>
    <w:rsid w:val="00B26CAF"/>
    <w:rsid w:val="00B2753B"/>
    <w:rsid w:val="00B31995"/>
    <w:rsid w:val="00B320D9"/>
    <w:rsid w:val="00B348E5"/>
    <w:rsid w:val="00B352C5"/>
    <w:rsid w:val="00B3567B"/>
    <w:rsid w:val="00B356D2"/>
    <w:rsid w:val="00B35B24"/>
    <w:rsid w:val="00B369B1"/>
    <w:rsid w:val="00B36B62"/>
    <w:rsid w:val="00B40531"/>
    <w:rsid w:val="00B41150"/>
    <w:rsid w:val="00B4118B"/>
    <w:rsid w:val="00B4264F"/>
    <w:rsid w:val="00B42B70"/>
    <w:rsid w:val="00B4327C"/>
    <w:rsid w:val="00B43BD7"/>
    <w:rsid w:val="00B43FEE"/>
    <w:rsid w:val="00B462A3"/>
    <w:rsid w:val="00B46488"/>
    <w:rsid w:val="00B472F2"/>
    <w:rsid w:val="00B47D43"/>
    <w:rsid w:val="00B50B14"/>
    <w:rsid w:val="00B5259C"/>
    <w:rsid w:val="00B530C0"/>
    <w:rsid w:val="00B536DE"/>
    <w:rsid w:val="00B5571C"/>
    <w:rsid w:val="00B55BF5"/>
    <w:rsid w:val="00B570FF"/>
    <w:rsid w:val="00B61758"/>
    <w:rsid w:val="00B61B66"/>
    <w:rsid w:val="00B64178"/>
    <w:rsid w:val="00B64601"/>
    <w:rsid w:val="00B65438"/>
    <w:rsid w:val="00B702EA"/>
    <w:rsid w:val="00B70619"/>
    <w:rsid w:val="00B715D2"/>
    <w:rsid w:val="00B726DA"/>
    <w:rsid w:val="00B73A5B"/>
    <w:rsid w:val="00B76FBC"/>
    <w:rsid w:val="00B8125B"/>
    <w:rsid w:val="00B822E3"/>
    <w:rsid w:val="00B82BB3"/>
    <w:rsid w:val="00B835F5"/>
    <w:rsid w:val="00B85F3B"/>
    <w:rsid w:val="00B87498"/>
    <w:rsid w:val="00B8777B"/>
    <w:rsid w:val="00B90E93"/>
    <w:rsid w:val="00B90EB9"/>
    <w:rsid w:val="00B90F3C"/>
    <w:rsid w:val="00B927E9"/>
    <w:rsid w:val="00B92A9A"/>
    <w:rsid w:val="00B92F02"/>
    <w:rsid w:val="00B93158"/>
    <w:rsid w:val="00B94442"/>
    <w:rsid w:val="00B944F9"/>
    <w:rsid w:val="00BA24BA"/>
    <w:rsid w:val="00BA24BC"/>
    <w:rsid w:val="00BA342D"/>
    <w:rsid w:val="00BA399C"/>
    <w:rsid w:val="00BA5B96"/>
    <w:rsid w:val="00BA7044"/>
    <w:rsid w:val="00BB2A3D"/>
    <w:rsid w:val="00BB4B1E"/>
    <w:rsid w:val="00BB4FCF"/>
    <w:rsid w:val="00BB602A"/>
    <w:rsid w:val="00BC143C"/>
    <w:rsid w:val="00BC1738"/>
    <w:rsid w:val="00BC2796"/>
    <w:rsid w:val="00BC35C8"/>
    <w:rsid w:val="00BC4E54"/>
    <w:rsid w:val="00BC6452"/>
    <w:rsid w:val="00BC6592"/>
    <w:rsid w:val="00BC7745"/>
    <w:rsid w:val="00BC77C0"/>
    <w:rsid w:val="00BD1E1A"/>
    <w:rsid w:val="00BD2AE7"/>
    <w:rsid w:val="00BD2E7E"/>
    <w:rsid w:val="00BD3188"/>
    <w:rsid w:val="00BD3582"/>
    <w:rsid w:val="00BD3F70"/>
    <w:rsid w:val="00BD46CB"/>
    <w:rsid w:val="00BD497B"/>
    <w:rsid w:val="00BD62A1"/>
    <w:rsid w:val="00BD6FB9"/>
    <w:rsid w:val="00BE00A8"/>
    <w:rsid w:val="00BE10AB"/>
    <w:rsid w:val="00BE1A4E"/>
    <w:rsid w:val="00BE24AE"/>
    <w:rsid w:val="00BE2838"/>
    <w:rsid w:val="00BE5EA7"/>
    <w:rsid w:val="00BE6745"/>
    <w:rsid w:val="00BE6A1C"/>
    <w:rsid w:val="00BF1F24"/>
    <w:rsid w:val="00BF27D7"/>
    <w:rsid w:val="00BF2ABE"/>
    <w:rsid w:val="00BF6851"/>
    <w:rsid w:val="00BF69E1"/>
    <w:rsid w:val="00BF6DCB"/>
    <w:rsid w:val="00BF7E97"/>
    <w:rsid w:val="00C00FFF"/>
    <w:rsid w:val="00C042A3"/>
    <w:rsid w:val="00C04A5E"/>
    <w:rsid w:val="00C06471"/>
    <w:rsid w:val="00C06756"/>
    <w:rsid w:val="00C06A28"/>
    <w:rsid w:val="00C06C91"/>
    <w:rsid w:val="00C07218"/>
    <w:rsid w:val="00C073F3"/>
    <w:rsid w:val="00C10C3E"/>
    <w:rsid w:val="00C114B2"/>
    <w:rsid w:val="00C11DC4"/>
    <w:rsid w:val="00C13336"/>
    <w:rsid w:val="00C1431B"/>
    <w:rsid w:val="00C15902"/>
    <w:rsid w:val="00C15C1A"/>
    <w:rsid w:val="00C15F75"/>
    <w:rsid w:val="00C16EE9"/>
    <w:rsid w:val="00C21CCC"/>
    <w:rsid w:val="00C24478"/>
    <w:rsid w:val="00C266B0"/>
    <w:rsid w:val="00C2708D"/>
    <w:rsid w:val="00C31676"/>
    <w:rsid w:val="00C31C90"/>
    <w:rsid w:val="00C32AD7"/>
    <w:rsid w:val="00C33E6D"/>
    <w:rsid w:val="00C34121"/>
    <w:rsid w:val="00C342D4"/>
    <w:rsid w:val="00C356BB"/>
    <w:rsid w:val="00C3587E"/>
    <w:rsid w:val="00C36108"/>
    <w:rsid w:val="00C3633F"/>
    <w:rsid w:val="00C3645A"/>
    <w:rsid w:val="00C37DB7"/>
    <w:rsid w:val="00C40425"/>
    <w:rsid w:val="00C40E9D"/>
    <w:rsid w:val="00C41D88"/>
    <w:rsid w:val="00C4340C"/>
    <w:rsid w:val="00C43987"/>
    <w:rsid w:val="00C44026"/>
    <w:rsid w:val="00C4415F"/>
    <w:rsid w:val="00C4514F"/>
    <w:rsid w:val="00C45342"/>
    <w:rsid w:val="00C455AE"/>
    <w:rsid w:val="00C4794B"/>
    <w:rsid w:val="00C509C4"/>
    <w:rsid w:val="00C50AE3"/>
    <w:rsid w:val="00C51AAD"/>
    <w:rsid w:val="00C54791"/>
    <w:rsid w:val="00C550E4"/>
    <w:rsid w:val="00C55328"/>
    <w:rsid w:val="00C55C44"/>
    <w:rsid w:val="00C57977"/>
    <w:rsid w:val="00C57C84"/>
    <w:rsid w:val="00C63694"/>
    <w:rsid w:val="00C64C42"/>
    <w:rsid w:val="00C64F8E"/>
    <w:rsid w:val="00C67E90"/>
    <w:rsid w:val="00C700A4"/>
    <w:rsid w:val="00C701FF"/>
    <w:rsid w:val="00C72132"/>
    <w:rsid w:val="00C72397"/>
    <w:rsid w:val="00C73B2D"/>
    <w:rsid w:val="00C75081"/>
    <w:rsid w:val="00C769CE"/>
    <w:rsid w:val="00C77FE0"/>
    <w:rsid w:val="00C810E8"/>
    <w:rsid w:val="00C827D0"/>
    <w:rsid w:val="00C84699"/>
    <w:rsid w:val="00C8474A"/>
    <w:rsid w:val="00C847B9"/>
    <w:rsid w:val="00C85AF8"/>
    <w:rsid w:val="00C86104"/>
    <w:rsid w:val="00C86BEE"/>
    <w:rsid w:val="00C87427"/>
    <w:rsid w:val="00C92B18"/>
    <w:rsid w:val="00C92B45"/>
    <w:rsid w:val="00C93923"/>
    <w:rsid w:val="00C93AB1"/>
    <w:rsid w:val="00C93F6B"/>
    <w:rsid w:val="00C94A7D"/>
    <w:rsid w:val="00C950C3"/>
    <w:rsid w:val="00C95342"/>
    <w:rsid w:val="00C9600E"/>
    <w:rsid w:val="00C96567"/>
    <w:rsid w:val="00C96CA5"/>
    <w:rsid w:val="00CA013C"/>
    <w:rsid w:val="00CA0912"/>
    <w:rsid w:val="00CA21CD"/>
    <w:rsid w:val="00CA2EED"/>
    <w:rsid w:val="00CA378D"/>
    <w:rsid w:val="00CA44DB"/>
    <w:rsid w:val="00CA5058"/>
    <w:rsid w:val="00CA5919"/>
    <w:rsid w:val="00CA75FC"/>
    <w:rsid w:val="00CA7830"/>
    <w:rsid w:val="00CA7AF5"/>
    <w:rsid w:val="00CB0CD5"/>
    <w:rsid w:val="00CB1896"/>
    <w:rsid w:val="00CB269C"/>
    <w:rsid w:val="00CB270A"/>
    <w:rsid w:val="00CB2E2C"/>
    <w:rsid w:val="00CB2E7C"/>
    <w:rsid w:val="00CB3438"/>
    <w:rsid w:val="00CB4536"/>
    <w:rsid w:val="00CB60BA"/>
    <w:rsid w:val="00CB66A5"/>
    <w:rsid w:val="00CB6783"/>
    <w:rsid w:val="00CB772D"/>
    <w:rsid w:val="00CB7F45"/>
    <w:rsid w:val="00CC0385"/>
    <w:rsid w:val="00CC1899"/>
    <w:rsid w:val="00CC210A"/>
    <w:rsid w:val="00CC24E8"/>
    <w:rsid w:val="00CC5749"/>
    <w:rsid w:val="00CD1DC2"/>
    <w:rsid w:val="00CD1F0A"/>
    <w:rsid w:val="00CD228A"/>
    <w:rsid w:val="00CD240F"/>
    <w:rsid w:val="00CD28F0"/>
    <w:rsid w:val="00CD2B3D"/>
    <w:rsid w:val="00CD380F"/>
    <w:rsid w:val="00CD48E0"/>
    <w:rsid w:val="00CD6F75"/>
    <w:rsid w:val="00CD6F99"/>
    <w:rsid w:val="00CD7053"/>
    <w:rsid w:val="00CD71D2"/>
    <w:rsid w:val="00CE27D6"/>
    <w:rsid w:val="00CE5331"/>
    <w:rsid w:val="00CE53B4"/>
    <w:rsid w:val="00CE55D7"/>
    <w:rsid w:val="00CE677A"/>
    <w:rsid w:val="00CE70EF"/>
    <w:rsid w:val="00CE778D"/>
    <w:rsid w:val="00CF047E"/>
    <w:rsid w:val="00CF091F"/>
    <w:rsid w:val="00CF0E95"/>
    <w:rsid w:val="00CF1A5D"/>
    <w:rsid w:val="00CF1F89"/>
    <w:rsid w:val="00CF6A88"/>
    <w:rsid w:val="00CF76AB"/>
    <w:rsid w:val="00D0072F"/>
    <w:rsid w:val="00D00D44"/>
    <w:rsid w:val="00D0130F"/>
    <w:rsid w:val="00D01F82"/>
    <w:rsid w:val="00D02564"/>
    <w:rsid w:val="00D033D0"/>
    <w:rsid w:val="00D055CB"/>
    <w:rsid w:val="00D05A12"/>
    <w:rsid w:val="00D07932"/>
    <w:rsid w:val="00D10866"/>
    <w:rsid w:val="00D127F2"/>
    <w:rsid w:val="00D12C98"/>
    <w:rsid w:val="00D13B77"/>
    <w:rsid w:val="00D15C83"/>
    <w:rsid w:val="00D15F19"/>
    <w:rsid w:val="00D1606A"/>
    <w:rsid w:val="00D1646F"/>
    <w:rsid w:val="00D174A3"/>
    <w:rsid w:val="00D17B53"/>
    <w:rsid w:val="00D20777"/>
    <w:rsid w:val="00D22418"/>
    <w:rsid w:val="00D22998"/>
    <w:rsid w:val="00D22AE9"/>
    <w:rsid w:val="00D23206"/>
    <w:rsid w:val="00D24B8C"/>
    <w:rsid w:val="00D27809"/>
    <w:rsid w:val="00D3071D"/>
    <w:rsid w:val="00D30B73"/>
    <w:rsid w:val="00D324E3"/>
    <w:rsid w:val="00D32DD5"/>
    <w:rsid w:val="00D32FF3"/>
    <w:rsid w:val="00D33D33"/>
    <w:rsid w:val="00D34AEE"/>
    <w:rsid w:val="00D35F73"/>
    <w:rsid w:val="00D3638C"/>
    <w:rsid w:val="00D37C18"/>
    <w:rsid w:val="00D40199"/>
    <w:rsid w:val="00D40E5B"/>
    <w:rsid w:val="00D42354"/>
    <w:rsid w:val="00D4278C"/>
    <w:rsid w:val="00D44421"/>
    <w:rsid w:val="00D4489F"/>
    <w:rsid w:val="00D44B6D"/>
    <w:rsid w:val="00D45F26"/>
    <w:rsid w:val="00D51ACD"/>
    <w:rsid w:val="00D522BE"/>
    <w:rsid w:val="00D55F46"/>
    <w:rsid w:val="00D5638E"/>
    <w:rsid w:val="00D56DCD"/>
    <w:rsid w:val="00D57B66"/>
    <w:rsid w:val="00D606A5"/>
    <w:rsid w:val="00D6110D"/>
    <w:rsid w:val="00D62C3F"/>
    <w:rsid w:val="00D63D98"/>
    <w:rsid w:val="00D65282"/>
    <w:rsid w:val="00D65E7E"/>
    <w:rsid w:val="00D66A41"/>
    <w:rsid w:val="00D7000B"/>
    <w:rsid w:val="00D70980"/>
    <w:rsid w:val="00D73907"/>
    <w:rsid w:val="00D7476E"/>
    <w:rsid w:val="00D748AC"/>
    <w:rsid w:val="00D8222B"/>
    <w:rsid w:val="00D836CF"/>
    <w:rsid w:val="00D83882"/>
    <w:rsid w:val="00D83888"/>
    <w:rsid w:val="00D83D3D"/>
    <w:rsid w:val="00D85B5F"/>
    <w:rsid w:val="00D86AB1"/>
    <w:rsid w:val="00D86C9E"/>
    <w:rsid w:val="00D87DFB"/>
    <w:rsid w:val="00D90634"/>
    <w:rsid w:val="00D94DDC"/>
    <w:rsid w:val="00D9590F"/>
    <w:rsid w:val="00D96364"/>
    <w:rsid w:val="00D964CD"/>
    <w:rsid w:val="00D97E79"/>
    <w:rsid w:val="00DA0A93"/>
    <w:rsid w:val="00DA0E1B"/>
    <w:rsid w:val="00DA0FC1"/>
    <w:rsid w:val="00DA1B11"/>
    <w:rsid w:val="00DA1F29"/>
    <w:rsid w:val="00DA28AB"/>
    <w:rsid w:val="00DA5C0C"/>
    <w:rsid w:val="00DA6652"/>
    <w:rsid w:val="00DA6E1B"/>
    <w:rsid w:val="00DA6F13"/>
    <w:rsid w:val="00DA7B22"/>
    <w:rsid w:val="00DB1AF6"/>
    <w:rsid w:val="00DB20FB"/>
    <w:rsid w:val="00DB4127"/>
    <w:rsid w:val="00DB5141"/>
    <w:rsid w:val="00DB52E0"/>
    <w:rsid w:val="00DB5622"/>
    <w:rsid w:val="00DB5A5D"/>
    <w:rsid w:val="00DB6863"/>
    <w:rsid w:val="00DB6B0C"/>
    <w:rsid w:val="00DB6C53"/>
    <w:rsid w:val="00DB71B4"/>
    <w:rsid w:val="00DC2D3B"/>
    <w:rsid w:val="00DC3439"/>
    <w:rsid w:val="00DC397F"/>
    <w:rsid w:val="00DC4F43"/>
    <w:rsid w:val="00DC5B2A"/>
    <w:rsid w:val="00DC6020"/>
    <w:rsid w:val="00DC6C72"/>
    <w:rsid w:val="00DD0A9C"/>
    <w:rsid w:val="00DD2A21"/>
    <w:rsid w:val="00DD2A63"/>
    <w:rsid w:val="00DD30F2"/>
    <w:rsid w:val="00DD3CB1"/>
    <w:rsid w:val="00DD7A99"/>
    <w:rsid w:val="00DE05C7"/>
    <w:rsid w:val="00DE1669"/>
    <w:rsid w:val="00DE2D79"/>
    <w:rsid w:val="00DE3739"/>
    <w:rsid w:val="00DE5110"/>
    <w:rsid w:val="00DE6010"/>
    <w:rsid w:val="00DE6CDA"/>
    <w:rsid w:val="00DF19BC"/>
    <w:rsid w:val="00DF1E63"/>
    <w:rsid w:val="00DF29D8"/>
    <w:rsid w:val="00DF3E6F"/>
    <w:rsid w:val="00DF5C9D"/>
    <w:rsid w:val="00DF6DB8"/>
    <w:rsid w:val="00DF7ACE"/>
    <w:rsid w:val="00E01626"/>
    <w:rsid w:val="00E0249A"/>
    <w:rsid w:val="00E0276C"/>
    <w:rsid w:val="00E02F5F"/>
    <w:rsid w:val="00E038D2"/>
    <w:rsid w:val="00E0395D"/>
    <w:rsid w:val="00E03FAD"/>
    <w:rsid w:val="00E04315"/>
    <w:rsid w:val="00E064B4"/>
    <w:rsid w:val="00E06B31"/>
    <w:rsid w:val="00E06D2F"/>
    <w:rsid w:val="00E118A0"/>
    <w:rsid w:val="00E1206D"/>
    <w:rsid w:val="00E12C34"/>
    <w:rsid w:val="00E12EF2"/>
    <w:rsid w:val="00E13184"/>
    <w:rsid w:val="00E13D81"/>
    <w:rsid w:val="00E1473C"/>
    <w:rsid w:val="00E15F89"/>
    <w:rsid w:val="00E20EA1"/>
    <w:rsid w:val="00E21AE9"/>
    <w:rsid w:val="00E224DF"/>
    <w:rsid w:val="00E24157"/>
    <w:rsid w:val="00E243A9"/>
    <w:rsid w:val="00E24977"/>
    <w:rsid w:val="00E2562E"/>
    <w:rsid w:val="00E26D93"/>
    <w:rsid w:val="00E272CF"/>
    <w:rsid w:val="00E30A6C"/>
    <w:rsid w:val="00E3293C"/>
    <w:rsid w:val="00E32F47"/>
    <w:rsid w:val="00E32FAE"/>
    <w:rsid w:val="00E33C02"/>
    <w:rsid w:val="00E372AB"/>
    <w:rsid w:val="00E37DC3"/>
    <w:rsid w:val="00E40CA8"/>
    <w:rsid w:val="00E42A38"/>
    <w:rsid w:val="00E42F6C"/>
    <w:rsid w:val="00E43E29"/>
    <w:rsid w:val="00E44C47"/>
    <w:rsid w:val="00E450A5"/>
    <w:rsid w:val="00E46196"/>
    <w:rsid w:val="00E5019A"/>
    <w:rsid w:val="00E50432"/>
    <w:rsid w:val="00E50585"/>
    <w:rsid w:val="00E5266F"/>
    <w:rsid w:val="00E5372A"/>
    <w:rsid w:val="00E54131"/>
    <w:rsid w:val="00E54137"/>
    <w:rsid w:val="00E54683"/>
    <w:rsid w:val="00E54CB7"/>
    <w:rsid w:val="00E5575D"/>
    <w:rsid w:val="00E57C3F"/>
    <w:rsid w:val="00E609FD"/>
    <w:rsid w:val="00E60A0B"/>
    <w:rsid w:val="00E61E9A"/>
    <w:rsid w:val="00E62CD4"/>
    <w:rsid w:val="00E62E56"/>
    <w:rsid w:val="00E63194"/>
    <w:rsid w:val="00E633CD"/>
    <w:rsid w:val="00E6395B"/>
    <w:rsid w:val="00E63F6A"/>
    <w:rsid w:val="00E63F71"/>
    <w:rsid w:val="00E65655"/>
    <w:rsid w:val="00E664B6"/>
    <w:rsid w:val="00E667F5"/>
    <w:rsid w:val="00E67D6C"/>
    <w:rsid w:val="00E7131D"/>
    <w:rsid w:val="00E72C7F"/>
    <w:rsid w:val="00E741DD"/>
    <w:rsid w:val="00E768E7"/>
    <w:rsid w:val="00E81737"/>
    <w:rsid w:val="00E839B0"/>
    <w:rsid w:val="00E860E7"/>
    <w:rsid w:val="00E863DF"/>
    <w:rsid w:val="00E9194D"/>
    <w:rsid w:val="00E937A3"/>
    <w:rsid w:val="00EA0868"/>
    <w:rsid w:val="00EA3EBD"/>
    <w:rsid w:val="00EA4524"/>
    <w:rsid w:val="00EA7396"/>
    <w:rsid w:val="00EA7C1A"/>
    <w:rsid w:val="00EB0D1E"/>
    <w:rsid w:val="00EB2051"/>
    <w:rsid w:val="00EB2885"/>
    <w:rsid w:val="00EB2C5D"/>
    <w:rsid w:val="00EB4C34"/>
    <w:rsid w:val="00EB5755"/>
    <w:rsid w:val="00EB68EA"/>
    <w:rsid w:val="00EB7A94"/>
    <w:rsid w:val="00EC21C9"/>
    <w:rsid w:val="00EC37FF"/>
    <w:rsid w:val="00EC5414"/>
    <w:rsid w:val="00EC54B0"/>
    <w:rsid w:val="00EC59EF"/>
    <w:rsid w:val="00EC5B3D"/>
    <w:rsid w:val="00EC7835"/>
    <w:rsid w:val="00ED0DCE"/>
    <w:rsid w:val="00ED1F13"/>
    <w:rsid w:val="00ED2468"/>
    <w:rsid w:val="00ED2497"/>
    <w:rsid w:val="00ED4C04"/>
    <w:rsid w:val="00ED5F7F"/>
    <w:rsid w:val="00EE07CA"/>
    <w:rsid w:val="00EE3D7D"/>
    <w:rsid w:val="00EE5B16"/>
    <w:rsid w:val="00EE7702"/>
    <w:rsid w:val="00EE7B4F"/>
    <w:rsid w:val="00EF044E"/>
    <w:rsid w:val="00EF11E9"/>
    <w:rsid w:val="00EF1A24"/>
    <w:rsid w:val="00EF2249"/>
    <w:rsid w:val="00EF2482"/>
    <w:rsid w:val="00EF4467"/>
    <w:rsid w:val="00EF4A99"/>
    <w:rsid w:val="00EF4DE4"/>
    <w:rsid w:val="00F00D92"/>
    <w:rsid w:val="00F02941"/>
    <w:rsid w:val="00F02942"/>
    <w:rsid w:val="00F02A7B"/>
    <w:rsid w:val="00F03BCB"/>
    <w:rsid w:val="00F05EA8"/>
    <w:rsid w:val="00F125BE"/>
    <w:rsid w:val="00F12C4C"/>
    <w:rsid w:val="00F13E2C"/>
    <w:rsid w:val="00F14D84"/>
    <w:rsid w:val="00F202FF"/>
    <w:rsid w:val="00F215AD"/>
    <w:rsid w:val="00F21603"/>
    <w:rsid w:val="00F21B97"/>
    <w:rsid w:val="00F22D79"/>
    <w:rsid w:val="00F23E0A"/>
    <w:rsid w:val="00F246F8"/>
    <w:rsid w:val="00F25A08"/>
    <w:rsid w:val="00F27BCE"/>
    <w:rsid w:val="00F27F18"/>
    <w:rsid w:val="00F30E04"/>
    <w:rsid w:val="00F30EB7"/>
    <w:rsid w:val="00F3159F"/>
    <w:rsid w:val="00F3162C"/>
    <w:rsid w:val="00F32A80"/>
    <w:rsid w:val="00F35074"/>
    <w:rsid w:val="00F35F08"/>
    <w:rsid w:val="00F37B82"/>
    <w:rsid w:val="00F406B5"/>
    <w:rsid w:val="00F40DDB"/>
    <w:rsid w:val="00F4314D"/>
    <w:rsid w:val="00F43B69"/>
    <w:rsid w:val="00F44699"/>
    <w:rsid w:val="00F447B0"/>
    <w:rsid w:val="00F45FA4"/>
    <w:rsid w:val="00F46D7B"/>
    <w:rsid w:val="00F51DDA"/>
    <w:rsid w:val="00F52C7E"/>
    <w:rsid w:val="00F53EDD"/>
    <w:rsid w:val="00F544F9"/>
    <w:rsid w:val="00F565B3"/>
    <w:rsid w:val="00F5664D"/>
    <w:rsid w:val="00F573E6"/>
    <w:rsid w:val="00F61548"/>
    <w:rsid w:val="00F62BE4"/>
    <w:rsid w:val="00F631BD"/>
    <w:rsid w:val="00F631C9"/>
    <w:rsid w:val="00F64830"/>
    <w:rsid w:val="00F65C1B"/>
    <w:rsid w:val="00F66E41"/>
    <w:rsid w:val="00F6706D"/>
    <w:rsid w:val="00F67987"/>
    <w:rsid w:val="00F70B38"/>
    <w:rsid w:val="00F70C38"/>
    <w:rsid w:val="00F70EB1"/>
    <w:rsid w:val="00F72609"/>
    <w:rsid w:val="00F743B7"/>
    <w:rsid w:val="00F74622"/>
    <w:rsid w:val="00F747E7"/>
    <w:rsid w:val="00F75AF0"/>
    <w:rsid w:val="00F76120"/>
    <w:rsid w:val="00F76A45"/>
    <w:rsid w:val="00F7787B"/>
    <w:rsid w:val="00F810ED"/>
    <w:rsid w:val="00F8117C"/>
    <w:rsid w:val="00F81BFF"/>
    <w:rsid w:val="00F83400"/>
    <w:rsid w:val="00F8590B"/>
    <w:rsid w:val="00F8649E"/>
    <w:rsid w:val="00F87E3B"/>
    <w:rsid w:val="00F90025"/>
    <w:rsid w:val="00F9065D"/>
    <w:rsid w:val="00F92966"/>
    <w:rsid w:val="00F948EA"/>
    <w:rsid w:val="00F96BC3"/>
    <w:rsid w:val="00F96F5C"/>
    <w:rsid w:val="00FA2DCB"/>
    <w:rsid w:val="00FA3309"/>
    <w:rsid w:val="00FA38DA"/>
    <w:rsid w:val="00FA4B2C"/>
    <w:rsid w:val="00FB0605"/>
    <w:rsid w:val="00FB2158"/>
    <w:rsid w:val="00FB6100"/>
    <w:rsid w:val="00FB6F30"/>
    <w:rsid w:val="00FC0329"/>
    <w:rsid w:val="00FC0F2A"/>
    <w:rsid w:val="00FC2366"/>
    <w:rsid w:val="00FC4AAD"/>
    <w:rsid w:val="00FC4E0E"/>
    <w:rsid w:val="00FC4E1F"/>
    <w:rsid w:val="00FC5117"/>
    <w:rsid w:val="00FC5833"/>
    <w:rsid w:val="00FC6145"/>
    <w:rsid w:val="00FD1001"/>
    <w:rsid w:val="00FD275C"/>
    <w:rsid w:val="00FD354F"/>
    <w:rsid w:val="00FD3813"/>
    <w:rsid w:val="00FD5028"/>
    <w:rsid w:val="00FD56F1"/>
    <w:rsid w:val="00FD5F8E"/>
    <w:rsid w:val="00FD7F73"/>
    <w:rsid w:val="00FE0374"/>
    <w:rsid w:val="00FE2716"/>
    <w:rsid w:val="00FE2B31"/>
    <w:rsid w:val="00FE2D73"/>
    <w:rsid w:val="00FE5952"/>
    <w:rsid w:val="00FE79EF"/>
    <w:rsid w:val="00FE7F79"/>
    <w:rsid w:val="00FF07B9"/>
    <w:rsid w:val="00FF3F0F"/>
    <w:rsid w:val="00FF5211"/>
    <w:rsid w:val="00FF5322"/>
    <w:rsid w:val="00FF7113"/>
    <w:rsid w:val="00FF7C15"/>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宋体" w:hAnsi="Calibri" w:cs="font922"/>
      <w:sz w:val="22"/>
      <w:szCs w:val="22"/>
      <w:lang w:val="it-IT" w:eastAsia="ar-SA"/>
    </w:rPr>
  </w:style>
  <w:style w:type="paragraph" w:styleId="1">
    <w:name w:val="heading 1"/>
    <w:basedOn w:val="a"/>
    <w:next w:val="a0"/>
    <w:qFormat/>
    <w:pPr>
      <w:numPr>
        <w:numId w:val="1"/>
      </w:numPr>
      <w:spacing w:before="100" w:after="28" w:line="100" w:lineRule="atLeast"/>
      <w:outlineLvl w:val="0"/>
    </w:pPr>
    <w:rPr>
      <w:rFonts w:ascii="Times New Roman" w:eastAsia="Times New Roman" w:hAnsi="Times New Roman" w:cs="Times New Roman"/>
      <w:b/>
      <w:bCs/>
      <w:kern w:val="1"/>
      <w:sz w:val="48"/>
      <w:szCs w:val="48"/>
    </w:rPr>
  </w:style>
  <w:style w:type="paragraph" w:styleId="2">
    <w:name w:val="heading 2"/>
    <w:basedOn w:val="a"/>
    <w:next w:val="a"/>
    <w:link w:val="2Char"/>
    <w:uiPriority w:val="9"/>
    <w:qFormat/>
    <w:rsid w:val="00DF3E6F"/>
    <w:pPr>
      <w:keepNext/>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1">
    <w:name w:val="Default Paragraph Font1"/>
  </w:style>
  <w:style w:type="character" w:styleId="a4">
    <w:name w:val="Hyperlink"/>
    <w:rPr>
      <w:color w:val="0000FF"/>
      <w:u w:val="single"/>
      <w:lang/>
    </w:rPr>
  </w:style>
  <w:style w:type="character" w:styleId="a5">
    <w:name w:val="Emphasis"/>
    <w:uiPriority w:val="20"/>
    <w:qFormat/>
    <w:rPr>
      <w:i/>
      <w:iCs/>
    </w:rPr>
  </w:style>
  <w:style w:type="character" w:customStyle="1" w:styleId="element-citation">
    <w:name w:val="element-citation"/>
    <w:basedOn w:val="DefaultParagraphFont1"/>
  </w:style>
  <w:style w:type="character" w:customStyle="1" w:styleId="ref-journal">
    <w:name w:val="ref-journal"/>
    <w:basedOn w:val="DefaultParagraphFont1"/>
  </w:style>
  <w:style w:type="character" w:customStyle="1" w:styleId="ref-vol">
    <w:name w:val="ref-vol"/>
    <w:basedOn w:val="DefaultParagraphFont1"/>
  </w:style>
  <w:style w:type="character" w:customStyle="1" w:styleId="nowrap">
    <w:name w:val="nowrap"/>
    <w:basedOn w:val="DefaultParagraphFont1"/>
  </w:style>
  <w:style w:type="character" w:customStyle="1" w:styleId="anchor-text">
    <w:name w:val="anchor-text"/>
    <w:basedOn w:val="DefaultParagraphFont1"/>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Times New Roman" w:eastAsia="Times New Roman" w:hAnsi="Times New Roman" w:cs="Times New Roman"/>
      <w:b/>
      <w:bCs/>
      <w:kern w:val="1"/>
      <w:sz w:val="48"/>
      <w:szCs w:val="48"/>
    </w:rPr>
  </w:style>
  <w:style w:type="character" w:customStyle="1" w:styleId="title-text">
    <w:name w:val="title-text"/>
    <w:basedOn w:val="DefaultParagraphFont1"/>
  </w:style>
  <w:style w:type="character" w:customStyle="1" w:styleId="highlight">
    <w:name w:val="highlight"/>
    <w:basedOn w:val="DefaultParagraphFont1"/>
  </w:style>
  <w:style w:type="paragraph" w:customStyle="1" w:styleId="Intestazione1">
    <w:name w:val="Intestazione1"/>
    <w:basedOn w:val="a"/>
    <w:next w:val="a0"/>
    <w:pPr>
      <w:keepNext/>
      <w:spacing w:before="240" w:after="120"/>
    </w:pPr>
    <w:rPr>
      <w:rFonts w:ascii="Arial" w:eastAsia="微软雅黑" w:hAnsi="Arial" w:cs="Arial"/>
      <w:sz w:val="28"/>
      <w:szCs w:val="28"/>
    </w:rPr>
  </w:style>
  <w:style w:type="paragraph" w:styleId="a0">
    <w:name w:val="Body Text"/>
    <w:basedOn w:val="a"/>
    <w:pPr>
      <w:spacing w:after="120"/>
    </w:pPr>
  </w:style>
  <w:style w:type="paragraph" w:styleId="a6">
    <w:name w:val="List"/>
    <w:basedOn w:val="a0"/>
    <w:rPr>
      <w:rFonts w:cs="Arial"/>
    </w:rPr>
  </w:style>
  <w:style w:type="paragraph" w:customStyle="1" w:styleId="Didascalia1">
    <w:name w:val="Didascalia1"/>
    <w:basedOn w:val="a"/>
    <w:pPr>
      <w:suppressLineNumbers/>
      <w:spacing w:before="120" w:after="120"/>
    </w:pPr>
    <w:rPr>
      <w:rFonts w:cs="Arial"/>
      <w:i/>
      <w:iCs/>
      <w:sz w:val="24"/>
      <w:szCs w:val="24"/>
    </w:rPr>
  </w:style>
  <w:style w:type="paragraph" w:customStyle="1" w:styleId="Indice">
    <w:name w:val="Indice"/>
    <w:basedOn w:val="a"/>
    <w:pPr>
      <w:suppressLineNumbers/>
    </w:pPr>
    <w:rPr>
      <w:rFonts w:cs="Arial"/>
    </w:rPr>
  </w:style>
  <w:style w:type="paragraph" w:customStyle="1" w:styleId="p">
    <w:name w:val="p"/>
    <w:basedOn w:val="a"/>
    <w:pPr>
      <w:spacing w:before="100" w:after="28" w:line="100" w:lineRule="atLeast"/>
    </w:pPr>
    <w:rPr>
      <w:rFonts w:ascii="Times New Roman" w:eastAsia="Times New Roman" w:hAnsi="Times New Roman" w:cs="Times New Roman"/>
      <w:sz w:val="24"/>
      <w:szCs w:val="24"/>
    </w:rPr>
  </w:style>
  <w:style w:type="paragraph" w:customStyle="1" w:styleId="NormalWeb1">
    <w:name w:val="Normal (Web)1"/>
    <w:basedOn w:val="a"/>
    <w:pPr>
      <w:spacing w:before="100" w:after="28" w:line="100" w:lineRule="atLeast"/>
    </w:pPr>
    <w:rPr>
      <w:rFonts w:ascii="Times New Roman" w:eastAsia="Times New Roman" w:hAnsi="Times New Roman" w:cs="Times New Roman"/>
      <w:sz w:val="24"/>
      <w:szCs w:val="24"/>
    </w:rPr>
  </w:style>
  <w:style w:type="paragraph" w:customStyle="1" w:styleId="BalloonText1">
    <w:name w:val="Balloon Text1"/>
    <w:basedOn w:val="a"/>
    <w:pPr>
      <w:spacing w:after="0" w:line="100" w:lineRule="atLeast"/>
    </w:pPr>
    <w:rPr>
      <w:rFonts w:ascii="Tahoma" w:hAnsi="Tahoma" w:cs="Tahoma"/>
      <w:sz w:val="16"/>
      <w:szCs w:val="16"/>
    </w:rPr>
  </w:style>
  <w:style w:type="character" w:customStyle="1" w:styleId="contribdegrees">
    <w:name w:val="contribdegrees"/>
    <w:rsid w:val="0076471B"/>
  </w:style>
  <w:style w:type="paragraph" w:styleId="a7">
    <w:name w:val="Balloon Text"/>
    <w:basedOn w:val="a"/>
    <w:link w:val="Char"/>
    <w:uiPriority w:val="99"/>
    <w:semiHidden/>
    <w:unhideWhenUsed/>
    <w:rsid w:val="00794469"/>
    <w:pPr>
      <w:spacing w:after="0" w:line="240" w:lineRule="auto"/>
    </w:pPr>
    <w:rPr>
      <w:rFonts w:ascii="Tahoma" w:hAnsi="Tahoma" w:cs="Tahoma"/>
      <w:sz w:val="16"/>
      <w:szCs w:val="16"/>
    </w:rPr>
  </w:style>
  <w:style w:type="character" w:customStyle="1" w:styleId="Char">
    <w:name w:val="批注框文本 Char"/>
    <w:link w:val="a7"/>
    <w:uiPriority w:val="99"/>
    <w:semiHidden/>
    <w:rsid w:val="00794469"/>
    <w:rPr>
      <w:rFonts w:ascii="Tahoma" w:eastAsia="宋体" w:hAnsi="Tahoma" w:cs="Tahoma"/>
      <w:sz w:val="16"/>
      <w:szCs w:val="16"/>
      <w:lang w:eastAsia="ar-SA"/>
    </w:rPr>
  </w:style>
  <w:style w:type="character" w:styleId="HTML">
    <w:name w:val="HTML Cite"/>
    <w:uiPriority w:val="99"/>
    <w:semiHidden/>
    <w:unhideWhenUsed/>
    <w:rsid w:val="0034137F"/>
    <w:rPr>
      <w:i/>
      <w:iCs/>
    </w:rPr>
  </w:style>
  <w:style w:type="character" w:customStyle="1" w:styleId="al-author-name-more">
    <w:name w:val="al-author-name-more"/>
    <w:rsid w:val="007E5620"/>
  </w:style>
  <w:style w:type="character" w:customStyle="1" w:styleId="hitinf">
    <w:name w:val="hit_inf"/>
    <w:rsid w:val="00592D2A"/>
  </w:style>
  <w:style w:type="character" w:customStyle="1" w:styleId="hitsyn">
    <w:name w:val="hit_syn"/>
    <w:rsid w:val="00592D2A"/>
  </w:style>
  <w:style w:type="character" w:customStyle="1" w:styleId="cit-auth">
    <w:name w:val="cit-auth"/>
    <w:rsid w:val="00D6110D"/>
  </w:style>
  <w:style w:type="character" w:customStyle="1" w:styleId="cit-name-surname">
    <w:name w:val="cit-name-surname"/>
    <w:rsid w:val="00D6110D"/>
  </w:style>
  <w:style w:type="character" w:customStyle="1" w:styleId="cit-name-given-names">
    <w:name w:val="cit-name-given-names"/>
    <w:rsid w:val="00D6110D"/>
  </w:style>
  <w:style w:type="character" w:customStyle="1" w:styleId="cit-etal">
    <w:name w:val="cit-etal"/>
    <w:rsid w:val="00D6110D"/>
  </w:style>
  <w:style w:type="character" w:customStyle="1" w:styleId="cit-article-title">
    <w:name w:val="cit-article-title"/>
    <w:rsid w:val="00D6110D"/>
  </w:style>
  <w:style w:type="character" w:customStyle="1" w:styleId="cit-pub-date">
    <w:name w:val="cit-pub-date"/>
    <w:rsid w:val="00D6110D"/>
  </w:style>
  <w:style w:type="character" w:customStyle="1" w:styleId="cit-vol">
    <w:name w:val="cit-vol"/>
    <w:rsid w:val="00D6110D"/>
  </w:style>
  <w:style w:type="character" w:customStyle="1" w:styleId="cit-fpage">
    <w:name w:val="cit-fpage"/>
    <w:rsid w:val="00D6110D"/>
  </w:style>
  <w:style w:type="character" w:customStyle="1" w:styleId="cit-lpage">
    <w:name w:val="cit-lpage"/>
    <w:rsid w:val="00D6110D"/>
  </w:style>
  <w:style w:type="character" w:customStyle="1" w:styleId="highwire-citation-author">
    <w:name w:val="highwire-citation-author"/>
    <w:rsid w:val="000D06AB"/>
  </w:style>
  <w:style w:type="character" w:customStyle="1" w:styleId="nlm-given-names">
    <w:name w:val="nlm-given-names"/>
    <w:rsid w:val="000D06AB"/>
  </w:style>
  <w:style w:type="character" w:customStyle="1" w:styleId="nlm-surname">
    <w:name w:val="nlm-surname"/>
    <w:rsid w:val="000D06AB"/>
  </w:style>
  <w:style w:type="paragraph" w:styleId="a8">
    <w:name w:val="Normal (Web)"/>
    <w:basedOn w:val="a"/>
    <w:uiPriority w:val="99"/>
    <w:semiHidden/>
    <w:unhideWhenUsed/>
    <w:rsid w:val="00EF2249"/>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itation-publication-date">
    <w:name w:val="citation-publication-date"/>
    <w:rsid w:val="00D10866"/>
  </w:style>
  <w:style w:type="paragraph" w:customStyle="1" w:styleId="Default">
    <w:name w:val="Default"/>
    <w:rsid w:val="00904FB3"/>
    <w:pPr>
      <w:autoSpaceDE w:val="0"/>
      <w:autoSpaceDN w:val="0"/>
      <w:adjustRightInd w:val="0"/>
    </w:pPr>
    <w:rPr>
      <w:rFonts w:ascii="Myriad Pro" w:hAnsi="Myriad Pro" w:cs="Myriad Pro"/>
      <w:color w:val="000000"/>
      <w:sz w:val="24"/>
      <w:szCs w:val="24"/>
      <w:lang w:val="it-IT" w:eastAsia="it-IT"/>
    </w:rPr>
  </w:style>
  <w:style w:type="character" w:customStyle="1" w:styleId="2Char">
    <w:name w:val="标题 2 Char"/>
    <w:link w:val="2"/>
    <w:uiPriority w:val="9"/>
    <w:semiHidden/>
    <w:rsid w:val="00DF3E6F"/>
    <w:rPr>
      <w:rFonts w:ascii="Cambria" w:eastAsia="Times New Roman" w:hAnsi="Cambria" w:cs="Times New Roman"/>
      <w:b/>
      <w:bCs/>
      <w:i/>
      <w:iCs/>
      <w:sz w:val="28"/>
      <w:szCs w:val="28"/>
      <w:lang w:eastAsia="ar-SA"/>
    </w:rPr>
  </w:style>
  <w:style w:type="paragraph" w:styleId="a9">
    <w:name w:val="header"/>
    <w:basedOn w:val="a"/>
    <w:link w:val="Char0"/>
    <w:uiPriority w:val="99"/>
    <w:unhideWhenUsed/>
    <w:rsid w:val="00416DBB"/>
    <w:pPr>
      <w:tabs>
        <w:tab w:val="center" w:pos="4819"/>
        <w:tab w:val="right" w:pos="9638"/>
      </w:tabs>
    </w:pPr>
  </w:style>
  <w:style w:type="character" w:customStyle="1" w:styleId="Char0">
    <w:name w:val="页眉 Char"/>
    <w:link w:val="a9"/>
    <w:uiPriority w:val="99"/>
    <w:rsid w:val="00416DBB"/>
    <w:rPr>
      <w:rFonts w:ascii="Calibri" w:eastAsia="宋体" w:hAnsi="Calibri" w:cs="font922"/>
      <w:sz w:val="22"/>
      <w:szCs w:val="22"/>
      <w:lang w:eastAsia="ar-SA"/>
    </w:rPr>
  </w:style>
  <w:style w:type="paragraph" w:styleId="aa">
    <w:name w:val="footer"/>
    <w:basedOn w:val="a"/>
    <w:link w:val="Char1"/>
    <w:uiPriority w:val="99"/>
    <w:unhideWhenUsed/>
    <w:rsid w:val="00416DBB"/>
    <w:pPr>
      <w:tabs>
        <w:tab w:val="center" w:pos="4819"/>
        <w:tab w:val="right" w:pos="9638"/>
      </w:tabs>
    </w:pPr>
  </w:style>
  <w:style w:type="character" w:customStyle="1" w:styleId="Char1">
    <w:name w:val="页脚 Char"/>
    <w:link w:val="aa"/>
    <w:uiPriority w:val="99"/>
    <w:rsid w:val="00416DBB"/>
    <w:rPr>
      <w:rFonts w:ascii="Calibri" w:eastAsia="宋体" w:hAnsi="Calibri" w:cs="font922"/>
      <w:sz w:val="22"/>
      <w:szCs w:val="22"/>
      <w:lang w:eastAsia="ar-SA"/>
    </w:rPr>
  </w:style>
  <w:style w:type="character" w:styleId="ab">
    <w:name w:val="annotation reference"/>
    <w:uiPriority w:val="99"/>
    <w:semiHidden/>
    <w:unhideWhenUsed/>
    <w:rsid w:val="005D4A7E"/>
    <w:rPr>
      <w:sz w:val="18"/>
      <w:szCs w:val="18"/>
    </w:rPr>
  </w:style>
  <w:style w:type="paragraph" w:styleId="ac">
    <w:name w:val="annotation text"/>
    <w:basedOn w:val="a"/>
    <w:link w:val="Char2"/>
    <w:uiPriority w:val="99"/>
    <w:semiHidden/>
    <w:unhideWhenUsed/>
    <w:rsid w:val="005D4A7E"/>
    <w:rPr>
      <w:sz w:val="24"/>
      <w:szCs w:val="24"/>
    </w:rPr>
  </w:style>
  <w:style w:type="character" w:customStyle="1" w:styleId="Char2">
    <w:name w:val="批注文字 Char"/>
    <w:link w:val="ac"/>
    <w:uiPriority w:val="99"/>
    <w:semiHidden/>
    <w:rsid w:val="005D4A7E"/>
    <w:rPr>
      <w:rFonts w:ascii="Calibri" w:eastAsia="宋体" w:hAnsi="Calibri" w:cs="font922"/>
      <w:sz w:val="24"/>
      <w:szCs w:val="24"/>
      <w:lang w:val="it-IT" w:eastAsia="ar-SA"/>
    </w:rPr>
  </w:style>
  <w:style w:type="paragraph" w:styleId="ad">
    <w:name w:val="annotation subject"/>
    <w:basedOn w:val="ac"/>
    <w:next w:val="ac"/>
    <w:link w:val="Char3"/>
    <w:uiPriority w:val="99"/>
    <w:semiHidden/>
    <w:unhideWhenUsed/>
    <w:rsid w:val="005D4A7E"/>
    <w:rPr>
      <w:b/>
      <w:bCs/>
      <w:sz w:val="20"/>
      <w:szCs w:val="20"/>
    </w:rPr>
  </w:style>
  <w:style w:type="character" w:customStyle="1" w:styleId="Char3">
    <w:name w:val="批注主题 Char"/>
    <w:link w:val="ad"/>
    <w:uiPriority w:val="99"/>
    <w:semiHidden/>
    <w:rsid w:val="005D4A7E"/>
    <w:rPr>
      <w:rFonts w:ascii="Calibri" w:eastAsia="宋体" w:hAnsi="Calibri" w:cs="font922"/>
      <w:b/>
      <w:bCs/>
      <w:sz w:val="24"/>
      <w:szCs w:val="24"/>
      <w:lang w:val="it-IT" w:eastAsia="ar-SA"/>
    </w:rPr>
  </w:style>
  <w:style w:type="character" w:styleId="ae">
    <w:name w:val="FollowedHyperlink"/>
    <w:uiPriority w:val="99"/>
    <w:semiHidden/>
    <w:unhideWhenUsed/>
    <w:rsid w:val="005D4A7E"/>
    <w:rPr>
      <w:color w:val="800080"/>
      <w:u w:val="single"/>
    </w:rPr>
  </w:style>
  <w:style w:type="character" w:customStyle="1" w:styleId="st">
    <w:name w:val="st"/>
    <w:rsid w:val="000700E0"/>
  </w:style>
  <w:style w:type="paragraph" w:customStyle="1" w:styleId="Sfondoacolori-Colore11">
    <w:name w:val="Sfondo a colori - Colore 11"/>
    <w:hidden/>
    <w:uiPriority w:val="71"/>
    <w:rsid w:val="006413A2"/>
    <w:rPr>
      <w:rFonts w:ascii="Calibri" w:eastAsia="宋体" w:hAnsi="Calibri" w:cs="font922"/>
      <w:sz w:val="22"/>
      <w:szCs w:val="22"/>
      <w:lang w:val="it-IT" w:eastAsia="ar-SA"/>
    </w:rPr>
  </w:style>
  <w:style w:type="paragraph" w:styleId="af">
    <w:name w:val="Revision"/>
    <w:hidden/>
    <w:uiPriority w:val="99"/>
    <w:semiHidden/>
    <w:rsid w:val="00D97E79"/>
    <w:rPr>
      <w:rFonts w:ascii="Calibri" w:eastAsia="宋体" w:hAnsi="Calibri" w:cs="font922"/>
      <w:sz w:val="22"/>
      <w:szCs w:val="22"/>
      <w:lang w:val="it-IT" w:eastAsia="ar-SA"/>
    </w:rPr>
  </w:style>
  <w:style w:type="character" w:customStyle="1" w:styleId="DefaultParagraphFont2">
    <w:name w:val="Default Paragraph Font2"/>
    <w:rsid w:val="00E62E56"/>
  </w:style>
  <w:style w:type="paragraph" w:customStyle="1" w:styleId="NormalWeb2">
    <w:name w:val="Normal (Web)2"/>
    <w:basedOn w:val="a"/>
    <w:rsid w:val="00E62E56"/>
    <w:pPr>
      <w:spacing w:before="100" w:after="28" w:line="100" w:lineRule="atLeast"/>
    </w:pPr>
    <w:rPr>
      <w:rFonts w:ascii="Times New Roman" w:eastAsia="Times New Roman" w:hAnsi="Times New Roman" w:cs="Times New Roman"/>
      <w:sz w:val="24"/>
      <w:szCs w:val="24"/>
    </w:rPr>
  </w:style>
  <w:style w:type="paragraph" w:customStyle="1" w:styleId="BalloonText2">
    <w:name w:val="Balloon Text2"/>
    <w:basedOn w:val="a"/>
    <w:rsid w:val="00E62E56"/>
    <w:pPr>
      <w:spacing w:after="0" w:line="100" w:lineRule="atLeast"/>
    </w:pPr>
    <w:rPr>
      <w:rFonts w:ascii="Tahoma" w:hAnsi="Tahoma" w:cs="Tahoma"/>
      <w:sz w:val="16"/>
      <w:szCs w:val="16"/>
    </w:rPr>
  </w:style>
  <w:style w:type="character" w:styleId="af0">
    <w:name w:val="page number"/>
    <w:uiPriority w:val="99"/>
    <w:semiHidden/>
    <w:unhideWhenUsed/>
    <w:rsid w:val="00C4340C"/>
  </w:style>
  <w:style w:type="character" w:customStyle="1" w:styleId="ref-title">
    <w:name w:val="ref-title"/>
    <w:rsid w:val="000A68FD"/>
  </w:style>
  <w:style w:type="character" w:customStyle="1" w:styleId="authorsname">
    <w:name w:val="authors__name"/>
    <w:rsid w:val="000A68FD"/>
  </w:style>
  <w:style w:type="character" w:customStyle="1" w:styleId="referencesauthors">
    <w:name w:val="references__authors"/>
    <w:rsid w:val="00502968"/>
  </w:style>
  <w:style w:type="character" w:customStyle="1" w:styleId="referencesauthorsothers">
    <w:name w:val="references__authors__others"/>
    <w:rsid w:val="00502968"/>
  </w:style>
  <w:style w:type="character" w:customStyle="1" w:styleId="referencesarticle-title">
    <w:name w:val="references__article-title"/>
    <w:rsid w:val="00502968"/>
  </w:style>
  <w:style w:type="character" w:styleId="af1">
    <w:name w:val="Strong"/>
    <w:uiPriority w:val="22"/>
    <w:qFormat/>
    <w:rsid w:val="00502968"/>
    <w:rPr>
      <w:b/>
      <w:bCs/>
    </w:rPr>
  </w:style>
  <w:style w:type="character" w:customStyle="1" w:styleId="referencesyear">
    <w:name w:val="references__year"/>
    <w:rsid w:val="00502968"/>
  </w:style>
  <w:style w:type="character" w:customStyle="1" w:styleId="highwire-citation-authors">
    <w:name w:val="highwire-citation-authors"/>
    <w:rsid w:val="00F64830"/>
  </w:style>
  <w:style w:type="numbering" w:customStyle="1" w:styleId="10">
    <w:name w:val="无列表1"/>
    <w:next w:val="a3"/>
    <w:uiPriority w:val="99"/>
    <w:semiHidden/>
    <w:unhideWhenUsed/>
    <w:rsid w:val="00443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宋体" w:hAnsi="Calibri" w:cs="font922"/>
      <w:sz w:val="22"/>
      <w:szCs w:val="22"/>
      <w:lang w:val="it-IT" w:eastAsia="ar-SA"/>
    </w:rPr>
  </w:style>
  <w:style w:type="paragraph" w:styleId="1">
    <w:name w:val="heading 1"/>
    <w:basedOn w:val="a"/>
    <w:next w:val="a0"/>
    <w:qFormat/>
    <w:pPr>
      <w:numPr>
        <w:numId w:val="1"/>
      </w:numPr>
      <w:spacing w:before="100" w:after="28" w:line="100" w:lineRule="atLeast"/>
      <w:outlineLvl w:val="0"/>
    </w:pPr>
    <w:rPr>
      <w:rFonts w:ascii="Times New Roman" w:eastAsia="Times New Roman" w:hAnsi="Times New Roman" w:cs="Times New Roman"/>
      <w:b/>
      <w:bCs/>
      <w:kern w:val="1"/>
      <w:sz w:val="48"/>
      <w:szCs w:val="48"/>
    </w:rPr>
  </w:style>
  <w:style w:type="paragraph" w:styleId="2">
    <w:name w:val="heading 2"/>
    <w:basedOn w:val="a"/>
    <w:next w:val="a"/>
    <w:link w:val="2Char"/>
    <w:uiPriority w:val="9"/>
    <w:qFormat/>
    <w:rsid w:val="00DF3E6F"/>
    <w:pPr>
      <w:keepNext/>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1">
    <w:name w:val="Default Paragraph Font1"/>
  </w:style>
  <w:style w:type="character" w:styleId="a4">
    <w:name w:val="Hyperlink"/>
    <w:rPr>
      <w:color w:val="0000FF"/>
      <w:u w:val="single"/>
      <w:lang/>
    </w:rPr>
  </w:style>
  <w:style w:type="character" w:styleId="a5">
    <w:name w:val="Emphasis"/>
    <w:uiPriority w:val="20"/>
    <w:qFormat/>
    <w:rPr>
      <w:i/>
      <w:iCs/>
    </w:rPr>
  </w:style>
  <w:style w:type="character" w:customStyle="1" w:styleId="element-citation">
    <w:name w:val="element-citation"/>
    <w:basedOn w:val="DefaultParagraphFont1"/>
  </w:style>
  <w:style w:type="character" w:customStyle="1" w:styleId="ref-journal">
    <w:name w:val="ref-journal"/>
    <w:basedOn w:val="DefaultParagraphFont1"/>
  </w:style>
  <w:style w:type="character" w:customStyle="1" w:styleId="ref-vol">
    <w:name w:val="ref-vol"/>
    <w:basedOn w:val="DefaultParagraphFont1"/>
  </w:style>
  <w:style w:type="character" w:customStyle="1" w:styleId="nowrap">
    <w:name w:val="nowrap"/>
    <w:basedOn w:val="DefaultParagraphFont1"/>
  </w:style>
  <w:style w:type="character" w:customStyle="1" w:styleId="anchor-text">
    <w:name w:val="anchor-text"/>
    <w:basedOn w:val="DefaultParagraphFont1"/>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Times New Roman" w:eastAsia="Times New Roman" w:hAnsi="Times New Roman" w:cs="Times New Roman"/>
      <w:b/>
      <w:bCs/>
      <w:kern w:val="1"/>
      <w:sz w:val="48"/>
      <w:szCs w:val="48"/>
    </w:rPr>
  </w:style>
  <w:style w:type="character" w:customStyle="1" w:styleId="title-text">
    <w:name w:val="title-text"/>
    <w:basedOn w:val="DefaultParagraphFont1"/>
  </w:style>
  <w:style w:type="character" w:customStyle="1" w:styleId="highlight">
    <w:name w:val="highlight"/>
    <w:basedOn w:val="DefaultParagraphFont1"/>
  </w:style>
  <w:style w:type="paragraph" w:customStyle="1" w:styleId="Intestazione1">
    <w:name w:val="Intestazione1"/>
    <w:basedOn w:val="a"/>
    <w:next w:val="a0"/>
    <w:pPr>
      <w:keepNext/>
      <w:spacing w:before="240" w:after="120"/>
    </w:pPr>
    <w:rPr>
      <w:rFonts w:ascii="Arial" w:eastAsia="微软雅黑" w:hAnsi="Arial" w:cs="Arial"/>
      <w:sz w:val="28"/>
      <w:szCs w:val="28"/>
    </w:rPr>
  </w:style>
  <w:style w:type="paragraph" w:styleId="a0">
    <w:name w:val="Body Text"/>
    <w:basedOn w:val="a"/>
    <w:pPr>
      <w:spacing w:after="120"/>
    </w:pPr>
  </w:style>
  <w:style w:type="paragraph" w:styleId="a6">
    <w:name w:val="List"/>
    <w:basedOn w:val="a0"/>
    <w:rPr>
      <w:rFonts w:cs="Arial"/>
    </w:rPr>
  </w:style>
  <w:style w:type="paragraph" w:customStyle="1" w:styleId="Didascalia1">
    <w:name w:val="Didascalia1"/>
    <w:basedOn w:val="a"/>
    <w:pPr>
      <w:suppressLineNumbers/>
      <w:spacing w:before="120" w:after="120"/>
    </w:pPr>
    <w:rPr>
      <w:rFonts w:cs="Arial"/>
      <w:i/>
      <w:iCs/>
      <w:sz w:val="24"/>
      <w:szCs w:val="24"/>
    </w:rPr>
  </w:style>
  <w:style w:type="paragraph" w:customStyle="1" w:styleId="Indice">
    <w:name w:val="Indice"/>
    <w:basedOn w:val="a"/>
    <w:pPr>
      <w:suppressLineNumbers/>
    </w:pPr>
    <w:rPr>
      <w:rFonts w:cs="Arial"/>
    </w:rPr>
  </w:style>
  <w:style w:type="paragraph" w:customStyle="1" w:styleId="p">
    <w:name w:val="p"/>
    <w:basedOn w:val="a"/>
    <w:pPr>
      <w:spacing w:before="100" w:after="28" w:line="100" w:lineRule="atLeast"/>
    </w:pPr>
    <w:rPr>
      <w:rFonts w:ascii="Times New Roman" w:eastAsia="Times New Roman" w:hAnsi="Times New Roman" w:cs="Times New Roman"/>
      <w:sz w:val="24"/>
      <w:szCs w:val="24"/>
    </w:rPr>
  </w:style>
  <w:style w:type="paragraph" w:customStyle="1" w:styleId="NormalWeb1">
    <w:name w:val="Normal (Web)1"/>
    <w:basedOn w:val="a"/>
    <w:pPr>
      <w:spacing w:before="100" w:after="28" w:line="100" w:lineRule="atLeast"/>
    </w:pPr>
    <w:rPr>
      <w:rFonts w:ascii="Times New Roman" w:eastAsia="Times New Roman" w:hAnsi="Times New Roman" w:cs="Times New Roman"/>
      <w:sz w:val="24"/>
      <w:szCs w:val="24"/>
    </w:rPr>
  </w:style>
  <w:style w:type="paragraph" w:customStyle="1" w:styleId="BalloonText1">
    <w:name w:val="Balloon Text1"/>
    <w:basedOn w:val="a"/>
    <w:pPr>
      <w:spacing w:after="0" w:line="100" w:lineRule="atLeast"/>
    </w:pPr>
    <w:rPr>
      <w:rFonts w:ascii="Tahoma" w:hAnsi="Tahoma" w:cs="Tahoma"/>
      <w:sz w:val="16"/>
      <w:szCs w:val="16"/>
    </w:rPr>
  </w:style>
  <w:style w:type="character" w:customStyle="1" w:styleId="contribdegrees">
    <w:name w:val="contribdegrees"/>
    <w:rsid w:val="0076471B"/>
  </w:style>
  <w:style w:type="paragraph" w:styleId="a7">
    <w:name w:val="Balloon Text"/>
    <w:basedOn w:val="a"/>
    <w:link w:val="Char"/>
    <w:uiPriority w:val="99"/>
    <w:semiHidden/>
    <w:unhideWhenUsed/>
    <w:rsid w:val="00794469"/>
    <w:pPr>
      <w:spacing w:after="0" w:line="240" w:lineRule="auto"/>
    </w:pPr>
    <w:rPr>
      <w:rFonts w:ascii="Tahoma" w:hAnsi="Tahoma" w:cs="Tahoma"/>
      <w:sz w:val="16"/>
      <w:szCs w:val="16"/>
    </w:rPr>
  </w:style>
  <w:style w:type="character" w:customStyle="1" w:styleId="Char">
    <w:name w:val="批注框文本 Char"/>
    <w:link w:val="a7"/>
    <w:uiPriority w:val="99"/>
    <w:semiHidden/>
    <w:rsid w:val="00794469"/>
    <w:rPr>
      <w:rFonts w:ascii="Tahoma" w:eastAsia="宋体" w:hAnsi="Tahoma" w:cs="Tahoma"/>
      <w:sz w:val="16"/>
      <w:szCs w:val="16"/>
      <w:lang w:eastAsia="ar-SA"/>
    </w:rPr>
  </w:style>
  <w:style w:type="character" w:styleId="HTML">
    <w:name w:val="HTML Cite"/>
    <w:uiPriority w:val="99"/>
    <w:semiHidden/>
    <w:unhideWhenUsed/>
    <w:rsid w:val="0034137F"/>
    <w:rPr>
      <w:i/>
      <w:iCs/>
    </w:rPr>
  </w:style>
  <w:style w:type="character" w:customStyle="1" w:styleId="al-author-name-more">
    <w:name w:val="al-author-name-more"/>
    <w:rsid w:val="007E5620"/>
  </w:style>
  <w:style w:type="character" w:customStyle="1" w:styleId="hitinf">
    <w:name w:val="hit_inf"/>
    <w:rsid w:val="00592D2A"/>
  </w:style>
  <w:style w:type="character" w:customStyle="1" w:styleId="hitsyn">
    <w:name w:val="hit_syn"/>
    <w:rsid w:val="00592D2A"/>
  </w:style>
  <w:style w:type="character" w:customStyle="1" w:styleId="cit-auth">
    <w:name w:val="cit-auth"/>
    <w:rsid w:val="00D6110D"/>
  </w:style>
  <w:style w:type="character" w:customStyle="1" w:styleId="cit-name-surname">
    <w:name w:val="cit-name-surname"/>
    <w:rsid w:val="00D6110D"/>
  </w:style>
  <w:style w:type="character" w:customStyle="1" w:styleId="cit-name-given-names">
    <w:name w:val="cit-name-given-names"/>
    <w:rsid w:val="00D6110D"/>
  </w:style>
  <w:style w:type="character" w:customStyle="1" w:styleId="cit-etal">
    <w:name w:val="cit-etal"/>
    <w:rsid w:val="00D6110D"/>
  </w:style>
  <w:style w:type="character" w:customStyle="1" w:styleId="cit-article-title">
    <w:name w:val="cit-article-title"/>
    <w:rsid w:val="00D6110D"/>
  </w:style>
  <w:style w:type="character" w:customStyle="1" w:styleId="cit-pub-date">
    <w:name w:val="cit-pub-date"/>
    <w:rsid w:val="00D6110D"/>
  </w:style>
  <w:style w:type="character" w:customStyle="1" w:styleId="cit-vol">
    <w:name w:val="cit-vol"/>
    <w:rsid w:val="00D6110D"/>
  </w:style>
  <w:style w:type="character" w:customStyle="1" w:styleId="cit-fpage">
    <w:name w:val="cit-fpage"/>
    <w:rsid w:val="00D6110D"/>
  </w:style>
  <w:style w:type="character" w:customStyle="1" w:styleId="cit-lpage">
    <w:name w:val="cit-lpage"/>
    <w:rsid w:val="00D6110D"/>
  </w:style>
  <w:style w:type="character" w:customStyle="1" w:styleId="highwire-citation-author">
    <w:name w:val="highwire-citation-author"/>
    <w:rsid w:val="000D06AB"/>
  </w:style>
  <w:style w:type="character" w:customStyle="1" w:styleId="nlm-given-names">
    <w:name w:val="nlm-given-names"/>
    <w:rsid w:val="000D06AB"/>
  </w:style>
  <w:style w:type="character" w:customStyle="1" w:styleId="nlm-surname">
    <w:name w:val="nlm-surname"/>
    <w:rsid w:val="000D06AB"/>
  </w:style>
  <w:style w:type="paragraph" w:styleId="a8">
    <w:name w:val="Normal (Web)"/>
    <w:basedOn w:val="a"/>
    <w:uiPriority w:val="99"/>
    <w:semiHidden/>
    <w:unhideWhenUsed/>
    <w:rsid w:val="00EF2249"/>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itation-publication-date">
    <w:name w:val="citation-publication-date"/>
    <w:rsid w:val="00D10866"/>
  </w:style>
  <w:style w:type="paragraph" w:customStyle="1" w:styleId="Default">
    <w:name w:val="Default"/>
    <w:rsid w:val="00904FB3"/>
    <w:pPr>
      <w:autoSpaceDE w:val="0"/>
      <w:autoSpaceDN w:val="0"/>
      <w:adjustRightInd w:val="0"/>
    </w:pPr>
    <w:rPr>
      <w:rFonts w:ascii="Myriad Pro" w:hAnsi="Myriad Pro" w:cs="Myriad Pro"/>
      <w:color w:val="000000"/>
      <w:sz w:val="24"/>
      <w:szCs w:val="24"/>
      <w:lang w:val="it-IT" w:eastAsia="it-IT"/>
    </w:rPr>
  </w:style>
  <w:style w:type="character" w:customStyle="1" w:styleId="2Char">
    <w:name w:val="标题 2 Char"/>
    <w:link w:val="2"/>
    <w:uiPriority w:val="9"/>
    <w:semiHidden/>
    <w:rsid w:val="00DF3E6F"/>
    <w:rPr>
      <w:rFonts w:ascii="Cambria" w:eastAsia="Times New Roman" w:hAnsi="Cambria" w:cs="Times New Roman"/>
      <w:b/>
      <w:bCs/>
      <w:i/>
      <w:iCs/>
      <w:sz w:val="28"/>
      <w:szCs w:val="28"/>
      <w:lang w:eastAsia="ar-SA"/>
    </w:rPr>
  </w:style>
  <w:style w:type="paragraph" w:styleId="a9">
    <w:name w:val="header"/>
    <w:basedOn w:val="a"/>
    <w:link w:val="Char0"/>
    <w:uiPriority w:val="99"/>
    <w:unhideWhenUsed/>
    <w:rsid w:val="00416DBB"/>
    <w:pPr>
      <w:tabs>
        <w:tab w:val="center" w:pos="4819"/>
        <w:tab w:val="right" w:pos="9638"/>
      </w:tabs>
    </w:pPr>
  </w:style>
  <w:style w:type="character" w:customStyle="1" w:styleId="Char0">
    <w:name w:val="页眉 Char"/>
    <w:link w:val="a9"/>
    <w:uiPriority w:val="99"/>
    <w:rsid w:val="00416DBB"/>
    <w:rPr>
      <w:rFonts w:ascii="Calibri" w:eastAsia="宋体" w:hAnsi="Calibri" w:cs="font922"/>
      <w:sz w:val="22"/>
      <w:szCs w:val="22"/>
      <w:lang w:eastAsia="ar-SA"/>
    </w:rPr>
  </w:style>
  <w:style w:type="paragraph" w:styleId="aa">
    <w:name w:val="footer"/>
    <w:basedOn w:val="a"/>
    <w:link w:val="Char1"/>
    <w:uiPriority w:val="99"/>
    <w:unhideWhenUsed/>
    <w:rsid w:val="00416DBB"/>
    <w:pPr>
      <w:tabs>
        <w:tab w:val="center" w:pos="4819"/>
        <w:tab w:val="right" w:pos="9638"/>
      </w:tabs>
    </w:pPr>
  </w:style>
  <w:style w:type="character" w:customStyle="1" w:styleId="Char1">
    <w:name w:val="页脚 Char"/>
    <w:link w:val="aa"/>
    <w:uiPriority w:val="99"/>
    <w:rsid w:val="00416DBB"/>
    <w:rPr>
      <w:rFonts w:ascii="Calibri" w:eastAsia="宋体" w:hAnsi="Calibri" w:cs="font922"/>
      <w:sz w:val="22"/>
      <w:szCs w:val="22"/>
      <w:lang w:eastAsia="ar-SA"/>
    </w:rPr>
  </w:style>
  <w:style w:type="character" w:styleId="ab">
    <w:name w:val="annotation reference"/>
    <w:uiPriority w:val="99"/>
    <w:semiHidden/>
    <w:unhideWhenUsed/>
    <w:rsid w:val="005D4A7E"/>
    <w:rPr>
      <w:sz w:val="18"/>
      <w:szCs w:val="18"/>
    </w:rPr>
  </w:style>
  <w:style w:type="paragraph" w:styleId="ac">
    <w:name w:val="annotation text"/>
    <w:basedOn w:val="a"/>
    <w:link w:val="Char2"/>
    <w:uiPriority w:val="99"/>
    <w:semiHidden/>
    <w:unhideWhenUsed/>
    <w:rsid w:val="005D4A7E"/>
    <w:rPr>
      <w:sz w:val="24"/>
      <w:szCs w:val="24"/>
    </w:rPr>
  </w:style>
  <w:style w:type="character" w:customStyle="1" w:styleId="Char2">
    <w:name w:val="批注文字 Char"/>
    <w:link w:val="ac"/>
    <w:uiPriority w:val="99"/>
    <w:semiHidden/>
    <w:rsid w:val="005D4A7E"/>
    <w:rPr>
      <w:rFonts w:ascii="Calibri" w:eastAsia="宋体" w:hAnsi="Calibri" w:cs="font922"/>
      <w:sz w:val="24"/>
      <w:szCs w:val="24"/>
      <w:lang w:val="it-IT" w:eastAsia="ar-SA"/>
    </w:rPr>
  </w:style>
  <w:style w:type="paragraph" w:styleId="ad">
    <w:name w:val="annotation subject"/>
    <w:basedOn w:val="ac"/>
    <w:next w:val="ac"/>
    <w:link w:val="Char3"/>
    <w:uiPriority w:val="99"/>
    <w:semiHidden/>
    <w:unhideWhenUsed/>
    <w:rsid w:val="005D4A7E"/>
    <w:rPr>
      <w:b/>
      <w:bCs/>
      <w:sz w:val="20"/>
      <w:szCs w:val="20"/>
    </w:rPr>
  </w:style>
  <w:style w:type="character" w:customStyle="1" w:styleId="Char3">
    <w:name w:val="批注主题 Char"/>
    <w:link w:val="ad"/>
    <w:uiPriority w:val="99"/>
    <w:semiHidden/>
    <w:rsid w:val="005D4A7E"/>
    <w:rPr>
      <w:rFonts w:ascii="Calibri" w:eastAsia="宋体" w:hAnsi="Calibri" w:cs="font922"/>
      <w:b/>
      <w:bCs/>
      <w:sz w:val="24"/>
      <w:szCs w:val="24"/>
      <w:lang w:val="it-IT" w:eastAsia="ar-SA"/>
    </w:rPr>
  </w:style>
  <w:style w:type="character" w:styleId="ae">
    <w:name w:val="FollowedHyperlink"/>
    <w:uiPriority w:val="99"/>
    <w:semiHidden/>
    <w:unhideWhenUsed/>
    <w:rsid w:val="005D4A7E"/>
    <w:rPr>
      <w:color w:val="800080"/>
      <w:u w:val="single"/>
    </w:rPr>
  </w:style>
  <w:style w:type="character" w:customStyle="1" w:styleId="st">
    <w:name w:val="st"/>
    <w:rsid w:val="000700E0"/>
  </w:style>
  <w:style w:type="paragraph" w:customStyle="1" w:styleId="Sfondoacolori-Colore11">
    <w:name w:val="Sfondo a colori - Colore 11"/>
    <w:hidden/>
    <w:uiPriority w:val="71"/>
    <w:rsid w:val="006413A2"/>
    <w:rPr>
      <w:rFonts w:ascii="Calibri" w:eastAsia="宋体" w:hAnsi="Calibri" w:cs="font922"/>
      <w:sz w:val="22"/>
      <w:szCs w:val="22"/>
      <w:lang w:val="it-IT" w:eastAsia="ar-SA"/>
    </w:rPr>
  </w:style>
  <w:style w:type="paragraph" w:styleId="af">
    <w:name w:val="Revision"/>
    <w:hidden/>
    <w:uiPriority w:val="99"/>
    <w:semiHidden/>
    <w:rsid w:val="00D97E79"/>
    <w:rPr>
      <w:rFonts w:ascii="Calibri" w:eastAsia="宋体" w:hAnsi="Calibri" w:cs="font922"/>
      <w:sz w:val="22"/>
      <w:szCs w:val="22"/>
      <w:lang w:val="it-IT" w:eastAsia="ar-SA"/>
    </w:rPr>
  </w:style>
  <w:style w:type="character" w:customStyle="1" w:styleId="DefaultParagraphFont2">
    <w:name w:val="Default Paragraph Font2"/>
    <w:rsid w:val="00E62E56"/>
  </w:style>
  <w:style w:type="paragraph" w:customStyle="1" w:styleId="NormalWeb2">
    <w:name w:val="Normal (Web)2"/>
    <w:basedOn w:val="a"/>
    <w:rsid w:val="00E62E56"/>
    <w:pPr>
      <w:spacing w:before="100" w:after="28" w:line="100" w:lineRule="atLeast"/>
    </w:pPr>
    <w:rPr>
      <w:rFonts w:ascii="Times New Roman" w:eastAsia="Times New Roman" w:hAnsi="Times New Roman" w:cs="Times New Roman"/>
      <w:sz w:val="24"/>
      <w:szCs w:val="24"/>
    </w:rPr>
  </w:style>
  <w:style w:type="paragraph" w:customStyle="1" w:styleId="BalloonText2">
    <w:name w:val="Balloon Text2"/>
    <w:basedOn w:val="a"/>
    <w:rsid w:val="00E62E56"/>
    <w:pPr>
      <w:spacing w:after="0" w:line="100" w:lineRule="atLeast"/>
    </w:pPr>
    <w:rPr>
      <w:rFonts w:ascii="Tahoma" w:hAnsi="Tahoma" w:cs="Tahoma"/>
      <w:sz w:val="16"/>
      <w:szCs w:val="16"/>
    </w:rPr>
  </w:style>
  <w:style w:type="character" w:styleId="af0">
    <w:name w:val="page number"/>
    <w:uiPriority w:val="99"/>
    <w:semiHidden/>
    <w:unhideWhenUsed/>
    <w:rsid w:val="00C4340C"/>
  </w:style>
  <w:style w:type="character" w:customStyle="1" w:styleId="ref-title">
    <w:name w:val="ref-title"/>
    <w:rsid w:val="000A68FD"/>
  </w:style>
  <w:style w:type="character" w:customStyle="1" w:styleId="authorsname">
    <w:name w:val="authors__name"/>
    <w:rsid w:val="000A68FD"/>
  </w:style>
  <w:style w:type="character" w:customStyle="1" w:styleId="referencesauthors">
    <w:name w:val="references__authors"/>
    <w:rsid w:val="00502968"/>
  </w:style>
  <w:style w:type="character" w:customStyle="1" w:styleId="referencesauthorsothers">
    <w:name w:val="references__authors__others"/>
    <w:rsid w:val="00502968"/>
  </w:style>
  <w:style w:type="character" w:customStyle="1" w:styleId="referencesarticle-title">
    <w:name w:val="references__article-title"/>
    <w:rsid w:val="00502968"/>
  </w:style>
  <w:style w:type="character" w:styleId="af1">
    <w:name w:val="Strong"/>
    <w:uiPriority w:val="22"/>
    <w:qFormat/>
    <w:rsid w:val="00502968"/>
    <w:rPr>
      <w:b/>
      <w:bCs/>
    </w:rPr>
  </w:style>
  <w:style w:type="character" w:customStyle="1" w:styleId="referencesyear">
    <w:name w:val="references__year"/>
    <w:rsid w:val="00502968"/>
  </w:style>
  <w:style w:type="character" w:customStyle="1" w:styleId="highwire-citation-authors">
    <w:name w:val="highwire-citation-authors"/>
    <w:rsid w:val="00F64830"/>
  </w:style>
  <w:style w:type="numbering" w:customStyle="1" w:styleId="10">
    <w:name w:val="无列表1"/>
    <w:next w:val="a3"/>
    <w:uiPriority w:val="99"/>
    <w:semiHidden/>
    <w:unhideWhenUsed/>
    <w:rsid w:val="0044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388">
      <w:bodyDiv w:val="1"/>
      <w:marLeft w:val="0"/>
      <w:marRight w:val="0"/>
      <w:marTop w:val="0"/>
      <w:marBottom w:val="0"/>
      <w:divBdr>
        <w:top w:val="none" w:sz="0" w:space="0" w:color="auto"/>
        <w:left w:val="none" w:sz="0" w:space="0" w:color="auto"/>
        <w:bottom w:val="none" w:sz="0" w:space="0" w:color="auto"/>
        <w:right w:val="none" w:sz="0" w:space="0" w:color="auto"/>
      </w:divBdr>
    </w:div>
    <w:div w:id="20252594">
      <w:bodyDiv w:val="1"/>
      <w:marLeft w:val="0"/>
      <w:marRight w:val="0"/>
      <w:marTop w:val="0"/>
      <w:marBottom w:val="0"/>
      <w:divBdr>
        <w:top w:val="none" w:sz="0" w:space="0" w:color="auto"/>
        <w:left w:val="none" w:sz="0" w:space="0" w:color="auto"/>
        <w:bottom w:val="none" w:sz="0" w:space="0" w:color="auto"/>
        <w:right w:val="none" w:sz="0" w:space="0" w:color="auto"/>
      </w:divBdr>
    </w:div>
    <w:div w:id="37050420">
      <w:bodyDiv w:val="1"/>
      <w:marLeft w:val="0"/>
      <w:marRight w:val="0"/>
      <w:marTop w:val="0"/>
      <w:marBottom w:val="0"/>
      <w:divBdr>
        <w:top w:val="none" w:sz="0" w:space="0" w:color="auto"/>
        <w:left w:val="none" w:sz="0" w:space="0" w:color="auto"/>
        <w:bottom w:val="none" w:sz="0" w:space="0" w:color="auto"/>
        <w:right w:val="none" w:sz="0" w:space="0" w:color="auto"/>
      </w:divBdr>
    </w:div>
    <w:div w:id="66877953">
      <w:bodyDiv w:val="1"/>
      <w:marLeft w:val="0"/>
      <w:marRight w:val="0"/>
      <w:marTop w:val="0"/>
      <w:marBottom w:val="0"/>
      <w:divBdr>
        <w:top w:val="none" w:sz="0" w:space="0" w:color="auto"/>
        <w:left w:val="none" w:sz="0" w:space="0" w:color="auto"/>
        <w:bottom w:val="none" w:sz="0" w:space="0" w:color="auto"/>
        <w:right w:val="none" w:sz="0" w:space="0" w:color="auto"/>
      </w:divBdr>
    </w:div>
    <w:div w:id="75829107">
      <w:bodyDiv w:val="1"/>
      <w:marLeft w:val="0"/>
      <w:marRight w:val="0"/>
      <w:marTop w:val="0"/>
      <w:marBottom w:val="0"/>
      <w:divBdr>
        <w:top w:val="none" w:sz="0" w:space="0" w:color="auto"/>
        <w:left w:val="none" w:sz="0" w:space="0" w:color="auto"/>
        <w:bottom w:val="none" w:sz="0" w:space="0" w:color="auto"/>
        <w:right w:val="none" w:sz="0" w:space="0" w:color="auto"/>
      </w:divBdr>
    </w:div>
    <w:div w:id="103813595">
      <w:bodyDiv w:val="1"/>
      <w:marLeft w:val="0"/>
      <w:marRight w:val="0"/>
      <w:marTop w:val="0"/>
      <w:marBottom w:val="0"/>
      <w:divBdr>
        <w:top w:val="none" w:sz="0" w:space="0" w:color="auto"/>
        <w:left w:val="none" w:sz="0" w:space="0" w:color="auto"/>
        <w:bottom w:val="none" w:sz="0" w:space="0" w:color="auto"/>
        <w:right w:val="none" w:sz="0" w:space="0" w:color="auto"/>
      </w:divBdr>
    </w:div>
    <w:div w:id="105389375">
      <w:bodyDiv w:val="1"/>
      <w:marLeft w:val="0"/>
      <w:marRight w:val="0"/>
      <w:marTop w:val="0"/>
      <w:marBottom w:val="0"/>
      <w:divBdr>
        <w:top w:val="none" w:sz="0" w:space="0" w:color="auto"/>
        <w:left w:val="none" w:sz="0" w:space="0" w:color="auto"/>
        <w:bottom w:val="none" w:sz="0" w:space="0" w:color="auto"/>
        <w:right w:val="none" w:sz="0" w:space="0" w:color="auto"/>
      </w:divBdr>
    </w:div>
    <w:div w:id="118039750">
      <w:bodyDiv w:val="1"/>
      <w:marLeft w:val="0"/>
      <w:marRight w:val="0"/>
      <w:marTop w:val="0"/>
      <w:marBottom w:val="0"/>
      <w:divBdr>
        <w:top w:val="none" w:sz="0" w:space="0" w:color="auto"/>
        <w:left w:val="none" w:sz="0" w:space="0" w:color="auto"/>
        <w:bottom w:val="none" w:sz="0" w:space="0" w:color="auto"/>
        <w:right w:val="none" w:sz="0" w:space="0" w:color="auto"/>
      </w:divBdr>
    </w:div>
    <w:div w:id="154222493">
      <w:bodyDiv w:val="1"/>
      <w:marLeft w:val="0"/>
      <w:marRight w:val="0"/>
      <w:marTop w:val="0"/>
      <w:marBottom w:val="0"/>
      <w:divBdr>
        <w:top w:val="none" w:sz="0" w:space="0" w:color="auto"/>
        <w:left w:val="none" w:sz="0" w:space="0" w:color="auto"/>
        <w:bottom w:val="none" w:sz="0" w:space="0" w:color="auto"/>
        <w:right w:val="none" w:sz="0" w:space="0" w:color="auto"/>
      </w:divBdr>
    </w:div>
    <w:div w:id="165290173">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sChild>
        <w:div w:id="1371371055">
          <w:marLeft w:val="0"/>
          <w:marRight w:val="0"/>
          <w:marTop w:val="75"/>
          <w:marBottom w:val="0"/>
          <w:divBdr>
            <w:top w:val="none" w:sz="0" w:space="0" w:color="auto"/>
            <w:left w:val="none" w:sz="0" w:space="0" w:color="auto"/>
            <w:bottom w:val="none" w:sz="0" w:space="0" w:color="auto"/>
            <w:right w:val="none" w:sz="0" w:space="0" w:color="auto"/>
          </w:divBdr>
        </w:div>
      </w:divsChild>
    </w:div>
    <w:div w:id="199167546">
      <w:bodyDiv w:val="1"/>
      <w:marLeft w:val="0"/>
      <w:marRight w:val="0"/>
      <w:marTop w:val="0"/>
      <w:marBottom w:val="0"/>
      <w:divBdr>
        <w:top w:val="none" w:sz="0" w:space="0" w:color="auto"/>
        <w:left w:val="none" w:sz="0" w:space="0" w:color="auto"/>
        <w:bottom w:val="none" w:sz="0" w:space="0" w:color="auto"/>
        <w:right w:val="none" w:sz="0" w:space="0" w:color="auto"/>
      </w:divBdr>
    </w:div>
    <w:div w:id="207038841">
      <w:bodyDiv w:val="1"/>
      <w:marLeft w:val="0"/>
      <w:marRight w:val="0"/>
      <w:marTop w:val="0"/>
      <w:marBottom w:val="0"/>
      <w:divBdr>
        <w:top w:val="none" w:sz="0" w:space="0" w:color="auto"/>
        <w:left w:val="none" w:sz="0" w:space="0" w:color="auto"/>
        <w:bottom w:val="none" w:sz="0" w:space="0" w:color="auto"/>
        <w:right w:val="none" w:sz="0" w:space="0" w:color="auto"/>
      </w:divBdr>
    </w:div>
    <w:div w:id="228466635">
      <w:bodyDiv w:val="1"/>
      <w:marLeft w:val="0"/>
      <w:marRight w:val="0"/>
      <w:marTop w:val="0"/>
      <w:marBottom w:val="0"/>
      <w:divBdr>
        <w:top w:val="none" w:sz="0" w:space="0" w:color="auto"/>
        <w:left w:val="none" w:sz="0" w:space="0" w:color="auto"/>
        <w:bottom w:val="none" w:sz="0" w:space="0" w:color="auto"/>
        <w:right w:val="none" w:sz="0" w:space="0" w:color="auto"/>
      </w:divBdr>
    </w:div>
    <w:div w:id="257107611">
      <w:bodyDiv w:val="1"/>
      <w:marLeft w:val="0"/>
      <w:marRight w:val="0"/>
      <w:marTop w:val="0"/>
      <w:marBottom w:val="0"/>
      <w:divBdr>
        <w:top w:val="none" w:sz="0" w:space="0" w:color="auto"/>
        <w:left w:val="none" w:sz="0" w:space="0" w:color="auto"/>
        <w:bottom w:val="none" w:sz="0" w:space="0" w:color="auto"/>
        <w:right w:val="none" w:sz="0" w:space="0" w:color="auto"/>
      </w:divBdr>
    </w:div>
    <w:div w:id="268777313">
      <w:bodyDiv w:val="1"/>
      <w:marLeft w:val="0"/>
      <w:marRight w:val="0"/>
      <w:marTop w:val="0"/>
      <w:marBottom w:val="0"/>
      <w:divBdr>
        <w:top w:val="none" w:sz="0" w:space="0" w:color="auto"/>
        <w:left w:val="none" w:sz="0" w:space="0" w:color="auto"/>
        <w:bottom w:val="none" w:sz="0" w:space="0" w:color="auto"/>
        <w:right w:val="none" w:sz="0" w:space="0" w:color="auto"/>
      </w:divBdr>
    </w:div>
    <w:div w:id="278922443">
      <w:bodyDiv w:val="1"/>
      <w:marLeft w:val="0"/>
      <w:marRight w:val="0"/>
      <w:marTop w:val="0"/>
      <w:marBottom w:val="0"/>
      <w:divBdr>
        <w:top w:val="none" w:sz="0" w:space="0" w:color="auto"/>
        <w:left w:val="none" w:sz="0" w:space="0" w:color="auto"/>
        <w:bottom w:val="none" w:sz="0" w:space="0" w:color="auto"/>
        <w:right w:val="none" w:sz="0" w:space="0" w:color="auto"/>
      </w:divBdr>
    </w:div>
    <w:div w:id="289627970">
      <w:bodyDiv w:val="1"/>
      <w:marLeft w:val="0"/>
      <w:marRight w:val="0"/>
      <w:marTop w:val="0"/>
      <w:marBottom w:val="0"/>
      <w:divBdr>
        <w:top w:val="none" w:sz="0" w:space="0" w:color="auto"/>
        <w:left w:val="none" w:sz="0" w:space="0" w:color="auto"/>
        <w:bottom w:val="none" w:sz="0" w:space="0" w:color="auto"/>
        <w:right w:val="none" w:sz="0" w:space="0" w:color="auto"/>
      </w:divBdr>
    </w:div>
    <w:div w:id="299962130">
      <w:bodyDiv w:val="1"/>
      <w:marLeft w:val="0"/>
      <w:marRight w:val="0"/>
      <w:marTop w:val="0"/>
      <w:marBottom w:val="0"/>
      <w:divBdr>
        <w:top w:val="none" w:sz="0" w:space="0" w:color="auto"/>
        <w:left w:val="none" w:sz="0" w:space="0" w:color="auto"/>
        <w:bottom w:val="none" w:sz="0" w:space="0" w:color="auto"/>
        <w:right w:val="none" w:sz="0" w:space="0" w:color="auto"/>
      </w:divBdr>
    </w:div>
    <w:div w:id="323557289">
      <w:bodyDiv w:val="1"/>
      <w:marLeft w:val="0"/>
      <w:marRight w:val="0"/>
      <w:marTop w:val="0"/>
      <w:marBottom w:val="0"/>
      <w:divBdr>
        <w:top w:val="none" w:sz="0" w:space="0" w:color="auto"/>
        <w:left w:val="none" w:sz="0" w:space="0" w:color="auto"/>
        <w:bottom w:val="none" w:sz="0" w:space="0" w:color="auto"/>
        <w:right w:val="none" w:sz="0" w:space="0" w:color="auto"/>
      </w:divBdr>
    </w:div>
    <w:div w:id="326175555">
      <w:bodyDiv w:val="1"/>
      <w:marLeft w:val="0"/>
      <w:marRight w:val="0"/>
      <w:marTop w:val="0"/>
      <w:marBottom w:val="0"/>
      <w:divBdr>
        <w:top w:val="none" w:sz="0" w:space="0" w:color="auto"/>
        <w:left w:val="none" w:sz="0" w:space="0" w:color="auto"/>
        <w:bottom w:val="none" w:sz="0" w:space="0" w:color="auto"/>
        <w:right w:val="none" w:sz="0" w:space="0" w:color="auto"/>
      </w:divBdr>
    </w:div>
    <w:div w:id="328800735">
      <w:bodyDiv w:val="1"/>
      <w:marLeft w:val="0"/>
      <w:marRight w:val="0"/>
      <w:marTop w:val="0"/>
      <w:marBottom w:val="0"/>
      <w:divBdr>
        <w:top w:val="none" w:sz="0" w:space="0" w:color="auto"/>
        <w:left w:val="none" w:sz="0" w:space="0" w:color="auto"/>
        <w:bottom w:val="none" w:sz="0" w:space="0" w:color="auto"/>
        <w:right w:val="none" w:sz="0" w:space="0" w:color="auto"/>
      </w:divBdr>
    </w:div>
    <w:div w:id="356656867">
      <w:bodyDiv w:val="1"/>
      <w:marLeft w:val="0"/>
      <w:marRight w:val="0"/>
      <w:marTop w:val="0"/>
      <w:marBottom w:val="0"/>
      <w:divBdr>
        <w:top w:val="none" w:sz="0" w:space="0" w:color="auto"/>
        <w:left w:val="none" w:sz="0" w:space="0" w:color="auto"/>
        <w:bottom w:val="none" w:sz="0" w:space="0" w:color="auto"/>
        <w:right w:val="none" w:sz="0" w:space="0" w:color="auto"/>
      </w:divBdr>
    </w:div>
    <w:div w:id="388235610">
      <w:bodyDiv w:val="1"/>
      <w:marLeft w:val="0"/>
      <w:marRight w:val="0"/>
      <w:marTop w:val="0"/>
      <w:marBottom w:val="0"/>
      <w:divBdr>
        <w:top w:val="none" w:sz="0" w:space="0" w:color="auto"/>
        <w:left w:val="none" w:sz="0" w:space="0" w:color="auto"/>
        <w:bottom w:val="none" w:sz="0" w:space="0" w:color="auto"/>
        <w:right w:val="none" w:sz="0" w:space="0" w:color="auto"/>
      </w:divBdr>
    </w:div>
    <w:div w:id="404644656">
      <w:bodyDiv w:val="1"/>
      <w:marLeft w:val="0"/>
      <w:marRight w:val="0"/>
      <w:marTop w:val="0"/>
      <w:marBottom w:val="0"/>
      <w:divBdr>
        <w:top w:val="none" w:sz="0" w:space="0" w:color="auto"/>
        <w:left w:val="none" w:sz="0" w:space="0" w:color="auto"/>
        <w:bottom w:val="none" w:sz="0" w:space="0" w:color="auto"/>
        <w:right w:val="none" w:sz="0" w:space="0" w:color="auto"/>
      </w:divBdr>
    </w:div>
    <w:div w:id="428088910">
      <w:bodyDiv w:val="1"/>
      <w:marLeft w:val="0"/>
      <w:marRight w:val="0"/>
      <w:marTop w:val="0"/>
      <w:marBottom w:val="0"/>
      <w:divBdr>
        <w:top w:val="none" w:sz="0" w:space="0" w:color="auto"/>
        <w:left w:val="none" w:sz="0" w:space="0" w:color="auto"/>
        <w:bottom w:val="none" w:sz="0" w:space="0" w:color="auto"/>
        <w:right w:val="none" w:sz="0" w:space="0" w:color="auto"/>
      </w:divBdr>
    </w:div>
    <w:div w:id="450367544">
      <w:bodyDiv w:val="1"/>
      <w:marLeft w:val="0"/>
      <w:marRight w:val="0"/>
      <w:marTop w:val="0"/>
      <w:marBottom w:val="0"/>
      <w:divBdr>
        <w:top w:val="none" w:sz="0" w:space="0" w:color="auto"/>
        <w:left w:val="none" w:sz="0" w:space="0" w:color="auto"/>
        <w:bottom w:val="none" w:sz="0" w:space="0" w:color="auto"/>
        <w:right w:val="none" w:sz="0" w:space="0" w:color="auto"/>
      </w:divBdr>
    </w:div>
    <w:div w:id="466823792">
      <w:bodyDiv w:val="1"/>
      <w:marLeft w:val="0"/>
      <w:marRight w:val="0"/>
      <w:marTop w:val="0"/>
      <w:marBottom w:val="0"/>
      <w:divBdr>
        <w:top w:val="none" w:sz="0" w:space="0" w:color="auto"/>
        <w:left w:val="none" w:sz="0" w:space="0" w:color="auto"/>
        <w:bottom w:val="none" w:sz="0" w:space="0" w:color="auto"/>
        <w:right w:val="none" w:sz="0" w:space="0" w:color="auto"/>
      </w:divBdr>
    </w:div>
    <w:div w:id="475219006">
      <w:bodyDiv w:val="1"/>
      <w:marLeft w:val="0"/>
      <w:marRight w:val="0"/>
      <w:marTop w:val="0"/>
      <w:marBottom w:val="0"/>
      <w:divBdr>
        <w:top w:val="none" w:sz="0" w:space="0" w:color="auto"/>
        <w:left w:val="none" w:sz="0" w:space="0" w:color="auto"/>
        <w:bottom w:val="none" w:sz="0" w:space="0" w:color="auto"/>
        <w:right w:val="none" w:sz="0" w:space="0" w:color="auto"/>
      </w:divBdr>
    </w:div>
    <w:div w:id="479811502">
      <w:bodyDiv w:val="1"/>
      <w:marLeft w:val="0"/>
      <w:marRight w:val="0"/>
      <w:marTop w:val="0"/>
      <w:marBottom w:val="0"/>
      <w:divBdr>
        <w:top w:val="none" w:sz="0" w:space="0" w:color="auto"/>
        <w:left w:val="none" w:sz="0" w:space="0" w:color="auto"/>
        <w:bottom w:val="none" w:sz="0" w:space="0" w:color="auto"/>
        <w:right w:val="none" w:sz="0" w:space="0" w:color="auto"/>
      </w:divBdr>
    </w:div>
    <w:div w:id="505554709">
      <w:bodyDiv w:val="1"/>
      <w:marLeft w:val="0"/>
      <w:marRight w:val="0"/>
      <w:marTop w:val="0"/>
      <w:marBottom w:val="0"/>
      <w:divBdr>
        <w:top w:val="none" w:sz="0" w:space="0" w:color="auto"/>
        <w:left w:val="none" w:sz="0" w:space="0" w:color="auto"/>
        <w:bottom w:val="none" w:sz="0" w:space="0" w:color="auto"/>
        <w:right w:val="none" w:sz="0" w:space="0" w:color="auto"/>
      </w:divBdr>
    </w:div>
    <w:div w:id="519900789">
      <w:bodyDiv w:val="1"/>
      <w:marLeft w:val="0"/>
      <w:marRight w:val="0"/>
      <w:marTop w:val="0"/>
      <w:marBottom w:val="0"/>
      <w:divBdr>
        <w:top w:val="none" w:sz="0" w:space="0" w:color="auto"/>
        <w:left w:val="none" w:sz="0" w:space="0" w:color="auto"/>
        <w:bottom w:val="none" w:sz="0" w:space="0" w:color="auto"/>
        <w:right w:val="none" w:sz="0" w:space="0" w:color="auto"/>
      </w:divBdr>
    </w:div>
    <w:div w:id="543056709">
      <w:bodyDiv w:val="1"/>
      <w:marLeft w:val="0"/>
      <w:marRight w:val="0"/>
      <w:marTop w:val="0"/>
      <w:marBottom w:val="0"/>
      <w:divBdr>
        <w:top w:val="none" w:sz="0" w:space="0" w:color="auto"/>
        <w:left w:val="none" w:sz="0" w:space="0" w:color="auto"/>
        <w:bottom w:val="none" w:sz="0" w:space="0" w:color="auto"/>
        <w:right w:val="none" w:sz="0" w:space="0" w:color="auto"/>
      </w:divBdr>
    </w:div>
    <w:div w:id="547229211">
      <w:bodyDiv w:val="1"/>
      <w:marLeft w:val="0"/>
      <w:marRight w:val="0"/>
      <w:marTop w:val="0"/>
      <w:marBottom w:val="0"/>
      <w:divBdr>
        <w:top w:val="none" w:sz="0" w:space="0" w:color="auto"/>
        <w:left w:val="none" w:sz="0" w:space="0" w:color="auto"/>
        <w:bottom w:val="none" w:sz="0" w:space="0" w:color="auto"/>
        <w:right w:val="none" w:sz="0" w:space="0" w:color="auto"/>
      </w:divBdr>
    </w:div>
    <w:div w:id="568461795">
      <w:bodyDiv w:val="1"/>
      <w:marLeft w:val="0"/>
      <w:marRight w:val="0"/>
      <w:marTop w:val="0"/>
      <w:marBottom w:val="0"/>
      <w:divBdr>
        <w:top w:val="none" w:sz="0" w:space="0" w:color="auto"/>
        <w:left w:val="none" w:sz="0" w:space="0" w:color="auto"/>
        <w:bottom w:val="none" w:sz="0" w:space="0" w:color="auto"/>
        <w:right w:val="none" w:sz="0" w:space="0" w:color="auto"/>
      </w:divBdr>
    </w:div>
    <w:div w:id="575431477">
      <w:bodyDiv w:val="1"/>
      <w:marLeft w:val="0"/>
      <w:marRight w:val="0"/>
      <w:marTop w:val="0"/>
      <w:marBottom w:val="0"/>
      <w:divBdr>
        <w:top w:val="none" w:sz="0" w:space="0" w:color="auto"/>
        <w:left w:val="none" w:sz="0" w:space="0" w:color="auto"/>
        <w:bottom w:val="none" w:sz="0" w:space="0" w:color="auto"/>
        <w:right w:val="none" w:sz="0" w:space="0" w:color="auto"/>
      </w:divBdr>
    </w:div>
    <w:div w:id="585383376">
      <w:bodyDiv w:val="1"/>
      <w:marLeft w:val="0"/>
      <w:marRight w:val="0"/>
      <w:marTop w:val="0"/>
      <w:marBottom w:val="0"/>
      <w:divBdr>
        <w:top w:val="none" w:sz="0" w:space="0" w:color="auto"/>
        <w:left w:val="none" w:sz="0" w:space="0" w:color="auto"/>
        <w:bottom w:val="none" w:sz="0" w:space="0" w:color="auto"/>
        <w:right w:val="none" w:sz="0" w:space="0" w:color="auto"/>
      </w:divBdr>
    </w:div>
    <w:div w:id="597643492">
      <w:bodyDiv w:val="1"/>
      <w:marLeft w:val="0"/>
      <w:marRight w:val="0"/>
      <w:marTop w:val="0"/>
      <w:marBottom w:val="0"/>
      <w:divBdr>
        <w:top w:val="none" w:sz="0" w:space="0" w:color="auto"/>
        <w:left w:val="none" w:sz="0" w:space="0" w:color="auto"/>
        <w:bottom w:val="none" w:sz="0" w:space="0" w:color="auto"/>
        <w:right w:val="none" w:sz="0" w:space="0" w:color="auto"/>
      </w:divBdr>
    </w:div>
    <w:div w:id="610626895">
      <w:bodyDiv w:val="1"/>
      <w:marLeft w:val="0"/>
      <w:marRight w:val="0"/>
      <w:marTop w:val="0"/>
      <w:marBottom w:val="0"/>
      <w:divBdr>
        <w:top w:val="none" w:sz="0" w:space="0" w:color="auto"/>
        <w:left w:val="none" w:sz="0" w:space="0" w:color="auto"/>
        <w:bottom w:val="none" w:sz="0" w:space="0" w:color="auto"/>
        <w:right w:val="none" w:sz="0" w:space="0" w:color="auto"/>
      </w:divBdr>
    </w:div>
    <w:div w:id="613682004">
      <w:bodyDiv w:val="1"/>
      <w:marLeft w:val="0"/>
      <w:marRight w:val="0"/>
      <w:marTop w:val="0"/>
      <w:marBottom w:val="0"/>
      <w:divBdr>
        <w:top w:val="none" w:sz="0" w:space="0" w:color="auto"/>
        <w:left w:val="none" w:sz="0" w:space="0" w:color="auto"/>
        <w:bottom w:val="none" w:sz="0" w:space="0" w:color="auto"/>
        <w:right w:val="none" w:sz="0" w:space="0" w:color="auto"/>
      </w:divBdr>
    </w:div>
    <w:div w:id="618686889">
      <w:bodyDiv w:val="1"/>
      <w:marLeft w:val="0"/>
      <w:marRight w:val="0"/>
      <w:marTop w:val="0"/>
      <w:marBottom w:val="0"/>
      <w:divBdr>
        <w:top w:val="none" w:sz="0" w:space="0" w:color="auto"/>
        <w:left w:val="none" w:sz="0" w:space="0" w:color="auto"/>
        <w:bottom w:val="none" w:sz="0" w:space="0" w:color="auto"/>
        <w:right w:val="none" w:sz="0" w:space="0" w:color="auto"/>
      </w:divBdr>
    </w:div>
    <w:div w:id="633829505">
      <w:bodyDiv w:val="1"/>
      <w:marLeft w:val="0"/>
      <w:marRight w:val="0"/>
      <w:marTop w:val="0"/>
      <w:marBottom w:val="0"/>
      <w:divBdr>
        <w:top w:val="none" w:sz="0" w:space="0" w:color="auto"/>
        <w:left w:val="none" w:sz="0" w:space="0" w:color="auto"/>
        <w:bottom w:val="none" w:sz="0" w:space="0" w:color="auto"/>
        <w:right w:val="none" w:sz="0" w:space="0" w:color="auto"/>
      </w:divBdr>
    </w:div>
    <w:div w:id="637686729">
      <w:bodyDiv w:val="1"/>
      <w:marLeft w:val="0"/>
      <w:marRight w:val="0"/>
      <w:marTop w:val="0"/>
      <w:marBottom w:val="0"/>
      <w:divBdr>
        <w:top w:val="none" w:sz="0" w:space="0" w:color="auto"/>
        <w:left w:val="none" w:sz="0" w:space="0" w:color="auto"/>
        <w:bottom w:val="none" w:sz="0" w:space="0" w:color="auto"/>
        <w:right w:val="none" w:sz="0" w:space="0" w:color="auto"/>
      </w:divBdr>
    </w:div>
    <w:div w:id="673263349">
      <w:bodyDiv w:val="1"/>
      <w:marLeft w:val="0"/>
      <w:marRight w:val="0"/>
      <w:marTop w:val="0"/>
      <w:marBottom w:val="0"/>
      <w:divBdr>
        <w:top w:val="none" w:sz="0" w:space="0" w:color="auto"/>
        <w:left w:val="none" w:sz="0" w:space="0" w:color="auto"/>
        <w:bottom w:val="none" w:sz="0" w:space="0" w:color="auto"/>
        <w:right w:val="none" w:sz="0" w:space="0" w:color="auto"/>
      </w:divBdr>
    </w:div>
    <w:div w:id="692538112">
      <w:bodyDiv w:val="1"/>
      <w:marLeft w:val="0"/>
      <w:marRight w:val="0"/>
      <w:marTop w:val="0"/>
      <w:marBottom w:val="0"/>
      <w:divBdr>
        <w:top w:val="none" w:sz="0" w:space="0" w:color="auto"/>
        <w:left w:val="none" w:sz="0" w:space="0" w:color="auto"/>
        <w:bottom w:val="none" w:sz="0" w:space="0" w:color="auto"/>
        <w:right w:val="none" w:sz="0" w:space="0" w:color="auto"/>
      </w:divBdr>
    </w:div>
    <w:div w:id="701631138">
      <w:bodyDiv w:val="1"/>
      <w:marLeft w:val="0"/>
      <w:marRight w:val="0"/>
      <w:marTop w:val="0"/>
      <w:marBottom w:val="0"/>
      <w:divBdr>
        <w:top w:val="none" w:sz="0" w:space="0" w:color="auto"/>
        <w:left w:val="none" w:sz="0" w:space="0" w:color="auto"/>
        <w:bottom w:val="none" w:sz="0" w:space="0" w:color="auto"/>
        <w:right w:val="none" w:sz="0" w:space="0" w:color="auto"/>
      </w:divBdr>
    </w:div>
    <w:div w:id="721367841">
      <w:bodyDiv w:val="1"/>
      <w:marLeft w:val="0"/>
      <w:marRight w:val="0"/>
      <w:marTop w:val="0"/>
      <w:marBottom w:val="0"/>
      <w:divBdr>
        <w:top w:val="none" w:sz="0" w:space="0" w:color="auto"/>
        <w:left w:val="none" w:sz="0" w:space="0" w:color="auto"/>
        <w:bottom w:val="none" w:sz="0" w:space="0" w:color="auto"/>
        <w:right w:val="none" w:sz="0" w:space="0" w:color="auto"/>
      </w:divBdr>
    </w:div>
    <w:div w:id="733818002">
      <w:bodyDiv w:val="1"/>
      <w:marLeft w:val="0"/>
      <w:marRight w:val="0"/>
      <w:marTop w:val="0"/>
      <w:marBottom w:val="0"/>
      <w:divBdr>
        <w:top w:val="none" w:sz="0" w:space="0" w:color="auto"/>
        <w:left w:val="none" w:sz="0" w:space="0" w:color="auto"/>
        <w:bottom w:val="none" w:sz="0" w:space="0" w:color="auto"/>
        <w:right w:val="none" w:sz="0" w:space="0" w:color="auto"/>
      </w:divBdr>
    </w:div>
    <w:div w:id="734399074">
      <w:bodyDiv w:val="1"/>
      <w:marLeft w:val="0"/>
      <w:marRight w:val="0"/>
      <w:marTop w:val="0"/>
      <w:marBottom w:val="0"/>
      <w:divBdr>
        <w:top w:val="none" w:sz="0" w:space="0" w:color="auto"/>
        <w:left w:val="none" w:sz="0" w:space="0" w:color="auto"/>
        <w:bottom w:val="none" w:sz="0" w:space="0" w:color="auto"/>
        <w:right w:val="none" w:sz="0" w:space="0" w:color="auto"/>
      </w:divBdr>
    </w:div>
    <w:div w:id="737630454">
      <w:bodyDiv w:val="1"/>
      <w:marLeft w:val="0"/>
      <w:marRight w:val="0"/>
      <w:marTop w:val="0"/>
      <w:marBottom w:val="0"/>
      <w:divBdr>
        <w:top w:val="none" w:sz="0" w:space="0" w:color="auto"/>
        <w:left w:val="none" w:sz="0" w:space="0" w:color="auto"/>
        <w:bottom w:val="none" w:sz="0" w:space="0" w:color="auto"/>
        <w:right w:val="none" w:sz="0" w:space="0" w:color="auto"/>
      </w:divBdr>
    </w:div>
    <w:div w:id="747191381">
      <w:bodyDiv w:val="1"/>
      <w:marLeft w:val="0"/>
      <w:marRight w:val="0"/>
      <w:marTop w:val="0"/>
      <w:marBottom w:val="0"/>
      <w:divBdr>
        <w:top w:val="none" w:sz="0" w:space="0" w:color="auto"/>
        <w:left w:val="none" w:sz="0" w:space="0" w:color="auto"/>
        <w:bottom w:val="none" w:sz="0" w:space="0" w:color="auto"/>
        <w:right w:val="none" w:sz="0" w:space="0" w:color="auto"/>
      </w:divBdr>
    </w:div>
    <w:div w:id="796726328">
      <w:bodyDiv w:val="1"/>
      <w:marLeft w:val="0"/>
      <w:marRight w:val="0"/>
      <w:marTop w:val="0"/>
      <w:marBottom w:val="0"/>
      <w:divBdr>
        <w:top w:val="none" w:sz="0" w:space="0" w:color="auto"/>
        <w:left w:val="none" w:sz="0" w:space="0" w:color="auto"/>
        <w:bottom w:val="none" w:sz="0" w:space="0" w:color="auto"/>
        <w:right w:val="none" w:sz="0" w:space="0" w:color="auto"/>
      </w:divBdr>
    </w:div>
    <w:div w:id="813836993">
      <w:bodyDiv w:val="1"/>
      <w:marLeft w:val="0"/>
      <w:marRight w:val="0"/>
      <w:marTop w:val="0"/>
      <w:marBottom w:val="0"/>
      <w:divBdr>
        <w:top w:val="none" w:sz="0" w:space="0" w:color="auto"/>
        <w:left w:val="none" w:sz="0" w:space="0" w:color="auto"/>
        <w:bottom w:val="none" w:sz="0" w:space="0" w:color="auto"/>
        <w:right w:val="none" w:sz="0" w:space="0" w:color="auto"/>
      </w:divBdr>
    </w:div>
    <w:div w:id="852112273">
      <w:bodyDiv w:val="1"/>
      <w:marLeft w:val="0"/>
      <w:marRight w:val="0"/>
      <w:marTop w:val="0"/>
      <w:marBottom w:val="0"/>
      <w:divBdr>
        <w:top w:val="none" w:sz="0" w:space="0" w:color="auto"/>
        <w:left w:val="none" w:sz="0" w:space="0" w:color="auto"/>
        <w:bottom w:val="none" w:sz="0" w:space="0" w:color="auto"/>
        <w:right w:val="none" w:sz="0" w:space="0" w:color="auto"/>
      </w:divBdr>
    </w:div>
    <w:div w:id="862859811">
      <w:bodyDiv w:val="1"/>
      <w:marLeft w:val="0"/>
      <w:marRight w:val="0"/>
      <w:marTop w:val="0"/>
      <w:marBottom w:val="0"/>
      <w:divBdr>
        <w:top w:val="none" w:sz="0" w:space="0" w:color="auto"/>
        <w:left w:val="none" w:sz="0" w:space="0" w:color="auto"/>
        <w:bottom w:val="none" w:sz="0" w:space="0" w:color="auto"/>
        <w:right w:val="none" w:sz="0" w:space="0" w:color="auto"/>
      </w:divBdr>
    </w:div>
    <w:div w:id="865603369">
      <w:bodyDiv w:val="1"/>
      <w:marLeft w:val="0"/>
      <w:marRight w:val="0"/>
      <w:marTop w:val="0"/>
      <w:marBottom w:val="0"/>
      <w:divBdr>
        <w:top w:val="none" w:sz="0" w:space="0" w:color="auto"/>
        <w:left w:val="none" w:sz="0" w:space="0" w:color="auto"/>
        <w:bottom w:val="none" w:sz="0" w:space="0" w:color="auto"/>
        <w:right w:val="none" w:sz="0" w:space="0" w:color="auto"/>
      </w:divBdr>
    </w:div>
    <w:div w:id="878591481">
      <w:bodyDiv w:val="1"/>
      <w:marLeft w:val="0"/>
      <w:marRight w:val="0"/>
      <w:marTop w:val="0"/>
      <w:marBottom w:val="0"/>
      <w:divBdr>
        <w:top w:val="none" w:sz="0" w:space="0" w:color="auto"/>
        <w:left w:val="none" w:sz="0" w:space="0" w:color="auto"/>
        <w:bottom w:val="none" w:sz="0" w:space="0" w:color="auto"/>
        <w:right w:val="none" w:sz="0" w:space="0" w:color="auto"/>
      </w:divBdr>
    </w:div>
    <w:div w:id="887374277">
      <w:bodyDiv w:val="1"/>
      <w:marLeft w:val="0"/>
      <w:marRight w:val="0"/>
      <w:marTop w:val="0"/>
      <w:marBottom w:val="0"/>
      <w:divBdr>
        <w:top w:val="none" w:sz="0" w:space="0" w:color="auto"/>
        <w:left w:val="none" w:sz="0" w:space="0" w:color="auto"/>
        <w:bottom w:val="none" w:sz="0" w:space="0" w:color="auto"/>
        <w:right w:val="none" w:sz="0" w:space="0" w:color="auto"/>
      </w:divBdr>
    </w:div>
    <w:div w:id="903761941">
      <w:bodyDiv w:val="1"/>
      <w:marLeft w:val="0"/>
      <w:marRight w:val="0"/>
      <w:marTop w:val="0"/>
      <w:marBottom w:val="0"/>
      <w:divBdr>
        <w:top w:val="none" w:sz="0" w:space="0" w:color="auto"/>
        <w:left w:val="none" w:sz="0" w:space="0" w:color="auto"/>
        <w:bottom w:val="none" w:sz="0" w:space="0" w:color="auto"/>
        <w:right w:val="none" w:sz="0" w:space="0" w:color="auto"/>
      </w:divBdr>
    </w:div>
    <w:div w:id="918949195">
      <w:bodyDiv w:val="1"/>
      <w:marLeft w:val="0"/>
      <w:marRight w:val="0"/>
      <w:marTop w:val="0"/>
      <w:marBottom w:val="0"/>
      <w:divBdr>
        <w:top w:val="none" w:sz="0" w:space="0" w:color="auto"/>
        <w:left w:val="none" w:sz="0" w:space="0" w:color="auto"/>
        <w:bottom w:val="none" w:sz="0" w:space="0" w:color="auto"/>
        <w:right w:val="none" w:sz="0" w:space="0" w:color="auto"/>
      </w:divBdr>
    </w:div>
    <w:div w:id="923223208">
      <w:bodyDiv w:val="1"/>
      <w:marLeft w:val="0"/>
      <w:marRight w:val="0"/>
      <w:marTop w:val="0"/>
      <w:marBottom w:val="0"/>
      <w:divBdr>
        <w:top w:val="none" w:sz="0" w:space="0" w:color="auto"/>
        <w:left w:val="none" w:sz="0" w:space="0" w:color="auto"/>
        <w:bottom w:val="none" w:sz="0" w:space="0" w:color="auto"/>
        <w:right w:val="none" w:sz="0" w:space="0" w:color="auto"/>
      </w:divBdr>
    </w:div>
    <w:div w:id="932130660">
      <w:bodyDiv w:val="1"/>
      <w:marLeft w:val="0"/>
      <w:marRight w:val="0"/>
      <w:marTop w:val="0"/>
      <w:marBottom w:val="0"/>
      <w:divBdr>
        <w:top w:val="none" w:sz="0" w:space="0" w:color="auto"/>
        <w:left w:val="none" w:sz="0" w:space="0" w:color="auto"/>
        <w:bottom w:val="none" w:sz="0" w:space="0" w:color="auto"/>
        <w:right w:val="none" w:sz="0" w:space="0" w:color="auto"/>
      </w:divBdr>
    </w:div>
    <w:div w:id="935402152">
      <w:bodyDiv w:val="1"/>
      <w:marLeft w:val="0"/>
      <w:marRight w:val="0"/>
      <w:marTop w:val="0"/>
      <w:marBottom w:val="0"/>
      <w:divBdr>
        <w:top w:val="none" w:sz="0" w:space="0" w:color="auto"/>
        <w:left w:val="none" w:sz="0" w:space="0" w:color="auto"/>
        <w:bottom w:val="none" w:sz="0" w:space="0" w:color="auto"/>
        <w:right w:val="none" w:sz="0" w:space="0" w:color="auto"/>
      </w:divBdr>
    </w:div>
    <w:div w:id="937832481">
      <w:bodyDiv w:val="1"/>
      <w:marLeft w:val="0"/>
      <w:marRight w:val="0"/>
      <w:marTop w:val="0"/>
      <w:marBottom w:val="0"/>
      <w:divBdr>
        <w:top w:val="none" w:sz="0" w:space="0" w:color="auto"/>
        <w:left w:val="none" w:sz="0" w:space="0" w:color="auto"/>
        <w:bottom w:val="none" w:sz="0" w:space="0" w:color="auto"/>
        <w:right w:val="none" w:sz="0" w:space="0" w:color="auto"/>
      </w:divBdr>
    </w:div>
    <w:div w:id="944921535">
      <w:bodyDiv w:val="1"/>
      <w:marLeft w:val="0"/>
      <w:marRight w:val="0"/>
      <w:marTop w:val="0"/>
      <w:marBottom w:val="0"/>
      <w:divBdr>
        <w:top w:val="none" w:sz="0" w:space="0" w:color="auto"/>
        <w:left w:val="none" w:sz="0" w:space="0" w:color="auto"/>
        <w:bottom w:val="none" w:sz="0" w:space="0" w:color="auto"/>
        <w:right w:val="none" w:sz="0" w:space="0" w:color="auto"/>
      </w:divBdr>
    </w:div>
    <w:div w:id="988942604">
      <w:bodyDiv w:val="1"/>
      <w:marLeft w:val="0"/>
      <w:marRight w:val="0"/>
      <w:marTop w:val="0"/>
      <w:marBottom w:val="0"/>
      <w:divBdr>
        <w:top w:val="none" w:sz="0" w:space="0" w:color="auto"/>
        <w:left w:val="none" w:sz="0" w:space="0" w:color="auto"/>
        <w:bottom w:val="none" w:sz="0" w:space="0" w:color="auto"/>
        <w:right w:val="none" w:sz="0" w:space="0" w:color="auto"/>
      </w:divBdr>
    </w:div>
    <w:div w:id="989408496">
      <w:bodyDiv w:val="1"/>
      <w:marLeft w:val="0"/>
      <w:marRight w:val="0"/>
      <w:marTop w:val="0"/>
      <w:marBottom w:val="0"/>
      <w:divBdr>
        <w:top w:val="none" w:sz="0" w:space="0" w:color="auto"/>
        <w:left w:val="none" w:sz="0" w:space="0" w:color="auto"/>
        <w:bottom w:val="none" w:sz="0" w:space="0" w:color="auto"/>
        <w:right w:val="none" w:sz="0" w:space="0" w:color="auto"/>
      </w:divBdr>
    </w:div>
    <w:div w:id="1028215243">
      <w:bodyDiv w:val="1"/>
      <w:marLeft w:val="0"/>
      <w:marRight w:val="0"/>
      <w:marTop w:val="0"/>
      <w:marBottom w:val="0"/>
      <w:divBdr>
        <w:top w:val="none" w:sz="0" w:space="0" w:color="auto"/>
        <w:left w:val="none" w:sz="0" w:space="0" w:color="auto"/>
        <w:bottom w:val="none" w:sz="0" w:space="0" w:color="auto"/>
        <w:right w:val="none" w:sz="0" w:space="0" w:color="auto"/>
      </w:divBdr>
    </w:div>
    <w:div w:id="1031489004">
      <w:bodyDiv w:val="1"/>
      <w:marLeft w:val="0"/>
      <w:marRight w:val="0"/>
      <w:marTop w:val="0"/>
      <w:marBottom w:val="0"/>
      <w:divBdr>
        <w:top w:val="none" w:sz="0" w:space="0" w:color="auto"/>
        <w:left w:val="none" w:sz="0" w:space="0" w:color="auto"/>
        <w:bottom w:val="none" w:sz="0" w:space="0" w:color="auto"/>
        <w:right w:val="none" w:sz="0" w:space="0" w:color="auto"/>
      </w:divBdr>
    </w:div>
    <w:div w:id="1035958413">
      <w:bodyDiv w:val="1"/>
      <w:marLeft w:val="0"/>
      <w:marRight w:val="0"/>
      <w:marTop w:val="0"/>
      <w:marBottom w:val="0"/>
      <w:divBdr>
        <w:top w:val="none" w:sz="0" w:space="0" w:color="auto"/>
        <w:left w:val="none" w:sz="0" w:space="0" w:color="auto"/>
        <w:bottom w:val="none" w:sz="0" w:space="0" w:color="auto"/>
        <w:right w:val="none" w:sz="0" w:space="0" w:color="auto"/>
      </w:divBdr>
    </w:div>
    <w:div w:id="1041593124">
      <w:bodyDiv w:val="1"/>
      <w:marLeft w:val="0"/>
      <w:marRight w:val="0"/>
      <w:marTop w:val="0"/>
      <w:marBottom w:val="0"/>
      <w:divBdr>
        <w:top w:val="none" w:sz="0" w:space="0" w:color="auto"/>
        <w:left w:val="none" w:sz="0" w:space="0" w:color="auto"/>
        <w:bottom w:val="none" w:sz="0" w:space="0" w:color="auto"/>
        <w:right w:val="none" w:sz="0" w:space="0" w:color="auto"/>
      </w:divBdr>
    </w:div>
    <w:div w:id="1047337143">
      <w:bodyDiv w:val="1"/>
      <w:marLeft w:val="0"/>
      <w:marRight w:val="0"/>
      <w:marTop w:val="0"/>
      <w:marBottom w:val="0"/>
      <w:divBdr>
        <w:top w:val="none" w:sz="0" w:space="0" w:color="auto"/>
        <w:left w:val="none" w:sz="0" w:space="0" w:color="auto"/>
        <w:bottom w:val="none" w:sz="0" w:space="0" w:color="auto"/>
        <w:right w:val="none" w:sz="0" w:space="0" w:color="auto"/>
      </w:divBdr>
      <w:divsChild>
        <w:div w:id="2036804423">
          <w:marLeft w:val="0"/>
          <w:marRight w:val="0"/>
          <w:marTop w:val="288"/>
          <w:marBottom w:val="100"/>
          <w:divBdr>
            <w:top w:val="none" w:sz="0" w:space="0" w:color="auto"/>
            <w:left w:val="none" w:sz="0" w:space="0" w:color="auto"/>
            <w:bottom w:val="none" w:sz="0" w:space="0" w:color="auto"/>
            <w:right w:val="none" w:sz="0" w:space="0" w:color="auto"/>
          </w:divBdr>
          <w:divsChild>
            <w:div w:id="615062433">
              <w:marLeft w:val="0"/>
              <w:marRight w:val="0"/>
              <w:marTop w:val="0"/>
              <w:marBottom w:val="0"/>
              <w:divBdr>
                <w:top w:val="none" w:sz="0" w:space="0" w:color="auto"/>
                <w:left w:val="none" w:sz="0" w:space="0" w:color="auto"/>
                <w:bottom w:val="none" w:sz="0" w:space="0" w:color="auto"/>
                <w:right w:val="none" w:sz="0" w:space="0" w:color="auto"/>
              </w:divBdr>
            </w:div>
          </w:divsChild>
        </w:div>
        <w:div w:id="2073848491">
          <w:marLeft w:val="0"/>
          <w:marRight w:val="0"/>
          <w:marTop w:val="288"/>
          <w:marBottom w:val="100"/>
          <w:divBdr>
            <w:top w:val="none" w:sz="0" w:space="0" w:color="auto"/>
            <w:left w:val="none" w:sz="0" w:space="0" w:color="auto"/>
            <w:bottom w:val="none" w:sz="0" w:space="0" w:color="auto"/>
            <w:right w:val="none" w:sz="0" w:space="0" w:color="auto"/>
          </w:divBdr>
          <w:divsChild>
            <w:div w:id="12258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0596">
      <w:bodyDiv w:val="1"/>
      <w:marLeft w:val="0"/>
      <w:marRight w:val="0"/>
      <w:marTop w:val="0"/>
      <w:marBottom w:val="0"/>
      <w:divBdr>
        <w:top w:val="none" w:sz="0" w:space="0" w:color="auto"/>
        <w:left w:val="none" w:sz="0" w:space="0" w:color="auto"/>
        <w:bottom w:val="none" w:sz="0" w:space="0" w:color="auto"/>
        <w:right w:val="none" w:sz="0" w:space="0" w:color="auto"/>
      </w:divBdr>
    </w:div>
    <w:div w:id="1143933043">
      <w:bodyDiv w:val="1"/>
      <w:marLeft w:val="0"/>
      <w:marRight w:val="0"/>
      <w:marTop w:val="0"/>
      <w:marBottom w:val="0"/>
      <w:divBdr>
        <w:top w:val="none" w:sz="0" w:space="0" w:color="auto"/>
        <w:left w:val="none" w:sz="0" w:space="0" w:color="auto"/>
        <w:bottom w:val="none" w:sz="0" w:space="0" w:color="auto"/>
        <w:right w:val="none" w:sz="0" w:space="0" w:color="auto"/>
      </w:divBdr>
      <w:divsChild>
        <w:div w:id="674307971">
          <w:marLeft w:val="0"/>
          <w:marRight w:val="0"/>
          <w:marTop w:val="166"/>
          <w:marBottom w:val="166"/>
          <w:divBdr>
            <w:top w:val="none" w:sz="0" w:space="0" w:color="auto"/>
            <w:left w:val="none" w:sz="0" w:space="0" w:color="auto"/>
            <w:bottom w:val="none" w:sz="0" w:space="0" w:color="auto"/>
            <w:right w:val="none" w:sz="0" w:space="0" w:color="auto"/>
          </w:divBdr>
        </w:div>
        <w:div w:id="2090737057">
          <w:marLeft w:val="0"/>
          <w:marRight w:val="0"/>
          <w:marTop w:val="166"/>
          <w:marBottom w:val="166"/>
          <w:divBdr>
            <w:top w:val="none" w:sz="0" w:space="0" w:color="auto"/>
            <w:left w:val="none" w:sz="0" w:space="0" w:color="auto"/>
            <w:bottom w:val="none" w:sz="0" w:space="0" w:color="auto"/>
            <w:right w:val="none" w:sz="0" w:space="0" w:color="auto"/>
          </w:divBdr>
        </w:div>
      </w:divsChild>
    </w:div>
    <w:div w:id="1149445042">
      <w:bodyDiv w:val="1"/>
      <w:marLeft w:val="0"/>
      <w:marRight w:val="0"/>
      <w:marTop w:val="0"/>
      <w:marBottom w:val="0"/>
      <w:divBdr>
        <w:top w:val="none" w:sz="0" w:space="0" w:color="auto"/>
        <w:left w:val="none" w:sz="0" w:space="0" w:color="auto"/>
        <w:bottom w:val="none" w:sz="0" w:space="0" w:color="auto"/>
        <w:right w:val="none" w:sz="0" w:space="0" w:color="auto"/>
      </w:divBdr>
    </w:div>
    <w:div w:id="1162502623">
      <w:bodyDiv w:val="1"/>
      <w:marLeft w:val="0"/>
      <w:marRight w:val="0"/>
      <w:marTop w:val="0"/>
      <w:marBottom w:val="0"/>
      <w:divBdr>
        <w:top w:val="none" w:sz="0" w:space="0" w:color="auto"/>
        <w:left w:val="none" w:sz="0" w:space="0" w:color="auto"/>
        <w:bottom w:val="none" w:sz="0" w:space="0" w:color="auto"/>
        <w:right w:val="none" w:sz="0" w:space="0" w:color="auto"/>
      </w:divBdr>
    </w:div>
    <w:div w:id="1181361481">
      <w:bodyDiv w:val="1"/>
      <w:marLeft w:val="0"/>
      <w:marRight w:val="0"/>
      <w:marTop w:val="0"/>
      <w:marBottom w:val="0"/>
      <w:divBdr>
        <w:top w:val="none" w:sz="0" w:space="0" w:color="auto"/>
        <w:left w:val="none" w:sz="0" w:space="0" w:color="auto"/>
        <w:bottom w:val="none" w:sz="0" w:space="0" w:color="auto"/>
        <w:right w:val="none" w:sz="0" w:space="0" w:color="auto"/>
      </w:divBdr>
    </w:div>
    <w:div w:id="1193106587">
      <w:bodyDiv w:val="1"/>
      <w:marLeft w:val="0"/>
      <w:marRight w:val="0"/>
      <w:marTop w:val="0"/>
      <w:marBottom w:val="0"/>
      <w:divBdr>
        <w:top w:val="none" w:sz="0" w:space="0" w:color="auto"/>
        <w:left w:val="none" w:sz="0" w:space="0" w:color="auto"/>
        <w:bottom w:val="none" w:sz="0" w:space="0" w:color="auto"/>
        <w:right w:val="none" w:sz="0" w:space="0" w:color="auto"/>
      </w:divBdr>
    </w:div>
    <w:div w:id="1194030135">
      <w:bodyDiv w:val="1"/>
      <w:marLeft w:val="0"/>
      <w:marRight w:val="0"/>
      <w:marTop w:val="0"/>
      <w:marBottom w:val="0"/>
      <w:divBdr>
        <w:top w:val="none" w:sz="0" w:space="0" w:color="auto"/>
        <w:left w:val="none" w:sz="0" w:space="0" w:color="auto"/>
        <w:bottom w:val="none" w:sz="0" w:space="0" w:color="auto"/>
        <w:right w:val="none" w:sz="0" w:space="0" w:color="auto"/>
      </w:divBdr>
    </w:div>
    <w:div w:id="1227031030">
      <w:bodyDiv w:val="1"/>
      <w:marLeft w:val="0"/>
      <w:marRight w:val="0"/>
      <w:marTop w:val="0"/>
      <w:marBottom w:val="0"/>
      <w:divBdr>
        <w:top w:val="none" w:sz="0" w:space="0" w:color="auto"/>
        <w:left w:val="none" w:sz="0" w:space="0" w:color="auto"/>
        <w:bottom w:val="none" w:sz="0" w:space="0" w:color="auto"/>
        <w:right w:val="none" w:sz="0" w:space="0" w:color="auto"/>
      </w:divBdr>
    </w:div>
    <w:div w:id="1229608758">
      <w:bodyDiv w:val="1"/>
      <w:marLeft w:val="0"/>
      <w:marRight w:val="0"/>
      <w:marTop w:val="0"/>
      <w:marBottom w:val="0"/>
      <w:divBdr>
        <w:top w:val="none" w:sz="0" w:space="0" w:color="auto"/>
        <w:left w:val="none" w:sz="0" w:space="0" w:color="auto"/>
        <w:bottom w:val="none" w:sz="0" w:space="0" w:color="auto"/>
        <w:right w:val="none" w:sz="0" w:space="0" w:color="auto"/>
      </w:divBdr>
    </w:div>
    <w:div w:id="1232274944">
      <w:bodyDiv w:val="1"/>
      <w:marLeft w:val="0"/>
      <w:marRight w:val="0"/>
      <w:marTop w:val="0"/>
      <w:marBottom w:val="0"/>
      <w:divBdr>
        <w:top w:val="none" w:sz="0" w:space="0" w:color="auto"/>
        <w:left w:val="none" w:sz="0" w:space="0" w:color="auto"/>
        <w:bottom w:val="none" w:sz="0" w:space="0" w:color="auto"/>
        <w:right w:val="none" w:sz="0" w:space="0" w:color="auto"/>
      </w:divBdr>
    </w:div>
    <w:div w:id="1253583064">
      <w:bodyDiv w:val="1"/>
      <w:marLeft w:val="0"/>
      <w:marRight w:val="0"/>
      <w:marTop w:val="0"/>
      <w:marBottom w:val="0"/>
      <w:divBdr>
        <w:top w:val="none" w:sz="0" w:space="0" w:color="auto"/>
        <w:left w:val="none" w:sz="0" w:space="0" w:color="auto"/>
        <w:bottom w:val="none" w:sz="0" w:space="0" w:color="auto"/>
        <w:right w:val="none" w:sz="0" w:space="0" w:color="auto"/>
      </w:divBdr>
    </w:div>
    <w:div w:id="1286545627">
      <w:bodyDiv w:val="1"/>
      <w:marLeft w:val="0"/>
      <w:marRight w:val="0"/>
      <w:marTop w:val="0"/>
      <w:marBottom w:val="0"/>
      <w:divBdr>
        <w:top w:val="none" w:sz="0" w:space="0" w:color="auto"/>
        <w:left w:val="none" w:sz="0" w:space="0" w:color="auto"/>
        <w:bottom w:val="none" w:sz="0" w:space="0" w:color="auto"/>
        <w:right w:val="none" w:sz="0" w:space="0" w:color="auto"/>
      </w:divBdr>
    </w:div>
    <w:div w:id="1287156049">
      <w:bodyDiv w:val="1"/>
      <w:marLeft w:val="0"/>
      <w:marRight w:val="0"/>
      <w:marTop w:val="0"/>
      <w:marBottom w:val="0"/>
      <w:divBdr>
        <w:top w:val="none" w:sz="0" w:space="0" w:color="auto"/>
        <w:left w:val="none" w:sz="0" w:space="0" w:color="auto"/>
        <w:bottom w:val="none" w:sz="0" w:space="0" w:color="auto"/>
        <w:right w:val="none" w:sz="0" w:space="0" w:color="auto"/>
      </w:divBdr>
    </w:div>
    <w:div w:id="1295284899">
      <w:bodyDiv w:val="1"/>
      <w:marLeft w:val="0"/>
      <w:marRight w:val="0"/>
      <w:marTop w:val="0"/>
      <w:marBottom w:val="0"/>
      <w:divBdr>
        <w:top w:val="none" w:sz="0" w:space="0" w:color="auto"/>
        <w:left w:val="none" w:sz="0" w:space="0" w:color="auto"/>
        <w:bottom w:val="none" w:sz="0" w:space="0" w:color="auto"/>
        <w:right w:val="none" w:sz="0" w:space="0" w:color="auto"/>
      </w:divBdr>
    </w:div>
    <w:div w:id="1299531815">
      <w:bodyDiv w:val="1"/>
      <w:marLeft w:val="0"/>
      <w:marRight w:val="0"/>
      <w:marTop w:val="0"/>
      <w:marBottom w:val="0"/>
      <w:divBdr>
        <w:top w:val="none" w:sz="0" w:space="0" w:color="auto"/>
        <w:left w:val="none" w:sz="0" w:space="0" w:color="auto"/>
        <w:bottom w:val="none" w:sz="0" w:space="0" w:color="auto"/>
        <w:right w:val="none" w:sz="0" w:space="0" w:color="auto"/>
      </w:divBdr>
    </w:div>
    <w:div w:id="1320502574">
      <w:bodyDiv w:val="1"/>
      <w:marLeft w:val="0"/>
      <w:marRight w:val="0"/>
      <w:marTop w:val="0"/>
      <w:marBottom w:val="0"/>
      <w:divBdr>
        <w:top w:val="none" w:sz="0" w:space="0" w:color="auto"/>
        <w:left w:val="none" w:sz="0" w:space="0" w:color="auto"/>
        <w:bottom w:val="none" w:sz="0" w:space="0" w:color="auto"/>
        <w:right w:val="none" w:sz="0" w:space="0" w:color="auto"/>
      </w:divBdr>
    </w:div>
    <w:div w:id="1394038644">
      <w:bodyDiv w:val="1"/>
      <w:marLeft w:val="0"/>
      <w:marRight w:val="0"/>
      <w:marTop w:val="0"/>
      <w:marBottom w:val="0"/>
      <w:divBdr>
        <w:top w:val="none" w:sz="0" w:space="0" w:color="auto"/>
        <w:left w:val="none" w:sz="0" w:space="0" w:color="auto"/>
        <w:bottom w:val="none" w:sz="0" w:space="0" w:color="auto"/>
        <w:right w:val="none" w:sz="0" w:space="0" w:color="auto"/>
      </w:divBdr>
    </w:div>
    <w:div w:id="1419600160">
      <w:bodyDiv w:val="1"/>
      <w:marLeft w:val="0"/>
      <w:marRight w:val="0"/>
      <w:marTop w:val="0"/>
      <w:marBottom w:val="0"/>
      <w:divBdr>
        <w:top w:val="none" w:sz="0" w:space="0" w:color="auto"/>
        <w:left w:val="none" w:sz="0" w:space="0" w:color="auto"/>
        <w:bottom w:val="none" w:sz="0" w:space="0" w:color="auto"/>
        <w:right w:val="none" w:sz="0" w:space="0" w:color="auto"/>
      </w:divBdr>
    </w:div>
    <w:div w:id="1458253052">
      <w:bodyDiv w:val="1"/>
      <w:marLeft w:val="0"/>
      <w:marRight w:val="0"/>
      <w:marTop w:val="0"/>
      <w:marBottom w:val="0"/>
      <w:divBdr>
        <w:top w:val="none" w:sz="0" w:space="0" w:color="auto"/>
        <w:left w:val="none" w:sz="0" w:space="0" w:color="auto"/>
        <w:bottom w:val="none" w:sz="0" w:space="0" w:color="auto"/>
        <w:right w:val="none" w:sz="0" w:space="0" w:color="auto"/>
      </w:divBdr>
      <w:divsChild>
        <w:div w:id="946615709">
          <w:marLeft w:val="0"/>
          <w:marRight w:val="0"/>
          <w:marTop w:val="0"/>
          <w:marBottom w:val="0"/>
          <w:divBdr>
            <w:top w:val="none" w:sz="0" w:space="0" w:color="auto"/>
            <w:left w:val="none" w:sz="0" w:space="0" w:color="auto"/>
            <w:bottom w:val="none" w:sz="0" w:space="0" w:color="auto"/>
            <w:right w:val="none" w:sz="0" w:space="0" w:color="auto"/>
          </w:divBdr>
          <w:divsChild>
            <w:div w:id="705519941">
              <w:marLeft w:val="0"/>
              <w:marRight w:val="120"/>
              <w:marTop w:val="0"/>
              <w:marBottom w:val="0"/>
              <w:divBdr>
                <w:top w:val="none" w:sz="0" w:space="0" w:color="auto"/>
                <w:left w:val="none" w:sz="0" w:space="0" w:color="auto"/>
                <w:bottom w:val="none" w:sz="0" w:space="0" w:color="auto"/>
                <w:right w:val="none" w:sz="0" w:space="0" w:color="auto"/>
              </w:divBdr>
            </w:div>
            <w:div w:id="872185586">
              <w:marLeft w:val="0"/>
              <w:marRight w:val="0"/>
              <w:marTop w:val="0"/>
              <w:marBottom w:val="0"/>
              <w:divBdr>
                <w:top w:val="none" w:sz="0" w:space="0" w:color="auto"/>
                <w:left w:val="none" w:sz="0" w:space="0" w:color="auto"/>
                <w:bottom w:val="none" w:sz="0" w:space="0" w:color="auto"/>
                <w:right w:val="none" w:sz="0" w:space="0" w:color="auto"/>
              </w:divBdr>
            </w:div>
          </w:divsChild>
        </w:div>
        <w:div w:id="1765178079">
          <w:marLeft w:val="0"/>
          <w:marRight w:val="0"/>
          <w:marTop w:val="0"/>
          <w:marBottom w:val="0"/>
          <w:divBdr>
            <w:top w:val="none" w:sz="0" w:space="0" w:color="auto"/>
            <w:left w:val="none" w:sz="0" w:space="0" w:color="auto"/>
            <w:bottom w:val="none" w:sz="0" w:space="0" w:color="auto"/>
            <w:right w:val="none" w:sz="0" w:space="0" w:color="auto"/>
          </w:divBdr>
          <w:divsChild>
            <w:div w:id="459106761">
              <w:marLeft w:val="0"/>
              <w:marRight w:val="0"/>
              <w:marTop w:val="0"/>
              <w:marBottom w:val="0"/>
              <w:divBdr>
                <w:top w:val="none" w:sz="0" w:space="0" w:color="auto"/>
                <w:left w:val="none" w:sz="0" w:space="0" w:color="auto"/>
                <w:bottom w:val="none" w:sz="0" w:space="0" w:color="auto"/>
                <w:right w:val="none" w:sz="0" w:space="0" w:color="auto"/>
              </w:divBdr>
            </w:div>
            <w:div w:id="16209122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5370473">
      <w:bodyDiv w:val="1"/>
      <w:marLeft w:val="0"/>
      <w:marRight w:val="0"/>
      <w:marTop w:val="0"/>
      <w:marBottom w:val="0"/>
      <w:divBdr>
        <w:top w:val="none" w:sz="0" w:space="0" w:color="auto"/>
        <w:left w:val="none" w:sz="0" w:space="0" w:color="auto"/>
        <w:bottom w:val="none" w:sz="0" w:space="0" w:color="auto"/>
        <w:right w:val="none" w:sz="0" w:space="0" w:color="auto"/>
      </w:divBdr>
    </w:div>
    <w:div w:id="1485196504">
      <w:bodyDiv w:val="1"/>
      <w:marLeft w:val="0"/>
      <w:marRight w:val="0"/>
      <w:marTop w:val="0"/>
      <w:marBottom w:val="0"/>
      <w:divBdr>
        <w:top w:val="none" w:sz="0" w:space="0" w:color="auto"/>
        <w:left w:val="none" w:sz="0" w:space="0" w:color="auto"/>
        <w:bottom w:val="none" w:sz="0" w:space="0" w:color="auto"/>
        <w:right w:val="none" w:sz="0" w:space="0" w:color="auto"/>
      </w:divBdr>
    </w:div>
    <w:div w:id="1496921971">
      <w:bodyDiv w:val="1"/>
      <w:marLeft w:val="0"/>
      <w:marRight w:val="0"/>
      <w:marTop w:val="0"/>
      <w:marBottom w:val="0"/>
      <w:divBdr>
        <w:top w:val="none" w:sz="0" w:space="0" w:color="auto"/>
        <w:left w:val="none" w:sz="0" w:space="0" w:color="auto"/>
        <w:bottom w:val="none" w:sz="0" w:space="0" w:color="auto"/>
        <w:right w:val="none" w:sz="0" w:space="0" w:color="auto"/>
      </w:divBdr>
    </w:div>
    <w:div w:id="1506439866">
      <w:bodyDiv w:val="1"/>
      <w:marLeft w:val="0"/>
      <w:marRight w:val="0"/>
      <w:marTop w:val="0"/>
      <w:marBottom w:val="0"/>
      <w:divBdr>
        <w:top w:val="none" w:sz="0" w:space="0" w:color="auto"/>
        <w:left w:val="none" w:sz="0" w:space="0" w:color="auto"/>
        <w:bottom w:val="none" w:sz="0" w:space="0" w:color="auto"/>
        <w:right w:val="none" w:sz="0" w:space="0" w:color="auto"/>
      </w:divBdr>
    </w:div>
    <w:div w:id="1532065127">
      <w:bodyDiv w:val="1"/>
      <w:marLeft w:val="0"/>
      <w:marRight w:val="0"/>
      <w:marTop w:val="0"/>
      <w:marBottom w:val="0"/>
      <w:divBdr>
        <w:top w:val="none" w:sz="0" w:space="0" w:color="auto"/>
        <w:left w:val="none" w:sz="0" w:space="0" w:color="auto"/>
        <w:bottom w:val="none" w:sz="0" w:space="0" w:color="auto"/>
        <w:right w:val="none" w:sz="0" w:space="0" w:color="auto"/>
      </w:divBdr>
    </w:div>
    <w:div w:id="1555652492">
      <w:bodyDiv w:val="1"/>
      <w:marLeft w:val="0"/>
      <w:marRight w:val="0"/>
      <w:marTop w:val="0"/>
      <w:marBottom w:val="0"/>
      <w:divBdr>
        <w:top w:val="none" w:sz="0" w:space="0" w:color="auto"/>
        <w:left w:val="none" w:sz="0" w:space="0" w:color="auto"/>
        <w:bottom w:val="none" w:sz="0" w:space="0" w:color="auto"/>
        <w:right w:val="none" w:sz="0" w:space="0" w:color="auto"/>
      </w:divBdr>
    </w:div>
    <w:div w:id="1558932477">
      <w:bodyDiv w:val="1"/>
      <w:marLeft w:val="0"/>
      <w:marRight w:val="0"/>
      <w:marTop w:val="0"/>
      <w:marBottom w:val="0"/>
      <w:divBdr>
        <w:top w:val="none" w:sz="0" w:space="0" w:color="auto"/>
        <w:left w:val="none" w:sz="0" w:space="0" w:color="auto"/>
        <w:bottom w:val="none" w:sz="0" w:space="0" w:color="auto"/>
        <w:right w:val="none" w:sz="0" w:space="0" w:color="auto"/>
      </w:divBdr>
    </w:div>
    <w:div w:id="1565682676">
      <w:bodyDiv w:val="1"/>
      <w:marLeft w:val="0"/>
      <w:marRight w:val="0"/>
      <w:marTop w:val="0"/>
      <w:marBottom w:val="0"/>
      <w:divBdr>
        <w:top w:val="none" w:sz="0" w:space="0" w:color="auto"/>
        <w:left w:val="none" w:sz="0" w:space="0" w:color="auto"/>
        <w:bottom w:val="none" w:sz="0" w:space="0" w:color="auto"/>
        <w:right w:val="none" w:sz="0" w:space="0" w:color="auto"/>
      </w:divBdr>
    </w:div>
    <w:div w:id="1568565423">
      <w:bodyDiv w:val="1"/>
      <w:marLeft w:val="0"/>
      <w:marRight w:val="0"/>
      <w:marTop w:val="0"/>
      <w:marBottom w:val="0"/>
      <w:divBdr>
        <w:top w:val="none" w:sz="0" w:space="0" w:color="auto"/>
        <w:left w:val="none" w:sz="0" w:space="0" w:color="auto"/>
        <w:bottom w:val="none" w:sz="0" w:space="0" w:color="auto"/>
        <w:right w:val="none" w:sz="0" w:space="0" w:color="auto"/>
      </w:divBdr>
    </w:div>
    <w:div w:id="1586914407">
      <w:bodyDiv w:val="1"/>
      <w:marLeft w:val="0"/>
      <w:marRight w:val="0"/>
      <w:marTop w:val="0"/>
      <w:marBottom w:val="0"/>
      <w:divBdr>
        <w:top w:val="none" w:sz="0" w:space="0" w:color="auto"/>
        <w:left w:val="none" w:sz="0" w:space="0" w:color="auto"/>
        <w:bottom w:val="none" w:sz="0" w:space="0" w:color="auto"/>
        <w:right w:val="none" w:sz="0" w:space="0" w:color="auto"/>
      </w:divBdr>
    </w:div>
    <w:div w:id="1589848529">
      <w:bodyDiv w:val="1"/>
      <w:marLeft w:val="0"/>
      <w:marRight w:val="0"/>
      <w:marTop w:val="0"/>
      <w:marBottom w:val="0"/>
      <w:divBdr>
        <w:top w:val="none" w:sz="0" w:space="0" w:color="auto"/>
        <w:left w:val="none" w:sz="0" w:space="0" w:color="auto"/>
        <w:bottom w:val="none" w:sz="0" w:space="0" w:color="auto"/>
        <w:right w:val="none" w:sz="0" w:space="0" w:color="auto"/>
      </w:divBdr>
    </w:div>
    <w:div w:id="1609384303">
      <w:bodyDiv w:val="1"/>
      <w:marLeft w:val="0"/>
      <w:marRight w:val="0"/>
      <w:marTop w:val="0"/>
      <w:marBottom w:val="0"/>
      <w:divBdr>
        <w:top w:val="none" w:sz="0" w:space="0" w:color="auto"/>
        <w:left w:val="none" w:sz="0" w:space="0" w:color="auto"/>
        <w:bottom w:val="none" w:sz="0" w:space="0" w:color="auto"/>
        <w:right w:val="none" w:sz="0" w:space="0" w:color="auto"/>
      </w:divBdr>
    </w:div>
    <w:div w:id="1617636904">
      <w:bodyDiv w:val="1"/>
      <w:marLeft w:val="0"/>
      <w:marRight w:val="0"/>
      <w:marTop w:val="0"/>
      <w:marBottom w:val="0"/>
      <w:divBdr>
        <w:top w:val="none" w:sz="0" w:space="0" w:color="auto"/>
        <w:left w:val="none" w:sz="0" w:space="0" w:color="auto"/>
        <w:bottom w:val="none" w:sz="0" w:space="0" w:color="auto"/>
        <w:right w:val="none" w:sz="0" w:space="0" w:color="auto"/>
      </w:divBdr>
    </w:div>
    <w:div w:id="1623227199">
      <w:bodyDiv w:val="1"/>
      <w:marLeft w:val="0"/>
      <w:marRight w:val="0"/>
      <w:marTop w:val="0"/>
      <w:marBottom w:val="0"/>
      <w:divBdr>
        <w:top w:val="none" w:sz="0" w:space="0" w:color="auto"/>
        <w:left w:val="none" w:sz="0" w:space="0" w:color="auto"/>
        <w:bottom w:val="none" w:sz="0" w:space="0" w:color="auto"/>
        <w:right w:val="none" w:sz="0" w:space="0" w:color="auto"/>
      </w:divBdr>
    </w:div>
    <w:div w:id="1654291715">
      <w:bodyDiv w:val="1"/>
      <w:marLeft w:val="0"/>
      <w:marRight w:val="0"/>
      <w:marTop w:val="0"/>
      <w:marBottom w:val="0"/>
      <w:divBdr>
        <w:top w:val="none" w:sz="0" w:space="0" w:color="auto"/>
        <w:left w:val="none" w:sz="0" w:space="0" w:color="auto"/>
        <w:bottom w:val="none" w:sz="0" w:space="0" w:color="auto"/>
        <w:right w:val="none" w:sz="0" w:space="0" w:color="auto"/>
      </w:divBdr>
    </w:div>
    <w:div w:id="1697273931">
      <w:bodyDiv w:val="1"/>
      <w:marLeft w:val="0"/>
      <w:marRight w:val="0"/>
      <w:marTop w:val="0"/>
      <w:marBottom w:val="0"/>
      <w:divBdr>
        <w:top w:val="none" w:sz="0" w:space="0" w:color="auto"/>
        <w:left w:val="none" w:sz="0" w:space="0" w:color="auto"/>
        <w:bottom w:val="none" w:sz="0" w:space="0" w:color="auto"/>
        <w:right w:val="none" w:sz="0" w:space="0" w:color="auto"/>
      </w:divBdr>
    </w:div>
    <w:div w:id="1716005976">
      <w:bodyDiv w:val="1"/>
      <w:marLeft w:val="0"/>
      <w:marRight w:val="0"/>
      <w:marTop w:val="0"/>
      <w:marBottom w:val="0"/>
      <w:divBdr>
        <w:top w:val="none" w:sz="0" w:space="0" w:color="auto"/>
        <w:left w:val="none" w:sz="0" w:space="0" w:color="auto"/>
        <w:bottom w:val="none" w:sz="0" w:space="0" w:color="auto"/>
        <w:right w:val="none" w:sz="0" w:space="0" w:color="auto"/>
      </w:divBdr>
    </w:div>
    <w:div w:id="1728336538">
      <w:bodyDiv w:val="1"/>
      <w:marLeft w:val="0"/>
      <w:marRight w:val="0"/>
      <w:marTop w:val="0"/>
      <w:marBottom w:val="0"/>
      <w:divBdr>
        <w:top w:val="none" w:sz="0" w:space="0" w:color="auto"/>
        <w:left w:val="none" w:sz="0" w:space="0" w:color="auto"/>
        <w:bottom w:val="none" w:sz="0" w:space="0" w:color="auto"/>
        <w:right w:val="none" w:sz="0" w:space="0" w:color="auto"/>
      </w:divBdr>
    </w:div>
    <w:div w:id="1734620230">
      <w:bodyDiv w:val="1"/>
      <w:marLeft w:val="0"/>
      <w:marRight w:val="0"/>
      <w:marTop w:val="0"/>
      <w:marBottom w:val="0"/>
      <w:divBdr>
        <w:top w:val="none" w:sz="0" w:space="0" w:color="auto"/>
        <w:left w:val="none" w:sz="0" w:space="0" w:color="auto"/>
        <w:bottom w:val="none" w:sz="0" w:space="0" w:color="auto"/>
        <w:right w:val="none" w:sz="0" w:space="0" w:color="auto"/>
      </w:divBdr>
    </w:div>
    <w:div w:id="1747411551">
      <w:bodyDiv w:val="1"/>
      <w:marLeft w:val="0"/>
      <w:marRight w:val="0"/>
      <w:marTop w:val="0"/>
      <w:marBottom w:val="0"/>
      <w:divBdr>
        <w:top w:val="none" w:sz="0" w:space="0" w:color="auto"/>
        <w:left w:val="none" w:sz="0" w:space="0" w:color="auto"/>
        <w:bottom w:val="none" w:sz="0" w:space="0" w:color="auto"/>
        <w:right w:val="none" w:sz="0" w:space="0" w:color="auto"/>
      </w:divBdr>
      <w:divsChild>
        <w:div w:id="282538859">
          <w:marLeft w:val="0"/>
          <w:marRight w:val="0"/>
          <w:marTop w:val="0"/>
          <w:marBottom w:val="0"/>
          <w:divBdr>
            <w:top w:val="none" w:sz="0" w:space="0" w:color="auto"/>
            <w:left w:val="none" w:sz="0" w:space="0" w:color="auto"/>
            <w:bottom w:val="none" w:sz="0" w:space="0" w:color="auto"/>
            <w:right w:val="none" w:sz="0" w:space="0" w:color="auto"/>
          </w:divBdr>
        </w:div>
        <w:div w:id="577205471">
          <w:marLeft w:val="0"/>
          <w:marRight w:val="0"/>
          <w:marTop w:val="0"/>
          <w:marBottom w:val="0"/>
          <w:divBdr>
            <w:top w:val="none" w:sz="0" w:space="0" w:color="auto"/>
            <w:left w:val="none" w:sz="0" w:space="0" w:color="auto"/>
            <w:bottom w:val="none" w:sz="0" w:space="0" w:color="auto"/>
            <w:right w:val="none" w:sz="0" w:space="0" w:color="auto"/>
          </w:divBdr>
        </w:div>
        <w:div w:id="1121218290">
          <w:marLeft w:val="0"/>
          <w:marRight w:val="0"/>
          <w:marTop w:val="0"/>
          <w:marBottom w:val="0"/>
          <w:divBdr>
            <w:top w:val="none" w:sz="0" w:space="0" w:color="auto"/>
            <w:left w:val="none" w:sz="0" w:space="0" w:color="auto"/>
            <w:bottom w:val="none" w:sz="0" w:space="0" w:color="auto"/>
            <w:right w:val="none" w:sz="0" w:space="0" w:color="auto"/>
          </w:divBdr>
        </w:div>
        <w:div w:id="1417826676">
          <w:marLeft w:val="0"/>
          <w:marRight w:val="0"/>
          <w:marTop w:val="0"/>
          <w:marBottom w:val="0"/>
          <w:divBdr>
            <w:top w:val="none" w:sz="0" w:space="0" w:color="auto"/>
            <w:left w:val="none" w:sz="0" w:space="0" w:color="auto"/>
            <w:bottom w:val="none" w:sz="0" w:space="0" w:color="auto"/>
            <w:right w:val="none" w:sz="0" w:space="0" w:color="auto"/>
          </w:divBdr>
        </w:div>
      </w:divsChild>
    </w:div>
    <w:div w:id="1755129078">
      <w:bodyDiv w:val="1"/>
      <w:marLeft w:val="0"/>
      <w:marRight w:val="0"/>
      <w:marTop w:val="0"/>
      <w:marBottom w:val="0"/>
      <w:divBdr>
        <w:top w:val="none" w:sz="0" w:space="0" w:color="auto"/>
        <w:left w:val="none" w:sz="0" w:space="0" w:color="auto"/>
        <w:bottom w:val="none" w:sz="0" w:space="0" w:color="auto"/>
        <w:right w:val="none" w:sz="0" w:space="0" w:color="auto"/>
      </w:divBdr>
    </w:div>
    <w:div w:id="1815180121">
      <w:bodyDiv w:val="1"/>
      <w:marLeft w:val="0"/>
      <w:marRight w:val="0"/>
      <w:marTop w:val="0"/>
      <w:marBottom w:val="0"/>
      <w:divBdr>
        <w:top w:val="none" w:sz="0" w:space="0" w:color="auto"/>
        <w:left w:val="none" w:sz="0" w:space="0" w:color="auto"/>
        <w:bottom w:val="none" w:sz="0" w:space="0" w:color="auto"/>
        <w:right w:val="none" w:sz="0" w:space="0" w:color="auto"/>
      </w:divBdr>
    </w:div>
    <w:div w:id="1820268211">
      <w:bodyDiv w:val="1"/>
      <w:marLeft w:val="0"/>
      <w:marRight w:val="0"/>
      <w:marTop w:val="0"/>
      <w:marBottom w:val="0"/>
      <w:divBdr>
        <w:top w:val="none" w:sz="0" w:space="0" w:color="auto"/>
        <w:left w:val="none" w:sz="0" w:space="0" w:color="auto"/>
        <w:bottom w:val="none" w:sz="0" w:space="0" w:color="auto"/>
        <w:right w:val="none" w:sz="0" w:space="0" w:color="auto"/>
      </w:divBdr>
    </w:div>
    <w:div w:id="1826508673">
      <w:bodyDiv w:val="1"/>
      <w:marLeft w:val="0"/>
      <w:marRight w:val="0"/>
      <w:marTop w:val="0"/>
      <w:marBottom w:val="0"/>
      <w:divBdr>
        <w:top w:val="none" w:sz="0" w:space="0" w:color="auto"/>
        <w:left w:val="none" w:sz="0" w:space="0" w:color="auto"/>
        <w:bottom w:val="none" w:sz="0" w:space="0" w:color="auto"/>
        <w:right w:val="none" w:sz="0" w:space="0" w:color="auto"/>
      </w:divBdr>
    </w:div>
    <w:div w:id="1854567070">
      <w:bodyDiv w:val="1"/>
      <w:marLeft w:val="0"/>
      <w:marRight w:val="0"/>
      <w:marTop w:val="0"/>
      <w:marBottom w:val="0"/>
      <w:divBdr>
        <w:top w:val="none" w:sz="0" w:space="0" w:color="auto"/>
        <w:left w:val="none" w:sz="0" w:space="0" w:color="auto"/>
        <w:bottom w:val="none" w:sz="0" w:space="0" w:color="auto"/>
        <w:right w:val="none" w:sz="0" w:space="0" w:color="auto"/>
      </w:divBdr>
    </w:div>
    <w:div w:id="1869558695">
      <w:bodyDiv w:val="1"/>
      <w:marLeft w:val="0"/>
      <w:marRight w:val="0"/>
      <w:marTop w:val="0"/>
      <w:marBottom w:val="0"/>
      <w:divBdr>
        <w:top w:val="none" w:sz="0" w:space="0" w:color="auto"/>
        <w:left w:val="none" w:sz="0" w:space="0" w:color="auto"/>
        <w:bottom w:val="none" w:sz="0" w:space="0" w:color="auto"/>
        <w:right w:val="none" w:sz="0" w:space="0" w:color="auto"/>
      </w:divBdr>
    </w:div>
    <w:div w:id="1874924881">
      <w:bodyDiv w:val="1"/>
      <w:marLeft w:val="0"/>
      <w:marRight w:val="0"/>
      <w:marTop w:val="0"/>
      <w:marBottom w:val="0"/>
      <w:divBdr>
        <w:top w:val="none" w:sz="0" w:space="0" w:color="auto"/>
        <w:left w:val="none" w:sz="0" w:space="0" w:color="auto"/>
        <w:bottom w:val="none" w:sz="0" w:space="0" w:color="auto"/>
        <w:right w:val="none" w:sz="0" w:space="0" w:color="auto"/>
      </w:divBdr>
    </w:div>
    <w:div w:id="1894388692">
      <w:bodyDiv w:val="1"/>
      <w:marLeft w:val="0"/>
      <w:marRight w:val="0"/>
      <w:marTop w:val="0"/>
      <w:marBottom w:val="0"/>
      <w:divBdr>
        <w:top w:val="none" w:sz="0" w:space="0" w:color="auto"/>
        <w:left w:val="none" w:sz="0" w:space="0" w:color="auto"/>
        <w:bottom w:val="none" w:sz="0" w:space="0" w:color="auto"/>
        <w:right w:val="none" w:sz="0" w:space="0" w:color="auto"/>
      </w:divBdr>
    </w:div>
    <w:div w:id="1912042198">
      <w:bodyDiv w:val="1"/>
      <w:marLeft w:val="0"/>
      <w:marRight w:val="0"/>
      <w:marTop w:val="0"/>
      <w:marBottom w:val="0"/>
      <w:divBdr>
        <w:top w:val="none" w:sz="0" w:space="0" w:color="auto"/>
        <w:left w:val="none" w:sz="0" w:space="0" w:color="auto"/>
        <w:bottom w:val="none" w:sz="0" w:space="0" w:color="auto"/>
        <w:right w:val="none" w:sz="0" w:space="0" w:color="auto"/>
      </w:divBdr>
    </w:div>
    <w:div w:id="1913854273">
      <w:bodyDiv w:val="1"/>
      <w:marLeft w:val="0"/>
      <w:marRight w:val="0"/>
      <w:marTop w:val="0"/>
      <w:marBottom w:val="0"/>
      <w:divBdr>
        <w:top w:val="none" w:sz="0" w:space="0" w:color="auto"/>
        <w:left w:val="none" w:sz="0" w:space="0" w:color="auto"/>
        <w:bottom w:val="none" w:sz="0" w:space="0" w:color="auto"/>
        <w:right w:val="none" w:sz="0" w:space="0" w:color="auto"/>
      </w:divBdr>
    </w:div>
    <w:div w:id="1917587486">
      <w:bodyDiv w:val="1"/>
      <w:marLeft w:val="0"/>
      <w:marRight w:val="0"/>
      <w:marTop w:val="0"/>
      <w:marBottom w:val="0"/>
      <w:divBdr>
        <w:top w:val="none" w:sz="0" w:space="0" w:color="auto"/>
        <w:left w:val="none" w:sz="0" w:space="0" w:color="auto"/>
        <w:bottom w:val="none" w:sz="0" w:space="0" w:color="auto"/>
        <w:right w:val="none" w:sz="0" w:space="0" w:color="auto"/>
      </w:divBdr>
      <w:divsChild>
        <w:div w:id="1355809995">
          <w:marLeft w:val="0"/>
          <w:marRight w:val="0"/>
          <w:marTop w:val="0"/>
          <w:marBottom w:val="0"/>
          <w:divBdr>
            <w:top w:val="none" w:sz="0" w:space="0" w:color="auto"/>
            <w:left w:val="none" w:sz="0" w:space="0" w:color="auto"/>
            <w:bottom w:val="none" w:sz="0" w:space="0" w:color="auto"/>
            <w:right w:val="none" w:sz="0" w:space="0" w:color="auto"/>
          </w:divBdr>
        </w:div>
        <w:div w:id="1919975088">
          <w:marLeft w:val="0"/>
          <w:marRight w:val="0"/>
          <w:marTop w:val="0"/>
          <w:marBottom w:val="0"/>
          <w:divBdr>
            <w:top w:val="none" w:sz="0" w:space="0" w:color="auto"/>
            <w:left w:val="none" w:sz="0" w:space="0" w:color="auto"/>
            <w:bottom w:val="none" w:sz="0" w:space="0" w:color="auto"/>
            <w:right w:val="none" w:sz="0" w:space="0" w:color="auto"/>
          </w:divBdr>
        </w:div>
      </w:divsChild>
    </w:div>
    <w:div w:id="1941644845">
      <w:bodyDiv w:val="1"/>
      <w:marLeft w:val="0"/>
      <w:marRight w:val="0"/>
      <w:marTop w:val="0"/>
      <w:marBottom w:val="0"/>
      <w:divBdr>
        <w:top w:val="none" w:sz="0" w:space="0" w:color="auto"/>
        <w:left w:val="none" w:sz="0" w:space="0" w:color="auto"/>
        <w:bottom w:val="none" w:sz="0" w:space="0" w:color="auto"/>
        <w:right w:val="none" w:sz="0" w:space="0" w:color="auto"/>
      </w:divBdr>
    </w:div>
    <w:div w:id="1954822482">
      <w:bodyDiv w:val="1"/>
      <w:marLeft w:val="0"/>
      <w:marRight w:val="0"/>
      <w:marTop w:val="0"/>
      <w:marBottom w:val="0"/>
      <w:divBdr>
        <w:top w:val="none" w:sz="0" w:space="0" w:color="auto"/>
        <w:left w:val="none" w:sz="0" w:space="0" w:color="auto"/>
        <w:bottom w:val="none" w:sz="0" w:space="0" w:color="auto"/>
        <w:right w:val="none" w:sz="0" w:space="0" w:color="auto"/>
      </w:divBdr>
    </w:div>
    <w:div w:id="1965230814">
      <w:bodyDiv w:val="1"/>
      <w:marLeft w:val="0"/>
      <w:marRight w:val="0"/>
      <w:marTop w:val="0"/>
      <w:marBottom w:val="0"/>
      <w:divBdr>
        <w:top w:val="none" w:sz="0" w:space="0" w:color="auto"/>
        <w:left w:val="none" w:sz="0" w:space="0" w:color="auto"/>
        <w:bottom w:val="none" w:sz="0" w:space="0" w:color="auto"/>
        <w:right w:val="none" w:sz="0" w:space="0" w:color="auto"/>
      </w:divBdr>
    </w:div>
    <w:div w:id="2004233134">
      <w:bodyDiv w:val="1"/>
      <w:marLeft w:val="0"/>
      <w:marRight w:val="0"/>
      <w:marTop w:val="0"/>
      <w:marBottom w:val="0"/>
      <w:divBdr>
        <w:top w:val="none" w:sz="0" w:space="0" w:color="auto"/>
        <w:left w:val="none" w:sz="0" w:space="0" w:color="auto"/>
        <w:bottom w:val="none" w:sz="0" w:space="0" w:color="auto"/>
        <w:right w:val="none" w:sz="0" w:space="0" w:color="auto"/>
      </w:divBdr>
    </w:div>
    <w:div w:id="2006740241">
      <w:bodyDiv w:val="1"/>
      <w:marLeft w:val="0"/>
      <w:marRight w:val="0"/>
      <w:marTop w:val="0"/>
      <w:marBottom w:val="0"/>
      <w:divBdr>
        <w:top w:val="none" w:sz="0" w:space="0" w:color="auto"/>
        <w:left w:val="none" w:sz="0" w:space="0" w:color="auto"/>
        <w:bottom w:val="none" w:sz="0" w:space="0" w:color="auto"/>
        <w:right w:val="none" w:sz="0" w:space="0" w:color="auto"/>
      </w:divBdr>
    </w:div>
    <w:div w:id="2009020964">
      <w:bodyDiv w:val="1"/>
      <w:marLeft w:val="0"/>
      <w:marRight w:val="0"/>
      <w:marTop w:val="0"/>
      <w:marBottom w:val="0"/>
      <w:divBdr>
        <w:top w:val="none" w:sz="0" w:space="0" w:color="auto"/>
        <w:left w:val="none" w:sz="0" w:space="0" w:color="auto"/>
        <w:bottom w:val="none" w:sz="0" w:space="0" w:color="auto"/>
        <w:right w:val="none" w:sz="0" w:space="0" w:color="auto"/>
      </w:divBdr>
    </w:div>
    <w:div w:id="2082677290">
      <w:bodyDiv w:val="1"/>
      <w:marLeft w:val="0"/>
      <w:marRight w:val="0"/>
      <w:marTop w:val="0"/>
      <w:marBottom w:val="0"/>
      <w:divBdr>
        <w:top w:val="none" w:sz="0" w:space="0" w:color="auto"/>
        <w:left w:val="none" w:sz="0" w:space="0" w:color="auto"/>
        <w:bottom w:val="none" w:sz="0" w:space="0" w:color="auto"/>
        <w:right w:val="none" w:sz="0" w:space="0" w:color="auto"/>
      </w:divBdr>
    </w:div>
    <w:div w:id="2088767589">
      <w:bodyDiv w:val="1"/>
      <w:marLeft w:val="0"/>
      <w:marRight w:val="0"/>
      <w:marTop w:val="0"/>
      <w:marBottom w:val="0"/>
      <w:divBdr>
        <w:top w:val="none" w:sz="0" w:space="0" w:color="auto"/>
        <w:left w:val="none" w:sz="0" w:space="0" w:color="auto"/>
        <w:bottom w:val="none" w:sz="0" w:space="0" w:color="auto"/>
        <w:right w:val="none" w:sz="0" w:space="0" w:color="auto"/>
      </w:divBdr>
    </w:div>
    <w:div w:id="2141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ncertherapyadvisor.com/gastrointestinal-cancers/section/240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ndeley%20Desktop\wordPlugin\Mendeley-1.19.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A74D-2FC5-44D9-AA6A-A0B034A1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Mendeley-1.19.3</Template>
  <TotalTime>0</TotalTime>
  <Pages>20</Pages>
  <Words>119976</Words>
  <Characters>683868</Characters>
  <Application>Microsoft Office Word</Application>
  <DocSecurity>0</DocSecurity>
  <Lines>5698</Lines>
  <Paragraphs>1604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802240</CharactersWithSpaces>
  <SharedDoc>false</SharedDoc>
  <HLinks>
    <vt:vector size="6" baseType="variant">
      <vt:variant>
        <vt:i4>6291575</vt:i4>
      </vt:variant>
      <vt:variant>
        <vt:i4>300</vt:i4>
      </vt:variant>
      <vt:variant>
        <vt:i4>0</vt:i4>
      </vt:variant>
      <vt:variant>
        <vt:i4>5</vt:i4>
      </vt:variant>
      <vt:variant>
        <vt:lpwstr>http://www.cancertherapyadvisor.com/gastrointestinal-cancers/section/2402/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2019-03-26T05:26:00Z</cp:lastPrinted>
  <dcterms:created xsi:type="dcterms:W3CDTF">2019-10-16T01:08:00Z</dcterms:created>
  <dcterms:modified xsi:type="dcterms:W3CDTF">2019-10-16T01:08:00Z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Unique User Id_1">
    <vt:lpwstr>09eb9c9f-e584-3d09-8215-4732d0a2efa8</vt:lpwstr>
  </property>
  <property fmtid="{D5CDD505-2E9C-101B-9397-08002B2CF9AE}" pid="10" name="Mendeley Citation Style_1">
    <vt:lpwstr>http://www.zotero.org/styles/world-journal-of-gastroenterology</vt:lpwstr>
  </property>
  <property fmtid="{D5CDD505-2E9C-101B-9397-08002B2CF9AE}" pid="11" name="Mendeley Recent Style Id 0_1">
    <vt:lpwstr>http://www.zotero.org/styles/american-political-science-association</vt:lpwstr>
  </property>
  <property fmtid="{D5CDD505-2E9C-101B-9397-08002B2CF9AE}" pid="12" name="Mendeley Recent Style Name 0_1">
    <vt:lpwstr>American Political Science Association</vt:lpwstr>
  </property>
  <property fmtid="{D5CDD505-2E9C-101B-9397-08002B2CF9AE}" pid="13" name="Mendeley Recent Style Id 1_1">
    <vt:lpwstr>http://www.zotero.org/styles/apa</vt:lpwstr>
  </property>
  <property fmtid="{D5CDD505-2E9C-101B-9397-08002B2CF9AE}" pid="14" name="Mendeley Recent Style Name 1_1">
    <vt:lpwstr>American Psychological Association 6th edition</vt:lpwstr>
  </property>
  <property fmtid="{D5CDD505-2E9C-101B-9397-08002B2CF9AE}" pid="15" name="Mendeley Recent Style Id 2_1">
    <vt:lpwstr>http://www.zotero.org/styles/american-sociological-association</vt:lpwstr>
  </property>
  <property fmtid="{D5CDD505-2E9C-101B-9397-08002B2CF9AE}" pid="16" name="Mendeley Recent Style Name 2_1">
    <vt:lpwstr>American Sociological Association</vt:lpwstr>
  </property>
  <property fmtid="{D5CDD505-2E9C-101B-9397-08002B2CF9AE}" pid="17" name="Mendeley Recent Style Id 3_1">
    <vt:lpwstr>http://www.zotero.org/styles/chicago-author-date</vt:lpwstr>
  </property>
  <property fmtid="{D5CDD505-2E9C-101B-9397-08002B2CF9AE}" pid="18" name="Mendeley Recent Style Name 3_1">
    <vt:lpwstr>Chicago Manual of Style 17th edition (author-date)</vt:lpwstr>
  </property>
  <property fmtid="{D5CDD505-2E9C-101B-9397-08002B2CF9AE}" pid="19" name="Mendeley Recent Style Id 4_1">
    <vt:lpwstr>http://www.zotero.org/styles/harvard-cite-them-right</vt:lpwstr>
  </property>
  <property fmtid="{D5CDD505-2E9C-101B-9397-08002B2CF9AE}" pid="20" name="Mendeley Recent Style Name 4_1">
    <vt:lpwstr>Cite Them Right 10th edition - Harvard</vt:lpwstr>
  </property>
  <property fmtid="{D5CDD505-2E9C-101B-9397-08002B2CF9AE}" pid="21" name="Mendeley Recent Style Id 5_1">
    <vt:lpwstr>http://www.zotero.org/styles/ieee</vt:lpwstr>
  </property>
  <property fmtid="{D5CDD505-2E9C-101B-9397-08002B2CF9AE}" pid="22" name="Mendeley Recent Style Name 5_1">
    <vt:lpwstr>IEEE</vt:lpwstr>
  </property>
  <property fmtid="{D5CDD505-2E9C-101B-9397-08002B2CF9AE}" pid="23" name="Mendeley Recent Style Id 6_1">
    <vt:lpwstr>http://www.zotero.org/styles/modern-humanities-research-association</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Id 7_1">
    <vt:lpwstr>http://www.zotero.org/styles/modern-language-association</vt:lpwstr>
  </property>
  <property fmtid="{D5CDD505-2E9C-101B-9397-08002B2CF9AE}" pid="26" name="Mendeley Recent Style Name 7_1">
    <vt:lpwstr>Modern Language Association 8th edition</vt:lpwstr>
  </property>
  <property fmtid="{D5CDD505-2E9C-101B-9397-08002B2CF9AE}" pid="27" name="Mendeley Recent Style Id 8_1">
    <vt:lpwstr>http://www.zotero.org/styles/nature</vt:lpwstr>
  </property>
  <property fmtid="{D5CDD505-2E9C-101B-9397-08002B2CF9AE}" pid="28" name="Mendeley Recent Style Name 8_1">
    <vt:lpwstr>Nature</vt:lpwstr>
  </property>
  <property fmtid="{D5CDD505-2E9C-101B-9397-08002B2CF9AE}" pid="29" name="Mendeley Recent Style Id 9_1">
    <vt:lpwstr>http://www.zotero.org/styles/world-journal-of-gastroenterology</vt:lpwstr>
  </property>
  <property fmtid="{D5CDD505-2E9C-101B-9397-08002B2CF9AE}" pid="30" name="Mendeley Recent Style Name 9_1">
    <vt:lpwstr>World Journal of Gastroenterology</vt:lpwstr>
  </property>
</Properties>
</file>