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9DE3" w14:textId="77777777" w:rsidR="009C7678" w:rsidRPr="00E17D79" w:rsidRDefault="009C7678" w:rsidP="00E17D79">
      <w:pPr>
        <w:spacing w:line="360" w:lineRule="auto"/>
        <w:jc w:val="both"/>
        <w:rPr>
          <w:rFonts w:ascii="Book Antiqua" w:hAnsi="Book Antiqua"/>
          <w:i/>
          <w:iCs/>
        </w:rPr>
      </w:pPr>
      <w:r w:rsidRPr="00E17D79">
        <w:rPr>
          <w:rFonts w:ascii="Book Antiqua" w:hAnsi="Book Antiqua"/>
          <w:b/>
          <w:bCs/>
        </w:rPr>
        <w:t xml:space="preserve">Name of Journal: </w:t>
      </w:r>
      <w:r w:rsidRPr="00E17D79">
        <w:rPr>
          <w:rFonts w:ascii="Book Antiqua" w:hAnsi="Book Antiqua"/>
          <w:i/>
          <w:iCs/>
        </w:rPr>
        <w:t>World Journal of Clinical Cases</w:t>
      </w:r>
    </w:p>
    <w:p w14:paraId="6D94124F" w14:textId="740BE1E2" w:rsidR="009C7678" w:rsidRPr="00E17D79" w:rsidRDefault="009C7678" w:rsidP="00E17D79">
      <w:pPr>
        <w:spacing w:line="360" w:lineRule="auto"/>
        <w:jc w:val="both"/>
        <w:rPr>
          <w:rFonts w:ascii="Book Antiqua" w:hAnsi="Book Antiqua"/>
        </w:rPr>
      </w:pPr>
      <w:r w:rsidRPr="00E17D79">
        <w:rPr>
          <w:rFonts w:ascii="Book Antiqua" w:hAnsi="Book Antiqua"/>
          <w:b/>
          <w:bCs/>
        </w:rPr>
        <w:t xml:space="preserve">Manuscript NO: </w:t>
      </w:r>
      <w:r w:rsidRPr="00E17D79">
        <w:rPr>
          <w:rFonts w:ascii="Book Antiqua" w:hAnsi="Book Antiqua"/>
        </w:rPr>
        <w:t>49599</w:t>
      </w:r>
    </w:p>
    <w:p w14:paraId="648F62D9" w14:textId="77777777" w:rsidR="009C7678" w:rsidRPr="00E17D79" w:rsidRDefault="009C7678" w:rsidP="00E17D79">
      <w:pPr>
        <w:spacing w:line="360" w:lineRule="auto"/>
        <w:jc w:val="both"/>
        <w:rPr>
          <w:rStyle w:val="40"/>
          <w:rFonts w:ascii="Book Antiqua" w:hAnsi="Book Antiqua"/>
          <w:b w:val="0"/>
          <w:bCs w:val="0"/>
          <w:sz w:val="24"/>
          <w:szCs w:val="24"/>
        </w:rPr>
      </w:pPr>
      <w:r w:rsidRPr="00E17D79">
        <w:rPr>
          <w:rFonts w:ascii="Book Antiqua" w:hAnsi="Book Antiqua"/>
          <w:b/>
          <w:bCs/>
        </w:rPr>
        <w:t>Manuscript Type:</w:t>
      </w:r>
      <w:r w:rsidRPr="00E17D79">
        <w:rPr>
          <w:rStyle w:val="40"/>
          <w:rFonts w:ascii="Book Antiqua" w:hAnsi="Book Antiqua"/>
          <w:sz w:val="24"/>
          <w:szCs w:val="24"/>
        </w:rPr>
        <w:t xml:space="preserve"> </w:t>
      </w:r>
      <w:r w:rsidRPr="00E17D79">
        <w:rPr>
          <w:rStyle w:val="40"/>
          <w:rFonts w:ascii="Book Antiqua" w:hAnsi="Book Antiqua"/>
          <w:b w:val="0"/>
          <w:bCs w:val="0"/>
          <w:sz w:val="24"/>
          <w:szCs w:val="24"/>
        </w:rPr>
        <w:t>ORIGINAL ARTICLE</w:t>
      </w:r>
    </w:p>
    <w:p w14:paraId="6BD00C4D" w14:textId="77777777" w:rsidR="009C7678" w:rsidRPr="00E17D79" w:rsidRDefault="009C7678" w:rsidP="00E17D79">
      <w:pPr>
        <w:spacing w:line="360" w:lineRule="auto"/>
        <w:jc w:val="both"/>
        <w:rPr>
          <w:rStyle w:val="40"/>
          <w:rFonts w:ascii="Book Antiqua" w:hAnsi="Book Antiqua"/>
          <w:sz w:val="24"/>
          <w:szCs w:val="24"/>
        </w:rPr>
      </w:pPr>
    </w:p>
    <w:p w14:paraId="2774CE46" w14:textId="77777777" w:rsidR="009C7678" w:rsidRPr="00E17D79" w:rsidRDefault="009C7678" w:rsidP="00E17D79">
      <w:pPr>
        <w:spacing w:line="360" w:lineRule="auto"/>
        <w:jc w:val="both"/>
        <w:rPr>
          <w:rFonts w:ascii="Book Antiqua" w:hAnsi="Book Antiqua"/>
          <w:b/>
          <w:bCs/>
          <w:i/>
          <w:iCs/>
        </w:rPr>
      </w:pPr>
      <w:r w:rsidRPr="00E17D79">
        <w:rPr>
          <w:rFonts w:ascii="Book Antiqua" w:hAnsi="Book Antiqua"/>
          <w:b/>
          <w:bCs/>
          <w:i/>
          <w:iCs/>
        </w:rPr>
        <w:t>Retrospective Study</w:t>
      </w:r>
    </w:p>
    <w:p w14:paraId="031E82D0" w14:textId="7B712DEE" w:rsidR="00844832" w:rsidRPr="00E17D79" w:rsidRDefault="004D30B9" w:rsidP="00E17D79">
      <w:pPr>
        <w:spacing w:line="360" w:lineRule="auto"/>
        <w:ind w:rightChars="65" w:right="156"/>
        <w:jc w:val="both"/>
        <w:rPr>
          <w:rFonts w:ascii="Book Antiqua" w:hAnsi="Book Antiqua"/>
          <w:lang w:val="en-GB"/>
        </w:rPr>
      </w:pPr>
      <w:bookmarkStart w:id="0" w:name="OLE_LINK27"/>
      <w:r w:rsidRPr="00E17D79">
        <w:rPr>
          <w:rFonts w:ascii="Book Antiqua" w:hAnsi="Book Antiqua" w:cs="Arial"/>
          <w:b/>
          <w:lang w:val="en-GB"/>
        </w:rPr>
        <w:t>E</w:t>
      </w:r>
      <w:r w:rsidR="00FE43FF" w:rsidRPr="00E17D79">
        <w:rPr>
          <w:rFonts w:ascii="Book Antiqua" w:hAnsi="Book Antiqua" w:cs="Arial"/>
          <w:b/>
          <w:lang w:val="en-GB"/>
        </w:rPr>
        <w:t xml:space="preserve">fficient </w:t>
      </w:r>
      <w:r w:rsidR="001F53B0" w:rsidRPr="00E17D79">
        <w:rPr>
          <w:rFonts w:ascii="Book Antiqua" w:hAnsi="Book Antiqua" w:cs="Arial"/>
          <w:b/>
          <w:lang w:val="en-GB"/>
        </w:rPr>
        <w:t>management</w:t>
      </w:r>
      <w:r w:rsidR="009C0822" w:rsidRPr="00E17D79">
        <w:rPr>
          <w:rFonts w:ascii="Book Antiqua" w:hAnsi="Book Antiqua" w:cs="Arial"/>
          <w:b/>
          <w:lang w:val="en-GB"/>
        </w:rPr>
        <w:t xml:space="preserve"> </w:t>
      </w:r>
      <w:r w:rsidR="001F53B0" w:rsidRPr="00E17D79">
        <w:rPr>
          <w:rFonts w:ascii="Book Antiqua" w:hAnsi="Book Antiqua" w:cs="Arial"/>
          <w:b/>
          <w:lang w:val="en-GB"/>
        </w:rPr>
        <w:t>of</w:t>
      </w:r>
      <w:r w:rsidR="00FE43FF" w:rsidRPr="00E17D79">
        <w:rPr>
          <w:rFonts w:ascii="Book Antiqua" w:hAnsi="Book Antiqua" w:cs="Arial"/>
          <w:b/>
          <w:lang w:val="en-GB"/>
        </w:rPr>
        <w:t xml:space="preserve"> secondary h</w:t>
      </w:r>
      <w:r w:rsidR="001F53B0" w:rsidRPr="00E17D79">
        <w:rPr>
          <w:rFonts w:ascii="Book Antiqua" w:hAnsi="Book Antiqua" w:cs="Arial"/>
          <w:b/>
          <w:lang w:val="en-GB"/>
        </w:rPr>
        <w:t>a</w:t>
      </w:r>
      <w:r w:rsidR="00FE43FF" w:rsidRPr="00E17D79">
        <w:rPr>
          <w:rFonts w:ascii="Book Antiqua" w:hAnsi="Book Antiqua" w:cs="Arial"/>
          <w:b/>
          <w:lang w:val="en-GB"/>
        </w:rPr>
        <w:t>emophagocytic</w:t>
      </w:r>
      <w:r w:rsidR="009C0822" w:rsidRPr="00E17D79">
        <w:rPr>
          <w:rFonts w:ascii="Book Antiqua" w:hAnsi="Book Antiqua" w:cs="Arial"/>
          <w:b/>
          <w:lang w:val="en-GB"/>
        </w:rPr>
        <w:t xml:space="preserve"> </w:t>
      </w:r>
      <w:r w:rsidR="00FE43FF" w:rsidRPr="00E17D79">
        <w:rPr>
          <w:rFonts w:ascii="Book Antiqua" w:hAnsi="Book Antiqua" w:cs="Arial"/>
          <w:b/>
          <w:lang w:val="en-GB"/>
        </w:rPr>
        <w:t xml:space="preserve">lymphohistiocytosis with </w:t>
      </w:r>
      <w:r w:rsidR="001F53B0" w:rsidRPr="00E17D79">
        <w:rPr>
          <w:rFonts w:ascii="Book Antiqua" w:hAnsi="Book Antiqua" w:cs="Arial"/>
          <w:b/>
          <w:lang w:val="en-GB"/>
        </w:rPr>
        <w:t xml:space="preserve">intravenous </w:t>
      </w:r>
      <w:r w:rsidR="00B21903" w:rsidRPr="00E17D79">
        <w:rPr>
          <w:rFonts w:ascii="Book Antiqua" w:hAnsi="Book Antiqua" w:cs="Arial"/>
          <w:b/>
          <w:lang w:val="en-GB"/>
        </w:rPr>
        <w:t>steroids</w:t>
      </w:r>
      <w:r w:rsidR="009C0822" w:rsidRPr="00E17D79">
        <w:rPr>
          <w:rFonts w:ascii="Book Antiqua" w:hAnsi="Book Antiqua" w:cs="Arial"/>
          <w:b/>
          <w:lang w:val="en-GB"/>
        </w:rPr>
        <w:t xml:space="preserve"> </w:t>
      </w:r>
      <w:r w:rsidR="00FE43FF" w:rsidRPr="00E17D79">
        <w:rPr>
          <w:rFonts w:ascii="Book Antiqua" w:hAnsi="Book Antiqua" w:cs="Arial"/>
          <w:b/>
          <w:lang w:val="en-GB"/>
        </w:rPr>
        <w:t>and γ-</w:t>
      </w:r>
      <w:r w:rsidR="00BC1750" w:rsidRPr="00E17D79">
        <w:rPr>
          <w:rFonts w:ascii="Book Antiqua" w:hAnsi="Book Antiqua" w:cs="Arial"/>
          <w:b/>
          <w:lang w:val="en-GB"/>
        </w:rPr>
        <w:t>immuno</w:t>
      </w:r>
      <w:r w:rsidR="00FE43FF" w:rsidRPr="00E17D79">
        <w:rPr>
          <w:rFonts w:ascii="Book Antiqua" w:hAnsi="Book Antiqua" w:cs="Arial"/>
          <w:b/>
          <w:lang w:val="en-GB"/>
        </w:rPr>
        <w:t>globulin infusions</w:t>
      </w:r>
    </w:p>
    <w:bookmarkEnd w:id="0"/>
    <w:p w14:paraId="448D088E" w14:textId="77777777" w:rsidR="001F53B0" w:rsidRPr="00EE3B9F" w:rsidRDefault="001F53B0" w:rsidP="00E17D79">
      <w:pPr>
        <w:spacing w:line="360" w:lineRule="auto"/>
        <w:jc w:val="both"/>
        <w:rPr>
          <w:rFonts w:ascii="Book Antiqua" w:hAnsi="Book Antiqua" w:cs="Arial"/>
          <w:lang w:val="en-GB"/>
        </w:rPr>
      </w:pPr>
    </w:p>
    <w:p w14:paraId="718E19C0" w14:textId="332E03E8" w:rsidR="00984405" w:rsidRPr="00E17D79" w:rsidRDefault="009C7678" w:rsidP="00E17D79">
      <w:pPr>
        <w:spacing w:line="360" w:lineRule="auto"/>
        <w:jc w:val="both"/>
        <w:rPr>
          <w:rFonts w:ascii="Book Antiqua" w:hAnsi="Book Antiqua" w:cs="Arial"/>
          <w:bCs/>
          <w:lang w:val="en-US"/>
        </w:rPr>
      </w:pPr>
      <w:r w:rsidRPr="00E17D79">
        <w:rPr>
          <w:rFonts w:ascii="Book Antiqua" w:hAnsi="Book Antiqua" w:cs="Arial"/>
          <w:bCs/>
          <w:lang w:val="en-GB"/>
        </w:rPr>
        <w:t xml:space="preserve">Georgiadou S </w:t>
      </w:r>
      <w:r w:rsidRPr="00E17D79">
        <w:rPr>
          <w:rFonts w:ascii="Book Antiqua" w:hAnsi="Book Antiqua" w:cs="Arial"/>
          <w:bCs/>
          <w:i/>
          <w:iCs/>
          <w:lang w:val="en-GB"/>
        </w:rPr>
        <w:t>et al</w:t>
      </w:r>
      <w:r w:rsidRPr="00E17D79">
        <w:rPr>
          <w:rFonts w:ascii="Book Antiqua" w:hAnsi="Book Antiqua" w:cs="Arial"/>
          <w:bCs/>
          <w:lang w:val="en-GB"/>
        </w:rPr>
        <w:t xml:space="preserve">. </w:t>
      </w:r>
      <w:bookmarkStart w:id="1" w:name="OLE_LINK28"/>
      <w:r w:rsidR="00032996" w:rsidRPr="00E17D79">
        <w:rPr>
          <w:rFonts w:ascii="Book Antiqua" w:hAnsi="Book Antiqua" w:cs="Arial"/>
          <w:bCs/>
          <w:lang w:val="en-GB"/>
        </w:rPr>
        <w:t xml:space="preserve">γ-immunoglobulin infusions for </w:t>
      </w:r>
      <w:r w:rsidR="00F539D9" w:rsidRPr="00E17D79">
        <w:rPr>
          <w:rFonts w:ascii="Book Antiqua" w:hAnsi="Book Antiqua" w:cs="Arial"/>
          <w:bCs/>
          <w:lang w:val="en-GB"/>
        </w:rPr>
        <w:t>sHLH</w:t>
      </w:r>
    </w:p>
    <w:bookmarkEnd w:id="1"/>
    <w:p w14:paraId="737EE211" w14:textId="77777777" w:rsidR="00984405" w:rsidRPr="00E17D79" w:rsidRDefault="00984405" w:rsidP="00E17D79">
      <w:pPr>
        <w:spacing w:line="360" w:lineRule="auto"/>
        <w:jc w:val="both"/>
        <w:rPr>
          <w:rFonts w:ascii="Book Antiqua" w:hAnsi="Book Antiqua" w:cs="Arial"/>
          <w:lang w:val="en-US"/>
        </w:rPr>
      </w:pPr>
    </w:p>
    <w:p w14:paraId="65B3A82D" w14:textId="77777777" w:rsidR="00441360" w:rsidRPr="00E17D79" w:rsidRDefault="001C5522" w:rsidP="00E17D79">
      <w:pPr>
        <w:spacing w:line="360" w:lineRule="auto"/>
        <w:jc w:val="both"/>
        <w:rPr>
          <w:rFonts w:ascii="Book Antiqua" w:hAnsi="Book Antiqua" w:cs="Arial"/>
          <w:bCs/>
          <w:lang w:val="en-GB"/>
        </w:rPr>
      </w:pPr>
      <w:bookmarkStart w:id="2" w:name="_Hlk7473563"/>
      <w:r w:rsidRPr="00E17D79">
        <w:rPr>
          <w:rFonts w:ascii="Book Antiqua" w:hAnsi="Book Antiqua" w:cs="Arial"/>
          <w:bCs/>
          <w:lang w:val="en-GB"/>
        </w:rPr>
        <w:t>Sarah</w:t>
      </w:r>
      <w:r w:rsidR="009C0822" w:rsidRPr="00E17D79">
        <w:rPr>
          <w:rFonts w:ascii="Book Antiqua" w:hAnsi="Book Antiqua" w:cs="Arial"/>
          <w:bCs/>
          <w:lang w:val="en-GB"/>
        </w:rPr>
        <w:t xml:space="preserve"> </w:t>
      </w:r>
      <w:r w:rsidRPr="00E17D79">
        <w:rPr>
          <w:rFonts w:ascii="Book Antiqua" w:hAnsi="Book Antiqua" w:cs="Arial"/>
          <w:bCs/>
          <w:lang w:val="en-GB"/>
        </w:rPr>
        <w:t>Georgiadou</w:t>
      </w:r>
      <w:r w:rsidR="006D118E" w:rsidRPr="00E17D79">
        <w:rPr>
          <w:rFonts w:ascii="Book Antiqua" w:hAnsi="Book Antiqua" w:cs="Arial"/>
          <w:bCs/>
          <w:lang w:val="en-GB"/>
        </w:rPr>
        <w:t>,</w:t>
      </w:r>
      <w:r w:rsidR="009C0822" w:rsidRPr="00E17D79">
        <w:rPr>
          <w:rFonts w:ascii="Book Antiqua" w:hAnsi="Book Antiqua" w:cs="Arial"/>
          <w:bCs/>
          <w:lang w:val="en-GB"/>
        </w:rPr>
        <w:t xml:space="preserve"> </w:t>
      </w:r>
      <w:r w:rsidR="001F53B0" w:rsidRPr="00E17D79">
        <w:rPr>
          <w:rFonts w:ascii="Book Antiqua" w:hAnsi="Book Antiqua" w:cs="Arial"/>
          <w:bCs/>
          <w:lang w:val="en-GB"/>
        </w:rPr>
        <w:t xml:space="preserve">Nikolaos </w:t>
      </w:r>
      <w:r w:rsidR="009C0822" w:rsidRPr="00E17D79">
        <w:rPr>
          <w:rFonts w:ascii="Book Antiqua" w:hAnsi="Book Antiqua" w:cs="Arial"/>
          <w:bCs/>
          <w:lang w:val="en-GB"/>
        </w:rPr>
        <w:t>K</w:t>
      </w:r>
      <w:r w:rsidR="00A97873" w:rsidRPr="00E17D79">
        <w:rPr>
          <w:rFonts w:ascii="Book Antiqua" w:hAnsi="Book Antiqua" w:cs="Arial"/>
          <w:bCs/>
          <w:lang w:val="en-GB"/>
        </w:rPr>
        <w:t xml:space="preserve"> </w:t>
      </w:r>
      <w:r w:rsidR="001F53B0" w:rsidRPr="00E17D79">
        <w:rPr>
          <w:rFonts w:ascii="Book Antiqua" w:hAnsi="Book Antiqua" w:cs="Arial"/>
          <w:bCs/>
          <w:lang w:val="en-GB"/>
        </w:rPr>
        <w:t xml:space="preserve">Gatselis, </w:t>
      </w:r>
      <w:r w:rsidR="00441360" w:rsidRPr="00E17D79">
        <w:rPr>
          <w:rFonts w:ascii="Book Antiqua" w:hAnsi="Book Antiqua" w:cs="Arial"/>
          <w:bCs/>
          <w:lang w:val="en-GB"/>
        </w:rPr>
        <w:t>Aggelos</w:t>
      </w:r>
      <w:r w:rsidR="009C0822" w:rsidRPr="00E17D79">
        <w:rPr>
          <w:rFonts w:ascii="Book Antiqua" w:hAnsi="Book Antiqua" w:cs="Arial"/>
          <w:bCs/>
          <w:lang w:val="en-GB"/>
        </w:rPr>
        <w:t xml:space="preserve"> </w:t>
      </w:r>
      <w:r w:rsidR="00C57EBF" w:rsidRPr="00E17D79">
        <w:rPr>
          <w:rFonts w:ascii="Book Antiqua" w:hAnsi="Book Antiqua" w:cs="Arial"/>
          <w:bCs/>
          <w:lang w:val="en-GB"/>
        </w:rPr>
        <w:t>S</w:t>
      </w:r>
      <w:r w:rsidR="00441360" w:rsidRPr="00E17D79">
        <w:rPr>
          <w:rFonts w:ascii="Book Antiqua" w:hAnsi="Book Antiqua" w:cs="Arial"/>
          <w:bCs/>
          <w:lang w:val="en-GB"/>
        </w:rPr>
        <w:t>tefos</w:t>
      </w:r>
      <w:r w:rsidR="002658D5" w:rsidRPr="00E17D79">
        <w:rPr>
          <w:rFonts w:ascii="Book Antiqua" w:hAnsi="Book Antiqua" w:cs="Arial"/>
          <w:bCs/>
          <w:lang w:val="en-GB"/>
        </w:rPr>
        <w:t>,</w:t>
      </w:r>
      <w:r w:rsidR="009C0822" w:rsidRPr="00E17D79">
        <w:rPr>
          <w:rFonts w:ascii="Book Antiqua" w:hAnsi="Book Antiqua" w:cs="Arial"/>
          <w:bCs/>
          <w:lang w:val="en-GB"/>
        </w:rPr>
        <w:t xml:space="preserve"> </w:t>
      </w:r>
      <w:r w:rsidR="009C7E27" w:rsidRPr="00E17D79">
        <w:rPr>
          <w:rFonts w:ascii="Book Antiqua" w:hAnsi="Book Antiqua" w:cs="Arial"/>
          <w:bCs/>
          <w:lang w:val="en-GB"/>
        </w:rPr>
        <w:t>Kalliopi</w:t>
      </w:r>
      <w:r w:rsidR="009C0822" w:rsidRPr="00E17D79">
        <w:rPr>
          <w:rFonts w:ascii="Book Antiqua" w:hAnsi="Book Antiqua" w:cs="Arial"/>
          <w:bCs/>
          <w:lang w:val="en-GB"/>
        </w:rPr>
        <w:t xml:space="preserve"> </w:t>
      </w:r>
      <w:r w:rsidR="009C7E27" w:rsidRPr="00E17D79">
        <w:rPr>
          <w:rFonts w:ascii="Book Antiqua" w:hAnsi="Book Antiqua" w:cs="Arial"/>
          <w:bCs/>
          <w:lang w:val="en-GB"/>
        </w:rPr>
        <w:t xml:space="preserve">Zachou, </w:t>
      </w:r>
      <w:r w:rsidR="00441360" w:rsidRPr="00E17D79">
        <w:rPr>
          <w:rFonts w:ascii="Book Antiqua" w:hAnsi="Book Antiqua" w:cs="Arial"/>
          <w:bCs/>
          <w:lang w:val="en-GB"/>
        </w:rPr>
        <w:t>Konstantinos</w:t>
      </w:r>
      <w:r w:rsidR="009C0822" w:rsidRPr="00E17D79">
        <w:rPr>
          <w:rFonts w:ascii="Book Antiqua" w:hAnsi="Book Antiqua" w:cs="Arial"/>
          <w:bCs/>
          <w:lang w:val="en-GB"/>
        </w:rPr>
        <w:t xml:space="preserve"> </w:t>
      </w:r>
      <w:r w:rsidR="00441360" w:rsidRPr="00E17D79">
        <w:rPr>
          <w:rFonts w:ascii="Book Antiqua" w:hAnsi="Book Antiqua" w:cs="Arial"/>
          <w:bCs/>
          <w:lang w:val="en-GB"/>
        </w:rPr>
        <w:t>Makaritsis</w:t>
      </w:r>
      <w:r w:rsidR="001F53B0" w:rsidRPr="00E17D79">
        <w:rPr>
          <w:rFonts w:ascii="Book Antiqua" w:hAnsi="Book Antiqua" w:cs="Arial"/>
          <w:bCs/>
          <w:lang w:val="en-GB"/>
        </w:rPr>
        <w:t>,</w:t>
      </w:r>
      <w:r w:rsidR="009C0822" w:rsidRPr="00E17D79">
        <w:rPr>
          <w:rFonts w:ascii="Book Antiqua" w:hAnsi="Book Antiqua" w:cs="Arial"/>
          <w:bCs/>
          <w:lang w:val="en-GB"/>
        </w:rPr>
        <w:t xml:space="preserve"> </w:t>
      </w:r>
      <w:r w:rsidR="005903EF" w:rsidRPr="00E17D79">
        <w:rPr>
          <w:rFonts w:ascii="Book Antiqua" w:hAnsi="Book Antiqua" w:cs="Arial"/>
          <w:bCs/>
          <w:lang w:val="en-GB"/>
        </w:rPr>
        <w:t>Ei</w:t>
      </w:r>
      <w:r w:rsidR="00441360" w:rsidRPr="00E17D79">
        <w:rPr>
          <w:rFonts w:ascii="Book Antiqua" w:hAnsi="Book Antiqua" w:cs="Arial"/>
          <w:bCs/>
          <w:lang w:val="en-GB"/>
        </w:rPr>
        <w:t>rini</w:t>
      </w:r>
      <w:r w:rsidR="001F53B0" w:rsidRPr="00E17D79">
        <w:rPr>
          <w:rFonts w:ascii="Book Antiqua" w:hAnsi="Book Antiqua" w:cs="Arial"/>
          <w:bCs/>
          <w:lang w:val="en-GB"/>
        </w:rPr>
        <w:t xml:space="preserve"> I </w:t>
      </w:r>
      <w:r w:rsidR="00441360" w:rsidRPr="00E17D79">
        <w:rPr>
          <w:rFonts w:ascii="Book Antiqua" w:hAnsi="Book Antiqua" w:cs="Arial"/>
          <w:bCs/>
          <w:lang w:val="en-GB"/>
        </w:rPr>
        <w:t>Rigopoulou, George</w:t>
      </w:r>
      <w:r w:rsidR="009C0822" w:rsidRPr="00E17D79">
        <w:rPr>
          <w:rFonts w:ascii="Book Antiqua" w:hAnsi="Book Antiqua" w:cs="Arial"/>
          <w:bCs/>
          <w:lang w:val="en-GB"/>
        </w:rPr>
        <w:t xml:space="preserve"> </w:t>
      </w:r>
      <w:r w:rsidR="00441360" w:rsidRPr="00E17D79">
        <w:rPr>
          <w:rFonts w:ascii="Book Antiqua" w:hAnsi="Book Antiqua" w:cs="Arial"/>
          <w:bCs/>
          <w:lang w:val="en-GB"/>
        </w:rPr>
        <w:t>N</w:t>
      </w:r>
      <w:r w:rsidR="009C0822" w:rsidRPr="00E17D79">
        <w:rPr>
          <w:rFonts w:ascii="Book Antiqua" w:hAnsi="Book Antiqua" w:cs="Arial"/>
          <w:bCs/>
          <w:lang w:val="en-GB"/>
        </w:rPr>
        <w:t xml:space="preserve"> </w:t>
      </w:r>
      <w:r w:rsidR="00441360" w:rsidRPr="00E17D79">
        <w:rPr>
          <w:rFonts w:ascii="Book Antiqua" w:hAnsi="Book Antiqua" w:cs="Arial"/>
          <w:bCs/>
          <w:lang w:val="en-GB"/>
        </w:rPr>
        <w:t>Dalekos</w:t>
      </w:r>
    </w:p>
    <w:bookmarkEnd w:id="2"/>
    <w:p w14:paraId="3847A5E2" w14:textId="77777777" w:rsidR="00441360" w:rsidRPr="00E17D79" w:rsidRDefault="00441360" w:rsidP="00E17D79">
      <w:pPr>
        <w:spacing w:line="360" w:lineRule="auto"/>
        <w:jc w:val="both"/>
        <w:rPr>
          <w:rFonts w:ascii="Book Antiqua" w:hAnsi="Book Antiqua" w:cs="Arial"/>
          <w:lang w:val="en-GB"/>
        </w:rPr>
      </w:pPr>
    </w:p>
    <w:p w14:paraId="2FB39948" w14:textId="109C0684" w:rsidR="00577A58" w:rsidRPr="00E17D79" w:rsidRDefault="009C0822" w:rsidP="00E17D79">
      <w:pPr>
        <w:spacing w:line="360" w:lineRule="auto"/>
        <w:jc w:val="both"/>
        <w:rPr>
          <w:rFonts w:ascii="Book Antiqua" w:hAnsi="Book Antiqua" w:cs="Arial"/>
          <w:lang w:val="en-GB"/>
        </w:rPr>
      </w:pPr>
      <w:r w:rsidRPr="00E17D79">
        <w:rPr>
          <w:rFonts w:ascii="Book Antiqua" w:hAnsi="Book Antiqua" w:cs="Arial"/>
          <w:b/>
          <w:lang w:val="en-GB"/>
        </w:rPr>
        <w:t>Sarah Georgiadou, Nikolaos K</w:t>
      </w:r>
      <w:r w:rsidR="007E164B" w:rsidRPr="00E17D79">
        <w:rPr>
          <w:rFonts w:ascii="Book Antiqua" w:hAnsi="Book Antiqua" w:cs="Arial"/>
          <w:b/>
          <w:lang w:val="en-GB"/>
        </w:rPr>
        <w:t xml:space="preserve"> Gatselis, Aggelos</w:t>
      </w:r>
      <w:r w:rsidRPr="00E17D79">
        <w:rPr>
          <w:rFonts w:ascii="Book Antiqua" w:hAnsi="Book Antiqua" w:cs="Arial"/>
          <w:b/>
          <w:lang w:val="en-GB"/>
        </w:rPr>
        <w:t xml:space="preserve"> </w:t>
      </w:r>
      <w:r w:rsidR="007E164B" w:rsidRPr="00E17D79">
        <w:rPr>
          <w:rFonts w:ascii="Book Antiqua" w:hAnsi="Book Antiqua" w:cs="Arial"/>
          <w:b/>
          <w:lang w:val="en-GB"/>
        </w:rPr>
        <w:t>Stefos,</w:t>
      </w:r>
      <w:r w:rsidRPr="00E17D79">
        <w:rPr>
          <w:rFonts w:ascii="Book Antiqua" w:hAnsi="Book Antiqua" w:cs="Arial"/>
          <w:b/>
          <w:lang w:val="en-GB"/>
        </w:rPr>
        <w:t xml:space="preserve"> </w:t>
      </w:r>
      <w:r w:rsidR="007E164B" w:rsidRPr="00E17D79">
        <w:rPr>
          <w:rFonts w:ascii="Book Antiqua" w:hAnsi="Book Antiqua" w:cs="Arial"/>
          <w:b/>
          <w:lang w:val="en-GB"/>
        </w:rPr>
        <w:t>Kalliopi</w:t>
      </w:r>
      <w:r w:rsidRPr="00E17D79">
        <w:rPr>
          <w:rFonts w:ascii="Book Antiqua" w:hAnsi="Book Antiqua" w:cs="Arial"/>
          <w:b/>
          <w:lang w:val="en-GB"/>
        </w:rPr>
        <w:t xml:space="preserve"> </w:t>
      </w:r>
      <w:r w:rsidR="007E164B" w:rsidRPr="00E17D79">
        <w:rPr>
          <w:rFonts w:ascii="Book Antiqua" w:hAnsi="Book Antiqua" w:cs="Arial"/>
          <w:b/>
          <w:lang w:val="en-GB"/>
        </w:rPr>
        <w:t xml:space="preserve">Zachou, </w:t>
      </w:r>
      <w:bookmarkStart w:id="3" w:name="_Hlk7474670"/>
      <w:r w:rsidR="007E164B" w:rsidRPr="00E17D79">
        <w:rPr>
          <w:rFonts w:ascii="Book Antiqua" w:hAnsi="Book Antiqua" w:cs="Arial"/>
          <w:b/>
          <w:lang w:val="en-GB"/>
        </w:rPr>
        <w:t>Konstantinos Makaritsis</w:t>
      </w:r>
      <w:bookmarkEnd w:id="3"/>
      <w:r w:rsidR="007E164B" w:rsidRPr="00E17D79">
        <w:rPr>
          <w:rFonts w:ascii="Book Antiqua" w:hAnsi="Book Antiqua" w:cs="Arial"/>
          <w:b/>
          <w:lang w:val="en-GB"/>
        </w:rPr>
        <w:t>,</w:t>
      </w:r>
      <w:r w:rsidRPr="00E17D79">
        <w:rPr>
          <w:rFonts w:ascii="Book Antiqua" w:hAnsi="Book Antiqua" w:cs="Arial"/>
          <w:b/>
          <w:lang w:val="en-GB"/>
        </w:rPr>
        <w:t xml:space="preserve"> </w:t>
      </w:r>
      <w:r w:rsidR="007E164B" w:rsidRPr="00E17D79">
        <w:rPr>
          <w:rFonts w:ascii="Book Antiqua" w:hAnsi="Book Antiqua" w:cs="Arial"/>
          <w:b/>
          <w:lang w:val="en-GB"/>
        </w:rPr>
        <w:t>Eirini I Rigopoulou, George N</w:t>
      </w:r>
      <w:r w:rsidRPr="00E17D79">
        <w:rPr>
          <w:rFonts w:ascii="Book Antiqua" w:hAnsi="Book Antiqua" w:cs="Arial"/>
          <w:b/>
          <w:lang w:val="en-GB"/>
        </w:rPr>
        <w:t xml:space="preserve"> </w:t>
      </w:r>
      <w:r w:rsidR="007E164B" w:rsidRPr="00E17D79">
        <w:rPr>
          <w:rFonts w:ascii="Book Antiqua" w:hAnsi="Book Antiqua" w:cs="Arial"/>
          <w:b/>
          <w:lang w:val="en-GB"/>
        </w:rPr>
        <w:t>Dalekos</w:t>
      </w:r>
      <w:r w:rsidR="00577A58" w:rsidRPr="00E17D79">
        <w:rPr>
          <w:rFonts w:ascii="Book Antiqua" w:hAnsi="Book Antiqua" w:cs="Arial"/>
          <w:b/>
          <w:lang w:val="en-GB"/>
        </w:rPr>
        <w:t xml:space="preserve">, </w:t>
      </w:r>
      <w:r w:rsidR="00FA1A27" w:rsidRPr="00E17D79">
        <w:rPr>
          <w:rFonts w:ascii="Book Antiqua" w:hAnsi="Book Antiqua" w:cs="Arial"/>
          <w:lang w:val="en-GB"/>
        </w:rPr>
        <w:t>Department of Medicine and Research Laboratory of Internal Medicine, University Hospital of Larissa, Larissa</w:t>
      </w:r>
      <w:r w:rsidR="009C7678" w:rsidRPr="00E17D79">
        <w:rPr>
          <w:rFonts w:ascii="Book Antiqua" w:hAnsi="Book Antiqua" w:cs="Arial"/>
          <w:lang w:val="en-GB"/>
        </w:rPr>
        <w:t xml:space="preserve"> 41110</w:t>
      </w:r>
      <w:r w:rsidR="00FA1A27" w:rsidRPr="00E17D79">
        <w:rPr>
          <w:rFonts w:ascii="Book Antiqua" w:hAnsi="Book Antiqua" w:cs="Arial"/>
          <w:lang w:val="en-GB"/>
        </w:rPr>
        <w:t>, Greece</w:t>
      </w:r>
    </w:p>
    <w:p w14:paraId="180C3241" w14:textId="77777777" w:rsidR="009C0822" w:rsidRPr="00E17D79" w:rsidRDefault="009C0822" w:rsidP="00E17D79">
      <w:pPr>
        <w:spacing w:line="360" w:lineRule="auto"/>
        <w:jc w:val="both"/>
        <w:rPr>
          <w:rFonts w:ascii="Book Antiqua" w:hAnsi="Book Antiqua" w:cs="Arial"/>
          <w:b/>
          <w:lang w:val="en-GB"/>
        </w:rPr>
      </w:pPr>
    </w:p>
    <w:p w14:paraId="26F0ABF3" w14:textId="3C053FAD" w:rsidR="00441360" w:rsidRPr="00EE3B9F" w:rsidRDefault="00577A58" w:rsidP="00E17D79">
      <w:pPr>
        <w:spacing w:line="360" w:lineRule="auto"/>
        <w:jc w:val="both"/>
        <w:rPr>
          <w:rFonts w:ascii="Book Antiqua" w:eastAsiaTheme="minorEastAsia" w:hAnsi="Book Antiqua"/>
          <w:lang w:val="en-GB" w:eastAsia="zh-CN"/>
        </w:rPr>
      </w:pPr>
      <w:r w:rsidRPr="00E17D79">
        <w:rPr>
          <w:rFonts w:ascii="Book Antiqua" w:hAnsi="Book Antiqua" w:cs="Arial"/>
          <w:b/>
          <w:lang w:val="en-GB"/>
        </w:rPr>
        <w:t>Nikolaos K Gatselis, Kalliopi</w:t>
      </w:r>
      <w:r w:rsidR="009C0822" w:rsidRPr="00E17D79">
        <w:rPr>
          <w:rFonts w:ascii="Book Antiqua" w:hAnsi="Book Antiqua" w:cs="Arial"/>
          <w:b/>
          <w:lang w:val="en-GB"/>
        </w:rPr>
        <w:t xml:space="preserve"> </w:t>
      </w:r>
      <w:r w:rsidRPr="00E17D79">
        <w:rPr>
          <w:rFonts w:ascii="Book Antiqua" w:hAnsi="Book Antiqua" w:cs="Arial"/>
          <w:b/>
          <w:lang w:val="en-GB"/>
        </w:rPr>
        <w:t xml:space="preserve">Zachou, </w:t>
      </w:r>
      <w:r w:rsidR="009C0822" w:rsidRPr="00E17D79">
        <w:rPr>
          <w:rFonts w:ascii="Book Antiqua" w:hAnsi="Book Antiqua" w:cs="Arial"/>
          <w:b/>
          <w:lang w:val="en-GB"/>
        </w:rPr>
        <w:t xml:space="preserve">Konstantinos Makaritsis, </w:t>
      </w:r>
      <w:r w:rsidRPr="00E17D79">
        <w:rPr>
          <w:rFonts w:ascii="Book Antiqua" w:hAnsi="Book Antiqua" w:cs="Arial"/>
          <w:b/>
          <w:lang w:val="en-GB"/>
        </w:rPr>
        <w:t>Eirini I Rigopoulou, George N</w:t>
      </w:r>
      <w:r w:rsidR="009C0822" w:rsidRPr="00E17D79">
        <w:rPr>
          <w:rFonts w:ascii="Book Antiqua" w:hAnsi="Book Antiqua" w:cs="Arial"/>
          <w:b/>
          <w:lang w:val="en-GB"/>
        </w:rPr>
        <w:t xml:space="preserve"> </w:t>
      </w:r>
      <w:r w:rsidRPr="00E17D79">
        <w:rPr>
          <w:rFonts w:ascii="Book Antiqua" w:hAnsi="Book Antiqua" w:cs="Arial"/>
          <w:b/>
          <w:lang w:val="en-GB"/>
        </w:rPr>
        <w:t>Dalekos,</w:t>
      </w:r>
      <w:r w:rsidR="009C0822" w:rsidRPr="00E17D79">
        <w:rPr>
          <w:rFonts w:ascii="Book Antiqua" w:hAnsi="Book Antiqua" w:cs="Arial"/>
          <w:b/>
          <w:lang w:val="en-GB"/>
        </w:rPr>
        <w:t xml:space="preserve"> </w:t>
      </w:r>
      <w:r w:rsidR="001F53B0" w:rsidRPr="00E17D79">
        <w:rPr>
          <w:rFonts w:ascii="Book Antiqua" w:hAnsi="Book Antiqua" w:cs="Arial"/>
          <w:lang w:val="en-GB"/>
        </w:rPr>
        <w:t xml:space="preserve">Institute of Internal Medicine and Hepatology, </w:t>
      </w:r>
      <w:r w:rsidR="009C7678" w:rsidRPr="00E17D79">
        <w:rPr>
          <w:rFonts w:ascii="Book Antiqua" w:hAnsi="Book Antiqua" w:cs="Arial"/>
          <w:lang w:val="en-GB"/>
        </w:rPr>
        <w:t xml:space="preserve">University Hospital of Larissa, </w:t>
      </w:r>
      <w:r w:rsidR="001F53B0" w:rsidRPr="00E17D79">
        <w:rPr>
          <w:rFonts w:ascii="Book Antiqua" w:hAnsi="Book Antiqua" w:cs="Arial"/>
          <w:lang w:val="en-GB"/>
        </w:rPr>
        <w:t>Larissa</w:t>
      </w:r>
      <w:r w:rsidR="009C7678" w:rsidRPr="00E17D79">
        <w:rPr>
          <w:rFonts w:ascii="Book Antiqua" w:hAnsi="Book Antiqua" w:cs="Arial"/>
          <w:lang w:val="en-GB"/>
        </w:rPr>
        <w:t xml:space="preserve"> 41447</w:t>
      </w:r>
      <w:r w:rsidR="001F53B0" w:rsidRPr="00E17D79">
        <w:rPr>
          <w:rFonts w:ascii="Book Antiqua" w:hAnsi="Book Antiqua" w:cs="Arial"/>
          <w:lang w:val="en-GB"/>
        </w:rPr>
        <w:t>, Greece</w:t>
      </w:r>
    </w:p>
    <w:p w14:paraId="7A0155ED" w14:textId="77777777" w:rsidR="00441360" w:rsidRPr="00E17D79" w:rsidRDefault="00441360" w:rsidP="00E17D79">
      <w:pPr>
        <w:spacing w:line="360" w:lineRule="auto"/>
        <w:jc w:val="both"/>
        <w:rPr>
          <w:rFonts w:ascii="Book Antiqua" w:hAnsi="Book Antiqua"/>
          <w:lang w:val="en-GB"/>
        </w:rPr>
      </w:pPr>
    </w:p>
    <w:p w14:paraId="204A5E55" w14:textId="5EC014A0" w:rsidR="008019C2" w:rsidRPr="00E17D79" w:rsidRDefault="00E17D79" w:rsidP="00E17D79">
      <w:pPr>
        <w:spacing w:line="360" w:lineRule="auto"/>
        <w:jc w:val="both"/>
        <w:rPr>
          <w:rFonts w:ascii="Book Antiqua" w:hAnsi="Book Antiqua" w:cs="Arial"/>
          <w:lang w:val="en-GB"/>
        </w:rPr>
      </w:pPr>
      <w:bookmarkStart w:id="4" w:name="_Hlk18051152"/>
      <w:bookmarkStart w:id="5" w:name="_Hlk20301565"/>
      <w:r w:rsidRPr="00E17D79">
        <w:rPr>
          <w:rFonts w:ascii="Book Antiqua" w:hAnsi="Book Antiqua"/>
          <w:b/>
        </w:rPr>
        <w:t>ORCID number:</w:t>
      </w:r>
      <w:bookmarkEnd w:id="4"/>
      <w:r w:rsidRPr="00E17D79">
        <w:rPr>
          <w:rFonts w:ascii="Book Antiqua" w:hAnsi="Book Antiqua"/>
          <w:lang w:val="fr-FR"/>
        </w:rPr>
        <w:t xml:space="preserve"> </w:t>
      </w:r>
      <w:bookmarkEnd w:id="5"/>
      <w:r w:rsidR="008019C2" w:rsidRPr="00E17D79">
        <w:rPr>
          <w:rFonts w:ascii="Book Antiqua" w:hAnsi="Book Antiqua" w:cs="Arial"/>
          <w:lang w:val="en-GB"/>
        </w:rPr>
        <w:t>Sarah Georgiadou (</w:t>
      </w:r>
      <w:r w:rsidR="004F3AA0" w:rsidRPr="00E17D79">
        <w:rPr>
          <w:rFonts w:ascii="Book Antiqua" w:hAnsi="Book Antiqua" w:cs="Arial"/>
          <w:lang w:val="en-GB"/>
        </w:rPr>
        <w:t>0000-0002-8552-9311)</w:t>
      </w:r>
      <w:r w:rsidR="008019C2" w:rsidRPr="00E17D79">
        <w:rPr>
          <w:rFonts w:ascii="Book Antiqua" w:hAnsi="Book Antiqua" w:cs="Arial"/>
          <w:lang w:val="en-GB"/>
        </w:rPr>
        <w:t>; Nikolaos K Gatselis (</w:t>
      </w:r>
      <w:r w:rsidR="00B44599" w:rsidRPr="00E17D79">
        <w:rPr>
          <w:rFonts w:ascii="Book Antiqua" w:hAnsi="Book Antiqua" w:cs="Arial"/>
          <w:shd w:val="clear" w:color="auto" w:fill="FFFFFF"/>
          <w:lang w:val="en-US"/>
        </w:rPr>
        <w:t>0000-0002-3715-8640</w:t>
      </w:r>
      <w:r w:rsidR="008019C2" w:rsidRPr="00E17D79">
        <w:rPr>
          <w:rFonts w:ascii="Book Antiqua" w:hAnsi="Book Antiqua" w:cs="Arial"/>
          <w:lang w:val="en-GB"/>
        </w:rPr>
        <w:t>);</w:t>
      </w:r>
      <w:r w:rsidR="009C0822" w:rsidRPr="00E17D79">
        <w:rPr>
          <w:rFonts w:ascii="Book Antiqua" w:hAnsi="Book Antiqua" w:cs="Arial"/>
          <w:lang w:val="en-GB"/>
        </w:rPr>
        <w:t xml:space="preserve"> </w:t>
      </w:r>
      <w:r w:rsidR="008019C2" w:rsidRPr="00E17D79">
        <w:rPr>
          <w:rFonts w:ascii="Book Antiqua" w:hAnsi="Book Antiqua" w:cs="Arial"/>
          <w:lang w:val="en-GB"/>
        </w:rPr>
        <w:t>Aggelos</w:t>
      </w:r>
      <w:r w:rsidR="009C0822" w:rsidRPr="00E17D79">
        <w:rPr>
          <w:rFonts w:ascii="Book Antiqua" w:hAnsi="Book Antiqua" w:cs="Arial"/>
          <w:lang w:val="en-GB"/>
        </w:rPr>
        <w:t xml:space="preserve"> </w:t>
      </w:r>
      <w:r w:rsidR="008019C2" w:rsidRPr="00E17D79">
        <w:rPr>
          <w:rFonts w:ascii="Book Antiqua" w:hAnsi="Book Antiqua" w:cs="Arial"/>
          <w:lang w:val="en-GB"/>
        </w:rPr>
        <w:t>Stefos (</w:t>
      </w:r>
      <w:r w:rsidR="00151011" w:rsidRPr="00E17D79">
        <w:rPr>
          <w:rFonts w:ascii="Book Antiqua" w:hAnsi="Book Antiqua" w:cs="Arial"/>
          <w:shd w:val="clear" w:color="auto" w:fill="FFFFFF"/>
          <w:lang w:val="en-US"/>
        </w:rPr>
        <w:t>0000-0002-4954-8857</w:t>
      </w:r>
      <w:r w:rsidR="008019C2" w:rsidRPr="00E17D79">
        <w:rPr>
          <w:rFonts w:ascii="Book Antiqua" w:hAnsi="Book Antiqua" w:cs="Arial"/>
          <w:lang w:val="en-GB"/>
        </w:rPr>
        <w:t>);</w:t>
      </w:r>
      <w:r w:rsidR="009C0822" w:rsidRPr="00E17D79">
        <w:rPr>
          <w:rFonts w:ascii="Book Antiqua" w:hAnsi="Book Antiqua" w:cs="Arial"/>
          <w:lang w:val="en-GB"/>
        </w:rPr>
        <w:t xml:space="preserve"> </w:t>
      </w:r>
      <w:r w:rsidR="008019C2" w:rsidRPr="00E17D79">
        <w:rPr>
          <w:rFonts w:ascii="Book Antiqua" w:hAnsi="Book Antiqua" w:cs="Arial"/>
          <w:lang w:val="en-GB"/>
        </w:rPr>
        <w:t>Kalliopi</w:t>
      </w:r>
      <w:r w:rsidR="009C0822" w:rsidRPr="00E17D79">
        <w:rPr>
          <w:rFonts w:ascii="Book Antiqua" w:hAnsi="Book Antiqua" w:cs="Arial"/>
          <w:lang w:val="en-GB"/>
        </w:rPr>
        <w:t xml:space="preserve"> </w:t>
      </w:r>
      <w:r w:rsidR="008019C2" w:rsidRPr="00E17D79">
        <w:rPr>
          <w:rFonts w:ascii="Book Antiqua" w:hAnsi="Book Antiqua" w:cs="Arial"/>
          <w:lang w:val="en-GB"/>
        </w:rPr>
        <w:t>Zachou (</w:t>
      </w:r>
      <w:r w:rsidR="009C0822" w:rsidRPr="00E17D79">
        <w:rPr>
          <w:rFonts w:ascii="Book Antiqua" w:hAnsi="Book Antiqua" w:cs="Arial"/>
          <w:lang w:val="en-US"/>
        </w:rPr>
        <w:t>0000-0002-4218-9847</w:t>
      </w:r>
      <w:r w:rsidR="008019C2" w:rsidRPr="00E17D79">
        <w:rPr>
          <w:rFonts w:ascii="Book Antiqua" w:hAnsi="Book Antiqua" w:cs="Arial"/>
          <w:lang w:val="en-GB"/>
        </w:rPr>
        <w:t>);</w:t>
      </w:r>
      <w:r w:rsidR="009C0822" w:rsidRPr="00E17D79">
        <w:rPr>
          <w:rFonts w:ascii="Book Antiqua" w:hAnsi="Book Antiqua" w:cs="Arial"/>
          <w:lang w:val="en-GB"/>
        </w:rPr>
        <w:t xml:space="preserve"> Konstantinos </w:t>
      </w:r>
      <w:r w:rsidR="008019C2" w:rsidRPr="00E17D79">
        <w:rPr>
          <w:rFonts w:ascii="Book Antiqua" w:hAnsi="Book Antiqua" w:cs="Arial"/>
          <w:lang w:val="en-GB"/>
        </w:rPr>
        <w:t>Makaritsis</w:t>
      </w:r>
      <w:r w:rsidR="009C0822" w:rsidRPr="00E17D79">
        <w:rPr>
          <w:rFonts w:ascii="Book Antiqua" w:hAnsi="Book Antiqua" w:cs="Arial"/>
          <w:lang w:val="en-GB"/>
        </w:rPr>
        <w:t xml:space="preserve"> </w:t>
      </w:r>
      <w:r w:rsidR="008019C2" w:rsidRPr="00E17D79">
        <w:rPr>
          <w:rFonts w:ascii="Book Antiqua" w:hAnsi="Book Antiqua" w:cs="Arial"/>
          <w:lang w:val="en-GB"/>
        </w:rPr>
        <w:t>(</w:t>
      </w:r>
      <w:r w:rsidR="00151011" w:rsidRPr="00E17D79">
        <w:rPr>
          <w:rFonts w:ascii="Book Antiqua" w:hAnsi="Book Antiqua" w:cs="Arial"/>
          <w:shd w:val="clear" w:color="auto" w:fill="FFFFFF"/>
          <w:lang w:val="en-US"/>
        </w:rPr>
        <w:t>0000-0002-8675-6583</w:t>
      </w:r>
      <w:r w:rsidR="008019C2" w:rsidRPr="00E17D79">
        <w:rPr>
          <w:rFonts w:ascii="Book Antiqua" w:hAnsi="Book Antiqua" w:cs="Arial"/>
          <w:lang w:val="en-GB"/>
        </w:rPr>
        <w:t>); Eirini I Rigopoulou</w:t>
      </w:r>
      <w:r w:rsidR="009C0822" w:rsidRPr="00E17D79">
        <w:rPr>
          <w:rFonts w:ascii="Book Antiqua" w:hAnsi="Book Antiqua" w:cs="Arial"/>
          <w:lang w:val="en-GB"/>
        </w:rPr>
        <w:t xml:space="preserve"> </w:t>
      </w:r>
      <w:r w:rsidR="008019C2" w:rsidRPr="00E17D79">
        <w:rPr>
          <w:rFonts w:ascii="Book Antiqua" w:hAnsi="Book Antiqua" w:cs="Arial"/>
          <w:lang w:val="en-GB"/>
        </w:rPr>
        <w:t>(</w:t>
      </w:r>
      <w:r w:rsidR="00222AAC" w:rsidRPr="00E17D79">
        <w:rPr>
          <w:rFonts w:ascii="Book Antiqua" w:hAnsi="Book Antiqua" w:cs="Helvetica"/>
          <w:color w:val="000000"/>
          <w:shd w:val="clear" w:color="auto" w:fill="FFFFFF"/>
          <w:lang w:val="en-US"/>
        </w:rPr>
        <w:t>0000-0003-1978-4602</w:t>
      </w:r>
      <w:r w:rsidR="008019C2" w:rsidRPr="00E17D79">
        <w:rPr>
          <w:rFonts w:ascii="Book Antiqua" w:hAnsi="Book Antiqua" w:cs="Arial"/>
          <w:lang w:val="en-GB"/>
        </w:rPr>
        <w:t>); George N Dalekos (</w:t>
      </w:r>
      <w:r w:rsidR="009C0822" w:rsidRPr="00E17D79">
        <w:rPr>
          <w:rFonts w:ascii="Book Antiqua" w:hAnsi="Book Antiqua" w:cs="Arial"/>
          <w:shd w:val="clear" w:color="auto" w:fill="FFFFFF"/>
          <w:lang w:val="en-US"/>
        </w:rPr>
        <w:t>0000-0001-7075-8464</w:t>
      </w:r>
      <w:r w:rsidR="008019C2" w:rsidRPr="00E17D79">
        <w:rPr>
          <w:rFonts w:ascii="Book Antiqua" w:hAnsi="Book Antiqua" w:cs="Arial"/>
          <w:lang w:val="en-GB"/>
        </w:rPr>
        <w:t>)</w:t>
      </w:r>
      <w:r w:rsidR="00F539D9" w:rsidRPr="00E17D79">
        <w:rPr>
          <w:rFonts w:ascii="Book Antiqua" w:hAnsi="Book Antiqua" w:cs="Arial"/>
          <w:lang w:val="en-GB"/>
        </w:rPr>
        <w:t>.</w:t>
      </w:r>
    </w:p>
    <w:p w14:paraId="6011B8D2" w14:textId="77777777" w:rsidR="008019C2" w:rsidRPr="00E17D79" w:rsidRDefault="008019C2" w:rsidP="00E17D79">
      <w:pPr>
        <w:spacing w:line="360" w:lineRule="auto"/>
        <w:jc w:val="both"/>
        <w:rPr>
          <w:rFonts w:ascii="Book Antiqua" w:hAnsi="Book Antiqua"/>
          <w:b/>
          <w:lang w:val="en-GB"/>
        </w:rPr>
      </w:pPr>
    </w:p>
    <w:p w14:paraId="22EC373E" w14:textId="58BD9F42" w:rsidR="007E7CC2" w:rsidRPr="00E17D79" w:rsidRDefault="00E17D79" w:rsidP="00E17D79">
      <w:pPr>
        <w:spacing w:line="360" w:lineRule="auto"/>
        <w:jc w:val="both"/>
        <w:rPr>
          <w:rFonts w:ascii="Book Antiqua" w:hAnsi="Book Antiqua" w:cs="Arial"/>
          <w:lang w:val="en-GB"/>
        </w:rPr>
      </w:pPr>
      <w:r w:rsidRPr="00E17D79">
        <w:rPr>
          <w:rFonts w:ascii="Book Antiqua" w:hAnsi="Book Antiqua"/>
          <w:b/>
          <w:lang w:val="en-GB"/>
        </w:rPr>
        <w:t>Author contributions:</w:t>
      </w:r>
      <w:r w:rsidRPr="00E17D79">
        <w:rPr>
          <w:rFonts w:ascii="Book Antiqua" w:hAnsi="Book Antiqua"/>
          <w:b/>
        </w:rPr>
        <w:t xml:space="preserve"> </w:t>
      </w:r>
      <w:r w:rsidR="007962A1" w:rsidRPr="00E17D79">
        <w:rPr>
          <w:rFonts w:ascii="Book Antiqua" w:hAnsi="Book Antiqua"/>
          <w:lang w:val="en-GB"/>
        </w:rPr>
        <w:t xml:space="preserve">Makaritsis K, </w:t>
      </w:r>
      <w:r w:rsidR="00123D5C" w:rsidRPr="00E17D79">
        <w:rPr>
          <w:rFonts w:ascii="Book Antiqua" w:hAnsi="Book Antiqua" w:cs="Arial"/>
          <w:lang w:val="en-GB"/>
        </w:rPr>
        <w:t>Rigopo</w:t>
      </w:r>
      <w:r w:rsidR="005C096D" w:rsidRPr="00E17D79">
        <w:rPr>
          <w:rFonts w:ascii="Book Antiqua" w:hAnsi="Book Antiqua" w:cs="Arial"/>
          <w:lang w:val="en-GB"/>
        </w:rPr>
        <w:t>ulou EI</w:t>
      </w:r>
      <w:r w:rsidR="007962A1" w:rsidRPr="00E17D79">
        <w:rPr>
          <w:rFonts w:ascii="Book Antiqua" w:hAnsi="Book Antiqua" w:cs="Arial"/>
          <w:lang w:val="en-GB"/>
        </w:rPr>
        <w:t>, Dalekos GN</w:t>
      </w:r>
      <w:r w:rsidR="00F539D9" w:rsidRPr="00E17D79">
        <w:rPr>
          <w:rFonts w:ascii="Book Antiqua" w:hAnsi="Book Antiqua" w:cs="Arial"/>
          <w:lang w:val="en-GB"/>
        </w:rPr>
        <w:t xml:space="preserve"> made the</w:t>
      </w:r>
      <w:r w:rsidR="005C096D" w:rsidRPr="00E17D79">
        <w:rPr>
          <w:rFonts w:ascii="Book Antiqua" w:hAnsi="Book Antiqua" w:cs="Arial"/>
          <w:lang w:val="en-GB"/>
        </w:rPr>
        <w:t xml:space="preserve"> </w:t>
      </w:r>
      <w:r w:rsidR="00F539D9" w:rsidRPr="00E17D79">
        <w:rPr>
          <w:rFonts w:ascii="Book Antiqua" w:hAnsi="Book Antiqua" w:cs="Arial"/>
          <w:lang w:val="en-GB"/>
        </w:rPr>
        <w:t>conception</w:t>
      </w:r>
      <w:r w:rsidR="00F539D9" w:rsidRPr="00E17D79">
        <w:rPr>
          <w:rFonts w:ascii="Book Antiqua" w:hAnsi="Book Antiqua" w:cs="Arial"/>
          <w:color w:val="000000"/>
          <w:shd w:val="clear" w:color="auto" w:fill="FFFFFF"/>
          <w:lang w:val="en-US"/>
        </w:rPr>
        <w:t xml:space="preserve"> </w:t>
      </w:r>
      <w:r w:rsidR="005C096D" w:rsidRPr="00E17D79">
        <w:rPr>
          <w:rFonts w:ascii="Book Antiqua" w:hAnsi="Book Antiqua" w:cs="Arial"/>
          <w:color w:val="000000"/>
          <w:shd w:val="clear" w:color="auto" w:fill="FFFFFF"/>
          <w:lang w:val="en-US"/>
        </w:rPr>
        <w:t>and design</w:t>
      </w:r>
      <w:r w:rsidR="00F539D9" w:rsidRPr="00E17D79">
        <w:rPr>
          <w:rFonts w:ascii="Book Antiqua" w:hAnsi="Book Antiqua" w:cs="Arial"/>
          <w:color w:val="000000"/>
          <w:shd w:val="clear" w:color="auto" w:fill="FFFFFF"/>
          <w:lang w:val="en-US"/>
        </w:rPr>
        <w:t>ed</w:t>
      </w:r>
      <w:r w:rsidR="005C096D" w:rsidRPr="00E17D79">
        <w:rPr>
          <w:rFonts w:ascii="Book Antiqua" w:hAnsi="Book Antiqua" w:cs="Arial"/>
          <w:color w:val="000000"/>
          <w:shd w:val="clear" w:color="auto" w:fill="FFFFFF"/>
          <w:lang w:val="en-US"/>
        </w:rPr>
        <w:t xml:space="preserve"> of the work, treat</w:t>
      </w:r>
      <w:r w:rsidR="00F539D9" w:rsidRPr="00E17D79">
        <w:rPr>
          <w:rFonts w:ascii="Book Antiqua" w:hAnsi="Book Antiqua" w:cs="Arial"/>
          <w:color w:val="000000"/>
          <w:shd w:val="clear" w:color="auto" w:fill="FFFFFF"/>
          <w:lang w:val="en-US"/>
        </w:rPr>
        <w:t>ed</w:t>
      </w:r>
      <w:r w:rsidR="005C096D" w:rsidRPr="00E17D79">
        <w:rPr>
          <w:rFonts w:ascii="Book Antiqua" w:hAnsi="Book Antiqua" w:cs="Arial"/>
          <w:color w:val="000000"/>
          <w:shd w:val="clear" w:color="auto" w:fill="FFFFFF"/>
          <w:lang w:val="en-US"/>
        </w:rPr>
        <w:t xml:space="preserve"> the patients, </w:t>
      </w:r>
      <w:r w:rsidR="00F539D9" w:rsidRPr="00E17D79">
        <w:rPr>
          <w:rFonts w:ascii="Book Antiqua" w:hAnsi="Book Antiqua" w:cs="Arial"/>
          <w:color w:val="000000"/>
          <w:shd w:val="clear" w:color="auto" w:fill="FFFFFF"/>
          <w:lang w:val="en-US"/>
        </w:rPr>
        <w:t>analyzed</w:t>
      </w:r>
      <w:r w:rsidR="005C096D" w:rsidRPr="00E17D79">
        <w:rPr>
          <w:rFonts w:ascii="Book Antiqua" w:hAnsi="Book Antiqua" w:cs="Arial"/>
          <w:color w:val="000000"/>
          <w:shd w:val="clear" w:color="auto" w:fill="FFFFFF"/>
          <w:lang w:val="en-US"/>
        </w:rPr>
        <w:t xml:space="preserve"> and interpret</w:t>
      </w:r>
      <w:r w:rsidR="00F539D9" w:rsidRPr="00E17D79">
        <w:rPr>
          <w:rFonts w:ascii="Book Antiqua" w:hAnsi="Book Antiqua" w:cs="Arial"/>
          <w:color w:val="000000"/>
          <w:shd w:val="clear" w:color="auto" w:fill="FFFFFF"/>
          <w:lang w:val="en-US"/>
        </w:rPr>
        <w:t>ed</w:t>
      </w:r>
      <w:r w:rsidR="005C096D" w:rsidRPr="00E17D79">
        <w:rPr>
          <w:rFonts w:ascii="Book Antiqua" w:hAnsi="Book Antiqua" w:cs="Arial"/>
          <w:color w:val="000000"/>
          <w:shd w:val="clear" w:color="auto" w:fill="FFFFFF"/>
          <w:lang w:val="en-US"/>
        </w:rPr>
        <w:t xml:space="preserve"> of the data, </w:t>
      </w:r>
      <w:r w:rsidR="005C096D" w:rsidRPr="00E17D79">
        <w:rPr>
          <w:rFonts w:ascii="Book Antiqua" w:hAnsi="Book Antiqua" w:cs="Arial"/>
          <w:lang w:val="en-GB"/>
        </w:rPr>
        <w:t xml:space="preserve">critical revision </w:t>
      </w:r>
      <w:r w:rsidR="005C096D" w:rsidRPr="00E17D79">
        <w:rPr>
          <w:rFonts w:ascii="Book Antiqua" w:hAnsi="Book Antiqua" w:cs="Arial"/>
          <w:color w:val="000000"/>
          <w:shd w:val="clear" w:color="auto" w:fill="FFFFFF"/>
          <w:lang w:val="en-US"/>
        </w:rPr>
        <w:t xml:space="preserve">of the manuscript and final </w:t>
      </w:r>
      <w:bookmarkStart w:id="6" w:name="OLE_LINK5"/>
      <w:r w:rsidR="00F539D9" w:rsidRPr="00E17D79">
        <w:rPr>
          <w:rFonts w:ascii="Book Antiqua" w:hAnsi="Book Antiqua" w:cs="Arial"/>
          <w:color w:val="000000"/>
          <w:shd w:val="clear" w:color="auto" w:fill="FFFFFF"/>
          <w:lang w:val="en-US"/>
        </w:rPr>
        <w:t>approved</w:t>
      </w:r>
      <w:r w:rsidR="005C096D" w:rsidRPr="00E17D79">
        <w:rPr>
          <w:rFonts w:ascii="Book Antiqua" w:hAnsi="Book Antiqua" w:cs="Arial"/>
          <w:color w:val="000000"/>
          <w:shd w:val="clear" w:color="auto" w:fill="FFFFFF"/>
          <w:lang w:val="en-US"/>
        </w:rPr>
        <w:t xml:space="preserve"> </w:t>
      </w:r>
      <w:bookmarkEnd w:id="6"/>
      <w:r w:rsidR="005C096D" w:rsidRPr="00E17D79">
        <w:rPr>
          <w:rFonts w:ascii="Book Antiqua" w:hAnsi="Book Antiqua" w:cs="Arial"/>
          <w:color w:val="000000"/>
          <w:shd w:val="clear" w:color="auto" w:fill="FFFFFF"/>
          <w:lang w:val="en-US"/>
        </w:rPr>
        <w:t>of the version to be published;</w:t>
      </w:r>
      <w:r w:rsidR="005C096D" w:rsidRPr="00E17D79">
        <w:rPr>
          <w:rFonts w:ascii="Book Antiqua" w:hAnsi="Book Antiqua" w:cs="Arial"/>
          <w:lang w:val="en-GB"/>
        </w:rPr>
        <w:t xml:space="preserve"> Georgiadou S, Gatselis NK, Stefos A, Zachou K </w:t>
      </w:r>
      <w:r w:rsidR="00F539D9" w:rsidRPr="00E17D79">
        <w:rPr>
          <w:rFonts w:ascii="Book Antiqua" w:hAnsi="Book Antiqua" w:cs="Arial"/>
          <w:lang w:val="en-GB"/>
        </w:rPr>
        <w:lastRenderedPageBreak/>
        <w:t>t</w:t>
      </w:r>
      <w:r w:rsidR="00F539D9" w:rsidRPr="00E17D79">
        <w:rPr>
          <w:rFonts w:ascii="Book Antiqua" w:hAnsi="Book Antiqua" w:cs="Arial"/>
          <w:color w:val="000000"/>
          <w:shd w:val="clear" w:color="auto" w:fill="FFFFFF"/>
          <w:lang w:val="en-US"/>
        </w:rPr>
        <w:t xml:space="preserve">reated </w:t>
      </w:r>
      <w:r w:rsidR="005C096D" w:rsidRPr="00E17D79">
        <w:rPr>
          <w:rFonts w:ascii="Book Antiqua" w:hAnsi="Book Antiqua" w:cs="Arial"/>
          <w:color w:val="000000"/>
          <w:shd w:val="clear" w:color="auto" w:fill="FFFFFF"/>
          <w:lang w:val="en-US"/>
        </w:rPr>
        <w:t>the patients,</w:t>
      </w:r>
      <w:r w:rsidR="00F539D9" w:rsidRPr="00E17D79">
        <w:rPr>
          <w:rFonts w:ascii="Book Antiqua" w:hAnsi="Book Antiqua" w:cs="Arial"/>
          <w:color w:val="000000"/>
          <w:shd w:val="clear" w:color="auto" w:fill="FFFFFF"/>
          <w:lang w:val="en-US"/>
        </w:rPr>
        <w:t xml:space="preserve"> made the</w:t>
      </w:r>
      <w:r w:rsidR="005C096D" w:rsidRPr="00E17D79">
        <w:rPr>
          <w:rFonts w:ascii="Book Antiqua" w:hAnsi="Book Antiqua" w:cs="Arial"/>
          <w:color w:val="000000"/>
          <w:shd w:val="clear" w:color="auto" w:fill="FFFFFF"/>
          <w:lang w:val="en-US"/>
        </w:rPr>
        <w:t xml:space="preserve"> collection, statistical analysis and interpretation of the data, wr</w:t>
      </w:r>
      <w:r w:rsidR="00F539D9" w:rsidRPr="00E17D79">
        <w:rPr>
          <w:rFonts w:ascii="Book Antiqua" w:hAnsi="Book Antiqua" w:cs="Arial"/>
          <w:color w:val="000000"/>
          <w:shd w:val="clear" w:color="auto" w:fill="FFFFFF"/>
          <w:lang w:val="en-US"/>
        </w:rPr>
        <w:t>ote</w:t>
      </w:r>
      <w:r w:rsidR="005C096D" w:rsidRPr="00E17D79">
        <w:rPr>
          <w:rFonts w:ascii="Book Antiqua" w:hAnsi="Book Antiqua" w:cs="Arial"/>
          <w:color w:val="000000"/>
          <w:shd w:val="clear" w:color="auto" w:fill="FFFFFF"/>
          <w:lang w:val="en-US"/>
        </w:rPr>
        <w:t xml:space="preserve"> the first draft of the manuscript and final </w:t>
      </w:r>
      <w:r w:rsidR="00F539D9" w:rsidRPr="00E17D79">
        <w:rPr>
          <w:rFonts w:ascii="Book Antiqua" w:hAnsi="Book Antiqua" w:cs="Arial"/>
          <w:color w:val="000000"/>
          <w:shd w:val="clear" w:color="auto" w:fill="FFFFFF"/>
          <w:lang w:val="en-US"/>
        </w:rPr>
        <w:t xml:space="preserve">approved </w:t>
      </w:r>
      <w:r w:rsidR="005C096D" w:rsidRPr="00E17D79">
        <w:rPr>
          <w:rFonts w:ascii="Book Antiqua" w:hAnsi="Book Antiqua" w:cs="Arial"/>
          <w:color w:val="000000"/>
          <w:shd w:val="clear" w:color="auto" w:fill="FFFFFF"/>
          <w:lang w:val="en-US"/>
        </w:rPr>
        <w:t>of the version to be published</w:t>
      </w:r>
      <w:r w:rsidR="007962A1" w:rsidRPr="00E17D79">
        <w:rPr>
          <w:rFonts w:ascii="Book Antiqua" w:hAnsi="Book Antiqua" w:cs="Arial"/>
          <w:lang w:val="en-GB"/>
        </w:rPr>
        <w:t>.</w:t>
      </w:r>
    </w:p>
    <w:p w14:paraId="5B100F07" w14:textId="77777777" w:rsidR="005C096D" w:rsidRPr="00E17D79" w:rsidRDefault="005C096D" w:rsidP="00E17D79">
      <w:pPr>
        <w:spacing w:line="360" w:lineRule="auto"/>
        <w:jc w:val="both"/>
        <w:rPr>
          <w:rFonts w:ascii="Book Antiqua" w:hAnsi="Book Antiqua"/>
          <w:b/>
          <w:lang w:val="en-GB"/>
        </w:rPr>
      </w:pPr>
    </w:p>
    <w:p w14:paraId="0C11A9BB" w14:textId="07CD7E4C" w:rsidR="00027E86" w:rsidRPr="00E17D79" w:rsidRDefault="00E17D79" w:rsidP="00E17D79">
      <w:pPr>
        <w:spacing w:line="360" w:lineRule="auto"/>
        <w:jc w:val="both"/>
        <w:rPr>
          <w:rFonts w:ascii="Book Antiqua" w:hAnsi="Book Antiqua"/>
          <w:lang w:val="en-GB"/>
        </w:rPr>
      </w:pPr>
      <w:r w:rsidRPr="00E17D79">
        <w:rPr>
          <w:rStyle w:val="40"/>
          <w:rFonts w:ascii="Book Antiqua" w:hAnsi="Book Antiqua"/>
          <w:sz w:val="24"/>
          <w:szCs w:val="24"/>
        </w:rPr>
        <w:t>Institutional review board statement:</w:t>
      </w:r>
      <w:r w:rsidRPr="00E17D79">
        <w:rPr>
          <w:rFonts w:ascii="Book Antiqua" w:hAnsi="Book Antiqua"/>
          <w:b/>
        </w:rPr>
        <w:t xml:space="preserve"> </w:t>
      </w:r>
      <w:r w:rsidR="007962A1" w:rsidRPr="00E17D79">
        <w:rPr>
          <w:rFonts w:ascii="Book Antiqua" w:hAnsi="Book Antiqua" w:cs="Calibri"/>
          <w:lang w:val="en-GB"/>
        </w:rPr>
        <w:t>The ethical committee of the University Hospital of Larissa approved the protocol which</w:t>
      </w:r>
      <w:r w:rsidR="007962A1" w:rsidRPr="00E17D79">
        <w:rPr>
          <w:rFonts w:ascii="Book Antiqua" w:hAnsi="Book Antiqua" w:cs="Calibri"/>
          <w:shd w:val="clear" w:color="auto" w:fill="FFFFFF"/>
          <w:lang w:val="en-US"/>
        </w:rPr>
        <w:t xml:space="preserve"> conforms to the ethical guidelines of the 1975 Declaration of Helsinki as reflected in a priori approval by the institution's human research committee</w:t>
      </w:r>
      <w:r w:rsidR="007C1C18" w:rsidRPr="00E17D79">
        <w:rPr>
          <w:rFonts w:ascii="Book Antiqua" w:hAnsi="Book Antiqua"/>
          <w:lang w:val="en-GB"/>
        </w:rPr>
        <w:t>.</w:t>
      </w:r>
    </w:p>
    <w:p w14:paraId="1CA93437" w14:textId="77777777" w:rsidR="007C1C18" w:rsidRPr="00E17D79" w:rsidRDefault="007C1C18" w:rsidP="00E17D79">
      <w:pPr>
        <w:spacing w:line="360" w:lineRule="auto"/>
        <w:jc w:val="both"/>
        <w:rPr>
          <w:rFonts w:ascii="Book Antiqua" w:hAnsi="Book Antiqua"/>
          <w:b/>
          <w:lang w:val="en-GB"/>
        </w:rPr>
      </w:pPr>
    </w:p>
    <w:p w14:paraId="2244EE2F" w14:textId="068DD1E1" w:rsidR="00893B1A" w:rsidRPr="00E17D79" w:rsidRDefault="00E17D79" w:rsidP="00E17D79">
      <w:pPr>
        <w:spacing w:line="360" w:lineRule="auto"/>
        <w:jc w:val="both"/>
        <w:rPr>
          <w:rFonts w:ascii="Book Antiqua" w:hAnsi="Book Antiqua"/>
          <w:lang w:val="en-GB"/>
        </w:rPr>
      </w:pPr>
      <w:bookmarkStart w:id="7" w:name="_Hlk18051309"/>
      <w:bookmarkStart w:id="8" w:name="_Hlk20301658"/>
      <w:r w:rsidRPr="00E17D79">
        <w:rPr>
          <w:rFonts w:ascii="Book Antiqua" w:hAnsi="Book Antiqua"/>
          <w:b/>
          <w:color w:val="000000" w:themeColor="text1"/>
        </w:rPr>
        <w:t>Informed consent statement</w:t>
      </w:r>
      <w:r w:rsidRPr="00E17D79">
        <w:rPr>
          <w:rFonts w:ascii="Book Antiqua" w:hAnsi="Book Antiqua"/>
          <w:color w:val="000000" w:themeColor="text1"/>
        </w:rPr>
        <w:t>:</w:t>
      </w:r>
      <w:bookmarkEnd w:id="7"/>
      <w:r w:rsidRPr="00E17D79">
        <w:rPr>
          <w:rFonts w:ascii="Book Antiqua" w:hAnsi="Book Antiqua"/>
        </w:rPr>
        <w:t xml:space="preserve"> </w:t>
      </w:r>
      <w:bookmarkEnd w:id="8"/>
      <w:r w:rsidR="00755F44" w:rsidRPr="00E17D79">
        <w:rPr>
          <w:rFonts w:ascii="Book Antiqua" w:hAnsi="Book Antiqua"/>
          <w:lang w:val="en-GB"/>
        </w:rPr>
        <w:t xml:space="preserve">Patients were not required to give informed consent to the study because the </w:t>
      </w:r>
      <w:r w:rsidR="00CD283C" w:rsidRPr="00E17D79">
        <w:rPr>
          <w:rFonts w:ascii="Book Antiqua" w:hAnsi="Book Antiqua"/>
          <w:lang w:val="en-GB"/>
        </w:rPr>
        <w:t xml:space="preserve">retrospective </w:t>
      </w:r>
      <w:r w:rsidR="00755F44" w:rsidRPr="00E17D79">
        <w:rPr>
          <w:rFonts w:ascii="Book Antiqua" w:hAnsi="Book Antiqua"/>
          <w:lang w:val="en-GB"/>
        </w:rPr>
        <w:t xml:space="preserve">analysis used anonymous clinical data that were obtained after each patient agreed to </w:t>
      </w:r>
      <w:r w:rsidR="009524B8" w:rsidRPr="00E17D79">
        <w:rPr>
          <w:rFonts w:ascii="Book Antiqua" w:hAnsi="Book Antiqua"/>
          <w:lang w:val="en-GB"/>
        </w:rPr>
        <w:t xml:space="preserve">the </w:t>
      </w:r>
      <w:r w:rsidR="00755F44" w:rsidRPr="00E17D79">
        <w:rPr>
          <w:rFonts w:ascii="Book Antiqua" w:hAnsi="Book Antiqua"/>
          <w:lang w:val="en-GB"/>
        </w:rPr>
        <w:t xml:space="preserve">treatment </w:t>
      </w:r>
      <w:r w:rsidR="009524B8" w:rsidRPr="00E17D79">
        <w:rPr>
          <w:rFonts w:ascii="Book Antiqua" w:hAnsi="Book Antiqua"/>
          <w:lang w:val="en-GB"/>
        </w:rPr>
        <w:t xml:space="preserve">schedule </w:t>
      </w:r>
      <w:r w:rsidR="00755F44" w:rsidRPr="00E17D79">
        <w:rPr>
          <w:rFonts w:ascii="Book Antiqua" w:hAnsi="Book Antiqua"/>
          <w:lang w:val="en-GB"/>
        </w:rPr>
        <w:t>by written consent.</w:t>
      </w:r>
    </w:p>
    <w:p w14:paraId="4972507F" w14:textId="77777777" w:rsidR="00893B1A" w:rsidRPr="00E17D79" w:rsidRDefault="00893B1A" w:rsidP="00E17D79">
      <w:pPr>
        <w:spacing w:line="360" w:lineRule="auto"/>
        <w:jc w:val="both"/>
        <w:rPr>
          <w:rFonts w:ascii="Book Antiqua" w:hAnsi="Book Antiqua"/>
          <w:b/>
          <w:lang w:val="en-GB"/>
        </w:rPr>
      </w:pPr>
    </w:p>
    <w:p w14:paraId="2A889F39" w14:textId="77777777" w:rsidR="00E17D79" w:rsidRPr="00E17D79" w:rsidRDefault="00E17D79" w:rsidP="00E17D79">
      <w:pPr>
        <w:spacing w:line="360" w:lineRule="auto"/>
        <w:jc w:val="both"/>
        <w:rPr>
          <w:rFonts w:ascii="Book Antiqua" w:hAnsi="Book Antiqua"/>
        </w:rPr>
      </w:pPr>
      <w:bookmarkStart w:id="9" w:name="_Hlk18051318"/>
      <w:r w:rsidRPr="00E17D79">
        <w:rPr>
          <w:rFonts w:ascii="Book Antiqua" w:eastAsia="Arial Unicode MS" w:hAnsi="Book Antiqua" w:cs="Arial Unicode MS"/>
          <w:b/>
          <w:color w:val="000000" w:themeColor="text1"/>
          <w:u w:color="000000"/>
          <w:bdr w:val="nil"/>
        </w:rPr>
        <w:t>Conflict-of-interest statement</w:t>
      </w:r>
      <w:r w:rsidRPr="00E17D79">
        <w:rPr>
          <w:rFonts w:ascii="Book Antiqua" w:hAnsi="Book Antiqua"/>
          <w:b/>
          <w:color w:val="000000" w:themeColor="text1"/>
        </w:rPr>
        <w:t xml:space="preserve">: </w:t>
      </w:r>
      <w:bookmarkEnd w:id="9"/>
      <w:r w:rsidRPr="00E17D79">
        <w:rPr>
          <w:rFonts w:ascii="Book Antiqua" w:hAnsi="Book Antiqua"/>
        </w:rPr>
        <w:t>The authors declare no conflict of interest.</w:t>
      </w:r>
    </w:p>
    <w:p w14:paraId="56510E25" w14:textId="77777777" w:rsidR="00E17D79" w:rsidRPr="00E17D79" w:rsidRDefault="00E17D79" w:rsidP="00E17D79">
      <w:pPr>
        <w:spacing w:line="360" w:lineRule="auto"/>
        <w:jc w:val="both"/>
        <w:rPr>
          <w:rFonts w:ascii="Book Antiqua" w:hAnsi="Book Antiqua"/>
          <w:b/>
        </w:rPr>
      </w:pPr>
    </w:p>
    <w:p w14:paraId="7E98835F" w14:textId="77777777" w:rsidR="00E17D79" w:rsidRPr="00E17D79" w:rsidRDefault="00E17D79" w:rsidP="00E17D79">
      <w:pPr>
        <w:spacing w:line="360" w:lineRule="auto"/>
        <w:jc w:val="both"/>
        <w:rPr>
          <w:rFonts w:ascii="Book Antiqua" w:hAnsi="Book Antiqua"/>
          <w:b/>
        </w:rPr>
      </w:pPr>
      <w:r w:rsidRPr="00E17D79">
        <w:rPr>
          <w:rStyle w:val="40"/>
          <w:rFonts w:ascii="Book Antiqua" w:hAnsi="Book Antiqua"/>
          <w:sz w:val="24"/>
          <w:szCs w:val="24"/>
        </w:rPr>
        <w:t xml:space="preserve">Data sharing statement: </w:t>
      </w:r>
      <w:r w:rsidRPr="00E17D79">
        <w:rPr>
          <w:rFonts w:ascii="Book Antiqua" w:hAnsi="Book Antiqua"/>
        </w:rPr>
        <w:t>No additional data are available.</w:t>
      </w:r>
    </w:p>
    <w:p w14:paraId="3BF4BCDD" w14:textId="77777777" w:rsidR="00E17D79" w:rsidRPr="00E17D79" w:rsidRDefault="00E17D79" w:rsidP="00E17D79">
      <w:pPr>
        <w:spacing w:line="360" w:lineRule="auto"/>
        <w:jc w:val="both"/>
        <w:rPr>
          <w:rFonts w:ascii="Book Antiqua" w:hAnsi="Book Antiqua"/>
          <w:b/>
        </w:rPr>
      </w:pPr>
    </w:p>
    <w:p w14:paraId="36FE2CBF" w14:textId="77777777" w:rsidR="00E17D79" w:rsidRPr="00E17D79" w:rsidRDefault="00E17D79" w:rsidP="00E17D79">
      <w:pPr>
        <w:spacing w:line="360" w:lineRule="auto"/>
        <w:jc w:val="both"/>
        <w:rPr>
          <w:rFonts w:ascii="Book Antiqua" w:eastAsia="等线" w:hAnsi="Book Antiqua"/>
        </w:rPr>
      </w:pPr>
      <w:r w:rsidRPr="00E17D79">
        <w:rPr>
          <w:rFonts w:ascii="Book Antiqua" w:hAnsi="Book Antiqua"/>
          <w:b/>
        </w:rPr>
        <w:t xml:space="preserve">Open-Access: </w:t>
      </w:r>
      <w:bookmarkStart w:id="10" w:name="_Hlk18051330"/>
      <w:r w:rsidRPr="00E17D7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p w14:paraId="500779A5" w14:textId="77777777" w:rsidR="00E17D79" w:rsidRPr="00E17D79" w:rsidRDefault="00E17D79" w:rsidP="00E17D79">
      <w:pPr>
        <w:spacing w:line="360" w:lineRule="auto"/>
        <w:jc w:val="both"/>
        <w:rPr>
          <w:rFonts w:ascii="Book Antiqua" w:eastAsia="等线" w:hAnsi="Book Antiqua"/>
          <w:lang w:eastAsia="en-US"/>
        </w:rPr>
      </w:pPr>
    </w:p>
    <w:p w14:paraId="49D29C1D" w14:textId="77777777" w:rsidR="00E17D79" w:rsidRPr="00E17D79" w:rsidRDefault="00E17D79" w:rsidP="00E17D79">
      <w:pPr>
        <w:spacing w:line="360" w:lineRule="auto"/>
        <w:jc w:val="both"/>
        <w:rPr>
          <w:rFonts w:ascii="Book Antiqua" w:hAnsi="Book Antiqua"/>
          <w:bCs/>
          <w:iCs/>
        </w:rPr>
      </w:pPr>
      <w:r w:rsidRPr="00E17D79">
        <w:rPr>
          <w:rFonts w:ascii="Book Antiqua" w:hAnsi="Book Antiqua"/>
          <w:b/>
          <w:bCs/>
          <w:iCs/>
        </w:rPr>
        <w:t>Manuscript source:</w:t>
      </w:r>
      <w:r w:rsidRPr="00E17D79">
        <w:rPr>
          <w:rFonts w:ascii="Book Antiqua" w:hAnsi="Book Antiqua"/>
          <w:bCs/>
          <w:iCs/>
        </w:rPr>
        <w:t xml:space="preserve"> Unsolicited manuscript</w:t>
      </w:r>
    </w:p>
    <w:p w14:paraId="2FBBD0F7" w14:textId="77777777" w:rsidR="00E17D79" w:rsidRPr="00E17D79" w:rsidRDefault="00E17D79" w:rsidP="00E17D79">
      <w:pPr>
        <w:spacing w:line="360" w:lineRule="auto"/>
        <w:jc w:val="both"/>
        <w:rPr>
          <w:rFonts w:ascii="Book Antiqua" w:eastAsia="等线" w:hAnsi="Book Antiqua" w:cs="PMingLiU"/>
          <w:bCs/>
          <w:iCs/>
        </w:rPr>
      </w:pPr>
    </w:p>
    <w:p w14:paraId="03FCF23C" w14:textId="32A1731E" w:rsidR="00F539D9" w:rsidRPr="00EE3B9F" w:rsidRDefault="00E17D79" w:rsidP="00E17D79">
      <w:pPr>
        <w:spacing w:line="360" w:lineRule="auto"/>
        <w:jc w:val="both"/>
        <w:outlineLvl w:val="0"/>
        <w:rPr>
          <w:rStyle w:val="a4"/>
          <w:rFonts w:ascii="Book Antiqua" w:eastAsiaTheme="minorEastAsia" w:hAnsi="Book Antiqua" w:cs="Arial"/>
          <w:lang w:val="en-GB" w:eastAsia="zh-CN"/>
        </w:rPr>
      </w:pPr>
      <w:r w:rsidRPr="00E17D79">
        <w:rPr>
          <w:rFonts w:ascii="Book Antiqua" w:hAnsi="Book Antiqua"/>
          <w:b/>
        </w:rPr>
        <w:t xml:space="preserve">Corresponding author: </w:t>
      </w:r>
      <w:r w:rsidR="001F53B0" w:rsidRPr="00E17D79">
        <w:rPr>
          <w:rFonts w:ascii="Book Antiqua" w:hAnsi="Book Antiqua" w:cs="Arial"/>
          <w:b/>
          <w:lang w:val="en-GB"/>
        </w:rPr>
        <w:t xml:space="preserve">George N Dalekos, </w:t>
      </w:r>
      <w:r w:rsidR="00F539D9" w:rsidRPr="00E17D79">
        <w:rPr>
          <w:rFonts w:ascii="Book Antiqua" w:hAnsi="Book Antiqua" w:cs="Arial"/>
          <w:b/>
          <w:lang w:val="en-GB"/>
        </w:rPr>
        <w:t xml:space="preserve">MD, PhD, Chairman, Full Professor, </w:t>
      </w:r>
      <w:r w:rsidR="001F53B0" w:rsidRPr="00E17D79">
        <w:rPr>
          <w:rFonts w:ascii="Book Antiqua" w:hAnsi="Book Antiqua" w:cs="Arial"/>
          <w:lang w:val="en-GB"/>
        </w:rPr>
        <w:t>Department of Medicine and</w:t>
      </w:r>
      <w:r w:rsidR="00CD283C" w:rsidRPr="00E17D79">
        <w:rPr>
          <w:rFonts w:ascii="Book Antiqua" w:hAnsi="Book Antiqua" w:cs="Arial"/>
          <w:lang w:val="en-GB"/>
        </w:rPr>
        <w:t xml:space="preserve"> </w:t>
      </w:r>
      <w:r w:rsidR="001F53B0" w:rsidRPr="00E17D79">
        <w:rPr>
          <w:rFonts w:ascii="Book Antiqua" w:hAnsi="Book Antiqua" w:cs="Arial"/>
          <w:lang w:val="en-GB"/>
        </w:rPr>
        <w:t xml:space="preserve">Research Laboratory of Internal </w:t>
      </w:r>
      <w:r w:rsidR="001F53B0" w:rsidRPr="00E17D79">
        <w:rPr>
          <w:rFonts w:ascii="Book Antiqua" w:hAnsi="Book Antiqua" w:cs="Arial"/>
          <w:lang w:val="en-GB"/>
        </w:rPr>
        <w:lastRenderedPageBreak/>
        <w:t>Medicine</w:t>
      </w:r>
      <w:r w:rsidR="00C11C06" w:rsidRPr="00E17D79">
        <w:rPr>
          <w:rFonts w:ascii="Book Antiqua" w:hAnsi="Book Antiqua" w:cs="Arial"/>
          <w:lang w:val="en-GB"/>
        </w:rPr>
        <w:t xml:space="preserve">, </w:t>
      </w:r>
      <w:r w:rsidR="001F53B0" w:rsidRPr="00E17D79">
        <w:rPr>
          <w:rFonts w:ascii="Book Antiqua" w:hAnsi="Book Antiqua" w:cs="Arial"/>
          <w:lang w:val="en-GB"/>
        </w:rPr>
        <w:t>University Hospital of Larissa</w:t>
      </w:r>
      <w:r w:rsidR="00C11C06" w:rsidRPr="00E17D79">
        <w:rPr>
          <w:rFonts w:ascii="Book Antiqua" w:hAnsi="Book Antiqua" w:cs="Arial"/>
          <w:lang w:val="en-GB"/>
        </w:rPr>
        <w:t>,</w:t>
      </w:r>
      <w:r w:rsidR="00942AF6" w:rsidRPr="00942AF6">
        <w:t xml:space="preserve"> </w:t>
      </w:r>
      <w:r w:rsidR="00942AF6" w:rsidRPr="00942AF6">
        <w:rPr>
          <w:rFonts w:ascii="Book Antiqua" w:hAnsi="Book Antiqua" w:cs="Arial"/>
          <w:lang w:val="en-GB"/>
        </w:rPr>
        <w:t>Mezourlo,</w:t>
      </w:r>
      <w:r w:rsidR="00C11C06" w:rsidRPr="00E17D79">
        <w:rPr>
          <w:rFonts w:ascii="Book Antiqua" w:hAnsi="Book Antiqua" w:cs="Arial"/>
          <w:lang w:val="en-GB"/>
        </w:rPr>
        <w:t xml:space="preserve"> </w:t>
      </w:r>
      <w:r w:rsidR="001F53B0" w:rsidRPr="00E17D79">
        <w:rPr>
          <w:rFonts w:ascii="Book Antiqua" w:hAnsi="Book Antiqua" w:cs="Arial"/>
          <w:lang w:val="en-GB"/>
        </w:rPr>
        <w:t>Larissa</w:t>
      </w:r>
      <w:r w:rsidR="00F539D9" w:rsidRPr="00E17D79">
        <w:rPr>
          <w:rFonts w:ascii="Book Antiqua" w:hAnsi="Book Antiqua" w:cs="Arial"/>
          <w:lang w:val="en-GB"/>
        </w:rPr>
        <w:t xml:space="preserve"> 41110</w:t>
      </w:r>
      <w:r w:rsidR="001F53B0" w:rsidRPr="00E17D79">
        <w:rPr>
          <w:rFonts w:ascii="Book Antiqua" w:hAnsi="Book Antiqua" w:cs="Arial"/>
          <w:lang w:val="en-GB"/>
        </w:rPr>
        <w:t>, Greece</w:t>
      </w:r>
      <w:r w:rsidR="00412804" w:rsidRPr="00E17D79">
        <w:rPr>
          <w:rFonts w:ascii="Book Antiqua" w:hAnsi="Book Antiqua" w:cs="Arial"/>
          <w:lang w:val="en-GB"/>
        </w:rPr>
        <w:t>.</w:t>
      </w:r>
      <w:r w:rsidR="00CD283C" w:rsidRPr="00E17D79">
        <w:rPr>
          <w:rFonts w:ascii="Book Antiqua" w:hAnsi="Book Antiqua" w:cs="Arial"/>
          <w:lang w:val="en-GB"/>
        </w:rPr>
        <w:t xml:space="preserve"> </w:t>
      </w:r>
      <w:hyperlink r:id="rId8" w:history="1">
        <w:r w:rsidR="00EE3B9F" w:rsidRPr="008D574E">
          <w:rPr>
            <w:rStyle w:val="a4"/>
            <w:rFonts w:ascii="Book Antiqua" w:hAnsi="Book Antiqua" w:cs="Arial"/>
            <w:lang w:val="en-GB"/>
          </w:rPr>
          <w:t>dalekos@med.uth.gr</w:t>
        </w:r>
      </w:hyperlink>
    </w:p>
    <w:p w14:paraId="25C33725" w14:textId="52032232" w:rsidR="00F539D9" w:rsidRPr="00E17D79" w:rsidRDefault="00E17D79" w:rsidP="00E17D79">
      <w:pPr>
        <w:spacing w:line="360" w:lineRule="auto"/>
        <w:jc w:val="both"/>
        <w:outlineLvl w:val="0"/>
        <w:rPr>
          <w:rFonts w:ascii="Book Antiqua" w:hAnsi="Book Antiqua" w:cs="Arial"/>
          <w:lang w:val="en-GB"/>
        </w:rPr>
      </w:pPr>
      <w:r w:rsidRPr="00E17D79">
        <w:rPr>
          <w:rFonts w:ascii="Book Antiqua" w:hAnsi="Book Antiqua"/>
          <w:b/>
          <w:color w:val="000000" w:themeColor="text1"/>
        </w:rPr>
        <w:t xml:space="preserve">Telephone: </w:t>
      </w:r>
      <w:r w:rsidR="007B464D" w:rsidRPr="00E17D79">
        <w:rPr>
          <w:rFonts w:ascii="Book Antiqua" w:hAnsi="Book Antiqua" w:cs="Arial"/>
          <w:lang w:val="en-GB"/>
        </w:rPr>
        <w:t>+30-241</w:t>
      </w:r>
      <w:r w:rsidR="001F53B0" w:rsidRPr="00E17D79">
        <w:rPr>
          <w:rFonts w:ascii="Book Antiqua" w:hAnsi="Book Antiqua" w:cs="Arial"/>
          <w:lang w:val="en-GB"/>
        </w:rPr>
        <w:t>-</w:t>
      </w:r>
      <w:r w:rsidR="007B464D" w:rsidRPr="00E17D79">
        <w:rPr>
          <w:rFonts w:ascii="Book Antiqua" w:hAnsi="Book Antiqua" w:cs="Arial"/>
          <w:lang w:val="en-GB"/>
        </w:rPr>
        <w:t>350</w:t>
      </w:r>
      <w:r w:rsidR="001F53B0" w:rsidRPr="00E17D79">
        <w:rPr>
          <w:rFonts w:ascii="Book Antiqua" w:hAnsi="Book Antiqua" w:cs="Arial"/>
          <w:lang w:val="en-GB"/>
        </w:rPr>
        <w:t>2285</w:t>
      </w:r>
    </w:p>
    <w:p w14:paraId="38DE45FD" w14:textId="230A4D6E" w:rsidR="00F00793" w:rsidRPr="00E17D79" w:rsidRDefault="00E17D79" w:rsidP="00E17D79">
      <w:pPr>
        <w:spacing w:line="360" w:lineRule="auto"/>
        <w:jc w:val="both"/>
        <w:outlineLvl w:val="0"/>
        <w:rPr>
          <w:rStyle w:val="a4"/>
          <w:rFonts w:ascii="Book Antiqua" w:hAnsi="Book Antiqua" w:cs="Arial"/>
          <w:lang w:val="en-GB"/>
        </w:rPr>
      </w:pPr>
      <w:r w:rsidRPr="00E17D79">
        <w:rPr>
          <w:rFonts w:ascii="Book Antiqua" w:hAnsi="Book Antiqua"/>
          <w:b/>
          <w:bCs/>
          <w:u w:color="0432FF"/>
        </w:rPr>
        <w:t xml:space="preserve">Fax: </w:t>
      </w:r>
      <w:r w:rsidR="007B464D" w:rsidRPr="00E17D79">
        <w:rPr>
          <w:rFonts w:ascii="Book Antiqua" w:hAnsi="Book Antiqua" w:cs="Arial"/>
          <w:lang w:val="en-GB"/>
        </w:rPr>
        <w:t>+30-241</w:t>
      </w:r>
      <w:r w:rsidR="001F53B0" w:rsidRPr="00E17D79">
        <w:rPr>
          <w:rFonts w:ascii="Book Antiqua" w:hAnsi="Book Antiqua" w:cs="Arial"/>
          <w:lang w:val="en-GB"/>
        </w:rPr>
        <w:t>-</w:t>
      </w:r>
      <w:r w:rsidR="007B464D" w:rsidRPr="00E17D79">
        <w:rPr>
          <w:rFonts w:ascii="Book Antiqua" w:hAnsi="Book Antiqua" w:cs="Arial"/>
          <w:lang w:val="en-GB"/>
        </w:rPr>
        <w:t>350</w:t>
      </w:r>
      <w:r w:rsidR="001F53B0" w:rsidRPr="00E17D79">
        <w:rPr>
          <w:rFonts w:ascii="Book Antiqua" w:hAnsi="Book Antiqua" w:cs="Arial"/>
          <w:lang w:val="en-GB"/>
        </w:rPr>
        <w:t>1</w:t>
      </w:r>
      <w:r w:rsidR="007B464D" w:rsidRPr="00E17D79">
        <w:rPr>
          <w:rFonts w:ascii="Book Antiqua" w:hAnsi="Book Antiqua" w:cs="Arial"/>
          <w:lang w:val="en-GB"/>
        </w:rPr>
        <w:t>557</w:t>
      </w:r>
    </w:p>
    <w:p w14:paraId="422FBD86" w14:textId="77777777" w:rsidR="00AC4703" w:rsidRPr="00E17D79" w:rsidRDefault="00AC4703" w:rsidP="00E17D79">
      <w:pPr>
        <w:autoSpaceDE w:val="0"/>
        <w:autoSpaceDN w:val="0"/>
        <w:adjustRightInd w:val="0"/>
        <w:spacing w:line="360" w:lineRule="auto"/>
        <w:jc w:val="both"/>
        <w:rPr>
          <w:rFonts w:ascii="Book Antiqua" w:hAnsi="Book Antiqua" w:cs="Arial"/>
          <w:b/>
          <w:lang w:val="en-GB"/>
        </w:rPr>
      </w:pPr>
    </w:p>
    <w:p w14:paraId="7D3F820C" w14:textId="26E5A95A" w:rsidR="00E17D79" w:rsidRPr="00E17D79" w:rsidRDefault="00E17D79" w:rsidP="00E17D79">
      <w:pPr>
        <w:snapToGrid w:val="0"/>
        <w:spacing w:line="360" w:lineRule="auto"/>
        <w:jc w:val="both"/>
        <w:rPr>
          <w:rFonts w:ascii="Book Antiqua" w:eastAsia="等线" w:hAnsi="Book Antiqua"/>
          <w:bCs/>
          <w:lang w:val="en-GB"/>
        </w:rPr>
      </w:pPr>
      <w:bookmarkStart w:id="11" w:name="_Hlk17356255"/>
      <w:r w:rsidRPr="00E17D79">
        <w:rPr>
          <w:rFonts w:ascii="Book Antiqua" w:hAnsi="Book Antiqua"/>
          <w:b/>
          <w:lang w:val="en-GB"/>
        </w:rPr>
        <w:t xml:space="preserve">Received: </w:t>
      </w:r>
      <w:r w:rsidRPr="00E17D79">
        <w:rPr>
          <w:rFonts w:ascii="Book Antiqua" w:hAnsi="Book Antiqua"/>
          <w:bCs/>
          <w:lang w:val="en-GB"/>
        </w:rPr>
        <w:t>June 5, 2019</w:t>
      </w:r>
    </w:p>
    <w:p w14:paraId="086D0D89" w14:textId="54646A56" w:rsidR="00E17D79" w:rsidRPr="00E17D79" w:rsidRDefault="00E17D79" w:rsidP="00E17D79">
      <w:pPr>
        <w:snapToGrid w:val="0"/>
        <w:spacing w:line="360" w:lineRule="auto"/>
        <w:jc w:val="both"/>
        <w:rPr>
          <w:rFonts w:ascii="Book Antiqua" w:eastAsia="PMingLiU" w:hAnsi="Book Antiqua" w:cs="PMingLiU"/>
          <w:bCs/>
          <w:lang w:val="en-GB" w:eastAsia="en-US"/>
        </w:rPr>
      </w:pPr>
      <w:r w:rsidRPr="00E17D79">
        <w:rPr>
          <w:rFonts w:ascii="Book Antiqua" w:hAnsi="Book Antiqua"/>
          <w:b/>
          <w:lang w:val="en-GB"/>
        </w:rPr>
        <w:t xml:space="preserve">Peer-review started: </w:t>
      </w:r>
      <w:r w:rsidRPr="00E17D79">
        <w:rPr>
          <w:rFonts w:ascii="Book Antiqua" w:hAnsi="Book Antiqua"/>
          <w:bCs/>
          <w:lang w:val="en-GB"/>
        </w:rPr>
        <w:t>June 6, 2019</w:t>
      </w:r>
    </w:p>
    <w:p w14:paraId="5AACE7F5" w14:textId="77777777" w:rsidR="00E17D79" w:rsidRPr="00E17D79" w:rsidRDefault="00E17D79" w:rsidP="00E17D79">
      <w:pPr>
        <w:snapToGrid w:val="0"/>
        <w:spacing w:line="360" w:lineRule="auto"/>
        <w:jc w:val="both"/>
        <w:rPr>
          <w:rFonts w:ascii="Book Antiqua" w:hAnsi="Book Antiqua"/>
          <w:b/>
          <w:lang w:val="en-GB"/>
        </w:rPr>
      </w:pPr>
      <w:r w:rsidRPr="00E17D79">
        <w:rPr>
          <w:rFonts w:ascii="Book Antiqua" w:hAnsi="Book Antiqua"/>
          <w:b/>
          <w:lang w:val="en-GB"/>
        </w:rPr>
        <w:t xml:space="preserve">First decision: </w:t>
      </w:r>
      <w:r w:rsidRPr="00E17D79">
        <w:rPr>
          <w:rFonts w:ascii="Book Antiqua" w:hAnsi="Book Antiqua"/>
          <w:bCs/>
          <w:lang w:val="en-GB"/>
        </w:rPr>
        <w:t>September 9, 2019</w:t>
      </w:r>
    </w:p>
    <w:p w14:paraId="364B7BC5" w14:textId="3F65E7C0" w:rsidR="00E17D79" w:rsidRPr="00E17D79" w:rsidRDefault="00E17D79" w:rsidP="00E17D79">
      <w:pPr>
        <w:snapToGrid w:val="0"/>
        <w:spacing w:line="360" w:lineRule="auto"/>
        <w:jc w:val="both"/>
        <w:rPr>
          <w:rFonts w:ascii="Book Antiqua" w:hAnsi="Book Antiqua"/>
          <w:b/>
          <w:lang w:val="en-GB"/>
        </w:rPr>
      </w:pPr>
      <w:r w:rsidRPr="00E17D79">
        <w:rPr>
          <w:rFonts w:ascii="Book Antiqua" w:hAnsi="Book Antiqua"/>
          <w:b/>
          <w:lang w:val="en-GB"/>
        </w:rPr>
        <w:t xml:space="preserve">Revised: </w:t>
      </w:r>
      <w:r w:rsidRPr="00E17D79">
        <w:rPr>
          <w:rFonts w:ascii="Book Antiqua" w:hAnsi="Book Antiqua"/>
          <w:bCs/>
          <w:lang w:val="en-GB"/>
        </w:rPr>
        <w:t>September 20, 2019</w:t>
      </w:r>
    </w:p>
    <w:p w14:paraId="08D7FF46" w14:textId="17EE3C8D" w:rsidR="00E17D79" w:rsidRPr="00436E90" w:rsidRDefault="00E17D79" w:rsidP="00E17D79">
      <w:pPr>
        <w:snapToGrid w:val="0"/>
        <w:spacing w:line="360" w:lineRule="auto"/>
        <w:jc w:val="both"/>
        <w:rPr>
          <w:rFonts w:ascii="Book Antiqua" w:hAnsi="Book Antiqua"/>
          <w:lang w:val="en-GB"/>
        </w:rPr>
      </w:pPr>
      <w:r w:rsidRPr="00E17D79">
        <w:rPr>
          <w:rFonts w:ascii="Book Antiqua" w:hAnsi="Book Antiqua"/>
          <w:b/>
          <w:lang w:val="en-GB"/>
        </w:rPr>
        <w:t>Accepted:</w:t>
      </w:r>
      <w:r w:rsidR="00436E90" w:rsidRPr="00436E90">
        <w:t xml:space="preserve"> </w:t>
      </w:r>
      <w:r w:rsidR="00436E90" w:rsidRPr="00436E90">
        <w:rPr>
          <w:rFonts w:ascii="Book Antiqua" w:hAnsi="Book Antiqua"/>
          <w:lang w:val="en-GB"/>
        </w:rPr>
        <w:t>October 15, 2019</w:t>
      </w:r>
      <w:r w:rsidRPr="00436E90">
        <w:rPr>
          <w:rFonts w:ascii="Book Antiqua" w:hAnsi="Book Antiqua"/>
          <w:lang w:val="en-GB"/>
        </w:rPr>
        <w:t xml:space="preserve"> </w:t>
      </w:r>
    </w:p>
    <w:p w14:paraId="6168D793" w14:textId="77777777" w:rsidR="00E17D79" w:rsidRPr="00E17D79" w:rsidRDefault="00E17D79" w:rsidP="00E17D79">
      <w:pPr>
        <w:snapToGrid w:val="0"/>
        <w:spacing w:line="360" w:lineRule="auto"/>
        <w:jc w:val="both"/>
        <w:rPr>
          <w:rFonts w:ascii="Book Antiqua" w:hAnsi="Book Antiqua"/>
          <w:b/>
          <w:lang w:val="en-GB"/>
        </w:rPr>
      </w:pPr>
      <w:r w:rsidRPr="00E17D79">
        <w:rPr>
          <w:rFonts w:ascii="Book Antiqua" w:hAnsi="Book Antiqua"/>
          <w:b/>
          <w:lang w:val="en-GB"/>
        </w:rPr>
        <w:t>Article in press:</w:t>
      </w:r>
    </w:p>
    <w:p w14:paraId="0E23169F" w14:textId="77777777" w:rsidR="00E17D79" w:rsidRPr="00E17D79" w:rsidRDefault="00E17D79" w:rsidP="00E17D79">
      <w:pPr>
        <w:snapToGrid w:val="0"/>
        <w:spacing w:line="360" w:lineRule="auto"/>
        <w:jc w:val="both"/>
        <w:rPr>
          <w:rFonts w:ascii="Book Antiqua" w:hAnsi="Book Antiqua"/>
          <w:b/>
          <w:lang w:val="en-GB"/>
        </w:rPr>
      </w:pPr>
      <w:r w:rsidRPr="00E17D79">
        <w:rPr>
          <w:rFonts w:ascii="Book Antiqua" w:hAnsi="Book Antiqua"/>
          <w:b/>
          <w:lang w:val="en-GB"/>
        </w:rPr>
        <w:t>Published online:</w:t>
      </w:r>
    </w:p>
    <w:bookmarkEnd w:id="11"/>
    <w:p w14:paraId="78626F08" w14:textId="77777777" w:rsidR="00F539D9" w:rsidRPr="00E17D79" w:rsidRDefault="00F539D9" w:rsidP="00E17D79">
      <w:pPr>
        <w:spacing w:line="360" w:lineRule="auto"/>
        <w:jc w:val="both"/>
        <w:rPr>
          <w:rFonts w:ascii="Book Antiqua" w:hAnsi="Book Antiqua" w:cs="Arial"/>
          <w:b/>
          <w:lang w:val="en-GB"/>
        </w:rPr>
      </w:pPr>
      <w:r w:rsidRPr="00E17D79">
        <w:rPr>
          <w:rFonts w:ascii="Book Antiqua" w:hAnsi="Book Antiqua" w:cs="Arial"/>
          <w:b/>
          <w:lang w:val="en-GB"/>
        </w:rPr>
        <w:br w:type="page"/>
      </w:r>
    </w:p>
    <w:p w14:paraId="23020252" w14:textId="6F5A5B03" w:rsidR="0007199A" w:rsidRPr="00E17D79" w:rsidRDefault="0007199A" w:rsidP="00E17D79">
      <w:pPr>
        <w:spacing w:line="360" w:lineRule="auto"/>
        <w:jc w:val="both"/>
        <w:rPr>
          <w:rFonts w:ascii="Book Antiqua" w:hAnsi="Book Antiqua" w:cs="Arial"/>
          <w:b/>
          <w:lang w:val="en-GB"/>
        </w:rPr>
      </w:pPr>
      <w:r w:rsidRPr="00E17D79">
        <w:rPr>
          <w:rFonts w:ascii="Book Antiqua" w:hAnsi="Book Antiqua" w:cs="Arial"/>
          <w:b/>
          <w:lang w:val="en-GB"/>
        </w:rPr>
        <w:lastRenderedPageBreak/>
        <w:t>Abstract</w:t>
      </w:r>
    </w:p>
    <w:p w14:paraId="1F1FD324" w14:textId="77777777" w:rsidR="00BC1639" w:rsidRPr="00E17D79" w:rsidRDefault="00BC1639" w:rsidP="00E17D79">
      <w:pPr>
        <w:spacing w:line="360" w:lineRule="auto"/>
        <w:jc w:val="both"/>
        <w:rPr>
          <w:rFonts w:ascii="Book Antiqua" w:hAnsi="Book Antiqua" w:cs="Arial"/>
          <w:b/>
          <w:i/>
          <w:iCs/>
          <w:caps/>
          <w:lang w:val="en-GB"/>
        </w:rPr>
      </w:pPr>
      <w:r w:rsidRPr="00E17D79">
        <w:rPr>
          <w:rFonts w:ascii="Book Antiqua" w:hAnsi="Book Antiqua" w:cs="Arial"/>
          <w:b/>
          <w:i/>
          <w:iCs/>
          <w:caps/>
          <w:lang w:val="en-GB"/>
        </w:rPr>
        <w:t>Background</w:t>
      </w:r>
    </w:p>
    <w:p w14:paraId="22F3CD45" w14:textId="77777777" w:rsidR="00BC1639" w:rsidRPr="00E17D79" w:rsidRDefault="001D243B" w:rsidP="00E17D79">
      <w:pPr>
        <w:spacing w:line="360" w:lineRule="auto"/>
        <w:jc w:val="both"/>
        <w:rPr>
          <w:rFonts w:ascii="Book Antiqua" w:hAnsi="Book Antiqua" w:cs="Arial"/>
          <w:lang w:val="en-GB"/>
        </w:rPr>
      </w:pPr>
      <w:r w:rsidRPr="00E17D79">
        <w:rPr>
          <w:rFonts w:ascii="Book Antiqua" w:hAnsi="Book Antiqua" w:cs="Arial"/>
          <w:lang w:val="en-GB"/>
        </w:rPr>
        <w:t xml:space="preserve">Secondary </w:t>
      </w:r>
      <w:r w:rsidR="003B314E" w:rsidRPr="00E17D79">
        <w:rPr>
          <w:rFonts w:ascii="Book Antiqua" w:hAnsi="Book Antiqua" w:cs="Arial"/>
          <w:lang w:val="en-GB"/>
        </w:rPr>
        <w:t>h</w:t>
      </w:r>
      <w:r w:rsidR="006316F6" w:rsidRPr="00E17D79">
        <w:rPr>
          <w:rFonts w:ascii="Book Antiqua" w:hAnsi="Book Antiqua" w:cs="Arial"/>
          <w:lang w:val="en-GB"/>
        </w:rPr>
        <w:t>a</w:t>
      </w:r>
      <w:r w:rsidR="003B314E" w:rsidRPr="00E17D79">
        <w:rPr>
          <w:rFonts w:ascii="Book Antiqua" w:hAnsi="Book Antiqua" w:cs="Arial"/>
          <w:lang w:val="en-GB"/>
        </w:rPr>
        <w:t>emophagocytic</w:t>
      </w:r>
      <w:r w:rsidR="00CD283C" w:rsidRPr="00E17D79">
        <w:rPr>
          <w:rFonts w:ascii="Book Antiqua" w:hAnsi="Book Antiqua" w:cs="Arial"/>
          <w:lang w:val="en-GB"/>
        </w:rPr>
        <w:t xml:space="preserve"> </w:t>
      </w:r>
      <w:r w:rsidR="003B314E" w:rsidRPr="00E17D79">
        <w:rPr>
          <w:rFonts w:ascii="Book Antiqua" w:hAnsi="Book Antiqua" w:cs="Arial"/>
          <w:lang w:val="en-GB"/>
        </w:rPr>
        <w:t>lymphohistiocytosis</w:t>
      </w:r>
      <w:r w:rsidR="00CD283C" w:rsidRPr="00E17D79">
        <w:rPr>
          <w:rFonts w:ascii="Book Antiqua" w:hAnsi="Book Antiqua" w:cs="Arial"/>
          <w:lang w:val="en-GB"/>
        </w:rPr>
        <w:t xml:space="preserve"> </w:t>
      </w:r>
      <w:r w:rsidRPr="00E17D79">
        <w:rPr>
          <w:rFonts w:ascii="Book Antiqua" w:hAnsi="Book Antiqua" w:cs="Arial"/>
          <w:lang w:val="en-GB"/>
        </w:rPr>
        <w:t>(sH</w:t>
      </w:r>
      <w:r w:rsidR="003B314E" w:rsidRPr="00E17D79">
        <w:rPr>
          <w:rFonts w:ascii="Book Antiqua" w:hAnsi="Book Antiqua" w:cs="Arial"/>
          <w:lang w:val="en-GB"/>
        </w:rPr>
        <w:t>LH</w:t>
      </w:r>
      <w:r w:rsidRPr="00E17D79">
        <w:rPr>
          <w:rFonts w:ascii="Book Antiqua" w:hAnsi="Book Antiqua" w:cs="Arial"/>
          <w:lang w:val="en-GB"/>
        </w:rPr>
        <w:t>)</w:t>
      </w:r>
      <w:r w:rsidR="005C131C" w:rsidRPr="00E17D79">
        <w:rPr>
          <w:rFonts w:ascii="Book Antiqua" w:hAnsi="Book Antiqua" w:cs="Arial"/>
          <w:lang w:val="en-GB"/>
        </w:rPr>
        <w:t xml:space="preserve"> is a </w:t>
      </w:r>
      <w:r w:rsidR="00FB4425" w:rsidRPr="00E17D79">
        <w:rPr>
          <w:rFonts w:ascii="Book Antiqua" w:hAnsi="Book Antiqua" w:cs="Arial"/>
          <w:lang w:val="en-GB"/>
        </w:rPr>
        <w:t xml:space="preserve">rare </w:t>
      </w:r>
      <w:r w:rsidR="005C131C" w:rsidRPr="00E17D79">
        <w:rPr>
          <w:rFonts w:ascii="Book Antiqua" w:hAnsi="Book Antiqua" w:cs="Arial"/>
          <w:lang w:val="en-GB"/>
        </w:rPr>
        <w:t xml:space="preserve">life-threatening condition </w:t>
      </w:r>
      <w:r w:rsidR="00234ACE" w:rsidRPr="00E17D79">
        <w:rPr>
          <w:rFonts w:ascii="Book Antiqua" w:hAnsi="Book Antiqua" w:cs="Arial"/>
          <w:lang w:val="en-GB"/>
        </w:rPr>
        <w:t>mainly associated with underlying infections, malignancies, and autoimmune or immune-mediated diseases.</w:t>
      </w:r>
    </w:p>
    <w:p w14:paraId="7E168496" w14:textId="77777777" w:rsidR="00BC1639" w:rsidRPr="00E17D79" w:rsidRDefault="00BC1639" w:rsidP="00E17D79">
      <w:pPr>
        <w:spacing w:line="360" w:lineRule="auto"/>
        <w:jc w:val="both"/>
        <w:rPr>
          <w:rFonts w:ascii="Book Antiqua" w:hAnsi="Book Antiqua" w:cs="Arial"/>
          <w:lang w:val="en-GB"/>
        </w:rPr>
      </w:pPr>
    </w:p>
    <w:p w14:paraId="40E97B5C" w14:textId="77777777" w:rsidR="00BC1639" w:rsidRPr="00E17D79" w:rsidRDefault="00BC1639" w:rsidP="00E17D79">
      <w:pPr>
        <w:spacing w:line="360" w:lineRule="auto"/>
        <w:jc w:val="both"/>
        <w:rPr>
          <w:rFonts w:ascii="Book Antiqua" w:hAnsi="Book Antiqua" w:cs="Arial"/>
          <w:b/>
          <w:i/>
          <w:iCs/>
          <w:lang w:val="en-GB"/>
        </w:rPr>
      </w:pPr>
      <w:r w:rsidRPr="00E17D79">
        <w:rPr>
          <w:rFonts w:ascii="Book Antiqua" w:hAnsi="Book Antiqua" w:cs="Arial"/>
          <w:b/>
          <w:i/>
          <w:iCs/>
          <w:lang w:val="en-GB"/>
        </w:rPr>
        <w:t>AIM</w:t>
      </w:r>
    </w:p>
    <w:p w14:paraId="582E3E7B" w14:textId="133B15D4" w:rsidR="00BC1639" w:rsidRPr="00E17D79" w:rsidRDefault="00BC1639" w:rsidP="00E17D79">
      <w:pPr>
        <w:spacing w:line="360" w:lineRule="auto"/>
        <w:jc w:val="both"/>
        <w:rPr>
          <w:rFonts w:ascii="Book Antiqua" w:hAnsi="Book Antiqua" w:cs="Arial"/>
          <w:lang w:val="en-GB"/>
        </w:rPr>
      </w:pPr>
      <w:r w:rsidRPr="00E17D79">
        <w:rPr>
          <w:rFonts w:ascii="Book Antiqua" w:hAnsi="Book Antiqua" w:cs="Arial"/>
          <w:lang w:val="en-GB"/>
        </w:rPr>
        <w:t>T</w:t>
      </w:r>
      <w:r w:rsidR="00234ACE" w:rsidRPr="00E17D79">
        <w:rPr>
          <w:rFonts w:ascii="Book Antiqua" w:hAnsi="Book Antiqua" w:cs="Arial"/>
          <w:lang w:val="en-GB"/>
        </w:rPr>
        <w:t xml:space="preserve">o analyse all sHLH cases that </w:t>
      </w:r>
      <w:r w:rsidR="00517CB8" w:rsidRPr="00E17D79">
        <w:rPr>
          <w:rFonts w:ascii="Book Antiqua" w:hAnsi="Book Antiqua" w:cs="Arial"/>
          <w:lang w:val="en-US"/>
        </w:rPr>
        <w:t xml:space="preserve">were </w:t>
      </w:r>
      <w:r w:rsidR="00234ACE" w:rsidRPr="00E17D79">
        <w:rPr>
          <w:rFonts w:ascii="Book Antiqua" w:hAnsi="Book Antiqua" w:cs="Arial"/>
          <w:lang w:val="en-GB"/>
        </w:rPr>
        <w:t xml:space="preserve">diagnosed and managed </w:t>
      </w:r>
      <w:r w:rsidR="001F2C51" w:rsidRPr="00E17D79">
        <w:rPr>
          <w:rFonts w:ascii="Book Antiqua" w:hAnsi="Book Antiqua" w:cs="Arial"/>
          <w:lang w:val="en-GB"/>
        </w:rPr>
        <w:t xml:space="preserve">under real-world circumstances </w:t>
      </w:r>
      <w:r w:rsidR="00234ACE" w:rsidRPr="00E17D79">
        <w:rPr>
          <w:rFonts w:ascii="Book Antiqua" w:hAnsi="Book Antiqua" w:cs="Arial"/>
          <w:lang w:val="en-GB"/>
        </w:rPr>
        <w:t xml:space="preserve">in our department </w:t>
      </w:r>
      <w:r w:rsidR="00817359" w:rsidRPr="00E17D79">
        <w:rPr>
          <w:rFonts w:ascii="Book Antiqua" w:hAnsi="Book Antiqua" w:cs="Arial"/>
          <w:lang w:val="en-GB"/>
        </w:rPr>
        <w:t>focusing</w:t>
      </w:r>
      <w:r w:rsidR="00234ACE" w:rsidRPr="00E17D79">
        <w:rPr>
          <w:rFonts w:ascii="Book Antiqua" w:hAnsi="Book Antiqua" w:cs="Arial"/>
          <w:lang w:val="en-GB"/>
        </w:rPr>
        <w:t xml:space="preserve"> on the treatment </w:t>
      </w:r>
      <w:r w:rsidR="00817359" w:rsidRPr="00E17D79">
        <w:rPr>
          <w:rFonts w:ascii="Book Antiqua" w:hAnsi="Book Antiqua" w:cs="Arial"/>
          <w:lang w:val="en-GB"/>
        </w:rPr>
        <w:t xml:space="preserve">schedule </w:t>
      </w:r>
      <w:r w:rsidR="00234ACE" w:rsidRPr="00E17D79">
        <w:rPr>
          <w:rFonts w:ascii="Book Antiqua" w:hAnsi="Book Antiqua" w:cs="Arial"/>
          <w:lang w:val="en-GB"/>
        </w:rPr>
        <w:t xml:space="preserve">and </w:t>
      </w:r>
      <w:r w:rsidR="00817359" w:rsidRPr="00E17D79">
        <w:rPr>
          <w:rFonts w:ascii="Book Antiqua" w:hAnsi="Book Antiqua" w:cs="Arial"/>
          <w:lang w:val="en-GB"/>
        </w:rPr>
        <w:t xml:space="preserve">the </w:t>
      </w:r>
      <w:r w:rsidR="00234ACE" w:rsidRPr="00E17D79">
        <w:rPr>
          <w:rFonts w:ascii="Book Antiqua" w:hAnsi="Book Antiqua" w:cs="Arial"/>
          <w:lang w:val="en-GB"/>
        </w:rPr>
        <w:t xml:space="preserve">outcome. </w:t>
      </w:r>
    </w:p>
    <w:p w14:paraId="011FC828" w14:textId="77777777" w:rsidR="003853E3" w:rsidRPr="00E17D79" w:rsidRDefault="003853E3" w:rsidP="00E17D79">
      <w:pPr>
        <w:spacing w:line="360" w:lineRule="auto"/>
        <w:jc w:val="both"/>
        <w:rPr>
          <w:rFonts w:ascii="Book Antiqua" w:hAnsi="Book Antiqua" w:cs="Arial"/>
          <w:b/>
          <w:lang w:val="en-GB"/>
        </w:rPr>
      </w:pPr>
    </w:p>
    <w:p w14:paraId="3B4E6758" w14:textId="77777777" w:rsidR="00BC1639" w:rsidRPr="00E17D79" w:rsidRDefault="003853E3" w:rsidP="00E17D79">
      <w:pPr>
        <w:spacing w:line="360" w:lineRule="auto"/>
        <w:jc w:val="both"/>
        <w:rPr>
          <w:rFonts w:ascii="Book Antiqua" w:hAnsi="Book Antiqua" w:cs="Arial"/>
          <w:b/>
          <w:i/>
          <w:iCs/>
          <w:lang w:val="en-GB"/>
        </w:rPr>
      </w:pPr>
      <w:r w:rsidRPr="00E17D79">
        <w:rPr>
          <w:rFonts w:ascii="Book Antiqua" w:hAnsi="Book Antiqua" w:cs="Arial"/>
          <w:b/>
          <w:i/>
          <w:iCs/>
          <w:lang w:val="en-GB"/>
        </w:rPr>
        <w:t>METHODS</w:t>
      </w:r>
    </w:p>
    <w:p w14:paraId="49DF7961" w14:textId="0331442E" w:rsidR="003853E3" w:rsidRPr="00E17D79" w:rsidRDefault="00817359" w:rsidP="00E17D79">
      <w:pPr>
        <w:spacing w:line="360" w:lineRule="auto"/>
        <w:jc w:val="both"/>
        <w:rPr>
          <w:rFonts w:ascii="Book Antiqua" w:hAnsi="Book Antiqua" w:cs="Arial"/>
          <w:b/>
          <w:lang w:val="en-GB"/>
        </w:rPr>
      </w:pPr>
      <w:r w:rsidRPr="00E17D79">
        <w:rPr>
          <w:rFonts w:ascii="Book Antiqua" w:hAnsi="Book Antiqua" w:cs="Arial"/>
          <w:lang w:val="en-GB"/>
        </w:rPr>
        <w:t xml:space="preserve">Prospectively </w:t>
      </w:r>
      <w:r w:rsidR="00234ACE" w:rsidRPr="00E17D79">
        <w:rPr>
          <w:rFonts w:ascii="Book Antiqua" w:hAnsi="Book Antiqua" w:cs="Arial"/>
          <w:lang w:val="en-GB"/>
        </w:rPr>
        <w:t xml:space="preserve">collected data from </w:t>
      </w:r>
      <w:r w:rsidR="00345BBB" w:rsidRPr="00E17D79">
        <w:rPr>
          <w:rFonts w:ascii="Book Antiqua" w:hAnsi="Book Antiqua" w:cs="Arial"/>
          <w:lang w:val="en-GB"/>
        </w:rPr>
        <w:t>all</w:t>
      </w:r>
      <w:r w:rsidRPr="00E17D79">
        <w:rPr>
          <w:rFonts w:ascii="Book Antiqua" w:hAnsi="Book Antiqua" w:cs="Arial"/>
          <w:lang w:val="en-GB"/>
        </w:rPr>
        <w:t xml:space="preserve"> </w:t>
      </w:r>
      <w:r w:rsidR="000652A0" w:rsidRPr="00E17D79">
        <w:rPr>
          <w:rFonts w:ascii="Book Antiqua" w:hAnsi="Book Antiqua" w:cs="Arial"/>
          <w:lang w:val="en-GB"/>
        </w:rPr>
        <w:t xml:space="preserve">adult </w:t>
      </w:r>
      <w:r w:rsidR="00234ACE" w:rsidRPr="00E17D79">
        <w:rPr>
          <w:rFonts w:ascii="Book Antiqua" w:hAnsi="Book Antiqua" w:cs="Arial"/>
          <w:lang w:val="en-GB"/>
        </w:rPr>
        <w:t xml:space="preserve">patients </w:t>
      </w:r>
      <w:r w:rsidR="00345BBB" w:rsidRPr="00E17D79">
        <w:rPr>
          <w:rFonts w:ascii="Book Antiqua" w:hAnsi="Book Antiqua" w:cs="Arial"/>
          <w:lang w:val="en-GB"/>
        </w:rPr>
        <w:t>fulfilling the criteria of sHLH</w:t>
      </w:r>
      <w:r w:rsidRPr="00E17D79">
        <w:rPr>
          <w:rFonts w:ascii="Book Antiqua" w:hAnsi="Book Antiqua" w:cs="Arial"/>
          <w:lang w:val="en-GB"/>
        </w:rPr>
        <w:t xml:space="preserve"> </w:t>
      </w:r>
      <w:r w:rsidR="006C390E" w:rsidRPr="00E17D79">
        <w:rPr>
          <w:rFonts w:ascii="Book Antiqua" w:hAnsi="Book Antiqua" w:cs="Arial"/>
          <w:lang w:val="en-GB"/>
        </w:rPr>
        <w:t>who</w:t>
      </w:r>
      <w:r w:rsidR="000652A0" w:rsidRPr="00E17D79">
        <w:rPr>
          <w:rFonts w:ascii="Book Antiqua" w:hAnsi="Book Antiqua" w:cs="Arial"/>
          <w:lang w:val="en-GB"/>
        </w:rPr>
        <w:t xml:space="preserve"> diagnosed and managed </w:t>
      </w:r>
      <w:r w:rsidR="00451DDE" w:rsidRPr="00E17D79">
        <w:rPr>
          <w:rFonts w:ascii="Book Antiqua" w:hAnsi="Book Antiqua" w:cs="Arial"/>
          <w:lang w:val="en-GB"/>
        </w:rPr>
        <w:t>from January 1, 2010 to June 1, 2018,</w:t>
      </w:r>
      <w:r w:rsidR="000652A0" w:rsidRPr="00E17D79">
        <w:rPr>
          <w:rFonts w:ascii="Book Antiqua" w:hAnsi="Book Antiqua" w:cs="Arial"/>
          <w:lang w:val="en-GB"/>
        </w:rPr>
        <w:t xml:space="preserve"> in our department of the tertiary care university hospital of Larissa, Greece, </w:t>
      </w:r>
      <w:r w:rsidRPr="00E17D79">
        <w:rPr>
          <w:rFonts w:ascii="Book Antiqua" w:hAnsi="Book Antiqua" w:cs="Arial"/>
          <w:lang w:val="en-GB"/>
        </w:rPr>
        <w:t>were analysed retrospectively</w:t>
      </w:r>
      <w:r w:rsidR="000652A0" w:rsidRPr="00E17D79">
        <w:rPr>
          <w:rFonts w:ascii="Book Antiqua" w:hAnsi="Book Antiqua" w:cs="Arial"/>
          <w:lang w:val="en-GB"/>
        </w:rPr>
        <w:t xml:space="preserve"> (</w:t>
      </w:r>
      <w:r w:rsidR="000652A0" w:rsidRPr="00E17D79">
        <w:rPr>
          <w:rFonts w:ascii="Book Antiqua" w:hAnsi="Book Antiqua" w:cs="Arial"/>
          <w:i/>
          <w:iCs/>
          <w:lang w:val="en-GB"/>
        </w:rPr>
        <w:t>n</w:t>
      </w:r>
      <w:r w:rsidR="00F539D9" w:rsidRPr="00E17D79">
        <w:rPr>
          <w:rFonts w:ascii="Book Antiqua" w:hAnsi="Book Antiqua" w:cs="Arial"/>
          <w:lang w:val="en-GB"/>
        </w:rPr>
        <w:t xml:space="preserve"> </w:t>
      </w:r>
      <w:r w:rsidR="000652A0" w:rsidRPr="00E17D79">
        <w:rPr>
          <w:rFonts w:ascii="Book Antiqua" w:hAnsi="Book Antiqua" w:cs="Arial"/>
          <w:lang w:val="en-GB"/>
        </w:rPr>
        <w:t>=</w:t>
      </w:r>
      <w:r w:rsidR="00F539D9" w:rsidRPr="00E17D79">
        <w:rPr>
          <w:rFonts w:ascii="Book Antiqua" w:hAnsi="Book Antiqua" w:cs="Arial"/>
          <w:lang w:val="en-GB"/>
        </w:rPr>
        <w:t xml:space="preserve"> </w:t>
      </w:r>
      <w:r w:rsidR="000652A0" w:rsidRPr="00E17D79">
        <w:rPr>
          <w:rFonts w:ascii="Book Antiqua" w:hAnsi="Book Antiqua" w:cs="Arial"/>
          <w:lang w:val="en-GB"/>
        </w:rPr>
        <w:t>80; 52% male; median age: 55 years)</w:t>
      </w:r>
      <w:r w:rsidR="00234ACE" w:rsidRPr="00E17D79">
        <w:rPr>
          <w:rFonts w:ascii="Book Antiqua" w:hAnsi="Book Antiqua" w:cs="Arial"/>
          <w:lang w:val="en-GB"/>
        </w:rPr>
        <w:t>.</w:t>
      </w:r>
      <w:r w:rsidR="000652A0" w:rsidRPr="00E17D79">
        <w:rPr>
          <w:rFonts w:ascii="Book Antiqua" w:hAnsi="Book Antiqua" w:cs="Arial"/>
          <w:lang w:val="en-GB"/>
        </w:rPr>
        <w:t xml:space="preserve"> </w:t>
      </w:r>
      <w:r w:rsidR="00E95E42" w:rsidRPr="00E17D79">
        <w:rPr>
          <w:rFonts w:ascii="Book Antiqua" w:hAnsi="Book Antiqua" w:cs="Arial"/>
          <w:lang w:val="en-GB"/>
        </w:rPr>
        <w:t xml:space="preserve">The </w:t>
      </w:r>
      <w:r w:rsidR="00451DDE" w:rsidRPr="00E17D79">
        <w:rPr>
          <w:rFonts w:ascii="Book Antiqua" w:hAnsi="Book Antiqua" w:cs="Arial"/>
          <w:lang w:val="en-GB"/>
        </w:rPr>
        <w:t>electronic records</w:t>
      </w:r>
      <w:r w:rsidR="006C390E" w:rsidRPr="00E17D79">
        <w:rPr>
          <w:rFonts w:ascii="Book Antiqua" w:hAnsi="Book Antiqua" w:cs="Arial"/>
          <w:lang w:val="en-GB"/>
        </w:rPr>
        <w:t xml:space="preserve"> and/or </w:t>
      </w:r>
      <w:r w:rsidR="00451DDE" w:rsidRPr="00E17D79">
        <w:rPr>
          <w:rFonts w:ascii="Book Antiqua" w:hAnsi="Book Antiqua" w:cs="Arial"/>
          <w:lang w:val="en-GB"/>
        </w:rPr>
        <w:t xml:space="preserve">written charts </w:t>
      </w:r>
      <w:r w:rsidR="00E95E42" w:rsidRPr="00E17D79">
        <w:rPr>
          <w:rFonts w:ascii="Book Antiqua" w:hAnsi="Book Antiqua" w:cs="Arial"/>
          <w:lang w:val="en-GB"/>
        </w:rPr>
        <w:t xml:space="preserve">of the patients </w:t>
      </w:r>
      <w:r w:rsidR="00451DDE" w:rsidRPr="00E17D79">
        <w:rPr>
          <w:rFonts w:ascii="Book Antiqua" w:hAnsi="Book Antiqua" w:cs="Arial"/>
          <w:lang w:val="en-GB"/>
        </w:rPr>
        <w:t xml:space="preserve">were reviewed for the demographic characteristics, clinical manifestations, underlying causes of sHLH, laboratory parameters, treatment schedule and 30-d-mortality rate. </w:t>
      </w:r>
      <w:r w:rsidR="000652A0" w:rsidRPr="00E17D79">
        <w:rPr>
          <w:rFonts w:ascii="Book Antiqua" w:hAnsi="Book Antiqua" w:cs="Arial"/>
          <w:lang w:val="en-GB"/>
        </w:rPr>
        <w:t xml:space="preserve">Most of patients had received </w:t>
      </w:r>
      <w:r w:rsidR="00451DDE" w:rsidRPr="00E17D79">
        <w:rPr>
          <w:rFonts w:ascii="Book Antiqua" w:hAnsi="Book Antiqua" w:cs="Arial"/>
          <w:lang w:val="en-GB"/>
        </w:rPr>
        <w:t xml:space="preserve">after consent </w:t>
      </w:r>
      <w:r w:rsidR="000652A0" w:rsidRPr="00E17D79">
        <w:rPr>
          <w:rFonts w:ascii="Book Antiqua" w:hAnsi="Book Antiqua" w:cs="Arial"/>
          <w:lang w:val="en-GB"/>
        </w:rPr>
        <w:t>intravenous γ-immunoglobulin</w:t>
      </w:r>
      <w:r w:rsidR="00A271AA" w:rsidRPr="00E17D79">
        <w:rPr>
          <w:rFonts w:ascii="Book Antiqua" w:hAnsi="Book Antiqua" w:cs="Arial"/>
          <w:lang w:val="en-GB"/>
        </w:rPr>
        <w:t xml:space="preserve"> (IVIG)</w:t>
      </w:r>
      <w:r w:rsidR="000652A0" w:rsidRPr="00E17D79">
        <w:rPr>
          <w:rFonts w:ascii="Book Antiqua" w:hAnsi="Book Antiqua" w:cs="Arial"/>
          <w:lang w:val="en-GB"/>
        </w:rPr>
        <w:t xml:space="preserve"> for 5 d (total dose 2 g/kg) in combination with intravenous steroid pulses followed by gradual tapering of prednisolone.</w:t>
      </w:r>
    </w:p>
    <w:p w14:paraId="1D405E73" w14:textId="77777777" w:rsidR="003853E3" w:rsidRPr="00E17D79" w:rsidRDefault="003853E3" w:rsidP="00E17D79">
      <w:pPr>
        <w:spacing w:line="360" w:lineRule="auto"/>
        <w:jc w:val="both"/>
        <w:rPr>
          <w:rFonts w:ascii="Book Antiqua" w:hAnsi="Book Antiqua" w:cs="Arial"/>
          <w:lang w:val="en-GB"/>
        </w:rPr>
      </w:pPr>
    </w:p>
    <w:p w14:paraId="49741DF2" w14:textId="77777777" w:rsidR="00043BC4" w:rsidRPr="00E17D79" w:rsidRDefault="00043BC4" w:rsidP="00E17D79">
      <w:pPr>
        <w:spacing w:line="360" w:lineRule="auto"/>
        <w:jc w:val="both"/>
        <w:rPr>
          <w:rFonts w:ascii="Book Antiqua" w:hAnsi="Book Antiqua" w:cs="Arial"/>
          <w:b/>
          <w:i/>
          <w:iCs/>
          <w:lang w:val="en-GB"/>
        </w:rPr>
      </w:pPr>
      <w:r w:rsidRPr="00E17D79">
        <w:rPr>
          <w:rFonts w:ascii="Book Antiqua" w:hAnsi="Book Antiqua" w:cs="Arial"/>
          <w:b/>
          <w:i/>
          <w:iCs/>
          <w:lang w:val="en-GB"/>
        </w:rPr>
        <w:t>RESULTS</w:t>
      </w:r>
    </w:p>
    <w:p w14:paraId="06ADA14A" w14:textId="3D2E1962" w:rsidR="00327D13" w:rsidRPr="00E17D79" w:rsidRDefault="00C33551" w:rsidP="00E17D79">
      <w:pPr>
        <w:spacing w:line="360" w:lineRule="auto"/>
        <w:jc w:val="both"/>
        <w:rPr>
          <w:rFonts w:ascii="Book Antiqua" w:hAnsi="Book Antiqua" w:cs="Arial"/>
          <w:lang w:val="en-GB"/>
        </w:rPr>
      </w:pPr>
      <w:r w:rsidRPr="00E17D79">
        <w:rPr>
          <w:rFonts w:ascii="Book Antiqua" w:hAnsi="Book Antiqua" w:cs="Arial"/>
          <w:lang w:val="en-GB"/>
        </w:rPr>
        <w:t>Seventy-five</w:t>
      </w:r>
      <w:r w:rsidR="00234ACE" w:rsidRPr="00E17D79">
        <w:rPr>
          <w:rFonts w:ascii="Book Antiqua" w:hAnsi="Book Antiqua" w:cs="Arial"/>
          <w:lang w:val="en-GB"/>
        </w:rPr>
        <w:t xml:space="preserve"> patients (94%) reported fever &gt;</w:t>
      </w:r>
      <w:r w:rsidR="00451DDE" w:rsidRPr="00E17D79">
        <w:rPr>
          <w:rFonts w:ascii="Book Antiqua" w:hAnsi="Book Antiqua" w:cs="Arial"/>
          <w:lang w:val="en-GB"/>
        </w:rPr>
        <w:t xml:space="preserve"> </w:t>
      </w:r>
      <w:r w:rsidR="00234ACE" w:rsidRPr="00E17D79">
        <w:rPr>
          <w:rFonts w:ascii="Book Antiqua" w:hAnsi="Book Antiqua" w:cs="Arial"/>
          <w:lang w:val="en-GB"/>
        </w:rPr>
        <w:t>38.5</w:t>
      </w:r>
      <w:r w:rsidR="00F539D9" w:rsidRPr="00E17D79">
        <w:rPr>
          <w:rFonts w:ascii="Book Antiqua" w:hAnsi="Book Antiqua" w:cs="Arial"/>
          <w:lang w:val="en-GB"/>
        </w:rPr>
        <w:t xml:space="preserve"> </w:t>
      </w:r>
      <w:r w:rsidR="00F539D9" w:rsidRPr="00E17D79">
        <w:rPr>
          <w:rFonts w:ascii="宋体" w:eastAsia="宋体" w:hAnsi="宋体" w:cs="宋体" w:hint="eastAsia"/>
          <w:lang w:val="en-GB" w:eastAsia="zh-CN"/>
        </w:rPr>
        <w:t>℃</w:t>
      </w:r>
      <w:r w:rsidR="00234ACE" w:rsidRPr="00E17D79">
        <w:rPr>
          <w:rFonts w:ascii="Book Antiqua" w:hAnsi="Book Antiqua" w:cs="Arial"/>
          <w:lang w:val="en-GB"/>
        </w:rPr>
        <w:t>, 47 (59%) had liver or spleen enlargement and 76 (95%) had ferritin</w:t>
      </w:r>
      <w:r w:rsidR="00451DDE" w:rsidRPr="00E17D79">
        <w:rPr>
          <w:rFonts w:ascii="Book Antiqua" w:hAnsi="Book Antiqua" w:cs="Arial"/>
          <w:lang w:val="en-GB"/>
        </w:rPr>
        <w:t xml:space="preserve"> </w:t>
      </w:r>
      <w:r w:rsidR="00234ACE" w:rsidRPr="00E17D79">
        <w:rPr>
          <w:rFonts w:ascii="Book Antiqua" w:hAnsi="Book Antiqua" w:cs="Arial"/>
          <w:lang w:val="en-GB"/>
        </w:rPr>
        <w:t>&gt;</w:t>
      </w:r>
      <w:r w:rsidR="00451DDE" w:rsidRPr="00E17D79">
        <w:rPr>
          <w:rFonts w:ascii="Book Antiqua" w:hAnsi="Book Antiqua" w:cs="Arial"/>
          <w:lang w:val="en-GB"/>
        </w:rPr>
        <w:t xml:space="preserve"> </w:t>
      </w:r>
      <w:r w:rsidR="00234ACE" w:rsidRPr="00E17D79">
        <w:rPr>
          <w:rFonts w:ascii="Book Antiqua" w:hAnsi="Book Antiqua" w:cs="Arial"/>
          <w:lang w:val="en-GB"/>
        </w:rPr>
        <w:t>500</w:t>
      </w:r>
      <w:r w:rsidR="00451DDE" w:rsidRPr="00E17D79">
        <w:rPr>
          <w:rFonts w:ascii="Book Antiqua" w:hAnsi="Book Antiqua" w:cs="Arial"/>
          <w:lang w:val="en-GB"/>
        </w:rPr>
        <w:t xml:space="preserve"> ng/</w:t>
      </w:r>
      <w:r w:rsidR="00234ACE" w:rsidRPr="00E17D79">
        <w:rPr>
          <w:rFonts w:ascii="Book Antiqua" w:hAnsi="Book Antiqua" w:cs="Arial"/>
          <w:lang w:val="en-GB"/>
        </w:rPr>
        <w:t>m</w:t>
      </w:r>
      <w:r w:rsidR="00F539D9" w:rsidRPr="00E17D79">
        <w:rPr>
          <w:rFonts w:ascii="Book Antiqua" w:hAnsi="Book Antiqua" w:cs="Arial"/>
          <w:lang w:val="en-GB"/>
        </w:rPr>
        <w:t>L</w:t>
      </w:r>
      <w:r w:rsidR="00234ACE" w:rsidRPr="00E17D79">
        <w:rPr>
          <w:rFonts w:ascii="Book Antiqua" w:hAnsi="Book Antiqua" w:cs="Arial"/>
          <w:lang w:val="en-GB"/>
        </w:rPr>
        <w:t xml:space="preserve"> </w:t>
      </w:r>
      <w:r w:rsidR="006C390E" w:rsidRPr="00E17D79">
        <w:rPr>
          <w:rFonts w:ascii="Book Antiqua" w:hAnsi="Book Antiqua" w:cs="Arial"/>
          <w:lang w:val="en-GB"/>
        </w:rPr>
        <w:t>including</w:t>
      </w:r>
      <w:r w:rsidRPr="00E17D79">
        <w:rPr>
          <w:rFonts w:ascii="Book Antiqua" w:hAnsi="Book Antiqua" w:cs="Arial"/>
          <w:lang w:val="en-GB"/>
        </w:rPr>
        <w:t xml:space="preserve"> 20 (25%) having considerably</w:t>
      </w:r>
      <w:r w:rsidR="00234ACE" w:rsidRPr="00E17D79">
        <w:rPr>
          <w:rFonts w:ascii="Book Antiqua" w:hAnsi="Book Antiqua" w:cs="Arial"/>
          <w:lang w:val="en-GB"/>
        </w:rPr>
        <w:t xml:space="preserve"> high levels (&gt;</w:t>
      </w:r>
      <w:r w:rsidR="00451DDE" w:rsidRPr="00E17D79">
        <w:rPr>
          <w:rFonts w:ascii="Book Antiqua" w:hAnsi="Book Antiqua" w:cs="Arial"/>
          <w:lang w:val="en-GB"/>
        </w:rPr>
        <w:t xml:space="preserve"> </w:t>
      </w:r>
      <w:r w:rsidR="00E359FF">
        <w:rPr>
          <w:rFonts w:ascii="Book Antiqua" w:hAnsi="Book Antiqua" w:cs="Arial"/>
          <w:lang w:val="en-GB"/>
        </w:rPr>
        <w:t>10</w:t>
      </w:r>
      <w:r w:rsidR="00234ACE" w:rsidRPr="00E17D79">
        <w:rPr>
          <w:rFonts w:ascii="Book Antiqua" w:hAnsi="Book Antiqua" w:cs="Arial"/>
          <w:lang w:val="en-GB"/>
        </w:rPr>
        <w:t>000</w:t>
      </w:r>
      <w:r w:rsidR="00451DDE" w:rsidRPr="00E17D79">
        <w:rPr>
          <w:rFonts w:ascii="Book Antiqua" w:hAnsi="Book Antiqua" w:cs="Arial"/>
          <w:lang w:val="en-GB"/>
        </w:rPr>
        <w:t xml:space="preserve"> </w:t>
      </w:r>
      <w:r w:rsidR="00234ACE" w:rsidRPr="00E17D79">
        <w:rPr>
          <w:rFonts w:ascii="Book Antiqua" w:hAnsi="Book Antiqua" w:cs="Arial"/>
          <w:lang w:val="en-GB"/>
        </w:rPr>
        <w:t>ng/m</w:t>
      </w:r>
      <w:r w:rsidR="00F539D9" w:rsidRPr="00E17D79">
        <w:rPr>
          <w:rFonts w:ascii="Book Antiqua" w:hAnsi="Book Antiqua" w:cs="Arial"/>
          <w:lang w:val="en-GB"/>
        </w:rPr>
        <w:t>L</w:t>
      </w:r>
      <w:r w:rsidR="00234ACE" w:rsidRPr="00E17D79">
        <w:rPr>
          <w:rFonts w:ascii="Book Antiqua" w:hAnsi="Book Antiqua" w:cs="Arial"/>
          <w:lang w:val="en-GB"/>
        </w:rPr>
        <w:t xml:space="preserve">). Anaemia and thrombocytopenia </w:t>
      </w:r>
      <w:r w:rsidR="00451ACE" w:rsidRPr="00E17D79">
        <w:rPr>
          <w:rFonts w:ascii="Book Antiqua" w:hAnsi="Book Antiqua" w:cs="Arial"/>
          <w:lang w:val="en-GB"/>
        </w:rPr>
        <w:t>occurred in</w:t>
      </w:r>
      <w:r w:rsidR="00234ACE" w:rsidRPr="00E17D79">
        <w:rPr>
          <w:rFonts w:ascii="Book Antiqua" w:hAnsi="Book Antiqua" w:cs="Arial"/>
          <w:lang w:val="en-GB"/>
        </w:rPr>
        <w:t xml:space="preserve"> 72% and leucopoenia </w:t>
      </w:r>
      <w:r w:rsidR="00451ACE" w:rsidRPr="00E17D79">
        <w:rPr>
          <w:rFonts w:ascii="Book Antiqua" w:hAnsi="Book Antiqua" w:cs="Arial"/>
          <w:lang w:val="en-GB"/>
        </w:rPr>
        <w:t xml:space="preserve">in </w:t>
      </w:r>
      <w:r w:rsidR="00234ACE" w:rsidRPr="00E17D79">
        <w:rPr>
          <w:rFonts w:ascii="Book Antiqua" w:hAnsi="Book Antiqua" w:cs="Arial"/>
          <w:lang w:val="en-GB"/>
        </w:rPr>
        <w:t>47%</w:t>
      </w:r>
      <w:r w:rsidR="00451DDE" w:rsidRPr="00E17D79">
        <w:rPr>
          <w:rFonts w:ascii="Book Antiqua" w:hAnsi="Book Antiqua" w:cs="Arial"/>
          <w:lang w:val="en-GB"/>
        </w:rPr>
        <w:t xml:space="preserve"> </w:t>
      </w:r>
      <w:r w:rsidR="00451ACE" w:rsidRPr="00E17D79">
        <w:rPr>
          <w:rFonts w:ascii="Book Antiqua" w:hAnsi="Book Antiqua" w:cs="Arial"/>
          <w:lang w:val="en-GB"/>
        </w:rPr>
        <w:t>of them</w:t>
      </w:r>
      <w:r w:rsidR="00234ACE" w:rsidRPr="00E17D79">
        <w:rPr>
          <w:rFonts w:ascii="Book Antiqua" w:hAnsi="Book Antiqua" w:cs="Arial"/>
          <w:lang w:val="en-GB"/>
        </w:rPr>
        <w:t xml:space="preserve">. Underlying infections were diagnosed in </w:t>
      </w:r>
      <w:r w:rsidR="005A110A" w:rsidRPr="00E17D79">
        <w:rPr>
          <w:rFonts w:ascii="Book Antiqua" w:hAnsi="Book Antiqua" w:cs="Arial"/>
          <w:lang w:val="en-GB"/>
        </w:rPr>
        <w:t>59 patients (</w:t>
      </w:r>
      <w:r w:rsidR="00234ACE" w:rsidRPr="00E17D79">
        <w:rPr>
          <w:rFonts w:ascii="Book Antiqua" w:hAnsi="Book Antiqua" w:cs="Arial"/>
          <w:lang w:val="en-GB"/>
        </w:rPr>
        <w:t>74%</w:t>
      </w:r>
      <w:r w:rsidR="005A110A" w:rsidRPr="00E17D79">
        <w:rPr>
          <w:rFonts w:ascii="Book Antiqua" w:hAnsi="Book Antiqua" w:cs="Arial"/>
          <w:lang w:val="en-GB"/>
        </w:rPr>
        <w:t>)</w:t>
      </w:r>
      <w:r w:rsidR="00234ACE" w:rsidRPr="00E17D79">
        <w:rPr>
          <w:rFonts w:ascii="Book Antiqua" w:hAnsi="Book Antiqua" w:cs="Arial"/>
          <w:lang w:val="en-GB"/>
        </w:rPr>
        <w:t xml:space="preserve"> </w:t>
      </w:r>
      <w:r w:rsidR="005A110A" w:rsidRPr="00E17D79">
        <w:rPr>
          <w:rFonts w:ascii="Book Antiqua" w:hAnsi="Book Antiqua" w:cs="Arial"/>
          <w:lang w:val="en-GB"/>
        </w:rPr>
        <w:t xml:space="preserve">as follows: </w:t>
      </w:r>
      <w:r w:rsidR="00234ACE" w:rsidRPr="00E17D79">
        <w:rPr>
          <w:rFonts w:ascii="Book Antiqua" w:hAnsi="Book Antiqua" w:cs="Arial"/>
          <w:lang w:val="en-GB"/>
        </w:rPr>
        <w:t xml:space="preserve">leishmaniasis </w:t>
      </w:r>
      <w:r w:rsidR="00517CB8" w:rsidRPr="00E17D79">
        <w:rPr>
          <w:rFonts w:ascii="Book Antiqua" w:hAnsi="Book Antiqua" w:cs="Arial"/>
          <w:lang w:val="en-GB"/>
        </w:rPr>
        <w:t xml:space="preserve">alone </w:t>
      </w:r>
      <w:r w:rsidR="00DF3F73" w:rsidRPr="00E17D79">
        <w:rPr>
          <w:rFonts w:ascii="Book Antiqua" w:hAnsi="Book Antiqua" w:cs="Arial"/>
          <w:lang w:val="en-GB"/>
        </w:rPr>
        <w:t xml:space="preserve">in </w:t>
      </w:r>
      <w:r w:rsidR="005A110A" w:rsidRPr="00E17D79">
        <w:rPr>
          <w:rFonts w:ascii="Book Antiqua" w:hAnsi="Book Antiqua" w:cs="Arial"/>
          <w:lang w:val="en-GB"/>
        </w:rPr>
        <w:t>15/80 (</w:t>
      </w:r>
      <w:r w:rsidR="00517CB8" w:rsidRPr="00E17D79">
        <w:rPr>
          <w:rFonts w:ascii="Book Antiqua" w:hAnsi="Book Antiqua" w:cs="Arial"/>
          <w:lang w:val="en-GB"/>
        </w:rPr>
        <w:t>18.9</w:t>
      </w:r>
      <w:r w:rsidR="00234ACE" w:rsidRPr="00E17D79">
        <w:rPr>
          <w:rFonts w:ascii="Book Antiqua" w:hAnsi="Book Antiqua" w:cs="Arial"/>
          <w:lang w:val="en-GB"/>
        </w:rPr>
        <w:t>%</w:t>
      </w:r>
      <w:r w:rsidR="005A110A" w:rsidRPr="00E17D79">
        <w:rPr>
          <w:rFonts w:ascii="Book Antiqua" w:hAnsi="Book Antiqua" w:cs="Arial"/>
          <w:lang w:val="en-GB"/>
        </w:rPr>
        <w:t>)</w:t>
      </w:r>
      <w:r w:rsidR="00234ACE" w:rsidRPr="00E17D79">
        <w:rPr>
          <w:rFonts w:ascii="Book Antiqua" w:hAnsi="Book Antiqua" w:cs="Arial"/>
          <w:lang w:val="en-GB"/>
        </w:rPr>
        <w:t xml:space="preserve">, </w:t>
      </w:r>
      <w:r w:rsidR="00517CB8" w:rsidRPr="00E17D79">
        <w:rPr>
          <w:rFonts w:ascii="Book Antiqua" w:hAnsi="Book Antiqua" w:cs="Arial"/>
          <w:lang w:val="en-GB"/>
        </w:rPr>
        <w:t xml:space="preserve">leishmaniasis concurrently with </w:t>
      </w:r>
      <w:r w:rsidR="00517CB8" w:rsidRPr="00E17D79">
        <w:rPr>
          <w:rFonts w:ascii="Book Antiqua" w:hAnsi="Book Antiqua" w:cs="Arial"/>
          <w:i/>
          <w:lang w:val="en-GB"/>
        </w:rPr>
        <w:t xml:space="preserve">Coxiella Burnetti </w:t>
      </w:r>
      <w:r w:rsidR="00517CB8" w:rsidRPr="00E17D79">
        <w:rPr>
          <w:rFonts w:ascii="Book Antiqua" w:hAnsi="Book Antiqua" w:cs="Arial"/>
          <w:lang w:val="en-GB"/>
        </w:rPr>
        <w:t>or non-Hod</w:t>
      </w:r>
      <w:r w:rsidR="00DF3F73" w:rsidRPr="00E17D79">
        <w:rPr>
          <w:rFonts w:ascii="Book Antiqua" w:hAnsi="Book Antiqua" w:cs="Arial"/>
          <w:lang w:val="en-GB"/>
        </w:rPr>
        <w:t>g</w:t>
      </w:r>
      <w:r w:rsidR="00517CB8" w:rsidRPr="00E17D79">
        <w:rPr>
          <w:rFonts w:ascii="Book Antiqua" w:hAnsi="Book Antiqua" w:cs="Arial"/>
          <w:lang w:val="en-GB"/>
        </w:rPr>
        <w:t xml:space="preserve">kin lymphoma </w:t>
      </w:r>
      <w:r w:rsidR="00DF3F73" w:rsidRPr="00E17D79">
        <w:rPr>
          <w:rFonts w:ascii="Book Antiqua" w:hAnsi="Book Antiqua" w:cs="Arial"/>
          <w:lang w:val="en-GB"/>
        </w:rPr>
        <w:t xml:space="preserve">in </w:t>
      </w:r>
      <w:r w:rsidR="005A110A" w:rsidRPr="00E17D79">
        <w:rPr>
          <w:rFonts w:ascii="Book Antiqua" w:hAnsi="Book Antiqua" w:cs="Arial"/>
          <w:lang w:val="en-GB"/>
        </w:rPr>
        <w:t>2/80 (</w:t>
      </w:r>
      <w:r w:rsidR="00517CB8" w:rsidRPr="00E17D79">
        <w:rPr>
          <w:rFonts w:ascii="Book Antiqua" w:hAnsi="Book Antiqua" w:cs="Arial"/>
          <w:lang w:val="en-GB"/>
        </w:rPr>
        <w:t>2.5%</w:t>
      </w:r>
      <w:r w:rsidR="005A110A" w:rsidRPr="00E17D79">
        <w:rPr>
          <w:rFonts w:ascii="Book Antiqua" w:hAnsi="Book Antiqua" w:cs="Arial"/>
          <w:lang w:val="en-GB"/>
        </w:rPr>
        <w:t>)</w:t>
      </w:r>
      <w:r w:rsidR="00517CB8" w:rsidRPr="00E17D79">
        <w:rPr>
          <w:rFonts w:ascii="Book Antiqua" w:hAnsi="Book Antiqua" w:cs="Arial"/>
          <w:lang w:val="en-GB"/>
        </w:rPr>
        <w:t xml:space="preserve">, </w:t>
      </w:r>
      <w:r w:rsidR="00234ACE" w:rsidRPr="00E17D79">
        <w:rPr>
          <w:rFonts w:ascii="Book Antiqua" w:hAnsi="Book Antiqua" w:cs="Arial"/>
          <w:lang w:val="en-GB"/>
        </w:rPr>
        <w:t xml:space="preserve">bacterial </w:t>
      </w:r>
      <w:r w:rsidR="00DF3F73" w:rsidRPr="00E17D79">
        <w:rPr>
          <w:rFonts w:ascii="Book Antiqua" w:hAnsi="Book Antiqua" w:cs="Arial"/>
          <w:lang w:val="en-GB"/>
        </w:rPr>
        <w:t xml:space="preserve">infections in </w:t>
      </w:r>
      <w:r w:rsidR="005A110A" w:rsidRPr="00E17D79">
        <w:rPr>
          <w:rFonts w:ascii="Book Antiqua" w:hAnsi="Book Antiqua" w:cs="Arial"/>
          <w:lang w:val="en-GB"/>
        </w:rPr>
        <w:lastRenderedPageBreak/>
        <w:t xml:space="preserve">14/80 </w:t>
      </w:r>
      <w:r w:rsidR="00DF3F73" w:rsidRPr="00E17D79">
        <w:rPr>
          <w:rFonts w:ascii="Book Antiqua" w:hAnsi="Book Antiqua" w:cs="Arial"/>
          <w:lang w:val="en-GB"/>
        </w:rPr>
        <w:t>(17.5</w:t>
      </w:r>
      <w:r w:rsidR="00234ACE" w:rsidRPr="00E17D79">
        <w:rPr>
          <w:rFonts w:ascii="Book Antiqua" w:hAnsi="Book Antiqua" w:cs="Arial"/>
          <w:lang w:val="en-GB"/>
        </w:rPr>
        <w:t>%</w:t>
      </w:r>
      <w:r w:rsidR="00DF3F73" w:rsidRPr="00E17D79">
        <w:rPr>
          <w:rFonts w:ascii="Book Antiqua" w:hAnsi="Book Antiqua" w:cs="Arial"/>
          <w:lang w:val="en-GB"/>
        </w:rPr>
        <w:t>) including one case with concurrent non-Hodgkin lymphoma</w:t>
      </w:r>
      <w:r w:rsidR="00234ACE" w:rsidRPr="00E17D79">
        <w:rPr>
          <w:rFonts w:ascii="Book Antiqua" w:hAnsi="Book Antiqua" w:cs="Arial"/>
          <w:lang w:val="en-GB"/>
        </w:rPr>
        <w:t xml:space="preserve">, viral </w:t>
      </w:r>
      <w:r w:rsidR="00DF3F73" w:rsidRPr="00E17D79">
        <w:rPr>
          <w:rFonts w:ascii="Book Antiqua" w:hAnsi="Book Antiqua" w:cs="Arial"/>
          <w:lang w:val="en-GB"/>
        </w:rPr>
        <w:t>infections in 13/80 (</w:t>
      </w:r>
      <w:r w:rsidR="00A14F8A" w:rsidRPr="00E17D79">
        <w:rPr>
          <w:rFonts w:ascii="Book Antiqua" w:hAnsi="Book Antiqua" w:cs="Arial"/>
          <w:lang w:val="en-GB"/>
        </w:rPr>
        <w:t>16</w:t>
      </w:r>
      <w:r w:rsidR="00DF3F73" w:rsidRPr="00E17D79">
        <w:rPr>
          <w:rFonts w:ascii="Book Antiqua" w:hAnsi="Book Antiqua" w:cs="Arial"/>
          <w:lang w:val="en-GB"/>
        </w:rPr>
        <w:t>.3</w:t>
      </w:r>
      <w:r w:rsidR="00234ACE" w:rsidRPr="00E17D79">
        <w:rPr>
          <w:rFonts w:ascii="Book Antiqua" w:hAnsi="Book Antiqua" w:cs="Arial"/>
          <w:lang w:val="en-GB"/>
        </w:rPr>
        <w:t>%</w:t>
      </w:r>
      <w:r w:rsidR="00DF3F73" w:rsidRPr="00E17D79">
        <w:rPr>
          <w:rFonts w:ascii="Book Antiqua" w:hAnsi="Book Antiqua" w:cs="Arial"/>
          <w:lang w:val="en-GB"/>
        </w:rPr>
        <w:t>)</w:t>
      </w:r>
      <w:r w:rsidR="00234ACE" w:rsidRPr="00E17D79">
        <w:rPr>
          <w:rFonts w:ascii="Book Antiqua" w:hAnsi="Book Antiqua" w:cs="Arial"/>
          <w:lang w:val="en-GB"/>
        </w:rPr>
        <w:t xml:space="preserve">, fungal </w:t>
      </w:r>
      <w:r w:rsidR="00451DDE" w:rsidRPr="00E17D79">
        <w:rPr>
          <w:rFonts w:ascii="Book Antiqua" w:hAnsi="Book Antiqua" w:cs="Arial"/>
          <w:lang w:val="en-GB"/>
        </w:rPr>
        <w:t xml:space="preserve">infections </w:t>
      </w:r>
      <w:r w:rsidR="00DF3F73" w:rsidRPr="00E17D79">
        <w:rPr>
          <w:rFonts w:ascii="Book Antiqua" w:hAnsi="Book Antiqua" w:cs="Arial"/>
          <w:lang w:val="en-GB"/>
        </w:rPr>
        <w:t>in 2/80 (2.5</w:t>
      </w:r>
      <w:r w:rsidR="00234ACE" w:rsidRPr="00E17D79">
        <w:rPr>
          <w:rFonts w:ascii="Book Antiqua" w:hAnsi="Book Antiqua" w:cs="Arial"/>
          <w:lang w:val="en-GB"/>
        </w:rPr>
        <w:t>%)</w:t>
      </w:r>
      <w:r w:rsidR="00DF3F73" w:rsidRPr="00E17D79">
        <w:rPr>
          <w:rFonts w:ascii="Book Antiqua" w:hAnsi="Book Antiqua" w:cs="Arial"/>
          <w:lang w:val="en-GB"/>
        </w:rPr>
        <w:t>, infections by mycobacteria in 1/80 (1.3%) and unidentified pathogens in 12/80 (15%)</w:t>
      </w:r>
      <w:r w:rsidR="00234ACE" w:rsidRPr="00E17D79">
        <w:rPr>
          <w:rFonts w:ascii="Book Antiqua" w:hAnsi="Book Antiqua" w:cs="Arial"/>
          <w:lang w:val="en-GB"/>
        </w:rPr>
        <w:t xml:space="preserve">. </w:t>
      </w:r>
      <w:r w:rsidR="001F2C51" w:rsidRPr="00E17D79">
        <w:rPr>
          <w:rFonts w:ascii="Book Antiqua" w:hAnsi="Book Antiqua" w:cs="Arial"/>
          <w:lang w:val="en-GB"/>
        </w:rPr>
        <w:t>Seventy-two</w:t>
      </w:r>
      <w:r w:rsidR="00516E80" w:rsidRPr="00E17D79">
        <w:rPr>
          <w:rFonts w:ascii="Book Antiqua" w:hAnsi="Book Antiqua" w:cs="Arial"/>
          <w:lang w:val="en-GB"/>
        </w:rPr>
        <w:t xml:space="preserve"> </w:t>
      </w:r>
      <w:r w:rsidR="00234ACE" w:rsidRPr="00E17D79">
        <w:rPr>
          <w:rFonts w:ascii="Book Antiqua" w:hAnsi="Book Antiqua" w:cs="Arial"/>
          <w:lang w:val="en-GB"/>
        </w:rPr>
        <w:t>patients (</w:t>
      </w:r>
      <w:r w:rsidR="00516E80" w:rsidRPr="00E17D79">
        <w:rPr>
          <w:rFonts w:ascii="Book Antiqua" w:hAnsi="Book Antiqua" w:cs="Arial"/>
          <w:lang w:val="en-GB"/>
        </w:rPr>
        <w:t>90</w:t>
      </w:r>
      <w:r w:rsidR="00234ACE" w:rsidRPr="00E17D79">
        <w:rPr>
          <w:rFonts w:ascii="Book Antiqua" w:hAnsi="Book Antiqua" w:cs="Arial"/>
          <w:lang w:val="en-GB"/>
        </w:rPr>
        <w:t xml:space="preserve">%) </w:t>
      </w:r>
      <w:r w:rsidR="00451DDE" w:rsidRPr="00E17D79">
        <w:rPr>
          <w:rFonts w:ascii="Book Antiqua" w:hAnsi="Book Antiqua" w:cs="Arial"/>
          <w:lang w:val="en-GB"/>
        </w:rPr>
        <w:t xml:space="preserve">had received combination treatment </w:t>
      </w:r>
      <w:r w:rsidR="006C390E" w:rsidRPr="00E17D79">
        <w:rPr>
          <w:rFonts w:ascii="Book Antiqua" w:hAnsi="Book Antiqua" w:cs="Arial"/>
          <w:lang w:val="en-GB"/>
        </w:rPr>
        <w:t>with</w:t>
      </w:r>
      <w:r w:rsidR="00451DDE" w:rsidRPr="00E17D79">
        <w:rPr>
          <w:rFonts w:ascii="Book Antiqua" w:hAnsi="Book Antiqua" w:cs="Arial"/>
          <w:lang w:val="en-GB"/>
        </w:rPr>
        <w:t xml:space="preserve"> </w:t>
      </w:r>
      <w:r w:rsidR="00A271AA" w:rsidRPr="00E17D79">
        <w:rPr>
          <w:rFonts w:ascii="Book Antiqua" w:hAnsi="Book Antiqua" w:cs="Arial"/>
          <w:lang w:val="en-GB"/>
        </w:rPr>
        <w:t>IVIG</w:t>
      </w:r>
      <w:r w:rsidR="00234ACE" w:rsidRPr="00E17D79">
        <w:rPr>
          <w:rFonts w:ascii="Book Antiqua" w:hAnsi="Book Antiqua" w:cs="Arial"/>
          <w:lang w:val="en-GB"/>
        </w:rPr>
        <w:t xml:space="preserve"> </w:t>
      </w:r>
      <w:r w:rsidR="00451DDE" w:rsidRPr="00E17D79">
        <w:rPr>
          <w:rFonts w:ascii="Book Antiqua" w:hAnsi="Book Antiqua" w:cs="Arial"/>
          <w:lang w:val="en-GB"/>
        </w:rPr>
        <w:t>and</w:t>
      </w:r>
      <w:r w:rsidR="00234ACE" w:rsidRPr="00E17D79">
        <w:rPr>
          <w:rFonts w:ascii="Book Antiqua" w:hAnsi="Book Antiqua" w:cs="Arial"/>
          <w:lang w:val="en-GB"/>
        </w:rPr>
        <w:t xml:space="preserve"> intravenous steroid</w:t>
      </w:r>
      <w:r w:rsidR="00451DDE" w:rsidRPr="00E17D79">
        <w:rPr>
          <w:rFonts w:ascii="Book Antiqua" w:hAnsi="Book Antiqua" w:cs="Arial"/>
          <w:lang w:val="en-GB"/>
        </w:rPr>
        <w:t>s</w:t>
      </w:r>
      <w:r w:rsidR="00234ACE" w:rsidRPr="00E17D79">
        <w:rPr>
          <w:rFonts w:ascii="Book Antiqua" w:hAnsi="Book Antiqua" w:cs="Arial"/>
          <w:lang w:val="en-GB"/>
        </w:rPr>
        <w:t>. Overall, s</w:t>
      </w:r>
      <w:r w:rsidR="00E95E42" w:rsidRPr="00E17D79">
        <w:rPr>
          <w:rFonts w:ascii="Book Antiqua" w:hAnsi="Book Antiqua" w:cs="Arial"/>
          <w:lang w:val="en-GB"/>
        </w:rPr>
        <w:t xml:space="preserve">HLH resolved in 76% of patients, </w:t>
      </w:r>
      <w:r w:rsidR="00234ACE" w:rsidRPr="00E17D79">
        <w:rPr>
          <w:rFonts w:ascii="Book Antiqua" w:hAnsi="Book Antiqua" w:cs="Arial"/>
          <w:lang w:val="en-GB"/>
        </w:rPr>
        <w:t>15% died within the first month</w:t>
      </w:r>
      <w:r w:rsidR="00E95E42" w:rsidRPr="00E17D79">
        <w:rPr>
          <w:rFonts w:ascii="Book Antiqua" w:hAnsi="Book Antiqua" w:cs="Arial"/>
          <w:lang w:val="en-GB"/>
        </w:rPr>
        <w:t xml:space="preserve"> but 82.5% of patients were still alive 6 mo after diagnosis</w:t>
      </w:r>
      <w:r w:rsidR="00234ACE" w:rsidRPr="00E17D79">
        <w:rPr>
          <w:rFonts w:ascii="Book Antiqua" w:hAnsi="Book Antiqua" w:cs="Arial"/>
          <w:lang w:val="en-GB"/>
        </w:rPr>
        <w:t>. Univariate</w:t>
      </w:r>
      <w:r w:rsidR="002150AC" w:rsidRPr="00E17D79">
        <w:rPr>
          <w:rFonts w:ascii="Book Antiqua" w:hAnsi="Book Antiqua" w:cs="Arial"/>
          <w:lang w:val="en-GB"/>
        </w:rPr>
        <w:t xml:space="preserve"> analysis showed</w:t>
      </w:r>
      <w:r w:rsidR="00234ACE" w:rsidRPr="00E17D79">
        <w:rPr>
          <w:rFonts w:ascii="Book Antiqua" w:hAnsi="Book Antiqua" w:cs="Arial"/>
          <w:lang w:val="en-GB"/>
        </w:rPr>
        <w:t xml:space="preserve"> older age, anaemia, thrombocytopenia, </w:t>
      </w:r>
      <w:r w:rsidR="003E5B59" w:rsidRPr="00E17D79">
        <w:rPr>
          <w:rFonts w:ascii="Book Antiqua" w:hAnsi="Book Antiqua" w:cs="Arial"/>
          <w:lang w:val="en-GB"/>
        </w:rPr>
        <w:t xml:space="preserve">low </w:t>
      </w:r>
      <w:r w:rsidR="00234ACE" w:rsidRPr="00E17D79">
        <w:rPr>
          <w:rFonts w:ascii="Book Antiqua" w:hAnsi="Book Antiqua" w:cs="Arial"/>
          <w:lang w:val="en-GB"/>
        </w:rPr>
        <w:t>fibrinog</w:t>
      </w:r>
      <w:r w:rsidR="00CF2591" w:rsidRPr="00E17D79">
        <w:rPr>
          <w:rFonts w:ascii="Book Antiqua" w:hAnsi="Book Antiqua" w:cs="Arial"/>
          <w:lang w:val="en-GB"/>
        </w:rPr>
        <w:t>en</w:t>
      </w:r>
      <w:r w:rsidR="00234ACE" w:rsidRPr="00E17D79">
        <w:rPr>
          <w:rFonts w:ascii="Book Antiqua" w:hAnsi="Book Antiqua" w:cs="Arial"/>
          <w:lang w:val="en-GB"/>
        </w:rPr>
        <w:t>, disseminated</w:t>
      </w:r>
      <w:r w:rsidR="00451DDE" w:rsidRPr="00E17D79">
        <w:rPr>
          <w:rFonts w:ascii="Book Antiqua" w:hAnsi="Book Antiqua" w:cs="Arial"/>
          <w:lang w:val="en-GB"/>
        </w:rPr>
        <w:t xml:space="preserve"> intravascular coagulation</w:t>
      </w:r>
      <w:r w:rsidR="00345AAF" w:rsidRPr="00E17D79">
        <w:rPr>
          <w:rFonts w:ascii="Book Antiqua" w:hAnsi="Book Antiqua" w:cs="Arial"/>
          <w:lang w:val="en-GB"/>
        </w:rPr>
        <w:t xml:space="preserve"> (DIC)</w:t>
      </w:r>
      <w:r w:rsidR="00234ACE" w:rsidRPr="00E17D79">
        <w:rPr>
          <w:rFonts w:ascii="Book Antiqua" w:hAnsi="Book Antiqua" w:cs="Arial"/>
          <w:lang w:val="en-GB"/>
        </w:rPr>
        <w:t xml:space="preserve">, and delay of diagnosis </w:t>
      </w:r>
      <w:r w:rsidR="002150AC" w:rsidRPr="00E17D79">
        <w:rPr>
          <w:rFonts w:ascii="Book Antiqua" w:hAnsi="Book Antiqua" w:cs="Arial"/>
          <w:lang w:val="en-GB"/>
        </w:rPr>
        <w:t>as</w:t>
      </w:r>
      <w:r w:rsidR="00234ACE" w:rsidRPr="00E17D79">
        <w:rPr>
          <w:rFonts w:ascii="Book Antiqua" w:hAnsi="Book Antiqua" w:cs="Arial"/>
          <w:lang w:val="en-GB"/>
        </w:rPr>
        <w:t xml:space="preserve"> factors that negatively affected remission. </w:t>
      </w:r>
      <w:r w:rsidR="00451DDE" w:rsidRPr="00E17D79">
        <w:rPr>
          <w:rFonts w:ascii="Book Antiqua" w:hAnsi="Book Antiqua" w:cs="Arial"/>
          <w:lang w:val="en-GB"/>
        </w:rPr>
        <w:t>However, m</w:t>
      </w:r>
      <w:r w:rsidR="00234ACE" w:rsidRPr="00E17D79">
        <w:rPr>
          <w:rFonts w:ascii="Book Antiqua" w:hAnsi="Book Antiqua" w:cs="Arial"/>
          <w:lang w:val="en-GB"/>
        </w:rPr>
        <w:t xml:space="preserve">ultivariate analysis showed low platelets and </w:t>
      </w:r>
      <w:r w:rsidR="00345AAF" w:rsidRPr="00E17D79">
        <w:rPr>
          <w:rFonts w:ascii="Book Antiqua" w:hAnsi="Book Antiqua" w:cs="Arial"/>
          <w:lang w:val="en-GB"/>
        </w:rPr>
        <w:t>DIC</w:t>
      </w:r>
      <w:r w:rsidR="00234ACE" w:rsidRPr="00E17D79">
        <w:rPr>
          <w:rFonts w:ascii="Book Antiqua" w:hAnsi="Book Antiqua" w:cs="Arial"/>
          <w:lang w:val="en-GB"/>
        </w:rPr>
        <w:t xml:space="preserve"> as the only </w:t>
      </w:r>
      <w:r w:rsidR="00C6777C" w:rsidRPr="00E17D79">
        <w:rPr>
          <w:rFonts w:ascii="Book Antiqua" w:hAnsi="Book Antiqua" w:cs="Arial"/>
          <w:lang w:val="en-GB"/>
        </w:rPr>
        <w:t>independent</w:t>
      </w:r>
      <w:r w:rsidR="00797D5F" w:rsidRPr="00E17D79">
        <w:rPr>
          <w:rFonts w:ascii="Book Antiqua" w:hAnsi="Book Antiqua" w:cs="Arial"/>
          <w:lang w:val="en-GB"/>
        </w:rPr>
        <w:t xml:space="preserve"> predictors of </w:t>
      </w:r>
      <w:r w:rsidR="00234ACE" w:rsidRPr="00E17D79">
        <w:rPr>
          <w:rFonts w:ascii="Book Antiqua" w:hAnsi="Book Antiqua" w:cs="Arial"/>
          <w:lang w:val="en-GB"/>
        </w:rPr>
        <w:t>adverse outcome.</w:t>
      </w:r>
    </w:p>
    <w:p w14:paraId="4E11353A" w14:textId="77777777" w:rsidR="00791D9F" w:rsidRPr="00E17D79" w:rsidRDefault="00791D9F" w:rsidP="00E17D79">
      <w:pPr>
        <w:spacing w:line="360" w:lineRule="auto"/>
        <w:jc w:val="both"/>
        <w:rPr>
          <w:rFonts w:ascii="Book Antiqua" w:hAnsi="Book Antiqua" w:cs="Arial"/>
          <w:b/>
          <w:caps/>
          <w:lang w:val="en-GB"/>
        </w:rPr>
      </w:pPr>
    </w:p>
    <w:p w14:paraId="0533C565" w14:textId="1746B375" w:rsidR="00327D13" w:rsidRPr="00E17D79" w:rsidRDefault="00327D13" w:rsidP="00E17D79">
      <w:pPr>
        <w:spacing w:line="360" w:lineRule="auto"/>
        <w:jc w:val="both"/>
        <w:rPr>
          <w:rFonts w:ascii="Book Antiqua" w:hAnsi="Book Antiqua" w:cs="Arial"/>
          <w:b/>
          <w:i/>
          <w:iCs/>
          <w:caps/>
          <w:lang w:val="en-GB"/>
        </w:rPr>
      </w:pPr>
      <w:r w:rsidRPr="00E17D79">
        <w:rPr>
          <w:rFonts w:ascii="Book Antiqua" w:hAnsi="Book Antiqua" w:cs="Arial"/>
          <w:b/>
          <w:i/>
          <w:iCs/>
          <w:caps/>
          <w:lang w:val="en-GB"/>
        </w:rPr>
        <w:t>Conclusion</w:t>
      </w:r>
    </w:p>
    <w:p w14:paraId="2E286692" w14:textId="1C6647B6" w:rsidR="005C131C" w:rsidRPr="00E17D79" w:rsidRDefault="00791D9F" w:rsidP="00E17D79">
      <w:pPr>
        <w:spacing w:line="360" w:lineRule="auto"/>
        <w:jc w:val="both"/>
        <w:rPr>
          <w:rFonts w:ascii="Book Antiqua" w:hAnsi="Book Antiqua" w:cs="Arial"/>
          <w:lang w:val="en-GB"/>
        </w:rPr>
      </w:pPr>
      <w:r w:rsidRPr="00E17D79">
        <w:rPr>
          <w:rFonts w:ascii="Book Antiqua" w:hAnsi="Book Antiqua" w:cs="Arial"/>
          <w:lang w:val="en-GB"/>
        </w:rPr>
        <w:t xml:space="preserve">sHLH still carries a remarkable morbidity and mortality. </w:t>
      </w:r>
      <w:r w:rsidR="00306E0D" w:rsidRPr="00E17D79">
        <w:rPr>
          <w:rFonts w:ascii="Book Antiqua" w:hAnsi="Book Antiqua" w:cs="Arial"/>
          <w:lang w:val="en-GB"/>
        </w:rPr>
        <w:t>U</w:t>
      </w:r>
      <w:r w:rsidR="00234ACE" w:rsidRPr="00E17D79">
        <w:rPr>
          <w:rFonts w:ascii="Book Antiqua" w:hAnsi="Book Antiqua" w:cs="Arial"/>
          <w:lang w:val="en-GB"/>
        </w:rPr>
        <w:t xml:space="preserve">nderlying infections </w:t>
      </w:r>
      <w:r w:rsidR="002150AC" w:rsidRPr="00E17D79">
        <w:rPr>
          <w:rFonts w:ascii="Book Antiqua" w:hAnsi="Book Antiqua" w:cs="Arial"/>
          <w:lang w:val="en-GB"/>
        </w:rPr>
        <w:t>were</w:t>
      </w:r>
      <w:r w:rsidR="00234ACE" w:rsidRPr="00E17D79">
        <w:rPr>
          <w:rFonts w:ascii="Book Antiqua" w:hAnsi="Book Antiqua" w:cs="Arial"/>
          <w:lang w:val="en-GB"/>
        </w:rPr>
        <w:t xml:space="preserve"> the major cause and therefore, they should be thoroughly investigated in patients</w:t>
      </w:r>
      <w:r w:rsidR="00D20C4F" w:rsidRPr="00E17D79">
        <w:rPr>
          <w:rFonts w:ascii="Book Antiqua" w:hAnsi="Book Antiqua" w:cs="Arial"/>
          <w:lang w:val="en-GB"/>
        </w:rPr>
        <w:t xml:space="preserve"> with sHLH</w:t>
      </w:r>
      <w:r w:rsidR="00234ACE" w:rsidRPr="00E17D79">
        <w:rPr>
          <w:rFonts w:ascii="Book Antiqua" w:hAnsi="Book Antiqua" w:cs="Arial"/>
          <w:lang w:val="en-GB"/>
        </w:rPr>
        <w:t xml:space="preserve">. Early recognition and </w:t>
      </w:r>
      <w:r w:rsidR="00306E0D" w:rsidRPr="00E17D79">
        <w:rPr>
          <w:rFonts w:ascii="Book Antiqua" w:hAnsi="Book Antiqua" w:cs="Arial"/>
          <w:lang w:val="en-GB"/>
        </w:rPr>
        <w:t xml:space="preserve">combination </w:t>
      </w:r>
      <w:r w:rsidR="00234ACE" w:rsidRPr="00E17D79">
        <w:rPr>
          <w:rFonts w:ascii="Book Antiqua" w:hAnsi="Book Antiqua" w:cs="Arial"/>
          <w:lang w:val="en-GB"/>
        </w:rPr>
        <w:t xml:space="preserve">treatment with </w:t>
      </w:r>
      <w:r w:rsidR="00A271AA" w:rsidRPr="00E17D79">
        <w:rPr>
          <w:rFonts w:ascii="Book Antiqua" w:hAnsi="Book Antiqua" w:cs="Arial"/>
          <w:lang w:val="en-GB"/>
        </w:rPr>
        <w:t>IVIG</w:t>
      </w:r>
      <w:r w:rsidR="00234ACE" w:rsidRPr="00E17D79">
        <w:rPr>
          <w:rFonts w:ascii="Book Antiqua" w:hAnsi="Book Antiqua" w:cs="Arial"/>
          <w:lang w:val="en-GB"/>
        </w:rPr>
        <w:t xml:space="preserve"> </w:t>
      </w:r>
      <w:r w:rsidR="00306E0D" w:rsidRPr="00E17D79">
        <w:rPr>
          <w:rFonts w:ascii="Book Antiqua" w:hAnsi="Book Antiqua" w:cs="Arial"/>
          <w:lang w:val="en-GB"/>
        </w:rPr>
        <w:t>and</w:t>
      </w:r>
      <w:r w:rsidR="00234ACE" w:rsidRPr="00E17D79">
        <w:rPr>
          <w:rFonts w:ascii="Book Antiqua" w:hAnsi="Book Antiqua" w:cs="Arial"/>
          <w:lang w:val="en-GB"/>
        </w:rPr>
        <w:t xml:space="preserve"> corticosteroids </w:t>
      </w:r>
      <w:r w:rsidR="00536CBD" w:rsidRPr="00E17D79">
        <w:rPr>
          <w:rFonts w:ascii="Book Antiqua" w:hAnsi="Book Antiqua" w:cs="Arial"/>
          <w:lang w:val="en-GB"/>
        </w:rPr>
        <w:t>seem</w:t>
      </w:r>
      <w:r w:rsidR="00234ACE" w:rsidRPr="00E17D79">
        <w:rPr>
          <w:rFonts w:ascii="Book Antiqua" w:hAnsi="Book Antiqua" w:cs="Arial"/>
          <w:lang w:val="en-GB"/>
        </w:rPr>
        <w:t xml:space="preserve"> an efficient treatment option </w:t>
      </w:r>
      <w:r w:rsidR="00E95E42" w:rsidRPr="00E17D79">
        <w:rPr>
          <w:rFonts w:ascii="Book Antiqua" w:hAnsi="Book Antiqua" w:cs="Arial"/>
          <w:lang w:val="en-GB"/>
        </w:rPr>
        <w:t>with</w:t>
      </w:r>
      <w:r w:rsidR="00234ACE" w:rsidRPr="00E17D79">
        <w:rPr>
          <w:rFonts w:ascii="Book Antiqua" w:hAnsi="Book Antiqua" w:cs="Arial"/>
          <w:lang w:val="en-GB"/>
        </w:rPr>
        <w:t xml:space="preserve"> successful outcome in this life-threatening condition.</w:t>
      </w:r>
    </w:p>
    <w:p w14:paraId="5EF3AF53" w14:textId="77777777" w:rsidR="00872C1B" w:rsidRPr="00E17D79" w:rsidRDefault="00872C1B" w:rsidP="00E17D79">
      <w:pPr>
        <w:spacing w:line="360" w:lineRule="auto"/>
        <w:jc w:val="both"/>
        <w:rPr>
          <w:rFonts w:ascii="Book Antiqua" w:hAnsi="Book Antiqua" w:cs="Arial"/>
          <w:b/>
          <w:lang w:val="en-GB"/>
        </w:rPr>
      </w:pPr>
    </w:p>
    <w:p w14:paraId="4599FD83" w14:textId="0E5F42AF" w:rsidR="00872C1B" w:rsidRPr="00E17D79" w:rsidRDefault="00872C1B" w:rsidP="00E17D79">
      <w:pPr>
        <w:spacing w:line="360" w:lineRule="auto"/>
        <w:jc w:val="both"/>
        <w:rPr>
          <w:rFonts w:ascii="Book Antiqua" w:hAnsi="Book Antiqua" w:cs="Arial"/>
          <w:lang w:val="en-GB"/>
        </w:rPr>
      </w:pPr>
      <w:r w:rsidRPr="00E17D79">
        <w:rPr>
          <w:rFonts w:ascii="Book Antiqua" w:hAnsi="Book Antiqua" w:cs="Arial"/>
          <w:b/>
          <w:lang w:val="en-GB"/>
        </w:rPr>
        <w:t>Key</w:t>
      </w:r>
      <w:r w:rsidR="00F539D9" w:rsidRPr="00E17D79">
        <w:rPr>
          <w:rFonts w:ascii="Book Antiqua" w:hAnsi="Book Antiqua" w:cs="Arial"/>
          <w:b/>
          <w:lang w:val="en-GB"/>
        </w:rPr>
        <w:t xml:space="preserve"> </w:t>
      </w:r>
      <w:r w:rsidRPr="00E17D79">
        <w:rPr>
          <w:rFonts w:ascii="Book Antiqua" w:hAnsi="Book Antiqua" w:cs="Arial"/>
          <w:b/>
          <w:lang w:val="en-GB"/>
        </w:rPr>
        <w:t xml:space="preserve">words: </w:t>
      </w:r>
      <w:r w:rsidRPr="00E17D79">
        <w:rPr>
          <w:rFonts w:ascii="Book Antiqua" w:hAnsi="Book Antiqua" w:cs="Arial"/>
          <w:lang w:val="en-GB"/>
        </w:rPr>
        <w:t>Haemophagocytic syndrome</w:t>
      </w:r>
      <w:r w:rsidR="009E5DD8" w:rsidRPr="00E17D79">
        <w:rPr>
          <w:rFonts w:ascii="Book Antiqua" w:hAnsi="Book Antiqua" w:cs="Arial"/>
          <w:lang w:val="en-GB"/>
        </w:rPr>
        <w:t xml:space="preserve">; </w:t>
      </w:r>
      <w:r w:rsidR="00791D9F" w:rsidRPr="00E17D79">
        <w:rPr>
          <w:rFonts w:ascii="Book Antiqua" w:hAnsi="Book Antiqua" w:cs="Arial"/>
          <w:lang w:val="en-GB"/>
        </w:rPr>
        <w:t>Haemophagocytic</w:t>
      </w:r>
      <w:r w:rsidR="001F2C51" w:rsidRPr="00E17D79">
        <w:rPr>
          <w:rFonts w:ascii="Book Antiqua" w:hAnsi="Book Antiqua" w:cs="Arial"/>
          <w:lang w:val="en-GB"/>
        </w:rPr>
        <w:t xml:space="preserve"> </w:t>
      </w:r>
      <w:r w:rsidR="00511A48" w:rsidRPr="00E17D79">
        <w:rPr>
          <w:rFonts w:ascii="Book Antiqua" w:hAnsi="Book Antiqua" w:cs="Arial"/>
          <w:lang w:val="en-GB"/>
        </w:rPr>
        <w:t>lymphohistiocytosis</w:t>
      </w:r>
      <w:r w:rsidR="009E5DD8" w:rsidRPr="00E17D79">
        <w:rPr>
          <w:rFonts w:ascii="Book Antiqua" w:hAnsi="Book Antiqua" w:cs="Arial"/>
          <w:lang w:val="en-GB"/>
        </w:rPr>
        <w:t>;</w:t>
      </w:r>
      <w:r w:rsidR="001F2C51" w:rsidRPr="00E17D79">
        <w:rPr>
          <w:rFonts w:ascii="Book Antiqua" w:hAnsi="Book Antiqua" w:cs="Arial"/>
          <w:lang w:val="en-GB"/>
        </w:rPr>
        <w:t xml:space="preserve"> </w:t>
      </w:r>
      <w:r w:rsidR="007663AA" w:rsidRPr="00E17D79">
        <w:rPr>
          <w:rFonts w:ascii="Book Antiqua" w:hAnsi="Book Antiqua" w:cs="Arial"/>
          <w:lang w:val="en-GB"/>
        </w:rPr>
        <w:t>γ-</w:t>
      </w:r>
      <w:r w:rsidR="00BC1750" w:rsidRPr="00E17D79">
        <w:rPr>
          <w:rFonts w:ascii="Book Antiqua" w:hAnsi="Book Antiqua" w:cs="Arial"/>
          <w:lang w:val="en-GB"/>
        </w:rPr>
        <w:t>immuno</w:t>
      </w:r>
      <w:r w:rsidR="009E5DD8" w:rsidRPr="00E17D79">
        <w:rPr>
          <w:rFonts w:ascii="Book Antiqua" w:hAnsi="Book Antiqua" w:cs="Arial"/>
          <w:lang w:val="en-GB"/>
        </w:rPr>
        <w:t>globulin;</w:t>
      </w:r>
      <w:r w:rsidR="001F2C51" w:rsidRPr="00E17D79">
        <w:rPr>
          <w:rFonts w:ascii="Book Antiqua" w:hAnsi="Book Antiqua" w:cs="Arial"/>
          <w:lang w:val="en-GB"/>
        </w:rPr>
        <w:t xml:space="preserve"> </w:t>
      </w:r>
      <w:r w:rsidR="00791D9F" w:rsidRPr="00E17D79">
        <w:rPr>
          <w:rFonts w:ascii="Book Antiqua" w:hAnsi="Book Antiqua" w:cs="Arial"/>
          <w:lang w:val="en-GB"/>
        </w:rPr>
        <w:t>Leishmaniasis</w:t>
      </w:r>
      <w:r w:rsidR="009E5DD8" w:rsidRPr="00E17D79">
        <w:rPr>
          <w:rFonts w:ascii="Book Antiqua" w:hAnsi="Book Antiqua" w:cs="Arial"/>
          <w:lang w:val="en-GB"/>
        </w:rPr>
        <w:t>;</w:t>
      </w:r>
      <w:r w:rsidR="001F2C51" w:rsidRPr="00E17D79">
        <w:rPr>
          <w:rFonts w:ascii="Book Antiqua" w:hAnsi="Book Antiqua" w:cs="Arial"/>
          <w:lang w:val="en-GB"/>
        </w:rPr>
        <w:t xml:space="preserve"> </w:t>
      </w:r>
      <w:r w:rsidR="00791D9F" w:rsidRPr="00E17D79">
        <w:rPr>
          <w:rFonts w:ascii="Book Antiqua" w:hAnsi="Book Antiqua" w:cs="Arial"/>
          <w:lang w:val="en-GB"/>
        </w:rPr>
        <w:t>Ferritin</w:t>
      </w:r>
    </w:p>
    <w:p w14:paraId="3F9F55D1" w14:textId="77777777" w:rsidR="00791D9F" w:rsidRPr="00E17D79" w:rsidRDefault="00791D9F" w:rsidP="00E17D79">
      <w:pPr>
        <w:spacing w:line="360" w:lineRule="auto"/>
        <w:jc w:val="both"/>
        <w:rPr>
          <w:rFonts w:ascii="Book Antiqua" w:hAnsi="Book Antiqua" w:cs="Arial"/>
          <w:lang w:val="en-GB"/>
        </w:rPr>
      </w:pPr>
    </w:p>
    <w:p w14:paraId="1B654850" w14:textId="77777777" w:rsidR="00E17D79" w:rsidRPr="00E17D79" w:rsidRDefault="00E17D79" w:rsidP="00E17D79">
      <w:pPr>
        <w:snapToGrid w:val="0"/>
        <w:spacing w:line="360" w:lineRule="auto"/>
        <w:jc w:val="both"/>
        <w:rPr>
          <w:rFonts w:ascii="Book Antiqua" w:eastAsia="等线" w:hAnsi="Book Antiqua"/>
        </w:rPr>
      </w:pPr>
      <w:bookmarkStart w:id="12" w:name="OLE_LINK2482"/>
      <w:bookmarkStart w:id="13" w:name="OLE_LINK2761"/>
      <w:bookmarkStart w:id="14" w:name="OLE_LINK2663"/>
      <w:bookmarkStart w:id="15" w:name="OLE_LINK2627"/>
      <w:bookmarkStart w:id="16" w:name="OLE_LINK2451"/>
      <w:bookmarkStart w:id="17" w:name="OLE_LINK2252"/>
      <w:bookmarkStart w:id="18" w:name="OLE_LINK2292"/>
      <w:bookmarkStart w:id="19" w:name="OLE_LINK2348"/>
      <w:bookmarkStart w:id="20" w:name="OLE_LINK2157"/>
      <w:bookmarkStart w:id="21" w:name="OLE_LINK2467"/>
      <w:bookmarkStart w:id="22" w:name="OLE_LINK2484"/>
      <w:bookmarkStart w:id="23" w:name="OLE_LINK2190"/>
      <w:bookmarkStart w:id="24" w:name="OLE_LINK2221"/>
      <w:bookmarkStart w:id="25" w:name="OLE_LINK2331"/>
      <w:bookmarkStart w:id="26" w:name="OLE_LINK2169"/>
      <w:bookmarkStart w:id="27" w:name="OLE_LINK1894"/>
      <w:bookmarkStart w:id="28" w:name="OLE_LINK1901"/>
      <w:bookmarkStart w:id="29" w:name="OLE_LINK1817"/>
      <w:bookmarkStart w:id="30" w:name="OLE_LINK1902"/>
      <w:bookmarkStart w:id="31" w:name="OLE_LINK1866"/>
      <w:bookmarkStart w:id="32" w:name="OLE_LINK1995"/>
      <w:bookmarkStart w:id="33" w:name="OLE_LINK1929"/>
      <w:bookmarkStart w:id="34" w:name="OLE_LINK1923"/>
      <w:bookmarkStart w:id="35" w:name="OLE_LINK2013"/>
      <w:bookmarkStart w:id="36" w:name="OLE_LINK1835"/>
      <w:bookmarkStart w:id="37" w:name="OLE_LINK1756"/>
      <w:bookmarkStart w:id="38" w:name="OLE_LINK1868"/>
      <w:bookmarkStart w:id="39" w:name="OLE_LINK2265"/>
      <w:bookmarkStart w:id="40" w:name="OLE_LINK2445"/>
      <w:bookmarkStart w:id="41" w:name="OLE_LINK1777"/>
      <w:bookmarkStart w:id="42" w:name="OLE_LINK2562"/>
      <w:bookmarkStart w:id="43" w:name="OLE_LINK1776"/>
      <w:bookmarkStart w:id="44" w:name="OLE_LINK1931"/>
      <w:bookmarkStart w:id="45" w:name="OLE_LINK2020"/>
      <w:bookmarkStart w:id="46" w:name="OLE_LINK2134"/>
      <w:bookmarkStart w:id="47" w:name="OLE_LINK2192"/>
      <w:bookmarkStart w:id="48" w:name="OLE_LINK1964"/>
      <w:bookmarkStart w:id="49" w:name="OLE_LINK2071"/>
      <w:bookmarkStart w:id="50" w:name="OLE_LINK1938"/>
      <w:bookmarkStart w:id="51" w:name="OLE_LINK1882"/>
      <w:bookmarkStart w:id="52" w:name="OLE_LINK2345"/>
      <w:bookmarkStart w:id="53" w:name="OLE_LINK1941"/>
      <w:bookmarkStart w:id="54" w:name="OLE_LINK2082"/>
      <w:bookmarkStart w:id="55" w:name="OLE_LINK1744"/>
      <w:bookmarkStart w:id="56" w:name="OLE_LINK2081"/>
      <w:bookmarkStart w:id="57" w:name="OLE_LINK2446"/>
      <w:bookmarkStart w:id="58" w:name="OLE_LINK2110"/>
      <w:bookmarkStart w:id="59" w:name="OLE_LINK2582"/>
      <w:bookmarkStart w:id="60" w:name="OLE_LINK2962"/>
      <w:bookmarkStart w:id="61" w:name="OLE_LINK2762"/>
      <w:bookmarkStart w:id="62" w:name="OLE_LINK2643"/>
      <w:bookmarkStart w:id="63" w:name="OLE_LINK2993"/>
      <w:bookmarkStart w:id="64" w:name="OLE_LINK2856"/>
      <w:bookmarkStart w:id="65" w:name="OLE_LINK2583"/>
      <w:bookmarkStart w:id="66" w:name="OLE_LINK464"/>
      <w:bookmarkStart w:id="67" w:name="OLE_LINK1538"/>
      <w:bookmarkStart w:id="68" w:name="OLE_LINK466"/>
      <w:bookmarkStart w:id="69" w:name="OLE_LINK311"/>
      <w:bookmarkStart w:id="70" w:name="OLE_LINK325"/>
      <w:bookmarkStart w:id="71" w:name="OLE_LINK714"/>
      <w:bookmarkStart w:id="72" w:name="OLE_LINK983"/>
      <w:bookmarkStart w:id="73" w:name="OLE_LINK465"/>
      <w:bookmarkStart w:id="74" w:name="OLE_LINK982"/>
      <w:bookmarkStart w:id="75" w:name="OLE_LINK259"/>
      <w:bookmarkStart w:id="76" w:name="OLE_LINK330"/>
      <w:bookmarkStart w:id="77" w:name="OLE_LINK744"/>
      <w:bookmarkStart w:id="78" w:name="OLE_LINK1186"/>
      <w:bookmarkStart w:id="79" w:name="OLE_LINK1884"/>
      <w:bookmarkStart w:id="80" w:name="OLE_LINK1480"/>
      <w:bookmarkStart w:id="81" w:name="OLE_LINK1437"/>
      <w:bookmarkStart w:id="82" w:name="OLE_LINK652"/>
      <w:bookmarkStart w:id="83" w:name="OLE_LINK546"/>
      <w:bookmarkStart w:id="84" w:name="OLE_LINK575"/>
      <w:bookmarkStart w:id="85" w:name="OLE_LINK1539"/>
      <w:bookmarkStart w:id="86" w:name="OLE_LINK312"/>
      <w:bookmarkStart w:id="87" w:name="OLE_LINK640"/>
      <w:bookmarkStart w:id="88" w:name="OLE_LINK1885"/>
      <w:bookmarkStart w:id="89" w:name="OLE_LINK1361"/>
      <w:bookmarkStart w:id="90" w:name="OLE_LINK1549"/>
      <w:bookmarkStart w:id="91" w:name="OLE_LINK1313"/>
      <w:bookmarkStart w:id="92" w:name="OLE_LINK862"/>
      <w:bookmarkStart w:id="93" w:name="OLE_LINK1373"/>
      <w:bookmarkStart w:id="94" w:name="OLE_LINK216"/>
      <w:bookmarkStart w:id="95" w:name="OLE_LINK1284"/>
      <w:bookmarkStart w:id="96" w:name="OLE_LINK1403"/>
      <w:bookmarkStart w:id="97" w:name="OLE_LINK1478"/>
      <w:bookmarkStart w:id="98" w:name="OLE_LINK1543"/>
      <w:bookmarkStart w:id="99" w:name="OLE_LINK879"/>
      <w:bookmarkStart w:id="100" w:name="OLE_LINK474"/>
      <w:bookmarkStart w:id="101" w:name="OLE_LINK1644"/>
      <w:bookmarkStart w:id="102" w:name="OLE_LINK471"/>
      <w:bookmarkStart w:id="103" w:name="OLE_LINK758"/>
      <w:bookmarkStart w:id="104" w:name="OLE_LINK1247"/>
      <w:bookmarkStart w:id="105" w:name="OLE_LINK906"/>
      <w:bookmarkStart w:id="106" w:name="OLE_LINK672"/>
      <w:bookmarkStart w:id="107" w:name="OLE_LINK1163"/>
      <w:bookmarkStart w:id="108" w:name="OLE_LINK513"/>
      <w:bookmarkStart w:id="109" w:name="OLE_LINK196"/>
      <w:bookmarkStart w:id="110" w:name="OLE_LINK135"/>
      <w:bookmarkStart w:id="111" w:name="OLE_LINK504"/>
      <w:bookmarkStart w:id="112" w:name="OLE_LINK787"/>
      <w:bookmarkStart w:id="113" w:name="OLE_LINK651"/>
      <w:bookmarkStart w:id="114" w:name="OLE_LINK242"/>
      <w:bookmarkStart w:id="115" w:name="OLE_LINK1454"/>
      <w:bookmarkStart w:id="116" w:name="OLE_LINK1193"/>
      <w:bookmarkStart w:id="117" w:name="OLE_LINK861"/>
      <w:bookmarkStart w:id="118" w:name="OLE_LINK800"/>
      <w:bookmarkStart w:id="119" w:name="OLE_LINK247"/>
      <w:bookmarkStart w:id="120" w:name="OLE_LINK98"/>
      <w:bookmarkStart w:id="121" w:name="OLE_LINK928"/>
      <w:bookmarkStart w:id="122" w:name="OLE_LINK472"/>
      <w:bookmarkStart w:id="123" w:name="OLE_LINK1061"/>
      <w:bookmarkStart w:id="124" w:name="OLE_LINK1778"/>
      <w:bookmarkStart w:id="125" w:name="OLE_LINK1219"/>
      <w:bookmarkStart w:id="126" w:name="OLE_LINK1029"/>
      <w:bookmarkStart w:id="127" w:name="OLE_LINK1086"/>
      <w:bookmarkStart w:id="128" w:name="OLE_LINK1384"/>
      <w:bookmarkStart w:id="129" w:name="OLE_LINK1516"/>
      <w:bookmarkStart w:id="130" w:name="OLE_LINK960"/>
      <w:bookmarkStart w:id="131" w:name="OLE_LINK1504"/>
      <w:bookmarkStart w:id="132" w:name="OLE_LINK156"/>
      <w:bookmarkStart w:id="133" w:name="OLE_LINK1334"/>
      <w:bookmarkStart w:id="134" w:name="OLE_LINK1348"/>
      <w:bookmarkStart w:id="135" w:name="OLE_LINK1100"/>
      <w:bookmarkStart w:id="136" w:name="OLE_LINK1125"/>
      <w:bookmarkStart w:id="137" w:name="OLE_LINK1265"/>
      <w:bookmarkStart w:id="138" w:name="OLE_LINK1060"/>
      <w:bookmarkStart w:id="139" w:name="_Hlk17358608"/>
      <w:bookmarkStart w:id="140" w:name="_Hlk20302056"/>
      <w:r w:rsidRPr="00E17D79">
        <w:rPr>
          <w:rFonts w:ascii="Book Antiqua" w:hAnsi="Book Antiqua"/>
          <w:b/>
        </w:rPr>
        <w:t xml:space="preserve">© </w:t>
      </w:r>
      <w:r w:rsidRPr="00E17D79">
        <w:rPr>
          <w:rFonts w:ascii="Book Antiqua" w:eastAsia="AdvTimes" w:hAnsi="Book Antiqua" w:cs="AdvTimes"/>
          <w:b/>
        </w:rPr>
        <w:t>The Author(s) 201</w:t>
      </w:r>
      <w:r w:rsidRPr="00E17D79">
        <w:rPr>
          <w:rFonts w:ascii="Book Antiqua" w:hAnsi="Book Antiqua" w:cs="AdvTimes"/>
          <w:b/>
        </w:rPr>
        <w:t>9</w:t>
      </w:r>
      <w:r w:rsidRPr="00E17D79">
        <w:rPr>
          <w:rFonts w:ascii="Book Antiqua" w:eastAsia="AdvTimes" w:hAnsi="Book Antiqua" w:cs="AdvTimes"/>
          <w:b/>
        </w:rPr>
        <w:t>.</w:t>
      </w:r>
      <w:r w:rsidRPr="00E17D79">
        <w:rPr>
          <w:rFonts w:ascii="Book Antiqua" w:eastAsia="AdvTimes" w:hAnsi="Book Antiqua" w:cs="AdvTimes"/>
        </w:rPr>
        <w:t xml:space="preserve"> Published by </w:t>
      </w:r>
      <w:r w:rsidRPr="00E17D79">
        <w:rPr>
          <w:rFonts w:ascii="Book Antiqua" w:hAnsi="Book Antiqua" w:cs="Arial Unicode MS"/>
        </w:rPr>
        <w:t>Baishideng Publishing Group Inc.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793ED4C" w14:textId="77777777" w:rsidR="00E17D79" w:rsidRPr="00E17D79" w:rsidRDefault="00E17D79" w:rsidP="00E17D79">
      <w:pPr>
        <w:snapToGrid w:val="0"/>
        <w:spacing w:line="360" w:lineRule="auto"/>
        <w:jc w:val="both"/>
        <w:rPr>
          <w:rFonts w:ascii="Book Antiqua" w:eastAsia="PMingLiU" w:hAnsi="Book Antiqua" w:cs="Calibri"/>
          <w:b/>
          <w:lang w:eastAsia="en-US"/>
        </w:rPr>
      </w:pPr>
    </w:p>
    <w:p w14:paraId="5EAC1ADA" w14:textId="210333FC" w:rsidR="00A062E5" w:rsidRPr="00E17D79" w:rsidRDefault="00E17D79" w:rsidP="00E17D79">
      <w:pPr>
        <w:spacing w:line="360" w:lineRule="auto"/>
        <w:jc w:val="both"/>
        <w:rPr>
          <w:rFonts w:ascii="Book Antiqua" w:hAnsi="Book Antiqua" w:cs="Arial"/>
          <w:lang w:val="en-GB"/>
        </w:rPr>
      </w:pPr>
      <w:r w:rsidRPr="00E17D79">
        <w:rPr>
          <w:rFonts w:ascii="Book Antiqua" w:hAnsi="Book Antiqua" w:cs="Calibri"/>
          <w:b/>
        </w:rPr>
        <w:t>Core tip:</w:t>
      </w:r>
      <w:bookmarkEnd w:id="139"/>
      <w:r w:rsidRPr="00E17D79">
        <w:rPr>
          <w:rFonts w:ascii="Book Antiqua" w:hAnsi="Book Antiqua"/>
        </w:rPr>
        <w:t xml:space="preserve"> </w:t>
      </w:r>
      <w:bookmarkStart w:id="141" w:name="OLE_LINK29"/>
      <w:bookmarkEnd w:id="140"/>
      <w:r w:rsidR="00145C72" w:rsidRPr="00E17D79">
        <w:rPr>
          <w:rFonts w:ascii="Book Antiqua" w:hAnsi="Book Antiqua" w:cs="Arial"/>
          <w:lang w:val="en-GB"/>
        </w:rPr>
        <w:t xml:space="preserve">This retrospective study analysed all </w:t>
      </w:r>
      <w:r w:rsidR="001F2C51" w:rsidRPr="00E17D79">
        <w:rPr>
          <w:rFonts w:ascii="Book Antiqua" w:hAnsi="Book Antiqua" w:cs="Arial"/>
          <w:lang w:val="en-GB"/>
        </w:rPr>
        <w:t xml:space="preserve">adult </w:t>
      </w:r>
      <w:r w:rsidR="00145C72" w:rsidRPr="00E17D79">
        <w:rPr>
          <w:rFonts w:ascii="Book Antiqua" w:hAnsi="Book Antiqua" w:cs="Arial"/>
          <w:lang w:val="en-GB"/>
        </w:rPr>
        <w:t xml:space="preserve">patients </w:t>
      </w:r>
      <w:r w:rsidR="00B237F9" w:rsidRPr="00E17D79">
        <w:rPr>
          <w:rFonts w:ascii="Book Antiqua" w:hAnsi="Book Antiqua" w:cs="Arial"/>
          <w:lang w:val="en-GB"/>
        </w:rPr>
        <w:t>(</w:t>
      </w:r>
      <w:r w:rsidR="00B237F9" w:rsidRPr="00E17D79">
        <w:rPr>
          <w:rFonts w:ascii="Book Antiqua" w:hAnsi="Book Antiqua" w:cs="Arial"/>
          <w:i/>
          <w:iCs/>
          <w:lang w:val="en-GB"/>
        </w:rPr>
        <w:t>n</w:t>
      </w:r>
      <w:r w:rsidR="00F539D9" w:rsidRPr="00E17D79">
        <w:rPr>
          <w:rFonts w:ascii="Book Antiqua" w:hAnsi="Book Antiqua" w:cs="Arial"/>
          <w:lang w:val="en-GB"/>
        </w:rPr>
        <w:t xml:space="preserve"> </w:t>
      </w:r>
      <w:r w:rsidR="00B237F9" w:rsidRPr="00E17D79">
        <w:rPr>
          <w:rFonts w:ascii="Book Antiqua" w:hAnsi="Book Antiqua" w:cs="Arial"/>
          <w:lang w:val="en-GB"/>
        </w:rPr>
        <w:t>=</w:t>
      </w:r>
      <w:r w:rsidR="00F539D9" w:rsidRPr="00E17D79">
        <w:rPr>
          <w:rFonts w:ascii="Book Antiqua" w:hAnsi="Book Antiqua" w:cs="Arial"/>
          <w:lang w:val="en-GB"/>
        </w:rPr>
        <w:t xml:space="preserve"> </w:t>
      </w:r>
      <w:r w:rsidR="00B237F9" w:rsidRPr="00E17D79">
        <w:rPr>
          <w:rFonts w:ascii="Book Antiqua" w:hAnsi="Book Antiqua" w:cs="Arial"/>
          <w:lang w:val="en-GB"/>
        </w:rPr>
        <w:t xml:space="preserve">80) </w:t>
      </w:r>
      <w:r w:rsidR="00145C72" w:rsidRPr="00E17D79">
        <w:rPr>
          <w:rFonts w:ascii="Book Antiqua" w:hAnsi="Book Antiqua" w:cs="Arial"/>
          <w:lang w:val="en-GB"/>
        </w:rPr>
        <w:t xml:space="preserve">with </w:t>
      </w:r>
      <w:r w:rsidR="00F539D9" w:rsidRPr="00E17D79">
        <w:rPr>
          <w:rFonts w:ascii="Book Antiqua" w:hAnsi="Book Antiqua" w:cs="Arial"/>
          <w:lang w:val="en-GB"/>
        </w:rPr>
        <w:t>Secondary haemophagocytic lymphohistiocytosis (</w:t>
      </w:r>
      <w:r w:rsidR="00145C72" w:rsidRPr="00E17D79">
        <w:rPr>
          <w:rFonts w:ascii="Book Antiqua" w:hAnsi="Book Antiqua" w:cs="Arial"/>
          <w:lang w:val="en-GB"/>
        </w:rPr>
        <w:t>sHLH</w:t>
      </w:r>
      <w:r w:rsidR="00F539D9" w:rsidRPr="00E17D79">
        <w:rPr>
          <w:rFonts w:ascii="Book Antiqua" w:hAnsi="Book Antiqua" w:cs="Arial"/>
          <w:lang w:val="en-GB"/>
        </w:rPr>
        <w:t>)</w:t>
      </w:r>
      <w:r w:rsidR="00145C72" w:rsidRPr="00E17D79">
        <w:rPr>
          <w:rFonts w:ascii="Book Antiqua" w:hAnsi="Book Antiqua" w:cs="Arial"/>
          <w:lang w:val="en-GB"/>
        </w:rPr>
        <w:t xml:space="preserve"> </w:t>
      </w:r>
      <w:r w:rsidR="00B237F9" w:rsidRPr="00E17D79">
        <w:rPr>
          <w:rFonts w:ascii="Book Antiqua" w:hAnsi="Book Antiqua" w:cs="Arial"/>
          <w:lang w:val="en-GB"/>
        </w:rPr>
        <w:t xml:space="preserve">diagnosed </w:t>
      </w:r>
      <w:r w:rsidR="00145C72" w:rsidRPr="00E17D79">
        <w:rPr>
          <w:rFonts w:ascii="Book Antiqua" w:hAnsi="Book Antiqua" w:cs="Arial"/>
          <w:lang w:val="en-GB"/>
        </w:rPr>
        <w:t>in our tertiary care hospital</w:t>
      </w:r>
      <w:r w:rsidR="000E4A65" w:rsidRPr="00E17D79">
        <w:rPr>
          <w:rFonts w:ascii="Book Antiqua" w:hAnsi="Book Antiqua" w:cs="Arial"/>
          <w:lang w:val="en-GB"/>
        </w:rPr>
        <w:t xml:space="preserve"> during 2010-2018</w:t>
      </w:r>
      <w:r w:rsidR="00B237F9" w:rsidRPr="00E17D79">
        <w:rPr>
          <w:rFonts w:ascii="Book Antiqua" w:hAnsi="Book Antiqua" w:cs="Arial"/>
          <w:lang w:val="en-GB"/>
        </w:rPr>
        <w:t xml:space="preserve"> paying </w:t>
      </w:r>
      <w:r w:rsidR="000E4A65" w:rsidRPr="00E17D79">
        <w:rPr>
          <w:rFonts w:ascii="Book Antiqua" w:hAnsi="Book Antiqua" w:cs="Arial"/>
          <w:lang w:val="en-GB"/>
        </w:rPr>
        <w:t>consider</w:t>
      </w:r>
      <w:r w:rsidR="002E5F10" w:rsidRPr="00E17D79">
        <w:rPr>
          <w:rFonts w:ascii="Book Antiqua" w:hAnsi="Book Antiqua" w:cs="Arial"/>
          <w:lang w:val="en-GB"/>
        </w:rPr>
        <w:t>able attention on the treatment</w:t>
      </w:r>
      <w:r w:rsidR="001F2C51" w:rsidRPr="00E17D79">
        <w:rPr>
          <w:rFonts w:ascii="Book Antiqua" w:hAnsi="Book Antiqua" w:cs="Arial"/>
          <w:lang w:val="en-GB"/>
        </w:rPr>
        <w:t xml:space="preserve"> </w:t>
      </w:r>
      <w:r w:rsidR="006C390E" w:rsidRPr="00E17D79">
        <w:rPr>
          <w:rFonts w:ascii="Book Antiqua" w:hAnsi="Book Antiqua" w:cs="Arial"/>
          <w:lang w:val="en-GB"/>
        </w:rPr>
        <w:t xml:space="preserve">schedule </w:t>
      </w:r>
      <w:r w:rsidR="000E4A65" w:rsidRPr="00E17D79">
        <w:rPr>
          <w:rFonts w:ascii="Book Antiqua" w:hAnsi="Book Antiqua" w:cs="Arial"/>
          <w:lang w:val="en-GB"/>
        </w:rPr>
        <w:t xml:space="preserve">and </w:t>
      </w:r>
      <w:r w:rsidR="001F2C51" w:rsidRPr="00E17D79">
        <w:rPr>
          <w:rFonts w:ascii="Book Antiqua" w:hAnsi="Book Antiqua" w:cs="Arial"/>
          <w:lang w:val="en-GB"/>
        </w:rPr>
        <w:t xml:space="preserve">the </w:t>
      </w:r>
      <w:r w:rsidR="000E4A65" w:rsidRPr="00E17D79">
        <w:rPr>
          <w:rFonts w:ascii="Book Antiqua" w:hAnsi="Book Antiqua" w:cs="Arial"/>
          <w:lang w:val="en-GB"/>
        </w:rPr>
        <w:t>outcome</w:t>
      </w:r>
      <w:r w:rsidR="001F2C51" w:rsidRPr="00E17D79">
        <w:rPr>
          <w:rFonts w:ascii="Book Antiqua" w:hAnsi="Book Antiqua" w:cs="Arial"/>
          <w:lang w:val="en-GB"/>
        </w:rPr>
        <w:t xml:space="preserve"> of patients</w:t>
      </w:r>
      <w:r w:rsidR="00145C72" w:rsidRPr="00E17D79">
        <w:rPr>
          <w:rFonts w:ascii="Book Antiqua" w:hAnsi="Book Antiqua" w:cs="Arial"/>
          <w:lang w:val="en-GB"/>
        </w:rPr>
        <w:t xml:space="preserve">. </w:t>
      </w:r>
      <w:r w:rsidR="00B237F9" w:rsidRPr="00E17D79">
        <w:rPr>
          <w:rFonts w:ascii="Book Antiqua" w:hAnsi="Book Antiqua" w:cs="Arial"/>
          <w:lang w:val="en-GB"/>
        </w:rPr>
        <w:t xml:space="preserve">In our large cohort, </w:t>
      </w:r>
      <w:r w:rsidR="00A062E5" w:rsidRPr="00E17D79">
        <w:rPr>
          <w:rFonts w:ascii="Book Antiqua" w:hAnsi="Book Antiqua" w:cs="Arial"/>
          <w:lang w:val="en-GB"/>
        </w:rPr>
        <w:t xml:space="preserve">infections were the major cause of sHLH </w:t>
      </w:r>
      <w:r w:rsidR="00B237F9" w:rsidRPr="00E17D79">
        <w:rPr>
          <w:rFonts w:ascii="Book Antiqua" w:hAnsi="Book Antiqua" w:cs="Arial"/>
          <w:lang w:val="en-GB"/>
        </w:rPr>
        <w:t xml:space="preserve">(74% of patients) </w:t>
      </w:r>
      <w:r w:rsidR="00A062E5" w:rsidRPr="00E17D79">
        <w:rPr>
          <w:rFonts w:ascii="Book Antiqua" w:hAnsi="Book Antiqua" w:cs="Arial"/>
          <w:lang w:val="en-GB"/>
        </w:rPr>
        <w:t xml:space="preserve">and therefore, they should be thoroughly investigated in </w:t>
      </w:r>
      <w:r w:rsidR="001F2C51" w:rsidRPr="00E17D79">
        <w:rPr>
          <w:rFonts w:ascii="Book Antiqua" w:hAnsi="Book Antiqua" w:cs="Arial"/>
          <w:lang w:val="en-GB"/>
        </w:rPr>
        <w:t>such</w:t>
      </w:r>
      <w:r w:rsidR="000E4A65" w:rsidRPr="00E17D79">
        <w:rPr>
          <w:rFonts w:ascii="Book Antiqua" w:hAnsi="Book Antiqua" w:cs="Arial"/>
          <w:lang w:val="en-GB"/>
        </w:rPr>
        <w:t xml:space="preserve"> </w:t>
      </w:r>
      <w:r w:rsidR="00A062E5" w:rsidRPr="00E17D79">
        <w:rPr>
          <w:rFonts w:ascii="Book Antiqua" w:hAnsi="Book Antiqua" w:cs="Arial"/>
          <w:lang w:val="en-GB"/>
        </w:rPr>
        <w:t xml:space="preserve">patients. </w:t>
      </w:r>
      <w:r w:rsidR="000E4A65" w:rsidRPr="00E17D79">
        <w:rPr>
          <w:rFonts w:ascii="Book Antiqua" w:hAnsi="Book Antiqua" w:cs="Arial"/>
          <w:lang w:val="en-GB"/>
        </w:rPr>
        <w:t xml:space="preserve">sHLH still carries a remarkable </w:t>
      </w:r>
      <w:r w:rsidR="000E4A65" w:rsidRPr="00E17D79">
        <w:rPr>
          <w:rFonts w:ascii="Book Antiqua" w:hAnsi="Book Antiqua" w:cs="Arial"/>
          <w:lang w:val="en-GB"/>
        </w:rPr>
        <w:lastRenderedPageBreak/>
        <w:t>morbidity and mortality</w:t>
      </w:r>
      <w:r w:rsidR="00B237F9" w:rsidRPr="00E17D79">
        <w:rPr>
          <w:rFonts w:ascii="Book Antiqua" w:hAnsi="Book Antiqua" w:cs="Arial"/>
          <w:lang w:val="en-GB"/>
        </w:rPr>
        <w:t xml:space="preserve"> as 15% of patients died within the first month</w:t>
      </w:r>
      <w:r w:rsidR="000E4A65" w:rsidRPr="00E17D79">
        <w:rPr>
          <w:rFonts w:ascii="Book Antiqua" w:hAnsi="Book Antiqua" w:cs="Arial"/>
          <w:lang w:val="en-GB"/>
        </w:rPr>
        <w:t xml:space="preserve">. </w:t>
      </w:r>
      <w:r w:rsidR="00A062E5" w:rsidRPr="00E17D79">
        <w:rPr>
          <w:rFonts w:ascii="Book Antiqua" w:hAnsi="Book Antiqua" w:cs="Arial"/>
          <w:lang w:val="en-GB"/>
        </w:rPr>
        <w:t>Early recognition and treatment with intravenous γ-</w:t>
      </w:r>
      <w:r w:rsidR="00E95E42" w:rsidRPr="00E17D79">
        <w:rPr>
          <w:rFonts w:ascii="Book Antiqua" w:hAnsi="Book Antiqua" w:cs="Arial"/>
          <w:lang w:val="en-GB"/>
        </w:rPr>
        <w:t>immuno</w:t>
      </w:r>
      <w:r w:rsidR="00A062E5" w:rsidRPr="00E17D79">
        <w:rPr>
          <w:rFonts w:ascii="Book Antiqua" w:hAnsi="Book Antiqua" w:cs="Arial"/>
          <w:lang w:val="en-GB"/>
        </w:rPr>
        <w:t xml:space="preserve">globulin in association with </w:t>
      </w:r>
      <w:r w:rsidR="00B237F9" w:rsidRPr="00E17D79">
        <w:rPr>
          <w:rFonts w:ascii="Book Antiqua" w:hAnsi="Book Antiqua" w:cs="Arial"/>
          <w:lang w:val="en-GB"/>
        </w:rPr>
        <w:t xml:space="preserve">intravenous </w:t>
      </w:r>
      <w:r w:rsidR="00A062E5" w:rsidRPr="00E17D79">
        <w:rPr>
          <w:rFonts w:ascii="Book Antiqua" w:hAnsi="Book Antiqua" w:cs="Arial"/>
          <w:lang w:val="en-GB"/>
        </w:rPr>
        <w:t>corticosteroids seem an efficient treatment option for successful outcome in this life-threatening condition</w:t>
      </w:r>
      <w:r w:rsidR="00B237F9" w:rsidRPr="00E17D79">
        <w:rPr>
          <w:rFonts w:ascii="Book Antiqua" w:hAnsi="Book Antiqua" w:cs="Arial"/>
          <w:lang w:val="en-GB"/>
        </w:rPr>
        <w:t xml:space="preserve"> (resolution in 76%</w:t>
      </w:r>
      <w:r w:rsidR="00E95E42" w:rsidRPr="00E17D79">
        <w:rPr>
          <w:rFonts w:ascii="Book Antiqua" w:hAnsi="Book Antiqua" w:cs="Arial"/>
          <w:lang w:val="en-GB"/>
        </w:rPr>
        <w:t xml:space="preserve">; </w:t>
      </w:r>
      <w:r w:rsidR="00306E0D" w:rsidRPr="00E17D79">
        <w:rPr>
          <w:rFonts w:ascii="Book Antiqua" w:hAnsi="Book Antiqua" w:cs="Arial"/>
          <w:lang w:val="en-GB"/>
        </w:rPr>
        <w:t xml:space="preserve">6-mo </w:t>
      </w:r>
      <w:r w:rsidR="00673751" w:rsidRPr="00E17D79">
        <w:rPr>
          <w:rFonts w:ascii="Book Antiqua" w:hAnsi="Book Antiqua" w:cs="Arial"/>
          <w:lang w:val="en-GB"/>
        </w:rPr>
        <w:t>survival</w:t>
      </w:r>
      <w:r w:rsidR="00D20C4F" w:rsidRPr="00E17D79">
        <w:rPr>
          <w:rFonts w:ascii="Book Antiqua" w:hAnsi="Book Antiqua" w:cs="Arial"/>
          <w:lang w:val="en-GB"/>
        </w:rPr>
        <w:t>: 82.5%</w:t>
      </w:r>
      <w:r w:rsidR="00B237F9" w:rsidRPr="00E17D79">
        <w:rPr>
          <w:rFonts w:ascii="Book Antiqua" w:hAnsi="Book Antiqua" w:cs="Arial"/>
          <w:lang w:val="en-GB"/>
        </w:rPr>
        <w:t>)</w:t>
      </w:r>
      <w:r w:rsidR="00A062E5" w:rsidRPr="00E17D79">
        <w:rPr>
          <w:rFonts w:ascii="Book Antiqua" w:hAnsi="Book Antiqua" w:cs="Arial"/>
          <w:lang w:val="en-GB"/>
        </w:rPr>
        <w:t>.</w:t>
      </w:r>
    </w:p>
    <w:bookmarkEnd w:id="141"/>
    <w:p w14:paraId="0B8EF491" w14:textId="760D61C3" w:rsidR="00791D9F" w:rsidRPr="00E17D79" w:rsidRDefault="00791D9F" w:rsidP="00E17D79">
      <w:pPr>
        <w:spacing w:line="360" w:lineRule="auto"/>
        <w:jc w:val="both"/>
        <w:rPr>
          <w:rFonts w:ascii="Book Antiqua" w:hAnsi="Book Antiqua" w:cs="Arial"/>
          <w:b/>
        </w:rPr>
      </w:pPr>
    </w:p>
    <w:p w14:paraId="7A6C7D02" w14:textId="54DCF31C" w:rsidR="00F539D9" w:rsidRPr="00E17D79" w:rsidRDefault="00F539D9" w:rsidP="00E17D79">
      <w:pPr>
        <w:spacing w:line="360" w:lineRule="auto"/>
        <w:jc w:val="both"/>
        <w:rPr>
          <w:rFonts w:ascii="Book Antiqua" w:hAnsi="Book Antiqua"/>
        </w:rPr>
      </w:pPr>
      <w:r w:rsidRPr="00E17D79">
        <w:rPr>
          <w:rFonts w:ascii="Book Antiqua" w:hAnsi="Book Antiqua" w:cs="Arial"/>
          <w:bCs/>
          <w:lang w:val="en-GB"/>
        </w:rPr>
        <w:t xml:space="preserve">Georgiadou </w:t>
      </w:r>
      <w:r w:rsidRPr="00E17D79">
        <w:rPr>
          <w:rFonts w:ascii="Book Antiqua" w:eastAsiaTheme="minorEastAsia" w:hAnsi="Book Antiqua" w:cs="Arial"/>
          <w:bCs/>
          <w:lang w:val="en-GB" w:eastAsia="zh-CN"/>
        </w:rPr>
        <w:t>S</w:t>
      </w:r>
      <w:r w:rsidRPr="00E17D79">
        <w:rPr>
          <w:rFonts w:ascii="Book Antiqua" w:hAnsi="Book Antiqua" w:cs="Arial"/>
          <w:bCs/>
          <w:lang w:val="en-GB"/>
        </w:rPr>
        <w:t xml:space="preserve">, Gatselis NK, Stefos A, Zachou K, Makaritsis K, Rigopoulou EI, Dalekos GN. </w:t>
      </w:r>
      <w:bookmarkStart w:id="142" w:name="OLE_LINK30"/>
      <w:r w:rsidRPr="00E17D79">
        <w:rPr>
          <w:rFonts w:ascii="Book Antiqua" w:hAnsi="Book Antiqua" w:cs="Arial"/>
          <w:bCs/>
          <w:lang w:val="en-GB"/>
        </w:rPr>
        <w:t>Efficient management of secondary haemophagocytic lymphohistiocytosis with intravenous steroids and γ-immunoglobulin infusions</w:t>
      </w:r>
      <w:bookmarkEnd w:id="142"/>
      <w:r w:rsidRPr="00E17D79">
        <w:rPr>
          <w:rFonts w:ascii="Book Antiqua" w:hAnsi="Book Antiqua" w:cs="Arial"/>
          <w:bCs/>
          <w:lang w:val="en-GB"/>
        </w:rPr>
        <w:t xml:space="preserve">. </w:t>
      </w:r>
      <w:bookmarkStart w:id="143" w:name="_Hlk17358615"/>
      <w:bookmarkStart w:id="144" w:name="_Hlk18051602"/>
      <w:r w:rsidRPr="00E17D79">
        <w:rPr>
          <w:rFonts w:ascii="Book Antiqua" w:hAnsi="Book Antiqua" w:cs="Calibri"/>
          <w:i/>
        </w:rPr>
        <w:t>World J Clin Cases</w:t>
      </w:r>
      <w:r w:rsidRPr="00E17D79">
        <w:rPr>
          <w:rFonts w:ascii="Book Antiqua" w:hAnsi="Book Antiqua" w:cs="Calibri"/>
        </w:rPr>
        <w:t xml:space="preserve"> 2019; </w:t>
      </w:r>
      <w:r w:rsidRPr="00E17D79">
        <w:rPr>
          <w:rFonts w:ascii="Book Antiqua" w:hAnsi="Book Antiqua"/>
          <w:iCs/>
        </w:rPr>
        <w:t>In press</w:t>
      </w:r>
      <w:bookmarkEnd w:id="143"/>
      <w:bookmarkEnd w:id="144"/>
    </w:p>
    <w:p w14:paraId="06490A37" w14:textId="77777777" w:rsidR="0007199A" w:rsidRPr="00E17D79" w:rsidRDefault="0007199A" w:rsidP="00E17D79">
      <w:pPr>
        <w:spacing w:line="360" w:lineRule="auto"/>
        <w:jc w:val="both"/>
        <w:rPr>
          <w:rFonts w:ascii="Book Antiqua" w:hAnsi="Book Antiqua" w:cs="Arial"/>
          <w:b/>
          <w:lang w:val="en-GB"/>
        </w:rPr>
      </w:pPr>
      <w:r w:rsidRPr="00E17D79">
        <w:rPr>
          <w:rFonts w:ascii="Book Antiqua" w:hAnsi="Book Antiqua" w:cs="Arial"/>
          <w:b/>
          <w:lang w:val="en-GB"/>
        </w:rPr>
        <w:br w:type="page"/>
      </w:r>
    </w:p>
    <w:p w14:paraId="3B19818D" w14:textId="3F244DF1" w:rsidR="00C5685C" w:rsidRPr="00E17D79" w:rsidRDefault="00F539D9" w:rsidP="00E17D79">
      <w:pPr>
        <w:spacing w:line="360" w:lineRule="auto"/>
        <w:jc w:val="both"/>
        <w:rPr>
          <w:rFonts w:ascii="Book Antiqua" w:hAnsi="Book Antiqua" w:cs="Arial"/>
          <w:color w:val="FF0000"/>
          <w:lang w:val="en-GB"/>
        </w:rPr>
      </w:pPr>
      <w:r w:rsidRPr="00E17D79">
        <w:rPr>
          <w:rFonts w:ascii="Book Antiqua" w:hAnsi="Book Antiqua" w:cs="Arial"/>
          <w:b/>
          <w:lang w:val="en-GB"/>
        </w:rPr>
        <w:lastRenderedPageBreak/>
        <w:t>INTRODUCTION</w:t>
      </w:r>
    </w:p>
    <w:p w14:paraId="5C8BC015" w14:textId="7E4E7748" w:rsidR="0007199A" w:rsidRPr="00E17D79" w:rsidRDefault="005A2D22" w:rsidP="00E17D79">
      <w:pPr>
        <w:spacing w:line="360" w:lineRule="auto"/>
        <w:jc w:val="both"/>
        <w:rPr>
          <w:rFonts w:ascii="Book Antiqua" w:hAnsi="Book Antiqua" w:cs="Arial"/>
          <w:lang w:val="en-GB"/>
        </w:rPr>
      </w:pPr>
      <w:r w:rsidRPr="00E17D79">
        <w:rPr>
          <w:rFonts w:ascii="Book Antiqua" w:hAnsi="Book Antiqua" w:cs="Arial"/>
          <w:lang w:val="en-GB"/>
        </w:rPr>
        <w:t>H</w:t>
      </w:r>
      <w:r w:rsidR="00FD7EA8" w:rsidRPr="00E17D79">
        <w:rPr>
          <w:rFonts w:ascii="Book Antiqua" w:hAnsi="Book Antiqua" w:cs="Arial"/>
          <w:lang w:val="en-US"/>
        </w:rPr>
        <w:t>a</w:t>
      </w:r>
      <w:r w:rsidRPr="00E17D79">
        <w:rPr>
          <w:rFonts w:ascii="Book Antiqua" w:hAnsi="Book Antiqua" w:cs="Arial"/>
          <w:lang w:val="en-GB"/>
        </w:rPr>
        <w:t>emophagocytic</w:t>
      </w:r>
      <w:r w:rsidR="00BE50C3" w:rsidRPr="00E17D79">
        <w:rPr>
          <w:rFonts w:ascii="Book Antiqua" w:hAnsi="Book Antiqua" w:cs="Arial"/>
          <w:lang w:val="en-GB"/>
        </w:rPr>
        <w:t xml:space="preserve"> </w:t>
      </w:r>
      <w:r w:rsidRPr="00E17D79">
        <w:rPr>
          <w:rFonts w:ascii="Book Antiqua" w:hAnsi="Book Antiqua" w:cs="Arial"/>
          <w:lang w:val="en-GB"/>
        </w:rPr>
        <w:t>lymphohistiocytosis</w:t>
      </w:r>
      <w:r w:rsidR="00BE50C3" w:rsidRPr="00E17D79">
        <w:rPr>
          <w:rFonts w:ascii="Book Antiqua" w:hAnsi="Book Antiqua" w:cs="Arial"/>
          <w:lang w:val="en-GB"/>
        </w:rPr>
        <w:t xml:space="preserve"> </w:t>
      </w:r>
      <w:r w:rsidR="000766BE" w:rsidRPr="00E17D79">
        <w:rPr>
          <w:rFonts w:ascii="Book Antiqua" w:hAnsi="Book Antiqua" w:cs="Arial"/>
          <w:lang w:val="en-GB"/>
        </w:rPr>
        <w:t>(</w:t>
      </w:r>
      <w:r w:rsidRPr="00E17D79">
        <w:rPr>
          <w:rFonts w:ascii="Book Antiqua" w:hAnsi="Book Antiqua" w:cs="Arial"/>
          <w:lang w:val="en-GB"/>
        </w:rPr>
        <w:t>HLH</w:t>
      </w:r>
      <w:r w:rsidR="000766BE" w:rsidRPr="00E17D79">
        <w:rPr>
          <w:rFonts w:ascii="Book Antiqua" w:hAnsi="Book Antiqua" w:cs="Arial"/>
          <w:lang w:val="en-GB"/>
        </w:rPr>
        <w:t xml:space="preserve">) </w:t>
      </w:r>
      <w:r w:rsidR="00511A48" w:rsidRPr="00E17D79">
        <w:rPr>
          <w:rFonts w:ascii="Book Antiqua" w:hAnsi="Book Antiqua" w:cs="Arial"/>
          <w:lang w:val="en-GB"/>
        </w:rPr>
        <w:t>also known as haemophagocytotic syndrome</w:t>
      </w:r>
      <w:r w:rsidR="00657339" w:rsidRPr="00E17D79">
        <w:rPr>
          <w:rFonts w:ascii="Book Antiqua" w:hAnsi="Book Antiqua" w:cs="Arial"/>
          <w:lang w:val="en-GB"/>
        </w:rPr>
        <w:t>,</w:t>
      </w:r>
      <w:r w:rsidR="00511A48" w:rsidRPr="00E17D79">
        <w:rPr>
          <w:rFonts w:ascii="Book Antiqua" w:hAnsi="Book Antiqua" w:cs="Arial"/>
          <w:lang w:val="en-GB"/>
        </w:rPr>
        <w:t xml:space="preserve"> </w:t>
      </w:r>
      <w:r w:rsidR="000766BE" w:rsidRPr="00E17D79">
        <w:rPr>
          <w:rFonts w:ascii="Book Antiqua" w:hAnsi="Book Antiqua" w:cs="Arial"/>
          <w:lang w:val="en-GB"/>
        </w:rPr>
        <w:t xml:space="preserve">is a </w:t>
      </w:r>
      <w:r w:rsidR="00026FCF" w:rsidRPr="00E17D79">
        <w:rPr>
          <w:rFonts w:ascii="Book Antiqua" w:hAnsi="Book Antiqua" w:cs="Arial"/>
          <w:lang w:val="en-GB"/>
        </w:rPr>
        <w:t>rare</w:t>
      </w:r>
      <w:r w:rsidR="000A5BE4" w:rsidRPr="00E17D79">
        <w:rPr>
          <w:rFonts w:ascii="Book Antiqua" w:hAnsi="Book Antiqua" w:cs="Arial"/>
          <w:lang w:val="en-GB"/>
        </w:rPr>
        <w:t xml:space="preserve"> but</w:t>
      </w:r>
      <w:r w:rsidR="00BE50C3" w:rsidRPr="00E17D79">
        <w:rPr>
          <w:rFonts w:ascii="Book Antiqua" w:hAnsi="Book Antiqua" w:cs="Arial"/>
          <w:lang w:val="en-GB"/>
        </w:rPr>
        <w:t xml:space="preserve"> </w:t>
      </w:r>
      <w:r w:rsidR="00332186" w:rsidRPr="00E17D79">
        <w:rPr>
          <w:rFonts w:ascii="Book Antiqua" w:hAnsi="Book Antiqua" w:cs="Arial"/>
          <w:lang w:val="en-GB"/>
        </w:rPr>
        <w:t>life-threatening</w:t>
      </w:r>
      <w:r w:rsidR="000766BE" w:rsidRPr="00E17D79">
        <w:rPr>
          <w:rFonts w:ascii="Book Antiqua" w:hAnsi="Book Antiqua" w:cs="Arial"/>
          <w:lang w:val="en-GB"/>
        </w:rPr>
        <w:t xml:space="preserve"> immune </w:t>
      </w:r>
      <w:r w:rsidR="007A2A55" w:rsidRPr="00E17D79">
        <w:rPr>
          <w:rFonts w:ascii="Book Antiqua" w:hAnsi="Book Antiqua" w:cs="Arial"/>
          <w:lang w:val="en-GB"/>
        </w:rPr>
        <w:t>disorder</w:t>
      </w:r>
      <w:r w:rsidR="000766BE" w:rsidRPr="00E17D79">
        <w:rPr>
          <w:rFonts w:ascii="Book Antiqua" w:hAnsi="Book Antiqua" w:cs="Arial"/>
          <w:lang w:val="en-GB"/>
        </w:rPr>
        <w:t xml:space="preserve"> characterized by clinical and laboratory evidence of </w:t>
      </w:r>
      <w:r w:rsidR="003A54D3" w:rsidRPr="00E17D79">
        <w:rPr>
          <w:rFonts w:ascii="Book Antiqua" w:hAnsi="Book Antiqua" w:cs="Arial"/>
          <w:lang w:val="en-US"/>
        </w:rPr>
        <w:t>uncontrolled hyper</w:t>
      </w:r>
      <w:r w:rsidR="00FB59F4" w:rsidRPr="00E17D79">
        <w:rPr>
          <w:rFonts w:ascii="Book Antiqua" w:hAnsi="Book Antiqua" w:cs="Arial"/>
          <w:lang w:val="en-US"/>
        </w:rPr>
        <w:t>-</w:t>
      </w:r>
      <w:r w:rsidR="003A54D3" w:rsidRPr="00E17D79">
        <w:rPr>
          <w:rFonts w:ascii="Book Antiqua" w:hAnsi="Book Antiqua" w:cs="Arial"/>
          <w:lang w:val="en-US"/>
        </w:rPr>
        <w:t>inflammation due to massive proliferation of T cells and macrophages</w:t>
      </w:r>
      <w:r w:rsidR="00CF3A2E" w:rsidRPr="00E17D79">
        <w:rPr>
          <w:rFonts w:ascii="Book Antiqua" w:hAnsi="Book Antiqua" w:cs="Arial"/>
          <w:vertAlign w:val="superscript"/>
          <w:lang w:val="en-GB"/>
        </w:rPr>
        <w:t>[</w:t>
      </w:r>
      <w:r w:rsidR="00353555" w:rsidRPr="00E17D79">
        <w:rPr>
          <w:rFonts w:ascii="Book Antiqua" w:hAnsi="Book Antiqua" w:cs="Arial"/>
          <w:vertAlign w:val="superscript"/>
          <w:lang w:val="en-GB"/>
        </w:rPr>
        <w:t>1,2</w:t>
      </w:r>
      <w:r w:rsidR="00CF3A2E" w:rsidRPr="00E17D79">
        <w:rPr>
          <w:rFonts w:ascii="Book Antiqua" w:hAnsi="Book Antiqua" w:cs="Arial"/>
          <w:vertAlign w:val="superscript"/>
          <w:lang w:val="en-GB"/>
        </w:rPr>
        <w:t>]</w:t>
      </w:r>
      <w:r w:rsidR="000A5BE4" w:rsidRPr="00E17D79">
        <w:rPr>
          <w:rFonts w:ascii="Book Antiqua" w:hAnsi="Book Antiqua" w:cs="Arial"/>
          <w:lang w:val="en-GB"/>
        </w:rPr>
        <w:t xml:space="preserve">. </w:t>
      </w:r>
      <w:r w:rsidR="0058134C" w:rsidRPr="00E17D79">
        <w:rPr>
          <w:rFonts w:ascii="Book Antiqua" w:hAnsi="Book Antiqua" w:cs="Arial"/>
          <w:lang w:val="en-GB"/>
        </w:rPr>
        <w:t>The most common manifestations are</w:t>
      </w:r>
      <w:r w:rsidR="00BE50C3" w:rsidRPr="00E17D79">
        <w:rPr>
          <w:rFonts w:ascii="Book Antiqua" w:hAnsi="Book Antiqua" w:cs="Arial"/>
          <w:lang w:val="en-GB"/>
        </w:rPr>
        <w:t xml:space="preserve"> </w:t>
      </w:r>
      <w:r w:rsidR="0058134C" w:rsidRPr="00E17D79">
        <w:rPr>
          <w:rFonts w:ascii="Book Antiqua" w:hAnsi="Book Antiqua" w:cs="Arial"/>
          <w:lang w:val="en-GB"/>
        </w:rPr>
        <w:t>unremitting</w:t>
      </w:r>
      <w:r w:rsidR="00BE50C3" w:rsidRPr="00E17D79">
        <w:rPr>
          <w:rFonts w:ascii="Book Antiqua" w:hAnsi="Book Antiqua" w:cs="Arial"/>
          <w:lang w:val="en-GB"/>
        </w:rPr>
        <w:t xml:space="preserve"> </w:t>
      </w:r>
      <w:r w:rsidR="00190E4B" w:rsidRPr="00E17D79">
        <w:rPr>
          <w:rFonts w:ascii="Book Antiqua" w:hAnsi="Book Antiqua" w:cs="Arial"/>
          <w:lang w:val="en-GB"/>
        </w:rPr>
        <w:t xml:space="preserve">fever, hepatosplenomegaly, </w:t>
      </w:r>
      <w:r w:rsidR="0058134C" w:rsidRPr="00E17D79">
        <w:rPr>
          <w:rFonts w:ascii="Book Antiqua" w:hAnsi="Book Antiqua" w:cs="Arial"/>
          <w:lang w:val="en-GB"/>
        </w:rPr>
        <w:t xml:space="preserve">peripheral blood </w:t>
      </w:r>
      <w:r w:rsidR="00190E4B" w:rsidRPr="00E17D79">
        <w:rPr>
          <w:rFonts w:ascii="Book Antiqua" w:hAnsi="Book Antiqua" w:cs="Arial"/>
          <w:lang w:val="en-GB"/>
        </w:rPr>
        <w:t xml:space="preserve">cytopenias, liver dysfunction, </w:t>
      </w:r>
      <w:r w:rsidR="00FB59F4" w:rsidRPr="00E17D79">
        <w:rPr>
          <w:rFonts w:ascii="Book Antiqua" w:hAnsi="Book Antiqua" w:cs="Arial"/>
          <w:lang w:val="en-GB"/>
        </w:rPr>
        <w:t xml:space="preserve">high </w:t>
      </w:r>
      <w:r w:rsidR="0058134C" w:rsidRPr="00E17D79">
        <w:rPr>
          <w:rFonts w:ascii="Book Antiqua" w:hAnsi="Book Antiqua" w:cs="Arial"/>
          <w:lang w:val="en-GB"/>
        </w:rPr>
        <w:t>ferritin</w:t>
      </w:r>
      <w:r w:rsidR="00190E4B" w:rsidRPr="00E17D79">
        <w:rPr>
          <w:rFonts w:ascii="Book Antiqua" w:hAnsi="Book Antiqua" w:cs="Arial"/>
          <w:lang w:val="en-GB"/>
        </w:rPr>
        <w:t xml:space="preserve"> </w:t>
      </w:r>
      <w:r w:rsidR="00FB59F4" w:rsidRPr="00E17D79">
        <w:rPr>
          <w:rFonts w:ascii="Book Antiqua" w:hAnsi="Book Antiqua" w:cs="Arial"/>
          <w:lang w:val="en-GB"/>
        </w:rPr>
        <w:t xml:space="preserve">levels </w:t>
      </w:r>
      <w:r w:rsidR="00190E4B" w:rsidRPr="00E17D79">
        <w:rPr>
          <w:rFonts w:ascii="Book Antiqua" w:hAnsi="Book Antiqua" w:cs="Arial"/>
          <w:lang w:val="en-GB"/>
        </w:rPr>
        <w:t xml:space="preserve">and </w:t>
      </w:r>
      <w:r w:rsidR="00026FCF" w:rsidRPr="00E17D79">
        <w:rPr>
          <w:rFonts w:ascii="Book Antiqua" w:hAnsi="Book Antiqua" w:cs="Arial"/>
          <w:lang w:val="en-GB"/>
        </w:rPr>
        <w:t>h</w:t>
      </w:r>
      <w:r w:rsidR="0039245E" w:rsidRPr="00E17D79">
        <w:rPr>
          <w:rFonts w:ascii="Book Antiqua" w:hAnsi="Book Antiqua" w:cs="Arial"/>
          <w:lang w:val="en-GB"/>
        </w:rPr>
        <w:t>a</w:t>
      </w:r>
      <w:r w:rsidR="00026FCF" w:rsidRPr="00E17D79">
        <w:rPr>
          <w:rFonts w:ascii="Book Antiqua" w:hAnsi="Book Antiqua" w:cs="Arial"/>
          <w:lang w:val="en-GB"/>
        </w:rPr>
        <w:t>emophagocytosis</w:t>
      </w:r>
      <w:r w:rsidR="00CF3A2E" w:rsidRPr="00E17D79">
        <w:rPr>
          <w:rFonts w:ascii="Book Antiqua" w:hAnsi="Book Antiqua" w:cs="Arial"/>
          <w:vertAlign w:val="superscript"/>
          <w:lang w:val="en-GB"/>
        </w:rPr>
        <w:t>[</w:t>
      </w:r>
      <w:r w:rsidR="00353555" w:rsidRPr="00E17D79">
        <w:rPr>
          <w:rFonts w:ascii="Book Antiqua" w:hAnsi="Book Antiqua" w:cs="Arial"/>
          <w:vertAlign w:val="superscript"/>
          <w:lang w:val="en-GB"/>
        </w:rPr>
        <w:t>3</w:t>
      </w:r>
      <w:r w:rsidR="00CF3A2E" w:rsidRPr="00E17D79">
        <w:rPr>
          <w:rFonts w:ascii="Book Antiqua" w:hAnsi="Book Antiqua" w:cs="Arial"/>
          <w:vertAlign w:val="superscript"/>
          <w:lang w:val="en-GB"/>
        </w:rPr>
        <w:t>]</w:t>
      </w:r>
      <w:r w:rsidR="000766BE" w:rsidRPr="00E17D79">
        <w:rPr>
          <w:rFonts w:ascii="Book Antiqua" w:hAnsi="Book Antiqua" w:cs="Arial"/>
          <w:lang w:val="en-GB"/>
        </w:rPr>
        <w:t xml:space="preserve">. </w:t>
      </w:r>
      <w:r w:rsidR="009F1863" w:rsidRPr="00E17D79">
        <w:rPr>
          <w:rFonts w:ascii="Book Antiqua" w:hAnsi="Book Antiqua" w:cs="Arial"/>
          <w:lang w:val="en-GB"/>
        </w:rPr>
        <w:t xml:space="preserve">Depending on the </w:t>
      </w:r>
      <w:r w:rsidR="00724545" w:rsidRPr="00E17D79">
        <w:rPr>
          <w:rFonts w:ascii="Book Antiqua" w:hAnsi="Book Antiqua" w:cs="Arial"/>
          <w:lang w:val="en-GB"/>
        </w:rPr>
        <w:t>a</w:t>
      </w:r>
      <w:r w:rsidR="009F1863" w:rsidRPr="00E17D79">
        <w:rPr>
          <w:rFonts w:ascii="Book Antiqua" w:hAnsi="Book Antiqua" w:cs="Arial"/>
          <w:lang w:val="en-GB"/>
        </w:rPr>
        <w:t>etiology, t</w:t>
      </w:r>
      <w:r w:rsidR="000766BE" w:rsidRPr="00E17D79">
        <w:rPr>
          <w:rFonts w:ascii="Book Antiqua" w:hAnsi="Book Antiqua" w:cs="Arial"/>
          <w:lang w:val="en-GB"/>
        </w:rPr>
        <w:t>his syndrome can be caused by genetic mutations affecting cytotoxic function (</w:t>
      </w:r>
      <w:r w:rsidR="00217963" w:rsidRPr="00E17D79">
        <w:rPr>
          <w:rFonts w:ascii="Book Antiqua" w:hAnsi="Book Antiqua" w:cs="Arial"/>
          <w:lang w:val="en-GB"/>
        </w:rPr>
        <w:t>primary</w:t>
      </w:r>
      <w:r w:rsidR="00BE50C3" w:rsidRPr="00E17D79">
        <w:rPr>
          <w:rFonts w:ascii="Book Antiqua" w:hAnsi="Book Antiqua" w:cs="Arial"/>
          <w:lang w:val="en-GB"/>
        </w:rPr>
        <w:t xml:space="preserve"> </w:t>
      </w:r>
      <w:r w:rsidR="00353555" w:rsidRPr="00E17D79">
        <w:rPr>
          <w:rFonts w:ascii="Book Antiqua" w:hAnsi="Book Antiqua" w:cs="Arial"/>
          <w:lang w:val="en-GB"/>
        </w:rPr>
        <w:t xml:space="preserve">or familial </w:t>
      </w:r>
      <w:r w:rsidRPr="00E17D79">
        <w:rPr>
          <w:rFonts w:ascii="Book Antiqua" w:hAnsi="Book Antiqua" w:cs="Arial"/>
          <w:lang w:val="en-GB"/>
        </w:rPr>
        <w:t>HLH</w:t>
      </w:r>
      <w:r w:rsidR="000766BE" w:rsidRPr="00E17D79">
        <w:rPr>
          <w:rFonts w:ascii="Book Antiqua" w:hAnsi="Book Antiqua" w:cs="Arial"/>
          <w:lang w:val="en-GB"/>
        </w:rPr>
        <w:t xml:space="preserve">) or secondary to infectious, </w:t>
      </w:r>
      <w:r w:rsidR="00217963" w:rsidRPr="00E17D79">
        <w:rPr>
          <w:rFonts w:ascii="Book Antiqua" w:hAnsi="Book Antiqua" w:cs="Arial"/>
          <w:lang w:val="en-GB"/>
        </w:rPr>
        <w:t>autoimmune</w:t>
      </w:r>
      <w:r w:rsidR="000766BE" w:rsidRPr="00E17D79">
        <w:rPr>
          <w:rFonts w:ascii="Book Antiqua" w:hAnsi="Book Antiqua" w:cs="Arial"/>
          <w:lang w:val="en-GB"/>
        </w:rPr>
        <w:t xml:space="preserve">, </w:t>
      </w:r>
      <w:r w:rsidR="007776B8" w:rsidRPr="00E17D79">
        <w:rPr>
          <w:rFonts w:ascii="Book Antiqua" w:hAnsi="Book Antiqua" w:cs="Arial"/>
          <w:lang w:val="en-GB"/>
        </w:rPr>
        <w:t xml:space="preserve">or </w:t>
      </w:r>
      <w:r w:rsidR="000766BE" w:rsidRPr="00E17D79">
        <w:rPr>
          <w:rFonts w:ascii="Book Antiqua" w:hAnsi="Book Antiqua" w:cs="Arial"/>
          <w:lang w:val="en-GB"/>
        </w:rPr>
        <w:t>malignant conditions (acquired</w:t>
      </w:r>
      <w:r w:rsidR="00D27C6B" w:rsidRPr="00E17D79">
        <w:rPr>
          <w:rFonts w:ascii="Book Antiqua" w:hAnsi="Book Antiqua" w:cs="Arial"/>
          <w:lang w:val="en-GB"/>
        </w:rPr>
        <w:t xml:space="preserve"> or secondary</w:t>
      </w:r>
      <w:r w:rsidR="00BE50C3" w:rsidRPr="00E17D79">
        <w:rPr>
          <w:rFonts w:ascii="Book Antiqua" w:hAnsi="Book Antiqua" w:cs="Arial"/>
          <w:lang w:val="en-GB"/>
        </w:rPr>
        <w:t xml:space="preserve"> </w:t>
      </w:r>
      <w:r w:rsidRPr="00E17D79">
        <w:rPr>
          <w:rFonts w:ascii="Book Antiqua" w:hAnsi="Book Antiqua" w:cs="Arial"/>
          <w:lang w:val="en-GB"/>
        </w:rPr>
        <w:t>HLH</w:t>
      </w:r>
      <w:r w:rsidR="009E5DD8" w:rsidRPr="00E17D79">
        <w:rPr>
          <w:rFonts w:ascii="Book Antiqua" w:hAnsi="Book Antiqua" w:cs="Arial"/>
          <w:lang w:val="en-GB"/>
        </w:rPr>
        <w:t>;</w:t>
      </w:r>
      <w:r w:rsidR="00BE50C3" w:rsidRPr="00E17D79">
        <w:rPr>
          <w:rFonts w:ascii="Book Antiqua" w:hAnsi="Book Antiqua" w:cs="Arial"/>
          <w:lang w:val="en-GB"/>
        </w:rPr>
        <w:t xml:space="preserve"> </w:t>
      </w:r>
      <w:r w:rsidR="00FD7EA8" w:rsidRPr="00E17D79">
        <w:rPr>
          <w:rFonts w:ascii="Book Antiqua" w:hAnsi="Book Antiqua" w:cs="Arial"/>
          <w:lang w:val="en-GB"/>
        </w:rPr>
        <w:t>sHLH</w:t>
      </w:r>
      <w:r w:rsidR="000766BE" w:rsidRPr="00E17D79">
        <w:rPr>
          <w:rFonts w:ascii="Book Antiqua" w:hAnsi="Book Antiqua" w:cs="Arial"/>
          <w:lang w:val="en-GB"/>
        </w:rPr>
        <w:t>)</w:t>
      </w:r>
      <w:r w:rsidR="00BE50C3" w:rsidRPr="00E17D79">
        <w:rPr>
          <w:rFonts w:ascii="Book Antiqua" w:hAnsi="Book Antiqua" w:cs="Arial"/>
          <w:lang w:val="en-GB"/>
        </w:rPr>
        <w:t>.</w:t>
      </w:r>
      <w:r w:rsidR="00957502" w:rsidRPr="00E17D79">
        <w:rPr>
          <w:rFonts w:ascii="Book Antiqua" w:hAnsi="Book Antiqua" w:cs="Arial"/>
          <w:lang w:val="en-GB"/>
        </w:rPr>
        <w:t xml:space="preserve"> </w:t>
      </w:r>
      <w:r w:rsidR="00BE50C3" w:rsidRPr="00E17D79">
        <w:rPr>
          <w:rFonts w:ascii="Book Antiqua" w:hAnsi="Book Antiqua" w:cs="Arial"/>
          <w:lang w:val="en-GB"/>
        </w:rPr>
        <w:t>H</w:t>
      </w:r>
      <w:r w:rsidR="00957502" w:rsidRPr="00E17D79">
        <w:rPr>
          <w:rFonts w:ascii="Book Antiqua" w:hAnsi="Book Antiqua" w:cs="Arial"/>
          <w:lang w:val="en-GB"/>
        </w:rPr>
        <w:t>owever, in some cases no underlying disease</w:t>
      </w:r>
      <w:r w:rsidR="00657339" w:rsidRPr="00E17D79">
        <w:rPr>
          <w:rFonts w:ascii="Book Antiqua" w:hAnsi="Book Antiqua" w:cs="Arial"/>
          <w:lang w:val="en-GB"/>
        </w:rPr>
        <w:t xml:space="preserve"> or any </w:t>
      </w:r>
      <w:r w:rsidR="00957502" w:rsidRPr="00E17D79">
        <w:rPr>
          <w:rFonts w:ascii="Book Antiqua" w:hAnsi="Book Antiqua" w:cs="Arial"/>
          <w:lang w:val="en-GB"/>
        </w:rPr>
        <w:t>trigger</w:t>
      </w:r>
      <w:r w:rsidR="00D20C4F" w:rsidRPr="00E17D79">
        <w:rPr>
          <w:rFonts w:ascii="Book Antiqua" w:hAnsi="Book Antiqua" w:cs="Arial"/>
          <w:lang w:val="en-GB"/>
        </w:rPr>
        <w:t>ing factor is</w:t>
      </w:r>
      <w:r w:rsidR="00657339" w:rsidRPr="00E17D79">
        <w:rPr>
          <w:rFonts w:ascii="Book Antiqua" w:hAnsi="Book Antiqua" w:cs="Arial"/>
          <w:lang w:val="en-GB"/>
        </w:rPr>
        <w:t xml:space="preserve"> identified</w:t>
      </w:r>
      <w:r w:rsidR="00957502" w:rsidRPr="00E17D79">
        <w:rPr>
          <w:rFonts w:ascii="Book Antiqua" w:hAnsi="Book Antiqua" w:cs="Arial"/>
          <w:lang w:val="en-GB"/>
        </w:rPr>
        <w:t xml:space="preserve"> (idiopathic cases)</w:t>
      </w:r>
      <w:r w:rsidR="00CF3A2E" w:rsidRPr="00E17D79">
        <w:rPr>
          <w:rFonts w:ascii="Book Antiqua" w:hAnsi="Book Antiqua" w:cs="Arial"/>
          <w:vertAlign w:val="superscript"/>
          <w:lang w:val="en-GB"/>
        </w:rPr>
        <w:t>[</w:t>
      </w:r>
      <w:r w:rsidR="00647179" w:rsidRPr="00E17D79">
        <w:rPr>
          <w:rFonts w:ascii="Book Antiqua" w:hAnsi="Book Antiqua" w:cs="Arial"/>
          <w:vertAlign w:val="superscript"/>
          <w:lang w:val="en-GB"/>
        </w:rPr>
        <w:t>4</w:t>
      </w:r>
      <w:r w:rsidR="00CF3A2E" w:rsidRPr="00E17D79">
        <w:rPr>
          <w:rFonts w:ascii="Book Antiqua" w:hAnsi="Book Antiqua" w:cs="Arial"/>
          <w:vertAlign w:val="superscript"/>
          <w:lang w:val="en-GB"/>
        </w:rPr>
        <w:t>]</w:t>
      </w:r>
      <w:r w:rsidR="000766BE" w:rsidRPr="00E17D79">
        <w:rPr>
          <w:rFonts w:ascii="Book Antiqua" w:hAnsi="Book Antiqua" w:cs="Arial"/>
          <w:lang w:val="en-GB"/>
        </w:rPr>
        <w:t>.</w:t>
      </w:r>
      <w:r w:rsidR="00BE50C3" w:rsidRPr="00E17D79">
        <w:rPr>
          <w:rFonts w:ascii="Book Antiqua" w:hAnsi="Book Antiqua" w:cs="Arial"/>
          <w:lang w:val="en-GB"/>
        </w:rPr>
        <w:t xml:space="preserve"> </w:t>
      </w:r>
      <w:r w:rsidR="009A3E0C" w:rsidRPr="00E17D79">
        <w:rPr>
          <w:rFonts w:ascii="Book Antiqua" w:hAnsi="Book Antiqua" w:cs="Arial"/>
          <w:lang w:val="en-GB"/>
        </w:rPr>
        <w:t xml:space="preserve">Ideally, the diagnosis of </w:t>
      </w:r>
      <w:r w:rsidRPr="00E17D79">
        <w:rPr>
          <w:rFonts w:ascii="Book Antiqua" w:hAnsi="Book Antiqua" w:cs="Arial"/>
          <w:lang w:val="en-GB"/>
        </w:rPr>
        <w:t>HLH</w:t>
      </w:r>
      <w:r w:rsidR="00BE50C3" w:rsidRPr="00E17D79">
        <w:rPr>
          <w:rFonts w:ascii="Book Antiqua" w:hAnsi="Book Antiqua" w:cs="Arial"/>
          <w:lang w:val="en-GB"/>
        </w:rPr>
        <w:t xml:space="preserve"> </w:t>
      </w:r>
      <w:r w:rsidR="009A3E0C" w:rsidRPr="00E17D79">
        <w:rPr>
          <w:rFonts w:ascii="Book Antiqua" w:hAnsi="Book Antiqua" w:cs="Arial"/>
          <w:lang w:val="en-GB"/>
        </w:rPr>
        <w:t xml:space="preserve">is based upon fulfilling the published diagnostic criteria used in the </w:t>
      </w:r>
      <w:r w:rsidRPr="00E17D79">
        <w:rPr>
          <w:rFonts w:ascii="Book Antiqua" w:hAnsi="Book Antiqua" w:cs="Arial"/>
          <w:lang w:val="en-GB"/>
        </w:rPr>
        <w:t>HLH</w:t>
      </w:r>
      <w:r w:rsidR="009A3E0C" w:rsidRPr="00E17D79">
        <w:rPr>
          <w:rFonts w:ascii="Book Antiqua" w:hAnsi="Book Antiqua" w:cs="Arial"/>
          <w:lang w:val="en-GB"/>
        </w:rPr>
        <w:t xml:space="preserve">-2004 trial </w:t>
      </w:r>
      <w:r w:rsidR="0077737E" w:rsidRPr="00E17D79">
        <w:rPr>
          <w:rFonts w:ascii="Book Antiqua" w:hAnsi="Book Antiqua" w:cs="Arial"/>
          <w:lang w:val="en-GB"/>
        </w:rPr>
        <w:t>of Histiocyte Society</w:t>
      </w:r>
      <w:r w:rsidR="00CF3A2E" w:rsidRPr="00E17D79">
        <w:rPr>
          <w:rFonts w:ascii="Book Antiqua" w:hAnsi="Book Antiqua" w:cs="Arial"/>
          <w:vertAlign w:val="superscript"/>
          <w:lang w:val="en-GB"/>
        </w:rPr>
        <w:t>[5]</w:t>
      </w:r>
      <w:r w:rsidR="007D176A" w:rsidRPr="00E17D79">
        <w:rPr>
          <w:rFonts w:ascii="Book Antiqua" w:hAnsi="Book Antiqua" w:cs="Arial"/>
          <w:lang w:val="en-GB"/>
        </w:rPr>
        <w:t>.</w:t>
      </w:r>
      <w:r w:rsidR="00BE50C3" w:rsidRPr="00E17D79">
        <w:rPr>
          <w:rFonts w:ascii="Book Antiqua" w:hAnsi="Book Antiqua" w:cs="Arial"/>
          <w:lang w:val="en-GB"/>
        </w:rPr>
        <w:t xml:space="preserve"> </w:t>
      </w:r>
      <w:r w:rsidR="00673751" w:rsidRPr="00E17D79">
        <w:rPr>
          <w:rFonts w:ascii="Book Antiqua" w:hAnsi="Book Antiqua" w:cs="Arial"/>
          <w:lang w:val="en-GB"/>
        </w:rPr>
        <w:t xml:space="preserve">Early recognition </w:t>
      </w:r>
      <w:r w:rsidR="00657339" w:rsidRPr="00E17D79">
        <w:rPr>
          <w:rFonts w:ascii="Book Antiqua" w:hAnsi="Book Antiqua" w:cs="Arial"/>
          <w:lang w:val="en-GB"/>
        </w:rPr>
        <w:t xml:space="preserve">of the syndrome </w:t>
      </w:r>
      <w:r w:rsidR="00673751" w:rsidRPr="00E17D79">
        <w:rPr>
          <w:rFonts w:ascii="Book Antiqua" w:hAnsi="Book Antiqua" w:cs="Arial"/>
          <w:lang w:val="en-GB"/>
        </w:rPr>
        <w:t xml:space="preserve">is crucial </w:t>
      </w:r>
      <w:r w:rsidR="00657339" w:rsidRPr="00E17D79">
        <w:rPr>
          <w:rFonts w:ascii="Book Antiqua" w:hAnsi="Book Antiqua" w:cs="Arial"/>
          <w:lang w:val="en-GB"/>
        </w:rPr>
        <w:t>because</w:t>
      </w:r>
      <w:r w:rsidR="00F50F63" w:rsidRPr="00E17D79">
        <w:rPr>
          <w:rFonts w:ascii="Book Antiqua" w:hAnsi="Book Antiqua" w:cs="Arial"/>
          <w:lang w:val="en-GB"/>
        </w:rPr>
        <w:t xml:space="preserve"> without prompt </w:t>
      </w:r>
      <w:r w:rsidR="00673751" w:rsidRPr="00E17D79">
        <w:rPr>
          <w:rFonts w:ascii="Book Antiqua" w:hAnsi="Book Antiqua" w:cs="Arial"/>
          <w:lang w:val="en-GB"/>
        </w:rPr>
        <w:t xml:space="preserve">initiation of </w:t>
      </w:r>
      <w:r w:rsidR="00F50F63" w:rsidRPr="00E17D79">
        <w:rPr>
          <w:rFonts w:ascii="Book Antiqua" w:hAnsi="Book Antiqua" w:cs="Arial"/>
          <w:lang w:val="en-GB"/>
        </w:rPr>
        <w:t>treatment</w:t>
      </w:r>
      <w:r w:rsidR="00D20C4F" w:rsidRPr="00E17D79">
        <w:rPr>
          <w:rFonts w:ascii="Book Antiqua" w:hAnsi="Book Antiqua" w:cs="Arial"/>
          <w:lang w:val="en-GB"/>
        </w:rPr>
        <w:t>,</w:t>
      </w:r>
      <w:r w:rsidR="00F50F63" w:rsidRPr="00E17D79">
        <w:rPr>
          <w:rFonts w:ascii="Book Antiqua" w:hAnsi="Book Antiqua" w:cs="Arial"/>
          <w:lang w:val="en-GB"/>
        </w:rPr>
        <w:t xml:space="preserve"> </w:t>
      </w:r>
      <w:r w:rsidRPr="00E17D79">
        <w:rPr>
          <w:rFonts w:ascii="Book Antiqua" w:hAnsi="Book Antiqua" w:cs="Arial"/>
          <w:lang w:val="en-GB"/>
        </w:rPr>
        <w:t>HLH</w:t>
      </w:r>
      <w:r w:rsidR="00F50F63" w:rsidRPr="00E17D79">
        <w:rPr>
          <w:rFonts w:ascii="Book Antiqua" w:hAnsi="Book Antiqua" w:cs="Arial"/>
          <w:lang w:val="en-GB"/>
        </w:rPr>
        <w:t xml:space="preserve"> is often fatal. Nevertheless, in </w:t>
      </w:r>
      <w:r w:rsidR="00673751" w:rsidRPr="00E17D79">
        <w:rPr>
          <w:rFonts w:ascii="Book Antiqua" w:hAnsi="Book Antiqua" w:cs="Arial"/>
          <w:lang w:val="en-GB"/>
        </w:rPr>
        <w:t>every-day</w:t>
      </w:r>
      <w:r w:rsidR="00F50F63" w:rsidRPr="00E17D79">
        <w:rPr>
          <w:rFonts w:ascii="Book Antiqua" w:hAnsi="Book Antiqua" w:cs="Arial"/>
          <w:lang w:val="en-GB"/>
        </w:rPr>
        <w:t xml:space="preserve"> </w:t>
      </w:r>
      <w:r w:rsidR="00724545" w:rsidRPr="00E17D79">
        <w:rPr>
          <w:rFonts w:ascii="Book Antiqua" w:hAnsi="Book Antiqua" w:cs="Arial"/>
          <w:lang w:val="en-GB"/>
        </w:rPr>
        <w:t xml:space="preserve">clinical </w:t>
      </w:r>
      <w:r w:rsidR="00F50F63" w:rsidRPr="00E17D79">
        <w:rPr>
          <w:rFonts w:ascii="Book Antiqua" w:hAnsi="Book Antiqua" w:cs="Arial"/>
          <w:lang w:val="en-GB"/>
        </w:rPr>
        <w:t xml:space="preserve">practice </w:t>
      </w:r>
      <w:r w:rsidR="00C52D67" w:rsidRPr="00E17D79">
        <w:rPr>
          <w:rFonts w:ascii="Book Antiqua" w:hAnsi="Book Antiqua" w:cs="Arial"/>
          <w:lang w:val="en-GB"/>
        </w:rPr>
        <w:t xml:space="preserve">the assessment of </w:t>
      </w:r>
      <w:r w:rsidR="00F50F63" w:rsidRPr="00E17D79">
        <w:rPr>
          <w:rFonts w:ascii="Book Antiqua" w:hAnsi="Book Antiqua" w:cs="Arial"/>
          <w:lang w:val="en-GB"/>
        </w:rPr>
        <w:t>h</w:t>
      </w:r>
      <w:r w:rsidR="00FD7EA8" w:rsidRPr="00E17D79">
        <w:rPr>
          <w:rFonts w:ascii="Book Antiqua" w:hAnsi="Book Antiqua" w:cs="Arial"/>
          <w:lang w:val="en-GB"/>
        </w:rPr>
        <w:t>a</w:t>
      </w:r>
      <w:r w:rsidR="00F50F63" w:rsidRPr="00E17D79">
        <w:rPr>
          <w:rFonts w:ascii="Book Antiqua" w:hAnsi="Book Antiqua" w:cs="Arial"/>
          <w:lang w:val="en-GB"/>
        </w:rPr>
        <w:t xml:space="preserve">emophagocytosis on bone marrow aspirates </w:t>
      </w:r>
      <w:r w:rsidR="00C52D67" w:rsidRPr="00E17D79">
        <w:rPr>
          <w:rFonts w:ascii="Book Antiqua" w:hAnsi="Book Antiqua" w:cs="Arial"/>
          <w:lang w:val="en-GB"/>
        </w:rPr>
        <w:t xml:space="preserve">is not feasible for all patients </w:t>
      </w:r>
      <w:r w:rsidR="00C52D67" w:rsidRPr="00E17D79">
        <w:rPr>
          <w:rFonts w:ascii="Book Antiqua" w:hAnsi="Book Antiqua" w:cs="Arial"/>
          <w:lang w:val="en-US"/>
        </w:rPr>
        <w:t>while</w:t>
      </w:r>
      <w:r w:rsidR="00F50F63" w:rsidRPr="00E17D79">
        <w:rPr>
          <w:rFonts w:ascii="Book Antiqua" w:hAnsi="Book Antiqua" w:cs="Arial"/>
          <w:lang w:val="en-GB"/>
        </w:rPr>
        <w:t xml:space="preserve"> frequently</w:t>
      </w:r>
      <w:r w:rsidR="00C52D67" w:rsidRPr="00E17D79">
        <w:rPr>
          <w:rFonts w:ascii="Book Antiqua" w:hAnsi="Book Antiqua" w:cs="Arial"/>
          <w:lang w:val="en-GB"/>
        </w:rPr>
        <w:t>,</w:t>
      </w:r>
      <w:r w:rsidR="00F50F63" w:rsidRPr="00E17D79">
        <w:rPr>
          <w:rFonts w:ascii="Book Antiqua" w:hAnsi="Book Antiqua" w:cs="Arial"/>
          <w:lang w:val="en-GB"/>
        </w:rPr>
        <w:t xml:space="preserve"> there is also lack of data </w:t>
      </w:r>
      <w:bookmarkStart w:id="145" w:name="_Hlk533075394"/>
      <w:r w:rsidR="00F50F63" w:rsidRPr="00E17D79">
        <w:rPr>
          <w:rFonts w:ascii="Book Antiqua" w:hAnsi="Book Antiqua" w:cs="Arial"/>
          <w:lang w:val="en-GB"/>
        </w:rPr>
        <w:t>on natural killer</w:t>
      </w:r>
      <w:r w:rsidR="00A271AA" w:rsidRPr="00E17D79">
        <w:rPr>
          <w:rFonts w:ascii="Book Antiqua" w:hAnsi="Book Antiqua" w:cs="Arial"/>
          <w:lang w:val="en-GB"/>
        </w:rPr>
        <w:t xml:space="preserve"> (NK)</w:t>
      </w:r>
      <w:r w:rsidR="00240AB8" w:rsidRPr="00E17D79">
        <w:rPr>
          <w:rFonts w:ascii="Book Antiqua" w:hAnsi="Book Antiqua" w:cs="Arial"/>
          <w:lang w:val="en-US"/>
        </w:rPr>
        <w:t xml:space="preserve"> </w:t>
      </w:r>
      <w:r w:rsidR="00F50F63" w:rsidRPr="00E17D79">
        <w:rPr>
          <w:rFonts w:ascii="Book Antiqua" w:hAnsi="Book Antiqua" w:cs="Arial"/>
          <w:lang w:val="en-GB"/>
        </w:rPr>
        <w:t>cell activity and soluble CD25 levels</w:t>
      </w:r>
      <w:bookmarkEnd w:id="145"/>
      <w:r w:rsidR="00CF3A2E" w:rsidRPr="00E17D79">
        <w:rPr>
          <w:rFonts w:ascii="Book Antiqua" w:hAnsi="Book Antiqua" w:cs="Arial"/>
          <w:vertAlign w:val="superscript"/>
          <w:lang w:val="en-GB"/>
        </w:rPr>
        <w:t>[</w:t>
      </w:r>
      <w:r w:rsidR="005236FB" w:rsidRPr="00E17D79">
        <w:rPr>
          <w:rFonts w:ascii="Book Antiqua" w:hAnsi="Book Antiqua" w:cs="Arial"/>
          <w:vertAlign w:val="superscript"/>
          <w:lang w:val="en-GB"/>
        </w:rPr>
        <w:t>6-10</w:t>
      </w:r>
      <w:r w:rsidR="00CF3A2E" w:rsidRPr="00E17D79">
        <w:rPr>
          <w:rFonts w:ascii="Book Antiqua" w:hAnsi="Book Antiqua" w:cs="Arial"/>
          <w:vertAlign w:val="superscript"/>
          <w:lang w:val="en-GB"/>
        </w:rPr>
        <w:t>]</w:t>
      </w:r>
      <w:r w:rsidR="00F50F63" w:rsidRPr="00E17D79">
        <w:rPr>
          <w:rFonts w:ascii="Book Antiqua" w:hAnsi="Book Antiqua" w:cs="Arial"/>
          <w:lang w:val="en-GB"/>
        </w:rPr>
        <w:t>. Therefore, clinicians often confront t</w:t>
      </w:r>
      <w:r w:rsidR="00BE50C3" w:rsidRPr="00E17D79">
        <w:rPr>
          <w:rFonts w:ascii="Book Antiqua" w:hAnsi="Book Antiqua" w:cs="Arial"/>
          <w:lang w:val="en-GB"/>
        </w:rPr>
        <w:t xml:space="preserve">he dilemma to start </w:t>
      </w:r>
      <w:r w:rsidR="00F50F63" w:rsidRPr="00E17D79">
        <w:rPr>
          <w:rFonts w:ascii="Book Antiqua" w:hAnsi="Book Antiqua" w:cs="Arial"/>
          <w:lang w:val="en-GB"/>
        </w:rPr>
        <w:t xml:space="preserve">treatment earlier in patients </w:t>
      </w:r>
      <w:r w:rsidR="00C52D67" w:rsidRPr="00E17D79">
        <w:rPr>
          <w:rFonts w:ascii="Book Antiqua" w:hAnsi="Book Antiqua" w:cs="Arial"/>
          <w:lang w:val="en-GB"/>
        </w:rPr>
        <w:t>who</w:t>
      </w:r>
      <w:r w:rsidR="00F50F63" w:rsidRPr="00E17D79">
        <w:rPr>
          <w:rFonts w:ascii="Book Antiqua" w:hAnsi="Book Antiqua" w:cs="Arial"/>
          <w:lang w:val="en-GB"/>
        </w:rPr>
        <w:t xml:space="preserve"> do not fulfil all the above criteria. </w:t>
      </w:r>
      <w:r w:rsidR="006A2E66" w:rsidRPr="00E17D79">
        <w:rPr>
          <w:rFonts w:ascii="Book Antiqua" w:hAnsi="Book Antiqua" w:cs="Arial"/>
          <w:lang w:val="en-GB"/>
        </w:rPr>
        <w:t xml:space="preserve">Treatment of </w:t>
      </w:r>
      <w:r w:rsidRPr="00E17D79">
        <w:rPr>
          <w:rFonts w:ascii="Book Antiqua" w:hAnsi="Book Antiqua" w:cs="Arial"/>
          <w:lang w:val="en-GB"/>
        </w:rPr>
        <w:t>HLH</w:t>
      </w:r>
      <w:r w:rsidR="006A2E66" w:rsidRPr="00E17D79">
        <w:rPr>
          <w:rFonts w:ascii="Book Antiqua" w:hAnsi="Book Antiqua" w:cs="Arial"/>
          <w:lang w:val="en-GB"/>
        </w:rPr>
        <w:t xml:space="preserve"> may vary according to </w:t>
      </w:r>
      <w:r w:rsidR="00FF09A1" w:rsidRPr="00E17D79">
        <w:rPr>
          <w:rFonts w:ascii="Book Antiqua" w:hAnsi="Book Antiqua" w:cs="Arial"/>
          <w:lang w:val="en-GB"/>
        </w:rPr>
        <w:t xml:space="preserve">the </w:t>
      </w:r>
      <w:r w:rsidR="006A2E66" w:rsidRPr="00E17D79">
        <w:rPr>
          <w:rFonts w:ascii="Book Antiqua" w:hAnsi="Book Antiqua" w:cs="Arial"/>
          <w:lang w:val="en-GB"/>
        </w:rPr>
        <w:t>cause including immu</w:t>
      </w:r>
      <w:r w:rsidR="00FF09A1" w:rsidRPr="00E17D79">
        <w:rPr>
          <w:rFonts w:ascii="Book Antiqua" w:hAnsi="Book Antiqua" w:cs="Arial"/>
          <w:lang w:val="en-GB"/>
        </w:rPr>
        <w:t>no</w:t>
      </w:r>
      <w:r w:rsidR="003E590D" w:rsidRPr="00E17D79">
        <w:rPr>
          <w:rFonts w:ascii="Book Antiqua" w:hAnsi="Book Antiqua" w:cs="Arial"/>
          <w:lang w:val="en-GB"/>
        </w:rPr>
        <w:t>suppressive</w:t>
      </w:r>
      <w:r w:rsidR="00BE50C3" w:rsidRPr="00E17D79">
        <w:rPr>
          <w:rFonts w:ascii="Book Antiqua" w:hAnsi="Book Antiqua" w:cs="Arial"/>
          <w:lang w:val="en-GB"/>
        </w:rPr>
        <w:t xml:space="preserve"> </w:t>
      </w:r>
      <w:r w:rsidR="006A2E66" w:rsidRPr="00E17D79">
        <w:rPr>
          <w:rFonts w:ascii="Book Antiqua" w:hAnsi="Book Antiqua" w:cs="Arial"/>
          <w:lang w:val="en-GB"/>
        </w:rPr>
        <w:t xml:space="preserve">and </w:t>
      </w:r>
      <w:r w:rsidR="004C6CF6" w:rsidRPr="00E17D79">
        <w:rPr>
          <w:rFonts w:ascii="Book Antiqua" w:hAnsi="Book Antiqua" w:cs="Arial"/>
          <w:lang w:val="en-GB"/>
        </w:rPr>
        <w:t>immuno</w:t>
      </w:r>
      <w:r w:rsidR="006A2E66" w:rsidRPr="00E17D79">
        <w:rPr>
          <w:rFonts w:ascii="Book Antiqua" w:hAnsi="Book Antiqua" w:cs="Arial"/>
          <w:lang w:val="en-GB"/>
        </w:rPr>
        <w:t xml:space="preserve">modulatory agents, treatment of the underlying </w:t>
      </w:r>
      <w:r w:rsidR="00FF09A1" w:rsidRPr="00E17D79">
        <w:rPr>
          <w:rFonts w:ascii="Book Antiqua" w:hAnsi="Book Antiqua" w:cs="Arial"/>
          <w:lang w:val="en-GB"/>
        </w:rPr>
        <w:t>disease</w:t>
      </w:r>
      <w:r w:rsidR="006A2E66" w:rsidRPr="00E17D79">
        <w:rPr>
          <w:rFonts w:ascii="Book Antiqua" w:hAnsi="Book Antiqua" w:cs="Arial"/>
          <w:lang w:val="en-GB"/>
        </w:rPr>
        <w:t>, chemotherapeutic agents and hematopoietic stem cell transplantation</w:t>
      </w:r>
      <w:r w:rsidR="00CF3A2E" w:rsidRPr="00E17D79">
        <w:rPr>
          <w:rFonts w:ascii="Book Antiqua" w:hAnsi="Book Antiqua" w:cs="Arial"/>
          <w:vertAlign w:val="superscript"/>
          <w:lang w:val="en-GB"/>
        </w:rPr>
        <w:t>[</w:t>
      </w:r>
      <w:r w:rsidR="005236FB" w:rsidRPr="00E17D79">
        <w:rPr>
          <w:rFonts w:ascii="Book Antiqua" w:hAnsi="Book Antiqua" w:cs="Arial"/>
          <w:vertAlign w:val="superscript"/>
          <w:lang w:val="en-GB"/>
        </w:rPr>
        <w:t>11-13</w:t>
      </w:r>
      <w:r w:rsidR="00CF3A2E" w:rsidRPr="00E17D79">
        <w:rPr>
          <w:rFonts w:ascii="Book Antiqua" w:hAnsi="Book Antiqua" w:cs="Arial"/>
          <w:vertAlign w:val="superscript"/>
          <w:lang w:val="en-GB"/>
        </w:rPr>
        <w:t>]</w:t>
      </w:r>
      <w:r w:rsidR="00F46EB7" w:rsidRPr="00E17D79">
        <w:rPr>
          <w:rFonts w:ascii="Book Antiqua" w:hAnsi="Book Antiqua" w:cs="Arial"/>
          <w:lang w:val="en-GB"/>
        </w:rPr>
        <w:t>.</w:t>
      </w:r>
    </w:p>
    <w:p w14:paraId="7854D8DE" w14:textId="4FFDF3AA" w:rsidR="00FF09A1" w:rsidRPr="00E17D79" w:rsidRDefault="007D176A"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 xml:space="preserve">The </w:t>
      </w:r>
      <w:r w:rsidR="00FF09A1" w:rsidRPr="00E17D79">
        <w:rPr>
          <w:rFonts w:ascii="Book Antiqua" w:hAnsi="Book Antiqua" w:cs="Arial"/>
          <w:lang w:val="en-GB"/>
        </w:rPr>
        <w:t xml:space="preserve">aim of the </w:t>
      </w:r>
      <w:r w:rsidRPr="00E17D79">
        <w:rPr>
          <w:rFonts w:ascii="Book Antiqua" w:hAnsi="Book Antiqua" w:cs="Arial"/>
          <w:lang w:val="en-GB"/>
        </w:rPr>
        <w:t>present study</w:t>
      </w:r>
      <w:r w:rsidR="00BE50C3" w:rsidRPr="00E17D79">
        <w:rPr>
          <w:rFonts w:ascii="Book Antiqua" w:hAnsi="Book Antiqua" w:cs="Arial"/>
          <w:lang w:val="en-GB"/>
        </w:rPr>
        <w:t xml:space="preserve"> </w:t>
      </w:r>
      <w:r w:rsidR="00FF09A1" w:rsidRPr="00E17D79">
        <w:rPr>
          <w:rFonts w:ascii="Book Antiqua" w:hAnsi="Book Antiqua" w:cs="Arial"/>
          <w:lang w:val="en-GB"/>
        </w:rPr>
        <w:t>was to analyse a large cohort of</w:t>
      </w:r>
      <w:r w:rsidR="00BE50C3" w:rsidRPr="00E17D79">
        <w:rPr>
          <w:rFonts w:ascii="Book Antiqua" w:hAnsi="Book Antiqua" w:cs="Arial"/>
          <w:lang w:val="en-GB"/>
        </w:rPr>
        <w:t xml:space="preserve"> </w:t>
      </w:r>
      <w:r w:rsidR="00173363" w:rsidRPr="00E17D79">
        <w:rPr>
          <w:rFonts w:ascii="Book Antiqua" w:hAnsi="Book Antiqua" w:cs="Arial"/>
          <w:lang w:val="en-GB"/>
        </w:rPr>
        <w:t>adult</w:t>
      </w:r>
      <w:r w:rsidR="00797D5F" w:rsidRPr="00E17D79">
        <w:rPr>
          <w:rFonts w:ascii="Book Antiqua" w:hAnsi="Book Antiqua" w:cs="Arial"/>
          <w:lang w:val="en-GB"/>
        </w:rPr>
        <w:t xml:space="preserve"> patients with </w:t>
      </w:r>
      <w:r w:rsidR="00FF09A1" w:rsidRPr="00E17D79">
        <w:rPr>
          <w:rFonts w:ascii="Book Antiqua" w:hAnsi="Book Antiqua" w:cs="Arial"/>
          <w:lang w:val="en-GB"/>
        </w:rPr>
        <w:t xml:space="preserve">sHLH </w:t>
      </w:r>
      <w:r w:rsidR="00C52D67" w:rsidRPr="00E17D79">
        <w:rPr>
          <w:rFonts w:ascii="Book Antiqua" w:hAnsi="Book Antiqua" w:cs="Arial"/>
          <w:lang w:val="en-GB"/>
        </w:rPr>
        <w:t>who</w:t>
      </w:r>
      <w:r w:rsidR="00FF09A1" w:rsidRPr="00E17D79">
        <w:rPr>
          <w:rFonts w:ascii="Book Antiqua" w:hAnsi="Book Antiqua" w:cs="Arial"/>
          <w:lang w:val="en-GB"/>
        </w:rPr>
        <w:t xml:space="preserve"> </w:t>
      </w:r>
      <w:r w:rsidR="00D20C4F" w:rsidRPr="00E17D79">
        <w:rPr>
          <w:rFonts w:ascii="Book Antiqua" w:hAnsi="Book Antiqua" w:cs="Arial"/>
          <w:lang w:val="en-GB"/>
        </w:rPr>
        <w:t xml:space="preserve">were </w:t>
      </w:r>
      <w:r w:rsidR="00FF09A1" w:rsidRPr="00E17D79">
        <w:rPr>
          <w:rFonts w:ascii="Book Antiqua" w:hAnsi="Book Antiqua" w:cs="Arial"/>
          <w:lang w:val="en-GB"/>
        </w:rPr>
        <w:t xml:space="preserve">diagnosed and managed in our department during 2010-2018 paying </w:t>
      </w:r>
      <w:r w:rsidR="00C5222B" w:rsidRPr="00E17D79">
        <w:rPr>
          <w:rFonts w:ascii="Book Antiqua" w:hAnsi="Book Antiqua" w:cs="Arial"/>
          <w:lang w:val="en-GB"/>
        </w:rPr>
        <w:t xml:space="preserve">particular </w:t>
      </w:r>
      <w:r w:rsidR="00FF09A1" w:rsidRPr="00E17D79">
        <w:rPr>
          <w:rFonts w:ascii="Book Antiqua" w:hAnsi="Book Antiqua" w:cs="Arial"/>
          <w:lang w:val="en-GB"/>
        </w:rPr>
        <w:t xml:space="preserve">attention on the treatment </w:t>
      </w:r>
      <w:r w:rsidR="00C5222B" w:rsidRPr="00E17D79">
        <w:rPr>
          <w:rFonts w:ascii="Book Antiqua" w:hAnsi="Book Antiqua" w:cs="Arial"/>
          <w:lang w:val="en-GB"/>
        </w:rPr>
        <w:t xml:space="preserve">schedules </w:t>
      </w:r>
      <w:r w:rsidR="00FF09A1" w:rsidRPr="00E17D79">
        <w:rPr>
          <w:rFonts w:ascii="Book Antiqua" w:hAnsi="Book Antiqua" w:cs="Arial"/>
          <w:lang w:val="en-GB"/>
        </w:rPr>
        <w:t xml:space="preserve">and </w:t>
      </w:r>
      <w:r w:rsidR="00C5222B" w:rsidRPr="00E17D79">
        <w:rPr>
          <w:rFonts w:ascii="Book Antiqua" w:hAnsi="Book Antiqua" w:cs="Arial"/>
          <w:lang w:val="en-GB"/>
        </w:rPr>
        <w:t xml:space="preserve">the </w:t>
      </w:r>
      <w:r w:rsidR="00FF09A1" w:rsidRPr="00E17D79">
        <w:rPr>
          <w:rFonts w:ascii="Book Antiqua" w:hAnsi="Book Antiqua" w:cs="Arial"/>
          <w:lang w:val="en-GB"/>
        </w:rPr>
        <w:t xml:space="preserve">outcome of the patients. </w:t>
      </w:r>
    </w:p>
    <w:p w14:paraId="6A10A46C" w14:textId="77777777" w:rsidR="00DC0F3A" w:rsidRPr="00E17D79" w:rsidRDefault="00DC0F3A" w:rsidP="00E17D79">
      <w:pPr>
        <w:spacing w:line="360" w:lineRule="auto"/>
        <w:jc w:val="both"/>
        <w:rPr>
          <w:rFonts w:ascii="Book Antiqua" w:hAnsi="Book Antiqua" w:cs="Arial"/>
          <w:lang w:val="en-GB"/>
        </w:rPr>
      </w:pPr>
    </w:p>
    <w:p w14:paraId="1B80B31B" w14:textId="4D33CA45" w:rsidR="0007199A" w:rsidRPr="00E17D79" w:rsidRDefault="00A271AA" w:rsidP="00E17D79">
      <w:pPr>
        <w:spacing w:line="360" w:lineRule="auto"/>
        <w:jc w:val="both"/>
        <w:rPr>
          <w:rFonts w:ascii="Book Antiqua" w:hAnsi="Book Antiqua" w:cs="Arial"/>
          <w:b/>
          <w:lang w:val="en-GB"/>
        </w:rPr>
      </w:pPr>
      <w:r w:rsidRPr="00E17D79">
        <w:rPr>
          <w:rFonts w:ascii="Book Antiqua" w:hAnsi="Book Antiqua" w:cs="Arial"/>
          <w:b/>
          <w:lang w:val="en-GB"/>
        </w:rPr>
        <w:t>MATERIALS AND METHODS</w:t>
      </w:r>
    </w:p>
    <w:p w14:paraId="3363CD8E" w14:textId="6FE9C950" w:rsidR="00AC0D49" w:rsidRPr="00E17D79" w:rsidRDefault="0007199A" w:rsidP="00E17D79">
      <w:pPr>
        <w:spacing w:line="360" w:lineRule="auto"/>
        <w:jc w:val="both"/>
        <w:rPr>
          <w:rFonts w:ascii="Book Antiqua" w:hAnsi="Book Antiqua" w:cs="Arial"/>
          <w:lang w:val="en-GB"/>
        </w:rPr>
      </w:pPr>
      <w:r w:rsidRPr="00E17D79">
        <w:rPr>
          <w:rFonts w:ascii="Book Antiqua" w:hAnsi="Book Antiqua" w:cs="Arial"/>
          <w:lang w:val="en-GB"/>
        </w:rPr>
        <w:lastRenderedPageBreak/>
        <w:t xml:space="preserve">All adult patients with </w:t>
      </w:r>
      <w:r w:rsidR="0050118A" w:rsidRPr="00E17D79">
        <w:rPr>
          <w:rFonts w:ascii="Book Antiqua" w:hAnsi="Book Antiqua" w:cs="Arial"/>
          <w:lang w:val="en-GB"/>
        </w:rPr>
        <w:t>sHLH</w:t>
      </w:r>
      <w:r w:rsidR="00BE50C3" w:rsidRPr="00E17D79">
        <w:rPr>
          <w:rFonts w:ascii="Book Antiqua" w:hAnsi="Book Antiqua" w:cs="Arial"/>
          <w:lang w:val="en-GB"/>
        </w:rPr>
        <w:t xml:space="preserve"> </w:t>
      </w:r>
      <w:r w:rsidR="00FF09A1" w:rsidRPr="00E17D79">
        <w:rPr>
          <w:rFonts w:ascii="Book Antiqua" w:hAnsi="Book Antiqua" w:cs="Arial"/>
          <w:lang w:val="en-GB"/>
        </w:rPr>
        <w:t xml:space="preserve">who </w:t>
      </w:r>
      <w:r w:rsidR="00D20C4F" w:rsidRPr="00E17D79">
        <w:rPr>
          <w:rFonts w:ascii="Book Antiqua" w:hAnsi="Book Antiqua" w:cs="Arial"/>
          <w:lang w:val="en-GB"/>
        </w:rPr>
        <w:t xml:space="preserve">were </w:t>
      </w:r>
      <w:r w:rsidR="00FF09A1" w:rsidRPr="00E17D79">
        <w:rPr>
          <w:rFonts w:ascii="Book Antiqua" w:hAnsi="Book Antiqua" w:cs="Arial"/>
          <w:lang w:val="en-GB"/>
        </w:rPr>
        <w:t xml:space="preserve">prospectively </w:t>
      </w:r>
      <w:r w:rsidRPr="00E17D79">
        <w:rPr>
          <w:rFonts w:ascii="Book Antiqua" w:hAnsi="Book Antiqua" w:cs="Arial"/>
          <w:lang w:val="en-GB"/>
        </w:rPr>
        <w:t xml:space="preserve">diagnosed </w:t>
      </w:r>
      <w:r w:rsidR="00FF09A1" w:rsidRPr="00E17D79">
        <w:rPr>
          <w:rFonts w:ascii="Book Antiqua" w:hAnsi="Book Antiqua" w:cs="Arial"/>
          <w:lang w:val="en-GB"/>
        </w:rPr>
        <w:t xml:space="preserve">and managed </w:t>
      </w:r>
      <w:r w:rsidRPr="00E17D79">
        <w:rPr>
          <w:rFonts w:ascii="Book Antiqua" w:hAnsi="Book Antiqua" w:cs="Arial"/>
          <w:lang w:val="en-GB"/>
        </w:rPr>
        <w:t xml:space="preserve">at the Department of Medicine of the University Hospital </w:t>
      </w:r>
      <w:r w:rsidR="00C5222B" w:rsidRPr="00E17D79">
        <w:rPr>
          <w:rFonts w:ascii="Book Antiqua" w:hAnsi="Book Antiqua" w:cs="Arial"/>
          <w:lang w:val="en-GB"/>
        </w:rPr>
        <w:t xml:space="preserve">of Larissa, Greece, </w:t>
      </w:r>
      <w:r w:rsidRPr="00E17D79">
        <w:rPr>
          <w:rFonts w:ascii="Book Antiqua" w:hAnsi="Book Antiqua" w:cs="Arial"/>
          <w:lang w:val="en-GB"/>
        </w:rPr>
        <w:t>from January</w:t>
      </w:r>
      <w:r w:rsidR="00BE50C3" w:rsidRPr="00E17D79">
        <w:rPr>
          <w:rFonts w:ascii="Book Antiqua" w:hAnsi="Book Antiqua" w:cs="Arial"/>
          <w:lang w:val="en-GB"/>
        </w:rPr>
        <w:t xml:space="preserve"> </w:t>
      </w:r>
      <w:r w:rsidRPr="00E17D79">
        <w:rPr>
          <w:rFonts w:ascii="Book Antiqua" w:hAnsi="Book Antiqua" w:cs="Arial"/>
          <w:lang w:val="en-GB"/>
        </w:rPr>
        <w:t>1, 20</w:t>
      </w:r>
      <w:r w:rsidR="00A177DA" w:rsidRPr="00E17D79">
        <w:rPr>
          <w:rFonts w:ascii="Book Antiqua" w:hAnsi="Book Antiqua" w:cs="Arial"/>
          <w:lang w:val="en-GB"/>
        </w:rPr>
        <w:t xml:space="preserve">10 </w:t>
      </w:r>
      <w:r w:rsidRPr="00E17D79">
        <w:rPr>
          <w:rFonts w:ascii="Book Antiqua" w:hAnsi="Book Antiqua" w:cs="Arial"/>
          <w:lang w:val="en-GB"/>
        </w:rPr>
        <w:t xml:space="preserve">to </w:t>
      </w:r>
      <w:r w:rsidR="00181AD4" w:rsidRPr="00E17D79">
        <w:rPr>
          <w:rFonts w:ascii="Book Antiqua" w:hAnsi="Book Antiqua" w:cs="Arial"/>
          <w:lang w:val="en-GB"/>
        </w:rPr>
        <w:t>June</w:t>
      </w:r>
      <w:r w:rsidR="00BE50C3" w:rsidRPr="00E17D79">
        <w:rPr>
          <w:rFonts w:ascii="Book Antiqua" w:hAnsi="Book Antiqua" w:cs="Arial"/>
          <w:lang w:val="en-GB"/>
        </w:rPr>
        <w:t xml:space="preserve"> </w:t>
      </w:r>
      <w:r w:rsidR="00181AD4" w:rsidRPr="00E17D79">
        <w:rPr>
          <w:rFonts w:ascii="Book Antiqua" w:hAnsi="Book Antiqua" w:cs="Arial"/>
          <w:lang w:val="en-GB"/>
        </w:rPr>
        <w:t>1</w:t>
      </w:r>
      <w:r w:rsidRPr="00E17D79">
        <w:rPr>
          <w:rFonts w:ascii="Book Antiqua" w:hAnsi="Book Antiqua" w:cs="Arial"/>
          <w:lang w:val="en-GB"/>
        </w:rPr>
        <w:t>, 201</w:t>
      </w:r>
      <w:r w:rsidR="00181AD4" w:rsidRPr="00E17D79">
        <w:rPr>
          <w:rFonts w:ascii="Book Antiqua" w:hAnsi="Book Antiqua" w:cs="Arial"/>
          <w:lang w:val="en-GB"/>
        </w:rPr>
        <w:t>8</w:t>
      </w:r>
      <w:r w:rsidRPr="00E17D79">
        <w:rPr>
          <w:rFonts w:ascii="Book Antiqua" w:hAnsi="Book Antiqua" w:cs="Arial"/>
          <w:lang w:val="en-GB"/>
        </w:rPr>
        <w:t xml:space="preserve">, were </w:t>
      </w:r>
      <w:r w:rsidR="002D3807" w:rsidRPr="00E17D79">
        <w:rPr>
          <w:rFonts w:ascii="Book Antiqua" w:hAnsi="Book Antiqua" w:cs="Arial"/>
          <w:lang w:val="en-GB"/>
        </w:rPr>
        <w:t xml:space="preserve">assessed </w:t>
      </w:r>
      <w:r w:rsidR="007D176A" w:rsidRPr="00E17D79">
        <w:rPr>
          <w:rFonts w:ascii="Book Antiqua" w:hAnsi="Book Antiqua" w:cs="Arial"/>
          <w:lang w:val="en-GB"/>
        </w:rPr>
        <w:t>retrospectively</w:t>
      </w:r>
      <w:r w:rsidR="00673751" w:rsidRPr="00E17D79">
        <w:rPr>
          <w:rFonts w:ascii="Book Antiqua" w:hAnsi="Book Antiqua" w:cs="Arial"/>
          <w:lang w:val="en-GB"/>
        </w:rPr>
        <w:t xml:space="preserve">. The </w:t>
      </w:r>
      <w:r w:rsidRPr="00E17D79">
        <w:rPr>
          <w:rFonts w:ascii="Book Antiqua" w:hAnsi="Book Antiqua" w:cs="Arial"/>
          <w:lang w:val="en-GB"/>
        </w:rPr>
        <w:t>electronic records</w:t>
      </w:r>
      <w:r w:rsidR="00C5222B" w:rsidRPr="00E17D79">
        <w:rPr>
          <w:rFonts w:ascii="Book Antiqua" w:hAnsi="Book Antiqua" w:cs="Arial"/>
          <w:lang w:val="en-GB"/>
        </w:rPr>
        <w:t xml:space="preserve"> and/or </w:t>
      </w:r>
      <w:r w:rsidRPr="00E17D79">
        <w:rPr>
          <w:rFonts w:ascii="Book Antiqua" w:hAnsi="Book Antiqua" w:cs="Arial"/>
          <w:lang w:val="en-GB"/>
        </w:rPr>
        <w:t xml:space="preserve">written charts </w:t>
      </w:r>
      <w:r w:rsidR="00673751" w:rsidRPr="00E17D79">
        <w:rPr>
          <w:rFonts w:ascii="Book Antiqua" w:hAnsi="Book Antiqua" w:cs="Arial"/>
          <w:lang w:val="en-GB"/>
        </w:rPr>
        <w:t xml:space="preserve">of the patients </w:t>
      </w:r>
      <w:r w:rsidRPr="00E17D79">
        <w:rPr>
          <w:rFonts w:ascii="Book Antiqua" w:hAnsi="Book Antiqua" w:cs="Arial"/>
          <w:lang w:val="en-GB"/>
        </w:rPr>
        <w:t>were</w:t>
      </w:r>
      <w:r w:rsidR="00BE50C3" w:rsidRPr="00E17D79">
        <w:rPr>
          <w:rFonts w:ascii="Book Antiqua" w:hAnsi="Book Antiqua" w:cs="Arial"/>
          <w:lang w:val="en-GB"/>
        </w:rPr>
        <w:t xml:space="preserve"> </w:t>
      </w:r>
      <w:r w:rsidR="00DC5751" w:rsidRPr="00E17D79">
        <w:rPr>
          <w:rFonts w:ascii="Book Antiqua" w:hAnsi="Book Antiqua" w:cs="Arial"/>
          <w:lang w:val="en-GB"/>
        </w:rPr>
        <w:t xml:space="preserve">reviewed for demographic characteristics, clinical manifestations, underlying </w:t>
      </w:r>
      <w:r w:rsidR="009F0C6C" w:rsidRPr="00E17D79">
        <w:rPr>
          <w:rFonts w:ascii="Book Antiqua" w:hAnsi="Book Antiqua" w:cs="Arial"/>
          <w:lang w:val="en-GB"/>
        </w:rPr>
        <w:t xml:space="preserve">causes of </w:t>
      </w:r>
      <w:r w:rsidR="000813EA" w:rsidRPr="00E17D79">
        <w:rPr>
          <w:rFonts w:ascii="Book Antiqua" w:hAnsi="Book Antiqua" w:cs="Arial"/>
          <w:lang w:val="en-GB"/>
        </w:rPr>
        <w:t>s</w:t>
      </w:r>
      <w:r w:rsidR="0050118A" w:rsidRPr="00E17D79">
        <w:rPr>
          <w:rFonts w:ascii="Book Antiqua" w:hAnsi="Book Antiqua" w:cs="Arial"/>
          <w:lang w:val="en-GB"/>
        </w:rPr>
        <w:t>HLH</w:t>
      </w:r>
      <w:r w:rsidR="00DC5751" w:rsidRPr="00E17D79">
        <w:rPr>
          <w:rFonts w:ascii="Book Antiqua" w:hAnsi="Book Antiqua" w:cs="Arial"/>
          <w:lang w:val="en-GB"/>
        </w:rPr>
        <w:t xml:space="preserve">, laboratory parameters, treatment </w:t>
      </w:r>
      <w:r w:rsidR="001A138C" w:rsidRPr="00E17D79">
        <w:rPr>
          <w:rFonts w:ascii="Book Antiqua" w:hAnsi="Book Antiqua" w:cs="Arial"/>
          <w:lang w:val="en-GB"/>
        </w:rPr>
        <w:t xml:space="preserve">and the </w:t>
      </w:r>
      <w:r w:rsidR="001F6181" w:rsidRPr="00E17D79">
        <w:rPr>
          <w:rFonts w:ascii="Book Antiqua" w:hAnsi="Book Antiqua" w:cs="Arial"/>
          <w:lang w:val="en-GB"/>
        </w:rPr>
        <w:t>30-d-</w:t>
      </w:r>
      <w:r w:rsidR="001A138C" w:rsidRPr="00E17D79">
        <w:rPr>
          <w:rFonts w:ascii="Book Antiqua" w:hAnsi="Book Antiqua" w:cs="Arial"/>
          <w:lang w:val="en-GB"/>
        </w:rPr>
        <w:t>mortality rate</w:t>
      </w:r>
      <w:r w:rsidR="00E202FC" w:rsidRPr="00E17D79">
        <w:rPr>
          <w:rFonts w:ascii="Book Antiqua" w:hAnsi="Book Antiqua" w:cs="Arial"/>
          <w:lang w:val="en-GB"/>
        </w:rPr>
        <w:t>. A</w:t>
      </w:r>
      <w:r w:rsidR="00AC0D49" w:rsidRPr="00E17D79">
        <w:rPr>
          <w:rFonts w:ascii="Book Antiqua" w:hAnsi="Book Antiqua" w:cs="Arial"/>
          <w:lang w:val="en-GB"/>
        </w:rPr>
        <w:t xml:space="preserve">ll </w:t>
      </w:r>
      <w:r w:rsidR="00E202FC" w:rsidRPr="00E17D79">
        <w:rPr>
          <w:rFonts w:ascii="Book Antiqua" w:hAnsi="Book Antiqua" w:cs="Arial"/>
          <w:lang w:val="en-GB"/>
        </w:rPr>
        <w:t>case</w:t>
      </w:r>
      <w:r w:rsidR="00AC0D49" w:rsidRPr="00E17D79">
        <w:rPr>
          <w:rFonts w:ascii="Book Antiqua" w:hAnsi="Book Antiqua" w:cs="Arial"/>
          <w:lang w:val="en-GB"/>
        </w:rPr>
        <w:t>s</w:t>
      </w:r>
      <w:r w:rsidR="00E202FC" w:rsidRPr="00E17D79">
        <w:rPr>
          <w:rFonts w:ascii="Book Antiqua" w:hAnsi="Book Antiqua" w:cs="Arial"/>
          <w:lang w:val="en-GB"/>
        </w:rPr>
        <w:t xml:space="preserve"> </w:t>
      </w:r>
      <w:r w:rsidR="00AC0D49" w:rsidRPr="00E17D79">
        <w:rPr>
          <w:rFonts w:ascii="Book Antiqua" w:hAnsi="Book Antiqua" w:cs="Arial"/>
          <w:lang w:val="en-GB"/>
        </w:rPr>
        <w:t xml:space="preserve">met </w:t>
      </w:r>
      <w:r w:rsidR="00673751" w:rsidRPr="00E17D79">
        <w:rPr>
          <w:rFonts w:ascii="Book Antiqua" w:hAnsi="Book Antiqua" w:cs="Arial"/>
          <w:lang w:val="en-GB"/>
        </w:rPr>
        <w:t xml:space="preserve">at least </w:t>
      </w:r>
      <w:r w:rsidR="00AC0D49" w:rsidRPr="00E17D79">
        <w:rPr>
          <w:rFonts w:ascii="Book Antiqua" w:hAnsi="Book Antiqua" w:cs="Arial"/>
          <w:lang w:val="en-GB"/>
        </w:rPr>
        <w:t xml:space="preserve">5 out of </w:t>
      </w:r>
      <w:r w:rsidR="00673751" w:rsidRPr="00E17D79">
        <w:rPr>
          <w:rFonts w:ascii="Book Antiqua" w:hAnsi="Book Antiqua" w:cs="Arial"/>
          <w:lang w:val="en-GB"/>
        </w:rPr>
        <w:t xml:space="preserve">the </w:t>
      </w:r>
      <w:r w:rsidR="00AC0D49" w:rsidRPr="00E17D79">
        <w:rPr>
          <w:rFonts w:ascii="Book Antiqua" w:hAnsi="Book Antiqua" w:cs="Arial"/>
          <w:lang w:val="en-GB"/>
        </w:rPr>
        <w:t xml:space="preserve">following </w:t>
      </w:r>
      <w:r w:rsidR="00673751" w:rsidRPr="00E17D79">
        <w:rPr>
          <w:rFonts w:ascii="Book Antiqua" w:hAnsi="Book Antiqua" w:cs="Arial"/>
          <w:lang w:val="en-GB"/>
        </w:rPr>
        <w:t xml:space="preserve">8 </w:t>
      </w:r>
      <w:r w:rsidR="00A27589" w:rsidRPr="00E17D79">
        <w:rPr>
          <w:rFonts w:ascii="Book Antiqua" w:hAnsi="Book Antiqua" w:cs="Arial"/>
          <w:lang w:val="en-GB"/>
        </w:rPr>
        <w:t>2004-</w:t>
      </w:r>
      <w:r w:rsidR="0050118A" w:rsidRPr="00E17D79">
        <w:rPr>
          <w:rFonts w:ascii="Book Antiqua" w:hAnsi="Book Antiqua" w:cs="Arial"/>
          <w:lang w:val="en-GB"/>
        </w:rPr>
        <w:t>HLH</w:t>
      </w:r>
      <w:r w:rsidR="00BE50C3" w:rsidRPr="00E17D79">
        <w:rPr>
          <w:rFonts w:ascii="Book Antiqua" w:hAnsi="Book Antiqua" w:cs="Arial"/>
          <w:lang w:val="en-GB"/>
        </w:rPr>
        <w:t xml:space="preserve"> </w:t>
      </w:r>
      <w:r w:rsidR="00DC5751" w:rsidRPr="00E17D79">
        <w:rPr>
          <w:rFonts w:ascii="Book Antiqua" w:hAnsi="Book Antiqua" w:cs="Arial"/>
          <w:lang w:val="en-GB"/>
        </w:rPr>
        <w:t>international criteria</w:t>
      </w:r>
      <w:r w:rsidR="00AC0D49" w:rsidRPr="00E17D79">
        <w:rPr>
          <w:rFonts w:ascii="Book Antiqua" w:hAnsi="Book Antiqua" w:cs="Arial"/>
          <w:lang w:val="en-GB"/>
        </w:rPr>
        <w:t xml:space="preserve"> for </w:t>
      </w:r>
      <w:r w:rsidR="00C5222B" w:rsidRPr="00E17D79">
        <w:rPr>
          <w:rFonts w:ascii="Book Antiqua" w:hAnsi="Book Antiqua" w:cs="Arial"/>
          <w:lang w:val="en-GB"/>
        </w:rPr>
        <w:t xml:space="preserve">the diagnosis of </w:t>
      </w:r>
      <w:r w:rsidR="00AC0D49" w:rsidRPr="00E17D79">
        <w:rPr>
          <w:rFonts w:ascii="Book Antiqua" w:hAnsi="Book Antiqua" w:cs="Arial"/>
          <w:lang w:val="en-GB"/>
        </w:rPr>
        <w:t>HLH</w:t>
      </w:r>
      <w:r w:rsidR="00617EA3" w:rsidRPr="00E17D79">
        <w:rPr>
          <w:rFonts w:ascii="Book Antiqua" w:hAnsi="Book Antiqua" w:cs="Arial"/>
          <w:vertAlign w:val="superscript"/>
          <w:lang w:val="en-GB"/>
        </w:rPr>
        <w:t>[5]</w:t>
      </w:r>
      <w:r w:rsidR="005074E5" w:rsidRPr="00E17D79">
        <w:rPr>
          <w:rFonts w:ascii="Book Antiqua" w:hAnsi="Book Antiqua" w:cs="Arial"/>
          <w:lang w:val="en-GB"/>
        </w:rPr>
        <w:t>:</w:t>
      </w:r>
      <w:r w:rsidR="00BE50C3" w:rsidRPr="00E17D79">
        <w:rPr>
          <w:rFonts w:ascii="Book Antiqua" w:hAnsi="Book Antiqua" w:cs="Arial"/>
          <w:lang w:val="en-GB"/>
        </w:rPr>
        <w:t xml:space="preserve"> </w:t>
      </w:r>
      <w:r w:rsidR="005074E5" w:rsidRPr="00E17D79">
        <w:rPr>
          <w:rFonts w:ascii="Book Antiqua" w:hAnsi="Book Antiqua" w:cs="Arial"/>
          <w:lang w:val="en-GB"/>
        </w:rPr>
        <w:t>Fever ≥</w:t>
      </w:r>
      <w:r w:rsidR="00A271AA" w:rsidRPr="00E17D79">
        <w:rPr>
          <w:rFonts w:ascii="Book Antiqua" w:hAnsi="Book Antiqua" w:cs="Arial"/>
          <w:lang w:val="en-GB"/>
        </w:rPr>
        <w:t xml:space="preserve"> </w:t>
      </w:r>
      <w:r w:rsidR="005074E5" w:rsidRPr="00E17D79">
        <w:rPr>
          <w:rFonts w:ascii="Book Antiqua" w:hAnsi="Book Antiqua" w:cs="Arial"/>
          <w:lang w:val="en-GB"/>
        </w:rPr>
        <w:t>38.5</w:t>
      </w:r>
      <w:r w:rsidR="00A271AA" w:rsidRPr="00E17D79">
        <w:rPr>
          <w:rFonts w:ascii="Book Antiqua" w:hAnsi="Book Antiqua" w:cs="Arial"/>
          <w:i/>
          <w:lang w:val="en-GB"/>
        </w:rPr>
        <w:t xml:space="preserve"> </w:t>
      </w:r>
      <w:r w:rsidR="00A271AA" w:rsidRPr="00E17D79">
        <w:rPr>
          <w:rFonts w:ascii="宋体" w:eastAsia="宋体" w:hAnsi="宋体" w:cs="宋体" w:hint="eastAsia"/>
          <w:iCs/>
          <w:lang w:val="en-GB" w:eastAsia="zh-CN"/>
        </w:rPr>
        <w:t>℃</w:t>
      </w:r>
      <w:r w:rsidR="0021475D" w:rsidRPr="00E17D79">
        <w:rPr>
          <w:rFonts w:ascii="Book Antiqua" w:hAnsi="Book Antiqua" w:cs="Arial"/>
          <w:lang w:val="en-GB"/>
        </w:rPr>
        <w:t>, s</w:t>
      </w:r>
      <w:r w:rsidR="005074E5" w:rsidRPr="00E17D79">
        <w:rPr>
          <w:rFonts w:ascii="Book Antiqua" w:hAnsi="Book Antiqua" w:cs="Arial"/>
          <w:lang w:val="en-GB"/>
        </w:rPr>
        <w:t>plenomegaly</w:t>
      </w:r>
      <w:r w:rsidR="0021475D" w:rsidRPr="00E17D79">
        <w:rPr>
          <w:rFonts w:ascii="Book Antiqua" w:hAnsi="Book Antiqua" w:cs="Arial"/>
          <w:lang w:val="en-GB"/>
        </w:rPr>
        <w:t>, p</w:t>
      </w:r>
      <w:r w:rsidR="00394941" w:rsidRPr="00E17D79">
        <w:rPr>
          <w:rFonts w:ascii="Book Antiqua" w:hAnsi="Book Antiqua" w:cs="Arial"/>
          <w:lang w:val="en-GB"/>
        </w:rPr>
        <w:t>eripheral blood cytopenia</w:t>
      </w:r>
      <w:r w:rsidR="00C5222B" w:rsidRPr="00E17D79">
        <w:rPr>
          <w:rFonts w:ascii="Book Antiqua" w:hAnsi="Book Antiqua" w:cs="Arial"/>
          <w:lang w:val="en-GB"/>
        </w:rPr>
        <w:t>s</w:t>
      </w:r>
      <w:r w:rsidR="00BE50C3" w:rsidRPr="00E17D79">
        <w:rPr>
          <w:rFonts w:ascii="Book Antiqua" w:hAnsi="Book Antiqua" w:cs="Arial"/>
          <w:lang w:val="en-GB"/>
        </w:rPr>
        <w:t xml:space="preserve"> </w:t>
      </w:r>
      <w:r w:rsidR="005074E5" w:rsidRPr="00E17D79">
        <w:rPr>
          <w:rFonts w:ascii="Book Antiqua" w:hAnsi="Book Antiqua" w:cs="Arial"/>
          <w:lang w:val="en-GB"/>
        </w:rPr>
        <w:t>with at least two of the following</w:t>
      </w:r>
      <w:r w:rsidR="00C5222B" w:rsidRPr="00E17D79">
        <w:rPr>
          <w:rFonts w:ascii="Book Antiqua" w:hAnsi="Book Antiqua" w:cs="Arial"/>
          <w:lang w:val="en-GB"/>
        </w:rPr>
        <w:t xml:space="preserve"> three</w:t>
      </w:r>
      <w:r w:rsidR="005074E5" w:rsidRPr="00E17D79">
        <w:rPr>
          <w:rFonts w:ascii="Book Antiqua" w:hAnsi="Book Antiqua" w:cs="Arial"/>
          <w:lang w:val="en-GB"/>
        </w:rPr>
        <w:t xml:space="preserve"> </w:t>
      </w:r>
      <w:r w:rsidR="00C5222B" w:rsidRPr="00E17D79">
        <w:rPr>
          <w:rFonts w:ascii="Book Antiqua" w:hAnsi="Book Antiqua" w:cs="Arial"/>
          <w:lang w:val="en-GB"/>
        </w:rPr>
        <w:t>[</w:t>
      </w:r>
      <w:r w:rsidR="005074E5" w:rsidRPr="00E17D79">
        <w:rPr>
          <w:rFonts w:ascii="Book Antiqua" w:hAnsi="Book Antiqua" w:cs="Arial"/>
          <w:lang w:val="en-GB"/>
        </w:rPr>
        <w:t>h</w:t>
      </w:r>
      <w:r w:rsidR="00ED1116" w:rsidRPr="00E17D79">
        <w:rPr>
          <w:rFonts w:ascii="Book Antiqua" w:hAnsi="Book Antiqua" w:cs="Arial"/>
          <w:lang w:val="en-GB"/>
        </w:rPr>
        <w:t>a</w:t>
      </w:r>
      <w:r w:rsidR="005074E5" w:rsidRPr="00E17D79">
        <w:rPr>
          <w:rFonts w:ascii="Book Antiqua" w:hAnsi="Book Antiqua" w:cs="Arial"/>
          <w:lang w:val="en-GB"/>
        </w:rPr>
        <w:t>emoglobin</w:t>
      </w:r>
      <w:r w:rsidR="009A316E" w:rsidRPr="00E17D79">
        <w:rPr>
          <w:rFonts w:ascii="Book Antiqua" w:hAnsi="Book Antiqua" w:cs="Arial"/>
          <w:lang w:val="en-GB"/>
        </w:rPr>
        <w:t xml:space="preserve"> (Hb)</w:t>
      </w:r>
      <w:r w:rsidR="00A271AA" w:rsidRPr="00E17D79">
        <w:rPr>
          <w:rFonts w:ascii="Book Antiqua" w:hAnsi="Book Antiqua" w:cs="Arial"/>
          <w:lang w:val="en-GB"/>
        </w:rPr>
        <w:t xml:space="preserve"> </w:t>
      </w:r>
      <w:r w:rsidR="00F771A5" w:rsidRPr="00E17D79">
        <w:rPr>
          <w:rFonts w:ascii="Book Antiqua" w:hAnsi="Book Antiqua" w:cs="Arial"/>
          <w:lang w:val="en-GB"/>
        </w:rPr>
        <w:t>&lt;</w:t>
      </w:r>
      <w:r w:rsidR="00A271AA" w:rsidRPr="00E17D79">
        <w:rPr>
          <w:rFonts w:ascii="Book Antiqua" w:hAnsi="Book Antiqua" w:cs="Arial"/>
          <w:lang w:val="en-GB"/>
        </w:rPr>
        <w:t xml:space="preserve"> </w:t>
      </w:r>
      <w:r w:rsidR="00F771A5" w:rsidRPr="00E17D79">
        <w:rPr>
          <w:rFonts w:ascii="Book Antiqua" w:hAnsi="Book Antiqua" w:cs="Arial"/>
          <w:lang w:val="en-GB"/>
        </w:rPr>
        <w:t>9</w:t>
      </w:r>
      <w:r w:rsidR="005074E5" w:rsidRPr="00E17D79">
        <w:rPr>
          <w:rFonts w:ascii="Book Antiqua" w:hAnsi="Book Antiqua" w:cs="Arial"/>
          <w:lang w:val="en-GB"/>
        </w:rPr>
        <w:t>g/dL; platelets</w:t>
      </w:r>
      <w:r w:rsidR="009A316E" w:rsidRPr="00E17D79">
        <w:rPr>
          <w:rFonts w:ascii="Book Antiqua" w:hAnsi="Book Antiqua" w:cs="Arial"/>
          <w:lang w:val="en-GB"/>
        </w:rPr>
        <w:t xml:space="preserve"> (PLT</w:t>
      </w:r>
      <w:r w:rsidR="00FE3C24" w:rsidRPr="00E17D79">
        <w:rPr>
          <w:rFonts w:ascii="Book Antiqua" w:hAnsi="Book Antiqua" w:cs="Arial"/>
          <w:lang w:val="en-GB"/>
        </w:rPr>
        <w:t>s</w:t>
      </w:r>
      <w:r w:rsidR="009A316E" w:rsidRPr="00E17D79">
        <w:rPr>
          <w:rFonts w:ascii="Book Antiqua" w:hAnsi="Book Antiqua" w:cs="Arial"/>
          <w:lang w:val="en-GB"/>
        </w:rPr>
        <w:t>)</w:t>
      </w:r>
      <w:r w:rsidR="00A271AA" w:rsidRPr="00E17D79">
        <w:rPr>
          <w:rFonts w:ascii="Book Antiqua" w:hAnsi="Book Antiqua" w:cs="Arial"/>
          <w:lang w:val="en-GB"/>
        </w:rPr>
        <w:t xml:space="preserve"> </w:t>
      </w:r>
      <w:r w:rsidR="005074E5" w:rsidRPr="00E17D79">
        <w:rPr>
          <w:rFonts w:ascii="Book Antiqua" w:hAnsi="Book Antiqua" w:cs="Arial"/>
          <w:lang w:val="en-GB"/>
        </w:rPr>
        <w:t>&lt;</w:t>
      </w:r>
      <w:r w:rsidR="00A271AA" w:rsidRPr="00E17D79">
        <w:rPr>
          <w:rFonts w:ascii="Book Antiqua" w:hAnsi="Book Antiqua" w:cs="Arial"/>
          <w:lang w:val="en-GB"/>
        </w:rPr>
        <w:t xml:space="preserve"> </w:t>
      </w:r>
      <w:r w:rsidR="005074E5" w:rsidRPr="00E17D79">
        <w:rPr>
          <w:rFonts w:ascii="Book Antiqua" w:hAnsi="Book Antiqua" w:cs="Arial"/>
          <w:lang w:val="en-GB"/>
        </w:rPr>
        <w:t>100000/</w:t>
      </w:r>
      <w:r w:rsidR="00D346B3" w:rsidRPr="00E17D79">
        <w:rPr>
          <w:rFonts w:ascii="Book Antiqua" w:hAnsi="Book Antiqua" w:cs="Arial"/>
        </w:rPr>
        <w:t>μ</w:t>
      </w:r>
      <w:r w:rsidR="00A271AA" w:rsidRPr="00E17D79">
        <w:rPr>
          <w:rFonts w:ascii="Book Antiqua" w:hAnsi="Book Antiqua" w:cs="Arial"/>
          <w:lang w:val="en-US"/>
        </w:rPr>
        <w:t>L</w:t>
      </w:r>
      <w:r w:rsidR="005074E5" w:rsidRPr="00E17D79">
        <w:rPr>
          <w:rFonts w:ascii="Book Antiqua" w:hAnsi="Book Antiqua" w:cs="Arial"/>
          <w:lang w:val="en-GB"/>
        </w:rPr>
        <w:t>; absolute neutrophil count &lt;</w:t>
      </w:r>
      <w:r w:rsidR="00A271AA" w:rsidRPr="00E17D79">
        <w:rPr>
          <w:rFonts w:ascii="Book Antiqua" w:hAnsi="Book Antiqua" w:cs="Arial"/>
          <w:lang w:val="en-GB"/>
        </w:rPr>
        <w:t xml:space="preserve"> </w:t>
      </w:r>
      <w:r w:rsidR="005074E5" w:rsidRPr="00E17D79">
        <w:rPr>
          <w:rFonts w:ascii="Book Antiqua" w:hAnsi="Book Antiqua" w:cs="Arial"/>
          <w:lang w:val="en-GB"/>
        </w:rPr>
        <w:t>1000/</w:t>
      </w:r>
      <w:r w:rsidR="00D346B3" w:rsidRPr="00E17D79">
        <w:rPr>
          <w:rFonts w:ascii="Book Antiqua" w:hAnsi="Book Antiqua" w:cs="Arial"/>
        </w:rPr>
        <w:t>μ</w:t>
      </w:r>
      <w:r w:rsidR="00A271AA" w:rsidRPr="00E17D79">
        <w:rPr>
          <w:rFonts w:ascii="Book Antiqua" w:hAnsi="Book Antiqua" w:cs="Arial"/>
          <w:lang w:val="en-US"/>
        </w:rPr>
        <w:t>L</w:t>
      </w:r>
      <w:r w:rsidR="00C5222B" w:rsidRPr="00E17D79">
        <w:rPr>
          <w:rFonts w:ascii="Book Antiqua" w:hAnsi="Book Antiqua" w:cs="Arial"/>
          <w:lang w:val="en-US"/>
        </w:rPr>
        <w:t>]</w:t>
      </w:r>
      <w:r w:rsidR="00D64F3B" w:rsidRPr="00E17D79">
        <w:rPr>
          <w:rFonts w:ascii="Book Antiqua" w:hAnsi="Book Antiqua" w:cs="Arial"/>
          <w:lang w:val="en-GB"/>
        </w:rPr>
        <w:t>,</w:t>
      </w:r>
      <w:r w:rsidR="00BE50C3" w:rsidRPr="00E17D79">
        <w:rPr>
          <w:rFonts w:ascii="Book Antiqua" w:hAnsi="Book Antiqua" w:cs="Arial"/>
          <w:lang w:val="en-GB"/>
        </w:rPr>
        <w:t xml:space="preserve"> </w:t>
      </w:r>
      <w:r w:rsidR="00FB59F4" w:rsidRPr="00E17D79">
        <w:rPr>
          <w:rFonts w:ascii="Book Antiqua" w:hAnsi="Book Antiqua" w:cs="Arial"/>
          <w:lang w:val="en-GB"/>
        </w:rPr>
        <w:t xml:space="preserve">high serum </w:t>
      </w:r>
      <w:r w:rsidR="005074E5" w:rsidRPr="00E17D79">
        <w:rPr>
          <w:rFonts w:ascii="Book Antiqua" w:hAnsi="Book Antiqua" w:cs="Arial"/>
          <w:lang w:val="en-GB"/>
        </w:rPr>
        <w:t>triglycerid</w:t>
      </w:r>
      <w:r w:rsidR="00FB59F4" w:rsidRPr="00E17D79">
        <w:rPr>
          <w:rFonts w:ascii="Book Antiqua" w:hAnsi="Book Antiqua" w:cs="Arial"/>
          <w:lang w:val="en-GB"/>
        </w:rPr>
        <w:t>es</w:t>
      </w:r>
      <w:r w:rsidR="005074E5" w:rsidRPr="00E17D79">
        <w:rPr>
          <w:rFonts w:ascii="Book Antiqua" w:hAnsi="Book Antiqua" w:cs="Arial"/>
          <w:lang w:val="en-GB"/>
        </w:rPr>
        <w:t xml:space="preserve"> (fasting </w:t>
      </w:r>
      <w:r w:rsidR="00AD1EA0" w:rsidRPr="00E17D79">
        <w:rPr>
          <w:rFonts w:ascii="Book Antiqua" w:hAnsi="Book Antiqua" w:cs="Arial"/>
          <w:lang w:val="en-GB"/>
        </w:rPr>
        <w:t>triglycerides &gt;</w:t>
      </w:r>
      <w:r w:rsidR="00A271AA" w:rsidRPr="00E17D79">
        <w:rPr>
          <w:rFonts w:ascii="Book Antiqua" w:hAnsi="Book Antiqua" w:cs="Arial"/>
          <w:lang w:val="en-GB"/>
        </w:rPr>
        <w:t xml:space="preserve"> </w:t>
      </w:r>
      <w:r w:rsidR="00AD1EA0" w:rsidRPr="00E17D79">
        <w:rPr>
          <w:rFonts w:ascii="Book Antiqua" w:hAnsi="Book Antiqua" w:cs="Arial"/>
          <w:lang w:val="en-GB"/>
        </w:rPr>
        <w:t>265</w:t>
      </w:r>
      <w:r w:rsidR="00C5222B" w:rsidRPr="00E17D79">
        <w:rPr>
          <w:rFonts w:ascii="Book Antiqua" w:hAnsi="Book Antiqua" w:cs="Arial"/>
          <w:lang w:val="en-GB"/>
        </w:rPr>
        <w:t xml:space="preserve"> </w:t>
      </w:r>
      <w:r w:rsidR="005074E5" w:rsidRPr="00E17D79">
        <w:rPr>
          <w:rFonts w:ascii="Book Antiqua" w:hAnsi="Book Antiqua" w:cs="Arial"/>
          <w:lang w:val="en-GB"/>
        </w:rPr>
        <w:t xml:space="preserve">mg/dL) and/or </w:t>
      </w:r>
      <w:bookmarkStart w:id="146" w:name="_Hlk533069180"/>
      <w:r w:rsidR="00FB59F4" w:rsidRPr="00E17D79">
        <w:rPr>
          <w:rFonts w:ascii="Book Antiqua" w:hAnsi="Book Antiqua" w:cs="Arial"/>
          <w:lang w:val="en-GB"/>
        </w:rPr>
        <w:t xml:space="preserve">low </w:t>
      </w:r>
      <w:r w:rsidR="00AD1EA0" w:rsidRPr="00E17D79">
        <w:rPr>
          <w:rFonts w:ascii="Book Antiqua" w:hAnsi="Book Antiqua" w:cs="Arial"/>
          <w:lang w:val="en-GB"/>
        </w:rPr>
        <w:t>fibrinogen</w:t>
      </w:r>
      <w:bookmarkEnd w:id="146"/>
      <w:r w:rsidR="00AD1EA0" w:rsidRPr="00E17D79">
        <w:rPr>
          <w:rFonts w:ascii="Book Antiqua" w:hAnsi="Book Antiqua" w:cs="Arial"/>
          <w:lang w:val="en-GB"/>
        </w:rPr>
        <w:t xml:space="preserve"> </w:t>
      </w:r>
      <w:r w:rsidR="00FB59F4" w:rsidRPr="00E17D79">
        <w:rPr>
          <w:rFonts w:ascii="Book Antiqua" w:hAnsi="Book Antiqua" w:cs="Arial"/>
          <w:lang w:val="en-GB"/>
        </w:rPr>
        <w:t xml:space="preserve">levels </w:t>
      </w:r>
      <w:r w:rsidR="00AD1EA0" w:rsidRPr="00E17D79">
        <w:rPr>
          <w:rFonts w:ascii="Book Antiqua" w:hAnsi="Book Antiqua" w:cs="Arial"/>
          <w:lang w:val="en-GB"/>
        </w:rPr>
        <w:t>(fibrinogen</w:t>
      </w:r>
      <w:r w:rsidR="00BE50C3" w:rsidRPr="00E17D79">
        <w:rPr>
          <w:rFonts w:ascii="Book Antiqua" w:hAnsi="Book Antiqua" w:cs="Arial"/>
          <w:lang w:val="en-GB"/>
        </w:rPr>
        <w:t xml:space="preserve"> </w:t>
      </w:r>
      <w:r w:rsidR="00AD1EA0" w:rsidRPr="00E17D79">
        <w:rPr>
          <w:rFonts w:ascii="Book Antiqua" w:hAnsi="Book Antiqua" w:cs="Arial"/>
          <w:lang w:val="en-GB"/>
        </w:rPr>
        <w:t>&lt;</w:t>
      </w:r>
      <w:r w:rsidR="00A271AA" w:rsidRPr="00E17D79">
        <w:rPr>
          <w:rFonts w:ascii="Book Antiqua" w:hAnsi="Book Antiqua" w:cs="Arial"/>
          <w:lang w:val="en-GB"/>
        </w:rPr>
        <w:t xml:space="preserve"> </w:t>
      </w:r>
      <w:r w:rsidR="00AD1EA0" w:rsidRPr="00E17D79">
        <w:rPr>
          <w:rFonts w:ascii="Book Antiqua" w:hAnsi="Book Antiqua" w:cs="Arial"/>
          <w:lang w:val="en-GB"/>
        </w:rPr>
        <w:t>150</w:t>
      </w:r>
      <w:r w:rsidR="00C5222B" w:rsidRPr="00E17D79">
        <w:rPr>
          <w:rFonts w:ascii="Book Antiqua" w:hAnsi="Book Antiqua" w:cs="Arial"/>
          <w:lang w:val="en-GB"/>
        </w:rPr>
        <w:t xml:space="preserve"> </w:t>
      </w:r>
      <w:r w:rsidR="005074E5" w:rsidRPr="00E17D79">
        <w:rPr>
          <w:rFonts w:ascii="Book Antiqua" w:hAnsi="Book Antiqua" w:cs="Arial"/>
          <w:lang w:val="en-GB"/>
        </w:rPr>
        <w:t>mg/dL)</w:t>
      </w:r>
      <w:r w:rsidR="0021475D" w:rsidRPr="00E17D79">
        <w:rPr>
          <w:rFonts w:ascii="Book Antiqua" w:hAnsi="Book Antiqua" w:cs="Arial"/>
          <w:lang w:val="en-GB"/>
        </w:rPr>
        <w:t>, h</w:t>
      </w:r>
      <w:r w:rsidR="00ED1116" w:rsidRPr="00E17D79">
        <w:rPr>
          <w:rFonts w:ascii="Book Antiqua" w:hAnsi="Book Antiqua" w:cs="Arial"/>
          <w:lang w:val="en-GB"/>
        </w:rPr>
        <w:t>a</w:t>
      </w:r>
      <w:r w:rsidR="005074E5" w:rsidRPr="00E17D79">
        <w:rPr>
          <w:rFonts w:ascii="Book Antiqua" w:hAnsi="Book Antiqua" w:cs="Arial"/>
          <w:lang w:val="en-GB"/>
        </w:rPr>
        <w:t>emophagocytosis</w:t>
      </w:r>
      <w:r w:rsidR="00BE50C3" w:rsidRPr="00E17D79">
        <w:rPr>
          <w:rFonts w:ascii="Book Antiqua" w:hAnsi="Book Antiqua" w:cs="Arial"/>
          <w:lang w:val="en-GB"/>
        </w:rPr>
        <w:t xml:space="preserve"> </w:t>
      </w:r>
      <w:r w:rsidR="00E202FC" w:rsidRPr="00E17D79">
        <w:rPr>
          <w:rFonts w:ascii="Book Antiqua" w:hAnsi="Book Antiqua" w:cs="Arial"/>
          <w:lang w:val="en-GB"/>
        </w:rPr>
        <w:t>(</w:t>
      </w:r>
      <w:r w:rsidR="00C5222B" w:rsidRPr="00E17D79">
        <w:rPr>
          <w:rFonts w:ascii="Book Antiqua" w:hAnsi="Book Antiqua" w:cs="Arial"/>
          <w:lang w:val="en-GB"/>
        </w:rPr>
        <w:t xml:space="preserve">showed </w:t>
      </w:r>
      <w:r w:rsidR="005074E5" w:rsidRPr="00E17D79">
        <w:rPr>
          <w:rFonts w:ascii="Book Antiqua" w:hAnsi="Book Antiqua" w:cs="Arial"/>
          <w:lang w:val="en-GB"/>
        </w:rPr>
        <w:t xml:space="preserve">in </w:t>
      </w:r>
      <w:bookmarkStart w:id="147" w:name="_Hlk533075197"/>
      <w:r w:rsidR="005074E5" w:rsidRPr="00E17D79">
        <w:rPr>
          <w:rFonts w:ascii="Book Antiqua" w:hAnsi="Book Antiqua" w:cs="Arial"/>
          <w:lang w:val="en-GB"/>
        </w:rPr>
        <w:t>bone mar</w:t>
      </w:r>
      <w:r w:rsidR="00F771A5" w:rsidRPr="00E17D79">
        <w:rPr>
          <w:rFonts w:ascii="Book Antiqua" w:hAnsi="Book Antiqua" w:cs="Arial"/>
          <w:lang w:val="en-GB"/>
        </w:rPr>
        <w:t xml:space="preserve">row, </w:t>
      </w:r>
      <w:r w:rsidR="005074E5" w:rsidRPr="00E17D79">
        <w:rPr>
          <w:rFonts w:ascii="Book Antiqua" w:hAnsi="Book Antiqua" w:cs="Arial"/>
          <w:lang w:val="en-GB"/>
        </w:rPr>
        <w:t>lymph node, or liver</w:t>
      </w:r>
      <w:bookmarkEnd w:id="147"/>
      <w:r w:rsidR="00C5222B" w:rsidRPr="00E17D79">
        <w:rPr>
          <w:rFonts w:ascii="Book Antiqua" w:hAnsi="Book Antiqua" w:cs="Arial"/>
          <w:lang w:val="en-GB"/>
        </w:rPr>
        <w:t xml:space="preserve"> specimens</w:t>
      </w:r>
      <w:r w:rsidR="00E202FC" w:rsidRPr="00E17D79">
        <w:rPr>
          <w:rFonts w:ascii="Book Antiqua" w:hAnsi="Book Antiqua" w:cs="Arial"/>
          <w:lang w:val="en-GB"/>
        </w:rPr>
        <w:t>)</w:t>
      </w:r>
      <w:r w:rsidR="0021475D" w:rsidRPr="00E17D79">
        <w:rPr>
          <w:rFonts w:ascii="Book Antiqua" w:hAnsi="Book Antiqua" w:cs="Arial"/>
          <w:lang w:val="en-GB"/>
        </w:rPr>
        <w:t>, l</w:t>
      </w:r>
      <w:r w:rsidR="005074E5" w:rsidRPr="00E17D79">
        <w:rPr>
          <w:rFonts w:ascii="Book Antiqua" w:hAnsi="Book Antiqua" w:cs="Arial"/>
          <w:lang w:val="en-GB"/>
        </w:rPr>
        <w:t>ow or absent NK cell activity</w:t>
      </w:r>
      <w:r w:rsidR="00AD1EA0" w:rsidRPr="00E17D79">
        <w:rPr>
          <w:rFonts w:ascii="Book Antiqua" w:hAnsi="Book Antiqua" w:cs="Arial"/>
          <w:lang w:val="en-GB"/>
        </w:rPr>
        <w:t>, ferritin &gt;</w:t>
      </w:r>
      <w:r w:rsidR="00673751" w:rsidRPr="00E17D79">
        <w:rPr>
          <w:rFonts w:ascii="Book Antiqua" w:hAnsi="Book Antiqua" w:cs="Arial"/>
          <w:lang w:val="en-GB"/>
        </w:rPr>
        <w:t xml:space="preserve"> </w:t>
      </w:r>
      <w:r w:rsidR="00AD1EA0" w:rsidRPr="00E17D79">
        <w:rPr>
          <w:rFonts w:ascii="Book Antiqua" w:hAnsi="Book Antiqua" w:cs="Arial"/>
          <w:lang w:val="en-GB"/>
        </w:rPr>
        <w:t>500</w:t>
      </w:r>
      <w:r w:rsidR="00C5222B" w:rsidRPr="00E17D79">
        <w:rPr>
          <w:rFonts w:ascii="Book Antiqua" w:hAnsi="Book Antiqua" w:cs="Arial"/>
          <w:lang w:val="en-GB"/>
        </w:rPr>
        <w:t xml:space="preserve"> </w:t>
      </w:r>
      <w:r w:rsidR="0021475D" w:rsidRPr="00E17D79">
        <w:rPr>
          <w:rFonts w:ascii="Book Antiqua" w:hAnsi="Book Antiqua" w:cs="Arial"/>
          <w:lang w:val="en-GB"/>
        </w:rPr>
        <w:t xml:space="preserve">ng/mL, </w:t>
      </w:r>
      <w:r w:rsidR="00D64F3B" w:rsidRPr="00E17D79">
        <w:rPr>
          <w:rFonts w:ascii="Book Antiqua" w:hAnsi="Book Antiqua" w:cs="Arial"/>
          <w:lang w:val="en-GB"/>
        </w:rPr>
        <w:t xml:space="preserve">and </w:t>
      </w:r>
      <w:r w:rsidR="0021475D" w:rsidRPr="00E17D79">
        <w:rPr>
          <w:rFonts w:ascii="Book Antiqua" w:hAnsi="Book Antiqua" w:cs="Arial"/>
          <w:lang w:val="en-GB"/>
        </w:rPr>
        <w:t>e</w:t>
      </w:r>
      <w:r w:rsidR="005074E5" w:rsidRPr="00E17D79">
        <w:rPr>
          <w:rFonts w:ascii="Book Antiqua" w:hAnsi="Book Antiqua" w:cs="Arial"/>
          <w:lang w:val="en-GB"/>
        </w:rPr>
        <w:t xml:space="preserve">levated soluble CD25 (soluble IL-2 receptor alpha) </w:t>
      </w:r>
      <w:r w:rsidR="00593B76" w:rsidRPr="00E17D79">
        <w:rPr>
          <w:rFonts w:ascii="Book Antiqua" w:hAnsi="Book Antiqua" w:cs="Arial"/>
          <w:lang w:val="en-GB"/>
        </w:rPr>
        <w:t xml:space="preserve">above </w:t>
      </w:r>
      <w:r w:rsidR="005074E5" w:rsidRPr="00E17D79">
        <w:rPr>
          <w:rFonts w:ascii="Book Antiqua" w:hAnsi="Book Antiqua" w:cs="Arial"/>
          <w:lang w:val="en-GB"/>
        </w:rPr>
        <w:t xml:space="preserve">two </w:t>
      </w:r>
      <w:r w:rsidR="00E359FF">
        <w:rPr>
          <w:rFonts w:ascii="Book Antiqua" w:hAnsi="Book Antiqua" w:cs="Arial"/>
          <w:lang w:val="en-GB"/>
        </w:rPr>
        <w:t>SD</w:t>
      </w:r>
      <w:r w:rsidR="00E47B90" w:rsidRPr="00E17D79">
        <w:rPr>
          <w:rFonts w:ascii="Book Antiqua" w:hAnsi="Book Antiqua" w:cs="Arial"/>
          <w:lang w:val="en-GB"/>
        </w:rPr>
        <w:t xml:space="preserve"> </w:t>
      </w:r>
      <w:r w:rsidR="00593B76" w:rsidRPr="00E17D79">
        <w:rPr>
          <w:rFonts w:ascii="Book Antiqua" w:hAnsi="Book Antiqua" w:cs="Arial"/>
          <w:lang w:val="en-GB"/>
        </w:rPr>
        <w:t>the</w:t>
      </w:r>
      <w:r w:rsidR="005074E5" w:rsidRPr="00E17D79">
        <w:rPr>
          <w:rFonts w:ascii="Book Antiqua" w:hAnsi="Book Antiqua" w:cs="Arial"/>
          <w:lang w:val="en-GB"/>
        </w:rPr>
        <w:t xml:space="preserve"> age-adjusted laboratory-specific norms</w:t>
      </w:r>
      <w:r w:rsidR="0021475D" w:rsidRPr="00E17D79">
        <w:rPr>
          <w:rFonts w:ascii="Book Antiqua" w:hAnsi="Book Antiqua" w:cs="Arial"/>
          <w:lang w:val="en-GB"/>
        </w:rPr>
        <w:t>.</w:t>
      </w:r>
    </w:p>
    <w:p w14:paraId="16D183A6" w14:textId="3AC53601" w:rsidR="00E82BF5" w:rsidRPr="00E17D79" w:rsidRDefault="00FB59F4"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Serum l</w:t>
      </w:r>
      <w:r w:rsidR="005C6827" w:rsidRPr="00E17D79">
        <w:rPr>
          <w:rFonts w:ascii="Book Antiqua" w:hAnsi="Book Antiqua" w:cs="Arial"/>
          <w:lang w:val="en-GB"/>
        </w:rPr>
        <w:t xml:space="preserve">evels of aspartate aminotransferase, alanine aminotransferase (ALT), </w:t>
      </w:r>
      <w:r w:rsidR="008F05C4" w:rsidRPr="00E17D79">
        <w:rPr>
          <w:rFonts w:ascii="Book Antiqua" w:hAnsi="Book Antiqua" w:cs="Arial"/>
          <w:lang w:val="en-GB"/>
        </w:rPr>
        <w:t xml:space="preserve">gamma-glutamyl transferase, alkaline phosphatase, </w:t>
      </w:r>
      <w:r w:rsidR="00EC4AC3" w:rsidRPr="00E17D79">
        <w:rPr>
          <w:rFonts w:ascii="Book Antiqua" w:hAnsi="Book Antiqua" w:cs="Arial"/>
          <w:lang w:val="en-GB"/>
        </w:rPr>
        <w:t xml:space="preserve">lactate dehydrogenase, </w:t>
      </w:r>
      <w:r w:rsidR="005C6827" w:rsidRPr="00E17D79">
        <w:rPr>
          <w:rFonts w:ascii="Book Antiqua" w:hAnsi="Book Antiqua" w:cs="Arial"/>
          <w:lang w:val="en-GB"/>
        </w:rPr>
        <w:t xml:space="preserve">C-reactive protein, </w:t>
      </w:r>
      <w:r w:rsidR="003C547F" w:rsidRPr="00E17D79">
        <w:rPr>
          <w:rFonts w:ascii="Book Antiqua" w:hAnsi="Book Antiqua" w:cs="Arial"/>
          <w:lang w:val="en-GB"/>
        </w:rPr>
        <w:t xml:space="preserve">ferritin, </w:t>
      </w:r>
      <w:r w:rsidR="00565BE6" w:rsidRPr="00E17D79">
        <w:rPr>
          <w:rFonts w:ascii="Book Antiqua" w:hAnsi="Book Antiqua" w:cs="Arial"/>
          <w:lang w:val="en-GB"/>
        </w:rPr>
        <w:t xml:space="preserve">triglycerides, </w:t>
      </w:r>
      <w:r w:rsidR="00691437" w:rsidRPr="00E17D79">
        <w:rPr>
          <w:rFonts w:ascii="Book Antiqua" w:hAnsi="Book Antiqua" w:cs="Arial"/>
          <w:lang w:val="en-GB"/>
        </w:rPr>
        <w:t xml:space="preserve">fibrinogen, </w:t>
      </w:r>
      <w:r w:rsidR="005C6827" w:rsidRPr="00E17D79">
        <w:rPr>
          <w:rFonts w:ascii="Book Antiqua" w:hAnsi="Book Antiqua" w:cs="Arial"/>
          <w:lang w:val="en-GB"/>
        </w:rPr>
        <w:t>and the erythrocyte sedimentation rate were determined</w:t>
      </w:r>
      <w:r w:rsidR="00673751" w:rsidRPr="00E17D79">
        <w:rPr>
          <w:rFonts w:ascii="Book Antiqua" w:hAnsi="Book Antiqua" w:cs="Arial"/>
          <w:lang w:val="en-GB"/>
        </w:rPr>
        <w:t xml:space="preserve"> </w:t>
      </w:r>
      <w:r w:rsidR="005C6827" w:rsidRPr="00E17D79">
        <w:rPr>
          <w:rFonts w:ascii="Book Antiqua" w:hAnsi="Book Antiqua" w:cs="Arial"/>
          <w:lang w:val="en-GB"/>
        </w:rPr>
        <w:t>using standard techniques.</w:t>
      </w:r>
      <w:r w:rsidR="00593B76" w:rsidRPr="00E17D79">
        <w:rPr>
          <w:rFonts w:ascii="Book Antiqua" w:hAnsi="Book Antiqua" w:cs="Arial"/>
          <w:lang w:val="en-GB"/>
        </w:rPr>
        <w:t xml:space="preserve"> Available b</w:t>
      </w:r>
      <w:r w:rsidR="00E82BF5" w:rsidRPr="00E17D79">
        <w:rPr>
          <w:rFonts w:ascii="Book Antiqua" w:hAnsi="Book Antiqua" w:cs="Arial"/>
          <w:lang w:val="en-GB"/>
        </w:rPr>
        <w:t>iopsy speci</w:t>
      </w:r>
      <w:r w:rsidR="00593B76" w:rsidRPr="00E17D79">
        <w:rPr>
          <w:rFonts w:ascii="Book Antiqua" w:hAnsi="Book Antiqua" w:cs="Arial"/>
          <w:lang w:val="en-GB"/>
        </w:rPr>
        <w:t>mens from bone marrow,</w:t>
      </w:r>
      <w:r w:rsidR="00E82BF5" w:rsidRPr="00E17D79">
        <w:rPr>
          <w:rFonts w:ascii="Book Antiqua" w:hAnsi="Book Antiqua" w:cs="Arial"/>
          <w:lang w:val="en-GB"/>
        </w:rPr>
        <w:t xml:space="preserve"> lymph node or liver were peer examined by two experienced pathologists.</w:t>
      </w:r>
    </w:p>
    <w:p w14:paraId="7EB44095" w14:textId="4B2E2903" w:rsidR="003337D2" w:rsidRPr="00E17D79" w:rsidRDefault="002C59F1"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Clinical response was assessed at the completion of treatment and was defined as cure (</w:t>
      </w:r>
      <w:r w:rsidR="00BA7A6A" w:rsidRPr="00E17D79">
        <w:rPr>
          <w:rFonts w:ascii="Book Antiqua" w:hAnsi="Book Antiqua" w:cs="Arial"/>
          <w:lang w:val="en-US"/>
        </w:rPr>
        <w:t>absence of fever</w:t>
      </w:r>
      <w:r w:rsidR="00BA7A6A" w:rsidRPr="00E17D79">
        <w:rPr>
          <w:rFonts w:ascii="Book Antiqua" w:hAnsi="Book Antiqua" w:cs="Arial"/>
          <w:lang w:val="en-GB"/>
        </w:rPr>
        <w:t xml:space="preserve"> </w:t>
      </w:r>
      <w:r w:rsidR="00D346B3" w:rsidRPr="00E17D79">
        <w:rPr>
          <w:rFonts w:ascii="Book Antiqua" w:hAnsi="Book Antiqua" w:cs="Arial"/>
          <w:lang w:val="en-GB"/>
        </w:rPr>
        <w:t xml:space="preserve">and </w:t>
      </w:r>
      <w:r w:rsidRPr="00E17D79">
        <w:rPr>
          <w:rFonts w:ascii="Book Antiqua" w:hAnsi="Book Antiqua" w:cs="Arial"/>
          <w:lang w:val="en-GB"/>
        </w:rPr>
        <w:t>resto</w:t>
      </w:r>
      <w:r w:rsidR="002606C6" w:rsidRPr="00E17D79">
        <w:rPr>
          <w:rFonts w:ascii="Book Antiqua" w:hAnsi="Book Antiqua" w:cs="Arial"/>
          <w:lang w:val="en-GB"/>
        </w:rPr>
        <w:t xml:space="preserve">ration of </w:t>
      </w:r>
      <w:r w:rsidR="00BA7A6A" w:rsidRPr="00E17D79">
        <w:rPr>
          <w:rFonts w:ascii="Book Antiqua" w:hAnsi="Book Antiqua" w:cs="Arial"/>
          <w:lang w:val="en-GB"/>
        </w:rPr>
        <w:t xml:space="preserve">the </w:t>
      </w:r>
      <w:r w:rsidR="007C035C" w:rsidRPr="00E17D79">
        <w:rPr>
          <w:rFonts w:ascii="Book Antiqua" w:hAnsi="Book Antiqua" w:cs="Arial"/>
          <w:lang w:val="en-GB"/>
        </w:rPr>
        <w:t>abnormal</w:t>
      </w:r>
      <w:r w:rsidR="00E47B90" w:rsidRPr="00E17D79">
        <w:rPr>
          <w:rFonts w:ascii="Book Antiqua" w:hAnsi="Book Antiqua" w:cs="Arial"/>
          <w:lang w:val="en-GB"/>
        </w:rPr>
        <w:t xml:space="preserve"> </w:t>
      </w:r>
      <w:r w:rsidR="002606C6" w:rsidRPr="00E17D79">
        <w:rPr>
          <w:rFonts w:ascii="Book Antiqua" w:hAnsi="Book Antiqua" w:cs="Arial"/>
          <w:lang w:val="en-GB"/>
        </w:rPr>
        <w:t>laboratory parameters</w:t>
      </w:r>
      <w:r w:rsidR="00E47B90" w:rsidRPr="00E17D79">
        <w:rPr>
          <w:rFonts w:ascii="Book Antiqua" w:hAnsi="Book Antiqua" w:cs="Arial"/>
          <w:lang w:val="en-GB"/>
        </w:rPr>
        <w:t xml:space="preserve"> </w:t>
      </w:r>
      <w:r w:rsidR="007C035C" w:rsidRPr="00E17D79">
        <w:rPr>
          <w:rFonts w:ascii="Book Antiqua" w:hAnsi="Book Antiqua" w:cs="Arial"/>
          <w:i/>
          <w:lang w:val="en-GB"/>
        </w:rPr>
        <w:t>i.e.</w:t>
      </w:r>
      <w:r w:rsidR="00A271AA" w:rsidRPr="00E17D79">
        <w:rPr>
          <w:rFonts w:ascii="Book Antiqua" w:hAnsi="Book Antiqua" w:cs="Arial"/>
          <w:iCs/>
          <w:lang w:val="en-GB"/>
        </w:rPr>
        <w:t>,</w:t>
      </w:r>
      <w:r w:rsidR="007C035C" w:rsidRPr="00E17D79">
        <w:rPr>
          <w:rFonts w:ascii="Book Antiqua" w:hAnsi="Book Antiqua" w:cs="Arial"/>
          <w:lang w:val="en-GB"/>
        </w:rPr>
        <w:t xml:space="preserve"> peripheral blood cytopenias, </w:t>
      </w:r>
      <w:r w:rsidR="00FB59F4" w:rsidRPr="00E17D79">
        <w:rPr>
          <w:rFonts w:ascii="Book Antiqua" w:hAnsi="Book Antiqua" w:cs="Arial"/>
          <w:lang w:val="en-GB"/>
        </w:rPr>
        <w:t xml:space="preserve">high </w:t>
      </w:r>
      <w:r w:rsidR="007C035C" w:rsidRPr="00E17D79">
        <w:rPr>
          <w:rFonts w:ascii="Book Antiqua" w:hAnsi="Book Antiqua" w:cs="Arial"/>
          <w:lang w:val="en-GB"/>
        </w:rPr>
        <w:t>triglycerid</w:t>
      </w:r>
      <w:r w:rsidR="00FB59F4" w:rsidRPr="00E17D79">
        <w:rPr>
          <w:rFonts w:ascii="Book Antiqua" w:hAnsi="Book Antiqua" w:cs="Arial"/>
          <w:lang w:val="en-GB"/>
        </w:rPr>
        <w:t>es</w:t>
      </w:r>
      <w:r w:rsidR="007C035C" w:rsidRPr="00E17D79">
        <w:rPr>
          <w:rFonts w:ascii="Book Antiqua" w:hAnsi="Book Antiqua" w:cs="Arial"/>
          <w:lang w:val="en-GB"/>
        </w:rPr>
        <w:t xml:space="preserve">, </w:t>
      </w:r>
      <w:r w:rsidR="00FB59F4" w:rsidRPr="00E17D79">
        <w:rPr>
          <w:rFonts w:ascii="Book Antiqua" w:hAnsi="Book Antiqua" w:cs="Arial"/>
          <w:lang w:val="en-GB"/>
        </w:rPr>
        <w:t xml:space="preserve">low </w:t>
      </w:r>
      <w:r w:rsidR="004975A5" w:rsidRPr="00E17D79">
        <w:rPr>
          <w:rFonts w:ascii="Book Antiqua" w:hAnsi="Book Antiqua" w:cs="Arial"/>
          <w:lang w:val="en-GB"/>
        </w:rPr>
        <w:t>fibrinogen, ferritin &gt;</w:t>
      </w:r>
      <w:r w:rsidR="00A271AA" w:rsidRPr="00E17D79">
        <w:rPr>
          <w:rFonts w:ascii="Book Antiqua" w:hAnsi="Book Antiqua" w:cs="Arial"/>
          <w:lang w:val="en-GB"/>
        </w:rPr>
        <w:t xml:space="preserve"> </w:t>
      </w:r>
      <w:r w:rsidR="004975A5" w:rsidRPr="00E17D79">
        <w:rPr>
          <w:rFonts w:ascii="Book Antiqua" w:hAnsi="Book Antiqua" w:cs="Arial"/>
          <w:lang w:val="en-GB"/>
        </w:rPr>
        <w:t>500</w:t>
      </w:r>
      <w:r w:rsidR="00A271AA" w:rsidRPr="00E17D79">
        <w:rPr>
          <w:rFonts w:ascii="Book Antiqua" w:hAnsi="Book Antiqua" w:cs="Arial"/>
          <w:lang w:val="en-GB"/>
        </w:rPr>
        <w:t xml:space="preserve"> </w:t>
      </w:r>
      <w:r w:rsidR="007C035C" w:rsidRPr="00E17D79">
        <w:rPr>
          <w:rFonts w:ascii="Book Antiqua" w:hAnsi="Book Antiqua" w:cs="Arial"/>
          <w:lang w:val="en-GB"/>
        </w:rPr>
        <w:t>ng/mL</w:t>
      </w:r>
      <w:r w:rsidRPr="00E17D79">
        <w:rPr>
          <w:rFonts w:ascii="Book Antiqua" w:hAnsi="Book Antiqua" w:cs="Arial"/>
          <w:lang w:val="en-GB"/>
        </w:rPr>
        <w:t>) or failure (persistent or worsening of clinical and laboratory findings).</w:t>
      </w:r>
    </w:p>
    <w:p w14:paraId="641E86B1" w14:textId="3D4D46F3" w:rsidR="00F2630F" w:rsidRPr="00E17D79" w:rsidRDefault="00EE4E7D" w:rsidP="00E17D79">
      <w:pPr>
        <w:spacing w:line="360" w:lineRule="auto"/>
        <w:ind w:firstLineChars="100" w:firstLine="240"/>
        <w:jc w:val="both"/>
        <w:rPr>
          <w:rFonts w:ascii="Book Antiqua" w:hAnsi="Book Antiqua" w:cs="Arial"/>
          <w:shd w:val="clear" w:color="auto" w:fill="FFFFFF"/>
          <w:lang w:val="en-US"/>
        </w:rPr>
      </w:pPr>
      <w:r w:rsidRPr="00E17D79">
        <w:rPr>
          <w:rFonts w:ascii="Book Antiqua" w:hAnsi="Book Antiqua" w:cs="Arial"/>
          <w:lang w:val="en-US"/>
        </w:rPr>
        <w:t xml:space="preserve">The ethical committee of </w:t>
      </w:r>
      <w:r w:rsidR="00BA7A6A" w:rsidRPr="00E17D79">
        <w:rPr>
          <w:rFonts w:ascii="Book Antiqua" w:hAnsi="Book Antiqua" w:cs="Arial"/>
          <w:lang w:val="en-US"/>
        </w:rPr>
        <w:t xml:space="preserve">the </w:t>
      </w:r>
      <w:r w:rsidRPr="00E17D79">
        <w:rPr>
          <w:rFonts w:ascii="Book Antiqua" w:hAnsi="Book Antiqua" w:cs="Arial"/>
          <w:lang w:val="en-US"/>
        </w:rPr>
        <w:t xml:space="preserve">University Hospital </w:t>
      </w:r>
      <w:r w:rsidR="00BA7A6A" w:rsidRPr="00E17D79">
        <w:rPr>
          <w:rFonts w:ascii="Book Antiqua" w:hAnsi="Book Antiqua" w:cs="Arial"/>
          <w:lang w:val="en-US"/>
        </w:rPr>
        <w:t xml:space="preserve">of Larissa </w:t>
      </w:r>
      <w:r w:rsidRPr="00E17D79">
        <w:rPr>
          <w:rFonts w:ascii="Book Antiqua" w:hAnsi="Book Antiqua" w:cs="Arial"/>
          <w:lang w:val="en-US"/>
        </w:rPr>
        <w:t>approved the protocol which</w:t>
      </w:r>
      <w:r w:rsidRPr="00E17D79">
        <w:rPr>
          <w:rFonts w:ascii="Book Antiqua" w:hAnsi="Book Antiqua" w:cs="Arial"/>
          <w:shd w:val="clear" w:color="auto" w:fill="FFFFFF"/>
          <w:lang w:val="en-US"/>
        </w:rPr>
        <w:t xml:space="preserve"> conforms to the ethical guidelines of the 1975 Declaration of Helsinki as reflected in a priori approval by the institution's human research committee.</w:t>
      </w:r>
      <w:r w:rsidR="00E47B90" w:rsidRPr="00E17D79">
        <w:rPr>
          <w:rFonts w:ascii="Book Antiqua" w:hAnsi="Book Antiqua" w:cs="Arial"/>
          <w:shd w:val="clear" w:color="auto" w:fill="FFFFFF"/>
          <w:lang w:val="en-US"/>
        </w:rPr>
        <w:t xml:space="preserve"> </w:t>
      </w:r>
      <w:r w:rsidR="00DE08AF" w:rsidRPr="00E17D79">
        <w:rPr>
          <w:rFonts w:ascii="Book Antiqua" w:hAnsi="Book Antiqua" w:cs="Arial"/>
          <w:lang w:val="en-US"/>
        </w:rPr>
        <w:t>Patients</w:t>
      </w:r>
      <w:r w:rsidR="00E47B90" w:rsidRPr="00E17D79">
        <w:rPr>
          <w:rFonts w:ascii="Book Antiqua" w:hAnsi="Book Antiqua" w:cs="Arial"/>
          <w:lang w:val="en-US"/>
        </w:rPr>
        <w:t xml:space="preserve"> </w:t>
      </w:r>
      <w:r w:rsidR="00530A41" w:rsidRPr="00E17D79">
        <w:rPr>
          <w:rFonts w:ascii="Book Antiqua" w:hAnsi="Book Antiqua"/>
          <w:lang w:val="en-GB"/>
        </w:rPr>
        <w:t xml:space="preserve">agreed to </w:t>
      </w:r>
      <w:r w:rsidR="00BA7A6A" w:rsidRPr="00E17D79">
        <w:rPr>
          <w:rFonts w:ascii="Book Antiqua" w:hAnsi="Book Antiqua"/>
          <w:lang w:val="en-GB"/>
        </w:rPr>
        <w:t xml:space="preserve">receive the </w:t>
      </w:r>
      <w:r w:rsidR="00530A41" w:rsidRPr="00E17D79">
        <w:rPr>
          <w:rFonts w:ascii="Book Antiqua" w:hAnsi="Book Antiqua"/>
          <w:lang w:val="en-GB"/>
        </w:rPr>
        <w:t xml:space="preserve">treatment </w:t>
      </w:r>
      <w:r w:rsidR="00E47B90" w:rsidRPr="00E17D79">
        <w:rPr>
          <w:rFonts w:ascii="Book Antiqua" w:hAnsi="Book Antiqua"/>
          <w:lang w:val="en-GB"/>
        </w:rPr>
        <w:t xml:space="preserve">schedule </w:t>
      </w:r>
      <w:r w:rsidR="00530A41" w:rsidRPr="00E17D79">
        <w:rPr>
          <w:rFonts w:ascii="Book Antiqua" w:hAnsi="Book Antiqua"/>
          <w:lang w:val="en-GB"/>
        </w:rPr>
        <w:t xml:space="preserve">by written </w:t>
      </w:r>
      <w:r w:rsidR="00530A41" w:rsidRPr="00E17D79">
        <w:rPr>
          <w:rFonts w:ascii="Book Antiqua" w:hAnsi="Book Antiqua"/>
          <w:lang w:val="en-GB"/>
        </w:rPr>
        <w:lastRenderedPageBreak/>
        <w:t>consent</w:t>
      </w:r>
      <w:r w:rsidR="00D346B3" w:rsidRPr="00E17D79">
        <w:rPr>
          <w:rFonts w:ascii="Book Antiqua" w:hAnsi="Book Antiqua" w:cs="Arial"/>
          <w:lang w:val="en-US"/>
        </w:rPr>
        <w:t xml:space="preserve"> at the time of interview. </w:t>
      </w:r>
      <w:r w:rsidR="00DE08AF" w:rsidRPr="00E17D79">
        <w:rPr>
          <w:rFonts w:ascii="Book Antiqua" w:hAnsi="Book Antiqua" w:cs="Arial"/>
          <w:lang w:val="en-US"/>
        </w:rPr>
        <w:t>In case patients were not able to give consent (</w:t>
      </w:r>
      <w:r w:rsidR="00DE08AF" w:rsidRPr="00E17D79">
        <w:rPr>
          <w:rFonts w:ascii="Book Antiqua" w:hAnsi="Book Antiqua" w:cs="Arial"/>
          <w:i/>
          <w:lang w:val="en-US"/>
        </w:rPr>
        <w:t>e.g.</w:t>
      </w:r>
      <w:r w:rsidR="00DE08AF" w:rsidRPr="00E17D79">
        <w:rPr>
          <w:rFonts w:ascii="Book Antiqua" w:hAnsi="Book Antiqua" w:cs="Arial"/>
          <w:lang w:val="en-US"/>
        </w:rPr>
        <w:t xml:space="preserve"> critically ill patients), a first-degree relative authorized to give consent.</w:t>
      </w:r>
    </w:p>
    <w:p w14:paraId="02222A2B" w14:textId="77777777" w:rsidR="00F927E6" w:rsidRPr="00E17D79" w:rsidRDefault="00F927E6" w:rsidP="00E17D79">
      <w:pPr>
        <w:spacing w:line="360" w:lineRule="auto"/>
        <w:jc w:val="both"/>
        <w:rPr>
          <w:rFonts w:ascii="Book Antiqua" w:hAnsi="Book Antiqua" w:cs="Arial"/>
          <w:lang w:val="en-US"/>
        </w:rPr>
      </w:pPr>
    </w:p>
    <w:p w14:paraId="73B85C61" w14:textId="55CC977B" w:rsidR="00533ABF" w:rsidRPr="00E17D79" w:rsidRDefault="002149EE" w:rsidP="00E17D79">
      <w:pPr>
        <w:spacing w:line="360" w:lineRule="auto"/>
        <w:jc w:val="both"/>
        <w:rPr>
          <w:rFonts w:ascii="Book Antiqua" w:hAnsi="Book Antiqua" w:cs="Arial"/>
          <w:b/>
          <w:bCs/>
          <w:i/>
          <w:lang w:val="en-GB"/>
        </w:rPr>
      </w:pPr>
      <w:r w:rsidRPr="00E17D79">
        <w:rPr>
          <w:rFonts w:ascii="Book Antiqua" w:hAnsi="Book Antiqua" w:cs="Arial"/>
          <w:b/>
          <w:bCs/>
          <w:i/>
          <w:lang w:val="en-GB"/>
        </w:rPr>
        <w:t xml:space="preserve">Statistical </w:t>
      </w:r>
      <w:r w:rsidR="00E359FF" w:rsidRPr="00E17D79">
        <w:rPr>
          <w:rFonts w:ascii="Book Antiqua" w:hAnsi="Book Antiqua" w:cs="Arial"/>
          <w:b/>
          <w:bCs/>
          <w:i/>
          <w:lang w:val="en-GB"/>
        </w:rPr>
        <w:t>analysis</w:t>
      </w:r>
    </w:p>
    <w:p w14:paraId="02BCEE41" w14:textId="1D999A95" w:rsidR="002149EE" w:rsidRPr="00E17D79" w:rsidRDefault="002149EE" w:rsidP="00E17D79">
      <w:pPr>
        <w:spacing w:line="360" w:lineRule="auto"/>
        <w:jc w:val="both"/>
        <w:rPr>
          <w:rFonts w:ascii="Book Antiqua" w:hAnsi="Book Antiqua"/>
        </w:rPr>
      </w:pPr>
      <w:r w:rsidRPr="00E17D79">
        <w:rPr>
          <w:rFonts w:ascii="Book Antiqua" w:hAnsi="Book Antiqua" w:cs="Arial"/>
          <w:lang w:val="en-GB"/>
        </w:rPr>
        <w:t>Kolmogorov-Smirnov test was used to assess th</w:t>
      </w:r>
      <w:r w:rsidR="00E924B1" w:rsidRPr="00E17D79">
        <w:rPr>
          <w:rFonts w:ascii="Book Antiqua" w:hAnsi="Book Antiqua" w:cs="Arial"/>
          <w:lang w:val="en-GB"/>
        </w:rPr>
        <w:t xml:space="preserve">e normality of the distribution </w:t>
      </w:r>
      <w:r w:rsidRPr="00E17D79">
        <w:rPr>
          <w:rFonts w:ascii="Book Antiqua" w:hAnsi="Book Antiqua" w:cs="Arial"/>
          <w:lang w:val="en-GB"/>
        </w:rPr>
        <w:t>of variables</w:t>
      </w:r>
      <w:r w:rsidR="00BA7A6A" w:rsidRPr="00E17D79">
        <w:rPr>
          <w:rFonts w:ascii="Book Antiqua" w:hAnsi="Book Antiqua" w:cs="Arial"/>
          <w:lang w:val="en-GB"/>
        </w:rPr>
        <w:t>.</w:t>
      </w:r>
      <w:r w:rsidRPr="00E17D79">
        <w:rPr>
          <w:rFonts w:ascii="Book Antiqua" w:hAnsi="Book Antiqua" w:cs="Arial"/>
          <w:lang w:val="en-GB"/>
        </w:rPr>
        <w:t xml:space="preserve"> </w:t>
      </w:r>
      <w:r w:rsidR="00BA7A6A" w:rsidRPr="00E17D79">
        <w:rPr>
          <w:rFonts w:ascii="Book Antiqua" w:hAnsi="Book Antiqua" w:cs="Arial"/>
          <w:lang w:val="en-GB"/>
        </w:rPr>
        <w:t>Q</w:t>
      </w:r>
      <w:r w:rsidRPr="00E17D79">
        <w:rPr>
          <w:rFonts w:ascii="Book Antiqua" w:hAnsi="Book Antiqua" w:cs="Arial"/>
          <w:lang w:val="en-GB"/>
        </w:rPr>
        <w:t>uantitative values are expressed as</w:t>
      </w:r>
      <w:r w:rsidR="00E47B90" w:rsidRPr="00E17D79">
        <w:rPr>
          <w:rFonts w:ascii="Book Antiqua" w:hAnsi="Book Antiqua" w:cs="Arial"/>
          <w:lang w:val="en-GB"/>
        </w:rPr>
        <w:t xml:space="preserve"> </w:t>
      </w:r>
      <w:r w:rsidR="00F771A5" w:rsidRPr="00E17D79">
        <w:rPr>
          <w:rFonts w:ascii="Book Antiqua" w:hAnsi="Book Antiqua" w:cs="Arial"/>
          <w:lang w:val="en-GB"/>
        </w:rPr>
        <w:t>mean</w:t>
      </w:r>
      <w:r w:rsidR="00E47B90" w:rsidRPr="00E17D79">
        <w:rPr>
          <w:rFonts w:ascii="Book Antiqua" w:hAnsi="Book Antiqua" w:cs="Arial"/>
          <w:lang w:val="en-GB"/>
        </w:rPr>
        <w:t xml:space="preserve"> </w:t>
      </w:r>
      <w:r w:rsidR="00644EA2" w:rsidRPr="00E17D79">
        <w:rPr>
          <w:rFonts w:ascii="Book Antiqua" w:hAnsi="Book Antiqua" w:cs="Arial"/>
          <w:lang w:val="en-GB"/>
        </w:rPr>
        <w:t>±</w:t>
      </w:r>
      <w:r w:rsidR="00E47B90" w:rsidRPr="00E17D79">
        <w:rPr>
          <w:rFonts w:ascii="Book Antiqua" w:hAnsi="Book Antiqua" w:cs="Arial"/>
          <w:lang w:val="en-GB"/>
        </w:rPr>
        <w:t xml:space="preserve"> </w:t>
      </w:r>
      <w:r w:rsidR="00F771A5" w:rsidRPr="00E17D79">
        <w:rPr>
          <w:rFonts w:ascii="Book Antiqua" w:hAnsi="Book Antiqua" w:cs="Arial"/>
          <w:lang w:val="en-GB"/>
        </w:rPr>
        <w:t>SD</w:t>
      </w:r>
      <w:r w:rsidR="00E47B90" w:rsidRPr="00E17D79">
        <w:rPr>
          <w:rFonts w:ascii="Book Antiqua" w:hAnsi="Book Antiqua" w:cs="Arial"/>
          <w:lang w:val="en-GB"/>
        </w:rPr>
        <w:t xml:space="preserve"> </w:t>
      </w:r>
      <w:r w:rsidR="00D346B3" w:rsidRPr="00E17D79">
        <w:rPr>
          <w:rFonts w:ascii="Book Antiqua" w:hAnsi="Book Antiqua" w:cs="Arial"/>
          <w:lang w:val="en-GB"/>
        </w:rPr>
        <w:t>or</w:t>
      </w:r>
      <w:r w:rsidRPr="00E17D79">
        <w:rPr>
          <w:rFonts w:ascii="Book Antiqua" w:hAnsi="Book Antiqua" w:cs="Arial"/>
          <w:lang w:val="en-GB"/>
        </w:rPr>
        <w:t xml:space="preserve"> median (</w:t>
      </w:r>
      <w:r w:rsidR="005E74ED" w:rsidRPr="00E17D79">
        <w:rPr>
          <w:rFonts w:ascii="Book Antiqua" w:hAnsi="Book Antiqua" w:cs="Arial"/>
          <w:lang w:val="en-GB"/>
        </w:rPr>
        <w:t>with interquartile range-</w:t>
      </w:r>
      <w:r w:rsidRPr="00E17D79">
        <w:rPr>
          <w:rFonts w:ascii="Book Antiqua" w:hAnsi="Book Antiqua" w:cs="Arial"/>
          <w:lang w:val="en-GB"/>
        </w:rPr>
        <w:t>IQR)</w:t>
      </w:r>
      <w:r w:rsidR="00D346B3" w:rsidRPr="00E17D79">
        <w:rPr>
          <w:rFonts w:ascii="Book Antiqua" w:hAnsi="Book Antiqua" w:cs="Arial"/>
          <w:lang w:val="en-GB"/>
        </w:rPr>
        <w:t xml:space="preserve"> where applicable</w:t>
      </w:r>
      <w:r w:rsidR="007D52A9" w:rsidRPr="00E17D79">
        <w:rPr>
          <w:rFonts w:ascii="Book Antiqua" w:hAnsi="Book Antiqua" w:cs="Arial"/>
          <w:lang w:val="en-GB"/>
        </w:rPr>
        <w:t xml:space="preserve">. Data were </w:t>
      </w:r>
      <w:r w:rsidR="0098129B" w:rsidRPr="00E17D79">
        <w:rPr>
          <w:rFonts w:ascii="Book Antiqua" w:hAnsi="Book Antiqua" w:cs="Arial"/>
          <w:lang w:val="en-GB"/>
        </w:rPr>
        <w:t>analysed</w:t>
      </w:r>
      <w:r w:rsidR="007D52A9" w:rsidRPr="00E17D79">
        <w:rPr>
          <w:rFonts w:ascii="Book Antiqua" w:hAnsi="Book Antiqua" w:cs="Arial"/>
          <w:lang w:val="en-GB"/>
        </w:rPr>
        <w:t xml:space="preserve"> by Mann-Whitney </w:t>
      </w:r>
      <w:r w:rsidR="007D52A9" w:rsidRPr="00E359FF">
        <w:rPr>
          <w:rFonts w:ascii="Book Antiqua" w:hAnsi="Book Antiqua" w:cs="Arial"/>
          <w:i/>
          <w:lang w:val="en-GB"/>
        </w:rPr>
        <w:t>U</w:t>
      </w:r>
      <w:r w:rsidR="007D52A9" w:rsidRPr="00E17D79">
        <w:rPr>
          <w:rFonts w:ascii="Book Antiqua" w:hAnsi="Book Antiqua" w:cs="Arial"/>
          <w:lang w:val="en-GB"/>
        </w:rPr>
        <w:t xml:space="preserve"> test, </w:t>
      </w:r>
      <w:r w:rsidR="007D52A9" w:rsidRPr="00E359FF">
        <w:rPr>
          <w:rFonts w:ascii="Book Antiqua" w:hAnsi="Book Antiqua" w:cs="Arial"/>
          <w:i/>
          <w:lang w:val="en-GB"/>
        </w:rPr>
        <w:t>χ</w:t>
      </w:r>
      <w:r w:rsidR="007D52A9" w:rsidRPr="00E17D79">
        <w:rPr>
          <w:rFonts w:ascii="Book Antiqua" w:hAnsi="Book Antiqua" w:cs="Arial"/>
          <w:vertAlign w:val="superscript"/>
          <w:lang w:val="en-GB"/>
        </w:rPr>
        <w:t>2</w:t>
      </w:r>
      <w:r w:rsidR="00345CED" w:rsidRPr="00E17D79">
        <w:rPr>
          <w:rFonts w:ascii="Book Antiqua" w:hAnsi="Book Antiqua" w:cs="Arial"/>
          <w:lang w:val="en-GB"/>
        </w:rPr>
        <w:t xml:space="preserve"> (two by two with Yates’s correction), </w:t>
      </w:r>
      <w:r w:rsidR="00E621D3" w:rsidRPr="00E17D79">
        <w:rPr>
          <w:rFonts w:ascii="Book Antiqua" w:hAnsi="Book Antiqua" w:cs="Arial"/>
          <w:lang w:val="en-GB"/>
        </w:rPr>
        <w:t>i</w:t>
      </w:r>
      <w:r w:rsidR="005D12F0" w:rsidRPr="00E17D79">
        <w:rPr>
          <w:rFonts w:ascii="Book Antiqua" w:hAnsi="Book Antiqua" w:cs="Arial"/>
          <w:lang w:val="en-GB"/>
        </w:rPr>
        <w:t>ndependent-</w:t>
      </w:r>
      <w:r w:rsidR="005E0593" w:rsidRPr="00E17D79">
        <w:rPr>
          <w:rFonts w:ascii="Book Antiqua" w:hAnsi="Book Antiqua" w:cs="Arial"/>
          <w:lang w:val="en-GB"/>
        </w:rPr>
        <w:t>samples</w:t>
      </w:r>
      <w:r w:rsidR="005D12F0" w:rsidRPr="00E17D79">
        <w:rPr>
          <w:rFonts w:ascii="Book Antiqua" w:hAnsi="Book Antiqua" w:cs="Arial"/>
          <w:lang w:val="en-GB"/>
        </w:rPr>
        <w:t xml:space="preserve"> T </w:t>
      </w:r>
      <w:r w:rsidR="005E0593" w:rsidRPr="00E17D79">
        <w:rPr>
          <w:rFonts w:ascii="Book Antiqua" w:hAnsi="Book Antiqua" w:cs="Arial"/>
          <w:lang w:val="en-GB"/>
        </w:rPr>
        <w:t xml:space="preserve">test and </w:t>
      </w:r>
      <w:r w:rsidR="00345CED" w:rsidRPr="00E17D79">
        <w:rPr>
          <w:rFonts w:ascii="Book Antiqua" w:hAnsi="Book Antiqua" w:cs="Arial"/>
          <w:lang w:val="en-GB"/>
        </w:rPr>
        <w:t xml:space="preserve">binary logistic regression analysis. </w:t>
      </w:r>
      <w:r w:rsidR="00C71B93" w:rsidRPr="00E17D79">
        <w:rPr>
          <w:rFonts w:ascii="Book Antiqua" w:hAnsi="Book Antiqua" w:cs="Arial"/>
          <w:lang w:val="en-GB"/>
        </w:rPr>
        <w:t>Survival analysis was carried out using Kaplan-Meier plot and the comparisons were done by log-rank test.</w:t>
      </w:r>
      <w:r w:rsidR="00E47B90" w:rsidRPr="00E17D79">
        <w:rPr>
          <w:rFonts w:ascii="Book Antiqua" w:hAnsi="Book Antiqua" w:cs="Arial"/>
          <w:lang w:val="en-GB"/>
        </w:rPr>
        <w:t xml:space="preserve"> </w:t>
      </w:r>
      <w:r w:rsidR="00C71B93" w:rsidRPr="00E17D79">
        <w:rPr>
          <w:rFonts w:ascii="Book Antiqua" w:hAnsi="Book Antiqua" w:cs="Arial"/>
          <w:lang w:val="en-GB"/>
        </w:rPr>
        <w:t xml:space="preserve">Two-sided </w:t>
      </w:r>
      <w:r w:rsidR="00C71B93" w:rsidRPr="00E17D79">
        <w:rPr>
          <w:rFonts w:ascii="Book Antiqua" w:hAnsi="Book Antiqua" w:cs="Arial"/>
          <w:i/>
          <w:iCs/>
          <w:lang w:val="en-GB"/>
        </w:rPr>
        <w:t>P</w:t>
      </w:r>
      <w:r w:rsidR="00C71B93" w:rsidRPr="00E17D79">
        <w:rPr>
          <w:rFonts w:ascii="Book Antiqua" w:hAnsi="Book Antiqua" w:cs="Arial"/>
          <w:lang w:val="en-GB"/>
        </w:rPr>
        <w:t xml:space="preserve"> values less than 0.05 were considered statistically significant.</w:t>
      </w:r>
      <w:r w:rsidR="00E47B90" w:rsidRPr="00E17D79">
        <w:rPr>
          <w:rFonts w:ascii="Book Antiqua" w:hAnsi="Book Antiqua" w:cs="Arial"/>
          <w:lang w:val="en-GB"/>
        </w:rPr>
        <w:t xml:space="preserve"> </w:t>
      </w:r>
      <w:r w:rsidR="004D64D7" w:rsidRPr="00E17D79">
        <w:rPr>
          <w:rFonts w:ascii="Book Antiqua" w:hAnsi="Book Antiqua" w:cs="Arial"/>
          <w:lang w:val="en-GB"/>
        </w:rPr>
        <w:t>The statistical review of the study was performed by</w:t>
      </w:r>
      <w:r w:rsidR="00A271AA" w:rsidRPr="00E17D79">
        <w:rPr>
          <w:rFonts w:ascii="Book Antiqua" w:hAnsi="Book Antiqua" w:cs="Arial"/>
          <w:bCs/>
          <w:lang w:val="en-GB"/>
        </w:rPr>
        <w:t xml:space="preserve"> Gatselis NK and Zachou K</w:t>
      </w:r>
      <w:r w:rsidR="00A271AA" w:rsidRPr="00E17D79">
        <w:rPr>
          <w:rFonts w:ascii="Book Antiqua" w:eastAsiaTheme="minorEastAsia" w:hAnsi="Book Antiqua"/>
          <w:lang w:eastAsia="zh-CN"/>
        </w:rPr>
        <w:t xml:space="preserve"> </w:t>
      </w:r>
      <w:r w:rsidR="004D64D7" w:rsidRPr="00E17D79">
        <w:rPr>
          <w:rFonts w:ascii="Book Antiqua" w:hAnsi="Book Antiqua" w:cs="Arial"/>
          <w:lang w:val="en-GB"/>
        </w:rPr>
        <w:t>who have MSc in biostati</w:t>
      </w:r>
      <w:r w:rsidR="006B49ED" w:rsidRPr="00E17D79">
        <w:rPr>
          <w:rFonts w:ascii="Book Antiqua" w:hAnsi="Book Antiqua" w:cs="Arial"/>
          <w:lang w:val="en-GB"/>
        </w:rPr>
        <w:t xml:space="preserve">stics. </w:t>
      </w:r>
      <w:r w:rsidR="00D008F8" w:rsidRPr="00E17D79">
        <w:rPr>
          <w:rFonts w:ascii="Book Antiqua" w:hAnsi="Book Antiqua" w:cs="Arial"/>
          <w:lang w:val="en-GB"/>
        </w:rPr>
        <w:t>All data analyses were performed</w:t>
      </w:r>
      <w:r w:rsidR="00E47B90" w:rsidRPr="00E17D79">
        <w:rPr>
          <w:rFonts w:ascii="Book Antiqua" w:hAnsi="Book Antiqua" w:cs="Arial"/>
          <w:lang w:val="en-GB"/>
        </w:rPr>
        <w:t xml:space="preserve"> </w:t>
      </w:r>
      <w:r w:rsidR="00D008F8" w:rsidRPr="00E17D79">
        <w:rPr>
          <w:rFonts w:ascii="Book Antiqua" w:hAnsi="Book Antiqua" w:cs="Arial"/>
          <w:lang w:val="en-GB"/>
        </w:rPr>
        <w:t>using the statistical software SPSS version 20.0.</w:t>
      </w:r>
    </w:p>
    <w:p w14:paraId="250CE525" w14:textId="77777777" w:rsidR="00530A41" w:rsidRPr="00E17D79" w:rsidRDefault="00530A41" w:rsidP="00E17D79">
      <w:pPr>
        <w:spacing w:line="360" w:lineRule="auto"/>
        <w:jc w:val="both"/>
        <w:rPr>
          <w:rFonts w:ascii="Book Antiqua" w:hAnsi="Book Antiqua" w:cs="Arial"/>
          <w:lang w:val="en-GB"/>
        </w:rPr>
      </w:pPr>
    </w:p>
    <w:p w14:paraId="7ABF7264" w14:textId="378C1A71" w:rsidR="001940E8" w:rsidRPr="00E17D79" w:rsidRDefault="00A271AA" w:rsidP="00E17D79">
      <w:pPr>
        <w:spacing w:line="360" w:lineRule="auto"/>
        <w:jc w:val="both"/>
        <w:rPr>
          <w:rFonts w:ascii="Book Antiqua" w:hAnsi="Book Antiqua" w:cs="Arial"/>
          <w:b/>
          <w:lang w:val="en-GB"/>
        </w:rPr>
      </w:pPr>
      <w:r w:rsidRPr="00E17D79">
        <w:rPr>
          <w:rFonts w:ascii="Book Antiqua" w:hAnsi="Book Antiqua" w:cs="Arial"/>
          <w:b/>
          <w:lang w:val="en-GB"/>
        </w:rPr>
        <w:t>RESULTS</w:t>
      </w:r>
    </w:p>
    <w:p w14:paraId="1D944EC8" w14:textId="0DC7FF52" w:rsidR="00252D1D" w:rsidRPr="00E17D79" w:rsidRDefault="00252D1D" w:rsidP="00E17D79">
      <w:pPr>
        <w:spacing w:line="360" w:lineRule="auto"/>
        <w:jc w:val="both"/>
        <w:rPr>
          <w:rFonts w:ascii="Book Antiqua" w:hAnsi="Book Antiqua" w:cs="Arial"/>
          <w:lang w:val="en-GB"/>
        </w:rPr>
      </w:pPr>
      <w:r w:rsidRPr="00E17D79">
        <w:rPr>
          <w:rFonts w:ascii="Book Antiqua" w:hAnsi="Book Antiqua" w:cs="Arial"/>
          <w:lang w:val="en-GB"/>
        </w:rPr>
        <w:t xml:space="preserve">Over the </w:t>
      </w:r>
      <w:r w:rsidR="00BA7A6A" w:rsidRPr="00E17D79">
        <w:rPr>
          <w:rFonts w:ascii="Book Antiqua" w:hAnsi="Book Antiqua" w:cs="Arial"/>
          <w:lang w:val="en-GB"/>
        </w:rPr>
        <w:t xml:space="preserve">period of </w:t>
      </w:r>
      <w:r w:rsidR="0099078D" w:rsidRPr="00E17D79">
        <w:rPr>
          <w:rFonts w:ascii="Book Antiqua" w:hAnsi="Book Antiqua" w:cs="Arial"/>
          <w:lang w:val="en-GB"/>
        </w:rPr>
        <w:t>8</w:t>
      </w:r>
      <w:r w:rsidRPr="00E17D79">
        <w:rPr>
          <w:rFonts w:ascii="Book Antiqua" w:hAnsi="Book Antiqua" w:cs="Arial"/>
          <w:lang w:val="en-GB"/>
        </w:rPr>
        <w:t>-year</w:t>
      </w:r>
      <w:r w:rsidR="00BA7A6A" w:rsidRPr="00E17D79">
        <w:rPr>
          <w:rFonts w:ascii="Book Antiqua" w:hAnsi="Book Antiqua" w:cs="Arial"/>
          <w:lang w:val="en-GB"/>
        </w:rPr>
        <w:t>s of the</w:t>
      </w:r>
      <w:r w:rsidRPr="00E17D79">
        <w:rPr>
          <w:rFonts w:ascii="Book Antiqua" w:hAnsi="Book Antiqua" w:cs="Arial"/>
          <w:lang w:val="en-GB"/>
        </w:rPr>
        <w:t xml:space="preserve"> study, </w:t>
      </w:r>
      <w:r w:rsidR="00A26CEA" w:rsidRPr="00E17D79">
        <w:rPr>
          <w:rFonts w:ascii="Book Antiqua" w:hAnsi="Book Antiqua" w:cs="Arial"/>
          <w:lang w:val="en-GB"/>
        </w:rPr>
        <w:t>80</w:t>
      </w:r>
      <w:r w:rsidRPr="00E17D79">
        <w:rPr>
          <w:rFonts w:ascii="Book Antiqua" w:hAnsi="Book Antiqua" w:cs="Arial"/>
          <w:lang w:val="en-GB"/>
        </w:rPr>
        <w:t xml:space="preserve"> patients </w:t>
      </w:r>
      <w:r w:rsidR="00BB703A" w:rsidRPr="00E17D79">
        <w:rPr>
          <w:rFonts w:ascii="Book Antiqua" w:hAnsi="Book Antiqua" w:cs="Arial"/>
          <w:lang w:val="en-GB"/>
        </w:rPr>
        <w:t>(52.5% males; mean age 52.1</w:t>
      </w:r>
      <w:r w:rsidR="00A271AA" w:rsidRPr="00E17D79">
        <w:rPr>
          <w:rFonts w:ascii="Book Antiqua" w:hAnsi="Book Antiqua" w:cs="Arial"/>
          <w:lang w:val="en-GB"/>
        </w:rPr>
        <w:t xml:space="preserve"> </w:t>
      </w:r>
      <w:r w:rsidR="00BB703A" w:rsidRPr="00E17D79">
        <w:rPr>
          <w:rFonts w:ascii="Book Antiqua" w:hAnsi="Book Antiqua" w:cs="Arial"/>
          <w:lang w:val="en-GB"/>
        </w:rPr>
        <w:t>±</w:t>
      </w:r>
      <w:r w:rsidR="00A271AA" w:rsidRPr="00E17D79">
        <w:rPr>
          <w:rFonts w:ascii="Book Antiqua" w:hAnsi="Book Antiqua" w:cs="Arial"/>
          <w:lang w:val="en-GB"/>
        </w:rPr>
        <w:t xml:space="preserve"> </w:t>
      </w:r>
      <w:r w:rsidR="00BB703A" w:rsidRPr="00E17D79">
        <w:rPr>
          <w:rFonts w:ascii="Book Antiqua" w:hAnsi="Book Antiqua" w:cs="Arial"/>
          <w:lang w:val="en-GB"/>
        </w:rPr>
        <w:t>19.2 years)</w:t>
      </w:r>
      <w:r w:rsidR="006B49ED" w:rsidRPr="00E17D79">
        <w:rPr>
          <w:rFonts w:ascii="Book Antiqua" w:hAnsi="Book Antiqua" w:cs="Arial"/>
          <w:lang w:val="en-GB"/>
        </w:rPr>
        <w:t xml:space="preserve"> </w:t>
      </w:r>
      <w:r w:rsidR="00851293" w:rsidRPr="00E17D79">
        <w:rPr>
          <w:rFonts w:ascii="Book Antiqua" w:hAnsi="Book Antiqua" w:cs="Arial"/>
          <w:lang w:val="en-GB"/>
        </w:rPr>
        <w:t xml:space="preserve">with </w:t>
      </w:r>
      <w:r w:rsidR="0050118A" w:rsidRPr="00E17D79">
        <w:rPr>
          <w:rFonts w:ascii="Book Antiqua" w:hAnsi="Book Antiqua" w:cs="Arial"/>
          <w:lang w:val="en-GB"/>
        </w:rPr>
        <w:t>sHLH</w:t>
      </w:r>
      <w:r w:rsidR="006B49ED" w:rsidRPr="00E17D79">
        <w:rPr>
          <w:rFonts w:ascii="Book Antiqua" w:hAnsi="Book Antiqua" w:cs="Arial"/>
          <w:lang w:val="en-GB"/>
        </w:rPr>
        <w:t xml:space="preserve"> </w:t>
      </w:r>
      <w:r w:rsidRPr="00E17D79">
        <w:rPr>
          <w:rFonts w:ascii="Book Antiqua" w:hAnsi="Book Antiqua" w:cs="Arial"/>
          <w:lang w:val="en-GB"/>
        </w:rPr>
        <w:t>were identified</w:t>
      </w:r>
      <w:r w:rsidR="008A5EDF" w:rsidRPr="00E17D79">
        <w:rPr>
          <w:rFonts w:ascii="Book Antiqua" w:hAnsi="Book Antiqua" w:cs="Arial"/>
          <w:lang w:val="en-GB"/>
        </w:rPr>
        <w:t>.</w:t>
      </w:r>
      <w:r w:rsidR="006B49ED" w:rsidRPr="00E17D79">
        <w:rPr>
          <w:rFonts w:ascii="Book Antiqua" w:hAnsi="Book Antiqua" w:cs="Arial"/>
          <w:lang w:val="en-GB"/>
        </w:rPr>
        <w:t xml:space="preserve"> </w:t>
      </w:r>
      <w:r w:rsidR="008A5EDF" w:rsidRPr="00E17D79">
        <w:rPr>
          <w:rFonts w:ascii="Book Antiqua" w:hAnsi="Book Antiqua" w:cs="Arial"/>
          <w:lang w:val="en-GB"/>
        </w:rPr>
        <w:t>The main clinical, physical, and laboratory findings of th</w:t>
      </w:r>
      <w:r w:rsidR="007F23AA" w:rsidRPr="00E17D79">
        <w:rPr>
          <w:rFonts w:ascii="Book Antiqua" w:hAnsi="Book Antiqua" w:cs="Arial"/>
          <w:lang w:val="en-GB"/>
        </w:rPr>
        <w:t>ese</w:t>
      </w:r>
      <w:r w:rsidR="006B49ED" w:rsidRPr="00E17D79">
        <w:rPr>
          <w:rFonts w:ascii="Book Antiqua" w:hAnsi="Book Antiqua" w:cs="Arial"/>
          <w:lang w:val="en-GB"/>
        </w:rPr>
        <w:t xml:space="preserve"> </w:t>
      </w:r>
      <w:r w:rsidR="008A5EDF" w:rsidRPr="00E17D79">
        <w:rPr>
          <w:rFonts w:ascii="Book Antiqua" w:hAnsi="Book Antiqua" w:cs="Arial"/>
          <w:lang w:val="en-GB"/>
        </w:rPr>
        <w:t xml:space="preserve">patients are shown in </w:t>
      </w:r>
      <w:hyperlink r:id="rId9" w:anchor="title-footnote-tbl0005" w:history="1">
        <w:r w:rsidR="008A5EDF" w:rsidRPr="00E17D79">
          <w:rPr>
            <w:rStyle w:val="a4"/>
            <w:rFonts w:ascii="Book Antiqua" w:hAnsi="Book Antiqua" w:cs="Arial"/>
            <w:color w:val="auto"/>
            <w:u w:val="none"/>
            <w:lang w:val="en-GB"/>
          </w:rPr>
          <w:t>Table 1</w:t>
        </w:r>
      </w:hyperlink>
      <w:r w:rsidR="008A5EDF" w:rsidRPr="00E17D79">
        <w:rPr>
          <w:rFonts w:ascii="Book Antiqua" w:hAnsi="Book Antiqua" w:cs="Arial"/>
          <w:lang w:val="en-GB"/>
        </w:rPr>
        <w:t>.</w:t>
      </w:r>
      <w:r w:rsidR="004C7D26" w:rsidRPr="00E17D79">
        <w:rPr>
          <w:rFonts w:ascii="Book Antiqua" w:hAnsi="Book Antiqua" w:cs="Arial"/>
          <w:lang w:val="en-GB"/>
        </w:rPr>
        <w:t xml:space="preserve"> </w:t>
      </w:r>
      <w:r w:rsidRPr="00E17D79">
        <w:rPr>
          <w:rFonts w:ascii="Book Antiqua" w:hAnsi="Book Antiqua" w:cs="Arial"/>
          <w:lang w:val="en-GB"/>
        </w:rPr>
        <w:t xml:space="preserve">The median duration of symptoms </w:t>
      </w:r>
      <w:r w:rsidR="00CC24CC" w:rsidRPr="00E17D79">
        <w:rPr>
          <w:rFonts w:ascii="Book Antiqua" w:hAnsi="Book Antiqua" w:cs="Arial"/>
          <w:lang w:val="en-GB"/>
        </w:rPr>
        <w:t xml:space="preserve">until admission </w:t>
      </w:r>
      <w:r w:rsidRPr="00E17D79">
        <w:rPr>
          <w:rFonts w:ascii="Book Antiqua" w:hAnsi="Book Antiqua" w:cs="Arial"/>
          <w:lang w:val="en-GB"/>
        </w:rPr>
        <w:t xml:space="preserve">was </w:t>
      </w:r>
      <w:r w:rsidR="000A34CD" w:rsidRPr="00E17D79">
        <w:rPr>
          <w:rFonts w:ascii="Book Antiqua" w:hAnsi="Book Antiqua" w:cs="Arial"/>
          <w:lang w:val="en-GB"/>
        </w:rPr>
        <w:t>8</w:t>
      </w:r>
      <w:r w:rsidRPr="00E17D79">
        <w:rPr>
          <w:rFonts w:ascii="Book Antiqua" w:hAnsi="Book Antiqua" w:cs="Arial"/>
          <w:lang w:val="en-GB"/>
        </w:rPr>
        <w:t xml:space="preserve"> d (range 1</w:t>
      </w:r>
      <w:r w:rsidR="00A271AA" w:rsidRPr="00E17D79">
        <w:rPr>
          <w:rFonts w:ascii="Book Antiqua" w:hAnsi="Book Antiqua" w:cs="Arial"/>
          <w:lang w:val="en-GB"/>
        </w:rPr>
        <w:t>-</w:t>
      </w:r>
      <w:r w:rsidR="000A34CD" w:rsidRPr="00E17D79">
        <w:rPr>
          <w:rFonts w:ascii="Book Antiqua" w:hAnsi="Book Antiqua" w:cs="Arial"/>
          <w:lang w:val="en-GB"/>
        </w:rPr>
        <w:t>1</w:t>
      </w:r>
      <w:r w:rsidR="00CC24CC" w:rsidRPr="00E17D79">
        <w:rPr>
          <w:rFonts w:ascii="Book Antiqua" w:hAnsi="Book Antiqua" w:cs="Arial"/>
          <w:lang w:val="en-GB"/>
        </w:rPr>
        <w:t>20</w:t>
      </w:r>
      <w:r w:rsidRPr="00E17D79">
        <w:rPr>
          <w:rFonts w:ascii="Book Antiqua" w:hAnsi="Book Antiqua" w:cs="Arial"/>
          <w:lang w:val="en-GB"/>
        </w:rPr>
        <w:t xml:space="preserve"> d)</w:t>
      </w:r>
      <w:r w:rsidR="00CC24CC" w:rsidRPr="00E17D79">
        <w:rPr>
          <w:rFonts w:ascii="Book Antiqua" w:hAnsi="Book Antiqua" w:cs="Arial"/>
          <w:lang w:val="en-GB"/>
        </w:rPr>
        <w:t xml:space="preserve"> and the median time of diagnosis after admission was </w:t>
      </w:r>
      <w:r w:rsidR="000A34CD" w:rsidRPr="00E17D79">
        <w:rPr>
          <w:rFonts w:ascii="Book Antiqua" w:hAnsi="Book Antiqua" w:cs="Arial"/>
          <w:lang w:val="en-GB"/>
        </w:rPr>
        <w:t xml:space="preserve">also </w:t>
      </w:r>
      <w:r w:rsidR="007C63AE" w:rsidRPr="00E17D79">
        <w:rPr>
          <w:rFonts w:ascii="Book Antiqua" w:hAnsi="Book Antiqua" w:cs="Arial"/>
          <w:lang w:val="en-GB"/>
        </w:rPr>
        <w:t>8</w:t>
      </w:r>
      <w:r w:rsidR="0078546C" w:rsidRPr="00E17D79">
        <w:rPr>
          <w:rFonts w:ascii="Book Antiqua" w:hAnsi="Book Antiqua" w:cs="Arial"/>
          <w:lang w:val="en-GB"/>
        </w:rPr>
        <w:t xml:space="preserve"> d (range 1</w:t>
      </w:r>
      <w:r w:rsidR="00A271AA" w:rsidRPr="00E17D79">
        <w:rPr>
          <w:rFonts w:ascii="Book Antiqua" w:hAnsi="Book Antiqua" w:cs="Arial"/>
          <w:lang w:val="en-GB"/>
        </w:rPr>
        <w:t>-</w:t>
      </w:r>
      <w:r w:rsidR="007C63AE" w:rsidRPr="00E17D79">
        <w:rPr>
          <w:rFonts w:ascii="Book Antiqua" w:hAnsi="Book Antiqua" w:cs="Arial"/>
          <w:lang w:val="en-GB"/>
        </w:rPr>
        <w:t>45</w:t>
      </w:r>
      <w:r w:rsidR="0078546C" w:rsidRPr="00E17D79">
        <w:rPr>
          <w:rFonts w:ascii="Book Antiqua" w:hAnsi="Book Antiqua" w:cs="Arial"/>
          <w:lang w:val="en-GB"/>
        </w:rPr>
        <w:t xml:space="preserve"> d).</w:t>
      </w:r>
      <w:r w:rsidR="00100AD6" w:rsidRPr="00E17D79">
        <w:rPr>
          <w:rFonts w:ascii="Book Antiqua" w:hAnsi="Book Antiqua" w:cs="Arial"/>
          <w:lang w:val="en-GB"/>
        </w:rPr>
        <w:t xml:space="preserve"> </w:t>
      </w:r>
      <w:r w:rsidRPr="00E17D79">
        <w:rPr>
          <w:rFonts w:ascii="Book Antiqua" w:hAnsi="Book Antiqua" w:cs="Arial"/>
          <w:lang w:val="en-GB"/>
        </w:rPr>
        <w:t>Overall,</w:t>
      </w:r>
      <w:r w:rsidR="00100AD6" w:rsidRPr="00E17D79">
        <w:rPr>
          <w:rFonts w:ascii="Book Antiqua" w:hAnsi="Book Antiqua" w:cs="Arial"/>
          <w:lang w:val="en-GB"/>
        </w:rPr>
        <w:t xml:space="preserve"> </w:t>
      </w:r>
      <w:r w:rsidR="00254277" w:rsidRPr="00E17D79">
        <w:rPr>
          <w:rFonts w:ascii="Book Antiqua" w:hAnsi="Book Antiqua" w:cs="Arial"/>
          <w:lang w:val="en-GB"/>
        </w:rPr>
        <w:t>75</w:t>
      </w:r>
      <w:r w:rsidRPr="00E17D79">
        <w:rPr>
          <w:rFonts w:ascii="Book Antiqua" w:hAnsi="Book Antiqua" w:cs="Arial"/>
          <w:lang w:val="en-GB"/>
        </w:rPr>
        <w:t xml:space="preserve"> patients (</w:t>
      </w:r>
      <w:r w:rsidR="00254277" w:rsidRPr="00E17D79">
        <w:rPr>
          <w:rFonts w:ascii="Book Antiqua" w:hAnsi="Book Antiqua" w:cs="Arial"/>
          <w:lang w:val="en-GB"/>
        </w:rPr>
        <w:t>94</w:t>
      </w:r>
      <w:r w:rsidRPr="00E17D79">
        <w:rPr>
          <w:rFonts w:ascii="Book Antiqua" w:hAnsi="Book Antiqua" w:cs="Arial"/>
          <w:lang w:val="en-GB"/>
        </w:rPr>
        <w:t xml:space="preserve">%) reported </w:t>
      </w:r>
      <w:r w:rsidR="008F01FE" w:rsidRPr="00E17D79">
        <w:rPr>
          <w:rFonts w:ascii="Book Antiqua" w:hAnsi="Book Antiqua" w:cs="Arial"/>
          <w:lang w:val="en-GB"/>
        </w:rPr>
        <w:t xml:space="preserve">high </w:t>
      </w:r>
      <w:r w:rsidRPr="00E17D79">
        <w:rPr>
          <w:rFonts w:ascii="Book Antiqua" w:hAnsi="Book Antiqua" w:cs="Arial"/>
          <w:lang w:val="en-GB"/>
        </w:rPr>
        <w:t>fever</w:t>
      </w:r>
      <w:r w:rsidR="008F01FE" w:rsidRPr="00E17D79">
        <w:rPr>
          <w:rFonts w:ascii="Book Antiqua" w:hAnsi="Book Antiqua" w:cs="Arial"/>
          <w:lang w:val="en-GB"/>
        </w:rPr>
        <w:t xml:space="preserve"> (≥</w:t>
      </w:r>
      <w:r w:rsidR="00A271AA" w:rsidRPr="00E17D79">
        <w:rPr>
          <w:rFonts w:ascii="Book Antiqua" w:hAnsi="Book Antiqua" w:cs="Arial"/>
          <w:lang w:val="en-GB"/>
        </w:rPr>
        <w:t xml:space="preserve"> </w:t>
      </w:r>
      <w:r w:rsidR="008F01FE" w:rsidRPr="00E17D79">
        <w:rPr>
          <w:rFonts w:ascii="Book Antiqua" w:hAnsi="Book Antiqua" w:cs="Arial"/>
          <w:lang w:val="en-GB"/>
        </w:rPr>
        <w:t>38.5</w:t>
      </w:r>
      <w:r w:rsidR="00A271AA" w:rsidRPr="00E17D79">
        <w:rPr>
          <w:rFonts w:ascii="Book Antiqua" w:hAnsi="Book Antiqua" w:cs="Arial"/>
          <w:i/>
          <w:lang w:val="en-GB"/>
        </w:rPr>
        <w:t xml:space="preserve"> </w:t>
      </w:r>
      <w:r w:rsidR="00A271AA" w:rsidRPr="00E17D79">
        <w:rPr>
          <w:rFonts w:ascii="宋体" w:eastAsia="宋体" w:hAnsi="宋体" w:cs="宋体" w:hint="eastAsia"/>
          <w:iCs/>
          <w:lang w:val="en-GB" w:eastAsia="zh-CN"/>
        </w:rPr>
        <w:t>℃</w:t>
      </w:r>
      <w:r w:rsidR="008F01FE" w:rsidRPr="00E17D79">
        <w:rPr>
          <w:rFonts w:ascii="Book Antiqua" w:hAnsi="Book Antiqua" w:cs="Arial"/>
          <w:lang w:val="en-GB"/>
        </w:rPr>
        <w:t>)</w:t>
      </w:r>
      <w:r w:rsidR="008A5EDF" w:rsidRPr="00E17D79">
        <w:rPr>
          <w:rFonts w:ascii="Book Antiqua" w:hAnsi="Book Antiqua" w:cs="Arial"/>
          <w:lang w:val="en-GB"/>
        </w:rPr>
        <w:t>,</w:t>
      </w:r>
      <w:r w:rsidR="00FB1580" w:rsidRPr="00E17D79">
        <w:rPr>
          <w:rFonts w:ascii="Book Antiqua" w:hAnsi="Book Antiqua" w:cs="Arial"/>
          <w:lang w:val="en-GB"/>
        </w:rPr>
        <w:t xml:space="preserve"> </w:t>
      </w:r>
      <w:r w:rsidR="008A5EDF" w:rsidRPr="00E17D79">
        <w:rPr>
          <w:rFonts w:ascii="Book Antiqua" w:hAnsi="Book Antiqua" w:cs="Arial"/>
          <w:lang w:val="en-GB"/>
        </w:rPr>
        <w:t>24</w:t>
      </w:r>
      <w:r w:rsidRPr="00E17D79">
        <w:rPr>
          <w:rFonts w:ascii="Book Antiqua" w:hAnsi="Book Antiqua" w:cs="Arial"/>
          <w:lang w:val="en-GB"/>
        </w:rPr>
        <w:t xml:space="preserve"> (</w:t>
      </w:r>
      <w:r w:rsidR="00254277" w:rsidRPr="00E17D79">
        <w:rPr>
          <w:rFonts w:ascii="Book Antiqua" w:hAnsi="Book Antiqua" w:cs="Arial"/>
          <w:lang w:val="en-GB"/>
        </w:rPr>
        <w:t>30</w:t>
      </w:r>
      <w:r w:rsidRPr="00E17D79">
        <w:rPr>
          <w:rFonts w:ascii="Book Antiqua" w:hAnsi="Book Antiqua" w:cs="Arial"/>
          <w:lang w:val="en-GB"/>
        </w:rPr>
        <w:t xml:space="preserve">%) </w:t>
      </w:r>
      <w:r w:rsidR="00277C26" w:rsidRPr="00E17D79">
        <w:rPr>
          <w:rFonts w:ascii="Book Antiqua" w:hAnsi="Book Antiqua" w:cs="Arial"/>
          <w:lang w:val="en-GB"/>
        </w:rPr>
        <w:t xml:space="preserve">respiratory </w:t>
      </w:r>
      <w:r w:rsidR="008D5A4A" w:rsidRPr="00E17D79">
        <w:rPr>
          <w:rFonts w:ascii="Book Antiqua" w:hAnsi="Book Antiqua" w:cs="Arial"/>
          <w:lang w:val="en-GB"/>
        </w:rPr>
        <w:t>symptoms</w:t>
      </w:r>
      <w:r w:rsidR="008A5EDF" w:rsidRPr="00E17D79">
        <w:rPr>
          <w:rFonts w:ascii="Book Antiqua" w:hAnsi="Book Antiqua" w:cs="Arial"/>
          <w:lang w:val="en-GB"/>
        </w:rPr>
        <w:t xml:space="preserve"> while</w:t>
      </w:r>
      <w:r w:rsidR="00FB1580" w:rsidRPr="00E17D79">
        <w:rPr>
          <w:rFonts w:ascii="Book Antiqua" w:hAnsi="Book Antiqua" w:cs="Arial"/>
          <w:lang w:val="en-GB"/>
        </w:rPr>
        <w:t xml:space="preserve"> </w:t>
      </w:r>
      <w:r w:rsidR="00254277" w:rsidRPr="00E17D79">
        <w:rPr>
          <w:rFonts w:ascii="Book Antiqua" w:hAnsi="Book Antiqua" w:cs="Arial"/>
          <w:lang w:val="en-GB"/>
        </w:rPr>
        <w:t>20</w:t>
      </w:r>
      <w:r w:rsidR="00FB1580" w:rsidRPr="00E17D79">
        <w:rPr>
          <w:rFonts w:ascii="Book Antiqua" w:hAnsi="Book Antiqua" w:cs="Arial"/>
          <w:lang w:val="en-GB"/>
        </w:rPr>
        <w:t xml:space="preserve"> </w:t>
      </w:r>
      <w:r w:rsidR="001C7A88" w:rsidRPr="00E17D79">
        <w:rPr>
          <w:rFonts w:ascii="Book Antiqua" w:hAnsi="Book Antiqua" w:cs="Arial"/>
          <w:lang w:val="en-GB"/>
        </w:rPr>
        <w:t>(</w:t>
      </w:r>
      <w:r w:rsidR="00277C26" w:rsidRPr="00E17D79">
        <w:rPr>
          <w:rFonts w:ascii="Book Antiqua" w:hAnsi="Book Antiqua" w:cs="Arial"/>
          <w:lang w:val="en-GB"/>
        </w:rPr>
        <w:t>25</w:t>
      </w:r>
      <w:r w:rsidR="00254277" w:rsidRPr="00E17D79">
        <w:rPr>
          <w:rFonts w:ascii="Book Antiqua" w:hAnsi="Book Antiqua" w:cs="Arial"/>
          <w:lang w:val="en-GB"/>
        </w:rPr>
        <w:t>%)</w:t>
      </w:r>
      <w:r w:rsidR="002E1702" w:rsidRPr="00E17D79">
        <w:rPr>
          <w:rFonts w:ascii="Book Antiqua" w:hAnsi="Book Antiqua" w:cs="Arial"/>
          <w:lang w:val="en-GB"/>
        </w:rPr>
        <w:t xml:space="preserve"> presented</w:t>
      </w:r>
      <w:r w:rsidR="003B50CD" w:rsidRPr="00E17D79">
        <w:rPr>
          <w:rFonts w:ascii="Book Antiqua" w:hAnsi="Book Antiqua" w:cs="Arial"/>
          <w:lang w:val="en-GB"/>
        </w:rPr>
        <w:t xml:space="preserve"> </w:t>
      </w:r>
      <w:r w:rsidR="0028493C" w:rsidRPr="00E17D79">
        <w:rPr>
          <w:rFonts w:ascii="Book Antiqua" w:hAnsi="Book Antiqua" w:cs="Arial"/>
          <w:lang w:val="en-GB"/>
        </w:rPr>
        <w:t>skin rash</w:t>
      </w:r>
      <w:r w:rsidR="008A5EDF" w:rsidRPr="00E17D79">
        <w:rPr>
          <w:rFonts w:ascii="Book Antiqua" w:hAnsi="Book Antiqua" w:cs="Arial"/>
          <w:lang w:val="en-GB"/>
        </w:rPr>
        <w:t>.</w:t>
      </w:r>
      <w:r w:rsidR="00FB1580" w:rsidRPr="00E17D79">
        <w:rPr>
          <w:rFonts w:ascii="Book Antiqua" w:hAnsi="Book Antiqua" w:cs="Arial"/>
          <w:lang w:val="en-GB"/>
        </w:rPr>
        <w:t xml:space="preserve"> </w:t>
      </w:r>
      <w:r w:rsidRPr="00E17D79">
        <w:rPr>
          <w:rFonts w:ascii="Book Antiqua" w:hAnsi="Book Antiqua" w:cs="Arial"/>
          <w:lang w:val="en-GB"/>
        </w:rPr>
        <w:t xml:space="preserve">Physical examination revealed splenomegaly, hepatomegaly and lymphadenopathy </w:t>
      </w:r>
      <w:r w:rsidR="004354B2" w:rsidRPr="00E17D79">
        <w:rPr>
          <w:rFonts w:ascii="Book Antiqua" w:hAnsi="Book Antiqua" w:cs="Arial"/>
          <w:lang w:val="en-GB"/>
        </w:rPr>
        <w:t>in 59%, 59% and 46% of patients, respectively</w:t>
      </w:r>
      <w:r w:rsidRPr="00E17D79">
        <w:rPr>
          <w:rFonts w:ascii="Book Antiqua" w:hAnsi="Book Antiqua" w:cs="Arial"/>
          <w:lang w:val="en-GB"/>
        </w:rPr>
        <w:t>.</w:t>
      </w:r>
    </w:p>
    <w:p w14:paraId="5D9F0A39" w14:textId="7E6A9E80" w:rsidR="00312C15" w:rsidRPr="00E17D79" w:rsidRDefault="003B50CD"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 xml:space="preserve">Of interest, </w:t>
      </w:r>
      <w:r w:rsidR="00A06B7A" w:rsidRPr="00E17D79">
        <w:rPr>
          <w:rFonts w:ascii="Book Antiqua" w:hAnsi="Book Antiqua" w:cs="Arial"/>
          <w:lang w:val="en-GB"/>
        </w:rPr>
        <w:t>76</w:t>
      </w:r>
      <w:r w:rsidR="00192EDC" w:rsidRPr="00E17D79">
        <w:rPr>
          <w:rFonts w:ascii="Book Antiqua" w:hAnsi="Book Antiqua" w:cs="Arial"/>
          <w:lang w:val="en-GB"/>
        </w:rPr>
        <w:t xml:space="preserve"> patients</w:t>
      </w:r>
      <w:r w:rsidR="00A06B7A" w:rsidRPr="00E17D79">
        <w:rPr>
          <w:rFonts w:ascii="Book Antiqua" w:hAnsi="Book Antiqua" w:cs="Arial"/>
          <w:lang w:val="en-GB"/>
        </w:rPr>
        <w:t xml:space="preserve"> (95%)</w:t>
      </w:r>
      <w:r w:rsidR="00192EDC" w:rsidRPr="00E17D79">
        <w:rPr>
          <w:rFonts w:ascii="Book Antiqua" w:hAnsi="Book Antiqua" w:cs="Arial"/>
          <w:lang w:val="en-GB"/>
        </w:rPr>
        <w:t xml:space="preserve"> had ferr</w:t>
      </w:r>
      <w:r w:rsidR="006D3871" w:rsidRPr="00E17D79">
        <w:rPr>
          <w:rFonts w:ascii="Book Antiqua" w:hAnsi="Book Antiqua" w:cs="Arial"/>
          <w:lang w:val="en-GB"/>
        </w:rPr>
        <w:t>itin</w:t>
      </w:r>
      <w:r w:rsidR="004C7D26" w:rsidRPr="00E17D79">
        <w:rPr>
          <w:rFonts w:ascii="Book Antiqua" w:hAnsi="Book Antiqua" w:cs="Arial"/>
          <w:lang w:val="en-GB"/>
        </w:rPr>
        <w:t xml:space="preserve"> </w:t>
      </w:r>
      <w:r w:rsidR="006D3871" w:rsidRPr="00E17D79">
        <w:rPr>
          <w:rFonts w:ascii="Book Antiqua" w:hAnsi="Book Antiqua" w:cs="Arial"/>
          <w:lang w:val="en-GB"/>
        </w:rPr>
        <w:t>&gt;</w:t>
      </w:r>
      <w:r w:rsidR="00FB1580" w:rsidRPr="00E17D79">
        <w:rPr>
          <w:rFonts w:ascii="Book Antiqua" w:hAnsi="Book Antiqua" w:cs="Arial"/>
          <w:lang w:val="en-GB"/>
        </w:rPr>
        <w:t xml:space="preserve"> </w:t>
      </w:r>
      <w:r w:rsidR="006D3871" w:rsidRPr="00E17D79">
        <w:rPr>
          <w:rFonts w:ascii="Book Antiqua" w:hAnsi="Book Antiqua" w:cs="Arial"/>
          <w:lang w:val="en-GB"/>
        </w:rPr>
        <w:t>500</w:t>
      </w:r>
      <w:r w:rsidR="00FB1580" w:rsidRPr="00E17D79">
        <w:rPr>
          <w:rFonts w:ascii="Book Antiqua" w:hAnsi="Book Antiqua" w:cs="Arial"/>
          <w:lang w:val="en-GB"/>
        </w:rPr>
        <w:t xml:space="preserve"> </w:t>
      </w:r>
      <w:r w:rsidR="006D3871" w:rsidRPr="00E17D79">
        <w:rPr>
          <w:rFonts w:ascii="Book Antiqua" w:hAnsi="Book Antiqua" w:cs="Arial"/>
          <w:lang w:val="en-GB"/>
        </w:rPr>
        <w:t>ng/mL</w:t>
      </w:r>
      <w:r w:rsidR="00192EDC" w:rsidRPr="00E17D79">
        <w:rPr>
          <w:rFonts w:ascii="Book Antiqua" w:hAnsi="Book Antiqua" w:cs="Arial"/>
          <w:lang w:val="en-GB"/>
        </w:rPr>
        <w:t xml:space="preserve">, while </w:t>
      </w:r>
      <w:r w:rsidR="00A06B7A" w:rsidRPr="00E17D79">
        <w:rPr>
          <w:rFonts w:ascii="Book Antiqua" w:hAnsi="Book Antiqua" w:cs="Arial"/>
          <w:lang w:val="en-GB"/>
        </w:rPr>
        <w:t>20</w:t>
      </w:r>
      <w:r w:rsidR="00192EDC" w:rsidRPr="00E17D79">
        <w:rPr>
          <w:rFonts w:ascii="Book Antiqua" w:hAnsi="Book Antiqua" w:cs="Arial"/>
          <w:lang w:val="en-GB"/>
        </w:rPr>
        <w:t xml:space="preserve"> (</w:t>
      </w:r>
      <w:r w:rsidR="00A06B7A" w:rsidRPr="00E17D79">
        <w:rPr>
          <w:rFonts w:ascii="Book Antiqua" w:hAnsi="Book Antiqua" w:cs="Arial"/>
          <w:lang w:val="en-GB"/>
        </w:rPr>
        <w:t>25</w:t>
      </w:r>
      <w:r w:rsidR="00192EDC" w:rsidRPr="00E17D79">
        <w:rPr>
          <w:rFonts w:ascii="Book Antiqua" w:hAnsi="Book Antiqua" w:cs="Arial"/>
          <w:lang w:val="en-GB"/>
        </w:rPr>
        <w:t>%) had signifi</w:t>
      </w:r>
      <w:r w:rsidR="00D174A3">
        <w:rPr>
          <w:rFonts w:ascii="Book Antiqua" w:hAnsi="Book Antiqua" w:cs="Arial"/>
          <w:lang w:val="en-GB"/>
        </w:rPr>
        <w:t>cantly high levels (&gt;10</w:t>
      </w:r>
      <w:r w:rsidR="006D3871" w:rsidRPr="00E17D79">
        <w:rPr>
          <w:rFonts w:ascii="Book Antiqua" w:hAnsi="Book Antiqua" w:cs="Arial"/>
          <w:lang w:val="en-GB"/>
        </w:rPr>
        <w:t>000</w:t>
      </w:r>
      <w:r w:rsidR="00FB1580" w:rsidRPr="00E17D79">
        <w:rPr>
          <w:rFonts w:ascii="Book Antiqua" w:hAnsi="Book Antiqua" w:cs="Arial"/>
          <w:lang w:val="en-GB"/>
        </w:rPr>
        <w:t xml:space="preserve"> </w:t>
      </w:r>
      <w:r w:rsidR="006D3871" w:rsidRPr="00E17D79">
        <w:rPr>
          <w:rFonts w:ascii="Book Antiqua" w:hAnsi="Book Antiqua" w:cs="Arial"/>
          <w:lang w:val="en-GB"/>
        </w:rPr>
        <w:t>ng/mL</w:t>
      </w:r>
      <w:r w:rsidR="00192EDC" w:rsidRPr="00E17D79">
        <w:rPr>
          <w:rFonts w:ascii="Book Antiqua" w:hAnsi="Book Antiqua" w:cs="Arial"/>
          <w:lang w:val="en-GB"/>
        </w:rPr>
        <w:t>).</w:t>
      </w:r>
      <w:r w:rsidR="000E41F9" w:rsidRPr="00E17D79">
        <w:rPr>
          <w:rFonts w:ascii="Book Antiqua" w:hAnsi="Book Antiqua" w:cs="Arial"/>
          <w:lang w:val="en-GB"/>
        </w:rPr>
        <w:t xml:space="preserve"> Moreover, </w:t>
      </w:r>
      <w:r w:rsidR="002D09E2" w:rsidRPr="00E17D79">
        <w:rPr>
          <w:rFonts w:ascii="Book Antiqua" w:hAnsi="Book Antiqua" w:cs="Arial"/>
          <w:lang w:val="en-GB"/>
        </w:rPr>
        <w:t>24</w:t>
      </w:r>
      <w:r w:rsidR="000E41F9" w:rsidRPr="00E17D79">
        <w:rPr>
          <w:rFonts w:ascii="Book Antiqua" w:hAnsi="Book Antiqua" w:cs="Arial"/>
          <w:lang w:val="en-GB"/>
        </w:rPr>
        <w:t xml:space="preserve"> patients (</w:t>
      </w:r>
      <w:r w:rsidR="002D09E2" w:rsidRPr="00E17D79">
        <w:rPr>
          <w:rFonts w:ascii="Book Antiqua" w:hAnsi="Book Antiqua" w:cs="Arial"/>
          <w:lang w:val="en-GB"/>
        </w:rPr>
        <w:t>30</w:t>
      </w:r>
      <w:r w:rsidR="000E41F9" w:rsidRPr="00E17D79">
        <w:rPr>
          <w:rFonts w:ascii="Book Antiqua" w:hAnsi="Book Antiqua" w:cs="Arial"/>
          <w:lang w:val="en-GB"/>
        </w:rPr>
        <w:t>%) had pancytopenia</w:t>
      </w:r>
      <w:r w:rsidR="00957487" w:rsidRPr="00E17D79">
        <w:rPr>
          <w:rFonts w:ascii="Book Antiqua" w:hAnsi="Book Antiqua" w:cs="Arial"/>
          <w:lang w:val="en-GB"/>
        </w:rPr>
        <w:t xml:space="preserve"> and the vast majority of them had </w:t>
      </w:r>
      <w:r w:rsidR="00FB59F4" w:rsidRPr="00E17D79">
        <w:rPr>
          <w:rFonts w:ascii="Book Antiqua" w:hAnsi="Book Antiqua" w:cs="Arial"/>
          <w:lang w:val="en-GB"/>
        </w:rPr>
        <w:t xml:space="preserve">high levels of </w:t>
      </w:r>
      <w:r w:rsidR="00957487" w:rsidRPr="00E17D79">
        <w:rPr>
          <w:rFonts w:ascii="Book Antiqua" w:hAnsi="Book Antiqua" w:cs="Arial"/>
          <w:lang w:val="en-GB"/>
        </w:rPr>
        <w:t>triglycerid</w:t>
      </w:r>
      <w:r w:rsidR="00FB59F4" w:rsidRPr="00E17D79">
        <w:rPr>
          <w:rFonts w:ascii="Book Antiqua" w:hAnsi="Book Antiqua" w:cs="Arial"/>
          <w:lang w:val="en-GB"/>
        </w:rPr>
        <w:t>es</w:t>
      </w:r>
      <w:r w:rsidR="00957487" w:rsidRPr="00E17D79">
        <w:rPr>
          <w:rFonts w:ascii="Book Antiqua" w:hAnsi="Book Antiqua" w:cs="Arial"/>
          <w:lang w:val="en-GB"/>
        </w:rPr>
        <w:t xml:space="preserve"> (</w:t>
      </w:r>
      <w:r w:rsidR="002D09E2" w:rsidRPr="00E17D79">
        <w:rPr>
          <w:rFonts w:ascii="Book Antiqua" w:hAnsi="Book Antiqua" w:cs="Arial"/>
          <w:lang w:val="en-GB"/>
        </w:rPr>
        <w:t>69</w:t>
      </w:r>
      <w:r w:rsidR="00957487" w:rsidRPr="00E17D79">
        <w:rPr>
          <w:rFonts w:ascii="Book Antiqua" w:hAnsi="Book Antiqua" w:cs="Arial"/>
          <w:lang w:val="en-GB"/>
        </w:rPr>
        <w:t>%) and elevated liver enzymes (87.5%).</w:t>
      </w:r>
      <w:r w:rsidR="00FB1580" w:rsidRPr="00E17D79">
        <w:rPr>
          <w:rFonts w:ascii="Book Antiqua" w:hAnsi="Book Antiqua" w:cs="Arial"/>
          <w:lang w:val="en-GB"/>
        </w:rPr>
        <w:t xml:space="preserve"> </w:t>
      </w:r>
      <w:r w:rsidR="00592DB2" w:rsidRPr="00E17D79">
        <w:rPr>
          <w:rFonts w:ascii="Book Antiqua" w:hAnsi="Book Antiqua" w:cs="Arial"/>
          <w:lang w:val="en-GB"/>
        </w:rPr>
        <w:t>The median</w:t>
      </w:r>
      <w:r w:rsidR="009407E4" w:rsidRPr="00E17D79">
        <w:rPr>
          <w:rFonts w:ascii="Book Antiqua" w:hAnsi="Book Antiqua" w:cs="Arial"/>
          <w:lang w:val="en-GB"/>
        </w:rPr>
        <w:t xml:space="preserve"> leve</w:t>
      </w:r>
      <w:r w:rsidR="00F46AC8" w:rsidRPr="00E17D79">
        <w:rPr>
          <w:rFonts w:ascii="Book Antiqua" w:hAnsi="Book Antiqua" w:cs="Arial"/>
          <w:lang w:val="en-GB"/>
        </w:rPr>
        <w:t>l</w:t>
      </w:r>
      <w:r w:rsidR="009407E4" w:rsidRPr="00E17D79">
        <w:rPr>
          <w:rFonts w:ascii="Book Antiqua" w:hAnsi="Book Antiqua" w:cs="Arial"/>
          <w:lang w:val="en-GB"/>
        </w:rPr>
        <w:t>s</w:t>
      </w:r>
      <w:r w:rsidR="00592DB2" w:rsidRPr="00E17D79">
        <w:rPr>
          <w:rFonts w:ascii="Book Antiqua" w:hAnsi="Book Antiqua" w:cs="Arial"/>
          <w:lang w:val="en-GB"/>
        </w:rPr>
        <w:t xml:space="preserve"> of ALT</w:t>
      </w:r>
      <w:r w:rsidR="009407E4" w:rsidRPr="00E17D79">
        <w:rPr>
          <w:rFonts w:ascii="Book Antiqua" w:hAnsi="Book Antiqua" w:cs="Arial"/>
          <w:lang w:val="en-GB"/>
        </w:rPr>
        <w:t xml:space="preserve">, </w:t>
      </w:r>
      <w:r w:rsidR="000344EB" w:rsidRPr="00E17D79">
        <w:rPr>
          <w:rFonts w:ascii="Book Antiqua" w:hAnsi="Book Antiqua" w:cs="Arial"/>
          <w:lang w:val="en-GB"/>
        </w:rPr>
        <w:t>aspartate aminotransferase and lactate dehydrogenase</w:t>
      </w:r>
      <w:r w:rsidR="00FB1580" w:rsidRPr="00E17D79">
        <w:rPr>
          <w:rFonts w:ascii="Book Antiqua" w:hAnsi="Book Antiqua" w:cs="Arial"/>
          <w:lang w:val="en-GB"/>
        </w:rPr>
        <w:t xml:space="preserve"> </w:t>
      </w:r>
      <w:r w:rsidR="00592DB2" w:rsidRPr="00E17D79">
        <w:rPr>
          <w:rFonts w:ascii="Book Antiqua" w:hAnsi="Book Antiqua" w:cs="Arial"/>
          <w:lang w:val="en-GB"/>
        </w:rPr>
        <w:t>w</w:t>
      </w:r>
      <w:r w:rsidR="009407E4" w:rsidRPr="00E17D79">
        <w:rPr>
          <w:rFonts w:ascii="Book Antiqua" w:hAnsi="Book Antiqua" w:cs="Arial"/>
          <w:lang w:val="en-GB"/>
        </w:rPr>
        <w:t>ere</w:t>
      </w:r>
      <w:r w:rsidR="00592DB2" w:rsidRPr="00E17D79">
        <w:rPr>
          <w:rFonts w:ascii="Book Antiqua" w:hAnsi="Book Antiqua" w:cs="Arial"/>
          <w:lang w:val="en-GB"/>
        </w:rPr>
        <w:t xml:space="preserve"> 77 (range 6</w:t>
      </w:r>
      <w:r w:rsidR="00A271AA" w:rsidRPr="00E17D79">
        <w:rPr>
          <w:rFonts w:ascii="Book Antiqua" w:hAnsi="Book Antiqua" w:cs="Arial"/>
          <w:lang w:val="en-GB"/>
        </w:rPr>
        <w:t>-</w:t>
      </w:r>
      <w:r w:rsidR="00592DB2" w:rsidRPr="00E17D79">
        <w:rPr>
          <w:rFonts w:ascii="Book Antiqua" w:hAnsi="Book Antiqua" w:cs="Arial"/>
          <w:lang w:val="en-GB"/>
        </w:rPr>
        <w:t>2192) U/L</w:t>
      </w:r>
      <w:r w:rsidR="009407E4" w:rsidRPr="00E17D79">
        <w:rPr>
          <w:rFonts w:ascii="Book Antiqua" w:hAnsi="Book Antiqua" w:cs="Arial"/>
          <w:lang w:val="en-GB"/>
        </w:rPr>
        <w:t>,</w:t>
      </w:r>
      <w:r w:rsidR="00592DB2" w:rsidRPr="00E17D79">
        <w:rPr>
          <w:rFonts w:ascii="Book Antiqua" w:hAnsi="Book Antiqua" w:cs="Arial"/>
          <w:lang w:val="en-GB"/>
        </w:rPr>
        <w:t xml:space="preserve"> 75 (range 7</w:t>
      </w:r>
      <w:r w:rsidR="00A271AA" w:rsidRPr="00E17D79">
        <w:rPr>
          <w:rFonts w:ascii="Book Antiqua" w:hAnsi="Book Antiqua" w:cs="Arial"/>
          <w:lang w:val="en-GB"/>
        </w:rPr>
        <w:t>-</w:t>
      </w:r>
      <w:r w:rsidR="00592DB2" w:rsidRPr="00E17D79">
        <w:rPr>
          <w:rFonts w:ascii="Book Antiqua" w:hAnsi="Book Antiqua" w:cs="Arial"/>
          <w:lang w:val="en-GB"/>
        </w:rPr>
        <w:t>1823</w:t>
      </w:r>
      <w:r w:rsidR="001E6CAA" w:rsidRPr="00E17D79">
        <w:rPr>
          <w:rFonts w:ascii="Book Antiqua" w:hAnsi="Book Antiqua" w:cs="Arial"/>
          <w:lang w:val="en-GB"/>
        </w:rPr>
        <w:t>)</w:t>
      </w:r>
      <w:r w:rsidR="00592DB2" w:rsidRPr="00E17D79">
        <w:rPr>
          <w:rFonts w:ascii="Book Antiqua" w:hAnsi="Book Antiqua" w:cs="Arial"/>
          <w:lang w:val="en-GB"/>
        </w:rPr>
        <w:t xml:space="preserve"> U/L</w:t>
      </w:r>
      <w:r w:rsidR="00397036" w:rsidRPr="00E17D79">
        <w:rPr>
          <w:rFonts w:ascii="Book Antiqua" w:hAnsi="Book Antiqua" w:cs="Arial"/>
          <w:lang w:val="en-GB"/>
        </w:rPr>
        <w:t xml:space="preserve"> and</w:t>
      </w:r>
      <w:r w:rsidR="003B6973" w:rsidRPr="00E17D79">
        <w:rPr>
          <w:rFonts w:ascii="Book Antiqua" w:hAnsi="Book Antiqua" w:cs="Arial"/>
          <w:lang w:val="en-GB"/>
        </w:rPr>
        <w:t xml:space="preserve"> 3</w:t>
      </w:r>
      <w:r w:rsidR="00113DD8" w:rsidRPr="00E17D79">
        <w:rPr>
          <w:rFonts w:ascii="Book Antiqua" w:hAnsi="Book Antiqua" w:cs="Arial"/>
          <w:lang w:val="en-GB"/>
        </w:rPr>
        <w:t>9</w:t>
      </w:r>
      <w:r w:rsidR="003B6973" w:rsidRPr="00E17D79">
        <w:rPr>
          <w:rFonts w:ascii="Book Antiqua" w:hAnsi="Book Antiqua" w:cs="Arial"/>
          <w:lang w:val="en-GB"/>
        </w:rPr>
        <w:t xml:space="preserve">0 </w:t>
      </w:r>
      <w:r w:rsidR="009407E4" w:rsidRPr="00E17D79">
        <w:rPr>
          <w:rFonts w:ascii="Book Antiqua" w:hAnsi="Book Antiqua" w:cs="Arial"/>
          <w:lang w:val="en-GB"/>
        </w:rPr>
        <w:t>(</w:t>
      </w:r>
      <w:r w:rsidR="003B6973" w:rsidRPr="00E17D79">
        <w:rPr>
          <w:rFonts w:ascii="Book Antiqua" w:hAnsi="Book Antiqua" w:cs="Arial"/>
          <w:lang w:val="en-GB"/>
        </w:rPr>
        <w:t>range 73-3920)</w:t>
      </w:r>
      <w:r w:rsidR="00FB1580" w:rsidRPr="00E17D79">
        <w:rPr>
          <w:rFonts w:ascii="Book Antiqua" w:hAnsi="Book Antiqua" w:cs="Arial"/>
          <w:lang w:val="en-GB"/>
        </w:rPr>
        <w:t xml:space="preserve"> </w:t>
      </w:r>
      <w:r w:rsidR="001F2FF9" w:rsidRPr="00E17D79">
        <w:rPr>
          <w:rFonts w:ascii="Book Antiqua" w:hAnsi="Book Antiqua" w:cs="Arial"/>
          <w:lang w:val="en-GB"/>
        </w:rPr>
        <w:t>U/L</w:t>
      </w:r>
      <w:r w:rsidR="00FB1580" w:rsidRPr="00E17D79">
        <w:rPr>
          <w:rFonts w:ascii="Book Antiqua" w:hAnsi="Book Antiqua" w:cs="Arial"/>
          <w:lang w:val="en-GB"/>
        </w:rPr>
        <w:t>, respectively</w:t>
      </w:r>
      <w:r w:rsidR="003B6973" w:rsidRPr="00E17D79">
        <w:rPr>
          <w:rFonts w:ascii="Book Antiqua" w:hAnsi="Book Antiqua" w:cs="Arial"/>
          <w:lang w:val="en-GB"/>
        </w:rPr>
        <w:t xml:space="preserve">. </w:t>
      </w:r>
      <w:r w:rsidR="008F1BC6" w:rsidRPr="00E17D79">
        <w:rPr>
          <w:rFonts w:ascii="Book Antiqua" w:hAnsi="Book Antiqua" w:cs="Arial"/>
          <w:lang w:val="en-GB"/>
        </w:rPr>
        <w:t xml:space="preserve">Histological </w:t>
      </w:r>
      <w:r w:rsidR="008F1BC6" w:rsidRPr="00E17D79">
        <w:rPr>
          <w:rFonts w:ascii="Book Antiqua" w:hAnsi="Book Antiqua" w:cs="Arial"/>
          <w:lang w:val="en-GB"/>
        </w:rPr>
        <w:lastRenderedPageBreak/>
        <w:t>examination (</w:t>
      </w:r>
      <w:r w:rsidR="004354B2" w:rsidRPr="00E17D79">
        <w:rPr>
          <w:rFonts w:ascii="Book Antiqua" w:hAnsi="Book Antiqua" w:cs="Arial"/>
          <w:lang w:val="en-GB"/>
        </w:rPr>
        <w:t xml:space="preserve">specimens from </w:t>
      </w:r>
      <w:r w:rsidR="00B802CF" w:rsidRPr="00E17D79">
        <w:rPr>
          <w:rFonts w:ascii="Book Antiqua" w:hAnsi="Book Antiqua" w:cs="Arial"/>
          <w:lang w:val="en-GB"/>
        </w:rPr>
        <w:t xml:space="preserve">bone marrow, lymph node, </w:t>
      </w:r>
      <w:r w:rsidR="001652E7" w:rsidRPr="00E17D79">
        <w:rPr>
          <w:rFonts w:ascii="Book Antiqua" w:hAnsi="Book Antiqua" w:cs="Arial"/>
          <w:lang w:val="en-GB"/>
        </w:rPr>
        <w:t>or liver</w:t>
      </w:r>
      <w:r w:rsidR="008F1BC6" w:rsidRPr="00E17D79">
        <w:rPr>
          <w:rFonts w:ascii="Book Antiqua" w:hAnsi="Book Antiqua" w:cs="Arial"/>
          <w:lang w:val="en-GB"/>
        </w:rPr>
        <w:t>)</w:t>
      </w:r>
      <w:r w:rsidR="00FB1580" w:rsidRPr="00E17D79">
        <w:rPr>
          <w:rFonts w:ascii="Book Antiqua" w:hAnsi="Book Antiqua" w:cs="Arial"/>
          <w:lang w:val="en-GB"/>
        </w:rPr>
        <w:t xml:space="preserve"> </w:t>
      </w:r>
      <w:r w:rsidR="008F1BC6" w:rsidRPr="00E17D79">
        <w:rPr>
          <w:rFonts w:ascii="Book Antiqua" w:hAnsi="Book Antiqua" w:cs="Arial"/>
          <w:lang w:val="en-GB"/>
        </w:rPr>
        <w:t xml:space="preserve">was available in </w:t>
      </w:r>
      <w:r w:rsidR="002D09E2" w:rsidRPr="00E17D79">
        <w:rPr>
          <w:rFonts w:ascii="Book Antiqua" w:hAnsi="Book Antiqua" w:cs="Arial"/>
          <w:lang w:val="en-GB"/>
        </w:rPr>
        <w:t>45</w:t>
      </w:r>
      <w:r w:rsidR="008F1BC6" w:rsidRPr="00E17D79">
        <w:rPr>
          <w:rFonts w:ascii="Book Antiqua" w:hAnsi="Book Antiqua" w:cs="Arial"/>
          <w:lang w:val="en-GB"/>
        </w:rPr>
        <w:t xml:space="preserve"> patients (</w:t>
      </w:r>
      <w:r w:rsidR="007714E4" w:rsidRPr="00E17D79">
        <w:rPr>
          <w:rFonts w:ascii="Book Antiqua" w:hAnsi="Book Antiqua" w:cs="Arial"/>
          <w:lang w:val="en-GB"/>
        </w:rPr>
        <w:t>56</w:t>
      </w:r>
      <w:r w:rsidR="008F1BC6" w:rsidRPr="00E17D79">
        <w:rPr>
          <w:rFonts w:ascii="Book Antiqua" w:hAnsi="Book Antiqua" w:cs="Arial"/>
          <w:lang w:val="en-GB"/>
        </w:rPr>
        <w:t>%)</w:t>
      </w:r>
      <w:r w:rsidR="004354B2" w:rsidRPr="00E17D79">
        <w:rPr>
          <w:rFonts w:ascii="Book Antiqua" w:hAnsi="Book Antiqua" w:cs="Arial"/>
          <w:lang w:val="en-GB"/>
        </w:rPr>
        <w:t>.</w:t>
      </w:r>
      <w:r w:rsidR="008F1BC6" w:rsidRPr="00E17D79">
        <w:rPr>
          <w:rFonts w:ascii="Book Antiqua" w:hAnsi="Book Antiqua" w:cs="Arial"/>
          <w:lang w:val="en-GB"/>
        </w:rPr>
        <w:t xml:space="preserve"> </w:t>
      </w:r>
      <w:r w:rsidR="004354B2" w:rsidRPr="00E17D79">
        <w:rPr>
          <w:rFonts w:ascii="Book Antiqua" w:hAnsi="Book Antiqua" w:cs="Arial"/>
          <w:lang w:val="en-GB"/>
        </w:rPr>
        <w:t xml:space="preserve">Haemophagocytosis was established in </w:t>
      </w:r>
      <w:r w:rsidR="002D09E2" w:rsidRPr="00E17D79">
        <w:rPr>
          <w:rFonts w:ascii="Book Antiqua" w:hAnsi="Book Antiqua" w:cs="Arial"/>
          <w:lang w:val="en-GB"/>
        </w:rPr>
        <w:t>14</w:t>
      </w:r>
      <w:r w:rsidR="004354B2" w:rsidRPr="00E17D79">
        <w:rPr>
          <w:rFonts w:ascii="Book Antiqua" w:hAnsi="Book Antiqua" w:cs="Arial"/>
          <w:lang w:val="en-GB"/>
        </w:rPr>
        <w:t>/45</w:t>
      </w:r>
      <w:r w:rsidR="00FB1580" w:rsidRPr="00E17D79">
        <w:rPr>
          <w:rFonts w:ascii="Book Antiqua" w:hAnsi="Book Antiqua" w:cs="Arial"/>
          <w:lang w:val="en-GB"/>
        </w:rPr>
        <w:t xml:space="preserve"> </w:t>
      </w:r>
      <w:r w:rsidR="008F1BC6" w:rsidRPr="00E17D79">
        <w:rPr>
          <w:rFonts w:ascii="Book Antiqua" w:hAnsi="Book Antiqua" w:cs="Arial"/>
          <w:lang w:val="en-GB"/>
        </w:rPr>
        <w:t>samples</w:t>
      </w:r>
      <w:r w:rsidR="00FB1580" w:rsidRPr="00E17D79">
        <w:rPr>
          <w:rFonts w:ascii="Book Antiqua" w:hAnsi="Book Antiqua" w:cs="Arial"/>
          <w:lang w:val="en-GB"/>
        </w:rPr>
        <w:t xml:space="preserve"> </w:t>
      </w:r>
      <w:r w:rsidR="00634072" w:rsidRPr="00E17D79">
        <w:rPr>
          <w:rFonts w:ascii="Book Antiqua" w:hAnsi="Book Antiqua" w:cs="Arial"/>
          <w:lang w:val="en-GB"/>
        </w:rPr>
        <w:t>(31%)</w:t>
      </w:r>
      <w:r w:rsidR="008F1BC6" w:rsidRPr="00E17D79">
        <w:rPr>
          <w:rFonts w:ascii="Book Antiqua" w:hAnsi="Book Antiqua" w:cs="Arial"/>
          <w:lang w:val="en-GB"/>
        </w:rPr>
        <w:t>.</w:t>
      </w:r>
    </w:p>
    <w:p w14:paraId="3958160F" w14:textId="001C3006" w:rsidR="003B50CD" w:rsidRPr="00E17D79" w:rsidRDefault="004354B2"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Infection was identified as</w:t>
      </w:r>
      <w:r w:rsidR="00B802CF" w:rsidRPr="00E17D79">
        <w:rPr>
          <w:rFonts w:ascii="Book Antiqua" w:hAnsi="Book Antiqua" w:cs="Arial"/>
          <w:lang w:val="en-GB"/>
        </w:rPr>
        <w:t xml:space="preserve"> t</w:t>
      </w:r>
      <w:r w:rsidR="00C5685C" w:rsidRPr="00E17D79">
        <w:rPr>
          <w:rFonts w:ascii="Book Antiqua" w:hAnsi="Book Antiqua" w:cs="Arial"/>
          <w:lang w:val="en-GB"/>
        </w:rPr>
        <w:t xml:space="preserve">he underlying cause of </w:t>
      </w:r>
      <w:r w:rsidR="0050118A" w:rsidRPr="00E17D79">
        <w:rPr>
          <w:rFonts w:ascii="Book Antiqua" w:hAnsi="Book Antiqua" w:cs="Arial"/>
          <w:lang w:val="en-GB"/>
        </w:rPr>
        <w:t>sHLH</w:t>
      </w:r>
      <w:r w:rsidR="001D2FF9" w:rsidRPr="00E17D79">
        <w:rPr>
          <w:rFonts w:ascii="Book Antiqua" w:hAnsi="Book Antiqua" w:cs="Arial"/>
          <w:lang w:val="en-GB"/>
        </w:rPr>
        <w:t xml:space="preserve"> </w:t>
      </w:r>
      <w:r w:rsidRPr="00E17D79">
        <w:rPr>
          <w:rFonts w:ascii="Book Antiqua" w:hAnsi="Book Antiqua" w:cs="Arial"/>
          <w:lang w:val="en-GB"/>
        </w:rPr>
        <w:t xml:space="preserve">in the majority of cases (59/80; </w:t>
      </w:r>
      <w:r w:rsidR="00231A97" w:rsidRPr="00E17D79">
        <w:rPr>
          <w:rFonts w:ascii="Book Antiqua" w:hAnsi="Book Antiqua" w:cs="Arial"/>
          <w:lang w:val="en-GB"/>
        </w:rPr>
        <w:t>74</w:t>
      </w:r>
      <w:r w:rsidRPr="00E17D79">
        <w:rPr>
          <w:rFonts w:ascii="Book Antiqua" w:hAnsi="Book Antiqua" w:cs="Arial"/>
          <w:lang w:val="en-GB"/>
        </w:rPr>
        <w:t>%)</w:t>
      </w:r>
      <w:r w:rsidR="009B7E4A" w:rsidRPr="00E17D79">
        <w:rPr>
          <w:rFonts w:ascii="Book Antiqua" w:hAnsi="Book Antiqua" w:cs="Arial"/>
          <w:lang w:val="en-GB"/>
        </w:rPr>
        <w:t xml:space="preserve"> followed by neoplastic disease in </w:t>
      </w:r>
      <w:r w:rsidR="00CF2591" w:rsidRPr="00E17D79">
        <w:rPr>
          <w:rFonts w:ascii="Book Antiqua" w:hAnsi="Book Antiqua" w:cs="Arial"/>
          <w:lang w:val="en-GB"/>
        </w:rPr>
        <w:t>13/80 patients (</w:t>
      </w:r>
      <w:r w:rsidR="009B7E4A" w:rsidRPr="00E17D79">
        <w:rPr>
          <w:rFonts w:ascii="Book Antiqua" w:hAnsi="Book Antiqua" w:cs="Arial"/>
          <w:lang w:val="en-GB"/>
        </w:rPr>
        <w:t>16.2%</w:t>
      </w:r>
      <w:r w:rsidR="00CF2591" w:rsidRPr="00E17D79">
        <w:rPr>
          <w:rFonts w:ascii="Book Antiqua" w:hAnsi="Book Antiqua" w:cs="Arial"/>
          <w:lang w:val="en-GB"/>
        </w:rPr>
        <w:t>) including two cases with concurrent infectious disease</w:t>
      </w:r>
      <w:r w:rsidR="004C7D26" w:rsidRPr="00E17D79">
        <w:rPr>
          <w:rFonts w:ascii="Book Antiqua" w:hAnsi="Book Antiqua" w:cs="Arial"/>
          <w:lang w:val="en-GB"/>
        </w:rPr>
        <w:t xml:space="preserve"> (Table 2</w:t>
      </w:r>
      <w:r w:rsidR="00687526" w:rsidRPr="00E17D79">
        <w:rPr>
          <w:rFonts w:ascii="Book Antiqua" w:hAnsi="Book Antiqua" w:cs="Arial"/>
          <w:lang w:val="en-GB"/>
        </w:rPr>
        <w:t>)</w:t>
      </w:r>
      <w:r w:rsidR="009B7E4A" w:rsidRPr="00E17D79">
        <w:rPr>
          <w:rFonts w:ascii="Book Antiqua" w:hAnsi="Book Antiqua" w:cs="Arial"/>
          <w:lang w:val="en-GB"/>
        </w:rPr>
        <w:t>.</w:t>
      </w:r>
      <w:r w:rsidR="001D2FF9" w:rsidRPr="00E17D79">
        <w:rPr>
          <w:rFonts w:ascii="Book Antiqua" w:hAnsi="Book Antiqua" w:cs="Arial"/>
          <w:lang w:val="en-GB"/>
        </w:rPr>
        <w:t xml:space="preserve"> </w:t>
      </w:r>
      <w:r w:rsidR="00231A97" w:rsidRPr="00E17D79">
        <w:rPr>
          <w:rFonts w:ascii="Book Antiqua" w:hAnsi="Book Antiqua" w:cs="Arial"/>
          <w:lang w:val="en-GB"/>
        </w:rPr>
        <w:t xml:space="preserve">In more detail, leishmaniasis alone </w:t>
      </w:r>
      <w:r w:rsidR="001869E4" w:rsidRPr="00E17D79">
        <w:rPr>
          <w:rFonts w:ascii="Book Antiqua" w:hAnsi="Book Antiqua" w:cs="Arial"/>
          <w:lang w:val="en-GB"/>
        </w:rPr>
        <w:t>identified in</w:t>
      </w:r>
      <w:r w:rsidR="00231A97" w:rsidRPr="00E17D79">
        <w:rPr>
          <w:rFonts w:ascii="Book Antiqua" w:hAnsi="Book Antiqua" w:cs="Arial"/>
          <w:lang w:val="en-GB"/>
        </w:rPr>
        <w:t xml:space="preserve"> 15/80 (18.9%), leishmaniasis concurrently with </w:t>
      </w:r>
      <w:r w:rsidR="00231A97" w:rsidRPr="00E17D79">
        <w:rPr>
          <w:rFonts w:ascii="Book Antiqua" w:hAnsi="Book Antiqua" w:cs="Arial"/>
          <w:i/>
          <w:lang w:val="en-GB"/>
        </w:rPr>
        <w:t xml:space="preserve">Coxiella Burnetti </w:t>
      </w:r>
      <w:r w:rsidR="00231A97" w:rsidRPr="00E17D79">
        <w:rPr>
          <w:rFonts w:ascii="Book Antiqua" w:hAnsi="Book Antiqua" w:cs="Arial"/>
          <w:lang w:val="en-GB"/>
        </w:rPr>
        <w:t xml:space="preserve">or non-Hodgkin lymphoma </w:t>
      </w:r>
      <w:r w:rsidR="001869E4" w:rsidRPr="00E17D79">
        <w:rPr>
          <w:rFonts w:ascii="Book Antiqua" w:hAnsi="Book Antiqua" w:cs="Arial"/>
          <w:lang w:val="en-GB"/>
        </w:rPr>
        <w:t xml:space="preserve">in </w:t>
      </w:r>
      <w:r w:rsidR="00231A97" w:rsidRPr="00E17D79">
        <w:rPr>
          <w:rFonts w:ascii="Book Antiqua" w:hAnsi="Book Antiqua" w:cs="Arial"/>
          <w:lang w:val="en-GB"/>
        </w:rPr>
        <w:t xml:space="preserve">2/80 (2.5%), bacterial infections </w:t>
      </w:r>
      <w:r w:rsidR="001869E4" w:rsidRPr="00E17D79">
        <w:rPr>
          <w:rFonts w:ascii="Book Antiqua" w:hAnsi="Book Antiqua" w:cs="Arial"/>
          <w:lang w:val="en-GB"/>
        </w:rPr>
        <w:t xml:space="preserve">in </w:t>
      </w:r>
      <w:r w:rsidR="00231A97" w:rsidRPr="00E17D79">
        <w:rPr>
          <w:rFonts w:ascii="Book Antiqua" w:hAnsi="Book Antiqua" w:cs="Arial"/>
          <w:lang w:val="en-GB"/>
        </w:rPr>
        <w:t xml:space="preserve">14/80 (17.5%) including one case with concurrent non-Hodgkin lymphoma, viral infections </w:t>
      </w:r>
      <w:r w:rsidR="001869E4" w:rsidRPr="00E17D79">
        <w:rPr>
          <w:rFonts w:ascii="Book Antiqua" w:hAnsi="Book Antiqua" w:cs="Arial"/>
          <w:lang w:val="en-GB"/>
        </w:rPr>
        <w:t xml:space="preserve">in </w:t>
      </w:r>
      <w:r w:rsidR="00231A97" w:rsidRPr="00E17D79">
        <w:rPr>
          <w:rFonts w:ascii="Book Antiqua" w:hAnsi="Book Antiqua" w:cs="Arial"/>
          <w:lang w:val="en-GB"/>
        </w:rPr>
        <w:t xml:space="preserve">13/80 (16.3%), fungal infections </w:t>
      </w:r>
      <w:r w:rsidR="001869E4" w:rsidRPr="00E17D79">
        <w:rPr>
          <w:rFonts w:ascii="Book Antiqua" w:hAnsi="Book Antiqua" w:cs="Arial"/>
          <w:lang w:val="en-GB"/>
        </w:rPr>
        <w:t xml:space="preserve">in </w:t>
      </w:r>
      <w:r w:rsidR="00231A97" w:rsidRPr="00E17D79">
        <w:rPr>
          <w:rFonts w:ascii="Book Antiqua" w:hAnsi="Book Antiqua" w:cs="Arial"/>
          <w:lang w:val="en-GB"/>
        </w:rPr>
        <w:t xml:space="preserve">2/80 (2.5%), infections by mycobacteria </w:t>
      </w:r>
      <w:r w:rsidR="001869E4" w:rsidRPr="00E17D79">
        <w:rPr>
          <w:rFonts w:ascii="Book Antiqua" w:hAnsi="Book Antiqua" w:cs="Arial"/>
          <w:lang w:val="en-GB"/>
        </w:rPr>
        <w:t xml:space="preserve">in </w:t>
      </w:r>
      <w:r w:rsidR="00231A97" w:rsidRPr="00E17D79">
        <w:rPr>
          <w:rFonts w:ascii="Book Antiqua" w:hAnsi="Book Antiqua" w:cs="Arial"/>
          <w:lang w:val="en-GB"/>
        </w:rPr>
        <w:t>1/80 (1.3%) and unidentified pathogens in 12/80 (15%)</w:t>
      </w:r>
      <w:r w:rsidR="00D20C4F" w:rsidRPr="00E17D79">
        <w:rPr>
          <w:rFonts w:ascii="Book Antiqua" w:hAnsi="Book Antiqua" w:cs="Arial"/>
          <w:lang w:val="en-GB"/>
        </w:rPr>
        <w:t xml:space="preserve"> patients (Table 2)</w:t>
      </w:r>
      <w:r w:rsidR="00231A97" w:rsidRPr="00E17D79">
        <w:rPr>
          <w:rFonts w:ascii="Book Antiqua" w:hAnsi="Book Antiqua" w:cs="Arial"/>
          <w:lang w:val="en-GB"/>
        </w:rPr>
        <w:t>.</w:t>
      </w:r>
      <w:r w:rsidR="00D20C4F" w:rsidRPr="00E17D79">
        <w:rPr>
          <w:rFonts w:ascii="Book Antiqua" w:hAnsi="Book Antiqua" w:cs="Arial"/>
          <w:lang w:val="en-GB"/>
        </w:rPr>
        <w:t xml:space="preserve"> </w:t>
      </w:r>
      <w:r w:rsidR="00BE45F4" w:rsidRPr="00E17D79">
        <w:rPr>
          <w:rFonts w:ascii="Book Antiqua" w:hAnsi="Book Antiqua" w:cs="Arial"/>
          <w:lang w:val="en-GB"/>
        </w:rPr>
        <w:t>In s</w:t>
      </w:r>
      <w:r w:rsidR="00BE45F4" w:rsidRPr="00E17D79">
        <w:rPr>
          <w:rFonts w:ascii="Book Antiqua" w:hAnsi="Book Antiqua" w:cs="Arial"/>
          <w:lang w:val="en-US"/>
        </w:rPr>
        <w:t xml:space="preserve">ix patients (7.5%) the underlying cause was an autoimmune disease. </w:t>
      </w:r>
      <w:r w:rsidR="009B7E4A" w:rsidRPr="00E17D79">
        <w:rPr>
          <w:rFonts w:ascii="Book Antiqua" w:hAnsi="Book Antiqua" w:cs="Arial"/>
          <w:lang w:val="en-GB"/>
        </w:rPr>
        <w:t xml:space="preserve">The precise underline condition in the sHLH patients of the study is shown in Table </w:t>
      </w:r>
      <w:r w:rsidR="004C7D26" w:rsidRPr="00E17D79">
        <w:rPr>
          <w:rFonts w:ascii="Book Antiqua" w:hAnsi="Book Antiqua" w:cs="Arial"/>
          <w:lang w:val="en-GB"/>
        </w:rPr>
        <w:t>2</w:t>
      </w:r>
      <w:r w:rsidR="009B7E4A" w:rsidRPr="00E17D79">
        <w:rPr>
          <w:rFonts w:ascii="Book Antiqua" w:hAnsi="Book Antiqua" w:cs="Arial"/>
          <w:lang w:val="en-GB"/>
        </w:rPr>
        <w:t>.</w:t>
      </w:r>
      <w:r w:rsidR="001D2FF9" w:rsidRPr="00E17D79">
        <w:rPr>
          <w:rFonts w:ascii="Book Antiqua" w:hAnsi="Book Antiqua" w:cs="Arial"/>
          <w:lang w:val="en-GB"/>
        </w:rPr>
        <w:t xml:space="preserve"> </w:t>
      </w:r>
      <w:r w:rsidR="00F72ACA" w:rsidRPr="00E17D79">
        <w:rPr>
          <w:rFonts w:ascii="Book Antiqua" w:hAnsi="Book Antiqua" w:cs="Arial"/>
          <w:lang w:val="en-GB"/>
        </w:rPr>
        <w:t xml:space="preserve">Infections were exclusively </w:t>
      </w:r>
      <w:r w:rsidR="007C65A6" w:rsidRPr="00E17D79">
        <w:rPr>
          <w:rFonts w:ascii="Book Antiqua" w:hAnsi="Book Antiqua" w:cs="Arial"/>
          <w:lang w:val="en-GB"/>
        </w:rPr>
        <w:t xml:space="preserve">the underlying cause of </w:t>
      </w:r>
      <w:r w:rsidR="0050118A" w:rsidRPr="00E17D79">
        <w:rPr>
          <w:rFonts w:ascii="Book Antiqua" w:hAnsi="Book Antiqua" w:cs="Arial"/>
          <w:lang w:val="en-GB"/>
        </w:rPr>
        <w:t>sHLH</w:t>
      </w:r>
      <w:r w:rsidR="007C65A6" w:rsidRPr="00E17D79">
        <w:rPr>
          <w:rFonts w:ascii="Book Antiqua" w:hAnsi="Book Antiqua" w:cs="Arial"/>
          <w:lang w:val="en-GB"/>
        </w:rPr>
        <w:t xml:space="preserve"> in the young age group </w:t>
      </w:r>
      <w:r w:rsidR="00670427" w:rsidRPr="00E17D79">
        <w:rPr>
          <w:rFonts w:ascii="Book Antiqua" w:hAnsi="Book Antiqua" w:cs="Arial"/>
          <w:lang w:val="en-GB"/>
        </w:rPr>
        <w:t>(15-30 years</w:t>
      </w:r>
      <w:r w:rsidR="001D2FF9" w:rsidRPr="00E17D79">
        <w:rPr>
          <w:rFonts w:ascii="Book Antiqua" w:hAnsi="Book Antiqua" w:cs="Arial"/>
          <w:lang w:val="en-GB"/>
        </w:rPr>
        <w:t xml:space="preserve"> </w:t>
      </w:r>
      <w:r w:rsidR="003E590D" w:rsidRPr="00E17D79">
        <w:rPr>
          <w:rFonts w:ascii="Book Antiqua" w:hAnsi="Book Antiqua" w:cs="Arial"/>
          <w:lang w:val="en-GB"/>
        </w:rPr>
        <w:t>old</w:t>
      </w:r>
      <w:r w:rsidR="00670427" w:rsidRPr="00E17D79">
        <w:rPr>
          <w:rFonts w:ascii="Book Antiqua" w:hAnsi="Book Antiqua" w:cs="Arial"/>
          <w:lang w:val="en-GB"/>
        </w:rPr>
        <w:t>)</w:t>
      </w:r>
      <w:r w:rsidR="00F72ACA" w:rsidRPr="00E17D79">
        <w:rPr>
          <w:rFonts w:ascii="Book Antiqua" w:hAnsi="Book Antiqua" w:cs="Arial"/>
          <w:lang w:val="en-GB"/>
        </w:rPr>
        <w:t xml:space="preserve"> while i</w:t>
      </w:r>
      <w:r w:rsidR="007E74DF" w:rsidRPr="00E17D79">
        <w:rPr>
          <w:rFonts w:ascii="Book Antiqua" w:hAnsi="Book Antiqua" w:cs="Arial"/>
          <w:lang w:val="en-GB"/>
        </w:rPr>
        <w:t xml:space="preserve">n the middle </w:t>
      </w:r>
      <w:r w:rsidR="00F72ACA" w:rsidRPr="00E17D79">
        <w:rPr>
          <w:rFonts w:ascii="Book Antiqua" w:hAnsi="Book Antiqua" w:cs="Arial"/>
          <w:lang w:val="en-GB"/>
        </w:rPr>
        <w:t xml:space="preserve">and older </w:t>
      </w:r>
      <w:r w:rsidR="007E74DF" w:rsidRPr="00E17D79">
        <w:rPr>
          <w:rFonts w:ascii="Book Antiqua" w:hAnsi="Book Antiqua" w:cs="Arial"/>
          <w:lang w:val="en-GB"/>
        </w:rPr>
        <w:t>age group</w:t>
      </w:r>
      <w:r w:rsidR="00F72ACA" w:rsidRPr="00E17D79">
        <w:rPr>
          <w:rFonts w:ascii="Book Antiqua" w:hAnsi="Book Antiqua" w:cs="Arial"/>
          <w:lang w:val="en-GB"/>
        </w:rPr>
        <w:t>s</w:t>
      </w:r>
      <w:r w:rsidR="007E74DF" w:rsidRPr="00E17D79">
        <w:rPr>
          <w:rFonts w:ascii="Book Antiqua" w:hAnsi="Book Antiqua" w:cs="Arial"/>
          <w:lang w:val="en-GB"/>
        </w:rPr>
        <w:t xml:space="preserve"> (30-60 years</w:t>
      </w:r>
      <w:r w:rsidR="00F72ACA" w:rsidRPr="00E17D79">
        <w:rPr>
          <w:rFonts w:ascii="Book Antiqua" w:hAnsi="Book Antiqua" w:cs="Arial"/>
          <w:lang w:val="en-GB"/>
        </w:rPr>
        <w:t xml:space="preserve"> and &gt;</w:t>
      </w:r>
      <w:r w:rsidR="00A271AA" w:rsidRPr="00E17D79">
        <w:rPr>
          <w:rFonts w:ascii="Book Antiqua" w:hAnsi="Book Antiqua" w:cs="Arial"/>
          <w:lang w:val="en-GB"/>
        </w:rPr>
        <w:t xml:space="preserve"> </w:t>
      </w:r>
      <w:r w:rsidR="00F72ACA" w:rsidRPr="00E17D79">
        <w:rPr>
          <w:rFonts w:ascii="Book Antiqua" w:hAnsi="Book Antiqua" w:cs="Arial"/>
          <w:lang w:val="en-GB"/>
        </w:rPr>
        <w:t>60 years, respectively</w:t>
      </w:r>
      <w:r w:rsidR="007E74DF" w:rsidRPr="00E17D79">
        <w:rPr>
          <w:rFonts w:ascii="Book Antiqua" w:hAnsi="Book Antiqua" w:cs="Arial"/>
          <w:lang w:val="en-GB"/>
        </w:rPr>
        <w:t xml:space="preserve">) </w:t>
      </w:r>
      <w:r w:rsidR="00F72ACA" w:rsidRPr="00E17D79">
        <w:rPr>
          <w:rFonts w:ascii="Book Antiqua" w:hAnsi="Book Antiqua" w:cs="Arial"/>
          <w:lang w:val="en-GB"/>
        </w:rPr>
        <w:t xml:space="preserve">the frequency of </w:t>
      </w:r>
      <w:r w:rsidR="007E74DF" w:rsidRPr="00E17D79">
        <w:rPr>
          <w:rFonts w:ascii="Book Antiqua" w:hAnsi="Book Antiqua" w:cs="Arial"/>
          <w:lang w:val="en-GB"/>
        </w:rPr>
        <w:t xml:space="preserve">infections </w:t>
      </w:r>
      <w:r w:rsidR="00F72ACA" w:rsidRPr="00E17D79">
        <w:rPr>
          <w:rFonts w:ascii="Book Antiqua" w:hAnsi="Book Antiqua" w:cs="Arial"/>
          <w:lang w:val="en-GB"/>
        </w:rPr>
        <w:t>albeit predominant</w:t>
      </w:r>
      <w:r w:rsidR="00BC1750" w:rsidRPr="00E17D79">
        <w:rPr>
          <w:rFonts w:ascii="Book Antiqua" w:hAnsi="Book Antiqua" w:cs="Arial"/>
          <w:lang w:val="en-GB"/>
        </w:rPr>
        <w:t>,</w:t>
      </w:r>
      <w:r w:rsidR="00F72ACA" w:rsidRPr="00E17D79">
        <w:rPr>
          <w:rFonts w:ascii="Book Antiqua" w:hAnsi="Book Antiqua" w:cs="Arial"/>
          <w:lang w:val="en-GB"/>
        </w:rPr>
        <w:t xml:space="preserve"> was declined </w:t>
      </w:r>
      <w:r w:rsidR="007E74DF" w:rsidRPr="00E17D79">
        <w:rPr>
          <w:rFonts w:ascii="Book Antiqua" w:hAnsi="Book Antiqua" w:cs="Arial"/>
          <w:lang w:val="en-GB"/>
        </w:rPr>
        <w:t>(74.3%</w:t>
      </w:r>
      <w:r w:rsidR="00F72ACA" w:rsidRPr="00E17D79">
        <w:rPr>
          <w:rFonts w:ascii="Book Antiqua" w:hAnsi="Book Antiqua" w:cs="Arial"/>
          <w:lang w:val="en-GB"/>
        </w:rPr>
        <w:t xml:space="preserve"> and 60%, respectively; Fig</w:t>
      </w:r>
      <w:r w:rsidR="001869E4" w:rsidRPr="00E17D79">
        <w:rPr>
          <w:rFonts w:ascii="Book Antiqua" w:hAnsi="Book Antiqua" w:cs="Arial"/>
          <w:lang w:val="en-GB"/>
        </w:rPr>
        <w:t>ure</w:t>
      </w:r>
      <w:r w:rsidR="00F72ACA" w:rsidRPr="00E17D79">
        <w:rPr>
          <w:rFonts w:ascii="Book Antiqua" w:hAnsi="Book Antiqua" w:cs="Arial"/>
          <w:lang w:val="en-GB"/>
        </w:rPr>
        <w:t xml:space="preserve"> 1</w:t>
      </w:r>
      <w:r w:rsidR="007E74DF" w:rsidRPr="00E17D79">
        <w:rPr>
          <w:rFonts w:ascii="Book Antiqua" w:hAnsi="Book Antiqua" w:cs="Arial"/>
          <w:lang w:val="en-GB"/>
        </w:rPr>
        <w:t xml:space="preserve">) followed by </w:t>
      </w:r>
      <w:r w:rsidR="00211044" w:rsidRPr="00E17D79">
        <w:rPr>
          <w:rFonts w:ascii="Book Antiqua" w:hAnsi="Book Antiqua" w:cs="Arial"/>
          <w:lang w:val="en-GB"/>
        </w:rPr>
        <w:t xml:space="preserve">the presence of </w:t>
      </w:r>
      <w:r w:rsidR="00F72ACA" w:rsidRPr="00E17D79">
        <w:rPr>
          <w:rFonts w:ascii="Book Antiqua" w:hAnsi="Book Antiqua" w:cs="Arial"/>
          <w:lang w:val="en-GB"/>
        </w:rPr>
        <w:t>neoplastic disease (</w:t>
      </w:r>
      <w:r w:rsidR="003B7C4E" w:rsidRPr="00E17D79">
        <w:rPr>
          <w:rFonts w:ascii="Book Antiqua" w:hAnsi="Book Antiqua" w:cs="Arial"/>
          <w:lang w:val="en-GB"/>
        </w:rPr>
        <w:t>33.3</w:t>
      </w:r>
      <w:r w:rsidR="00F72ACA" w:rsidRPr="00E17D79">
        <w:rPr>
          <w:rFonts w:ascii="Book Antiqua" w:hAnsi="Book Antiqua" w:cs="Arial"/>
          <w:lang w:val="en-GB"/>
        </w:rPr>
        <w:t xml:space="preserve">%) in the </w:t>
      </w:r>
      <w:r w:rsidR="006D3871" w:rsidRPr="00E17D79">
        <w:rPr>
          <w:rFonts w:ascii="Book Antiqua" w:hAnsi="Book Antiqua" w:cs="Arial"/>
          <w:lang w:val="en-GB"/>
        </w:rPr>
        <w:t xml:space="preserve">older </w:t>
      </w:r>
      <w:r w:rsidR="00BC1750" w:rsidRPr="00E17D79">
        <w:rPr>
          <w:rFonts w:ascii="Book Antiqua" w:hAnsi="Book Antiqua" w:cs="Arial"/>
          <w:lang w:val="en-GB"/>
        </w:rPr>
        <w:t>patients</w:t>
      </w:r>
      <w:r w:rsidR="00B05749" w:rsidRPr="00E17D79">
        <w:rPr>
          <w:rFonts w:ascii="Book Antiqua" w:hAnsi="Book Antiqua" w:cs="Arial"/>
          <w:lang w:val="en-GB"/>
        </w:rPr>
        <w:t>.</w:t>
      </w:r>
      <w:r w:rsidR="001D2FF9" w:rsidRPr="00E17D79">
        <w:rPr>
          <w:rFonts w:ascii="Book Antiqua" w:hAnsi="Book Antiqua" w:cs="Arial"/>
          <w:lang w:val="en-GB"/>
        </w:rPr>
        <w:t xml:space="preserve"> </w:t>
      </w:r>
      <w:r w:rsidR="00ED678B" w:rsidRPr="00E17D79">
        <w:rPr>
          <w:rFonts w:ascii="Book Antiqua" w:hAnsi="Book Antiqua" w:cs="Arial"/>
          <w:lang w:val="en-GB"/>
        </w:rPr>
        <w:t>In two patients, the underl</w:t>
      </w:r>
      <w:r w:rsidR="00451ACE" w:rsidRPr="00E17D79">
        <w:rPr>
          <w:rFonts w:ascii="Book Antiqua" w:hAnsi="Book Antiqua" w:cs="Arial"/>
          <w:lang w:val="en-GB"/>
        </w:rPr>
        <w:t>ying</w:t>
      </w:r>
      <w:r w:rsidR="00ED678B" w:rsidRPr="00E17D79">
        <w:rPr>
          <w:rFonts w:ascii="Book Antiqua" w:hAnsi="Book Antiqua" w:cs="Arial"/>
          <w:lang w:val="en-GB"/>
        </w:rPr>
        <w:t xml:space="preserve"> </w:t>
      </w:r>
      <w:r w:rsidR="001869E4" w:rsidRPr="00E17D79">
        <w:rPr>
          <w:rFonts w:ascii="Book Antiqua" w:hAnsi="Book Antiqua" w:cs="Arial"/>
          <w:lang w:val="en-GB"/>
        </w:rPr>
        <w:t>cause</w:t>
      </w:r>
      <w:r w:rsidR="00ED678B" w:rsidRPr="00E17D79">
        <w:rPr>
          <w:rFonts w:ascii="Book Antiqua" w:hAnsi="Book Antiqua" w:cs="Arial"/>
          <w:lang w:val="en-GB"/>
        </w:rPr>
        <w:t xml:space="preserve"> was not identified (idiopathic </w:t>
      </w:r>
      <w:r w:rsidR="004C7D26" w:rsidRPr="00E17D79">
        <w:rPr>
          <w:rFonts w:ascii="Book Antiqua" w:hAnsi="Book Antiqua" w:cs="Arial"/>
          <w:lang w:val="en-GB"/>
        </w:rPr>
        <w:t xml:space="preserve">sHLH </w:t>
      </w:r>
      <w:r w:rsidR="00ED678B" w:rsidRPr="00E17D79">
        <w:rPr>
          <w:rFonts w:ascii="Book Antiqua" w:hAnsi="Book Antiqua" w:cs="Arial"/>
          <w:lang w:val="en-GB"/>
        </w:rPr>
        <w:t>cases)</w:t>
      </w:r>
      <w:r w:rsidR="000F3BA3" w:rsidRPr="00E17D79">
        <w:rPr>
          <w:rFonts w:ascii="Book Antiqua" w:hAnsi="Book Antiqua" w:cs="Arial"/>
          <w:lang w:val="en-GB"/>
        </w:rPr>
        <w:t>.</w:t>
      </w:r>
    </w:p>
    <w:p w14:paraId="0352FFC4" w14:textId="027D4DEE" w:rsidR="00D628D5" w:rsidRPr="00E17D79" w:rsidRDefault="00211044" w:rsidP="00E17D79">
      <w:pPr>
        <w:spacing w:line="360" w:lineRule="auto"/>
        <w:jc w:val="both"/>
        <w:rPr>
          <w:rFonts w:ascii="Book Antiqua" w:hAnsi="Book Antiqua" w:cs="Arial"/>
          <w:lang w:val="en-US"/>
        </w:rPr>
      </w:pPr>
      <w:r w:rsidRPr="00E17D79">
        <w:rPr>
          <w:rFonts w:ascii="Book Antiqua" w:hAnsi="Book Antiqua" w:cs="Arial"/>
          <w:lang w:val="en-GB"/>
        </w:rPr>
        <w:t>The majority of patients</w:t>
      </w:r>
      <w:r w:rsidR="00C410D0" w:rsidRPr="00E17D79">
        <w:rPr>
          <w:rFonts w:ascii="Book Antiqua" w:hAnsi="Book Antiqua" w:cs="Arial"/>
          <w:lang w:val="en-GB"/>
        </w:rPr>
        <w:t xml:space="preserve"> </w:t>
      </w:r>
      <w:r w:rsidRPr="00E17D79">
        <w:rPr>
          <w:rFonts w:ascii="Book Antiqua" w:hAnsi="Book Antiqua" w:cs="Arial"/>
          <w:lang w:val="en-GB"/>
        </w:rPr>
        <w:t>(</w:t>
      </w:r>
      <w:r w:rsidR="0002510A" w:rsidRPr="00E17D79">
        <w:rPr>
          <w:rFonts w:ascii="Book Antiqua" w:hAnsi="Book Antiqua" w:cs="Arial"/>
          <w:lang w:val="en-GB"/>
        </w:rPr>
        <w:t>76</w:t>
      </w:r>
      <w:r w:rsidRPr="00E17D79">
        <w:rPr>
          <w:rFonts w:ascii="Book Antiqua" w:hAnsi="Book Antiqua" w:cs="Arial"/>
          <w:lang w:val="en-GB"/>
        </w:rPr>
        <w:t>/80;</w:t>
      </w:r>
      <w:r w:rsidR="00C410D0" w:rsidRPr="00E17D79">
        <w:rPr>
          <w:rFonts w:ascii="Book Antiqua" w:hAnsi="Book Antiqua" w:cs="Arial"/>
          <w:lang w:val="en-GB"/>
        </w:rPr>
        <w:t xml:space="preserve"> </w:t>
      </w:r>
      <w:r w:rsidR="0002510A" w:rsidRPr="00E17D79">
        <w:rPr>
          <w:rFonts w:ascii="Book Antiqua" w:hAnsi="Book Antiqua" w:cs="Arial"/>
          <w:lang w:val="en-GB"/>
        </w:rPr>
        <w:t>95</w:t>
      </w:r>
      <w:r w:rsidR="00C410D0" w:rsidRPr="00E17D79">
        <w:rPr>
          <w:rFonts w:ascii="Book Antiqua" w:hAnsi="Book Antiqua" w:cs="Arial"/>
          <w:lang w:val="en-GB"/>
        </w:rPr>
        <w:t xml:space="preserve">%) received </w:t>
      </w:r>
      <w:r w:rsidR="00A271AA" w:rsidRPr="00E17D79">
        <w:rPr>
          <w:rFonts w:ascii="Book Antiqua" w:hAnsi="Book Antiqua" w:cs="Arial"/>
          <w:lang w:val="en-GB"/>
        </w:rPr>
        <w:t xml:space="preserve">immune </w:t>
      </w:r>
      <w:r w:rsidR="00C410D0" w:rsidRPr="00E17D79">
        <w:rPr>
          <w:rFonts w:ascii="Book Antiqua" w:hAnsi="Book Antiqua" w:cs="Arial"/>
          <w:lang w:val="en-GB"/>
        </w:rPr>
        <w:t xml:space="preserve">modifying treatment </w:t>
      </w:r>
      <w:r w:rsidRPr="00E17D79">
        <w:rPr>
          <w:rFonts w:ascii="Book Antiqua" w:hAnsi="Book Antiqua" w:cs="Arial"/>
          <w:lang w:val="en-GB"/>
        </w:rPr>
        <w:t>with</w:t>
      </w:r>
      <w:r w:rsidR="00C410D0" w:rsidRPr="00E17D79">
        <w:rPr>
          <w:rFonts w:ascii="Book Antiqua" w:hAnsi="Book Antiqua" w:cs="Arial"/>
          <w:lang w:val="en-GB"/>
        </w:rPr>
        <w:t xml:space="preserve"> </w:t>
      </w:r>
      <w:r w:rsidR="00C45CDA" w:rsidRPr="00E17D79">
        <w:rPr>
          <w:rFonts w:ascii="Book Antiqua" w:hAnsi="Book Antiqua" w:cs="Arial"/>
          <w:lang w:val="en-GB"/>
        </w:rPr>
        <w:t xml:space="preserve">either only </w:t>
      </w:r>
      <w:r w:rsidR="0002510A" w:rsidRPr="00E17D79">
        <w:rPr>
          <w:rFonts w:ascii="Book Antiqua" w:hAnsi="Book Antiqua" w:cs="Arial"/>
          <w:lang w:val="en-GB"/>
        </w:rPr>
        <w:t xml:space="preserve">intravenous steroid pulses </w:t>
      </w:r>
      <w:r w:rsidR="00A3031A" w:rsidRPr="00E17D79">
        <w:rPr>
          <w:rFonts w:ascii="Book Antiqua" w:hAnsi="Book Antiqua" w:cs="Arial"/>
          <w:lang w:val="en-GB"/>
        </w:rPr>
        <w:t>(1</w:t>
      </w:r>
      <w:r w:rsidR="00A271AA" w:rsidRPr="00E17D79">
        <w:rPr>
          <w:rFonts w:ascii="Book Antiqua" w:hAnsi="Book Antiqua" w:cs="Arial"/>
          <w:lang w:val="en-GB"/>
        </w:rPr>
        <w:t xml:space="preserve"> </w:t>
      </w:r>
      <w:r w:rsidR="00A3031A" w:rsidRPr="00E17D79">
        <w:rPr>
          <w:rFonts w:ascii="Book Antiqua" w:hAnsi="Book Antiqua" w:cs="Arial"/>
          <w:lang w:val="en-GB"/>
        </w:rPr>
        <w:t xml:space="preserve">g of methylprednisolone for 1-3 </w:t>
      </w:r>
      <w:r w:rsidR="00BC1750" w:rsidRPr="00E17D79">
        <w:rPr>
          <w:rFonts w:ascii="Book Antiqua" w:hAnsi="Book Antiqua" w:cs="Arial"/>
          <w:lang w:val="en-GB"/>
        </w:rPr>
        <w:t xml:space="preserve">consecutive </w:t>
      </w:r>
      <w:r w:rsidR="00A3031A" w:rsidRPr="00E17D79">
        <w:rPr>
          <w:rFonts w:ascii="Book Antiqua" w:hAnsi="Book Antiqua" w:cs="Arial"/>
          <w:lang w:val="en-GB"/>
        </w:rPr>
        <w:t>days</w:t>
      </w:r>
      <w:r w:rsidR="0034370C" w:rsidRPr="00E17D79">
        <w:rPr>
          <w:rFonts w:ascii="Book Antiqua" w:hAnsi="Book Antiqua" w:cs="Arial"/>
          <w:lang w:val="en-GB"/>
        </w:rPr>
        <w:t>)</w:t>
      </w:r>
      <w:r w:rsidR="001D2FF9" w:rsidRPr="00E17D79">
        <w:rPr>
          <w:rFonts w:ascii="Book Antiqua" w:hAnsi="Book Antiqua" w:cs="Arial"/>
          <w:lang w:val="en-GB"/>
        </w:rPr>
        <w:t xml:space="preserve"> </w:t>
      </w:r>
      <w:r w:rsidR="0002510A" w:rsidRPr="00E17D79">
        <w:rPr>
          <w:rFonts w:ascii="Book Antiqua" w:hAnsi="Book Antiqua" w:cs="Arial"/>
          <w:lang w:val="en-GB"/>
        </w:rPr>
        <w:t>followed by</w:t>
      </w:r>
      <w:r w:rsidR="00A06623" w:rsidRPr="00E17D79">
        <w:rPr>
          <w:rFonts w:ascii="Book Antiqua" w:eastAsiaTheme="minorHAnsi" w:hAnsi="Book Antiqua" w:cs="Arial"/>
          <w:lang w:val="en-US" w:eastAsia="en-US"/>
        </w:rPr>
        <w:t xml:space="preserve"> </w:t>
      </w:r>
      <w:r w:rsidR="004C7D26" w:rsidRPr="00E17D79">
        <w:rPr>
          <w:rFonts w:ascii="Book Antiqua" w:eastAsiaTheme="minorHAnsi" w:hAnsi="Book Antiqua" w:cs="Arial"/>
          <w:lang w:val="en-US" w:eastAsia="en-US"/>
        </w:rPr>
        <w:t xml:space="preserve">intravenous </w:t>
      </w:r>
      <w:r w:rsidR="00A06623" w:rsidRPr="00E17D79">
        <w:rPr>
          <w:rFonts w:ascii="Book Antiqua" w:eastAsiaTheme="minorHAnsi" w:hAnsi="Book Antiqua" w:cs="Arial"/>
          <w:lang w:val="en-US" w:eastAsia="en-US"/>
        </w:rPr>
        <w:t>1 mg/kg/d of prednisolone</w:t>
      </w:r>
      <w:r w:rsidR="001D2FF9" w:rsidRPr="00E17D79">
        <w:rPr>
          <w:rFonts w:ascii="Book Antiqua" w:eastAsiaTheme="minorHAnsi" w:hAnsi="Book Antiqua" w:cs="Arial"/>
          <w:lang w:val="en-US" w:eastAsia="en-US"/>
        </w:rPr>
        <w:t xml:space="preserve"> </w:t>
      </w:r>
      <w:r w:rsidR="00A06623" w:rsidRPr="00E17D79">
        <w:rPr>
          <w:rFonts w:ascii="Book Antiqua" w:eastAsiaTheme="minorHAnsi" w:hAnsi="Book Antiqua" w:cs="Arial"/>
          <w:lang w:val="en-US" w:eastAsia="en-US"/>
        </w:rPr>
        <w:t>with appropriate rapid tapering of 10 mg every fourth day</w:t>
      </w:r>
      <w:r w:rsidR="001D2FF9" w:rsidRPr="00E17D79">
        <w:rPr>
          <w:rFonts w:ascii="Book Antiqua" w:eastAsiaTheme="minorHAnsi" w:hAnsi="Book Antiqua" w:cs="Arial"/>
          <w:lang w:val="en-US" w:eastAsia="en-US"/>
        </w:rPr>
        <w:t xml:space="preserve"> </w:t>
      </w:r>
      <w:r w:rsidR="00C45CDA" w:rsidRPr="00E17D79">
        <w:rPr>
          <w:rFonts w:ascii="Book Antiqua" w:eastAsiaTheme="minorHAnsi" w:hAnsi="Book Antiqua" w:cs="Arial"/>
          <w:lang w:val="en-US" w:eastAsia="en-US"/>
        </w:rPr>
        <w:t>(</w:t>
      </w:r>
      <w:r w:rsidR="00C45CDA" w:rsidRPr="00E17D79">
        <w:rPr>
          <w:rFonts w:ascii="Book Antiqua" w:eastAsiaTheme="minorHAnsi" w:hAnsi="Book Antiqua" w:cs="Arial"/>
          <w:i/>
          <w:iCs/>
          <w:lang w:val="en-US" w:eastAsia="en-US"/>
        </w:rPr>
        <w:t>n</w:t>
      </w:r>
      <w:r w:rsidR="00A271AA" w:rsidRPr="00E17D79">
        <w:rPr>
          <w:rFonts w:ascii="Book Antiqua" w:eastAsiaTheme="minorHAnsi" w:hAnsi="Book Antiqua" w:cs="Arial"/>
          <w:lang w:val="en-US" w:eastAsia="en-US"/>
        </w:rPr>
        <w:t xml:space="preserve"> </w:t>
      </w:r>
      <w:r w:rsidR="001D2FF9" w:rsidRPr="00E17D79">
        <w:rPr>
          <w:rFonts w:ascii="Book Antiqua" w:eastAsiaTheme="minorHAnsi" w:hAnsi="Book Antiqua" w:cs="Arial"/>
          <w:lang w:val="en-US" w:eastAsia="en-US"/>
        </w:rPr>
        <w:t>=</w:t>
      </w:r>
      <w:r w:rsidR="00A271AA" w:rsidRPr="00E17D79">
        <w:rPr>
          <w:rFonts w:ascii="Book Antiqua" w:eastAsiaTheme="minorHAnsi" w:hAnsi="Book Antiqua" w:cs="Arial"/>
          <w:lang w:val="en-US" w:eastAsia="en-US"/>
        </w:rPr>
        <w:t xml:space="preserve"> </w:t>
      </w:r>
      <w:r w:rsidR="001D2FF9" w:rsidRPr="00E17D79">
        <w:rPr>
          <w:rFonts w:ascii="Book Antiqua" w:eastAsiaTheme="minorHAnsi" w:hAnsi="Book Antiqua" w:cs="Arial"/>
          <w:lang w:val="en-US" w:eastAsia="en-US"/>
        </w:rPr>
        <w:t>4</w:t>
      </w:r>
      <w:r w:rsidR="004C7D26" w:rsidRPr="00E17D79">
        <w:rPr>
          <w:rFonts w:ascii="Book Antiqua" w:eastAsiaTheme="minorHAnsi" w:hAnsi="Book Antiqua" w:cs="Arial"/>
          <w:lang w:val="en-US" w:eastAsia="en-US"/>
        </w:rPr>
        <w:t xml:space="preserve"> patients</w:t>
      </w:r>
      <w:r w:rsidR="001D2FF9" w:rsidRPr="00E17D79">
        <w:rPr>
          <w:rFonts w:ascii="Book Antiqua" w:eastAsiaTheme="minorHAnsi" w:hAnsi="Book Antiqua" w:cs="Arial"/>
          <w:lang w:val="en-US" w:eastAsia="en-US"/>
        </w:rPr>
        <w:t>) or the above</w:t>
      </w:r>
      <w:r w:rsidR="00C45CDA" w:rsidRPr="00E17D79">
        <w:rPr>
          <w:rFonts w:ascii="Book Antiqua" w:eastAsiaTheme="minorHAnsi" w:hAnsi="Book Antiqua" w:cs="Arial"/>
          <w:lang w:val="en-US" w:eastAsia="en-US"/>
        </w:rPr>
        <w:t xml:space="preserve"> schedule </w:t>
      </w:r>
      <w:r w:rsidR="001D2FF9" w:rsidRPr="00E17D79">
        <w:rPr>
          <w:rFonts w:ascii="Book Antiqua" w:eastAsiaTheme="minorHAnsi" w:hAnsi="Book Antiqua" w:cs="Arial"/>
          <w:lang w:val="en-US" w:eastAsia="en-US"/>
        </w:rPr>
        <w:t xml:space="preserve">of corticosteroids </w:t>
      </w:r>
      <w:r w:rsidR="00EE0916" w:rsidRPr="00E17D79">
        <w:rPr>
          <w:rFonts w:ascii="Book Antiqua" w:hAnsi="Book Antiqua" w:cs="Arial"/>
          <w:lang w:val="en-GB"/>
        </w:rPr>
        <w:t xml:space="preserve">in combination with intravenous γ-immunoglobulin </w:t>
      </w:r>
      <w:r w:rsidR="00C45CDA" w:rsidRPr="00E17D79">
        <w:rPr>
          <w:rFonts w:ascii="Book Antiqua" w:hAnsi="Book Antiqua" w:cs="Arial"/>
          <w:lang w:val="en-GB"/>
        </w:rPr>
        <w:t xml:space="preserve">(IVIG; </w:t>
      </w:r>
      <w:r w:rsidR="00C45CDA" w:rsidRPr="00E17D79">
        <w:rPr>
          <w:rFonts w:ascii="Book Antiqua" w:eastAsiaTheme="minorHAnsi" w:hAnsi="Book Antiqua" w:cs="Arial"/>
          <w:lang w:val="en-US" w:eastAsia="en-US"/>
        </w:rPr>
        <w:t xml:space="preserve">0.4 mg/kg/d for 5 d; </w:t>
      </w:r>
      <w:r w:rsidR="00C45CDA" w:rsidRPr="00E17D79">
        <w:rPr>
          <w:rFonts w:ascii="Book Antiqua" w:eastAsiaTheme="minorHAnsi" w:hAnsi="Book Antiqua" w:cs="Arial"/>
          <w:i/>
          <w:iCs/>
          <w:lang w:val="en-US" w:eastAsia="en-US"/>
        </w:rPr>
        <w:t>n</w:t>
      </w:r>
      <w:r w:rsidR="00A271AA" w:rsidRPr="00E17D79">
        <w:rPr>
          <w:rFonts w:ascii="Book Antiqua" w:eastAsiaTheme="minorHAnsi" w:hAnsi="Book Antiqua" w:cs="Arial"/>
          <w:lang w:val="en-US" w:eastAsia="en-US"/>
        </w:rPr>
        <w:t xml:space="preserve"> </w:t>
      </w:r>
      <w:r w:rsidR="00C45CDA" w:rsidRPr="00E17D79">
        <w:rPr>
          <w:rFonts w:ascii="Book Antiqua" w:eastAsiaTheme="minorHAnsi" w:hAnsi="Book Antiqua" w:cs="Arial"/>
          <w:lang w:val="en-US" w:eastAsia="en-US"/>
        </w:rPr>
        <w:t>=</w:t>
      </w:r>
      <w:r w:rsidR="00A271AA" w:rsidRPr="00E17D79">
        <w:rPr>
          <w:rFonts w:ascii="Book Antiqua" w:eastAsiaTheme="minorHAnsi" w:hAnsi="Book Antiqua" w:cs="Arial"/>
          <w:lang w:val="en-US" w:eastAsia="en-US"/>
        </w:rPr>
        <w:t xml:space="preserve"> </w:t>
      </w:r>
      <w:r w:rsidR="00EE0916" w:rsidRPr="00E17D79">
        <w:rPr>
          <w:rFonts w:ascii="Book Antiqua" w:hAnsi="Book Antiqua" w:cs="Arial"/>
          <w:lang w:val="en-GB"/>
        </w:rPr>
        <w:t>72 patients</w:t>
      </w:r>
      <w:r w:rsidR="00C45CDA" w:rsidRPr="00E17D79">
        <w:rPr>
          <w:rFonts w:ascii="Book Antiqua" w:hAnsi="Book Antiqua" w:cs="Arial"/>
          <w:lang w:val="en-GB"/>
        </w:rPr>
        <w:t>)</w:t>
      </w:r>
      <w:r w:rsidR="0002510A" w:rsidRPr="00E17D79">
        <w:rPr>
          <w:rFonts w:ascii="Book Antiqua" w:hAnsi="Book Antiqua" w:cs="Arial"/>
          <w:lang w:val="en-GB"/>
        </w:rPr>
        <w:t>.</w:t>
      </w:r>
      <w:r w:rsidR="001D2FF9" w:rsidRPr="00E17D79">
        <w:rPr>
          <w:rFonts w:ascii="Book Antiqua" w:hAnsi="Book Antiqua" w:cs="Arial"/>
          <w:lang w:val="en-GB"/>
        </w:rPr>
        <w:t xml:space="preserve"> </w:t>
      </w:r>
      <w:r w:rsidR="00687526" w:rsidRPr="00E17D79">
        <w:rPr>
          <w:rFonts w:ascii="Book Antiqua" w:hAnsi="Book Antiqua" w:cs="Arial"/>
          <w:lang w:val="en-US"/>
        </w:rPr>
        <w:t xml:space="preserve">Forty-nine </w:t>
      </w:r>
      <w:r w:rsidR="00C45CDA" w:rsidRPr="00E17D79">
        <w:rPr>
          <w:rFonts w:ascii="Book Antiqua" w:hAnsi="Book Antiqua" w:cs="Arial"/>
          <w:lang w:val="en-GB"/>
        </w:rPr>
        <w:t xml:space="preserve">out of </w:t>
      </w:r>
      <w:r w:rsidR="00E76B10" w:rsidRPr="00E17D79">
        <w:rPr>
          <w:rFonts w:ascii="Book Antiqua" w:hAnsi="Book Antiqua" w:cs="Arial"/>
          <w:lang w:val="en-GB"/>
        </w:rPr>
        <w:t>the</w:t>
      </w:r>
      <w:r w:rsidR="002C0F9C" w:rsidRPr="00E17D79">
        <w:rPr>
          <w:rFonts w:ascii="Book Antiqua" w:hAnsi="Book Antiqua" w:cs="Arial"/>
          <w:lang w:val="en-GB"/>
        </w:rPr>
        <w:t>se</w:t>
      </w:r>
      <w:r w:rsidR="001D2FF9" w:rsidRPr="00E17D79">
        <w:rPr>
          <w:rFonts w:ascii="Book Antiqua" w:hAnsi="Book Antiqua" w:cs="Arial"/>
          <w:lang w:val="en-GB"/>
        </w:rPr>
        <w:t xml:space="preserve"> </w:t>
      </w:r>
      <w:r w:rsidR="002C0F9C" w:rsidRPr="00E17D79">
        <w:rPr>
          <w:rFonts w:ascii="Book Antiqua" w:hAnsi="Book Antiqua" w:cs="Arial"/>
          <w:lang w:val="en-GB"/>
        </w:rPr>
        <w:t xml:space="preserve">76 </w:t>
      </w:r>
      <w:r w:rsidR="007C2269" w:rsidRPr="00E17D79">
        <w:rPr>
          <w:rFonts w:ascii="Book Antiqua" w:hAnsi="Book Antiqua" w:cs="Arial"/>
          <w:lang w:val="en-GB"/>
        </w:rPr>
        <w:t>patients (</w:t>
      </w:r>
      <w:r w:rsidR="002C0F9C" w:rsidRPr="00E17D79">
        <w:rPr>
          <w:rFonts w:ascii="Book Antiqua" w:hAnsi="Book Antiqua" w:cs="Arial"/>
          <w:lang w:val="en-GB"/>
        </w:rPr>
        <w:t>6</w:t>
      </w:r>
      <w:r w:rsidR="00687526" w:rsidRPr="00E17D79">
        <w:rPr>
          <w:rFonts w:ascii="Book Antiqua" w:hAnsi="Book Antiqua" w:cs="Arial"/>
          <w:lang w:val="en-GB"/>
        </w:rPr>
        <w:t>4.5</w:t>
      </w:r>
      <w:r w:rsidR="007C2269" w:rsidRPr="00E17D79">
        <w:rPr>
          <w:rFonts w:ascii="Book Antiqua" w:hAnsi="Book Antiqua" w:cs="Arial"/>
          <w:lang w:val="en-GB"/>
        </w:rPr>
        <w:t xml:space="preserve">%) received </w:t>
      </w:r>
      <w:r w:rsidR="00C45CDA" w:rsidRPr="00E17D79">
        <w:rPr>
          <w:rFonts w:ascii="Book Antiqua" w:hAnsi="Book Antiqua" w:cs="Arial"/>
          <w:lang w:val="en-GB"/>
        </w:rPr>
        <w:t xml:space="preserve">also </w:t>
      </w:r>
      <w:r w:rsidR="00C410D0" w:rsidRPr="00E17D79">
        <w:rPr>
          <w:rFonts w:ascii="Book Antiqua" w:hAnsi="Book Antiqua" w:cs="Arial"/>
          <w:lang w:val="en-GB"/>
        </w:rPr>
        <w:t>trea</w:t>
      </w:r>
      <w:r w:rsidR="00C50BC8" w:rsidRPr="00E17D79">
        <w:rPr>
          <w:rFonts w:ascii="Book Antiqua" w:hAnsi="Book Antiqua" w:cs="Arial"/>
          <w:lang w:val="en-GB"/>
        </w:rPr>
        <w:t xml:space="preserve">tment for the underlying cause either </w:t>
      </w:r>
      <w:r w:rsidR="006A0601" w:rsidRPr="00E17D79">
        <w:rPr>
          <w:rFonts w:ascii="Book Antiqua" w:hAnsi="Book Antiqua" w:cs="Arial"/>
          <w:lang w:val="en-GB"/>
        </w:rPr>
        <w:t xml:space="preserve">with </w:t>
      </w:r>
      <w:r w:rsidR="00C50BC8" w:rsidRPr="00E17D79">
        <w:rPr>
          <w:rFonts w:ascii="Book Antiqua" w:hAnsi="Book Antiqua" w:cs="Arial"/>
          <w:lang w:val="en-GB"/>
        </w:rPr>
        <w:t>antibiotic</w:t>
      </w:r>
      <w:r w:rsidR="006A0601" w:rsidRPr="00E17D79">
        <w:rPr>
          <w:rFonts w:ascii="Book Antiqua" w:hAnsi="Book Antiqua" w:cs="Arial"/>
          <w:lang w:val="en-GB"/>
        </w:rPr>
        <w:t>,</w:t>
      </w:r>
      <w:r w:rsidR="00C50BC8" w:rsidRPr="00E17D79">
        <w:rPr>
          <w:rFonts w:ascii="Book Antiqua" w:hAnsi="Book Antiqua" w:cs="Arial"/>
          <w:lang w:val="en-GB"/>
        </w:rPr>
        <w:t xml:space="preserve"> antiviral</w:t>
      </w:r>
      <w:r w:rsidR="006A0601" w:rsidRPr="00E17D79">
        <w:rPr>
          <w:rFonts w:ascii="Book Antiqua" w:hAnsi="Book Antiqua" w:cs="Arial"/>
          <w:lang w:val="en-GB"/>
        </w:rPr>
        <w:t>,</w:t>
      </w:r>
      <w:r w:rsidR="00C50BC8" w:rsidRPr="00E17D79">
        <w:rPr>
          <w:rFonts w:ascii="Book Antiqua" w:hAnsi="Book Antiqua" w:cs="Arial"/>
          <w:lang w:val="en-GB"/>
        </w:rPr>
        <w:t xml:space="preserve"> </w:t>
      </w:r>
      <w:r w:rsidR="007776B8" w:rsidRPr="00E17D79">
        <w:rPr>
          <w:rFonts w:ascii="Book Antiqua" w:hAnsi="Book Antiqua" w:cs="Arial"/>
          <w:lang w:val="en-GB"/>
        </w:rPr>
        <w:t xml:space="preserve">antifungal or </w:t>
      </w:r>
      <w:r w:rsidR="009D4804" w:rsidRPr="00E17D79">
        <w:rPr>
          <w:rFonts w:ascii="Book Antiqua" w:hAnsi="Book Antiqua" w:cs="Arial"/>
          <w:lang w:val="en-GB"/>
        </w:rPr>
        <w:t>antiparasitic</w:t>
      </w:r>
      <w:r w:rsidR="001D2FF9" w:rsidRPr="00E17D79">
        <w:rPr>
          <w:rFonts w:ascii="Book Antiqua" w:hAnsi="Book Antiqua" w:cs="Arial"/>
          <w:lang w:val="en-GB"/>
        </w:rPr>
        <w:t xml:space="preserve"> </w:t>
      </w:r>
      <w:r w:rsidR="00C50BC8" w:rsidRPr="00E17D79">
        <w:rPr>
          <w:rFonts w:ascii="Book Antiqua" w:hAnsi="Book Antiqua" w:cs="Arial"/>
          <w:lang w:val="en-GB"/>
        </w:rPr>
        <w:t>therapy for infections, chemotherapy or other immunosuppressiv</w:t>
      </w:r>
      <w:r w:rsidR="002C0F9C" w:rsidRPr="00E17D79">
        <w:rPr>
          <w:rFonts w:ascii="Book Antiqua" w:hAnsi="Book Antiqua" w:cs="Arial"/>
          <w:lang w:val="en-GB"/>
        </w:rPr>
        <w:t xml:space="preserve">e treatment for malignancies </w:t>
      </w:r>
      <w:r w:rsidR="002C0F9C" w:rsidRPr="00E17D79">
        <w:rPr>
          <w:rFonts w:ascii="Book Antiqua" w:hAnsi="Book Antiqua" w:cs="Arial"/>
          <w:lang w:val="en-US"/>
        </w:rPr>
        <w:t>or</w:t>
      </w:r>
      <w:r w:rsidR="002C0F9C" w:rsidRPr="00E17D79">
        <w:rPr>
          <w:rFonts w:ascii="Book Antiqua" w:hAnsi="Book Antiqua" w:cs="Arial"/>
          <w:lang w:val="en-GB"/>
        </w:rPr>
        <w:t xml:space="preserve"> rheumatologic</w:t>
      </w:r>
      <w:r w:rsidR="00C50BC8" w:rsidRPr="00E17D79">
        <w:rPr>
          <w:rFonts w:ascii="Book Antiqua" w:hAnsi="Book Antiqua" w:cs="Arial"/>
          <w:lang w:val="en-GB"/>
        </w:rPr>
        <w:t xml:space="preserve"> diseases,</w:t>
      </w:r>
      <w:r w:rsidR="00AE7B40" w:rsidRPr="00E17D79">
        <w:rPr>
          <w:rFonts w:ascii="Book Antiqua" w:hAnsi="Book Antiqua" w:cs="Arial"/>
          <w:lang w:val="en-GB"/>
        </w:rPr>
        <w:t xml:space="preserve"> respectively</w:t>
      </w:r>
      <w:r w:rsidR="0002510A" w:rsidRPr="00E17D79">
        <w:rPr>
          <w:rFonts w:ascii="Book Antiqua" w:hAnsi="Book Antiqua" w:cs="Arial"/>
          <w:lang w:val="en-GB"/>
        </w:rPr>
        <w:t xml:space="preserve">. </w:t>
      </w:r>
      <w:r w:rsidR="00D4553C" w:rsidRPr="00E17D79">
        <w:rPr>
          <w:rFonts w:ascii="Book Antiqua" w:hAnsi="Book Antiqua" w:cs="Arial"/>
          <w:lang w:val="en-GB"/>
        </w:rPr>
        <w:t>The remaining 4 patients (</w:t>
      </w:r>
      <w:r w:rsidR="003D04FA" w:rsidRPr="00E17D79">
        <w:rPr>
          <w:rFonts w:ascii="Book Antiqua" w:hAnsi="Book Antiqua" w:cs="Arial"/>
          <w:lang w:val="en-GB"/>
        </w:rPr>
        <w:t xml:space="preserve">5%) received </w:t>
      </w:r>
      <w:r w:rsidR="00EE0916" w:rsidRPr="00E17D79">
        <w:rPr>
          <w:rFonts w:ascii="Book Antiqua" w:hAnsi="Book Antiqua" w:cs="Arial"/>
          <w:lang w:val="en-GB"/>
        </w:rPr>
        <w:t xml:space="preserve">only </w:t>
      </w:r>
      <w:r w:rsidR="0066277D" w:rsidRPr="00E17D79">
        <w:rPr>
          <w:rFonts w:ascii="Book Antiqua" w:hAnsi="Book Antiqua" w:cs="Arial"/>
          <w:lang w:val="en-GB"/>
        </w:rPr>
        <w:t>causative treatment</w:t>
      </w:r>
      <w:r w:rsidR="001D2FF9" w:rsidRPr="00E17D79">
        <w:rPr>
          <w:rFonts w:ascii="Book Antiqua" w:hAnsi="Book Antiqua" w:cs="Arial"/>
          <w:lang w:val="en-GB"/>
        </w:rPr>
        <w:t xml:space="preserve"> </w:t>
      </w:r>
      <w:r w:rsidR="007124BF" w:rsidRPr="00E17D79">
        <w:rPr>
          <w:rFonts w:ascii="Book Antiqua" w:hAnsi="Book Antiqua" w:cs="Arial"/>
          <w:lang w:val="en-GB"/>
        </w:rPr>
        <w:t xml:space="preserve">for </w:t>
      </w:r>
      <w:r w:rsidR="003A620C" w:rsidRPr="00E17D79">
        <w:rPr>
          <w:rFonts w:ascii="Book Antiqua" w:hAnsi="Book Antiqua" w:cs="Arial"/>
          <w:lang w:val="en-GB"/>
        </w:rPr>
        <w:t>visceral leishmaniasis (</w:t>
      </w:r>
      <w:r w:rsidR="003337D2" w:rsidRPr="00E17D79">
        <w:rPr>
          <w:rFonts w:ascii="Book Antiqua" w:hAnsi="Book Antiqua" w:cs="Arial"/>
          <w:lang w:val="en-GB"/>
        </w:rPr>
        <w:t>VL</w:t>
      </w:r>
      <w:r w:rsidR="003A620C" w:rsidRPr="00E17D79">
        <w:rPr>
          <w:rFonts w:ascii="Book Antiqua" w:hAnsi="Book Antiqua" w:cs="Arial"/>
          <w:lang w:val="en-GB"/>
        </w:rPr>
        <w:t>)</w:t>
      </w:r>
      <w:r w:rsidR="001D2FF9" w:rsidRPr="00E17D79">
        <w:rPr>
          <w:rFonts w:ascii="Book Antiqua" w:hAnsi="Book Antiqua" w:cs="Arial"/>
          <w:lang w:val="en-GB"/>
        </w:rPr>
        <w:t xml:space="preserve"> </w:t>
      </w:r>
      <w:r w:rsidR="0066277D" w:rsidRPr="00E17D79">
        <w:rPr>
          <w:rFonts w:ascii="Book Antiqua" w:hAnsi="Book Antiqua" w:cs="Arial"/>
          <w:lang w:val="en-GB"/>
        </w:rPr>
        <w:t xml:space="preserve">with </w:t>
      </w:r>
      <w:r w:rsidR="003D04FA" w:rsidRPr="00E17D79">
        <w:rPr>
          <w:rFonts w:ascii="Book Antiqua" w:hAnsi="Book Antiqua" w:cs="Arial"/>
          <w:lang w:val="en-GB"/>
        </w:rPr>
        <w:t>liposomal amphotericin B (LAMB</w:t>
      </w:r>
      <w:r w:rsidR="00EE0916" w:rsidRPr="00E17D79">
        <w:rPr>
          <w:rFonts w:ascii="Book Antiqua" w:hAnsi="Book Antiqua" w:cs="Arial"/>
          <w:lang w:val="en-GB"/>
        </w:rPr>
        <w:t xml:space="preserve">; </w:t>
      </w:r>
      <w:r w:rsidR="003D04FA" w:rsidRPr="00E17D79">
        <w:rPr>
          <w:rFonts w:ascii="Book Antiqua" w:hAnsi="Book Antiqua" w:cs="Arial"/>
          <w:lang w:val="en-GB"/>
        </w:rPr>
        <w:t>total dose</w:t>
      </w:r>
      <w:r w:rsidR="00EE0916" w:rsidRPr="00E17D79">
        <w:rPr>
          <w:rFonts w:ascii="Book Antiqua" w:hAnsi="Book Antiqua" w:cs="Arial"/>
          <w:lang w:val="en-GB"/>
        </w:rPr>
        <w:t>:</w:t>
      </w:r>
      <w:r w:rsidR="003D04FA" w:rsidRPr="00E17D79">
        <w:rPr>
          <w:rFonts w:ascii="Book Antiqua" w:hAnsi="Book Antiqua" w:cs="Arial"/>
          <w:lang w:val="en-GB"/>
        </w:rPr>
        <w:t xml:space="preserve"> 21 mg/kg</w:t>
      </w:r>
      <w:r w:rsidR="00E76B10" w:rsidRPr="00E17D79">
        <w:rPr>
          <w:rFonts w:ascii="Book Antiqua" w:hAnsi="Book Antiqua" w:cs="Arial"/>
          <w:lang w:val="en-GB"/>
        </w:rPr>
        <w:t xml:space="preserve">; </w:t>
      </w:r>
      <w:r w:rsidR="00774AEB" w:rsidRPr="00E17D79">
        <w:rPr>
          <w:rFonts w:ascii="Book Antiqua" w:hAnsi="Book Antiqua" w:cs="Arial"/>
          <w:lang w:val="en-GB"/>
        </w:rPr>
        <w:t xml:space="preserve">Figure </w:t>
      </w:r>
      <w:r w:rsidR="00483FFB" w:rsidRPr="00E17D79">
        <w:rPr>
          <w:rFonts w:ascii="Book Antiqua" w:hAnsi="Book Antiqua" w:cs="Arial"/>
          <w:lang w:val="en-GB"/>
        </w:rPr>
        <w:t>2</w:t>
      </w:r>
      <w:r w:rsidR="00774AEB" w:rsidRPr="00E17D79">
        <w:rPr>
          <w:rFonts w:ascii="Book Antiqua" w:hAnsi="Book Antiqua" w:cs="Arial"/>
          <w:lang w:val="en-GB"/>
        </w:rPr>
        <w:t>)</w:t>
      </w:r>
      <w:r w:rsidR="0066277D" w:rsidRPr="00E17D79">
        <w:rPr>
          <w:rFonts w:ascii="Book Antiqua" w:hAnsi="Book Antiqua" w:cs="Arial"/>
          <w:lang w:val="en-GB"/>
        </w:rPr>
        <w:t>.</w:t>
      </w:r>
      <w:r w:rsidR="001D2FF9" w:rsidRPr="00E17D79">
        <w:rPr>
          <w:rFonts w:ascii="Book Antiqua" w:hAnsi="Book Antiqua" w:cs="Arial"/>
          <w:lang w:val="en-GB"/>
        </w:rPr>
        <w:t xml:space="preserve"> </w:t>
      </w:r>
      <w:r w:rsidR="00ED1EE4" w:rsidRPr="00E17D79">
        <w:rPr>
          <w:rFonts w:ascii="Book Antiqua" w:hAnsi="Book Antiqua" w:cs="Arial"/>
          <w:lang w:val="en-GB"/>
        </w:rPr>
        <w:t>The me</w:t>
      </w:r>
      <w:r w:rsidR="001D1C7A" w:rsidRPr="00E17D79">
        <w:rPr>
          <w:rFonts w:ascii="Book Antiqua" w:hAnsi="Book Antiqua" w:cs="Arial"/>
          <w:lang w:val="en-GB"/>
        </w:rPr>
        <w:t>an</w:t>
      </w:r>
      <w:r w:rsidR="00ED1EE4" w:rsidRPr="00E17D79">
        <w:rPr>
          <w:rFonts w:ascii="Book Antiqua" w:hAnsi="Book Antiqua" w:cs="Arial"/>
          <w:lang w:val="en-GB"/>
        </w:rPr>
        <w:t xml:space="preserve"> </w:t>
      </w:r>
      <w:r w:rsidR="00ED1EE4" w:rsidRPr="00E17D79">
        <w:rPr>
          <w:rFonts w:ascii="Book Antiqua" w:hAnsi="Book Antiqua" w:cs="Arial"/>
          <w:lang w:val="en-GB"/>
        </w:rPr>
        <w:lastRenderedPageBreak/>
        <w:t>duration of treatmen</w:t>
      </w:r>
      <w:r w:rsidR="001D1C7A" w:rsidRPr="00E17D79">
        <w:rPr>
          <w:rFonts w:ascii="Book Antiqua" w:hAnsi="Book Antiqua" w:cs="Arial"/>
          <w:lang w:val="en-GB"/>
        </w:rPr>
        <w:t xml:space="preserve">t after diagnosis of </w:t>
      </w:r>
      <w:r w:rsidR="0050118A" w:rsidRPr="00E17D79">
        <w:rPr>
          <w:rFonts w:ascii="Book Antiqua" w:hAnsi="Book Antiqua" w:cs="Arial"/>
          <w:lang w:val="en-GB"/>
        </w:rPr>
        <w:t>sHLH</w:t>
      </w:r>
      <w:r w:rsidR="006D3871" w:rsidRPr="00E17D79">
        <w:rPr>
          <w:rFonts w:ascii="Book Antiqua" w:hAnsi="Book Antiqua" w:cs="Arial"/>
          <w:lang w:val="en-GB"/>
        </w:rPr>
        <w:t xml:space="preserve"> was 35</w:t>
      </w:r>
      <w:r w:rsidR="00345AAF" w:rsidRPr="00E17D79">
        <w:rPr>
          <w:rFonts w:ascii="Book Antiqua" w:hAnsi="Book Antiqua" w:cs="Arial"/>
          <w:lang w:val="en-GB"/>
        </w:rPr>
        <w:t xml:space="preserve"> </w:t>
      </w:r>
      <w:r w:rsidR="001D1C7A" w:rsidRPr="00E17D79">
        <w:rPr>
          <w:rFonts w:ascii="Book Antiqua" w:hAnsi="Book Antiqua" w:cs="Arial"/>
          <w:lang w:val="en-GB"/>
        </w:rPr>
        <w:t>±</w:t>
      </w:r>
      <w:r w:rsidR="00345AAF" w:rsidRPr="00E17D79">
        <w:rPr>
          <w:rFonts w:ascii="Book Antiqua" w:hAnsi="Book Antiqua" w:cs="Arial"/>
          <w:lang w:val="en-GB"/>
        </w:rPr>
        <w:t xml:space="preserve"> </w:t>
      </w:r>
      <w:r w:rsidR="001D1C7A" w:rsidRPr="00E17D79">
        <w:rPr>
          <w:rFonts w:ascii="Book Antiqua" w:hAnsi="Book Antiqua" w:cs="Arial"/>
          <w:lang w:val="en-GB"/>
        </w:rPr>
        <w:t>30 d</w:t>
      </w:r>
      <w:r w:rsidR="000F3BA3" w:rsidRPr="00E17D79">
        <w:rPr>
          <w:rFonts w:ascii="Book Antiqua" w:hAnsi="Book Antiqua" w:cs="Arial"/>
          <w:lang w:val="en-GB"/>
        </w:rPr>
        <w:t xml:space="preserve">. </w:t>
      </w:r>
      <w:r w:rsidR="00D0084E" w:rsidRPr="00E17D79">
        <w:rPr>
          <w:rFonts w:ascii="Book Antiqua" w:hAnsi="Book Antiqua" w:cs="Arial"/>
          <w:lang w:val="en-GB"/>
        </w:rPr>
        <w:t>S</w:t>
      </w:r>
      <w:r w:rsidR="007F0B16" w:rsidRPr="00E17D79">
        <w:rPr>
          <w:rFonts w:ascii="Book Antiqua" w:hAnsi="Book Antiqua" w:cs="Arial"/>
          <w:lang w:val="en-GB"/>
        </w:rPr>
        <w:t>ix</w:t>
      </w:r>
      <w:r w:rsidR="001E4600" w:rsidRPr="00E17D79">
        <w:rPr>
          <w:rFonts w:ascii="Book Antiqua" w:hAnsi="Book Antiqua" w:cs="Arial"/>
          <w:lang w:val="en-GB"/>
        </w:rPr>
        <w:t xml:space="preserve"> patients </w:t>
      </w:r>
      <w:r w:rsidR="007F0B16" w:rsidRPr="00E17D79">
        <w:rPr>
          <w:rFonts w:ascii="Book Antiqua" w:hAnsi="Book Antiqua" w:cs="Arial"/>
          <w:lang w:val="en-GB"/>
        </w:rPr>
        <w:t xml:space="preserve">(7%) </w:t>
      </w:r>
      <w:r w:rsidR="001E4600" w:rsidRPr="00E17D79">
        <w:rPr>
          <w:rFonts w:ascii="Book Antiqua" w:hAnsi="Book Antiqua" w:cs="Arial"/>
          <w:lang w:val="en-GB"/>
        </w:rPr>
        <w:t xml:space="preserve">complicated with </w:t>
      </w:r>
      <w:r w:rsidR="00E06790" w:rsidRPr="00E17D79">
        <w:rPr>
          <w:rFonts w:ascii="Book Antiqua" w:hAnsi="Book Antiqua" w:cs="Arial"/>
          <w:lang w:val="en-GB"/>
        </w:rPr>
        <w:t>nosocomial</w:t>
      </w:r>
      <w:r w:rsidR="001E4600" w:rsidRPr="00E17D79">
        <w:rPr>
          <w:rFonts w:ascii="Book Antiqua" w:hAnsi="Book Antiqua" w:cs="Arial"/>
          <w:lang w:val="en-GB"/>
        </w:rPr>
        <w:t xml:space="preserve"> infection and </w:t>
      </w:r>
      <w:r w:rsidR="00714526" w:rsidRPr="00E17D79">
        <w:rPr>
          <w:rFonts w:ascii="Book Antiqua" w:hAnsi="Book Antiqua" w:cs="Arial"/>
          <w:lang w:val="en-GB"/>
        </w:rPr>
        <w:t xml:space="preserve">one </w:t>
      </w:r>
      <w:r w:rsidR="00252D1D" w:rsidRPr="00E17D79">
        <w:rPr>
          <w:rFonts w:ascii="Book Antiqua" w:hAnsi="Book Antiqua" w:cs="Arial"/>
          <w:lang w:val="en-GB"/>
        </w:rPr>
        <w:t xml:space="preserve">developed </w:t>
      </w:r>
      <w:r w:rsidR="00092F41" w:rsidRPr="00E17D79">
        <w:rPr>
          <w:rFonts w:ascii="Book Antiqua" w:hAnsi="Book Antiqua" w:cs="Arial"/>
          <w:lang w:val="en-GB"/>
        </w:rPr>
        <w:t>LAMB</w:t>
      </w:r>
      <w:r w:rsidR="00252D1D" w:rsidRPr="00E17D79">
        <w:rPr>
          <w:rFonts w:ascii="Book Antiqua" w:hAnsi="Book Antiqua" w:cs="Arial"/>
          <w:lang w:val="en-GB"/>
        </w:rPr>
        <w:t>-related myocarditis with a very low ejectio</w:t>
      </w:r>
      <w:r w:rsidR="001E4600" w:rsidRPr="00E17D79">
        <w:rPr>
          <w:rFonts w:ascii="Book Antiqua" w:hAnsi="Book Antiqua" w:cs="Arial"/>
          <w:lang w:val="en-GB"/>
        </w:rPr>
        <w:t xml:space="preserve">n fraction and acute pulmonary </w:t>
      </w:r>
      <w:r w:rsidR="00D0084E" w:rsidRPr="00E17D79">
        <w:rPr>
          <w:rFonts w:ascii="Book Antiqua" w:hAnsi="Book Antiqua" w:cs="Arial"/>
          <w:lang w:val="en-GB"/>
        </w:rPr>
        <w:t>oedema</w:t>
      </w:r>
      <w:r w:rsidR="00252D1D" w:rsidRPr="00E17D79">
        <w:rPr>
          <w:rFonts w:ascii="Book Antiqua" w:hAnsi="Book Antiqua" w:cs="Arial"/>
          <w:lang w:val="en-GB"/>
        </w:rPr>
        <w:t xml:space="preserve"> that re</w:t>
      </w:r>
      <w:r w:rsidR="00D0084E" w:rsidRPr="00E17D79">
        <w:rPr>
          <w:rFonts w:ascii="Book Antiqua" w:hAnsi="Book Antiqua" w:cs="Arial"/>
          <w:lang w:val="en-GB"/>
        </w:rPr>
        <w:t>solved</w:t>
      </w:r>
      <w:r w:rsidR="00252D1D" w:rsidRPr="00E17D79">
        <w:rPr>
          <w:rFonts w:ascii="Book Antiqua" w:hAnsi="Book Antiqua" w:cs="Arial"/>
          <w:lang w:val="en-GB"/>
        </w:rPr>
        <w:t xml:space="preserve"> after </w:t>
      </w:r>
      <w:r w:rsidR="00714526" w:rsidRPr="00E17D79">
        <w:rPr>
          <w:rFonts w:ascii="Book Antiqua" w:hAnsi="Book Antiqua" w:cs="Arial"/>
          <w:lang w:val="en-GB"/>
        </w:rPr>
        <w:t xml:space="preserve">drug </w:t>
      </w:r>
      <w:r w:rsidR="00252D1D" w:rsidRPr="00E17D79">
        <w:rPr>
          <w:rFonts w:ascii="Book Antiqua" w:hAnsi="Book Antiqua" w:cs="Arial"/>
          <w:lang w:val="en-GB"/>
        </w:rPr>
        <w:t>withdrawal.</w:t>
      </w:r>
      <w:r w:rsidR="00AE080D" w:rsidRPr="00E17D79">
        <w:rPr>
          <w:rFonts w:ascii="Book Antiqua" w:hAnsi="Book Antiqua" w:cs="Arial"/>
          <w:lang w:val="en-US"/>
        </w:rPr>
        <w:t xml:space="preserve"> </w:t>
      </w:r>
      <w:r w:rsidR="00AE080D" w:rsidRPr="00E17D79">
        <w:rPr>
          <w:rFonts w:ascii="Book Antiqua" w:hAnsi="Book Antiqua" w:cs="Arial"/>
          <w:lang w:val="en-GB"/>
        </w:rPr>
        <w:t xml:space="preserve">IVIG administration was well-tolerated by most of the 72 patients. Only three patients </w:t>
      </w:r>
      <w:r w:rsidR="00AE080D" w:rsidRPr="00E17D79">
        <w:rPr>
          <w:rFonts w:ascii="Book Antiqua" w:hAnsi="Book Antiqua" w:cs="Arial"/>
          <w:lang w:val="en-US"/>
        </w:rPr>
        <w:t>developed</w:t>
      </w:r>
      <w:r w:rsidR="00AE080D" w:rsidRPr="00E17D79">
        <w:rPr>
          <w:rFonts w:ascii="Book Antiqua" w:hAnsi="Book Antiqua" w:cs="Arial"/>
          <w:lang w:val="en-GB"/>
        </w:rPr>
        <w:t xml:space="preserve"> dyspnoea and hypertension which were managed by temporary discontinuation of the infusion and symptomatic therapy.</w:t>
      </w:r>
    </w:p>
    <w:p w14:paraId="222AAC2A" w14:textId="406D3A2D" w:rsidR="000B24FF" w:rsidRPr="00E17D79" w:rsidRDefault="004E5622"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The majority of patients (</w:t>
      </w:r>
      <w:r w:rsidR="007F4197" w:rsidRPr="00E17D79">
        <w:rPr>
          <w:rFonts w:ascii="Book Antiqua" w:hAnsi="Book Antiqua" w:cs="Arial"/>
          <w:lang w:val="en-GB"/>
        </w:rPr>
        <w:t>76</w:t>
      </w:r>
      <w:r w:rsidRPr="00E17D79">
        <w:rPr>
          <w:rFonts w:ascii="Book Antiqua" w:hAnsi="Book Antiqua" w:cs="Arial"/>
          <w:lang w:val="en-GB"/>
        </w:rPr>
        <w:t xml:space="preserve">%) were cured </w:t>
      </w:r>
      <w:r w:rsidR="001A4227" w:rsidRPr="00E17D79">
        <w:rPr>
          <w:rFonts w:ascii="Book Antiqua" w:hAnsi="Book Antiqua" w:cs="Arial"/>
          <w:lang w:val="en-GB"/>
        </w:rPr>
        <w:t>following</w:t>
      </w:r>
      <w:r w:rsidRPr="00E17D79">
        <w:rPr>
          <w:rFonts w:ascii="Book Antiqua" w:hAnsi="Book Antiqua" w:cs="Arial"/>
          <w:lang w:val="en-GB"/>
        </w:rPr>
        <w:t xml:space="preserve"> treatment. </w:t>
      </w:r>
      <w:r w:rsidR="00944363" w:rsidRPr="00E17D79">
        <w:rPr>
          <w:rFonts w:ascii="Book Antiqua" w:hAnsi="Book Antiqua" w:cs="Arial"/>
          <w:lang w:val="en-GB"/>
        </w:rPr>
        <w:t xml:space="preserve">No association was found between remission </w:t>
      </w:r>
      <w:r w:rsidR="00D0084E" w:rsidRPr="00E17D79">
        <w:rPr>
          <w:rFonts w:ascii="Book Antiqua" w:hAnsi="Book Antiqua" w:cs="Arial"/>
          <w:lang w:val="en-GB"/>
        </w:rPr>
        <w:t>and</w:t>
      </w:r>
      <w:r w:rsidR="00944363" w:rsidRPr="00E17D79">
        <w:rPr>
          <w:rFonts w:ascii="Book Antiqua" w:hAnsi="Book Antiqua" w:cs="Arial"/>
          <w:lang w:val="en-GB"/>
        </w:rPr>
        <w:t xml:space="preserve"> sex, clinical symptoms, and physical findings (data not shown). </w:t>
      </w:r>
      <w:r w:rsidR="00D0084E" w:rsidRPr="00E17D79">
        <w:rPr>
          <w:rFonts w:ascii="Book Antiqua" w:hAnsi="Book Antiqua" w:cs="Arial"/>
          <w:lang w:val="en-GB"/>
        </w:rPr>
        <w:t>However</w:t>
      </w:r>
      <w:r w:rsidR="00DC7247" w:rsidRPr="00E17D79">
        <w:rPr>
          <w:rFonts w:ascii="Book Antiqua" w:hAnsi="Book Antiqua" w:cs="Arial"/>
          <w:lang w:val="en-GB"/>
        </w:rPr>
        <w:t xml:space="preserve">, remission </w:t>
      </w:r>
      <w:r w:rsidR="003E0D52" w:rsidRPr="00E17D79">
        <w:rPr>
          <w:rFonts w:ascii="Book Antiqua" w:hAnsi="Book Antiqua" w:cs="Arial"/>
          <w:lang w:val="en-GB"/>
        </w:rPr>
        <w:t xml:space="preserve">rates </w:t>
      </w:r>
      <w:r w:rsidR="00DC7247" w:rsidRPr="00E17D79">
        <w:rPr>
          <w:rFonts w:ascii="Book Antiqua" w:hAnsi="Book Antiqua" w:cs="Arial"/>
          <w:lang w:val="en-GB"/>
        </w:rPr>
        <w:t>w</w:t>
      </w:r>
      <w:r w:rsidR="003E0D52" w:rsidRPr="00E17D79">
        <w:rPr>
          <w:rFonts w:ascii="Book Antiqua" w:hAnsi="Book Antiqua" w:cs="Arial"/>
          <w:lang w:val="en-GB"/>
        </w:rPr>
        <w:t>ere</w:t>
      </w:r>
      <w:r w:rsidR="001D2FF9" w:rsidRPr="00E17D79">
        <w:rPr>
          <w:rFonts w:ascii="Book Antiqua" w:hAnsi="Book Antiqua" w:cs="Arial"/>
          <w:lang w:val="en-GB"/>
        </w:rPr>
        <w:t xml:space="preserve"> </w:t>
      </w:r>
      <w:r w:rsidR="003E0D52" w:rsidRPr="00E17D79">
        <w:rPr>
          <w:rFonts w:ascii="Book Antiqua" w:hAnsi="Book Antiqua" w:cs="Arial"/>
          <w:lang w:val="en-GB"/>
        </w:rPr>
        <w:t>significantly</w:t>
      </w:r>
      <w:r w:rsidR="00DC7247" w:rsidRPr="00E17D79">
        <w:rPr>
          <w:rFonts w:ascii="Book Antiqua" w:hAnsi="Book Antiqua" w:cs="Arial"/>
          <w:lang w:val="en-GB"/>
        </w:rPr>
        <w:t xml:space="preserve"> different </w:t>
      </w:r>
      <w:r w:rsidR="003E0D52" w:rsidRPr="00E17D79">
        <w:rPr>
          <w:rFonts w:ascii="Book Antiqua" w:hAnsi="Book Antiqua" w:cs="Arial"/>
          <w:lang w:val="en-GB"/>
        </w:rPr>
        <w:t>in</w:t>
      </w:r>
      <w:r w:rsidR="00DC7247" w:rsidRPr="00E17D79">
        <w:rPr>
          <w:rFonts w:ascii="Book Antiqua" w:hAnsi="Book Antiqua" w:cs="Arial"/>
          <w:lang w:val="en-GB"/>
        </w:rPr>
        <w:t xml:space="preserve"> the </w:t>
      </w:r>
      <w:r w:rsidR="00CC7BA0" w:rsidRPr="00E17D79">
        <w:rPr>
          <w:rFonts w:ascii="Book Antiqua" w:hAnsi="Book Antiqua" w:cs="Arial"/>
          <w:lang w:val="en-GB"/>
        </w:rPr>
        <w:t xml:space="preserve">three </w:t>
      </w:r>
      <w:r w:rsidR="00DC7247" w:rsidRPr="00E17D79">
        <w:rPr>
          <w:rFonts w:ascii="Book Antiqua" w:hAnsi="Book Antiqua" w:cs="Arial"/>
          <w:lang w:val="en-GB"/>
        </w:rPr>
        <w:t>age g</w:t>
      </w:r>
      <w:r w:rsidR="00CC7BA0" w:rsidRPr="00E17D79">
        <w:rPr>
          <w:rFonts w:ascii="Book Antiqua" w:hAnsi="Book Antiqua" w:cs="Arial"/>
          <w:lang w:val="en-GB"/>
        </w:rPr>
        <w:t>r</w:t>
      </w:r>
      <w:r w:rsidR="00DC7247" w:rsidRPr="00E17D79">
        <w:rPr>
          <w:rFonts w:ascii="Book Antiqua" w:hAnsi="Book Antiqua" w:cs="Arial"/>
          <w:lang w:val="en-GB"/>
        </w:rPr>
        <w:t>oup</w:t>
      </w:r>
      <w:r w:rsidR="00CC7BA0" w:rsidRPr="00E17D79">
        <w:rPr>
          <w:rFonts w:ascii="Book Antiqua" w:hAnsi="Book Antiqua" w:cs="Arial"/>
          <w:lang w:val="en-GB"/>
        </w:rPr>
        <w:t>s</w:t>
      </w:r>
      <w:r w:rsidR="002B741C" w:rsidRPr="00E17D79">
        <w:rPr>
          <w:rFonts w:ascii="Book Antiqua" w:hAnsi="Book Antiqua" w:cs="Arial"/>
          <w:lang w:val="en-GB"/>
        </w:rPr>
        <w:t xml:space="preserve"> (100% in the young age group, 85.7% in the middle and 53.3% in the older,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0344EB" w:rsidRPr="00E17D79">
        <w:rPr>
          <w:rFonts w:ascii="Book Antiqua" w:hAnsi="Book Antiqua" w:cs="Arial"/>
          <w:iCs/>
          <w:lang w:val="en-GB"/>
        </w:rPr>
        <w:t>&lt;</w:t>
      </w:r>
      <w:r w:rsidR="00345AAF" w:rsidRPr="00E17D79">
        <w:rPr>
          <w:rFonts w:ascii="Book Antiqua" w:hAnsi="Book Antiqua" w:cs="Arial"/>
          <w:i/>
          <w:lang w:val="en-GB"/>
        </w:rPr>
        <w:t xml:space="preserve"> </w:t>
      </w:r>
      <w:r w:rsidR="000344EB" w:rsidRPr="00E17D79">
        <w:rPr>
          <w:rFonts w:ascii="Book Antiqua" w:hAnsi="Book Antiqua" w:cs="Arial"/>
          <w:lang w:val="en-GB"/>
        </w:rPr>
        <w:t>0.01</w:t>
      </w:r>
      <w:r w:rsidR="002B741C" w:rsidRPr="00E17D79">
        <w:rPr>
          <w:rFonts w:ascii="Book Antiqua" w:hAnsi="Book Antiqua" w:cs="Arial"/>
          <w:lang w:val="en-GB"/>
        </w:rPr>
        <w:t>).</w:t>
      </w:r>
      <w:r w:rsidR="003E0D52" w:rsidRPr="00E17D79">
        <w:rPr>
          <w:rFonts w:ascii="Book Antiqua" w:hAnsi="Book Antiqua" w:cs="Arial"/>
          <w:lang w:val="en-GB"/>
        </w:rPr>
        <w:t xml:space="preserve"> P</w:t>
      </w:r>
      <w:r w:rsidR="00D47E1A" w:rsidRPr="00E17D79">
        <w:rPr>
          <w:rFonts w:ascii="Book Antiqua" w:hAnsi="Book Antiqua" w:cs="Arial"/>
          <w:lang w:val="en-GB"/>
        </w:rPr>
        <w:t xml:space="preserve">atients with remission </w:t>
      </w:r>
      <w:r w:rsidR="00143CBB" w:rsidRPr="00E17D79">
        <w:rPr>
          <w:rFonts w:ascii="Book Antiqua" w:hAnsi="Book Antiqua" w:cs="Arial"/>
          <w:lang w:val="en-GB"/>
        </w:rPr>
        <w:t>were younger</w:t>
      </w:r>
      <w:r w:rsidR="003E0D52" w:rsidRPr="00E17D79">
        <w:rPr>
          <w:rFonts w:ascii="Book Antiqua" w:hAnsi="Book Antiqua" w:cs="Arial"/>
          <w:lang w:val="en-GB"/>
        </w:rPr>
        <w:t xml:space="preserve"> compared to those without remission (</w:t>
      </w:r>
      <w:r w:rsidR="00F771A5" w:rsidRPr="00E17D79">
        <w:rPr>
          <w:rFonts w:ascii="Book Antiqua" w:hAnsi="Book Antiqua" w:cs="Arial"/>
          <w:lang w:val="en-GB"/>
        </w:rPr>
        <w:t>47</w:t>
      </w:r>
      <w:r w:rsidR="00345AAF" w:rsidRPr="00E17D79">
        <w:rPr>
          <w:rFonts w:ascii="Book Antiqua" w:hAnsi="Book Antiqua" w:cs="Arial"/>
          <w:lang w:val="en-GB"/>
        </w:rPr>
        <w:t xml:space="preserve"> </w:t>
      </w:r>
      <w:r w:rsidR="00D47E1A" w:rsidRPr="00E17D79">
        <w:rPr>
          <w:rFonts w:ascii="Book Antiqua" w:hAnsi="Book Antiqua" w:cs="Arial"/>
          <w:lang w:val="en-GB"/>
        </w:rPr>
        <w:t>±</w:t>
      </w:r>
      <w:r w:rsidR="00345AAF" w:rsidRPr="00E17D79">
        <w:rPr>
          <w:rFonts w:ascii="Book Antiqua" w:hAnsi="Book Antiqua" w:cs="Arial"/>
          <w:lang w:val="en-GB"/>
        </w:rPr>
        <w:t xml:space="preserve"> </w:t>
      </w:r>
      <w:r w:rsidR="00D47E1A" w:rsidRPr="00E17D79">
        <w:rPr>
          <w:rFonts w:ascii="Book Antiqua" w:hAnsi="Book Antiqua" w:cs="Arial"/>
          <w:lang w:val="en-GB"/>
        </w:rPr>
        <w:t xml:space="preserve">6 </w:t>
      </w:r>
      <w:r w:rsidR="00D47E1A" w:rsidRPr="00E17D79">
        <w:rPr>
          <w:rFonts w:ascii="Book Antiqua" w:hAnsi="Book Antiqua" w:cs="Arial"/>
          <w:i/>
          <w:lang w:val="en-GB"/>
        </w:rPr>
        <w:t>vs</w:t>
      </w:r>
      <w:r w:rsidR="00D47E1A" w:rsidRPr="00E17D79">
        <w:rPr>
          <w:rFonts w:ascii="Book Antiqua" w:hAnsi="Book Antiqua" w:cs="Arial"/>
          <w:lang w:val="en-GB"/>
        </w:rPr>
        <w:t xml:space="preserve"> 66.6</w:t>
      </w:r>
      <w:r w:rsidR="00345AAF" w:rsidRPr="00E17D79">
        <w:rPr>
          <w:rFonts w:ascii="Book Antiqua" w:hAnsi="Book Antiqua" w:cs="Arial"/>
          <w:lang w:val="en-GB"/>
        </w:rPr>
        <w:t xml:space="preserve"> </w:t>
      </w:r>
      <w:r w:rsidR="00F771A5" w:rsidRPr="00E17D79">
        <w:rPr>
          <w:rFonts w:ascii="Book Antiqua" w:hAnsi="Book Antiqua" w:cs="Arial"/>
          <w:lang w:val="en-GB"/>
        </w:rPr>
        <w:t>±</w:t>
      </w:r>
      <w:r w:rsidR="00345AAF" w:rsidRPr="00E17D79">
        <w:rPr>
          <w:rFonts w:ascii="Book Antiqua" w:hAnsi="Book Antiqua" w:cs="Arial"/>
          <w:lang w:val="en-GB"/>
        </w:rPr>
        <w:t xml:space="preserve"> </w:t>
      </w:r>
      <w:r w:rsidR="00D47E1A" w:rsidRPr="00E17D79">
        <w:rPr>
          <w:rFonts w:ascii="Book Antiqua" w:hAnsi="Book Antiqua" w:cs="Arial"/>
          <w:lang w:val="en-GB"/>
        </w:rPr>
        <w:t xml:space="preserve">12.4 </w:t>
      </w:r>
      <w:r w:rsidR="003E0D52" w:rsidRPr="00E17D79">
        <w:rPr>
          <w:rFonts w:ascii="Book Antiqua" w:hAnsi="Book Antiqua" w:cs="Arial"/>
          <w:lang w:val="en-GB"/>
        </w:rPr>
        <w:t xml:space="preserve">years, respectively, </w:t>
      </w:r>
      <w:r w:rsidR="000344EB" w:rsidRPr="00E17D79">
        <w:rPr>
          <w:rFonts w:ascii="Book Antiqua" w:hAnsi="Book Antiqua" w:cs="Arial"/>
          <w:i/>
          <w:lang w:val="en-GB"/>
        </w:rPr>
        <w:t>P</w:t>
      </w:r>
      <w:r w:rsidR="00345AAF" w:rsidRPr="00E17D79">
        <w:rPr>
          <w:rFonts w:ascii="Book Antiqua" w:hAnsi="Book Antiqua" w:cs="Arial"/>
          <w:i/>
          <w:iCs/>
          <w:lang w:val="en-GB"/>
        </w:rPr>
        <w:t xml:space="preserve"> </w:t>
      </w:r>
      <w:r w:rsidR="008006F2" w:rsidRPr="00E17D79">
        <w:rPr>
          <w:rFonts w:ascii="Book Antiqua" w:hAnsi="Book Antiqua" w:cs="Arial"/>
          <w:i/>
          <w:iCs/>
          <w:lang w:val="en-GB"/>
        </w:rPr>
        <w:t>&lt;</w:t>
      </w:r>
      <w:r w:rsidR="00345AAF" w:rsidRPr="00E17D79">
        <w:rPr>
          <w:rFonts w:ascii="Book Antiqua" w:hAnsi="Book Antiqua" w:cs="Arial"/>
          <w:i/>
          <w:iCs/>
          <w:lang w:val="en-GB"/>
        </w:rPr>
        <w:t xml:space="preserve"> </w:t>
      </w:r>
      <w:r w:rsidR="005860E6" w:rsidRPr="00E17D79">
        <w:rPr>
          <w:rFonts w:ascii="Book Antiqua" w:hAnsi="Book Antiqua" w:cs="Arial"/>
          <w:lang w:val="en-GB"/>
        </w:rPr>
        <w:t>0.00</w:t>
      </w:r>
      <w:r w:rsidR="00245D29" w:rsidRPr="00E17D79">
        <w:rPr>
          <w:rFonts w:ascii="Book Antiqua" w:hAnsi="Book Antiqua" w:cs="Arial"/>
          <w:lang w:val="en-GB"/>
        </w:rPr>
        <w:t>1</w:t>
      </w:r>
      <w:r w:rsidR="005860E6" w:rsidRPr="00E17D79">
        <w:rPr>
          <w:rFonts w:ascii="Book Antiqua" w:hAnsi="Book Antiqua" w:cs="Arial"/>
          <w:lang w:val="en-GB"/>
        </w:rPr>
        <w:t>).</w:t>
      </w:r>
      <w:r w:rsidR="001D2FF9" w:rsidRPr="00E17D79">
        <w:rPr>
          <w:rFonts w:ascii="Book Antiqua" w:hAnsi="Book Antiqua" w:cs="Arial"/>
          <w:lang w:val="en-GB"/>
        </w:rPr>
        <w:t xml:space="preserve"> </w:t>
      </w:r>
      <w:r w:rsidR="00DC7247" w:rsidRPr="00E17D79">
        <w:rPr>
          <w:rFonts w:ascii="Book Antiqua" w:hAnsi="Book Antiqua" w:cs="Arial"/>
          <w:lang w:val="en-GB"/>
        </w:rPr>
        <w:t>In addition</w:t>
      </w:r>
      <w:r w:rsidR="00944363" w:rsidRPr="00E17D79">
        <w:rPr>
          <w:rFonts w:ascii="Book Antiqua" w:hAnsi="Book Antiqua" w:cs="Arial"/>
          <w:lang w:val="en-GB"/>
        </w:rPr>
        <w:t xml:space="preserve">, </w:t>
      </w:r>
      <w:r w:rsidR="00D0084E" w:rsidRPr="00E17D79">
        <w:rPr>
          <w:rFonts w:ascii="Book Antiqua" w:hAnsi="Book Antiqua" w:cs="Arial"/>
          <w:lang w:val="en-GB"/>
        </w:rPr>
        <w:t>anaemia</w:t>
      </w:r>
      <w:r w:rsidR="00944363" w:rsidRPr="00E17D79">
        <w:rPr>
          <w:rFonts w:ascii="Book Antiqua" w:hAnsi="Book Antiqua" w:cs="Arial"/>
          <w:lang w:val="en-GB"/>
        </w:rPr>
        <w:t xml:space="preserve">, </w:t>
      </w:r>
      <w:r w:rsidR="00FB59F4" w:rsidRPr="00E17D79">
        <w:rPr>
          <w:rFonts w:ascii="Book Antiqua" w:hAnsi="Book Antiqua" w:cs="Arial"/>
          <w:lang w:val="en-GB"/>
        </w:rPr>
        <w:t xml:space="preserve">low </w:t>
      </w:r>
      <w:r w:rsidR="00944363" w:rsidRPr="00E17D79">
        <w:rPr>
          <w:rFonts w:ascii="Book Antiqua" w:hAnsi="Book Antiqua" w:cs="Arial"/>
          <w:lang w:val="en-GB"/>
        </w:rPr>
        <w:t>fibrinog</w:t>
      </w:r>
      <w:r w:rsidR="0030706D" w:rsidRPr="00E17D79">
        <w:rPr>
          <w:rFonts w:ascii="Book Antiqua" w:hAnsi="Book Antiqua" w:cs="Arial"/>
          <w:lang w:val="en-GB"/>
        </w:rPr>
        <w:t>en</w:t>
      </w:r>
      <w:r w:rsidR="00944363" w:rsidRPr="00E17D79">
        <w:rPr>
          <w:rFonts w:ascii="Book Antiqua" w:hAnsi="Book Antiqua" w:cs="Arial"/>
          <w:lang w:val="en-GB"/>
        </w:rPr>
        <w:t xml:space="preserve"> and disseminated intravascular coagulation</w:t>
      </w:r>
      <w:r w:rsidR="0087774B" w:rsidRPr="00E17D79">
        <w:rPr>
          <w:rFonts w:ascii="Book Antiqua" w:hAnsi="Book Antiqua" w:cs="Arial"/>
          <w:lang w:val="en-GB"/>
        </w:rPr>
        <w:t xml:space="preserve"> (DIC)</w:t>
      </w:r>
      <w:r w:rsidR="001D2FF9" w:rsidRPr="00E17D79">
        <w:rPr>
          <w:rFonts w:ascii="Book Antiqua" w:hAnsi="Book Antiqua" w:cs="Arial"/>
          <w:lang w:val="en-GB"/>
        </w:rPr>
        <w:t xml:space="preserve"> </w:t>
      </w:r>
      <w:r w:rsidR="003E0D52" w:rsidRPr="00E17D79">
        <w:rPr>
          <w:rFonts w:ascii="Book Antiqua" w:hAnsi="Book Antiqua" w:cs="Arial"/>
          <w:lang w:val="en-GB"/>
        </w:rPr>
        <w:t xml:space="preserve">at baseline </w:t>
      </w:r>
      <w:r w:rsidR="00944363" w:rsidRPr="00E17D79">
        <w:rPr>
          <w:rFonts w:ascii="Book Antiqua" w:hAnsi="Book Antiqua" w:cs="Arial"/>
          <w:lang w:val="en-GB"/>
        </w:rPr>
        <w:t xml:space="preserve">were more frequent in patients that did not </w:t>
      </w:r>
      <w:r w:rsidR="003E0D52" w:rsidRPr="00E17D79">
        <w:rPr>
          <w:rFonts w:ascii="Book Antiqua" w:hAnsi="Book Antiqua" w:cs="Arial"/>
          <w:lang w:val="en-GB"/>
        </w:rPr>
        <w:t>achieve</w:t>
      </w:r>
      <w:r w:rsidR="00944363" w:rsidRPr="00E17D79">
        <w:rPr>
          <w:rFonts w:ascii="Book Antiqua" w:hAnsi="Book Antiqua" w:cs="Arial"/>
          <w:lang w:val="en-GB"/>
        </w:rPr>
        <w:t xml:space="preserve"> remission during treatment (</w:t>
      </w:r>
      <w:r w:rsidR="00B122E4" w:rsidRPr="00E17D79">
        <w:rPr>
          <w:rFonts w:ascii="Book Antiqua" w:hAnsi="Book Antiqua" w:cs="Arial"/>
          <w:lang w:val="en-GB"/>
        </w:rPr>
        <w:t>an</w:t>
      </w:r>
      <w:r w:rsidR="003E0D52" w:rsidRPr="00E17D79">
        <w:rPr>
          <w:rFonts w:ascii="Book Antiqua" w:hAnsi="Book Antiqua" w:cs="Arial"/>
          <w:lang w:val="en-GB"/>
        </w:rPr>
        <w:t>a</w:t>
      </w:r>
      <w:r w:rsidR="00B122E4" w:rsidRPr="00E17D79">
        <w:rPr>
          <w:rFonts w:ascii="Book Antiqua" w:hAnsi="Book Antiqua" w:cs="Arial"/>
          <w:lang w:val="en-GB"/>
        </w:rPr>
        <w:t xml:space="preserve">emia </w:t>
      </w:r>
      <w:r w:rsidR="001D2FF9" w:rsidRPr="00E17D79">
        <w:rPr>
          <w:rFonts w:ascii="Book Antiqua" w:hAnsi="Book Antiqua" w:cs="Arial"/>
          <w:lang w:val="en-GB"/>
        </w:rPr>
        <w:t>was present in</w:t>
      </w:r>
      <w:r w:rsidR="00B122E4" w:rsidRPr="00E17D79">
        <w:rPr>
          <w:rFonts w:ascii="Book Antiqua" w:hAnsi="Book Antiqua" w:cs="Arial"/>
          <w:lang w:val="en-GB"/>
        </w:rPr>
        <w:t xml:space="preserve"> 100% of non-responders </w:t>
      </w:r>
      <w:r w:rsidR="00B122E4" w:rsidRPr="00E17D79">
        <w:rPr>
          <w:rFonts w:ascii="Book Antiqua" w:hAnsi="Book Antiqua" w:cs="Arial"/>
          <w:i/>
          <w:lang w:val="en-GB"/>
        </w:rPr>
        <w:t>vs</w:t>
      </w:r>
      <w:r w:rsidR="00B122E4" w:rsidRPr="00E17D79">
        <w:rPr>
          <w:rFonts w:ascii="Book Antiqua" w:hAnsi="Book Antiqua" w:cs="Arial"/>
          <w:lang w:val="en-GB"/>
        </w:rPr>
        <w:t xml:space="preserve"> 63.9% of responders, </w:t>
      </w:r>
      <w:r w:rsidR="000344EB" w:rsidRPr="00E17D79">
        <w:rPr>
          <w:rFonts w:ascii="Book Antiqua" w:hAnsi="Book Antiqua" w:cs="Arial"/>
          <w:i/>
          <w:lang w:val="en-GB"/>
        </w:rPr>
        <w:t>P</w:t>
      </w:r>
      <w:r w:rsidR="00345AAF" w:rsidRPr="00E17D79">
        <w:rPr>
          <w:rFonts w:ascii="Book Antiqua" w:hAnsi="Book Antiqua" w:cs="Arial"/>
          <w:lang w:val="en-GB"/>
        </w:rPr>
        <w:t xml:space="preserve"> </w:t>
      </w:r>
      <w:r w:rsidR="006A0601" w:rsidRPr="00E17D79">
        <w:rPr>
          <w:rFonts w:ascii="Book Antiqua" w:hAnsi="Book Antiqua" w:cs="Arial"/>
          <w:lang w:val="en-GB"/>
        </w:rPr>
        <w:t>&lt;</w:t>
      </w:r>
      <w:r w:rsidR="00345AAF" w:rsidRPr="00E17D79">
        <w:rPr>
          <w:rFonts w:ascii="Book Antiqua" w:hAnsi="Book Antiqua" w:cs="Arial"/>
          <w:lang w:val="en-GB"/>
        </w:rPr>
        <w:t xml:space="preserve"> </w:t>
      </w:r>
      <w:r w:rsidR="00E06B0E" w:rsidRPr="00E17D79">
        <w:rPr>
          <w:rFonts w:ascii="Book Antiqua" w:hAnsi="Book Antiqua" w:cs="Arial"/>
          <w:lang w:val="en-GB"/>
        </w:rPr>
        <w:t>0.0</w:t>
      </w:r>
      <w:r w:rsidR="000344EB" w:rsidRPr="00E17D79">
        <w:rPr>
          <w:rFonts w:ascii="Book Antiqua" w:hAnsi="Book Antiqua" w:cs="Arial"/>
          <w:lang w:val="en-GB"/>
        </w:rPr>
        <w:t>1</w:t>
      </w:r>
      <w:r w:rsidR="00E06B0E" w:rsidRPr="00E17D79">
        <w:rPr>
          <w:rFonts w:ascii="Book Antiqua" w:hAnsi="Book Antiqua" w:cs="Arial"/>
          <w:lang w:val="en-GB"/>
        </w:rPr>
        <w:t xml:space="preserve">; </w:t>
      </w:r>
      <w:r w:rsidR="00690A83" w:rsidRPr="00E17D79">
        <w:rPr>
          <w:rFonts w:ascii="Book Antiqua" w:hAnsi="Book Antiqua" w:cs="Arial"/>
          <w:lang w:val="en-GB"/>
        </w:rPr>
        <w:t xml:space="preserve">low </w:t>
      </w:r>
      <w:r w:rsidR="00E06B0E" w:rsidRPr="00E17D79">
        <w:rPr>
          <w:rFonts w:ascii="Book Antiqua" w:hAnsi="Book Antiqua" w:cs="Arial"/>
          <w:lang w:val="en-GB"/>
        </w:rPr>
        <w:t>fibrinog</w:t>
      </w:r>
      <w:r w:rsidR="0030706D" w:rsidRPr="00E17D79">
        <w:rPr>
          <w:rFonts w:ascii="Book Antiqua" w:hAnsi="Book Antiqua" w:cs="Arial"/>
          <w:lang w:val="en-GB"/>
        </w:rPr>
        <w:t>en</w:t>
      </w:r>
      <w:r w:rsidR="00690A83" w:rsidRPr="00E17D79">
        <w:rPr>
          <w:rFonts w:ascii="Book Antiqua" w:hAnsi="Book Antiqua" w:cs="Arial"/>
          <w:lang w:val="en-GB"/>
        </w:rPr>
        <w:t xml:space="preserve"> levels</w:t>
      </w:r>
      <w:r w:rsidR="001D2FF9" w:rsidRPr="00E17D79">
        <w:rPr>
          <w:rFonts w:ascii="Book Antiqua" w:hAnsi="Book Antiqua" w:cs="Arial"/>
          <w:lang w:val="en-GB"/>
        </w:rPr>
        <w:t xml:space="preserve"> in </w:t>
      </w:r>
      <w:r w:rsidR="00E06B0E" w:rsidRPr="00E17D79">
        <w:rPr>
          <w:rFonts w:ascii="Book Antiqua" w:hAnsi="Book Antiqua" w:cs="Arial"/>
          <w:lang w:val="en-GB"/>
        </w:rPr>
        <w:t xml:space="preserve">50% of non-responders </w:t>
      </w:r>
      <w:r w:rsidR="00E06B0E" w:rsidRPr="00E17D79">
        <w:rPr>
          <w:rFonts w:ascii="Book Antiqua" w:hAnsi="Book Antiqua" w:cs="Arial"/>
          <w:i/>
          <w:lang w:val="en-GB"/>
        </w:rPr>
        <w:t>vs</w:t>
      </w:r>
      <w:r w:rsidR="001D2FF9" w:rsidRPr="00E17D79">
        <w:rPr>
          <w:rFonts w:ascii="Book Antiqua" w:hAnsi="Book Antiqua" w:cs="Arial"/>
          <w:lang w:val="en-GB"/>
        </w:rPr>
        <w:t xml:space="preserve"> </w:t>
      </w:r>
      <w:r w:rsidR="00E06B0E" w:rsidRPr="00E17D79">
        <w:rPr>
          <w:rFonts w:ascii="Book Antiqua" w:hAnsi="Book Antiqua" w:cs="Arial"/>
          <w:lang w:val="en-GB"/>
        </w:rPr>
        <w:t>14.8% of res</w:t>
      </w:r>
      <w:r w:rsidR="00573B76" w:rsidRPr="00E17D79">
        <w:rPr>
          <w:rFonts w:ascii="Book Antiqua" w:hAnsi="Book Antiqua" w:cs="Arial"/>
          <w:lang w:val="en-GB"/>
        </w:rPr>
        <w:t xml:space="preserve">ponders,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6A0601" w:rsidRPr="00E17D79">
        <w:rPr>
          <w:rFonts w:ascii="Book Antiqua" w:hAnsi="Book Antiqua" w:cs="Arial"/>
          <w:lang w:val="en-GB"/>
        </w:rPr>
        <w:t>&lt;</w:t>
      </w:r>
      <w:r w:rsidR="00345AAF" w:rsidRPr="00E17D79">
        <w:rPr>
          <w:rFonts w:ascii="Book Antiqua" w:hAnsi="Book Antiqua" w:cs="Arial"/>
          <w:lang w:val="en-GB"/>
        </w:rPr>
        <w:t xml:space="preserve"> </w:t>
      </w:r>
      <w:r w:rsidR="001D2FF9" w:rsidRPr="00E17D79">
        <w:rPr>
          <w:rFonts w:ascii="Book Antiqua" w:hAnsi="Book Antiqua" w:cs="Arial"/>
          <w:lang w:val="en-GB"/>
        </w:rPr>
        <w:t>0.0</w:t>
      </w:r>
      <w:r w:rsidR="000344EB" w:rsidRPr="00E17D79">
        <w:rPr>
          <w:rFonts w:ascii="Book Antiqua" w:hAnsi="Book Antiqua" w:cs="Arial"/>
          <w:lang w:val="en-GB"/>
        </w:rPr>
        <w:t>1</w:t>
      </w:r>
      <w:r w:rsidR="001D2FF9" w:rsidRPr="00E17D79">
        <w:rPr>
          <w:rFonts w:ascii="Book Antiqua" w:hAnsi="Book Antiqua" w:cs="Arial"/>
          <w:lang w:val="en-GB"/>
        </w:rPr>
        <w:t xml:space="preserve"> and </w:t>
      </w:r>
      <w:r w:rsidR="0087774B" w:rsidRPr="00E17D79">
        <w:rPr>
          <w:rFonts w:ascii="Book Antiqua" w:hAnsi="Book Antiqua" w:cs="Arial"/>
          <w:lang w:val="en-GB"/>
        </w:rPr>
        <w:t xml:space="preserve">DIC </w:t>
      </w:r>
      <w:r w:rsidR="001D2FF9" w:rsidRPr="00E17D79">
        <w:rPr>
          <w:rFonts w:ascii="Book Antiqua" w:hAnsi="Book Antiqua" w:cs="Arial"/>
          <w:lang w:val="en-GB"/>
        </w:rPr>
        <w:t xml:space="preserve">in </w:t>
      </w:r>
      <w:r w:rsidR="00047373" w:rsidRPr="00E17D79">
        <w:rPr>
          <w:rFonts w:ascii="Book Antiqua" w:hAnsi="Book Antiqua" w:cs="Arial"/>
          <w:lang w:val="en-GB"/>
        </w:rPr>
        <w:t>44.4</w:t>
      </w:r>
      <w:r w:rsidR="0087774B" w:rsidRPr="00E17D79">
        <w:rPr>
          <w:rFonts w:ascii="Book Antiqua" w:hAnsi="Book Antiqua" w:cs="Arial"/>
          <w:lang w:val="en-GB"/>
        </w:rPr>
        <w:t xml:space="preserve">% of non-responders </w:t>
      </w:r>
      <w:r w:rsidR="0087774B" w:rsidRPr="00E17D79">
        <w:rPr>
          <w:rFonts w:ascii="Book Antiqua" w:hAnsi="Book Antiqua" w:cs="Arial"/>
          <w:i/>
          <w:lang w:val="en-GB"/>
        </w:rPr>
        <w:t>vs</w:t>
      </w:r>
      <w:r w:rsidR="001D2FF9" w:rsidRPr="00E17D79">
        <w:rPr>
          <w:rFonts w:ascii="Book Antiqua" w:hAnsi="Book Antiqua" w:cs="Arial"/>
          <w:lang w:val="en-GB"/>
        </w:rPr>
        <w:t xml:space="preserve"> </w:t>
      </w:r>
      <w:r w:rsidR="00047373" w:rsidRPr="00E17D79">
        <w:rPr>
          <w:rFonts w:ascii="Book Antiqua" w:hAnsi="Book Antiqua" w:cs="Arial"/>
          <w:lang w:val="en-GB"/>
        </w:rPr>
        <w:t>1.6</w:t>
      </w:r>
      <w:r w:rsidR="0087774B" w:rsidRPr="00E17D79">
        <w:rPr>
          <w:rFonts w:ascii="Book Antiqua" w:hAnsi="Book Antiqua" w:cs="Arial"/>
          <w:lang w:val="en-GB"/>
        </w:rPr>
        <w:t xml:space="preserve">% of responders,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245D29" w:rsidRPr="00E17D79">
        <w:rPr>
          <w:rFonts w:ascii="Book Antiqua" w:hAnsi="Book Antiqua" w:cs="Arial"/>
          <w:lang w:val="en-GB"/>
        </w:rPr>
        <w:t>&lt;</w:t>
      </w:r>
      <w:r w:rsidR="00345AAF" w:rsidRPr="00E17D79">
        <w:rPr>
          <w:rFonts w:ascii="Book Antiqua" w:hAnsi="Book Antiqua" w:cs="Arial"/>
          <w:lang w:val="en-GB"/>
        </w:rPr>
        <w:t xml:space="preserve"> </w:t>
      </w:r>
      <w:r w:rsidR="0087774B" w:rsidRPr="00E17D79">
        <w:rPr>
          <w:rFonts w:ascii="Book Antiqua" w:hAnsi="Book Antiqua" w:cs="Arial"/>
          <w:lang w:val="en-GB"/>
        </w:rPr>
        <w:t>0.00</w:t>
      </w:r>
      <w:r w:rsidR="00245D29" w:rsidRPr="00E17D79">
        <w:rPr>
          <w:rFonts w:ascii="Book Antiqua" w:hAnsi="Book Antiqua" w:cs="Arial"/>
          <w:lang w:val="en-GB"/>
        </w:rPr>
        <w:t>1</w:t>
      </w:r>
      <w:r w:rsidR="0087774B" w:rsidRPr="00E17D79">
        <w:rPr>
          <w:rFonts w:ascii="Book Antiqua" w:hAnsi="Book Antiqua" w:cs="Arial"/>
          <w:lang w:val="en-GB"/>
        </w:rPr>
        <w:t>).</w:t>
      </w:r>
      <w:r w:rsidR="006D3871" w:rsidRPr="00E17D79">
        <w:rPr>
          <w:rFonts w:ascii="Book Antiqua" w:hAnsi="Book Antiqua" w:cs="Arial"/>
          <w:lang w:val="en-GB"/>
        </w:rPr>
        <w:t xml:space="preserve"> T</w:t>
      </w:r>
      <w:r w:rsidR="0081194F" w:rsidRPr="00E17D79">
        <w:rPr>
          <w:rFonts w:ascii="Book Antiqua" w:hAnsi="Book Antiqua" w:cs="Arial"/>
          <w:lang w:val="en-GB"/>
        </w:rPr>
        <w:t>reatment complications were also more frequent in patients without remission (</w:t>
      </w:r>
      <w:r w:rsidR="00475E8E" w:rsidRPr="00E17D79">
        <w:rPr>
          <w:rFonts w:ascii="Book Antiqua" w:hAnsi="Book Antiqua" w:cs="Arial"/>
          <w:lang w:val="en-GB"/>
        </w:rPr>
        <w:t xml:space="preserve">38.9% </w:t>
      </w:r>
      <w:r w:rsidR="00475E8E" w:rsidRPr="00E17D79">
        <w:rPr>
          <w:rFonts w:ascii="Book Antiqua" w:hAnsi="Book Antiqua" w:cs="Arial"/>
          <w:i/>
          <w:lang w:val="en-GB"/>
        </w:rPr>
        <w:t>vs</w:t>
      </w:r>
      <w:r w:rsidR="00475E8E" w:rsidRPr="00E17D79">
        <w:rPr>
          <w:rFonts w:ascii="Book Antiqua" w:hAnsi="Book Antiqua" w:cs="Arial"/>
          <w:lang w:val="en-GB"/>
        </w:rPr>
        <w:t xml:space="preserve"> 18%,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6A0601" w:rsidRPr="00E17D79">
        <w:rPr>
          <w:rFonts w:ascii="Book Antiqua" w:hAnsi="Book Antiqua" w:cs="Arial"/>
          <w:lang w:val="en-GB"/>
        </w:rPr>
        <w:t>&lt;</w:t>
      </w:r>
      <w:r w:rsidR="00345AAF" w:rsidRPr="00E17D79">
        <w:rPr>
          <w:rFonts w:ascii="Book Antiqua" w:hAnsi="Book Antiqua" w:cs="Arial"/>
          <w:lang w:val="en-GB"/>
        </w:rPr>
        <w:t xml:space="preserve"> </w:t>
      </w:r>
      <w:r w:rsidR="00AE3E22" w:rsidRPr="00E17D79">
        <w:rPr>
          <w:rFonts w:ascii="Book Antiqua" w:hAnsi="Book Antiqua" w:cs="Arial"/>
          <w:lang w:val="en-GB"/>
        </w:rPr>
        <w:t>0.0</w:t>
      </w:r>
      <w:r w:rsidR="006A0601" w:rsidRPr="00E17D79">
        <w:rPr>
          <w:rFonts w:ascii="Book Antiqua" w:hAnsi="Book Antiqua" w:cs="Arial"/>
          <w:lang w:val="en-GB"/>
        </w:rPr>
        <w:t>5</w:t>
      </w:r>
      <w:r w:rsidR="00AE3E22" w:rsidRPr="00E17D79">
        <w:rPr>
          <w:rFonts w:ascii="Book Antiqua" w:hAnsi="Book Antiqua" w:cs="Arial"/>
          <w:lang w:val="en-GB"/>
        </w:rPr>
        <w:t>)</w:t>
      </w:r>
      <w:r w:rsidR="0036701E" w:rsidRPr="00E17D79">
        <w:rPr>
          <w:rFonts w:ascii="Book Antiqua" w:hAnsi="Book Antiqua" w:cs="Arial"/>
          <w:lang w:val="en-GB"/>
        </w:rPr>
        <w:t xml:space="preserve">. </w:t>
      </w:r>
      <w:r w:rsidR="00AA2CC9" w:rsidRPr="00E17D79">
        <w:rPr>
          <w:rFonts w:ascii="Book Antiqua" w:hAnsi="Book Antiqua" w:cs="Arial"/>
          <w:lang w:val="en-GB"/>
        </w:rPr>
        <w:t>Of note, although remission was more frequent in patients with underlying infection</w:t>
      </w:r>
      <w:r w:rsidR="00306DDB" w:rsidRPr="00E17D79">
        <w:rPr>
          <w:rFonts w:ascii="Book Antiqua" w:hAnsi="Book Antiqua" w:cs="Arial"/>
          <w:lang w:val="en-GB"/>
        </w:rPr>
        <w:t>s</w:t>
      </w:r>
      <w:r w:rsidR="00AA2CC9" w:rsidRPr="00E17D79">
        <w:rPr>
          <w:rFonts w:ascii="Book Antiqua" w:hAnsi="Book Antiqua" w:cs="Arial"/>
          <w:lang w:val="en-GB"/>
        </w:rPr>
        <w:t xml:space="preserve"> (81.4%) and autoimmune disease</w:t>
      </w:r>
      <w:r w:rsidR="00306DDB" w:rsidRPr="00E17D79">
        <w:rPr>
          <w:rFonts w:ascii="Book Antiqua" w:hAnsi="Book Antiqua" w:cs="Arial"/>
          <w:lang w:val="en-GB"/>
        </w:rPr>
        <w:t>s</w:t>
      </w:r>
      <w:r w:rsidR="00AA2CC9" w:rsidRPr="00E17D79">
        <w:rPr>
          <w:rFonts w:ascii="Book Antiqua" w:hAnsi="Book Antiqua" w:cs="Arial"/>
          <w:lang w:val="en-GB"/>
        </w:rPr>
        <w:t xml:space="preserve"> (83.3%) </w:t>
      </w:r>
      <w:r w:rsidR="006A0601" w:rsidRPr="00E17D79">
        <w:rPr>
          <w:rFonts w:ascii="Book Antiqua" w:hAnsi="Book Antiqua" w:cs="Arial"/>
          <w:lang w:val="en-GB"/>
        </w:rPr>
        <w:t>compared to</w:t>
      </w:r>
      <w:r w:rsidR="00AA2CC9" w:rsidRPr="00E17D79">
        <w:rPr>
          <w:rFonts w:ascii="Book Antiqua" w:hAnsi="Book Antiqua" w:cs="Arial"/>
          <w:lang w:val="en-GB"/>
        </w:rPr>
        <w:t xml:space="preserve"> patients </w:t>
      </w:r>
      <w:r w:rsidR="008E6AE3" w:rsidRPr="00E17D79">
        <w:rPr>
          <w:rFonts w:ascii="Book Antiqua" w:hAnsi="Book Antiqua" w:cs="Arial"/>
          <w:lang w:val="en-GB"/>
        </w:rPr>
        <w:t xml:space="preserve">with </w:t>
      </w:r>
      <w:r w:rsidR="00306DDB" w:rsidRPr="00E17D79">
        <w:rPr>
          <w:rFonts w:ascii="Book Antiqua" w:hAnsi="Book Antiqua" w:cs="Arial"/>
          <w:lang w:val="en-GB"/>
        </w:rPr>
        <w:t xml:space="preserve">underlying </w:t>
      </w:r>
      <w:r w:rsidR="008E6AE3" w:rsidRPr="00E17D79">
        <w:rPr>
          <w:rFonts w:ascii="Book Antiqua" w:hAnsi="Book Antiqua" w:cs="Arial"/>
          <w:lang w:val="en-GB"/>
        </w:rPr>
        <w:t>neoplastic disease</w:t>
      </w:r>
      <w:r w:rsidR="00306DDB" w:rsidRPr="00E17D79">
        <w:rPr>
          <w:rFonts w:ascii="Book Antiqua" w:hAnsi="Book Antiqua" w:cs="Arial"/>
          <w:lang w:val="en-GB"/>
        </w:rPr>
        <w:t>s</w:t>
      </w:r>
      <w:r w:rsidR="008E6AE3" w:rsidRPr="00E17D79">
        <w:rPr>
          <w:rFonts w:ascii="Book Antiqua" w:hAnsi="Book Antiqua" w:cs="Arial"/>
          <w:lang w:val="en-GB"/>
        </w:rPr>
        <w:t xml:space="preserve"> (60%)</w:t>
      </w:r>
      <w:r w:rsidR="00EF7A6B" w:rsidRPr="00E17D79">
        <w:rPr>
          <w:rFonts w:ascii="Book Antiqua" w:hAnsi="Book Antiqua" w:cs="Arial"/>
          <w:lang w:val="en-GB"/>
        </w:rPr>
        <w:t xml:space="preserve">, </w:t>
      </w:r>
      <w:r w:rsidR="004C7D26" w:rsidRPr="00E17D79">
        <w:rPr>
          <w:rFonts w:ascii="Book Antiqua" w:hAnsi="Book Antiqua" w:cs="Arial"/>
          <w:lang w:val="en-GB"/>
        </w:rPr>
        <w:t>this</w:t>
      </w:r>
      <w:r w:rsidR="003E0D52" w:rsidRPr="00E17D79">
        <w:rPr>
          <w:rFonts w:ascii="Book Antiqua" w:hAnsi="Book Antiqua" w:cs="Arial"/>
          <w:lang w:val="en-GB"/>
        </w:rPr>
        <w:t xml:space="preserve"> </w:t>
      </w:r>
      <w:r w:rsidR="00EF7A6B" w:rsidRPr="00E17D79">
        <w:rPr>
          <w:rFonts w:ascii="Book Antiqua" w:hAnsi="Book Antiqua" w:cs="Arial"/>
          <w:lang w:val="en-GB"/>
        </w:rPr>
        <w:t>difference was not statistically significant</w:t>
      </w:r>
      <w:r w:rsidR="004502E6" w:rsidRPr="00E17D79">
        <w:rPr>
          <w:rFonts w:ascii="Book Antiqua" w:hAnsi="Book Antiqua" w:cs="Arial"/>
          <w:lang w:val="en-GB"/>
        </w:rPr>
        <w:t>.</w:t>
      </w:r>
      <w:r w:rsidR="001D2FF9" w:rsidRPr="00E17D79">
        <w:rPr>
          <w:rFonts w:ascii="Book Antiqua" w:hAnsi="Book Antiqua" w:cs="Arial"/>
          <w:lang w:val="en-GB"/>
        </w:rPr>
        <w:t xml:space="preserve"> </w:t>
      </w:r>
      <w:r w:rsidR="00EE0723" w:rsidRPr="00E17D79">
        <w:rPr>
          <w:rFonts w:ascii="Book Antiqua" w:hAnsi="Book Antiqua" w:cs="Arial"/>
          <w:lang w:val="en-GB"/>
        </w:rPr>
        <w:t>Furthermore,</w:t>
      </w:r>
      <w:r w:rsidR="001D2FF9" w:rsidRPr="00E17D79">
        <w:rPr>
          <w:rFonts w:ascii="Book Antiqua" w:hAnsi="Book Antiqua" w:cs="Arial"/>
          <w:lang w:val="en-GB"/>
        </w:rPr>
        <w:t xml:space="preserve"> </w:t>
      </w:r>
      <w:r w:rsidR="009A316E" w:rsidRPr="00E17D79">
        <w:rPr>
          <w:rFonts w:ascii="Book Antiqua" w:hAnsi="Book Antiqua" w:cs="Arial"/>
          <w:lang w:val="en-GB"/>
        </w:rPr>
        <w:t xml:space="preserve">Hb </w:t>
      </w:r>
      <w:r w:rsidR="008E04B6" w:rsidRPr="00E17D79">
        <w:rPr>
          <w:rFonts w:ascii="Book Antiqua" w:hAnsi="Book Antiqua" w:cs="Arial"/>
          <w:lang w:val="en-GB"/>
        </w:rPr>
        <w:t xml:space="preserve">and </w:t>
      </w:r>
      <w:r w:rsidR="009A316E" w:rsidRPr="00E17D79">
        <w:rPr>
          <w:rFonts w:ascii="Book Antiqua" w:hAnsi="Book Antiqua" w:cs="Arial"/>
          <w:lang w:val="en-GB"/>
        </w:rPr>
        <w:t>PLT</w:t>
      </w:r>
      <w:r w:rsidR="00604136" w:rsidRPr="00E17D79">
        <w:rPr>
          <w:rFonts w:ascii="Book Antiqua" w:hAnsi="Book Antiqua" w:cs="Arial"/>
          <w:lang w:val="en-GB"/>
        </w:rPr>
        <w:t>s</w:t>
      </w:r>
      <w:r w:rsidR="009A316E" w:rsidRPr="00E17D79">
        <w:rPr>
          <w:rFonts w:ascii="Book Antiqua" w:hAnsi="Book Antiqua" w:cs="Arial"/>
          <w:lang w:val="en-GB"/>
        </w:rPr>
        <w:t xml:space="preserve"> </w:t>
      </w:r>
      <w:r w:rsidR="008E04B6" w:rsidRPr="00E17D79">
        <w:rPr>
          <w:rFonts w:ascii="Book Antiqua" w:hAnsi="Book Antiqua" w:cs="Arial"/>
          <w:lang w:val="en-GB"/>
        </w:rPr>
        <w:t>were</w:t>
      </w:r>
      <w:r w:rsidR="00AD32F4" w:rsidRPr="00E17D79">
        <w:rPr>
          <w:rFonts w:ascii="Book Antiqua" w:hAnsi="Book Antiqua" w:cs="Arial"/>
          <w:lang w:val="en-GB"/>
        </w:rPr>
        <w:t xml:space="preserve"> lower in patients without remission </w:t>
      </w:r>
      <w:r w:rsidR="00FE3C24" w:rsidRPr="00E17D79">
        <w:rPr>
          <w:rFonts w:ascii="Book Antiqua" w:hAnsi="Book Antiqua" w:cs="Arial"/>
          <w:lang w:val="en-GB"/>
        </w:rPr>
        <w:t>compared to</w:t>
      </w:r>
      <w:r w:rsidR="008E04B6" w:rsidRPr="00E17D79">
        <w:rPr>
          <w:rFonts w:ascii="Book Antiqua" w:hAnsi="Book Antiqua" w:cs="Arial"/>
          <w:lang w:val="en-GB"/>
        </w:rPr>
        <w:t xml:space="preserve"> patient</w:t>
      </w:r>
      <w:r w:rsidR="00426F1B" w:rsidRPr="00E17D79">
        <w:rPr>
          <w:rFonts w:ascii="Book Antiqua" w:hAnsi="Book Antiqua" w:cs="Arial"/>
          <w:lang w:val="en-GB"/>
        </w:rPr>
        <w:t>s</w:t>
      </w:r>
      <w:r w:rsidR="008E04B6" w:rsidRPr="00E17D79">
        <w:rPr>
          <w:rFonts w:ascii="Book Antiqua" w:hAnsi="Book Antiqua" w:cs="Arial"/>
          <w:lang w:val="en-GB"/>
        </w:rPr>
        <w:t xml:space="preserve"> with remission </w:t>
      </w:r>
      <w:r w:rsidR="00245D29" w:rsidRPr="00E17D79">
        <w:rPr>
          <w:rFonts w:ascii="Book Antiqua" w:hAnsi="Book Antiqua" w:cs="Arial"/>
          <w:lang w:val="en-GB"/>
        </w:rPr>
        <w:t>[</w:t>
      </w:r>
      <w:r w:rsidR="008E04B6" w:rsidRPr="00E17D79">
        <w:rPr>
          <w:rFonts w:ascii="Book Antiqua" w:hAnsi="Book Antiqua" w:cs="Arial"/>
          <w:lang w:val="en-GB"/>
        </w:rPr>
        <w:t>Hb</w:t>
      </w:r>
      <w:r w:rsidR="000F3BA3" w:rsidRPr="00E17D79">
        <w:rPr>
          <w:rFonts w:ascii="Book Antiqua" w:hAnsi="Book Antiqua" w:cs="Arial"/>
          <w:lang w:val="en-GB"/>
        </w:rPr>
        <w:t xml:space="preserve">: </w:t>
      </w:r>
      <w:r w:rsidR="008319A8" w:rsidRPr="00E17D79">
        <w:rPr>
          <w:rFonts w:ascii="Book Antiqua" w:hAnsi="Book Antiqua" w:cs="Arial"/>
          <w:lang w:val="en-GB"/>
        </w:rPr>
        <w:t>7.</w:t>
      </w:r>
      <w:r w:rsidR="009A2C50" w:rsidRPr="00E17D79">
        <w:rPr>
          <w:rFonts w:ascii="Book Antiqua" w:hAnsi="Book Antiqua" w:cs="Arial"/>
          <w:lang w:val="en-GB"/>
        </w:rPr>
        <w:t>8</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8319A8" w:rsidRPr="00E17D79">
        <w:rPr>
          <w:rFonts w:ascii="Book Antiqua" w:hAnsi="Book Antiqua" w:cs="Arial"/>
          <w:lang w:val="en-GB"/>
        </w:rPr>
        <w:t>1.3</w:t>
      </w:r>
      <w:r w:rsidR="00245D29" w:rsidRPr="00E17D79">
        <w:rPr>
          <w:rFonts w:ascii="Book Antiqua" w:hAnsi="Book Antiqua" w:cs="Arial"/>
          <w:lang w:val="en-GB"/>
        </w:rPr>
        <w:t>)</w:t>
      </w:r>
      <w:r w:rsidR="00451ACE" w:rsidRPr="00E17D79">
        <w:rPr>
          <w:rFonts w:ascii="Book Antiqua" w:hAnsi="Book Antiqua" w:cs="Arial"/>
          <w:lang w:val="en-GB"/>
        </w:rPr>
        <w:t xml:space="preserve"> </w:t>
      </w:r>
      <w:r w:rsidR="00451ACE" w:rsidRPr="00E17D79">
        <w:rPr>
          <w:rFonts w:ascii="Book Antiqua" w:hAnsi="Book Antiqua" w:cs="Arial"/>
          <w:i/>
          <w:lang w:val="en-GB"/>
        </w:rPr>
        <w:t>vs</w:t>
      </w:r>
      <w:r w:rsidR="001D2FF9" w:rsidRPr="00E17D79">
        <w:rPr>
          <w:rFonts w:ascii="Book Antiqua" w:hAnsi="Book Antiqua" w:cs="Arial"/>
          <w:lang w:val="en-GB"/>
        </w:rPr>
        <w:t xml:space="preserve"> </w:t>
      </w:r>
      <w:r w:rsidR="00451ACE" w:rsidRPr="00E17D79">
        <w:rPr>
          <w:rFonts w:ascii="Book Antiqua" w:hAnsi="Book Antiqua" w:cs="Arial"/>
          <w:lang w:val="en-GB"/>
        </w:rPr>
        <w:t>9.1</w:t>
      </w:r>
      <w:r w:rsidR="001D2FF9" w:rsidRPr="00E17D79">
        <w:rPr>
          <w:rFonts w:ascii="Book Antiqua" w:hAnsi="Book Antiqua" w:cs="Arial"/>
          <w:lang w:val="en-GB"/>
        </w:rPr>
        <w:t xml:space="preserve"> </w:t>
      </w:r>
      <w:r w:rsidR="00451ACE" w:rsidRPr="00E17D79">
        <w:rPr>
          <w:rFonts w:ascii="Book Antiqua" w:hAnsi="Book Antiqua" w:cs="Arial"/>
          <w:lang w:val="en-GB"/>
        </w:rPr>
        <w:t>(3.1)</w:t>
      </w:r>
      <w:r w:rsidR="001D2FF9" w:rsidRPr="00E17D79">
        <w:rPr>
          <w:rFonts w:ascii="Book Antiqua" w:hAnsi="Book Antiqua" w:cs="Arial"/>
          <w:lang w:val="en-GB"/>
        </w:rPr>
        <w:t xml:space="preserve"> </w:t>
      </w:r>
      <w:r w:rsidR="008319A8" w:rsidRPr="00E17D79">
        <w:rPr>
          <w:rFonts w:ascii="Book Antiqua" w:hAnsi="Book Antiqua" w:cs="Arial"/>
          <w:lang w:val="en-GB"/>
        </w:rPr>
        <w:t>g/d</w:t>
      </w:r>
      <w:r w:rsidR="00345AAF" w:rsidRPr="00E17D79">
        <w:rPr>
          <w:rFonts w:ascii="Book Antiqua" w:hAnsi="Book Antiqua" w:cs="Arial"/>
          <w:lang w:val="en-GB"/>
        </w:rPr>
        <w:t>L</w:t>
      </w:r>
      <w:r w:rsidR="000A466A" w:rsidRPr="00E17D79">
        <w:rPr>
          <w:rFonts w:ascii="Book Antiqua" w:hAnsi="Book Antiqua" w:cs="Arial"/>
          <w:lang w:val="en-GB"/>
        </w:rPr>
        <w:t xml:space="preserve">,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0A466A" w:rsidRPr="00E17D79">
        <w:rPr>
          <w:rFonts w:ascii="Book Antiqua" w:hAnsi="Book Antiqua" w:cs="Arial"/>
          <w:lang w:val="en-GB"/>
        </w:rPr>
        <w:t>&lt;</w:t>
      </w:r>
      <w:r w:rsidR="00345AAF" w:rsidRPr="00E17D79">
        <w:rPr>
          <w:rFonts w:ascii="Book Antiqua" w:hAnsi="Book Antiqua" w:cs="Arial"/>
          <w:lang w:val="en-GB"/>
        </w:rPr>
        <w:t xml:space="preserve"> </w:t>
      </w:r>
      <w:r w:rsidR="000A466A" w:rsidRPr="00E17D79">
        <w:rPr>
          <w:rFonts w:ascii="Book Antiqua" w:hAnsi="Book Antiqua" w:cs="Arial"/>
          <w:lang w:val="en-GB"/>
        </w:rPr>
        <w:t>0.</w:t>
      </w:r>
      <w:r w:rsidR="00426F1B" w:rsidRPr="00E17D79">
        <w:rPr>
          <w:rFonts w:ascii="Book Antiqua" w:hAnsi="Book Antiqua" w:cs="Arial"/>
          <w:lang w:val="en-GB"/>
        </w:rPr>
        <w:t>00</w:t>
      </w:r>
      <w:r w:rsidR="000A466A" w:rsidRPr="00E17D79">
        <w:rPr>
          <w:rFonts w:ascii="Book Antiqua" w:hAnsi="Book Antiqua" w:cs="Arial"/>
          <w:lang w:val="en-GB"/>
        </w:rPr>
        <w:t>1</w:t>
      </w:r>
      <w:r w:rsidR="008319A8" w:rsidRPr="00E17D79">
        <w:rPr>
          <w:rFonts w:ascii="Book Antiqua" w:hAnsi="Book Antiqua" w:cs="Arial"/>
          <w:lang w:val="en-GB"/>
        </w:rPr>
        <w:t xml:space="preserve">; </w:t>
      </w:r>
      <w:r w:rsidR="009A316E" w:rsidRPr="00E17D79">
        <w:rPr>
          <w:rFonts w:ascii="Book Antiqua" w:hAnsi="Book Antiqua" w:cs="Arial"/>
          <w:lang w:val="en-GB"/>
        </w:rPr>
        <w:t>PLT</w:t>
      </w:r>
      <w:r w:rsidR="001D2FF9" w:rsidRPr="00E17D79">
        <w:rPr>
          <w:rFonts w:ascii="Book Antiqua" w:hAnsi="Book Antiqua" w:cs="Arial"/>
          <w:lang w:val="en-GB"/>
        </w:rPr>
        <w:t>s</w:t>
      </w:r>
      <w:r w:rsidR="009A316E" w:rsidRPr="00E17D79">
        <w:rPr>
          <w:rFonts w:ascii="Book Antiqua" w:hAnsi="Book Antiqua" w:cs="Arial"/>
          <w:lang w:val="en-GB"/>
        </w:rPr>
        <w:t xml:space="preserve"> 35000</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9A316E" w:rsidRPr="00E17D79">
        <w:rPr>
          <w:rFonts w:ascii="Book Antiqua" w:hAnsi="Book Antiqua" w:cs="Arial"/>
          <w:lang w:val="en-GB"/>
        </w:rPr>
        <w:t>57500</w:t>
      </w:r>
      <w:r w:rsidR="00245D29" w:rsidRPr="00E17D79">
        <w:rPr>
          <w:rFonts w:ascii="Book Antiqua" w:hAnsi="Book Antiqua" w:cs="Arial"/>
          <w:lang w:val="en-GB"/>
        </w:rPr>
        <w:t>)</w:t>
      </w:r>
      <w:r w:rsidR="009A316E" w:rsidRPr="00E17D79">
        <w:rPr>
          <w:rFonts w:ascii="Book Antiqua" w:hAnsi="Book Antiqua" w:cs="Arial"/>
          <w:lang w:val="en-GB"/>
        </w:rPr>
        <w:t xml:space="preserve"> </w:t>
      </w:r>
      <w:r w:rsidR="009A316E" w:rsidRPr="00E17D79">
        <w:rPr>
          <w:rFonts w:ascii="Book Antiqua" w:hAnsi="Book Antiqua" w:cs="Arial"/>
          <w:i/>
          <w:lang w:val="en-GB"/>
        </w:rPr>
        <w:t>vs</w:t>
      </w:r>
      <w:r w:rsidR="00604136" w:rsidRPr="00E17D79">
        <w:rPr>
          <w:rFonts w:ascii="Book Antiqua" w:hAnsi="Book Antiqua" w:cs="Arial"/>
          <w:lang w:val="en-GB"/>
        </w:rPr>
        <w:t xml:space="preserve"> 94000</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9A316E" w:rsidRPr="00E17D79">
        <w:rPr>
          <w:rFonts w:ascii="Book Antiqua" w:hAnsi="Book Antiqua" w:cs="Arial"/>
          <w:lang w:val="en-GB"/>
        </w:rPr>
        <w:t>87000</w:t>
      </w:r>
      <w:r w:rsidR="00245D29" w:rsidRPr="00E17D79">
        <w:rPr>
          <w:rFonts w:ascii="Book Antiqua" w:hAnsi="Book Antiqua" w:cs="Arial"/>
          <w:lang w:val="en-GB"/>
        </w:rPr>
        <w:t>)</w:t>
      </w:r>
      <w:r w:rsidR="009A316E" w:rsidRPr="00E17D79">
        <w:rPr>
          <w:rFonts w:ascii="Book Antiqua" w:hAnsi="Book Antiqua" w:cs="Arial"/>
          <w:lang w:val="en-GB"/>
        </w:rPr>
        <w:t>/</w:t>
      </w:r>
      <w:r w:rsidR="00604136" w:rsidRPr="00E17D79">
        <w:rPr>
          <w:rFonts w:ascii="Book Antiqua" w:hAnsi="Book Antiqua" w:cs="Arial"/>
        </w:rPr>
        <w:t>μ</w:t>
      </w:r>
      <w:r w:rsidR="00345AAF" w:rsidRPr="00E17D79">
        <w:rPr>
          <w:rFonts w:ascii="Book Antiqua" w:hAnsi="Book Antiqua" w:cs="Arial"/>
          <w:lang w:val="en-US"/>
        </w:rPr>
        <w:t>L</w:t>
      </w:r>
      <w:r w:rsidR="00305BD4" w:rsidRPr="00E17D79">
        <w:rPr>
          <w:rFonts w:ascii="Book Antiqua" w:hAnsi="Book Antiqua" w:cs="Arial"/>
          <w:lang w:val="en-GB"/>
        </w:rPr>
        <w:t xml:space="preserve">,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426F1B" w:rsidRPr="00E17D79">
        <w:rPr>
          <w:rFonts w:ascii="Book Antiqua" w:hAnsi="Book Antiqua" w:cs="Arial"/>
          <w:lang w:val="en-GB"/>
        </w:rPr>
        <w:t>&lt;</w:t>
      </w:r>
      <w:r w:rsidR="00345AAF" w:rsidRPr="00E17D79">
        <w:rPr>
          <w:rFonts w:ascii="Book Antiqua" w:hAnsi="Book Antiqua" w:cs="Arial"/>
          <w:lang w:val="en-GB"/>
        </w:rPr>
        <w:t xml:space="preserve"> </w:t>
      </w:r>
      <w:r w:rsidR="00426F1B" w:rsidRPr="00E17D79">
        <w:rPr>
          <w:rFonts w:ascii="Book Antiqua" w:hAnsi="Book Antiqua" w:cs="Arial"/>
          <w:lang w:val="en-GB"/>
        </w:rPr>
        <w:t>0.00</w:t>
      </w:r>
      <w:r w:rsidR="00305BD4" w:rsidRPr="00E17D79">
        <w:rPr>
          <w:rFonts w:ascii="Book Antiqua" w:hAnsi="Book Antiqua" w:cs="Arial"/>
          <w:lang w:val="en-GB"/>
        </w:rPr>
        <w:t>1</w:t>
      </w:r>
      <w:r w:rsidR="009A316E" w:rsidRPr="00E17D79">
        <w:rPr>
          <w:rFonts w:ascii="Book Antiqua" w:hAnsi="Book Antiqua" w:cs="Arial"/>
          <w:lang w:val="en-GB"/>
        </w:rPr>
        <w:t>)</w:t>
      </w:r>
      <w:r w:rsidR="00DC7B51" w:rsidRPr="00E17D79">
        <w:rPr>
          <w:rFonts w:ascii="Book Antiqua" w:hAnsi="Book Antiqua" w:cs="Arial"/>
          <w:lang w:val="en-GB"/>
        </w:rPr>
        <w:t>]</w:t>
      </w:r>
      <w:r w:rsidR="00305BD4" w:rsidRPr="00E17D79">
        <w:rPr>
          <w:rFonts w:ascii="Book Antiqua" w:hAnsi="Book Antiqua" w:cs="Arial"/>
          <w:lang w:val="en-GB"/>
        </w:rPr>
        <w:t xml:space="preserve">. </w:t>
      </w:r>
      <w:r w:rsidR="008F05C4" w:rsidRPr="00E17D79">
        <w:rPr>
          <w:rFonts w:ascii="Book Antiqua" w:hAnsi="Book Antiqua" w:cs="Arial"/>
          <w:lang w:val="en-GB"/>
        </w:rPr>
        <w:t xml:space="preserve">On the contrary, </w:t>
      </w:r>
      <w:r w:rsidR="0077348B" w:rsidRPr="00E17D79">
        <w:rPr>
          <w:rFonts w:ascii="Book Antiqua" w:hAnsi="Book Antiqua" w:cs="Arial"/>
          <w:lang w:val="en-GB"/>
        </w:rPr>
        <w:t xml:space="preserve">ALT, </w:t>
      </w:r>
      <w:r w:rsidR="000344EB" w:rsidRPr="00E17D79">
        <w:rPr>
          <w:rFonts w:ascii="Book Antiqua" w:hAnsi="Book Antiqua" w:cs="Arial"/>
          <w:lang w:val="en-GB"/>
        </w:rPr>
        <w:t>alkaline phosphatase</w:t>
      </w:r>
      <w:r w:rsidR="0077348B" w:rsidRPr="00E17D79">
        <w:rPr>
          <w:rFonts w:ascii="Book Antiqua" w:hAnsi="Book Antiqua" w:cs="Arial"/>
          <w:lang w:val="en-GB"/>
        </w:rPr>
        <w:t xml:space="preserve"> and time-to-</w:t>
      </w:r>
      <w:r w:rsidR="00EB693C" w:rsidRPr="00E17D79">
        <w:rPr>
          <w:rFonts w:ascii="Book Antiqua" w:hAnsi="Book Antiqua" w:cs="Arial"/>
          <w:lang w:val="en-GB"/>
        </w:rPr>
        <w:t xml:space="preserve">diagnosis were higher in patients without remission </w:t>
      </w:r>
      <w:r w:rsidR="00DC7B51" w:rsidRPr="00E17D79">
        <w:rPr>
          <w:rFonts w:ascii="Book Antiqua" w:hAnsi="Book Antiqua" w:cs="Arial"/>
          <w:lang w:val="en-GB"/>
        </w:rPr>
        <w:t>[</w:t>
      </w:r>
      <w:r w:rsidR="006577C1" w:rsidRPr="00E17D79">
        <w:rPr>
          <w:rFonts w:ascii="Book Antiqua" w:hAnsi="Book Antiqua" w:cs="Arial"/>
          <w:lang w:val="en-GB"/>
        </w:rPr>
        <w:t xml:space="preserve">ALT </w:t>
      </w:r>
      <w:r w:rsidR="009A2C50" w:rsidRPr="00E17D79">
        <w:rPr>
          <w:rFonts w:ascii="Book Antiqua" w:hAnsi="Book Antiqua" w:cs="Arial"/>
          <w:lang w:val="en-GB"/>
        </w:rPr>
        <w:t>192</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051C15" w:rsidRPr="00E17D79">
        <w:rPr>
          <w:rFonts w:ascii="Book Antiqua" w:hAnsi="Book Antiqua" w:cs="Arial"/>
          <w:lang w:val="en-GB"/>
        </w:rPr>
        <w:t>48</w:t>
      </w:r>
      <w:r w:rsidR="00245D29" w:rsidRPr="00E17D79">
        <w:rPr>
          <w:rFonts w:ascii="Book Antiqua" w:hAnsi="Book Antiqua" w:cs="Arial"/>
          <w:lang w:val="en-GB"/>
        </w:rPr>
        <w:t>)</w:t>
      </w:r>
      <w:r w:rsidR="00051C15" w:rsidRPr="00E17D79">
        <w:rPr>
          <w:rFonts w:ascii="Book Antiqua" w:hAnsi="Book Antiqua" w:cs="Arial"/>
          <w:lang w:val="en-GB"/>
        </w:rPr>
        <w:t xml:space="preserve"> </w:t>
      </w:r>
      <w:r w:rsidR="00051C15" w:rsidRPr="00E17D79">
        <w:rPr>
          <w:rFonts w:ascii="Book Antiqua" w:hAnsi="Book Antiqua" w:cs="Arial"/>
          <w:i/>
          <w:lang w:val="en-GB"/>
        </w:rPr>
        <w:t>vs</w:t>
      </w:r>
      <w:r w:rsidR="001D2FF9" w:rsidRPr="00E17D79">
        <w:rPr>
          <w:rFonts w:ascii="Book Antiqua" w:hAnsi="Book Antiqua" w:cs="Arial"/>
          <w:lang w:val="en-GB"/>
        </w:rPr>
        <w:t xml:space="preserve"> </w:t>
      </w:r>
      <w:r w:rsidR="009A2C50" w:rsidRPr="00E17D79">
        <w:rPr>
          <w:rFonts w:ascii="Book Antiqua" w:hAnsi="Book Antiqua" w:cs="Arial"/>
          <w:lang w:val="en-GB"/>
        </w:rPr>
        <w:t>103</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051C15" w:rsidRPr="00E17D79">
        <w:rPr>
          <w:rFonts w:ascii="Book Antiqua" w:hAnsi="Book Antiqua" w:cs="Arial"/>
          <w:lang w:val="en-GB"/>
        </w:rPr>
        <w:t>1</w:t>
      </w:r>
      <w:r w:rsidR="006577C1" w:rsidRPr="00E17D79">
        <w:rPr>
          <w:rFonts w:ascii="Book Antiqua" w:hAnsi="Book Antiqua" w:cs="Arial"/>
          <w:lang w:val="en-GB"/>
        </w:rPr>
        <w:t>51</w:t>
      </w:r>
      <w:r w:rsidR="00245D29" w:rsidRPr="00E17D79">
        <w:rPr>
          <w:rFonts w:ascii="Book Antiqua" w:hAnsi="Book Antiqua" w:cs="Arial"/>
          <w:lang w:val="en-GB"/>
        </w:rPr>
        <w:t>)</w:t>
      </w:r>
      <w:r w:rsidR="000F3BA3" w:rsidRPr="00E17D79">
        <w:rPr>
          <w:rFonts w:ascii="Book Antiqua" w:hAnsi="Book Antiqua" w:cs="Arial"/>
          <w:lang w:val="en-GB"/>
        </w:rPr>
        <w:t xml:space="preserve"> U/L</w:t>
      </w:r>
      <w:r w:rsidR="00051C15" w:rsidRPr="00E17D79">
        <w:rPr>
          <w:rFonts w:ascii="Book Antiqua" w:hAnsi="Book Antiqua" w:cs="Arial"/>
          <w:lang w:val="en-GB"/>
        </w:rPr>
        <w:t xml:space="preserve">,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FE3C24" w:rsidRPr="00E17D79">
        <w:rPr>
          <w:rFonts w:ascii="Book Antiqua" w:hAnsi="Book Antiqua" w:cs="Arial"/>
          <w:lang w:val="en-GB"/>
        </w:rPr>
        <w:t>&lt;</w:t>
      </w:r>
      <w:r w:rsidR="00345AAF" w:rsidRPr="00E17D79">
        <w:rPr>
          <w:rFonts w:ascii="Book Antiqua" w:hAnsi="Book Antiqua" w:cs="Arial"/>
          <w:lang w:val="en-GB"/>
        </w:rPr>
        <w:t xml:space="preserve"> </w:t>
      </w:r>
      <w:r w:rsidR="00051C15" w:rsidRPr="00E17D79">
        <w:rPr>
          <w:rFonts w:ascii="Book Antiqua" w:hAnsi="Book Antiqua" w:cs="Arial"/>
          <w:lang w:val="en-GB"/>
        </w:rPr>
        <w:t>0.0</w:t>
      </w:r>
      <w:r w:rsidR="000344EB" w:rsidRPr="00E17D79">
        <w:rPr>
          <w:rFonts w:ascii="Book Antiqua" w:hAnsi="Book Antiqua" w:cs="Arial"/>
          <w:lang w:val="en-GB"/>
        </w:rPr>
        <w:t>5</w:t>
      </w:r>
      <w:r w:rsidR="00051C15" w:rsidRPr="00E17D79">
        <w:rPr>
          <w:rFonts w:ascii="Book Antiqua" w:hAnsi="Book Antiqua" w:cs="Arial"/>
          <w:lang w:val="en-GB"/>
        </w:rPr>
        <w:t xml:space="preserve">; </w:t>
      </w:r>
      <w:r w:rsidR="000344EB" w:rsidRPr="00E17D79">
        <w:rPr>
          <w:rFonts w:ascii="Book Antiqua" w:hAnsi="Book Antiqua" w:cs="Arial"/>
          <w:lang w:val="en-GB"/>
        </w:rPr>
        <w:t>alkaline phosphatase</w:t>
      </w:r>
      <w:r w:rsidR="00051C15" w:rsidRPr="00E17D79">
        <w:rPr>
          <w:rFonts w:ascii="Book Antiqua" w:hAnsi="Book Antiqua" w:cs="Arial"/>
          <w:lang w:val="en-GB"/>
        </w:rPr>
        <w:t xml:space="preserve"> </w:t>
      </w:r>
      <w:r w:rsidR="00EF5FD1" w:rsidRPr="00E17D79">
        <w:rPr>
          <w:rFonts w:ascii="Book Antiqua" w:hAnsi="Book Antiqua" w:cs="Arial"/>
          <w:lang w:val="en-GB"/>
        </w:rPr>
        <w:t>163</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EF5FD1" w:rsidRPr="00E17D79">
        <w:rPr>
          <w:rFonts w:ascii="Book Antiqua" w:hAnsi="Book Antiqua" w:cs="Arial"/>
          <w:lang w:val="en-GB"/>
        </w:rPr>
        <w:t>162</w:t>
      </w:r>
      <w:r w:rsidR="00245D29" w:rsidRPr="00E17D79">
        <w:rPr>
          <w:rFonts w:ascii="Book Antiqua" w:hAnsi="Book Antiqua" w:cs="Arial"/>
          <w:lang w:val="en-GB"/>
        </w:rPr>
        <w:t>)</w:t>
      </w:r>
      <w:r w:rsidR="00EF5FD1" w:rsidRPr="00E17D79">
        <w:rPr>
          <w:rFonts w:ascii="Book Antiqua" w:hAnsi="Book Antiqua" w:cs="Arial"/>
          <w:lang w:val="en-GB"/>
        </w:rPr>
        <w:t xml:space="preserve"> </w:t>
      </w:r>
      <w:r w:rsidR="00EF5FD1" w:rsidRPr="00E17D79">
        <w:rPr>
          <w:rFonts w:ascii="Book Antiqua" w:hAnsi="Book Antiqua" w:cs="Arial"/>
          <w:i/>
          <w:lang w:val="en-GB"/>
        </w:rPr>
        <w:t>vs</w:t>
      </w:r>
      <w:r w:rsidR="00FE3C24" w:rsidRPr="00E17D79">
        <w:rPr>
          <w:rFonts w:ascii="Book Antiqua" w:hAnsi="Book Antiqua" w:cs="Arial"/>
          <w:lang w:val="en-GB"/>
        </w:rPr>
        <w:t xml:space="preserve"> </w:t>
      </w:r>
      <w:r w:rsidR="00EF5FD1" w:rsidRPr="00E17D79">
        <w:rPr>
          <w:rFonts w:ascii="Book Antiqua" w:hAnsi="Book Antiqua" w:cs="Arial"/>
          <w:lang w:val="en-GB"/>
        </w:rPr>
        <w:t>95</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EF5FD1" w:rsidRPr="00E17D79">
        <w:rPr>
          <w:rFonts w:ascii="Book Antiqua" w:hAnsi="Book Antiqua" w:cs="Arial"/>
          <w:lang w:val="en-GB"/>
        </w:rPr>
        <w:t>118</w:t>
      </w:r>
      <w:r w:rsidR="00245D29" w:rsidRPr="00E17D79">
        <w:rPr>
          <w:rFonts w:ascii="Book Antiqua" w:hAnsi="Book Antiqua" w:cs="Arial"/>
          <w:lang w:val="en-GB"/>
        </w:rPr>
        <w:t>)</w:t>
      </w:r>
      <w:r w:rsidR="000F3BA3" w:rsidRPr="00E17D79">
        <w:rPr>
          <w:rFonts w:ascii="Book Antiqua" w:hAnsi="Book Antiqua" w:cs="Arial"/>
          <w:lang w:val="en-GB"/>
        </w:rPr>
        <w:t xml:space="preserve"> U/L</w:t>
      </w:r>
      <w:r w:rsidR="00EF5FD1" w:rsidRPr="00E17D79">
        <w:rPr>
          <w:rFonts w:ascii="Book Antiqua" w:hAnsi="Book Antiqua" w:cs="Arial"/>
          <w:lang w:val="en-GB"/>
        </w:rPr>
        <w:t xml:space="preserve">,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FE3C24" w:rsidRPr="00E17D79">
        <w:rPr>
          <w:rFonts w:ascii="Book Antiqua" w:hAnsi="Book Antiqua" w:cs="Arial"/>
          <w:lang w:val="en-GB"/>
        </w:rPr>
        <w:t>&lt;</w:t>
      </w:r>
      <w:r w:rsidR="00345AAF" w:rsidRPr="00E17D79">
        <w:rPr>
          <w:rFonts w:ascii="Book Antiqua" w:hAnsi="Book Antiqua" w:cs="Arial"/>
          <w:lang w:val="en-GB"/>
        </w:rPr>
        <w:t xml:space="preserve"> </w:t>
      </w:r>
      <w:r w:rsidR="00EF5FD1" w:rsidRPr="00E17D79">
        <w:rPr>
          <w:rFonts w:ascii="Book Antiqua" w:hAnsi="Book Antiqua" w:cs="Arial"/>
          <w:lang w:val="en-GB"/>
        </w:rPr>
        <w:t>0.0</w:t>
      </w:r>
      <w:r w:rsidR="000344EB" w:rsidRPr="00E17D79">
        <w:rPr>
          <w:rFonts w:ascii="Book Antiqua" w:hAnsi="Book Antiqua" w:cs="Arial"/>
          <w:lang w:val="en-GB"/>
        </w:rPr>
        <w:t>5</w:t>
      </w:r>
      <w:r w:rsidR="00EF5FD1" w:rsidRPr="00E17D79">
        <w:rPr>
          <w:rFonts w:ascii="Book Antiqua" w:hAnsi="Book Antiqua" w:cs="Arial"/>
          <w:lang w:val="en-GB"/>
        </w:rPr>
        <w:t xml:space="preserve">; </w:t>
      </w:r>
      <w:r w:rsidR="0077348B" w:rsidRPr="00E17D79">
        <w:rPr>
          <w:rFonts w:ascii="Book Antiqua" w:hAnsi="Book Antiqua" w:cs="Arial"/>
          <w:lang w:val="en-GB"/>
        </w:rPr>
        <w:t>time-to-</w:t>
      </w:r>
      <w:r w:rsidR="00EF5FD1" w:rsidRPr="00E17D79">
        <w:rPr>
          <w:rFonts w:ascii="Book Antiqua" w:hAnsi="Book Antiqua" w:cs="Arial"/>
          <w:lang w:val="en-GB"/>
        </w:rPr>
        <w:t>diagnosis</w:t>
      </w:r>
      <w:r w:rsidR="00E11586" w:rsidRPr="00E17D79">
        <w:rPr>
          <w:rFonts w:ascii="Book Antiqua" w:hAnsi="Book Antiqua" w:cs="Arial"/>
          <w:lang w:val="en-GB"/>
        </w:rPr>
        <w:t xml:space="preserve"> 10</w:t>
      </w:r>
      <w:r w:rsidR="001D2FF9" w:rsidRPr="00E17D79">
        <w:rPr>
          <w:rFonts w:ascii="Book Antiqua" w:hAnsi="Book Antiqua" w:cs="Arial"/>
          <w:lang w:val="en-GB"/>
        </w:rPr>
        <w:t xml:space="preserve"> </w:t>
      </w:r>
      <w:r w:rsidR="00245D29" w:rsidRPr="00E17D79">
        <w:rPr>
          <w:rFonts w:ascii="Book Antiqua" w:hAnsi="Book Antiqua" w:cs="Arial"/>
          <w:lang w:val="en-GB"/>
        </w:rPr>
        <w:t>(</w:t>
      </w:r>
      <w:r w:rsidR="00E11586" w:rsidRPr="00E17D79">
        <w:rPr>
          <w:rFonts w:ascii="Book Antiqua" w:hAnsi="Book Antiqua" w:cs="Arial"/>
          <w:lang w:val="en-GB"/>
        </w:rPr>
        <w:t>20</w:t>
      </w:r>
      <w:r w:rsidR="00245D29" w:rsidRPr="00E17D79">
        <w:rPr>
          <w:rFonts w:ascii="Book Antiqua" w:hAnsi="Book Antiqua" w:cs="Arial"/>
          <w:lang w:val="en-GB"/>
        </w:rPr>
        <w:t>)</w:t>
      </w:r>
      <w:r w:rsidR="00E11586" w:rsidRPr="00E17D79">
        <w:rPr>
          <w:rFonts w:ascii="Book Antiqua" w:hAnsi="Book Antiqua" w:cs="Arial"/>
          <w:lang w:val="en-GB"/>
        </w:rPr>
        <w:t xml:space="preserve"> </w:t>
      </w:r>
      <w:r w:rsidR="00E11586" w:rsidRPr="00E17D79">
        <w:rPr>
          <w:rFonts w:ascii="Book Antiqua" w:hAnsi="Book Antiqua" w:cs="Arial"/>
          <w:i/>
          <w:lang w:val="en-GB"/>
        </w:rPr>
        <w:t>vs</w:t>
      </w:r>
      <w:r w:rsidR="001D2FF9" w:rsidRPr="00E17D79">
        <w:rPr>
          <w:rFonts w:ascii="Book Antiqua" w:hAnsi="Book Antiqua" w:cs="Arial"/>
          <w:lang w:val="en-GB"/>
        </w:rPr>
        <w:t xml:space="preserve"> </w:t>
      </w:r>
      <w:r w:rsidR="00E11586" w:rsidRPr="00E17D79">
        <w:rPr>
          <w:rFonts w:ascii="Book Antiqua" w:hAnsi="Book Antiqua" w:cs="Arial"/>
          <w:lang w:val="en-GB"/>
        </w:rPr>
        <w:t>4</w:t>
      </w:r>
      <w:r w:rsidR="001D2FF9" w:rsidRPr="00E17D79">
        <w:rPr>
          <w:rFonts w:ascii="Book Antiqua" w:hAnsi="Book Antiqua" w:cs="Arial"/>
          <w:lang w:val="en-GB"/>
        </w:rPr>
        <w:t xml:space="preserve"> </w:t>
      </w:r>
      <w:r w:rsidR="00972786" w:rsidRPr="00E17D79">
        <w:rPr>
          <w:rFonts w:ascii="Book Antiqua" w:hAnsi="Book Antiqua" w:cs="Arial"/>
          <w:lang w:val="en-GB"/>
        </w:rPr>
        <w:t>(</w:t>
      </w:r>
      <w:r w:rsidR="00E11586" w:rsidRPr="00E17D79">
        <w:rPr>
          <w:rFonts w:ascii="Book Antiqua" w:hAnsi="Book Antiqua" w:cs="Arial"/>
          <w:lang w:val="en-GB"/>
        </w:rPr>
        <w:t>6</w:t>
      </w:r>
      <w:r w:rsidR="00972786" w:rsidRPr="00E17D79">
        <w:rPr>
          <w:rFonts w:ascii="Book Antiqua" w:hAnsi="Book Antiqua" w:cs="Arial"/>
          <w:lang w:val="en-GB"/>
        </w:rPr>
        <w:t xml:space="preserve">) </w:t>
      </w:r>
      <w:r w:rsidR="00D84A2D" w:rsidRPr="00E17D79">
        <w:rPr>
          <w:rFonts w:ascii="Book Antiqua" w:hAnsi="Book Antiqua" w:cs="Arial"/>
          <w:lang w:val="en-GB"/>
        </w:rPr>
        <w:t>d</w:t>
      </w:r>
      <w:r w:rsidR="00E11586" w:rsidRPr="00E17D79">
        <w:rPr>
          <w:rFonts w:ascii="Book Antiqua" w:hAnsi="Book Antiqua" w:cs="Arial"/>
          <w:lang w:val="en-GB"/>
        </w:rPr>
        <w:t xml:space="preserve">,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FE3C24" w:rsidRPr="00E17D79">
        <w:rPr>
          <w:rFonts w:ascii="Book Antiqua" w:hAnsi="Book Antiqua" w:cs="Arial"/>
          <w:lang w:val="en-GB"/>
        </w:rPr>
        <w:t>&lt;</w:t>
      </w:r>
      <w:r w:rsidR="00345AAF" w:rsidRPr="00E17D79">
        <w:rPr>
          <w:rFonts w:ascii="Book Antiqua" w:hAnsi="Book Antiqua" w:cs="Arial"/>
          <w:lang w:val="en-GB"/>
        </w:rPr>
        <w:t xml:space="preserve"> </w:t>
      </w:r>
      <w:r w:rsidR="00E11586" w:rsidRPr="00E17D79">
        <w:rPr>
          <w:rFonts w:ascii="Book Antiqua" w:hAnsi="Book Antiqua" w:cs="Arial"/>
          <w:lang w:val="en-GB"/>
        </w:rPr>
        <w:t>0.0</w:t>
      </w:r>
      <w:r w:rsidR="00FE3C24" w:rsidRPr="00E17D79">
        <w:rPr>
          <w:rFonts w:ascii="Book Antiqua" w:hAnsi="Book Antiqua" w:cs="Arial"/>
          <w:lang w:val="en-GB"/>
        </w:rPr>
        <w:t>5</w:t>
      </w:r>
      <w:r w:rsidR="00E11586" w:rsidRPr="00E17D79">
        <w:rPr>
          <w:rFonts w:ascii="Book Antiqua" w:hAnsi="Book Antiqua" w:cs="Arial"/>
          <w:lang w:val="en-GB"/>
        </w:rPr>
        <w:t>)</w:t>
      </w:r>
      <w:r w:rsidR="0077348B" w:rsidRPr="00E17D79">
        <w:rPr>
          <w:rFonts w:ascii="Book Antiqua" w:hAnsi="Book Antiqua" w:cs="Arial"/>
          <w:lang w:val="en-GB"/>
        </w:rPr>
        <w:t>]</w:t>
      </w:r>
      <w:r w:rsidR="00D84A2D" w:rsidRPr="00E17D79">
        <w:rPr>
          <w:rFonts w:ascii="Book Antiqua" w:hAnsi="Book Antiqua" w:cs="Arial"/>
          <w:lang w:val="en-GB"/>
        </w:rPr>
        <w:t>.</w:t>
      </w:r>
      <w:r w:rsidR="001D2FF9" w:rsidRPr="00E17D79">
        <w:rPr>
          <w:rFonts w:ascii="Book Antiqua" w:hAnsi="Book Antiqua" w:cs="Arial"/>
          <w:lang w:val="en-GB"/>
        </w:rPr>
        <w:t xml:space="preserve"> </w:t>
      </w:r>
      <w:r w:rsidR="00FF72D5" w:rsidRPr="00E17D79">
        <w:rPr>
          <w:rFonts w:ascii="Book Antiqua" w:hAnsi="Book Antiqua" w:cs="Arial"/>
          <w:lang w:val="en-GB"/>
        </w:rPr>
        <w:t>When a</w:t>
      </w:r>
      <w:r w:rsidR="00860018" w:rsidRPr="00E17D79">
        <w:rPr>
          <w:rFonts w:ascii="Book Antiqua" w:hAnsi="Book Antiqua" w:cs="Arial"/>
          <w:lang w:val="en-GB"/>
        </w:rPr>
        <w:t xml:space="preserve">ll </w:t>
      </w:r>
      <w:r w:rsidR="00FF72D5" w:rsidRPr="00E17D79">
        <w:rPr>
          <w:rFonts w:ascii="Book Antiqua" w:hAnsi="Book Antiqua" w:cs="Arial"/>
          <w:lang w:val="en-GB"/>
        </w:rPr>
        <w:t xml:space="preserve">the </w:t>
      </w:r>
      <w:r w:rsidR="00860018" w:rsidRPr="00E17D79">
        <w:rPr>
          <w:rFonts w:ascii="Book Antiqua" w:hAnsi="Book Antiqua" w:cs="Arial"/>
          <w:lang w:val="en-GB"/>
        </w:rPr>
        <w:t xml:space="preserve">above parameters that were associated </w:t>
      </w:r>
      <w:r w:rsidR="000F3BA3" w:rsidRPr="00E17D79">
        <w:rPr>
          <w:rFonts w:ascii="Book Antiqua" w:hAnsi="Book Antiqua" w:cs="Arial"/>
          <w:lang w:val="en-GB"/>
        </w:rPr>
        <w:t>with remission</w:t>
      </w:r>
      <w:r w:rsidR="001D2FF9" w:rsidRPr="00E17D79">
        <w:rPr>
          <w:rFonts w:ascii="Book Antiqua" w:hAnsi="Book Antiqua" w:cs="Arial"/>
          <w:lang w:val="en-GB"/>
        </w:rPr>
        <w:t xml:space="preserve"> </w:t>
      </w:r>
      <w:r w:rsidR="00604136" w:rsidRPr="00E17D79">
        <w:rPr>
          <w:rFonts w:ascii="Book Antiqua" w:hAnsi="Book Antiqua" w:cs="Arial"/>
          <w:lang w:val="en-GB"/>
        </w:rPr>
        <w:t xml:space="preserve">in the univariate analysis </w:t>
      </w:r>
      <w:r w:rsidR="00860018" w:rsidRPr="00E17D79">
        <w:rPr>
          <w:rFonts w:ascii="Book Antiqua" w:hAnsi="Book Antiqua" w:cs="Arial"/>
          <w:lang w:val="en-GB"/>
        </w:rPr>
        <w:t xml:space="preserve">entered in a multivariate logistic regression </w:t>
      </w:r>
      <w:r w:rsidR="00860018" w:rsidRPr="00E17D79">
        <w:rPr>
          <w:rFonts w:ascii="Book Antiqua" w:hAnsi="Book Antiqua" w:cs="Arial"/>
          <w:lang w:val="en-GB"/>
        </w:rPr>
        <w:lastRenderedPageBreak/>
        <w:t>model</w:t>
      </w:r>
      <w:r w:rsidR="00FF72D5" w:rsidRPr="00E17D79">
        <w:rPr>
          <w:rFonts w:ascii="Book Antiqua" w:hAnsi="Book Antiqua" w:cs="Arial"/>
          <w:lang w:val="en-GB"/>
        </w:rPr>
        <w:t>,</w:t>
      </w:r>
      <w:r w:rsidR="00860018" w:rsidRPr="00E17D79">
        <w:rPr>
          <w:rFonts w:ascii="Book Antiqua" w:hAnsi="Book Antiqua" w:cs="Arial"/>
          <w:lang w:val="en-GB"/>
        </w:rPr>
        <w:t xml:space="preserve"> remission was </w:t>
      </w:r>
      <w:r w:rsidR="008006F2" w:rsidRPr="00E17D79">
        <w:rPr>
          <w:rFonts w:ascii="Book Antiqua" w:hAnsi="Book Antiqua" w:cs="Arial"/>
          <w:lang w:val="en-GB"/>
        </w:rPr>
        <w:t xml:space="preserve">independently </w:t>
      </w:r>
      <w:r w:rsidR="00860018" w:rsidRPr="00E17D79">
        <w:rPr>
          <w:rFonts w:ascii="Book Antiqua" w:hAnsi="Book Antiqua" w:cs="Arial"/>
          <w:lang w:val="en-GB"/>
        </w:rPr>
        <w:t xml:space="preserve">associated </w:t>
      </w:r>
      <w:r w:rsidR="001D2FF9" w:rsidRPr="00E17D79">
        <w:rPr>
          <w:rFonts w:ascii="Book Antiqua" w:hAnsi="Book Antiqua" w:cs="Arial"/>
          <w:lang w:val="en-GB"/>
        </w:rPr>
        <w:t xml:space="preserve">only </w:t>
      </w:r>
      <w:r w:rsidR="00860018" w:rsidRPr="00E17D79">
        <w:rPr>
          <w:rFonts w:ascii="Book Antiqua" w:hAnsi="Book Antiqua" w:cs="Arial"/>
          <w:lang w:val="en-GB"/>
        </w:rPr>
        <w:t xml:space="preserve">with </w:t>
      </w:r>
      <w:r w:rsidR="00FF72D5" w:rsidRPr="00E17D79">
        <w:rPr>
          <w:rFonts w:ascii="Book Antiqua" w:hAnsi="Book Antiqua" w:cs="Arial"/>
          <w:lang w:val="en-GB"/>
        </w:rPr>
        <w:t xml:space="preserve">higher </w:t>
      </w:r>
      <w:r w:rsidR="00860018" w:rsidRPr="00E17D79">
        <w:rPr>
          <w:rFonts w:ascii="Book Antiqua" w:hAnsi="Book Antiqua" w:cs="Arial"/>
          <w:lang w:val="en-GB"/>
        </w:rPr>
        <w:t>PLT</w:t>
      </w:r>
      <w:r w:rsidR="00604136" w:rsidRPr="00E17D79">
        <w:rPr>
          <w:rFonts w:ascii="Book Antiqua" w:hAnsi="Book Antiqua" w:cs="Arial"/>
          <w:lang w:val="en-GB"/>
        </w:rPr>
        <w:t xml:space="preserve">s </w:t>
      </w:r>
      <w:r w:rsidR="00384443" w:rsidRPr="00E17D79">
        <w:rPr>
          <w:rFonts w:ascii="Book Antiqua" w:hAnsi="Book Antiqua" w:cs="Arial"/>
          <w:lang w:val="en-GB"/>
        </w:rPr>
        <w:t>(OR</w:t>
      </w:r>
      <w:r w:rsidR="00345AAF" w:rsidRPr="00E17D79">
        <w:rPr>
          <w:rFonts w:ascii="Book Antiqua" w:hAnsi="Book Antiqua" w:cs="Arial"/>
          <w:lang w:val="en-GB"/>
        </w:rPr>
        <w:t xml:space="preserve"> </w:t>
      </w:r>
      <w:r w:rsidR="00384443" w:rsidRPr="00E17D79">
        <w:rPr>
          <w:rFonts w:ascii="Book Antiqua" w:hAnsi="Book Antiqua" w:cs="Arial"/>
          <w:lang w:val="en-GB"/>
        </w:rPr>
        <w:t>=</w:t>
      </w:r>
      <w:r w:rsidR="00345AAF" w:rsidRPr="00E17D79">
        <w:rPr>
          <w:rFonts w:ascii="Book Antiqua" w:hAnsi="Book Antiqua" w:cs="Arial"/>
          <w:lang w:val="en-GB"/>
        </w:rPr>
        <w:t xml:space="preserve"> </w:t>
      </w:r>
      <w:r w:rsidR="00384443" w:rsidRPr="00E17D79">
        <w:rPr>
          <w:rFonts w:ascii="Book Antiqua" w:hAnsi="Book Antiqua" w:cs="Arial"/>
          <w:lang w:val="en-GB"/>
        </w:rPr>
        <w:t xml:space="preserve">1.045, 95%CI: 1.008-1.085,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384443" w:rsidRPr="00E17D79">
        <w:rPr>
          <w:rFonts w:ascii="Book Antiqua" w:hAnsi="Book Antiqua" w:cs="Arial"/>
          <w:lang w:val="en-GB"/>
        </w:rPr>
        <w:t>=</w:t>
      </w:r>
      <w:r w:rsidR="00345AAF" w:rsidRPr="00E17D79">
        <w:rPr>
          <w:rFonts w:ascii="Book Antiqua" w:hAnsi="Book Antiqua" w:cs="Arial"/>
          <w:lang w:val="en-GB"/>
        </w:rPr>
        <w:t xml:space="preserve"> </w:t>
      </w:r>
      <w:r w:rsidR="00384443" w:rsidRPr="00E17D79">
        <w:rPr>
          <w:rFonts w:ascii="Book Antiqua" w:hAnsi="Book Antiqua" w:cs="Arial"/>
          <w:lang w:val="en-GB"/>
        </w:rPr>
        <w:t xml:space="preserve">0.01) </w:t>
      </w:r>
      <w:r w:rsidR="00860018" w:rsidRPr="00E17D79">
        <w:rPr>
          <w:rFonts w:ascii="Book Antiqua" w:hAnsi="Book Antiqua" w:cs="Arial"/>
          <w:lang w:val="en-GB"/>
        </w:rPr>
        <w:t xml:space="preserve">and the </w:t>
      </w:r>
      <w:r w:rsidR="00FF72D5" w:rsidRPr="00E17D79">
        <w:rPr>
          <w:rFonts w:ascii="Book Antiqua" w:hAnsi="Book Antiqua" w:cs="Arial"/>
          <w:lang w:val="en-GB"/>
        </w:rPr>
        <w:t>absence</w:t>
      </w:r>
      <w:r w:rsidR="00860018" w:rsidRPr="00E17D79">
        <w:rPr>
          <w:rFonts w:ascii="Book Antiqua" w:hAnsi="Book Antiqua" w:cs="Arial"/>
          <w:lang w:val="en-GB"/>
        </w:rPr>
        <w:t xml:space="preserve"> of DIC</w:t>
      </w:r>
      <w:r w:rsidR="001D2FF9" w:rsidRPr="00E17D79">
        <w:rPr>
          <w:rFonts w:ascii="Book Antiqua" w:hAnsi="Book Antiqua" w:cs="Arial"/>
          <w:lang w:val="en-GB"/>
        </w:rPr>
        <w:t xml:space="preserve"> </w:t>
      </w:r>
      <w:r w:rsidR="00384443" w:rsidRPr="00E17D79">
        <w:rPr>
          <w:rFonts w:ascii="Book Antiqua" w:hAnsi="Book Antiqua" w:cs="Arial"/>
          <w:lang w:val="en-GB"/>
        </w:rPr>
        <w:t>(OR</w:t>
      </w:r>
      <w:r w:rsidR="00345AAF" w:rsidRPr="00E17D79">
        <w:rPr>
          <w:rFonts w:ascii="Book Antiqua" w:hAnsi="Book Antiqua" w:cs="Arial"/>
          <w:lang w:val="en-GB"/>
        </w:rPr>
        <w:t xml:space="preserve"> </w:t>
      </w:r>
      <w:r w:rsidR="00384443" w:rsidRPr="00E17D79">
        <w:rPr>
          <w:rFonts w:ascii="Book Antiqua" w:hAnsi="Book Antiqua" w:cs="Arial"/>
          <w:lang w:val="en-GB"/>
        </w:rPr>
        <w:t>=</w:t>
      </w:r>
      <w:r w:rsidR="00345AAF" w:rsidRPr="00E17D79">
        <w:rPr>
          <w:rFonts w:ascii="Book Antiqua" w:hAnsi="Book Antiqua" w:cs="Arial"/>
          <w:lang w:val="en-GB"/>
        </w:rPr>
        <w:t xml:space="preserve"> </w:t>
      </w:r>
      <w:r w:rsidR="00384443" w:rsidRPr="00E17D79">
        <w:rPr>
          <w:rFonts w:ascii="Book Antiqua" w:hAnsi="Book Antiqua" w:cs="Arial"/>
          <w:lang w:val="en-GB"/>
        </w:rPr>
        <w:t xml:space="preserve">0.037, 95%CI: 0.002-0.848, </w:t>
      </w:r>
      <w:r w:rsidR="00345AAF" w:rsidRPr="00E17D79">
        <w:rPr>
          <w:rFonts w:ascii="Book Antiqua" w:hAnsi="Book Antiqua" w:cs="Arial"/>
          <w:i/>
          <w:lang w:val="en-GB"/>
        </w:rPr>
        <w:t xml:space="preserve">P </w:t>
      </w:r>
      <w:r w:rsidR="00FE3C24" w:rsidRPr="00E17D79">
        <w:rPr>
          <w:rFonts w:ascii="Book Antiqua" w:hAnsi="Book Antiqua" w:cs="Arial"/>
          <w:lang w:val="en-GB"/>
        </w:rPr>
        <w:t>&lt;</w:t>
      </w:r>
      <w:r w:rsidR="00345AAF" w:rsidRPr="00E17D79">
        <w:rPr>
          <w:rFonts w:ascii="Book Antiqua" w:hAnsi="Book Antiqua" w:cs="Arial"/>
          <w:lang w:val="en-GB"/>
        </w:rPr>
        <w:t xml:space="preserve"> </w:t>
      </w:r>
      <w:r w:rsidR="00384443" w:rsidRPr="00E17D79">
        <w:rPr>
          <w:rFonts w:ascii="Book Antiqua" w:hAnsi="Book Antiqua" w:cs="Arial"/>
          <w:lang w:val="en-GB"/>
        </w:rPr>
        <w:t>0.0</w:t>
      </w:r>
      <w:r w:rsidR="00FE3C24" w:rsidRPr="00E17D79">
        <w:rPr>
          <w:rFonts w:ascii="Book Antiqua" w:hAnsi="Book Antiqua" w:cs="Arial"/>
          <w:lang w:val="en-GB"/>
        </w:rPr>
        <w:t>5</w:t>
      </w:r>
      <w:r w:rsidR="00384443" w:rsidRPr="00E17D79">
        <w:rPr>
          <w:rFonts w:ascii="Book Antiqua" w:hAnsi="Book Antiqua" w:cs="Arial"/>
          <w:lang w:val="en-GB"/>
        </w:rPr>
        <w:t>).</w:t>
      </w:r>
    </w:p>
    <w:p w14:paraId="5A1B964F" w14:textId="1C958012" w:rsidR="001940E8" w:rsidRPr="00E17D79" w:rsidRDefault="00DA20DF" w:rsidP="00E17D79">
      <w:pPr>
        <w:spacing w:line="360" w:lineRule="auto"/>
        <w:ind w:firstLineChars="100" w:firstLine="240"/>
        <w:jc w:val="both"/>
        <w:rPr>
          <w:rFonts w:ascii="Book Antiqua" w:hAnsi="Book Antiqua" w:cs="Arial"/>
          <w:b/>
          <w:lang w:val="en-GB"/>
        </w:rPr>
      </w:pPr>
      <w:r w:rsidRPr="00E17D79">
        <w:rPr>
          <w:rFonts w:ascii="Book Antiqua" w:hAnsi="Book Antiqua" w:cs="Arial"/>
          <w:lang w:val="en-GB"/>
        </w:rPr>
        <w:t xml:space="preserve">Twelve patients </w:t>
      </w:r>
      <w:r w:rsidR="009B44C3" w:rsidRPr="00E17D79">
        <w:rPr>
          <w:rFonts w:ascii="Book Antiqua" w:hAnsi="Book Antiqua" w:cs="Arial"/>
          <w:lang w:val="en-GB"/>
        </w:rPr>
        <w:t xml:space="preserve">(15%) </w:t>
      </w:r>
      <w:r w:rsidRPr="00E17D79">
        <w:rPr>
          <w:rFonts w:ascii="Book Antiqua" w:hAnsi="Book Antiqua" w:cs="Arial"/>
          <w:lang w:val="en-GB"/>
        </w:rPr>
        <w:t>died within the first month</w:t>
      </w:r>
      <w:r w:rsidR="000E750D" w:rsidRPr="00E17D79">
        <w:rPr>
          <w:rFonts w:ascii="Book Antiqua" w:hAnsi="Book Antiqua" w:cs="Arial"/>
          <w:lang w:val="en-GB"/>
        </w:rPr>
        <w:t xml:space="preserve"> after diagnosis</w:t>
      </w:r>
      <w:r w:rsidR="00643296" w:rsidRPr="00E17D79">
        <w:rPr>
          <w:rFonts w:ascii="Book Antiqua" w:hAnsi="Book Antiqua" w:cs="Arial"/>
          <w:lang w:val="en-GB"/>
        </w:rPr>
        <w:t>.</w:t>
      </w:r>
      <w:r w:rsidR="001D2FF9" w:rsidRPr="00E17D79">
        <w:rPr>
          <w:rFonts w:ascii="Book Antiqua" w:hAnsi="Book Antiqua" w:cs="Arial"/>
          <w:lang w:val="en-GB"/>
        </w:rPr>
        <w:t xml:space="preserve"> </w:t>
      </w:r>
      <w:r w:rsidR="001B3D57" w:rsidRPr="00E17D79">
        <w:rPr>
          <w:rFonts w:ascii="Book Antiqua" w:hAnsi="Book Antiqua" w:cs="Arial"/>
          <w:lang w:val="en-GB"/>
        </w:rPr>
        <w:t xml:space="preserve">The underlying cause of </w:t>
      </w:r>
      <w:r w:rsidR="0050118A" w:rsidRPr="00E17D79">
        <w:rPr>
          <w:rFonts w:ascii="Book Antiqua" w:hAnsi="Book Antiqua" w:cs="Arial"/>
          <w:lang w:val="en-GB"/>
        </w:rPr>
        <w:t>sHLH</w:t>
      </w:r>
      <w:r w:rsidR="001D2FF9" w:rsidRPr="00E17D79">
        <w:rPr>
          <w:rFonts w:ascii="Book Antiqua" w:hAnsi="Book Antiqua" w:cs="Arial"/>
          <w:lang w:val="en-GB"/>
        </w:rPr>
        <w:t xml:space="preserve"> </w:t>
      </w:r>
      <w:r w:rsidR="001B3D57" w:rsidRPr="00E17D79">
        <w:rPr>
          <w:rFonts w:ascii="Book Antiqua" w:hAnsi="Book Antiqua" w:cs="Arial"/>
          <w:lang w:val="en-GB"/>
        </w:rPr>
        <w:t>was infection in nine patients (75%)</w:t>
      </w:r>
      <w:r w:rsidR="00297C19" w:rsidRPr="00E17D79">
        <w:rPr>
          <w:rFonts w:ascii="Book Antiqua" w:hAnsi="Book Antiqua" w:cs="Arial"/>
          <w:lang w:val="en-GB"/>
        </w:rPr>
        <w:t>,</w:t>
      </w:r>
      <w:r w:rsidR="001D2FF9" w:rsidRPr="00E17D79">
        <w:rPr>
          <w:rFonts w:ascii="Book Antiqua" w:hAnsi="Book Antiqua" w:cs="Arial"/>
          <w:lang w:val="en-GB"/>
        </w:rPr>
        <w:t xml:space="preserve"> </w:t>
      </w:r>
      <w:r w:rsidR="00696077" w:rsidRPr="00E17D79">
        <w:rPr>
          <w:rFonts w:ascii="Book Antiqua" w:hAnsi="Book Antiqua" w:cs="Arial"/>
          <w:lang w:val="en-GB"/>
        </w:rPr>
        <w:t>malignancy</w:t>
      </w:r>
      <w:r w:rsidR="001B3D57" w:rsidRPr="00E17D79">
        <w:rPr>
          <w:rFonts w:ascii="Book Antiqua" w:hAnsi="Book Antiqua" w:cs="Arial"/>
          <w:lang w:val="en-GB"/>
        </w:rPr>
        <w:t xml:space="preserve"> in one patient (8.3%)</w:t>
      </w:r>
      <w:r w:rsidR="00297C19" w:rsidRPr="00E17D79">
        <w:rPr>
          <w:rFonts w:ascii="Book Antiqua" w:hAnsi="Book Antiqua" w:cs="Arial"/>
          <w:lang w:val="en-GB"/>
        </w:rPr>
        <w:t xml:space="preserve"> and unknown in the remaining two patients</w:t>
      </w:r>
      <w:r w:rsidR="00082538" w:rsidRPr="00E17D79">
        <w:rPr>
          <w:rFonts w:ascii="Book Antiqua" w:hAnsi="Book Antiqua" w:cs="Arial"/>
          <w:lang w:val="en-GB"/>
        </w:rPr>
        <w:t xml:space="preserve"> (16.7%)</w:t>
      </w:r>
      <w:r w:rsidR="00B40D8E" w:rsidRPr="00E17D79">
        <w:rPr>
          <w:rFonts w:ascii="Book Antiqua" w:hAnsi="Book Antiqua" w:cs="Arial"/>
          <w:lang w:val="en-GB"/>
        </w:rPr>
        <w:t xml:space="preserve">. Survival was </w:t>
      </w:r>
      <w:r w:rsidR="002E1298" w:rsidRPr="00E17D79">
        <w:rPr>
          <w:rFonts w:ascii="Book Antiqua" w:hAnsi="Book Antiqua" w:cs="Arial"/>
          <w:lang w:val="en-GB"/>
        </w:rPr>
        <w:t xml:space="preserve">significantly </w:t>
      </w:r>
      <w:r w:rsidR="00B40D8E" w:rsidRPr="00E17D79">
        <w:rPr>
          <w:rFonts w:ascii="Book Antiqua" w:hAnsi="Book Antiqua" w:cs="Arial"/>
          <w:lang w:val="en-GB"/>
        </w:rPr>
        <w:t>worse for patients in the older age group</w:t>
      </w:r>
      <w:r w:rsidR="001D2FF9" w:rsidRPr="00E17D79">
        <w:rPr>
          <w:rFonts w:ascii="Book Antiqua" w:hAnsi="Book Antiqua" w:cs="Arial"/>
          <w:lang w:val="en-GB"/>
        </w:rPr>
        <w:t xml:space="preserve"> </w:t>
      </w:r>
      <w:r w:rsidR="00F437F5" w:rsidRPr="00E17D79">
        <w:rPr>
          <w:rFonts w:ascii="Book Antiqua" w:hAnsi="Book Antiqua" w:cs="Arial"/>
          <w:lang w:val="en-GB"/>
        </w:rPr>
        <w:t>(log</w:t>
      </w:r>
      <w:r w:rsidR="00604136" w:rsidRPr="00E17D79">
        <w:rPr>
          <w:rFonts w:ascii="Book Antiqua" w:hAnsi="Book Antiqua" w:cs="Arial"/>
          <w:lang w:val="en-GB"/>
        </w:rPr>
        <w:t>-</w:t>
      </w:r>
      <w:r w:rsidR="00F437F5" w:rsidRPr="00E17D79">
        <w:rPr>
          <w:rFonts w:ascii="Book Antiqua" w:hAnsi="Book Antiqua" w:cs="Arial"/>
          <w:lang w:val="en-GB"/>
        </w:rPr>
        <w:t xml:space="preserve">rank test </w:t>
      </w:r>
      <w:r w:rsidR="00E536BA" w:rsidRPr="00E17D79">
        <w:rPr>
          <w:rFonts w:ascii="Book Antiqua" w:hAnsi="Book Antiqua" w:cs="Arial"/>
          <w:lang w:val="en-GB"/>
        </w:rPr>
        <w:t>x</w:t>
      </w:r>
      <w:r w:rsidR="00F437F5" w:rsidRPr="00E17D79">
        <w:rPr>
          <w:rFonts w:ascii="Book Antiqua" w:hAnsi="Book Antiqua" w:cs="Arial"/>
          <w:vertAlign w:val="superscript"/>
          <w:lang w:val="en-GB"/>
        </w:rPr>
        <w:t>2</w:t>
      </w:r>
      <w:r w:rsidR="00345AAF" w:rsidRPr="00E17D79">
        <w:rPr>
          <w:rFonts w:ascii="Book Antiqua" w:hAnsi="Book Antiqua" w:cs="Arial"/>
          <w:vertAlign w:val="superscript"/>
          <w:lang w:val="en-GB"/>
        </w:rPr>
        <w:t xml:space="preserve"> </w:t>
      </w:r>
      <w:r w:rsidR="00F437F5" w:rsidRPr="00E17D79">
        <w:rPr>
          <w:rFonts w:ascii="Book Antiqua" w:hAnsi="Book Antiqua" w:cs="Arial"/>
          <w:lang w:val="en-GB"/>
        </w:rPr>
        <w:t>=</w:t>
      </w:r>
      <w:r w:rsidR="00345AAF" w:rsidRPr="00E17D79">
        <w:rPr>
          <w:rFonts w:ascii="Book Antiqua" w:hAnsi="Book Antiqua" w:cs="Arial"/>
          <w:lang w:val="en-GB"/>
        </w:rPr>
        <w:t xml:space="preserve"> </w:t>
      </w:r>
      <w:r w:rsidR="00F437F5" w:rsidRPr="00E17D79">
        <w:rPr>
          <w:rFonts w:ascii="Book Antiqua" w:hAnsi="Book Antiqua" w:cs="Arial"/>
          <w:lang w:val="en-GB"/>
        </w:rPr>
        <w:t xml:space="preserve">8.510, </w:t>
      </w:r>
      <w:r w:rsidR="000344EB" w:rsidRPr="00E17D79">
        <w:rPr>
          <w:rFonts w:ascii="Book Antiqua" w:hAnsi="Book Antiqua" w:cs="Arial"/>
          <w:i/>
          <w:lang w:val="en-GB"/>
        </w:rPr>
        <w:t>P</w:t>
      </w:r>
      <w:r w:rsidR="00345AAF" w:rsidRPr="00E17D79">
        <w:rPr>
          <w:rFonts w:ascii="Book Antiqua" w:hAnsi="Book Antiqua" w:cs="Arial"/>
          <w:i/>
          <w:lang w:val="en-GB"/>
        </w:rPr>
        <w:t xml:space="preserve"> </w:t>
      </w:r>
      <w:r w:rsidR="00F437F5" w:rsidRPr="00E17D79">
        <w:rPr>
          <w:rFonts w:ascii="Book Antiqua" w:hAnsi="Book Antiqua" w:cs="Arial"/>
          <w:lang w:val="en-GB"/>
        </w:rPr>
        <w:t>=</w:t>
      </w:r>
      <w:r w:rsidR="00345AAF" w:rsidRPr="00E17D79">
        <w:rPr>
          <w:rFonts w:ascii="Book Antiqua" w:hAnsi="Book Antiqua" w:cs="Arial"/>
          <w:lang w:val="en-GB"/>
        </w:rPr>
        <w:t xml:space="preserve"> </w:t>
      </w:r>
      <w:r w:rsidR="00F437F5" w:rsidRPr="00E17D79">
        <w:rPr>
          <w:rFonts w:ascii="Book Antiqua" w:hAnsi="Book Antiqua" w:cs="Arial"/>
          <w:lang w:val="en-GB"/>
        </w:rPr>
        <w:t>0.01</w:t>
      </w:r>
      <w:r w:rsidR="00FF72D5" w:rsidRPr="00E17D79">
        <w:rPr>
          <w:rFonts w:ascii="Book Antiqua" w:hAnsi="Book Antiqua" w:cs="Arial"/>
          <w:lang w:val="en-GB"/>
        </w:rPr>
        <w:t>; Fig</w:t>
      </w:r>
      <w:r w:rsidR="000344EB" w:rsidRPr="00E17D79">
        <w:rPr>
          <w:rFonts w:ascii="Book Antiqua" w:hAnsi="Book Antiqua" w:cs="Arial"/>
          <w:lang w:val="en-GB"/>
        </w:rPr>
        <w:t xml:space="preserve">ure </w:t>
      </w:r>
      <w:r w:rsidR="00FF72D5" w:rsidRPr="00E17D79">
        <w:rPr>
          <w:rFonts w:ascii="Book Antiqua" w:hAnsi="Book Antiqua" w:cs="Arial"/>
          <w:lang w:val="en-GB"/>
        </w:rPr>
        <w:t>3</w:t>
      </w:r>
      <w:r w:rsidR="00E702AE" w:rsidRPr="00E17D79">
        <w:rPr>
          <w:rFonts w:ascii="Book Antiqua" w:hAnsi="Book Antiqua" w:cs="Arial"/>
          <w:lang w:val="en-GB"/>
        </w:rPr>
        <w:t>)</w:t>
      </w:r>
      <w:r w:rsidR="001B3D57" w:rsidRPr="00E17D79">
        <w:rPr>
          <w:rFonts w:ascii="Book Antiqua" w:hAnsi="Book Antiqua" w:cs="Arial"/>
          <w:lang w:val="en-GB"/>
        </w:rPr>
        <w:t>.</w:t>
      </w:r>
      <w:r w:rsidR="00851D96" w:rsidRPr="00E17D79">
        <w:rPr>
          <w:rFonts w:ascii="Book Antiqua" w:hAnsi="Book Antiqua" w:cs="Arial"/>
          <w:lang w:val="en-GB"/>
        </w:rPr>
        <w:t xml:space="preserve"> However, 66 patients (82.5%) were still alive 6 mo</w:t>
      </w:r>
      <w:r w:rsidR="00345AAF" w:rsidRPr="00E17D79">
        <w:rPr>
          <w:rFonts w:ascii="Book Antiqua" w:hAnsi="Book Antiqua" w:cs="Arial"/>
          <w:lang w:val="en-GB"/>
        </w:rPr>
        <w:t xml:space="preserve"> </w:t>
      </w:r>
      <w:r w:rsidR="00851D96" w:rsidRPr="00E17D79">
        <w:rPr>
          <w:rFonts w:ascii="Book Antiqua" w:hAnsi="Book Antiqua" w:cs="Arial"/>
          <w:lang w:val="en-GB"/>
        </w:rPr>
        <w:t>after diagnosis of sHLH.</w:t>
      </w:r>
    </w:p>
    <w:p w14:paraId="6F623761" w14:textId="77777777" w:rsidR="007D5A4C" w:rsidRPr="00E17D79" w:rsidRDefault="007D5A4C" w:rsidP="00E17D79">
      <w:pPr>
        <w:spacing w:line="360" w:lineRule="auto"/>
        <w:jc w:val="both"/>
        <w:rPr>
          <w:rFonts w:ascii="Book Antiqua" w:hAnsi="Book Antiqua" w:cs="Arial"/>
          <w:b/>
          <w:lang w:val="en-GB"/>
        </w:rPr>
      </w:pPr>
    </w:p>
    <w:p w14:paraId="25F3668C" w14:textId="0DDB28E4" w:rsidR="001940E8" w:rsidRPr="00E17D79" w:rsidRDefault="00345AAF" w:rsidP="00E17D79">
      <w:pPr>
        <w:spacing w:line="360" w:lineRule="auto"/>
        <w:jc w:val="both"/>
        <w:rPr>
          <w:rFonts w:ascii="Book Antiqua" w:hAnsi="Book Antiqua" w:cs="Arial"/>
          <w:b/>
          <w:lang w:val="en-GB"/>
        </w:rPr>
      </w:pPr>
      <w:r w:rsidRPr="00E17D79">
        <w:rPr>
          <w:rFonts w:ascii="Book Antiqua" w:hAnsi="Book Antiqua" w:cs="Arial"/>
          <w:b/>
          <w:lang w:val="en-GB"/>
        </w:rPr>
        <w:t>DISCUSSION</w:t>
      </w:r>
    </w:p>
    <w:p w14:paraId="05B1C854" w14:textId="66B6F523" w:rsidR="00D10FEA" w:rsidRPr="00E17D79" w:rsidRDefault="00536CBD" w:rsidP="00E17D79">
      <w:pPr>
        <w:spacing w:line="360" w:lineRule="auto"/>
        <w:jc w:val="both"/>
        <w:rPr>
          <w:rFonts w:ascii="Book Antiqua" w:hAnsi="Book Antiqua" w:cs="Arial"/>
          <w:lang w:val="en-GB"/>
        </w:rPr>
      </w:pPr>
      <w:r w:rsidRPr="00E17D79">
        <w:rPr>
          <w:rFonts w:ascii="Book Antiqua" w:hAnsi="Book Antiqua" w:cs="Arial"/>
          <w:lang w:val="en-US"/>
        </w:rPr>
        <w:t>In this single-</w:t>
      </w:r>
      <w:r w:rsidRPr="00E17D79">
        <w:rPr>
          <w:rFonts w:ascii="Book Antiqua" w:hAnsi="Book Antiqua" w:cs="Arial"/>
          <w:lang w:val="en-GB"/>
        </w:rPr>
        <w:t>centr</w:t>
      </w:r>
      <w:r w:rsidR="000F3BA3" w:rsidRPr="00E17D79">
        <w:rPr>
          <w:rFonts w:ascii="Book Antiqua" w:hAnsi="Book Antiqua" w:cs="Arial"/>
          <w:lang w:val="en-GB"/>
        </w:rPr>
        <w:t>e</w:t>
      </w:r>
      <w:r w:rsidR="000F3BA3" w:rsidRPr="00E17D79">
        <w:rPr>
          <w:rFonts w:ascii="Book Antiqua" w:hAnsi="Book Antiqua" w:cs="Arial"/>
          <w:lang w:val="en-US"/>
        </w:rPr>
        <w:t>, real-world study we describe</w:t>
      </w:r>
      <w:r w:rsidRPr="00E17D79">
        <w:rPr>
          <w:rFonts w:ascii="Book Antiqua" w:hAnsi="Book Antiqua" w:cs="Arial"/>
          <w:lang w:val="en-US"/>
        </w:rPr>
        <w:t xml:space="preserve"> our experience regarding </w:t>
      </w:r>
      <w:r w:rsidR="00FE3C24" w:rsidRPr="00E17D79">
        <w:rPr>
          <w:rFonts w:ascii="Book Antiqua" w:hAnsi="Book Antiqua" w:cs="Arial"/>
          <w:lang w:val="en-US"/>
        </w:rPr>
        <w:t xml:space="preserve">the </w:t>
      </w:r>
      <w:r w:rsidRPr="00E17D79">
        <w:rPr>
          <w:rFonts w:ascii="Book Antiqua" w:hAnsi="Book Antiqua" w:cs="Arial"/>
          <w:lang w:val="en-US"/>
        </w:rPr>
        <w:t xml:space="preserve">diagnosis and management of </w:t>
      </w:r>
      <w:r w:rsidRPr="00E17D79">
        <w:rPr>
          <w:rFonts w:ascii="Book Antiqua" w:hAnsi="Book Antiqua" w:cs="Arial"/>
          <w:lang w:val="en-GB"/>
        </w:rPr>
        <w:t>a large cohort of</w:t>
      </w:r>
      <w:r w:rsidR="00E536BA" w:rsidRPr="00E17D79">
        <w:rPr>
          <w:rFonts w:ascii="Book Antiqua" w:hAnsi="Book Antiqua" w:cs="Arial"/>
          <w:lang w:val="en-GB"/>
        </w:rPr>
        <w:t xml:space="preserve"> </w:t>
      </w:r>
      <w:r w:rsidR="00604136" w:rsidRPr="00E17D79">
        <w:rPr>
          <w:rFonts w:ascii="Book Antiqua" w:hAnsi="Book Antiqua" w:cs="Arial"/>
          <w:lang w:val="en-GB"/>
        </w:rPr>
        <w:t>sHLH cases</w:t>
      </w:r>
      <w:r w:rsidRPr="00E17D79">
        <w:rPr>
          <w:rFonts w:ascii="Book Antiqua" w:hAnsi="Book Antiqua" w:cs="Arial"/>
          <w:lang w:val="en-GB"/>
        </w:rPr>
        <w:t xml:space="preserve"> admitted to an Internal Medicine department.</w:t>
      </w:r>
      <w:r w:rsidR="00E536BA" w:rsidRPr="00E17D79">
        <w:rPr>
          <w:rFonts w:ascii="Book Antiqua" w:hAnsi="Book Antiqua" w:cs="Arial"/>
          <w:lang w:val="en-GB"/>
        </w:rPr>
        <w:t xml:space="preserve"> </w:t>
      </w:r>
      <w:r w:rsidRPr="00E17D79">
        <w:rPr>
          <w:rFonts w:ascii="Book Antiqua" w:hAnsi="Book Antiqua" w:cs="Arial"/>
          <w:lang w:val="en-US"/>
        </w:rPr>
        <w:t xml:space="preserve">The main findings arose from our </w:t>
      </w:r>
      <w:r w:rsidR="00BD1883" w:rsidRPr="00E17D79">
        <w:rPr>
          <w:rFonts w:ascii="Book Antiqua" w:hAnsi="Book Antiqua" w:cs="Arial"/>
          <w:lang w:val="en-US"/>
        </w:rPr>
        <w:t xml:space="preserve">large </w:t>
      </w:r>
      <w:r w:rsidRPr="00E17D79">
        <w:rPr>
          <w:rFonts w:ascii="Book Antiqua" w:hAnsi="Book Antiqua" w:cs="Arial"/>
          <w:lang w:val="en-US"/>
        </w:rPr>
        <w:t xml:space="preserve">study were: </w:t>
      </w:r>
      <w:r w:rsidR="00345AAF" w:rsidRPr="00E17D79">
        <w:rPr>
          <w:rFonts w:ascii="Book Antiqua" w:hAnsi="Book Antiqua" w:cs="Arial"/>
          <w:lang w:val="en-US"/>
        </w:rPr>
        <w:t>(A</w:t>
      </w:r>
      <w:r w:rsidRPr="00E17D79">
        <w:rPr>
          <w:rFonts w:ascii="Book Antiqua" w:hAnsi="Book Antiqua" w:cs="Arial"/>
          <w:lang w:val="en-US"/>
        </w:rPr>
        <w:t>)</w:t>
      </w:r>
      <w:r w:rsidR="00E536BA" w:rsidRPr="00E17D79">
        <w:rPr>
          <w:rFonts w:ascii="Book Antiqua" w:hAnsi="Book Antiqua" w:cs="Arial"/>
          <w:lang w:val="en-US"/>
        </w:rPr>
        <w:t xml:space="preserve"> </w:t>
      </w:r>
      <w:r w:rsidRPr="00E17D79">
        <w:rPr>
          <w:rFonts w:ascii="Book Antiqua" w:hAnsi="Book Antiqua" w:cs="Arial"/>
          <w:lang w:val="en-GB"/>
        </w:rPr>
        <w:t>sHLH</w:t>
      </w:r>
      <w:r w:rsidR="00604136" w:rsidRPr="00E17D79">
        <w:rPr>
          <w:rFonts w:ascii="Book Antiqua" w:hAnsi="Book Antiqua" w:cs="Arial"/>
          <w:lang w:val="en-GB"/>
        </w:rPr>
        <w:t xml:space="preserve"> patients</w:t>
      </w:r>
      <w:r w:rsidR="00CD060F" w:rsidRPr="00E17D79">
        <w:rPr>
          <w:rFonts w:ascii="Book Antiqua" w:hAnsi="Book Antiqua" w:cs="Arial"/>
          <w:lang w:val="en-GB"/>
        </w:rPr>
        <w:t xml:space="preserve"> characterised by</w:t>
      </w:r>
      <w:r w:rsidRPr="00E17D79">
        <w:rPr>
          <w:rFonts w:ascii="Book Antiqua" w:hAnsi="Book Antiqua" w:cs="Arial"/>
          <w:lang w:val="en-GB"/>
        </w:rPr>
        <w:t xml:space="preserve"> variable clinical </w:t>
      </w:r>
      <w:r w:rsidR="00CD060F" w:rsidRPr="00E17D79">
        <w:rPr>
          <w:rFonts w:ascii="Book Antiqua" w:hAnsi="Book Antiqua" w:cs="Arial"/>
          <w:lang w:val="en-GB"/>
        </w:rPr>
        <w:t>and laboratory features</w:t>
      </w:r>
      <w:r w:rsidR="00E536BA" w:rsidRPr="00E17D79">
        <w:rPr>
          <w:rFonts w:ascii="Book Antiqua" w:hAnsi="Book Antiqua" w:cs="Arial"/>
          <w:lang w:val="en-GB"/>
        </w:rPr>
        <w:t xml:space="preserve"> </w:t>
      </w:r>
      <w:r w:rsidR="00CD060F" w:rsidRPr="00E17D79">
        <w:rPr>
          <w:rFonts w:ascii="Book Antiqua" w:hAnsi="Book Antiqua" w:cs="Arial"/>
          <w:lang w:val="en-GB"/>
        </w:rPr>
        <w:t>including</w:t>
      </w:r>
      <w:r w:rsidRPr="00E17D79">
        <w:rPr>
          <w:rFonts w:ascii="Book Antiqua" w:hAnsi="Book Antiqua" w:cs="Arial"/>
          <w:lang w:val="en-GB"/>
        </w:rPr>
        <w:t xml:space="preserve"> high fever, hepatosplenomegaly, cytopenias, </w:t>
      </w:r>
      <w:r w:rsidR="00690A83" w:rsidRPr="00E17D79">
        <w:rPr>
          <w:rFonts w:ascii="Book Antiqua" w:hAnsi="Book Antiqua" w:cs="Arial"/>
          <w:lang w:val="en-GB"/>
        </w:rPr>
        <w:t xml:space="preserve">high </w:t>
      </w:r>
      <w:r w:rsidRPr="00E17D79">
        <w:rPr>
          <w:rFonts w:ascii="Book Antiqua" w:hAnsi="Book Antiqua" w:cs="Arial"/>
          <w:lang w:val="en-GB"/>
        </w:rPr>
        <w:t>triglycerid</w:t>
      </w:r>
      <w:r w:rsidR="00690A83" w:rsidRPr="00E17D79">
        <w:rPr>
          <w:rFonts w:ascii="Book Antiqua" w:hAnsi="Book Antiqua" w:cs="Arial"/>
          <w:lang w:val="en-GB"/>
        </w:rPr>
        <w:t>es</w:t>
      </w:r>
      <w:r w:rsidRPr="00E17D79">
        <w:rPr>
          <w:rFonts w:ascii="Book Antiqua" w:hAnsi="Book Antiqua" w:cs="Arial"/>
          <w:lang w:val="en-GB"/>
        </w:rPr>
        <w:t>,</w:t>
      </w:r>
      <w:r w:rsidR="00E536BA" w:rsidRPr="00E17D79">
        <w:rPr>
          <w:rFonts w:ascii="Book Antiqua" w:hAnsi="Book Antiqua" w:cs="Arial"/>
          <w:lang w:val="en-GB"/>
        </w:rPr>
        <w:t xml:space="preserve"> </w:t>
      </w:r>
      <w:r w:rsidR="00690A83" w:rsidRPr="00E17D79">
        <w:rPr>
          <w:rFonts w:ascii="Book Antiqua" w:hAnsi="Book Antiqua" w:cs="Arial"/>
          <w:lang w:val="en-GB"/>
        </w:rPr>
        <w:t xml:space="preserve">low </w:t>
      </w:r>
      <w:r w:rsidRPr="00E17D79">
        <w:rPr>
          <w:rFonts w:ascii="Book Antiqua" w:hAnsi="Book Antiqua" w:cs="Arial"/>
          <w:lang w:val="en-GB"/>
        </w:rPr>
        <w:t>fibrinogen</w:t>
      </w:r>
      <w:r w:rsidR="00690A83" w:rsidRPr="00E17D79">
        <w:rPr>
          <w:rFonts w:ascii="Book Antiqua" w:hAnsi="Book Antiqua" w:cs="Arial"/>
          <w:lang w:val="en-GB"/>
        </w:rPr>
        <w:t xml:space="preserve"> levels</w:t>
      </w:r>
      <w:r w:rsidRPr="00E17D79">
        <w:rPr>
          <w:rFonts w:ascii="Book Antiqua" w:hAnsi="Book Antiqua" w:cs="Arial"/>
          <w:lang w:val="en-GB"/>
        </w:rPr>
        <w:t xml:space="preserve">, </w:t>
      </w:r>
      <w:r w:rsidR="007114EF" w:rsidRPr="00E17D79">
        <w:rPr>
          <w:rFonts w:ascii="Book Antiqua" w:hAnsi="Book Antiqua" w:cs="Arial"/>
          <w:lang w:val="en-GB"/>
        </w:rPr>
        <w:t>elevated LFTs</w:t>
      </w:r>
      <w:r w:rsidR="00E536BA" w:rsidRPr="00E17D79">
        <w:rPr>
          <w:rFonts w:ascii="Book Antiqua" w:hAnsi="Book Antiqua" w:cs="Arial"/>
          <w:lang w:val="en-GB"/>
        </w:rPr>
        <w:t xml:space="preserve"> </w:t>
      </w:r>
      <w:r w:rsidR="00CD060F" w:rsidRPr="00E17D79">
        <w:rPr>
          <w:rFonts w:ascii="Book Antiqua" w:hAnsi="Book Antiqua" w:cs="Arial"/>
          <w:lang w:val="en-GB"/>
        </w:rPr>
        <w:t xml:space="preserve">along with a </w:t>
      </w:r>
      <w:r w:rsidRPr="00E17D79">
        <w:rPr>
          <w:rFonts w:ascii="Book Antiqua" w:hAnsi="Book Antiqua" w:cs="Arial"/>
          <w:lang w:val="en-GB"/>
        </w:rPr>
        <w:t xml:space="preserve">progressive </w:t>
      </w:r>
      <w:r w:rsidR="00F0348C" w:rsidRPr="00E17D79">
        <w:rPr>
          <w:rFonts w:ascii="Book Antiqua" w:hAnsi="Book Antiqua" w:cs="Arial"/>
          <w:lang w:val="en-GB"/>
        </w:rPr>
        <w:t xml:space="preserve">disease </w:t>
      </w:r>
      <w:r w:rsidRPr="00E17D79">
        <w:rPr>
          <w:rFonts w:ascii="Book Antiqua" w:hAnsi="Book Antiqua" w:cs="Arial"/>
          <w:lang w:val="en-GB"/>
        </w:rPr>
        <w:t>course</w:t>
      </w:r>
      <w:r w:rsidR="004A5E3E" w:rsidRPr="00E17D79">
        <w:rPr>
          <w:rFonts w:ascii="Book Antiqua" w:hAnsi="Book Antiqua" w:cs="Arial"/>
          <w:lang w:val="en-GB"/>
        </w:rPr>
        <w:t>;</w:t>
      </w:r>
      <w:r w:rsidR="00CD060F" w:rsidRPr="00E17D79">
        <w:rPr>
          <w:rFonts w:ascii="Book Antiqua" w:hAnsi="Book Antiqua" w:cs="Arial"/>
          <w:lang w:val="en-GB"/>
        </w:rPr>
        <w:t xml:space="preserve"> </w:t>
      </w:r>
      <w:r w:rsidR="004A5E3E" w:rsidRPr="00E17D79">
        <w:rPr>
          <w:rFonts w:ascii="Book Antiqua" w:hAnsi="Book Antiqua" w:cs="Arial"/>
          <w:lang w:val="en-GB"/>
        </w:rPr>
        <w:t>however,</w:t>
      </w:r>
      <w:r w:rsidR="00CD060F" w:rsidRPr="00E17D79">
        <w:rPr>
          <w:rFonts w:ascii="Book Antiqua" w:hAnsi="Book Antiqua" w:cs="Arial"/>
          <w:lang w:val="en-GB"/>
        </w:rPr>
        <w:t xml:space="preserve"> </w:t>
      </w:r>
      <w:r w:rsidRPr="00E17D79">
        <w:rPr>
          <w:rFonts w:ascii="Book Antiqua" w:hAnsi="Book Antiqua" w:cs="Arial"/>
          <w:lang w:val="en-GB"/>
        </w:rPr>
        <w:t>no single clinical or</w:t>
      </w:r>
      <w:r w:rsidR="00E536BA" w:rsidRPr="00E17D79">
        <w:rPr>
          <w:rFonts w:ascii="Book Antiqua" w:hAnsi="Book Antiqua" w:cs="Arial"/>
          <w:lang w:val="en-GB"/>
        </w:rPr>
        <w:t xml:space="preserve"> </w:t>
      </w:r>
      <w:r w:rsidRPr="00E17D79">
        <w:rPr>
          <w:rFonts w:ascii="Book Antiqua" w:hAnsi="Book Antiqua" w:cs="Arial"/>
          <w:lang w:val="en-GB"/>
        </w:rPr>
        <w:t xml:space="preserve">laboratory </w:t>
      </w:r>
      <w:r w:rsidR="00CD060F" w:rsidRPr="00E17D79">
        <w:rPr>
          <w:rFonts w:ascii="Book Antiqua" w:hAnsi="Book Antiqua" w:cs="Arial"/>
          <w:lang w:val="en-GB"/>
        </w:rPr>
        <w:t xml:space="preserve">finding </w:t>
      </w:r>
      <w:r w:rsidR="004C7D26" w:rsidRPr="00E17D79">
        <w:rPr>
          <w:rFonts w:ascii="Book Antiqua" w:hAnsi="Book Antiqua" w:cs="Arial"/>
          <w:lang w:val="en-GB"/>
        </w:rPr>
        <w:t>was</w:t>
      </w:r>
      <w:r w:rsidR="00CD060F" w:rsidRPr="00E17D79">
        <w:rPr>
          <w:rFonts w:ascii="Book Antiqua" w:hAnsi="Book Antiqua" w:cs="Arial"/>
          <w:lang w:val="en-GB"/>
        </w:rPr>
        <w:t xml:space="preserve"> </w:t>
      </w:r>
      <w:r w:rsidRPr="00E17D79">
        <w:rPr>
          <w:rFonts w:ascii="Book Antiqua" w:hAnsi="Book Antiqua" w:cs="Arial"/>
          <w:lang w:val="en-GB"/>
        </w:rPr>
        <w:t xml:space="preserve">specific for </w:t>
      </w:r>
      <w:r w:rsidR="000344EB" w:rsidRPr="00E17D79">
        <w:rPr>
          <w:rFonts w:ascii="Book Antiqua" w:hAnsi="Book Antiqua" w:cs="Arial"/>
          <w:lang w:val="en-GB"/>
        </w:rPr>
        <w:t xml:space="preserve">the diagnosis of </w:t>
      </w:r>
      <w:r w:rsidR="00CD060F" w:rsidRPr="00E17D79">
        <w:rPr>
          <w:rFonts w:ascii="Book Antiqua" w:hAnsi="Book Antiqua" w:cs="Arial"/>
          <w:lang w:val="en-GB"/>
        </w:rPr>
        <w:t>sHLH</w:t>
      </w:r>
      <w:r w:rsidR="00345AAF" w:rsidRPr="00E17D79">
        <w:rPr>
          <w:rFonts w:ascii="Book Antiqua" w:hAnsi="Book Antiqua" w:cs="Arial"/>
          <w:lang w:val="en-GB"/>
        </w:rPr>
        <w:t>;</w:t>
      </w:r>
      <w:r w:rsidR="00E536BA" w:rsidRPr="00E17D79">
        <w:rPr>
          <w:rFonts w:ascii="Book Antiqua" w:hAnsi="Book Antiqua" w:cs="Arial"/>
          <w:lang w:val="en-GB"/>
        </w:rPr>
        <w:t xml:space="preserve"> </w:t>
      </w:r>
      <w:r w:rsidR="00345AAF" w:rsidRPr="00E17D79">
        <w:rPr>
          <w:rFonts w:ascii="Book Antiqua" w:hAnsi="Book Antiqua" w:cs="Arial"/>
          <w:lang w:val="en-GB"/>
        </w:rPr>
        <w:t>(B</w:t>
      </w:r>
      <w:r w:rsidR="00CD060F" w:rsidRPr="00E17D79">
        <w:rPr>
          <w:rFonts w:ascii="Book Antiqua" w:hAnsi="Book Antiqua" w:cs="Arial"/>
          <w:lang w:val="en-GB"/>
        </w:rPr>
        <w:t xml:space="preserve">) </w:t>
      </w:r>
      <w:r w:rsidR="007114EF" w:rsidRPr="00E17D79">
        <w:rPr>
          <w:rFonts w:ascii="Book Antiqua" w:hAnsi="Book Antiqua" w:cs="Arial"/>
          <w:lang w:val="en-GB"/>
        </w:rPr>
        <w:t>in accorda</w:t>
      </w:r>
      <w:r w:rsidR="0051054C" w:rsidRPr="00E17D79">
        <w:rPr>
          <w:rFonts w:ascii="Book Antiqua" w:hAnsi="Book Antiqua" w:cs="Arial"/>
          <w:lang w:val="en-GB"/>
        </w:rPr>
        <w:t>nce with previous studies</w:t>
      </w:r>
      <w:r w:rsidR="0051054C" w:rsidRPr="00E17D79">
        <w:rPr>
          <w:rFonts w:ascii="Book Antiqua" w:hAnsi="Book Antiqua" w:cs="Arial"/>
          <w:vertAlign w:val="superscript"/>
          <w:lang w:val="en-GB"/>
        </w:rPr>
        <w:t>[14-16</w:t>
      </w:r>
      <w:r w:rsidR="007114EF" w:rsidRPr="00E17D79">
        <w:rPr>
          <w:rFonts w:ascii="Book Antiqua" w:hAnsi="Book Antiqua" w:cs="Arial"/>
          <w:vertAlign w:val="superscript"/>
          <w:lang w:val="en-GB"/>
        </w:rPr>
        <w:t>]</w:t>
      </w:r>
      <w:r w:rsidR="007114EF" w:rsidRPr="00E17D79">
        <w:rPr>
          <w:rFonts w:ascii="Book Antiqua" w:hAnsi="Book Antiqua" w:cs="Arial"/>
          <w:lang w:val="en-GB"/>
        </w:rPr>
        <w:t>,</w:t>
      </w:r>
      <w:r w:rsidR="00E536BA" w:rsidRPr="00E17D79">
        <w:rPr>
          <w:rFonts w:ascii="Book Antiqua" w:hAnsi="Book Antiqua" w:cs="Arial"/>
          <w:lang w:val="en-GB"/>
        </w:rPr>
        <w:t xml:space="preserve"> </w:t>
      </w:r>
      <w:r w:rsidR="007114EF" w:rsidRPr="00E17D79">
        <w:rPr>
          <w:rFonts w:ascii="Book Antiqua" w:hAnsi="Book Antiqua" w:cs="Arial"/>
          <w:lang w:val="en-GB"/>
        </w:rPr>
        <w:t xml:space="preserve">infections were the most prevalent underlying cause (74%) in all age </w:t>
      </w:r>
      <w:r w:rsidR="00D10FEA" w:rsidRPr="00E17D79">
        <w:rPr>
          <w:rFonts w:ascii="Book Antiqua" w:hAnsi="Book Antiqua" w:cs="Arial"/>
          <w:lang w:val="en-GB"/>
        </w:rPr>
        <w:t xml:space="preserve">groups, although </w:t>
      </w:r>
      <w:r w:rsidR="007114EF" w:rsidRPr="00E17D79">
        <w:rPr>
          <w:rFonts w:ascii="Book Antiqua" w:hAnsi="Book Antiqua" w:cs="Arial"/>
          <w:lang w:val="en-GB"/>
        </w:rPr>
        <w:t xml:space="preserve">declined with increasing </w:t>
      </w:r>
      <w:r w:rsidR="0051054C" w:rsidRPr="00E17D79">
        <w:rPr>
          <w:rFonts w:ascii="Book Antiqua" w:hAnsi="Book Antiqua" w:cs="Arial"/>
          <w:lang w:val="en-GB"/>
        </w:rPr>
        <w:t>age</w:t>
      </w:r>
      <w:r w:rsidR="0051054C" w:rsidRPr="00E17D79">
        <w:rPr>
          <w:rFonts w:ascii="Book Antiqua" w:hAnsi="Book Antiqua" w:cs="Arial"/>
          <w:vertAlign w:val="superscript"/>
          <w:lang w:val="en-GB"/>
        </w:rPr>
        <w:t>[17</w:t>
      </w:r>
      <w:r w:rsidR="007114EF" w:rsidRPr="00E17D79">
        <w:rPr>
          <w:rFonts w:ascii="Book Antiqua" w:hAnsi="Book Antiqua" w:cs="Arial"/>
          <w:vertAlign w:val="superscript"/>
          <w:lang w:val="en-GB"/>
        </w:rPr>
        <w:t>]</w:t>
      </w:r>
      <w:r w:rsidR="00345AAF" w:rsidRPr="00E17D79">
        <w:rPr>
          <w:rFonts w:ascii="Book Antiqua" w:hAnsi="Book Antiqua" w:cs="Arial"/>
          <w:lang w:val="en-GB"/>
        </w:rPr>
        <w:t>;</w:t>
      </w:r>
      <w:r w:rsidR="007114EF" w:rsidRPr="00E17D79">
        <w:rPr>
          <w:rFonts w:ascii="Book Antiqua" w:hAnsi="Book Antiqua" w:cs="Arial"/>
          <w:lang w:val="en-GB"/>
        </w:rPr>
        <w:t xml:space="preserve"> </w:t>
      </w:r>
      <w:r w:rsidR="00345AAF" w:rsidRPr="00E17D79">
        <w:rPr>
          <w:rFonts w:ascii="Book Antiqua" w:hAnsi="Book Antiqua" w:cs="Arial"/>
          <w:lang w:val="en-GB"/>
        </w:rPr>
        <w:t>(C</w:t>
      </w:r>
      <w:r w:rsidR="007114EF" w:rsidRPr="00E17D79">
        <w:rPr>
          <w:rFonts w:ascii="Book Antiqua" w:hAnsi="Book Antiqua" w:cs="Arial"/>
          <w:lang w:val="en-GB"/>
        </w:rPr>
        <w:t xml:space="preserve">) </w:t>
      </w:r>
      <w:r w:rsidR="00F0348C" w:rsidRPr="00E17D79">
        <w:rPr>
          <w:rFonts w:ascii="Book Antiqua" w:hAnsi="Book Antiqua" w:cs="Arial"/>
          <w:lang w:val="en-GB"/>
        </w:rPr>
        <w:t xml:space="preserve">although older age, anaemia, thrombocytopenia, </w:t>
      </w:r>
      <w:r w:rsidR="00690A83" w:rsidRPr="00E17D79">
        <w:rPr>
          <w:rFonts w:ascii="Book Antiqua" w:hAnsi="Book Antiqua" w:cs="Arial"/>
          <w:lang w:val="en-GB"/>
        </w:rPr>
        <w:t xml:space="preserve">low </w:t>
      </w:r>
      <w:r w:rsidR="00F0348C" w:rsidRPr="00E17D79">
        <w:rPr>
          <w:rFonts w:ascii="Book Antiqua" w:hAnsi="Book Antiqua" w:cs="Arial"/>
          <w:lang w:val="en-GB"/>
        </w:rPr>
        <w:t>fibrinogen</w:t>
      </w:r>
      <w:r w:rsidR="00690A83" w:rsidRPr="00E17D79">
        <w:rPr>
          <w:rFonts w:ascii="Book Antiqua" w:hAnsi="Book Antiqua" w:cs="Arial"/>
          <w:lang w:val="en-GB"/>
        </w:rPr>
        <w:t xml:space="preserve"> levels</w:t>
      </w:r>
      <w:r w:rsidR="00F0348C" w:rsidRPr="00E17D79">
        <w:rPr>
          <w:rFonts w:ascii="Book Antiqua" w:hAnsi="Book Antiqua" w:cs="Arial"/>
          <w:lang w:val="en-GB"/>
        </w:rPr>
        <w:t xml:space="preserve">, DIC, and delay of diagnosis were factors that negatively affected response to treatment in the univariate analysis, only the development of DIC and </w:t>
      </w:r>
      <w:r w:rsidR="007D5A4C" w:rsidRPr="00E17D79">
        <w:rPr>
          <w:rFonts w:ascii="Book Antiqua" w:hAnsi="Book Antiqua" w:cs="Arial"/>
          <w:lang w:val="en-GB"/>
        </w:rPr>
        <w:t xml:space="preserve">low PLTs </w:t>
      </w:r>
      <w:r w:rsidR="00F0348C" w:rsidRPr="00E17D79">
        <w:rPr>
          <w:rFonts w:ascii="Book Antiqua" w:hAnsi="Book Antiqua" w:cs="Arial"/>
          <w:lang w:val="en-GB"/>
        </w:rPr>
        <w:t>were independently associated with adverse outcome</w:t>
      </w:r>
      <w:r w:rsidR="00345AAF" w:rsidRPr="00E17D79">
        <w:rPr>
          <w:rFonts w:ascii="Book Antiqua" w:hAnsi="Book Antiqua" w:cs="Arial"/>
          <w:lang w:val="en-GB"/>
        </w:rPr>
        <w:t>;</w:t>
      </w:r>
      <w:r w:rsidR="00F0348C" w:rsidRPr="00E17D79">
        <w:rPr>
          <w:rFonts w:ascii="Book Antiqua" w:hAnsi="Book Antiqua" w:cs="Arial"/>
          <w:lang w:val="en-GB"/>
        </w:rPr>
        <w:t xml:space="preserve"> and </w:t>
      </w:r>
      <w:r w:rsidR="00D174A3" w:rsidRPr="00E17D79">
        <w:rPr>
          <w:rFonts w:ascii="Book Antiqua" w:hAnsi="Book Antiqua" w:cs="Arial"/>
          <w:lang w:val="en-GB"/>
        </w:rPr>
        <w:t>(D)</w:t>
      </w:r>
      <w:r w:rsidR="00D174A3">
        <w:rPr>
          <w:rFonts w:ascii="Book Antiqua" w:eastAsiaTheme="minorEastAsia" w:hAnsi="Book Antiqua" w:cs="Arial" w:hint="eastAsia"/>
          <w:lang w:val="en-GB" w:eastAsia="zh-CN"/>
        </w:rPr>
        <w:t xml:space="preserve"> </w:t>
      </w:r>
      <w:r w:rsidR="00F0348C" w:rsidRPr="00E17D79">
        <w:rPr>
          <w:rFonts w:ascii="Book Antiqua" w:hAnsi="Book Antiqua" w:cs="Arial"/>
          <w:lang w:val="en-GB"/>
        </w:rPr>
        <w:t xml:space="preserve">most importantly by using a less toxic </w:t>
      </w:r>
      <w:r w:rsidR="007114EF" w:rsidRPr="00E17D79">
        <w:rPr>
          <w:rFonts w:ascii="Book Antiqua" w:hAnsi="Book Antiqua" w:cs="Arial"/>
          <w:lang w:val="en-GB"/>
        </w:rPr>
        <w:t>therapeutic schedule than etoposide containing regimen</w:t>
      </w:r>
      <w:r w:rsidR="00D10FEA" w:rsidRPr="00E17D79">
        <w:rPr>
          <w:rFonts w:ascii="Book Antiqua" w:hAnsi="Book Antiqua" w:cs="Arial"/>
          <w:lang w:val="en-GB"/>
        </w:rPr>
        <w:t>,</w:t>
      </w:r>
      <w:r w:rsidR="007114EF" w:rsidRPr="00E17D79">
        <w:rPr>
          <w:rFonts w:ascii="Book Antiqua" w:hAnsi="Book Antiqua" w:cs="Arial"/>
          <w:lang w:val="en-GB"/>
        </w:rPr>
        <w:t xml:space="preserve"> we achieve</w:t>
      </w:r>
      <w:r w:rsidR="00D10FEA" w:rsidRPr="00E17D79">
        <w:rPr>
          <w:rFonts w:ascii="Book Antiqua" w:hAnsi="Book Antiqua" w:cs="Arial"/>
          <w:lang w:val="en-GB"/>
        </w:rPr>
        <w:t>d</w:t>
      </w:r>
      <w:r w:rsidR="007114EF" w:rsidRPr="00E17D79">
        <w:rPr>
          <w:rFonts w:ascii="Book Antiqua" w:hAnsi="Book Antiqua" w:cs="Arial"/>
          <w:lang w:val="en-GB"/>
        </w:rPr>
        <w:t xml:space="preserve"> a quite high remission rate (76%)</w:t>
      </w:r>
      <w:r w:rsidR="00851D96" w:rsidRPr="00E17D79">
        <w:rPr>
          <w:rFonts w:ascii="Book Antiqua" w:hAnsi="Book Antiqua" w:cs="Arial"/>
          <w:lang w:val="en-GB"/>
        </w:rPr>
        <w:t xml:space="preserve"> and 6-mo survival (82.5%)</w:t>
      </w:r>
      <w:r w:rsidR="007114EF" w:rsidRPr="00E17D79">
        <w:rPr>
          <w:rFonts w:ascii="Book Antiqua" w:hAnsi="Book Antiqua" w:cs="Arial"/>
          <w:lang w:val="en-GB"/>
        </w:rPr>
        <w:t xml:space="preserve"> albeit a 30-d mortality rate of 15%.</w:t>
      </w:r>
    </w:p>
    <w:p w14:paraId="105EEC3A" w14:textId="67B44400" w:rsidR="0074042E" w:rsidRPr="00E17D79" w:rsidRDefault="004A43B2"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Typically</w:t>
      </w:r>
      <w:r w:rsidR="00DB7F01" w:rsidRPr="00E17D79">
        <w:rPr>
          <w:rFonts w:ascii="Book Antiqua" w:hAnsi="Book Antiqua" w:cs="Arial"/>
          <w:lang w:val="en-GB"/>
        </w:rPr>
        <w:t xml:space="preserve">, </w:t>
      </w:r>
      <w:r w:rsidRPr="00E17D79">
        <w:rPr>
          <w:rFonts w:ascii="Book Antiqua" w:hAnsi="Book Antiqua" w:cs="Arial"/>
          <w:lang w:val="en-GB"/>
        </w:rPr>
        <w:t>HLH</w:t>
      </w:r>
      <w:r w:rsidR="00DB7F01" w:rsidRPr="00E17D79">
        <w:rPr>
          <w:rFonts w:ascii="Book Antiqua" w:hAnsi="Book Antiqua" w:cs="Arial"/>
          <w:lang w:val="en-GB"/>
        </w:rPr>
        <w:t xml:space="preserve"> diagnosis is based upon the published di</w:t>
      </w:r>
      <w:r w:rsidR="009B2365" w:rsidRPr="00E17D79">
        <w:rPr>
          <w:rFonts w:ascii="Book Antiqua" w:hAnsi="Book Antiqua" w:cs="Arial"/>
          <w:lang w:val="en-GB"/>
        </w:rPr>
        <w:t xml:space="preserve">agnostic criteria used in the </w:t>
      </w:r>
      <w:r w:rsidR="004665B3" w:rsidRPr="00E17D79">
        <w:rPr>
          <w:rFonts w:ascii="Book Antiqua" w:hAnsi="Book Antiqua" w:cs="Arial"/>
          <w:lang w:val="en-GB"/>
        </w:rPr>
        <w:t>HLH</w:t>
      </w:r>
      <w:r w:rsidR="00DB7F01" w:rsidRPr="00E17D79">
        <w:rPr>
          <w:rFonts w:ascii="Book Antiqua" w:hAnsi="Book Antiqua" w:cs="Arial"/>
          <w:lang w:val="en-GB"/>
        </w:rPr>
        <w:t>-2004 trial</w:t>
      </w:r>
      <w:r w:rsidR="00E05E58" w:rsidRPr="00E17D79">
        <w:rPr>
          <w:rFonts w:ascii="Book Antiqua" w:hAnsi="Book Antiqua" w:cs="Arial"/>
          <w:vertAlign w:val="superscript"/>
          <w:lang w:val="en-GB"/>
        </w:rPr>
        <w:t>[</w:t>
      </w:r>
      <w:r w:rsidR="004665B3" w:rsidRPr="00E17D79">
        <w:rPr>
          <w:rFonts w:ascii="Book Antiqua" w:hAnsi="Book Antiqua" w:cs="Arial"/>
          <w:vertAlign w:val="superscript"/>
          <w:lang w:val="en-GB"/>
        </w:rPr>
        <w:t>5</w:t>
      </w:r>
      <w:r w:rsidR="00E05E58" w:rsidRPr="00E17D79">
        <w:rPr>
          <w:rFonts w:ascii="Book Antiqua" w:hAnsi="Book Antiqua" w:cs="Arial"/>
          <w:vertAlign w:val="superscript"/>
          <w:lang w:val="en-GB"/>
        </w:rPr>
        <w:t>]</w:t>
      </w:r>
      <w:r w:rsidR="00DB7F01" w:rsidRPr="00E17D79">
        <w:rPr>
          <w:rFonts w:ascii="Book Antiqua" w:hAnsi="Book Antiqua" w:cs="Arial"/>
          <w:lang w:val="en-GB"/>
        </w:rPr>
        <w:t xml:space="preserve">. </w:t>
      </w:r>
      <w:r w:rsidR="00D33F40" w:rsidRPr="00E17D79">
        <w:rPr>
          <w:rFonts w:ascii="Book Antiqua" w:hAnsi="Book Antiqua" w:cs="Arial"/>
          <w:lang w:val="en-GB"/>
        </w:rPr>
        <w:t>Interestingly</w:t>
      </w:r>
      <w:r w:rsidR="004665B3" w:rsidRPr="00E17D79">
        <w:rPr>
          <w:rFonts w:ascii="Book Antiqua" w:hAnsi="Book Antiqua" w:cs="Arial"/>
          <w:lang w:val="en-GB"/>
        </w:rPr>
        <w:t>,</w:t>
      </w:r>
      <w:r w:rsidR="00C36A1D" w:rsidRPr="00E17D79">
        <w:rPr>
          <w:rFonts w:ascii="Book Antiqua" w:hAnsi="Book Antiqua" w:cs="Arial"/>
          <w:lang w:val="en-GB"/>
        </w:rPr>
        <w:t xml:space="preserve"> these criteria were developed for the</w:t>
      </w:r>
      <w:r w:rsidR="00E536BA" w:rsidRPr="00E17D79">
        <w:rPr>
          <w:rFonts w:ascii="Book Antiqua" w:hAnsi="Book Antiqua" w:cs="Arial"/>
          <w:lang w:val="en-GB"/>
        </w:rPr>
        <w:t xml:space="preserve"> </w:t>
      </w:r>
      <w:r w:rsidR="00C36A1D" w:rsidRPr="00E17D79">
        <w:rPr>
          <w:rFonts w:ascii="Book Antiqua" w:hAnsi="Book Antiqua" w:cs="Arial"/>
          <w:lang w:val="en-GB"/>
        </w:rPr>
        <w:t>diagnosis of p</w:t>
      </w:r>
      <w:r w:rsidRPr="00E17D79">
        <w:rPr>
          <w:rFonts w:ascii="Book Antiqua" w:hAnsi="Book Antiqua" w:cs="Arial"/>
          <w:lang w:val="en-GB"/>
        </w:rPr>
        <w:t>a</w:t>
      </w:r>
      <w:r w:rsidR="00C36A1D" w:rsidRPr="00E17D79">
        <w:rPr>
          <w:rFonts w:ascii="Book Antiqua" w:hAnsi="Book Antiqua" w:cs="Arial"/>
          <w:lang w:val="en-GB"/>
        </w:rPr>
        <w:t xml:space="preserve">ediatric </w:t>
      </w:r>
      <w:r w:rsidR="0050118A" w:rsidRPr="00E17D79">
        <w:rPr>
          <w:rFonts w:ascii="Book Antiqua" w:hAnsi="Book Antiqua" w:cs="Arial"/>
          <w:lang w:val="en-GB"/>
        </w:rPr>
        <w:t>HLH</w:t>
      </w:r>
      <w:r w:rsidR="004665B3" w:rsidRPr="00E17D79">
        <w:rPr>
          <w:rFonts w:ascii="Book Antiqua" w:hAnsi="Book Antiqua" w:cs="Arial"/>
          <w:lang w:val="en-GB"/>
        </w:rPr>
        <w:t>,</w:t>
      </w:r>
      <w:r w:rsidR="00E536BA" w:rsidRPr="00E17D79">
        <w:rPr>
          <w:rFonts w:ascii="Book Antiqua" w:hAnsi="Book Antiqua" w:cs="Arial"/>
          <w:lang w:val="en-GB"/>
        </w:rPr>
        <w:t xml:space="preserve"> </w:t>
      </w:r>
      <w:r w:rsidR="00D9321B" w:rsidRPr="00E17D79">
        <w:rPr>
          <w:rFonts w:ascii="Book Antiqua" w:hAnsi="Book Antiqua" w:cs="Arial"/>
          <w:lang w:val="en-GB"/>
        </w:rPr>
        <w:t>but</w:t>
      </w:r>
      <w:r w:rsidR="00C36A1D" w:rsidRPr="00E17D79">
        <w:rPr>
          <w:rFonts w:ascii="Book Antiqua" w:hAnsi="Book Antiqua" w:cs="Arial"/>
          <w:lang w:val="en-GB"/>
        </w:rPr>
        <w:t xml:space="preserve"> have </w:t>
      </w:r>
      <w:r w:rsidRPr="00E17D79">
        <w:rPr>
          <w:rFonts w:ascii="Book Antiqua" w:hAnsi="Book Antiqua" w:cs="Arial"/>
          <w:lang w:val="en-GB"/>
        </w:rPr>
        <w:t xml:space="preserve">also </w:t>
      </w:r>
      <w:r w:rsidR="00C36A1D" w:rsidRPr="00E17D79">
        <w:rPr>
          <w:rFonts w:ascii="Book Antiqua" w:hAnsi="Book Antiqua" w:cs="Arial"/>
          <w:lang w:val="en-GB"/>
        </w:rPr>
        <w:t xml:space="preserve">been </w:t>
      </w:r>
      <w:r w:rsidRPr="00E17D79">
        <w:rPr>
          <w:rFonts w:ascii="Book Antiqua" w:hAnsi="Book Antiqua" w:cs="Arial"/>
          <w:lang w:val="en-GB"/>
        </w:rPr>
        <w:t xml:space="preserve">applied </w:t>
      </w:r>
      <w:r w:rsidR="00345AAF" w:rsidRPr="00E17D79">
        <w:rPr>
          <w:rFonts w:ascii="Book Antiqua" w:hAnsi="Book Antiqua" w:cs="Arial"/>
          <w:lang w:val="en-GB"/>
        </w:rPr>
        <w:t xml:space="preserve">- </w:t>
      </w:r>
      <w:r w:rsidR="00D33F40" w:rsidRPr="00E17D79">
        <w:rPr>
          <w:rFonts w:ascii="Book Antiqua" w:hAnsi="Book Antiqua" w:cs="Arial"/>
          <w:lang w:val="en-GB"/>
        </w:rPr>
        <w:t>al</w:t>
      </w:r>
      <w:r w:rsidR="00851D96" w:rsidRPr="00E17D79">
        <w:rPr>
          <w:rFonts w:ascii="Book Antiqua" w:hAnsi="Book Antiqua" w:cs="Arial"/>
          <w:lang w:val="en-GB"/>
        </w:rPr>
        <w:t xml:space="preserve">though not </w:t>
      </w:r>
      <w:r w:rsidR="00851D96" w:rsidRPr="00E17D79">
        <w:rPr>
          <w:rFonts w:ascii="Book Antiqua" w:hAnsi="Book Antiqua" w:cs="Arial"/>
          <w:lang w:val="en-GB"/>
        </w:rPr>
        <w:lastRenderedPageBreak/>
        <w:t>validated</w:t>
      </w:r>
      <w:r w:rsidR="00345AAF" w:rsidRPr="00E17D79">
        <w:rPr>
          <w:rFonts w:ascii="Book Antiqua" w:hAnsi="Book Antiqua" w:cs="Arial"/>
          <w:lang w:val="en-GB"/>
        </w:rPr>
        <w:t xml:space="preserve"> </w:t>
      </w:r>
      <w:r w:rsidR="00851D96" w:rsidRPr="00E17D79">
        <w:rPr>
          <w:rFonts w:ascii="Book Antiqua" w:hAnsi="Book Antiqua" w:cs="Arial"/>
          <w:lang w:val="en-GB"/>
        </w:rPr>
        <w:t xml:space="preserve">- in adult patients with </w:t>
      </w:r>
      <w:r w:rsidRPr="00E17D79">
        <w:rPr>
          <w:rFonts w:ascii="Book Antiqua" w:hAnsi="Book Antiqua" w:cs="Arial"/>
          <w:lang w:val="en-GB"/>
        </w:rPr>
        <w:t>sHLH</w:t>
      </w:r>
      <w:r w:rsidR="00C36A1D" w:rsidRPr="00E17D79">
        <w:rPr>
          <w:rFonts w:ascii="Book Antiqua" w:hAnsi="Book Antiqua" w:cs="Arial"/>
          <w:lang w:val="en-GB"/>
        </w:rPr>
        <w:t xml:space="preserve">. </w:t>
      </w:r>
      <w:r w:rsidR="00C96F10" w:rsidRPr="00E17D79">
        <w:rPr>
          <w:rFonts w:ascii="Book Antiqua" w:hAnsi="Book Antiqua" w:cs="Arial"/>
          <w:lang w:val="en-GB"/>
        </w:rPr>
        <w:t>During the study period</w:t>
      </w:r>
      <w:r w:rsidR="009E0B24" w:rsidRPr="00E17D79">
        <w:rPr>
          <w:rFonts w:ascii="Book Antiqua" w:hAnsi="Book Antiqua" w:cs="Arial"/>
          <w:lang w:val="en-GB"/>
        </w:rPr>
        <w:t xml:space="preserve"> </w:t>
      </w:r>
      <w:r w:rsidR="00863C4C" w:rsidRPr="00E17D79">
        <w:rPr>
          <w:rFonts w:ascii="Book Antiqua" w:hAnsi="Book Antiqua" w:cs="Arial"/>
          <w:lang w:val="en-GB"/>
        </w:rPr>
        <w:t>there</w:t>
      </w:r>
      <w:r w:rsidR="009E0B24" w:rsidRPr="00E17D79">
        <w:rPr>
          <w:rFonts w:ascii="Book Antiqua" w:hAnsi="Book Antiqua" w:cs="Arial"/>
          <w:lang w:val="en-GB"/>
        </w:rPr>
        <w:t xml:space="preserve"> </w:t>
      </w:r>
      <w:r w:rsidR="00C96F10" w:rsidRPr="00E17D79">
        <w:rPr>
          <w:rFonts w:ascii="Book Antiqua" w:hAnsi="Book Antiqua" w:cs="Arial"/>
          <w:lang w:val="en-GB"/>
        </w:rPr>
        <w:t>were</w:t>
      </w:r>
      <w:r w:rsidR="00C36A1D" w:rsidRPr="00E17D79">
        <w:rPr>
          <w:rFonts w:ascii="Book Antiqua" w:hAnsi="Book Antiqua" w:cs="Arial"/>
          <w:lang w:val="en-GB"/>
        </w:rPr>
        <w:t xml:space="preserve"> no </w:t>
      </w:r>
      <w:r w:rsidR="00B469BA" w:rsidRPr="00E17D79">
        <w:rPr>
          <w:rFonts w:ascii="Book Antiqua" w:hAnsi="Book Antiqua" w:cs="Arial"/>
          <w:lang w:val="en-GB"/>
        </w:rPr>
        <w:t xml:space="preserve">internationally </w:t>
      </w:r>
      <w:r w:rsidR="00C36A1D" w:rsidRPr="00E17D79">
        <w:rPr>
          <w:rFonts w:ascii="Book Antiqua" w:hAnsi="Book Antiqua" w:cs="Arial"/>
          <w:lang w:val="en-GB"/>
        </w:rPr>
        <w:t xml:space="preserve">accepted </w:t>
      </w:r>
      <w:r w:rsidR="00610818" w:rsidRPr="00E17D79">
        <w:rPr>
          <w:rFonts w:ascii="Book Antiqua" w:hAnsi="Book Antiqua" w:cs="Arial"/>
          <w:lang w:val="en-GB"/>
        </w:rPr>
        <w:t xml:space="preserve">and validated </w:t>
      </w:r>
      <w:r w:rsidR="00C36A1D" w:rsidRPr="00E17D79">
        <w:rPr>
          <w:rFonts w:ascii="Book Antiqua" w:hAnsi="Book Antiqua" w:cs="Arial"/>
          <w:lang w:val="en-GB"/>
        </w:rPr>
        <w:t xml:space="preserve">criteria for </w:t>
      </w:r>
      <w:r w:rsidR="000344EB" w:rsidRPr="00E17D79">
        <w:rPr>
          <w:rFonts w:ascii="Book Antiqua" w:hAnsi="Book Antiqua" w:cs="Arial"/>
          <w:lang w:val="en-GB"/>
        </w:rPr>
        <w:t xml:space="preserve">the diagnosis of </w:t>
      </w:r>
      <w:r w:rsidR="0050118A" w:rsidRPr="00E17D79">
        <w:rPr>
          <w:rFonts w:ascii="Book Antiqua" w:hAnsi="Book Antiqua" w:cs="Arial"/>
          <w:lang w:val="en-GB"/>
        </w:rPr>
        <w:t>sHLH</w:t>
      </w:r>
      <w:r w:rsidR="00C36A1D" w:rsidRPr="00E17D79">
        <w:rPr>
          <w:rFonts w:ascii="Book Antiqua" w:hAnsi="Book Antiqua" w:cs="Arial"/>
          <w:lang w:val="en-GB"/>
        </w:rPr>
        <w:t xml:space="preserve"> in the adult population</w:t>
      </w:r>
      <w:r w:rsidR="00D510A0" w:rsidRPr="00E17D79">
        <w:rPr>
          <w:rFonts w:ascii="Book Antiqua" w:hAnsi="Book Antiqua" w:cs="Arial"/>
          <w:lang w:val="en-GB"/>
        </w:rPr>
        <w:t xml:space="preserve"> and therefore,</w:t>
      </w:r>
      <w:r w:rsidR="00E536BA" w:rsidRPr="00E17D79">
        <w:rPr>
          <w:rFonts w:ascii="Book Antiqua" w:hAnsi="Book Antiqua" w:cs="Arial"/>
          <w:lang w:val="en-GB"/>
        </w:rPr>
        <w:t xml:space="preserve"> </w:t>
      </w:r>
      <w:r w:rsidR="00D510A0" w:rsidRPr="00E17D79">
        <w:rPr>
          <w:rFonts w:ascii="Book Antiqua" w:hAnsi="Book Antiqua" w:cs="Arial"/>
          <w:lang w:val="en-GB"/>
        </w:rPr>
        <w:t>a</w:t>
      </w:r>
      <w:r w:rsidR="00DB7F01" w:rsidRPr="00E17D79">
        <w:rPr>
          <w:rFonts w:ascii="Book Antiqua" w:hAnsi="Book Antiqua" w:cs="Arial"/>
          <w:lang w:val="en-GB"/>
        </w:rPr>
        <w:t xml:space="preserve"> timely diagnosis </w:t>
      </w:r>
      <w:r w:rsidR="00375CCC" w:rsidRPr="00E17D79">
        <w:rPr>
          <w:rFonts w:ascii="Book Antiqua" w:hAnsi="Book Antiqua" w:cs="Arial"/>
          <w:lang w:val="en-GB"/>
        </w:rPr>
        <w:t>which is crucial for remissio</w:t>
      </w:r>
      <w:r w:rsidR="00D55C76" w:rsidRPr="00E17D79">
        <w:rPr>
          <w:rFonts w:ascii="Book Antiqua" w:hAnsi="Book Antiqua" w:cs="Arial"/>
          <w:lang w:val="en-GB"/>
        </w:rPr>
        <w:t>n and survival</w:t>
      </w:r>
      <w:r w:rsidR="00E536BA" w:rsidRPr="00E17D79">
        <w:rPr>
          <w:rFonts w:ascii="Book Antiqua" w:hAnsi="Book Antiqua" w:cs="Arial"/>
          <w:lang w:val="en-GB"/>
        </w:rPr>
        <w:t xml:space="preserve"> </w:t>
      </w:r>
      <w:r w:rsidR="00C96F10" w:rsidRPr="00E17D79">
        <w:rPr>
          <w:rFonts w:ascii="Book Antiqua" w:hAnsi="Book Antiqua" w:cs="Arial"/>
          <w:lang w:val="en-GB"/>
        </w:rPr>
        <w:t>was</w:t>
      </w:r>
      <w:r w:rsidR="00DB7F01" w:rsidRPr="00E17D79">
        <w:rPr>
          <w:rFonts w:ascii="Book Antiqua" w:hAnsi="Book Antiqua" w:cs="Arial"/>
          <w:lang w:val="en-GB"/>
        </w:rPr>
        <w:t xml:space="preserve"> challenging because of the rarity </w:t>
      </w:r>
      <w:r w:rsidRPr="00E17D79">
        <w:rPr>
          <w:rFonts w:ascii="Book Antiqua" w:hAnsi="Book Antiqua" w:cs="Arial"/>
          <w:lang w:val="en-GB"/>
        </w:rPr>
        <w:t xml:space="preserve">of </w:t>
      </w:r>
      <w:r w:rsidR="00E528DD" w:rsidRPr="00E17D79">
        <w:rPr>
          <w:rFonts w:ascii="Book Antiqua" w:hAnsi="Book Antiqua" w:cs="Arial"/>
          <w:lang w:val="en-GB"/>
        </w:rPr>
        <w:t>this syndrome</w:t>
      </w:r>
      <w:r w:rsidR="00DB7F01" w:rsidRPr="00E17D79">
        <w:rPr>
          <w:rFonts w:ascii="Book Antiqua" w:hAnsi="Book Antiqua" w:cs="Arial"/>
          <w:lang w:val="en-GB"/>
        </w:rPr>
        <w:t xml:space="preserve">, its </w:t>
      </w:r>
      <w:r w:rsidR="00D55C76" w:rsidRPr="00E17D79">
        <w:rPr>
          <w:rFonts w:ascii="Book Antiqua" w:hAnsi="Book Antiqua" w:cs="Arial"/>
          <w:lang w:val="en-GB"/>
        </w:rPr>
        <w:t>heterogeneous</w:t>
      </w:r>
      <w:r w:rsidR="00DB7F01" w:rsidRPr="00E17D79">
        <w:rPr>
          <w:rFonts w:ascii="Book Antiqua" w:hAnsi="Book Antiqua" w:cs="Arial"/>
          <w:lang w:val="en-GB"/>
        </w:rPr>
        <w:t xml:space="preserve"> presentation, and the time</w:t>
      </w:r>
      <w:r w:rsidR="004A5E3E" w:rsidRPr="00E17D79">
        <w:rPr>
          <w:rFonts w:ascii="Book Antiqua" w:hAnsi="Book Antiqua" w:cs="Arial"/>
          <w:lang w:val="en-GB"/>
        </w:rPr>
        <w:t xml:space="preserve"> and/or </w:t>
      </w:r>
      <w:r w:rsidR="00727240" w:rsidRPr="00E17D79">
        <w:rPr>
          <w:rFonts w:ascii="Book Antiqua" w:hAnsi="Book Antiqua" w:cs="Arial"/>
          <w:lang w:val="en-GB"/>
        </w:rPr>
        <w:t>availability</w:t>
      </w:r>
      <w:r w:rsidR="00DB7F01" w:rsidRPr="00E17D79">
        <w:rPr>
          <w:rFonts w:ascii="Book Antiqua" w:hAnsi="Book Antiqua" w:cs="Arial"/>
          <w:lang w:val="en-GB"/>
        </w:rPr>
        <w:t xml:space="preserve"> </w:t>
      </w:r>
      <w:r w:rsidR="00610818" w:rsidRPr="00E17D79">
        <w:rPr>
          <w:rFonts w:ascii="Book Antiqua" w:hAnsi="Book Antiqua" w:cs="Arial"/>
          <w:lang w:val="en-GB"/>
        </w:rPr>
        <w:t xml:space="preserve">which is </w:t>
      </w:r>
      <w:r w:rsidR="00DB7F01" w:rsidRPr="00E17D79">
        <w:rPr>
          <w:rFonts w:ascii="Book Antiqua" w:hAnsi="Book Antiqua" w:cs="Arial"/>
          <w:lang w:val="en-GB"/>
        </w:rPr>
        <w:t xml:space="preserve">required </w:t>
      </w:r>
      <w:r w:rsidR="00610818" w:rsidRPr="00E17D79">
        <w:rPr>
          <w:rFonts w:ascii="Book Antiqua" w:hAnsi="Book Antiqua" w:cs="Arial"/>
          <w:lang w:val="en-GB"/>
        </w:rPr>
        <w:t xml:space="preserve">to </w:t>
      </w:r>
      <w:r w:rsidR="00DB7F01" w:rsidRPr="00E17D79">
        <w:rPr>
          <w:rFonts w:ascii="Book Antiqua" w:hAnsi="Book Antiqua" w:cs="Arial"/>
          <w:lang w:val="en-GB"/>
        </w:rPr>
        <w:t xml:space="preserve">perform </w:t>
      </w:r>
      <w:r w:rsidR="004A5E3E" w:rsidRPr="00E17D79">
        <w:rPr>
          <w:rFonts w:ascii="Book Antiqua" w:hAnsi="Book Antiqua" w:cs="Arial"/>
          <w:lang w:val="en-GB"/>
        </w:rPr>
        <w:t xml:space="preserve">the </w:t>
      </w:r>
      <w:r w:rsidR="00DB7F01" w:rsidRPr="00E17D79">
        <w:rPr>
          <w:rFonts w:ascii="Book Antiqua" w:hAnsi="Book Antiqua" w:cs="Arial"/>
          <w:lang w:val="en-GB"/>
        </w:rPr>
        <w:t>diagnostic testing</w:t>
      </w:r>
      <w:r w:rsidR="00851D96" w:rsidRPr="00E17D79">
        <w:rPr>
          <w:rFonts w:ascii="Book Antiqua" w:hAnsi="Book Antiqua" w:cs="Arial"/>
          <w:vertAlign w:val="superscript"/>
          <w:lang w:val="en-GB"/>
        </w:rPr>
        <w:t>[18-21]</w:t>
      </w:r>
      <w:r w:rsidR="00DB7F01" w:rsidRPr="00E17D79">
        <w:rPr>
          <w:rFonts w:ascii="Book Antiqua" w:hAnsi="Book Antiqua" w:cs="Arial"/>
          <w:lang w:val="en-GB"/>
        </w:rPr>
        <w:t>.</w:t>
      </w:r>
      <w:r w:rsidR="00E536BA" w:rsidRPr="00E17D79">
        <w:rPr>
          <w:rFonts w:ascii="Book Antiqua" w:hAnsi="Book Antiqua" w:cs="Arial"/>
          <w:lang w:val="en-GB"/>
        </w:rPr>
        <w:t xml:space="preserve"> </w:t>
      </w:r>
      <w:r w:rsidR="0049541A" w:rsidRPr="00E17D79">
        <w:rPr>
          <w:rFonts w:ascii="Book Antiqua" w:hAnsi="Book Antiqua" w:cs="Arial"/>
          <w:lang w:val="en-GB"/>
        </w:rPr>
        <w:t>In any case</w:t>
      </w:r>
      <w:r w:rsidR="00536483" w:rsidRPr="00E17D79">
        <w:rPr>
          <w:rFonts w:ascii="Book Antiqua" w:hAnsi="Book Antiqua" w:cs="Arial"/>
          <w:lang w:val="en-GB"/>
        </w:rPr>
        <w:t>,</w:t>
      </w:r>
      <w:r w:rsidR="00E536BA" w:rsidRPr="00E17D79">
        <w:rPr>
          <w:rFonts w:ascii="Book Antiqua" w:hAnsi="Book Antiqua" w:cs="Arial"/>
          <w:lang w:val="en-GB"/>
        </w:rPr>
        <w:t xml:space="preserve"> </w:t>
      </w:r>
      <w:r w:rsidR="00536483" w:rsidRPr="00E17D79">
        <w:rPr>
          <w:rFonts w:ascii="Book Antiqua" w:hAnsi="Book Antiqua" w:cs="Arial"/>
          <w:lang w:val="en-GB"/>
        </w:rPr>
        <w:t xml:space="preserve">a </w:t>
      </w:r>
      <w:r w:rsidR="0049541A" w:rsidRPr="00E17D79">
        <w:rPr>
          <w:rFonts w:ascii="Book Antiqua" w:hAnsi="Book Antiqua" w:cs="Arial"/>
          <w:lang w:val="en-GB"/>
        </w:rPr>
        <w:t>high index of suspicion is necessary for the early diagnosis of this catastrophic syndrome</w:t>
      </w:r>
      <w:r w:rsidR="00BE07D1" w:rsidRPr="00E17D79">
        <w:rPr>
          <w:rFonts w:ascii="Book Antiqua" w:hAnsi="Book Antiqua" w:cs="Arial"/>
          <w:lang w:val="en-GB"/>
        </w:rPr>
        <w:t xml:space="preserve"> and treatment </w:t>
      </w:r>
      <w:r w:rsidR="00851D96" w:rsidRPr="00E17D79">
        <w:rPr>
          <w:rFonts w:ascii="Book Antiqua" w:hAnsi="Book Antiqua" w:cs="Arial"/>
          <w:lang w:val="en-GB"/>
        </w:rPr>
        <w:t>could potentially</w:t>
      </w:r>
      <w:r w:rsidR="00BE07D1" w:rsidRPr="00E17D79">
        <w:rPr>
          <w:rFonts w:ascii="Book Antiqua" w:hAnsi="Book Antiqua" w:cs="Arial"/>
          <w:lang w:val="en-GB"/>
        </w:rPr>
        <w:t xml:space="preserve"> </w:t>
      </w:r>
      <w:r w:rsidR="00851D96" w:rsidRPr="00E17D79">
        <w:rPr>
          <w:rFonts w:ascii="Book Antiqua" w:hAnsi="Book Antiqua" w:cs="Arial"/>
          <w:lang w:val="en-GB"/>
        </w:rPr>
        <w:t>be started</w:t>
      </w:r>
      <w:r w:rsidR="00BE07D1" w:rsidRPr="00E17D79">
        <w:rPr>
          <w:rFonts w:ascii="Book Antiqua" w:hAnsi="Book Antiqua" w:cs="Arial"/>
          <w:lang w:val="en-GB"/>
        </w:rPr>
        <w:t xml:space="preserve"> while awaiting </w:t>
      </w:r>
      <w:r w:rsidR="00E16005" w:rsidRPr="00E17D79">
        <w:rPr>
          <w:rFonts w:ascii="Book Antiqua" w:hAnsi="Book Antiqua" w:cs="Arial"/>
          <w:lang w:val="en-GB"/>
        </w:rPr>
        <w:t xml:space="preserve">either </w:t>
      </w:r>
      <w:r w:rsidR="00BE07D1" w:rsidRPr="00E17D79">
        <w:rPr>
          <w:rFonts w:ascii="Book Antiqua" w:hAnsi="Book Antiqua" w:cs="Arial"/>
          <w:lang w:val="en-GB"/>
        </w:rPr>
        <w:t>the results of</w:t>
      </w:r>
      <w:r w:rsidR="000140F4" w:rsidRPr="00E17D79">
        <w:rPr>
          <w:rFonts w:ascii="Book Antiqua" w:hAnsi="Book Antiqua" w:cs="Arial"/>
          <w:lang w:val="en-GB"/>
        </w:rPr>
        <w:t xml:space="preserve"> complex immunologic testing</w:t>
      </w:r>
      <w:r w:rsidR="00E16005" w:rsidRPr="00E17D79">
        <w:rPr>
          <w:rFonts w:ascii="Book Antiqua" w:hAnsi="Book Antiqua" w:cs="Arial"/>
          <w:lang w:val="en-GB"/>
        </w:rPr>
        <w:t xml:space="preserve"> or </w:t>
      </w:r>
      <w:r w:rsidR="002F135A" w:rsidRPr="00E17D79">
        <w:rPr>
          <w:rFonts w:ascii="Book Antiqua" w:hAnsi="Book Antiqua" w:cs="Arial"/>
          <w:lang w:val="en-GB"/>
        </w:rPr>
        <w:t xml:space="preserve">until </w:t>
      </w:r>
      <w:r w:rsidR="00E16005" w:rsidRPr="00E17D79">
        <w:rPr>
          <w:rFonts w:ascii="Book Antiqua" w:hAnsi="Book Antiqua" w:cs="Arial"/>
          <w:lang w:val="en-GB"/>
        </w:rPr>
        <w:t xml:space="preserve">the </w:t>
      </w:r>
      <w:r w:rsidR="00D33F40" w:rsidRPr="00E17D79">
        <w:rPr>
          <w:rFonts w:ascii="Book Antiqua" w:hAnsi="Book Antiqua" w:cs="Arial"/>
          <w:lang w:val="en-GB"/>
        </w:rPr>
        <w:t xml:space="preserve">fulfilment of </w:t>
      </w:r>
      <w:r w:rsidR="00C96F10" w:rsidRPr="00E17D79">
        <w:rPr>
          <w:rFonts w:ascii="Book Antiqua" w:hAnsi="Book Antiqua" w:cs="Arial"/>
          <w:lang w:val="en-GB"/>
        </w:rPr>
        <w:t>at least</w:t>
      </w:r>
      <w:r w:rsidR="00D33F40" w:rsidRPr="00E17D79">
        <w:rPr>
          <w:rFonts w:ascii="Book Antiqua" w:hAnsi="Book Antiqua" w:cs="Arial"/>
          <w:lang w:val="en-GB"/>
        </w:rPr>
        <w:t xml:space="preserve"> 5 out of </w:t>
      </w:r>
      <w:r w:rsidR="00E16005" w:rsidRPr="00E17D79">
        <w:rPr>
          <w:rFonts w:ascii="Book Antiqua" w:hAnsi="Book Antiqua" w:cs="Arial"/>
          <w:lang w:val="en-GB"/>
        </w:rPr>
        <w:t>8</w:t>
      </w:r>
      <w:r w:rsidR="00D33F40" w:rsidRPr="00E17D79">
        <w:rPr>
          <w:rFonts w:ascii="Book Antiqua" w:hAnsi="Book Antiqua" w:cs="Arial"/>
          <w:lang w:val="en-GB"/>
        </w:rPr>
        <w:t xml:space="preserve"> </w:t>
      </w:r>
      <w:r w:rsidR="00E16005" w:rsidRPr="00E17D79">
        <w:rPr>
          <w:rFonts w:ascii="Book Antiqua" w:hAnsi="Book Antiqua" w:cs="Arial"/>
          <w:lang w:val="en-GB"/>
        </w:rPr>
        <w:t>HLH-2004 diagnostic criteria</w:t>
      </w:r>
      <w:r w:rsidR="00BD1883" w:rsidRPr="00E17D79">
        <w:rPr>
          <w:rFonts w:ascii="Book Antiqua" w:hAnsi="Book Antiqua" w:cs="Arial"/>
          <w:vertAlign w:val="superscript"/>
          <w:lang w:val="en-GB"/>
        </w:rPr>
        <w:t>[22]</w:t>
      </w:r>
      <w:r w:rsidR="0049541A" w:rsidRPr="00E17D79">
        <w:rPr>
          <w:rFonts w:ascii="Book Antiqua" w:hAnsi="Book Antiqua" w:cs="Arial"/>
          <w:lang w:val="en-GB"/>
        </w:rPr>
        <w:t>.</w:t>
      </w:r>
      <w:r w:rsidR="000344EB" w:rsidRPr="00E17D79">
        <w:rPr>
          <w:rFonts w:ascii="Book Antiqua" w:hAnsi="Book Antiqua" w:cs="Arial"/>
          <w:lang w:val="en-GB"/>
        </w:rPr>
        <w:t xml:space="preserve"> Of note, soluble CD25 </w:t>
      </w:r>
      <w:r w:rsidR="00CD636E" w:rsidRPr="00E17D79">
        <w:rPr>
          <w:rFonts w:ascii="Book Antiqua" w:hAnsi="Book Antiqua" w:cs="Arial"/>
          <w:lang w:val="en-GB"/>
        </w:rPr>
        <w:t xml:space="preserve">levels </w:t>
      </w:r>
      <w:r w:rsidR="000344EB" w:rsidRPr="00E17D79">
        <w:rPr>
          <w:rFonts w:ascii="Book Antiqua" w:hAnsi="Book Antiqua" w:cs="Arial"/>
          <w:lang w:val="en-GB"/>
        </w:rPr>
        <w:t>and NK cell activity cannot be determined in every-day clinical practice in our hospital which is also common for many other institutes</w:t>
      </w:r>
      <w:r w:rsidR="000344EB" w:rsidRPr="00E17D79">
        <w:rPr>
          <w:rFonts w:ascii="Book Antiqua" w:hAnsi="Book Antiqua" w:cs="Arial"/>
          <w:vertAlign w:val="superscript"/>
          <w:lang w:val="en-GB"/>
        </w:rPr>
        <w:t>[6-10]</w:t>
      </w:r>
      <w:r w:rsidR="000344EB" w:rsidRPr="00E17D79">
        <w:rPr>
          <w:rFonts w:ascii="Book Antiqua" w:hAnsi="Book Antiqua" w:cs="Arial"/>
          <w:lang w:val="en-GB"/>
        </w:rPr>
        <w:t>. Thus, our clinical decision for the diagnosis of sHLH had to be based on the rest 6/8 HLH-2004 criteria.</w:t>
      </w:r>
    </w:p>
    <w:p w14:paraId="249918E8" w14:textId="09A1A5D2" w:rsidR="002A75B2" w:rsidRPr="00E17D79" w:rsidRDefault="00E23364" w:rsidP="00E17D79">
      <w:pPr>
        <w:spacing w:line="360" w:lineRule="auto"/>
        <w:ind w:firstLineChars="100" w:firstLine="240"/>
        <w:jc w:val="both"/>
        <w:rPr>
          <w:rFonts w:ascii="Book Antiqua" w:hAnsi="Book Antiqua" w:cs="Arial"/>
          <w:color w:val="FF0000"/>
          <w:lang w:val="en-GB"/>
        </w:rPr>
      </w:pPr>
      <w:r w:rsidRPr="00E17D79">
        <w:rPr>
          <w:rFonts w:ascii="Book Antiqua" w:hAnsi="Book Antiqua" w:cs="Arial"/>
          <w:lang w:val="en-GB"/>
        </w:rPr>
        <w:t xml:space="preserve">Considering </w:t>
      </w:r>
      <w:r w:rsidR="00924F0C" w:rsidRPr="00E17D79">
        <w:rPr>
          <w:rFonts w:ascii="Book Antiqua" w:hAnsi="Book Antiqua" w:cs="Arial"/>
          <w:lang w:val="en-GB"/>
        </w:rPr>
        <w:t>infections,</w:t>
      </w:r>
      <w:r w:rsidRPr="00E17D79">
        <w:rPr>
          <w:rFonts w:ascii="Book Antiqua" w:hAnsi="Book Antiqua" w:cs="Arial"/>
          <w:lang w:val="en-GB"/>
        </w:rPr>
        <w:t xml:space="preserve"> it has been shown that many </w:t>
      </w:r>
      <w:r w:rsidR="00E92949" w:rsidRPr="00E17D79">
        <w:rPr>
          <w:rFonts w:ascii="Book Antiqua" w:hAnsi="Book Antiqua" w:cs="Arial"/>
          <w:lang w:val="en-GB"/>
        </w:rPr>
        <w:t>infectio</w:t>
      </w:r>
      <w:r w:rsidR="003E0343" w:rsidRPr="00E17D79">
        <w:rPr>
          <w:rFonts w:ascii="Book Antiqua" w:hAnsi="Book Antiqua" w:cs="Arial"/>
          <w:lang w:val="en-GB"/>
        </w:rPr>
        <w:t>us agents</w:t>
      </w:r>
      <w:r w:rsidRPr="00E17D79">
        <w:rPr>
          <w:rFonts w:ascii="Book Antiqua" w:hAnsi="Book Antiqua" w:cs="Arial"/>
          <w:lang w:val="en-GB"/>
        </w:rPr>
        <w:t xml:space="preserve"> can act </w:t>
      </w:r>
      <w:r w:rsidR="00E92949" w:rsidRPr="00E17D79">
        <w:rPr>
          <w:rFonts w:ascii="Book Antiqua" w:hAnsi="Book Antiqua" w:cs="Arial"/>
          <w:lang w:val="en-GB"/>
        </w:rPr>
        <w:t>as trigger</w:t>
      </w:r>
      <w:r w:rsidR="004A5E3E" w:rsidRPr="00E17D79">
        <w:rPr>
          <w:rFonts w:ascii="Book Antiqua" w:hAnsi="Book Antiqua" w:cs="Arial"/>
          <w:lang w:val="en-GB"/>
        </w:rPr>
        <w:t>ing</w:t>
      </w:r>
      <w:r w:rsidRPr="00E17D79">
        <w:rPr>
          <w:rFonts w:ascii="Book Antiqua" w:hAnsi="Book Antiqua" w:cs="Arial"/>
          <w:lang w:val="en-GB"/>
        </w:rPr>
        <w:t xml:space="preserve"> </w:t>
      </w:r>
      <w:r w:rsidR="004A5E3E" w:rsidRPr="00E17D79">
        <w:rPr>
          <w:rFonts w:ascii="Book Antiqua" w:hAnsi="Book Antiqua" w:cs="Arial"/>
          <w:lang w:val="en-GB"/>
        </w:rPr>
        <w:t xml:space="preserve">factors </w:t>
      </w:r>
      <w:r w:rsidRPr="00E17D79">
        <w:rPr>
          <w:rFonts w:ascii="Book Antiqua" w:hAnsi="Book Antiqua" w:cs="Arial"/>
          <w:lang w:val="en-GB"/>
        </w:rPr>
        <w:t xml:space="preserve">for </w:t>
      </w:r>
      <w:r w:rsidR="000344EB" w:rsidRPr="00E17D79">
        <w:rPr>
          <w:rFonts w:ascii="Book Antiqua" w:hAnsi="Book Antiqua" w:cs="Arial"/>
          <w:lang w:val="en-GB"/>
        </w:rPr>
        <w:t xml:space="preserve">the development of </w:t>
      </w:r>
      <w:r w:rsidRPr="00E17D79">
        <w:rPr>
          <w:rFonts w:ascii="Book Antiqua" w:hAnsi="Book Antiqua" w:cs="Arial"/>
          <w:lang w:val="en-GB"/>
        </w:rPr>
        <w:t>sHLH</w:t>
      </w:r>
      <w:r w:rsidR="00E92949" w:rsidRPr="00E17D79">
        <w:rPr>
          <w:rFonts w:ascii="Book Antiqua" w:hAnsi="Book Antiqua" w:cs="Arial"/>
          <w:lang w:val="en-GB"/>
        </w:rPr>
        <w:t xml:space="preserve">, including </w:t>
      </w:r>
      <w:r w:rsidR="003E0343" w:rsidRPr="00E17D79">
        <w:rPr>
          <w:rFonts w:ascii="Book Antiqua" w:hAnsi="Book Antiqua" w:cs="Arial"/>
          <w:lang w:val="en-GB"/>
        </w:rPr>
        <w:t>viruses, bacteria, fungi and parasites</w:t>
      </w:r>
      <w:r w:rsidR="007C4F78" w:rsidRPr="00E17D79">
        <w:rPr>
          <w:rFonts w:ascii="Book Antiqua" w:hAnsi="Book Antiqua" w:cs="Arial"/>
          <w:vertAlign w:val="superscript"/>
          <w:lang w:val="en-GB"/>
        </w:rPr>
        <w:t>[22]</w:t>
      </w:r>
      <w:r w:rsidR="003E0343" w:rsidRPr="00E17D79">
        <w:rPr>
          <w:rFonts w:ascii="Book Antiqua" w:hAnsi="Book Antiqua" w:cs="Arial"/>
          <w:lang w:val="en-GB"/>
        </w:rPr>
        <w:t>.</w:t>
      </w:r>
      <w:r w:rsidR="00956082" w:rsidRPr="00E17D79">
        <w:rPr>
          <w:rFonts w:ascii="Book Antiqua" w:hAnsi="Book Antiqua" w:cs="Arial"/>
          <w:lang w:val="en-GB"/>
        </w:rPr>
        <w:t xml:space="preserve"> The most common underlying infection </w:t>
      </w:r>
      <w:r w:rsidR="000E6FA2" w:rsidRPr="00E17D79">
        <w:rPr>
          <w:rFonts w:ascii="Book Antiqua" w:hAnsi="Book Antiqua" w:cs="Arial"/>
          <w:lang w:val="en-GB"/>
        </w:rPr>
        <w:t>in our cohort</w:t>
      </w:r>
      <w:r w:rsidR="00D33F40" w:rsidRPr="00E17D79">
        <w:rPr>
          <w:rFonts w:ascii="Book Antiqua" w:hAnsi="Book Antiqua" w:cs="Arial"/>
          <w:lang w:val="en-GB"/>
        </w:rPr>
        <w:t xml:space="preserve"> </w:t>
      </w:r>
      <w:r w:rsidR="00956082" w:rsidRPr="00E17D79">
        <w:rPr>
          <w:rFonts w:ascii="Book Antiqua" w:hAnsi="Book Antiqua" w:cs="Arial"/>
          <w:lang w:val="en-GB"/>
        </w:rPr>
        <w:t xml:space="preserve">was </w:t>
      </w:r>
      <w:r w:rsidR="003337D2" w:rsidRPr="00E17D79">
        <w:rPr>
          <w:rFonts w:ascii="Book Antiqua" w:hAnsi="Book Antiqua" w:cs="Arial"/>
          <w:lang w:val="en-GB"/>
        </w:rPr>
        <w:t>VL</w:t>
      </w:r>
      <w:r w:rsidR="00956082" w:rsidRPr="00E17D79">
        <w:rPr>
          <w:rFonts w:ascii="Book Antiqua" w:hAnsi="Book Antiqua" w:cs="Arial"/>
          <w:lang w:val="en-GB"/>
        </w:rPr>
        <w:t xml:space="preserve"> w</w:t>
      </w:r>
      <w:r w:rsidR="00E05E58" w:rsidRPr="00E17D79">
        <w:rPr>
          <w:rFonts w:ascii="Book Antiqua" w:hAnsi="Book Antiqua" w:cs="Arial"/>
          <w:lang w:val="en-GB"/>
        </w:rPr>
        <w:t>hich is endemic in our country</w:t>
      </w:r>
      <w:r w:rsidR="00E05E58" w:rsidRPr="00E17D79">
        <w:rPr>
          <w:rFonts w:ascii="Book Antiqua" w:hAnsi="Book Antiqua" w:cs="Arial"/>
          <w:vertAlign w:val="superscript"/>
          <w:lang w:val="en-GB"/>
        </w:rPr>
        <w:t>[</w:t>
      </w:r>
      <w:r w:rsidR="000E6FA2" w:rsidRPr="00E17D79">
        <w:rPr>
          <w:rFonts w:ascii="Book Antiqua" w:hAnsi="Book Antiqua" w:cs="Arial"/>
          <w:vertAlign w:val="superscript"/>
          <w:lang w:val="en-GB"/>
        </w:rPr>
        <w:t>23-25</w:t>
      </w:r>
      <w:r w:rsidR="00E05E58" w:rsidRPr="00E17D79">
        <w:rPr>
          <w:rFonts w:ascii="Book Antiqua" w:hAnsi="Book Antiqua" w:cs="Arial"/>
          <w:vertAlign w:val="superscript"/>
          <w:lang w:val="en-GB"/>
        </w:rPr>
        <w:t>]</w:t>
      </w:r>
      <w:r w:rsidR="000344EB" w:rsidRPr="00E17D79">
        <w:rPr>
          <w:rFonts w:ascii="Book Antiqua" w:hAnsi="Book Antiqua" w:cs="Arial"/>
          <w:lang w:val="en-GB"/>
        </w:rPr>
        <w:t>.</w:t>
      </w:r>
      <w:r w:rsidR="00D33F40" w:rsidRPr="00E17D79">
        <w:rPr>
          <w:rFonts w:ascii="Book Antiqua" w:hAnsi="Book Antiqua" w:cs="Arial"/>
          <w:vertAlign w:val="superscript"/>
          <w:lang w:val="en-GB"/>
        </w:rPr>
        <w:t xml:space="preserve"> </w:t>
      </w:r>
      <w:r w:rsidR="000344EB" w:rsidRPr="00E17D79">
        <w:rPr>
          <w:rFonts w:ascii="Book Antiqua" w:hAnsi="Book Antiqua" w:cs="Arial"/>
          <w:lang w:val="en-GB"/>
        </w:rPr>
        <w:t>T</w:t>
      </w:r>
      <w:r w:rsidR="00D33F40" w:rsidRPr="00E17D79">
        <w:rPr>
          <w:rFonts w:ascii="Book Antiqua" w:hAnsi="Book Antiqua" w:cs="Arial"/>
          <w:lang w:val="en-GB"/>
        </w:rPr>
        <w:t xml:space="preserve">herefore, it </w:t>
      </w:r>
      <w:r w:rsidR="00301287" w:rsidRPr="00E17D79">
        <w:rPr>
          <w:rFonts w:ascii="Book Antiqua" w:hAnsi="Book Antiqua" w:cs="Arial"/>
          <w:lang w:val="en-GB"/>
        </w:rPr>
        <w:t xml:space="preserve">should be </w:t>
      </w:r>
      <w:r w:rsidR="00D33F40" w:rsidRPr="00E17D79">
        <w:rPr>
          <w:rFonts w:ascii="Book Antiqua" w:hAnsi="Book Antiqua" w:cs="Arial"/>
          <w:lang w:val="en-GB"/>
        </w:rPr>
        <w:t xml:space="preserve">always </w:t>
      </w:r>
      <w:r w:rsidR="00301287" w:rsidRPr="00E17D79">
        <w:rPr>
          <w:rFonts w:ascii="Book Antiqua" w:hAnsi="Book Antiqua" w:cs="Arial"/>
          <w:lang w:val="en-GB"/>
        </w:rPr>
        <w:t xml:space="preserve">investigated in patients with </w:t>
      </w:r>
      <w:r w:rsidR="0050118A" w:rsidRPr="00E17D79">
        <w:rPr>
          <w:rFonts w:ascii="Book Antiqua" w:hAnsi="Book Antiqua" w:cs="Arial"/>
          <w:lang w:val="en-GB"/>
        </w:rPr>
        <w:t>sHLH</w:t>
      </w:r>
      <w:r w:rsidR="00246ADE" w:rsidRPr="00E17D79">
        <w:rPr>
          <w:rFonts w:ascii="Book Antiqua" w:hAnsi="Book Antiqua" w:cs="Arial"/>
          <w:lang w:val="en-GB"/>
        </w:rPr>
        <w:t xml:space="preserve"> </w:t>
      </w:r>
      <w:r w:rsidR="00D33F40" w:rsidRPr="00E17D79">
        <w:rPr>
          <w:rFonts w:ascii="Book Antiqua" w:hAnsi="Book Antiqua" w:cs="Arial"/>
          <w:lang w:val="en-GB"/>
        </w:rPr>
        <w:t>from</w:t>
      </w:r>
      <w:r w:rsidR="00246ADE" w:rsidRPr="00E17D79">
        <w:rPr>
          <w:rFonts w:ascii="Book Antiqua" w:hAnsi="Book Antiqua" w:cs="Arial"/>
          <w:lang w:val="en-GB"/>
        </w:rPr>
        <w:t xml:space="preserve"> endemic areas</w:t>
      </w:r>
      <w:r w:rsidR="00115DD0" w:rsidRPr="00E17D79">
        <w:rPr>
          <w:rFonts w:ascii="Book Antiqua" w:hAnsi="Book Antiqua" w:cs="Arial"/>
          <w:lang w:val="en-GB"/>
        </w:rPr>
        <w:t xml:space="preserve"> such as </w:t>
      </w:r>
      <w:r w:rsidR="00D33F40" w:rsidRPr="00E17D79">
        <w:rPr>
          <w:rFonts w:ascii="Book Antiqua" w:hAnsi="Book Antiqua" w:cs="Arial"/>
          <w:lang w:val="en-GB"/>
        </w:rPr>
        <w:t xml:space="preserve">the </w:t>
      </w:r>
      <w:r w:rsidR="00115DD0" w:rsidRPr="00E17D79">
        <w:rPr>
          <w:rFonts w:ascii="Book Antiqua" w:hAnsi="Book Antiqua" w:cs="Arial"/>
          <w:lang w:val="en-GB"/>
        </w:rPr>
        <w:t>Mediterranean</w:t>
      </w:r>
      <w:r w:rsidR="00D33F40" w:rsidRPr="00E17D79">
        <w:rPr>
          <w:rFonts w:ascii="Book Antiqua" w:hAnsi="Book Antiqua" w:cs="Arial"/>
          <w:lang w:val="en-GB"/>
        </w:rPr>
        <w:t xml:space="preserve"> </w:t>
      </w:r>
      <w:r w:rsidR="00115DD0" w:rsidRPr="00E17D79">
        <w:rPr>
          <w:rFonts w:ascii="Book Antiqua" w:hAnsi="Book Antiqua" w:cs="Arial"/>
          <w:lang w:val="en-GB"/>
        </w:rPr>
        <w:t>basin</w:t>
      </w:r>
      <w:r w:rsidR="00E05E58" w:rsidRPr="00E17D79">
        <w:rPr>
          <w:rFonts w:ascii="Book Antiqua" w:hAnsi="Book Antiqua" w:cs="Arial"/>
          <w:vertAlign w:val="superscript"/>
          <w:lang w:val="en-GB"/>
        </w:rPr>
        <w:t>[</w:t>
      </w:r>
      <w:r w:rsidR="00CE2B51" w:rsidRPr="00E17D79">
        <w:rPr>
          <w:rFonts w:ascii="Book Antiqua" w:hAnsi="Book Antiqua" w:cs="Arial"/>
          <w:vertAlign w:val="superscript"/>
          <w:lang w:val="en-GB"/>
        </w:rPr>
        <w:t>25,26</w:t>
      </w:r>
      <w:r w:rsidR="00E05E58" w:rsidRPr="00E17D79">
        <w:rPr>
          <w:rFonts w:ascii="Book Antiqua" w:hAnsi="Book Antiqua" w:cs="Arial"/>
          <w:vertAlign w:val="superscript"/>
          <w:lang w:val="en-GB"/>
        </w:rPr>
        <w:t>]</w:t>
      </w:r>
      <w:r w:rsidR="003450F2" w:rsidRPr="00E17D79">
        <w:rPr>
          <w:rFonts w:ascii="Book Antiqua" w:hAnsi="Book Antiqua" w:cs="Arial"/>
          <w:lang w:val="en-GB"/>
        </w:rPr>
        <w:t xml:space="preserve">. </w:t>
      </w:r>
      <w:r w:rsidR="00301287" w:rsidRPr="00E17D79">
        <w:rPr>
          <w:rFonts w:ascii="Book Antiqua" w:hAnsi="Book Antiqua" w:cs="Arial"/>
          <w:lang w:val="en-GB"/>
        </w:rPr>
        <w:t xml:space="preserve">A high clinical suspicion, as well as the use of modern, </w:t>
      </w:r>
      <w:r w:rsidR="00E50CF7" w:rsidRPr="00E17D79">
        <w:rPr>
          <w:rFonts w:ascii="Book Antiqua" w:hAnsi="Book Antiqua" w:cs="Arial"/>
          <w:lang w:val="en-GB"/>
        </w:rPr>
        <w:t>molecular</w:t>
      </w:r>
      <w:r w:rsidR="00D33F40" w:rsidRPr="00E17D79">
        <w:rPr>
          <w:rFonts w:ascii="Book Antiqua" w:hAnsi="Book Antiqua" w:cs="Arial"/>
          <w:lang w:val="en-GB"/>
        </w:rPr>
        <w:t xml:space="preserve"> </w:t>
      </w:r>
      <w:r w:rsidR="00301287" w:rsidRPr="00E17D79">
        <w:rPr>
          <w:rFonts w:ascii="Book Antiqua" w:hAnsi="Book Antiqua" w:cs="Arial"/>
          <w:lang w:val="en-GB"/>
        </w:rPr>
        <w:t xml:space="preserve">diagnostic </w:t>
      </w:r>
      <w:r w:rsidR="0050118A" w:rsidRPr="00E17D79">
        <w:rPr>
          <w:rFonts w:ascii="Book Antiqua" w:hAnsi="Book Antiqua" w:cs="Arial"/>
          <w:lang w:val="en-GB"/>
        </w:rPr>
        <w:t>techniques</w:t>
      </w:r>
      <w:r w:rsidR="00301287" w:rsidRPr="00E17D79">
        <w:rPr>
          <w:rFonts w:ascii="Book Antiqua" w:hAnsi="Book Antiqua" w:cs="Arial"/>
          <w:lang w:val="en-GB"/>
        </w:rPr>
        <w:t xml:space="preserve"> such as </w:t>
      </w:r>
      <w:r w:rsidR="00EF4461" w:rsidRPr="00E17D79">
        <w:rPr>
          <w:rFonts w:ascii="Book Antiqua" w:hAnsi="Book Antiqua" w:cs="Arial"/>
          <w:lang w:val="en-GB"/>
        </w:rPr>
        <w:t>polymerase chain reaction</w:t>
      </w:r>
      <w:r w:rsidR="00301287" w:rsidRPr="00E17D79">
        <w:rPr>
          <w:rFonts w:ascii="Book Antiqua" w:hAnsi="Book Antiqua" w:cs="Arial"/>
          <w:lang w:val="en-GB"/>
        </w:rPr>
        <w:t>, may lead to the early diagnosis of</w:t>
      </w:r>
      <w:r w:rsidR="00D33F40" w:rsidRPr="00E17D79">
        <w:rPr>
          <w:rFonts w:ascii="Book Antiqua" w:hAnsi="Book Antiqua" w:cs="Arial"/>
          <w:lang w:val="en-GB"/>
        </w:rPr>
        <w:t xml:space="preserve"> </w:t>
      </w:r>
      <w:r w:rsidR="00301287" w:rsidRPr="00E17D79">
        <w:rPr>
          <w:rFonts w:ascii="Book Antiqua" w:hAnsi="Book Antiqua" w:cs="Arial"/>
          <w:lang w:val="en-GB"/>
        </w:rPr>
        <w:t xml:space="preserve">VL-associated </w:t>
      </w:r>
      <w:r w:rsidR="009F5BE4" w:rsidRPr="00E17D79">
        <w:rPr>
          <w:rFonts w:ascii="Book Antiqua" w:hAnsi="Book Antiqua" w:cs="Arial"/>
          <w:lang w:val="en-GB"/>
        </w:rPr>
        <w:t>sHLH</w:t>
      </w:r>
      <w:r w:rsidR="00301287" w:rsidRPr="00E17D79">
        <w:rPr>
          <w:rFonts w:ascii="Book Antiqua" w:hAnsi="Book Antiqua" w:cs="Arial"/>
          <w:lang w:val="en-GB"/>
        </w:rPr>
        <w:t>, minimizing unnecessary hospitalization</w:t>
      </w:r>
      <w:r w:rsidR="00D33F40" w:rsidRPr="00E17D79">
        <w:rPr>
          <w:rFonts w:ascii="Book Antiqua" w:hAnsi="Book Antiqua" w:cs="Arial"/>
          <w:lang w:val="en-GB"/>
        </w:rPr>
        <w:t xml:space="preserve">, </w:t>
      </w:r>
      <w:r w:rsidR="00301287" w:rsidRPr="00E17D79">
        <w:rPr>
          <w:rFonts w:ascii="Book Antiqua" w:hAnsi="Book Antiqua" w:cs="Arial"/>
          <w:lang w:val="en-GB"/>
        </w:rPr>
        <w:t>potentially harmful investigations</w:t>
      </w:r>
      <w:r w:rsidR="00822298" w:rsidRPr="00E17D79">
        <w:rPr>
          <w:rFonts w:ascii="Book Antiqua" w:hAnsi="Book Antiqua" w:cs="Arial"/>
          <w:lang w:val="en-GB"/>
        </w:rPr>
        <w:t>, overtreatment</w:t>
      </w:r>
      <w:r w:rsidR="00301287" w:rsidRPr="00E17D79">
        <w:rPr>
          <w:rFonts w:ascii="Book Antiqua" w:hAnsi="Book Antiqua" w:cs="Arial"/>
          <w:lang w:val="en-GB"/>
        </w:rPr>
        <w:t xml:space="preserve"> and </w:t>
      </w:r>
      <w:r w:rsidR="00822298" w:rsidRPr="00E17D79">
        <w:rPr>
          <w:rFonts w:ascii="Book Antiqua" w:hAnsi="Book Antiqua" w:cs="Arial"/>
          <w:lang w:val="en-GB"/>
        </w:rPr>
        <w:t>unnecessary immunosuppression</w:t>
      </w:r>
      <w:r w:rsidR="00301287" w:rsidRPr="00E17D79">
        <w:rPr>
          <w:rFonts w:ascii="Book Antiqua" w:hAnsi="Book Antiqua" w:cs="Arial"/>
          <w:lang w:val="en-GB"/>
        </w:rPr>
        <w:t xml:space="preserve"> for </w:t>
      </w:r>
      <w:r w:rsidR="009F5BE4" w:rsidRPr="00E17D79">
        <w:rPr>
          <w:rFonts w:ascii="Book Antiqua" w:hAnsi="Book Antiqua" w:cs="Arial"/>
          <w:lang w:val="en-GB"/>
        </w:rPr>
        <w:t>sHLH</w:t>
      </w:r>
      <w:r w:rsidR="00FB3ABB" w:rsidRPr="00E17D79">
        <w:rPr>
          <w:rFonts w:ascii="Book Antiqua" w:hAnsi="Book Antiqua" w:cs="Arial"/>
          <w:vertAlign w:val="superscript"/>
          <w:lang w:val="en-GB"/>
        </w:rPr>
        <w:t>[23,25]</w:t>
      </w:r>
      <w:r w:rsidR="00E50CF7" w:rsidRPr="00E17D79">
        <w:rPr>
          <w:rFonts w:ascii="Book Antiqua" w:hAnsi="Book Antiqua" w:cs="Arial"/>
          <w:lang w:val="en-GB"/>
        </w:rPr>
        <w:t>.</w:t>
      </w:r>
      <w:r w:rsidR="00D33F40" w:rsidRPr="00E17D79">
        <w:rPr>
          <w:rFonts w:ascii="Book Antiqua" w:hAnsi="Book Antiqua" w:cs="Arial"/>
          <w:lang w:val="en-GB"/>
        </w:rPr>
        <w:t xml:space="preserve"> </w:t>
      </w:r>
      <w:r w:rsidR="00311827" w:rsidRPr="00E17D79">
        <w:rPr>
          <w:rFonts w:ascii="Book Antiqua" w:hAnsi="Book Antiqua" w:cs="Arial"/>
          <w:lang w:val="en-GB"/>
        </w:rPr>
        <w:t>Of interest, another zoono</w:t>
      </w:r>
      <w:r w:rsidR="006F62AA" w:rsidRPr="00E17D79">
        <w:rPr>
          <w:rFonts w:ascii="Book Antiqua" w:hAnsi="Book Antiqua" w:cs="Arial"/>
          <w:lang w:val="en-GB"/>
        </w:rPr>
        <w:t>tic disease</w:t>
      </w:r>
      <w:r w:rsidR="00822298" w:rsidRPr="00E17D79">
        <w:rPr>
          <w:rFonts w:ascii="Book Antiqua" w:hAnsi="Book Antiqua" w:cs="Arial"/>
          <w:lang w:val="en-GB"/>
        </w:rPr>
        <w:t xml:space="preserve"> </w:t>
      </w:r>
      <w:r w:rsidR="00311827" w:rsidRPr="00E17D79">
        <w:rPr>
          <w:rFonts w:ascii="Book Antiqua" w:hAnsi="Book Antiqua" w:cs="Arial"/>
          <w:lang w:val="en-GB"/>
        </w:rPr>
        <w:t>-Q fever</w:t>
      </w:r>
      <w:r w:rsidR="00646731" w:rsidRPr="00E17D79">
        <w:rPr>
          <w:rFonts w:ascii="Book Antiqua" w:hAnsi="Book Antiqua" w:cs="Arial"/>
          <w:lang w:val="en-GB"/>
        </w:rPr>
        <w:t xml:space="preserve">, which is </w:t>
      </w:r>
      <w:r w:rsidR="00B600B8" w:rsidRPr="00E17D79">
        <w:rPr>
          <w:rFonts w:ascii="Book Antiqua" w:hAnsi="Book Antiqua" w:cs="Arial"/>
          <w:lang w:val="en-GB"/>
        </w:rPr>
        <w:t>in general</w:t>
      </w:r>
      <w:r w:rsidR="00646731" w:rsidRPr="00E17D79">
        <w:rPr>
          <w:rFonts w:ascii="Book Antiqua" w:hAnsi="Book Antiqua" w:cs="Arial"/>
          <w:lang w:val="en-GB"/>
        </w:rPr>
        <w:t xml:space="preserve"> a very rare cause of sHLH</w:t>
      </w:r>
      <w:r w:rsidR="00646731" w:rsidRPr="00E17D79">
        <w:rPr>
          <w:rFonts w:ascii="Book Antiqua" w:hAnsi="Book Antiqua" w:cs="Arial"/>
          <w:vertAlign w:val="superscript"/>
          <w:lang w:val="en-GB"/>
        </w:rPr>
        <w:t>[27]</w:t>
      </w:r>
      <w:r w:rsidR="00345AAF" w:rsidRPr="00E17D79">
        <w:rPr>
          <w:rFonts w:ascii="Book Antiqua" w:hAnsi="Book Antiqua" w:cs="Arial"/>
          <w:vertAlign w:val="superscript"/>
          <w:lang w:val="en-GB"/>
        </w:rPr>
        <w:t xml:space="preserve"> </w:t>
      </w:r>
      <w:r w:rsidR="00170285" w:rsidRPr="00E17D79">
        <w:rPr>
          <w:rFonts w:ascii="Book Antiqua" w:hAnsi="Book Antiqua" w:cs="Arial"/>
          <w:lang w:val="en-GB"/>
        </w:rPr>
        <w:t>-</w:t>
      </w:r>
      <w:r w:rsidR="00822298" w:rsidRPr="00E17D79">
        <w:rPr>
          <w:rFonts w:ascii="Book Antiqua" w:hAnsi="Book Antiqua" w:cs="Arial"/>
          <w:lang w:val="en-GB"/>
        </w:rPr>
        <w:t xml:space="preserve"> </w:t>
      </w:r>
      <w:r w:rsidR="00646731" w:rsidRPr="00E17D79">
        <w:rPr>
          <w:rFonts w:ascii="Book Antiqua" w:hAnsi="Book Antiqua" w:cs="Arial"/>
          <w:lang w:val="en-GB"/>
        </w:rPr>
        <w:t>was also diagnosed in a few cases</w:t>
      </w:r>
      <w:r w:rsidR="0035626B" w:rsidRPr="00E17D79">
        <w:rPr>
          <w:rFonts w:ascii="Book Antiqua" w:hAnsi="Book Antiqua" w:cs="Arial"/>
          <w:lang w:val="en-GB"/>
        </w:rPr>
        <w:t xml:space="preserve"> in our cohort.</w:t>
      </w:r>
      <w:r w:rsidR="00822298" w:rsidRPr="00E17D79">
        <w:rPr>
          <w:rFonts w:ascii="Book Antiqua" w:hAnsi="Book Antiqua" w:cs="Arial"/>
          <w:lang w:val="en-GB"/>
        </w:rPr>
        <w:t xml:space="preserve"> </w:t>
      </w:r>
      <w:r w:rsidR="0035626B" w:rsidRPr="00E17D79">
        <w:rPr>
          <w:rFonts w:ascii="Book Antiqua" w:hAnsi="Book Antiqua" w:cs="Arial"/>
          <w:lang w:val="en-GB"/>
        </w:rPr>
        <w:t xml:space="preserve">This disease </w:t>
      </w:r>
      <w:r w:rsidR="00311827" w:rsidRPr="00E17D79">
        <w:rPr>
          <w:rFonts w:ascii="Book Antiqua" w:hAnsi="Book Antiqua" w:cs="Arial"/>
          <w:lang w:val="en-GB"/>
        </w:rPr>
        <w:t>is also endemic in our country</w:t>
      </w:r>
      <w:r w:rsidR="00646731" w:rsidRPr="00E17D79">
        <w:rPr>
          <w:rFonts w:ascii="Book Antiqua" w:hAnsi="Book Antiqua" w:cs="Arial"/>
          <w:lang w:val="en-GB"/>
        </w:rPr>
        <w:t xml:space="preserve">. </w:t>
      </w:r>
      <w:r w:rsidR="00654823" w:rsidRPr="00E17D79">
        <w:rPr>
          <w:rFonts w:ascii="Book Antiqua" w:hAnsi="Book Antiqua" w:cs="Arial"/>
          <w:lang w:val="en-GB"/>
        </w:rPr>
        <w:t xml:space="preserve">Moreover, among underlying viral infections, </w:t>
      </w:r>
      <w:r w:rsidR="000344EB" w:rsidRPr="00E17D79">
        <w:rPr>
          <w:rFonts w:ascii="Book Antiqua" w:hAnsi="Book Antiqua" w:cs="Arial"/>
          <w:lang w:val="en-GB"/>
        </w:rPr>
        <w:t>Epstein-Barr virus</w:t>
      </w:r>
      <w:r w:rsidR="00654823" w:rsidRPr="00E17D79">
        <w:rPr>
          <w:rFonts w:ascii="Book Antiqua" w:hAnsi="Book Antiqua" w:cs="Arial"/>
          <w:lang w:val="en-GB"/>
        </w:rPr>
        <w:t xml:space="preserve"> was the most prevalent</w:t>
      </w:r>
      <w:r w:rsidR="00FE0AD9" w:rsidRPr="00E17D79">
        <w:rPr>
          <w:rFonts w:ascii="Book Antiqua" w:hAnsi="Book Antiqua" w:cs="Arial"/>
          <w:lang w:val="en-GB"/>
        </w:rPr>
        <w:t xml:space="preserve"> which is not surprising as</w:t>
      </w:r>
      <w:r w:rsidR="00FD0C33" w:rsidRPr="00E17D79">
        <w:rPr>
          <w:rFonts w:ascii="Book Antiqua" w:hAnsi="Book Antiqua" w:cs="Arial"/>
          <w:lang w:val="en-GB"/>
        </w:rPr>
        <w:t xml:space="preserve"> it</w:t>
      </w:r>
      <w:r w:rsidR="00822298" w:rsidRPr="00E17D79">
        <w:rPr>
          <w:rFonts w:ascii="Book Antiqua" w:hAnsi="Book Antiqua" w:cs="Arial"/>
          <w:lang w:val="en-GB"/>
        </w:rPr>
        <w:t xml:space="preserve"> </w:t>
      </w:r>
      <w:r w:rsidR="00210FDC" w:rsidRPr="00E17D79">
        <w:rPr>
          <w:rFonts w:ascii="Book Antiqua" w:hAnsi="Book Antiqua" w:cs="Arial"/>
          <w:lang w:val="en-GB"/>
        </w:rPr>
        <w:t xml:space="preserve">is considered </w:t>
      </w:r>
      <w:r w:rsidR="00FD0C33" w:rsidRPr="00E17D79">
        <w:rPr>
          <w:rFonts w:ascii="Book Antiqua" w:hAnsi="Book Antiqua" w:cs="Arial"/>
          <w:lang w:val="en-GB"/>
        </w:rPr>
        <w:t xml:space="preserve">one of </w:t>
      </w:r>
      <w:r w:rsidR="00210FDC" w:rsidRPr="00E17D79">
        <w:rPr>
          <w:rFonts w:ascii="Book Antiqua" w:hAnsi="Book Antiqua" w:cs="Arial"/>
          <w:lang w:val="en-GB"/>
        </w:rPr>
        <w:t xml:space="preserve">the </w:t>
      </w:r>
      <w:r w:rsidR="00F71452" w:rsidRPr="00E17D79">
        <w:rPr>
          <w:rFonts w:ascii="Book Antiqua" w:hAnsi="Book Antiqua" w:cs="Arial"/>
          <w:lang w:val="en-GB"/>
        </w:rPr>
        <w:t>leading triggers</w:t>
      </w:r>
      <w:r w:rsidR="00844832" w:rsidRPr="00E17D79">
        <w:rPr>
          <w:rFonts w:ascii="Book Antiqua" w:hAnsi="Book Antiqua" w:cs="Arial"/>
          <w:lang w:val="en-GB"/>
        </w:rPr>
        <w:t xml:space="preserve"> associated with</w:t>
      </w:r>
      <w:r w:rsidR="00822298" w:rsidRPr="00E17D79">
        <w:rPr>
          <w:rFonts w:ascii="Book Antiqua" w:hAnsi="Book Antiqua" w:cs="Arial"/>
          <w:lang w:val="en-GB"/>
        </w:rPr>
        <w:t xml:space="preserve"> </w:t>
      </w:r>
      <w:r w:rsidR="009F5BE4" w:rsidRPr="00E17D79">
        <w:rPr>
          <w:rFonts w:ascii="Book Antiqua" w:hAnsi="Book Antiqua" w:cs="Arial"/>
          <w:lang w:val="en-GB"/>
        </w:rPr>
        <w:t>sHLH</w:t>
      </w:r>
      <w:r w:rsidR="00E05E58" w:rsidRPr="00E17D79">
        <w:rPr>
          <w:rFonts w:ascii="Book Antiqua" w:hAnsi="Book Antiqua" w:cs="Arial"/>
          <w:vertAlign w:val="superscript"/>
          <w:lang w:val="en-GB"/>
        </w:rPr>
        <w:t>[</w:t>
      </w:r>
      <w:r w:rsidR="00B600B8" w:rsidRPr="00E17D79">
        <w:rPr>
          <w:rFonts w:ascii="Book Antiqua" w:hAnsi="Book Antiqua" w:cs="Arial"/>
          <w:vertAlign w:val="superscript"/>
          <w:lang w:val="en-GB"/>
        </w:rPr>
        <w:t>22,28</w:t>
      </w:r>
      <w:r w:rsidR="00E05E58" w:rsidRPr="00E17D79">
        <w:rPr>
          <w:rFonts w:ascii="Book Antiqua" w:hAnsi="Book Antiqua" w:cs="Arial"/>
          <w:vertAlign w:val="superscript"/>
          <w:lang w:val="en-GB"/>
        </w:rPr>
        <w:t>]</w:t>
      </w:r>
      <w:r w:rsidR="00F71452" w:rsidRPr="00E17D79">
        <w:rPr>
          <w:rFonts w:ascii="Book Antiqua" w:hAnsi="Book Antiqua" w:cs="Arial"/>
          <w:lang w:val="en-GB"/>
        </w:rPr>
        <w:t>.</w:t>
      </w:r>
      <w:r w:rsidR="00822298" w:rsidRPr="00E17D79">
        <w:rPr>
          <w:rFonts w:ascii="Book Antiqua" w:hAnsi="Book Antiqua" w:cs="Arial"/>
          <w:lang w:val="en-GB"/>
        </w:rPr>
        <w:t xml:space="preserve"> </w:t>
      </w:r>
      <w:r w:rsidR="000B0838" w:rsidRPr="00E17D79">
        <w:rPr>
          <w:rFonts w:ascii="Book Antiqua" w:hAnsi="Book Antiqua" w:cs="Arial"/>
          <w:lang w:val="en-GB"/>
        </w:rPr>
        <w:t>Autoimmune diseases were the second more frequent underlying cause of sHLH i</w:t>
      </w:r>
      <w:r w:rsidR="00D15D90" w:rsidRPr="00E17D79">
        <w:rPr>
          <w:rFonts w:ascii="Book Antiqua" w:hAnsi="Book Antiqua" w:cs="Arial"/>
          <w:lang w:val="en-GB"/>
        </w:rPr>
        <w:t xml:space="preserve">n the middle age </w:t>
      </w:r>
      <w:r w:rsidR="00412E12" w:rsidRPr="00E17D79">
        <w:rPr>
          <w:rFonts w:ascii="Book Antiqua" w:hAnsi="Book Antiqua" w:cs="Arial"/>
          <w:lang w:val="en-GB"/>
        </w:rPr>
        <w:t>group,</w:t>
      </w:r>
      <w:r w:rsidR="00D15D90" w:rsidRPr="00E17D79">
        <w:rPr>
          <w:rFonts w:ascii="Book Antiqua" w:hAnsi="Book Antiqua" w:cs="Arial"/>
          <w:lang w:val="en-GB"/>
        </w:rPr>
        <w:t xml:space="preserve"> while </w:t>
      </w:r>
      <w:r w:rsidR="000B0838" w:rsidRPr="00E17D79">
        <w:rPr>
          <w:rFonts w:ascii="Book Antiqua" w:hAnsi="Book Antiqua" w:cs="Arial"/>
          <w:lang w:val="en-GB"/>
        </w:rPr>
        <w:t xml:space="preserve">neoplastic diseases were </w:t>
      </w:r>
      <w:r w:rsidR="00D15D90" w:rsidRPr="00E17D79">
        <w:rPr>
          <w:rFonts w:ascii="Book Antiqua" w:hAnsi="Book Antiqua" w:cs="Arial"/>
          <w:lang w:val="en-GB"/>
        </w:rPr>
        <w:t>in the older age group</w:t>
      </w:r>
      <w:r w:rsidR="00E05E58" w:rsidRPr="00E17D79">
        <w:rPr>
          <w:rFonts w:ascii="Book Antiqua" w:hAnsi="Book Antiqua" w:cs="Arial"/>
          <w:vertAlign w:val="superscript"/>
          <w:lang w:val="en-GB"/>
        </w:rPr>
        <w:t>[</w:t>
      </w:r>
      <w:r w:rsidR="00D86409" w:rsidRPr="00E17D79">
        <w:rPr>
          <w:rFonts w:ascii="Book Antiqua" w:hAnsi="Book Antiqua" w:cs="Arial"/>
          <w:vertAlign w:val="superscript"/>
          <w:lang w:val="en-GB"/>
        </w:rPr>
        <w:t>17</w:t>
      </w:r>
      <w:r w:rsidR="00E05E58" w:rsidRPr="00E17D79">
        <w:rPr>
          <w:rFonts w:ascii="Book Antiqua" w:hAnsi="Book Antiqua" w:cs="Arial"/>
          <w:vertAlign w:val="superscript"/>
          <w:lang w:val="en-GB"/>
        </w:rPr>
        <w:t>]</w:t>
      </w:r>
      <w:r w:rsidR="00D15D90" w:rsidRPr="00E17D79">
        <w:rPr>
          <w:rFonts w:ascii="Book Antiqua" w:hAnsi="Book Antiqua" w:cs="Arial"/>
          <w:lang w:val="en-GB"/>
        </w:rPr>
        <w:t>.</w:t>
      </w:r>
      <w:r w:rsidR="00C85B71" w:rsidRPr="00E17D79">
        <w:rPr>
          <w:rFonts w:ascii="Book Antiqua" w:hAnsi="Book Antiqua" w:cs="Arial"/>
          <w:lang w:val="en-GB"/>
        </w:rPr>
        <w:t xml:space="preserve"> The most common autoimmune disease was adult Still’s disease</w:t>
      </w:r>
      <w:r w:rsidR="000344EB" w:rsidRPr="00E17D79">
        <w:rPr>
          <w:rFonts w:ascii="Book Antiqua" w:hAnsi="Book Antiqua" w:cs="Arial"/>
          <w:lang w:val="en-GB"/>
        </w:rPr>
        <w:t>,</w:t>
      </w:r>
      <w:r w:rsidR="005A5612" w:rsidRPr="00E17D79">
        <w:rPr>
          <w:rFonts w:ascii="Book Antiqua" w:hAnsi="Book Antiqua" w:cs="Arial"/>
          <w:lang w:val="en-GB"/>
        </w:rPr>
        <w:t xml:space="preserve"> a well-known cause of </w:t>
      </w:r>
      <w:r w:rsidR="009F5BE4" w:rsidRPr="00E17D79">
        <w:rPr>
          <w:rFonts w:ascii="Book Antiqua" w:hAnsi="Book Antiqua" w:cs="Arial"/>
          <w:lang w:val="en-GB"/>
        </w:rPr>
        <w:t>sHLH</w:t>
      </w:r>
      <w:r w:rsidR="00E05E58" w:rsidRPr="00E17D79">
        <w:rPr>
          <w:rFonts w:ascii="Book Antiqua" w:hAnsi="Book Antiqua" w:cs="Arial"/>
          <w:vertAlign w:val="superscript"/>
          <w:lang w:val="en-GB"/>
        </w:rPr>
        <w:t>[</w:t>
      </w:r>
      <w:r w:rsidR="00D86409" w:rsidRPr="00E17D79">
        <w:rPr>
          <w:rFonts w:ascii="Book Antiqua" w:hAnsi="Book Antiqua" w:cs="Arial"/>
          <w:vertAlign w:val="superscript"/>
          <w:lang w:val="en-GB"/>
        </w:rPr>
        <w:t>29</w:t>
      </w:r>
      <w:r w:rsidR="00E05E58" w:rsidRPr="00E17D79">
        <w:rPr>
          <w:rFonts w:ascii="Book Antiqua" w:hAnsi="Book Antiqua" w:cs="Arial"/>
          <w:vertAlign w:val="superscript"/>
          <w:lang w:val="en-GB"/>
        </w:rPr>
        <w:t>]</w:t>
      </w:r>
      <w:r w:rsidR="005A5612" w:rsidRPr="00E17D79">
        <w:rPr>
          <w:rFonts w:ascii="Book Antiqua" w:hAnsi="Book Antiqua" w:cs="Arial"/>
          <w:lang w:val="en-GB"/>
        </w:rPr>
        <w:t>.</w:t>
      </w:r>
      <w:r w:rsidR="00822298" w:rsidRPr="00E17D79">
        <w:rPr>
          <w:rFonts w:ascii="Book Antiqua" w:hAnsi="Book Antiqua" w:cs="Arial"/>
          <w:lang w:val="en-GB"/>
        </w:rPr>
        <w:t xml:space="preserve"> </w:t>
      </w:r>
      <w:r w:rsidR="00EF4461" w:rsidRPr="00E17D79">
        <w:rPr>
          <w:rFonts w:ascii="Book Antiqua" w:hAnsi="Book Antiqua" w:cs="Arial"/>
          <w:lang w:val="en-GB"/>
        </w:rPr>
        <w:lastRenderedPageBreak/>
        <w:t>Considering</w:t>
      </w:r>
      <w:r w:rsidR="007E26E8" w:rsidRPr="00E17D79">
        <w:rPr>
          <w:rFonts w:ascii="Book Antiqua" w:hAnsi="Book Antiqua" w:cs="Arial"/>
          <w:lang w:val="en-GB"/>
        </w:rPr>
        <w:t xml:space="preserve"> the neoplastic diseases</w:t>
      </w:r>
      <w:r w:rsidR="008C2A14" w:rsidRPr="00E17D79">
        <w:rPr>
          <w:rFonts w:ascii="Book Antiqua" w:hAnsi="Book Antiqua" w:cs="Arial"/>
          <w:lang w:val="en-GB"/>
        </w:rPr>
        <w:t>,</w:t>
      </w:r>
      <w:r w:rsidR="007E26E8" w:rsidRPr="00E17D79">
        <w:rPr>
          <w:rFonts w:ascii="Book Antiqua" w:hAnsi="Book Antiqua" w:cs="Arial"/>
          <w:lang w:val="en-GB"/>
        </w:rPr>
        <w:t xml:space="preserve"> the most frequent underlying cause </w:t>
      </w:r>
      <w:r w:rsidR="00B167AE" w:rsidRPr="00E17D79">
        <w:rPr>
          <w:rFonts w:ascii="Book Antiqua" w:hAnsi="Book Antiqua" w:cs="Arial"/>
          <w:lang w:val="en-GB"/>
        </w:rPr>
        <w:t>was non-Hodgkin lymphoma</w:t>
      </w:r>
      <w:r w:rsidR="00D86409" w:rsidRPr="00E17D79">
        <w:rPr>
          <w:rFonts w:ascii="Book Antiqua" w:hAnsi="Book Antiqua" w:cs="Arial"/>
          <w:lang w:val="en-GB"/>
        </w:rPr>
        <w:t>s</w:t>
      </w:r>
      <w:r w:rsidR="004F47D5" w:rsidRPr="00E17D79">
        <w:rPr>
          <w:rFonts w:ascii="Book Antiqua" w:hAnsi="Book Antiqua" w:cs="Arial"/>
          <w:lang w:val="en-GB"/>
        </w:rPr>
        <w:t xml:space="preserve"> (</w:t>
      </w:r>
      <w:r w:rsidR="00CC3B15" w:rsidRPr="00E17D79">
        <w:rPr>
          <w:rFonts w:ascii="Book Antiqua" w:hAnsi="Book Antiqua" w:cs="Arial"/>
          <w:lang w:val="en-GB"/>
        </w:rPr>
        <w:t>high grade B</w:t>
      </w:r>
      <w:r w:rsidR="00B95281" w:rsidRPr="00E17D79">
        <w:rPr>
          <w:rFonts w:ascii="Book Antiqua" w:hAnsi="Book Antiqua" w:cs="Arial"/>
          <w:lang w:val="en-GB"/>
        </w:rPr>
        <w:t xml:space="preserve">-cell or </w:t>
      </w:r>
      <w:r w:rsidR="00CC3B15" w:rsidRPr="00E17D79">
        <w:rPr>
          <w:rFonts w:ascii="Book Antiqua" w:hAnsi="Book Antiqua" w:cs="Arial"/>
          <w:lang w:val="en-GB"/>
        </w:rPr>
        <w:t>T</w:t>
      </w:r>
      <w:r w:rsidR="00B95281" w:rsidRPr="00E17D79">
        <w:rPr>
          <w:rFonts w:ascii="Book Antiqua" w:hAnsi="Book Antiqua" w:cs="Arial"/>
          <w:lang w:val="en-GB"/>
        </w:rPr>
        <w:t>-cell</w:t>
      </w:r>
      <w:r w:rsidR="004F47D5" w:rsidRPr="00E17D79">
        <w:rPr>
          <w:rFonts w:ascii="Book Antiqua" w:hAnsi="Book Antiqua" w:cs="Arial"/>
          <w:lang w:val="en-GB"/>
        </w:rPr>
        <w:t>)</w:t>
      </w:r>
      <w:r w:rsidR="00737DD7" w:rsidRPr="00E17D79">
        <w:rPr>
          <w:rFonts w:ascii="Book Antiqua" w:hAnsi="Book Antiqua" w:cs="Arial"/>
          <w:lang w:val="en-GB"/>
        </w:rPr>
        <w:t xml:space="preserve">; </w:t>
      </w:r>
      <w:r w:rsidR="009F5BE4" w:rsidRPr="00E17D79">
        <w:rPr>
          <w:rFonts w:ascii="Book Antiqua" w:hAnsi="Book Antiqua" w:cs="Arial"/>
          <w:lang w:val="en-GB"/>
        </w:rPr>
        <w:t>sHLH</w:t>
      </w:r>
      <w:r w:rsidR="00737DD7" w:rsidRPr="00E17D79">
        <w:rPr>
          <w:rFonts w:ascii="Book Antiqua" w:hAnsi="Book Antiqua" w:cs="Arial"/>
          <w:lang w:val="en-GB"/>
        </w:rPr>
        <w:t xml:space="preserve"> has </w:t>
      </w:r>
      <w:r w:rsidR="00D86409" w:rsidRPr="00E17D79">
        <w:rPr>
          <w:rFonts w:ascii="Book Antiqua" w:hAnsi="Book Antiqua" w:cs="Arial"/>
          <w:lang w:val="en-GB"/>
        </w:rPr>
        <w:t xml:space="preserve">already </w:t>
      </w:r>
      <w:r w:rsidR="00737DD7" w:rsidRPr="00E17D79">
        <w:rPr>
          <w:rFonts w:ascii="Book Antiqua" w:hAnsi="Book Antiqua" w:cs="Arial"/>
          <w:lang w:val="en-GB"/>
        </w:rPr>
        <w:t xml:space="preserve">been reported in association with </w:t>
      </w:r>
      <w:r w:rsidR="00170285" w:rsidRPr="00E17D79">
        <w:rPr>
          <w:rFonts w:ascii="Book Antiqua" w:hAnsi="Book Antiqua" w:cs="Arial"/>
          <w:lang w:val="en-GB"/>
        </w:rPr>
        <w:t>lymphoproliferative disorders</w:t>
      </w:r>
      <w:r w:rsidR="00737DD7" w:rsidRPr="00E17D79">
        <w:rPr>
          <w:rFonts w:ascii="Book Antiqua" w:hAnsi="Book Antiqua" w:cs="Arial"/>
          <w:lang w:val="en-GB"/>
        </w:rPr>
        <w:t>, including T, NK, and anaplastic large cell lymphomas and leuk</w:t>
      </w:r>
      <w:r w:rsidR="001D465F" w:rsidRPr="00E17D79">
        <w:rPr>
          <w:rFonts w:ascii="Book Antiqua" w:hAnsi="Book Antiqua" w:cs="Arial"/>
          <w:lang w:val="en-GB"/>
        </w:rPr>
        <w:t>a</w:t>
      </w:r>
      <w:r w:rsidR="00737DD7" w:rsidRPr="00E17D79">
        <w:rPr>
          <w:rFonts w:ascii="Book Antiqua" w:hAnsi="Book Antiqua" w:cs="Arial"/>
          <w:lang w:val="en-GB"/>
        </w:rPr>
        <w:t>emia</w:t>
      </w:r>
      <w:r w:rsidR="00822298" w:rsidRPr="00E17D79">
        <w:rPr>
          <w:rFonts w:ascii="Book Antiqua" w:hAnsi="Book Antiqua" w:cs="Arial"/>
          <w:lang w:val="en-GB"/>
        </w:rPr>
        <w:t xml:space="preserve"> </w:t>
      </w:r>
      <w:r w:rsidR="004E5092" w:rsidRPr="00E17D79">
        <w:rPr>
          <w:rFonts w:ascii="Book Antiqua" w:hAnsi="Book Antiqua" w:cs="Arial"/>
          <w:lang w:val="en-GB"/>
        </w:rPr>
        <w:t>with a very poor prognosis</w:t>
      </w:r>
      <w:r w:rsidR="00204528" w:rsidRPr="00E17D79">
        <w:rPr>
          <w:rFonts w:ascii="Book Antiqua" w:hAnsi="Book Antiqua" w:cs="Arial"/>
          <w:vertAlign w:val="superscript"/>
          <w:lang w:val="en-GB"/>
        </w:rPr>
        <w:t>[</w:t>
      </w:r>
      <w:r w:rsidR="00D86409" w:rsidRPr="00E17D79">
        <w:rPr>
          <w:rFonts w:ascii="Book Antiqua" w:hAnsi="Book Antiqua" w:cs="Arial"/>
          <w:vertAlign w:val="superscript"/>
          <w:lang w:val="en-GB"/>
        </w:rPr>
        <w:t>16,30</w:t>
      </w:r>
      <w:r w:rsidR="00204528" w:rsidRPr="00E17D79">
        <w:rPr>
          <w:rFonts w:ascii="Book Antiqua" w:hAnsi="Book Antiqua" w:cs="Arial"/>
          <w:vertAlign w:val="superscript"/>
          <w:lang w:val="en-GB"/>
        </w:rPr>
        <w:t>]</w:t>
      </w:r>
      <w:r w:rsidR="00CE6E14" w:rsidRPr="00E17D79">
        <w:rPr>
          <w:rFonts w:ascii="Book Antiqua" w:hAnsi="Book Antiqua" w:cs="Arial"/>
          <w:lang w:val="en-GB"/>
        </w:rPr>
        <w:t>.</w:t>
      </w:r>
      <w:r w:rsidR="00822298" w:rsidRPr="00E17D79">
        <w:rPr>
          <w:rFonts w:ascii="Book Antiqua" w:hAnsi="Book Antiqua" w:cs="Arial"/>
          <w:lang w:val="en-GB"/>
        </w:rPr>
        <w:t xml:space="preserve"> </w:t>
      </w:r>
      <w:r w:rsidR="00483AF1" w:rsidRPr="00E17D79">
        <w:rPr>
          <w:rFonts w:ascii="Book Antiqua" w:hAnsi="Book Antiqua" w:cs="Arial"/>
          <w:lang w:val="en-GB"/>
        </w:rPr>
        <w:t xml:space="preserve">Interestingly, </w:t>
      </w:r>
      <w:r w:rsidR="006C390E" w:rsidRPr="00E17D79">
        <w:rPr>
          <w:rFonts w:ascii="Book Antiqua" w:hAnsi="Book Antiqua" w:cs="Arial"/>
          <w:lang w:val="en-GB"/>
        </w:rPr>
        <w:t xml:space="preserve">the diagnosis of </w:t>
      </w:r>
      <w:r w:rsidR="002F03CA" w:rsidRPr="00E17D79">
        <w:rPr>
          <w:rFonts w:ascii="Book Antiqua" w:hAnsi="Book Antiqua" w:cs="Arial"/>
          <w:lang w:val="en-GB"/>
        </w:rPr>
        <w:t>sHLH</w:t>
      </w:r>
      <w:r w:rsidR="00822298" w:rsidRPr="00E17D79">
        <w:rPr>
          <w:rFonts w:ascii="Book Antiqua" w:hAnsi="Book Antiqua" w:cs="Arial"/>
          <w:lang w:val="en-GB"/>
        </w:rPr>
        <w:t xml:space="preserve"> </w:t>
      </w:r>
      <w:r w:rsidR="004E5092" w:rsidRPr="00E17D79">
        <w:rPr>
          <w:rFonts w:ascii="Book Antiqua" w:hAnsi="Book Antiqua" w:cs="Arial"/>
          <w:lang w:val="en-GB"/>
        </w:rPr>
        <w:t xml:space="preserve">may </w:t>
      </w:r>
      <w:r w:rsidR="00B957B8" w:rsidRPr="00E17D79">
        <w:rPr>
          <w:rFonts w:ascii="Book Antiqua" w:hAnsi="Book Antiqua" w:cs="Arial"/>
          <w:lang w:val="en-GB"/>
        </w:rPr>
        <w:t xml:space="preserve">occur </w:t>
      </w:r>
      <w:r w:rsidR="00363905" w:rsidRPr="00E17D79">
        <w:rPr>
          <w:rFonts w:ascii="Book Antiqua" w:hAnsi="Book Antiqua" w:cs="Arial"/>
          <w:lang w:val="en-GB"/>
        </w:rPr>
        <w:t>either</w:t>
      </w:r>
      <w:r w:rsidR="002F03CA" w:rsidRPr="00E17D79">
        <w:rPr>
          <w:rFonts w:ascii="Book Antiqua" w:hAnsi="Book Antiqua" w:cs="Arial"/>
          <w:lang w:val="en-GB"/>
        </w:rPr>
        <w:t xml:space="preserve"> concurrently </w:t>
      </w:r>
      <w:r w:rsidR="00B957B8" w:rsidRPr="00E17D79">
        <w:rPr>
          <w:rFonts w:ascii="Book Antiqua" w:hAnsi="Book Antiqua" w:cs="Arial"/>
          <w:lang w:val="en-GB"/>
        </w:rPr>
        <w:t>with</w:t>
      </w:r>
      <w:r w:rsidR="00204528" w:rsidRPr="00E17D79">
        <w:rPr>
          <w:rFonts w:ascii="Book Antiqua" w:hAnsi="Book Antiqua" w:cs="Arial"/>
          <w:lang w:val="en-GB"/>
        </w:rPr>
        <w:t xml:space="preserve"> malignancy</w:t>
      </w:r>
      <w:r w:rsidR="00FA2A6B" w:rsidRPr="00E17D79">
        <w:rPr>
          <w:rFonts w:ascii="Book Antiqua" w:hAnsi="Book Antiqua" w:cs="Arial"/>
          <w:lang w:val="en-GB"/>
        </w:rPr>
        <w:t>,</w:t>
      </w:r>
      <w:r w:rsidR="00204528" w:rsidRPr="00E17D79">
        <w:rPr>
          <w:rFonts w:ascii="Book Antiqua" w:hAnsi="Book Antiqua" w:cs="Arial"/>
          <w:lang w:val="en-GB"/>
        </w:rPr>
        <w:t xml:space="preserve"> </w:t>
      </w:r>
      <w:r w:rsidR="002534A0" w:rsidRPr="00E17D79">
        <w:rPr>
          <w:rFonts w:ascii="Book Antiqua" w:hAnsi="Book Antiqua" w:cs="Arial"/>
          <w:lang w:val="en-GB"/>
        </w:rPr>
        <w:t>before</w:t>
      </w:r>
      <w:r w:rsidR="006C390E" w:rsidRPr="00E17D79">
        <w:rPr>
          <w:rFonts w:ascii="Book Antiqua" w:hAnsi="Book Antiqua" w:cs="Arial"/>
          <w:lang w:val="en-GB"/>
        </w:rPr>
        <w:t xml:space="preserve"> </w:t>
      </w:r>
      <w:r w:rsidR="00FA2A6B" w:rsidRPr="00E17D79">
        <w:rPr>
          <w:rFonts w:ascii="Book Antiqua" w:hAnsi="Book Antiqua" w:cs="Arial"/>
          <w:lang w:val="en-GB"/>
        </w:rPr>
        <w:t>or</w:t>
      </w:r>
      <w:r w:rsidR="006C390E" w:rsidRPr="00E17D79">
        <w:rPr>
          <w:rFonts w:ascii="Book Antiqua" w:hAnsi="Book Antiqua" w:cs="Arial"/>
          <w:lang w:val="en-GB"/>
        </w:rPr>
        <w:t xml:space="preserve"> </w:t>
      </w:r>
      <w:r w:rsidR="002D4A15" w:rsidRPr="00E17D79">
        <w:rPr>
          <w:rFonts w:ascii="Book Antiqua" w:hAnsi="Book Antiqua" w:cs="Arial"/>
          <w:lang w:val="en-GB"/>
        </w:rPr>
        <w:t xml:space="preserve">during </w:t>
      </w:r>
      <w:r w:rsidR="002534A0" w:rsidRPr="00E17D79">
        <w:rPr>
          <w:rFonts w:ascii="Book Antiqua" w:hAnsi="Book Antiqua" w:cs="Arial"/>
          <w:lang w:val="en-GB"/>
        </w:rPr>
        <w:t>chemotherapy</w:t>
      </w:r>
      <w:r w:rsidR="005A218C" w:rsidRPr="00E17D79">
        <w:rPr>
          <w:rFonts w:ascii="Book Antiqua" w:hAnsi="Book Antiqua" w:cs="Arial"/>
          <w:lang w:val="en-GB"/>
        </w:rPr>
        <w:t xml:space="preserve">, </w:t>
      </w:r>
      <w:r w:rsidR="00FA2A6B" w:rsidRPr="00E17D79">
        <w:rPr>
          <w:rFonts w:ascii="Book Antiqua" w:hAnsi="Book Antiqua" w:cs="Arial"/>
          <w:lang w:val="en-GB"/>
        </w:rPr>
        <w:t>but</w:t>
      </w:r>
      <w:r w:rsidR="002F03CA" w:rsidRPr="00E17D79">
        <w:rPr>
          <w:rFonts w:ascii="Book Antiqua" w:hAnsi="Book Antiqua" w:cs="Arial"/>
          <w:lang w:val="en-GB"/>
        </w:rPr>
        <w:t xml:space="preserve"> very rarely</w:t>
      </w:r>
      <w:r w:rsidR="005A218C" w:rsidRPr="00E17D79">
        <w:rPr>
          <w:rFonts w:ascii="Book Antiqua" w:hAnsi="Book Antiqua" w:cs="Arial"/>
          <w:lang w:val="en-GB"/>
        </w:rPr>
        <w:t xml:space="preserve"> </w:t>
      </w:r>
      <w:r w:rsidR="00FA2A6B" w:rsidRPr="00E17D79">
        <w:rPr>
          <w:rFonts w:ascii="Book Antiqua" w:hAnsi="Book Antiqua" w:cs="Arial"/>
          <w:lang w:val="en-GB"/>
        </w:rPr>
        <w:t xml:space="preserve">in </w:t>
      </w:r>
      <w:r w:rsidR="000344EB" w:rsidRPr="00E17D79">
        <w:rPr>
          <w:rFonts w:ascii="Book Antiqua" w:hAnsi="Book Antiqua" w:cs="Arial"/>
          <w:lang w:val="en-GB"/>
        </w:rPr>
        <w:t xml:space="preserve">case of </w:t>
      </w:r>
      <w:r w:rsidR="005A218C" w:rsidRPr="00E17D79">
        <w:rPr>
          <w:rFonts w:ascii="Book Antiqua" w:hAnsi="Book Antiqua" w:cs="Arial"/>
          <w:lang w:val="en-GB"/>
        </w:rPr>
        <w:t>remission</w:t>
      </w:r>
      <w:r w:rsidR="00FA2A6B" w:rsidRPr="00E17D79">
        <w:rPr>
          <w:rFonts w:ascii="Book Antiqua" w:hAnsi="Book Antiqua" w:cs="Arial"/>
          <w:lang w:val="en-GB"/>
        </w:rPr>
        <w:t xml:space="preserve"> of the neoplastic disease</w:t>
      </w:r>
      <w:r w:rsidR="005A218C" w:rsidRPr="00E17D79">
        <w:rPr>
          <w:rFonts w:ascii="Book Antiqua" w:hAnsi="Book Antiqua" w:cs="Arial"/>
          <w:vertAlign w:val="superscript"/>
          <w:lang w:val="en-GB"/>
        </w:rPr>
        <w:t>[8]</w:t>
      </w:r>
      <w:r w:rsidR="00B957B8" w:rsidRPr="00E17D79">
        <w:rPr>
          <w:rFonts w:ascii="Book Antiqua" w:hAnsi="Book Antiqua" w:cs="Arial"/>
          <w:lang w:val="en-GB"/>
        </w:rPr>
        <w:t>.</w:t>
      </w:r>
      <w:r w:rsidR="00822298" w:rsidRPr="00E17D79">
        <w:rPr>
          <w:rFonts w:ascii="Book Antiqua" w:hAnsi="Book Antiqua" w:cs="Arial"/>
          <w:lang w:val="en-GB"/>
        </w:rPr>
        <w:t xml:space="preserve"> </w:t>
      </w:r>
      <w:r w:rsidR="002F03CA" w:rsidRPr="00E17D79">
        <w:rPr>
          <w:rFonts w:ascii="Book Antiqua" w:hAnsi="Book Antiqua" w:cs="Arial"/>
          <w:lang w:val="en-GB"/>
        </w:rPr>
        <w:t>Depending on the clinical department of admission</w:t>
      </w:r>
      <w:r w:rsidR="0040591A" w:rsidRPr="00E17D79">
        <w:rPr>
          <w:rFonts w:ascii="Book Antiqua" w:hAnsi="Book Antiqua" w:cs="Arial"/>
          <w:lang w:val="en-GB"/>
        </w:rPr>
        <w:t xml:space="preserve">, </w:t>
      </w:r>
      <w:r w:rsidR="0008508F" w:rsidRPr="00E17D79">
        <w:rPr>
          <w:rFonts w:ascii="Book Antiqua" w:hAnsi="Book Antiqua" w:cs="Arial"/>
          <w:lang w:val="en-GB"/>
        </w:rPr>
        <w:t>several</w:t>
      </w:r>
      <w:r w:rsidR="00822298" w:rsidRPr="00E17D79">
        <w:rPr>
          <w:rFonts w:ascii="Book Antiqua" w:hAnsi="Book Antiqua" w:cs="Arial"/>
          <w:lang w:val="en-GB"/>
        </w:rPr>
        <w:t xml:space="preserve"> </w:t>
      </w:r>
      <w:r w:rsidR="002F03CA" w:rsidRPr="00E17D79">
        <w:rPr>
          <w:rFonts w:ascii="Book Antiqua" w:hAnsi="Book Antiqua" w:cs="Arial"/>
          <w:lang w:val="en-GB"/>
        </w:rPr>
        <w:t>other</w:t>
      </w:r>
      <w:r w:rsidR="0040591A" w:rsidRPr="00E17D79">
        <w:rPr>
          <w:rFonts w:ascii="Book Antiqua" w:hAnsi="Book Antiqua" w:cs="Arial"/>
          <w:lang w:val="en-GB"/>
        </w:rPr>
        <w:t xml:space="preserve"> investigators </w:t>
      </w:r>
      <w:r w:rsidR="002F03CA" w:rsidRPr="00E17D79">
        <w:rPr>
          <w:rFonts w:ascii="Book Antiqua" w:hAnsi="Book Antiqua" w:cs="Arial"/>
          <w:lang w:val="en-GB"/>
        </w:rPr>
        <w:t xml:space="preserve">have reported </w:t>
      </w:r>
      <w:r w:rsidR="0040591A" w:rsidRPr="00E17D79">
        <w:rPr>
          <w:rFonts w:ascii="Book Antiqua" w:hAnsi="Book Antiqua" w:cs="Arial"/>
          <w:lang w:val="en-GB"/>
        </w:rPr>
        <w:t>neoplastic diseases</w:t>
      </w:r>
      <w:r w:rsidR="0008508F" w:rsidRPr="00E17D79">
        <w:rPr>
          <w:rFonts w:ascii="Book Antiqua" w:hAnsi="Book Antiqua" w:cs="Arial"/>
          <w:lang w:val="en-GB"/>
        </w:rPr>
        <w:t>,</w:t>
      </w:r>
      <w:r w:rsidR="00822298" w:rsidRPr="00E17D79">
        <w:rPr>
          <w:rFonts w:ascii="Book Antiqua" w:hAnsi="Book Antiqua" w:cs="Arial"/>
          <w:lang w:val="en-GB"/>
        </w:rPr>
        <w:t xml:space="preserve"> </w:t>
      </w:r>
      <w:r w:rsidR="0008508F" w:rsidRPr="00E17D79">
        <w:rPr>
          <w:rFonts w:ascii="Book Antiqua" w:hAnsi="Book Antiqua" w:cs="Arial"/>
          <w:lang w:val="en-GB"/>
        </w:rPr>
        <w:t xml:space="preserve">and not infections, </w:t>
      </w:r>
      <w:r w:rsidR="002F03CA" w:rsidRPr="00E17D79">
        <w:rPr>
          <w:rFonts w:ascii="Book Antiqua" w:hAnsi="Book Antiqua" w:cs="Arial"/>
          <w:lang w:val="en-GB"/>
        </w:rPr>
        <w:t>as</w:t>
      </w:r>
      <w:r w:rsidR="0040591A" w:rsidRPr="00E17D79">
        <w:rPr>
          <w:rFonts w:ascii="Book Antiqua" w:hAnsi="Book Antiqua" w:cs="Arial"/>
          <w:lang w:val="en-GB"/>
        </w:rPr>
        <w:t xml:space="preserve"> the most frequent underlying </w:t>
      </w:r>
      <w:r w:rsidR="002F03CA" w:rsidRPr="00E17D79">
        <w:rPr>
          <w:rFonts w:ascii="Book Antiqua" w:hAnsi="Book Antiqua" w:cs="Arial"/>
          <w:lang w:val="en-GB"/>
        </w:rPr>
        <w:t xml:space="preserve">cause of </w:t>
      </w:r>
      <w:r w:rsidR="009F5BE4" w:rsidRPr="00E17D79">
        <w:rPr>
          <w:rFonts w:ascii="Book Antiqua" w:hAnsi="Book Antiqua" w:cs="Arial"/>
          <w:lang w:val="en-GB"/>
        </w:rPr>
        <w:t>sHLH</w:t>
      </w:r>
      <w:r w:rsidR="00204528" w:rsidRPr="00E17D79">
        <w:rPr>
          <w:rFonts w:ascii="Book Antiqua" w:hAnsi="Book Antiqua" w:cs="Arial"/>
          <w:vertAlign w:val="superscript"/>
          <w:lang w:val="en-GB"/>
        </w:rPr>
        <w:t>[</w:t>
      </w:r>
      <w:r w:rsidR="005F5D19" w:rsidRPr="00E17D79">
        <w:rPr>
          <w:rFonts w:ascii="Book Antiqua" w:hAnsi="Book Antiqua" w:cs="Arial"/>
          <w:vertAlign w:val="superscript"/>
          <w:lang w:val="en-GB"/>
        </w:rPr>
        <w:t>7,10,</w:t>
      </w:r>
      <w:r w:rsidR="002F03CA" w:rsidRPr="00E17D79">
        <w:rPr>
          <w:rFonts w:ascii="Book Antiqua" w:hAnsi="Book Antiqua" w:cs="Arial"/>
          <w:vertAlign w:val="superscript"/>
          <w:lang w:val="en-GB"/>
        </w:rPr>
        <w:t>20</w:t>
      </w:r>
      <w:r w:rsidR="00204528" w:rsidRPr="00E17D79">
        <w:rPr>
          <w:rFonts w:ascii="Book Antiqua" w:hAnsi="Book Antiqua" w:cs="Arial"/>
          <w:vertAlign w:val="superscript"/>
          <w:lang w:val="en-GB"/>
        </w:rPr>
        <w:t>]</w:t>
      </w:r>
      <w:r w:rsidR="00983C5A" w:rsidRPr="00E17D79">
        <w:rPr>
          <w:rFonts w:ascii="Book Antiqua" w:hAnsi="Book Antiqua" w:cs="Arial"/>
          <w:lang w:val="en-GB"/>
        </w:rPr>
        <w:t>.</w:t>
      </w:r>
    </w:p>
    <w:p w14:paraId="205D39BA" w14:textId="6B0BCB1B" w:rsidR="004A757B" w:rsidRPr="00E17D79" w:rsidRDefault="004A757B"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Several clinical and laboratory parameters have been associated with worse prognosis. Our results are in agreement with previous studies who also under</w:t>
      </w:r>
      <w:r w:rsidR="00FA2A6B" w:rsidRPr="00E17D79">
        <w:rPr>
          <w:rFonts w:ascii="Book Antiqua" w:hAnsi="Book Antiqua" w:cs="Arial"/>
          <w:lang w:val="en-GB"/>
        </w:rPr>
        <w:t>score</w:t>
      </w:r>
      <w:r w:rsidRPr="00E17D79">
        <w:rPr>
          <w:rFonts w:ascii="Book Antiqua" w:hAnsi="Book Antiqua" w:cs="Arial"/>
          <w:lang w:val="en-GB"/>
        </w:rPr>
        <w:t xml:space="preserve"> the </w:t>
      </w:r>
      <w:r w:rsidR="000B0838" w:rsidRPr="00E17D79">
        <w:rPr>
          <w:rFonts w:ascii="Book Antiqua" w:hAnsi="Book Antiqua" w:cs="Arial"/>
          <w:lang w:val="en-GB"/>
        </w:rPr>
        <w:t>association</w:t>
      </w:r>
      <w:r w:rsidRPr="00E17D79">
        <w:rPr>
          <w:rFonts w:ascii="Book Antiqua" w:hAnsi="Book Antiqua" w:cs="Arial"/>
          <w:lang w:val="en-GB"/>
        </w:rPr>
        <w:t xml:space="preserve"> of both </w:t>
      </w:r>
      <w:r w:rsidR="000B0838" w:rsidRPr="00E17D79">
        <w:rPr>
          <w:rFonts w:ascii="Book Antiqua" w:hAnsi="Book Antiqua" w:cs="Arial"/>
          <w:lang w:val="en-GB"/>
        </w:rPr>
        <w:t>decreased</w:t>
      </w:r>
      <w:r w:rsidR="00822298" w:rsidRPr="00E17D79">
        <w:rPr>
          <w:rFonts w:ascii="Book Antiqua" w:hAnsi="Book Antiqua" w:cs="Arial"/>
          <w:lang w:val="en-GB"/>
        </w:rPr>
        <w:t xml:space="preserve"> </w:t>
      </w:r>
      <w:r w:rsidR="000B0838" w:rsidRPr="00E17D79">
        <w:rPr>
          <w:rFonts w:ascii="Book Antiqua" w:hAnsi="Book Antiqua" w:cs="Arial"/>
          <w:lang w:val="en-GB"/>
        </w:rPr>
        <w:t>PLT</w:t>
      </w:r>
      <w:r w:rsidR="00EF4461" w:rsidRPr="00E17D79">
        <w:rPr>
          <w:rFonts w:ascii="Book Antiqua" w:hAnsi="Book Antiqua" w:cs="Arial"/>
          <w:lang w:val="en-GB"/>
        </w:rPr>
        <w:t>s</w:t>
      </w:r>
      <w:r w:rsidR="00822298" w:rsidRPr="00E17D79">
        <w:rPr>
          <w:rFonts w:ascii="Book Antiqua" w:hAnsi="Book Antiqua" w:cs="Arial"/>
          <w:lang w:val="en-GB"/>
        </w:rPr>
        <w:t xml:space="preserve"> </w:t>
      </w:r>
      <w:r w:rsidR="008C2A14" w:rsidRPr="00E17D79">
        <w:rPr>
          <w:rFonts w:ascii="Book Antiqua" w:hAnsi="Book Antiqua" w:cs="Arial"/>
          <w:lang w:val="en-GB"/>
        </w:rPr>
        <w:t>count</w:t>
      </w:r>
      <w:r w:rsidR="008C2A14" w:rsidRPr="00E17D79">
        <w:rPr>
          <w:rFonts w:ascii="Book Antiqua" w:hAnsi="Book Antiqua" w:cs="Arial"/>
          <w:vertAlign w:val="superscript"/>
          <w:lang w:val="en-GB"/>
        </w:rPr>
        <w:t>[14,20</w:t>
      </w:r>
      <w:r w:rsidRPr="00E17D79">
        <w:rPr>
          <w:rFonts w:ascii="Book Antiqua" w:hAnsi="Book Antiqua" w:cs="Arial"/>
          <w:vertAlign w:val="superscript"/>
          <w:lang w:val="en-GB"/>
        </w:rPr>
        <w:t>,</w:t>
      </w:r>
      <w:r w:rsidR="00EF4461" w:rsidRPr="00E17D79">
        <w:rPr>
          <w:rFonts w:ascii="Book Antiqua" w:hAnsi="Book Antiqua" w:cs="Arial"/>
          <w:vertAlign w:val="superscript"/>
          <w:lang w:val="en-GB"/>
        </w:rPr>
        <w:t>31]</w:t>
      </w:r>
      <w:r w:rsidR="00EF4461" w:rsidRPr="00E17D79">
        <w:rPr>
          <w:rFonts w:ascii="Book Antiqua" w:hAnsi="Book Antiqua" w:cs="Arial"/>
          <w:lang w:val="en-GB"/>
        </w:rPr>
        <w:t xml:space="preserve"> and </w:t>
      </w:r>
      <w:r w:rsidR="00FA2A6B" w:rsidRPr="00E17D79">
        <w:rPr>
          <w:rFonts w:ascii="Book Antiqua" w:hAnsi="Book Antiqua" w:cs="Arial"/>
          <w:lang w:val="en-US"/>
        </w:rPr>
        <w:t xml:space="preserve">the presence of </w:t>
      </w:r>
      <w:r w:rsidR="008C2A14" w:rsidRPr="00E17D79">
        <w:rPr>
          <w:rFonts w:ascii="Book Antiqua" w:hAnsi="Book Antiqua" w:cs="Arial"/>
          <w:lang w:val="en-GB"/>
        </w:rPr>
        <w:t>DIC</w:t>
      </w:r>
      <w:r w:rsidR="008C2A14" w:rsidRPr="00E17D79">
        <w:rPr>
          <w:rFonts w:ascii="Book Antiqua" w:hAnsi="Book Antiqua" w:cs="Arial"/>
          <w:vertAlign w:val="superscript"/>
          <w:lang w:val="en-GB"/>
        </w:rPr>
        <w:t>[32</w:t>
      </w:r>
      <w:r w:rsidRPr="00E17D79">
        <w:rPr>
          <w:rFonts w:ascii="Book Antiqua" w:hAnsi="Book Antiqua" w:cs="Arial"/>
          <w:vertAlign w:val="superscript"/>
          <w:lang w:val="en-GB"/>
        </w:rPr>
        <w:t>]</w:t>
      </w:r>
      <w:r w:rsidR="000B0838" w:rsidRPr="00E17D79">
        <w:rPr>
          <w:rFonts w:ascii="Book Antiqua" w:hAnsi="Book Antiqua" w:cs="Arial"/>
          <w:lang w:val="en-GB"/>
        </w:rPr>
        <w:t xml:space="preserve"> with</w:t>
      </w:r>
      <w:r w:rsidRPr="00E17D79">
        <w:rPr>
          <w:rFonts w:ascii="Book Antiqua" w:hAnsi="Book Antiqua" w:cs="Arial"/>
          <w:lang w:val="en-GB"/>
        </w:rPr>
        <w:t xml:space="preserve"> poor outcome.</w:t>
      </w:r>
      <w:r w:rsidR="00822298" w:rsidRPr="00E17D79">
        <w:rPr>
          <w:rFonts w:ascii="Book Antiqua" w:hAnsi="Book Antiqua" w:cs="Arial"/>
          <w:lang w:val="en-GB"/>
        </w:rPr>
        <w:t xml:space="preserve"> </w:t>
      </w:r>
      <w:r w:rsidRPr="00E17D79">
        <w:rPr>
          <w:rFonts w:ascii="Book Antiqua" w:hAnsi="Book Antiqua" w:cs="Arial"/>
          <w:lang w:val="en-GB"/>
        </w:rPr>
        <w:t>In addition, although remission was more frequent in patients with underlying infections (81.4%) and</w:t>
      </w:r>
      <w:r w:rsidR="00C96F10" w:rsidRPr="00E17D79">
        <w:rPr>
          <w:rFonts w:ascii="Book Antiqua" w:hAnsi="Book Antiqua" w:cs="Arial"/>
          <w:lang w:val="en-GB"/>
        </w:rPr>
        <w:t xml:space="preserve"> autoimmune diseases (83.3%) compared to</w:t>
      </w:r>
      <w:r w:rsidRPr="00E17D79">
        <w:rPr>
          <w:rFonts w:ascii="Book Antiqua" w:hAnsi="Book Antiqua" w:cs="Arial"/>
          <w:lang w:val="en-GB"/>
        </w:rPr>
        <w:t xml:space="preserve"> patients with underlying neoplastic diseases (60%), </w:t>
      </w:r>
      <w:r w:rsidR="005D14DB" w:rsidRPr="00E17D79">
        <w:rPr>
          <w:rFonts w:ascii="Book Antiqua" w:hAnsi="Book Antiqua" w:cs="Arial"/>
          <w:lang w:val="en-GB"/>
        </w:rPr>
        <w:t xml:space="preserve">this </w:t>
      </w:r>
      <w:r w:rsidRPr="00E17D79">
        <w:rPr>
          <w:rFonts w:ascii="Book Antiqua" w:hAnsi="Book Antiqua" w:cs="Arial"/>
          <w:lang w:val="en-GB"/>
        </w:rPr>
        <w:t xml:space="preserve">difference </w:t>
      </w:r>
      <w:r w:rsidR="005D14DB" w:rsidRPr="00E17D79">
        <w:rPr>
          <w:rFonts w:ascii="Book Antiqua" w:hAnsi="Book Antiqua" w:cs="Arial"/>
          <w:lang w:val="en-GB"/>
        </w:rPr>
        <w:t>did</w:t>
      </w:r>
      <w:r w:rsidRPr="00E17D79">
        <w:rPr>
          <w:rFonts w:ascii="Book Antiqua" w:hAnsi="Book Antiqua" w:cs="Arial"/>
          <w:lang w:val="en-GB"/>
        </w:rPr>
        <w:t xml:space="preserve"> not </w:t>
      </w:r>
      <w:r w:rsidR="003D4A55" w:rsidRPr="00E17D79">
        <w:rPr>
          <w:rFonts w:ascii="Book Antiqua" w:hAnsi="Book Antiqua" w:cs="Arial"/>
          <w:lang w:val="en-GB"/>
        </w:rPr>
        <w:t xml:space="preserve">achieve </w:t>
      </w:r>
      <w:r w:rsidRPr="00E17D79">
        <w:rPr>
          <w:rFonts w:ascii="Book Antiqua" w:hAnsi="Book Antiqua" w:cs="Arial"/>
          <w:lang w:val="en-GB"/>
        </w:rPr>
        <w:t>statistical significan</w:t>
      </w:r>
      <w:r w:rsidR="003D4A55" w:rsidRPr="00E17D79">
        <w:rPr>
          <w:rFonts w:ascii="Book Antiqua" w:hAnsi="Book Antiqua" w:cs="Arial"/>
          <w:lang w:val="en-GB"/>
        </w:rPr>
        <w:t>ce</w:t>
      </w:r>
      <w:r w:rsidRPr="00E17D79">
        <w:rPr>
          <w:rFonts w:ascii="Book Antiqua" w:hAnsi="Book Antiqua" w:cs="Arial"/>
          <w:lang w:val="en-GB"/>
        </w:rPr>
        <w:t>.</w:t>
      </w:r>
      <w:r w:rsidR="00822298" w:rsidRPr="00E17D79">
        <w:rPr>
          <w:rFonts w:ascii="Book Antiqua" w:hAnsi="Book Antiqua" w:cs="Arial"/>
          <w:lang w:val="en-GB"/>
        </w:rPr>
        <w:t xml:space="preserve"> U</w:t>
      </w:r>
      <w:r w:rsidRPr="00E17D79">
        <w:rPr>
          <w:rFonts w:ascii="Book Antiqua" w:hAnsi="Book Antiqua" w:cs="Arial"/>
          <w:lang w:val="en-GB"/>
        </w:rPr>
        <w:t>nderlying malig</w:t>
      </w:r>
      <w:r w:rsidR="003D4A55" w:rsidRPr="00E17D79">
        <w:rPr>
          <w:rFonts w:ascii="Book Antiqua" w:hAnsi="Book Antiqua" w:cs="Arial"/>
          <w:lang w:val="en-GB"/>
        </w:rPr>
        <w:t xml:space="preserve">nancies </w:t>
      </w:r>
      <w:r w:rsidRPr="00E17D79">
        <w:rPr>
          <w:rFonts w:ascii="Book Antiqua" w:hAnsi="Book Antiqua" w:cs="Arial"/>
          <w:lang w:val="en-GB"/>
        </w:rPr>
        <w:t xml:space="preserve">have </w:t>
      </w:r>
      <w:r w:rsidR="00822298" w:rsidRPr="00E17D79">
        <w:rPr>
          <w:rFonts w:ascii="Book Antiqua" w:hAnsi="Book Antiqua" w:cs="Arial"/>
          <w:lang w:val="en-GB"/>
        </w:rPr>
        <w:t xml:space="preserve">already </w:t>
      </w:r>
      <w:r w:rsidRPr="00E17D79">
        <w:rPr>
          <w:rFonts w:ascii="Book Antiqua" w:hAnsi="Book Antiqua" w:cs="Arial"/>
          <w:lang w:val="en-GB"/>
        </w:rPr>
        <w:t>been implicated f</w:t>
      </w:r>
      <w:r w:rsidR="003D4A55" w:rsidRPr="00E17D79">
        <w:rPr>
          <w:rFonts w:ascii="Book Antiqua" w:hAnsi="Book Antiqua" w:cs="Arial"/>
          <w:lang w:val="en-GB"/>
        </w:rPr>
        <w:t>or worse survival</w:t>
      </w:r>
      <w:r w:rsidR="003D4A55" w:rsidRPr="00E17D79">
        <w:rPr>
          <w:rFonts w:ascii="Book Antiqua" w:hAnsi="Book Antiqua" w:cs="Arial"/>
          <w:vertAlign w:val="superscript"/>
          <w:lang w:val="en-GB"/>
        </w:rPr>
        <w:t>[9,10,16,20,31</w:t>
      </w:r>
      <w:r w:rsidR="006A2462" w:rsidRPr="00E17D79">
        <w:rPr>
          <w:rFonts w:ascii="Book Antiqua" w:hAnsi="Book Antiqua" w:cs="Arial"/>
          <w:vertAlign w:val="superscript"/>
          <w:lang w:val="en-GB"/>
        </w:rPr>
        <w:t>,33</w:t>
      </w:r>
      <w:r w:rsidRPr="00E17D79">
        <w:rPr>
          <w:rFonts w:ascii="Book Antiqua" w:hAnsi="Book Antiqua" w:cs="Arial"/>
          <w:vertAlign w:val="superscript"/>
          <w:lang w:val="en-GB"/>
        </w:rPr>
        <w:t>]</w:t>
      </w:r>
      <w:r w:rsidRPr="00E17D79">
        <w:rPr>
          <w:rFonts w:ascii="Book Antiqua" w:hAnsi="Book Antiqua" w:cs="Arial"/>
          <w:lang w:val="en-GB"/>
        </w:rPr>
        <w:t xml:space="preserve">. </w:t>
      </w:r>
      <w:r w:rsidR="00F268F6" w:rsidRPr="00E17D79">
        <w:rPr>
          <w:rFonts w:ascii="Book Antiqua" w:hAnsi="Book Antiqua" w:cs="Arial"/>
          <w:lang w:val="en-GB"/>
        </w:rPr>
        <w:t>In</w:t>
      </w:r>
      <w:r w:rsidR="000B0838" w:rsidRPr="00E17D79">
        <w:rPr>
          <w:rFonts w:ascii="Book Antiqua" w:hAnsi="Book Antiqua" w:cs="Arial"/>
          <w:lang w:val="en-GB"/>
        </w:rPr>
        <w:t xml:space="preserve"> our cohort</w:t>
      </w:r>
      <w:r w:rsidR="00F268F6" w:rsidRPr="00E17D79">
        <w:rPr>
          <w:rFonts w:ascii="Book Antiqua" w:hAnsi="Book Antiqua" w:cs="Arial"/>
          <w:lang w:val="en-GB"/>
        </w:rPr>
        <w:t xml:space="preserve"> only 13 patients (16.2%) had an underlying neoplastic disease which could also </w:t>
      </w:r>
      <w:r w:rsidR="00F268F6" w:rsidRPr="00E17D79">
        <w:rPr>
          <w:rFonts w:ascii="Book Antiqua" w:hAnsi="Book Antiqua" w:cs="Arial"/>
          <w:lang w:val="en-US"/>
        </w:rPr>
        <w:t>contribute partly to</w:t>
      </w:r>
      <w:r w:rsidR="00F268F6" w:rsidRPr="00E17D79">
        <w:rPr>
          <w:rFonts w:ascii="Book Antiqua" w:hAnsi="Book Antiqua" w:cs="Arial"/>
          <w:lang w:val="en-GB"/>
        </w:rPr>
        <w:t xml:space="preserve"> the low total </w:t>
      </w:r>
      <w:r w:rsidR="00312C15" w:rsidRPr="00E17D79">
        <w:rPr>
          <w:rFonts w:ascii="Book Antiqua" w:hAnsi="Book Antiqua" w:cs="Arial"/>
          <w:lang w:val="en-GB"/>
        </w:rPr>
        <w:t xml:space="preserve">30-d </w:t>
      </w:r>
      <w:r w:rsidR="00F268F6" w:rsidRPr="00E17D79">
        <w:rPr>
          <w:rFonts w:ascii="Book Antiqua" w:hAnsi="Book Antiqua" w:cs="Arial"/>
          <w:lang w:val="en-GB"/>
        </w:rPr>
        <w:t xml:space="preserve">mortality rate </w:t>
      </w:r>
      <w:r w:rsidR="00EF4461" w:rsidRPr="00E17D79">
        <w:rPr>
          <w:rFonts w:ascii="Book Antiqua" w:hAnsi="Book Antiqua" w:cs="Arial"/>
          <w:lang w:val="en-GB"/>
        </w:rPr>
        <w:t>of our</w:t>
      </w:r>
      <w:r w:rsidR="000B0838" w:rsidRPr="00E17D79">
        <w:rPr>
          <w:rFonts w:ascii="Book Antiqua" w:hAnsi="Book Antiqua" w:cs="Arial"/>
          <w:lang w:val="en-GB"/>
        </w:rPr>
        <w:t xml:space="preserve"> patients </w:t>
      </w:r>
      <w:r w:rsidR="00F268F6" w:rsidRPr="00E17D79">
        <w:rPr>
          <w:rFonts w:ascii="Book Antiqua" w:hAnsi="Book Antiqua" w:cs="Arial"/>
          <w:lang w:val="en-GB"/>
        </w:rPr>
        <w:t xml:space="preserve">(15%). </w:t>
      </w:r>
      <w:r w:rsidRPr="00E17D79">
        <w:rPr>
          <w:rFonts w:ascii="Book Antiqua" w:hAnsi="Book Antiqua" w:cs="Arial"/>
          <w:lang w:val="en-GB"/>
        </w:rPr>
        <w:t>One month-survival was also worse for patients in the older age group (&gt;</w:t>
      </w:r>
      <w:r w:rsidR="00345AAF" w:rsidRPr="00E17D79">
        <w:rPr>
          <w:rFonts w:ascii="Book Antiqua" w:hAnsi="Book Antiqua" w:cs="Arial"/>
          <w:lang w:val="en-GB"/>
        </w:rPr>
        <w:t xml:space="preserve"> </w:t>
      </w:r>
      <w:r w:rsidRPr="00E17D79">
        <w:rPr>
          <w:rFonts w:ascii="Book Antiqua" w:hAnsi="Book Antiqua" w:cs="Arial"/>
          <w:lang w:val="en-GB"/>
        </w:rPr>
        <w:t>60 year</w:t>
      </w:r>
      <w:r w:rsidR="003D4A55" w:rsidRPr="00E17D79">
        <w:rPr>
          <w:rFonts w:ascii="Book Antiqua" w:hAnsi="Book Antiqua" w:cs="Arial"/>
          <w:lang w:val="en-GB"/>
        </w:rPr>
        <w:t>s</w:t>
      </w:r>
      <w:r w:rsidRPr="00E17D79">
        <w:rPr>
          <w:rFonts w:ascii="Book Antiqua" w:hAnsi="Book Antiqua" w:cs="Arial"/>
          <w:lang w:val="en-GB"/>
        </w:rPr>
        <w:t>)</w:t>
      </w:r>
      <w:r w:rsidR="003D4A55" w:rsidRPr="00E17D79">
        <w:rPr>
          <w:rFonts w:ascii="Book Antiqua" w:hAnsi="Book Antiqua" w:cs="Arial"/>
          <w:lang w:val="en-GB"/>
        </w:rPr>
        <w:t xml:space="preserve"> although the age was not an independent predictor of treatment response in the multivariate analysis</w:t>
      </w:r>
      <w:r w:rsidRPr="00E17D79">
        <w:rPr>
          <w:rFonts w:ascii="Book Antiqua" w:hAnsi="Book Antiqua" w:cs="Arial"/>
          <w:lang w:val="en-GB"/>
        </w:rPr>
        <w:t>.</w:t>
      </w:r>
      <w:r w:rsidR="00EF4461" w:rsidRPr="00E17D79">
        <w:rPr>
          <w:rFonts w:ascii="Book Antiqua" w:hAnsi="Book Antiqua" w:cs="Arial"/>
          <w:lang w:val="en-GB"/>
        </w:rPr>
        <w:t xml:space="preserve"> Increased</w:t>
      </w:r>
      <w:r w:rsidR="003D4A55" w:rsidRPr="00E17D79">
        <w:rPr>
          <w:rFonts w:ascii="Book Antiqua" w:hAnsi="Book Antiqua" w:cs="Arial"/>
          <w:lang w:val="en-GB"/>
        </w:rPr>
        <w:t xml:space="preserve"> age, especially</w:t>
      </w:r>
      <w:r w:rsidRPr="00E17D79">
        <w:rPr>
          <w:rFonts w:ascii="Book Antiqua" w:hAnsi="Book Antiqua" w:cs="Arial"/>
          <w:lang w:val="en-GB"/>
        </w:rPr>
        <w:t xml:space="preserve"> </w:t>
      </w:r>
      <w:r w:rsidR="00822298" w:rsidRPr="00E17D79">
        <w:rPr>
          <w:rFonts w:ascii="Book Antiqua" w:hAnsi="Book Antiqua" w:cs="Arial"/>
          <w:lang w:val="en-GB"/>
        </w:rPr>
        <w:t>above</w:t>
      </w:r>
      <w:r w:rsidRPr="00E17D79">
        <w:rPr>
          <w:rFonts w:ascii="Book Antiqua" w:hAnsi="Book Antiqua" w:cs="Arial"/>
          <w:lang w:val="en-GB"/>
        </w:rPr>
        <w:t xml:space="preserve"> 50 years, seems to be a significant factor associated with mortality</w:t>
      </w:r>
      <w:r w:rsidR="00822298" w:rsidRPr="00E17D79">
        <w:rPr>
          <w:rFonts w:ascii="Book Antiqua" w:hAnsi="Book Antiqua" w:cs="Arial"/>
          <w:lang w:val="en-GB"/>
        </w:rPr>
        <w:t xml:space="preserve"> </w:t>
      </w:r>
      <w:r w:rsidRPr="00E17D79">
        <w:rPr>
          <w:rFonts w:ascii="Book Antiqua" w:hAnsi="Book Antiqua" w:cs="Arial"/>
          <w:lang w:val="en-GB"/>
        </w:rPr>
        <w:t>as these patients are more susceptible to multiple</w:t>
      </w:r>
      <w:r w:rsidR="00822298" w:rsidRPr="00E17D79">
        <w:rPr>
          <w:rFonts w:ascii="Book Antiqua" w:hAnsi="Book Antiqua" w:cs="Arial"/>
          <w:lang w:val="en-GB"/>
        </w:rPr>
        <w:t xml:space="preserve"> </w:t>
      </w:r>
      <w:r w:rsidRPr="00E17D79">
        <w:rPr>
          <w:rFonts w:ascii="Book Antiqua" w:hAnsi="Book Antiqua" w:cs="Arial"/>
          <w:lang w:val="en-GB"/>
        </w:rPr>
        <w:t>severe organ dysfunction</w:t>
      </w:r>
      <w:r w:rsidR="006A2462" w:rsidRPr="00E17D79">
        <w:rPr>
          <w:rFonts w:ascii="Book Antiqua" w:hAnsi="Book Antiqua" w:cs="Arial"/>
          <w:vertAlign w:val="superscript"/>
          <w:lang w:val="en-GB"/>
        </w:rPr>
        <w:t>[16</w:t>
      </w:r>
      <w:r w:rsidRPr="00E17D79">
        <w:rPr>
          <w:rFonts w:ascii="Book Antiqua" w:hAnsi="Book Antiqua" w:cs="Arial"/>
          <w:vertAlign w:val="superscript"/>
          <w:lang w:val="en-GB"/>
        </w:rPr>
        <w:t>]</w:t>
      </w:r>
      <w:r w:rsidRPr="00E17D79">
        <w:rPr>
          <w:rFonts w:ascii="Book Antiqua" w:hAnsi="Book Antiqua" w:cs="Arial"/>
          <w:lang w:val="en-GB"/>
        </w:rPr>
        <w:t>.</w:t>
      </w:r>
      <w:r w:rsidR="00822298" w:rsidRPr="00E17D79">
        <w:rPr>
          <w:rFonts w:ascii="Book Antiqua" w:hAnsi="Book Antiqua" w:cs="Arial"/>
          <w:lang w:val="en-GB"/>
        </w:rPr>
        <w:t xml:space="preserve"> </w:t>
      </w:r>
      <w:r w:rsidR="00C96F10" w:rsidRPr="00E17D79">
        <w:rPr>
          <w:rFonts w:ascii="Book Antiqua" w:hAnsi="Book Antiqua" w:cs="Arial"/>
          <w:lang w:val="en-GB"/>
        </w:rPr>
        <w:t>Contrary to our findings, many ot</w:t>
      </w:r>
      <w:r w:rsidRPr="00E17D79">
        <w:rPr>
          <w:rFonts w:ascii="Book Antiqua" w:hAnsi="Book Antiqua" w:cs="Arial"/>
          <w:lang w:val="en-GB"/>
        </w:rPr>
        <w:t xml:space="preserve">her negative prognostic factors </w:t>
      </w:r>
      <w:r w:rsidR="00810287" w:rsidRPr="00E17D79">
        <w:rPr>
          <w:rFonts w:ascii="Book Antiqua" w:hAnsi="Book Antiqua" w:cs="Arial"/>
          <w:lang w:val="en-GB"/>
        </w:rPr>
        <w:t xml:space="preserve">have </w:t>
      </w:r>
      <w:r w:rsidR="00C96F10" w:rsidRPr="00E17D79">
        <w:rPr>
          <w:rFonts w:ascii="Book Antiqua" w:hAnsi="Book Antiqua" w:cs="Arial"/>
          <w:lang w:val="en-GB"/>
        </w:rPr>
        <w:t xml:space="preserve">already </w:t>
      </w:r>
      <w:r w:rsidR="00810287" w:rsidRPr="00E17D79">
        <w:rPr>
          <w:rFonts w:ascii="Book Antiqua" w:hAnsi="Book Antiqua" w:cs="Arial"/>
          <w:lang w:val="en-GB"/>
        </w:rPr>
        <w:t xml:space="preserve">been </w:t>
      </w:r>
      <w:r w:rsidRPr="00E17D79">
        <w:rPr>
          <w:rFonts w:ascii="Book Antiqua" w:hAnsi="Book Antiqua" w:cs="Arial"/>
          <w:lang w:val="en-GB"/>
        </w:rPr>
        <w:t xml:space="preserve">reported </w:t>
      </w:r>
      <w:r w:rsidR="003D4A55" w:rsidRPr="00E17D79">
        <w:rPr>
          <w:rFonts w:ascii="Book Antiqua" w:hAnsi="Book Antiqua" w:cs="Arial"/>
          <w:lang w:val="en-GB"/>
        </w:rPr>
        <w:t>in</w:t>
      </w:r>
      <w:r w:rsidRPr="00E17D79">
        <w:rPr>
          <w:rFonts w:ascii="Book Antiqua" w:hAnsi="Book Antiqua" w:cs="Arial"/>
          <w:lang w:val="en-GB"/>
        </w:rPr>
        <w:t xml:space="preserve"> previous </w:t>
      </w:r>
      <w:r w:rsidR="003D4A55" w:rsidRPr="00E17D79">
        <w:rPr>
          <w:rFonts w:ascii="Book Antiqua" w:hAnsi="Book Antiqua" w:cs="Arial"/>
          <w:lang w:val="en-GB"/>
        </w:rPr>
        <w:t>studies</w:t>
      </w:r>
      <w:r w:rsidR="00C96F10" w:rsidRPr="00E17D79">
        <w:rPr>
          <w:rFonts w:ascii="Book Antiqua" w:hAnsi="Book Antiqua" w:cs="Arial"/>
          <w:lang w:val="en-GB"/>
        </w:rPr>
        <w:t xml:space="preserve"> including</w:t>
      </w:r>
      <w:r w:rsidRPr="00E17D79">
        <w:rPr>
          <w:rFonts w:ascii="Book Antiqua" w:hAnsi="Book Antiqua" w:cs="Arial"/>
          <w:lang w:val="en-GB"/>
        </w:rPr>
        <w:t xml:space="preserve"> male sex, central nervous system involvement, </w:t>
      </w:r>
      <w:r w:rsidR="00690A83" w:rsidRPr="00E17D79">
        <w:rPr>
          <w:rFonts w:ascii="Book Antiqua" w:hAnsi="Book Antiqua" w:cs="Arial"/>
          <w:lang w:val="en-GB"/>
        </w:rPr>
        <w:t xml:space="preserve">remarkably high </w:t>
      </w:r>
      <w:r w:rsidRPr="00E17D79">
        <w:rPr>
          <w:rFonts w:ascii="Book Antiqua" w:hAnsi="Book Antiqua" w:cs="Arial"/>
          <w:lang w:val="en-GB"/>
        </w:rPr>
        <w:t>ferritin</w:t>
      </w:r>
      <w:r w:rsidR="00690A83" w:rsidRPr="00E17D79">
        <w:rPr>
          <w:rFonts w:ascii="Book Antiqua" w:hAnsi="Book Antiqua" w:cs="Arial"/>
          <w:lang w:val="en-GB"/>
        </w:rPr>
        <w:t xml:space="preserve"> levels</w:t>
      </w:r>
      <w:r w:rsidR="00822298" w:rsidRPr="00E17D79">
        <w:rPr>
          <w:rFonts w:ascii="Book Antiqua" w:hAnsi="Book Antiqua" w:cs="Arial"/>
          <w:lang w:val="en-GB"/>
        </w:rPr>
        <w:t xml:space="preserve"> </w:t>
      </w:r>
      <w:r w:rsidR="00B16652" w:rsidRPr="00E17D79">
        <w:rPr>
          <w:rFonts w:ascii="Book Antiqua" w:hAnsi="Book Antiqua" w:cs="Arial"/>
          <w:lang w:val="en-GB"/>
        </w:rPr>
        <w:t>(</w:t>
      </w:r>
      <w:r w:rsidRPr="00E17D79">
        <w:rPr>
          <w:rFonts w:ascii="Book Antiqua" w:hAnsi="Book Antiqua" w:cs="Arial"/>
          <w:lang w:val="en-GB"/>
        </w:rPr>
        <w:t>&gt;</w:t>
      </w:r>
      <w:r w:rsidR="00345AAF" w:rsidRPr="00E17D79">
        <w:rPr>
          <w:rFonts w:ascii="Book Antiqua" w:hAnsi="Book Antiqua" w:cs="Arial"/>
          <w:lang w:val="en-GB"/>
        </w:rPr>
        <w:t xml:space="preserve"> </w:t>
      </w:r>
      <w:r w:rsidRPr="00E17D79">
        <w:rPr>
          <w:rFonts w:ascii="Book Antiqua" w:hAnsi="Book Antiqua" w:cs="Arial"/>
          <w:lang w:val="en-GB"/>
        </w:rPr>
        <w:t>50000</w:t>
      </w:r>
      <w:r w:rsidR="00822298" w:rsidRPr="00E17D79">
        <w:rPr>
          <w:rFonts w:ascii="Book Antiqua" w:hAnsi="Book Antiqua" w:cs="Arial"/>
          <w:lang w:val="en-GB"/>
        </w:rPr>
        <w:t xml:space="preserve"> </w:t>
      </w:r>
      <w:r w:rsidR="00EF4461" w:rsidRPr="00E17D79">
        <w:rPr>
          <w:rFonts w:ascii="Book Antiqua" w:hAnsi="Book Antiqua" w:cs="Arial"/>
          <w:lang w:val="en-GB"/>
        </w:rPr>
        <w:t>ng/mL</w:t>
      </w:r>
      <w:r w:rsidR="00B16652" w:rsidRPr="00E17D79">
        <w:rPr>
          <w:rFonts w:ascii="Book Antiqua" w:hAnsi="Book Antiqua" w:cs="Arial"/>
          <w:lang w:val="en-GB"/>
        </w:rPr>
        <w:t>)</w:t>
      </w:r>
      <w:r w:rsidRPr="00E17D79">
        <w:rPr>
          <w:rFonts w:ascii="Book Antiqua" w:hAnsi="Book Antiqua" w:cs="Arial"/>
          <w:lang w:val="en-GB"/>
        </w:rPr>
        <w:t xml:space="preserve">, persisting fever </w:t>
      </w:r>
      <w:r w:rsidR="003D4A55" w:rsidRPr="00E17D79">
        <w:rPr>
          <w:rFonts w:ascii="Book Antiqua" w:hAnsi="Book Antiqua" w:cs="Arial"/>
          <w:lang w:val="en-GB"/>
        </w:rPr>
        <w:t xml:space="preserve">for </w:t>
      </w:r>
      <w:r w:rsidRPr="00E17D79">
        <w:rPr>
          <w:rFonts w:ascii="Book Antiqua" w:hAnsi="Book Antiqua" w:cs="Arial"/>
          <w:lang w:val="en-GB"/>
        </w:rPr>
        <w:t>more than 3 d despite treatment,</w:t>
      </w:r>
      <w:r w:rsidR="00822298" w:rsidRPr="00E17D79">
        <w:rPr>
          <w:rFonts w:ascii="Book Antiqua" w:hAnsi="Book Antiqua" w:cs="Arial"/>
          <w:lang w:val="en-GB"/>
        </w:rPr>
        <w:t xml:space="preserve"> </w:t>
      </w:r>
      <w:r w:rsidR="00690A83" w:rsidRPr="00E17D79">
        <w:rPr>
          <w:rFonts w:ascii="Book Antiqua" w:hAnsi="Book Antiqua" w:cs="Arial"/>
          <w:lang w:val="en-GB"/>
        </w:rPr>
        <w:t xml:space="preserve">low </w:t>
      </w:r>
      <w:r w:rsidRPr="00E17D79">
        <w:rPr>
          <w:rFonts w:ascii="Book Antiqua" w:hAnsi="Book Antiqua" w:cs="Arial"/>
          <w:lang w:val="en-GB"/>
        </w:rPr>
        <w:t>albumin</w:t>
      </w:r>
      <w:r w:rsidR="00690A83" w:rsidRPr="00E17D79">
        <w:rPr>
          <w:rFonts w:ascii="Book Antiqua" w:hAnsi="Book Antiqua" w:cs="Arial"/>
          <w:lang w:val="en-GB"/>
        </w:rPr>
        <w:t xml:space="preserve"> levels</w:t>
      </w:r>
      <w:r w:rsidRPr="00E17D79">
        <w:rPr>
          <w:rFonts w:ascii="Book Antiqua" w:hAnsi="Book Antiqua" w:cs="Arial"/>
          <w:lang w:val="en-GB"/>
        </w:rPr>
        <w:t xml:space="preserve">, </w:t>
      </w:r>
      <w:r w:rsidR="00810287" w:rsidRPr="00E17D79">
        <w:rPr>
          <w:rFonts w:ascii="Book Antiqua" w:hAnsi="Book Antiqua" w:cs="Arial"/>
          <w:lang w:val="en-GB"/>
        </w:rPr>
        <w:t xml:space="preserve">and </w:t>
      </w:r>
      <w:r w:rsidR="00AB6024" w:rsidRPr="00E17D79">
        <w:rPr>
          <w:rFonts w:ascii="Book Antiqua" w:hAnsi="Book Antiqua" w:cs="Arial"/>
          <w:lang w:val="en-GB"/>
        </w:rPr>
        <w:t xml:space="preserve">infection with </w:t>
      </w:r>
      <w:r w:rsidR="00810287" w:rsidRPr="00E17D79">
        <w:rPr>
          <w:rFonts w:ascii="Book Antiqua" w:hAnsi="Book Antiqua" w:cs="Arial"/>
          <w:lang w:val="en-GB"/>
        </w:rPr>
        <w:t>more than one</w:t>
      </w:r>
      <w:r w:rsidR="00AB6024" w:rsidRPr="00E17D79">
        <w:rPr>
          <w:rFonts w:ascii="Book Antiqua" w:hAnsi="Book Antiqua" w:cs="Arial"/>
          <w:lang w:val="en-GB"/>
        </w:rPr>
        <w:t xml:space="preserve"> microbiological agent</w:t>
      </w:r>
      <w:r w:rsidR="003D4A55" w:rsidRPr="00E17D79">
        <w:rPr>
          <w:rFonts w:ascii="Book Antiqua" w:hAnsi="Book Antiqua" w:cs="Arial"/>
          <w:vertAlign w:val="superscript"/>
          <w:lang w:val="en-GB"/>
        </w:rPr>
        <w:t>[7,15,16,32,3</w:t>
      </w:r>
      <w:r w:rsidR="006A2462" w:rsidRPr="00E17D79">
        <w:rPr>
          <w:rFonts w:ascii="Book Antiqua" w:hAnsi="Book Antiqua" w:cs="Arial"/>
          <w:vertAlign w:val="superscript"/>
          <w:lang w:val="en-GB"/>
        </w:rPr>
        <w:t>4,35</w:t>
      </w:r>
      <w:r w:rsidRPr="00E17D79">
        <w:rPr>
          <w:rFonts w:ascii="Book Antiqua" w:hAnsi="Book Antiqua" w:cs="Arial"/>
          <w:vertAlign w:val="superscript"/>
          <w:lang w:val="en-GB"/>
        </w:rPr>
        <w:t>]</w:t>
      </w:r>
      <w:r w:rsidRPr="00E17D79">
        <w:rPr>
          <w:rFonts w:ascii="Book Antiqua" w:hAnsi="Book Antiqua" w:cs="Arial"/>
          <w:lang w:val="en-GB"/>
        </w:rPr>
        <w:t>.</w:t>
      </w:r>
    </w:p>
    <w:p w14:paraId="337C45F3" w14:textId="67BB40AD" w:rsidR="003F345F" w:rsidRPr="00E17D79" w:rsidRDefault="00F35320"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lastRenderedPageBreak/>
        <w:t xml:space="preserve">Treatment of </w:t>
      </w:r>
      <w:r w:rsidR="009F5BE4" w:rsidRPr="00E17D79">
        <w:rPr>
          <w:rFonts w:ascii="Book Antiqua" w:hAnsi="Book Antiqua" w:cs="Arial"/>
          <w:lang w:val="en-GB"/>
        </w:rPr>
        <w:t>HLH</w:t>
      </w:r>
      <w:r w:rsidR="00822298" w:rsidRPr="00E17D79">
        <w:rPr>
          <w:rFonts w:ascii="Book Antiqua" w:hAnsi="Book Antiqua" w:cs="Arial"/>
          <w:lang w:val="en-GB"/>
        </w:rPr>
        <w:t xml:space="preserve"> </w:t>
      </w:r>
      <w:r w:rsidR="002A75B2" w:rsidRPr="00E17D79">
        <w:rPr>
          <w:rFonts w:ascii="Book Antiqua" w:hAnsi="Book Antiqua" w:cs="Arial"/>
          <w:lang w:val="en-GB"/>
        </w:rPr>
        <w:t>is challenging</w:t>
      </w:r>
      <w:r w:rsidRPr="00E17D79">
        <w:rPr>
          <w:rFonts w:ascii="Book Antiqua" w:hAnsi="Book Antiqua" w:cs="Arial"/>
          <w:lang w:val="en-GB"/>
        </w:rPr>
        <w:t xml:space="preserve"> and </w:t>
      </w:r>
      <w:r w:rsidR="00B37617" w:rsidRPr="00E17D79">
        <w:rPr>
          <w:rFonts w:ascii="Book Antiqua" w:hAnsi="Book Antiqua" w:cs="Arial"/>
          <w:lang w:val="en-GB"/>
        </w:rPr>
        <w:t xml:space="preserve">has been developed primarily </w:t>
      </w:r>
      <w:r w:rsidR="00810287" w:rsidRPr="00E17D79">
        <w:rPr>
          <w:rFonts w:ascii="Book Antiqua" w:hAnsi="Book Antiqua" w:cs="Arial"/>
          <w:lang w:val="en-GB"/>
        </w:rPr>
        <w:t>for</w:t>
      </w:r>
      <w:r w:rsidR="00B37617" w:rsidRPr="00E17D79">
        <w:rPr>
          <w:rFonts w:ascii="Book Antiqua" w:hAnsi="Book Antiqua" w:cs="Arial"/>
          <w:lang w:val="en-GB"/>
        </w:rPr>
        <w:t xml:space="preserve"> </w:t>
      </w:r>
      <w:r w:rsidR="00FA2A6B" w:rsidRPr="00E17D79">
        <w:rPr>
          <w:rFonts w:ascii="Book Antiqua" w:hAnsi="Book Antiqua" w:cs="Arial"/>
          <w:lang w:val="en-GB"/>
        </w:rPr>
        <w:t xml:space="preserve">the </w:t>
      </w:r>
      <w:r w:rsidR="00B37617" w:rsidRPr="00E17D79">
        <w:rPr>
          <w:rFonts w:ascii="Book Antiqua" w:hAnsi="Book Antiqua" w:cs="Arial"/>
          <w:lang w:val="en-GB"/>
        </w:rPr>
        <w:t>p</w:t>
      </w:r>
      <w:r w:rsidR="00D55C76" w:rsidRPr="00E17D79">
        <w:rPr>
          <w:rFonts w:ascii="Book Antiqua" w:hAnsi="Book Antiqua" w:cs="Arial"/>
          <w:lang w:val="en-GB"/>
        </w:rPr>
        <w:t>a</w:t>
      </w:r>
      <w:r w:rsidR="00B37617" w:rsidRPr="00E17D79">
        <w:rPr>
          <w:rFonts w:ascii="Book Antiqua" w:hAnsi="Book Antiqua" w:cs="Arial"/>
          <w:lang w:val="en-GB"/>
        </w:rPr>
        <w:t xml:space="preserve">ediatric </w:t>
      </w:r>
      <w:r w:rsidR="00DD35B3" w:rsidRPr="00E17D79">
        <w:rPr>
          <w:rFonts w:ascii="Book Antiqua" w:hAnsi="Book Antiqua" w:cs="Arial"/>
          <w:lang w:val="en-GB"/>
        </w:rPr>
        <w:t>patients</w:t>
      </w:r>
      <w:r w:rsidR="00B37617" w:rsidRPr="00E17D79">
        <w:rPr>
          <w:rFonts w:ascii="Book Antiqua" w:hAnsi="Book Antiqua" w:cs="Arial"/>
          <w:lang w:val="en-GB"/>
        </w:rPr>
        <w:t xml:space="preserve"> where</w:t>
      </w:r>
      <w:r w:rsidR="00822298" w:rsidRPr="00E17D79">
        <w:rPr>
          <w:rFonts w:ascii="Book Antiqua" w:hAnsi="Book Antiqua" w:cs="Arial"/>
          <w:lang w:val="en-GB"/>
        </w:rPr>
        <w:t xml:space="preserve"> </w:t>
      </w:r>
      <w:r w:rsidR="00B37617" w:rsidRPr="00E17D79">
        <w:rPr>
          <w:rFonts w:ascii="Book Antiqua" w:hAnsi="Book Antiqua" w:cs="Arial"/>
          <w:lang w:val="en-GB"/>
        </w:rPr>
        <w:t xml:space="preserve">familial </w:t>
      </w:r>
      <w:r w:rsidR="009F5BE4" w:rsidRPr="00E17D79">
        <w:rPr>
          <w:rFonts w:ascii="Book Antiqua" w:hAnsi="Book Antiqua" w:cs="Arial"/>
          <w:lang w:val="en-GB"/>
        </w:rPr>
        <w:t>HLH</w:t>
      </w:r>
      <w:r w:rsidR="00B37617" w:rsidRPr="00E17D79">
        <w:rPr>
          <w:rFonts w:ascii="Book Antiqua" w:hAnsi="Book Antiqua" w:cs="Arial"/>
          <w:lang w:val="en-GB"/>
        </w:rPr>
        <w:t xml:space="preserve"> is the leading cause of </w:t>
      </w:r>
      <w:r w:rsidR="00D34914" w:rsidRPr="00E17D79">
        <w:rPr>
          <w:rFonts w:ascii="Book Antiqua" w:hAnsi="Book Antiqua" w:cs="Arial"/>
          <w:lang w:val="en-GB"/>
        </w:rPr>
        <w:t>HLH</w:t>
      </w:r>
      <w:r w:rsidR="00B37617" w:rsidRPr="00E17D79">
        <w:rPr>
          <w:rFonts w:ascii="Book Antiqua" w:hAnsi="Book Antiqua" w:cs="Arial"/>
          <w:lang w:val="en-GB"/>
        </w:rPr>
        <w:t xml:space="preserve">. The Histiocyte Society Study Group for </w:t>
      </w:r>
      <w:r w:rsidR="00D34914" w:rsidRPr="00E17D79">
        <w:rPr>
          <w:rFonts w:ascii="Book Antiqua" w:hAnsi="Book Antiqua" w:cs="Arial"/>
          <w:lang w:val="en-GB"/>
        </w:rPr>
        <w:t>HLH</w:t>
      </w:r>
      <w:r w:rsidR="00822298" w:rsidRPr="00E17D79">
        <w:rPr>
          <w:rFonts w:ascii="Book Antiqua" w:hAnsi="Book Antiqua" w:cs="Arial"/>
          <w:lang w:val="en-GB"/>
        </w:rPr>
        <w:t xml:space="preserve"> </w:t>
      </w:r>
      <w:r w:rsidR="00B37617" w:rsidRPr="00E17D79">
        <w:rPr>
          <w:rFonts w:ascii="Book Antiqua" w:hAnsi="Book Antiqua" w:cs="Arial"/>
          <w:lang w:val="en-GB"/>
        </w:rPr>
        <w:t xml:space="preserve">developed the HLH-94 and HLH-2004 treatment protocols, </w:t>
      </w:r>
      <w:r w:rsidR="00C473AD" w:rsidRPr="00E17D79">
        <w:rPr>
          <w:rFonts w:ascii="Book Antiqua" w:hAnsi="Book Antiqua" w:cs="Arial"/>
          <w:lang w:val="en-GB"/>
        </w:rPr>
        <w:t>which</w:t>
      </w:r>
      <w:r w:rsidR="00B37617" w:rsidRPr="00E17D79">
        <w:rPr>
          <w:rFonts w:ascii="Book Antiqua" w:hAnsi="Book Antiqua" w:cs="Arial"/>
          <w:lang w:val="en-GB"/>
        </w:rPr>
        <w:t xml:space="preserve"> are </w:t>
      </w:r>
      <w:r w:rsidR="00B16652" w:rsidRPr="00E17D79">
        <w:rPr>
          <w:rFonts w:ascii="Book Antiqua" w:hAnsi="Book Antiqua" w:cs="Arial"/>
          <w:lang w:val="en-GB"/>
        </w:rPr>
        <w:t xml:space="preserve">also </w:t>
      </w:r>
      <w:r w:rsidR="00B37617" w:rsidRPr="00E17D79">
        <w:rPr>
          <w:rFonts w:ascii="Book Antiqua" w:hAnsi="Book Antiqua" w:cs="Arial"/>
          <w:lang w:val="en-GB"/>
        </w:rPr>
        <w:t xml:space="preserve">frequently used </w:t>
      </w:r>
      <w:r w:rsidR="00BE219F" w:rsidRPr="00E17D79">
        <w:rPr>
          <w:rFonts w:ascii="Book Antiqua" w:hAnsi="Book Antiqua" w:cs="Arial"/>
          <w:lang w:val="en-GB"/>
        </w:rPr>
        <w:t xml:space="preserve">–although not validated for adults- </w:t>
      </w:r>
      <w:r w:rsidR="00D06DE1" w:rsidRPr="00E17D79">
        <w:rPr>
          <w:rFonts w:ascii="Book Antiqua" w:hAnsi="Book Antiqua" w:cs="Arial"/>
          <w:lang w:val="en-GB"/>
        </w:rPr>
        <w:t xml:space="preserve">arbitrarily </w:t>
      </w:r>
      <w:r w:rsidR="00DD35B3" w:rsidRPr="00E17D79">
        <w:rPr>
          <w:rFonts w:ascii="Book Antiqua" w:hAnsi="Book Antiqua" w:cs="Arial"/>
          <w:lang w:val="en-GB"/>
        </w:rPr>
        <w:t>by physicians</w:t>
      </w:r>
      <w:r w:rsidR="00B37617" w:rsidRPr="00E17D79">
        <w:rPr>
          <w:rFonts w:ascii="Book Antiqua" w:hAnsi="Book Antiqua" w:cs="Arial"/>
          <w:lang w:val="en-GB"/>
        </w:rPr>
        <w:t xml:space="preserve"> treating </w:t>
      </w:r>
      <w:r w:rsidR="00253CDE" w:rsidRPr="00E17D79">
        <w:rPr>
          <w:rFonts w:ascii="Book Antiqua" w:hAnsi="Book Antiqua" w:cs="Arial"/>
          <w:lang w:val="en-GB"/>
        </w:rPr>
        <w:t>s</w:t>
      </w:r>
      <w:r w:rsidR="00D34914" w:rsidRPr="00E17D79">
        <w:rPr>
          <w:rFonts w:ascii="Book Antiqua" w:hAnsi="Book Antiqua" w:cs="Arial"/>
          <w:lang w:val="en-GB"/>
        </w:rPr>
        <w:t>HLH</w:t>
      </w:r>
      <w:r w:rsidR="00822298" w:rsidRPr="00E17D79">
        <w:rPr>
          <w:rFonts w:ascii="Book Antiqua" w:hAnsi="Book Antiqua" w:cs="Arial"/>
          <w:lang w:val="en-GB"/>
        </w:rPr>
        <w:t xml:space="preserve"> </w:t>
      </w:r>
      <w:r w:rsidR="00DD35B3" w:rsidRPr="00E17D79">
        <w:rPr>
          <w:rFonts w:ascii="Book Antiqua" w:hAnsi="Book Antiqua" w:cs="Arial"/>
          <w:lang w:val="en-GB"/>
        </w:rPr>
        <w:t>in adults</w:t>
      </w:r>
      <w:r w:rsidR="00822298" w:rsidRPr="00E17D79">
        <w:rPr>
          <w:rFonts w:ascii="Book Antiqua" w:hAnsi="Book Antiqua" w:cs="Arial"/>
          <w:lang w:val="en-GB"/>
        </w:rPr>
        <w:t xml:space="preserve"> </w:t>
      </w:r>
      <w:r w:rsidR="00C473AD" w:rsidRPr="00E17D79">
        <w:rPr>
          <w:rFonts w:ascii="Book Antiqua" w:hAnsi="Book Antiqua" w:cs="Arial"/>
          <w:lang w:val="en-GB"/>
        </w:rPr>
        <w:t xml:space="preserve">irrespective of </w:t>
      </w:r>
      <w:r w:rsidR="00D06DE1" w:rsidRPr="00E17D79">
        <w:rPr>
          <w:rFonts w:ascii="Book Antiqua" w:hAnsi="Book Antiqua" w:cs="Arial"/>
          <w:lang w:val="en-GB"/>
        </w:rPr>
        <w:t>the underlying cause</w:t>
      </w:r>
      <w:r w:rsidR="00204528" w:rsidRPr="00E17D79">
        <w:rPr>
          <w:rFonts w:ascii="Book Antiqua" w:hAnsi="Book Antiqua" w:cs="Arial"/>
          <w:vertAlign w:val="superscript"/>
          <w:lang w:val="en-GB"/>
        </w:rPr>
        <w:t>[</w:t>
      </w:r>
      <w:r w:rsidR="00F633F8" w:rsidRPr="00E17D79">
        <w:rPr>
          <w:rFonts w:ascii="Book Antiqua" w:hAnsi="Book Antiqua" w:cs="Arial"/>
          <w:vertAlign w:val="superscript"/>
          <w:lang w:val="en-GB"/>
        </w:rPr>
        <w:t>5,3</w:t>
      </w:r>
      <w:r w:rsidR="006A2462" w:rsidRPr="00E17D79">
        <w:rPr>
          <w:rFonts w:ascii="Book Antiqua" w:hAnsi="Book Antiqua" w:cs="Arial"/>
          <w:vertAlign w:val="superscript"/>
          <w:lang w:val="en-GB"/>
        </w:rPr>
        <w:t>6</w:t>
      </w:r>
      <w:r w:rsidR="00204528" w:rsidRPr="00E17D79">
        <w:rPr>
          <w:rFonts w:ascii="Book Antiqua" w:hAnsi="Book Antiqua" w:cs="Arial"/>
          <w:vertAlign w:val="superscript"/>
          <w:lang w:val="en-GB"/>
        </w:rPr>
        <w:t>]</w:t>
      </w:r>
      <w:r w:rsidR="00B37617" w:rsidRPr="00E17D79">
        <w:rPr>
          <w:rFonts w:ascii="Book Antiqua" w:hAnsi="Book Antiqua" w:cs="Arial"/>
          <w:lang w:val="en-GB"/>
        </w:rPr>
        <w:t xml:space="preserve">. These protocols </w:t>
      </w:r>
      <w:r w:rsidR="00D61AF6" w:rsidRPr="00E17D79">
        <w:rPr>
          <w:rFonts w:ascii="Book Antiqua" w:hAnsi="Book Antiqua" w:cs="Arial"/>
          <w:lang w:val="en-GB"/>
        </w:rPr>
        <w:t>include</w:t>
      </w:r>
      <w:r w:rsidR="00B37617" w:rsidRPr="00E17D79">
        <w:rPr>
          <w:rFonts w:ascii="Book Antiqua" w:hAnsi="Book Antiqua" w:cs="Arial"/>
          <w:lang w:val="en-GB"/>
        </w:rPr>
        <w:t xml:space="preserve"> etoposide, </w:t>
      </w:r>
      <w:r w:rsidR="00D61AF6" w:rsidRPr="00E17D79">
        <w:rPr>
          <w:rFonts w:ascii="Book Antiqua" w:hAnsi="Book Antiqua" w:cs="Arial"/>
          <w:lang w:val="en-GB"/>
        </w:rPr>
        <w:t>corticosteroids</w:t>
      </w:r>
      <w:r w:rsidR="00B37617" w:rsidRPr="00E17D79">
        <w:rPr>
          <w:rFonts w:ascii="Book Antiqua" w:hAnsi="Book Antiqua" w:cs="Arial"/>
          <w:lang w:val="en-GB"/>
        </w:rPr>
        <w:t xml:space="preserve">, and cyclosporine </w:t>
      </w:r>
      <w:r w:rsidR="00B232CB" w:rsidRPr="00E17D79">
        <w:rPr>
          <w:rFonts w:ascii="Book Antiqua" w:hAnsi="Book Antiqua" w:cs="Arial"/>
          <w:lang w:val="en-GB"/>
        </w:rPr>
        <w:t xml:space="preserve">that aim to eliminate activated cytotoxic lymphocytes and macrophages, </w:t>
      </w:r>
      <w:r w:rsidR="00B37617" w:rsidRPr="00E17D79">
        <w:rPr>
          <w:rFonts w:ascii="Book Antiqua" w:hAnsi="Book Antiqua" w:cs="Arial"/>
          <w:lang w:val="en-GB"/>
        </w:rPr>
        <w:t xml:space="preserve">as well as </w:t>
      </w:r>
      <w:r w:rsidR="00B232CB" w:rsidRPr="00E17D79">
        <w:rPr>
          <w:rFonts w:ascii="Book Antiqua" w:hAnsi="Book Antiqua" w:cs="Arial"/>
          <w:lang w:val="en-GB"/>
        </w:rPr>
        <w:t xml:space="preserve">to </w:t>
      </w:r>
      <w:r w:rsidR="00382020" w:rsidRPr="00E17D79">
        <w:rPr>
          <w:rFonts w:ascii="Book Antiqua" w:hAnsi="Book Antiqua" w:cs="Arial"/>
          <w:lang w:val="en-GB"/>
        </w:rPr>
        <w:t>restrain</w:t>
      </w:r>
      <w:r w:rsidR="00B37617" w:rsidRPr="00E17D79">
        <w:rPr>
          <w:rFonts w:ascii="Book Antiqua" w:hAnsi="Book Antiqua" w:cs="Arial"/>
          <w:lang w:val="en-GB"/>
        </w:rPr>
        <w:t xml:space="preserve"> the cytokine</w:t>
      </w:r>
      <w:r w:rsidR="00822298" w:rsidRPr="00E17D79">
        <w:rPr>
          <w:rFonts w:ascii="Book Antiqua" w:hAnsi="Book Antiqua" w:cs="Arial"/>
          <w:lang w:val="en-GB"/>
        </w:rPr>
        <w:t xml:space="preserve"> </w:t>
      </w:r>
      <w:r w:rsidR="00382020" w:rsidRPr="00E17D79">
        <w:rPr>
          <w:rFonts w:ascii="Book Antiqua" w:hAnsi="Book Antiqua" w:cs="Arial"/>
          <w:lang w:val="en-GB"/>
        </w:rPr>
        <w:t>cascade</w:t>
      </w:r>
      <w:r w:rsidR="00234ACE" w:rsidRPr="00E17D79">
        <w:rPr>
          <w:rFonts w:ascii="Book Antiqua" w:hAnsi="Book Antiqua" w:cs="Arial"/>
          <w:lang w:val="en-GB"/>
        </w:rPr>
        <w:t xml:space="preserve"> that promotes</w:t>
      </w:r>
      <w:r w:rsidR="00822298" w:rsidRPr="00E17D79">
        <w:rPr>
          <w:rFonts w:ascii="Book Antiqua" w:hAnsi="Book Antiqua" w:cs="Arial"/>
          <w:lang w:val="en-GB"/>
        </w:rPr>
        <w:t xml:space="preserve"> </w:t>
      </w:r>
      <w:r w:rsidR="00234ACE" w:rsidRPr="00E17D79">
        <w:rPr>
          <w:rFonts w:ascii="Book Antiqua" w:hAnsi="Book Antiqua" w:cs="Arial"/>
          <w:lang w:val="en-GB"/>
        </w:rPr>
        <w:t>HLH</w:t>
      </w:r>
      <w:r w:rsidR="00234ACE" w:rsidRPr="00E17D79">
        <w:rPr>
          <w:rFonts w:ascii="Book Antiqua" w:hAnsi="Book Antiqua" w:cs="Arial"/>
          <w:vertAlign w:val="superscript"/>
          <w:lang w:val="en-GB"/>
        </w:rPr>
        <w:t>[5,3</w:t>
      </w:r>
      <w:r w:rsidR="006A2462" w:rsidRPr="00E17D79">
        <w:rPr>
          <w:rFonts w:ascii="Book Antiqua" w:hAnsi="Book Antiqua" w:cs="Arial"/>
          <w:vertAlign w:val="superscript"/>
          <w:lang w:val="en-GB"/>
        </w:rPr>
        <w:t>6</w:t>
      </w:r>
      <w:r w:rsidR="00234ACE" w:rsidRPr="00E17D79">
        <w:rPr>
          <w:rFonts w:ascii="Book Antiqua" w:hAnsi="Book Antiqua" w:cs="Arial"/>
          <w:vertAlign w:val="superscript"/>
          <w:lang w:val="en-GB"/>
        </w:rPr>
        <w:t>]</w:t>
      </w:r>
      <w:r w:rsidR="00234ACE" w:rsidRPr="00E17D79">
        <w:rPr>
          <w:rFonts w:ascii="Book Antiqua" w:hAnsi="Book Antiqua" w:cs="Arial"/>
          <w:lang w:val="en-GB"/>
        </w:rPr>
        <w:t>.</w:t>
      </w:r>
      <w:r w:rsidR="00D061D5" w:rsidRPr="00E17D79">
        <w:rPr>
          <w:rFonts w:ascii="Book Antiqua" w:hAnsi="Book Antiqua" w:cs="Arial"/>
          <w:lang w:val="en-GB"/>
        </w:rPr>
        <w:t xml:space="preserve"> However</w:t>
      </w:r>
      <w:r w:rsidR="00234ACE" w:rsidRPr="00E17D79">
        <w:rPr>
          <w:rFonts w:ascii="Book Antiqua" w:hAnsi="Book Antiqua" w:cs="Arial"/>
          <w:lang w:val="en-GB"/>
        </w:rPr>
        <w:t xml:space="preserve">, as there are no randomized trials for the optimal </w:t>
      </w:r>
      <w:r w:rsidR="00D061D5" w:rsidRPr="00E17D79">
        <w:rPr>
          <w:rFonts w:ascii="Book Antiqua" w:hAnsi="Book Antiqua" w:cs="Arial"/>
          <w:lang w:val="en-GB"/>
        </w:rPr>
        <w:t>management</w:t>
      </w:r>
      <w:r w:rsidR="00234ACE" w:rsidRPr="00E17D79">
        <w:rPr>
          <w:rFonts w:ascii="Book Antiqua" w:hAnsi="Book Antiqua" w:cs="Arial"/>
          <w:lang w:val="en-GB"/>
        </w:rPr>
        <w:t xml:space="preserve"> of sHLH</w:t>
      </w:r>
      <w:r w:rsidR="00822298" w:rsidRPr="00E17D79">
        <w:rPr>
          <w:rFonts w:ascii="Book Antiqua" w:hAnsi="Book Antiqua" w:cs="Arial"/>
          <w:lang w:val="en-GB"/>
        </w:rPr>
        <w:t xml:space="preserve"> </w:t>
      </w:r>
      <w:r w:rsidR="00C96F10" w:rsidRPr="00E17D79">
        <w:rPr>
          <w:rFonts w:ascii="Book Antiqua" w:hAnsi="Book Antiqua" w:cs="Arial"/>
          <w:lang w:val="en-GB"/>
        </w:rPr>
        <w:t>in adults, treatment in every-</w:t>
      </w:r>
      <w:r w:rsidR="00BE219F" w:rsidRPr="00E17D79">
        <w:rPr>
          <w:rFonts w:ascii="Book Antiqua" w:hAnsi="Book Antiqua" w:cs="Arial"/>
          <w:lang w:val="en-GB"/>
        </w:rPr>
        <w:t>day</w:t>
      </w:r>
      <w:r w:rsidR="00234ACE" w:rsidRPr="00E17D79">
        <w:rPr>
          <w:rFonts w:ascii="Book Antiqua" w:hAnsi="Book Antiqua" w:cs="Arial"/>
          <w:lang w:val="en-GB"/>
        </w:rPr>
        <w:t xml:space="preserve"> </w:t>
      </w:r>
      <w:r w:rsidR="00BE219F" w:rsidRPr="00E17D79">
        <w:rPr>
          <w:rFonts w:ascii="Book Antiqua" w:hAnsi="Book Antiqua" w:cs="Arial"/>
          <w:lang w:val="en-GB"/>
        </w:rPr>
        <w:t>clinical</w:t>
      </w:r>
      <w:r w:rsidR="00234ACE" w:rsidRPr="00E17D79">
        <w:rPr>
          <w:rFonts w:ascii="Book Antiqua" w:hAnsi="Book Antiqua" w:cs="Arial"/>
          <w:lang w:val="en-GB"/>
        </w:rPr>
        <w:t xml:space="preserve"> practice varies widely</w:t>
      </w:r>
      <w:r w:rsidR="00822298" w:rsidRPr="00E17D79">
        <w:rPr>
          <w:rFonts w:ascii="Book Antiqua" w:hAnsi="Book Antiqua" w:cs="Arial"/>
          <w:lang w:val="en-GB"/>
        </w:rPr>
        <w:t xml:space="preserve"> </w:t>
      </w:r>
      <w:r w:rsidR="00234ACE" w:rsidRPr="00E17D79">
        <w:rPr>
          <w:rFonts w:ascii="Book Antiqua" w:hAnsi="Book Antiqua" w:cs="Arial"/>
          <w:lang w:val="en-GB"/>
        </w:rPr>
        <w:t>among medical institutes.</w:t>
      </w:r>
      <w:r w:rsidR="00822298" w:rsidRPr="00E17D79">
        <w:rPr>
          <w:rFonts w:ascii="Book Antiqua" w:hAnsi="Book Antiqua" w:cs="Arial"/>
          <w:lang w:val="en-GB"/>
        </w:rPr>
        <w:t xml:space="preserve"> </w:t>
      </w:r>
      <w:r w:rsidR="00234ACE" w:rsidRPr="00E17D79">
        <w:rPr>
          <w:rFonts w:ascii="Book Antiqua" w:hAnsi="Book Antiqua" w:cs="Arial"/>
          <w:lang w:val="en-GB"/>
        </w:rPr>
        <w:t>Notably, long-term results of the HLH-94 treatment protocol showed a quite poor 5-year survival rate</w:t>
      </w:r>
      <w:r w:rsidR="00BE219F" w:rsidRPr="00E17D79">
        <w:rPr>
          <w:rFonts w:ascii="Book Antiqua" w:hAnsi="Book Antiqua" w:cs="Arial"/>
          <w:lang w:val="en-GB"/>
        </w:rPr>
        <w:t xml:space="preserve"> </w:t>
      </w:r>
      <w:r w:rsidR="00234ACE" w:rsidRPr="00E17D79">
        <w:rPr>
          <w:rFonts w:ascii="Book Antiqua" w:hAnsi="Book Antiqua" w:cs="Arial"/>
          <w:lang w:val="en-GB"/>
        </w:rPr>
        <w:t>of 54%with 89% of deaths recorded during the first year</w:t>
      </w:r>
      <w:r w:rsidR="00234ACE" w:rsidRPr="00E17D79">
        <w:rPr>
          <w:rFonts w:ascii="Book Antiqua" w:hAnsi="Book Antiqua" w:cs="Arial"/>
          <w:vertAlign w:val="superscript"/>
          <w:lang w:val="en-GB"/>
        </w:rPr>
        <w:t>[3</w:t>
      </w:r>
      <w:r w:rsidR="006A2462" w:rsidRPr="00E17D79">
        <w:rPr>
          <w:rFonts w:ascii="Book Antiqua" w:hAnsi="Book Antiqua" w:cs="Arial"/>
          <w:vertAlign w:val="superscript"/>
          <w:lang w:val="en-GB"/>
        </w:rPr>
        <w:t>7</w:t>
      </w:r>
      <w:r w:rsidR="00234ACE" w:rsidRPr="00E17D79">
        <w:rPr>
          <w:rFonts w:ascii="Book Antiqua" w:hAnsi="Book Antiqua" w:cs="Arial"/>
          <w:vertAlign w:val="superscript"/>
          <w:lang w:val="en-GB"/>
        </w:rPr>
        <w:t>]</w:t>
      </w:r>
      <w:r w:rsidR="00234ACE" w:rsidRPr="00E17D79">
        <w:rPr>
          <w:rFonts w:ascii="Book Antiqua" w:hAnsi="Book Antiqua" w:cs="Arial"/>
          <w:lang w:val="en-GB"/>
        </w:rPr>
        <w:t xml:space="preserve">. In general, </w:t>
      </w:r>
      <w:r w:rsidR="0010791C" w:rsidRPr="00E17D79">
        <w:rPr>
          <w:rFonts w:ascii="Book Antiqua" w:hAnsi="Book Antiqua" w:cs="Arial"/>
          <w:lang w:val="en-GB"/>
        </w:rPr>
        <w:t xml:space="preserve">the </w:t>
      </w:r>
      <w:r w:rsidR="00234ACE" w:rsidRPr="00E17D79">
        <w:rPr>
          <w:rFonts w:ascii="Book Antiqua" w:hAnsi="Book Antiqua" w:cs="Arial"/>
          <w:lang w:val="en-GB"/>
        </w:rPr>
        <w:t xml:space="preserve">30-d mortality </w:t>
      </w:r>
      <w:r w:rsidR="00F16CCE" w:rsidRPr="00E17D79">
        <w:rPr>
          <w:rFonts w:ascii="Book Antiqua" w:hAnsi="Book Antiqua" w:cs="Arial"/>
          <w:lang w:val="en-GB"/>
        </w:rPr>
        <w:t xml:space="preserve">rate </w:t>
      </w:r>
      <w:r w:rsidR="00234ACE" w:rsidRPr="00E17D79">
        <w:rPr>
          <w:rFonts w:ascii="Book Antiqua" w:hAnsi="Book Antiqua" w:cs="Arial"/>
          <w:lang w:val="en-GB"/>
        </w:rPr>
        <w:t xml:space="preserve">of HLH is quite high, estimated </w:t>
      </w:r>
      <w:r w:rsidR="0010791C" w:rsidRPr="00E17D79">
        <w:rPr>
          <w:rFonts w:ascii="Book Antiqua" w:hAnsi="Book Antiqua" w:cs="Arial"/>
          <w:lang w:val="en-GB"/>
        </w:rPr>
        <w:t xml:space="preserve">in about </w:t>
      </w:r>
      <w:r w:rsidR="00234ACE" w:rsidRPr="00E17D79">
        <w:rPr>
          <w:rFonts w:ascii="Book Antiqua" w:hAnsi="Book Antiqua" w:cs="Arial"/>
          <w:lang w:val="en-GB"/>
        </w:rPr>
        <w:t>20</w:t>
      </w:r>
      <w:r w:rsidR="00345AAF" w:rsidRPr="00E17D79">
        <w:rPr>
          <w:rFonts w:ascii="Book Antiqua" w:hAnsi="Book Antiqua" w:cs="Arial"/>
          <w:lang w:val="en-GB"/>
        </w:rPr>
        <w:t>%-</w:t>
      </w:r>
      <w:r w:rsidR="00234ACE" w:rsidRPr="00E17D79">
        <w:rPr>
          <w:rFonts w:ascii="Book Antiqua" w:hAnsi="Book Antiqua" w:cs="Arial"/>
          <w:lang w:val="en-GB"/>
        </w:rPr>
        <w:t>44% in several case-series using various immunomodulatory therapeutic schemes</w:t>
      </w:r>
      <w:r w:rsidR="00234ACE" w:rsidRPr="00E17D79">
        <w:rPr>
          <w:rFonts w:ascii="Book Antiqua" w:hAnsi="Book Antiqua" w:cs="Arial"/>
          <w:vertAlign w:val="superscript"/>
          <w:lang w:val="en-GB"/>
        </w:rPr>
        <w:t>[12]</w:t>
      </w:r>
      <w:r w:rsidR="00BE219F" w:rsidRPr="00E17D79">
        <w:rPr>
          <w:rFonts w:ascii="Book Antiqua" w:hAnsi="Book Antiqua" w:cs="Arial"/>
          <w:vertAlign w:val="superscript"/>
          <w:lang w:val="en-GB"/>
        </w:rPr>
        <w:t xml:space="preserve"> </w:t>
      </w:r>
      <w:r w:rsidR="00F16CCE" w:rsidRPr="00E17D79">
        <w:rPr>
          <w:rFonts w:ascii="Book Antiqua" w:hAnsi="Book Antiqua" w:cs="Arial"/>
          <w:lang w:val="en-GB"/>
        </w:rPr>
        <w:t>while</w:t>
      </w:r>
      <w:r w:rsidR="00BE219F" w:rsidRPr="00E17D79">
        <w:rPr>
          <w:rFonts w:ascii="Book Antiqua" w:hAnsi="Book Antiqua" w:cs="Arial"/>
          <w:lang w:val="en-GB"/>
        </w:rPr>
        <w:t xml:space="preserve"> </w:t>
      </w:r>
      <w:r w:rsidR="00F16CCE" w:rsidRPr="00E17D79">
        <w:rPr>
          <w:rFonts w:ascii="Book Antiqua" w:hAnsi="Book Antiqua" w:cs="Arial"/>
          <w:lang w:val="en-GB"/>
        </w:rPr>
        <w:t>the use of</w:t>
      </w:r>
      <w:r w:rsidR="00234ACE" w:rsidRPr="00E17D79">
        <w:rPr>
          <w:rFonts w:ascii="Book Antiqua" w:hAnsi="Book Antiqua" w:cs="Arial"/>
          <w:lang w:val="en-GB"/>
        </w:rPr>
        <w:t xml:space="preserve"> etoposide </w:t>
      </w:r>
      <w:r w:rsidR="00F16CCE" w:rsidRPr="00E17D79">
        <w:rPr>
          <w:rFonts w:ascii="Book Antiqua" w:hAnsi="Book Antiqua" w:cs="Arial"/>
          <w:lang w:val="en-GB"/>
        </w:rPr>
        <w:t>or cy</w:t>
      </w:r>
      <w:r w:rsidR="003F345F" w:rsidRPr="00E17D79">
        <w:rPr>
          <w:rFonts w:ascii="Book Antiqua" w:hAnsi="Book Antiqua" w:cs="Arial"/>
          <w:lang w:val="en-GB"/>
        </w:rPr>
        <w:t xml:space="preserve">closporine </w:t>
      </w:r>
      <w:r w:rsidR="00F16CCE" w:rsidRPr="00E17D79">
        <w:rPr>
          <w:rFonts w:ascii="Book Antiqua" w:hAnsi="Book Antiqua" w:cs="Arial"/>
          <w:lang w:val="en-GB"/>
        </w:rPr>
        <w:t>containing regimens apart f</w:t>
      </w:r>
      <w:r w:rsidR="003F345F" w:rsidRPr="00E17D79">
        <w:rPr>
          <w:rFonts w:ascii="Book Antiqua" w:hAnsi="Book Antiqua" w:cs="Arial"/>
          <w:lang w:val="en-GB"/>
        </w:rPr>
        <w:t>rom</w:t>
      </w:r>
      <w:r w:rsidR="00F16CCE" w:rsidRPr="00E17D79">
        <w:rPr>
          <w:rFonts w:ascii="Book Antiqua" w:hAnsi="Book Antiqua" w:cs="Arial"/>
          <w:lang w:val="en-GB"/>
        </w:rPr>
        <w:t xml:space="preserve"> the risk of </w:t>
      </w:r>
      <w:r w:rsidR="003F345F" w:rsidRPr="00E17D79">
        <w:rPr>
          <w:rFonts w:ascii="Book Antiqua" w:hAnsi="Book Antiqua" w:cs="Arial"/>
          <w:lang w:val="en-GB"/>
        </w:rPr>
        <w:t>several severe side effects</w:t>
      </w:r>
      <w:r w:rsidR="003F345F" w:rsidRPr="00E17D79">
        <w:rPr>
          <w:rFonts w:ascii="Book Antiqua" w:hAnsi="Book Antiqua" w:cs="Arial"/>
          <w:vertAlign w:val="superscript"/>
          <w:lang w:val="en-GB"/>
        </w:rPr>
        <w:t>[</w:t>
      </w:r>
      <w:r w:rsidR="006A2462" w:rsidRPr="00E17D79">
        <w:rPr>
          <w:rFonts w:ascii="Book Antiqua" w:hAnsi="Book Antiqua" w:cs="Arial"/>
          <w:vertAlign w:val="superscript"/>
          <w:lang w:val="en-GB"/>
        </w:rPr>
        <w:t>38-40</w:t>
      </w:r>
      <w:r w:rsidR="003F345F" w:rsidRPr="00E17D79">
        <w:rPr>
          <w:rFonts w:ascii="Book Antiqua" w:hAnsi="Book Antiqua" w:cs="Arial"/>
          <w:vertAlign w:val="superscript"/>
          <w:lang w:val="en-GB"/>
        </w:rPr>
        <w:t>]</w:t>
      </w:r>
      <w:r w:rsidR="003F345F" w:rsidRPr="00E17D79">
        <w:rPr>
          <w:rFonts w:ascii="Book Antiqua" w:hAnsi="Book Antiqua" w:cs="Arial"/>
          <w:lang w:val="en-GB"/>
        </w:rPr>
        <w:t xml:space="preserve">, </w:t>
      </w:r>
      <w:r w:rsidR="00234ACE" w:rsidRPr="00E17D79">
        <w:rPr>
          <w:rFonts w:ascii="Book Antiqua" w:hAnsi="Book Antiqua" w:cs="Arial"/>
          <w:lang w:val="en-GB"/>
        </w:rPr>
        <w:t>do not seem to be associated with a better outcome</w:t>
      </w:r>
      <w:r w:rsidR="00234ACE" w:rsidRPr="00E17D79">
        <w:rPr>
          <w:rFonts w:ascii="Book Antiqua" w:hAnsi="Book Antiqua" w:cs="Arial"/>
          <w:vertAlign w:val="superscript"/>
          <w:lang w:val="en-GB"/>
        </w:rPr>
        <w:t>[7,3</w:t>
      </w:r>
      <w:r w:rsidR="006A2462" w:rsidRPr="00E17D79">
        <w:rPr>
          <w:rFonts w:ascii="Book Antiqua" w:hAnsi="Book Antiqua" w:cs="Arial"/>
          <w:vertAlign w:val="superscript"/>
          <w:lang w:val="en-GB"/>
        </w:rPr>
        <w:t>4</w:t>
      </w:r>
      <w:r w:rsidR="00234ACE" w:rsidRPr="00E17D79">
        <w:rPr>
          <w:rFonts w:ascii="Book Antiqua" w:hAnsi="Book Antiqua" w:cs="Arial"/>
          <w:vertAlign w:val="superscript"/>
          <w:lang w:val="en-GB"/>
        </w:rPr>
        <w:t>]</w:t>
      </w:r>
      <w:r w:rsidR="00234ACE" w:rsidRPr="00E17D79">
        <w:rPr>
          <w:rFonts w:ascii="Book Antiqua" w:hAnsi="Book Antiqua" w:cs="Arial"/>
          <w:lang w:val="en-GB"/>
        </w:rPr>
        <w:t>.</w:t>
      </w:r>
    </w:p>
    <w:p w14:paraId="419449A7" w14:textId="419A03E7" w:rsidR="00E01676" w:rsidRPr="00E17D79" w:rsidRDefault="00234ACE"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In our retrospective study</w:t>
      </w:r>
      <w:r w:rsidR="003F345F" w:rsidRPr="00E17D79">
        <w:rPr>
          <w:rFonts w:ascii="Book Antiqua" w:hAnsi="Book Antiqua" w:cs="Arial"/>
          <w:lang w:val="en-GB"/>
        </w:rPr>
        <w:t xml:space="preserve"> </w:t>
      </w:r>
      <w:r w:rsidR="00BE219F" w:rsidRPr="00E17D79">
        <w:rPr>
          <w:rFonts w:ascii="Book Antiqua" w:hAnsi="Book Antiqua" w:cs="Arial"/>
          <w:lang w:val="en-GB"/>
        </w:rPr>
        <w:t xml:space="preserve">which </w:t>
      </w:r>
      <w:r w:rsidR="003F345F" w:rsidRPr="00E17D79">
        <w:rPr>
          <w:rFonts w:ascii="Book Antiqua" w:hAnsi="Book Antiqua" w:cs="Arial"/>
          <w:lang w:val="en-GB"/>
        </w:rPr>
        <w:t>based on prospectively collected data</w:t>
      </w:r>
      <w:r w:rsidRPr="00E17D79">
        <w:rPr>
          <w:rFonts w:ascii="Book Antiqua" w:hAnsi="Book Antiqua" w:cs="Arial"/>
          <w:lang w:val="en-GB"/>
        </w:rPr>
        <w:t xml:space="preserve">, treatment </w:t>
      </w:r>
      <w:r w:rsidR="005B4639" w:rsidRPr="00E17D79">
        <w:rPr>
          <w:rFonts w:ascii="Book Antiqua" w:hAnsi="Book Antiqua" w:cs="Arial"/>
          <w:lang w:val="en-GB"/>
        </w:rPr>
        <w:t xml:space="preserve">was started as soon as possible (the sooner the better) </w:t>
      </w:r>
      <w:r w:rsidR="00C473AD" w:rsidRPr="00E17D79">
        <w:rPr>
          <w:rFonts w:ascii="Book Antiqua" w:hAnsi="Book Antiqua" w:cs="Arial"/>
          <w:lang w:val="en-GB"/>
        </w:rPr>
        <w:t>with</w:t>
      </w:r>
      <w:r w:rsidRPr="00E17D79">
        <w:rPr>
          <w:rFonts w:ascii="Book Antiqua" w:hAnsi="Book Antiqua" w:cs="Arial"/>
          <w:lang w:val="en-GB"/>
        </w:rPr>
        <w:t xml:space="preserve"> intravenous steroid pulses followed by gradual tapering of prednisolone in combination with intravenous IVIG</w:t>
      </w:r>
      <w:r w:rsidR="005B4639" w:rsidRPr="00E17D79">
        <w:rPr>
          <w:rFonts w:ascii="Book Antiqua" w:hAnsi="Book Antiqua" w:cs="Arial"/>
          <w:lang w:val="en-GB"/>
        </w:rPr>
        <w:t xml:space="preserve"> as we have already published in a small series of infectious-related sHLH</w:t>
      </w:r>
      <w:r w:rsidR="005B4639" w:rsidRPr="00E17D79">
        <w:rPr>
          <w:rFonts w:ascii="Book Antiqua" w:hAnsi="Book Antiqua" w:cs="Arial"/>
          <w:vertAlign w:val="superscript"/>
          <w:lang w:val="en-GB"/>
        </w:rPr>
        <w:t>[</w:t>
      </w:r>
      <w:r w:rsidR="006A2462" w:rsidRPr="00E17D79">
        <w:rPr>
          <w:rFonts w:ascii="Book Antiqua" w:hAnsi="Book Antiqua" w:cs="Arial"/>
          <w:vertAlign w:val="superscript"/>
          <w:lang w:val="en-GB"/>
        </w:rPr>
        <w:t>41</w:t>
      </w:r>
      <w:r w:rsidR="005B4639" w:rsidRPr="00E17D79">
        <w:rPr>
          <w:rFonts w:ascii="Book Antiqua" w:hAnsi="Book Antiqua" w:cs="Arial"/>
          <w:vertAlign w:val="superscript"/>
          <w:lang w:val="en-GB"/>
        </w:rPr>
        <w:t>]</w:t>
      </w:r>
      <w:r w:rsidR="005B4639" w:rsidRPr="00E17D79">
        <w:rPr>
          <w:rFonts w:ascii="Book Antiqua" w:hAnsi="Book Antiqua" w:cs="Arial"/>
          <w:lang w:val="en-GB"/>
        </w:rPr>
        <w:t>.</w:t>
      </w:r>
      <w:r w:rsidR="00BE219F" w:rsidRPr="00E17D79">
        <w:rPr>
          <w:rFonts w:ascii="Book Antiqua" w:hAnsi="Book Antiqua" w:cs="Arial"/>
          <w:lang w:val="en-GB"/>
        </w:rPr>
        <w:t xml:space="preserve"> </w:t>
      </w:r>
      <w:r w:rsidR="005B4639" w:rsidRPr="00E17D79">
        <w:rPr>
          <w:rFonts w:ascii="Book Antiqua" w:hAnsi="Book Antiqua" w:cs="Arial"/>
          <w:lang w:val="en-GB"/>
        </w:rPr>
        <w:t>In</w:t>
      </w:r>
      <w:r w:rsidRPr="00E17D79">
        <w:rPr>
          <w:rFonts w:ascii="Book Antiqua" w:hAnsi="Book Antiqua" w:cs="Arial"/>
          <w:lang w:val="en-GB"/>
        </w:rPr>
        <w:t xml:space="preserve"> parallel</w:t>
      </w:r>
      <w:r w:rsidR="005B4639" w:rsidRPr="00E17D79">
        <w:rPr>
          <w:rFonts w:ascii="Book Antiqua" w:hAnsi="Book Antiqua" w:cs="Arial"/>
          <w:lang w:val="en-GB"/>
        </w:rPr>
        <w:t>,</w:t>
      </w:r>
      <w:r w:rsidR="00BE219F" w:rsidRPr="00E17D79">
        <w:rPr>
          <w:rFonts w:ascii="Book Antiqua" w:hAnsi="Book Antiqua" w:cs="Arial"/>
          <w:lang w:val="en-GB"/>
        </w:rPr>
        <w:t xml:space="preserve"> </w:t>
      </w:r>
      <w:r w:rsidR="005B4639" w:rsidRPr="00E17D79">
        <w:rPr>
          <w:rFonts w:ascii="Book Antiqua" w:hAnsi="Book Antiqua" w:cs="Arial"/>
          <w:lang w:val="en-GB"/>
        </w:rPr>
        <w:t xml:space="preserve">appropriate </w:t>
      </w:r>
      <w:r w:rsidRPr="00E17D79">
        <w:rPr>
          <w:rFonts w:ascii="Book Antiqua" w:hAnsi="Book Antiqua" w:cs="Arial"/>
          <w:lang w:val="en-GB"/>
        </w:rPr>
        <w:t xml:space="preserve">treatment for the underlying cause </w:t>
      </w:r>
      <w:r w:rsidR="005B4639" w:rsidRPr="00E17D79">
        <w:rPr>
          <w:rFonts w:ascii="Book Antiqua" w:hAnsi="Book Antiqua" w:cs="Arial"/>
          <w:lang w:val="en-GB"/>
        </w:rPr>
        <w:t>was administered</w:t>
      </w:r>
      <w:r w:rsidRPr="00E17D79">
        <w:rPr>
          <w:rFonts w:ascii="Book Antiqua" w:hAnsi="Book Antiqua" w:cs="Arial"/>
          <w:lang w:val="en-GB"/>
        </w:rPr>
        <w:t>.</w:t>
      </w:r>
      <w:r w:rsidR="00BE219F" w:rsidRPr="00E17D79">
        <w:rPr>
          <w:rFonts w:ascii="Book Antiqua" w:hAnsi="Book Antiqua" w:cs="Arial"/>
          <w:lang w:val="en-GB"/>
        </w:rPr>
        <w:t xml:space="preserve"> </w:t>
      </w:r>
      <w:r w:rsidRPr="00E17D79">
        <w:rPr>
          <w:rFonts w:ascii="Book Antiqua" w:hAnsi="Book Antiqua" w:cs="Arial"/>
          <w:lang w:val="en-GB"/>
        </w:rPr>
        <w:t>Remissi</w:t>
      </w:r>
      <w:r w:rsidR="00BE219F" w:rsidRPr="00E17D79">
        <w:rPr>
          <w:rFonts w:ascii="Book Antiqua" w:hAnsi="Book Antiqua" w:cs="Arial"/>
          <w:lang w:val="en-GB"/>
        </w:rPr>
        <w:t>on rate was quite high (76%) with a</w:t>
      </w:r>
      <w:r w:rsidRPr="00E17D79">
        <w:rPr>
          <w:rFonts w:ascii="Book Antiqua" w:hAnsi="Book Antiqua" w:cs="Arial"/>
          <w:lang w:val="en-GB"/>
        </w:rPr>
        <w:t xml:space="preserve"> 30-d mortality rate </w:t>
      </w:r>
      <w:r w:rsidR="00BE219F" w:rsidRPr="00E17D79">
        <w:rPr>
          <w:rFonts w:ascii="Book Antiqua" w:hAnsi="Book Antiqua" w:cs="Arial"/>
          <w:lang w:val="en-GB"/>
        </w:rPr>
        <w:t>of</w:t>
      </w:r>
      <w:r w:rsidRPr="00E17D79">
        <w:rPr>
          <w:rFonts w:ascii="Book Antiqua" w:hAnsi="Book Antiqua" w:cs="Arial"/>
          <w:lang w:val="en-GB"/>
        </w:rPr>
        <w:t xml:space="preserve"> 15%.</w:t>
      </w:r>
      <w:r w:rsidR="00810287" w:rsidRPr="00E17D79">
        <w:rPr>
          <w:rFonts w:ascii="Book Antiqua" w:hAnsi="Book Antiqua" w:cs="Arial"/>
          <w:lang w:val="en-GB"/>
        </w:rPr>
        <w:t xml:space="preserve"> Similar remission rate</w:t>
      </w:r>
      <w:r w:rsidR="00171E70" w:rsidRPr="00E17D79">
        <w:rPr>
          <w:rFonts w:ascii="Book Antiqua" w:hAnsi="Book Antiqua" w:cs="Arial"/>
          <w:lang w:val="en-GB"/>
        </w:rPr>
        <w:t>s were</w:t>
      </w:r>
      <w:r w:rsidR="00810287" w:rsidRPr="00E17D79">
        <w:rPr>
          <w:rFonts w:ascii="Book Antiqua" w:hAnsi="Book Antiqua" w:cs="Arial"/>
          <w:lang w:val="en-GB"/>
        </w:rPr>
        <w:t xml:space="preserve"> reported recently in </w:t>
      </w:r>
      <w:r w:rsidR="00171E70" w:rsidRPr="00E17D79">
        <w:rPr>
          <w:rFonts w:ascii="Book Antiqua" w:hAnsi="Book Antiqua" w:cs="Arial"/>
          <w:lang w:val="en-GB"/>
        </w:rPr>
        <w:t>two</w:t>
      </w:r>
      <w:r w:rsidR="00810287" w:rsidRPr="00E17D79">
        <w:rPr>
          <w:rFonts w:ascii="Book Antiqua" w:hAnsi="Book Antiqua" w:cs="Arial"/>
          <w:lang w:val="en-GB"/>
        </w:rPr>
        <w:t xml:space="preserve"> </w:t>
      </w:r>
      <w:r w:rsidR="00171E70" w:rsidRPr="00E17D79">
        <w:rPr>
          <w:rFonts w:ascii="Book Antiqua" w:hAnsi="Book Antiqua" w:cs="Arial"/>
          <w:lang w:val="en-GB"/>
        </w:rPr>
        <w:t>small retrospective studies</w:t>
      </w:r>
      <w:r w:rsidR="00810287" w:rsidRPr="00E17D79">
        <w:rPr>
          <w:rFonts w:ascii="Book Antiqua" w:hAnsi="Book Antiqua" w:cs="Arial"/>
          <w:lang w:val="en-GB"/>
        </w:rPr>
        <w:t xml:space="preserve"> from </w:t>
      </w:r>
      <w:r w:rsidR="00345AAF" w:rsidRPr="00E17D79">
        <w:rPr>
          <w:rFonts w:ascii="Book Antiqua" w:hAnsi="Book Antiqua" w:cs="Arial"/>
          <w:lang w:val="en-GB"/>
        </w:rPr>
        <w:t>United States</w:t>
      </w:r>
      <w:r w:rsidR="00810287" w:rsidRPr="00E17D79">
        <w:rPr>
          <w:rFonts w:ascii="Book Antiqua" w:hAnsi="Book Antiqua" w:cs="Arial"/>
          <w:lang w:val="en-GB"/>
        </w:rPr>
        <w:t xml:space="preserve"> </w:t>
      </w:r>
      <w:r w:rsidR="00171E70" w:rsidRPr="00E17D79">
        <w:rPr>
          <w:rFonts w:ascii="Book Antiqua" w:hAnsi="Book Antiqua" w:cs="Arial"/>
          <w:lang w:val="en-GB"/>
        </w:rPr>
        <w:t xml:space="preserve">and Turkey </w:t>
      </w:r>
      <w:r w:rsidR="00810287" w:rsidRPr="00E17D79">
        <w:rPr>
          <w:rFonts w:ascii="Book Antiqua" w:hAnsi="Book Antiqua" w:cs="Arial"/>
          <w:lang w:val="en-GB"/>
        </w:rPr>
        <w:t xml:space="preserve">in </w:t>
      </w:r>
      <w:r w:rsidR="00171E70" w:rsidRPr="00E17D79">
        <w:rPr>
          <w:rFonts w:ascii="Book Antiqua" w:hAnsi="Book Antiqua" w:cs="Arial"/>
          <w:lang w:val="en-GB"/>
        </w:rPr>
        <w:t>patients</w:t>
      </w:r>
      <w:r w:rsidR="00810287" w:rsidRPr="00E17D79">
        <w:rPr>
          <w:rFonts w:ascii="Book Antiqua" w:hAnsi="Book Antiqua" w:cs="Arial"/>
          <w:lang w:val="en-GB"/>
        </w:rPr>
        <w:t xml:space="preserve"> with sHLH by using </w:t>
      </w:r>
      <w:r w:rsidR="00171E70" w:rsidRPr="00E17D79">
        <w:rPr>
          <w:rFonts w:ascii="Book Antiqua" w:hAnsi="Book Antiqua" w:cs="Arial"/>
          <w:lang w:val="en-GB"/>
        </w:rPr>
        <w:t xml:space="preserve">a </w:t>
      </w:r>
      <w:r w:rsidR="0076365F" w:rsidRPr="00E17D79">
        <w:rPr>
          <w:rFonts w:ascii="Book Antiqua" w:hAnsi="Book Antiqua" w:cs="Arial"/>
          <w:lang w:val="en-GB"/>
        </w:rPr>
        <w:t>personalized diagnostic</w:t>
      </w:r>
      <w:r w:rsidR="00BE219F" w:rsidRPr="00E17D79">
        <w:rPr>
          <w:rFonts w:ascii="Book Antiqua" w:hAnsi="Book Antiqua" w:cs="Arial"/>
          <w:lang w:val="en-GB"/>
        </w:rPr>
        <w:t xml:space="preserve"> </w:t>
      </w:r>
      <w:r w:rsidR="0076365F" w:rsidRPr="00E17D79">
        <w:rPr>
          <w:rFonts w:ascii="Book Antiqua" w:hAnsi="Book Antiqua" w:cs="Arial"/>
          <w:lang w:val="en-GB"/>
        </w:rPr>
        <w:t xml:space="preserve">and </w:t>
      </w:r>
      <w:r w:rsidR="00171E70" w:rsidRPr="00E17D79">
        <w:rPr>
          <w:rFonts w:ascii="Book Antiqua" w:hAnsi="Book Antiqua" w:cs="Arial"/>
          <w:lang w:val="en-GB"/>
        </w:rPr>
        <w:t>less immunosuppressive</w:t>
      </w:r>
      <w:r w:rsidR="00C473AD" w:rsidRPr="00E17D79">
        <w:rPr>
          <w:rFonts w:ascii="Book Antiqua" w:hAnsi="Book Antiqua" w:cs="Arial"/>
          <w:lang w:val="en-GB"/>
        </w:rPr>
        <w:t xml:space="preserve"> and </w:t>
      </w:r>
      <w:r w:rsidR="00171E70" w:rsidRPr="00E17D79">
        <w:rPr>
          <w:rFonts w:ascii="Book Antiqua" w:hAnsi="Book Antiqua" w:cs="Arial"/>
          <w:lang w:val="en-GB"/>
        </w:rPr>
        <w:t xml:space="preserve">cytotoxic </w:t>
      </w:r>
      <w:r w:rsidR="0076365F" w:rsidRPr="00E17D79">
        <w:rPr>
          <w:rFonts w:ascii="Book Antiqua" w:hAnsi="Book Antiqua" w:cs="Arial"/>
          <w:lang w:val="en-GB"/>
        </w:rPr>
        <w:t xml:space="preserve">treatment approach </w:t>
      </w:r>
      <w:r w:rsidR="00171E70" w:rsidRPr="00E17D79">
        <w:rPr>
          <w:rFonts w:ascii="Book Antiqua" w:hAnsi="Book Antiqua" w:cs="Arial"/>
          <w:lang w:val="en-GB"/>
        </w:rPr>
        <w:t xml:space="preserve">which </w:t>
      </w:r>
      <w:r w:rsidR="0076365F" w:rsidRPr="00E17D79">
        <w:rPr>
          <w:rFonts w:ascii="Book Antiqua" w:hAnsi="Book Antiqua" w:cs="Arial"/>
          <w:lang w:val="en-GB"/>
        </w:rPr>
        <w:t>includ</w:t>
      </w:r>
      <w:r w:rsidR="00171E70" w:rsidRPr="00E17D79">
        <w:rPr>
          <w:rFonts w:ascii="Book Antiqua" w:hAnsi="Book Antiqua" w:cs="Arial"/>
          <w:lang w:val="en-GB"/>
        </w:rPr>
        <w:t>ed</w:t>
      </w:r>
      <w:r w:rsidR="0076365F" w:rsidRPr="00E17D79">
        <w:rPr>
          <w:rFonts w:ascii="Book Antiqua" w:hAnsi="Book Antiqua" w:cs="Arial"/>
          <w:lang w:val="en-GB"/>
        </w:rPr>
        <w:t xml:space="preserve"> treatment with anakinra, cyclosporine, IVIG and steroids</w:t>
      </w:r>
      <w:r w:rsidR="0076365F" w:rsidRPr="00E17D79">
        <w:rPr>
          <w:rFonts w:ascii="Book Antiqua" w:hAnsi="Book Antiqua" w:cs="Arial"/>
          <w:vertAlign w:val="superscript"/>
          <w:lang w:val="en-GB"/>
        </w:rPr>
        <w:t>[</w:t>
      </w:r>
      <w:r w:rsidR="00E71806" w:rsidRPr="00E17D79">
        <w:rPr>
          <w:rFonts w:ascii="Book Antiqua" w:hAnsi="Book Antiqua" w:cs="Arial"/>
          <w:vertAlign w:val="superscript"/>
          <w:lang w:val="en-GB"/>
        </w:rPr>
        <w:t>33</w:t>
      </w:r>
      <w:r w:rsidR="00171E70" w:rsidRPr="00E17D79">
        <w:rPr>
          <w:rFonts w:ascii="Book Antiqua" w:hAnsi="Book Antiqua" w:cs="Arial"/>
          <w:vertAlign w:val="superscript"/>
          <w:lang w:val="en-GB"/>
        </w:rPr>
        <w:t>,42</w:t>
      </w:r>
      <w:r w:rsidR="00557BCE" w:rsidRPr="00E17D79">
        <w:rPr>
          <w:rFonts w:ascii="Book Antiqua" w:hAnsi="Book Antiqua" w:cs="Arial"/>
          <w:vertAlign w:val="superscript"/>
          <w:lang w:val="en-GB"/>
        </w:rPr>
        <w:t>]</w:t>
      </w:r>
      <w:r w:rsidR="00BE219F" w:rsidRPr="00E17D79">
        <w:rPr>
          <w:rFonts w:ascii="Book Antiqua" w:hAnsi="Book Antiqua" w:cs="Arial"/>
          <w:lang w:val="en-GB"/>
        </w:rPr>
        <w:t>. I</w:t>
      </w:r>
      <w:r w:rsidR="00557BCE" w:rsidRPr="00E17D79">
        <w:rPr>
          <w:rFonts w:ascii="Book Antiqua" w:hAnsi="Book Antiqua" w:cs="Arial"/>
          <w:lang w:val="en-GB"/>
        </w:rPr>
        <w:t xml:space="preserve">n this context, it is worthy to state that the use of anakinra as a treatment option has already been described with favourable results </w:t>
      </w:r>
      <w:r w:rsidR="00F20D7B" w:rsidRPr="00E17D79">
        <w:rPr>
          <w:rFonts w:ascii="Book Antiqua" w:hAnsi="Book Antiqua" w:cs="Arial"/>
          <w:lang w:val="en-GB"/>
        </w:rPr>
        <w:t>in small studies</w:t>
      </w:r>
      <w:r w:rsidR="00E01676" w:rsidRPr="00E17D79">
        <w:rPr>
          <w:rFonts w:ascii="Book Antiqua" w:hAnsi="Book Antiqua" w:cs="Arial"/>
          <w:vertAlign w:val="superscript"/>
          <w:lang w:val="en-GB"/>
        </w:rPr>
        <w:t>[43</w:t>
      </w:r>
      <w:r w:rsidR="00557BCE" w:rsidRPr="00E17D79">
        <w:rPr>
          <w:rFonts w:ascii="Book Antiqua" w:hAnsi="Book Antiqua" w:cs="Arial"/>
          <w:vertAlign w:val="superscript"/>
          <w:lang w:val="en-GB"/>
        </w:rPr>
        <w:t>]</w:t>
      </w:r>
      <w:r w:rsidR="00557BCE" w:rsidRPr="00E17D79">
        <w:rPr>
          <w:rFonts w:ascii="Book Antiqua" w:hAnsi="Book Antiqua" w:cs="Arial"/>
          <w:lang w:val="en-GB"/>
        </w:rPr>
        <w:t xml:space="preserve"> while on the other hand, </w:t>
      </w:r>
      <w:r w:rsidRPr="00E17D79">
        <w:rPr>
          <w:rFonts w:ascii="Book Antiqua" w:hAnsi="Book Antiqua" w:cs="Arial"/>
          <w:lang w:val="en-GB"/>
        </w:rPr>
        <w:t>IVIG has been</w:t>
      </w:r>
      <w:r w:rsidR="00BE219F" w:rsidRPr="00E17D79">
        <w:rPr>
          <w:rFonts w:ascii="Book Antiqua" w:hAnsi="Book Antiqua" w:cs="Arial"/>
          <w:lang w:val="en-GB"/>
        </w:rPr>
        <w:t xml:space="preserve"> </w:t>
      </w:r>
      <w:r w:rsidRPr="00E17D79">
        <w:rPr>
          <w:rFonts w:ascii="Book Antiqua" w:hAnsi="Book Antiqua" w:cs="Arial"/>
          <w:lang w:val="en-GB"/>
        </w:rPr>
        <w:t>proved effective in at least a subgroup of adult</w:t>
      </w:r>
      <w:r w:rsidR="00296643" w:rsidRPr="00E17D79">
        <w:rPr>
          <w:rFonts w:ascii="Book Antiqua" w:hAnsi="Book Antiqua" w:cs="Arial"/>
          <w:lang w:val="en-GB"/>
        </w:rPr>
        <w:t>s</w:t>
      </w:r>
      <w:r w:rsidR="00BE219F" w:rsidRPr="00E17D79">
        <w:rPr>
          <w:rFonts w:ascii="Book Antiqua" w:hAnsi="Book Antiqua" w:cs="Arial"/>
          <w:lang w:val="en-GB"/>
        </w:rPr>
        <w:t xml:space="preserve"> </w:t>
      </w:r>
      <w:r w:rsidR="00296643" w:rsidRPr="00E17D79">
        <w:rPr>
          <w:rFonts w:ascii="Book Antiqua" w:hAnsi="Book Antiqua" w:cs="Arial"/>
          <w:lang w:val="en-GB"/>
        </w:rPr>
        <w:t xml:space="preserve">with </w:t>
      </w:r>
      <w:r w:rsidRPr="00E17D79">
        <w:rPr>
          <w:rFonts w:ascii="Book Antiqua" w:hAnsi="Book Antiqua" w:cs="Arial"/>
          <w:lang w:val="en-GB"/>
        </w:rPr>
        <w:t xml:space="preserve">sHLH when started at the </w:t>
      </w:r>
      <w:r w:rsidRPr="00E17D79">
        <w:rPr>
          <w:rFonts w:ascii="Book Antiqua" w:hAnsi="Book Antiqua" w:cs="Arial"/>
          <w:lang w:val="en-GB"/>
        </w:rPr>
        <w:lastRenderedPageBreak/>
        <w:t>beginning of the macrophage activation process, during the ferritin run-up to peak values</w:t>
      </w:r>
      <w:r w:rsidRPr="00E17D79">
        <w:rPr>
          <w:rFonts w:ascii="Book Antiqua" w:hAnsi="Book Antiqua" w:cs="Arial"/>
          <w:vertAlign w:val="superscript"/>
          <w:lang w:val="en-GB"/>
        </w:rPr>
        <w:t>[</w:t>
      </w:r>
      <w:r w:rsidR="00E01676" w:rsidRPr="00E17D79">
        <w:rPr>
          <w:rFonts w:ascii="Book Antiqua" w:hAnsi="Book Antiqua" w:cs="Arial"/>
          <w:vertAlign w:val="superscript"/>
          <w:lang w:val="en-GB"/>
        </w:rPr>
        <w:t>44</w:t>
      </w:r>
      <w:r w:rsidRPr="00E17D79">
        <w:rPr>
          <w:rFonts w:ascii="Book Antiqua" w:hAnsi="Book Antiqua" w:cs="Arial"/>
          <w:vertAlign w:val="superscript"/>
          <w:lang w:val="en-GB"/>
        </w:rPr>
        <w:t>]</w:t>
      </w:r>
      <w:r w:rsidRPr="00E17D79">
        <w:rPr>
          <w:rFonts w:ascii="Book Antiqua" w:hAnsi="Book Antiqua" w:cs="Arial"/>
          <w:lang w:val="en-GB"/>
        </w:rPr>
        <w:t>.</w:t>
      </w:r>
      <w:r w:rsidR="003E3217" w:rsidRPr="00E17D79">
        <w:rPr>
          <w:rFonts w:ascii="Book Antiqua" w:hAnsi="Book Antiqua" w:cs="Arial"/>
          <w:lang w:val="en-GB"/>
        </w:rPr>
        <w:t xml:space="preserve"> However, the role of IVIG for the treatment of sHLH is not fully understood.</w:t>
      </w:r>
      <w:r w:rsidRPr="00E17D79">
        <w:rPr>
          <w:rFonts w:ascii="Book Antiqua" w:hAnsi="Book Antiqua" w:cs="Arial"/>
          <w:lang w:val="en-GB"/>
        </w:rPr>
        <w:t xml:space="preserve"> IVIG has several well-known potential anti-inflammatory and immunomodulatory actions </w:t>
      </w:r>
      <w:r w:rsidR="00533BEC" w:rsidRPr="00E17D79">
        <w:rPr>
          <w:rFonts w:ascii="Book Antiqua" w:hAnsi="Book Antiqua" w:cs="Arial"/>
          <w:lang w:val="en-GB"/>
        </w:rPr>
        <w:t xml:space="preserve">through broad and possibly synergistic mechanisms </w:t>
      </w:r>
      <w:r w:rsidR="00345AAF" w:rsidRPr="00E17D79">
        <w:rPr>
          <w:rFonts w:ascii="Book Antiqua" w:hAnsi="Book Antiqua" w:cs="Arial"/>
          <w:lang w:val="en-GB"/>
        </w:rPr>
        <w:t>including alteration</w:t>
      </w:r>
      <w:r w:rsidRPr="00E17D79">
        <w:rPr>
          <w:rFonts w:ascii="Book Antiqua" w:hAnsi="Book Antiqua" w:cs="Arial"/>
          <w:lang w:val="en-GB"/>
        </w:rPr>
        <w:t xml:space="preserve"> of activation, differentiation and functions of T-cells and B-cells</w:t>
      </w:r>
      <w:r w:rsidR="00BE219F" w:rsidRPr="00E17D79">
        <w:rPr>
          <w:rFonts w:ascii="Book Antiqua" w:hAnsi="Book Antiqua" w:cs="Arial"/>
          <w:lang w:val="en-GB"/>
        </w:rPr>
        <w:t xml:space="preserve"> </w:t>
      </w:r>
      <w:r w:rsidRPr="00E17D79">
        <w:rPr>
          <w:rFonts w:ascii="Book Antiqua" w:hAnsi="Book Antiqua" w:cs="Arial"/>
          <w:lang w:val="en-GB"/>
        </w:rPr>
        <w:t>and suppression of cytokine production</w:t>
      </w:r>
      <w:r w:rsidRPr="00E17D79">
        <w:rPr>
          <w:rFonts w:ascii="Book Antiqua" w:hAnsi="Book Antiqua" w:cs="Arial"/>
          <w:vertAlign w:val="superscript"/>
          <w:lang w:val="en-GB"/>
        </w:rPr>
        <w:t>[</w:t>
      </w:r>
      <w:r w:rsidR="00E01676" w:rsidRPr="00E17D79">
        <w:rPr>
          <w:rFonts w:ascii="Book Antiqua" w:hAnsi="Book Antiqua" w:cs="Arial"/>
          <w:vertAlign w:val="superscript"/>
          <w:lang w:val="en-GB"/>
        </w:rPr>
        <w:t>45-48</w:t>
      </w:r>
      <w:r w:rsidRPr="00E17D79">
        <w:rPr>
          <w:rFonts w:ascii="Book Antiqua" w:hAnsi="Book Antiqua" w:cs="Arial"/>
          <w:vertAlign w:val="superscript"/>
          <w:lang w:val="en-GB"/>
        </w:rPr>
        <w:t>]</w:t>
      </w:r>
      <w:r w:rsidRPr="00E17D79">
        <w:rPr>
          <w:rFonts w:ascii="Book Antiqua" w:hAnsi="Book Antiqua" w:cs="Arial"/>
          <w:lang w:val="en-GB"/>
        </w:rPr>
        <w:t>.</w:t>
      </w:r>
      <w:r w:rsidR="00E47CD5" w:rsidRPr="00E17D79">
        <w:rPr>
          <w:rFonts w:ascii="Book Antiqua" w:hAnsi="Book Antiqua" w:cs="Arial"/>
          <w:lang w:val="en-GB"/>
        </w:rPr>
        <w:t xml:space="preserve"> This</w:t>
      </w:r>
      <w:r w:rsidR="003E3217" w:rsidRPr="00E17D79">
        <w:rPr>
          <w:rFonts w:ascii="Book Antiqua" w:hAnsi="Book Antiqua" w:cs="Arial"/>
          <w:lang w:val="en-GB"/>
        </w:rPr>
        <w:t xml:space="preserve"> </w:t>
      </w:r>
      <w:r w:rsidR="00E01676" w:rsidRPr="00E17D79">
        <w:rPr>
          <w:rFonts w:ascii="Book Antiqua" w:hAnsi="Book Antiqua" w:cs="Arial"/>
          <w:lang w:val="en-GB"/>
        </w:rPr>
        <w:t xml:space="preserve">broad spectrum </w:t>
      </w:r>
      <w:r w:rsidR="00312C15" w:rsidRPr="00E17D79">
        <w:rPr>
          <w:rFonts w:ascii="Book Antiqua" w:hAnsi="Book Antiqua" w:cs="Arial"/>
          <w:lang w:val="en-GB"/>
        </w:rPr>
        <w:t xml:space="preserve">of </w:t>
      </w:r>
      <w:r w:rsidR="003E3217" w:rsidRPr="00E17D79">
        <w:rPr>
          <w:rFonts w:ascii="Book Antiqua" w:hAnsi="Book Antiqua" w:cs="Arial"/>
          <w:lang w:val="en-GB"/>
        </w:rPr>
        <w:t xml:space="preserve">mechanisms may explain the </w:t>
      </w:r>
      <w:r w:rsidR="00BE219F" w:rsidRPr="00E17D79">
        <w:rPr>
          <w:rFonts w:ascii="Book Antiqua" w:hAnsi="Book Antiqua" w:cs="Arial"/>
          <w:lang w:val="en-GB"/>
        </w:rPr>
        <w:t xml:space="preserve">rationale and </w:t>
      </w:r>
      <w:r w:rsidR="003E3217" w:rsidRPr="00E17D79">
        <w:rPr>
          <w:rFonts w:ascii="Book Antiqua" w:hAnsi="Book Antiqua" w:cs="Arial"/>
          <w:lang w:val="en-GB"/>
        </w:rPr>
        <w:t>effectiveness of IVIG in sHLH.</w:t>
      </w:r>
      <w:r w:rsidR="00533BEC" w:rsidRPr="00E17D79">
        <w:rPr>
          <w:rFonts w:ascii="Book Antiqua" w:hAnsi="Book Antiqua" w:cs="Arial"/>
          <w:lang w:val="en-GB"/>
        </w:rPr>
        <w:t xml:space="preserve"> Unfortunately, in four patients IVIG was in short supply and thus they received treatment with intravenous steroid pulses followed by gradual tapering of prednisolone only. Two of them did not achieve remission and eventually died.</w:t>
      </w:r>
    </w:p>
    <w:p w14:paraId="70DA655B" w14:textId="60300456" w:rsidR="004C7D26" w:rsidRPr="00E17D79" w:rsidRDefault="00396183"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 xml:space="preserve">Although </w:t>
      </w:r>
      <w:r w:rsidR="00932D5C" w:rsidRPr="00E17D79">
        <w:rPr>
          <w:rFonts w:ascii="Book Antiqua" w:hAnsi="Book Antiqua" w:cs="Arial"/>
          <w:lang w:val="en-US"/>
        </w:rPr>
        <w:t xml:space="preserve">therapy directed against the underlying </w:t>
      </w:r>
      <w:r w:rsidRPr="00E17D79">
        <w:rPr>
          <w:rFonts w:ascii="Book Antiqua" w:hAnsi="Book Antiqua" w:cs="Arial"/>
          <w:lang w:val="en-GB"/>
        </w:rPr>
        <w:t xml:space="preserve">pathogen is usually not sufficient to control sHLH, </w:t>
      </w:r>
      <w:r w:rsidR="00234ACE" w:rsidRPr="00E17D79">
        <w:rPr>
          <w:rFonts w:ascii="Book Antiqua" w:hAnsi="Book Antiqua" w:cs="Arial"/>
          <w:lang w:val="en-GB"/>
        </w:rPr>
        <w:t xml:space="preserve">recognition and </w:t>
      </w:r>
      <w:r w:rsidR="00932D5C" w:rsidRPr="00E17D79">
        <w:rPr>
          <w:rFonts w:ascii="Book Antiqua" w:hAnsi="Book Antiqua" w:cs="Arial"/>
          <w:lang w:val="en-GB"/>
        </w:rPr>
        <w:t>management</w:t>
      </w:r>
      <w:r w:rsidR="00234ACE" w:rsidRPr="00E17D79">
        <w:rPr>
          <w:rFonts w:ascii="Book Antiqua" w:hAnsi="Book Antiqua" w:cs="Arial"/>
          <w:lang w:val="en-GB"/>
        </w:rPr>
        <w:t xml:space="preserve"> of the underlying disease </w:t>
      </w:r>
      <w:r w:rsidRPr="00E17D79">
        <w:rPr>
          <w:rFonts w:ascii="Book Antiqua" w:hAnsi="Book Antiqua" w:cs="Arial"/>
          <w:lang w:val="en-GB"/>
        </w:rPr>
        <w:t>seems</w:t>
      </w:r>
      <w:r w:rsidR="00234ACE" w:rsidRPr="00E17D79">
        <w:rPr>
          <w:rFonts w:ascii="Book Antiqua" w:hAnsi="Book Antiqua" w:cs="Arial"/>
          <w:lang w:val="en-GB"/>
        </w:rPr>
        <w:t xml:space="preserve"> of </w:t>
      </w:r>
      <w:r w:rsidR="00C473AD" w:rsidRPr="00E17D79">
        <w:rPr>
          <w:rFonts w:ascii="Book Antiqua" w:hAnsi="Book Antiqua" w:cs="Arial"/>
          <w:lang w:val="en-GB"/>
        </w:rPr>
        <w:t>major</w:t>
      </w:r>
      <w:r w:rsidR="00234ACE" w:rsidRPr="00E17D79">
        <w:rPr>
          <w:rFonts w:ascii="Book Antiqua" w:hAnsi="Book Antiqua" w:cs="Arial"/>
          <w:lang w:val="en-GB"/>
        </w:rPr>
        <w:t xml:space="preserve"> importance.</w:t>
      </w:r>
      <w:r w:rsidR="00E01676" w:rsidRPr="00E17D79">
        <w:rPr>
          <w:rFonts w:ascii="Book Antiqua" w:hAnsi="Book Antiqua" w:cs="Arial"/>
          <w:lang w:val="en-GB"/>
        </w:rPr>
        <w:t xml:space="preserve"> </w:t>
      </w:r>
      <w:r w:rsidR="00234ACE" w:rsidRPr="00E17D79">
        <w:rPr>
          <w:rFonts w:ascii="Book Antiqua" w:hAnsi="Book Antiqua" w:cs="Arial"/>
          <w:lang w:val="en-GB"/>
        </w:rPr>
        <w:t>Thus, a</w:t>
      </w:r>
      <w:r w:rsidR="00E01676" w:rsidRPr="00E17D79">
        <w:rPr>
          <w:rFonts w:ascii="Book Antiqua" w:hAnsi="Book Antiqua" w:cs="Arial"/>
          <w:lang w:val="en-GB"/>
        </w:rPr>
        <w:t xml:space="preserve"> </w:t>
      </w:r>
      <w:r w:rsidR="00234ACE" w:rsidRPr="00E17D79">
        <w:rPr>
          <w:rFonts w:ascii="Book Antiqua" w:hAnsi="Book Antiqua" w:cs="Arial"/>
          <w:lang w:val="en-GB"/>
        </w:rPr>
        <w:t>careful microbiological, immunological and h</w:t>
      </w:r>
      <w:r w:rsidR="003F69F5" w:rsidRPr="00E17D79">
        <w:rPr>
          <w:rFonts w:ascii="Book Antiqua" w:hAnsi="Book Antiqua" w:cs="Arial"/>
          <w:lang w:val="en-GB"/>
        </w:rPr>
        <w:t>a</w:t>
      </w:r>
      <w:r w:rsidR="00234ACE" w:rsidRPr="00E17D79">
        <w:rPr>
          <w:rFonts w:ascii="Book Antiqua" w:hAnsi="Book Antiqua" w:cs="Arial"/>
          <w:lang w:val="en-GB"/>
        </w:rPr>
        <w:t>ematological workup is required to identify</w:t>
      </w:r>
      <w:r w:rsidR="00E01676" w:rsidRPr="00E17D79">
        <w:rPr>
          <w:rFonts w:ascii="Book Antiqua" w:hAnsi="Book Antiqua" w:cs="Arial"/>
          <w:lang w:val="en-GB"/>
        </w:rPr>
        <w:t xml:space="preserve"> </w:t>
      </w:r>
      <w:r w:rsidR="00234ACE" w:rsidRPr="00E17D79">
        <w:rPr>
          <w:rFonts w:ascii="Book Antiqua" w:hAnsi="Book Antiqua" w:cs="Arial"/>
          <w:lang w:val="en-GB"/>
        </w:rPr>
        <w:t>existing triggers of sHLH</w:t>
      </w:r>
      <w:r w:rsidR="00932D5C" w:rsidRPr="00E17D79">
        <w:rPr>
          <w:rFonts w:ascii="Book Antiqua" w:hAnsi="Book Antiqua" w:cs="Arial"/>
          <w:lang w:val="en-GB"/>
        </w:rPr>
        <w:t xml:space="preserve"> and</w:t>
      </w:r>
      <w:r w:rsidR="00234ACE" w:rsidRPr="00E17D79">
        <w:rPr>
          <w:rFonts w:ascii="Book Antiqua" w:hAnsi="Book Antiqua" w:cs="Arial"/>
          <w:lang w:val="en-GB"/>
        </w:rPr>
        <w:t xml:space="preserve"> especially infections due to </w:t>
      </w:r>
      <w:r w:rsidR="00533BEC" w:rsidRPr="00E17D79">
        <w:rPr>
          <w:rFonts w:ascii="Book Antiqua" w:hAnsi="Book Antiqua" w:cs="Arial"/>
          <w:lang w:val="en-GB"/>
        </w:rPr>
        <w:t>Epstein-Barr virus, Cytomegalovirus</w:t>
      </w:r>
      <w:r w:rsidR="00E01676" w:rsidRPr="00E17D79">
        <w:rPr>
          <w:rFonts w:ascii="Book Antiqua" w:hAnsi="Book Antiqua" w:cs="Arial"/>
          <w:lang w:val="en-GB"/>
        </w:rPr>
        <w:t xml:space="preserve"> </w:t>
      </w:r>
      <w:r w:rsidR="00234ACE" w:rsidRPr="00E17D79">
        <w:rPr>
          <w:rFonts w:ascii="Book Antiqua" w:hAnsi="Book Antiqua" w:cs="Arial"/>
          <w:lang w:val="en-GB"/>
        </w:rPr>
        <w:t xml:space="preserve">or VL. Controlling </w:t>
      </w:r>
      <w:r w:rsidR="003F69F5" w:rsidRPr="00E17D79">
        <w:rPr>
          <w:rFonts w:ascii="Book Antiqua" w:hAnsi="Book Antiqua" w:cs="Arial"/>
          <w:lang w:val="en-GB"/>
        </w:rPr>
        <w:t xml:space="preserve">of </w:t>
      </w:r>
      <w:r w:rsidR="00234ACE" w:rsidRPr="00E17D79">
        <w:rPr>
          <w:rFonts w:ascii="Book Antiqua" w:hAnsi="Book Antiqua" w:cs="Arial"/>
          <w:lang w:val="en-GB"/>
        </w:rPr>
        <w:t>infectious</w:t>
      </w:r>
      <w:r w:rsidR="00E01676" w:rsidRPr="00E17D79">
        <w:rPr>
          <w:rFonts w:ascii="Book Antiqua" w:hAnsi="Book Antiqua" w:cs="Arial"/>
          <w:lang w:val="en-GB"/>
        </w:rPr>
        <w:t xml:space="preserve"> </w:t>
      </w:r>
      <w:r w:rsidR="00234ACE" w:rsidRPr="00E17D79">
        <w:rPr>
          <w:rFonts w:ascii="Book Antiqua" w:hAnsi="Book Antiqua" w:cs="Arial"/>
          <w:lang w:val="en-GB"/>
        </w:rPr>
        <w:t>diseases is an important component of sHLH</w:t>
      </w:r>
      <w:r w:rsidR="00E01676" w:rsidRPr="00E17D79">
        <w:rPr>
          <w:rFonts w:ascii="Book Antiqua" w:hAnsi="Book Antiqua" w:cs="Arial"/>
          <w:lang w:val="en-GB"/>
        </w:rPr>
        <w:t xml:space="preserve"> </w:t>
      </w:r>
      <w:r w:rsidR="003F69F5" w:rsidRPr="00E17D79">
        <w:rPr>
          <w:rFonts w:ascii="Book Antiqua" w:hAnsi="Book Antiqua" w:cs="Arial"/>
          <w:lang w:val="en-GB"/>
        </w:rPr>
        <w:t>management</w:t>
      </w:r>
      <w:r w:rsidR="00932D5C" w:rsidRPr="00E17D79">
        <w:rPr>
          <w:rFonts w:ascii="Book Antiqua" w:hAnsi="Book Antiqua" w:cs="Arial"/>
          <w:lang w:val="en-GB"/>
        </w:rPr>
        <w:t xml:space="preserve"> particularly</w:t>
      </w:r>
      <w:r w:rsidR="00234ACE" w:rsidRPr="00E17D79">
        <w:rPr>
          <w:rFonts w:ascii="Book Antiqua" w:hAnsi="Book Antiqua" w:cs="Arial"/>
          <w:lang w:val="en-GB"/>
        </w:rPr>
        <w:t xml:space="preserve"> in cases</w:t>
      </w:r>
      <w:r w:rsidR="00C473AD" w:rsidRPr="00E17D79">
        <w:rPr>
          <w:rFonts w:ascii="Book Antiqua" w:hAnsi="Book Antiqua" w:cs="Arial"/>
          <w:lang w:val="en-GB"/>
        </w:rPr>
        <w:t xml:space="preserve"> of VL</w:t>
      </w:r>
      <w:r w:rsidR="00234ACE" w:rsidRPr="00E17D79">
        <w:rPr>
          <w:rFonts w:ascii="Book Antiqua" w:hAnsi="Book Antiqua" w:cs="Arial"/>
          <w:lang w:val="en-GB"/>
        </w:rPr>
        <w:t xml:space="preserve">, </w:t>
      </w:r>
      <w:r w:rsidR="003F69F5" w:rsidRPr="00E17D79">
        <w:rPr>
          <w:rFonts w:ascii="Book Antiqua" w:hAnsi="Book Antiqua" w:cs="Arial"/>
          <w:lang w:val="en-GB"/>
        </w:rPr>
        <w:t xml:space="preserve">as </w:t>
      </w:r>
      <w:r w:rsidR="00234ACE" w:rsidRPr="00E17D79">
        <w:rPr>
          <w:rFonts w:ascii="Book Antiqua" w:hAnsi="Book Antiqua" w:cs="Arial"/>
          <w:lang w:val="en-GB"/>
        </w:rPr>
        <w:t>specific treatment</w:t>
      </w:r>
      <w:r w:rsidR="00E01676" w:rsidRPr="00E17D79">
        <w:rPr>
          <w:rFonts w:ascii="Book Antiqua" w:hAnsi="Book Antiqua" w:cs="Arial"/>
          <w:lang w:val="en-GB"/>
        </w:rPr>
        <w:t xml:space="preserve"> </w:t>
      </w:r>
      <w:r w:rsidR="00234ACE" w:rsidRPr="00E17D79">
        <w:rPr>
          <w:rFonts w:ascii="Book Antiqua" w:hAnsi="Book Antiqua" w:cs="Arial"/>
          <w:lang w:val="en-GB"/>
        </w:rPr>
        <w:t>with LAMB</w:t>
      </w:r>
      <w:r w:rsidR="00F20D7B" w:rsidRPr="00E17D79">
        <w:rPr>
          <w:rFonts w:ascii="Book Antiqua" w:hAnsi="Book Antiqua" w:cs="Arial"/>
          <w:lang w:val="en-GB"/>
        </w:rPr>
        <w:t xml:space="preserve"> alone</w:t>
      </w:r>
      <w:r w:rsidR="00234ACE" w:rsidRPr="00E17D79">
        <w:rPr>
          <w:rFonts w:ascii="Book Antiqua" w:hAnsi="Book Antiqua" w:cs="Arial"/>
          <w:lang w:val="en-GB"/>
        </w:rPr>
        <w:t>,</w:t>
      </w:r>
      <w:r w:rsidR="00E01676" w:rsidRPr="00E17D79">
        <w:rPr>
          <w:rFonts w:ascii="Book Antiqua" w:hAnsi="Book Antiqua" w:cs="Arial"/>
          <w:lang w:val="en-GB"/>
        </w:rPr>
        <w:t xml:space="preserve"> </w:t>
      </w:r>
      <w:r w:rsidR="00234ACE" w:rsidRPr="00E17D79">
        <w:rPr>
          <w:rFonts w:ascii="Book Antiqua" w:hAnsi="Book Antiqua" w:cs="Arial"/>
          <w:lang w:val="en-GB"/>
        </w:rPr>
        <w:t xml:space="preserve">may </w:t>
      </w:r>
      <w:r w:rsidR="00932D5C" w:rsidRPr="00E17D79">
        <w:rPr>
          <w:rFonts w:ascii="Book Antiqua" w:hAnsi="Book Antiqua" w:cs="Arial"/>
          <w:lang w:val="en-GB"/>
        </w:rPr>
        <w:t xml:space="preserve">be </w:t>
      </w:r>
      <w:r w:rsidR="00234ACE" w:rsidRPr="00E17D79">
        <w:rPr>
          <w:rFonts w:ascii="Book Antiqua" w:hAnsi="Book Antiqua" w:cs="Arial"/>
          <w:lang w:val="en-GB"/>
        </w:rPr>
        <w:t>successful</w:t>
      </w:r>
      <w:r w:rsidR="00E01676" w:rsidRPr="00E17D79">
        <w:rPr>
          <w:rFonts w:ascii="Book Antiqua" w:hAnsi="Book Antiqua" w:cs="Arial"/>
          <w:lang w:val="en-GB"/>
        </w:rPr>
        <w:t xml:space="preserve"> </w:t>
      </w:r>
      <w:r w:rsidR="00932D5C" w:rsidRPr="00E17D79">
        <w:rPr>
          <w:rFonts w:ascii="Book Antiqua" w:hAnsi="Book Antiqua" w:cs="Arial"/>
          <w:lang w:val="en-GB"/>
        </w:rPr>
        <w:t xml:space="preserve">in cases of </w:t>
      </w:r>
      <w:r w:rsidR="00C473AD" w:rsidRPr="00E17D79">
        <w:rPr>
          <w:rFonts w:ascii="Book Antiqua" w:hAnsi="Book Antiqua" w:cs="Arial"/>
          <w:lang w:val="en-GB"/>
        </w:rPr>
        <w:t>VL</w:t>
      </w:r>
      <w:r w:rsidR="003F69F5" w:rsidRPr="00E17D79">
        <w:rPr>
          <w:rFonts w:ascii="Book Antiqua" w:hAnsi="Book Antiqua" w:cs="Arial"/>
          <w:lang w:val="en-GB"/>
        </w:rPr>
        <w:t>-</w:t>
      </w:r>
      <w:r w:rsidR="00234ACE" w:rsidRPr="00E17D79">
        <w:rPr>
          <w:rFonts w:ascii="Book Antiqua" w:hAnsi="Book Antiqua" w:cs="Arial"/>
          <w:lang w:val="en-GB"/>
        </w:rPr>
        <w:t>associated</w:t>
      </w:r>
      <w:r w:rsidR="00E01676" w:rsidRPr="00E17D79">
        <w:rPr>
          <w:rFonts w:ascii="Book Antiqua" w:hAnsi="Book Antiqua" w:cs="Arial"/>
          <w:lang w:val="en-GB"/>
        </w:rPr>
        <w:t xml:space="preserve"> </w:t>
      </w:r>
      <w:r w:rsidR="00234ACE" w:rsidRPr="00E17D79">
        <w:rPr>
          <w:rFonts w:ascii="Book Antiqua" w:hAnsi="Book Antiqua" w:cs="Arial"/>
          <w:lang w:val="en-GB"/>
        </w:rPr>
        <w:t>sHLH</w:t>
      </w:r>
      <w:r w:rsidR="00234ACE" w:rsidRPr="00E17D79">
        <w:rPr>
          <w:rFonts w:ascii="Book Antiqua" w:hAnsi="Book Antiqua"/>
          <w:vertAlign w:val="superscript"/>
          <w:lang w:val="en-GB"/>
        </w:rPr>
        <w:t>[</w:t>
      </w:r>
      <w:r w:rsidR="00234ACE" w:rsidRPr="00E17D79">
        <w:rPr>
          <w:rFonts w:ascii="Book Antiqua" w:hAnsi="Book Antiqua" w:cs="Arial"/>
          <w:vertAlign w:val="superscript"/>
          <w:lang w:val="en-GB"/>
        </w:rPr>
        <w:t>11</w:t>
      </w:r>
      <w:r w:rsidR="003F69F5" w:rsidRPr="00E17D79">
        <w:rPr>
          <w:rFonts w:ascii="Book Antiqua" w:hAnsi="Book Antiqua" w:cs="Arial"/>
          <w:vertAlign w:val="superscript"/>
          <w:lang w:val="en-GB"/>
        </w:rPr>
        <w:t>,24</w:t>
      </w:r>
      <w:r w:rsidR="00234ACE" w:rsidRPr="00E17D79">
        <w:rPr>
          <w:rFonts w:ascii="Book Antiqua" w:hAnsi="Book Antiqua" w:cs="Arial"/>
          <w:vertAlign w:val="superscript"/>
          <w:lang w:val="en-GB"/>
        </w:rPr>
        <w:t>]</w:t>
      </w:r>
      <w:r w:rsidR="00234ACE" w:rsidRPr="00E17D79">
        <w:rPr>
          <w:rFonts w:ascii="Book Antiqua" w:hAnsi="Book Antiqua" w:cs="Arial"/>
          <w:lang w:val="en-GB"/>
        </w:rPr>
        <w:t xml:space="preserve">. </w:t>
      </w:r>
      <w:r w:rsidRPr="00E17D79">
        <w:rPr>
          <w:rFonts w:ascii="Book Antiqua" w:hAnsi="Book Antiqua" w:cs="Arial"/>
          <w:lang w:val="en-GB"/>
        </w:rPr>
        <w:t>Under this context</w:t>
      </w:r>
      <w:r w:rsidR="00234ACE" w:rsidRPr="00E17D79">
        <w:rPr>
          <w:rFonts w:ascii="Book Antiqua" w:hAnsi="Book Antiqua" w:cs="Arial"/>
          <w:lang w:val="en-GB"/>
        </w:rPr>
        <w:t xml:space="preserve">, four </w:t>
      </w:r>
      <w:r w:rsidRPr="00E17D79">
        <w:rPr>
          <w:rFonts w:ascii="Book Antiqua" w:hAnsi="Book Antiqua" w:cs="Arial"/>
          <w:lang w:val="en-GB"/>
        </w:rPr>
        <w:t xml:space="preserve">of our </w:t>
      </w:r>
      <w:r w:rsidR="00234ACE" w:rsidRPr="00E17D79">
        <w:rPr>
          <w:rFonts w:ascii="Book Antiqua" w:hAnsi="Book Antiqua" w:cs="Arial"/>
          <w:lang w:val="en-GB"/>
        </w:rPr>
        <w:t xml:space="preserve">patients with VL </w:t>
      </w:r>
      <w:r w:rsidR="00533BEC" w:rsidRPr="00E17D79">
        <w:rPr>
          <w:rFonts w:ascii="Book Antiqua" w:hAnsi="Book Antiqua" w:cs="Arial"/>
          <w:lang w:val="en-GB"/>
        </w:rPr>
        <w:t xml:space="preserve">who </w:t>
      </w:r>
      <w:r w:rsidR="00234ACE" w:rsidRPr="00E17D79">
        <w:rPr>
          <w:rFonts w:ascii="Book Antiqua" w:hAnsi="Book Antiqua" w:cs="Arial"/>
          <w:lang w:val="en-GB"/>
        </w:rPr>
        <w:t xml:space="preserve">received early treatment only with LAMB </w:t>
      </w:r>
      <w:r w:rsidR="00533BEC" w:rsidRPr="00E17D79">
        <w:rPr>
          <w:rFonts w:ascii="Book Antiqua" w:hAnsi="Book Antiqua" w:cs="Arial"/>
          <w:lang w:val="en-GB"/>
        </w:rPr>
        <w:t>(without corticosteroids and/or IVIG infusions) achieved</w:t>
      </w:r>
      <w:r w:rsidR="00234ACE" w:rsidRPr="00E17D79">
        <w:rPr>
          <w:rFonts w:ascii="Book Antiqua" w:hAnsi="Book Antiqua" w:cs="Arial"/>
          <w:lang w:val="en-GB"/>
        </w:rPr>
        <w:t xml:space="preserve"> </w:t>
      </w:r>
      <w:r w:rsidRPr="00E17D79">
        <w:rPr>
          <w:rFonts w:ascii="Book Antiqua" w:hAnsi="Book Antiqua" w:cs="Arial"/>
          <w:lang w:val="en-GB"/>
        </w:rPr>
        <w:t xml:space="preserve">complete </w:t>
      </w:r>
      <w:r w:rsidR="00234ACE" w:rsidRPr="00E17D79">
        <w:rPr>
          <w:rFonts w:ascii="Book Antiqua" w:hAnsi="Book Antiqua" w:cs="Arial"/>
          <w:lang w:val="en-GB"/>
        </w:rPr>
        <w:t xml:space="preserve">remission </w:t>
      </w:r>
      <w:r w:rsidRPr="00E17D79">
        <w:rPr>
          <w:rFonts w:ascii="Book Antiqua" w:hAnsi="Book Antiqua" w:cs="Arial"/>
          <w:lang w:val="en-GB"/>
        </w:rPr>
        <w:t>of</w:t>
      </w:r>
      <w:r w:rsidR="00932D5C" w:rsidRPr="00E17D79">
        <w:rPr>
          <w:rFonts w:ascii="Book Antiqua" w:hAnsi="Book Antiqua" w:cs="Arial"/>
          <w:lang w:val="en-GB"/>
        </w:rPr>
        <w:t xml:space="preserve"> </w:t>
      </w:r>
      <w:r w:rsidR="003E5B59" w:rsidRPr="00E17D79">
        <w:rPr>
          <w:rFonts w:ascii="Book Antiqua" w:hAnsi="Book Antiqua" w:cs="Arial"/>
          <w:lang w:val="en-GB"/>
        </w:rPr>
        <w:t xml:space="preserve">the </w:t>
      </w:r>
      <w:r w:rsidR="00234ACE" w:rsidRPr="00E17D79">
        <w:rPr>
          <w:rFonts w:ascii="Book Antiqua" w:hAnsi="Book Antiqua" w:cs="Arial"/>
          <w:lang w:val="en-GB"/>
        </w:rPr>
        <w:t>sHLH.</w:t>
      </w:r>
    </w:p>
    <w:p w14:paraId="056F3E29" w14:textId="61DE4D66" w:rsidR="003C17D6" w:rsidRPr="00E17D79" w:rsidRDefault="00396183"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O</w:t>
      </w:r>
      <w:r w:rsidR="00234ACE" w:rsidRPr="00E17D79">
        <w:rPr>
          <w:rFonts w:ascii="Book Antiqua" w:hAnsi="Book Antiqua" w:cs="Arial"/>
          <w:lang w:val="en-GB"/>
        </w:rPr>
        <w:t>ur study ha</w:t>
      </w:r>
      <w:r w:rsidRPr="00E17D79">
        <w:rPr>
          <w:rFonts w:ascii="Book Antiqua" w:hAnsi="Book Antiqua" w:cs="Arial"/>
          <w:lang w:val="en-GB"/>
        </w:rPr>
        <w:t>s</w:t>
      </w:r>
      <w:r w:rsidR="00234ACE" w:rsidRPr="00E17D79">
        <w:rPr>
          <w:rFonts w:ascii="Book Antiqua" w:hAnsi="Book Antiqua" w:cs="Arial"/>
          <w:lang w:val="en-GB"/>
        </w:rPr>
        <w:t xml:space="preserve"> s</w:t>
      </w:r>
      <w:r w:rsidRPr="00E17D79">
        <w:rPr>
          <w:rFonts w:ascii="Book Antiqua" w:hAnsi="Book Antiqua" w:cs="Arial"/>
          <w:lang w:val="en-GB"/>
        </w:rPr>
        <w:t>ome</w:t>
      </w:r>
      <w:r w:rsidR="00234ACE" w:rsidRPr="00E17D79">
        <w:rPr>
          <w:rFonts w:ascii="Book Antiqua" w:hAnsi="Book Antiqua" w:cs="Arial"/>
          <w:lang w:val="en-GB"/>
        </w:rPr>
        <w:t xml:space="preserve"> limitations</w:t>
      </w:r>
      <w:r w:rsidRPr="00E17D79">
        <w:rPr>
          <w:rFonts w:ascii="Book Antiqua" w:hAnsi="Book Antiqua" w:cs="Arial"/>
          <w:lang w:val="en-GB"/>
        </w:rPr>
        <w:t xml:space="preserve">: </w:t>
      </w:r>
      <w:r w:rsidR="00345AAF" w:rsidRPr="00E17D79">
        <w:rPr>
          <w:rFonts w:ascii="Book Antiqua" w:hAnsi="Book Antiqua" w:cs="Arial"/>
          <w:lang w:val="en-GB"/>
        </w:rPr>
        <w:t>(A</w:t>
      </w:r>
      <w:r w:rsidRPr="00E17D79">
        <w:rPr>
          <w:rFonts w:ascii="Book Antiqua" w:hAnsi="Book Antiqua" w:cs="Arial"/>
          <w:lang w:val="en-GB"/>
        </w:rPr>
        <w:t xml:space="preserve">) </w:t>
      </w:r>
      <w:r w:rsidR="00234ACE" w:rsidRPr="00E17D79">
        <w:rPr>
          <w:rFonts w:ascii="Book Antiqua" w:hAnsi="Book Antiqua" w:cs="Arial"/>
          <w:lang w:val="en-GB"/>
        </w:rPr>
        <w:t xml:space="preserve">it </w:t>
      </w:r>
      <w:r w:rsidR="00E50159" w:rsidRPr="00E17D79">
        <w:rPr>
          <w:rFonts w:ascii="Book Antiqua" w:hAnsi="Book Antiqua" w:cs="Arial"/>
          <w:lang w:val="en-US"/>
        </w:rPr>
        <w:t>is a retrospective</w:t>
      </w:r>
      <w:r w:rsidR="00EF2231" w:rsidRPr="00E17D79">
        <w:rPr>
          <w:rFonts w:ascii="Book Antiqua" w:hAnsi="Book Antiqua" w:cs="Arial"/>
          <w:lang w:val="en-US"/>
        </w:rPr>
        <w:t xml:space="preserve"> single-</w:t>
      </w:r>
      <w:r w:rsidR="00EF2231" w:rsidRPr="00E17D79">
        <w:rPr>
          <w:rFonts w:ascii="Book Antiqua" w:hAnsi="Book Antiqua" w:cs="Arial"/>
          <w:lang w:val="en-GB"/>
        </w:rPr>
        <w:t>centre</w:t>
      </w:r>
      <w:r w:rsidR="00EF2231" w:rsidRPr="00E17D79">
        <w:rPr>
          <w:rFonts w:ascii="Book Antiqua" w:hAnsi="Book Antiqua" w:cs="Arial"/>
          <w:lang w:val="en-US"/>
        </w:rPr>
        <w:t xml:space="preserve"> real-world </w:t>
      </w:r>
      <w:r w:rsidRPr="00E17D79">
        <w:rPr>
          <w:rFonts w:ascii="Book Antiqua" w:hAnsi="Book Antiqua" w:cs="Arial"/>
          <w:lang w:val="en-US"/>
        </w:rPr>
        <w:t>study</w:t>
      </w:r>
      <w:r w:rsidR="00345AAF" w:rsidRPr="00E17D79">
        <w:rPr>
          <w:rFonts w:ascii="Book Antiqua" w:hAnsi="Book Antiqua" w:cs="Arial"/>
          <w:lang w:val="en-US"/>
        </w:rPr>
        <w:t>;</w:t>
      </w:r>
      <w:r w:rsidR="00932D5C" w:rsidRPr="00E17D79">
        <w:rPr>
          <w:rFonts w:ascii="Book Antiqua" w:hAnsi="Book Antiqua" w:cs="Arial"/>
          <w:lang w:val="en-US"/>
        </w:rPr>
        <w:t xml:space="preserve"> </w:t>
      </w:r>
      <w:r w:rsidR="00EB3B2D" w:rsidRPr="00E17D79">
        <w:rPr>
          <w:rFonts w:ascii="Book Antiqua" w:hAnsi="Book Antiqua" w:cs="Arial"/>
          <w:lang w:val="en-US"/>
        </w:rPr>
        <w:t xml:space="preserve">and </w:t>
      </w:r>
      <w:r w:rsidR="00345AAF" w:rsidRPr="00E17D79">
        <w:rPr>
          <w:rFonts w:ascii="Book Antiqua" w:hAnsi="Book Antiqua" w:cs="Arial"/>
          <w:lang w:val="en-US"/>
        </w:rPr>
        <w:t>(</w:t>
      </w:r>
      <w:r w:rsidR="00345AAF" w:rsidRPr="00E17D79">
        <w:rPr>
          <w:rFonts w:ascii="Book Antiqua" w:hAnsi="Book Antiqua" w:cs="Arial"/>
          <w:lang w:val="en-GB"/>
        </w:rPr>
        <w:t>B</w:t>
      </w:r>
      <w:r w:rsidRPr="00E17D79">
        <w:rPr>
          <w:rFonts w:ascii="Book Antiqua" w:hAnsi="Book Antiqua" w:cs="Arial"/>
          <w:lang w:val="en-GB"/>
        </w:rPr>
        <w:t>) l</w:t>
      </w:r>
      <w:r w:rsidR="00FB1393" w:rsidRPr="00E17D79">
        <w:rPr>
          <w:rFonts w:ascii="Book Antiqua" w:hAnsi="Book Antiqua" w:cs="Arial"/>
          <w:lang w:val="en-GB"/>
        </w:rPr>
        <w:t>ong-term follow-</w:t>
      </w:r>
      <w:r w:rsidR="00234ACE" w:rsidRPr="00E17D79">
        <w:rPr>
          <w:rFonts w:ascii="Book Antiqua" w:hAnsi="Book Antiqua" w:cs="Arial"/>
          <w:lang w:val="en-GB"/>
        </w:rPr>
        <w:t xml:space="preserve">up </w:t>
      </w:r>
      <w:r w:rsidR="00455D3B" w:rsidRPr="00E17D79">
        <w:rPr>
          <w:rFonts w:ascii="Book Antiqua" w:hAnsi="Book Antiqua" w:cs="Arial"/>
          <w:lang w:val="en-GB"/>
        </w:rPr>
        <w:t xml:space="preserve">data </w:t>
      </w:r>
      <w:r w:rsidR="00F13FC7" w:rsidRPr="00E17D79">
        <w:rPr>
          <w:rFonts w:ascii="Book Antiqua" w:hAnsi="Book Antiqua" w:cs="Arial"/>
          <w:lang w:val="en-GB"/>
        </w:rPr>
        <w:t>is</w:t>
      </w:r>
      <w:r w:rsidR="00932D5C" w:rsidRPr="00E17D79">
        <w:rPr>
          <w:rFonts w:ascii="Book Antiqua" w:hAnsi="Book Antiqua" w:cs="Arial"/>
          <w:lang w:val="en-GB"/>
        </w:rPr>
        <w:t xml:space="preserve"> </w:t>
      </w:r>
      <w:r w:rsidR="00234ACE" w:rsidRPr="00E17D79">
        <w:rPr>
          <w:rFonts w:ascii="Book Antiqua" w:hAnsi="Book Antiqua" w:cs="Arial"/>
          <w:lang w:val="en-GB"/>
        </w:rPr>
        <w:t>not available</w:t>
      </w:r>
      <w:r w:rsidR="00932D5C" w:rsidRPr="00E17D79">
        <w:rPr>
          <w:rFonts w:ascii="Book Antiqua" w:hAnsi="Book Antiqua" w:cs="Arial"/>
          <w:lang w:val="en-GB"/>
        </w:rPr>
        <w:t xml:space="preserve"> for all patients although 66</w:t>
      </w:r>
      <w:r w:rsidR="00DF581E" w:rsidRPr="00E17D79">
        <w:rPr>
          <w:rFonts w:ascii="Book Antiqua" w:hAnsi="Book Antiqua" w:cs="Arial"/>
          <w:lang w:val="en-GB"/>
        </w:rPr>
        <w:t xml:space="preserve"> </w:t>
      </w:r>
      <w:r w:rsidR="00AF6C0F" w:rsidRPr="00E17D79">
        <w:rPr>
          <w:rFonts w:ascii="Book Antiqua" w:hAnsi="Book Antiqua" w:cs="Arial"/>
          <w:lang w:val="en-GB"/>
        </w:rPr>
        <w:t>patients</w:t>
      </w:r>
      <w:r w:rsidR="00932D5C" w:rsidRPr="00E17D79">
        <w:rPr>
          <w:rFonts w:ascii="Book Antiqua" w:hAnsi="Book Antiqua" w:cs="Arial"/>
          <w:lang w:val="en-GB"/>
        </w:rPr>
        <w:t xml:space="preserve"> </w:t>
      </w:r>
      <w:r w:rsidR="00520B3A" w:rsidRPr="00E17D79">
        <w:rPr>
          <w:rFonts w:ascii="Book Antiqua" w:hAnsi="Book Antiqua" w:cs="Arial"/>
          <w:lang w:val="en-GB"/>
        </w:rPr>
        <w:t>(</w:t>
      </w:r>
      <w:r w:rsidR="00932D5C" w:rsidRPr="00E17D79">
        <w:rPr>
          <w:rFonts w:ascii="Book Antiqua" w:hAnsi="Book Antiqua" w:cs="Arial"/>
          <w:lang w:val="en-GB"/>
        </w:rPr>
        <w:t>82</w:t>
      </w:r>
      <w:r w:rsidR="00520B3A" w:rsidRPr="00E17D79">
        <w:rPr>
          <w:rFonts w:ascii="Book Antiqua" w:hAnsi="Book Antiqua" w:cs="Arial"/>
          <w:lang w:val="en-GB"/>
        </w:rPr>
        <w:t xml:space="preserve">.5%) </w:t>
      </w:r>
      <w:r w:rsidR="00932D5C" w:rsidRPr="00E17D79">
        <w:rPr>
          <w:rFonts w:ascii="Book Antiqua" w:hAnsi="Book Antiqua" w:cs="Arial"/>
          <w:lang w:val="en-GB"/>
        </w:rPr>
        <w:t>were</w:t>
      </w:r>
      <w:r w:rsidR="00455D3B" w:rsidRPr="00E17D79">
        <w:rPr>
          <w:rFonts w:ascii="Book Antiqua" w:hAnsi="Book Antiqua" w:cs="Arial"/>
          <w:lang w:val="en-GB"/>
        </w:rPr>
        <w:t xml:space="preserve"> still alive</w:t>
      </w:r>
      <w:r w:rsidR="00DF581E" w:rsidRPr="00E17D79">
        <w:rPr>
          <w:rFonts w:ascii="Book Antiqua" w:hAnsi="Book Antiqua" w:cs="Arial"/>
          <w:lang w:val="en-GB"/>
        </w:rPr>
        <w:t xml:space="preserve"> 6 m</w:t>
      </w:r>
      <w:r w:rsidR="00873447" w:rsidRPr="00E17D79">
        <w:rPr>
          <w:rFonts w:ascii="Book Antiqua" w:hAnsi="Book Antiqua" w:cs="Arial"/>
          <w:lang w:val="en-GB"/>
        </w:rPr>
        <w:t>o</w:t>
      </w:r>
      <w:r w:rsidR="008E6AF1" w:rsidRPr="00E17D79">
        <w:rPr>
          <w:rFonts w:ascii="Book Antiqua" w:hAnsi="Book Antiqua" w:cs="Arial"/>
          <w:lang w:val="en-GB"/>
        </w:rPr>
        <w:t xml:space="preserve"> after diagnosis</w:t>
      </w:r>
      <w:r w:rsidR="00EF2231" w:rsidRPr="00E17D79">
        <w:rPr>
          <w:rFonts w:ascii="Book Antiqua" w:hAnsi="Book Antiqua" w:cs="Arial"/>
          <w:lang w:val="en-GB"/>
        </w:rPr>
        <w:t xml:space="preserve"> </w:t>
      </w:r>
      <w:r w:rsidR="00455D3B" w:rsidRPr="00E17D79">
        <w:rPr>
          <w:rFonts w:ascii="Book Antiqua" w:hAnsi="Book Antiqua" w:cs="Arial"/>
          <w:lang w:val="en-GB"/>
        </w:rPr>
        <w:t>of sHLH</w:t>
      </w:r>
      <w:r w:rsidR="00AF6C0F" w:rsidRPr="00E17D79">
        <w:rPr>
          <w:rFonts w:ascii="Book Antiqua" w:hAnsi="Book Antiqua" w:cs="Arial"/>
          <w:lang w:val="en-GB"/>
        </w:rPr>
        <w:t xml:space="preserve">. </w:t>
      </w:r>
      <w:r w:rsidR="00685675" w:rsidRPr="00E17D79">
        <w:rPr>
          <w:rFonts w:ascii="Book Antiqua" w:hAnsi="Book Antiqua" w:cs="Arial"/>
          <w:lang w:val="en-US"/>
        </w:rPr>
        <w:t>However, our study showed that if management with intravenous pulsed steroids and IVIG starts promptly enough, can prevent deterioration of the syndrome.</w:t>
      </w:r>
    </w:p>
    <w:p w14:paraId="17B0662A" w14:textId="36C20ADF" w:rsidR="00854EE6" w:rsidRPr="00E17D79" w:rsidRDefault="003C17D6" w:rsidP="00E17D79">
      <w:pPr>
        <w:spacing w:line="360" w:lineRule="auto"/>
        <w:ind w:firstLineChars="100" w:firstLine="240"/>
        <w:jc w:val="both"/>
        <w:rPr>
          <w:rFonts w:ascii="Book Antiqua" w:hAnsi="Book Antiqua" w:cs="Arial"/>
          <w:lang w:val="en-GB"/>
        </w:rPr>
      </w:pPr>
      <w:r w:rsidRPr="00E17D79">
        <w:rPr>
          <w:rFonts w:ascii="Book Antiqua" w:eastAsia="AdvTimes" w:hAnsi="Book Antiqua" w:cs="AdvTimes"/>
          <w:lang w:val="en-US" w:eastAsia="en-US"/>
        </w:rPr>
        <w:t xml:space="preserve">During the period of the study </w:t>
      </w:r>
      <w:r w:rsidR="00047C67" w:rsidRPr="00E17D79">
        <w:rPr>
          <w:rFonts w:ascii="Book Antiqua" w:eastAsia="AdvTimes" w:hAnsi="Book Antiqua" w:cs="AdvTimes"/>
          <w:lang w:val="en-US" w:eastAsia="en-US"/>
        </w:rPr>
        <w:t>(January 2010</w:t>
      </w:r>
      <w:r w:rsidR="00342D4C" w:rsidRPr="00E17D79">
        <w:rPr>
          <w:rFonts w:ascii="Book Antiqua" w:eastAsia="AdvTimes" w:hAnsi="Book Antiqua" w:cs="AdvTimes"/>
          <w:lang w:val="en-US" w:eastAsia="en-US"/>
        </w:rPr>
        <w:t xml:space="preserve"> </w:t>
      </w:r>
      <w:r w:rsidR="00047C67" w:rsidRPr="00E17D79">
        <w:rPr>
          <w:rFonts w:ascii="Book Antiqua" w:eastAsia="AdvTimes" w:hAnsi="Book Antiqua" w:cs="AdvTimes"/>
          <w:lang w:val="en-US" w:eastAsia="en-US"/>
        </w:rPr>
        <w:t>-</w:t>
      </w:r>
      <w:r w:rsidR="00342D4C" w:rsidRPr="00E17D79">
        <w:rPr>
          <w:rFonts w:ascii="Book Antiqua" w:eastAsia="AdvTimes" w:hAnsi="Book Antiqua" w:cs="AdvTimes"/>
          <w:lang w:val="en-US" w:eastAsia="en-US"/>
        </w:rPr>
        <w:t xml:space="preserve"> </w:t>
      </w:r>
      <w:r w:rsidR="00047C67" w:rsidRPr="00E17D79">
        <w:rPr>
          <w:rFonts w:ascii="Book Antiqua" w:eastAsia="AdvTimes" w:hAnsi="Book Antiqua" w:cs="AdvTimes"/>
          <w:lang w:val="en-US" w:eastAsia="en-US"/>
        </w:rPr>
        <w:t xml:space="preserve">June 2018) </w:t>
      </w:r>
      <w:r w:rsidR="00455D3B" w:rsidRPr="00E17D79">
        <w:rPr>
          <w:rFonts w:ascii="Book Antiqua" w:eastAsia="AdvTimes" w:hAnsi="Book Antiqua" w:cs="AdvTimes"/>
          <w:lang w:val="en-US" w:eastAsia="en-US"/>
        </w:rPr>
        <w:t xml:space="preserve">the guidelines </w:t>
      </w:r>
      <w:r w:rsidRPr="00E17D79">
        <w:rPr>
          <w:rFonts w:ascii="Book Antiqua" w:eastAsia="AdvTimes" w:hAnsi="Book Antiqua" w:cs="AdvTimes"/>
          <w:lang w:val="en-US" w:eastAsia="en-US"/>
        </w:rPr>
        <w:t xml:space="preserve">in use for </w:t>
      </w:r>
      <w:r w:rsidR="00455D3B" w:rsidRPr="00E17D79">
        <w:rPr>
          <w:rFonts w:ascii="Book Antiqua" w:eastAsia="AdvTimes" w:hAnsi="Book Antiqua" w:cs="AdvTimes"/>
          <w:lang w:val="en-US" w:eastAsia="en-US"/>
        </w:rPr>
        <w:t xml:space="preserve">the treatment </w:t>
      </w:r>
      <w:r w:rsidR="00545621" w:rsidRPr="00E17D79">
        <w:rPr>
          <w:rFonts w:ascii="Book Antiqua" w:eastAsia="AdvTimes" w:hAnsi="Book Antiqua" w:cs="AdvTimes"/>
          <w:lang w:val="en-US" w:eastAsia="en-US"/>
        </w:rPr>
        <w:t>of</w:t>
      </w:r>
      <w:r w:rsidR="00455D3B" w:rsidRPr="00E17D79">
        <w:rPr>
          <w:rFonts w:ascii="Book Antiqua" w:eastAsia="AdvTimes" w:hAnsi="Book Antiqua" w:cs="AdvTimes"/>
          <w:lang w:val="en-US" w:eastAsia="en-US"/>
        </w:rPr>
        <w:t xml:space="preserve"> HLH, whethe</w:t>
      </w:r>
      <w:r w:rsidR="00545621" w:rsidRPr="00E17D79">
        <w:rPr>
          <w:rFonts w:ascii="Book Antiqua" w:eastAsia="AdvTimes" w:hAnsi="Book Antiqua" w:cs="AdvTimes"/>
          <w:lang w:val="en-US" w:eastAsia="en-US"/>
        </w:rPr>
        <w:t>r primary or secondary, included</w:t>
      </w:r>
      <w:r w:rsidR="00455D3B" w:rsidRPr="00E17D79">
        <w:rPr>
          <w:rFonts w:ascii="Book Antiqua" w:eastAsia="AdvTimes" w:hAnsi="Book Antiqua" w:cs="AdvTimes"/>
          <w:lang w:val="en-US" w:eastAsia="en-US"/>
        </w:rPr>
        <w:t xml:space="preserve"> an initial </w:t>
      </w:r>
      <w:r w:rsidR="00545621" w:rsidRPr="00E17D79">
        <w:rPr>
          <w:rFonts w:ascii="Book Antiqua" w:eastAsia="AdvTimes" w:hAnsi="Book Antiqua" w:cs="AdvTimes"/>
          <w:lang w:val="en-US" w:eastAsia="en-US"/>
        </w:rPr>
        <w:t>8 wk of chemo</w:t>
      </w:r>
      <w:r w:rsidR="003D1B21" w:rsidRPr="00E17D79">
        <w:rPr>
          <w:rFonts w:ascii="Book Antiqua" w:eastAsia="AdvTimes" w:hAnsi="Book Antiqua" w:cs="AdvTimes"/>
          <w:lang w:val="en-US" w:eastAsia="en-US"/>
        </w:rPr>
        <w:t>-</w:t>
      </w:r>
      <w:r w:rsidR="00545621" w:rsidRPr="00E17D79">
        <w:rPr>
          <w:rFonts w:ascii="Book Antiqua" w:eastAsia="AdvTimes" w:hAnsi="Book Antiqua" w:cs="AdvTimes"/>
          <w:lang w:val="en-US" w:eastAsia="en-US"/>
        </w:rPr>
        <w:t>immune therapy</w:t>
      </w:r>
      <w:r w:rsidR="00545621" w:rsidRPr="00E17D79">
        <w:rPr>
          <w:rFonts w:ascii="Book Antiqua" w:eastAsia="AdvTimes" w:hAnsi="Book Antiqua" w:cs="AdvTimes"/>
          <w:vertAlign w:val="superscript"/>
          <w:lang w:val="en-US" w:eastAsia="en-US"/>
        </w:rPr>
        <w:t>[5]</w:t>
      </w:r>
      <w:r w:rsidR="00545621" w:rsidRPr="00E17D79">
        <w:rPr>
          <w:rFonts w:ascii="Book Antiqua" w:eastAsia="AdvTimes" w:hAnsi="Book Antiqua" w:cs="AdvTimes"/>
          <w:lang w:val="en-US" w:eastAsia="en-US"/>
        </w:rPr>
        <w:t>. However, several</w:t>
      </w:r>
      <w:r w:rsidR="00455D3B" w:rsidRPr="00E17D79">
        <w:rPr>
          <w:rFonts w:ascii="Book Antiqua" w:eastAsia="AdvTimes" w:hAnsi="Book Antiqua" w:cs="AdvTimes"/>
          <w:lang w:val="en-US" w:eastAsia="en-US"/>
        </w:rPr>
        <w:t xml:space="preserve"> investigators </w:t>
      </w:r>
      <w:r w:rsidR="00545621" w:rsidRPr="00E17D79">
        <w:rPr>
          <w:rFonts w:ascii="Book Antiqua" w:eastAsia="AdvTimes" w:hAnsi="Book Antiqua" w:cs="AdvTimes"/>
          <w:lang w:val="en-US" w:eastAsia="en-US"/>
        </w:rPr>
        <w:t>–</w:t>
      </w:r>
      <w:r w:rsidR="00545621" w:rsidRPr="00E17D79">
        <w:rPr>
          <w:rFonts w:ascii="Book Antiqua" w:eastAsia="AdvTimes" w:hAnsi="Book Antiqua" w:cs="AdvTimes"/>
          <w:lang w:val="en-US" w:eastAsia="en-US"/>
        </w:rPr>
        <w:lastRenderedPageBreak/>
        <w:t>including us</w:t>
      </w:r>
      <w:r w:rsidR="00545621" w:rsidRPr="00E17D79">
        <w:rPr>
          <w:rFonts w:ascii="Book Antiqua" w:eastAsia="AdvTimes" w:hAnsi="Book Antiqua" w:cs="AdvTimes"/>
          <w:vertAlign w:val="superscript"/>
          <w:lang w:val="en-US" w:eastAsia="en-US"/>
        </w:rPr>
        <w:t>[24,4</w:t>
      </w:r>
      <w:r w:rsidR="000C3AC4" w:rsidRPr="00E17D79">
        <w:rPr>
          <w:rFonts w:ascii="Book Antiqua" w:eastAsia="AdvTimes" w:hAnsi="Book Antiqua" w:cs="AdvTimes"/>
          <w:vertAlign w:val="superscript"/>
          <w:lang w:val="en-US" w:eastAsia="en-US"/>
        </w:rPr>
        <w:t>1</w:t>
      </w:r>
      <w:r w:rsidR="00545621" w:rsidRPr="00E17D79">
        <w:rPr>
          <w:rFonts w:ascii="Book Antiqua" w:eastAsia="AdvTimes" w:hAnsi="Book Antiqua" w:cs="AdvTimes"/>
          <w:vertAlign w:val="superscript"/>
          <w:lang w:val="en-US" w:eastAsia="en-US"/>
        </w:rPr>
        <w:t>]</w:t>
      </w:r>
      <w:r w:rsidR="00342D4C" w:rsidRPr="00E17D79">
        <w:rPr>
          <w:rFonts w:ascii="Book Antiqua" w:eastAsia="AdvTimes" w:hAnsi="Book Antiqua" w:cs="AdvTimes"/>
          <w:lang w:val="en-US" w:eastAsia="en-US"/>
        </w:rPr>
        <w:t xml:space="preserve"> </w:t>
      </w:r>
      <w:r w:rsidR="00545621" w:rsidRPr="00E17D79">
        <w:rPr>
          <w:rFonts w:ascii="Book Antiqua" w:eastAsia="AdvTimes" w:hAnsi="Book Antiqua" w:cs="AdvTimes"/>
          <w:lang w:val="en-US" w:eastAsia="en-US"/>
        </w:rPr>
        <w:t xml:space="preserve">- </w:t>
      </w:r>
      <w:r w:rsidR="00455D3B" w:rsidRPr="00E17D79">
        <w:rPr>
          <w:rFonts w:ascii="Book Antiqua" w:eastAsia="AdvTimes" w:hAnsi="Book Antiqua" w:cs="AdvTimes"/>
          <w:lang w:val="en-US" w:eastAsia="en-US"/>
        </w:rPr>
        <w:t>questioned wh</w:t>
      </w:r>
      <w:r w:rsidR="00545621" w:rsidRPr="00E17D79">
        <w:rPr>
          <w:rFonts w:ascii="Book Antiqua" w:eastAsia="AdvTimes" w:hAnsi="Book Antiqua" w:cs="AdvTimes"/>
          <w:lang w:val="en-US" w:eastAsia="en-US"/>
        </w:rPr>
        <w:t xml:space="preserve">ether it is rationale </w:t>
      </w:r>
      <w:r w:rsidR="003D1B21" w:rsidRPr="00E17D79">
        <w:rPr>
          <w:rFonts w:ascii="Book Antiqua" w:eastAsia="AdvTimes" w:hAnsi="Book Antiqua" w:cs="AdvTimes"/>
          <w:lang w:val="en-US" w:eastAsia="en-US"/>
        </w:rPr>
        <w:t xml:space="preserve">all </w:t>
      </w:r>
      <w:r w:rsidR="00545621" w:rsidRPr="00E17D79">
        <w:rPr>
          <w:rFonts w:ascii="Book Antiqua" w:eastAsia="AdvTimes" w:hAnsi="Book Antiqua" w:cs="AdvTimes"/>
          <w:lang w:val="en-US" w:eastAsia="en-US"/>
        </w:rPr>
        <w:t>these patients with sHLH, particularly</w:t>
      </w:r>
      <w:r w:rsidR="00455D3B" w:rsidRPr="00E17D79">
        <w:rPr>
          <w:rFonts w:ascii="Book Antiqua" w:eastAsia="AdvTimes" w:hAnsi="Book Antiqua" w:cs="AdvTimes"/>
          <w:lang w:val="en-US" w:eastAsia="en-US"/>
        </w:rPr>
        <w:t xml:space="preserve"> those with </w:t>
      </w:r>
      <w:r w:rsidR="00545621" w:rsidRPr="00E17D79">
        <w:rPr>
          <w:rFonts w:ascii="Book Antiqua" w:eastAsia="AdvTimes" w:hAnsi="Book Antiqua" w:cs="AdvTimes"/>
          <w:lang w:val="en-US" w:eastAsia="en-US"/>
        </w:rPr>
        <w:t>infectio</w:t>
      </w:r>
      <w:r w:rsidR="00DC1173" w:rsidRPr="00E17D79">
        <w:rPr>
          <w:rFonts w:ascii="Book Antiqua" w:eastAsia="AdvTimes" w:hAnsi="Book Antiqua" w:cs="AdvTimes"/>
          <w:lang w:val="en-US" w:eastAsia="en-US"/>
        </w:rPr>
        <w:t>n</w:t>
      </w:r>
      <w:r w:rsidR="00545621" w:rsidRPr="00E17D79">
        <w:rPr>
          <w:rFonts w:ascii="Book Antiqua" w:eastAsia="AdvTimes" w:hAnsi="Book Antiqua" w:cs="AdvTimes"/>
          <w:lang w:val="en-US" w:eastAsia="en-US"/>
        </w:rPr>
        <w:t>s</w:t>
      </w:r>
      <w:r w:rsidR="00342D4C" w:rsidRPr="00E17D79">
        <w:rPr>
          <w:rFonts w:ascii="Book Antiqua" w:eastAsia="AdvTimes" w:hAnsi="Book Antiqua" w:cs="AdvTimes"/>
          <w:lang w:val="en-US" w:eastAsia="en-US"/>
        </w:rPr>
        <w:t>-</w:t>
      </w:r>
      <w:r w:rsidR="00545621" w:rsidRPr="00E17D79">
        <w:rPr>
          <w:rFonts w:ascii="Book Antiqua" w:eastAsia="AdvTimes" w:hAnsi="Book Antiqua" w:cs="AdvTimes"/>
          <w:lang w:val="en-US" w:eastAsia="en-US"/>
        </w:rPr>
        <w:t xml:space="preserve"> or </w:t>
      </w:r>
      <w:r w:rsidR="00455D3B" w:rsidRPr="00E17D79">
        <w:rPr>
          <w:rFonts w:ascii="Book Antiqua" w:eastAsia="AdvTimes" w:hAnsi="Book Antiqua" w:cs="AdvTimes"/>
          <w:lang w:val="en-US" w:eastAsia="en-US"/>
        </w:rPr>
        <w:t>sepsi</w:t>
      </w:r>
      <w:r w:rsidR="003D1B21" w:rsidRPr="00E17D79">
        <w:rPr>
          <w:rFonts w:ascii="Book Antiqua" w:eastAsia="AdvTimes" w:hAnsi="Book Antiqua" w:cs="AdvTimes"/>
          <w:lang w:val="en-US" w:eastAsia="en-US"/>
        </w:rPr>
        <w:t>s-associated h</w:t>
      </w:r>
      <w:r w:rsidR="003E5B59" w:rsidRPr="00E17D79">
        <w:rPr>
          <w:rFonts w:ascii="Book Antiqua" w:eastAsia="AdvTimes" w:hAnsi="Book Antiqua" w:cs="AdvTimes"/>
          <w:lang w:val="en-US" w:eastAsia="en-US"/>
        </w:rPr>
        <w:t>a</w:t>
      </w:r>
      <w:r w:rsidR="003D1B21" w:rsidRPr="00E17D79">
        <w:rPr>
          <w:rFonts w:ascii="Book Antiqua" w:eastAsia="AdvTimes" w:hAnsi="Book Antiqua" w:cs="AdvTimes"/>
          <w:lang w:val="en-US" w:eastAsia="en-US"/>
        </w:rPr>
        <w:t xml:space="preserve">emophagocytosis, to </w:t>
      </w:r>
      <w:r w:rsidR="00545621" w:rsidRPr="00E17D79">
        <w:rPr>
          <w:rFonts w:ascii="Book Antiqua" w:eastAsia="AdvTimes" w:hAnsi="Book Antiqua" w:cs="AdvTimes"/>
          <w:lang w:val="en-US" w:eastAsia="en-US"/>
        </w:rPr>
        <w:t xml:space="preserve">receive </w:t>
      </w:r>
      <w:r w:rsidR="00312C15" w:rsidRPr="00E17D79">
        <w:rPr>
          <w:rFonts w:ascii="Book Antiqua" w:eastAsia="AdvTimes" w:hAnsi="Book Antiqua" w:cs="AdvTimes"/>
          <w:lang w:val="en-US" w:eastAsia="en-US"/>
        </w:rPr>
        <w:t xml:space="preserve">intense </w:t>
      </w:r>
      <w:r w:rsidR="00545621" w:rsidRPr="00E17D79">
        <w:rPr>
          <w:rFonts w:ascii="Book Antiqua" w:eastAsia="AdvTimes" w:hAnsi="Book Antiqua" w:cs="AdvTimes"/>
          <w:lang w:val="en-US" w:eastAsia="en-US"/>
        </w:rPr>
        <w:t>immunosuppressive</w:t>
      </w:r>
      <w:r w:rsidR="00455D3B" w:rsidRPr="00E17D79">
        <w:rPr>
          <w:rFonts w:ascii="Book Antiqua" w:eastAsia="AdvTimes" w:hAnsi="Book Antiqua" w:cs="AdvTimes"/>
          <w:lang w:val="en-US" w:eastAsia="en-US"/>
        </w:rPr>
        <w:t xml:space="preserve"> treatmen</w:t>
      </w:r>
      <w:r w:rsidR="00545621" w:rsidRPr="00E17D79">
        <w:rPr>
          <w:rFonts w:ascii="Book Antiqua" w:eastAsia="AdvTimes" w:hAnsi="Book Antiqua" w:cs="AdvTimes"/>
          <w:lang w:val="en-US" w:eastAsia="en-US"/>
        </w:rPr>
        <w:t>t</w:t>
      </w:r>
      <w:r w:rsidR="00141970" w:rsidRPr="00E17D79">
        <w:rPr>
          <w:rFonts w:ascii="Book Antiqua" w:eastAsia="AdvTimes" w:hAnsi="Book Antiqua" w:cs="AdvTimes"/>
          <w:vertAlign w:val="superscript"/>
          <w:lang w:val="en-US" w:eastAsia="en-US"/>
        </w:rPr>
        <w:t>[</w:t>
      </w:r>
      <w:r w:rsidR="00047C67" w:rsidRPr="00E17D79">
        <w:rPr>
          <w:rFonts w:ascii="Book Antiqua" w:eastAsia="AdvTimes" w:hAnsi="Book Antiqua" w:cs="AdvTimes"/>
          <w:vertAlign w:val="superscript"/>
          <w:lang w:val="en-US" w:eastAsia="en-US"/>
        </w:rPr>
        <w:t>33,</w:t>
      </w:r>
      <w:r w:rsidR="00141970" w:rsidRPr="00E17D79">
        <w:rPr>
          <w:rFonts w:ascii="Book Antiqua" w:eastAsia="AdvTimes" w:hAnsi="Book Antiqua" w:cs="AdvTimes"/>
          <w:vertAlign w:val="superscript"/>
          <w:lang w:val="en-US" w:eastAsia="en-US"/>
        </w:rPr>
        <w:t>42,</w:t>
      </w:r>
      <w:r w:rsidR="00047C67" w:rsidRPr="00E17D79">
        <w:rPr>
          <w:rFonts w:ascii="Book Antiqua" w:eastAsia="AdvTimes" w:hAnsi="Book Antiqua" w:cs="AdvTimes"/>
          <w:vertAlign w:val="superscript"/>
          <w:lang w:val="en-US" w:eastAsia="en-US"/>
        </w:rPr>
        <w:t>44,</w:t>
      </w:r>
      <w:r w:rsidR="00141970" w:rsidRPr="00E17D79">
        <w:rPr>
          <w:rFonts w:ascii="Book Antiqua" w:eastAsia="AdvTimes" w:hAnsi="Book Antiqua" w:cs="AdvTimes"/>
          <w:vertAlign w:val="superscript"/>
          <w:lang w:val="en-US" w:eastAsia="en-US"/>
        </w:rPr>
        <w:t>49</w:t>
      </w:r>
      <w:r w:rsidR="00A970EE" w:rsidRPr="00E17D79">
        <w:rPr>
          <w:rFonts w:ascii="Book Antiqua" w:eastAsia="AdvTimes" w:hAnsi="Book Antiqua" w:cs="AdvTimes"/>
          <w:vertAlign w:val="superscript"/>
          <w:lang w:val="en-US" w:eastAsia="en-US"/>
        </w:rPr>
        <w:t>-51</w:t>
      </w:r>
      <w:r w:rsidR="00047C67" w:rsidRPr="00E17D79">
        <w:rPr>
          <w:rFonts w:ascii="Book Antiqua" w:eastAsia="AdvTimes" w:hAnsi="Book Antiqua" w:cs="AdvTimes"/>
          <w:vertAlign w:val="superscript"/>
          <w:lang w:val="en-US" w:eastAsia="en-US"/>
        </w:rPr>
        <w:t>]</w:t>
      </w:r>
      <w:r w:rsidR="00455D3B" w:rsidRPr="00E17D79">
        <w:rPr>
          <w:rFonts w:ascii="Book Antiqua" w:eastAsia="AdvTimes" w:hAnsi="Book Antiqua" w:cs="AdvTimes"/>
          <w:lang w:val="en-US" w:eastAsia="en-US"/>
        </w:rPr>
        <w:t xml:space="preserve">. </w:t>
      </w:r>
      <w:r w:rsidR="003E5B59" w:rsidRPr="00E17D79">
        <w:rPr>
          <w:rFonts w:ascii="Book Antiqua" w:eastAsia="AdvTimes" w:hAnsi="Book Antiqua" w:cs="AdvTimes"/>
          <w:lang w:val="en-US" w:eastAsia="en-US"/>
        </w:rPr>
        <w:t>Indeed,</w:t>
      </w:r>
      <w:r w:rsidR="003D1B21" w:rsidRPr="00E17D79">
        <w:rPr>
          <w:rFonts w:ascii="Book Antiqua" w:eastAsia="AdvTimes" w:hAnsi="Book Antiqua" w:cs="AdvTimes"/>
          <w:lang w:val="en-US" w:eastAsia="en-US"/>
        </w:rPr>
        <w:t xml:space="preserve"> there</w:t>
      </w:r>
      <w:r w:rsidR="00455D3B" w:rsidRPr="00E17D79">
        <w:rPr>
          <w:rFonts w:ascii="Book Antiqua" w:eastAsia="AdvTimes" w:hAnsi="Book Antiqua" w:cs="AdvTimes"/>
          <w:lang w:val="en-US" w:eastAsia="en-US"/>
        </w:rPr>
        <w:t xml:space="preserve"> are</w:t>
      </w:r>
      <w:r w:rsidR="003D1B21" w:rsidRPr="00E17D79">
        <w:rPr>
          <w:rFonts w:ascii="Book Antiqua" w:eastAsia="AdvTimes" w:hAnsi="Book Antiqua" w:cs="AdvTimes"/>
          <w:lang w:val="en-US" w:eastAsia="en-US"/>
        </w:rPr>
        <w:t xml:space="preserve"> </w:t>
      </w:r>
      <w:r w:rsidR="00455D3B" w:rsidRPr="00E17D79">
        <w:rPr>
          <w:rFonts w:ascii="Book Antiqua" w:eastAsia="AdvTimes" w:hAnsi="Book Antiqua" w:cs="AdvTimes"/>
          <w:lang w:val="en-US" w:eastAsia="en-US"/>
        </w:rPr>
        <w:t>s</w:t>
      </w:r>
      <w:r w:rsidR="003D1B21" w:rsidRPr="00E17D79">
        <w:rPr>
          <w:rFonts w:ascii="Book Antiqua" w:eastAsia="AdvTimes" w:hAnsi="Book Antiqua" w:cs="AdvTimes"/>
          <w:lang w:val="en-US" w:eastAsia="en-US"/>
        </w:rPr>
        <w:t>everal</w:t>
      </w:r>
      <w:r w:rsidR="00455D3B" w:rsidRPr="00E17D79">
        <w:rPr>
          <w:rFonts w:ascii="Book Antiqua" w:eastAsia="AdvTimes" w:hAnsi="Book Antiqua" w:cs="AdvTimes"/>
          <w:lang w:val="en-US" w:eastAsia="en-US"/>
        </w:rPr>
        <w:t xml:space="preserve"> reports for </w:t>
      </w:r>
      <w:r w:rsidR="003E5B59" w:rsidRPr="00E17D79">
        <w:rPr>
          <w:rFonts w:ascii="Book Antiqua" w:eastAsia="AdvTimes" w:hAnsi="Book Antiqua" w:cs="AdvTimes"/>
          <w:lang w:val="en-US" w:eastAsia="en-US"/>
        </w:rPr>
        <w:t xml:space="preserve">patients with </w:t>
      </w:r>
      <w:r w:rsidR="003D1B21" w:rsidRPr="00E17D79">
        <w:rPr>
          <w:rFonts w:ascii="Book Antiqua" w:eastAsia="AdvTimes" w:hAnsi="Book Antiqua" w:cs="AdvTimes"/>
          <w:lang w:val="en-US" w:eastAsia="en-US"/>
        </w:rPr>
        <w:t>sHLH</w:t>
      </w:r>
      <w:r w:rsidR="00455D3B" w:rsidRPr="00E17D79">
        <w:rPr>
          <w:rFonts w:ascii="Book Antiqua" w:eastAsia="AdvTimes" w:hAnsi="Book Antiqua" w:cs="AdvTimes"/>
          <w:lang w:val="en-US" w:eastAsia="en-US"/>
        </w:rPr>
        <w:t xml:space="preserve"> </w:t>
      </w:r>
      <w:r w:rsidR="003D1B21" w:rsidRPr="00E17D79">
        <w:rPr>
          <w:rFonts w:ascii="Book Antiqua" w:eastAsia="AdvTimes" w:hAnsi="Book Antiqua" w:cs="AdvTimes"/>
          <w:lang w:val="en-US" w:eastAsia="en-US"/>
        </w:rPr>
        <w:t>who treated</w:t>
      </w:r>
      <w:r w:rsidR="00455D3B" w:rsidRPr="00E17D79">
        <w:rPr>
          <w:rFonts w:ascii="Book Antiqua" w:eastAsia="AdvTimes" w:hAnsi="Book Antiqua" w:cs="AdvTimes"/>
          <w:lang w:val="en-US" w:eastAsia="en-US"/>
        </w:rPr>
        <w:t xml:space="preserve"> successful</w:t>
      </w:r>
      <w:r w:rsidR="003D1B21" w:rsidRPr="00E17D79">
        <w:rPr>
          <w:rFonts w:ascii="Book Antiqua" w:eastAsia="AdvTimes" w:hAnsi="Book Antiqua" w:cs="AdvTimes"/>
          <w:lang w:val="en-US" w:eastAsia="en-US"/>
        </w:rPr>
        <w:t>ly</w:t>
      </w:r>
      <w:r w:rsidR="00455D3B" w:rsidRPr="00E17D79">
        <w:rPr>
          <w:rFonts w:ascii="Book Antiqua" w:eastAsia="AdvTimes" w:hAnsi="Book Antiqua" w:cs="AdvTimes"/>
          <w:lang w:val="en-US" w:eastAsia="en-US"/>
        </w:rPr>
        <w:t xml:space="preserve"> </w:t>
      </w:r>
      <w:r w:rsidR="00E47CD5" w:rsidRPr="00E17D79">
        <w:rPr>
          <w:rFonts w:ascii="Book Antiqua" w:eastAsia="AdvTimes" w:hAnsi="Book Antiqua" w:cs="AdvTimes"/>
          <w:lang w:val="en-US" w:eastAsia="en-US"/>
        </w:rPr>
        <w:t>after the administration of</w:t>
      </w:r>
      <w:r w:rsidR="003D1B21" w:rsidRPr="00E17D79">
        <w:rPr>
          <w:rFonts w:ascii="Book Antiqua" w:eastAsia="AdvTimes" w:hAnsi="Book Antiqua" w:cs="AdvTimes"/>
          <w:lang w:val="en-US" w:eastAsia="en-US"/>
        </w:rPr>
        <w:t xml:space="preserve"> </w:t>
      </w:r>
      <w:r w:rsidR="000C3AC4" w:rsidRPr="00E17D79">
        <w:rPr>
          <w:rFonts w:ascii="Book Antiqua" w:eastAsia="AdvTimes" w:hAnsi="Book Antiqua" w:cs="AdvTimes"/>
          <w:lang w:val="en-US" w:eastAsia="en-US"/>
        </w:rPr>
        <w:t>less immu</w:t>
      </w:r>
      <w:r w:rsidR="003E5B59" w:rsidRPr="00E17D79">
        <w:rPr>
          <w:rFonts w:ascii="Book Antiqua" w:eastAsia="AdvTimes" w:hAnsi="Book Antiqua" w:cs="AdvTimes"/>
          <w:lang w:val="en-US" w:eastAsia="en-US"/>
        </w:rPr>
        <w:t>no</w:t>
      </w:r>
      <w:r w:rsidR="000C3AC4" w:rsidRPr="00E17D79">
        <w:rPr>
          <w:rFonts w:ascii="Book Antiqua" w:eastAsia="AdvTimes" w:hAnsi="Book Antiqua" w:cs="AdvTimes"/>
          <w:lang w:val="en-US" w:eastAsia="en-US"/>
        </w:rPr>
        <w:t>suppressive</w:t>
      </w:r>
      <w:r w:rsidR="003E5B59" w:rsidRPr="00E17D79">
        <w:rPr>
          <w:rFonts w:ascii="Book Antiqua" w:eastAsia="AdvTimes" w:hAnsi="Book Antiqua" w:cs="AdvTimes"/>
          <w:lang w:val="en-US" w:eastAsia="en-US"/>
        </w:rPr>
        <w:t xml:space="preserve"> and less </w:t>
      </w:r>
      <w:r w:rsidR="000C3AC4" w:rsidRPr="00E17D79">
        <w:rPr>
          <w:rFonts w:ascii="Book Antiqua" w:eastAsia="AdvTimes" w:hAnsi="Book Antiqua" w:cs="AdvTimes"/>
          <w:lang w:val="en-US" w:eastAsia="en-US"/>
        </w:rPr>
        <w:t xml:space="preserve">cytotoxic </w:t>
      </w:r>
      <w:r w:rsidR="00455D3B" w:rsidRPr="00E17D79">
        <w:rPr>
          <w:rFonts w:ascii="Book Antiqua" w:eastAsia="AdvTimes" w:hAnsi="Book Antiqua" w:cs="AdvTimes"/>
          <w:lang w:val="en-US" w:eastAsia="en-US"/>
        </w:rPr>
        <w:t xml:space="preserve">treatment modalities </w:t>
      </w:r>
      <w:r w:rsidR="003D1B21" w:rsidRPr="00E17D79">
        <w:rPr>
          <w:rFonts w:ascii="Book Antiqua" w:eastAsia="AdvTimes" w:hAnsi="Book Antiqua" w:cs="AdvTimes"/>
          <w:lang w:val="en-US" w:eastAsia="en-US"/>
        </w:rPr>
        <w:t>outside</w:t>
      </w:r>
      <w:r w:rsidR="00455D3B" w:rsidRPr="00E17D79">
        <w:rPr>
          <w:rFonts w:ascii="Book Antiqua" w:eastAsia="AdvTimes" w:hAnsi="Book Antiqua" w:cs="AdvTimes"/>
          <w:lang w:val="en-US" w:eastAsia="en-US"/>
        </w:rPr>
        <w:t xml:space="preserve"> the HLH-2004 protocol </w:t>
      </w:r>
      <w:r w:rsidR="000C3AC4" w:rsidRPr="00E17D79">
        <w:rPr>
          <w:rFonts w:ascii="Book Antiqua" w:eastAsia="AdvTimes" w:hAnsi="Book Antiqua" w:cs="AdvTimes"/>
          <w:lang w:val="en-US" w:eastAsia="en-US"/>
        </w:rPr>
        <w:t>including</w:t>
      </w:r>
      <w:r w:rsidR="00455D3B" w:rsidRPr="00E17D79">
        <w:rPr>
          <w:rFonts w:ascii="Book Antiqua" w:eastAsia="AdvTimes" w:hAnsi="Book Antiqua" w:cs="AdvTimes"/>
          <w:lang w:val="en-US" w:eastAsia="en-US"/>
        </w:rPr>
        <w:t xml:space="preserve"> </w:t>
      </w:r>
      <w:r w:rsidR="003D1B21" w:rsidRPr="00E17D79">
        <w:rPr>
          <w:rFonts w:ascii="Book Antiqua" w:eastAsia="AdvTimes" w:hAnsi="Book Antiqua" w:cs="AdvTimes"/>
          <w:lang w:val="en-US" w:eastAsia="en-US"/>
        </w:rPr>
        <w:t xml:space="preserve">primarily </w:t>
      </w:r>
      <w:r w:rsidR="00455D3B" w:rsidRPr="00E17D79">
        <w:rPr>
          <w:rFonts w:ascii="Book Antiqua" w:eastAsia="AdvTimes" w:hAnsi="Book Antiqua" w:cs="AdvTimes"/>
          <w:lang w:val="en-US" w:eastAsia="en-US"/>
        </w:rPr>
        <w:t xml:space="preserve">anti-inflammatory </w:t>
      </w:r>
      <w:r w:rsidR="003D1B21" w:rsidRPr="00E17D79">
        <w:rPr>
          <w:rFonts w:ascii="Book Antiqua" w:eastAsia="AdvTimes" w:hAnsi="Book Antiqua" w:cs="AdvTimes"/>
          <w:lang w:val="en-US" w:eastAsia="en-US"/>
        </w:rPr>
        <w:t>agents</w:t>
      </w:r>
      <w:r w:rsidR="00296427" w:rsidRPr="00E17D79">
        <w:rPr>
          <w:rFonts w:ascii="Book Antiqua" w:eastAsia="AdvTimes" w:hAnsi="Book Antiqua" w:cs="AdvTimes"/>
          <w:lang w:val="en-US" w:eastAsia="en-US"/>
        </w:rPr>
        <w:t xml:space="preserve"> and IVIG</w:t>
      </w:r>
      <w:r w:rsidR="003D1B21" w:rsidRPr="00E17D79">
        <w:rPr>
          <w:rFonts w:ascii="Book Antiqua" w:eastAsia="AdvTimes" w:hAnsi="Book Antiqua" w:cs="AdvTimes"/>
          <w:vertAlign w:val="superscript"/>
          <w:lang w:val="en-US" w:eastAsia="en-US"/>
        </w:rPr>
        <w:t>[24,33,4</w:t>
      </w:r>
      <w:r w:rsidR="000C3AC4" w:rsidRPr="00E17D79">
        <w:rPr>
          <w:rFonts w:ascii="Book Antiqua" w:eastAsia="AdvTimes" w:hAnsi="Book Antiqua" w:cs="AdvTimes"/>
          <w:vertAlign w:val="superscript"/>
          <w:lang w:val="en-US" w:eastAsia="en-US"/>
        </w:rPr>
        <w:t>1</w:t>
      </w:r>
      <w:r w:rsidR="00552B13" w:rsidRPr="00E17D79">
        <w:rPr>
          <w:rFonts w:ascii="Book Antiqua" w:eastAsia="AdvTimes" w:hAnsi="Book Antiqua" w:cs="AdvTimes"/>
          <w:vertAlign w:val="superscript"/>
          <w:lang w:val="en-US" w:eastAsia="en-US"/>
        </w:rPr>
        <w:t>-</w:t>
      </w:r>
      <w:r w:rsidR="003D1B21" w:rsidRPr="00E17D79">
        <w:rPr>
          <w:rFonts w:ascii="Book Antiqua" w:eastAsia="AdvTimes" w:hAnsi="Book Antiqua" w:cs="AdvTimes"/>
          <w:vertAlign w:val="superscript"/>
          <w:lang w:val="en-US" w:eastAsia="en-US"/>
        </w:rPr>
        <w:t>44,49</w:t>
      </w:r>
      <w:r w:rsidR="00A970EE" w:rsidRPr="00E17D79">
        <w:rPr>
          <w:rFonts w:ascii="Book Antiqua" w:eastAsia="AdvTimes" w:hAnsi="Book Antiqua" w:cs="AdvTimes"/>
          <w:vertAlign w:val="superscript"/>
          <w:lang w:val="en-US" w:eastAsia="en-US"/>
        </w:rPr>
        <w:t>-51</w:t>
      </w:r>
      <w:r w:rsidR="003D1B21" w:rsidRPr="00E17D79">
        <w:rPr>
          <w:rFonts w:ascii="Book Antiqua" w:eastAsia="AdvTimes" w:hAnsi="Book Antiqua" w:cs="AdvTimes"/>
          <w:vertAlign w:val="superscript"/>
          <w:lang w:val="en-US" w:eastAsia="en-US"/>
        </w:rPr>
        <w:t>]</w:t>
      </w:r>
      <w:r w:rsidR="00455D3B" w:rsidRPr="00E17D79">
        <w:rPr>
          <w:rFonts w:ascii="Book Antiqua" w:eastAsia="AdvTimes" w:hAnsi="Book Antiqua" w:cs="AdvTimes"/>
          <w:lang w:val="en-US" w:eastAsia="en-US"/>
        </w:rPr>
        <w:t>.</w:t>
      </w:r>
      <w:r w:rsidR="000C3AC4" w:rsidRPr="00E17D79">
        <w:rPr>
          <w:rFonts w:ascii="Book Antiqua" w:eastAsia="AdvTimes" w:hAnsi="Book Antiqua" w:cs="AdvTimes"/>
          <w:lang w:val="en-US" w:eastAsia="en-US"/>
        </w:rPr>
        <w:t xml:space="preserve"> </w:t>
      </w:r>
      <w:r w:rsidR="00CB2040" w:rsidRPr="00E17D79">
        <w:rPr>
          <w:rFonts w:ascii="Book Antiqua" w:eastAsia="AdvTimes" w:hAnsi="Book Antiqua" w:cs="AdvTimes"/>
          <w:lang w:val="en-US" w:eastAsia="en-US"/>
        </w:rPr>
        <w:t xml:space="preserve">In this regard, although </w:t>
      </w:r>
      <w:r w:rsidR="00427AB2" w:rsidRPr="00E17D79">
        <w:rPr>
          <w:rFonts w:ascii="Book Antiqua" w:eastAsia="AdvTimes" w:hAnsi="Book Antiqua" w:cs="AdvTimes"/>
          <w:lang w:val="en-US" w:eastAsia="en-US"/>
        </w:rPr>
        <w:t>the grade</w:t>
      </w:r>
      <w:r w:rsidR="00CB2040" w:rsidRPr="00E17D79">
        <w:rPr>
          <w:rFonts w:ascii="Book Antiqua" w:eastAsia="AdvTimes" w:hAnsi="Book Antiqua" w:cs="AdvTimes"/>
          <w:lang w:val="en-US" w:eastAsia="en-US"/>
        </w:rPr>
        <w:t xml:space="preserve"> of evidence in support of the latter intervention in a recent review was moderate</w:t>
      </w:r>
      <w:r w:rsidR="00DC1173" w:rsidRPr="00E17D79">
        <w:rPr>
          <w:rFonts w:ascii="Book Antiqua" w:eastAsia="AdvTimes" w:hAnsi="Book Antiqua" w:cs="AdvTimes"/>
          <w:vertAlign w:val="superscript"/>
          <w:lang w:val="en-US" w:eastAsia="en-US"/>
        </w:rPr>
        <w:t>[52]</w:t>
      </w:r>
      <w:r w:rsidR="00CB2040" w:rsidRPr="00E17D79">
        <w:rPr>
          <w:rFonts w:ascii="Book Antiqua" w:eastAsia="AdvTimes" w:hAnsi="Book Antiqua" w:cs="AdvTimes"/>
          <w:lang w:val="en-US" w:eastAsia="en-US"/>
        </w:rPr>
        <w:t xml:space="preserve"> (level of </w:t>
      </w:r>
      <w:r w:rsidR="00CB2040" w:rsidRPr="00E17D79">
        <w:rPr>
          <w:rFonts w:ascii="Book Antiqua" w:hAnsi="Book Antiqua"/>
          <w:lang w:val="en-US"/>
        </w:rPr>
        <w:t>evidence 3: obtained from well</w:t>
      </w:r>
      <w:r w:rsidR="007C7685" w:rsidRPr="00E17D79">
        <w:rPr>
          <w:rFonts w:ascii="Book Antiqua" w:eastAsia="宋体" w:hAnsi="Book Antiqua" w:cs="宋体"/>
          <w:lang w:val="en-US" w:eastAsia="zh-CN"/>
        </w:rPr>
        <w:t>-</w:t>
      </w:r>
      <w:r w:rsidR="00CB2040" w:rsidRPr="00E17D79">
        <w:rPr>
          <w:rFonts w:ascii="Book Antiqua" w:hAnsi="Book Antiqua"/>
          <w:lang w:val="en-US"/>
        </w:rPr>
        <w:t>designed non</w:t>
      </w:r>
      <w:r w:rsidR="007C7685" w:rsidRPr="00E17D79">
        <w:rPr>
          <w:rFonts w:ascii="Book Antiqua" w:eastAsia="宋体" w:hAnsi="Book Antiqua" w:cs="宋体"/>
          <w:lang w:val="en-US" w:eastAsia="zh-CN"/>
        </w:rPr>
        <w:t>-</w:t>
      </w:r>
      <w:r w:rsidR="00CB2040" w:rsidRPr="00E17D79">
        <w:rPr>
          <w:rFonts w:ascii="Book Antiqua" w:hAnsi="Book Antiqua"/>
          <w:lang w:val="en-US"/>
        </w:rPr>
        <w:t xml:space="preserve">experimental descriptive studies, such as comparative studies, correlation studies and case studies), the use of </w:t>
      </w:r>
      <w:r w:rsidR="00DC1173" w:rsidRPr="00E17D79">
        <w:rPr>
          <w:rFonts w:ascii="Book Antiqua" w:eastAsia="AdvTimes" w:hAnsi="Book Antiqua" w:cs="AdvTimes"/>
          <w:lang w:val="en-US" w:eastAsia="en-US"/>
        </w:rPr>
        <w:t>IVIG seem</w:t>
      </w:r>
      <w:r w:rsidR="0041347B" w:rsidRPr="00E17D79">
        <w:rPr>
          <w:rFonts w:ascii="Book Antiqua" w:eastAsia="AdvTimes" w:hAnsi="Book Antiqua" w:cs="AdvTimes"/>
          <w:lang w:val="en-US" w:eastAsia="en-US"/>
        </w:rPr>
        <w:t xml:space="preserve">s to be safe and effective as </w:t>
      </w:r>
      <w:r w:rsidR="00DC1173" w:rsidRPr="00E17D79">
        <w:rPr>
          <w:rFonts w:ascii="Book Antiqua" w:eastAsia="AdvTimes" w:hAnsi="Book Antiqua" w:cs="AdvTimes"/>
          <w:lang w:val="en-US" w:eastAsia="en-US"/>
        </w:rPr>
        <w:t>first-</w:t>
      </w:r>
      <w:r w:rsidR="0041347B" w:rsidRPr="00E17D79">
        <w:rPr>
          <w:rFonts w:ascii="Book Antiqua" w:eastAsia="AdvTimes" w:hAnsi="Book Antiqua" w:cs="AdvTimes"/>
          <w:lang w:val="en-US" w:eastAsia="en-US"/>
        </w:rPr>
        <w:t xml:space="preserve">line treatment in </w:t>
      </w:r>
      <w:r w:rsidR="00CB2040" w:rsidRPr="00E17D79">
        <w:rPr>
          <w:rFonts w:ascii="Book Antiqua" w:eastAsia="AdvTimes" w:hAnsi="Book Antiqua" w:cs="AdvTimes"/>
          <w:lang w:val="en-US" w:eastAsia="en-US"/>
        </w:rPr>
        <w:t>a number of studies</w:t>
      </w:r>
      <w:r w:rsidR="0041347B" w:rsidRPr="00E17D79">
        <w:rPr>
          <w:rFonts w:ascii="Book Antiqua" w:eastAsia="AdvTimes" w:hAnsi="Book Antiqua" w:cs="AdvTimes"/>
          <w:lang w:val="en-US" w:eastAsia="en-US"/>
        </w:rPr>
        <w:t xml:space="preserve"> avoiding in parallel unnecessary toxicity</w:t>
      </w:r>
      <w:r w:rsidR="0041347B" w:rsidRPr="00E17D79">
        <w:rPr>
          <w:rFonts w:ascii="Book Antiqua" w:eastAsia="AdvTimes" w:hAnsi="Book Antiqua" w:cs="AdvTimes"/>
          <w:vertAlign w:val="superscript"/>
          <w:lang w:val="en-US" w:eastAsia="en-US"/>
        </w:rPr>
        <w:t>[24,33,</w:t>
      </w:r>
      <w:r w:rsidR="00DC1173" w:rsidRPr="00E17D79">
        <w:rPr>
          <w:rFonts w:ascii="Book Antiqua" w:eastAsia="AdvTimes" w:hAnsi="Book Antiqua" w:cs="AdvTimes"/>
          <w:vertAlign w:val="superscript"/>
          <w:lang w:val="en-US" w:eastAsia="en-US"/>
        </w:rPr>
        <w:t>41,42,44,50,53-57</w:t>
      </w:r>
      <w:r w:rsidR="0041347B" w:rsidRPr="00E17D79">
        <w:rPr>
          <w:rFonts w:ascii="Book Antiqua" w:eastAsia="AdvTimes" w:hAnsi="Book Antiqua" w:cs="AdvTimes"/>
          <w:vertAlign w:val="superscript"/>
          <w:lang w:val="en-US" w:eastAsia="en-US"/>
        </w:rPr>
        <w:t>]</w:t>
      </w:r>
      <w:r w:rsidR="0041347B" w:rsidRPr="00E17D79">
        <w:rPr>
          <w:rFonts w:ascii="Book Antiqua" w:eastAsia="AdvTimes" w:hAnsi="Book Antiqua" w:cs="AdvTimes"/>
          <w:lang w:val="en-US" w:eastAsia="en-US"/>
        </w:rPr>
        <w:t xml:space="preserve">. </w:t>
      </w:r>
      <w:r w:rsidR="000C3AC4" w:rsidRPr="00E17D79">
        <w:rPr>
          <w:rFonts w:ascii="Book Antiqua" w:eastAsia="AdvTimes" w:hAnsi="Book Antiqua" w:cs="AdvTimes"/>
          <w:lang w:val="en-US" w:eastAsia="en-US"/>
        </w:rPr>
        <w:t>Taking into account our preliminary results</w:t>
      </w:r>
      <w:r w:rsidR="000C3AC4" w:rsidRPr="00E17D79">
        <w:rPr>
          <w:rFonts w:ascii="Book Antiqua" w:eastAsia="AdvTimes" w:hAnsi="Book Antiqua" w:cs="AdvTimes"/>
          <w:vertAlign w:val="superscript"/>
          <w:lang w:val="en-US" w:eastAsia="en-US"/>
        </w:rPr>
        <w:t>[24,41]</w:t>
      </w:r>
      <w:r w:rsidR="000C3AC4" w:rsidRPr="00E17D79">
        <w:rPr>
          <w:rFonts w:ascii="Book Antiqua" w:eastAsia="AdvTimes" w:hAnsi="Book Antiqua" w:cs="AdvTimes"/>
          <w:lang w:val="en-US" w:eastAsia="en-US"/>
        </w:rPr>
        <w:t xml:space="preserve"> as well as the abovementioned uncertainties we chose to treat our </w:t>
      </w:r>
      <w:r w:rsidR="00DC1173" w:rsidRPr="00E17D79">
        <w:rPr>
          <w:rFonts w:ascii="Book Antiqua" w:eastAsia="AdvTimes" w:hAnsi="Book Antiqua" w:cs="AdvTimes"/>
          <w:lang w:val="en-US" w:eastAsia="en-US"/>
        </w:rPr>
        <w:t xml:space="preserve">adult </w:t>
      </w:r>
      <w:r w:rsidR="000C3AC4" w:rsidRPr="00E17D79">
        <w:rPr>
          <w:rFonts w:ascii="Book Antiqua" w:eastAsia="AdvTimes" w:hAnsi="Book Antiqua" w:cs="AdvTimes"/>
          <w:lang w:val="en-US" w:eastAsia="en-US"/>
        </w:rPr>
        <w:t xml:space="preserve">patients outside the HLH-2004 protocol </w:t>
      </w:r>
      <w:r w:rsidR="00A970EE" w:rsidRPr="00E17D79">
        <w:rPr>
          <w:rFonts w:ascii="Book Antiqua" w:eastAsia="AdvTimes" w:hAnsi="Book Antiqua" w:cs="AdvTimes"/>
          <w:lang w:val="en-US" w:eastAsia="en-US"/>
        </w:rPr>
        <w:t xml:space="preserve">with less cytotoxic agents </w:t>
      </w:r>
      <w:r w:rsidR="000C3AC4" w:rsidRPr="00E17D79">
        <w:rPr>
          <w:rFonts w:ascii="Book Antiqua" w:eastAsia="AdvTimes" w:hAnsi="Book Antiqua" w:cs="AdvTimes"/>
          <w:lang w:val="en-US" w:eastAsia="en-US"/>
        </w:rPr>
        <w:t xml:space="preserve">as </w:t>
      </w:r>
      <w:r w:rsidR="00E01676" w:rsidRPr="00E17D79">
        <w:rPr>
          <w:rFonts w:ascii="Book Antiqua" w:hAnsi="Book Antiqua" w:cs="Arial"/>
          <w:lang w:val="en-GB"/>
        </w:rPr>
        <w:t xml:space="preserve">the </w:t>
      </w:r>
      <w:r w:rsidR="000C3AC4" w:rsidRPr="00E17D79">
        <w:rPr>
          <w:rFonts w:ascii="Book Antiqua" w:hAnsi="Book Antiqua" w:cs="Arial"/>
          <w:lang w:val="en-GB"/>
        </w:rPr>
        <w:t xml:space="preserve">vast </w:t>
      </w:r>
      <w:r w:rsidR="00E01676" w:rsidRPr="00E17D79">
        <w:rPr>
          <w:rFonts w:ascii="Book Antiqua" w:hAnsi="Book Antiqua" w:cs="Arial"/>
          <w:lang w:val="en-GB"/>
        </w:rPr>
        <w:t xml:space="preserve">majority of </w:t>
      </w:r>
      <w:r w:rsidR="000C3AC4" w:rsidRPr="00E17D79">
        <w:rPr>
          <w:rFonts w:ascii="Book Antiqua" w:hAnsi="Book Antiqua" w:cs="Arial"/>
          <w:lang w:val="en-GB"/>
        </w:rPr>
        <w:t>them (74%) suffered from</w:t>
      </w:r>
      <w:r w:rsidR="00E01676" w:rsidRPr="00E17D79">
        <w:rPr>
          <w:rFonts w:ascii="Book Antiqua" w:hAnsi="Book Antiqua" w:cs="Arial"/>
          <w:lang w:val="en-GB"/>
        </w:rPr>
        <w:t xml:space="preserve"> underlying serious infection</w:t>
      </w:r>
      <w:r w:rsidR="000C3AC4" w:rsidRPr="00E17D79">
        <w:rPr>
          <w:rFonts w:ascii="Book Antiqua" w:hAnsi="Book Antiqua" w:cs="Arial"/>
          <w:lang w:val="en-GB"/>
        </w:rPr>
        <w:t>s</w:t>
      </w:r>
      <w:r w:rsidR="00E01676" w:rsidRPr="00E17D79">
        <w:rPr>
          <w:rFonts w:ascii="Book Antiqua" w:hAnsi="Book Antiqua" w:cs="Arial"/>
          <w:lang w:val="en-GB"/>
        </w:rPr>
        <w:t xml:space="preserve">. </w:t>
      </w:r>
      <w:r w:rsidR="00A970EE" w:rsidRPr="00E17D79">
        <w:rPr>
          <w:rFonts w:ascii="Book Antiqua" w:hAnsi="Book Antiqua" w:cs="Arial"/>
          <w:lang w:val="en-GB"/>
        </w:rPr>
        <w:t xml:space="preserve">Of note, the recent updated </w:t>
      </w:r>
      <w:r w:rsidR="00E01676" w:rsidRPr="00E17D79">
        <w:rPr>
          <w:rFonts w:ascii="Book Antiqua" w:hAnsi="Book Antiqua" w:cs="Arial"/>
          <w:lang w:val="en-GB"/>
        </w:rPr>
        <w:t xml:space="preserve">recommendations </w:t>
      </w:r>
      <w:r w:rsidR="00EB3B2D" w:rsidRPr="00E17D79">
        <w:rPr>
          <w:rFonts w:ascii="Book Antiqua" w:hAnsi="Book Antiqua" w:cs="Arial"/>
          <w:lang w:val="en-GB"/>
        </w:rPr>
        <w:t xml:space="preserve">of the HLH Steering Committee of the Histiocyte Society </w:t>
      </w:r>
      <w:r w:rsidR="00E01676" w:rsidRPr="00E17D79">
        <w:rPr>
          <w:rFonts w:ascii="Book Antiqua" w:hAnsi="Book Antiqua" w:cs="Arial"/>
          <w:lang w:val="en-GB"/>
        </w:rPr>
        <w:t xml:space="preserve">for the </w:t>
      </w:r>
      <w:r w:rsidR="00F34B76" w:rsidRPr="00E17D79">
        <w:rPr>
          <w:rFonts w:ascii="Book Antiqua" w:hAnsi="Book Antiqua" w:cs="Arial"/>
          <w:lang w:val="en-GB"/>
        </w:rPr>
        <w:t>management</w:t>
      </w:r>
      <w:r w:rsidR="00E01676" w:rsidRPr="00E17D79">
        <w:rPr>
          <w:rFonts w:ascii="Book Antiqua" w:hAnsi="Book Antiqua" w:cs="Arial"/>
          <w:lang w:val="en-GB"/>
        </w:rPr>
        <w:t xml:space="preserve"> </w:t>
      </w:r>
      <w:r w:rsidR="00F34B76" w:rsidRPr="00E17D79">
        <w:rPr>
          <w:rFonts w:ascii="Book Antiqua" w:hAnsi="Book Antiqua" w:cs="Arial"/>
          <w:lang w:val="en-GB"/>
        </w:rPr>
        <w:t>of</w:t>
      </w:r>
      <w:r w:rsidR="00E01676" w:rsidRPr="00E17D79">
        <w:rPr>
          <w:rFonts w:ascii="Book Antiqua" w:hAnsi="Book Antiqua" w:cs="Arial"/>
          <w:lang w:val="en-GB"/>
        </w:rPr>
        <w:t xml:space="preserve"> HLH</w:t>
      </w:r>
      <w:r w:rsidR="00455D3B" w:rsidRPr="00E17D79">
        <w:rPr>
          <w:rFonts w:ascii="Book Antiqua" w:hAnsi="Book Antiqua" w:cs="Arial"/>
          <w:lang w:val="en-US"/>
        </w:rPr>
        <w:t xml:space="preserve"> </w:t>
      </w:r>
      <w:r w:rsidR="00EA7160" w:rsidRPr="00E17D79">
        <w:rPr>
          <w:rFonts w:ascii="Book Antiqua" w:hAnsi="Book Antiqua" w:cs="Arial"/>
          <w:lang w:val="en-US"/>
        </w:rPr>
        <w:t xml:space="preserve">was </w:t>
      </w:r>
      <w:r w:rsidR="00A970EE" w:rsidRPr="00E17D79">
        <w:rPr>
          <w:rFonts w:ascii="Book Antiqua" w:hAnsi="Book Antiqua" w:cs="Arial"/>
          <w:lang w:val="en-US"/>
        </w:rPr>
        <w:t>published</w:t>
      </w:r>
      <w:r w:rsidR="00EB3B2D" w:rsidRPr="00E17D79">
        <w:rPr>
          <w:rFonts w:ascii="Book Antiqua" w:hAnsi="Book Antiqua" w:cs="Arial"/>
          <w:lang w:val="en-US"/>
        </w:rPr>
        <w:t xml:space="preserve"> </w:t>
      </w:r>
      <w:r w:rsidR="00A970EE" w:rsidRPr="00E17D79">
        <w:rPr>
          <w:rFonts w:ascii="Book Antiqua" w:hAnsi="Book Antiqua" w:cs="Arial"/>
          <w:lang w:val="en-GB"/>
        </w:rPr>
        <w:t>after the end of our study (</w:t>
      </w:r>
      <w:r w:rsidR="00296427" w:rsidRPr="00E17D79">
        <w:rPr>
          <w:rFonts w:ascii="Book Antiqua" w:hAnsi="Book Antiqua" w:cs="Arial"/>
          <w:lang w:val="en-GB"/>
        </w:rPr>
        <w:t>October 2018</w:t>
      </w:r>
      <w:r w:rsidR="00F34B76" w:rsidRPr="00E17D79">
        <w:rPr>
          <w:rFonts w:ascii="Book Antiqua" w:hAnsi="Book Antiqua" w:cs="Arial"/>
          <w:vertAlign w:val="superscript"/>
          <w:lang w:val="en-GB"/>
        </w:rPr>
        <w:t>[5</w:t>
      </w:r>
      <w:r w:rsidR="00DC1173" w:rsidRPr="00E17D79">
        <w:rPr>
          <w:rFonts w:ascii="Book Antiqua" w:hAnsi="Book Antiqua" w:cs="Arial"/>
          <w:vertAlign w:val="superscript"/>
          <w:lang w:val="en-GB"/>
        </w:rPr>
        <w:t>8</w:t>
      </w:r>
      <w:r w:rsidR="00296427" w:rsidRPr="00E17D79">
        <w:rPr>
          <w:rFonts w:ascii="Book Antiqua" w:hAnsi="Book Antiqua" w:cs="Arial"/>
          <w:vertAlign w:val="superscript"/>
          <w:lang w:val="en-GB"/>
        </w:rPr>
        <w:t xml:space="preserve">] </w:t>
      </w:r>
      <w:r w:rsidR="00296427" w:rsidRPr="00E17D79">
        <w:rPr>
          <w:rFonts w:ascii="Book Antiqua" w:hAnsi="Book Antiqua" w:cs="Arial"/>
          <w:lang w:val="en-GB"/>
        </w:rPr>
        <w:t>and April 2019</w:t>
      </w:r>
      <w:r w:rsidR="00296427" w:rsidRPr="00E17D79">
        <w:rPr>
          <w:rFonts w:ascii="Book Antiqua" w:hAnsi="Book Antiqua" w:cs="Arial"/>
          <w:vertAlign w:val="superscript"/>
          <w:lang w:val="en-GB"/>
        </w:rPr>
        <w:t>[</w:t>
      </w:r>
      <w:bookmarkStart w:id="148" w:name="_GoBack"/>
      <w:r w:rsidR="00F34B76" w:rsidRPr="00E17D79">
        <w:rPr>
          <w:rFonts w:ascii="Book Antiqua" w:hAnsi="Book Antiqua" w:cs="Arial"/>
          <w:vertAlign w:val="superscript"/>
          <w:lang w:val="en-GB"/>
        </w:rPr>
        <w:t>5</w:t>
      </w:r>
      <w:r w:rsidR="00DC1173" w:rsidRPr="00E17D79">
        <w:rPr>
          <w:rFonts w:ascii="Book Antiqua" w:hAnsi="Book Antiqua" w:cs="Arial"/>
          <w:vertAlign w:val="superscript"/>
          <w:lang w:val="en-GB"/>
        </w:rPr>
        <w:t>9</w:t>
      </w:r>
      <w:r w:rsidR="00E01676" w:rsidRPr="00E17D79">
        <w:rPr>
          <w:rFonts w:ascii="Book Antiqua" w:hAnsi="Book Antiqua" w:cs="Arial"/>
          <w:vertAlign w:val="superscript"/>
          <w:lang w:val="en-GB"/>
        </w:rPr>
        <w:t>]</w:t>
      </w:r>
      <w:bookmarkEnd w:id="148"/>
      <w:r w:rsidR="00296427" w:rsidRPr="00E17D79">
        <w:rPr>
          <w:rFonts w:ascii="Book Antiqua" w:hAnsi="Book Antiqua" w:cs="Arial"/>
          <w:lang w:val="en-GB"/>
        </w:rPr>
        <w:t xml:space="preserve">) so, it was impossible to take into </w:t>
      </w:r>
      <w:r w:rsidR="00AD4924" w:rsidRPr="00E17D79">
        <w:rPr>
          <w:rFonts w:ascii="Book Antiqua" w:hAnsi="Book Antiqua" w:cs="Arial"/>
          <w:lang w:val="en-GB"/>
        </w:rPr>
        <w:t>account these new recommendations</w:t>
      </w:r>
      <w:r w:rsidR="00E01676" w:rsidRPr="00E17D79">
        <w:rPr>
          <w:rFonts w:ascii="Book Antiqua" w:hAnsi="Book Antiqua" w:cs="Arial"/>
          <w:lang w:val="en-GB"/>
        </w:rPr>
        <w:t>.</w:t>
      </w:r>
    </w:p>
    <w:p w14:paraId="654C26BB" w14:textId="547D1181" w:rsidR="00C33551" w:rsidRPr="00E17D79" w:rsidRDefault="00685675" w:rsidP="00E17D79">
      <w:pPr>
        <w:spacing w:line="360" w:lineRule="auto"/>
        <w:ind w:firstLineChars="100" w:firstLine="240"/>
        <w:jc w:val="both"/>
        <w:rPr>
          <w:rFonts w:ascii="Book Antiqua" w:hAnsi="Book Antiqua" w:cs="Arial"/>
          <w:lang w:val="en-GB"/>
        </w:rPr>
      </w:pPr>
      <w:r w:rsidRPr="00E17D79">
        <w:rPr>
          <w:rFonts w:ascii="Book Antiqua" w:hAnsi="Book Antiqua" w:cs="Arial"/>
          <w:lang w:val="en-GB"/>
        </w:rPr>
        <w:t xml:space="preserve">In conclusion, </w:t>
      </w:r>
      <w:r w:rsidR="00234ACE" w:rsidRPr="00E17D79">
        <w:rPr>
          <w:rFonts w:ascii="Book Antiqua" w:hAnsi="Book Antiqua" w:cs="Arial"/>
          <w:lang w:val="en-GB"/>
        </w:rPr>
        <w:t>sHLH still carries a remarkable morbidity and mortality</w:t>
      </w:r>
      <w:r w:rsidR="00AD4924" w:rsidRPr="00E17D79">
        <w:rPr>
          <w:rFonts w:ascii="Book Antiqua" w:hAnsi="Book Antiqua" w:cs="Arial"/>
          <w:lang w:val="en-GB"/>
        </w:rPr>
        <w:t xml:space="preserve"> </w:t>
      </w:r>
      <w:r w:rsidR="0024198F" w:rsidRPr="00E17D79">
        <w:rPr>
          <w:rFonts w:ascii="Book Antiqua" w:hAnsi="Book Antiqua" w:cs="Arial"/>
          <w:lang w:val="en-GB"/>
        </w:rPr>
        <w:t>w</w:t>
      </w:r>
      <w:r w:rsidRPr="00E17D79">
        <w:rPr>
          <w:rFonts w:ascii="Book Antiqua" w:hAnsi="Book Antiqua" w:cs="Arial"/>
          <w:lang w:val="en-GB"/>
        </w:rPr>
        <w:t>hile</w:t>
      </w:r>
      <w:r w:rsidR="00AD4924" w:rsidRPr="00E17D79">
        <w:rPr>
          <w:rFonts w:ascii="Book Antiqua" w:hAnsi="Book Antiqua" w:cs="Arial"/>
          <w:lang w:val="en-GB"/>
        </w:rPr>
        <w:t xml:space="preserve"> </w:t>
      </w:r>
      <w:r w:rsidRPr="00E17D79">
        <w:rPr>
          <w:rFonts w:ascii="Book Antiqua" w:hAnsi="Book Antiqua" w:cs="Arial"/>
          <w:lang w:val="en-GB"/>
        </w:rPr>
        <w:t>a</w:t>
      </w:r>
      <w:r w:rsidR="00234ACE" w:rsidRPr="00E17D79">
        <w:rPr>
          <w:rFonts w:ascii="Book Antiqua" w:hAnsi="Book Antiqua" w:cs="Arial"/>
          <w:lang w:val="en-GB"/>
        </w:rPr>
        <w:t>dult-specific diagnostic criteria</w:t>
      </w:r>
      <w:r w:rsidR="0024198F" w:rsidRPr="00E17D79">
        <w:rPr>
          <w:rFonts w:ascii="Book Antiqua" w:hAnsi="Book Antiqua" w:cs="Arial"/>
          <w:lang w:val="en-GB"/>
        </w:rPr>
        <w:t>,</w:t>
      </w:r>
      <w:r w:rsidR="00234ACE" w:rsidRPr="00E17D79">
        <w:rPr>
          <w:rFonts w:ascii="Book Antiqua" w:hAnsi="Book Antiqua" w:cs="Arial"/>
          <w:lang w:val="en-GB"/>
        </w:rPr>
        <w:t xml:space="preserve"> are </w:t>
      </w:r>
      <w:r w:rsidR="0024198F" w:rsidRPr="00E17D79">
        <w:rPr>
          <w:rFonts w:ascii="Book Antiqua" w:hAnsi="Book Antiqua" w:cs="Arial"/>
          <w:lang w:val="en-GB"/>
        </w:rPr>
        <w:t>missing</w:t>
      </w:r>
      <w:r w:rsidR="00234ACE" w:rsidRPr="00E17D79">
        <w:rPr>
          <w:rFonts w:ascii="Book Antiqua" w:hAnsi="Book Antiqua" w:cs="Arial"/>
          <w:lang w:val="en-GB"/>
        </w:rPr>
        <w:t xml:space="preserve">. </w:t>
      </w:r>
      <w:r w:rsidR="0024198F" w:rsidRPr="00E17D79">
        <w:rPr>
          <w:rFonts w:ascii="Book Antiqua" w:hAnsi="Book Antiqua" w:cs="Arial"/>
          <w:lang w:val="en-GB"/>
        </w:rPr>
        <w:t xml:space="preserve">In the absence of randomised controlled </w:t>
      </w:r>
      <w:r w:rsidR="007C7685" w:rsidRPr="00E17D79">
        <w:rPr>
          <w:rFonts w:ascii="Book Antiqua" w:hAnsi="Book Antiqua" w:cs="Arial"/>
          <w:lang w:val="en-GB"/>
        </w:rPr>
        <w:t>trials,</w:t>
      </w:r>
      <w:r w:rsidR="0024198F" w:rsidRPr="00E17D79">
        <w:rPr>
          <w:rFonts w:ascii="Book Antiqua" w:hAnsi="Book Antiqua" w:cs="Arial"/>
          <w:lang w:val="en-GB"/>
        </w:rPr>
        <w:t xml:space="preserve"> </w:t>
      </w:r>
      <w:r w:rsidR="003E5B59" w:rsidRPr="00E17D79">
        <w:rPr>
          <w:rFonts w:ascii="Book Antiqua" w:hAnsi="Book Antiqua" w:cs="Arial"/>
          <w:lang w:val="en-GB"/>
        </w:rPr>
        <w:t xml:space="preserve">the management of </w:t>
      </w:r>
      <w:r w:rsidR="0024198F" w:rsidRPr="00E17D79">
        <w:rPr>
          <w:rFonts w:ascii="Book Antiqua" w:hAnsi="Book Antiqua" w:cs="Arial"/>
          <w:lang w:val="en-GB"/>
        </w:rPr>
        <w:t>sHLH has in principle two targets. The first is to interrupt the severe hyper</w:t>
      </w:r>
      <w:r w:rsidR="00690A83" w:rsidRPr="00E17D79">
        <w:rPr>
          <w:rFonts w:ascii="Book Antiqua" w:hAnsi="Book Antiqua" w:cs="Arial"/>
          <w:lang w:val="en-GB"/>
        </w:rPr>
        <w:t>-</w:t>
      </w:r>
      <w:r w:rsidR="0024198F" w:rsidRPr="00E17D79">
        <w:rPr>
          <w:rFonts w:ascii="Book Antiqua" w:hAnsi="Book Antiqua" w:cs="Arial"/>
          <w:lang w:val="en-GB"/>
        </w:rPr>
        <w:t>inflammation and the second to identify the underlying trigger.</w:t>
      </w:r>
      <w:r w:rsidR="00AD4924" w:rsidRPr="00E17D79">
        <w:rPr>
          <w:rFonts w:ascii="Book Antiqua" w:hAnsi="Book Antiqua" w:cs="Arial"/>
          <w:lang w:val="en-GB"/>
        </w:rPr>
        <w:t xml:space="preserve"> </w:t>
      </w:r>
      <w:r w:rsidR="0024198F" w:rsidRPr="00E17D79">
        <w:rPr>
          <w:rFonts w:ascii="Book Antiqua" w:hAnsi="Book Antiqua" w:cs="Arial"/>
          <w:lang w:val="en-GB"/>
        </w:rPr>
        <w:t xml:space="preserve">In this context, we found </w:t>
      </w:r>
      <w:r w:rsidR="00234ACE" w:rsidRPr="00E17D79">
        <w:rPr>
          <w:rFonts w:ascii="Book Antiqua" w:hAnsi="Book Antiqua" w:cs="Arial"/>
          <w:lang w:val="en-GB"/>
        </w:rPr>
        <w:t>infections a</w:t>
      </w:r>
      <w:r w:rsidR="0024198F" w:rsidRPr="00E17D79">
        <w:rPr>
          <w:rFonts w:ascii="Book Antiqua" w:hAnsi="Book Antiqua" w:cs="Arial"/>
          <w:lang w:val="en-GB"/>
        </w:rPr>
        <w:t>s</w:t>
      </w:r>
      <w:r w:rsidR="00234ACE" w:rsidRPr="00E17D79">
        <w:rPr>
          <w:rFonts w:ascii="Book Antiqua" w:hAnsi="Book Antiqua" w:cs="Arial"/>
          <w:lang w:val="en-GB"/>
        </w:rPr>
        <w:t xml:space="preserve"> the major cause of sHLH and therefore, they should be thoroughly investigated in </w:t>
      </w:r>
      <w:r w:rsidR="001F1387" w:rsidRPr="00E17D79">
        <w:rPr>
          <w:rFonts w:ascii="Book Antiqua" w:hAnsi="Book Antiqua" w:cs="Arial"/>
          <w:lang w:val="en-GB"/>
        </w:rPr>
        <w:t xml:space="preserve">these </w:t>
      </w:r>
      <w:r w:rsidR="00234ACE" w:rsidRPr="00E17D79">
        <w:rPr>
          <w:rFonts w:ascii="Book Antiqua" w:hAnsi="Book Antiqua" w:cs="Arial"/>
          <w:lang w:val="en-GB"/>
        </w:rPr>
        <w:t>patients</w:t>
      </w:r>
      <w:r w:rsidR="0024198F" w:rsidRPr="00E17D79">
        <w:rPr>
          <w:rFonts w:ascii="Book Antiqua" w:hAnsi="Book Antiqua" w:cs="Arial"/>
          <w:lang w:val="en-GB"/>
        </w:rPr>
        <w:t>.</w:t>
      </w:r>
      <w:r w:rsidR="00AD4924" w:rsidRPr="00E17D79">
        <w:rPr>
          <w:rFonts w:ascii="Book Antiqua" w:hAnsi="Book Antiqua" w:cs="Arial"/>
          <w:lang w:val="en-GB"/>
        </w:rPr>
        <w:t xml:space="preserve"> In addition, our real-world study showed that</w:t>
      </w:r>
      <w:r w:rsidR="00EF2231" w:rsidRPr="00E17D79">
        <w:rPr>
          <w:rFonts w:ascii="Book Antiqua" w:hAnsi="Book Antiqua" w:cs="Arial"/>
          <w:lang w:val="en-GB"/>
        </w:rPr>
        <w:t xml:space="preserve"> </w:t>
      </w:r>
      <w:r w:rsidR="0024198F" w:rsidRPr="00E17D79">
        <w:rPr>
          <w:rFonts w:ascii="Book Antiqua" w:hAnsi="Book Antiqua" w:cs="Arial"/>
          <w:lang w:val="en-GB"/>
        </w:rPr>
        <w:t>IVIG</w:t>
      </w:r>
      <w:r w:rsidR="00234ACE" w:rsidRPr="00E17D79">
        <w:rPr>
          <w:rFonts w:ascii="Book Antiqua" w:hAnsi="Book Antiqua" w:cs="Arial"/>
          <w:lang w:val="en-GB"/>
        </w:rPr>
        <w:t xml:space="preserve"> in association with </w:t>
      </w:r>
      <w:r w:rsidR="0024198F" w:rsidRPr="00E17D79">
        <w:rPr>
          <w:rFonts w:ascii="Book Antiqua" w:hAnsi="Book Antiqua" w:cs="Arial"/>
          <w:lang w:val="en-GB"/>
        </w:rPr>
        <w:t xml:space="preserve">intravenous </w:t>
      </w:r>
      <w:r w:rsidR="00AD4924" w:rsidRPr="00E17D79">
        <w:rPr>
          <w:rFonts w:ascii="Book Antiqua" w:hAnsi="Book Antiqua" w:cs="Arial"/>
          <w:lang w:val="en-GB"/>
        </w:rPr>
        <w:t>corticosteroids seems</w:t>
      </w:r>
      <w:r w:rsidR="00234ACE" w:rsidRPr="00E17D79">
        <w:rPr>
          <w:rFonts w:ascii="Book Antiqua" w:hAnsi="Book Antiqua" w:cs="Arial"/>
          <w:lang w:val="en-GB"/>
        </w:rPr>
        <w:t xml:space="preserve"> efficient and safe first-line treatment option for successful outcome of this life-threatening condition, avoiding in parallel</w:t>
      </w:r>
      <w:r w:rsidR="00AD4924" w:rsidRPr="00E17D79">
        <w:rPr>
          <w:rFonts w:ascii="Book Antiqua" w:hAnsi="Book Antiqua" w:cs="Arial"/>
          <w:lang w:val="en-GB"/>
        </w:rPr>
        <w:t xml:space="preserve"> overtreatment and </w:t>
      </w:r>
      <w:r w:rsidR="00234ACE" w:rsidRPr="00E17D79">
        <w:rPr>
          <w:rFonts w:ascii="Book Antiqua" w:hAnsi="Book Antiqua" w:cs="Arial"/>
          <w:lang w:val="en-GB"/>
        </w:rPr>
        <w:t xml:space="preserve">unnecessary </w:t>
      </w:r>
      <w:r w:rsidR="00AD4924" w:rsidRPr="00E17D79">
        <w:rPr>
          <w:rFonts w:ascii="Book Antiqua" w:hAnsi="Book Antiqua" w:cs="Arial"/>
          <w:lang w:val="en-GB"/>
        </w:rPr>
        <w:t>toxicity</w:t>
      </w:r>
      <w:r w:rsidR="00234ACE" w:rsidRPr="00E17D79">
        <w:rPr>
          <w:rFonts w:ascii="Book Antiqua" w:hAnsi="Book Antiqua" w:cs="Arial"/>
          <w:lang w:val="en-GB"/>
        </w:rPr>
        <w:t>.</w:t>
      </w:r>
      <w:r w:rsidR="00BD1883" w:rsidRPr="00E17D79">
        <w:rPr>
          <w:rFonts w:ascii="Book Antiqua" w:hAnsi="Book Antiqua" w:cs="Arial"/>
          <w:lang w:val="en-GB"/>
        </w:rPr>
        <w:t xml:space="preserve"> However, future prospective multicentre randomised control studies will be needed in order to definitely </w:t>
      </w:r>
      <w:r w:rsidR="00BD1883" w:rsidRPr="00E17D79">
        <w:rPr>
          <w:rFonts w:ascii="Book Antiqua" w:hAnsi="Book Antiqua" w:cs="Arial"/>
          <w:lang w:val="en-GB"/>
        </w:rPr>
        <w:lastRenderedPageBreak/>
        <w:t>address the potential therapeutic benefit of IVIG in sHLH</w:t>
      </w:r>
      <w:r w:rsidR="00E47CD5" w:rsidRPr="00E17D79">
        <w:rPr>
          <w:rFonts w:ascii="Book Antiqua" w:hAnsi="Book Antiqua" w:cs="Arial"/>
          <w:lang w:val="en-GB"/>
        </w:rPr>
        <w:t xml:space="preserve"> </w:t>
      </w:r>
      <w:r w:rsidR="003E5B59" w:rsidRPr="00E17D79">
        <w:rPr>
          <w:rFonts w:ascii="Book Antiqua" w:hAnsi="Book Antiqua" w:cs="Arial"/>
          <w:lang w:val="en-GB"/>
        </w:rPr>
        <w:t xml:space="preserve">and </w:t>
      </w:r>
      <w:r w:rsidR="00E47CD5" w:rsidRPr="00E17D79">
        <w:rPr>
          <w:rFonts w:ascii="Book Antiqua" w:hAnsi="Book Antiqua" w:cs="Arial"/>
          <w:lang w:val="en-GB"/>
        </w:rPr>
        <w:t>in particular in infectio</w:t>
      </w:r>
      <w:r w:rsidR="00DC1173" w:rsidRPr="00E17D79">
        <w:rPr>
          <w:rFonts w:ascii="Book Antiqua" w:hAnsi="Book Antiqua" w:cs="Arial"/>
          <w:lang w:val="en-GB"/>
        </w:rPr>
        <w:t>n</w:t>
      </w:r>
      <w:r w:rsidR="00E47CD5" w:rsidRPr="00E17D79">
        <w:rPr>
          <w:rFonts w:ascii="Book Antiqua" w:hAnsi="Book Antiqua" w:cs="Arial"/>
          <w:lang w:val="en-GB"/>
        </w:rPr>
        <w:t>s- or autoimmunity-related sHLH</w:t>
      </w:r>
      <w:r w:rsidR="00BD1883" w:rsidRPr="00E17D79">
        <w:rPr>
          <w:rFonts w:ascii="Book Antiqua" w:hAnsi="Book Antiqua" w:cs="Arial"/>
          <w:lang w:val="en-GB"/>
        </w:rPr>
        <w:t>.</w:t>
      </w:r>
    </w:p>
    <w:p w14:paraId="3576CD18" w14:textId="77777777" w:rsidR="00C33551" w:rsidRPr="00E17D79" w:rsidRDefault="00C33551" w:rsidP="00E17D79">
      <w:pPr>
        <w:spacing w:line="360" w:lineRule="auto"/>
        <w:jc w:val="both"/>
        <w:rPr>
          <w:rFonts w:ascii="Book Antiqua" w:hAnsi="Book Antiqua" w:cs="Arial"/>
          <w:lang w:val="en-GB"/>
        </w:rPr>
      </w:pPr>
    </w:p>
    <w:p w14:paraId="7E0E4538" w14:textId="77777777" w:rsidR="00984405" w:rsidRPr="00E17D79" w:rsidRDefault="00984405" w:rsidP="00E17D79">
      <w:pPr>
        <w:snapToGrid w:val="0"/>
        <w:spacing w:line="360" w:lineRule="auto"/>
        <w:jc w:val="both"/>
        <w:rPr>
          <w:rFonts w:ascii="Book Antiqua" w:hAnsi="Book Antiqua"/>
          <w:b/>
          <w:caps/>
          <w:lang w:val="en-US"/>
        </w:rPr>
      </w:pPr>
      <w:bookmarkStart w:id="149" w:name="_Hlk15543807"/>
      <w:bookmarkStart w:id="150" w:name="_Hlk17811696"/>
      <w:r w:rsidRPr="00E17D79">
        <w:rPr>
          <w:rFonts w:ascii="Book Antiqua" w:hAnsi="Book Antiqua" w:cs="Segoe UI"/>
          <w:b/>
          <w:caps/>
          <w:shd w:val="clear" w:color="auto" w:fill="FFFFFF"/>
          <w:lang w:val="en-US"/>
        </w:rPr>
        <w:t>Article Highlights</w:t>
      </w:r>
    </w:p>
    <w:p w14:paraId="04827F98"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background</w:t>
      </w:r>
    </w:p>
    <w:p w14:paraId="356AA544" w14:textId="154818D8" w:rsidR="00EA7160" w:rsidRPr="00E17D79" w:rsidRDefault="00EA7160" w:rsidP="00E17D79">
      <w:pPr>
        <w:adjustRightInd w:val="0"/>
        <w:snapToGrid w:val="0"/>
        <w:spacing w:line="360" w:lineRule="auto"/>
        <w:jc w:val="both"/>
        <w:rPr>
          <w:rFonts w:ascii="Book Antiqua" w:hAnsi="Book Antiqua"/>
          <w:b/>
          <w:i/>
          <w:color w:val="000000"/>
          <w:lang w:val="en-US"/>
        </w:rPr>
      </w:pPr>
      <w:r w:rsidRPr="00E17D79">
        <w:rPr>
          <w:rFonts w:ascii="Book Antiqua" w:hAnsi="Book Antiqua"/>
          <w:color w:val="000000"/>
          <w:lang w:val="en-US"/>
        </w:rPr>
        <w:t>Acquired or secondary</w:t>
      </w:r>
      <w:r w:rsidRPr="00E17D79">
        <w:rPr>
          <w:rFonts w:ascii="Book Antiqua" w:hAnsi="Book Antiqua"/>
          <w:lang w:val="en-US"/>
        </w:rPr>
        <w:t xml:space="preserve"> </w:t>
      </w:r>
      <w:r w:rsidRPr="00E17D79">
        <w:rPr>
          <w:rFonts w:ascii="Book Antiqua" w:hAnsi="Book Antiqua"/>
          <w:color w:val="000000"/>
          <w:lang w:val="en-US"/>
        </w:rPr>
        <w:t>haemophagocytic lymphohistiocytosis (sHLH) in adults is a heterogeneous disease triggered by infectious, autoimmune, or neoplastic disorders. sHLH is still associated with high morbidity and mortality. At the time of our study (January 2010-June 2018) the guidelines in use for the treatment of HLH, whether primary or secondary, included intensive immunosuppressive treatment.</w:t>
      </w:r>
    </w:p>
    <w:p w14:paraId="1D659335" w14:textId="77777777" w:rsidR="00984405" w:rsidRPr="00E17D79" w:rsidRDefault="00984405" w:rsidP="00E17D79">
      <w:pPr>
        <w:adjustRightInd w:val="0"/>
        <w:snapToGrid w:val="0"/>
        <w:spacing w:line="360" w:lineRule="auto"/>
        <w:jc w:val="both"/>
        <w:rPr>
          <w:rFonts w:ascii="Book Antiqua" w:hAnsi="Book Antiqua"/>
          <w:b/>
          <w:i/>
          <w:color w:val="000000"/>
          <w:lang w:val="en-US"/>
        </w:rPr>
      </w:pPr>
    </w:p>
    <w:p w14:paraId="5CCD1971"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motivation</w:t>
      </w:r>
    </w:p>
    <w:p w14:paraId="1CDE5D03" w14:textId="414BEC8D" w:rsidR="00EA7160" w:rsidRPr="00E17D79" w:rsidRDefault="00EA7160" w:rsidP="00E17D79">
      <w:pPr>
        <w:adjustRightInd w:val="0"/>
        <w:snapToGrid w:val="0"/>
        <w:spacing w:line="360" w:lineRule="auto"/>
        <w:jc w:val="both"/>
        <w:rPr>
          <w:rFonts w:ascii="Book Antiqua" w:hAnsi="Book Antiqua"/>
          <w:color w:val="000000"/>
          <w:lang w:val="en-US"/>
        </w:rPr>
      </w:pPr>
      <w:r w:rsidRPr="00E17D79">
        <w:rPr>
          <w:rFonts w:ascii="Book Antiqua" w:hAnsi="Book Antiqua"/>
          <w:color w:val="000000"/>
          <w:lang w:val="en-US"/>
        </w:rPr>
        <w:t>As there are no randomized trials for the optimal management of sHLH in adults, treatment in every-day clinical practice varies widely among medical institutes. Nevertheless, several investigators are reluctant to treat patients with intense chemo-immune agents, particularly in cases with infection-associated sHLH.</w:t>
      </w:r>
    </w:p>
    <w:p w14:paraId="4355DEF0" w14:textId="77777777" w:rsidR="00984405" w:rsidRPr="00E17D79" w:rsidRDefault="00984405" w:rsidP="00E17D79">
      <w:pPr>
        <w:adjustRightInd w:val="0"/>
        <w:snapToGrid w:val="0"/>
        <w:spacing w:line="360" w:lineRule="auto"/>
        <w:jc w:val="both"/>
        <w:rPr>
          <w:rFonts w:ascii="Book Antiqua" w:hAnsi="Book Antiqua"/>
          <w:b/>
          <w:i/>
          <w:color w:val="000000"/>
          <w:lang w:val="en-US"/>
        </w:rPr>
      </w:pPr>
    </w:p>
    <w:p w14:paraId="505683B0"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objectives</w:t>
      </w:r>
    </w:p>
    <w:p w14:paraId="472E010C" w14:textId="7A8BC548" w:rsidR="00EA7160" w:rsidRPr="00E17D79" w:rsidRDefault="00EA7160" w:rsidP="00E17D79">
      <w:pPr>
        <w:adjustRightInd w:val="0"/>
        <w:snapToGrid w:val="0"/>
        <w:spacing w:line="360" w:lineRule="auto"/>
        <w:jc w:val="both"/>
        <w:rPr>
          <w:rFonts w:ascii="Book Antiqua" w:hAnsi="Book Antiqua"/>
          <w:color w:val="000000"/>
          <w:lang w:val="en-US"/>
        </w:rPr>
      </w:pPr>
      <w:r w:rsidRPr="00E17D79">
        <w:rPr>
          <w:rFonts w:ascii="Book Antiqua" w:hAnsi="Book Antiqua"/>
          <w:color w:val="000000"/>
          <w:lang w:val="en-US"/>
        </w:rPr>
        <w:t>To analyze all adult sHLH cases that were diagnosed and managed under real-world circumstances between 2010 and 2018 in our tertiary care hospital focusing on the treatment schedule and the outcome.</w:t>
      </w:r>
    </w:p>
    <w:p w14:paraId="2206E35C" w14:textId="77777777" w:rsidR="00984405" w:rsidRPr="00E17D79" w:rsidRDefault="00984405" w:rsidP="00E17D79">
      <w:pPr>
        <w:adjustRightInd w:val="0"/>
        <w:snapToGrid w:val="0"/>
        <w:spacing w:line="360" w:lineRule="auto"/>
        <w:jc w:val="both"/>
        <w:rPr>
          <w:rFonts w:ascii="Book Antiqua" w:hAnsi="Book Antiqua"/>
          <w:b/>
          <w:i/>
          <w:color w:val="000000"/>
          <w:lang w:val="en-US"/>
        </w:rPr>
      </w:pPr>
    </w:p>
    <w:p w14:paraId="7D4D13E3"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methods</w:t>
      </w:r>
    </w:p>
    <w:p w14:paraId="6B8D03C8" w14:textId="18BEA276" w:rsidR="00EA7160" w:rsidRPr="00E17D79" w:rsidRDefault="00EA7160" w:rsidP="00E17D79">
      <w:pPr>
        <w:adjustRightInd w:val="0"/>
        <w:snapToGrid w:val="0"/>
        <w:spacing w:line="360" w:lineRule="auto"/>
        <w:jc w:val="both"/>
        <w:rPr>
          <w:rFonts w:ascii="Book Antiqua" w:hAnsi="Book Antiqua"/>
          <w:color w:val="000000"/>
          <w:lang w:val="en-US"/>
        </w:rPr>
      </w:pPr>
      <w:r w:rsidRPr="00E17D79">
        <w:rPr>
          <w:rFonts w:ascii="Book Antiqua" w:hAnsi="Book Antiqua"/>
          <w:color w:val="000000"/>
          <w:lang w:val="en-US"/>
        </w:rPr>
        <w:t>All adult patients with well-established sHLH who were diagnosed and managed at the Department of Medicine of the Larissa University Hospital, Greece from January 1, 2010 to June 1, 2018, were assessed retrospectively. The electronic records and/or written charts of the patients were reviewed for demographic characteristics, clinical manifestations, underlying causes of sHLH, laboratory parameters, treatment schedule and the 30-d-mortality rate.</w:t>
      </w:r>
    </w:p>
    <w:p w14:paraId="1100F902" w14:textId="77777777" w:rsidR="00984405" w:rsidRPr="00E17D79" w:rsidRDefault="00984405" w:rsidP="00E17D79">
      <w:pPr>
        <w:adjustRightInd w:val="0"/>
        <w:snapToGrid w:val="0"/>
        <w:spacing w:line="360" w:lineRule="auto"/>
        <w:jc w:val="both"/>
        <w:rPr>
          <w:rFonts w:ascii="Book Antiqua" w:hAnsi="Book Antiqua"/>
          <w:b/>
          <w:i/>
          <w:color w:val="000000"/>
          <w:lang w:val="en-US"/>
        </w:rPr>
      </w:pPr>
    </w:p>
    <w:p w14:paraId="6D5D79D8"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results</w:t>
      </w:r>
    </w:p>
    <w:p w14:paraId="591E3C67" w14:textId="284C3B11" w:rsidR="00EA7160" w:rsidRPr="00E17D79" w:rsidRDefault="00EA7160" w:rsidP="00E17D79">
      <w:pPr>
        <w:adjustRightInd w:val="0"/>
        <w:snapToGrid w:val="0"/>
        <w:spacing w:line="360" w:lineRule="auto"/>
        <w:jc w:val="both"/>
        <w:rPr>
          <w:rFonts w:ascii="Book Antiqua" w:hAnsi="Book Antiqua"/>
          <w:color w:val="000000"/>
          <w:lang w:val="en-US"/>
        </w:rPr>
      </w:pPr>
      <w:r w:rsidRPr="00E17D79">
        <w:rPr>
          <w:rFonts w:ascii="Book Antiqua" w:hAnsi="Book Antiqua"/>
          <w:color w:val="000000"/>
          <w:lang w:val="en-US"/>
        </w:rPr>
        <w:t>Over this 8-year study period, 80 patients (52.5% males; mean age 52.1</w:t>
      </w:r>
      <w:r w:rsidR="00873447" w:rsidRPr="00E17D79">
        <w:rPr>
          <w:rFonts w:ascii="Book Antiqua" w:hAnsi="Book Antiqua"/>
          <w:color w:val="000000"/>
          <w:lang w:val="en-US"/>
        </w:rPr>
        <w:t xml:space="preserve"> </w:t>
      </w:r>
      <w:r w:rsidRPr="00E17D79">
        <w:rPr>
          <w:rFonts w:ascii="Book Antiqua" w:hAnsi="Book Antiqua"/>
          <w:color w:val="000000"/>
          <w:lang w:val="en-US"/>
        </w:rPr>
        <w:t>±</w:t>
      </w:r>
      <w:r w:rsidR="00873447" w:rsidRPr="00E17D79">
        <w:rPr>
          <w:rFonts w:ascii="Book Antiqua" w:hAnsi="Book Antiqua"/>
          <w:color w:val="000000"/>
          <w:lang w:val="en-US"/>
        </w:rPr>
        <w:t xml:space="preserve"> </w:t>
      </w:r>
      <w:r w:rsidRPr="00E17D79">
        <w:rPr>
          <w:rFonts w:ascii="Book Antiqua" w:hAnsi="Book Antiqua"/>
          <w:color w:val="000000"/>
          <w:lang w:val="en-US"/>
        </w:rPr>
        <w:t>19.2 years) with sHLH were identified. In the majority of cases (74%), the underlying cause of sHLH was infection followed by neoplastic disease (16.2%) and autoimmune disease</w:t>
      </w:r>
      <w:r w:rsidR="00873447" w:rsidRPr="00E17D79">
        <w:rPr>
          <w:rFonts w:ascii="Book Antiqua" w:hAnsi="Book Antiqua"/>
          <w:color w:val="000000"/>
          <w:lang w:val="en-US"/>
        </w:rPr>
        <w:t xml:space="preserve"> </w:t>
      </w:r>
      <w:r w:rsidRPr="00E17D79">
        <w:rPr>
          <w:rFonts w:ascii="Book Antiqua" w:hAnsi="Book Antiqua"/>
          <w:color w:val="000000"/>
          <w:lang w:val="en-US"/>
        </w:rPr>
        <w:t>(7.5%). Seventy-two patients (90%) received combination treatment of intravenous γ-immunoglobulin (IVIG) and intravenous steroids, 4 patients received corticosteroids only (due to IVIG short supply) and 4 patients received treatment only for their underlying disease (visceral leishmaniasis) with</w:t>
      </w:r>
      <w:r w:rsidRPr="00E17D79">
        <w:rPr>
          <w:rFonts w:ascii="Book Antiqua" w:hAnsi="Book Antiqua"/>
          <w:lang w:val="en-US"/>
        </w:rPr>
        <w:t xml:space="preserve"> </w:t>
      </w:r>
      <w:r w:rsidRPr="00E17D79">
        <w:rPr>
          <w:rFonts w:ascii="Book Antiqua" w:hAnsi="Book Antiqua"/>
          <w:color w:val="000000"/>
          <w:lang w:val="en-US"/>
        </w:rPr>
        <w:t>liposomal amphotericin B.</w:t>
      </w:r>
      <w:r w:rsidRPr="00E17D79">
        <w:rPr>
          <w:rFonts w:ascii="Book Antiqua" w:hAnsi="Book Antiqua"/>
          <w:lang w:val="en-US"/>
        </w:rPr>
        <w:t xml:space="preserve"> </w:t>
      </w:r>
      <w:r w:rsidRPr="00E17D79">
        <w:rPr>
          <w:rFonts w:ascii="Book Antiqua" w:hAnsi="Book Antiqua"/>
          <w:color w:val="000000"/>
          <w:lang w:val="en-US"/>
        </w:rPr>
        <w:t>The majority of patients (76%) were cured following treatment.</w:t>
      </w:r>
      <w:r w:rsidRPr="00E17D79">
        <w:rPr>
          <w:rFonts w:ascii="Book Antiqua" w:hAnsi="Book Antiqua"/>
          <w:lang w:val="en-US"/>
        </w:rPr>
        <w:t xml:space="preserve"> </w:t>
      </w:r>
      <w:r w:rsidRPr="00E17D79">
        <w:rPr>
          <w:rFonts w:ascii="Book Antiqua" w:hAnsi="Book Antiqua"/>
          <w:color w:val="000000"/>
          <w:lang w:val="en-US"/>
        </w:rPr>
        <w:t xml:space="preserve">Twelve patients (15%) died within the first month after diagnosis but the </w:t>
      </w:r>
      <w:r w:rsidRPr="00E17D79">
        <w:rPr>
          <w:rFonts w:ascii="Book Antiqua" w:hAnsi="Book Antiqua" w:cs="Arial"/>
          <w:lang w:val="en-GB"/>
        </w:rPr>
        <w:t>6-mo survival was 82.5%</w:t>
      </w:r>
      <w:r w:rsidRPr="00E17D79">
        <w:rPr>
          <w:rFonts w:ascii="Book Antiqua" w:hAnsi="Book Antiqua"/>
          <w:color w:val="000000"/>
          <w:lang w:val="en-US"/>
        </w:rPr>
        <w:t>.</w:t>
      </w:r>
      <w:r w:rsidRPr="00E17D79">
        <w:rPr>
          <w:rFonts w:ascii="Book Antiqua" w:hAnsi="Book Antiqua"/>
          <w:lang w:val="en-US"/>
        </w:rPr>
        <w:t xml:space="preserve"> A</w:t>
      </w:r>
      <w:r w:rsidRPr="00E17D79">
        <w:rPr>
          <w:rFonts w:ascii="Book Antiqua" w:hAnsi="Book Antiqua"/>
          <w:color w:val="000000"/>
          <w:lang w:val="en-US"/>
        </w:rPr>
        <w:t>lthough older age, anaemia, thrombocytopenia, low fibrinogen, disseminated intravascular coagulation</w:t>
      </w:r>
      <w:r w:rsidR="00345AAF" w:rsidRPr="00E17D79">
        <w:rPr>
          <w:rFonts w:ascii="Book Antiqua" w:hAnsi="Book Antiqua"/>
          <w:color w:val="000000"/>
          <w:lang w:val="en-US"/>
        </w:rPr>
        <w:t xml:space="preserve"> (DIC)</w:t>
      </w:r>
      <w:r w:rsidRPr="00E17D79">
        <w:rPr>
          <w:rFonts w:ascii="Book Antiqua" w:hAnsi="Book Antiqua"/>
          <w:color w:val="000000"/>
          <w:lang w:val="en-US"/>
        </w:rPr>
        <w:t xml:space="preserve">, and delay of diagnosis were factors that negatively affected response to treatment in the univariate analysis, only the development of </w:t>
      </w:r>
      <w:r w:rsidR="00345AAF" w:rsidRPr="00E17D79">
        <w:rPr>
          <w:rFonts w:ascii="Book Antiqua" w:hAnsi="Book Antiqua"/>
          <w:color w:val="000000"/>
          <w:lang w:val="en-US"/>
        </w:rPr>
        <w:t>DIC</w:t>
      </w:r>
      <w:r w:rsidRPr="00E17D79">
        <w:rPr>
          <w:rFonts w:ascii="Book Antiqua" w:hAnsi="Book Antiqua"/>
          <w:color w:val="000000"/>
          <w:lang w:val="en-US"/>
        </w:rPr>
        <w:t xml:space="preserve"> and low platelets were independently associated with adverse outcome.</w:t>
      </w:r>
    </w:p>
    <w:p w14:paraId="3618558C" w14:textId="77777777" w:rsidR="00984405" w:rsidRPr="00E17D79" w:rsidRDefault="00984405" w:rsidP="00E17D79">
      <w:pPr>
        <w:adjustRightInd w:val="0"/>
        <w:snapToGrid w:val="0"/>
        <w:spacing w:line="360" w:lineRule="auto"/>
        <w:jc w:val="both"/>
        <w:rPr>
          <w:rFonts w:ascii="Book Antiqua" w:hAnsi="Book Antiqua"/>
          <w:b/>
          <w:i/>
          <w:color w:val="000000"/>
          <w:lang w:val="en-US"/>
        </w:rPr>
      </w:pPr>
    </w:p>
    <w:p w14:paraId="5E969BEC"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conclusions</w:t>
      </w:r>
    </w:p>
    <w:p w14:paraId="0C739AA7" w14:textId="359E3F8E" w:rsidR="00EA7160" w:rsidRPr="00E17D79" w:rsidRDefault="00EA7160" w:rsidP="00E17D79">
      <w:pPr>
        <w:adjustRightInd w:val="0"/>
        <w:snapToGrid w:val="0"/>
        <w:spacing w:line="360" w:lineRule="auto"/>
        <w:jc w:val="both"/>
        <w:rPr>
          <w:rFonts w:ascii="Book Antiqua" w:hAnsi="Book Antiqua"/>
          <w:color w:val="000000"/>
          <w:lang w:val="en-US"/>
        </w:rPr>
      </w:pPr>
      <w:r w:rsidRPr="00E17D79">
        <w:rPr>
          <w:rFonts w:ascii="Book Antiqua" w:hAnsi="Book Antiqua"/>
          <w:color w:val="000000"/>
          <w:lang w:val="en-US"/>
        </w:rPr>
        <w:t xml:space="preserve">Infections identified as the major cause of sHLH in our study and therefore, they should be thoroughly investigated in these patients. In addition, IVIG in combination with intravenous corticosteroids seems efficient and safe first-line treatment option for successful outcome of this life-threatening condition, avoiding in parallel overtreatment and unnecessary toxicity by using </w:t>
      </w:r>
      <w:r w:rsidRPr="00E17D79">
        <w:rPr>
          <w:rFonts w:ascii="Book Antiqua" w:eastAsia="AdvTimes" w:hAnsi="Book Antiqua" w:cs="AdvTimes"/>
          <w:lang w:val="en-US" w:eastAsia="en-US"/>
        </w:rPr>
        <w:t>less immunosuppressive and less cytotoxic treatment modalities</w:t>
      </w:r>
      <w:r w:rsidRPr="00E17D79">
        <w:rPr>
          <w:rFonts w:ascii="Book Antiqua" w:hAnsi="Book Antiqua"/>
          <w:color w:val="000000"/>
          <w:lang w:val="en-US"/>
        </w:rPr>
        <w:t>.</w:t>
      </w:r>
    </w:p>
    <w:p w14:paraId="52E89230" w14:textId="77777777" w:rsidR="00984405" w:rsidRPr="00E17D79" w:rsidRDefault="00984405" w:rsidP="00E17D79">
      <w:pPr>
        <w:adjustRightInd w:val="0"/>
        <w:snapToGrid w:val="0"/>
        <w:spacing w:line="360" w:lineRule="auto"/>
        <w:jc w:val="both"/>
        <w:rPr>
          <w:rFonts w:ascii="Book Antiqua" w:hAnsi="Book Antiqua"/>
          <w:b/>
          <w:i/>
          <w:color w:val="000000"/>
          <w:lang w:val="en-US"/>
        </w:rPr>
      </w:pPr>
    </w:p>
    <w:p w14:paraId="3F3D1307" w14:textId="77777777" w:rsidR="00984405" w:rsidRPr="00E17D79" w:rsidRDefault="00984405" w:rsidP="00E17D79">
      <w:pPr>
        <w:adjustRightInd w:val="0"/>
        <w:snapToGrid w:val="0"/>
        <w:spacing w:line="360" w:lineRule="auto"/>
        <w:jc w:val="both"/>
        <w:rPr>
          <w:rFonts w:ascii="Book Antiqua" w:hAnsi="Book Antiqua"/>
          <w:b/>
          <w:i/>
          <w:color w:val="000000"/>
          <w:lang w:val="en-US"/>
        </w:rPr>
      </w:pPr>
      <w:r w:rsidRPr="00E17D79">
        <w:rPr>
          <w:rFonts w:ascii="Book Antiqua" w:hAnsi="Book Antiqua"/>
          <w:b/>
          <w:i/>
          <w:color w:val="000000"/>
          <w:lang w:val="en-US"/>
        </w:rPr>
        <w:t>Research perspectives</w:t>
      </w:r>
    </w:p>
    <w:bookmarkEnd w:id="149"/>
    <w:p w14:paraId="18D179F7" w14:textId="09B94EA0" w:rsidR="00EA7160" w:rsidRPr="00E17D79" w:rsidRDefault="00EA7160" w:rsidP="00E17D79">
      <w:pPr>
        <w:autoSpaceDE w:val="0"/>
        <w:autoSpaceDN w:val="0"/>
        <w:adjustRightInd w:val="0"/>
        <w:snapToGrid w:val="0"/>
        <w:spacing w:line="360" w:lineRule="auto"/>
        <w:jc w:val="both"/>
        <w:rPr>
          <w:rFonts w:ascii="Book Antiqua" w:hAnsi="Book Antiqua"/>
          <w:lang w:val="en-US"/>
        </w:rPr>
      </w:pPr>
      <w:r w:rsidRPr="00E17D79">
        <w:rPr>
          <w:rFonts w:ascii="Book Antiqua" w:hAnsi="Book Antiqua"/>
          <w:lang w:val="en-US"/>
        </w:rPr>
        <w:t>Using a less cytotoxic and less immunosuppressive therapeutic schedule, we achieved a quite high remission rate (76%) and 6-mo survival (82.5%) albeit a 30-day mortality rate of 15%. Future prospective multicenter ra</w:t>
      </w:r>
      <w:r w:rsidR="00DC1173" w:rsidRPr="00E17D79">
        <w:rPr>
          <w:rFonts w:ascii="Book Antiqua" w:hAnsi="Book Antiqua"/>
          <w:lang w:val="en-US"/>
        </w:rPr>
        <w:t>ndomized control studies are</w:t>
      </w:r>
      <w:r w:rsidRPr="00E17D79">
        <w:rPr>
          <w:rFonts w:ascii="Book Antiqua" w:hAnsi="Book Antiqua"/>
          <w:lang w:val="en-US"/>
        </w:rPr>
        <w:t xml:space="preserve"> needed in order to definitely address the potential </w:t>
      </w:r>
      <w:r w:rsidRPr="00E17D79">
        <w:rPr>
          <w:rFonts w:ascii="Book Antiqua" w:hAnsi="Book Antiqua"/>
          <w:lang w:val="en-US"/>
        </w:rPr>
        <w:lastRenderedPageBreak/>
        <w:t>therapeutic benefit of IVIG in patients with sHLH and particularly in</w:t>
      </w:r>
      <w:r w:rsidR="00DC1173" w:rsidRPr="00E17D79">
        <w:rPr>
          <w:rFonts w:ascii="Book Antiqua" w:hAnsi="Book Antiqua"/>
          <w:lang w:val="en-US"/>
        </w:rPr>
        <w:t xml:space="preserve"> those </w:t>
      </w:r>
      <w:r w:rsidRPr="00E17D79">
        <w:rPr>
          <w:rFonts w:ascii="Book Antiqua" w:hAnsi="Book Antiqua"/>
          <w:lang w:val="en-US"/>
        </w:rPr>
        <w:t>with</w:t>
      </w:r>
      <w:r w:rsidR="00DC1173" w:rsidRPr="00E17D79">
        <w:rPr>
          <w:rFonts w:ascii="Book Antiqua" w:hAnsi="Book Antiqua"/>
          <w:lang w:val="en-US"/>
        </w:rPr>
        <w:t xml:space="preserve"> infection</w:t>
      </w:r>
      <w:r w:rsidRPr="00E17D79">
        <w:rPr>
          <w:rFonts w:ascii="Book Antiqua" w:hAnsi="Book Antiqua"/>
          <w:lang w:val="en-US"/>
        </w:rPr>
        <w:t>s- or autoimmunity-related sHLH.</w:t>
      </w:r>
    </w:p>
    <w:p w14:paraId="250FDA59" w14:textId="77777777" w:rsidR="00984405" w:rsidRPr="00E17D79" w:rsidRDefault="00984405" w:rsidP="00E17D79">
      <w:pPr>
        <w:autoSpaceDE w:val="0"/>
        <w:autoSpaceDN w:val="0"/>
        <w:adjustRightInd w:val="0"/>
        <w:snapToGrid w:val="0"/>
        <w:spacing w:line="360" w:lineRule="auto"/>
        <w:jc w:val="both"/>
        <w:rPr>
          <w:rFonts w:ascii="Book Antiqua" w:hAnsi="Book Antiqua"/>
          <w:lang w:val="en-US"/>
        </w:rPr>
      </w:pPr>
    </w:p>
    <w:bookmarkEnd w:id="150"/>
    <w:p w14:paraId="024901BF" w14:textId="335C8099" w:rsidR="001940E8" w:rsidRPr="00E17D79" w:rsidRDefault="00873447" w:rsidP="00E17D79">
      <w:pPr>
        <w:spacing w:line="360" w:lineRule="auto"/>
        <w:jc w:val="both"/>
        <w:rPr>
          <w:rFonts w:ascii="Book Antiqua" w:hAnsi="Book Antiqua" w:cs="Arial"/>
          <w:b/>
          <w:lang w:val="en-GB"/>
        </w:rPr>
      </w:pPr>
      <w:r w:rsidRPr="00E17D79">
        <w:rPr>
          <w:rFonts w:ascii="Book Antiqua" w:hAnsi="Book Antiqua" w:cs="Arial"/>
          <w:b/>
          <w:lang w:val="en-GB"/>
        </w:rPr>
        <w:t>REFERENCES</w:t>
      </w:r>
    </w:p>
    <w:p w14:paraId="1209FDFC" w14:textId="77777777" w:rsidR="009C7678" w:rsidRPr="00E17D79" w:rsidRDefault="009C7678" w:rsidP="00E17D79">
      <w:pPr>
        <w:spacing w:line="360" w:lineRule="auto"/>
        <w:jc w:val="both"/>
        <w:rPr>
          <w:rFonts w:ascii="Book Antiqua" w:hAnsi="Book Antiqua"/>
          <w:lang w:eastAsia="zh-CN"/>
        </w:rPr>
      </w:pPr>
      <w:r w:rsidRPr="00E17D79">
        <w:rPr>
          <w:rFonts w:ascii="Book Antiqua" w:hAnsi="Book Antiqua"/>
        </w:rPr>
        <w:t xml:space="preserve">1 </w:t>
      </w:r>
      <w:r w:rsidRPr="00E17D79">
        <w:rPr>
          <w:rFonts w:ascii="Book Antiqua" w:hAnsi="Book Antiqua"/>
          <w:b/>
        </w:rPr>
        <w:t>Filipovich A</w:t>
      </w:r>
      <w:r w:rsidRPr="00E17D79">
        <w:rPr>
          <w:rFonts w:ascii="Book Antiqua" w:hAnsi="Book Antiqua"/>
        </w:rPr>
        <w:t xml:space="preserve">, McClain K, Grom A. Histiocytic disorders: recent insights into pathophysiology and practical guidelines. </w:t>
      </w:r>
      <w:r w:rsidRPr="00E17D79">
        <w:rPr>
          <w:rFonts w:ascii="Book Antiqua" w:hAnsi="Book Antiqua"/>
          <w:i/>
        </w:rPr>
        <w:t>Biol Blood Marrow Transplant</w:t>
      </w:r>
      <w:r w:rsidRPr="00E17D79">
        <w:rPr>
          <w:rFonts w:ascii="Book Antiqua" w:hAnsi="Book Antiqua"/>
        </w:rPr>
        <w:t xml:space="preserve"> 2010; </w:t>
      </w:r>
      <w:r w:rsidRPr="00E17D79">
        <w:rPr>
          <w:rFonts w:ascii="Book Antiqua" w:hAnsi="Book Antiqua"/>
          <w:b/>
        </w:rPr>
        <w:t>16</w:t>
      </w:r>
      <w:r w:rsidRPr="00E17D79">
        <w:rPr>
          <w:rFonts w:ascii="Book Antiqua" w:hAnsi="Book Antiqua"/>
        </w:rPr>
        <w:t>: S82-S89 [PMID: 19932759 DOI: 10.1016/j.bbmt.2009.11.014]</w:t>
      </w:r>
    </w:p>
    <w:p w14:paraId="24615EE7"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 </w:t>
      </w:r>
      <w:r w:rsidRPr="00E17D79">
        <w:rPr>
          <w:rFonts w:ascii="Book Antiqua" w:hAnsi="Book Antiqua"/>
          <w:b/>
        </w:rPr>
        <w:t>Janka GE</w:t>
      </w:r>
      <w:r w:rsidRPr="00E17D79">
        <w:rPr>
          <w:rFonts w:ascii="Book Antiqua" w:hAnsi="Book Antiqua"/>
        </w:rPr>
        <w:t xml:space="preserve">. Hemophagocytic syndromes. </w:t>
      </w:r>
      <w:r w:rsidRPr="00E17D79">
        <w:rPr>
          <w:rFonts w:ascii="Book Antiqua" w:hAnsi="Book Antiqua"/>
          <w:i/>
        </w:rPr>
        <w:t>Blood Rev</w:t>
      </w:r>
      <w:r w:rsidRPr="00E17D79">
        <w:rPr>
          <w:rFonts w:ascii="Book Antiqua" w:hAnsi="Book Antiqua"/>
        </w:rPr>
        <w:t xml:space="preserve"> 2007; </w:t>
      </w:r>
      <w:r w:rsidRPr="00E17D79">
        <w:rPr>
          <w:rFonts w:ascii="Book Antiqua" w:hAnsi="Book Antiqua"/>
          <w:b/>
        </w:rPr>
        <w:t>21</w:t>
      </w:r>
      <w:r w:rsidRPr="00E17D79">
        <w:rPr>
          <w:rFonts w:ascii="Book Antiqua" w:hAnsi="Book Antiqua"/>
        </w:rPr>
        <w:t>: 245-253 [PMID: 17590250 DOI: 10.1016/j.blre.2007.05.001]</w:t>
      </w:r>
    </w:p>
    <w:p w14:paraId="468279CB"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 </w:t>
      </w:r>
      <w:r w:rsidRPr="00E17D79">
        <w:rPr>
          <w:rFonts w:ascii="Book Antiqua" w:hAnsi="Book Antiqua"/>
          <w:b/>
        </w:rPr>
        <w:t>Ramos-Casals M</w:t>
      </w:r>
      <w:r w:rsidRPr="00E17D79">
        <w:rPr>
          <w:rFonts w:ascii="Book Antiqua" w:hAnsi="Book Antiqua"/>
        </w:rPr>
        <w:t xml:space="preserve">, Brito-Zerón P, López-Guillermo A, Khamashta MA, Bosch X. Adult haemophagocytic syndrome. </w:t>
      </w:r>
      <w:r w:rsidRPr="00E17D79">
        <w:rPr>
          <w:rFonts w:ascii="Book Antiqua" w:hAnsi="Book Antiqua"/>
          <w:i/>
        </w:rPr>
        <w:t>Lancet</w:t>
      </w:r>
      <w:r w:rsidRPr="00E17D79">
        <w:rPr>
          <w:rFonts w:ascii="Book Antiqua" w:hAnsi="Book Antiqua"/>
        </w:rPr>
        <w:t xml:space="preserve"> 2014; </w:t>
      </w:r>
      <w:r w:rsidRPr="00E17D79">
        <w:rPr>
          <w:rFonts w:ascii="Book Antiqua" w:hAnsi="Book Antiqua"/>
          <w:b/>
        </w:rPr>
        <w:t>383</w:t>
      </w:r>
      <w:r w:rsidRPr="00E17D79">
        <w:rPr>
          <w:rFonts w:ascii="Book Antiqua" w:hAnsi="Book Antiqua"/>
        </w:rPr>
        <w:t>: 1503-1516 [PMID: 24290661 DOI: 10.1016/S0140-6736(13)61048-X]</w:t>
      </w:r>
    </w:p>
    <w:p w14:paraId="16872B3A"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 </w:t>
      </w:r>
      <w:r w:rsidRPr="00E17D79">
        <w:rPr>
          <w:rFonts w:ascii="Book Antiqua" w:hAnsi="Book Antiqua"/>
          <w:b/>
        </w:rPr>
        <w:t>Bode SF</w:t>
      </w:r>
      <w:r w:rsidRPr="00E17D79">
        <w:rPr>
          <w:rFonts w:ascii="Book Antiqua" w:hAnsi="Book Antiqua"/>
        </w:rPr>
        <w:t xml:space="preserve">, Lehmberg K, Maul-Pavicic A, Vraetz T, Janka G, Stadt UZ, Ehl S. Recent advances in the diagnosis and treatment of hemophagocytic lymphohistiocytosis. </w:t>
      </w:r>
      <w:r w:rsidRPr="00E17D79">
        <w:rPr>
          <w:rFonts w:ascii="Book Antiqua" w:hAnsi="Book Antiqua"/>
          <w:i/>
        </w:rPr>
        <w:t>Arthritis Res Ther</w:t>
      </w:r>
      <w:r w:rsidRPr="00E17D79">
        <w:rPr>
          <w:rFonts w:ascii="Book Antiqua" w:hAnsi="Book Antiqua"/>
        </w:rPr>
        <w:t xml:space="preserve"> 2012; </w:t>
      </w:r>
      <w:r w:rsidRPr="00E17D79">
        <w:rPr>
          <w:rFonts w:ascii="Book Antiqua" w:hAnsi="Book Antiqua"/>
          <w:b/>
        </w:rPr>
        <w:t>14</w:t>
      </w:r>
      <w:r w:rsidRPr="00E17D79">
        <w:rPr>
          <w:rFonts w:ascii="Book Antiqua" w:hAnsi="Book Antiqua"/>
        </w:rPr>
        <w:t>: 213 [PMID: 22682420 DOI: 10.1186/ar3843]</w:t>
      </w:r>
    </w:p>
    <w:p w14:paraId="5A9218AD"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 </w:t>
      </w:r>
      <w:r w:rsidRPr="00E17D79">
        <w:rPr>
          <w:rFonts w:ascii="Book Antiqua" w:hAnsi="Book Antiqua"/>
          <w:b/>
        </w:rPr>
        <w:t>Henter JI</w:t>
      </w:r>
      <w:r w:rsidRPr="00E17D79">
        <w:rPr>
          <w:rFonts w:ascii="Book Antiqua" w:hAnsi="Book Antiqua"/>
        </w:rPr>
        <w:t xml:space="preserve">, Horne A, Aricó M, Egeler RM, Filipovich AH, Imashuku S, Ladisch S, McClain K, Webb D, Winiarski J, Janka G. HLH-2004: Diagnostic and therapeutic guidelines for hemophagocytic lymphohistiocytosis. </w:t>
      </w:r>
      <w:r w:rsidRPr="00E17D79">
        <w:rPr>
          <w:rFonts w:ascii="Book Antiqua" w:hAnsi="Book Antiqua"/>
          <w:i/>
        </w:rPr>
        <w:t>Pediatr Blood Cancer</w:t>
      </w:r>
      <w:r w:rsidRPr="00E17D79">
        <w:rPr>
          <w:rFonts w:ascii="Book Antiqua" w:hAnsi="Book Antiqua"/>
        </w:rPr>
        <w:t xml:space="preserve"> 2007; </w:t>
      </w:r>
      <w:r w:rsidRPr="00E17D79">
        <w:rPr>
          <w:rFonts w:ascii="Book Antiqua" w:hAnsi="Book Antiqua"/>
          <w:b/>
        </w:rPr>
        <w:t>48</w:t>
      </w:r>
      <w:r w:rsidRPr="00E17D79">
        <w:rPr>
          <w:rFonts w:ascii="Book Antiqua" w:hAnsi="Book Antiqua"/>
        </w:rPr>
        <w:t>: 124-131 [PMID: 16937360 DOI: 10.1002/pbc.21039]</w:t>
      </w:r>
    </w:p>
    <w:p w14:paraId="31C97F10"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6 </w:t>
      </w:r>
      <w:r w:rsidRPr="00E17D79">
        <w:rPr>
          <w:rFonts w:ascii="Book Antiqua" w:hAnsi="Book Antiqua"/>
          <w:b/>
        </w:rPr>
        <w:t>Ferreira DG</w:t>
      </w:r>
      <w:r w:rsidRPr="00E17D79">
        <w:rPr>
          <w:rFonts w:ascii="Book Antiqua" w:hAnsi="Book Antiqua"/>
        </w:rPr>
        <w:t xml:space="preserve">, do Val Rezende P, Murao M, Viana MB, de Oliveira BM. Hemophagocytic lymphohistiocytosis: a case series of a Brazilian institution. </w:t>
      </w:r>
      <w:r w:rsidRPr="00E17D79">
        <w:rPr>
          <w:rFonts w:ascii="Book Antiqua" w:hAnsi="Book Antiqua"/>
          <w:i/>
        </w:rPr>
        <w:t>Rev Bras Hematol Hemoter</w:t>
      </w:r>
      <w:r w:rsidRPr="00E17D79">
        <w:rPr>
          <w:rFonts w:ascii="Book Antiqua" w:hAnsi="Book Antiqua"/>
        </w:rPr>
        <w:t xml:space="preserve"> 2014; </w:t>
      </w:r>
      <w:r w:rsidRPr="00E17D79">
        <w:rPr>
          <w:rFonts w:ascii="Book Antiqua" w:hAnsi="Book Antiqua"/>
          <w:b/>
        </w:rPr>
        <w:t>36</w:t>
      </w:r>
      <w:r w:rsidRPr="00E17D79">
        <w:rPr>
          <w:rFonts w:ascii="Book Antiqua" w:hAnsi="Book Antiqua"/>
        </w:rPr>
        <w:t>: 437-441 [PMID: 25453655 DOI: 10.1016/j.bjhh.2014.07.003]</w:t>
      </w:r>
    </w:p>
    <w:p w14:paraId="1A1C56F7"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7 </w:t>
      </w:r>
      <w:r w:rsidRPr="00E17D79">
        <w:rPr>
          <w:rFonts w:ascii="Book Antiqua" w:hAnsi="Book Antiqua"/>
          <w:b/>
        </w:rPr>
        <w:t>Li J</w:t>
      </w:r>
      <w:r w:rsidRPr="00E17D79">
        <w:rPr>
          <w:rFonts w:ascii="Book Antiqua" w:hAnsi="Book Antiqua"/>
        </w:rPr>
        <w:t xml:space="preserve">, Wang Q, Zheng W, Ma J, Zhang W, Wang W, Tian X. Hemophagocytic lymphohistiocytosis: clinical analysis of 103 adult patients. </w:t>
      </w:r>
      <w:r w:rsidRPr="00E17D79">
        <w:rPr>
          <w:rFonts w:ascii="Book Antiqua" w:hAnsi="Book Antiqua"/>
          <w:i/>
        </w:rPr>
        <w:t>Medicine (Baltimore)</w:t>
      </w:r>
      <w:r w:rsidRPr="00E17D79">
        <w:rPr>
          <w:rFonts w:ascii="Book Antiqua" w:hAnsi="Book Antiqua"/>
        </w:rPr>
        <w:t xml:space="preserve"> 2014; </w:t>
      </w:r>
      <w:r w:rsidRPr="00E17D79">
        <w:rPr>
          <w:rFonts w:ascii="Book Antiqua" w:hAnsi="Book Antiqua"/>
          <w:b/>
        </w:rPr>
        <w:t>93</w:t>
      </w:r>
      <w:r w:rsidRPr="00E17D79">
        <w:rPr>
          <w:rFonts w:ascii="Book Antiqua" w:hAnsi="Book Antiqua"/>
        </w:rPr>
        <w:t>: 100-105 [PMID: 24646466 DOI: 10.1097/MD.0000000000000022]</w:t>
      </w:r>
    </w:p>
    <w:p w14:paraId="4C410684"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8 </w:t>
      </w:r>
      <w:r w:rsidRPr="00E17D79">
        <w:rPr>
          <w:rFonts w:ascii="Book Antiqua" w:hAnsi="Book Antiqua"/>
          <w:b/>
        </w:rPr>
        <w:t>Tamamyan GN</w:t>
      </w:r>
      <w:r w:rsidRPr="00E17D79">
        <w:rPr>
          <w:rFonts w:ascii="Book Antiqua" w:hAnsi="Book Antiqua"/>
        </w:rPr>
        <w:t xml:space="preserve">, Kantarjian HM, Ning J, Jain P, Sasaki K, McClain KL, Allen CE, Pierce SA, Cortes JE, Ravandi F, Konopleva MY, Garcia-Manero G, Benton CB, Chihara D, Rytting ME, Wang S, Abdelall W, Konoplev SN, Daver NG. Malignancy-associated hemophagocytic lymphohistiocytosis in adults: </w:t>
      </w:r>
      <w:r w:rsidRPr="00E17D79">
        <w:rPr>
          <w:rFonts w:ascii="Book Antiqua" w:hAnsi="Book Antiqua"/>
        </w:rPr>
        <w:lastRenderedPageBreak/>
        <w:t xml:space="preserve">Relation to hemophagocytosis, characteristics, and outcomes. </w:t>
      </w:r>
      <w:r w:rsidRPr="00E17D79">
        <w:rPr>
          <w:rFonts w:ascii="Book Antiqua" w:hAnsi="Book Antiqua"/>
          <w:i/>
        </w:rPr>
        <w:t>Cancer</w:t>
      </w:r>
      <w:r w:rsidRPr="00E17D79">
        <w:rPr>
          <w:rFonts w:ascii="Book Antiqua" w:hAnsi="Book Antiqua"/>
        </w:rPr>
        <w:t xml:space="preserve"> 2016; </w:t>
      </w:r>
      <w:r w:rsidRPr="00E17D79">
        <w:rPr>
          <w:rFonts w:ascii="Book Antiqua" w:hAnsi="Book Antiqua"/>
          <w:b/>
        </w:rPr>
        <w:t>122</w:t>
      </w:r>
      <w:r w:rsidRPr="00E17D79">
        <w:rPr>
          <w:rFonts w:ascii="Book Antiqua" w:hAnsi="Book Antiqua"/>
        </w:rPr>
        <w:t>: 2857-2866 [PMID: 27244347 DOI: 10.1002/cncr.30084]</w:t>
      </w:r>
    </w:p>
    <w:p w14:paraId="75A3C60C"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9 </w:t>
      </w:r>
      <w:r w:rsidRPr="00E17D79">
        <w:rPr>
          <w:rFonts w:ascii="Book Antiqua" w:hAnsi="Book Antiqua"/>
          <w:b/>
        </w:rPr>
        <w:t>Rivière S</w:t>
      </w:r>
      <w:r w:rsidRPr="00E17D79">
        <w:rPr>
          <w:rFonts w:ascii="Book Antiqua" w:hAnsi="Book Antiqua"/>
        </w:rPr>
        <w:t xml:space="preserve">, Galicier L, Coppo P, Marzac C, Aumont C, Lambotte O, Fardet L. Reactive hemophagocytic syndrome in adults: a retrospective analysis of 162 patients. </w:t>
      </w:r>
      <w:r w:rsidRPr="00E17D79">
        <w:rPr>
          <w:rFonts w:ascii="Book Antiqua" w:hAnsi="Book Antiqua"/>
          <w:i/>
        </w:rPr>
        <w:t>Am J Med</w:t>
      </w:r>
      <w:r w:rsidRPr="00E17D79">
        <w:rPr>
          <w:rFonts w:ascii="Book Antiqua" w:hAnsi="Book Antiqua"/>
        </w:rPr>
        <w:t xml:space="preserve"> 2014; </w:t>
      </w:r>
      <w:r w:rsidRPr="00E17D79">
        <w:rPr>
          <w:rFonts w:ascii="Book Antiqua" w:hAnsi="Book Antiqua"/>
          <w:b/>
        </w:rPr>
        <w:t>127</w:t>
      </w:r>
      <w:r w:rsidRPr="00E17D79">
        <w:rPr>
          <w:rFonts w:ascii="Book Antiqua" w:hAnsi="Book Antiqua"/>
        </w:rPr>
        <w:t>: 1118-1125 [PMID: 24835040 DOI: 10.1016/j.amjmed.2014.04.034]</w:t>
      </w:r>
    </w:p>
    <w:p w14:paraId="26F1C13B"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10 </w:t>
      </w:r>
      <w:r w:rsidRPr="00E17D79">
        <w:rPr>
          <w:rFonts w:ascii="Book Antiqua" w:hAnsi="Book Antiqua"/>
          <w:b/>
        </w:rPr>
        <w:t>Schram AM</w:t>
      </w:r>
      <w:r w:rsidRPr="00E17D79">
        <w:rPr>
          <w:rFonts w:ascii="Book Antiqua" w:hAnsi="Book Antiqua"/>
        </w:rPr>
        <w:t xml:space="preserve">, Comstock P, Campo M, Gorovets D, Mullally A, Bodio K, Arnason J, Berliner N. Haemophagocytic lymphohistiocytosis in adults: a multicentre case series over 7 years. </w:t>
      </w:r>
      <w:r w:rsidRPr="00E17D79">
        <w:rPr>
          <w:rFonts w:ascii="Book Antiqua" w:hAnsi="Book Antiqua"/>
          <w:i/>
        </w:rPr>
        <w:t>Br J Haematol</w:t>
      </w:r>
      <w:r w:rsidRPr="00E17D79">
        <w:rPr>
          <w:rFonts w:ascii="Book Antiqua" w:hAnsi="Book Antiqua"/>
        </w:rPr>
        <w:t xml:space="preserve"> 2016; </w:t>
      </w:r>
      <w:r w:rsidRPr="00E17D79">
        <w:rPr>
          <w:rFonts w:ascii="Book Antiqua" w:hAnsi="Book Antiqua"/>
          <w:b/>
        </w:rPr>
        <w:t>172</w:t>
      </w:r>
      <w:r w:rsidRPr="00E17D79">
        <w:rPr>
          <w:rFonts w:ascii="Book Antiqua" w:hAnsi="Book Antiqua"/>
        </w:rPr>
        <w:t>: 412-419 [PMID: 26537747 DOI: 10.1111/bjh.13837]</w:t>
      </w:r>
    </w:p>
    <w:p w14:paraId="238ECC7A"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11 </w:t>
      </w:r>
      <w:r w:rsidRPr="00E17D79">
        <w:rPr>
          <w:rFonts w:ascii="Book Antiqua" w:hAnsi="Book Antiqua"/>
          <w:b/>
        </w:rPr>
        <w:t>La Rosée P</w:t>
      </w:r>
      <w:r w:rsidRPr="00E17D79">
        <w:rPr>
          <w:rFonts w:ascii="Book Antiqua" w:hAnsi="Book Antiqua"/>
        </w:rPr>
        <w:t xml:space="preserve">. Treatment of hemophagocytic lymphohistiocytosis in adults. </w:t>
      </w:r>
      <w:r w:rsidRPr="00E17D79">
        <w:rPr>
          <w:rFonts w:ascii="Book Antiqua" w:hAnsi="Book Antiqua"/>
          <w:i/>
        </w:rPr>
        <w:t>Hematology Am Soc Hematol Educ Program</w:t>
      </w:r>
      <w:r w:rsidRPr="00E17D79">
        <w:rPr>
          <w:rFonts w:ascii="Book Antiqua" w:hAnsi="Book Antiqua"/>
        </w:rPr>
        <w:t xml:space="preserve"> 2015; </w:t>
      </w:r>
      <w:r w:rsidRPr="00E17D79">
        <w:rPr>
          <w:rFonts w:ascii="Book Antiqua" w:hAnsi="Book Antiqua"/>
          <w:b/>
        </w:rPr>
        <w:t>2015</w:t>
      </w:r>
      <w:r w:rsidRPr="00E17D79">
        <w:rPr>
          <w:rFonts w:ascii="Book Antiqua" w:hAnsi="Book Antiqua"/>
        </w:rPr>
        <w:t>: 190-196 [PMID: 26637720 DOI: 10.1182/asheducation-2015.1.190]</w:t>
      </w:r>
    </w:p>
    <w:p w14:paraId="38472835"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12 </w:t>
      </w:r>
      <w:r w:rsidRPr="00E17D79">
        <w:rPr>
          <w:rFonts w:ascii="Book Antiqua" w:hAnsi="Book Antiqua"/>
          <w:b/>
        </w:rPr>
        <w:t>Schram AM</w:t>
      </w:r>
      <w:r w:rsidRPr="00E17D79">
        <w:rPr>
          <w:rFonts w:ascii="Book Antiqua" w:hAnsi="Book Antiqua"/>
        </w:rPr>
        <w:t xml:space="preserve">, Berliner N. How I treat hemophagocytic lymphohistiocytosis in the adult patient. </w:t>
      </w:r>
      <w:r w:rsidRPr="00E17D79">
        <w:rPr>
          <w:rFonts w:ascii="Book Antiqua" w:hAnsi="Book Antiqua"/>
          <w:i/>
        </w:rPr>
        <w:t>Blood</w:t>
      </w:r>
      <w:r w:rsidRPr="00E17D79">
        <w:rPr>
          <w:rFonts w:ascii="Book Antiqua" w:hAnsi="Book Antiqua"/>
        </w:rPr>
        <w:t xml:space="preserve"> 2015; </w:t>
      </w:r>
      <w:r w:rsidRPr="00E17D79">
        <w:rPr>
          <w:rFonts w:ascii="Book Antiqua" w:hAnsi="Book Antiqua"/>
          <w:b/>
        </w:rPr>
        <w:t>125</w:t>
      </w:r>
      <w:r w:rsidRPr="00E17D79">
        <w:rPr>
          <w:rFonts w:ascii="Book Antiqua" w:hAnsi="Book Antiqua"/>
        </w:rPr>
        <w:t>: 2908-2914 [PMID: 25758828 DOI: 10.1182/blood-2015-01-551622]</w:t>
      </w:r>
    </w:p>
    <w:p w14:paraId="1CDE4276"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13 </w:t>
      </w:r>
      <w:r w:rsidRPr="00E17D79">
        <w:rPr>
          <w:rFonts w:ascii="Book Antiqua" w:hAnsi="Book Antiqua"/>
          <w:b/>
        </w:rPr>
        <w:t>Janka GE</w:t>
      </w:r>
      <w:r w:rsidRPr="00E17D79">
        <w:rPr>
          <w:rFonts w:ascii="Book Antiqua" w:hAnsi="Book Antiqua"/>
        </w:rPr>
        <w:t xml:space="preserve">, Lehmberg K. Hemophagocytic lymphohistiocytosis: pathogenesis and treatment. </w:t>
      </w:r>
      <w:r w:rsidRPr="00E17D79">
        <w:rPr>
          <w:rFonts w:ascii="Book Antiqua" w:hAnsi="Book Antiqua"/>
          <w:i/>
        </w:rPr>
        <w:t>Hematology Am Soc Hematol Educ Program</w:t>
      </w:r>
      <w:r w:rsidRPr="00E17D79">
        <w:rPr>
          <w:rFonts w:ascii="Book Antiqua" w:hAnsi="Book Antiqua"/>
        </w:rPr>
        <w:t xml:space="preserve"> 2013; </w:t>
      </w:r>
      <w:r w:rsidRPr="00E17D79">
        <w:rPr>
          <w:rFonts w:ascii="Book Antiqua" w:hAnsi="Book Antiqua"/>
          <w:b/>
        </w:rPr>
        <w:t>2013</w:t>
      </w:r>
      <w:r w:rsidRPr="00E17D79">
        <w:rPr>
          <w:rFonts w:ascii="Book Antiqua" w:hAnsi="Book Antiqua"/>
        </w:rPr>
        <w:t>: 605-611 [PMID: 24319239 DOI: 10.1182/asheducation-2013.1.605]</w:t>
      </w:r>
    </w:p>
    <w:p w14:paraId="15A86E1B"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14 </w:t>
      </w:r>
      <w:r w:rsidRPr="00E17D79">
        <w:rPr>
          <w:rFonts w:ascii="Book Antiqua" w:hAnsi="Book Antiqua"/>
          <w:b/>
        </w:rPr>
        <w:t>Li F</w:t>
      </w:r>
      <w:r w:rsidRPr="00E17D79">
        <w:rPr>
          <w:rFonts w:ascii="Book Antiqua" w:hAnsi="Book Antiqua"/>
        </w:rPr>
        <w:t xml:space="preserve">, Yang Y, Jin F, Dehoedt C, Rao J, Zhou Y, Li P, Yang G, Wang M, Zhang R, Yang Y. Clinical characteristics and prognostic factors of adult hemophagocytic syndrome patients: a retrospective study of increasing awareness of a disease from a single-center in China. </w:t>
      </w:r>
      <w:r w:rsidRPr="00E17D79">
        <w:rPr>
          <w:rFonts w:ascii="Book Antiqua" w:hAnsi="Book Antiqua"/>
          <w:i/>
        </w:rPr>
        <w:t>Orphanet J Rare Dis</w:t>
      </w:r>
      <w:r w:rsidRPr="00E17D79">
        <w:rPr>
          <w:rFonts w:ascii="Book Antiqua" w:hAnsi="Book Antiqua"/>
        </w:rPr>
        <w:t xml:space="preserve"> 2015; </w:t>
      </w:r>
      <w:r w:rsidRPr="00E17D79">
        <w:rPr>
          <w:rFonts w:ascii="Book Antiqua" w:hAnsi="Book Antiqua"/>
          <w:b/>
        </w:rPr>
        <w:t>10</w:t>
      </w:r>
      <w:r w:rsidRPr="00E17D79">
        <w:rPr>
          <w:rFonts w:ascii="Book Antiqua" w:hAnsi="Book Antiqua"/>
        </w:rPr>
        <w:t>: 20 [PMID: 25757854 DOI: 10.1186/s13023-015-0224-y]</w:t>
      </w:r>
    </w:p>
    <w:p w14:paraId="7994AEFD"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15 </w:t>
      </w:r>
      <w:r w:rsidRPr="00E17D79">
        <w:rPr>
          <w:rFonts w:ascii="Book Antiqua" w:hAnsi="Book Antiqua"/>
          <w:b/>
        </w:rPr>
        <w:t>Guo Y</w:t>
      </w:r>
      <w:r w:rsidRPr="00E17D79">
        <w:rPr>
          <w:rFonts w:ascii="Book Antiqua" w:hAnsi="Book Antiqua"/>
        </w:rPr>
        <w:t xml:space="preserve">, Bai Y, Gu L. Clinical features and prognostic factors of adult secondary hemophagocytic syndrome: Analysis of 47 cases. </w:t>
      </w:r>
      <w:r w:rsidRPr="00E17D79">
        <w:rPr>
          <w:rFonts w:ascii="Book Antiqua" w:hAnsi="Book Antiqua"/>
          <w:i/>
        </w:rPr>
        <w:t>Medicine (Baltimore)</w:t>
      </w:r>
      <w:r w:rsidRPr="00E17D79">
        <w:rPr>
          <w:rFonts w:ascii="Book Antiqua" w:hAnsi="Book Antiqua"/>
        </w:rPr>
        <w:t xml:space="preserve"> 2017; </w:t>
      </w:r>
      <w:r w:rsidRPr="00E17D79">
        <w:rPr>
          <w:rFonts w:ascii="Book Antiqua" w:hAnsi="Book Antiqua"/>
          <w:b/>
        </w:rPr>
        <w:t>96</w:t>
      </w:r>
      <w:r w:rsidRPr="00E17D79">
        <w:rPr>
          <w:rFonts w:ascii="Book Antiqua" w:hAnsi="Book Antiqua"/>
        </w:rPr>
        <w:t>: e6935 [PMID: 28562543 DOI: 10.1097/MD.0000000000006935]</w:t>
      </w:r>
    </w:p>
    <w:p w14:paraId="580A0E0E"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16 </w:t>
      </w:r>
      <w:r w:rsidRPr="00E17D79">
        <w:rPr>
          <w:rFonts w:ascii="Book Antiqua" w:hAnsi="Book Antiqua"/>
          <w:b/>
        </w:rPr>
        <w:t>Otrock ZK</w:t>
      </w:r>
      <w:r w:rsidRPr="00E17D79">
        <w:rPr>
          <w:rFonts w:ascii="Book Antiqua" w:hAnsi="Book Antiqua"/>
        </w:rPr>
        <w:t xml:space="preserve">, Eby CS. Clinical characteristics, prognostic factors, and outcomes of adult patients with hemophagocytic lymphohistiocytosis. </w:t>
      </w:r>
      <w:r w:rsidRPr="00E17D79">
        <w:rPr>
          <w:rFonts w:ascii="Book Antiqua" w:hAnsi="Book Antiqua"/>
          <w:i/>
        </w:rPr>
        <w:t>Am J Hematol</w:t>
      </w:r>
      <w:r w:rsidRPr="00E17D79">
        <w:rPr>
          <w:rFonts w:ascii="Book Antiqua" w:hAnsi="Book Antiqua"/>
        </w:rPr>
        <w:t xml:space="preserve"> 2015; </w:t>
      </w:r>
      <w:r w:rsidRPr="00E17D79">
        <w:rPr>
          <w:rFonts w:ascii="Book Antiqua" w:hAnsi="Book Antiqua"/>
          <w:b/>
        </w:rPr>
        <w:t>90</w:t>
      </w:r>
      <w:r w:rsidRPr="00E17D79">
        <w:rPr>
          <w:rFonts w:ascii="Book Antiqua" w:hAnsi="Book Antiqua"/>
        </w:rPr>
        <w:t>: 220-224 [PMID: 25469675 DOI: 10.1002/ajh.23911]</w:t>
      </w:r>
    </w:p>
    <w:p w14:paraId="14CA0987" w14:textId="77777777" w:rsidR="009C7678" w:rsidRPr="00E17D79" w:rsidRDefault="009C7678" w:rsidP="00E17D79">
      <w:pPr>
        <w:spacing w:line="360" w:lineRule="auto"/>
        <w:jc w:val="both"/>
        <w:rPr>
          <w:rFonts w:ascii="Book Antiqua" w:hAnsi="Book Antiqua"/>
        </w:rPr>
      </w:pPr>
      <w:r w:rsidRPr="00E17D79">
        <w:rPr>
          <w:rFonts w:ascii="Book Antiqua" w:hAnsi="Book Antiqua"/>
        </w:rPr>
        <w:lastRenderedPageBreak/>
        <w:t xml:space="preserve">17 </w:t>
      </w:r>
      <w:r w:rsidRPr="00E17D79">
        <w:rPr>
          <w:rFonts w:ascii="Book Antiqua" w:hAnsi="Book Antiqua"/>
          <w:b/>
        </w:rPr>
        <w:t>Ishii E</w:t>
      </w:r>
      <w:r w:rsidRPr="00E17D79">
        <w:rPr>
          <w:rFonts w:ascii="Book Antiqua" w:hAnsi="Book Antiqua"/>
        </w:rPr>
        <w:t xml:space="preserve">, Ohga S, Imashuku S, Yasukawa M, Tsuda H, Miura I, Yamamoto K, Horiuchi H, Takada K, Ohshima K, Nakamura S, Kinukawa N, Oshimi K, Kawa K. Nationwide survey of hemophagocytic lymphohistiocytosis in Japan. </w:t>
      </w:r>
      <w:r w:rsidRPr="00E17D79">
        <w:rPr>
          <w:rFonts w:ascii="Book Antiqua" w:hAnsi="Book Antiqua"/>
          <w:i/>
        </w:rPr>
        <w:t>Int J Hematol</w:t>
      </w:r>
      <w:r w:rsidRPr="00E17D79">
        <w:rPr>
          <w:rFonts w:ascii="Book Antiqua" w:hAnsi="Book Antiqua"/>
        </w:rPr>
        <w:t xml:space="preserve"> 2007; </w:t>
      </w:r>
      <w:r w:rsidRPr="00E17D79">
        <w:rPr>
          <w:rFonts w:ascii="Book Antiqua" w:hAnsi="Book Antiqua"/>
          <w:b/>
        </w:rPr>
        <w:t>86</w:t>
      </w:r>
      <w:r w:rsidRPr="00E17D79">
        <w:rPr>
          <w:rFonts w:ascii="Book Antiqua" w:hAnsi="Book Antiqua"/>
        </w:rPr>
        <w:t>: 58-65 [PMID: 17675268 DOI: 10.1532/IJH97.07012]</w:t>
      </w:r>
    </w:p>
    <w:p w14:paraId="25DC3CBD"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18 </w:t>
      </w:r>
      <w:r w:rsidRPr="00E17D79">
        <w:rPr>
          <w:rFonts w:ascii="Book Antiqua" w:hAnsi="Book Antiqua"/>
          <w:b/>
        </w:rPr>
        <w:t>Davì S</w:t>
      </w:r>
      <w:r w:rsidRPr="00E17D79">
        <w:rPr>
          <w:rFonts w:ascii="Book Antiqua" w:hAnsi="Book Antiqua"/>
        </w:rPr>
        <w:t xml:space="preserve">, Minoia F, Pistorio A, Horne A, Consolaro A, Rosina S, Bovis F, Cimaz R, Gamir ML, Ilowite NT, Kone-Paut I, Feitosa de Oliveira SK, McCurdy D, Silva CA, Sztajnbok F, Tsitsami E, Unsal E, Weiss JE, Wulffraat N, Abinun M, Aggarwal A, Apaz MT, Astigarraga I, Corona F, Cuttica R, D'Angelo G, Eisenstein EM, Hashad S, Lepore L, Mulaosmanovic V, Nielsen S, Prahalad S, Rigante D, Stanevicha V, Sterba G, Susic G, Takei S, Trauzeddel R, Zletni M, Ruperto N, Martini A, Cron RQ, Ravelli A; Paediatric Rheumatology International Trials Organisation, the Childhood Arthritis and Rheumatology Research Alliance, the Pediatric Rheumatology Collaborative Study Group, and the Histiocyte Society. Performance of current guidelines for diagnosis of macrophage activation syndrome complicating systemic juvenile idiopathic arthritis. </w:t>
      </w:r>
      <w:r w:rsidRPr="00E17D79">
        <w:rPr>
          <w:rFonts w:ascii="Book Antiqua" w:hAnsi="Book Antiqua"/>
          <w:i/>
        </w:rPr>
        <w:t>Arthritis Rheumatol</w:t>
      </w:r>
      <w:r w:rsidRPr="00E17D79">
        <w:rPr>
          <w:rFonts w:ascii="Book Antiqua" w:hAnsi="Book Antiqua"/>
        </w:rPr>
        <w:t xml:space="preserve"> 2014; </w:t>
      </w:r>
      <w:r w:rsidRPr="00E17D79">
        <w:rPr>
          <w:rFonts w:ascii="Book Antiqua" w:hAnsi="Book Antiqua"/>
          <w:b/>
        </w:rPr>
        <w:t>66</w:t>
      </w:r>
      <w:r w:rsidRPr="00E17D79">
        <w:rPr>
          <w:rFonts w:ascii="Book Antiqua" w:hAnsi="Book Antiqua"/>
        </w:rPr>
        <w:t>: 2871-2880 [PMID: 25044674 DOI: 10.1002/art.38769]</w:t>
      </w:r>
    </w:p>
    <w:p w14:paraId="0D12D716"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19 </w:t>
      </w:r>
      <w:r w:rsidRPr="00E17D79">
        <w:rPr>
          <w:rFonts w:ascii="Book Antiqua" w:hAnsi="Book Antiqua"/>
          <w:b/>
        </w:rPr>
        <w:t>Fardet L</w:t>
      </w:r>
      <w:r w:rsidRPr="00E17D79">
        <w:rPr>
          <w:rFonts w:ascii="Book Antiqua" w:hAnsi="Book Antiqua"/>
        </w:rPr>
        <w:t xml:space="preserve">, Galicier L, Lambotte O, Marzac C, Aumont C, Chahwan D, Coppo P, Hejblum G. Development and validation of the HScore, a score for the diagnosis of reactive hemophagocytic syndrome. </w:t>
      </w:r>
      <w:r w:rsidRPr="00E17D79">
        <w:rPr>
          <w:rFonts w:ascii="Book Antiqua" w:hAnsi="Book Antiqua"/>
          <w:i/>
        </w:rPr>
        <w:t>Arthritis Rheumatol</w:t>
      </w:r>
      <w:r w:rsidRPr="00E17D79">
        <w:rPr>
          <w:rFonts w:ascii="Book Antiqua" w:hAnsi="Book Antiqua"/>
        </w:rPr>
        <w:t xml:space="preserve"> 2014; </w:t>
      </w:r>
      <w:r w:rsidRPr="00E17D79">
        <w:rPr>
          <w:rFonts w:ascii="Book Antiqua" w:hAnsi="Book Antiqua"/>
          <w:b/>
        </w:rPr>
        <w:t>66</w:t>
      </w:r>
      <w:r w:rsidRPr="00E17D79">
        <w:rPr>
          <w:rFonts w:ascii="Book Antiqua" w:hAnsi="Book Antiqua"/>
        </w:rPr>
        <w:t>: 2613-2620 [PMID: 24782338 DOI: 10.1002/art.38690]</w:t>
      </w:r>
    </w:p>
    <w:p w14:paraId="26D211DA"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20 </w:t>
      </w:r>
      <w:r w:rsidRPr="00E17D79">
        <w:rPr>
          <w:rFonts w:ascii="Book Antiqua" w:hAnsi="Book Antiqua"/>
          <w:b/>
        </w:rPr>
        <w:t>Barba T</w:t>
      </w:r>
      <w:r w:rsidRPr="00E17D79">
        <w:rPr>
          <w:rFonts w:ascii="Book Antiqua" w:hAnsi="Book Antiqua"/>
        </w:rPr>
        <w:t xml:space="preserve">, Maucort-Boulch D, Iwaz J, Bohé J, Ninet J, Hot A, Lega JC, Guérin C, Argaud L, Broussolle C, Jamilloux Y, Richard JC, Sève P. Hemophagocytic Lymphohistiocytosis in Intensive Care Unit: A 71-Case Strobe-Compliant Retrospective Study. </w:t>
      </w:r>
      <w:r w:rsidRPr="00E17D79">
        <w:rPr>
          <w:rFonts w:ascii="Book Antiqua" w:hAnsi="Book Antiqua"/>
          <w:i/>
        </w:rPr>
        <w:t>Medicine (Baltimore)</w:t>
      </w:r>
      <w:r w:rsidRPr="00E17D79">
        <w:rPr>
          <w:rFonts w:ascii="Book Antiqua" w:hAnsi="Book Antiqua"/>
        </w:rPr>
        <w:t xml:space="preserve"> 2015; </w:t>
      </w:r>
      <w:r w:rsidRPr="00E17D79">
        <w:rPr>
          <w:rFonts w:ascii="Book Antiqua" w:hAnsi="Book Antiqua"/>
          <w:b/>
        </w:rPr>
        <w:t>94</w:t>
      </w:r>
      <w:r w:rsidRPr="00E17D79">
        <w:rPr>
          <w:rFonts w:ascii="Book Antiqua" w:hAnsi="Book Antiqua"/>
        </w:rPr>
        <w:t>: e2318 [PMID: 26705219 DOI: 10.1097/MD.0000000000002318]</w:t>
      </w:r>
    </w:p>
    <w:p w14:paraId="6403AE23"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21 </w:t>
      </w:r>
      <w:r w:rsidRPr="00E17D79">
        <w:rPr>
          <w:rFonts w:ascii="Book Antiqua" w:hAnsi="Book Antiqua"/>
          <w:b/>
        </w:rPr>
        <w:t>Batu ED</w:t>
      </w:r>
      <w:r w:rsidRPr="00E17D79">
        <w:rPr>
          <w:rFonts w:ascii="Book Antiqua" w:hAnsi="Book Antiqua"/>
        </w:rPr>
        <w:t xml:space="preserve">, Erden A, Seyhoğlu E, Kilic L, Büyükasık Y, Karadag O, Bilginer Y, Bilgen SA, Akdogan A, Kiraz S, Ertenli AI, Özen S, Kalyoncu U. Assessment of the HScore for reactive haemophagocytic syndrome in patients with rheumatic diseases. </w:t>
      </w:r>
      <w:r w:rsidRPr="00E17D79">
        <w:rPr>
          <w:rFonts w:ascii="Book Antiqua" w:hAnsi="Book Antiqua"/>
          <w:i/>
        </w:rPr>
        <w:t>Scand J Rheumatol</w:t>
      </w:r>
      <w:r w:rsidRPr="00E17D79">
        <w:rPr>
          <w:rFonts w:ascii="Book Antiqua" w:hAnsi="Book Antiqua"/>
        </w:rPr>
        <w:t xml:space="preserve"> 2017; </w:t>
      </w:r>
      <w:r w:rsidRPr="00E17D79">
        <w:rPr>
          <w:rFonts w:ascii="Book Antiqua" w:hAnsi="Book Antiqua"/>
          <w:b/>
        </w:rPr>
        <w:t>46</w:t>
      </w:r>
      <w:r w:rsidRPr="00E17D79">
        <w:rPr>
          <w:rFonts w:ascii="Book Antiqua" w:hAnsi="Book Antiqua"/>
        </w:rPr>
        <w:t>: 44-48 [PMID: 27359073 DOI: 10.3109/03009742.2016.1167951]</w:t>
      </w:r>
    </w:p>
    <w:p w14:paraId="7C3C5BAA" w14:textId="77777777" w:rsidR="009C7678" w:rsidRPr="00E17D79" w:rsidRDefault="009C7678" w:rsidP="00E17D79">
      <w:pPr>
        <w:spacing w:line="360" w:lineRule="auto"/>
        <w:jc w:val="both"/>
        <w:rPr>
          <w:rFonts w:ascii="Book Antiqua" w:hAnsi="Book Antiqua"/>
        </w:rPr>
      </w:pPr>
      <w:r w:rsidRPr="00E17D79">
        <w:rPr>
          <w:rFonts w:ascii="Book Antiqua" w:hAnsi="Book Antiqua"/>
        </w:rPr>
        <w:lastRenderedPageBreak/>
        <w:t xml:space="preserve">22 </w:t>
      </w:r>
      <w:r w:rsidRPr="00E17D79">
        <w:rPr>
          <w:rFonts w:ascii="Book Antiqua" w:hAnsi="Book Antiqua"/>
          <w:b/>
        </w:rPr>
        <w:t>Rouphael NG</w:t>
      </w:r>
      <w:r w:rsidRPr="00E17D79">
        <w:rPr>
          <w:rFonts w:ascii="Book Antiqua" w:hAnsi="Book Antiqua"/>
        </w:rPr>
        <w:t xml:space="preserve">, Talati NJ, Vaughan C, Cunningham K, Moreira R, Gould C. Infections associated with haemophagocytic syndrome. </w:t>
      </w:r>
      <w:r w:rsidRPr="00E17D79">
        <w:rPr>
          <w:rFonts w:ascii="Book Antiqua" w:hAnsi="Book Antiqua"/>
          <w:i/>
        </w:rPr>
        <w:t>Lancet Infect Dis</w:t>
      </w:r>
      <w:r w:rsidRPr="00E17D79">
        <w:rPr>
          <w:rFonts w:ascii="Book Antiqua" w:hAnsi="Book Antiqua"/>
        </w:rPr>
        <w:t xml:space="preserve"> 2007; </w:t>
      </w:r>
      <w:r w:rsidRPr="00E17D79">
        <w:rPr>
          <w:rFonts w:ascii="Book Antiqua" w:hAnsi="Book Antiqua"/>
          <w:b/>
        </w:rPr>
        <w:t>7</w:t>
      </w:r>
      <w:r w:rsidRPr="00E17D79">
        <w:rPr>
          <w:rFonts w:ascii="Book Antiqua" w:hAnsi="Book Antiqua"/>
        </w:rPr>
        <w:t>: 814-822 [PMID: 18045564 DOI: 10.1016/S1473-3099(07)70290-6]</w:t>
      </w:r>
    </w:p>
    <w:p w14:paraId="329578A0"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23 </w:t>
      </w:r>
      <w:r w:rsidRPr="00E17D79">
        <w:rPr>
          <w:rFonts w:ascii="Book Antiqua" w:hAnsi="Book Antiqua"/>
          <w:b/>
        </w:rPr>
        <w:t>Georgiadou SP</w:t>
      </w:r>
      <w:r w:rsidRPr="00E17D79">
        <w:rPr>
          <w:rFonts w:ascii="Book Antiqua" w:hAnsi="Book Antiqua"/>
        </w:rPr>
        <w:t xml:space="preserve">, Stefos A, Spanakos G, Skrimpas S, Makaritsis K, Sipsas NV, Dalekos GN. Current clinical, laboratory, and treatment outcome characteristics of visceral leishmaniasis: results from a seven-year retrospective study in Greece. </w:t>
      </w:r>
      <w:r w:rsidRPr="00E17D79">
        <w:rPr>
          <w:rFonts w:ascii="Book Antiqua" w:hAnsi="Book Antiqua"/>
          <w:i/>
        </w:rPr>
        <w:t>Int J Infect Dis</w:t>
      </w:r>
      <w:r w:rsidRPr="00E17D79">
        <w:rPr>
          <w:rFonts w:ascii="Book Antiqua" w:hAnsi="Book Antiqua"/>
        </w:rPr>
        <w:t xml:space="preserve"> 2015; </w:t>
      </w:r>
      <w:r w:rsidRPr="00E17D79">
        <w:rPr>
          <w:rFonts w:ascii="Book Antiqua" w:hAnsi="Book Antiqua"/>
          <w:b/>
        </w:rPr>
        <w:t>34</w:t>
      </w:r>
      <w:r w:rsidRPr="00E17D79">
        <w:rPr>
          <w:rFonts w:ascii="Book Antiqua" w:hAnsi="Book Antiqua"/>
        </w:rPr>
        <w:t>: 46-50 [PMID: 25743761 DOI: 10.1016/j.ijid.2015.02.021]</w:t>
      </w:r>
    </w:p>
    <w:p w14:paraId="2B41734F" w14:textId="0F82BC11" w:rsidR="009C7678" w:rsidRPr="00E17D79" w:rsidRDefault="009C7678" w:rsidP="00E17D79">
      <w:pPr>
        <w:spacing w:line="360" w:lineRule="auto"/>
        <w:jc w:val="both"/>
        <w:rPr>
          <w:rFonts w:ascii="Book Antiqua" w:hAnsi="Book Antiqua"/>
        </w:rPr>
      </w:pPr>
      <w:r w:rsidRPr="00E17D79">
        <w:rPr>
          <w:rFonts w:ascii="Book Antiqua" w:hAnsi="Book Antiqua"/>
        </w:rPr>
        <w:t xml:space="preserve">24 </w:t>
      </w:r>
      <w:r w:rsidRPr="00E17D79">
        <w:rPr>
          <w:rFonts w:ascii="Book Antiqua" w:hAnsi="Book Antiqua"/>
          <w:b/>
        </w:rPr>
        <w:t>Saitis A,</w:t>
      </w:r>
      <w:r w:rsidRPr="00E17D79">
        <w:rPr>
          <w:rFonts w:ascii="Book Antiqua" w:hAnsi="Book Antiqua"/>
        </w:rPr>
        <w:t xml:space="preserve"> Gatselis NK, Dalekos GN. Leishmaniasis-associated haemophagocytic syndrome revisited: Not an uncommon clinical presentation of leishmaniasis. </w:t>
      </w:r>
      <w:r w:rsidRPr="00E17D79">
        <w:rPr>
          <w:rFonts w:ascii="Book Antiqua" w:hAnsi="Book Antiqua"/>
          <w:i/>
          <w:iCs/>
        </w:rPr>
        <w:t>J Med Cases</w:t>
      </w:r>
      <w:r w:rsidRPr="00E17D79">
        <w:rPr>
          <w:rFonts w:ascii="Book Antiqua" w:hAnsi="Book Antiqua"/>
        </w:rPr>
        <w:t xml:space="preserve"> 2012; </w:t>
      </w:r>
      <w:r w:rsidRPr="00E17D79">
        <w:rPr>
          <w:rFonts w:ascii="Book Antiqua" w:hAnsi="Book Antiqua"/>
          <w:b/>
          <w:bCs/>
        </w:rPr>
        <w:t>3</w:t>
      </w:r>
      <w:r w:rsidRPr="00E17D79">
        <w:rPr>
          <w:rFonts w:ascii="Book Antiqua" w:hAnsi="Book Antiqua"/>
        </w:rPr>
        <w:t>: 315-318 [DOI: 10.4021/jmc715w]</w:t>
      </w:r>
    </w:p>
    <w:p w14:paraId="08F167BB"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25 </w:t>
      </w:r>
      <w:r w:rsidRPr="00E17D79">
        <w:rPr>
          <w:rFonts w:ascii="Book Antiqua" w:hAnsi="Book Antiqua"/>
          <w:b/>
        </w:rPr>
        <w:t>Georgiadou SP</w:t>
      </w:r>
      <w:r w:rsidRPr="00E17D79">
        <w:rPr>
          <w:rFonts w:ascii="Book Antiqua" w:hAnsi="Book Antiqua"/>
        </w:rPr>
        <w:t xml:space="preserve">, Makaritsis KP, Dalekos GN. Leishmaniasis revisited: Current aspects on epidemiology, diagnosis and treatment. </w:t>
      </w:r>
      <w:r w:rsidRPr="00E17D79">
        <w:rPr>
          <w:rFonts w:ascii="Book Antiqua" w:hAnsi="Book Antiqua"/>
          <w:i/>
        </w:rPr>
        <w:t>J Transl Int Med</w:t>
      </w:r>
      <w:r w:rsidRPr="00E17D79">
        <w:rPr>
          <w:rFonts w:ascii="Book Antiqua" w:hAnsi="Book Antiqua"/>
        </w:rPr>
        <w:t xml:space="preserve"> 2015; </w:t>
      </w:r>
      <w:r w:rsidRPr="00E17D79">
        <w:rPr>
          <w:rFonts w:ascii="Book Antiqua" w:hAnsi="Book Antiqua"/>
          <w:b/>
        </w:rPr>
        <w:t>3</w:t>
      </w:r>
      <w:r w:rsidRPr="00E17D79">
        <w:rPr>
          <w:rFonts w:ascii="Book Antiqua" w:hAnsi="Book Antiqua"/>
        </w:rPr>
        <w:t>: 43-50 [PMID: 27847886 DOI: 10.1515/jtim-2015-0002]</w:t>
      </w:r>
    </w:p>
    <w:p w14:paraId="30253618"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26 </w:t>
      </w:r>
      <w:r w:rsidRPr="00E17D79">
        <w:rPr>
          <w:rFonts w:ascii="Book Antiqua" w:hAnsi="Book Antiqua"/>
          <w:b/>
        </w:rPr>
        <w:t>Koubâa M</w:t>
      </w:r>
      <w:r w:rsidRPr="00E17D79">
        <w:rPr>
          <w:rFonts w:ascii="Book Antiqua" w:hAnsi="Book Antiqua"/>
        </w:rPr>
        <w:t xml:space="preserve">, Mâaloul I, Marrakchi Ch, Mdhaffar M, Lahiani D, Hammami B, Makni F, Ayedi A, Jemâa MB. Hemophagocytic syndrome associated with visceral leishmaniasis in an immunocompetent adult-case report and review of the literature. </w:t>
      </w:r>
      <w:r w:rsidRPr="00E17D79">
        <w:rPr>
          <w:rFonts w:ascii="Book Antiqua" w:hAnsi="Book Antiqua"/>
          <w:i/>
        </w:rPr>
        <w:t>Ann Hematol</w:t>
      </w:r>
      <w:r w:rsidRPr="00E17D79">
        <w:rPr>
          <w:rFonts w:ascii="Book Antiqua" w:hAnsi="Book Antiqua"/>
        </w:rPr>
        <w:t xml:space="preserve"> 2012; </w:t>
      </w:r>
      <w:r w:rsidRPr="00E17D79">
        <w:rPr>
          <w:rFonts w:ascii="Book Antiqua" w:hAnsi="Book Antiqua"/>
          <w:b/>
        </w:rPr>
        <w:t>91</w:t>
      </w:r>
      <w:r w:rsidRPr="00E17D79">
        <w:rPr>
          <w:rFonts w:ascii="Book Antiqua" w:hAnsi="Book Antiqua"/>
        </w:rPr>
        <w:t>: 1143-1145 [PMID: 22080147 DOI: 10.1007/s00277-011-1367-0]</w:t>
      </w:r>
    </w:p>
    <w:p w14:paraId="1E99034C"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27 </w:t>
      </w:r>
      <w:r w:rsidRPr="00E17D79">
        <w:rPr>
          <w:rFonts w:ascii="Book Antiqua" w:hAnsi="Book Antiqua"/>
          <w:b/>
        </w:rPr>
        <w:t>Lecronier M</w:t>
      </w:r>
      <w:r w:rsidRPr="00E17D79">
        <w:rPr>
          <w:rFonts w:ascii="Book Antiqua" w:hAnsi="Book Antiqua"/>
        </w:rPr>
        <w:t xml:space="preserve">, Prendki V, Gerin M, Schneerson M, Renvoisé A, Larroche C, Ziol M, Fain O, Mekinian A. Q fever and Mediterranean spotted fever associated with hemophagocytic syndrome: case study and literature review. </w:t>
      </w:r>
      <w:r w:rsidRPr="00E17D79">
        <w:rPr>
          <w:rFonts w:ascii="Book Antiqua" w:hAnsi="Book Antiqua"/>
          <w:i/>
        </w:rPr>
        <w:t>Int J Infect Dis</w:t>
      </w:r>
      <w:r w:rsidRPr="00E17D79">
        <w:rPr>
          <w:rFonts w:ascii="Book Antiqua" w:hAnsi="Book Antiqua"/>
        </w:rPr>
        <w:t xml:space="preserve"> 2013; </w:t>
      </w:r>
      <w:r w:rsidRPr="00E17D79">
        <w:rPr>
          <w:rFonts w:ascii="Book Antiqua" w:hAnsi="Book Antiqua"/>
          <w:b/>
        </w:rPr>
        <w:t>17</w:t>
      </w:r>
      <w:r w:rsidRPr="00E17D79">
        <w:rPr>
          <w:rFonts w:ascii="Book Antiqua" w:hAnsi="Book Antiqua"/>
        </w:rPr>
        <w:t>: e629-e633 [PMID: 23402798 DOI: 10.1016/j.ijid.2012.12.026]</w:t>
      </w:r>
    </w:p>
    <w:p w14:paraId="6F204682"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28 </w:t>
      </w:r>
      <w:r w:rsidRPr="00E17D79">
        <w:rPr>
          <w:rFonts w:ascii="Book Antiqua" w:hAnsi="Book Antiqua"/>
          <w:b/>
        </w:rPr>
        <w:t>Lai W</w:t>
      </w:r>
      <w:r w:rsidRPr="00E17D79">
        <w:rPr>
          <w:rFonts w:ascii="Book Antiqua" w:hAnsi="Book Antiqua"/>
        </w:rPr>
        <w:t xml:space="preserve">, Wang Y, Wang J, Wu L, Jin Z, Wang Z. Epstein-Barr virus-associated hemophagocytic lymphohistiocytosis in adults and adolescents-a life-threatening disease: analysis of 133 cases from a single center. </w:t>
      </w:r>
      <w:r w:rsidRPr="00E17D79">
        <w:rPr>
          <w:rFonts w:ascii="Book Antiqua" w:hAnsi="Book Antiqua"/>
          <w:i/>
        </w:rPr>
        <w:t>Hematology</w:t>
      </w:r>
      <w:r w:rsidRPr="00E17D79">
        <w:rPr>
          <w:rFonts w:ascii="Book Antiqua" w:hAnsi="Book Antiqua"/>
        </w:rPr>
        <w:t xml:space="preserve"> 2018; </w:t>
      </w:r>
      <w:r w:rsidRPr="00E17D79">
        <w:rPr>
          <w:rFonts w:ascii="Book Antiqua" w:hAnsi="Book Antiqua"/>
          <w:b/>
        </w:rPr>
        <w:t>23</w:t>
      </w:r>
      <w:r w:rsidRPr="00E17D79">
        <w:rPr>
          <w:rFonts w:ascii="Book Antiqua" w:hAnsi="Book Antiqua"/>
        </w:rPr>
        <w:t>: 810-816 [PMID: 29957156 DOI: 10.1080/10245332.2018.1491093]</w:t>
      </w:r>
    </w:p>
    <w:p w14:paraId="443DE981"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29 </w:t>
      </w:r>
      <w:r w:rsidRPr="00E17D79">
        <w:rPr>
          <w:rFonts w:ascii="Book Antiqua" w:hAnsi="Book Antiqua"/>
          <w:b/>
        </w:rPr>
        <w:t>Fukaya S</w:t>
      </w:r>
      <w:r w:rsidRPr="00E17D79">
        <w:rPr>
          <w:rFonts w:ascii="Book Antiqua" w:hAnsi="Book Antiqua"/>
        </w:rPr>
        <w:t xml:space="preserve">, Yasuda S, Hashimoto T, Oku K, Kataoka H, Horita T, Atsumi T, Koike T. Clinical features of haemophagocytic syndrome in patients with </w:t>
      </w:r>
      <w:r w:rsidRPr="00E17D79">
        <w:rPr>
          <w:rFonts w:ascii="Book Antiqua" w:hAnsi="Book Antiqua"/>
        </w:rPr>
        <w:lastRenderedPageBreak/>
        <w:t xml:space="preserve">systemic autoimmune diseases: analysis of 30 cases. </w:t>
      </w:r>
      <w:r w:rsidRPr="00E17D79">
        <w:rPr>
          <w:rFonts w:ascii="Book Antiqua" w:hAnsi="Book Antiqua"/>
          <w:i/>
        </w:rPr>
        <w:t>Rheumatology (Oxford)</w:t>
      </w:r>
      <w:r w:rsidRPr="00E17D79">
        <w:rPr>
          <w:rFonts w:ascii="Book Antiqua" w:hAnsi="Book Antiqua"/>
        </w:rPr>
        <w:t xml:space="preserve"> 2008; </w:t>
      </w:r>
      <w:r w:rsidRPr="00E17D79">
        <w:rPr>
          <w:rFonts w:ascii="Book Antiqua" w:hAnsi="Book Antiqua"/>
          <w:b/>
        </w:rPr>
        <w:t>47</w:t>
      </w:r>
      <w:r w:rsidRPr="00E17D79">
        <w:rPr>
          <w:rFonts w:ascii="Book Antiqua" w:hAnsi="Book Antiqua"/>
        </w:rPr>
        <w:t>: 1686-1691 [PMID: 18782855 DOI: 10.1093/rheumatology/ken342]</w:t>
      </w:r>
    </w:p>
    <w:p w14:paraId="1633D282"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30 </w:t>
      </w:r>
      <w:r w:rsidRPr="00E17D79">
        <w:rPr>
          <w:rFonts w:ascii="Book Antiqua" w:hAnsi="Book Antiqua"/>
          <w:b/>
        </w:rPr>
        <w:t>Strenger V</w:t>
      </w:r>
      <w:r w:rsidRPr="00E17D79">
        <w:rPr>
          <w:rFonts w:ascii="Book Antiqua" w:hAnsi="Book Antiqua"/>
        </w:rPr>
        <w:t xml:space="preserve">, Merth G, Lackner H, Aberle SW, Kessler HH, Seidel MG, Schwinger W, Sperl D, Sovinz P, Karastaneva A, Benesch M, Urban C. Malignancy and chemotherapy induced haemophagocytic lymphohistiocytosis in children and adolescents-a single centre experience of 20 years. </w:t>
      </w:r>
      <w:r w:rsidRPr="00E17D79">
        <w:rPr>
          <w:rFonts w:ascii="Book Antiqua" w:hAnsi="Book Antiqua"/>
          <w:i/>
        </w:rPr>
        <w:t>Ann Hematol</w:t>
      </w:r>
      <w:r w:rsidRPr="00E17D79">
        <w:rPr>
          <w:rFonts w:ascii="Book Antiqua" w:hAnsi="Book Antiqua"/>
        </w:rPr>
        <w:t xml:space="preserve"> 2018; </w:t>
      </w:r>
      <w:r w:rsidRPr="00E17D79">
        <w:rPr>
          <w:rFonts w:ascii="Book Antiqua" w:hAnsi="Book Antiqua"/>
          <w:b/>
        </w:rPr>
        <w:t>97</w:t>
      </w:r>
      <w:r w:rsidRPr="00E17D79">
        <w:rPr>
          <w:rFonts w:ascii="Book Antiqua" w:hAnsi="Book Antiqua"/>
        </w:rPr>
        <w:t>: 989-998 [PMID: 29411124 DOI: 10.1007/s00277-018-3254-4]</w:t>
      </w:r>
    </w:p>
    <w:p w14:paraId="5D1F7421"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31 </w:t>
      </w:r>
      <w:r w:rsidRPr="00E17D79">
        <w:rPr>
          <w:rFonts w:ascii="Book Antiqua" w:hAnsi="Book Antiqua"/>
          <w:b/>
        </w:rPr>
        <w:t>Arca M</w:t>
      </w:r>
      <w:r w:rsidRPr="00E17D79">
        <w:rPr>
          <w:rFonts w:ascii="Book Antiqua" w:hAnsi="Book Antiqua"/>
        </w:rPr>
        <w:t xml:space="preserve">, Fardet L, Galicier L, Rivière S, Marzac C, Aumont C, Lambotte O, Coppo P. Prognostic factors of early death in a cohort of 162 adult haemophagocytic syndrome: impact of triggering disease and early treatment with etoposide. </w:t>
      </w:r>
      <w:r w:rsidRPr="00E17D79">
        <w:rPr>
          <w:rFonts w:ascii="Book Antiqua" w:hAnsi="Book Antiqua"/>
          <w:i/>
        </w:rPr>
        <w:t>Br J Haematol</w:t>
      </w:r>
      <w:r w:rsidRPr="00E17D79">
        <w:rPr>
          <w:rFonts w:ascii="Book Antiqua" w:hAnsi="Book Antiqua"/>
        </w:rPr>
        <w:t xml:space="preserve"> 2015; </w:t>
      </w:r>
      <w:r w:rsidRPr="00E17D79">
        <w:rPr>
          <w:rFonts w:ascii="Book Antiqua" w:hAnsi="Book Antiqua"/>
          <w:b/>
        </w:rPr>
        <w:t>168</w:t>
      </w:r>
      <w:r w:rsidRPr="00E17D79">
        <w:rPr>
          <w:rFonts w:ascii="Book Antiqua" w:hAnsi="Book Antiqua"/>
        </w:rPr>
        <w:t>: 63-68 [PMID: 25157895 DOI: 10.1111/bjh.13102]</w:t>
      </w:r>
    </w:p>
    <w:p w14:paraId="1AB70AF4"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32 </w:t>
      </w:r>
      <w:r w:rsidRPr="00E17D79">
        <w:rPr>
          <w:rFonts w:ascii="Book Antiqua" w:hAnsi="Book Antiqua"/>
          <w:b/>
        </w:rPr>
        <w:t>Tseng YT</w:t>
      </w:r>
      <w:r w:rsidRPr="00E17D79">
        <w:rPr>
          <w:rFonts w:ascii="Book Antiqua" w:hAnsi="Book Antiqua"/>
        </w:rPr>
        <w:t xml:space="preserve">, Sheng WH, Lin BH, Lin CW, Wang JT, Chen YC, Chang SC. Causes, clinical symptoms, and outcomes of infectious diseases associated with hemophagocytic lymphohistiocytosis in Taiwanese adults. </w:t>
      </w:r>
      <w:r w:rsidRPr="00E17D79">
        <w:rPr>
          <w:rFonts w:ascii="Book Antiqua" w:hAnsi="Book Antiqua"/>
          <w:i/>
        </w:rPr>
        <w:t>J Microbiol Immunol Infect</w:t>
      </w:r>
      <w:r w:rsidRPr="00E17D79">
        <w:rPr>
          <w:rFonts w:ascii="Book Antiqua" w:hAnsi="Book Antiqua"/>
        </w:rPr>
        <w:t xml:space="preserve"> 2011; </w:t>
      </w:r>
      <w:r w:rsidRPr="00E17D79">
        <w:rPr>
          <w:rFonts w:ascii="Book Antiqua" w:hAnsi="Book Antiqua"/>
          <w:b/>
        </w:rPr>
        <w:t>44</w:t>
      </w:r>
      <w:r w:rsidRPr="00E17D79">
        <w:rPr>
          <w:rFonts w:ascii="Book Antiqua" w:hAnsi="Book Antiqua"/>
        </w:rPr>
        <w:t>: 191-197 [PMID: 21524613 DOI: 10.1016/j.jmii.2011.01.027]</w:t>
      </w:r>
    </w:p>
    <w:p w14:paraId="7B2BFADE"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33 </w:t>
      </w:r>
      <w:r w:rsidRPr="00E17D79">
        <w:rPr>
          <w:rFonts w:ascii="Book Antiqua" w:hAnsi="Book Antiqua"/>
          <w:b/>
        </w:rPr>
        <w:t>Kumar B</w:t>
      </w:r>
      <w:r w:rsidRPr="00E17D79">
        <w:rPr>
          <w:rFonts w:ascii="Book Antiqua" w:hAnsi="Book Antiqua"/>
        </w:rPr>
        <w:t xml:space="preserve">, Aleem S, Saleh H, Petts J, Ballas ZK. A Personalized Diagnostic and Treatment Approach for Macrophage Activation Syndrome and Secondary Hemophagocytic Lymphohistiocytosis in Adults. </w:t>
      </w:r>
      <w:r w:rsidRPr="00E17D79">
        <w:rPr>
          <w:rFonts w:ascii="Book Antiqua" w:hAnsi="Book Antiqua"/>
          <w:i/>
        </w:rPr>
        <w:t>J Clin Immunol</w:t>
      </w:r>
      <w:r w:rsidRPr="00E17D79">
        <w:rPr>
          <w:rFonts w:ascii="Book Antiqua" w:hAnsi="Book Antiqua"/>
        </w:rPr>
        <w:t xml:space="preserve"> 2017; </w:t>
      </w:r>
      <w:r w:rsidRPr="00E17D79">
        <w:rPr>
          <w:rFonts w:ascii="Book Antiqua" w:hAnsi="Book Antiqua"/>
          <w:b/>
        </w:rPr>
        <w:t>37</w:t>
      </w:r>
      <w:r w:rsidRPr="00E17D79">
        <w:rPr>
          <w:rFonts w:ascii="Book Antiqua" w:hAnsi="Book Antiqua"/>
        </w:rPr>
        <w:t>: 638-643 [PMID: 28871523 DOI: 10.1007/s10875-017-0439-x]</w:t>
      </w:r>
    </w:p>
    <w:p w14:paraId="61441ABF"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34 </w:t>
      </w:r>
      <w:r w:rsidRPr="00E17D79">
        <w:rPr>
          <w:rFonts w:ascii="Book Antiqua" w:hAnsi="Book Antiqua"/>
          <w:b/>
        </w:rPr>
        <w:t>Parikh SA</w:t>
      </w:r>
      <w:r w:rsidRPr="00E17D79">
        <w:rPr>
          <w:rFonts w:ascii="Book Antiqua" w:hAnsi="Book Antiqua"/>
        </w:rPr>
        <w:t xml:space="preserve">, Kapoor P, Letendre L, Kumar S, Wolanskyj AP. Prognostic factors and outcomes of adults with hemophagocytic lymphohistiocytosis. </w:t>
      </w:r>
      <w:r w:rsidRPr="00E17D79">
        <w:rPr>
          <w:rFonts w:ascii="Book Antiqua" w:hAnsi="Book Antiqua"/>
          <w:i/>
        </w:rPr>
        <w:t>Mayo Clin Proc</w:t>
      </w:r>
      <w:r w:rsidRPr="00E17D79">
        <w:rPr>
          <w:rFonts w:ascii="Book Antiqua" w:hAnsi="Book Antiqua"/>
        </w:rPr>
        <w:t xml:space="preserve"> 2014; </w:t>
      </w:r>
      <w:r w:rsidRPr="00E17D79">
        <w:rPr>
          <w:rFonts w:ascii="Book Antiqua" w:hAnsi="Book Antiqua"/>
          <w:b/>
        </w:rPr>
        <w:t>89</w:t>
      </w:r>
      <w:r w:rsidRPr="00E17D79">
        <w:rPr>
          <w:rFonts w:ascii="Book Antiqua" w:hAnsi="Book Antiqua"/>
        </w:rPr>
        <w:t>: 484-492 [PMID: 24581757 DOI: 10.1016/j.mayocp.2013.12.012]</w:t>
      </w:r>
    </w:p>
    <w:p w14:paraId="0CC2F438"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35 </w:t>
      </w:r>
      <w:r w:rsidRPr="00E17D79">
        <w:rPr>
          <w:rFonts w:ascii="Book Antiqua" w:hAnsi="Book Antiqua"/>
          <w:b/>
        </w:rPr>
        <w:t>Brito-Zerón P</w:t>
      </w:r>
      <w:r w:rsidRPr="00E17D79">
        <w:rPr>
          <w:rFonts w:ascii="Book Antiqua" w:hAnsi="Book Antiqua"/>
        </w:rPr>
        <w:t xml:space="preserve">, Kostov B, Moral-Moral P, Martínez-Zapico A, Díaz-Pedroche C, Fraile G, Pérez-Guerrero P, Fonseca E, Robles A, Vaquero-Herrero MP, Calvo MA, Forner MJ, Morcillo C, Larrañaga J, Rodriguez-Carballeira M, Ruiz-Muñoz M, Hurtado-García R, Prieto-González S, Aguilar AA, Caminal-Montero L, Hernández-Jiménez P, Fernández-Viagas CR, Castro P, Massó VM, Flores-Chavez A, Ramos-Casals M; REGHEM-GEAS-SEMI Study Group. </w:t>
      </w:r>
      <w:r w:rsidRPr="00E17D79">
        <w:rPr>
          <w:rFonts w:ascii="Book Antiqua" w:hAnsi="Book Antiqua"/>
        </w:rPr>
        <w:lastRenderedPageBreak/>
        <w:t xml:space="preserve">Prognostic Factors of Death in 151 Adults With Hemophagocytic Syndrome: Etiopathogenically Driven Analysis. </w:t>
      </w:r>
      <w:r w:rsidRPr="00E17D79">
        <w:rPr>
          <w:rFonts w:ascii="Book Antiqua" w:hAnsi="Book Antiqua"/>
          <w:i/>
        </w:rPr>
        <w:t>Mayo Clin Proc Innov Qual Outcomes</w:t>
      </w:r>
      <w:r w:rsidRPr="00E17D79">
        <w:rPr>
          <w:rFonts w:ascii="Book Antiqua" w:hAnsi="Book Antiqua"/>
        </w:rPr>
        <w:t xml:space="preserve"> 2018; </w:t>
      </w:r>
      <w:r w:rsidRPr="00E17D79">
        <w:rPr>
          <w:rFonts w:ascii="Book Antiqua" w:hAnsi="Book Antiqua"/>
          <w:b/>
        </w:rPr>
        <w:t>2</w:t>
      </w:r>
      <w:r w:rsidRPr="00E17D79">
        <w:rPr>
          <w:rFonts w:ascii="Book Antiqua" w:hAnsi="Book Antiqua"/>
        </w:rPr>
        <w:t>: 267-276 [PMID: 30225460 DOI: 10.1016/j.mayocpiqo.2018.06.006]</w:t>
      </w:r>
    </w:p>
    <w:p w14:paraId="2E1FD239"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36 </w:t>
      </w:r>
      <w:r w:rsidRPr="00E17D79">
        <w:rPr>
          <w:rFonts w:ascii="Book Antiqua" w:hAnsi="Book Antiqua"/>
          <w:b/>
        </w:rPr>
        <w:t>Henter JI</w:t>
      </w:r>
      <w:r w:rsidRPr="00E17D79">
        <w:rPr>
          <w:rFonts w:ascii="Book Antiqua" w:hAnsi="Book Antiqua"/>
        </w:rPr>
        <w:t xml:space="preserve">, Samuelsson-Horne A, Aricò M, Egeler RM, Elinder G, Filipovich AH, Gadner H, Imashuku S, Komp D, Ladisch S, Webb D, Janka G; Histocyte Society. Treatment of hemophagocytic lymphohistiocytosis with HLH-94 immunochemotherapy and bone marrow transplantation. </w:t>
      </w:r>
      <w:r w:rsidRPr="00E17D79">
        <w:rPr>
          <w:rFonts w:ascii="Book Antiqua" w:hAnsi="Book Antiqua"/>
          <w:i/>
        </w:rPr>
        <w:t>Blood</w:t>
      </w:r>
      <w:r w:rsidRPr="00E17D79">
        <w:rPr>
          <w:rFonts w:ascii="Book Antiqua" w:hAnsi="Book Antiqua"/>
        </w:rPr>
        <w:t xml:space="preserve"> 2002; </w:t>
      </w:r>
      <w:r w:rsidRPr="00E17D79">
        <w:rPr>
          <w:rFonts w:ascii="Book Antiqua" w:hAnsi="Book Antiqua"/>
          <w:b/>
        </w:rPr>
        <w:t>100</w:t>
      </w:r>
      <w:r w:rsidRPr="00E17D79">
        <w:rPr>
          <w:rFonts w:ascii="Book Antiqua" w:hAnsi="Book Antiqua"/>
        </w:rPr>
        <w:t>: 2367-2373 [PMID: 12239144 DOI: 10.1182/blood-2002-01-0172]</w:t>
      </w:r>
    </w:p>
    <w:p w14:paraId="15D0B24C"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37 </w:t>
      </w:r>
      <w:r w:rsidRPr="00E17D79">
        <w:rPr>
          <w:rFonts w:ascii="Book Antiqua" w:hAnsi="Book Antiqua"/>
          <w:b/>
        </w:rPr>
        <w:t>Trottestam H</w:t>
      </w:r>
      <w:r w:rsidRPr="00E17D79">
        <w:rPr>
          <w:rFonts w:ascii="Book Antiqua" w:hAnsi="Book Antiqua"/>
        </w:rPr>
        <w:t xml:space="preserve">, Horne A, Aricò M, Egeler RM, Filipovich AH, Gadner H, Imashuku S, Ladisch S, Webb D, Janka G, Henter JI; Histiocyte Society. Chemoimmunotherapy for hemophagocytic lymphohistiocytosis: long-term results of the HLH-94 treatment protocol. </w:t>
      </w:r>
      <w:r w:rsidRPr="00E17D79">
        <w:rPr>
          <w:rFonts w:ascii="Book Antiqua" w:hAnsi="Book Antiqua"/>
          <w:i/>
        </w:rPr>
        <w:t>Blood</w:t>
      </w:r>
      <w:r w:rsidRPr="00E17D79">
        <w:rPr>
          <w:rFonts w:ascii="Book Antiqua" w:hAnsi="Book Antiqua"/>
        </w:rPr>
        <w:t xml:space="preserve"> 2011; </w:t>
      </w:r>
      <w:r w:rsidRPr="00E17D79">
        <w:rPr>
          <w:rFonts w:ascii="Book Antiqua" w:hAnsi="Book Antiqua"/>
          <w:b/>
        </w:rPr>
        <w:t>118</w:t>
      </w:r>
      <w:r w:rsidRPr="00E17D79">
        <w:rPr>
          <w:rFonts w:ascii="Book Antiqua" w:hAnsi="Book Antiqua"/>
        </w:rPr>
        <w:t>: 4577-4584 [PMID: 21900192 DOI: 10.1182/blood-2011-06-356261]</w:t>
      </w:r>
    </w:p>
    <w:p w14:paraId="0254BC12"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38 </w:t>
      </w:r>
      <w:r w:rsidRPr="00E17D79">
        <w:rPr>
          <w:rFonts w:ascii="Book Antiqua" w:hAnsi="Book Antiqua"/>
          <w:b/>
        </w:rPr>
        <w:t>Thompson PA</w:t>
      </w:r>
      <w:r w:rsidRPr="00E17D79">
        <w:rPr>
          <w:rFonts w:ascii="Book Antiqua" w:hAnsi="Book Antiqua"/>
        </w:rPr>
        <w:t xml:space="preserve">, Allen CE, Horton T, Jones JY, Vinks AA, McClain KL. Severe neurologic side effects in patients being treated for hemophagocytic lymphohistiocytosis. </w:t>
      </w:r>
      <w:r w:rsidRPr="00E17D79">
        <w:rPr>
          <w:rFonts w:ascii="Book Antiqua" w:hAnsi="Book Antiqua"/>
          <w:i/>
        </w:rPr>
        <w:t>Pediatr Blood Cancer</w:t>
      </w:r>
      <w:r w:rsidRPr="00E17D79">
        <w:rPr>
          <w:rFonts w:ascii="Book Antiqua" w:hAnsi="Book Antiqua"/>
        </w:rPr>
        <w:t xml:space="preserve"> 2009; </w:t>
      </w:r>
      <w:r w:rsidRPr="00E17D79">
        <w:rPr>
          <w:rFonts w:ascii="Book Antiqua" w:hAnsi="Book Antiqua"/>
          <w:b/>
        </w:rPr>
        <w:t>52</w:t>
      </w:r>
      <w:r w:rsidRPr="00E17D79">
        <w:rPr>
          <w:rFonts w:ascii="Book Antiqua" w:hAnsi="Book Antiqua"/>
        </w:rPr>
        <w:t>: 621-625 [PMID: 19137570 DOI: 10.1002/pbc.21838]</w:t>
      </w:r>
    </w:p>
    <w:p w14:paraId="07BFA355"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39 </w:t>
      </w:r>
      <w:r w:rsidRPr="00E17D79">
        <w:rPr>
          <w:rFonts w:ascii="Book Antiqua" w:hAnsi="Book Antiqua"/>
          <w:b/>
        </w:rPr>
        <w:t>Seiter K</w:t>
      </w:r>
      <w:r w:rsidRPr="00E17D79">
        <w:rPr>
          <w:rFonts w:ascii="Book Antiqua" w:hAnsi="Book Antiqua"/>
        </w:rPr>
        <w:t xml:space="preserve">. Toxicity of the topoisomerase II inhibitors. </w:t>
      </w:r>
      <w:r w:rsidRPr="00E17D79">
        <w:rPr>
          <w:rFonts w:ascii="Book Antiqua" w:hAnsi="Book Antiqua"/>
          <w:i/>
        </w:rPr>
        <w:t>Expert Opin Drug Saf</w:t>
      </w:r>
      <w:r w:rsidRPr="00E17D79">
        <w:rPr>
          <w:rFonts w:ascii="Book Antiqua" w:hAnsi="Book Antiqua"/>
        </w:rPr>
        <w:t xml:space="preserve"> 2005; </w:t>
      </w:r>
      <w:r w:rsidRPr="00E17D79">
        <w:rPr>
          <w:rFonts w:ascii="Book Antiqua" w:hAnsi="Book Antiqua"/>
          <w:b/>
        </w:rPr>
        <w:t>4</w:t>
      </w:r>
      <w:r w:rsidRPr="00E17D79">
        <w:rPr>
          <w:rFonts w:ascii="Book Antiqua" w:hAnsi="Book Antiqua"/>
        </w:rPr>
        <w:t>: 219-234 [PMID: 15794715]</w:t>
      </w:r>
    </w:p>
    <w:p w14:paraId="5DE9AE79"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40 </w:t>
      </w:r>
      <w:r w:rsidRPr="00E17D79">
        <w:rPr>
          <w:rFonts w:ascii="Book Antiqua" w:hAnsi="Book Antiqua"/>
          <w:b/>
        </w:rPr>
        <w:t>Seiter K</w:t>
      </w:r>
      <w:r w:rsidRPr="00E17D79">
        <w:rPr>
          <w:rFonts w:ascii="Book Antiqua" w:hAnsi="Book Antiqua"/>
        </w:rPr>
        <w:t xml:space="preserve">, Feldman EJ, Sreekantaiah C, Pozzuoli M, Weisberger J, Liu D, Papageorgio C, Weiss M, Kancherla R, Ahmed T. Secondary acute myelogenous leukemia and myelodysplasia without abnormalities of chromosome 11q23 following treatment of acute leukemia with topoisomerase II-based chemotherapy. </w:t>
      </w:r>
      <w:r w:rsidRPr="00E17D79">
        <w:rPr>
          <w:rFonts w:ascii="Book Antiqua" w:hAnsi="Book Antiqua"/>
          <w:i/>
        </w:rPr>
        <w:t>Leukemia</w:t>
      </w:r>
      <w:r w:rsidRPr="00E17D79">
        <w:rPr>
          <w:rFonts w:ascii="Book Antiqua" w:hAnsi="Book Antiqua"/>
        </w:rPr>
        <w:t xml:space="preserve"> 2001; </w:t>
      </w:r>
      <w:r w:rsidRPr="00E17D79">
        <w:rPr>
          <w:rFonts w:ascii="Book Antiqua" w:hAnsi="Book Antiqua"/>
          <w:b/>
        </w:rPr>
        <w:t>15</w:t>
      </w:r>
      <w:r w:rsidRPr="00E17D79">
        <w:rPr>
          <w:rFonts w:ascii="Book Antiqua" w:hAnsi="Book Antiqua"/>
        </w:rPr>
        <w:t>: 963-970 [PMID: 11417484]</w:t>
      </w:r>
    </w:p>
    <w:p w14:paraId="68D74A70"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41 </w:t>
      </w:r>
      <w:r w:rsidRPr="00E17D79">
        <w:rPr>
          <w:rFonts w:ascii="Book Antiqua" w:hAnsi="Book Antiqua"/>
          <w:b/>
        </w:rPr>
        <w:t>Argyraki CK</w:t>
      </w:r>
      <w:r w:rsidRPr="00E17D79">
        <w:rPr>
          <w:rFonts w:ascii="Book Antiqua" w:hAnsi="Book Antiqua"/>
        </w:rPr>
        <w:t xml:space="preserve">, Gabeta S, Zachou K, Boulbou M, Polyzos A, Dalekos GN. Favourable outcome of life-threatening infectious-related haemophagocytic syndrome after combination treatment with corticosteroids and intravenous immunoglobulin infusions. </w:t>
      </w:r>
      <w:r w:rsidRPr="00E17D79">
        <w:rPr>
          <w:rFonts w:ascii="Book Antiqua" w:hAnsi="Book Antiqua"/>
          <w:i/>
        </w:rPr>
        <w:t>Eur J Intern Med</w:t>
      </w:r>
      <w:r w:rsidRPr="00E17D79">
        <w:rPr>
          <w:rFonts w:ascii="Book Antiqua" w:hAnsi="Book Antiqua"/>
        </w:rPr>
        <w:t xml:space="preserve"> 2011; </w:t>
      </w:r>
      <w:r w:rsidRPr="00E17D79">
        <w:rPr>
          <w:rFonts w:ascii="Book Antiqua" w:hAnsi="Book Antiqua"/>
          <w:b/>
        </w:rPr>
        <w:t>22</w:t>
      </w:r>
      <w:r w:rsidRPr="00E17D79">
        <w:rPr>
          <w:rFonts w:ascii="Book Antiqua" w:hAnsi="Book Antiqua"/>
        </w:rPr>
        <w:t>: e155-e157 [PMID: 22075310 DOI: 10.1016/j.ejim.2011.07.010]</w:t>
      </w:r>
    </w:p>
    <w:p w14:paraId="264F8A39"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42 </w:t>
      </w:r>
      <w:r w:rsidRPr="00E17D79">
        <w:rPr>
          <w:rFonts w:ascii="Book Antiqua" w:hAnsi="Book Antiqua"/>
          <w:b/>
        </w:rPr>
        <w:t>Haytoglu Z</w:t>
      </w:r>
      <w:r w:rsidRPr="00E17D79">
        <w:rPr>
          <w:rFonts w:ascii="Book Antiqua" w:hAnsi="Book Antiqua"/>
        </w:rPr>
        <w:t xml:space="preserve">, Yazici N, Erbay A. Secondary Hemophagocytic Lymphohistiocytosis: Do We Really Need Chemotherapeutics for All Patients? </w:t>
      </w:r>
      <w:r w:rsidRPr="00E17D79">
        <w:rPr>
          <w:rFonts w:ascii="Book Antiqua" w:hAnsi="Book Antiqua"/>
          <w:i/>
        </w:rPr>
        <w:lastRenderedPageBreak/>
        <w:t>J Pediatr Hematol Oncol</w:t>
      </w:r>
      <w:r w:rsidRPr="00E17D79">
        <w:rPr>
          <w:rFonts w:ascii="Book Antiqua" w:hAnsi="Book Antiqua"/>
        </w:rPr>
        <w:t xml:space="preserve"> 2017; </w:t>
      </w:r>
      <w:r w:rsidRPr="00E17D79">
        <w:rPr>
          <w:rFonts w:ascii="Book Antiqua" w:hAnsi="Book Antiqua"/>
          <w:b/>
        </w:rPr>
        <w:t>39</w:t>
      </w:r>
      <w:r w:rsidRPr="00E17D79">
        <w:rPr>
          <w:rFonts w:ascii="Book Antiqua" w:hAnsi="Book Antiqua"/>
        </w:rPr>
        <w:t>: e106-e109 [PMID: 28060133 DOI: 10.1097/MPH.0000000000000740]</w:t>
      </w:r>
    </w:p>
    <w:p w14:paraId="547676E3"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43 </w:t>
      </w:r>
      <w:r w:rsidRPr="00E17D79">
        <w:rPr>
          <w:rFonts w:ascii="Book Antiqua" w:hAnsi="Book Antiqua"/>
          <w:b/>
        </w:rPr>
        <w:t>Sönmez HE</w:t>
      </w:r>
      <w:r w:rsidRPr="00E17D79">
        <w:rPr>
          <w:rFonts w:ascii="Book Antiqua" w:hAnsi="Book Antiqua"/>
        </w:rPr>
        <w:t xml:space="preserve">, Demir S, Bilginer Y, Özen S. Anakinra treatment in macrophage activation syndrome: a single center experience and systemic review of literature. </w:t>
      </w:r>
      <w:r w:rsidRPr="00E17D79">
        <w:rPr>
          <w:rFonts w:ascii="Book Antiqua" w:hAnsi="Book Antiqua"/>
          <w:i/>
        </w:rPr>
        <w:t>Clin Rheumatol</w:t>
      </w:r>
      <w:r w:rsidRPr="00E17D79">
        <w:rPr>
          <w:rFonts w:ascii="Book Antiqua" w:hAnsi="Book Antiqua"/>
        </w:rPr>
        <w:t xml:space="preserve"> 2018; </w:t>
      </w:r>
      <w:r w:rsidRPr="00E17D79">
        <w:rPr>
          <w:rFonts w:ascii="Book Antiqua" w:hAnsi="Book Antiqua"/>
          <w:b/>
        </w:rPr>
        <w:t>37</w:t>
      </w:r>
      <w:r w:rsidRPr="00E17D79">
        <w:rPr>
          <w:rFonts w:ascii="Book Antiqua" w:hAnsi="Book Antiqua"/>
        </w:rPr>
        <w:t>: 3329-3335 [PMID: 29663156 DOI: 10.1007/s10067-018-4095-1]</w:t>
      </w:r>
    </w:p>
    <w:p w14:paraId="5FBBB58F"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44 </w:t>
      </w:r>
      <w:r w:rsidRPr="00E17D79">
        <w:rPr>
          <w:rFonts w:ascii="Book Antiqua" w:hAnsi="Book Antiqua"/>
          <w:b/>
        </w:rPr>
        <w:t>Emmenegger U</w:t>
      </w:r>
      <w:r w:rsidRPr="00E17D79">
        <w:rPr>
          <w:rFonts w:ascii="Book Antiqua" w:hAnsi="Book Antiqua"/>
        </w:rPr>
        <w:t xml:space="preserve">, Frey U, Reimers A, Fux C, Semela D, Cottagnoud P, Spaeth PJ, Neftel KA. Hyperferritinemia as indicator for intravenous immunoglobulin treatment in reactive macrophage activation syndromes. </w:t>
      </w:r>
      <w:r w:rsidRPr="00E17D79">
        <w:rPr>
          <w:rFonts w:ascii="Book Antiqua" w:hAnsi="Book Antiqua"/>
          <w:i/>
        </w:rPr>
        <w:t>Am J Hematol</w:t>
      </w:r>
      <w:r w:rsidRPr="00E17D79">
        <w:rPr>
          <w:rFonts w:ascii="Book Antiqua" w:hAnsi="Book Antiqua"/>
        </w:rPr>
        <w:t xml:space="preserve"> 2001; </w:t>
      </w:r>
      <w:r w:rsidRPr="00E17D79">
        <w:rPr>
          <w:rFonts w:ascii="Book Antiqua" w:hAnsi="Book Antiqua"/>
          <w:b/>
        </w:rPr>
        <w:t>68</w:t>
      </w:r>
      <w:r w:rsidRPr="00E17D79">
        <w:rPr>
          <w:rFonts w:ascii="Book Antiqua" w:hAnsi="Book Antiqua"/>
        </w:rPr>
        <w:t>: 4-10 [PMID: 11559930]</w:t>
      </w:r>
    </w:p>
    <w:p w14:paraId="3F3119A6"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45 </w:t>
      </w:r>
      <w:r w:rsidRPr="00E17D79">
        <w:rPr>
          <w:rFonts w:ascii="Book Antiqua" w:hAnsi="Book Antiqua"/>
          <w:b/>
        </w:rPr>
        <w:t>Gelfand EW</w:t>
      </w:r>
      <w:r w:rsidRPr="00E17D79">
        <w:rPr>
          <w:rFonts w:ascii="Book Antiqua" w:hAnsi="Book Antiqua"/>
        </w:rPr>
        <w:t xml:space="preserve">. Intravenous immune globulin in autoimmune and inflammatory diseases. </w:t>
      </w:r>
      <w:r w:rsidRPr="00E17D79">
        <w:rPr>
          <w:rFonts w:ascii="Book Antiqua" w:hAnsi="Book Antiqua"/>
          <w:i/>
        </w:rPr>
        <w:t>N Engl J Med</w:t>
      </w:r>
      <w:r w:rsidRPr="00E17D79">
        <w:rPr>
          <w:rFonts w:ascii="Book Antiqua" w:hAnsi="Book Antiqua"/>
        </w:rPr>
        <w:t xml:space="preserve"> 2012; </w:t>
      </w:r>
      <w:r w:rsidRPr="00E17D79">
        <w:rPr>
          <w:rFonts w:ascii="Book Antiqua" w:hAnsi="Book Antiqua"/>
          <w:b/>
        </w:rPr>
        <w:t>367</w:t>
      </w:r>
      <w:r w:rsidRPr="00E17D79">
        <w:rPr>
          <w:rFonts w:ascii="Book Antiqua" w:hAnsi="Book Antiqua"/>
        </w:rPr>
        <w:t>: 2015-2025 [PMID: 23171098 DOI: 10.1056/NEJMra1009433]</w:t>
      </w:r>
    </w:p>
    <w:p w14:paraId="59B1C1F5"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46 </w:t>
      </w:r>
      <w:r w:rsidRPr="00E17D79">
        <w:rPr>
          <w:rFonts w:ascii="Book Antiqua" w:hAnsi="Book Antiqua"/>
          <w:b/>
        </w:rPr>
        <w:t>Kaveri SV</w:t>
      </w:r>
      <w:r w:rsidRPr="00E17D79">
        <w:rPr>
          <w:rFonts w:ascii="Book Antiqua" w:hAnsi="Book Antiqua"/>
        </w:rPr>
        <w:t xml:space="preserve">, Lacroix-Desmazes S, Bayry J. The antiinflammatory IgG. </w:t>
      </w:r>
      <w:r w:rsidRPr="00E17D79">
        <w:rPr>
          <w:rFonts w:ascii="Book Antiqua" w:hAnsi="Book Antiqua"/>
          <w:i/>
        </w:rPr>
        <w:t>N Engl J Med</w:t>
      </w:r>
      <w:r w:rsidRPr="00E17D79">
        <w:rPr>
          <w:rFonts w:ascii="Book Antiqua" w:hAnsi="Book Antiqua"/>
        </w:rPr>
        <w:t xml:space="preserve"> 2008; </w:t>
      </w:r>
      <w:r w:rsidRPr="00E17D79">
        <w:rPr>
          <w:rFonts w:ascii="Book Antiqua" w:hAnsi="Book Antiqua"/>
          <w:b/>
        </w:rPr>
        <w:t>359</w:t>
      </w:r>
      <w:r w:rsidRPr="00E17D79">
        <w:rPr>
          <w:rFonts w:ascii="Book Antiqua" w:hAnsi="Book Antiqua"/>
        </w:rPr>
        <w:t>: 307-309 [PMID: 18635437 DOI: 10.1056/NEJMcibr0803649]</w:t>
      </w:r>
    </w:p>
    <w:p w14:paraId="136AA6E1"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47 </w:t>
      </w:r>
      <w:r w:rsidRPr="00E17D79">
        <w:rPr>
          <w:rFonts w:ascii="Book Antiqua" w:hAnsi="Book Antiqua"/>
          <w:b/>
        </w:rPr>
        <w:t>Ballow M</w:t>
      </w:r>
      <w:r w:rsidRPr="00E17D79">
        <w:rPr>
          <w:rFonts w:ascii="Book Antiqua" w:hAnsi="Book Antiqua"/>
        </w:rPr>
        <w:t xml:space="preserve">. The IgG molecule as a biological immune response modifier: mechanisms of action of intravenous immune serum globulin in autoimmune and inflammatory disorders. </w:t>
      </w:r>
      <w:r w:rsidRPr="00E17D79">
        <w:rPr>
          <w:rFonts w:ascii="Book Antiqua" w:hAnsi="Book Antiqua"/>
          <w:i/>
        </w:rPr>
        <w:t>J Allergy Clin Immunol</w:t>
      </w:r>
      <w:r w:rsidRPr="00E17D79">
        <w:rPr>
          <w:rFonts w:ascii="Book Antiqua" w:hAnsi="Book Antiqua"/>
        </w:rPr>
        <w:t xml:space="preserve"> 2011; </w:t>
      </w:r>
      <w:r w:rsidRPr="00E17D79">
        <w:rPr>
          <w:rFonts w:ascii="Book Antiqua" w:hAnsi="Book Antiqua"/>
          <w:b/>
        </w:rPr>
        <w:t>127</w:t>
      </w:r>
      <w:r w:rsidRPr="00E17D79">
        <w:rPr>
          <w:rFonts w:ascii="Book Antiqua" w:hAnsi="Book Antiqua"/>
        </w:rPr>
        <w:t>: 315-23; quiz 324-5 [PMID: 21185071 DOI: 10.1016/j.jaci.2010.10.030]</w:t>
      </w:r>
    </w:p>
    <w:p w14:paraId="7D90B52A"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48 </w:t>
      </w:r>
      <w:r w:rsidRPr="00E17D79">
        <w:rPr>
          <w:rFonts w:ascii="Book Antiqua" w:hAnsi="Book Antiqua"/>
          <w:b/>
        </w:rPr>
        <w:t>Ballow M</w:t>
      </w:r>
      <w:r w:rsidRPr="00E17D79">
        <w:rPr>
          <w:rFonts w:ascii="Book Antiqua" w:hAnsi="Book Antiqua"/>
        </w:rPr>
        <w:t xml:space="preserve">. Mechanisms of immune regulation by IVIG. </w:t>
      </w:r>
      <w:r w:rsidRPr="00E17D79">
        <w:rPr>
          <w:rFonts w:ascii="Book Antiqua" w:hAnsi="Book Antiqua"/>
          <w:i/>
        </w:rPr>
        <w:t>Curr Opin Allergy Clin Immunol</w:t>
      </w:r>
      <w:r w:rsidRPr="00E17D79">
        <w:rPr>
          <w:rFonts w:ascii="Book Antiqua" w:hAnsi="Book Antiqua"/>
        </w:rPr>
        <w:t xml:space="preserve"> 2014; </w:t>
      </w:r>
      <w:r w:rsidRPr="00E17D79">
        <w:rPr>
          <w:rFonts w:ascii="Book Antiqua" w:hAnsi="Book Antiqua"/>
          <w:b/>
        </w:rPr>
        <w:t>14</w:t>
      </w:r>
      <w:r w:rsidRPr="00E17D79">
        <w:rPr>
          <w:rFonts w:ascii="Book Antiqua" w:hAnsi="Book Antiqua"/>
        </w:rPr>
        <w:t>: 509-515 [PMID: 25337683 DOI: 10.1097/ACI.0000000000000116]</w:t>
      </w:r>
    </w:p>
    <w:p w14:paraId="33830BA3" w14:textId="1D17C55F" w:rsidR="009C7678" w:rsidRPr="00E17D79" w:rsidRDefault="009C7678" w:rsidP="00E17D79">
      <w:pPr>
        <w:spacing w:line="360" w:lineRule="auto"/>
        <w:jc w:val="both"/>
        <w:rPr>
          <w:rFonts w:ascii="Book Antiqua" w:hAnsi="Book Antiqua"/>
        </w:rPr>
      </w:pPr>
      <w:r w:rsidRPr="00E17D79">
        <w:rPr>
          <w:rFonts w:ascii="Book Antiqua" w:hAnsi="Book Antiqua"/>
        </w:rPr>
        <w:t xml:space="preserve">49 </w:t>
      </w:r>
      <w:r w:rsidRPr="00E17D79">
        <w:rPr>
          <w:rFonts w:ascii="Book Antiqua" w:hAnsi="Book Antiqua"/>
          <w:b/>
        </w:rPr>
        <w:t>Castillo L</w:t>
      </w:r>
      <w:r w:rsidRPr="00E17D79">
        <w:rPr>
          <w:rFonts w:ascii="Book Antiqua" w:hAnsi="Book Antiqua"/>
        </w:rPr>
        <w:t xml:space="preserve">, Carcillo J. Secondary hemophagocytic lymphohistiocytosis and severe sepsis/systemic inflammatory response syndrome/multiorgan dysfunction syndrome/macrophage activation syndrome share common intermediate phenotypes on a spectrum of inflammation. </w:t>
      </w:r>
      <w:r w:rsidRPr="00E17D79">
        <w:rPr>
          <w:rFonts w:ascii="Book Antiqua" w:hAnsi="Book Antiqua"/>
          <w:i/>
        </w:rPr>
        <w:t>Pediatr Crit Care Med</w:t>
      </w:r>
      <w:r w:rsidRPr="00E17D79">
        <w:rPr>
          <w:rFonts w:ascii="Book Antiqua" w:hAnsi="Book Antiqua"/>
        </w:rPr>
        <w:t xml:space="preserve"> 2009; </w:t>
      </w:r>
      <w:r w:rsidRPr="00E17D79">
        <w:rPr>
          <w:rFonts w:ascii="Book Antiqua" w:hAnsi="Book Antiqua"/>
          <w:b/>
        </w:rPr>
        <w:t>10</w:t>
      </w:r>
      <w:r w:rsidRPr="00E17D79">
        <w:rPr>
          <w:rFonts w:ascii="Book Antiqua" w:hAnsi="Book Antiqua"/>
        </w:rPr>
        <w:t>: 387-392 [PMID: 19325510 DOI: 10.1097/PCC.0b013e3181a1ae08]</w:t>
      </w:r>
    </w:p>
    <w:p w14:paraId="45623DF6"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50 </w:t>
      </w:r>
      <w:r w:rsidRPr="00E17D79">
        <w:rPr>
          <w:rFonts w:ascii="Book Antiqua" w:hAnsi="Book Antiqua"/>
          <w:b/>
        </w:rPr>
        <w:t>Demirkol D</w:t>
      </w:r>
      <w:r w:rsidRPr="00E17D79">
        <w:rPr>
          <w:rFonts w:ascii="Book Antiqua" w:hAnsi="Book Antiqua"/>
        </w:rPr>
        <w:t xml:space="preserve">, Yildizdas D, Bayrakci B, Karapinar B, Kendirli T, Koroglu TF, Dursun O, Erkek N, Gedik H, Citak A, Kesici S, Karabocuoglu M, Carcillo JA; Turkish Secondary HLH/MAS Critical Care Study Group. Hyperferritinemia in the critically ill child with secondary hemophagocytic </w:t>
      </w:r>
      <w:r w:rsidRPr="00E17D79">
        <w:rPr>
          <w:rFonts w:ascii="Book Antiqua" w:hAnsi="Book Antiqua"/>
        </w:rPr>
        <w:lastRenderedPageBreak/>
        <w:t xml:space="preserve">lymphohistiocytosis/sepsis/multiple organ dysfunction syndrome/macrophage activation syndrome: what is the treatment? </w:t>
      </w:r>
      <w:r w:rsidRPr="00E17D79">
        <w:rPr>
          <w:rFonts w:ascii="Book Antiqua" w:hAnsi="Book Antiqua"/>
          <w:i/>
        </w:rPr>
        <w:t>Crit Care</w:t>
      </w:r>
      <w:r w:rsidRPr="00E17D79">
        <w:rPr>
          <w:rFonts w:ascii="Book Antiqua" w:hAnsi="Book Antiqua"/>
        </w:rPr>
        <w:t xml:space="preserve"> 2012; </w:t>
      </w:r>
      <w:r w:rsidRPr="00E17D79">
        <w:rPr>
          <w:rFonts w:ascii="Book Antiqua" w:hAnsi="Book Antiqua"/>
          <w:b/>
        </w:rPr>
        <w:t>16</w:t>
      </w:r>
      <w:r w:rsidRPr="00E17D79">
        <w:rPr>
          <w:rFonts w:ascii="Book Antiqua" w:hAnsi="Book Antiqua"/>
        </w:rPr>
        <w:t>: R52 [PMID: 22715953 DOI: 10.1186/cc11256]</w:t>
      </w:r>
    </w:p>
    <w:p w14:paraId="64EFE6B9"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51 </w:t>
      </w:r>
      <w:r w:rsidRPr="00E17D79">
        <w:rPr>
          <w:rFonts w:ascii="Book Antiqua" w:hAnsi="Book Antiqua"/>
          <w:b/>
        </w:rPr>
        <w:t>Rajasekaran S</w:t>
      </w:r>
      <w:r w:rsidRPr="00E17D79">
        <w:rPr>
          <w:rFonts w:ascii="Book Antiqua" w:hAnsi="Book Antiqua"/>
        </w:rPr>
        <w:t xml:space="preserve">, Kruse K, Kovey K, Davis AT, Hassan NE, Ndika AN, Zuiderveen S, Birmingham J. Therapeutic role of anakinra, an interleukin-1 receptor antagonist, in the management of secondary hemophagocytic lymphohistiocytosis/sepsis/multiple organ dysfunction/macrophage activating syndrome in critically ill children*. </w:t>
      </w:r>
      <w:r w:rsidRPr="00E17D79">
        <w:rPr>
          <w:rFonts w:ascii="Book Antiqua" w:hAnsi="Book Antiqua"/>
          <w:i/>
        </w:rPr>
        <w:t>Pediatr Crit Care Med</w:t>
      </w:r>
      <w:r w:rsidRPr="00E17D79">
        <w:rPr>
          <w:rFonts w:ascii="Book Antiqua" w:hAnsi="Book Antiqua"/>
        </w:rPr>
        <w:t xml:space="preserve"> 2014; </w:t>
      </w:r>
      <w:r w:rsidRPr="00E17D79">
        <w:rPr>
          <w:rFonts w:ascii="Book Antiqua" w:hAnsi="Book Antiqua"/>
          <w:b/>
        </w:rPr>
        <w:t>15</w:t>
      </w:r>
      <w:r w:rsidRPr="00E17D79">
        <w:rPr>
          <w:rFonts w:ascii="Book Antiqua" w:hAnsi="Book Antiqua"/>
        </w:rPr>
        <w:t>: 401-408 [PMID: 24583503 DOI: 10.1097/PCC.0000000000000078]</w:t>
      </w:r>
    </w:p>
    <w:p w14:paraId="627337AC"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52 </w:t>
      </w:r>
      <w:r w:rsidRPr="00E17D79">
        <w:rPr>
          <w:rFonts w:ascii="Book Antiqua" w:hAnsi="Book Antiqua"/>
          <w:b/>
        </w:rPr>
        <w:t>Gilardin L</w:t>
      </w:r>
      <w:r w:rsidRPr="00E17D79">
        <w:rPr>
          <w:rFonts w:ascii="Book Antiqua" w:hAnsi="Book Antiqua"/>
        </w:rPr>
        <w:t xml:space="preserve">, Bayry J, Kaveri SV. Intravenous immunoglobulin as clinical immune-modulating therapy. </w:t>
      </w:r>
      <w:r w:rsidRPr="00E17D79">
        <w:rPr>
          <w:rFonts w:ascii="Book Antiqua" w:hAnsi="Book Antiqua"/>
          <w:i/>
        </w:rPr>
        <w:t>CMAJ</w:t>
      </w:r>
      <w:r w:rsidRPr="00E17D79">
        <w:rPr>
          <w:rFonts w:ascii="Book Antiqua" w:hAnsi="Book Antiqua"/>
        </w:rPr>
        <w:t xml:space="preserve"> 2015; </w:t>
      </w:r>
      <w:r w:rsidRPr="00E17D79">
        <w:rPr>
          <w:rFonts w:ascii="Book Antiqua" w:hAnsi="Book Antiqua"/>
          <w:b/>
        </w:rPr>
        <w:t>187</w:t>
      </w:r>
      <w:r w:rsidRPr="00E17D79">
        <w:rPr>
          <w:rFonts w:ascii="Book Antiqua" w:hAnsi="Book Antiqua"/>
        </w:rPr>
        <w:t>: 257-264 [PMID: 25667260 DOI: 10.1503/cmaj.130375]</w:t>
      </w:r>
    </w:p>
    <w:p w14:paraId="792BB3F9"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53 </w:t>
      </w:r>
      <w:r w:rsidRPr="00E17D79">
        <w:rPr>
          <w:rFonts w:ascii="Book Antiqua" w:hAnsi="Book Antiqua"/>
          <w:b/>
        </w:rPr>
        <w:t>Álvarez-Cardona A</w:t>
      </w:r>
      <w:r w:rsidRPr="00E17D79">
        <w:rPr>
          <w:rFonts w:ascii="Book Antiqua" w:hAnsi="Book Antiqua"/>
        </w:rPr>
        <w:t xml:space="preserve">, Rodríguez-Lozano AL, Blancas-Galicia L, Rivas-Larrauri FE, Yamazaki-Nakashimada MA. Intravenous immunoglobulin treatment for macrophage activation syndrome complicating chronic granulomatous disease. </w:t>
      </w:r>
      <w:r w:rsidRPr="00E17D79">
        <w:rPr>
          <w:rFonts w:ascii="Book Antiqua" w:hAnsi="Book Antiqua"/>
          <w:i/>
        </w:rPr>
        <w:t>J Clin Immunol</w:t>
      </w:r>
      <w:r w:rsidRPr="00E17D79">
        <w:rPr>
          <w:rFonts w:ascii="Book Antiqua" w:hAnsi="Book Antiqua"/>
        </w:rPr>
        <w:t xml:space="preserve"> 2012; </w:t>
      </w:r>
      <w:r w:rsidRPr="00E17D79">
        <w:rPr>
          <w:rFonts w:ascii="Book Antiqua" w:hAnsi="Book Antiqua"/>
          <w:b/>
        </w:rPr>
        <w:t>32</w:t>
      </w:r>
      <w:r w:rsidRPr="00E17D79">
        <w:rPr>
          <w:rFonts w:ascii="Book Antiqua" w:hAnsi="Book Antiqua"/>
        </w:rPr>
        <w:t>: 207-211 [PMID: 22119934 DOI: 10.1007/s10875-011-9616-5]</w:t>
      </w:r>
    </w:p>
    <w:p w14:paraId="1CA44647"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54 </w:t>
      </w:r>
      <w:r w:rsidRPr="00E17D79">
        <w:rPr>
          <w:rFonts w:ascii="Book Antiqua" w:hAnsi="Book Antiqua"/>
          <w:b/>
        </w:rPr>
        <w:t>Gupta AA</w:t>
      </w:r>
      <w:r w:rsidRPr="00E17D79">
        <w:rPr>
          <w:rFonts w:ascii="Book Antiqua" w:hAnsi="Book Antiqua"/>
        </w:rPr>
        <w:t xml:space="preserve">, Tyrrell P, Valani R, Benseler S, Abdelhaleem M, Weitzman S. Experience with hemophagocytic lymphohistiocytosis/macrophage activation syndrome at a single institution. </w:t>
      </w:r>
      <w:r w:rsidRPr="00E17D79">
        <w:rPr>
          <w:rFonts w:ascii="Book Antiqua" w:hAnsi="Book Antiqua"/>
          <w:i/>
        </w:rPr>
        <w:t>J Pediatr Hematol Oncol</w:t>
      </w:r>
      <w:r w:rsidRPr="00E17D79">
        <w:rPr>
          <w:rFonts w:ascii="Book Antiqua" w:hAnsi="Book Antiqua"/>
        </w:rPr>
        <w:t xml:space="preserve"> 2009; </w:t>
      </w:r>
      <w:r w:rsidRPr="00E17D79">
        <w:rPr>
          <w:rFonts w:ascii="Book Antiqua" w:hAnsi="Book Antiqua"/>
          <w:b/>
        </w:rPr>
        <w:t>31</w:t>
      </w:r>
      <w:r w:rsidRPr="00E17D79">
        <w:rPr>
          <w:rFonts w:ascii="Book Antiqua" w:hAnsi="Book Antiqua"/>
        </w:rPr>
        <w:t>: 81-84 [PMID: 19194188 DOI: 10.1097/MPH.0b013e3181923cb4]</w:t>
      </w:r>
    </w:p>
    <w:p w14:paraId="6528DE25"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55 </w:t>
      </w:r>
      <w:r w:rsidRPr="00E17D79">
        <w:rPr>
          <w:rFonts w:ascii="Book Antiqua" w:hAnsi="Book Antiqua"/>
          <w:b/>
        </w:rPr>
        <w:t>Tristano AG</w:t>
      </w:r>
      <w:r w:rsidRPr="00E17D79">
        <w:rPr>
          <w:rFonts w:ascii="Book Antiqua" w:hAnsi="Book Antiqua"/>
        </w:rPr>
        <w:t xml:space="preserve">, Casanova-Escalona L, Torres A, Rodríguez MA. Macrophage activation syndrome in a patient with systemic onset rheumatoid arthritis: rescue with intravenous immunoglobulin therapy. </w:t>
      </w:r>
      <w:r w:rsidRPr="00E17D79">
        <w:rPr>
          <w:rFonts w:ascii="Book Antiqua" w:hAnsi="Book Antiqua"/>
          <w:i/>
        </w:rPr>
        <w:t>J Clin Rheumatol</w:t>
      </w:r>
      <w:r w:rsidRPr="00E17D79">
        <w:rPr>
          <w:rFonts w:ascii="Book Antiqua" w:hAnsi="Book Antiqua"/>
        </w:rPr>
        <w:t xml:space="preserve"> 2003; </w:t>
      </w:r>
      <w:r w:rsidRPr="00E17D79">
        <w:rPr>
          <w:rFonts w:ascii="Book Antiqua" w:hAnsi="Book Antiqua"/>
          <w:b/>
        </w:rPr>
        <w:t>9</w:t>
      </w:r>
      <w:r w:rsidRPr="00E17D79">
        <w:rPr>
          <w:rFonts w:ascii="Book Antiqua" w:hAnsi="Book Antiqua"/>
        </w:rPr>
        <w:t>: 253-258 [PMID: 17041466]</w:t>
      </w:r>
    </w:p>
    <w:p w14:paraId="6BDF0ECD"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56 </w:t>
      </w:r>
      <w:r w:rsidRPr="00E17D79">
        <w:rPr>
          <w:rFonts w:ascii="Book Antiqua" w:hAnsi="Book Antiqua"/>
          <w:b/>
        </w:rPr>
        <w:t>Seidel MG</w:t>
      </w:r>
      <w:r w:rsidRPr="00E17D79">
        <w:rPr>
          <w:rFonts w:ascii="Book Antiqua" w:hAnsi="Book Antiqua"/>
        </w:rPr>
        <w:t xml:space="preserve">, Kastner U, Minkov M, Gadner H. IVIG treatment of adenovirus infection-associated macrophage activation syndrome in a two-year-old boy: case report and review of the literature. </w:t>
      </w:r>
      <w:r w:rsidRPr="00E17D79">
        <w:rPr>
          <w:rFonts w:ascii="Book Antiqua" w:hAnsi="Book Antiqua"/>
          <w:i/>
        </w:rPr>
        <w:t>Pediatr Hematol Oncol</w:t>
      </w:r>
      <w:r w:rsidRPr="00E17D79">
        <w:rPr>
          <w:rFonts w:ascii="Book Antiqua" w:hAnsi="Book Antiqua"/>
        </w:rPr>
        <w:t xml:space="preserve"> 2003; </w:t>
      </w:r>
      <w:r w:rsidRPr="00E17D79">
        <w:rPr>
          <w:rFonts w:ascii="Book Antiqua" w:hAnsi="Book Antiqua"/>
          <w:b/>
        </w:rPr>
        <w:t>20</w:t>
      </w:r>
      <w:r w:rsidRPr="00E17D79">
        <w:rPr>
          <w:rFonts w:ascii="Book Antiqua" w:hAnsi="Book Antiqua"/>
        </w:rPr>
        <w:t>: 445-451 [PMID: 14631618]</w:t>
      </w:r>
    </w:p>
    <w:p w14:paraId="6747B4BF"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57 </w:t>
      </w:r>
      <w:r w:rsidRPr="00E17D79">
        <w:rPr>
          <w:rFonts w:ascii="Book Antiqua" w:hAnsi="Book Antiqua"/>
          <w:b/>
        </w:rPr>
        <w:t>Rajajee S</w:t>
      </w:r>
      <w:r w:rsidRPr="00E17D79">
        <w:rPr>
          <w:rFonts w:ascii="Book Antiqua" w:hAnsi="Book Antiqua"/>
        </w:rPr>
        <w:t xml:space="preserve">, Ashok I, Manwani N, Rajkumar J, Gowrishankar K, Subbiah E. Profile of hemophagocytic lymphohistiocytosis; efficacy of intravenous </w:t>
      </w:r>
      <w:r w:rsidRPr="00E17D79">
        <w:rPr>
          <w:rFonts w:ascii="Book Antiqua" w:hAnsi="Book Antiqua"/>
        </w:rPr>
        <w:lastRenderedPageBreak/>
        <w:t xml:space="preserve">immunoglobulin therapy. </w:t>
      </w:r>
      <w:r w:rsidRPr="00E17D79">
        <w:rPr>
          <w:rFonts w:ascii="Book Antiqua" w:hAnsi="Book Antiqua"/>
          <w:i/>
        </w:rPr>
        <w:t>Indian J Pediatr</w:t>
      </w:r>
      <w:r w:rsidRPr="00E17D79">
        <w:rPr>
          <w:rFonts w:ascii="Book Antiqua" w:hAnsi="Book Antiqua"/>
        </w:rPr>
        <w:t xml:space="preserve"> 2014; </w:t>
      </w:r>
      <w:r w:rsidRPr="00E17D79">
        <w:rPr>
          <w:rFonts w:ascii="Book Antiqua" w:hAnsi="Book Antiqua"/>
          <w:b/>
        </w:rPr>
        <w:t>81</w:t>
      </w:r>
      <w:r w:rsidRPr="00E17D79">
        <w:rPr>
          <w:rFonts w:ascii="Book Antiqua" w:hAnsi="Book Antiqua"/>
        </w:rPr>
        <w:t>: 1337-1341 [PMID: 24806152 DOI: 10.1007/s12098-014-1461-0]</w:t>
      </w:r>
    </w:p>
    <w:p w14:paraId="44EE0157" w14:textId="77777777" w:rsidR="009C7678" w:rsidRPr="00E17D79" w:rsidRDefault="009C7678" w:rsidP="00E17D79">
      <w:pPr>
        <w:spacing w:line="360" w:lineRule="auto"/>
        <w:jc w:val="both"/>
        <w:rPr>
          <w:rFonts w:ascii="Book Antiqua" w:hAnsi="Book Antiqua"/>
        </w:rPr>
      </w:pPr>
      <w:r w:rsidRPr="00E17D79">
        <w:rPr>
          <w:rFonts w:ascii="Book Antiqua" w:hAnsi="Book Antiqua"/>
        </w:rPr>
        <w:t xml:space="preserve">58 </w:t>
      </w:r>
      <w:r w:rsidRPr="00E17D79">
        <w:rPr>
          <w:rFonts w:ascii="Book Antiqua" w:hAnsi="Book Antiqua"/>
          <w:b/>
        </w:rPr>
        <w:t>Ehl S</w:t>
      </w:r>
      <w:r w:rsidRPr="00E17D79">
        <w:rPr>
          <w:rFonts w:ascii="Book Antiqua" w:hAnsi="Book Antiqua"/>
        </w:rPr>
        <w:t xml:space="preserve">, Astigarraga I, von Bahr Greenwood T, Hines M, Horne A, Ishii E, Janka G, Jordan MB, La Rosée P, Lehmberg K, Machowicz R, Nichols KE, Sieni E, Wang Z, Henter JI. Recommendations for the Use of Etoposide-Based Therapy and Bone Marrow Transplantation for the Treatment of HLH: Consensus Statements by the HLH Steering Committee of the Histiocyte Society. </w:t>
      </w:r>
      <w:r w:rsidRPr="00E17D79">
        <w:rPr>
          <w:rFonts w:ascii="Book Antiqua" w:hAnsi="Book Antiqua"/>
          <w:i/>
        </w:rPr>
        <w:t>J Allergy Clin Immunol Pract</w:t>
      </w:r>
      <w:r w:rsidRPr="00E17D79">
        <w:rPr>
          <w:rFonts w:ascii="Book Antiqua" w:hAnsi="Book Antiqua"/>
        </w:rPr>
        <w:t xml:space="preserve"> 2018; </w:t>
      </w:r>
      <w:r w:rsidRPr="00E17D79">
        <w:rPr>
          <w:rFonts w:ascii="Book Antiqua" w:hAnsi="Book Antiqua"/>
          <w:b/>
        </w:rPr>
        <w:t>6</w:t>
      </w:r>
      <w:r w:rsidRPr="00E17D79">
        <w:rPr>
          <w:rFonts w:ascii="Book Antiqua" w:hAnsi="Book Antiqua"/>
        </w:rPr>
        <w:t>: 1508-1517 [PMID: 30201097 DOI: 10.1016/j.jaip.2018.05.031]</w:t>
      </w:r>
    </w:p>
    <w:p w14:paraId="591C10EB" w14:textId="15077900" w:rsidR="00BF1E8E" w:rsidRPr="00D174A3" w:rsidRDefault="009C7678" w:rsidP="00D174A3">
      <w:pPr>
        <w:spacing w:line="360" w:lineRule="auto"/>
        <w:jc w:val="both"/>
        <w:rPr>
          <w:rFonts w:ascii="Book Antiqua" w:eastAsiaTheme="minorEastAsia" w:hAnsi="Book Antiqua"/>
          <w:lang w:eastAsia="zh-CN"/>
        </w:rPr>
      </w:pPr>
      <w:r w:rsidRPr="00E17D79">
        <w:rPr>
          <w:rFonts w:ascii="Book Antiqua" w:hAnsi="Book Antiqua"/>
        </w:rPr>
        <w:t xml:space="preserve">59 </w:t>
      </w:r>
      <w:r w:rsidRPr="00E17D79">
        <w:rPr>
          <w:rFonts w:ascii="Book Antiqua" w:hAnsi="Book Antiqua"/>
          <w:b/>
        </w:rPr>
        <w:t>La Rosée P</w:t>
      </w:r>
      <w:r w:rsidRPr="00E17D79">
        <w:rPr>
          <w:rFonts w:ascii="Book Antiqua" w:hAnsi="Book Antiqua"/>
        </w:rPr>
        <w:t xml:space="preserve">, Horne A, Hines M, von Bahr Greenwood T, Machowicz R, Berliner N, Birndt S, Gil-Herrera J, Girschikofsky M, Jordan MB, Kumar A, van Laar JAM, Lachmann G, Nichols KE, Ramanan AV, Wang Y, Wang Z, Janka G, Henter JI. Recommendations for the management of hemophagocytic lymphohistiocytosis in adults. </w:t>
      </w:r>
      <w:r w:rsidRPr="00E17D79">
        <w:rPr>
          <w:rFonts w:ascii="Book Antiqua" w:hAnsi="Book Antiqua"/>
          <w:i/>
        </w:rPr>
        <w:t>Blood</w:t>
      </w:r>
      <w:r w:rsidRPr="00E17D79">
        <w:rPr>
          <w:rFonts w:ascii="Book Antiqua" w:hAnsi="Book Antiqua"/>
        </w:rPr>
        <w:t xml:space="preserve"> 2019; </w:t>
      </w:r>
      <w:r w:rsidRPr="00E17D79">
        <w:rPr>
          <w:rFonts w:ascii="Book Antiqua" w:hAnsi="Book Antiqua"/>
          <w:b/>
        </w:rPr>
        <w:t>133</w:t>
      </w:r>
      <w:r w:rsidRPr="00E17D79">
        <w:rPr>
          <w:rFonts w:ascii="Book Antiqua" w:hAnsi="Book Antiqua"/>
        </w:rPr>
        <w:t>: 2465-2477 [PMID: 30992265 DOI: 10.1182/blood.2018894618]</w:t>
      </w:r>
    </w:p>
    <w:p w14:paraId="20F88B0A" w14:textId="7EEE2617" w:rsidR="00873447" w:rsidRDefault="00873447" w:rsidP="00D174A3">
      <w:pPr>
        <w:suppressAutoHyphens/>
        <w:spacing w:line="360" w:lineRule="auto"/>
        <w:jc w:val="right"/>
        <w:rPr>
          <w:rFonts w:ascii="Book Antiqua" w:eastAsiaTheme="minorEastAsia" w:hAnsi="Book Antiqua" w:cs="Mangal"/>
          <w:b/>
          <w:bCs/>
          <w:lang w:val="it-IT" w:eastAsia="zh-CN" w:bidi="hi-IN"/>
        </w:rPr>
      </w:pPr>
      <w:bookmarkStart w:id="151" w:name="OLE_LINK480"/>
      <w:bookmarkStart w:id="152" w:name="OLE_LINK502"/>
      <w:bookmarkStart w:id="153" w:name="OLE_LINK2181"/>
      <w:bookmarkStart w:id="154" w:name="OLE_LINK2182"/>
      <w:bookmarkStart w:id="155" w:name="OLE_LINK2183"/>
      <w:bookmarkStart w:id="156" w:name="OLE_LINK1021"/>
      <w:bookmarkStart w:id="157" w:name="OLE_LINK1022"/>
      <w:bookmarkStart w:id="158" w:name="OLE_LINK1023"/>
      <w:bookmarkStart w:id="159" w:name="OLE_LINK1064"/>
      <w:bookmarkStart w:id="160" w:name="OLE_LINK1065"/>
      <w:bookmarkStart w:id="161" w:name="OLE_LINK1156"/>
      <w:bookmarkStart w:id="162" w:name="OLE_LINK1157"/>
      <w:bookmarkStart w:id="163" w:name="OLE_LINK1158"/>
      <w:bookmarkStart w:id="164" w:name="OLE_LINK1159"/>
      <w:bookmarkStart w:id="165" w:name="OLE_LINK1185"/>
      <w:bookmarkStart w:id="166" w:name="OLE_LINK958"/>
      <w:bookmarkStart w:id="167" w:name="OLE_LINK959"/>
      <w:bookmarkStart w:id="168" w:name="OLE_LINK962"/>
      <w:bookmarkStart w:id="169" w:name="OLE_LINK1127"/>
      <w:bookmarkStart w:id="170" w:name="OLE_LINK945"/>
      <w:bookmarkStart w:id="171" w:name="OLE_LINK946"/>
      <w:bookmarkStart w:id="172" w:name="OLE_LINK947"/>
      <w:bookmarkStart w:id="173" w:name="OLE_LINK987"/>
      <w:bookmarkStart w:id="174" w:name="OLE_LINK1035"/>
      <w:bookmarkStart w:id="175" w:name="OLE_LINK1036"/>
      <w:bookmarkStart w:id="176" w:name="OLE_LINK1037"/>
      <w:bookmarkStart w:id="177" w:name="OLE_LINK1038"/>
      <w:bookmarkStart w:id="178" w:name="OLE_LINK1039"/>
      <w:bookmarkStart w:id="179" w:name="OLE_LINK1040"/>
      <w:bookmarkStart w:id="180" w:name="OLE_LINK1041"/>
      <w:bookmarkStart w:id="181" w:name="OLE_LINK1042"/>
      <w:bookmarkStart w:id="182" w:name="OLE_LINK1043"/>
      <w:bookmarkStart w:id="183" w:name="OLE_LINK1044"/>
      <w:bookmarkStart w:id="184" w:name="OLE_LINK1071"/>
      <w:bookmarkStart w:id="185" w:name="OLE_LINK1072"/>
      <w:bookmarkStart w:id="186" w:name="OLE_LINK968"/>
      <w:bookmarkStart w:id="187" w:name="OLE_LINK1260"/>
      <w:bookmarkStart w:id="188" w:name="OLE_LINK1261"/>
      <w:bookmarkStart w:id="189" w:name="OLE_LINK1264"/>
      <w:bookmarkStart w:id="190" w:name="OLE_LINK1266"/>
      <w:bookmarkStart w:id="191" w:name="OLE_LINK1282"/>
      <w:bookmarkStart w:id="192" w:name="OLE_LINK1800"/>
      <w:bookmarkStart w:id="193" w:name="OLE_LINK1801"/>
      <w:bookmarkStart w:id="194" w:name="OLE_LINK1802"/>
      <w:bookmarkStart w:id="195" w:name="OLE_LINK1803"/>
      <w:bookmarkStart w:id="196" w:name="OLE_LINK1843"/>
      <w:bookmarkStart w:id="197" w:name="OLE_LINK1844"/>
      <w:bookmarkStart w:id="198" w:name="OLE_LINK1845"/>
      <w:bookmarkStart w:id="199" w:name="OLE_LINK1636"/>
      <w:bookmarkStart w:id="200" w:name="OLE_LINK1755"/>
      <w:bookmarkStart w:id="201" w:name="OLE_LINK1806"/>
      <w:bookmarkStart w:id="202" w:name="OLE_LINK1807"/>
      <w:bookmarkStart w:id="203" w:name="OLE_LINK1811"/>
      <w:bookmarkStart w:id="204" w:name="OLE_LINK1812"/>
      <w:bookmarkStart w:id="205" w:name="OLE_LINK1813"/>
      <w:bookmarkStart w:id="206" w:name="OLE_LINK1962"/>
      <w:bookmarkStart w:id="207" w:name="OLE_LINK1963"/>
      <w:bookmarkStart w:id="208" w:name="OLE_LINK2162"/>
      <w:bookmarkStart w:id="209" w:name="OLE_LINK2198"/>
      <w:bookmarkStart w:id="210" w:name="OLE_LINK2199"/>
      <w:bookmarkStart w:id="211" w:name="OLE_LINK2200"/>
      <w:bookmarkStart w:id="212" w:name="OLE_LINK2090"/>
      <w:r w:rsidRPr="00E17D79">
        <w:rPr>
          <w:rFonts w:ascii="Book Antiqua" w:eastAsia="Lucida Sans Unicode" w:hAnsi="Book Antiqua" w:cs="Arial"/>
          <w:b/>
          <w:noProof/>
          <w:lang w:val="it-IT" w:eastAsia="hi-IN" w:bidi="hi-IN"/>
        </w:rPr>
        <w:t>P-Reviewer</w:t>
      </w:r>
      <w:r w:rsidRPr="00E17D79">
        <w:rPr>
          <w:rFonts w:ascii="Book Antiqua" w:hAnsi="Book Antiqua" w:cs="Arial"/>
          <w:b/>
          <w:noProof/>
          <w:lang w:val="it-IT" w:bidi="hi-IN"/>
        </w:rPr>
        <w:t>:</w:t>
      </w:r>
      <w:r w:rsidRPr="00E17D79">
        <w:rPr>
          <w:rFonts w:ascii="Book Antiqua" w:hAnsi="Book Antiqua"/>
          <w:lang w:val="it-IT"/>
        </w:rPr>
        <w:t xml:space="preserve"> </w:t>
      </w:r>
      <w:r w:rsidRPr="00E17D79">
        <w:rPr>
          <w:rFonts w:ascii="Book Antiqua" w:hAnsi="Book Antiqua"/>
        </w:rPr>
        <w:t>Maher J</w:t>
      </w:r>
      <w:r w:rsidRPr="00E17D79">
        <w:rPr>
          <w:rFonts w:ascii="Book Antiqua" w:eastAsia="Lucida Sans Unicode" w:hAnsi="Book Antiqua" w:cs="Mangal"/>
          <w:bCs/>
          <w:lang w:val="it-IT" w:eastAsia="hi-IN" w:bidi="hi-IN"/>
        </w:rPr>
        <w:t xml:space="preserve"> </w:t>
      </w:r>
      <w:r w:rsidRPr="00E17D79">
        <w:rPr>
          <w:rFonts w:ascii="Book Antiqua" w:eastAsia="Lucida Sans Unicode" w:hAnsi="Book Antiqua" w:cs="Mangal"/>
          <w:b/>
          <w:bCs/>
          <w:lang w:val="it-IT" w:eastAsia="hi-IN" w:bidi="hi-IN"/>
        </w:rPr>
        <w:t>S-Editor</w:t>
      </w:r>
      <w:r w:rsidRPr="00E17D79">
        <w:rPr>
          <w:rFonts w:ascii="Book Antiqua" w:hAnsi="Book Antiqua" w:cs="Mangal"/>
          <w:b/>
          <w:bCs/>
          <w:lang w:val="it-IT" w:bidi="hi-IN"/>
        </w:rPr>
        <w:t>:</w:t>
      </w:r>
      <w:r w:rsidRPr="00E17D79">
        <w:rPr>
          <w:rFonts w:ascii="Book Antiqua" w:eastAsia="Lucida Sans Unicode" w:hAnsi="Book Antiqua" w:cs="Mangal"/>
          <w:bCs/>
          <w:lang w:val="it-IT" w:eastAsia="hi-IN" w:bidi="hi-IN"/>
        </w:rPr>
        <w:t xml:space="preserve"> </w:t>
      </w:r>
      <w:r w:rsidRPr="00E17D79">
        <w:rPr>
          <w:rFonts w:ascii="Book Antiqua" w:hAnsi="Book Antiqua" w:cs="Mangal"/>
          <w:bCs/>
          <w:lang w:val="it-IT" w:bidi="hi-IN"/>
        </w:rPr>
        <w:t>Dou Y</w:t>
      </w:r>
      <w:r w:rsidRPr="00E17D79">
        <w:rPr>
          <w:rFonts w:ascii="Book Antiqua" w:eastAsia="Lucida Sans Unicode" w:hAnsi="Book Antiqua" w:cs="Mangal"/>
          <w:b/>
          <w:bCs/>
          <w:lang w:val="it-IT" w:eastAsia="hi-IN" w:bidi="hi-IN"/>
        </w:rPr>
        <w:t xml:space="preserve"> L-Editor</w:t>
      </w:r>
      <w:r w:rsidRPr="00E17D79">
        <w:rPr>
          <w:rFonts w:ascii="Book Antiqua" w:hAnsi="Book Antiqua" w:cs="Mangal"/>
          <w:b/>
          <w:bCs/>
          <w:lang w:val="it-IT" w:bidi="hi-IN"/>
        </w:rPr>
        <w:t>:</w:t>
      </w:r>
      <w:r w:rsidRPr="00E17D79">
        <w:rPr>
          <w:rFonts w:ascii="Book Antiqua" w:eastAsia="Lucida Sans Unicode" w:hAnsi="Book Antiqua" w:cs="Mangal"/>
          <w:b/>
          <w:bCs/>
          <w:lang w:val="it-IT" w:eastAsia="hi-IN" w:bidi="hi-IN"/>
        </w:rPr>
        <w:t xml:space="preserve"> E-Editor</w:t>
      </w:r>
      <w:r w:rsidRPr="00E17D79">
        <w:rPr>
          <w:rFonts w:ascii="Book Antiqua" w:hAnsi="Book Antiqua" w:cs="Mangal"/>
          <w:b/>
          <w:bCs/>
          <w:lang w:val="it-IT" w:bidi="hi-IN"/>
        </w:rPr>
        <w:t>:</w:t>
      </w:r>
    </w:p>
    <w:p w14:paraId="5AB9B390" w14:textId="77777777" w:rsidR="00D174A3" w:rsidRPr="00D174A3" w:rsidRDefault="00D174A3" w:rsidP="00D174A3">
      <w:pPr>
        <w:suppressAutoHyphens/>
        <w:spacing w:line="360" w:lineRule="auto"/>
        <w:jc w:val="right"/>
        <w:rPr>
          <w:rFonts w:ascii="Book Antiqua" w:eastAsiaTheme="minorEastAsia" w:hAnsi="Book Antiqua" w:cs="Mangal"/>
          <w:b/>
          <w:bCs/>
          <w:lang w:val="it-IT" w:eastAsia="zh-CN" w:bidi="hi-IN"/>
        </w:rPr>
      </w:pPr>
    </w:p>
    <w:p w14:paraId="79FAC549" w14:textId="77777777" w:rsidR="00873447" w:rsidRPr="00E17D79" w:rsidRDefault="00873447" w:rsidP="00E17D79">
      <w:pPr>
        <w:shd w:val="clear" w:color="auto" w:fill="FFFFFF"/>
        <w:spacing w:line="360" w:lineRule="auto"/>
        <w:jc w:val="both"/>
        <w:rPr>
          <w:rFonts w:ascii="Book Antiqua" w:hAnsi="Book Antiqua" w:cs="Helvetica"/>
          <w:b/>
        </w:rPr>
      </w:pPr>
      <w:r w:rsidRPr="00E17D79">
        <w:rPr>
          <w:rFonts w:ascii="Book Antiqua" w:hAnsi="Book Antiqua" w:cs="Helvetica"/>
          <w:b/>
        </w:rPr>
        <w:t xml:space="preserve">Specialty type: </w:t>
      </w:r>
      <w:r w:rsidRPr="00E17D79">
        <w:rPr>
          <w:rFonts w:ascii="Book Antiqua" w:eastAsia="微软雅黑" w:hAnsi="Book Antiqua"/>
        </w:rPr>
        <w:t>Medicine, Research and Experimental</w:t>
      </w:r>
    </w:p>
    <w:p w14:paraId="246F8CBD" w14:textId="12CB07D0" w:rsidR="00873447" w:rsidRPr="00E17D79" w:rsidRDefault="00873447" w:rsidP="00E17D79">
      <w:pPr>
        <w:shd w:val="clear" w:color="auto" w:fill="FFFFFF"/>
        <w:spacing w:line="360" w:lineRule="auto"/>
        <w:jc w:val="both"/>
        <w:rPr>
          <w:rFonts w:ascii="Book Antiqua" w:hAnsi="Book Antiqua" w:cs="Helvetica"/>
          <w:b/>
        </w:rPr>
      </w:pPr>
      <w:r w:rsidRPr="00E17D79">
        <w:rPr>
          <w:rFonts w:ascii="Book Antiqua" w:hAnsi="Book Antiqua" w:cs="Helvetica"/>
          <w:b/>
        </w:rPr>
        <w:t xml:space="preserve">Country of origin: </w:t>
      </w:r>
      <w:r w:rsidR="00E17D79" w:rsidRPr="00E17D79">
        <w:rPr>
          <w:rFonts w:ascii="Book Antiqua" w:hAnsi="Book Antiqua" w:cs="Arial"/>
          <w:lang w:val="en-GB"/>
        </w:rPr>
        <w:t>Greece</w:t>
      </w:r>
    </w:p>
    <w:p w14:paraId="6676F504" w14:textId="77777777" w:rsidR="00873447" w:rsidRPr="00E17D79" w:rsidRDefault="00873447" w:rsidP="00E17D79">
      <w:pPr>
        <w:shd w:val="clear" w:color="auto" w:fill="FFFFFF"/>
        <w:spacing w:line="360" w:lineRule="auto"/>
        <w:jc w:val="both"/>
        <w:rPr>
          <w:rFonts w:ascii="Book Antiqua" w:hAnsi="Book Antiqua" w:cs="Helvetica"/>
          <w:b/>
        </w:rPr>
      </w:pPr>
      <w:r w:rsidRPr="00E17D79">
        <w:rPr>
          <w:rFonts w:ascii="Book Antiqua" w:hAnsi="Book Antiqua" w:cs="Helvetica"/>
          <w:b/>
        </w:rPr>
        <w:t>Peer-review report classification</w:t>
      </w:r>
    </w:p>
    <w:p w14:paraId="7CA289CB" w14:textId="77777777" w:rsidR="00873447" w:rsidRPr="00E17D79" w:rsidRDefault="00873447" w:rsidP="00E17D79">
      <w:pPr>
        <w:shd w:val="clear" w:color="auto" w:fill="FFFFFF"/>
        <w:spacing w:line="360" w:lineRule="auto"/>
        <w:jc w:val="both"/>
        <w:rPr>
          <w:rFonts w:ascii="Book Antiqua" w:hAnsi="Book Antiqua" w:cs="Helvetica"/>
        </w:rPr>
      </w:pPr>
      <w:r w:rsidRPr="00E17D79">
        <w:rPr>
          <w:rFonts w:ascii="Book Antiqua" w:hAnsi="Book Antiqua" w:cs="Helvetica"/>
        </w:rPr>
        <w:t>Grade A (Excellent): 0</w:t>
      </w:r>
    </w:p>
    <w:p w14:paraId="028D2DCE" w14:textId="77777777" w:rsidR="00873447" w:rsidRPr="00E17D79" w:rsidRDefault="00873447" w:rsidP="00E17D79">
      <w:pPr>
        <w:shd w:val="clear" w:color="auto" w:fill="FFFFFF"/>
        <w:spacing w:line="360" w:lineRule="auto"/>
        <w:jc w:val="both"/>
        <w:rPr>
          <w:rFonts w:ascii="Book Antiqua" w:hAnsi="Book Antiqua" w:cs="Helvetica"/>
        </w:rPr>
      </w:pPr>
      <w:r w:rsidRPr="00E17D79">
        <w:rPr>
          <w:rFonts w:ascii="Book Antiqua" w:hAnsi="Book Antiqua" w:cs="Helvetica"/>
        </w:rPr>
        <w:t>Grade B (Very good): B</w:t>
      </w:r>
    </w:p>
    <w:p w14:paraId="7D22F174" w14:textId="77777777" w:rsidR="00873447" w:rsidRPr="00E17D79" w:rsidRDefault="00873447" w:rsidP="00E17D79">
      <w:pPr>
        <w:shd w:val="clear" w:color="auto" w:fill="FFFFFF"/>
        <w:spacing w:line="360" w:lineRule="auto"/>
        <w:jc w:val="both"/>
        <w:rPr>
          <w:rFonts w:ascii="Book Antiqua" w:hAnsi="Book Antiqua" w:cs="Helvetica"/>
        </w:rPr>
      </w:pPr>
      <w:r w:rsidRPr="00E17D79">
        <w:rPr>
          <w:rFonts w:ascii="Book Antiqua" w:hAnsi="Book Antiqua" w:cs="Helvetica"/>
        </w:rPr>
        <w:t>Grade C (Good): 0</w:t>
      </w:r>
    </w:p>
    <w:p w14:paraId="4095E322" w14:textId="77777777" w:rsidR="00873447" w:rsidRPr="00E17D79" w:rsidRDefault="00873447" w:rsidP="00E17D79">
      <w:pPr>
        <w:shd w:val="clear" w:color="auto" w:fill="FFFFFF"/>
        <w:spacing w:line="360" w:lineRule="auto"/>
        <w:jc w:val="both"/>
        <w:rPr>
          <w:rFonts w:ascii="Book Antiqua" w:hAnsi="Book Antiqua" w:cs="Helvetica"/>
        </w:rPr>
      </w:pPr>
      <w:r w:rsidRPr="00E17D79">
        <w:rPr>
          <w:rFonts w:ascii="Book Antiqua" w:hAnsi="Book Antiqua" w:cs="Helvetica"/>
        </w:rPr>
        <w:t xml:space="preserve">Grade D (Fair): </w:t>
      </w:r>
      <w:bookmarkEnd w:id="151"/>
      <w:bookmarkEnd w:id="152"/>
      <w:r w:rsidRPr="00E17D79">
        <w:rPr>
          <w:rFonts w:ascii="Book Antiqua" w:hAnsi="Book Antiqua" w:cs="Helvetica"/>
        </w:rPr>
        <w:t>0</w:t>
      </w:r>
    </w:p>
    <w:p w14:paraId="513760CC" w14:textId="77777777" w:rsidR="00873447" w:rsidRPr="00E17D79" w:rsidRDefault="00873447" w:rsidP="00E17D79">
      <w:pPr>
        <w:shd w:val="clear" w:color="auto" w:fill="FFFFFF"/>
        <w:spacing w:line="360" w:lineRule="auto"/>
        <w:jc w:val="both"/>
        <w:rPr>
          <w:rFonts w:ascii="Book Antiqua" w:hAnsi="Book Antiqua" w:cs="Helvetica"/>
          <w:lang w:val="de-DE"/>
        </w:rPr>
      </w:pPr>
      <w:r w:rsidRPr="00E17D79">
        <w:rPr>
          <w:rFonts w:ascii="Book Antiqua" w:hAnsi="Book Antiqua" w:cs="Helvetica"/>
        </w:rPr>
        <w:t>Grade E (Poor): 0</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120AD16" w14:textId="77777777" w:rsidR="00873447" w:rsidRPr="00E17D79" w:rsidRDefault="00873447" w:rsidP="00E17D79">
      <w:pPr>
        <w:spacing w:line="360" w:lineRule="auto"/>
        <w:jc w:val="both"/>
        <w:rPr>
          <w:rFonts w:ascii="Book Antiqua" w:eastAsiaTheme="minorHAnsi" w:hAnsi="Book Antiqua" w:cs="Arial"/>
          <w:b/>
          <w:lang w:val="en-GB" w:eastAsia="en-US"/>
        </w:rPr>
      </w:pPr>
      <w:r w:rsidRPr="00E17D79">
        <w:rPr>
          <w:rFonts w:ascii="Book Antiqua" w:eastAsiaTheme="minorHAnsi" w:hAnsi="Book Antiqua" w:cs="Arial"/>
          <w:b/>
          <w:lang w:val="en-GB" w:eastAsia="en-US"/>
        </w:rPr>
        <w:br w:type="page"/>
      </w:r>
    </w:p>
    <w:p w14:paraId="62F1DA75" w14:textId="522E3128" w:rsidR="001D0F39" w:rsidRPr="00E17D79" w:rsidRDefault="001D0F39" w:rsidP="00E17D79">
      <w:pPr>
        <w:spacing w:line="360" w:lineRule="auto"/>
        <w:jc w:val="both"/>
        <w:rPr>
          <w:rFonts w:ascii="Book Antiqua" w:eastAsiaTheme="minorHAnsi" w:hAnsi="Book Antiqua" w:cs="Arial"/>
          <w:b/>
          <w:lang w:val="en-GB" w:eastAsia="en-US"/>
        </w:rPr>
      </w:pPr>
      <w:r w:rsidRPr="00E17D79">
        <w:rPr>
          <w:rFonts w:ascii="Book Antiqua" w:eastAsiaTheme="minorHAnsi" w:hAnsi="Book Antiqua" w:cs="Arial"/>
          <w:b/>
          <w:lang w:val="en-GB" w:eastAsia="en-US"/>
        </w:rPr>
        <w:lastRenderedPageBreak/>
        <w:t>Table 1</w:t>
      </w:r>
      <w:r w:rsidR="00AD4924" w:rsidRPr="00E17D79">
        <w:rPr>
          <w:rFonts w:ascii="Book Antiqua" w:eastAsiaTheme="minorHAnsi" w:hAnsi="Book Antiqua" w:cs="Arial"/>
          <w:b/>
          <w:lang w:val="en-GB" w:eastAsia="en-US"/>
        </w:rPr>
        <w:t xml:space="preserve"> </w:t>
      </w:r>
      <w:r w:rsidRPr="00E17D79">
        <w:rPr>
          <w:rFonts w:ascii="Book Antiqua" w:eastAsiaTheme="minorHAnsi" w:hAnsi="Book Antiqua" w:cs="Arial"/>
          <w:b/>
          <w:lang w:val="en-GB" w:eastAsia="en-US"/>
        </w:rPr>
        <w:t xml:space="preserve">Characteristics of the </w:t>
      </w:r>
      <w:r w:rsidR="0008644D" w:rsidRPr="00E17D79">
        <w:rPr>
          <w:rFonts w:ascii="Book Antiqua" w:eastAsiaTheme="minorHAnsi" w:hAnsi="Book Antiqua" w:cs="Arial"/>
          <w:b/>
          <w:lang w:val="en-GB" w:eastAsia="en-US"/>
        </w:rPr>
        <w:t>80</w:t>
      </w:r>
      <w:r w:rsidR="00AD4924" w:rsidRPr="00E17D79">
        <w:rPr>
          <w:rFonts w:ascii="Book Antiqua" w:eastAsiaTheme="minorHAnsi" w:hAnsi="Book Antiqua" w:cs="Arial"/>
          <w:b/>
          <w:lang w:val="en-GB" w:eastAsia="en-US"/>
        </w:rPr>
        <w:t xml:space="preserve"> </w:t>
      </w:r>
      <w:r w:rsidR="00E71806" w:rsidRPr="00E17D79">
        <w:rPr>
          <w:rFonts w:ascii="Book Antiqua" w:eastAsiaTheme="minorHAnsi" w:hAnsi="Book Antiqua" w:cs="Arial"/>
          <w:b/>
          <w:lang w:val="en-GB" w:eastAsia="en-US"/>
        </w:rPr>
        <w:t xml:space="preserve">adult </w:t>
      </w:r>
      <w:r w:rsidRPr="00E17D79">
        <w:rPr>
          <w:rFonts w:ascii="Book Antiqua" w:eastAsiaTheme="minorHAnsi" w:hAnsi="Book Antiqua" w:cs="Arial"/>
          <w:b/>
          <w:lang w:val="en-GB" w:eastAsia="en-US"/>
        </w:rPr>
        <w:t xml:space="preserve">patients with </w:t>
      </w:r>
      <w:r w:rsidR="00D95DFD" w:rsidRPr="00E17D79">
        <w:rPr>
          <w:rFonts w:ascii="Book Antiqua" w:eastAsiaTheme="minorHAnsi" w:hAnsi="Book Antiqua" w:cs="Arial"/>
          <w:b/>
          <w:lang w:val="en-GB" w:eastAsia="en-US"/>
        </w:rPr>
        <w:t>secondary haemophagocytic lymphohistiocytosis</w:t>
      </w:r>
    </w:p>
    <w:tbl>
      <w:tblPr>
        <w:tblW w:w="7200" w:type="dxa"/>
        <w:tblLook w:val="04A0" w:firstRow="1" w:lastRow="0" w:firstColumn="1" w:lastColumn="0" w:noHBand="0" w:noVBand="1"/>
      </w:tblPr>
      <w:tblGrid>
        <w:gridCol w:w="4740"/>
        <w:gridCol w:w="2460"/>
      </w:tblGrid>
      <w:tr w:rsidR="00873447" w:rsidRPr="00E17D79" w14:paraId="5D37A11E" w14:textId="77777777" w:rsidTr="00895A6F">
        <w:trPr>
          <w:trHeight w:val="403"/>
        </w:trPr>
        <w:tc>
          <w:tcPr>
            <w:tcW w:w="4740" w:type="dxa"/>
            <w:tcBorders>
              <w:top w:val="single" w:sz="8" w:space="0" w:color="7F7F7F"/>
              <w:left w:val="nil"/>
              <w:bottom w:val="single" w:sz="8" w:space="0" w:color="7F7F7F"/>
              <w:right w:val="nil"/>
            </w:tcBorders>
            <w:shd w:val="clear" w:color="auto" w:fill="auto"/>
            <w:vAlign w:val="center"/>
            <w:hideMark/>
          </w:tcPr>
          <w:p w14:paraId="0A81E59E" w14:textId="77777777" w:rsidR="00873447" w:rsidRPr="00E17D79" w:rsidRDefault="00873447" w:rsidP="00E17D79">
            <w:pPr>
              <w:spacing w:line="360" w:lineRule="auto"/>
              <w:jc w:val="both"/>
              <w:rPr>
                <w:rFonts w:ascii="Book Antiqua" w:eastAsia="等线" w:hAnsi="Book Antiqua" w:cs="宋体"/>
                <w:b/>
                <w:bCs/>
                <w:color w:val="000000"/>
                <w:lang w:val="en-US" w:eastAsia="zh-CN"/>
              </w:rPr>
            </w:pPr>
            <w:r w:rsidRPr="00E17D79">
              <w:rPr>
                <w:rFonts w:ascii="Book Antiqua" w:eastAsia="等线" w:hAnsi="Book Antiqua" w:cs="宋体"/>
                <w:b/>
                <w:bCs/>
                <w:color w:val="000000"/>
                <w:lang w:val="en-GB" w:eastAsia="zh-CN"/>
              </w:rPr>
              <w:t>Characteristic</w:t>
            </w:r>
          </w:p>
        </w:tc>
        <w:tc>
          <w:tcPr>
            <w:tcW w:w="2460" w:type="dxa"/>
            <w:tcBorders>
              <w:top w:val="single" w:sz="8" w:space="0" w:color="7F7F7F"/>
              <w:left w:val="nil"/>
              <w:bottom w:val="single" w:sz="8" w:space="0" w:color="7F7F7F"/>
              <w:right w:val="nil"/>
            </w:tcBorders>
            <w:shd w:val="clear" w:color="auto" w:fill="auto"/>
            <w:vAlign w:val="center"/>
            <w:hideMark/>
          </w:tcPr>
          <w:p w14:paraId="345287FC" w14:textId="241933FF" w:rsidR="00873447" w:rsidRPr="00E17D79" w:rsidRDefault="00873447" w:rsidP="00D174A3">
            <w:pPr>
              <w:spacing w:line="360" w:lineRule="auto"/>
              <w:jc w:val="both"/>
              <w:rPr>
                <w:rFonts w:ascii="Book Antiqua" w:eastAsia="等线" w:hAnsi="Book Antiqua" w:cs="宋体"/>
                <w:b/>
                <w:bCs/>
                <w:i/>
                <w:iCs/>
                <w:color w:val="000000"/>
                <w:lang w:val="en-US" w:eastAsia="zh-CN"/>
              </w:rPr>
            </w:pPr>
            <w:r w:rsidRPr="00E17D79">
              <w:rPr>
                <w:rFonts w:ascii="Book Antiqua" w:eastAsia="等线" w:hAnsi="Book Antiqua" w:cs="宋体"/>
                <w:b/>
                <w:bCs/>
                <w:i/>
                <w:iCs/>
                <w:color w:val="000000"/>
                <w:lang w:val="en-GB" w:eastAsia="zh-CN"/>
              </w:rPr>
              <w:t>n</w:t>
            </w:r>
            <w:r w:rsidR="00D174A3">
              <w:rPr>
                <w:rFonts w:ascii="Book Antiqua" w:eastAsia="等线" w:hAnsi="Book Antiqua" w:cs="宋体"/>
                <w:b/>
                <w:bCs/>
                <w:color w:val="000000"/>
                <w:lang w:val="en-GB" w:eastAsia="zh-CN"/>
              </w:rPr>
              <w:t xml:space="preserve"> (%)</w:t>
            </w:r>
          </w:p>
        </w:tc>
      </w:tr>
      <w:tr w:rsidR="00895A6F" w:rsidRPr="00E17D79" w14:paraId="517F79DD" w14:textId="77777777" w:rsidTr="00895A6F">
        <w:trPr>
          <w:trHeight w:val="495"/>
        </w:trPr>
        <w:tc>
          <w:tcPr>
            <w:tcW w:w="7200" w:type="dxa"/>
            <w:gridSpan w:val="2"/>
            <w:tcBorders>
              <w:top w:val="nil"/>
              <w:left w:val="nil"/>
              <w:right w:val="nil"/>
            </w:tcBorders>
            <w:shd w:val="clear" w:color="auto" w:fill="auto"/>
            <w:vAlign w:val="center"/>
            <w:hideMark/>
          </w:tcPr>
          <w:p w14:paraId="6607BA35" w14:textId="32F13210"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Clinical symptoms</w:t>
            </w:r>
          </w:p>
        </w:tc>
      </w:tr>
      <w:tr w:rsidR="00873447" w:rsidRPr="00E17D79" w14:paraId="3BA51AEF" w14:textId="77777777" w:rsidTr="00873447">
        <w:trPr>
          <w:trHeight w:val="330"/>
        </w:trPr>
        <w:tc>
          <w:tcPr>
            <w:tcW w:w="4740" w:type="dxa"/>
            <w:tcBorders>
              <w:top w:val="nil"/>
              <w:left w:val="nil"/>
              <w:bottom w:val="nil"/>
              <w:right w:val="nil"/>
            </w:tcBorders>
            <w:shd w:val="clear" w:color="auto" w:fill="auto"/>
            <w:vAlign w:val="center"/>
            <w:hideMark/>
          </w:tcPr>
          <w:p w14:paraId="227301BB"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Fever</w:t>
            </w:r>
          </w:p>
        </w:tc>
        <w:tc>
          <w:tcPr>
            <w:tcW w:w="2460" w:type="dxa"/>
            <w:tcBorders>
              <w:top w:val="nil"/>
              <w:left w:val="nil"/>
              <w:bottom w:val="nil"/>
              <w:right w:val="nil"/>
            </w:tcBorders>
            <w:shd w:val="clear" w:color="auto" w:fill="auto"/>
            <w:vAlign w:val="center"/>
            <w:hideMark/>
          </w:tcPr>
          <w:p w14:paraId="311632BC"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75 (94)</w:t>
            </w:r>
          </w:p>
        </w:tc>
      </w:tr>
      <w:tr w:rsidR="00873447" w:rsidRPr="00E17D79" w14:paraId="397EDAE7" w14:textId="77777777" w:rsidTr="00873447">
        <w:trPr>
          <w:trHeight w:val="435"/>
        </w:trPr>
        <w:tc>
          <w:tcPr>
            <w:tcW w:w="4740" w:type="dxa"/>
            <w:tcBorders>
              <w:top w:val="nil"/>
              <w:left w:val="nil"/>
              <w:bottom w:val="nil"/>
              <w:right w:val="nil"/>
            </w:tcBorders>
            <w:shd w:val="clear" w:color="auto" w:fill="auto"/>
            <w:vAlign w:val="center"/>
            <w:hideMark/>
          </w:tcPr>
          <w:p w14:paraId="480704FC"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Respiratory symptoms</w:t>
            </w:r>
          </w:p>
        </w:tc>
        <w:tc>
          <w:tcPr>
            <w:tcW w:w="2460" w:type="dxa"/>
            <w:tcBorders>
              <w:top w:val="nil"/>
              <w:left w:val="nil"/>
              <w:bottom w:val="nil"/>
              <w:right w:val="nil"/>
            </w:tcBorders>
            <w:shd w:val="clear" w:color="auto" w:fill="auto"/>
            <w:vAlign w:val="center"/>
            <w:hideMark/>
          </w:tcPr>
          <w:p w14:paraId="5057204C"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24 (30)</w:t>
            </w:r>
          </w:p>
        </w:tc>
      </w:tr>
      <w:tr w:rsidR="00873447" w:rsidRPr="00E17D79" w14:paraId="0C4FBFF5" w14:textId="77777777" w:rsidTr="00873447">
        <w:trPr>
          <w:trHeight w:val="330"/>
        </w:trPr>
        <w:tc>
          <w:tcPr>
            <w:tcW w:w="4740" w:type="dxa"/>
            <w:tcBorders>
              <w:top w:val="nil"/>
              <w:left w:val="nil"/>
              <w:bottom w:val="nil"/>
              <w:right w:val="nil"/>
            </w:tcBorders>
            <w:shd w:val="clear" w:color="auto" w:fill="auto"/>
            <w:vAlign w:val="center"/>
            <w:hideMark/>
          </w:tcPr>
          <w:p w14:paraId="52A09AD8"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Skin rash</w:t>
            </w:r>
          </w:p>
        </w:tc>
        <w:tc>
          <w:tcPr>
            <w:tcW w:w="2460" w:type="dxa"/>
            <w:tcBorders>
              <w:top w:val="nil"/>
              <w:left w:val="nil"/>
              <w:bottom w:val="nil"/>
              <w:right w:val="nil"/>
            </w:tcBorders>
            <w:shd w:val="clear" w:color="auto" w:fill="auto"/>
            <w:vAlign w:val="center"/>
            <w:hideMark/>
          </w:tcPr>
          <w:p w14:paraId="766142E2"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20 (25)</w:t>
            </w:r>
          </w:p>
        </w:tc>
      </w:tr>
      <w:tr w:rsidR="00873447" w:rsidRPr="00E17D79" w14:paraId="11AE6702" w14:textId="77777777" w:rsidTr="00873447">
        <w:trPr>
          <w:trHeight w:val="330"/>
        </w:trPr>
        <w:tc>
          <w:tcPr>
            <w:tcW w:w="4740" w:type="dxa"/>
            <w:tcBorders>
              <w:top w:val="nil"/>
              <w:left w:val="nil"/>
              <w:bottom w:val="nil"/>
              <w:right w:val="nil"/>
            </w:tcBorders>
            <w:shd w:val="clear" w:color="auto" w:fill="auto"/>
            <w:vAlign w:val="center"/>
            <w:hideMark/>
          </w:tcPr>
          <w:p w14:paraId="6A83C430"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Gastrointestinal symptoms</w:t>
            </w:r>
          </w:p>
        </w:tc>
        <w:tc>
          <w:tcPr>
            <w:tcW w:w="2460" w:type="dxa"/>
            <w:tcBorders>
              <w:top w:val="nil"/>
              <w:left w:val="nil"/>
              <w:bottom w:val="nil"/>
              <w:right w:val="nil"/>
            </w:tcBorders>
            <w:shd w:val="clear" w:color="auto" w:fill="auto"/>
            <w:vAlign w:val="center"/>
            <w:hideMark/>
          </w:tcPr>
          <w:p w14:paraId="5C0A4964"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8 (10)</w:t>
            </w:r>
          </w:p>
        </w:tc>
      </w:tr>
      <w:tr w:rsidR="00873447" w:rsidRPr="00E17D79" w14:paraId="17591B7B" w14:textId="77777777" w:rsidTr="00895A6F">
        <w:trPr>
          <w:trHeight w:val="465"/>
        </w:trPr>
        <w:tc>
          <w:tcPr>
            <w:tcW w:w="4740" w:type="dxa"/>
            <w:tcBorders>
              <w:top w:val="nil"/>
              <w:left w:val="nil"/>
              <w:right w:val="nil"/>
            </w:tcBorders>
            <w:shd w:val="clear" w:color="auto" w:fill="auto"/>
            <w:vAlign w:val="center"/>
            <w:hideMark/>
          </w:tcPr>
          <w:p w14:paraId="6AB27DDB"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CNS symptoms</w:t>
            </w:r>
            <w:r w:rsidRPr="00E17D79">
              <w:rPr>
                <w:rFonts w:ascii="Book Antiqua" w:eastAsia="等线" w:hAnsi="Book Antiqua" w:cs="宋体"/>
                <w:color w:val="000000"/>
                <w:vertAlign w:val="superscript"/>
                <w:lang w:val="en-GB" w:eastAsia="zh-CN"/>
              </w:rPr>
              <w:t>1</w:t>
            </w:r>
          </w:p>
        </w:tc>
        <w:tc>
          <w:tcPr>
            <w:tcW w:w="2460" w:type="dxa"/>
            <w:tcBorders>
              <w:top w:val="nil"/>
              <w:left w:val="nil"/>
              <w:right w:val="nil"/>
            </w:tcBorders>
            <w:shd w:val="clear" w:color="auto" w:fill="auto"/>
            <w:vAlign w:val="center"/>
            <w:hideMark/>
          </w:tcPr>
          <w:p w14:paraId="5C933B5C"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7 (9)</w:t>
            </w:r>
          </w:p>
        </w:tc>
      </w:tr>
      <w:tr w:rsidR="00895A6F" w:rsidRPr="00E17D79" w14:paraId="281277DA" w14:textId="77777777" w:rsidTr="00895A6F">
        <w:trPr>
          <w:trHeight w:val="465"/>
        </w:trPr>
        <w:tc>
          <w:tcPr>
            <w:tcW w:w="7200" w:type="dxa"/>
            <w:gridSpan w:val="2"/>
            <w:tcBorders>
              <w:top w:val="nil"/>
              <w:left w:val="nil"/>
              <w:bottom w:val="nil"/>
              <w:right w:val="nil"/>
            </w:tcBorders>
            <w:shd w:val="clear" w:color="auto" w:fill="auto"/>
            <w:vAlign w:val="center"/>
            <w:hideMark/>
          </w:tcPr>
          <w:p w14:paraId="58113B08" w14:textId="4D2BF524"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Physical findings</w:t>
            </w:r>
          </w:p>
        </w:tc>
      </w:tr>
      <w:tr w:rsidR="00873447" w:rsidRPr="00E17D79" w14:paraId="562393C9" w14:textId="77777777" w:rsidTr="00873447">
        <w:trPr>
          <w:trHeight w:val="465"/>
        </w:trPr>
        <w:tc>
          <w:tcPr>
            <w:tcW w:w="4740" w:type="dxa"/>
            <w:tcBorders>
              <w:top w:val="nil"/>
              <w:left w:val="nil"/>
              <w:bottom w:val="nil"/>
              <w:right w:val="nil"/>
            </w:tcBorders>
            <w:shd w:val="clear" w:color="auto" w:fill="auto"/>
            <w:vAlign w:val="center"/>
            <w:hideMark/>
          </w:tcPr>
          <w:p w14:paraId="678CA6C8"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Splenomegaly</w:t>
            </w:r>
          </w:p>
        </w:tc>
        <w:tc>
          <w:tcPr>
            <w:tcW w:w="2460" w:type="dxa"/>
            <w:tcBorders>
              <w:top w:val="nil"/>
              <w:left w:val="nil"/>
              <w:bottom w:val="nil"/>
              <w:right w:val="nil"/>
            </w:tcBorders>
            <w:shd w:val="clear" w:color="auto" w:fill="auto"/>
            <w:vAlign w:val="center"/>
            <w:hideMark/>
          </w:tcPr>
          <w:p w14:paraId="19E73687"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47 (59)</w:t>
            </w:r>
          </w:p>
        </w:tc>
      </w:tr>
      <w:tr w:rsidR="00873447" w:rsidRPr="00E17D79" w14:paraId="183045DE" w14:textId="77777777" w:rsidTr="00873447">
        <w:trPr>
          <w:trHeight w:val="510"/>
        </w:trPr>
        <w:tc>
          <w:tcPr>
            <w:tcW w:w="4740" w:type="dxa"/>
            <w:tcBorders>
              <w:top w:val="nil"/>
              <w:left w:val="nil"/>
              <w:bottom w:val="nil"/>
              <w:right w:val="nil"/>
            </w:tcBorders>
            <w:shd w:val="clear" w:color="auto" w:fill="auto"/>
            <w:vAlign w:val="center"/>
            <w:hideMark/>
          </w:tcPr>
          <w:p w14:paraId="2DE96F72"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Hepatomegaly</w:t>
            </w:r>
          </w:p>
        </w:tc>
        <w:tc>
          <w:tcPr>
            <w:tcW w:w="2460" w:type="dxa"/>
            <w:tcBorders>
              <w:top w:val="nil"/>
              <w:left w:val="nil"/>
              <w:bottom w:val="nil"/>
              <w:right w:val="nil"/>
            </w:tcBorders>
            <w:shd w:val="clear" w:color="auto" w:fill="auto"/>
            <w:vAlign w:val="center"/>
            <w:hideMark/>
          </w:tcPr>
          <w:p w14:paraId="6F6531B1"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47 (59)</w:t>
            </w:r>
          </w:p>
        </w:tc>
      </w:tr>
      <w:tr w:rsidR="00873447" w:rsidRPr="00E17D79" w14:paraId="05B40A1C" w14:textId="77777777" w:rsidTr="00873447">
        <w:trPr>
          <w:trHeight w:val="480"/>
        </w:trPr>
        <w:tc>
          <w:tcPr>
            <w:tcW w:w="4740" w:type="dxa"/>
            <w:tcBorders>
              <w:top w:val="nil"/>
              <w:left w:val="nil"/>
              <w:bottom w:val="nil"/>
              <w:right w:val="nil"/>
            </w:tcBorders>
            <w:shd w:val="clear" w:color="auto" w:fill="auto"/>
            <w:vAlign w:val="center"/>
            <w:hideMark/>
          </w:tcPr>
          <w:p w14:paraId="0EF52527"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Lymphadenopathy</w:t>
            </w:r>
          </w:p>
        </w:tc>
        <w:tc>
          <w:tcPr>
            <w:tcW w:w="2460" w:type="dxa"/>
            <w:tcBorders>
              <w:top w:val="nil"/>
              <w:left w:val="nil"/>
              <w:bottom w:val="nil"/>
              <w:right w:val="nil"/>
            </w:tcBorders>
            <w:shd w:val="clear" w:color="auto" w:fill="auto"/>
            <w:vAlign w:val="center"/>
            <w:hideMark/>
          </w:tcPr>
          <w:p w14:paraId="6D9EF1ED"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37 (46)</w:t>
            </w:r>
          </w:p>
        </w:tc>
      </w:tr>
      <w:tr w:rsidR="00895A6F" w:rsidRPr="00E17D79" w14:paraId="30551088" w14:textId="77777777" w:rsidTr="00895A6F">
        <w:trPr>
          <w:trHeight w:val="480"/>
        </w:trPr>
        <w:tc>
          <w:tcPr>
            <w:tcW w:w="7200" w:type="dxa"/>
            <w:gridSpan w:val="2"/>
            <w:tcBorders>
              <w:left w:val="nil"/>
              <w:bottom w:val="nil"/>
              <w:right w:val="nil"/>
            </w:tcBorders>
            <w:shd w:val="clear" w:color="auto" w:fill="auto"/>
            <w:vAlign w:val="center"/>
            <w:hideMark/>
          </w:tcPr>
          <w:p w14:paraId="500A25B2" w14:textId="2C59614E"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Laboratory findings</w:t>
            </w:r>
          </w:p>
        </w:tc>
      </w:tr>
      <w:tr w:rsidR="00873447" w:rsidRPr="00E17D79" w14:paraId="02167CD9" w14:textId="77777777" w:rsidTr="00873447">
        <w:trPr>
          <w:trHeight w:val="480"/>
        </w:trPr>
        <w:tc>
          <w:tcPr>
            <w:tcW w:w="4740" w:type="dxa"/>
            <w:tcBorders>
              <w:top w:val="nil"/>
              <w:left w:val="nil"/>
              <w:bottom w:val="nil"/>
              <w:right w:val="nil"/>
            </w:tcBorders>
            <w:shd w:val="clear" w:color="auto" w:fill="auto"/>
            <w:vAlign w:val="center"/>
            <w:hideMark/>
          </w:tcPr>
          <w:p w14:paraId="4A67F657"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Elevated ferritin (≥ 500 ng/ml)</w:t>
            </w:r>
          </w:p>
        </w:tc>
        <w:tc>
          <w:tcPr>
            <w:tcW w:w="2460" w:type="dxa"/>
            <w:tcBorders>
              <w:top w:val="nil"/>
              <w:left w:val="nil"/>
              <w:bottom w:val="nil"/>
              <w:right w:val="nil"/>
            </w:tcBorders>
            <w:shd w:val="clear" w:color="auto" w:fill="auto"/>
            <w:vAlign w:val="center"/>
            <w:hideMark/>
          </w:tcPr>
          <w:p w14:paraId="116245A5"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76 (95)</w:t>
            </w:r>
          </w:p>
        </w:tc>
      </w:tr>
      <w:tr w:rsidR="00873447" w:rsidRPr="00E17D79" w14:paraId="644FCE6F" w14:textId="77777777" w:rsidTr="00873447">
        <w:trPr>
          <w:trHeight w:val="420"/>
        </w:trPr>
        <w:tc>
          <w:tcPr>
            <w:tcW w:w="4740" w:type="dxa"/>
            <w:tcBorders>
              <w:top w:val="nil"/>
              <w:left w:val="nil"/>
              <w:bottom w:val="nil"/>
              <w:right w:val="nil"/>
            </w:tcBorders>
            <w:shd w:val="clear" w:color="auto" w:fill="auto"/>
            <w:vAlign w:val="center"/>
            <w:hideMark/>
          </w:tcPr>
          <w:p w14:paraId="33C04343"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 10000 ng/ml)</w:t>
            </w:r>
          </w:p>
        </w:tc>
        <w:tc>
          <w:tcPr>
            <w:tcW w:w="2460" w:type="dxa"/>
            <w:tcBorders>
              <w:top w:val="nil"/>
              <w:left w:val="nil"/>
              <w:bottom w:val="nil"/>
              <w:right w:val="nil"/>
            </w:tcBorders>
            <w:shd w:val="clear" w:color="auto" w:fill="auto"/>
            <w:vAlign w:val="center"/>
            <w:hideMark/>
          </w:tcPr>
          <w:p w14:paraId="71E11E2E"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20 (25)</w:t>
            </w:r>
          </w:p>
        </w:tc>
      </w:tr>
      <w:tr w:rsidR="00873447" w:rsidRPr="00E17D79" w14:paraId="50B08F7B" w14:textId="77777777" w:rsidTr="00873447">
        <w:trPr>
          <w:trHeight w:val="495"/>
        </w:trPr>
        <w:tc>
          <w:tcPr>
            <w:tcW w:w="4740" w:type="dxa"/>
            <w:tcBorders>
              <w:top w:val="nil"/>
              <w:left w:val="nil"/>
              <w:bottom w:val="nil"/>
              <w:right w:val="nil"/>
            </w:tcBorders>
            <w:shd w:val="clear" w:color="auto" w:fill="auto"/>
            <w:vAlign w:val="center"/>
            <w:hideMark/>
          </w:tcPr>
          <w:p w14:paraId="64AF5EC0"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Elevated inflammatory markers</w:t>
            </w:r>
            <w:r w:rsidRPr="00E17D79">
              <w:rPr>
                <w:rFonts w:ascii="Book Antiqua" w:eastAsia="等线" w:hAnsi="Book Antiqua" w:cs="宋体"/>
                <w:color w:val="000000"/>
                <w:vertAlign w:val="superscript"/>
                <w:lang w:val="en-GB" w:eastAsia="zh-CN"/>
              </w:rPr>
              <w:t>2</w:t>
            </w:r>
          </w:p>
        </w:tc>
        <w:tc>
          <w:tcPr>
            <w:tcW w:w="2460" w:type="dxa"/>
            <w:tcBorders>
              <w:top w:val="nil"/>
              <w:left w:val="nil"/>
              <w:bottom w:val="nil"/>
              <w:right w:val="nil"/>
            </w:tcBorders>
            <w:shd w:val="clear" w:color="auto" w:fill="auto"/>
            <w:vAlign w:val="center"/>
            <w:hideMark/>
          </w:tcPr>
          <w:p w14:paraId="36D2D134"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69 (86)</w:t>
            </w:r>
          </w:p>
        </w:tc>
      </w:tr>
      <w:tr w:rsidR="00895A6F" w:rsidRPr="00E17D79" w14:paraId="59A9C62B" w14:textId="77777777" w:rsidTr="00895A6F">
        <w:trPr>
          <w:trHeight w:val="405"/>
        </w:trPr>
        <w:tc>
          <w:tcPr>
            <w:tcW w:w="7200" w:type="dxa"/>
            <w:gridSpan w:val="2"/>
            <w:tcBorders>
              <w:top w:val="nil"/>
              <w:left w:val="nil"/>
              <w:bottom w:val="nil"/>
              <w:right w:val="nil"/>
            </w:tcBorders>
            <w:shd w:val="clear" w:color="auto" w:fill="auto"/>
            <w:vAlign w:val="center"/>
            <w:hideMark/>
          </w:tcPr>
          <w:p w14:paraId="01529EFB" w14:textId="59C9C8D0"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Complete blood count</w:t>
            </w:r>
          </w:p>
        </w:tc>
      </w:tr>
      <w:tr w:rsidR="00873447" w:rsidRPr="00E17D79" w14:paraId="52E97B16" w14:textId="77777777" w:rsidTr="00873447">
        <w:trPr>
          <w:trHeight w:val="330"/>
        </w:trPr>
        <w:tc>
          <w:tcPr>
            <w:tcW w:w="4740" w:type="dxa"/>
            <w:tcBorders>
              <w:top w:val="nil"/>
              <w:left w:val="nil"/>
              <w:bottom w:val="nil"/>
              <w:right w:val="nil"/>
            </w:tcBorders>
            <w:shd w:val="clear" w:color="auto" w:fill="auto"/>
            <w:vAlign w:val="center"/>
            <w:hideMark/>
          </w:tcPr>
          <w:p w14:paraId="6124484C" w14:textId="77777777" w:rsidR="00873447" w:rsidRPr="00E17D79" w:rsidRDefault="00873447" w:rsidP="00E17D79">
            <w:pPr>
              <w:spacing w:line="360" w:lineRule="auto"/>
              <w:ind w:firstLineChars="150" w:firstLine="36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Anaemia</w:t>
            </w:r>
          </w:p>
        </w:tc>
        <w:tc>
          <w:tcPr>
            <w:tcW w:w="2460" w:type="dxa"/>
            <w:tcBorders>
              <w:top w:val="nil"/>
              <w:left w:val="nil"/>
              <w:bottom w:val="nil"/>
              <w:right w:val="nil"/>
            </w:tcBorders>
            <w:shd w:val="clear" w:color="auto" w:fill="auto"/>
            <w:vAlign w:val="center"/>
            <w:hideMark/>
          </w:tcPr>
          <w:p w14:paraId="47F66765"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58 (72)</w:t>
            </w:r>
          </w:p>
        </w:tc>
      </w:tr>
      <w:tr w:rsidR="00873447" w:rsidRPr="00E17D79" w14:paraId="5F84462D" w14:textId="77777777" w:rsidTr="00873447">
        <w:trPr>
          <w:trHeight w:val="420"/>
        </w:trPr>
        <w:tc>
          <w:tcPr>
            <w:tcW w:w="4740" w:type="dxa"/>
            <w:tcBorders>
              <w:top w:val="nil"/>
              <w:left w:val="nil"/>
              <w:bottom w:val="nil"/>
              <w:right w:val="nil"/>
            </w:tcBorders>
            <w:shd w:val="clear" w:color="auto" w:fill="auto"/>
            <w:vAlign w:val="center"/>
            <w:hideMark/>
          </w:tcPr>
          <w:p w14:paraId="6223DC53" w14:textId="77777777" w:rsidR="00873447" w:rsidRPr="00E17D79" w:rsidRDefault="00873447" w:rsidP="00E17D79">
            <w:pPr>
              <w:spacing w:line="360" w:lineRule="auto"/>
              <w:ind w:firstLineChars="150" w:firstLine="36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Thrombocytopenia</w:t>
            </w:r>
          </w:p>
        </w:tc>
        <w:tc>
          <w:tcPr>
            <w:tcW w:w="2460" w:type="dxa"/>
            <w:tcBorders>
              <w:top w:val="nil"/>
              <w:left w:val="nil"/>
              <w:bottom w:val="nil"/>
              <w:right w:val="nil"/>
            </w:tcBorders>
            <w:shd w:val="clear" w:color="auto" w:fill="auto"/>
            <w:vAlign w:val="center"/>
            <w:hideMark/>
          </w:tcPr>
          <w:p w14:paraId="14C8341F"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57 (71)</w:t>
            </w:r>
          </w:p>
        </w:tc>
      </w:tr>
      <w:tr w:rsidR="00873447" w:rsidRPr="00E17D79" w14:paraId="0E8C8CEB" w14:textId="77777777" w:rsidTr="00873447">
        <w:trPr>
          <w:trHeight w:val="390"/>
        </w:trPr>
        <w:tc>
          <w:tcPr>
            <w:tcW w:w="4740" w:type="dxa"/>
            <w:tcBorders>
              <w:top w:val="nil"/>
              <w:left w:val="nil"/>
              <w:bottom w:val="nil"/>
              <w:right w:val="nil"/>
            </w:tcBorders>
            <w:shd w:val="clear" w:color="auto" w:fill="auto"/>
            <w:vAlign w:val="center"/>
            <w:hideMark/>
          </w:tcPr>
          <w:p w14:paraId="70852009" w14:textId="77777777" w:rsidR="00873447" w:rsidRPr="00E17D79" w:rsidRDefault="00873447" w:rsidP="00E17D79">
            <w:pPr>
              <w:spacing w:line="360" w:lineRule="auto"/>
              <w:ind w:firstLineChars="150" w:firstLine="36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Leucopoenia/neutropenia</w:t>
            </w:r>
          </w:p>
        </w:tc>
        <w:tc>
          <w:tcPr>
            <w:tcW w:w="2460" w:type="dxa"/>
            <w:tcBorders>
              <w:top w:val="nil"/>
              <w:left w:val="nil"/>
              <w:bottom w:val="nil"/>
              <w:right w:val="nil"/>
            </w:tcBorders>
            <w:shd w:val="clear" w:color="auto" w:fill="auto"/>
            <w:vAlign w:val="center"/>
            <w:hideMark/>
          </w:tcPr>
          <w:p w14:paraId="3E2AE47E"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38 (47)/9 (11)</w:t>
            </w:r>
          </w:p>
        </w:tc>
      </w:tr>
      <w:tr w:rsidR="00873447" w:rsidRPr="00E17D79" w14:paraId="32CA6A5E" w14:textId="77777777" w:rsidTr="00873447">
        <w:trPr>
          <w:trHeight w:val="495"/>
        </w:trPr>
        <w:tc>
          <w:tcPr>
            <w:tcW w:w="4740" w:type="dxa"/>
            <w:tcBorders>
              <w:top w:val="nil"/>
              <w:left w:val="nil"/>
              <w:bottom w:val="nil"/>
              <w:right w:val="nil"/>
            </w:tcBorders>
            <w:shd w:val="clear" w:color="auto" w:fill="auto"/>
            <w:vAlign w:val="center"/>
            <w:hideMark/>
          </w:tcPr>
          <w:p w14:paraId="4106D05D" w14:textId="77777777" w:rsidR="00873447" w:rsidRPr="00E17D79" w:rsidRDefault="00873447" w:rsidP="00E17D79">
            <w:pPr>
              <w:spacing w:line="360" w:lineRule="auto"/>
              <w:ind w:firstLineChars="150" w:firstLine="36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Pancytopenia</w:t>
            </w:r>
          </w:p>
        </w:tc>
        <w:tc>
          <w:tcPr>
            <w:tcW w:w="2460" w:type="dxa"/>
            <w:tcBorders>
              <w:top w:val="nil"/>
              <w:left w:val="nil"/>
              <w:bottom w:val="nil"/>
              <w:right w:val="nil"/>
            </w:tcBorders>
            <w:shd w:val="clear" w:color="auto" w:fill="auto"/>
            <w:vAlign w:val="center"/>
            <w:hideMark/>
          </w:tcPr>
          <w:p w14:paraId="3D745414"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24 (30)</w:t>
            </w:r>
          </w:p>
        </w:tc>
      </w:tr>
      <w:tr w:rsidR="00873447" w:rsidRPr="00E17D79" w14:paraId="35E29905" w14:textId="77777777" w:rsidTr="00873447">
        <w:trPr>
          <w:trHeight w:val="420"/>
        </w:trPr>
        <w:tc>
          <w:tcPr>
            <w:tcW w:w="4740" w:type="dxa"/>
            <w:tcBorders>
              <w:top w:val="nil"/>
              <w:left w:val="nil"/>
              <w:bottom w:val="nil"/>
              <w:right w:val="nil"/>
            </w:tcBorders>
            <w:shd w:val="clear" w:color="auto" w:fill="auto"/>
            <w:vAlign w:val="center"/>
            <w:hideMark/>
          </w:tcPr>
          <w:p w14:paraId="1A5F6F98"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Elevated LFTs</w:t>
            </w:r>
          </w:p>
        </w:tc>
        <w:tc>
          <w:tcPr>
            <w:tcW w:w="2460" w:type="dxa"/>
            <w:tcBorders>
              <w:top w:val="nil"/>
              <w:left w:val="nil"/>
              <w:bottom w:val="nil"/>
              <w:right w:val="nil"/>
            </w:tcBorders>
            <w:shd w:val="clear" w:color="auto" w:fill="auto"/>
            <w:vAlign w:val="center"/>
            <w:hideMark/>
          </w:tcPr>
          <w:p w14:paraId="5A48CCB8"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70 (87)</w:t>
            </w:r>
          </w:p>
        </w:tc>
      </w:tr>
      <w:tr w:rsidR="00873447" w:rsidRPr="00E17D79" w14:paraId="099BEB3A" w14:textId="77777777" w:rsidTr="00873447">
        <w:trPr>
          <w:trHeight w:val="405"/>
        </w:trPr>
        <w:tc>
          <w:tcPr>
            <w:tcW w:w="4740" w:type="dxa"/>
            <w:tcBorders>
              <w:top w:val="nil"/>
              <w:left w:val="nil"/>
              <w:bottom w:val="nil"/>
              <w:right w:val="nil"/>
            </w:tcBorders>
            <w:shd w:val="clear" w:color="auto" w:fill="auto"/>
            <w:vAlign w:val="center"/>
            <w:hideMark/>
          </w:tcPr>
          <w:p w14:paraId="5115170D"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Elevated LDH</w:t>
            </w:r>
          </w:p>
        </w:tc>
        <w:tc>
          <w:tcPr>
            <w:tcW w:w="2460" w:type="dxa"/>
            <w:tcBorders>
              <w:top w:val="nil"/>
              <w:left w:val="nil"/>
              <w:bottom w:val="nil"/>
              <w:right w:val="nil"/>
            </w:tcBorders>
            <w:shd w:val="clear" w:color="auto" w:fill="auto"/>
            <w:vAlign w:val="center"/>
            <w:hideMark/>
          </w:tcPr>
          <w:p w14:paraId="31223D71"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61 (76)</w:t>
            </w:r>
          </w:p>
        </w:tc>
      </w:tr>
      <w:tr w:rsidR="00873447" w:rsidRPr="00E17D79" w14:paraId="44973302" w14:textId="77777777" w:rsidTr="00873447">
        <w:trPr>
          <w:trHeight w:val="465"/>
        </w:trPr>
        <w:tc>
          <w:tcPr>
            <w:tcW w:w="4740" w:type="dxa"/>
            <w:tcBorders>
              <w:top w:val="nil"/>
              <w:left w:val="nil"/>
              <w:bottom w:val="nil"/>
              <w:right w:val="nil"/>
            </w:tcBorders>
            <w:shd w:val="clear" w:color="auto" w:fill="auto"/>
            <w:vAlign w:val="center"/>
            <w:hideMark/>
          </w:tcPr>
          <w:p w14:paraId="3D9BB503"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High triglycerides</w:t>
            </w:r>
          </w:p>
        </w:tc>
        <w:tc>
          <w:tcPr>
            <w:tcW w:w="2460" w:type="dxa"/>
            <w:tcBorders>
              <w:top w:val="nil"/>
              <w:left w:val="nil"/>
              <w:bottom w:val="nil"/>
              <w:right w:val="nil"/>
            </w:tcBorders>
            <w:shd w:val="clear" w:color="auto" w:fill="auto"/>
            <w:vAlign w:val="center"/>
            <w:hideMark/>
          </w:tcPr>
          <w:p w14:paraId="197BFCA0"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55 (70)</w:t>
            </w:r>
          </w:p>
        </w:tc>
      </w:tr>
      <w:tr w:rsidR="00873447" w:rsidRPr="00E17D79" w14:paraId="61D419D6" w14:textId="77777777" w:rsidTr="00873447">
        <w:trPr>
          <w:trHeight w:val="390"/>
        </w:trPr>
        <w:tc>
          <w:tcPr>
            <w:tcW w:w="4740" w:type="dxa"/>
            <w:tcBorders>
              <w:top w:val="nil"/>
              <w:left w:val="nil"/>
              <w:bottom w:val="nil"/>
              <w:right w:val="nil"/>
            </w:tcBorders>
            <w:shd w:val="clear" w:color="auto" w:fill="auto"/>
            <w:vAlign w:val="center"/>
            <w:hideMark/>
          </w:tcPr>
          <w:p w14:paraId="778CA5FF"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Low fibrinogen levels</w:t>
            </w:r>
          </w:p>
        </w:tc>
        <w:tc>
          <w:tcPr>
            <w:tcW w:w="2460" w:type="dxa"/>
            <w:tcBorders>
              <w:top w:val="nil"/>
              <w:left w:val="nil"/>
              <w:bottom w:val="nil"/>
              <w:right w:val="nil"/>
            </w:tcBorders>
            <w:shd w:val="clear" w:color="auto" w:fill="auto"/>
            <w:vAlign w:val="center"/>
            <w:hideMark/>
          </w:tcPr>
          <w:p w14:paraId="69C91268"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18 (22)</w:t>
            </w:r>
          </w:p>
        </w:tc>
      </w:tr>
      <w:tr w:rsidR="00873447" w:rsidRPr="00E17D79" w14:paraId="16910AE6" w14:textId="77777777" w:rsidTr="00873447">
        <w:trPr>
          <w:trHeight w:val="345"/>
        </w:trPr>
        <w:tc>
          <w:tcPr>
            <w:tcW w:w="4740" w:type="dxa"/>
            <w:tcBorders>
              <w:top w:val="nil"/>
              <w:left w:val="nil"/>
              <w:bottom w:val="single" w:sz="8" w:space="0" w:color="7F7F7F"/>
              <w:right w:val="nil"/>
            </w:tcBorders>
            <w:shd w:val="clear" w:color="auto" w:fill="auto"/>
            <w:vAlign w:val="center"/>
            <w:hideMark/>
          </w:tcPr>
          <w:p w14:paraId="20F022D3" w14:textId="77777777" w:rsidR="00873447" w:rsidRPr="00E17D79" w:rsidRDefault="00873447"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DIC</w:t>
            </w:r>
          </w:p>
        </w:tc>
        <w:tc>
          <w:tcPr>
            <w:tcW w:w="2460" w:type="dxa"/>
            <w:tcBorders>
              <w:top w:val="nil"/>
              <w:left w:val="nil"/>
              <w:bottom w:val="single" w:sz="8" w:space="0" w:color="7F7F7F"/>
              <w:right w:val="nil"/>
            </w:tcBorders>
            <w:shd w:val="clear" w:color="auto" w:fill="auto"/>
            <w:vAlign w:val="center"/>
            <w:hideMark/>
          </w:tcPr>
          <w:p w14:paraId="3774CAB3" w14:textId="77777777" w:rsidR="00873447" w:rsidRPr="00E17D79" w:rsidRDefault="00873447"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9 (11)</w:t>
            </w:r>
          </w:p>
        </w:tc>
      </w:tr>
    </w:tbl>
    <w:p w14:paraId="687F2A0C" w14:textId="38EA2328" w:rsidR="00514CD4" w:rsidRPr="00E17D79" w:rsidRDefault="009C7678" w:rsidP="00E17D79">
      <w:pPr>
        <w:spacing w:line="360" w:lineRule="auto"/>
        <w:jc w:val="both"/>
        <w:rPr>
          <w:rFonts w:ascii="Book Antiqua" w:eastAsiaTheme="minorHAnsi" w:hAnsi="Book Antiqua" w:cs="Arial"/>
          <w:lang w:val="en-GB" w:eastAsia="en-US"/>
        </w:rPr>
      </w:pPr>
      <w:r w:rsidRPr="00E17D79">
        <w:rPr>
          <w:rFonts w:ascii="Book Antiqua" w:eastAsiaTheme="minorHAnsi" w:hAnsi="Book Antiqua" w:cs="Arial"/>
          <w:vertAlign w:val="superscript"/>
          <w:lang w:val="en-GB" w:eastAsia="en-US"/>
        </w:rPr>
        <w:t>1</w:t>
      </w:r>
      <w:r w:rsidRPr="00E17D79">
        <w:rPr>
          <w:rFonts w:ascii="Book Antiqua" w:eastAsiaTheme="minorHAnsi" w:hAnsi="Book Antiqua" w:cs="Arial"/>
          <w:lang w:val="en-GB" w:eastAsia="en-US"/>
        </w:rPr>
        <w:t>Disturbance of consciousness, headache/dizziness</w:t>
      </w:r>
      <w:r w:rsidR="00D174A3">
        <w:rPr>
          <w:rFonts w:asciiTheme="minorEastAsia" w:eastAsiaTheme="minorEastAsia" w:hAnsiTheme="minorEastAsia" w:cs="Arial" w:hint="eastAsia"/>
          <w:lang w:val="en-GB" w:eastAsia="zh-CN"/>
        </w:rPr>
        <w:t xml:space="preserve">. </w:t>
      </w:r>
      <w:r w:rsidRPr="00E17D79">
        <w:rPr>
          <w:rFonts w:ascii="Book Antiqua" w:eastAsiaTheme="minorHAnsi" w:hAnsi="Book Antiqua" w:cs="Arial"/>
          <w:vertAlign w:val="superscript"/>
          <w:lang w:val="en-GB" w:eastAsia="en-US"/>
        </w:rPr>
        <w:t>2</w:t>
      </w:r>
      <w:r w:rsidRPr="00E17D79">
        <w:rPr>
          <w:rFonts w:ascii="Book Antiqua" w:eastAsiaTheme="minorHAnsi" w:hAnsi="Book Antiqua" w:cs="Arial"/>
          <w:lang w:val="en-GB" w:eastAsia="en-US"/>
        </w:rPr>
        <w:t>C-reactive protein and erythrocyte sedimentation rate.</w:t>
      </w:r>
      <w:r w:rsidR="00D174A3">
        <w:rPr>
          <w:rFonts w:ascii="Book Antiqua" w:eastAsiaTheme="minorEastAsia" w:hAnsi="Book Antiqua" w:cs="Arial" w:hint="eastAsia"/>
          <w:lang w:val="en-GB" w:eastAsia="zh-CN"/>
        </w:rPr>
        <w:t xml:space="preserve"> </w:t>
      </w:r>
      <w:r w:rsidR="00974DCE" w:rsidRPr="00E17D79">
        <w:rPr>
          <w:rFonts w:ascii="Book Antiqua" w:eastAsiaTheme="minorHAnsi" w:hAnsi="Book Antiqua" w:cs="Arial"/>
          <w:lang w:val="en-GB" w:eastAsia="en-US"/>
        </w:rPr>
        <w:t>CNS</w:t>
      </w:r>
      <w:r w:rsidR="00895A6F" w:rsidRPr="00E17D79">
        <w:rPr>
          <w:rFonts w:ascii="Book Antiqua" w:eastAsiaTheme="minorHAnsi" w:hAnsi="Book Antiqua" w:cs="Arial"/>
          <w:lang w:val="en-GB" w:eastAsia="en-US"/>
        </w:rPr>
        <w:t>:</w:t>
      </w:r>
      <w:r w:rsidR="00974DCE" w:rsidRPr="00E17D79">
        <w:rPr>
          <w:rFonts w:ascii="Book Antiqua" w:eastAsiaTheme="minorHAnsi" w:hAnsi="Book Antiqua" w:cs="Arial"/>
          <w:lang w:val="en-GB" w:eastAsia="en-US"/>
        </w:rPr>
        <w:t xml:space="preserve"> </w:t>
      </w:r>
      <w:r w:rsidR="00895A6F" w:rsidRPr="00E17D79">
        <w:rPr>
          <w:rFonts w:ascii="Book Antiqua" w:eastAsiaTheme="minorHAnsi" w:hAnsi="Book Antiqua" w:cs="Arial"/>
          <w:lang w:val="en-GB" w:eastAsia="en-US"/>
        </w:rPr>
        <w:t xml:space="preserve">Central </w:t>
      </w:r>
      <w:r w:rsidR="00974DCE" w:rsidRPr="00E17D79">
        <w:rPr>
          <w:rFonts w:ascii="Book Antiqua" w:eastAsiaTheme="minorHAnsi" w:hAnsi="Book Antiqua" w:cs="Arial"/>
          <w:lang w:val="en-GB" w:eastAsia="en-US"/>
        </w:rPr>
        <w:t xml:space="preserve">nervous system; </w:t>
      </w:r>
      <w:r w:rsidR="00542551" w:rsidRPr="00E17D79">
        <w:rPr>
          <w:rFonts w:ascii="Book Antiqua" w:eastAsiaTheme="minorHAnsi" w:hAnsi="Book Antiqua" w:cs="Arial"/>
          <w:lang w:val="en-GB" w:eastAsia="en-US"/>
        </w:rPr>
        <w:t>LFTs</w:t>
      </w:r>
      <w:r w:rsidR="00895A6F" w:rsidRPr="00E17D79">
        <w:rPr>
          <w:rFonts w:ascii="Book Antiqua" w:eastAsiaTheme="minorHAnsi" w:hAnsi="Book Antiqua" w:cs="Arial"/>
          <w:lang w:val="en-GB" w:eastAsia="en-US"/>
        </w:rPr>
        <w:t>:</w:t>
      </w:r>
      <w:r w:rsidR="00542551" w:rsidRPr="00E17D79">
        <w:rPr>
          <w:rFonts w:ascii="Book Antiqua" w:eastAsiaTheme="minorHAnsi" w:hAnsi="Book Antiqua" w:cs="Arial"/>
          <w:lang w:val="en-GB" w:eastAsia="en-US"/>
        </w:rPr>
        <w:t xml:space="preserve"> </w:t>
      </w:r>
      <w:r w:rsidR="00895A6F" w:rsidRPr="00E17D79">
        <w:rPr>
          <w:rFonts w:ascii="Book Antiqua" w:eastAsiaTheme="minorHAnsi" w:hAnsi="Book Antiqua" w:cs="Arial"/>
          <w:lang w:val="en-GB" w:eastAsia="en-US"/>
        </w:rPr>
        <w:t xml:space="preserve">Liver </w:t>
      </w:r>
      <w:r w:rsidR="00542551" w:rsidRPr="00E17D79">
        <w:rPr>
          <w:rFonts w:ascii="Book Antiqua" w:eastAsiaTheme="minorHAnsi" w:hAnsi="Book Antiqua" w:cs="Arial"/>
          <w:lang w:val="en-GB" w:eastAsia="en-US"/>
        </w:rPr>
        <w:lastRenderedPageBreak/>
        <w:t xml:space="preserve">function tests; </w:t>
      </w:r>
      <w:r w:rsidR="00E71806" w:rsidRPr="00E17D79">
        <w:rPr>
          <w:rFonts w:ascii="Book Antiqua" w:eastAsiaTheme="minorHAnsi" w:hAnsi="Book Antiqua" w:cs="Arial"/>
          <w:lang w:val="en-GB" w:eastAsia="en-US"/>
        </w:rPr>
        <w:t>LDH</w:t>
      </w:r>
      <w:r w:rsidR="00895A6F" w:rsidRPr="00E17D79">
        <w:rPr>
          <w:rFonts w:ascii="Book Antiqua" w:eastAsiaTheme="minorHAnsi" w:hAnsi="Book Antiqua" w:cs="Arial"/>
          <w:lang w:val="en-GB" w:eastAsia="en-US"/>
        </w:rPr>
        <w:t>:</w:t>
      </w:r>
      <w:r w:rsidR="00E71806" w:rsidRPr="00E17D79">
        <w:rPr>
          <w:rFonts w:ascii="Book Antiqua" w:eastAsiaTheme="minorHAnsi" w:hAnsi="Book Antiqua" w:cs="Arial"/>
          <w:lang w:val="en-GB" w:eastAsia="en-US"/>
        </w:rPr>
        <w:t xml:space="preserve"> </w:t>
      </w:r>
      <w:r w:rsidR="00895A6F" w:rsidRPr="00E17D79">
        <w:rPr>
          <w:rFonts w:ascii="Book Antiqua" w:eastAsiaTheme="minorHAnsi" w:hAnsi="Book Antiqua" w:cs="Arial"/>
          <w:lang w:val="en-GB" w:eastAsia="en-US"/>
        </w:rPr>
        <w:t xml:space="preserve">Lactate </w:t>
      </w:r>
      <w:r w:rsidR="00E71806" w:rsidRPr="00E17D79">
        <w:rPr>
          <w:rFonts w:ascii="Book Antiqua" w:eastAsiaTheme="minorHAnsi" w:hAnsi="Book Antiqua" w:cs="Arial"/>
          <w:lang w:val="en-GB" w:eastAsia="en-US"/>
        </w:rPr>
        <w:t xml:space="preserve">dehydrogenase; </w:t>
      </w:r>
      <w:r w:rsidR="001D0F39" w:rsidRPr="00E17D79">
        <w:rPr>
          <w:rFonts w:ascii="Book Antiqua" w:eastAsiaTheme="minorHAnsi" w:hAnsi="Book Antiqua" w:cs="Arial"/>
          <w:lang w:val="en-GB" w:eastAsia="en-US"/>
        </w:rPr>
        <w:t>DIC</w:t>
      </w:r>
      <w:r w:rsidR="00895A6F" w:rsidRPr="00E17D79">
        <w:rPr>
          <w:rFonts w:ascii="Book Antiqua" w:eastAsiaTheme="minorHAnsi" w:hAnsi="Book Antiqua" w:cs="Arial"/>
          <w:lang w:val="en-GB" w:eastAsia="en-US"/>
        </w:rPr>
        <w:t>:</w:t>
      </w:r>
      <w:r w:rsidR="001D0F39" w:rsidRPr="00E17D79">
        <w:rPr>
          <w:rFonts w:ascii="Book Antiqua" w:eastAsiaTheme="minorHAnsi" w:hAnsi="Book Antiqua" w:cs="Arial"/>
          <w:lang w:val="en-GB" w:eastAsia="en-US"/>
        </w:rPr>
        <w:t xml:space="preserve"> </w:t>
      </w:r>
      <w:r w:rsidR="00895A6F" w:rsidRPr="00E17D79">
        <w:rPr>
          <w:rFonts w:ascii="Book Antiqua" w:eastAsiaTheme="minorHAnsi" w:hAnsi="Book Antiqua" w:cs="Arial"/>
          <w:lang w:val="en-GB" w:eastAsia="en-US"/>
        </w:rPr>
        <w:t xml:space="preserve">Disseminated </w:t>
      </w:r>
      <w:r w:rsidR="001D0F39" w:rsidRPr="00E17D79">
        <w:rPr>
          <w:rFonts w:ascii="Book Antiqua" w:eastAsiaTheme="minorHAnsi" w:hAnsi="Book Antiqua" w:cs="Arial"/>
          <w:lang w:val="en-GB" w:eastAsia="en-US"/>
        </w:rPr>
        <w:t>intravascular coagulation.</w:t>
      </w:r>
    </w:p>
    <w:p w14:paraId="717D03D8" w14:textId="77777777" w:rsidR="00806752" w:rsidRPr="00E17D79" w:rsidRDefault="00E605FA" w:rsidP="00E17D79">
      <w:pPr>
        <w:spacing w:line="360" w:lineRule="auto"/>
        <w:jc w:val="both"/>
        <w:rPr>
          <w:rFonts w:ascii="Book Antiqua" w:hAnsi="Book Antiqua" w:cs="Arial"/>
          <w:lang w:val="en-GB"/>
        </w:rPr>
      </w:pPr>
      <w:r w:rsidRPr="00E17D79">
        <w:rPr>
          <w:rFonts w:ascii="Book Antiqua" w:hAnsi="Book Antiqua" w:cs="Arial"/>
          <w:lang w:val="en-GB"/>
        </w:rPr>
        <w:br w:type="page"/>
      </w:r>
    </w:p>
    <w:p w14:paraId="64096E7A" w14:textId="1F4FFB75" w:rsidR="00C01381" w:rsidRPr="00E17D79" w:rsidRDefault="00C01381" w:rsidP="00E17D79">
      <w:pPr>
        <w:spacing w:line="360" w:lineRule="auto"/>
        <w:jc w:val="both"/>
        <w:rPr>
          <w:rFonts w:ascii="Book Antiqua" w:hAnsi="Book Antiqua" w:cs="Arial"/>
          <w:b/>
          <w:lang w:val="en-GB"/>
        </w:rPr>
      </w:pPr>
      <w:r w:rsidRPr="00E17D79">
        <w:rPr>
          <w:rFonts w:ascii="Book Antiqua" w:hAnsi="Book Antiqua" w:cs="Arial"/>
          <w:b/>
          <w:lang w:val="en-GB"/>
        </w:rPr>
        <w:lastRenderedPageBreak/>
        <w:t xml:space="preserve">Table </w:t>
      </w:r>
      <w:r w:rsidR="004C7D26" w:rsidRPr="00E17D79">
        <w:rPr>
          <w:rFonts w:ascii="Book Antiqua" w:hAnsi="Book Antiqua" w:cs="Arial"/>
          <w:b/>
          <w:lang w:val="en-GB"/>
        </w:rPr>
        <w:t>2</w:t>
      </w:r>
      <w:r w:rsidRPr="00E17D79">
        <w:rPr>
          <w:rFonts w:ascii="Book Antiqua" w:hAnsi="Book Antiqua" w:cs="Arial"/>
          <w:b/>
          <w:lang w:val="en-GB"/>
        </w:rPr>
        <w:t xml:space="preserve"> Underlying disease in the 80 patients with </w:t>
      </w:r>
      <w:r w:rsidR="00DA6D93" w:rsidRPr="00E17D79">
        <w:rPr>
          <w:rFonts w:ascii="Book Antiqua" w:eastAsiaTheme="minorHAnsi" w:hAnsi="Book Antiqua" w:cs="Arial"/>
          <w:b/>
          <w:lang w:val="en-GB" w:eastAsia="en-US"/>
        </w:rPr>
        <w:t>secondary haemophagocytic lymphohistiocytosis</w:t>
      </w:r>
    </w:p>
    <w:tbl>
      <w:tblPr>
        <w:tblW w:w="8354" w:type="dxa"/>
        <w:tblBorders>
          <w:top w:val="single" w:sz="4" w:space="0" w:color="auto"/>
          <w:bottom w:val="single" w:sz="4" w:space="0" w:color="auto"/>
        </w:tblBorders>
        <w:tblLook w:val="04A0" w:firstRow="1" w:lastRow="0" w:firstColumn="1" w:lastColumn="0" w:noHBand="0" w:noVBand="1"/>
      </w:tblPr>
      <w:tblGrid>
        <w:gridCol w:w="6794"/>
        <w:gridCol w:w="1560"/>
      </w:tblGrid>
      <w:tr w:rsidR="00895A6F" w:rsidRPr="00E17D79" w14:paraId="434D0A86" w14:textId="77777777" w:rsidTr="00895A6F">
        <w:trPr>
          <w:trHeight w:val="345"/>
        </w:trPr>
        <w:tc>
          <w:tcPr>
            <w:tcW w:w="6794" w:type="dxa"/>
            <w:tcBorders>
              <w:top w:val="single" w:sz="4" w:space="0" w:color="auto"/>
              <w:bottom w:val="single" w:sz="4" w:space="0" w:color="auto"/>
            </w:tcBorders>
            <w:shd w:val="clear" w:color="auto" w:fill="auto"/>
            <w:vAlign w:val="center"/>
            <w:hideMark/>
          </w:tcPr>
          <w:p w14:paraId="69F8EEEE" w14:textId="77777777" w:rsidR="00895A6F" w:rsidRPr="00E17D79" w:rsidRDefault="00895A6F" w:rsidP="00E17D79">
            <w:pPr>
              <w:spacing w:line="360" w:lineRule="auto"/>
              <w:jc w:val="both"/>
              <w:rPr>
                <w:rFonts w:ascii="Book Antiqua" w:eastAsia="等线" w:hAnsi="Book Antiqua" w:cs="宋体"/>
                <w:b/>
                <w:bCs/>
                <w:color w:val="000000"/>
                <w:lang w:val="en-US" w:eastAsia="zh-CN"/>
              </w:rPr>
            </w:pPr>
            <w:r w:rsidRPr="00E17D79">
              <w:rPr>
                <w:rFonts w:ascii="Book Antiqua" w:eastAsia="等线" w:hAnsi="Book Antiqua" w:cs="宋体"/>
                <w:b/>
                <w:bCs/>
                <w:color w:val="000000"/>
                <w:lang w:val="en-GB" w:eastAsia="zh-CN"/>
              </w:rPr>
              <w:t>Disease</w:t>
            </w:r>
          </w:p>
        </w:tc>
        <w:tc>
          <w:tcPr>
            <w:tcW w:w="1560" w:type="dxa"/>
            <w:tcBorders>
              <w:top w:val="single" w:sz="4" w:space="0" w:color="auto"/>
              <w:bottom w:val="single" w:sz="4" w:space="0" w:color="auto"/>
            </w:tcBorders>
            <w:shd w:val="clear" w:color="auto" w:fill="auto"/>
            <w:vAlign w:val="center"/>
            <w:hideMark/>
          </w:tcPr>
          <w:p w14:paraId="0DF32131" w14:textId="77777777" w:rsidR="00895A6F" w:rsidRPr="00E17D79" w:rsidRDefault="00895A6F" w:rsidP="00E17D79">
            <w:pPr>
              <w:spacing w:line="360" w:lineRule="auto"/>
              <w:jc w:val="both"/>
              <w:rPr>
                <w:rFonts w:ascii="Book Antiqua" w:eastAsia="等线" w:hAnsi="Book Antiqua" w:cs="宋体"/>
                <w:b/>
                <w:bCs/>
                <w:i/>
                <w:iCs/>
                <w:color w:val="000000"/>
                <w:lang w:val="en-US" w:eastAsia="zh-CN"/>
              </w:rPr>
            </w:pPr>
            <w:r w:rsidRPr="00E17D79">
              <w:rPr>
                <w:rFonts w:ascii="Book Antiqua" w:eastAsia="等线" w:hAnsi="Book Antiqua" w:cs="宋体"/>
                <w:b/>
                <w:bCs/>
                <w:i/>
                <w:iCs/>
                <w:color w:val="000000"/>
                <w:lang w:val="en-GB" w:eastAsia="zh-CN"/>
              </w:rPr>
              <w:t>n</w:t>
            </w:r>
          </w:p>
        </w:tc>
      </w:tr>
      <w:tr w:rsidR="00895A6F" w:rsidRPr="00E17D79" w14:paraId="5E9C4325" w14:textId="77777777" w:rsidTr="00895A6F">
        <w:trPr>
          <w:trHeight w:val="495"/>
        </w:trPr>
        <w:tc>
          <w:tcPr>
            <w:tcW w:w="6794" w:type="dxa"/>
            <w:tcBorders>
              <w:top w:val="single" w:sz="4" w:space="0" w:color="auto"/>
            </w:tcBorders>
            <w:shd w:val="clear" w:color="auto" w:fill="auto"/>
            <w:vAlign w:val="center"/>
            <w:hideMark/>
          </w:tcPr>
          <w:p w14:paraId="7D999995"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Infection</w:t>
            </w:r>
          </w:p>
        </w:tc>
        <w:tc>
          <w:tcPr>
            <w:tcW w:w="1560" w:type="dxa"/>
            <w:tcBorders>
              <w:top w:val="single" w:sz="4" w:space="0" w:color="auto"/>
            </w:tcBorders>
            <w:shd w:val="clear" w:color="auto" w:fill="auto"/>
            <w:vAlign w:val="center"/>
            <w:hideMark/>
          </w:tcPr>
          <w:p w14:paraId="08A5E058" w14:textId="7DEE3B1A"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25B05C04" w14:textId="77777777" w:rsidTr="00895A6F">
        <w:trPr>
          <w:trHeight w:val="330"/>
        </w:trPr>
        <w:tc>
          <w:tcPr>
            <w:tcW w:w="6794" w:type="dxa"/>
            <w:shd w:val="clear" w:color="auto" w:fill="auto"/>
            <w:vAlign w:val="center"/>
            <w:hideMark/>
          </w:tcPr>
          <w:p w14:paraId="2BC8BE9B"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Parasite</w:t>
            </w:r>
          </w:p>
        </w:tc>
        <w:tc>
          <w:tcPr>
            <w:tcW w:w="1560" w:type="dxa"/>
            <w:shd w:val="clear" w:color="auto" w:fill="auto"/>
            <w:hideMark/>
          </w:tcPr>
          <w:p w14:paraId="4F4503D2" w14:textId="375E5B18"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55C93DE9" w14:textId="77777777" w:rsidTr="00895A6F">
        <w:trPr>
          <w:trHeight w:val="435"/>
        </w:trPr>
        <w:tc>
          <w:tcPr>
            <w:tcW w:w="6794" w:type="dxa"/>
            <w:shd w:val="clear" w:color="auto" w:fill="auto"/>
            <w:vAlign w:val="center"/>
            <w:hideMark/>
          </w:tcPr>
          <w:p w14:paraId="79C6DF4A"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Leishmania spp.</w:t>
            </w:r>
            <w:r w:rsidRPr="00E17D79">
              <w:rPr>
                <w:rFonts w:ascii="Book Antiqua" w:eastAsia="等线" w:hAnsi="Book Antiqua" w:cs="宋体"/>
                <w:color w:val="000000"/>
                <w:lang w:val="en-GB" w:eastAsia="zh-CN"/>
              </w:rPr>
              <w:t xml:space="preserve"> alone</w:t>
            </w:r>
          </w:p>
        </w:tc>
        <w:tc>
          <w:tcPr>
            <w:tcW w:w="1560" w:type="dxa"/>
            <w:shd w:val="clear" w:color="auto" w:fill="auto"/>
            <w:vAlign w:val="center"/>
            <w:hideMark/>
          </w:tcPr>
          <w:p w14:paraId="5D7111EB"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15</w:t>
            </w:r>
          </w:p>
        </w:tc>
      </w:tr>
      <w:tr w:rsidR="00895A6F" w:rsidRPr="00E17D79" w14:paraId="7D0661D7" w14:textId="77777777" w:rsidTr="00895A6F">
        <w:trPr>
          <w:trHeight w:val="330"/>
        </w:trPr>
        <w:tc>
          <w:tcPr>
            <w:tcW w:w="6794" w:type="dxa"/>
            <w:shd w:val="clear" w:color="auto" w:fill="auto"/>
            <w:vAlign w:val="center"/>
            <w:hideMark/>
          </w:tcPr>
          <w:p w14:paraId="2458EFCF"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Leishmania spp.</w:t>
            </w:r>
            <w:r w:rsidRPr="00E17D79">
              <w:rPr>
                <w:rFonts w:ascii="Book Antiqua" w:eastAsia="等线" w:hAnsi="Book Antiqua" w:cs="宋体"/>
                <w:color w:val="000000"/>
                <w:lang w:val="en-GB" w:eastAsia="zh-CN"/>
              </w:rPr>
              <w:t xml:space="preserve"> plus </w:t>
            </w:r>
            <w:r w:rsidRPr="00E17D79">
              <w:rPr>
                <w:rFonts w:ascii="Book Antiqua" w:eastAsia="等线" w:hAnsi="Book Antiqua" w:cs="宋体"/>
                <w:i/>
                <w:iCs/>
                <w:color w:val="000000"/>
                <w:lang w:val="en-GB" w:eastAsia="zh-CN"/>
              </w:rPr>
              <w:t>Coxiella Burnetti</w:t>
            </w:r>
          </w:p>
        </w:tc>
        <w:tc>
          <w:tcPr>
            <w:tcW w:w="1560" w:type="dxa"/>
            <w:shd w:val="clear" w:color="auto" w:fill="auto"/>
            <w:vAlign w:val="center"/>
            <w:hideMark/>
          </w:tcPr>
          <w:p w14:paraId="02F49BB7"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00337347" w14:textId="77777777" w:rsidTr="00895A6F">
        <w:trPr>
          <w:trHeight w:val="330"/>
        </w:trPr>
        <w:tc>
          <w:tcPr>
            <w:tcW w:w="6794" w:type="dxa"/>
            <w:shd w:val="clear" w:color="auto" w:fill="auto"/>
            <w:vAlign w:val="center"/>
            <w:hideMark/>
          </w:tcPr>
          <w:p w14:paraId="78E4754F"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Bacteria</w:t>
            </w:r>
          </w:p>
        </w:tc>
        <w:tc>
          <w:tcPr>
            <w:tcW w:w="1560" w:type="dxa"/>
            <w:shd w:val="clear" w:color="auto" w:fill="auto"/>
            <w:noWrap/>
            <w:vAlign w:val="center"/>
            <w:hideMark/>
          </w:tcPr>
          <w:p w14:paraId="6F75405F" w14:textId="77777777" w:rsidR="00895A6F" w:rsidRPr="00E17D79" w:rsidRDefault="00895A6F" w:rsidP="00E17D79">
            <w:pPr>
              <w:spacing w:line="360" w:lineRule="auto"/>
              <w:jc w:val="both"/>
              <w:rPr>
                <w:rFonts w:ascii="Book Antiqua" w:eastAsia="等线" w:hAnsi="Book Antiqua" w:cs="宋体"/>
                <w:color w:val="000000"/>
                <w:u w:val="single"/>
                <w:lang w:val="en-US" w:eastAsia="zh-CN"/>
              </w:rPr>
            </w:pPr>
          </w:p>
        </w:tc>
      </w:tr>
      <w:tr w:rsidR="00895A6F" w:rsidRPr="00E17D79" w14:paraId="3E29A1E7" w14:textId="77777777" w:rsidTr="00895A6F">
        <w:trPr>
          <w:trHeight w:val="465"/>
        </w:trPr>
        <w:tc>
          <w:tcPr>
            <w:tcW w:w="6794" w:type="dxa"/>
            <w:shd w:val="clear" w:color="auto" w:fill="auto"/>
            <w:vAlign w:val="center"/>
            <w:hideMark/>
          </w:tcPr>
          <w:p w14:paraId="50DA1A86"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Coxiella Burnetti</w:t>
            </w:r>
            <w:r w:rsidRPr="00E17D79">
              <w:rPr>
                <w:rFonts w:ascii="Book Antiqua" w:eastAsia="等线" w:hAnsi="Book Antiqua" w:cs="宋体"/>
                <w:color w:val="000000"/>
                <w:lang w:val="en-GB" w:eastAsia="zh-CN"/>
              </w:rPr>
              <w:t xml:space="preserve"> alone</w:t>
            </w:r>
          </w:p>
        </w:tc>
        <w:tc>
          <w:tcPr>
            <w:tcW w:w="1560" w:type="dxa"/>
            <w:shd w:val="clear" w:color="auto" w:fill="auto"/>
            <w:vAlign w:val="center"/>
            <w:hideMark/>
          </w:tcPr>
          <w:p w14:paraId="5A385534"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3</w:t>
            </w:r>
          </w:p>
        </w:tc>
      </w:tr>
      <w:tr w:rsidR="00895A6F" w:rsidRPr="00E17D79" w14:paraId="52ADBC7E" w14:textId="77777777" w:rsidTr="00895A6F">
        <w:trPr>
          <w:trHeight w:val="465"/>
        </w:trPr>
        <w:tc>
          <w:tcPr>
            <w:tcW w:w="6794" w:type="dxa"/>
            <w:shd w:val="clear" w:color="auto" w:fill="auto"/>
            <w:vAlign w:val="center"/>
            <w:hideMark/>
          </w:tcPr>
          <w:p w14:paraId="5E34F7FA"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Staphylococcus aureus</w:t>
            </w:r>
          </w:p>
        </w:tc>
        <w:tc>
          <w:tcPr>
            <w:tcW w:w="1560" w:type="dxa"/>
            <w:shd w:val="clear" w:color="auto" w:fill="auto"/>
            <w:vAlign w:val="center"/>
            <w:hideMark/>
          </w:tcPr>
          <w:p w14:paraId="311A2297"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w:t>
            </w:r>
          </w:p>
        </w:tc>
      </w:tr>
      <w:tr w:rsidR="00895A6F" w:rsidRPr="00E17D79" w14:paraId="3F2A41BC" w14:textId="77777777" w:rsidTr="00895A6F">
        <w:trPr>
          <w:trHeight w:val="465"/>
        </w:trPr>
        <w:tc>
          <w:tcPr>
            <w:tcW w:w="6794" w:type="dxa"/>
            <w:shd w:val="clear" w:color="auto" w:fill="auto"/>
            <w:vAlign w:val="center"/>
            <w:hideMark/>
          </w:tcPr>
          <w:p w14:paraId="6E250C1B"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Acinetobacter baumannii</w:t>
            </w:r>
            <w:r w:rsidRPr="00E17D79">
              <w:rPr>
                <w:rFonts w:ascii="Book Antiqua" w:eastAsia="等线" w:hAnsi="Book Antiqua" w:cs="宋体"/>
                <w:color w:val="000000"/>
                <w:lang w:val="en-GB" w:eastAsia="zh-CN"/>
              </w:rPr>
              <w:t xml:space="preserve"> plus </w:t>
            </w:r>
            <w:r w:rsidRPr="00E17D79">
              <w:rPr>
                <w:rFonts w:ascii="Book Antiqua" w:eastAsia="等线" w:hAnsi="Book Antiqua" w:cs="宋体"/>
                <w:i/>
                <w:iCs/>
                <w:color w:val="000000"/>
                <w:lang w:val="en-GB" w:eastAsia="zh-CN"/>
              </w:rPr>
              <w:t>Achromobacter</w:t>
            </w:r>
            <w:r w:rsidRPr="00E17D79">
              <w:rPr>
                <w:rFonts w:ascii="Book Antiqua" w:eastAsia="等线" w:hAnsi="Book Antiqua" w:cs="宋体"/>
                <w:color w:val="000000"/>
                <w:lang w:val="en-GB" w:eastAsia="zh-CN"/>
              </w:rPr>
              <w:t xml:space="preserve"> </w:t>
            </w:r>
            <w:r w:rsidRPr="00E17D79">
              <w:rPr>
                <w:rFonts w:ascii="Book Antiqua" w:eastAsia="等线" w:hAnsi="Book Antiqua" w:cs="宋体"/>
                <w:i/>
                <w:iCs/>
                <w:color w:val="000000"/>
                <w:lang w:val="en-GB" w:eastAsia="zh-CN"/>
              </w:rPr>
              <w:t>xylosoxidans</w:t>
            </w:r>
          </w:p>
        </w:tc>
        <w:tc>
          <w:tcPr>
            <w:tcW w:w="1560" w:type="dxa"/>
            <w:shd w:val="clear" w:color="auto" w:fill="auto"/>
            <w:vAlign w:val="center"/>
            <w:hideMark/>
          </w:tcPr>
          <w:p w14:paraId="1E4E5BF3"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0F819C26" w14:textId="77777777" w:rsidTr="00895A6F">
        <w:trPr>
          <w:trHeight w:val="510"/>
        </w:trPr>
        <w:tc>
          <w:tcPr>
            <w:tcW w:w="6794" w:type="dxa"/>
            <w:shd w:val="clear" w:color="auto" w:fill="auto"/>
            <w:vAlign w:val="center"/>
            <w:hideMark/>
          </w:tcPr>
          <w:p w14:paraId="53289593"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Acinetobacter baumannii</w:t>
            </w:r>
            <w:r w:rsidRPr="00E17D79">
              <w:rPr>
                <w:rFonts w:ascii="Book Antiqua" w:eastAsia="等线" w:hAnsi="Book Antiqua" w:cs="宋体"/>
                <w:color w:val="000000"/>
                <w:lang w:val="en-GB" w:eastAsia="zh-CN"/>
              </w:rPr>
              <w:t xml:space="preserve"> plus </w:t>
            </w:r>
            <w:r w:rsidRPr="00E17D79">
              <w:rPr>
                <w:rFonts w:ascii="Book Antiqua" w:eastAsia="等线" w:hAnsi="Book Antiqua" w:cs="宋体"/>
                <w:i/>
                <w:iCs/>
                <w:color w:val="000000"/>
                <w:lang w:val="en-GB" w:eastAsia="zh-CN"/>
              </w:rPr>
              <w:t>Aspergillus spp.</w:t>
            </w:r>
          </w:p>
        </w:tc>
        <w:tc>
          <w:tcPr>
            <w:tcW w:w="1560" w:type="dxa"/>
            <w:shd w:val="clear" w:color="auto" w:fill="auto"/>
            <w:hideMark/>
          </w:tcPr>
          <w:p w14:paraId="56FEFECB"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4645627E" w14:textId="77777777" w:rsidTr="00895A6F">
        <w:trPr>
          <w:trHeight w:val="480"/>
        </w:trPr>
        <w:tc>
          <w:tcPr>
            <w:tcW w:w="6794" w:type="dxa"/>
            <w:shd w:val="clear" w:color="auto" w:fill="auto"/>
            <w:vAlign w:val="center"/>
            <w:hideMark/>
          </w:tcPr>
          <w:p w14:paraId="7A500E94"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Achromobacter xylosoxidans</w:t>
            </w:r>
            <w:r w:rsidRPr="00E17D79">
              <w:rPr>
                <w:rFonts w:ascii="Book Antiqua" w:eastAsia="等线" w:hAnsi="Book Antiqua" w:cs="宋体"/>
                <w:color w:val="000000"/>
                <w:lang w:val="en-GB" w:eastAsia="zh-CN"/>
              </w:rPr>
              <w:t xml:space="preserve"> alone</w:t>
            </w:r>
          </w:p>
        </w:tc>
        <w:tc>
          <w:tcPr>
            <w:tcW w:w="1560" w:type="dxa"/>
            <w:shd w:val="clear" w:color="auto" w:fill="auto"/>
            <w:vAlign w:val="center"/>
            <w:hideMark/>
          </w:tcPr>
          <w:p w14:paraId="6C4C4D7B"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339A767A" w14:textId="77777777" w:rsidTr="00895A6F">
        <w:trPr>
          <w:trHeight w:val="480"/>
        </w:trPr>
        <w:tc>
          <w:tcPr>
            <w:tcW w:w="6794" w:type="dxa"/>
            <w:shd w:val="clear" w:color="auto" w:fill="auto"/>
            <w:vAlign w:val="center"/>
            <w:hideMark/>
          </w:tcPr>
          <w:p w14:paraId="6EE04A85"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E. Coli</w:t>
            </w:r>
          </w:p>
        </w:tc>
        <w:tc>
          <w:tcPr>
            <w:tcW w:w="1560" w:type="dxa"/>
            <w:shd w:val="clear" w:color="auto" w:fill="auto"/>
            <w:hideMark/>
          </w:tcPr>
          <w:p w14:paraId="2D97CCD9"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2</w:t>
            </w:r>
          </w:p>
        </w:tc>
      </w:tr>
      <w:tr w:rsidR="00895A6F" w:rsidRPr="00E17D79" w14:paraId="7B1A759A" w14:textId="77777777" w:rsidTr="00895A6F">
        <w:trPr>
          <w:trHeight w:val="480"/>
        </w:trPr>
        <w:tc>
          <w:tcPr>
            <w:tcW w:w="6794" w:type="dxa"/>
            <w:shd w:val="clear" w:color="auto" w:fill="auto"/>
            <w:vAlign w:val="center"/>
            <w:hideMark/>
          </w:tcPr>
          <w:p w14:paraId="47BFF166"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Pseudomonas aeruginosa</w:t>
            </w:r>
          </w:p>
        </w:tc>
        <w:tc>
          <w:tcPr>
            <w:tcW w:w="1560" w:type="dxa"/>
            <w:shd w:val="clear" w:color="auto" w:fill="auto"/>
            <w:vAlign w:val="center"/>
            <w:hideMark/>
          </w:tcPr>
          <w:p w14:paraId="299CB00C"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18699A44" w14:textId="77777777" w:rsidTr="00895A6F">
        <w:trPr>
          <w:trHeight w:val="420"/>
        </w:trPr>
        <w:tc>
          <w:tcPr>
            <w:tcW w:w="6794" w:type="dxa"/>
            <w:shd w:val="clear" w:color="auto" w:fill="auto"/>
            <w:vAlign w:val="center"/>
            <w:hideMark/>
          </w:tcPr>
          <w:p w14:paraId="411E8C75"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Rickettsia spp.</w:t>
            </w:r>
          </w:p>
        </w:tc>
        <w:tc>
          <w:tcPr>
            <w:tcW w:w="1560" w:type="dxa"/>
            <w:shd w:val="clear" w:color="auto" w:fill="auto"/>
            <w:hideMark/>
          </w:tcPr>
          <w:p w14:paraId="4BFF338E"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5A527768" w14:textId="77777777" w:rsidTr="00895A6F">
        <w:trPr>
          <w:trHeight w:val="495"/>
        </w:trPr>
        <w:tc>
          <w:tcPr>
            <w:tcW w:w="6794" w:type="dxa"/>
            <w:shd w:val="clear" w:color="auto" w:fill="auto"/>
            <w:vAlign w:val="center"/>
            <w:hideMark/>
          </w:tcPr>
          <w:p w14:paraId="264FE7B7"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Brucella spp.</w:t>
            </w:r>
          </w:p>
        </w:tc>
        <w:tc>
          <w:tcPr>
            <w:tcW w:w="1560" w:type="dxa"/>
            <w:shd w:val="clear" w:color="auto" w:fill="auto"/>
            <w:vAlign w:val="center"/>
            <w:hideMark/>
          </w:tcPr>
          <w:p w14:paraId="6279161E"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654C2DB2" w14:textId="77777777" w:rsidTr="00895A6F">
        <w:trPr>
          <w:trHeight w:val="405"/>
        </w:trPr>
        <w:tc>
          <w:tcPr>
            <w:tcW w:w="6794" w:type="dxa"/>
            <w:shd w:val="clear" w:color="auto" w:fill="auto"/>
            <w:vAlign w:val="center"/>
            <w:hideMark/>
          </w:tcPr>
          <w:p w14:paraId="28BBA9F3"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Virus</w:t>
            </w:r>
          </w:p>
        </w:tc>
        <w:tc>
          <w:tcPr>
            <w:tcW w:w="1560" w:type="dxa"/>
            <w:shd w:val="clear" w:color="auto" w:fill="auto"/>
            <w:hideMark/>
          </w:tcPr>
          <w:p w14:paraId="42738899" w14:textId="01554DF3"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2FDF540C" w14:textId="77777777" w:rsidTr="00895A6F">
        <w:trPr>
          <w:trHeight w:val="330"/>
        </w:trPr>
        <w:tc>
          <w:tcPr>
            <w:tcW w:w="6794" w:type="dxa"/>
            <w:shd w:val="clear" w:color="auto" w:fill="auto"/>
            <w:vAlign w:val="center"/>
            <w:hideMark/>
          </w:tcPr>
          <w:p w14:paraId="3681F6E2"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EBV</w:t>
            </w:r>
          </w:p>
        </w:tc>
        <w:tc>
          <w:tcPr>
            <w:tcW w:w="1560" w:type="dxa"/>
            <w:shd w:val="clear" w:color="auto" w:fill="auto"/>
            <w:vAlign w:val="center"/>
            <w:hideMark/>
          </w:tcPr>
          <w:p w14:paraId="32E90130"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7</w:t>
            </w:r>
          </w:p>
        </w:tc>
      </w:tr>
      <w:tr w:rsidR="00895A6F" w:rsidRPr="00E17D79" w14:paraId="1B0A263E" w14:textId="77777777" w:rsidTr="00895A6F">
        <w:trPr>
          <w:trHeight w:val="420"/>
        </w:trPr>
        <w:tc>
          <w:tcPr>
            <w:tcW w:w="6794" w:type="dxa"/>
            <w:shd w:val="clear" w:color="auto" w:fill="auto"/>
            <w:vAlign w:val="center"/>
            <w:hideMark/>
          </w:tcPr>
          <w:p w14:paraId="25A82062"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Influenza (A/H3N2)</w:t>
            </w:r>
          </w:p>
        </w:tc>
        <w:tc>
          <w:tcPr>
            <w:tcW w:w="1560" w:type="dxa"/>
            <w:shd w:val="clear" w:color="auto" w:fill="auto"/>
            <w:hideMark/>
          </w:tcPr>
          <w:p w14:paraId="3DEF2924"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3</w:t>
            </w:r>
          </w:p>
        </w:tc>
      </w:tr>
      <w:tr w:rsidR="00895A6F" w:rsidRPr="00E17D79" w14:paraId="4E5E3D7A" w14:textId="77777777" w:rsidTr="00895A6F">
        <w:trPr>
          <w:trHeight w:val="390"/>
        </w:trPr>
        <w:tc>
          <w:tcPr>
            <w:tcW w:w="6794" w:type="dxa"/>
            <w:shd w:val="clear" w:color="auto" w:fill="auto"/>
            <w:vAlign w:val="center"/>
            <w:hideMark/>
          </w:tcPr>
          <w:p w14:paraId="6F69DC08"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HSV</w:t>
            </w:r>
          </w:p>
        </w:tc>
        <w:tc>
          <w:tcPr>
            <w:tcW w:w="1560" w:type="dxa"/>
            <w:shd w:val="clear" w:color="auto" w:fill="auto"/>
            <w:vAlign w:val="center"/>
            <w:hideMark/>
          </w:tcPr>
          <w:p w14:paraId="4B2B11FF"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6199BEFB" w14:textId="77777777" w:rsidTr="00895A6F">
        <w:trPr>
          <w:trHeight w:val="495"/>
        </w:trPr>
        <w:tc>
          <w:tcPr>
            <w:tcW w:w="6794" w:type="dxa"/>
            <w:shd w:val="clear" w:color="auto" w:fill="auto"/>
            <w:vAlign w:val="center"/>
            <w:hideMark/>
          </w:tcPr>
          <w:p w14:paraId="106942FF"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CMV</w:t>
            </w:r>
            <w:r w:rsidRPr="00E17D79">
              <w:rPr>
                <w:rFonts w:ascii="Book Antiqua" w:eastAsia="等线" w:hAnsi="Book Antiqua" w:cs="宋体"/>
                <w:color w:val="000000"/>
                <w:vertAlign w:val="superscript"/>
                <w:lang w:val="en-GB" w:eastAsia="zh-CN"/>
              </w:rPr>
              <w:t>1</w:t>
            </w:r>
          </w:p>
        </w:tc>
        <w:tc>
          <w:tcPr>
            <w:tcW w:w="1560" w:type="dxa"/>
            <w:shd w:val="clear" w:color="auto" w:fill="auto"/>
            <w:hideMark/>
          </w:tcPr>
          <w:p w14:paraId="313BE3AA"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0D5C292A" w14:textId="77777777" w:rsidTr="00895A6F">
        <w:trPr>
          <w:trHeight w:val="420"/>
        </w:trPr>
        <w:tc>
          <w:tcPr>
            <w:tcW w:w="6794" w:type="dxa"/>
            <w:shd w:val="clear" w:color="auto" w:fill="auto"/>
            <w:vAlign w:val="center"/>
            <w:hideMark/>
          </w:tcPr>
          <w:p w14:paraId="6240954C"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Measles</w:t>
            </w:r>
          </w:p>
        </w:tc>
        <w:tc>
          <w:tcPr>
            <w:tcW w:w="1560" w:type="dxa"/>
            <w:shd w:val="clear" w:color="auto" w:fill="auto"/>
            <w:vAlign w:val="center"/>
            <w:hideMark/>
          </w:tcPr>
          <w:p w14:paraId="62AC76F3"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5060C93F" w14:textId="77777777" w:rsidTr="00895A6F">
        <w:trPr>
          <w:trHeight w:val="405"/>
        </w:trPr>
        <w:tc>
          <w:tcPr>
            <w:tcW w:w="6794" w:type="dxa"/>
            <w:shd w:val="clear" w:color="auto" w:fill="auto"/>
            <w:vAlign w:val="center"/>
            <w:hideMark/>
          </w:tcPr>
          <w:p w14:paraId="23A3DE6A"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Fungi</w:t>
            </w:r>
          </w:p>
        </w:tc>
        <w:tc>
          <w:tcPr>
            <w:tcW w:w="1560" w:type="dxa"/>
            <w:shd w:val="clear" w:color="auto" w:fill="auto"/>
            <w:hideMark/>
          </w:tcPr>
          <w:p w14:paraId="60985E26" w14:textId="209CEAE5"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28BF4BB2" w14:textId="77777777" w:rsidTr="00895A6F">
        <w:trPr>
          <w:trHeight w:val="465"/>
        </w:trPr>
        <w:tc>
          <w:tcPr>
            <w:tcW w:w="6794" w:type="dxa"/>
            <w:shd w:val="clear" w:color="auto" w:fill="auto"/>
            <w:vAlign w:val="center"/>
            <w:hideMark/>
          </w:tcPr>
          <w:p w14:paraId="2C154FE1"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Aspergillus spp.</w:t>
            </w:r>
          </w:p>
        </w:tc>
        <w:tc>
          <w:tcPr>
            <w:tcW w:w="1560" w:type="dxa"/>
            <w:shd w:val="clear" w:color="auto" w:fill="auto"/>
            <w:vAlign w:val="center"/>
            <w:hideMark/>
          </w:tcPr>
          <w:p w14:paraId="48A623FC"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4EDBE203" w14:textId="77777777" w:rsidTr="00895A6F">
        <w:trPr>
          <w:trHeight w:val="390"/>
        </w:trPr>
        <w:tc>
          <w:tcPr>
            <w:tcW w:w="6794" w:type="dxa"/>
            <w:shd w:val="clear" w:color="auto" w:fill="auto"/>
            <w:vAlign w:val="center"/>
            <w:hideMark/>
          </w:tcPr>
          <w:p w14:paraId="4DC7BAA3"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Candida spp.</w:t>
            </w:r>
          </w:p>
        </w:tc>
        <w:tc>
          <w:tcPr>
            <w:tcW w:w="1560" w:type="dxa"/>
            <w:shd w:val="clear" w:color="auto" w:fill="auto"/>
            <w:hideMark/>
          </w:tcPr>
          <w:p w14:paraId="024FEA4B"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148D1C4C" w14:textId="77777777" w:rsidTr="00895A6F">
        <w:trPr>
          <w:trHeight w:val="345"/>
        </w:trPr>
        <w:tc>
          <w:tcPr>
            <w:tcW w:w="6794" w:type="dxa"/>
            <w:shd w:val="clear" w:color="auto" w:fill="auto"/>
            <w:vAlign w:val="center"/>
            <w:hideMark/>
          </w:tcPr>
          <w:p w14:paraId="647A71B8"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Mycobacteria</w:t>
            </w:r>
          </w:p>
        </w:tc>
        <w:tc>
          <w:tcPr>
            <w:tcW w:w="1560" w:type="dxa"/>
            <w:shd w:val="clear" w:color="auto" w:fill="auto"/>
            <w:noWrap/>
            <w:vAlign w:val="center"/>
            <w:hideMark/>
          </w:tcPr>
          <w:p w14:paraId="48698E83" w14:textId="77777777" w:rsidR="00895A6F" w:rsidRPr="00E17D79" w:rsidRDefault="00895A6F" w:rsidP="00E17D79">
            <w:pPr>
              <w:spacing w:line="360" w:lineRule="auto"/>
              <w:jc w:val="both"/>
              <w:rPr>
                <w:rFonts w:ascii="Book Antiqua" w:eastAsia="等线" w:hAnsi="Book Antiqua" w:cs="宋体"/>
                <w:color w:val="000000"/>
                <w:u w:val="single"/>
                <w:lang w:val="en-US" w:eastAsia="zh-CN"/>
              </w:rPr>
            </w:pPr>
          </w:p>
        </w:tc>
      </w:tr>
      <w:tr w:rsidR="00895A6F" w:rsidRPr="00E17D79" w14:paraId="566FF026" w14:textId="77777777" w:rsidTr="00895A6F">
        <w:trPr>
          <w:trHeight w:val="300"/>
        </w:trPr>
        <w:tc>
          <w:tcPr>
            <w:tcW w:w="6794" w:type="dxa"/>
            <w:shd w:val="clear" w:color="auto" w:fill="auto"/>
            <w:vAlign w:val="center"/>
            <w:hideMark/>
          </w:tcPr>
          <w:p w14:paraId="048347E2" w14:textId="77777777" w:rsidR="00895A6F" w:rsidRPr="00E17D79"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E17D79">
              <w:rPr>
                <w:rFonts w:ascii="Book Antiqua" w:eastAsia="等线" w:hAnsi="Book Antiqua" w:cs="宋体"/>
                <w:i/>
                <w:iCs/>
                <w:color w:val="000000"/>
                <w:lang w:val="en-GB" w:eastAsia="zh-CN"/>
              </w:rPr>
              <w:t>Mycobacterium Fortuitum</w:t>
            </w:r>
          </w:p>
        </w:tc>
        <w:tc>
          <w:tcPr>
            <w:tcW w:w="1560" w:type="dxa"/>
            <w:shd w:val="clear" w:color="auto" w:fill="auto"/>
            <w:vAlign w:val="center"/>
            <w:hideMark/>
          </w:tcPr>
          <w:p w14:paraId="3B696C63"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38A9F263" w14:textId="77777777" w:rsidTr="00895A6F">
        <w:trPr>
          <w:trHeight w:val="345"/>
        </w:trPr>
        <w:tc>
          <w:tcPr>
            <w:tcW w:w="6794" w:type="dxa"/>
            <w:shd w:val="clear" w:color="auto" w:fill="auto"/>
            <w:vAlign w:val="center"/>
            <w:hideMark/>
          </w:tcPr>
          <w:p w14:paraId="1F5CC802"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Unidentified pathogen</w:t>
            </w:r>
          </w:p>
        </w:tc>
        <w:tc>
          <w:tcPr>
            <w:tcW w:w="1560" w:type="dxa"/>
            <w:shd w:val="clear" w:color="auto" w:fill="auto"/>
            <w:hideMark/>
          </w:tcPr>
          <w:p w14:paraId="4571C546"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12</w:t>
            </w:r>
          </w:p>
        </w:tc>
      </w:tr>
      <w:tr w:rsidR="00895A6F" w:rsidRPr="00E17D79" w14:paraId="1911F853" w14:textId="77777777" w:rsidTr="00895A6F">
        <w:trPr>
          <w:trHeight w:val="300"/>
        </w:trPr>
        <w:tc>
          <w:tcPr>
            <w:tcW w:w="6794" w:type="dxa"/>
            <w:shd w:val="clear" w:color="auto" w:fill="auto"/>
            <w:vAlign w:val="center"/>
            <w:hideMark/>
          </w:tcPr>
          <w:p w14:paraId="6AC47F47"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Neoplasia</w:t>
            </w:r>
          </w:p>
        </w:tc>
        <w:tc>
          <w:tcPr>
            <w:tcW w:w="1560" w:type="dxa"/>
            <w:shd w:val="clear" w:color="auto" w:fill="auto"/>
            <w:vAlign w:val="center"/>
            <w:hideMark/>
          </w:tcPr>
          <w:p w14:paraId="0F53B34B" w14:textId="3EEC1102"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50ED1BD6" w14:textId="77777777" w:rsidTr="00895A6F">
        <w:trPr>
          <w:trHeight w:val="330"/>
        </w:trPr>
        <w:tc>
          <w:tcPr>
            <w:tcW w:w="6794" w:type="dxa"/>
            <w:shd w:val="clear" w:color="auto" w:fill="auto"/>
            <w:vAlign w:val="center"/>
            <w:hideMark/>
          </w:tcPr>
          <w:p w14:paraId="617044D8"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lastRenderedPageBreak/>
              <w:t>Non-Hodgkin lymphoma</w:t>
            </w:r>
          </w:p>
        </w:tc>
        <w:tc>
          <w:tcPr>
            <w:tcW w:w="1560" w:type="dxa"/>
            <w:shd w:val="clear" w:color="auto" w:fill="auto"/>
            <w:hideMark/>
          </w:tcPr>
          <w:p w14:paraId="2B0DF141"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10</w:t>
            </w:r>
          </w:p>
        </w:tc>
      </w:tr>
      <w:tr w:rsidR="00895A6F" w:rsidRPr="00E17D79" w14:paraId="2F9D8A8D" w14:textId="77777777" w:rsidTr="00895A6F">
        <w:trPr>
          <w:trHeight w:val="660"/>
        </w:trPr>
        <w:tc>
          <w:tcPr>
            <w:tcW w:w="6794" w:type="dxa"/>
            <w:shd w:val="clear" w:color="auto" w:fill="auto"/>
            <w:vAlign w:val="center"/>
            <w:hideMark/>
          </w:tcPr>
          <w:p w14:paraId="3351B6B0"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 xml:space="preserve">Non-Hodgkin lymphoma accompanied by </w:t>
            </w:r>
            <w:r w:rsidRPr="00E17D79">
              <w:rPr>
                <w:rFonts w:ascii="Book Antiqua" w:eastAsia="等线" w:hAnsi="Book Antiqua" w:cs="宋体"/>
                <w:i/>
                <w:iCs/>
                <w:color w:val="000000"/>
                <w:lang w:val="en-GB" w:eastAsia="zh-CN"/>
              </w:rPr>
              <w:t>Leismaniasis</w:t>
            </w:r>
            <w:r w:rsidRPr="00E17D79">
              <w:rPr>
                <w:rFonts w:ascii="Book Antiqua" w:eastAsia="等线" w:hAnsi="Book Antiqua" w:cs="宋体"/>
                <w:color w:val="000000"/>
                <w:lang w:val="en-GB" w:eastAsia="zh-CN"/>
              </w:rPr>
              <w:t xml:space="preserve"> or </w:t>
            </w:r>
            <w:r w:rsidRPr="00E17D79">
              <w:rPr>
                <w:rFonts w:ascii="Book Antiqua" w:eastAsia="等线" w:hAnsi="Book Antiqua" w:cs="宋体"/>
                <w:i/>
                <w:iCs/>
                <w:color w:val="000000"/>
                <w:lang w:val="en-GB" w:eastAsia="zh-CN"/>
              </w:rPr>
              <w:t>Coxiella Burnetti</w:t>
            </w:r>
          </w:p>
        </w:tc>
        <w:tc>
          <w:tcPr>
            <w:tcW w:w="1560" w:type="dxa"/>
            <w:shd w:val="clear" w:color="auto" w:fill="auto"/>
            <w:vAlign w:val="center"/>
            <w:hideMark/>
          </w:tcPr>
          <w:p w14:paraId="60DA3E86"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w:t>
            </w:r>
          </w:p>
        </w:tc>
      </w:tr>
      <w:tr w:rsidR="00895A6F" w:rsidRPr="00E17D79" w14:paraId="568B85CF" w14:textId="77777777" w:rsidTr="00895A6F">
        <w:trPr>
          <w:trHeight w:val="345"/>
        </w:trPr>
        <w:tc>
          <w:tcPr>
            <w:tcW w:w="6794" w:type="dxa"/>
            <w:shd w:val="clear" w:color="auto" w:fill="auto"/>
            <w:vAlign w:val="center"/>
            <w:hideMark/>
          </w:tcPr>
          <w:p w14:paraId="49D8FDF7"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Solid tumour</w:t>
            </w:r>
          </w:p>
        </w:tc>
        <w:tc>
          <w:tcPr>
            <w:tcW w:w="1560" w:type="dxa"/>
            <w:shd w:val="clear" w:color="auto" w:fill="auto"/>
            <w:hideMark/>
          </w:tcPr>
          <w:p w14:paraId="2493D628"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3</w:t>
            </w:r>
          </w:p>
        </w:tc>
      </w:tr>
      <w:tr w:rsidR="00895A6F" w:rsidRPr="00E17D79" w14:paraId="1FCD26A6" w14:textId="77777777" w:rsidTr="00895A6F">
        <w:trPr>
          <w:trHeight w:val="300"/>
        </w:trPr>
        <w:tc>
          <w:tcPr>
            <w:tcW w:w="6794" w:type="dxa"/>
            <w:shd w:val="clear" w:color="auto" w:fill="auto"/>
            <w:vAlign w:val="center"/>
            <w:hideMark/>
          </w:tcPr>
          <w:p w14:paraId="419948C4"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Autoimmune disease</w:t>
            </w:r>
          </w:p>
        </w:tc>
        <w:tc>
          <w:tcPr>
            <w:tcW w:w="1560" w:type="dxa"/>
            <w:shd w:val="clear" w:color="auto" w:fill="auto"/>
            <w:vAlign w:val="center"/>
            <w:hideMark/>
          </w:tcPr>
          <w:p w14:paraId="308956A1" w14:textId="527D0104"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1C130564" w14:textId="77777777" w:rsidTr="00895A6F">
        <w:trPr>
          <w:trHeight w:val="330"/>
        </w:trPr>
        <w:tc>
          <w:tcPr>
            <w:tcW w:w="6794" w:type="dxa"/>
            <w:shd w:val="clear" w:color="auto" w:fill="auto"/>
            <w:vAlign w:val="center"/>
            <w:hideMark/>
          </w:tcPr>
          <w:p w14:paraId="1C505EB6"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Adult Still’s disease</w:t>
            </w:r>
          </w:p>
        </w:tc>
        <w:tc>
          <w:tcPr>
            <w:tcW w:w="1560" w:type="dxa"/>
            <w:shd w:val="clear" w:color="auto" w:fill="auto"/>
            <w:hideMark/>
          </w:tcPr>
          <w:p w14:paraId="524E2CA1"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5</w:t>
            </w:r>
          </w:p>
        </w:tc>
      </w:tr>
      <w:tr w:rsidR="00895A6F" w:rsidRPr="00E17D79" w14:paraId="4124A3FF" w14:textId="77777777" w:rsidTr="00895A6F">
        <w:trPr>
          <w:trHeight w:val="345"/>
        </w:trPr>
        <w:tc>
          <w:tcPr>
            <w:tcW w:w="6794" w:type="dxa"/>
            <w:shd w:val="clear" w:color="auto" w:fill="auto"/>
            <w:vAlign w:val="center"/>
            <w:hideMark/>
          </w:tcPr>
          <w:p w14:paraId="20C28C32"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Psoriatic arthritis</w:t>
            </w:r>
          </w:p>
        </w:tc>
        <w:tc>
          <w:tcPr>
            <w:tcW w:w="1560" w:type="dxa"/>
            <w:shd w:val="clear" w:color="auto" w:fill="auto"/>
            <w:vAlign w:val="center"/>
            <w:hideMark/>
          </w:tcPr>
          <w:p w14:paraId="62891CD9"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5EC0357E" w14:textId="77777777" w:rsidTr="00895A6F">
        <w:trPr>
          <w:trHeight w:val="300"/>
        </w:trPr>
        <w:tc>
          <w:tcPr>
            <w:tcW w:w="6794" w:type="dxa"/>
            <w:shd w:val="clear" w:color="auto" w:fill="auto"/>
            <w:vAlign w:val="center"/>
            <w:hideMark/>
          </w:tcPr>
          <w:p w14:paraId="35B44E72"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Other</w:t>
            </w:r>
          </w:p>
        </w:tc>
        <w:tc>
          <w:tcPr>
            <w:tcW w:w="1560" w:type="dxa"/>
            <w:shd w:val="clear" w:color="auto" w:fill="auto"/>
            <w:hideMark/>
          </w:tcPr>
          <w:p w14:paraId="613238F7" w14:textId="21B90838" w:rsidR="00895A6F" w:rsidRPr="00E17D79" w:rsidRDefault="00895A6F" w:rsidP="00E17D79">
            <w:pPr>
              <w:spacing w:line="360" w:lineRule="auto"/>
              <w:jc w:val="both"/>
              <w:rPr>
                <w:rFonts w:ascii="Book Antiqua" w:eastAsia="等线" w:hAnsi="Book Antiqua" w:cs="宋体"/>
                <w:color w:val="000000"/>
                <w:lang w:val="en-US" w:eastAsia="zh-CN"/>
              </w:rPr>
            </w:pPr>
          </w:p>
        </w:tc>
      </w:tr>
      <w:tr w:rsidR="00895A6F" w:rsidRPr="00E17D79" w14:paraId="55D2073F" w14:textId="77777777" w:rsidTr="00895A6F">
        <w:trPr>
          <w:trHeight w:val="330"/>
        </w:trPr>
        <w:tc>
          <w:tcPr>
            <w:tcW w:w="6794" w:type="dxa"/>
            <w:shd w:val="clear" w:color="auto" w:fill="auto"/>
            <w:vAlign w:val="center"/>
            <w:hideMark/>
          </w:tcPr>
          <w:p w14:paraId="0ED113D8"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Toxic epidermal necrolysis</w:t>
            </w:r>
          </w:p>
        </w:tc>
        <w:tc>
          <w:tcPr>
            <w:tcW w:w="1560" w:type="dxa"/>
            <w:shd w:val="clear" w:color="auto" w:fill="auto"/>
            <w:vAlign w:val="center"/>
            <w:hideMark/>
          </w:tcPr>
          <w:p w14:paraId="05F2FC9F"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1</w:t>
            </w:r>
          </w:p>
        </w:tc>
      </w:tr>
      <w:tr w:rsidR="00895A6F" w:rsidRPr="00E17D79" w14:paraId="49E4236C" w14:textId="77777777" w:rsidTr="00895A6F">
        <w:trPr>
          <w:trHeight w:val="345"/>
        </w:trPr>
        <w:tc>
          <w:tcPr>
            <w:tcW w:w="6794" w:type="dxa"/>
            <w:shd w:val="clear" w:color="auto" w:fill="auto"/>
            <w:vAlign w:val="center"/>
            <w:hideMark/>
          </w:tcPr>
          <w:p w14:paraId="756CF185" w14:textId="77777777" w:rsidR="00895A6F" w:rsidRPr="00E17D79" w:rsidRDefault="00895A6F" w:rsidP="00E17D79">
            <w:pPr>
              <w:spacing w:line="360" w:lineRule="auto"/>
              <w:ind w:firstLineChars="50" w:firstLine="120"/>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Wilson disease</w:t>
            </w:r>
          </w:p>
        </w:tc>
        <w:tc>
          <w:tcPr>
            <w:tcW w:w="1560" w:type="dxa"/>
            <w:shd w:val="clear" w:color="auto" w:fill="auto"/>
            <w:hideMark/>
          </w:tcPr>
          <w:p w14:paraId="6F7A8242"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US" w:eastAsia="zh-CN"/>
              </w:rPr>
              <w:t>1</w:t>
            </w:r>
          </w:p>
        </w:tc>
      </w:tr>
      <w:tr w:rsidR="00895A6F" w:rsidRPr="00E17D79" w14:paraId="5C441A95" w14:textId="77777777" w:rsidTr="00895A6F">
        <w:trPr>
          <w:trHeight w:val="315"/>
        </w:trPr>
        <w:tc>
          <w:tcPr>
            <w:tcW w:w="6794" w:type="dxa"/>
            <w:shd w:val="clear" w:color="auto" w:fill="auto"/>
            <w:vAlign w:val="center"/>
            <w:hideMark/>
          </w:tcPr>
          <w:p w14:paraId="502FD367"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Unknown</w:t>
            </w:r>
          </w:p>
        </w:tc>
        <w:tc>
          <w:tcPr>
            <w:tcW w:w="1560" w:type="dxa"/>
            <w:shd w:val="clear" w:color="auto" w:fill="auto"/>
            <w:vAlign w:val="center"/>
            <w:hideMark/>
          </w:tcPr>
          <w:p w14:paraId="55CE0935" w14:textId="77777777" w:rsidR="00895A6F" w:rsidRPr="00E17D79" w:rsidRDefault="00895A6F" w:rsidP="00E17D79">
            <w:pPr>
              <w:spacing w:line="360" w:lineRule="auto"/>
              <w:jc w:val="both"/>
              <w:rPr>
                <w:rFonts w:ascii="Book Antiqua" w:eastAsia="等线" w:hAnsi="Book Antiqua" w:cs="宋体"/>
                <w:color w:val="000000"/>
                <w:lang w:val="en-US" w:eastAsia="zh-CN"/>
              </w:rPr>
            </w:pPr>
            <w:r w:rsidRPr="00E17D79">
              <w:rPr>
                <w:rFonts w:ascii="Book Antiqua" w:eastAsia="等线" w:hAnsi="Book Antiqua" w:cs="宋体"/>
                <w:color w:val="000000"/>
                <w:lang w:val="en-GB" w:eastAsia="zh-CN"/>
              </w:rPr>
              <w:t>2</w:t>
            </w:r>
          </w:p>
        </w:tc>
      </w:tr>
    </w:tbl>
    <w:p w14:paraId="6272537B" w14:textId="66177C87" w:rsidR="00C01381" w:rsidRPr="00E17D79" w:rsidRDefault="00E17D79" w:rsidP="00E17D79">
      <w:pPr>
        <w:spacing w:line="360" w:lineRule="auto"/>
        <w:jc w:val="both"/>
        <w:rPr>
          <w:rFonts w:ascii="Book Antiqua" w:hAnsi="Book Antiqua" w:cs="Arial"/>
          <w:lang w:val="en-GB"/>
        </w:rPr>
      </w:pPr>
      <w:r w:rsidRPr="00E17D79">
        <w:rPr>
          <w:rFonts w:ascii="Book Antiqua" w:hAnsi="Book Antiqua" w:cs="Arial"/>
          <w:vertAlign w:val="superscript"/>
          <w:lang w:val="en-US"/>
        </w:rPr>
        <w:t>1</w:t>
      </w:r>
      <w:r w:rsidRPr="00E17D79">
        <w:rPr>
          <w:rFonts w:ascii="Book Antiqua" w:hAnsi="Book Antiqua" w:cs="Arial"/>
          <w:lang w:val="en-GB"/>
        </w:rPr>
        <w:t>The patient was also positive for human immunodeficiency virus.</w:t>
      </w:r>
      <w:r w:rsidR="00D174A3">
        <w:rPr>
          <w:rFonts w:ascii="Book Antiqua" w:eastAsiaTheme="minorEastAsia" w:hAnsi="Book Antiqua" w:cs="Arial" w:hint="eastAsia"/>
          <w:lang w:val="en-GB" w:eastAsia="zh-CN"/>
        </w:rPr>
        <w:t xml:space="preserve"> </w:t>
      </w:r>
      <w:r w:rsidR="00A93CDD" w:rsidRPr="00E17D79">
        <w:rPr>
          <w:rFonts w:ascii="Book Antiqua" w:hAnsi="Book Antiqua" w:cs="Arial"/>
          <w:lang w:val="en-GB"/>
        </w:rPr>
        <w:t>EBV</w:t>
      </w:r>
      <w:r w:rsidRPr="00E17D79">
        <w:rPr>
          <w:rFonts w:ascii="Book Antiqua" w:hAnsi="Book Antiqua" w:cs="Arial"/>
          <w:lang w:val="en-GB"/>
        </w:rPr>
        <w:t>:</w:t>
      </w:r>
      <w:r w:rsidR="00A93CDD" w:rsidRPr="00E17D79">
        <w:rPr>
          <w:rFonts w:ascii="Book Antiqua" w:hAnsi="Book Antiqua"/>
          <w:lang w:val="en-US"/>
        </w:rPr>
        <w:t xml:space="preserve"> </w:t>
      </w:r>
      <w:r w:rsidR="00A93CDD" w:rsidRPr="00E17D79">
        <w:rPr>
          <w:rFonts w:ascii="Book Antiqua" w:hAnsi="Book Antiqua" w:cs="Arial"/>
          <w:lang w:val="en-GB"/>
        </w:rPr>
        <w:t>Epstein-Barr virus; HSV</w:t>
      </w:r>
      <w:r w:rsidRPr="00E17D79">
        <w:rPr>
          <w:rFonts w:ascii="Book Antiqua" w:hAnsi="Book Antiqua" w:cs="Arial"/>
          <w:lang w:val="en-GB"/>
        </w:rPr>
        <w:t>:</w:t>
      </w:r>
      <w:r w:rsidR="00A93CDD" w:rsidRPr="00E17D79">
        <w:rPr>
          <w:rFonts w:ascii="Book Antiqua" w:hAnsi="Book Antiqua"/>
          <w:lang w:val="en-US"/>
        </w:rPr>
        <w:t xml:space="preserve"> </w:t>
      </w:r>
      <w:r w:rsidR="00A93CDD" w:rsidRPr="00E17D79">
        <w:rPr>
          <w:rFonts w:ascii="Book Antiqua" w:hAnsi="Book Antiqua" w:cs="Arial"/>
          <w:lang w:val="en-GB"/>
        </w:rPr>
        <w:t>Herpes simplex virus; CMV</w:t>
      </w:r>
      <w:r w:rsidRPr="00E17D79">
        <w:rPr>
          <w:rFonts w:ascii="Book Antiqua" w:hAnsi="Book Antiqua" w:cs="Arial"/>
          <w:lang w:val="en-GB"/>
        </w:rPr>
        <w:t>:</w:t>
      </w:r>
      <w:r w:rsidR="00A93CDD" w:rsidRPr="00E17D79">
        <w:rPr>
          <w:rFonts w:ascii="Book Antiqua" w:hAnsi="Book Antiqua"/>
          <w:lang w:val="en-US"/>
        </w:rPr>
        <w:t xml:space="preserve"> </w:t>
      </w:r>
      <w:r w:rsidR="00A93CDD" w:rsidRPr="00E17D79">
        <w:rPr>
          <w:rFonts w:ascii="Book Antiqua" w:hAnsi="Book Antiqua" w:cs="Arial"/>
          <w:lang w:val="en-GB"/>
        </w:rPr>
        <w:t xml:space="preserve">Cytomegalovirus. </w:t>
      </w:r>
    </w:p>
    <w:p w14:paraId="56F99403" w14:textId="77777777" w:rsidR="00C01381" w:rsidRPr="00E17D79" w:rsidRDefault="00C01381" w:rsidP="00E17D79">
      <w:pPr>
        <w:spacing w:line="360" w:lineRule="auto"/>
        <w:jc w:val="both"/>
        <w:rPr>
          <w:rFonts w:ascii="Book Antiqua" w:hAnsi="Book Antiqua" w:cs="Arial"/>
          <w:lang w:val="en-GB"/>
        </w:rPr>
      </w:pPr>
      <w:r w:rsidRPr="00E17D79">
        <w:rPr>
          <w:rFonts w:ascii="Book Antiqua" w:hAnsi="Book Antiqua" w:cs="Arial"/>
          <w:lang w:val="en-GB"/>
        </w:rPr>
        <w:br w:type="page"/>
      </w:r>
    </w:p>
    <w:p w14:paraId="530F4D48" w14:textId="54CF21B7" w:rsidR="00E17D79" w:rsidRPr="00E17D79" w:rsidRDefault="00300BA1" w:rsidP="00E17D79">
      <w:pPr>
        <w:spacing w:line="360" w:lineRule="auto"/>
        <w:jc w:val="both"/>
        <w:rPr>
          <w:rFonts w:ascii="Book Antiqua" w:hAnsi="Book Antiqua" w:cs="Arial"/>
          <w:b/>
          <w:lang w:val="en-GB"/>
        </w:rPr>
      </w:pPr>
      <w:r>
        <w:rPr>
          <w:rFonts w:ascii="Book Antiqua" w:hAnsi="Book Antiqua" w:cs="Arial"/>
          <w:b/>
          <w:noProof/>
          <w:lang w:val="en-US" w:eastAsia="zh-CN"/>
        </w:rPr>
        <w:lastRenderedPageBreak/>
        <w:drawing>
          <wp:inline distT="0" distB="0" distL="0" distR="0" wp14:anchorId="294D56A7" wp14:editId="28C67084">
            <wp:extent cx="5274310" cy="3134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134360"/>
                    </a:xfrm>
                    <a:prstGeom prst="rect">
                      <a:avLst/>
                    </a:prstGeom>
                  </pic:spPr>
                </pic:pic>
              </a:graphicData>
            </a:graphic>
          </wp:inline>
        </w:drawing>
      </w:r>
    </w:p>
    <w:p w14:paraId="61F07BD6" w14:textId="2122E747" w:rsidR="00C01381" w:rsidRPr="00E17D79" w:rsidRDefault="00C01381" w:rsidP="00E17D79">
      <w:pPr>
        <w:spacing w:line="360" w:lineRule="auto"/>
        <w:jc w:val="both"/>
        <w:rPr>
          <w:rFonts w:ascii="Book Antiqua" w:hAnsi="Book Antiqua" w:cs="Arial"/>
          <w:b/>
          <w:lang w:val="en-GB"/>
        </w:rPr>
      </w:pPr>
      <w:r w:rsidRPr="00E17D79">
        <w:rPr>
          <w:rFonts w:ascii="Book Antiqua" w:hAnsi="Book Antiqua" w:cs="Arial"/>
          <w:b/>
          <w:lang w:val="en-GB"/>
        </w:rPr>
        <w:t>Figure 1</w:t>
      </w:r>
      <w:r w:rsidR="009C7678" w:rsidRPr="00E17D79">
        <w:rPr>
          <w:rFonts w:ascii="Book Antiqua" w:hAnsi="Book Antiqua" w:cs="Arial"/>
          <w:b/>
          <w:lang w:val="en-GB"/>
        </w:rPr>
        <w:t xml:space="preserve"> </w:t>
      </w:r>
      <w:r w:rsidRPr="00E17D79">
        <w:rPr>
          <w:rFonts w:ascii="Book Antiqua" w:hAnsi="Book Antiqua" w:cs="Arial"/>
          <w:b/>
          <w:lang w:val="en-GB"/>
        </w:rPr>
        <w:t>Underlying cause of the secondary h</w:t>
      </w:r>
      <w:r w:rsidRPr="00E17D79">
        <w:rPr>
          <w:rFonts w:ascii="Book Antiqua" w:hAnsi="Book Antiqua" w:cs="Arial"/>
          <w:b/>
          <w:lang w:val="en-US"/>
        </w:rPr>
        <w:t>aemophagocytic</w:t>
      </w:r>
      <w:r w:rsidR="00AD4924" w:rsidRPr="00E17D79">
        <w:rPr>
          <w:rFonts w:ascii="Book Antiqua" w:hAnsi="Book Antiqua" w:cs="Arial"/>
          <w:b/>
          <w:lang w:val="en-US"/>
        </w:rPr>
        <w:t xml:space="preserve"> </w:t>
      </w:r>
      <w:r w:rsidRPr="00E17D79">
        <w:rPr>
          <w:rFonts w:ascii="Book Antiqua" w:hAnsi="Book Antiqua" w:cs="Arial"/>
          <w:b/>
          <w:lang w:val="en-US"/>
        </w:rPr>
        <w:t>lymphohistiocytosis</w:t>
      </w:r>
      <w:r w:rsidR="009C7678" w:rsidRPr="00E17D79">
        <w:rPr>
          <w:rFonts w:ascii="Book Antiqua" w:hAnsi="Book Antiqua" w:cs="Arial"/>
          <w:b/>
          <w:lang w:val="en-US"/>
        </w:rPr>
        <w:t xml:space="preserve"> </w:t>
      </w:r>
      <w:r w:rsidRPr="00E17D79">
        <w:rPr>
          <w:rFonts w:ascii="Book Antiqua" w:hAnsi="Book Antiqua" w:cs="Arial"/>
          <w:b/>
          <w:lang w:val="en-GB"/>
        </w:rPr>
        <w:t>according to the age of patients.</w:t>
      </w:r>
    </w:p>
    <w:p w14:paraId="6DA653FA" w14:textId="5FD74FD8" w:rsidR="00300BA1" w:rsidRDefault="00300BA1">
      <w:pPr>
        <w:spacing w:after="200" w:line="276" w:lineRule="auto"/>
        <w:rPr>
          <w:rFonts w:ascii="Book Antiqua" w:hAnsi="Book Antiqua" w:cs="Arial"/>
          <w:b/>
          <w:lang w:val="en-GB"/>
        </w:rPr>
      </w:pPr>
      <w:r>
        <w:rPr>
          <w:rFonts w:ascii="Book Antiqua" w:hAnsi="Book Antiqua" w:cs="Arial"/>
          <w:b/>
          <w:lang w:val="en-GB"/>
        </w:rPr>
        <w:br w:type="page"/>
      </w:r>
    </w:p>
    <w:p w14:paraId="621EEDC7" w14:textId="05D9474C" w:rsidR="00E17D79" w:rsidRPr="00E17D79" w:rsidRDefault="00300BA1" w:rsidP="00E17D79">
      <w:pPr>
        <w:spacing w:line="360" w:lineRule="auto"/>
        <w:jc w:val="both"/>
        <w:rPr>
          <w:rFonts w:ascii="Book Antiqua" w:hAnsi="Book Antiqua" w:cs="Arial"/>
          <w:b/>
          <w:lang w:val="en-GB"/>
        </w:rPr>
      </w:pPr>
      <w:r>
        <w:rPr>
          <w:rFonts w:ascii="Book Antiqua" w:hAnsi="Book Antiqua" w:cs="Arial"/>
          <w:b/>
          <w:noProof/>
          <w:lang w:val="en-US" w:eastAsia="zh-CN"/>
        </w:rPr>
        <w:lastRenderedPageBreak/>
        <w:drawing>
          <wp:inline distT="0" distB="0" distL="0" distR="0" wp14:anchorId="7B90E2D5" wp14:editId="6C9C34BC">
            <wp:extent cx="5274310" cy="37560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56025"/>
                    </a:xfrm>
                    <a:prstGeom prst="rect">
                      <a:avLst/>
                    </a:prstGeom>
                  </pic:spPr>
                </pic:pic>
              </a:graphicData>
            </a:graphic>
          </wp:inline>
        </w:drawing>
      </w:r>
    </w:p>
    <w:p w14:paraId="61CBABF6" w14:textId="20F686D8" w:rsidR="00C01381" w:rsidRPr="00E17D79" w:rsidRDefault="00C01381" w:rsidP="00E17D79">
      <w:pPr>
        <w:spacing w:line="360" w:lineRule="auto"/>
        <w:jc w:val="both"/>
        <w:rPr>
          <w:rFonts w:ascii="Book Antiqua" w:hAnsi="Book Antiqua" w:cs="Arial"/>
          <w:lang w:val="en-GB"/>
        </w:rPr>
      </w:pPr>
      <w:r w:rsidRPr="00E17D79">
        <w:rPr>
          <w:rFonts w:ascii="Book Antiqua" w:hAnsi="Book Antiqua" w:cs="Arial"/>
          <w:b/>
          <w:lang w:val="en-GB"/>
        </w:rPr>
        <w:t>Figure 2</w:t>
      </w:r>
      <w:r w:rsidR="009C7678" w:rsidRPr="00E17D79">
        <w:rPr>
          <w:rFonts w:ascii="Book Antiqua" w:hAnsi="Book Antiqua" w:cs="Arial"/>
          <w:b/>
          <w:lang w:val="en-GB"/>
        </w:rPr>
        <w:t xml:space="preserve"> </w:t>
      </w:r>
      <w:r w:rsidR="00D2086C" w:rsidRPr="00E17D79">
        <w:rPr>
          <w:rFonts w:ascii="Book Antiqua" w:hAnsi="Book Antiqua" w:cs="Arial"/>
          <w:b/>
          <w:lang w:val="en-GB"/>
        </w:rPr>
        <w:t>M</w:t>
      </w:r>
      <w:r w:rsidRPr="00E17D79">
        <w:rPr>
          <w:rFonts w:ascii="Book Antiqua" w:hAnsi="Book Antiqua" w:cs="Arial"/>
          <w:b/>
          <w:lang w:val="en-GB"/>
        </w:rPr>
        <w:t xml:space="preserve">anagement of 80 patients with </w:t>
      </w:r>
      <w:r w:rsidRPr="00E17D79">
        <w:rPr>
          <w:rFonts w:ascii="Book Antiqua" w:hAnsi="Book Antiqua" w:cs="Arial"/>
          <w:b/>
          <w:lang w:val="en-US"/>
        </w:rPr>
        <w:t>secondary haemophagocytic</w:t>
      </w:r>
      <w:r w:rsidR="00D2086C" w:rsidRPr="00E17D79">
        <w:rPr>
          <w:rFonts w:ascii="Book Antiqua" w:hAnsi="Book Antiqua" w:cs="Arial"/>
          <w:b/>
          <w:lang w:val="en-US"/>
        </w:rPr>
        <w:t xml:space="preserve"> </w:t>
      </w:r>
      <w:r w:rsidRPr="00E17D79">
        <w:rPr>
          <w:rFonts w:ascii="Book Antiqua" w:hAnsi="Book Antiqua" w:cs="Arial"/>
          <w:b/>
          <w:lang w:val="en-US"/>
        </w:rPr>
        <w:t>lymphohistiocytosis</w:t>
      </w:r>
      <w:r w:rsidRPr="00E17D79">
        <w:rPr>
          <w:rFonts w:ascii="Book Antiqua" w:hAnsi="Book Antiqua" w:cs="Arial"/>
          <w:b/>
          <w:lang w:val="en-GB"/>
        </w:rPr>
        <w:t xml:space="preserve">. </w:t>
      </w:r>
      <w:r w:rsidRPr="00E17D79">
        <w:rPr>
          <w:rFonts w:ascii="Book Antiqua" w:hAnsi="Book Antiqua" w:cs="Arial"/>
          <w:lang w:val="en-GB"/>
        </w:rPr>
        <w:t>LAMB</w:t>
      </w:r>
      <w:r w:rsidR="00E17D79" w:rsidRPr="00E17D79">
        <w:rPr>
          <w:rFonts w:ascii="Book Antiqua" w:hAnsi="Book Antiqua" w:cs="Arial"/>
          <w:lang w:val="en-GB"/>
        </w:rPr>
        <w:t>:</w:t>
      </w:r>
      <w:r w:rsidRPr="00E17D79">
        <w:rPr>
          <w:rFonts w:ascii="Book Antiqua" w:hAnsi="Book Antiqua" w:cs="Arial"/>
          <w:lang w:val="en-GB"/>
        </w:rPr>
        <w:t xml:space="preserve"> </w:t>
      </w:r>
      <w:r w:rsidR="00E17D79" w:rsidRPr="00E17D79">
        <w:rPr>
          <w:rFonts w:ascii="Book Antiqua" w:hAnsi="Book Antiqua" w:cs="Arial"/>
          <w:lang w:val="en-GB"/>
        </w:rPr>
        <w:t xml:space="preserve">Liposomal </w:t>
      </w:r>
      <w:r w:rsidRPr="00E17D79">
        <w:rPr>
          <w:rFonts w:ascii="Book Antiqua" w:hAnsi="Book Antiqua" w:cs="Arial"/>
          <w:lang w:val="en-GB"/>
        </w:rPr>
        <w:t>amphotericin B; IVIG</w:t>
      </w:r>
      <w:r w:rsidR="00E17D79" w:rsidRPr="00E17D79">
        <w:rPr>
          <w:rFonts w:ascii="Book Antiqua" w:hAnsi="Book Antiqua" w:cs="Arial"/>
          <w:lang w:val="en-GB"/>
        </w:rPr>
        <w:t>:</w:t>
      </w:r>
      <w:r w:rsidRPr="00E17D79">
        <w:rPr>
          <w:rFonts w:ascii="Book Antiqua" w:hAnsi="Book Antiqua" w:cs="Arial"/>
          <w:lang w:val="en-GB"/>
        </w:rPr>
        <w:t xml:space="preserve"> </w:t>
      </w:r>
      <w:r w:rsidR="00E17D79" w:rsidRPr="00E17D79">
        <w:rPr>
          <w:rFonts w:ascii="Book Antiqua" w:hAnsi="Book Antiqua" w:cs="Arial"/>
          <w:lang w:val="en-GB"/>
        </w:rPr>
        <w:t xml:space="preserve">Intravenous </w:t>
      </w:r>
      <w:r w:rsidRPr="00E17D79">
        <w:rPr>
          <w:rFonts w:ascii="Book Antiqua" w:hAnsi="Book Antiqua" w:cs="Arial"/>
          <w:lang w:val="en-GB"/>
        </w:rPr>
        <w:t>γ-immunoglobulin</w:t>
      </w:r>
      <w:r w:rsidR="00300BA1">
        <w:rPr>
          <w:rFonts w:ascii="Book Antiqua" w:hAnsi="Book Antiqua" w:cs="Arial"/>
          <w:lang w:val="en-GB"/>
        </w:rPr>
        <w:t>.</w:t>
      </w:r>
    </w:p>
    <w:p w14:paraId="44EED759" w14:textId="4492C22A" w:rsidR="00300BA1" w:rsidRDefault="00300BA1">
      <w:pPr>
        <w:spacing w:after="200" w:line="276" w:lineRule="auto"/>
        <w:rPr>
          <w:rFonts w:ascii="Book Antiqua" w:hAnsi="Book Antiqua" w:cs="Arial"/>
          <w:b/>
          <w:lang w:val="en-GB"/>
        </w:rPr>
      </w:pPr>
      <w:r>
        <w:rPr>
          <w:rFonts w:ascii="Book Antiqua" w:hAnsi="Book Antiqua" w:cs="Arial"/>
          <w:b/>
          <w:lang w:val="en-GB"/>
        </w:rPr>
        <w:br w:type="page"/>
      </w:r>
    </w:p>
    <w:p w14:paraId="4D2FAC6F" w14:textId="764A8D0A" w:rsidR="00E17D79" w:rsidRPr="00E17D79" w:rsidRDefault="00300BA1" w:rsidP="00E17D79">
      <w:pPr>
        <w:spacing w:line="360" w:lineRule="auto"/>
        <w:jc w:val="both"/>
        <w:rPr>
          <w:rFonts w:ascii="Book Antiqua" w:hAnsi="Book Antiqua" w:cs="Arial"/>
          <w:b/>
          <w:lang w:val="en-GB"/>
        </w:rPr>
      </w:pPr>
      <w:r>
        <w:rPr>
          <w:rFonts w:ascii="Book Antiqua" w:hAnsi="Book Antiqua" w:cs="Arial"/>
          <w:b/>
          <w:noProof/>
          <w:lang w:val="en-US" w:eastAsia="zh-CN"/>
        </w:rPr>
        <w:lastRenderedPageBreak/>
        <w:drawing>
          <wp:inline distT="0" distB="0" distL="0" distR="0" wp14:anchorId="2511A32F" wp14:editId="25EFCE2D">
            <wp:extent cx="5274310" cy="37293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14:paraId="37411A0A" w14:textId="20F07CC2" w:rsidR="00191F89" w:rsidRPr="00E17D79" w:rsidRDefault="00C01381" w:rsidP="00E17D79">
      <w:pPr>
        <w:spacing w:line="360" w:lineRule="auto"/>
        <w:jc w:val="both"/>
        <w:rPr>
          <w:rFonts w:ascii="Book Antiqua" w:hAnsi="Book Antiqua" w:cs="Arial"/>
          <w:b/>
        </w:rPr>
      </w:pPr>
      <w:r w:rsidRPr="00E17D79">
        <w:rPr>
          <w:rFonts w:ascii="Book Antiqua" w:hAnsi="Book Antiqua" w:cs="Arial"/>
          <w:b/>
          <w:lang w:val="en-GB"/>
        </w:rPr>
        <w:t>Figure 3</w:t>
      </w:r>
      <w:r w:rsidR="009C7678" w:rsidRPr="00E17D79">
        <w:rPr>
          <w:rFonts w:ascii="Book Antiqua" w:hAnsi="Book Antiqua" w:cs="Arial"/>
          <w:b/>
          <w:lang w:val="en-GB"/>
        </w:rPr>
        <w:t xml:space="preserve"> </w:t>
      </w:r>
      <w:r w:rsidRPr="00E17D79">
        <w:rPr>
          <w:rFonts w:ascii="Book Antiqua" w:hAnsi="Book Antiqua" w:cs="Arial"/>
          <w:b/>
          <w:lang w:val="en-GB"/>
        </w:rPr>
        <w:t xml:space="preserve">Comparison of </w:t>
      </w:r>
      <w:r w:rsidR="00E17D79" w:rsidRPr="00E17D79">
        <w:rPr>
          <w:rFonts w:ascii="Book Antiqua" w:hAnsi="Book Antiqua" w:cs="Arial"/>
          <w:b/>
          <w:lang w:val="en-GB"/>
        </w:rPr>
        <w:t>patients’</w:t>
      </w:r>
      <w:r w:rsidR="00D2086C" w:rsidRPr="00E17D79">
        <w:rPr>
          <w:rFonts w:ascii="Book Antiqua" w:hAnsi="Book Antiqua" w:cs="Arial"/>
          <w:b/>
          <w:lang w:val="en-GB"/>
        </w:rPr>
        <w:t xml:space="preserve"> </w:t>
      </w:r>
      <w:r w:rsidRPr="00E17D79">
        <w:rPr>
          <w:rFonts w:ascii="Book Antiqua" w:hAnsi="Book Antiqua" w:cs="Arial"/>
          <w:b/>
          <w:lang w:val="en-GB"/>
        </w:rPr>
        <w:t>survival according to the age group (log</w:t>
      </w:r>
      <w:r w:rsidR="00D2086C" w:rsidRPr="00E17D79">
        <w:rPr>
          <w:rFonts w:ascii="Book Antiqua" w:hAnsi="Book Antiqua" w:cs="Arial"/>
          <w:b/>
          <w:lang w:val="en-GB"/>
        </w:rPr>
        <w:t xml:space="preserve"> </w:t>
      </w:r>
      <w:r w:rsidRPr="00E17D79">
        <w:rPr>
          <w:rFonts w:ascii="Book Antiqua" w:hAnsi="Book Antiqua" w:cs="Arial"/>
          <w:b/>
          <w:lang w:val="en-GB"/>
        </w:rPr>
        <w:t xml:space="preserve">rank test </w:t>
      </w:r>
      <w:r w:rsidR="00D2086C" w:rsidRPr="00D174A3">
        <w:rPr>
          <w:rFonts w:ascii="Book Antiqua" w:hAnsi="Book Antiqua" w:cs="Arial"/>
          <w:b/>
          <w:i/>
          <w:lang w:val="en-GB"/>
        </w:rPr>
        <w:t>x</w:t>
      </w:r>
      <w:r w:rsidRPr="00E17D79">
        <w:rPr>
          <w:rFonts w:ascii="Book Antiqua" w:hAnsi="Book Antiqua" w:cs="Arial"/>
          <w:b/>
          <w:vertAlign w:val="superscript"/>
          <w:lang w:val="en-GB"/>
        </w:rPr>
        <w:t>2</w:t>
      </w:r>
      <w:r w:rsidRPr="00E17D79">
        <w:rPr>
          <w:rFonts w:ascii="Book Antiqua" w:hAnsi="Book Antiqua" w:cs="Arial"/>
          <w:b/>
          <w:lang w:val="en-GB"/>
        </w:rPr>
        <w:t xml:space="preserve"> = 8.510, </w:t>
      </w:r>
      <w:r w:rsidRPr="00E17D79">
        <w:rPr>
          <w:rFonts w:ascii="Book Antiqua" w:hAnsi="Book Antiqua" w:cs="Arial"/>
          <w:b/>
          <w:i/>
          <w:lang w:val="en-GB"/>
        </w:rPr>
        <w:t>P</w:t>
      </w:r>
      <w:r w:rsidRPr="00E17D79">
        <w:rPr>
          <w:rFonts w:ascii="Book Antiqua" w:hAnsi="Book Antiqua" w:cs="Arial"/>
          <w:b/>
          <w:lang w:val="en-GB"/>
        </w:rPr>
        <w:t xml:space="preserve"> = 0.01).</w:t>
      </w:r>
    </w:p>
    <w:sectPr w:rsidR="00191F89" w:rsidRPr="00E17D79" w:rsidSect="00E06A50">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F9FD" w14:textId="77777777" w:rsidR="00B6002E" w:rsidRDefault="00B6002E" w:rsidP="006D04CE">
      <w:r>
        <w:separator/>
      </w:r>
    </w:p>
  </w:endnote>
  <w:endnote w:type="continuationSeparator" w:id="0">
    <w:p w14:paraId="7EC87448" w14:textId="77777777" w:rsidR="00B6002E" w:rsidRDefault="00B6002E" w:rsidP="006D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3" w:usb1="080E0000" w:usb2="00000016" w:usb3="00000000" w:csb0="00100001" w:csb1="00000000"/>
  </w:font>
  <w:font w:name="AdvTimes">
    <w:altName w:val="Microsoft JhengHei"/>
    <w:charset w:val="88"/>
    <w:family w:val="auto"/>
    <w:pitch w:val="default"/>
    <w:sig w:usb0="00000000" w:usb1="0000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166101"/>
      <w:docPartObj>
        <w:docPartGallery w:val="Page Numbers (Bottom of Page)"/>
        <w:docPartUnique/>
      </w:docPartObj>
    </w:sdtPr>
    <w:sdtEndPr/>
    <w:sdtContent>
      <w:p w14:paraId="52D5B0E1" w14:textId="17AC4109" w:rsidR="00895A6F" w:rsidRDefault="00895A6F">
        <w:pPr>
          <w:pStyle w:val="aa"/>
          <w:jc w:val="right"/>
        </w:pPr>
        <w:r>
          <w:rPr>
            <w:noProof/>
          </w:rPr>
          <w:fldChar w:fldCharType="begin"/>
        </w:r>
        <w:r>
          <w:rPr>
            <w:noProof/>
          </w:rPr>
          <w:instrText>PAGE   \* MERGEFORMAT</w:instrText>
        </w:r>
        <w:r>
          <w:rPr>
            <w:noProof/>
          </w:rPr>
          <w:fldChar w:fldCharType="separate"/>
        </w:r>
        <w:r w:rsidR="00B54B7E">
          <w:rPr>
            <w:noProof/>
          </w:rPr>
          <w:t>35</w:t>
        </w:r>
        <w:r>
          <w:rPr>
            <w:noProof/>
          </w:rPr>
          <w:fldChar w:fldCharType="end"/>
        </w:r>
      </w:p>
    </w:sdtContent>
  </w:sdt>
  <w:p w14:paraId="6AEF96A1" w14:textId="77777777" w:rsidR="00895A6F" w:rsidRDefault="00895A6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04BE" w14:textId="77777777" w:rsidR="00B6002E" w:rsidRDefault="00B6002E" w:rsidP="006D04CE">
      <w:r>
        <w:separator/>
      </w:r>
    </w:p>
  </w:footnote>
  <w:footnote w:type="continuationSeparator" w:id="0">
    <w:p w14:paraId="42471184" w14:textId="77777777" w:rsidR="00B6002E" w:rsidRDefault="00B6002E" w:rsidP="006D0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0A6"/>
    <w:multiLevelType w:val="hybridMultilevel"/>
    <w:tmpl w:val="6E10E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98147E"/>
    <w:multiLevelType w:val="hybridMultilevel"/>
    <w:tmpl w:val="431A9CEA"/>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282F62"/>
    <w:multiLevelType w:val="hybridMultilevel"/>
    <w:tmpl w:val="C5A267B8"/>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EC6C26"/>
    <w:multiLevelType w:val="hybridMultilevel"/>
    <w:tmpl w:val="9F262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156BC"/>
    <w:multiLevelType w:val="hybridMultilevel"/>
    <w:tmpl w:val="C5A267B8"/>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1DA647F"/>
    <w:multiLevelType w:val="hybridMultilevel"/>
    <w:tmpl w:val="6E10E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76D4486"/>
    <w:multiLevelType w:val="hybridMultilevel"/>
    <w:tmpl w:val="C5A267B8"/>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FC1173"/>
    <w:multiLevelType w:val="hybridMultilevel"/>
    <w:tmpl w:val="541E64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9"/>
    <w:rsid w:val="00005551"/>
    <w:rsid w:val="00005EF8"/>
    <w:rsid w:val="00007389"/>
    <w:rsid w:val="000075FB"/>
    <w:rsid w:val="00007C27"/>
    <w:rsid w:val="00011598"/>
    <w:rsid w:val="000123F1"/>
    <w:rsid w:val="00013CB7"/>
    <w:rsid w:val="00013D2A"/>
    <w:rsid w:val="000140F4"/>
    <w:rsid w:val="00014A93"/>
    <w:rsid w:val="00014D07"/>
    <w:rsid w:val="00015E69"/>
    <w:rsid w:val="000171AC"/>
    <w:rsid w:val="00020844"/>
    <w:rsid w:val="00021913"/>
    <w:rsid w:val="00021FB9"/>
    <w:rsid w:val="0002235E"/>
    <w:rsid w:val="000226F9"/>
    <w:rsid w:val="00023F0D"/>
    <w:rsid w:val="0002510A"/>
    <w:rsid w:val="00026FCF"/>
    <w:rsid w:val="00027276"/>
    <w:rsid w:val="00027E86"/>
    <w:rsid w:val="00030DF1"/>
    <w:rsid w:val="00030F6C"/>
    <w:rsid w:val="00032996"/>
    <w:rsid w:val="000344EB"/>
    <w:rsid w:val="000361B3"/>
    <w:rsid w:val="0004008A"/>
    <w:rsid w:val="00043BC4"/>
    <w:rsid w:val="00045BCC"/>
    <w:rsid w:val="00047373"/>
    <w:rsid w:val="00047C67"/>
    <w:rsid w:val="00047E8B"/>
    <w:rsid w:val="00050147"/>
    <w:rsid w:val="000512E6"/>
    <w:rsid w:val="00051C15"/>
    <w:rsid w:val="000545F1"/>
    <w:rsid w:val="00054B56"/>
    <w:rsid w:val="00055EA4"/>
    <w:rsid w:val="000561D4"/>
    <w:rsid w:val="00056927"/>
    <w:rsid w:val="000573EA"/>
    <w:rsid w:val="00064428"/>
    <w:rsid w:val="000652A0"/>
    <w:rsid w:val="000660D3"/>
    <w:rsid w:val="00066DE0"/>
    <w:rsid w:val="000670E3"/>
    <w:rsid w:val="000707F7"/>
    <w:rsid w:val="0007199A"/>
    <w:rsid w:val="00071D54"/>
    <w:rsid w:val="00072B1B"/>
    <w:rsid w:val="000766BE"/>
    <w:rsid w:val="000813EA"/>
    <w:rsid w:val="00082538"/>
    <w:rsid w:val="00082CBC"/>
    <w:rsid w:val="00082E71"/>
    <w:rsid w:val="000834BE"/>
    <w:rsid w:val="00085016"/>
    <w:rsid w:val="0008508F"/>
    <w:rsid w:val="0008644D"/>
    <w:rsid w:val="00086833"/>
    <w:rsid w:val="000874EA"/>
    <w:rsid w:val="00087B0D"/>
    <w:rsid w:val="00087F36"/>
    <w:rsid w:val="00091B5F"/>
    <w:rsid w:val="000922B8"/>
    <w:rsid w:val="00092ABB"/>
    <w:rsid w:val="00092F41"/>
    <w:rsid w:val="00093359"/>
    <w:rsid w:val="0009780D"/>
    <w:rsid w:val="00097F44"/>
    <w:rsid w:val="00097FE8"/>
    <w:rsid w:val="000A333D"/>
    <w:rsid w:val="000A34CD"/>
    <w:rsid w:val="000A466A"/>
    <w:rsid w:val="000A4FB1"/>
    <w:rsid w:val="000A5BE4"/>
    <w:rsid w:val="000B00D8"/>
    <w:rsid w:val="000B0838"/>
    <w:rsid w:val="000B199A"/>
    <w:rsid w:val="000B24FF"/>
    <w:rsid w:val="000C16CD"/>
    <w:rsid w:val="000C3719"/>
    <w:rsid w:val="000C3AC4"/>
    <w:rsid w:val="000C5806"/>
    <w:rsid w:val="000C6A5C"/>
    <w:rsid w:val="000C7479"/>
    <w:rsid w:val="000C7EF2"/>
    <w:rsid w:val="000D2473"/>
    <w:rsid w:val="000D4D49"/>
    <w:rsid w:val="000D526D"/>
    <w:rsid w:val="000D5438"/>
    <w:rsid w:val="000D5B02"/>
    <w:rsid w:val="000D6E55"/>
    <w:rsid w:val="000D7C35"/>
    <w:rsid w:val="000E3FFB"/>
    <w:rsid w:val="000E41F9"/>
    <w:rsid w:val="000E4A65"/>
    <w:rsid w:val="000E6FA2"/>
    <w:rsid w:val="000E74DD"/>
    <w:rsid w:val="000E750D"/>
    <w:rsid w:val="000F1079"/>
    <w:rsid w:val="000F1A3C"/>
    <w:rsid w:val="000F2D53"/>
    <w:rsid w:val="000F3BA3"/>
    <w:rsid w:val="000F4770"/>
    <w:rsid w:val="000F58C5"/>
    <w:rsid w:val="000F5E1C"/>
    <w:rsid w:val="000F72CE"/>
    <w:rsid w:val="00100AD6"/>
    <w:rsid w:val="00103214"/>
    <w:rsid w:val="00103459"/>
    <w:rsid w:val="00106BDA"/>
    <w:rsid w:val="0010791C"/>
    <w:rsid w:val="00113DD8"/>
    <w:rsid w:val="001141E8"/>
    <w:rsid w:val="00114A28"/>
    <w:rsid w:val="00115523"/>
    <w:rsid w:val="00115DD0"/>
    <w:rsid w:val="001178A0"/>
    <w:rsid w:val="00122CCF"/>
    <w:rsid w:val="00123B57"/>
    <w:rsid w:val="00123D5C"/>
    <w:rsid w:val="00124374"/>
    <w:rsid w:val="0012783B"/>
    <w:rsid w:val="00133CDA"/>
    <w:rsid w:val="00134099"/>
    <w:rsid w:val="00134281"/>
    <w:rsid w:val="001358B8"/>
    <w:rsid w:val="00135B4D"/>
    <w:rsid w:val="001368DC"/>
    <w:rsid w:val="00136B24"/>
    <w:rsid w:val="001371AE"/>
    <w:rsid w:val="00141970"/>
    <w:rsid w:val="00142C95"/>
    <w:rsid w:val="00143CBB"/>
    <w:rsid w:val="0014527D"/>
    <w:rsid w:val="00145C72"/>
    <w:rsid w:val="0015080E"/>
    <w:rsid w:val="00151011"/>
    <w:rsid w:val="00151C7F"/>
    <w:rsid w:val="0015407C"/>
    <w:rsid w:val="00155768"/>
    <w:rsid w:val="0015679C"/>
    <w:rsid w:val="001571BF"/>
    <w:rsid w:val="00161A3D"/>
    <w:rsid w:val="00161F88"/>
    <w:rsid w:val="001622AE"/>
    <w:rsid w:val="001636A9"/>
    <w:rsid w:val="00164709"/>
    <w:rsid w:val="001652E7"/>
    <w:rsid w:val="00165315"/>
    <w:rsid w:val="00166181"/>
    <w:rsid w:val="0016657E"/>
    <w:rsid w:val="00167DA7"/>
    <w:rsid w:val="00170285"/>
    <w:rsid w:val="001708C0"/>
    <w:rsid w:val="0017129B"/>
    <w:rsid w:val="00171895"/>
    <w:rsid w:val="00171E70"/>
    <w:rsid w:val="001723CE"/>
    <w:rsid w:val="001723E6"/>
    <w:rsid w:val="00173363"/>
    <w:rsid w:val="00173FA8"/>
    <w:rsid w:val="00176051"/>
    <w:rsid w:val="00176B61"/>
    <w:rsid w:val="00180B41"/>
    <w:rsid w:val="00181AD4"/>
    <w:rsid w:val="001825D9"/>
    <w:rsid w:val="00184152"/>
    <w:rsid w:val="001860AD"/>
    <w:rsid w:val="001869E4"/>
    <w:rsid w:val="00186BEE"/>
    <w:rsid w:val="00187A03"/>
    <w:rsid w:val="00190E4B"/>
    <w:rsid w:val="00191F89"/>
    <w:rsid w:val="00192EDC"/>
    <w:rsid w:val="00192FEA"/>
    <w:rsid w:val="00193C24"/>
    <w:rsid w:val="001940E8"/>
    <w:rsid w:val="001969BD"/>
    <w:rsid w:val="001A138C"/>
    <w:rsid w:val="001A16FE"/>
    <w:rsid w:val="001A37F2"/>
    <w:rsid w:val="001A3ED7"/>
    <w:rsid w:val="001A4096"/>
    <w:rsid w:val="001A4227"/>
    <w:rsid w:val="001A4956"/>
    <w:rsid w:val="001A4C62"/>
    <w:rsid w:val="001A7484"/>
    <w:rsid w:val="001A7585"/>
    <w:rsid w:val="001A75FA"/>
    <w:rsid w:val="001B0375"/>
    <w:rsid w:val="001B0425"/>
    <w:rsid w:val="001B3D57"/>
    <w:rsid w:val="001B5856"/>
    <w:rsid w:val="001B7E05"/>
    <w:rsid w:val="001B7FAD"/>
    <w:rsid w:val="001C0231"/>
    <w:rsid w:val="001C2133"/>
    <w:rsid w:val="001C46BA"/>
    <w:rsid w:val="001C5522"/>
    <w:rsid w:val="001C5550"/>
    <w:rsid w:val="001C7A1F"/>
    <w:rsid w:val="001C7A88"/>
    <w:rsid w:val="001D0F39"/>
    <w:rsid w:val="001D1C7A"/>
    <w:rsid w:val="001D243B"/>
    <w:rsid w:val="001D26F8"/>
    <w:rsid w:val="001D2FF9"/>
    <w:rsid w:val="001D305B"/>
    <w:rsid w:val="001D465F"/>
    <w:rsid w:val="001D46F9"/>
    <w:rsid w:val="001D48FB"/>
    <w:rsid w:val="001D5B19"/>
    <w:rsid w:val="001E1DF9"/>
    <w:rsid w:val="001E4600"/>
    <w:rsid w:val="001E5B9E"/>
    <w:rsid w:val="001E6CAA"/>
    <w:rsid w:val="001F0B9D"/>
    <w:rsid w:val="001F1387"/>
    <w:rsid w:val="001F2C51"/>
    <w:rsid w:val="001F2FF9"/>
    <w:rsid w:val="001F4A42"/>
    <w:rsid w:val="001F53B0"/>
    <w:rsid w:val="001F5485"/>
    <w:rsid w:val="001F6181"/>
    <w:rsid w:val="00201C6A"/>
    <w:rsid w:val="00202041"/>
    <w:rsid w:val="0020320B"/>
    <w:rsid w:val="00204528"/>
    <w:rsid w:val="00205960"/>
    <w:rsid w:val="002103B4"/>
    <w:rsid w:val="00210FDC"/>
    <w:rsid w:val="00211044"/>
    <w:rsid w:val="002115B7"/>
    <w:rsid w:val="0021475D"/>
    <w:rsid w:val="002149EE"/>
    <w:rsid w:val="002150AC"/>
    <w:rsid w:val="00215D30"/>
    <w:rsid w:val="00215F57"/>
    <w:rsid w:val="00217963"/>
    <w:rsid w:val="00217D52"/>
    <w:rsid w:val="0022121C"/>
    <w:rsid w:val="0022150B"/>
    <w:rsid w:val="00222AAC"/>
    <w:rsid w:val="00222EDE"/>
    <w:rsid w:val="002252A3"/>
    <w:rsid w:val="00227EC5"/>
    <w:rsid w:val="002312BE"/>
    <w:rsid w:val="00231A97"/>
    <w:rsid w:val="00234AC9"/>
    <w:rsid w:val="00234ACE"/>
    <w:rsid w:val="00240AB8"/>
    <w:rsid w:val="00241271"/>
    <w:rsid w:val="0024198F"/>
    <w:rsid w:val="002421A4"/>
    <w:rsid w:val="00245D29"/>
    <w:rsid w:val="00246ADE"/>
    <w:rsid w:val="002516FD"/>
    <w:rsid w:val="00252D1D"/>
    <w:rsid w:val="002534A0"/>
    <w:rsid w:val="00253CDE"/>
    <w:rsid w:val="00254277"/>
    <w:rsid w:val="00254493"/>
    <w:rsid w:val="002556BB"/>
    <w:rsid w:val="00255CE9"/>
    <w:rsid w:val="002606C6"/>
    <w:rsid w:val="00260B20"/>
    <w:rsid w:val="00262CFF"/>
    <w:rsid w:val="00262E96"/>
    <w:rsid w:val="00263460"/>
    <w:rsid w:val="002658D5"/>
    <w:rsid w:val="002666BE"/>
    <w:rsid w:val="00270839"/>
    <w:rsid w:val="00273DEF"/>
    <w:rsid w:val="002753FD"/>
    <w:rsid w:val="00275A05"/>
    <w:rsid w:val="0027717D"/>
    <w:rsid w:val="00277C26"/>
    <w:rsid w:val="00277D41"/>
    <w:rsid w:val="00277DC2"/>
    <w:rsid w:val="002810A0"/>
    <w:rsid w:val="002820E0"/>
    <w:rsid w:val="00282562"/>
    <w:rsid w:val="002830F3"/>
    <w:rsid w:val="0028493C"/>
    <w:rsid w:val="00284C39"/>
    <w:rsid w:val="0028569F"/>
    <w:rsid w:val="002877FD"/>
    <w:rsid w:val="0029068C"/>
    <w:rsid w:val="00291AED"/>
    <w:rsid w:val="00291F92"/>
    <w:rsid w:val="00292422"/>
    <w:rsid w:val="00292C07"/>
    <w:rsid w:val="002942B0"/>
    <w:rsid w:val="00295363"/>
    <w:rsid w:val="0029575D"/>
    <w:rsid w:val="00295AD8"/>
    <w:rsid w:val="00295C58"/>
    <w:rsid w:val="00296427"/>
    <w:rsid w:val="00296643"/>
    <w:rsid w:val="002966EB"/>
    <w:rsid w:val="00296CDF"/>
    <w:rsid w:val="00297C19"/>
    <w:rsid w:val="002A27E2"/>
    <w:rsid w:val="002A2EA2"/>
    <w:rsid w:val="002A4781"/>
    <w:rsid w:val="002A5807"/>
    <w:rsid w:val="002A75B2"/>
    <w:rsid w:val="002A79DD"/>
    <w:rsid w:val="002B5B06"/>
    <w:rsid w:val="002B740B"/>
    <w:rsid w:val="002B741C"/>
    <w:rsid w:val="002C0F9C"/>
    <w:rsid w:val="002C28F9"/>
    <w:rsid w:val="002C59F1"/>
    <w:rsid w:val="002D09E2"/>
    <w:rsid w:val="002D1479"/>
    <w:rsid w:val="002D28A2"/>
    <w:rsid w:val="002D3807"/>
    <w:rsid w:val="002D4A15"/>
    <w:rsid w:val="002D4FF8"/>
    <w:rsid w:val="002D592E"/>
    <w:rsid w:val="002D59A9"/>
    <w:rsid w:val="002E1298"/>
    <w:rsid w:val="002E129F"/>
    <w:rsid w:val="002E1702"/>
    <w:rsid w:val="002E26E6"/>
    <w:rsid w:val="002E29FE"/>
    <w:rsid w:val="002E3491"/>
    <w:rsid w:val="002E47D2"/>
    <w:rsid w:val="002E5134"/>
    <w:rsid w:val="002E5423"/>
    <w:rsid w:val="002E5F10"/>
    <w:rsid w:val="002E6358"/>
    <w:rsid w:val="002E6A8A"/>
    <w:rsid w:val="002E77E2"/>
    <w:rsid w:val="002F0026"/>
    <w:rsid w:val="002F03CA"/>
    <w:rsid w:val="002F0880"/>
    <w:rsid w:val="002F135A"/>
    <w:rsid w:val="002F41E3"/>
    <w:rsid w:val="002F58A2"/>
    <w:rsid w:val="002F7DDB"/>
    <w:rsid w:val="0030097A"/>
    <w:rsid w:val="00300BA1"/>
    <w:rsid w:val="00301287"/>
    <w:rsid w:val="00303B81"/>
    <w:rsid w:val="00305B26"/>
    <w:rsid w:val="00305BD4"/>
    <w:rsid w:val="00306DDB"/>
    <w:rsid w:val="00306E0D"/>
    <w:rsid w:val="0030706D"/>
    <w:rsid w:val="00307BE1"/>
    <w:rsid w:val="00311827"/>
    <w:rsid w:val="00312C15"/>
    <w:rsid w:val="00313974"/>
    <w:rsid w:val="00313D95"/>
    <w:rsid w:val="00321618"/>
    <w:rsid w:val="0032164F"/>
    <w:rsid w:val="003224E5"/>
    <w:rsid w:val="00322FCB"/>
    <w:rsid w:val="00324DA1"/>
    <w:rsid w:val="0032560E"/>
    <w:rsid w:val="00326836"/>
    <w:rsid w:val="00326FC0"/>
    <w:rsid w:val="00327D13"/>
    <w:rsid w:val="00330707"/>
    <w:rsid w:val="00330854"/>
    <w:rsid w:val="00332186"/>
    <w:rsid w:val="00332B75"/>
    <w:rsid w:val="0033376D"/>
    <w:rsid w:val="003337D2"/>
    <w:rsid w:val="00334BA6"/>
    <w:rsid w:val="00334C5F"/>
    <w:rsid w:val="003402EE"/>
    <w:rsid w:val="00340345"/>
    <w:rsid w:val="003405E9"/>
    <w:rsid w:val="00341FBD"/>
    <w:rsid w:val="00342D4C"/>
    <w:rsid w:val="0034370C"/>
    <w:rsid w:val="003450F2"/>
    <w:rsid w:val="00345AAF"/>
    <w:rsid w:val="00345BBB"/>
    <w:rsid w:val="00345CED"/>
    <w:rsid w:val="003463F8"/>
    <w:rsid w:val="003467ED"/>
    <w:rsid w:val="00350191"/>
    <w:rsid w:val="00353555"/>
    <w:rsid w:val="00353AD5"/>
    <w:rsid w:val="00354E2B"/>
    <w:rsid w:val="00355255"/>
    <w:rsid w:val="0035626B"/>
    <w:rsid w:val="00362251"/>
    <w:rsid w:val="00363403"/>
    <w:rsid w:val="00363905"/>
    <w:rsid w:val="00363D88"/>
    <w:rsid w:val="0036701E"/>
    <w:rsid w:val="00370810"/>
    <w:rsid w:val="00372EC1"/>
    <w:rsid w:val="00373565"/>
    <w:rsid w:val="003754EA"/>
    <w:rsid w:val="00375CCC"/>
    <w:rsid w:val="003804B2"/>
    <w:rsid w:val="003813BA"/>
    <w:rsid w:val="00382020"/>
    <w:rsid w:val="0038252B"/>
    <w:rsid w:val="00383AF3"/>
    <w:rsid w:val="00383F85"/>
    <w:rsid w:val="00384443"/>
    <w:rsid w:val="003853E3"/>
    <w:rsid w:val="003855FC"/>
    <w:rsid w:val="003863D0"/>
    <w:rsid w:val="00386A08"/>
    <w:rsid w:val="00387D2A"/>
    <w:rsid w:val="00390ABC"/>
    <w:rsid w:val="0039245E"/>
    <w:rsid w:val="003924FD"/>
    <w:rsid w:val="00392B55"/>
    <w:rsid w:val="003938C1"/>
    <w:rsid w:val="00394941"/>
    <w:rsid w:val="003953AC"/>
    <w:rsid w:val="00396183"/>
    <w:rsid w:val="00397036"/>
    <w:rsid w:val="00397E2C"/>
    <w:rsid w:val="003A00F5"/>
    <w:rsid w:val="003A45C5"/>
    <w:rsid w:val="003A5428"/>
    <w:rsid w:val="003A54D3"/>
    <w:rsid w:val="003A620C"/>
    <w:rsid w:val="003A7DA6"/>
    <w:rsid w:val="003B0609"/>
    <w:rsid w:val="003B0CC6"/>
    <w:rsid w:val="003B1ABB"/>
    <w:rsid w:val="003B255F"/>
    <w:rsid w:val="003B314E"/>
    <w:rsid w:val="003B50CD"/>
    <w:rsid w:val="003B5BF9"/>
    <w:rsid w:val="003B62B7"/>
    <w:rsid w:val="003B6973"/>
    <w:rsid w:val="003B6BE7"/>
    <w:rsid w:val="003B6DBF"/>
    <w:rsid w:val="003B7C4E"/>
    <w:rsid w:val="003C0915"/>
    <w:rsid w:val="003C17D6"/>
    <w:rsid w:val="003C1CA6"/>
    <w:rsid w:val="003C547F"/>
    <w:rsid w:val="003C6C51"/>
    <w:rsid w:val="003C75D3"/>
    <w:rsid w:val="003C7B9C"/>
    <w:rsid w:val="003C7C60"/>
    <w:rsid w:val="003D0275"/>
    <w:rsid w:val="003D04FA"/>
    <w:rsid w:val="003D1B21"/>
    <w:rsid w:val="003D4A55"/>
    <w:rsid w:val="003D4B63"/>
    <w:rsid w:val="003D5F48"/>
    <w:rsid w:val="003E0343"/>
    <w:rsid w:val="003E05E3"/>
    <w:rsid w:val="003E0D52"/>
    <w:rsid w:val="003E2C70"/>
    <w:rsid w:val="003E3217"/>
    <w:rsid w:val="003E46E6"/>
    <w:rsid w:val="003E590D"/>
    <w:rsid w:val="003E5B59"/>
    <w:rsid w:val="003F02D3"/>
    <w:rsid w:val="003F153B"/>
    <w:rsid w:val="003F1DD1"/>
    <w:rsid w:val="003F2136"/>
    <w:rsid w:val="003F2EFC"/>
    <w:rsid w:val="003F345F"/>
    <w:rsid w:val="003F69F5"/>
    <w:rsid w:val="003F6FBB"/>
    <w:rsid w:val="00403A00"/>
    <w:rsid w:val="00404D99"/>
    <w:rsid w:val="004058F5"/>
    <w:rsid w:val="0040591A"/>
    <w:rsid w:val="0041081E"/>
    <w:rsid w:val="00412804"/>
    <w:rsid w:val="00412E12"/>
    <w:rsid w:val="0041347B"/>
    <w:rsid w:val="00413D4C"/>
    <w:rsid w:val="00414B8A"/>
    <w:rsid w:val="00414D36"/>
    <w:rsid w:val="00414D47"/>
    <w:rsid w:val="00415821"/>
    <w:rsid w:val="0041629E"/>
    <w:rsid w:val="0041755D"/>
    <w:rsid w:val="0042078B"/>
    <w:rsid w:val="00422FEB"/>
    <w:rsid w:val="00423D76"/>
    <w:rsid w:val="004246C3"/>
    <w:rsid w:val="00424E6E"/>
    <w:rsid w:val="0042559A"/>
    <w:rsid w:val="00426F1B"/>
    <w:rsid w:val="00427AB2"/>
    <w:rsid w:val="004315D2"/>
    <w:rsid w:val="00431B5E"/>
    <w:rsid w:val="004335A6"/>
    <w:rsid w:val="004354B2"/>
    <w:rsid w:val="004363CE"/>
    <w:rsid w:val="00436E90"/>
    <w:rsid w:val="00436F73"/>
    <w:rsid w:val="00437BE1"/>
    <w:rsid w:val="00441360"/>
    <w:rsid w:val="0044327A"/>
    <w:rsid w:val="004477E0"/>
    <w:rsid w:val="00447A59"/>
    <w:rsid w:val="004502E6"/>
    <w:rsid w:val="00451ACE"/>
    <w:rsid w:val="00451DDE"/>
    <w:rsid w:val="00453FF1"/>
    <w:rsid w:val="0045462A"/>
    <w:rsid w:val="0045574A"/>
    <w:rsid w:val="00455D3B"/>
    <w:rsid w:val="004575D8"/>
    <w:rsid w:val="0046155E"/>
    <w:rsid w:val="00463C10"/>
    <w:rsid w:val="004641A4"/>
    <w:rsid w:val="004665B3"/>
    <w:rsid w:val="00466B81"/>
    <w:rsid w:val="00470046"/>
    <w:rsid w:val="00471B9C"/>
    <w:rsid w:val="00473C53"/>
    <w:rsid w:val="0047408C"/>
    <w:rsid w:val="00475E8E"/>
    <w:rsid w:val="00477BB7"/>
    <w:rsid w:val="00483AF1"/>
    <w:rsid w:val="00483FFB"/>
    <w:rsid w:val="00484CDA"/>
    <w:rsid w:val="0048646C"/>
    <w:rsid w:val="00487DE6"/>
    <w:rsid w:val="00490AB7"/>
    <w:rsid w:val="00490C75"/>
    <w:rsid w:val="00491437"/>
    <w:rsid w:val="00493E78"/>
    <w:rsid w:val="0049407E"/>
    <w:rsid w:val="0049484D"/>
    <w:rsid w:val="004949F7"/>
    <w:rsid w:val="00494BD1"/>
    <w:rsid w:val="0049541A"/>
    <w:rsid w:val="004975A5"/>
    <w:rsid w:val="004976E7"/>
    <w:rsid w:val="00497E33"/>
    <w:rsid w:val="00497EC3"/>
    <w:rsid w:val="004A0A98"/>
    <w:rsid w:val="004A43B2"/>
    <w:rsid w:val="004A4D37"/>
    <w:rsid w:val="004A5376"/>
    <w:rsid w:val="004A5E3E"/>
    <w:rsid w:val="004A757B"/>
    <w:rsid w:val="004A799C"/>
    <w:rsid w:val="004B1131"/>
    <w:rsid w:val="004B1556"/>
    <w:rsid w:val="004B181F"/>
    <w:rsid w:val="004B3890"/>
    <w:rsid w:val="004B3B56"/>
    <w:rsid w:val="004B3B73"/>
    <w:rsid w:val="004B420C"/>
    <w:rsid w:val="004B6F39"/>
    <w:rsid w:val="004B7947"/>
    <w:rsid w:val="004C4459"/>
    <w:rsid w:val="004C5288"/>
    <w:rsid w:val="004C586A"/>
    <w:rsid w:val="004C5ABD"/>
    <w:rsid w:val="004C6A21"/>
    <w:rsid w:val="004C6CF6"/>
    <w:rsid w:val="004C7716"/>
    <w:rsid w:val="004C7D26"/>
    <w:rsid w:val="004C7F25"/>
    <w:rsid w:val="004D1911"/>
    <w:rsid w:val="004D2044"/>
    <w:rsid w:val="004D2145"/>
    <w:rsid w:val="004D215F"/>
    <w:rsid w:val="004D30B9"/>
    <w:rsid w:val="004D460F"/>
    <w:rsid w:val="004D508D"/>
    <w:rsid w:val="004D64D7"/>
    <w:rsid w:val="004E0E8E"/>
    <w:rsid w:val="004E243B"/>
    <w:rsid w:val="004E30A6"/>
    <w:rsid w:val="004E347A"/>
    <w:rsid w:val="004E5092"/>
    <w:rsid w:val="004E5622"/>
    <w:rsid w:val="004E64FE"/>
    <w:rsid w:val="004E7DCD"/>
    <w:rsid w:val="004F0AB0"/>
    <w:rsid w:val="004F1A48"/>
    <w:rsid w:val="004F3AA0"/>
    <w:rsid w:val="004F464A"/>
    <w:rsid w:val="004F47D5"/>
    <w:rsid w:val="004F51C9"/>
    <w:rsid w:val="004F5A67"/>
    <w:rsid w:val="004F5A8E"/>
    <w:rsid w:val="004F680A"/>
    <w:rsid w:val="004F6DD2"/>
    <w:rsid w:val="004F742E"/>
    <w:rsid w:val="004F783E"/>
    <w:rsid w:val="0050118A"/>
    <w:rsid w:val="00503A80"/>
    <w:rsid w:val="0050496C"/>
    <w:rsid w:val="005074E5"/>
    <w:rsid w:val="0051054C"/>
    <w:rsid w:val="005109AD"/>
    <w:rsid w:val="00511A48"/>
    <w:rsid w:val="0051243F"/>
    <w:rsid w:val="00514104"/>
    <w:rsid w:val="00514CD4"/>
    <w:rsid w:val="005165ED"/>
    <w:rsid w:val="00516E4D"/>
    <w:rsid w:val="00516E80"/>
    <w:rsid w:val="00517CB8"/>
    <w:rsid w:val="00520B3A"/>
    <w:rsid w:val="0052208B"/>
    <w:rsid w:val="005236FB"/>
    <w:rsid w:val="00523815"/>
    <w:rsid w:val="00523A04"/>
    <w:rsid w:val="00525041"/>
    <w:rsid w:val="005250A8"/>
    <w:rsid w:val="00525272"/>
    <w:rsid w:val="0052594F"/>
    <w:rsid w:val="00530A41"/>
    <w:rsid w:val="00533848"/>
    <w:rsid w:val="0053392F"/>
    <w:rsid w:val="00533ABF"/>
    <w:rsid w:val="00533BEC"/>
    <w:rsid w:val="00536483"/>
    <w:rsid w:val="005365DC"/>
    <w:rsid w:val="00536CBD"/>
    <w:rsid w:val="00537698"/>
    <w:rsid w:val="00540462"/>
    <w:rsid w:val="00540693"/>
    <w:rsid w:val="00541EEF"/>
    <w:rsid w:val="00542141"/>
    <w:rsid w:val="00542551"/>
    <w:rsid w:val="00545621"/>
    <w:rsid w:val="00545827"/>
    <w:rsid w:val="00545B6E"/>
    <w:rsid w:val="005464B6"/>
    <w:rsid w:val="00547589"/>
    <w:rsid w:val="00550191"/>
    <w:rsid w:val="00550BF8"/>
    <w:rsid w:val="00552B13"/>
    <w:rsid w:val="00552DB5"/>
    <w:rsid w:val="00552EDF"/>
    <w:rsid w:val="00554030"/>
    <w:rsid w:val="00554613"/>
    <w:rsid w:val="00555710"/>
    <w:rsid w:val="00557BCE"/>
    <w:rsid w:val="0056171E"/>
    <w:rsid w:val="00565BE6"/>
    <w:rsid w:val="00567C9B"/>
    <w:rsid w:val="005710F9"/>
    <w:rsid w:val="00571E49"/>
    <w:rsid w:val="00572816"/>
    <w:rsid w:val="005729B3"/>
    <w:rsid w:val="00572CCC"/>
    <w:rsid w:val="00573B76"/>
    <w:rsid w:val="005745E0"/>
    <w:rsid w:val="00575AEE"/>
    <w:rsid w:val="0057745C"/>
    <w:rsid w:val="00577A58"/>
    <w:rsid w:val="0058134C"/>
    <w:rsid w:val="00583178"/>
    <w:rsid w:val="00583C11"/>
    <w:rsid w:val="00584D40"/>
    <w:rsid w:val="00585387"/>
    <w:rsid w:val="005860E6"/>
    <w:rsid w:val="00586C08"/>
    <w:rsid w:val="005903EF"/>
    <w:rsid w:val="005916A9"/>
    <w:rsid w:val="00592DB2"/>
    <w:rsid w:val="00593B76"/>
    <w:rsid w:val="00595C3E"/>
    <w:rsid w:val="005A110A"/>
    <w:rsid w:val="005A1471"/>
    <w:rsid w:val="005A175B"/>
    <w:rsid w:val="005A1F8D"/>
    <w:rsid w:val="005A218C"/>
    <w:rsid w:val="005A2D22"/>
    <w:rsid w:val="005A5612"/>
    <w:rsid w:val="005A5A56"/>
    <w:rsid w:val="005A662F"/>
    <w:rsid w:val="005B12FA"/>
    <w:rsid w:val="005B3A65"/>
    <w:rsid w:val="005B4639"/>
    <w:rsid w:val="005B5D20"/>
    <w:rsid w:val="005B613C"/>
    <w:rsid w:val="005C096D"/>
    <w:rsid w:val="005C131C"/>
    <w:rsid w:val="005C15C6"/>
    <w:rsid w:val="005C3E83"/>
    <w:rsid w:val="005C4BA0"/>
    <w:rsid w:val="005C6827"/>
    <w:rsid w:val="005C6FDF"/>
    <w:rsid w:val="005C7498"/>
    <w:rsid w:val="005D12F0"/>
    <w:rsid w:val="005D14DB"/>
    <w:rsid w:val="005D1763"/>
    <w:rsid w:val="005D49B0"/>
    <w:rsid w:val="005D5477"/>
    <w:rsid w:val="005D59F6"/>
    <w:rsid w:val="005D5ED3"/>
    <w:rsid w:val="005D7214"/>
    <w:rsid w:val="005E0593"/>
    <w:rsid w:val="005E18DC"/>
    <w:rsid w:val="005E2979"/>
    <w:rsid w:val="005E6413"/>
    <w:rsid w:val="005E74ED"/>
    <w:rsid w:val="005F01BB"/>
    <w:rsid w:val="005F158A"/>
    <w:rsid w:val="005F44EA"/>
    <w:rsid w:val="005F5D19"/>
    <w:rsid w:val="005F7939"/>
    <w:rsid w:val="00601921"/>
    <w:rsid w:val="0060293F"/>
    <w:rsid w:val="00602C2C"/>
    <w:rsid w:val="00604136"/>
    <w:rsid w:val="00606EDC"/>
    <w:rsid w:val="00610818"/>
    <w:rsid w:val="00611D95"/>
    <w:rsid w:val="00613C02"/>
    <w:rsid w:val="00614C52"/>
    <w:rsid w:val="006153B6"/>
    <w:rsid w:val="0061665C"/>
    <w:rsid w:val="0061772C"/>
    <w:rsid w:val="00617EA3"/>
    <w:rsid w:val="006206AA"/>
    <w:rsid w:val="00620BED"/>
    <w:rsid w:val="0062127D"/>
    <w:rsid w:val="00623D37"/>
    <w:rsid w:val="0062506F"/>
    <w:rsid w:val="00625BBD"/>
    <w:rsid w:val="006265A0"/>
    <w:rsid w:val="00627DEC"/>
    <w:rsid w:val="006309A0"/>
    <w:rsid w:val="006316F6"/>
    <w:rsid w:val="00634072"/>
    <w:rsid w:val="006360F3"/>
    <w:rsid w:val="0064080B"/>
    <w:rsid w:val="006423A0"/>
    <w:rsid w:val="00643296"/>
    <w:rsid w:val="00644EA2"/>
    <w:rsid w:val="00645F81"/>
    <w:rsid w:val="00646731"/>
    <w:rsid w:val="00647179"/>
    <w:rsid w:val="00647588"/>
    <w:rsid w:val="0065031E"/>
    <w:rsid w:val="006517F7"/>
    <w:rsid w:val="00653286"/>
    <w:rsid w:val="00654823"/>
    <w:rsid w:val="00655DB6"/>
    <w:rsid w:val="00657339"/>
    <w:rsid w:val="006577C1"/>
    <w:rsid w:val="006577C5"/>
    <w:rsid w:val="00657DFB"/>
    <w:rsid w:val="00660551"/>
    <w:rsid w:val="0066277D"/>
    <w:rsid w:val="00662969"/>
    <w:rsid w:val="006648E5"/>
    <w:rsid w:val="00664CB2"/>
    <w:rsid w:val="00664D19"/>
    <w:rsid w:val="0066534D"/>
    <w:rsid w:val="00665554"/>
    <w:rsid w:val="00665678"/>
    <w:rsid w:val="00670427"/>
    <w:rsid w:val="00670603"/>
    <w:rsid w:val="006708F4"/>
    <w:rsid w:val="00670F62"/>
    <w:rsid w:val="00671FA1"/>
    <w:rsid w:val="00673751"/>
    <w:rsid w:val="00673B33"/>
    <w:rsid w:val="00676603"/>
    <w:rsid w:val="00680812"/>
    <w:rsid w:val="00681720"/>
    <w:rsid w:val="00681FA7"/>
    <w:rsid w:val="00682BF5"/>
    <w:rsid w:val="0068309C"/>
    <w:rsid w:val="006848F7"/>
    <w:rsid w:val="00684B18"/>
    <w:rsid w:val="00685675"/>
    <w:rsid w:val="00685B23"/>
    <w:rsid w:val="00686B2B"/>
    <w:rsid w:val="00687526"/>
    <w:rsid w:val="00690A83"/>
    <w:rsid w:val="00691437"/>
    <w:rsid w:val="0069143D"/>
    <w:rsid w:val="00692AF7"/>
    <w:rsid w:val="006949E7"/>
    <w:rsid w:val="006959DF"/>
    <w:rsid w:val="00696077"/>
    <w:rsid w:val="00696783"/>
    <w:rsid w:val="0069764A"/>
    <w:rsid w:val="006A0601"/>
    <w:rsid w:val="006A2462"/>
    <w:rsid w:val="006A2E66"/>
    <w:rsid w:val="006A343E"/>
    <w:rsid w:val="006A39B2"/>
    <w:rsid w:val="006A477A"/>
    <w:rsid w:val="006A5304"/>
    <w:rsid w:val="006A6107"/>
    <w:rsid w:val="006B14AD"/>
    <w:rsid w:val="006B1716"/>
    <w:rsid w:val="006B2CCF"/>
    <w:rsid w:val="006B3366"/>
    <w:rsid w:val="006B41EF"/>
    <w:rsid w:val="006B49ED"/>
    <w:rsid w:val="006C06ED"/>
    <w:rsid w:val="006C1227"/>
    <w:rsid w:val="006C390E"/>
    <w:rsid w:val="006C3C4A"/>
    <w:rsid w:val="006C46FF"/>
    <w:rsid w:val="006C4740"/>
    <w:rsid w:val="006C7931"/>
    <w:rsid w:val="006D0240"/>
    <w:rsid w:val="006D04CE"/>
    <w:rsid w:val="006D118E"/>
    <w:rsid w:val="006D2C35"/>
    <w:rsid w:val="006D3871"/>
    <w:rsid w:val="006D514D"/>
    <w:rsid w:val="006D5D5C"/>
    <w:rsid w:val="006E0AED"/>
    <w:rsid w:val="006E1C82"/>
    <w:rsid w:val="006E37D2"/>
    <w:rsid w:val="006E5673"/>
    <w:rsid w:val="006E57B5"/>
    <w:rsid w:val="006E74C8"/>
    <w:rsid w:val="006F1690"/>
    <w:rsid w:val="006F438C"/>
    <w:rsid w:val="006F611A"/>
    <w:rsid w:val="006F62AA"/>
    <w:rsid w:val="006F7D3E"/>
    <w:rsid w:val="00702B8B"/>
    <w:rsid w:val="00706628"/>
    <w:rsid w:val="00707DAA"/>
    <w:rsid w:val="0071117B"/>
    <w:rsid w:val="007114EF"/>
    <w:rsid w:val="007124BF"/>
    <w:rsid w:val="00714526"/>
    <w:rsid w:val="00720454"/>
    <w:rsid w:val="00722B73"/>
    <w:rsid w:val="007236D3"/>
    <w:rsid w:val="00724545"/>
    <w:rsid w:val="00725AAC"/>
    <w:rsid w:val="00727240"/>
    <w:rsid w:val="00727A5B"/>
    <w:rsid w:val="0073476E"/>
    <w:rsid w:val="00734D4D"/>
    <w:rsid w:val="0073648E"/>
    <w:rsid w:val="00736575"/>
    <w:rsid w:val="007366CB"/>
    <w:rsid w:val="00737DD7"/>
    <w:rsid w:val="0074042E"/>
    <w:rsid w:val="00741193"/>
    <w:rsid w:val="007437E5"/>
    <w:rsid w:val="00750218"/>
    <w:rsid w:val="00751361"/>
    <w:rsid w:val="007542FA"/>
    <w:rsid w:val="0075490A"/>
    <w:rsid w:val="00755D92"/>
    <w:rsid w:val="00755F44"/>
    <w:rsid w:val="00757C40"/>
    <w:rsid w:val="0076031B"/>
    <w:rsid w:val="00763610"/>
    <w:rsid w:val="0076365F"/>
    <w:rsid w:val="0076366D"/>
    <w:rsid w:val="007654DB"/>
    <w:rsid w:val="007663AA"/>
    <w:rsid w:val="007714E4"/>
    <w:rsid w:val="0077348B"/>
    <w:rsid w:val="0077471B"/>
    <w:rsid w:val="00774AEB"/>
    <w:rsid w:val="0077519C"/>
    <w:rsid w:val="007752BC"/>
    <w:rsid w:val="007765BC"/>
    <w:rsid w:val="0077737E"/>
    <w:rsid w:val="007776B8"/>
    <w:rsid w:val="00777741"/>
    <w:rsid w:val="007800D7"/>
    <w:rsid w:val="00780103"/>
    <w:rsid w:val="0078390F"/>
    <w:rsid w:val="007839DF"/>
    <w:rsid w:val="00784BFA"/>
    <w:rsid w:val="00784D8B"/>
    <w:rsid w:val="00785397"/>
    <w:rsid w:val="0078546C"/>
    <w:rsid w:val="0078690A"/>
    <w:rsid w:val="00787723"/>
    <w:rsid w:val="00791B49"/>
    <w:rsid w:val="00791D9F"/>
    <w:rsid w:val="00793BCE"/>
    <w:rsid w:val="007962A1"/>
    <w:rsid w:val="007972A1"/>
    <w:rsid w:val="007977A7"/>
    <w:rsid w:val="00797D5F"/>
    <w:rsid w:val="007A113D"/>
    <w:rsid w:val="007A2A55"/>
    <w:rsid w:val="007A2C21"/>
    <w:rsid w:val="007A5681"/>
    <w:rsid w:val="007A6514"/>
    <w:rsid w:val="007B2C36"/>
    <w:rsid w:val="007B464D"/>
    <w:rsid w:val="007B47D4"/>
    <w:rsid w:val="007B5CB5"/>
    <w:rsid w:val="007C035C"/>
    <w:rsid w:val="007C09C5"/>
    <w:rsid w:val="007C1C18"/>
    <w:rsid w:val="007C2269"/>
    <w:rsid w:val="007C47B2"/>
    <w:rsid w:val="007C4F78"/>
    <w:rsid w:val="007C63AE"/>
    <w:rsid w:val="007C65A6"/>
    <w:rsid w:val="007C6AA9"/>
    <w:rsid w:val="007C7685"/>
    <w:rsid w:val="007C7E4A"/>
    <w:rsid w:val="007D0ADA"/>
    <w:rsid w:val="007D176A"/>
    <w:rsid w:val="007D52A9"/>
    <w:rsid w:val="007D5A4C"/>
    <w:rsid w:val="007D67F5"/>
    <w:rsid w:val="007E164B"/>
    <w:rsid w:val="007E26E8"/>
    <w:rsid w:val="007E4775"/>
    <w:rsid w:val="007E4B14"/>
    <w:rsid w:val="007E55DE"/>
    <w:rsid w:val="007E5CFA"/>
    <w:rsid w:val="007E6B9B"/>
    <w:rsid w:val="007E74DF"/>
    <w:rsid w:val="007E7CC2"/>
    <w:rsid w:val="007F0B16"/>
    <w:rsid w:val="007F23AA"/>
    <w:rsid w:val="007F3664"/>
    <w:rsid w:val="007F4197"/>
    <w:rsid w:val="008006F2"/>
    <w:rsid w:val="00800E3E"/>
    <w:rsid w:val="008019C2"/>
    <w:rsid w:val="0080291A"/>
    <w:rsid w:val="00803D0A"/>
    <w:rsid w:val="008045F1"/>
    <w:rsid w:val="00806752"/>
    <w:rsid w:val="00806D49"/>
    <w:rsid w:val="00810287"/>
    <w:rsid w:val="00810442"/>
    <w:rsid w:val="0081194F"/>
    <w:rsid w:val="00811A0C"/>
    <w:rsid w:val="00811B26"/>
    <w:rsid w:val="00813FF2"/>
    <w:rsid w:val="00814D87"/>
    <w:rsid w:val="00814DED"/>
    <w:rsid w:val="00815125"/>
    <w:rsid w:val="008160B2"/>
    <w:rsid w:val="00817359"/>
    <w:rsid w:val="00820187"/>
    <w:rsid w:val="00821505"/>
    <w:rsid w:val="00821F22"/>
    <w:rsid w:val="00822298"/>
    <w:rsid w:val="00825D7F"/>
    <w:rsid w:val="00830266"/>
    <w:rsid w:val="00830BB7"/>
    <w:rsid w:val="00830C9B"/>
    <w:rsid w:val="008319A8"/>
    <w:rsid w:val="00835A4D"/>
    <w:rsid w:val="0083785A"/>
    <w:rsid w:val="00837B04"/>
    <w:rsid w:val="0084149D"/>
    <w:rsid w:val="00841600"/>
    <w:rsid w:val="00844832"/>
    <w:rsid w:val="008475F9"/>
    <w:rsid w:val="00850FBC"/>
    <w:rsid w:val="00851293"/>
    <w:rsid w:val="00851D96"/>
    <w:rsid w:val="00852ED4"/>
    <w:rsid w:val="00854EE6"/>
    <w:rsid w:val="00860018"/>
    <w:rsid w:val="0086102F"/>
    <w:rsid w:val="00861A6B"/>
    <w:rsid w:val="00863C4C"/>
    <w:rsid w:val="00863F97"/>
    <w:rsid w:val="00866F61"/>
    <w:rsid w:val="008713AA"/>
    <w:rsid w:val="00872C1B"/>
    <w:rsid w:val="00873447"/>
    <w:rsid w:val="00876583"/>
    <w:rsid w:val="0087774B"/>
    <w:rsid w:val="008819CE"/>
    <w:rsid w:val="008830D0"/>
    <w:rsid w:val="0088472B"/>
    <w:rsid w:val="0088565F"/>
    <w:rsid w:val="0088593D"/>
    <w:rsid w:val="0088626E"/>
    <w:rsid w:val="00890AEB"/>
    <w:rsid w:val="00892E27"/>
    <w:rsid w:val="0089387D"/>
    <w:rsid w:val="00893B1A"/>
    <w:rsid w:val="00893BA0"/>
    <w:rsid w:val="00895A6F"/>
    <w:rsid w:val="008A0836"/>
    <w:rsid w:val="008A0DE8"/>
    <w:rsid w:val="008A10CC"/>
    <w:rsid w:val="008A1157"/>
    <w:rsid w:val="008A2016"/>
    <w:rsid w:val="008A2A32"/>
    <w:rsid w:val="008A3A1B"/>
    <w:rsid w:val="008A3DF5"/>
    <w:rsid w:val="008A4F33"/>
    <w:rsid w:val="008A5EDF"/>
    <w:rsid w:val="008B1F2C"/>
    <w:rsid w:val="008B301E"/>
    <w:rsid w:val="008B4EE8"/>
    <w:rsid w:val="008B5441"/>
    <w:rsid w:val="008B626A"/>
    <w:rsid w:val="008C2561"/>
    <w:rsid w:val="008C280C"/>
    <w:rsid w:val="008C2A14"/>
    <w:rsid w:val="008C2F63"/>
    <w:rsid w:val="008C376E"/>
    <w:rsid w:val="008C47FA"/>
    <w:rsid w:val="008C51A5"/>
    <w:rsid w:val="008C7B3F"/>
    <w:rsid w:val="008D0726"/>
    <w:rsid w:val="008D1644"/>
    <w:rsid w:val="008D4F5A"/>
    <w:rsid w:val="008D510A"/>
    <w:rsid w:val="008D5A4A"/>
    <w:rsid w:val="008D6486"/>
    <w:rsid w:val="008E04B6"/>
    <w:rsid w:val="008E1090"/>
    <w:rsid w:val="008E1F56"/>
    <w:rsid w:val="008E2F4B"/>
    <w:rsid w:val="008E32ED"/>
    <w:rsid w:val="008E44C8"/>
    <w:rsid w:val="008E6AE3"/>
    <w:rsid w:val="008E6AF1"/>
    <w:rsid w:val="008E6BEB"/>
    <w:rsid w:val="008E768E"/>
    <w:rsid w:val="008F01FE"/>
    <w:rsid w:val="008F05C4"/>
    <w:rsid w:val="008F1BC6"/>
    <w:rsid w:val="008F39DA"/>
    <w:rsid w:val="008F3DEC"/>
    <w:rsid w:val="008F4210"/>
    <w:rsid w:val="008F47F2"/>
    <w:rsid w:val="008F5168"/>
    <w:rsid w:val="008F56B9"/>
    <w:rsid w:val="008F6FBD"/>
    <w:rsid w:val="00900224"/>
    <w:rsid w:val="00900291"/>
    <w:rsid w:val="00901F86"/>
    <w:rsid w:val="009029B6"/>
    <w:rsid w:val="009062DC"/>
    <w:rsid w:val="009074C8"/>
    <w:rsid w:val="00907FF6"/>
    <w:rsid w:val="0091118A"/>
    <w:rsid w:val="0091127B"/>
    <w:rsid w:val="00913E34"/>
    <w:rsid w:val="00924F0C"/>
    <w:rsid w:val="00924F74"/>
    <w:rsid w:val="009254CE"/>
    <w:rsid w:val="0092585E"/>
    <w:rsid w:val="00926D7C"/>
    <w:rsid w:val="00930AC4"/>
    <w:rsid w:val="0093214A"/>
    <w:rsid w:val="00932D5C"/>
    <w:rsid w:val="00934D86"/>
    <w:rsid w:val="009407E4"/>
    <w:rsid w:val="00942004"/>
    <w:rsid w:val="00942AF6"/>
    <w:rsid w:val="00944363"/>
    <w:rsid w:val="00945BF1"/>
    <w:rsid w:val="00950E6B"/>
    <w:rsid w:val="009524B8"/>
    <w:rsid w:val="00953A38"/>
    <w:rsid w:val="00953B61"/>
    <w:rsid w:val="00956082"/>
    <w:rsid w:val="00957487"/>
    <w:rsid w:val="00957502"/>
    <w:rsid w:val="00964425"/>
    <w:rsid w:val="00965700"/>
    <w:rsid w:val="009661FE"/>
    <w:rsid w:val="00966E6E"/>
    <w:rsid w:val="009676F2"/>
    <w:rsid w:val="00970CC3"/>
    <w:rsid w:val="0097191D"/>
    <w:rsid w:val="00972786"/>
    <w:rsid w:val="00974B88"/>
    <w:rsid w:val="00974DCE"/>
    <w:rsid w:val="00975609"/>
    <w:rsid w:val="00975BA7"/>
    <w:rsid w:val="0098086F"/>
    <w:rsid w:val="0098129B"/>
    <w:rsid w:val="00983C5A"/>
    <w:rsid w:val="0098401A"/>
    <w:rsid w:val="00984405"/>
    <w:rsid w:val="00985B35"/>
    <w:rsid w:val="00986063"/>
    <w:rsid w:val="00986724"/>
    <w:rsid w:val="009868D1"/>
    <w:rsid w:val="00986D88"/>
    <w:rsid w:val="00990401"/>
    <w:rsid w:val="009904BA"/>
    <w:rsid w:val="0099078D"/>
    <w:rsid w:val="00991965"/>
    <w:rsid w:val="009923EB"/>
    <w:rsid w:val="00993D88"/>
    <w:rsid w:val="0099680A"/>
    <w:rsid w:val="009A04D0"/>
    <w:rsid w:val="009A0F0C"/>
    <w:rsid w:val="009A1682"/>
    <w:rsid w:val="009A2C50"/>
    <w:rsid w:val="009A316E"/>
    <w:rsid w:val="009A33D2"/>
    <w:rsid w:val="009A3E0C"/>
    <w:rsid w:val="009A476B"/>
    <w:rsid w:val="009A47A6"/>
    <w:rsid w:val="009A5808"/>
    <w:rsid w:val="009A6541"/>
    <w:rsid w:val="009A7113"/>
    <w:rsid w:val="009B035A"/>
    <w:rsid w:val="009B2365"/>
    <w:rsid w:val="009B44C3"/>
    <w:rsid w:val="009B62AB"/>
    <w:rsid w:val="009B7E4A"/>
    <w:rsid w:val="009C0822"/>
    <w:rsid w:val="009C38E5"/>
    <w:rsid w:val="009C6B5F"/>
    <w:rsid w:val="009C7678"/>
    <w:rsid w:val="009C7CE6"/>
    <w:rsid w:val="009C7E27"/>
    <w:rsid w:val="009D17E1"/>
    <w:rsid w:val="009D378B"/>
    <w:rsid w:val="009D4629"/>
    <w:rsid w:val="009D4804"/>
    <w:rsid w:val="009D515C"/>
    <w:rsid w:val="009D51D8"/>
    <w:rsid w:val="009D58F3"/>
    <w:rsid w:val="009D6307"/>
    <w:rsid w:val="009D7581"/>
    <w:rsid w:val="009E08C3"/>
    <w:rsid w:val="009E0B24"/>
    <w:rsid w:val="009E5DD8"/>
    <w:rsid w:val="009E623B"/>
    <w:rsid w:val="009E6A44"/>
    <w:rsid w:val="009F0C6C"/>
    <w:rsid w:val="009F1318"/>
    <w:rsid w:val="009F1863"/>
    <w:rsid w:val="009F392F"/>
    <w:rsid w:val="009F4C01"/>
    <w:rsid w:val="009F5500"/>
    <w:rsid w:val="009F5BE4"/>
    <w:rsid w:val="00A02E38"/>
    <w:rsid w:val="00A062E5"/>
    <w:rsid w:val="00A06623"/>
    <w:rsid w:val="00A068FA"/>
    <w:rsid w:val="00A06B7A"/>
    <w:rsid w:val="00A10437"/>
    <w:rsid w:val="00A11DD5"/>
    <w:rsid w:val="00A133E4"/>
    <w:rsid w:val="00A148CD"/>
    <w:rsid w:val="00A148F8"/>
    <w:rsid w:val="00A14F8A"/>
    <w:rsid w:val="00A166A8"/>
    <w:rsid w:val="00A166F1"/>
    <w:rsid w:val="00A177DA"/>
    <w:rsid w:val="00A179AC"/>
    <w:rsid w:val="00A17E2A"/>
    <w:rsid w:val="00A210E6"/>
    <w:rsid w:val="00A21CE6"/>
    <w:rsid w:val="00A23900"/>
    <w:rsid w:val="00A25C7C"/>
    <w:rsid w:val="00A26462"/>
    <w:rsid w:val="00A26CEA"/>
    <w:rsid w:val="00A271AA"/>
    <w:rsid w:val="00A27589"/>
    <w:rsid w:val="00A3031A"/>
    <w:rsid w:val="00A32DA3"/>
    <w:rsid w:val="00A4501F"/>
    <w:rsid w:val="00A450A6"/>
    <w:rsid w:val="00A510D6"/>
    <w:rsid w:val="00A535B3"/>
    <w:rsid w:val="00A56276"/>
    <w:rsid w:val="00A56F75"/>
    <w:rsid w:val="00A57049"/>
    <w:rsid w:val="00A5758B"/>
    <w:rsid w:val="00A578FE"/>
    <w:rsid w:val="00A61927"/>
    <w:rsid w:val="00A6495A"/>
    <w:rsid w:val="00A70278"/>
    <w:rsid w:val="00A709EE"/>
    <w:rsid w:val="00A76584"/>
    <w:rsid w:val="00A816E5"/>
    <w:rsid w:val="00A81FB0"/>
    <w:rsid w:val="00A82AEF"/>
    <w:rsid w:val="00A8302B"/>
    <w:rsid w:val="00A8497D"/>
    <w:rsid w:val="00A85973"/>
    <w:rsid w:val="00A861D1"/>
    <w:rsid w:val="00A8734D"/>
    <w:rsid w:val="00A87757"/>
    <w:rsid w:val="00A9017D"/>
    <w:rsid w:val="00A93CDD"/>
    <w:rsid w:val="00A970EE"/>
    <w:rsid w:val="00A976FE"/>
    <w:rsid w:val="00A97873"/>
    <w:rsid w:val="00A97E06"/>
    <w:rsid w:val="00A97EE2"/>
    <w:rsid w:val="00AA014A"/>
    <w:rsid w:val="00AA218C"/>
    <w:rsid w:val="00AA2CC9"/>
    <w:rsid w:val="00AA2E39"/>
    <w:rsid w:val="00AA3732"/>
    <w:rsid w:val="00AA37F5"/>
    <w:rsid w:val="00AA4B88"/>
    <w:rsid w:val="00AA5D34"/>
    <w:rsid w:val="00AB04AA"/>
    <w:rsid w:val="00AB11F7"/>
    <w:rsid w:val="00AB14DF"/>
    <w:rsid w:val="00AB5519"/>
    <w:rsid w:val="00AB5A8D"/>
    <w:rsid w:val="00AB6024"/>
    <w:rsid w:val="00AC0286"/>
    <w:rsid w:val="00AC0C75"/>
    <w:rsid w:val="00AC0D49"/>
    <w:rsid w:val="00AC4703"/>
    <w:rsid w:val="00AC4D6F"/>
    <w:rsid w:val="00AC6C4E"/>
    <w:rsid w:val="00AC77BD"/>
    <w:rsid w:val="00AC7BC0"/>
    <w:rsid w:val="00AD15D0"/>
    <w:rsid w:val="00AD1D6C"/>
    <w:rsid w:val="00AD1EA0"/>
    <w:rsid w:val="00AD32F4"/>
    <w:rsid w:val="00AD46E3"/>
    <w:rsid w:val="00AD4924"/>
    <w:rsid w:val="00AD56DB"/>
    <w:rsid w:val="00AD7ADB"/>
    <w:rsid w:val="00AE080D"/>
    <w:rsid w:val="00AE3CD4"/>
    <w:rsid w:val="00AE3E22"/>
    <w:rsid w:val="00AE4E1B"/>
    <w:rsid w:val="00AE7B40"/>
    <w:rsid w:val="00AF14FF"/>
    <w:rsid w:val="00AF1981"/>
    <w:rsid w:val="00AF6C0F"/>
    <w:rsid w:val="00AF7246"/>
    <w:rsid w:val="00B0030D"/>
    <w:rsid w:val="00B03382"/>
    <w:rsid w:val="00B04346"/>
    <w:rsid w:val="00B0452F"/>
    <w:rsid w:val="00B049CA"/>
    <w:rsid w:val="00B05749"/>
    <w:rsid w:val="00B05C02"/>
    <w:rsid w:val="00B06DE2"/>
    <w:rsid w:val="00B07FA5"/>
    <w:rsid w:val="00B109B6"/>
    <w:rsid w:val="00B112EF"/>
    <w:rsid w:val="00B11AFB"/>
    <w:rsid w:val="00B122E4"/>
    <w:rsid w:val="00B134F1"/>
    <w:rsid w:val="00B15EE2"/>
    <w:rsid w:val="00B16652"/>
    <w:rsid w:val="00B167AE"/>
    <w:rsid w:val="00B16A7A"/>
    <w:rsid w:val="00B21903"/>
    <w:rsid w:val="00B232CB"/>
    <w:rsid w:val="00B237F9"/>
    <w:rsid w:val="00B25BB8"/>
    <w:rsid w:val="00B27274"/>
    <w:rsid w:val="00B33A5F"/>
    <w:rsid w:val="00B36962"/>
    <w:rsid w:val="00B369C4"/>
    <w:rsid w:val="00B373F8"/>
    <w:rsid w:val="00B37617"/>
    <w:rsid w:val="00B37A9C"/>
    <w:rsid w:val="00B40D8E"/>
    <w:rsid w:val="00B41394"/>
    <w:rsid w:val="00B421F5"/>
    <w:rsid w:val="00B43E2C"/>
    <w:rsid w:val="00B44599"/>
    <w:rsid w:val="00B45049"/>
    <w:rsid w:val="00B469BA"/>
    <w:rsid w:val="00B50517"/>
    <w:rsid w:val="00B507C4"/>
    <w:rsid w:val="00B53034"/>
    <w:rsid w:val="00B544CC"/>
    <w:rsid w:val="00B54B7E"/>
    <w:rsid w:val="00B55A7F"/>
    <w:rsid w:val="00B56935"/>
    <w:rsid w:val="00B6002E"/>
    <w:rsid w:val="00B600B8"/>
    <w:rsid w:val="00B62F53"/>
    <w:rsid w:val="00B634B3"/>
    <w:rsid w:val="00B644C2"/>
    <w:rsid w:val="00B64E4E"/>
    <w:rsid w:val="00B66083"/>
    <w:rsid w:val="00B66A14"/>
    <w:rsid w:val="00B671F9"/>
    <w:rsid w:val="00B70BC5"/>
    <w:rsid w:val="00B720DF"/>
    <w:rsid w:val="00B76247"/>
    <w:rsid w:val="00B76C02"/>
    <w:rsid w:val="00B8018B"/>
    <w:rsid w:val="00B802CF"/>
    <w:rsid w:val="00B8320A"/>
    <w:rsid w:val="00B83AE2"/>
    <w:rsid w:val="00B83F6A"/>
    <w:rsid w:val="00B91965"/>
    <w:rsid w:val="00B93344"/>
    <w:rsid w:val="00B947CF"/>
    <w:rsid w:val="00B95281"/>
    <w:rsid w:val="00B957B8"/>
    <w:rsid w:val="00B97245"/>
    <w:rsid w:val="00BA2C26"/>
    <w:rsid w:val="00BA7A6A"/>
    <w:rsid w:val="00BB03EC"/>
    <w:rsid w:val="00BB3A0F"/>
    <w:rsid w:val="00BB408B"/>
    <w:rsid w:val="00BB59C1"/>
    <w:rsid w:val="00BB6802"/>
    <w:rsid w:val="00BB703A"/>
    <w:rsid w:val="00BB7DD3"/>
    <w:rsid w:val="00BC1639"/>
    <w:rsid w:val="00BC1750"/>
    <w:rsid w:val="00BC55EE"/>
    <w:rsid w:val="00BC55EF"/>
    <w:rsid w:val="00BC592E"/>
    <w:rsid w:val="00BC753C"/>
    <w:rsid w:val="00BC7E72"/>
    <w:rsid w:val="00BD1883"/>
    <w:rsid w:val="00BD4757"/>
    <w:rsid w:val="00BD6086"/>
    <w:rsid w:val="00BE07D1"/>
    <w:rsid w:val="00BE09F1"/>
    <w:rsid w:val="00BE0B26"/>
    <w:rsid w:val="00BE1129"/>
    <w:rsid w:val="00BE219F"/>
    <w:rsid w:val="00BE2A91"/>
    <w:rsid w:val="00BE2E97"/>
    <w:rsid w:val="00BE31F6"/>
    <w:rsid w:val="00BE45F4"/>
    <w:rsid w:val="00BE50C3"/>
    <w:rsid w:val="00BE5AE7"/>
    <w:rsid w:val="00BE5BBC"/>
    <w:rsid w:val="00BF03F6"/>
    <w:rsid w:val="00BF1E8E"/>
    <w:rsid w:val="00BF1F5F"/>
    <w:rsid w:val="00BF2CD3"/>
    <w:rsid w:val="00BF4F33"/>
    <w:rsid w:val="00BF51AC"/>
    <w:rsid w:val="00BF5CC7"/>
    <w:rsid w:val="00BF7605"/>
    <w:rsid w:val="00C00385"/>
    <w:rsid w:val="00C00417"/>
    <w:rsid w:val="00C004AD"/>
    <w:rsid w:val="00C012E1"/>
    <w:rsid w:val="00C01381"/>
    <w:rsid w:val="00C03CBB"/>
    <w:rsid w:val="00C05266"/>
    <w:rsid w:val="00C06293"/>
    <w:rsid w:val="00C07019"/>
    <w:rsid w:val="00C10756"/>
    <w:rsid w:val="00C10DFB"/>
    <w:rsid w:val="00C11C06"/>
    <w:rsid w:val="00C11F2C"/>
    <w:rsid w:val="00C12038"/>
    <w:rsid w:val="00C1317A"/>
    <w:rsid w:val="00C131EE"/>
    <w:rsid w:val="00C13C2D"/>
    <w:rsid w:val="00C1534C"/>
    <w:rsid w:val="00C154BF"/>
    <w:rsid w:val="00C20779"/>
    <w:rsid w:val="00C2589C"/>
    <w:rsid w:val="00C25F86"/>
    <w:rsid w:val="00C272A4"/>
    <w:rsid w:val="00C27F32"/>
    <w:rsid w:val="00C3028F"/>
    <w:rsid w:val="00C318D1"/>
    <w:rsid w:val="00C33551"/>
    <w:rsid w:val="00C33777"/>
    <w:rsid w:val="00C3502F"/>
    <w:rsid w:val="00C36A1D"/>
    <w:rsid w:val="00C410D0"/>
    <w:rsid w:val="00C45CDA"/>
    <w:rsid w:val="00C473AD"/>
    <w:rsid w:val="00C473BE"/>
    <w:rsid w:val="00C47477"/>
    <w:rsid w:val="00C50B83"/>
    <w:rsid w:val="00C50BC8"/>
    <w:rsid w:val="00C51D72"/>
    <w:rsid w:val="00C5222B"/>
    <w:rsid w:val="00C52D67"/>
    <w:rsid w:val="00C53535"/>
    <w:rsid w:val="00C54BF5"/>
    <w:rsid w:val="00C553A9"/>
    <w:rsid w:val="00C56170"/>
    <w:rsid w:val="00C561FC"/>
    <w:rsid w:val="00C565B2"/>
    <w:rsid w:val="00C5685C"/>
    <w:rsid w:val="00C5754B"/>
    <w:rsid w:val="00C57EBF"/>
    <w:rsid w:val="00C60ABB"/>
    <w:rsid w:val="00C618E7"/>
    <w:rsid w:val="00C61D13"/>
    <w:rsid w:val="00C62B28"/>
    <w:rsid w:val="00C635B7"/>
    <w:rsid w:val="00C6777C"/>
    <w:rsid w:val="00C709F3"/>
    <w:rsid w:val="00C711C5"/>
    <w:rsid w:val="00C71B93"/>
    <w:rsid w:val="00C73162"/>
    <w:rsid w:val="00C73A5A"/>
    <w:rsid w:val="00C74969"/>
    <w:rsid w:val="00C811FA"/>
    <w:rsid w:val="00C822FB"/>
    <w:rsid w:val="00C84788"/>
    <w:rsid w:val="00C85503"/>
    <w:rsid w:val="00C85B71"/>
    <w:rsid w:val="00C91417"/>
    <w:rsid w:val="00C9168F"/>
    <w:rsid w:val="00C91C1E"/>
    <w:rsid w:val="00C92473"/>
    <w:rsid w:val="00C95975"/>
    <w:rsid w:val="00C968DC"/>
    <w:rsid w:val="00C96F10"/>
    <w:rsid w:val="00C97CEC"/>
    <w:rsid w:val="00CA48C9"/>
    <w:rsid w:val="00CA726C"/>
    <w:rsid w:val="00CB00C0"/>
    <w:rsid w:val="00CB0D8F"/>
    <w:rsid w:val="00CB2040"/>
    <w:rsid w:val="00CB4434"/>
    <w:rsid w:val="00CB4BE7"/>
    <w:rsid w:val="00CC013D"/>
    <w:rsid w:val="00CC1849"/>
    <w:rsid w:val="00CC24CC"/>
    <w:rsid w:val="00CC3B15"/>
    <w:rsid w:val="00CC5369"/>
    <w:rsid w:val="00CC6F1D"/>
    <w:rsid w:val="00CC7BA0"/>
    <w:rsid w:val="00CD060F"/>
    <w:rsid w:val="00CD283C"/>
    <w:rsid w:val="00CD4353"/>
    <w:rsid w:val="00CD636E"/>
    <w:rsid w:val="00CD6C49"/>
    <w:rsid w:val="00CD6D48"/>
    <w:rsid w:val="00CD7C38"/>
    <w:rsid w:val="00CE2B51"/>
    <w:rsid w:val="00CE3161"/>
    <w:rsid w:val="00CE33B7"/>
    <w:rsid w:val="00CE6E14"/>
    <w:rsid w:val="00CF0062"/>
    <w:rsid w:val="00CF0844"/>
    <w:rsid w:val="00CF1A1A"/>
    <w:rsid w:val="00CF2591"/>
    <w:rsid w:val="00CF2806"/>
    <w:rsid w:val="00CF32CD"/>
    <w:rsid w:val="00CF3A2E"/>
    <w:rsid w:val="00CF4D7C"/>
    <w:rsid w:val="00CF6799"/>
    <w:rsid w:val="00CF67EE"/>
    <w:rsid w:val="00D0084E"/>
    <w:rsid w:val="00D008F8"/>
    <w:rsid w:val="00D02746"/>
    <w:rsid w:val="00D02D48"/>
    <w:rsid w:val="00D046E1"/>
    <w:rsid w:val="00D061D5"/>
    <w:rsid w:val="00D0633B"/>
    <w:rsid w:val="00D06630"/>
    <w:rsid w:val="00D06DE1"/>
    <w:rsid w:val="00D076A3"/>
    <w:rsid w:val="00D10FEA"/>
    <w:rsid w:val="00D111E7"/>
    <w:rsid w:val="00D1177A"/>
    <w:rsid w:val="00D1274D"/>
    <w:rsid w:val="00D14BC6"/>
    <w:rsid w:val="00D15D90"/>
    <w:rsid w:val="00D174A3"/>
    <w:rsid w:val="00D177E8"/>
    <w:rsid w:val="00D2086C"/>
    <w:rsid w:val="00D20ACB"/>
    <w:rsid w:val="00D20C4F"/>
    <w:rsid w:val="00D22E1D"/>
    <w:rsid w:val="00D22F99"/>
    <w:rsid w:val="00D23D92"/>
    <w:rsid w:val="00D24AD3"/>
    <w:rsid w:val="00D25730"/>
    <w:rsid w:val="00D27399"/>
    <w:rsid w:val="00D27B8A"/>
    <w:rsid w:val="00D27C6B"/>
    <w:rsid w:val="00D327D6"/>
    <w:rsid w:val="00D33934"/>
    <w:rsid w:val="00D33F40"/>
    <w:rsid w:val="00D346B3"/>
    <w:rsid w:val="00D34914"/>
    <w:rsid w:val="00D36BDC"/>
    <w:rsid w:val="00D37539"/>
    <w:rsid w:val="00D4553C"/>
    <w:rsid w:val="00D45557"/>
    <w:rsid w:val="00D47E1A"/>
    <w:rsid w:val="00D510A0"/>
    <w:rsid w:val="00D51173"/>
    <w:rsid w:val="00D51556"/>
    <w:rsid w:val="00D52D33"/>
    <w:rsid w:val="00D539A7"/>
    <w:rsid w:val="00D53A64"/>
    <w:rsid w:val="00D545DC"/>
    <w:rsid w:val="00D559E9"/>
    <w:rsid w:val="00D55C76"/>
    <w:rsid w:val="00D6138B"/>
    <w:rsid w:val="00D61AF6"/>
    <w:rsid w:val="00D628D5"/>
    <w:rsid w:val="00D62A84"/>
    <w:rsid w:val="00D64F3B"/>
    <w:rsid w:val="00D709CF"/>
    <w:rsid w:val="00D70C86"/>
    <w:rsid w:val="00D75116"/>
    <w:rsid w:val="00D7691F"/>
    <w:rsid w:val="00D77A4E"/>
    <w:rsid w:val="00D80CE9"/>
    <w:rsid w:val="00D81314"/>
    <w:rsid w:val="00D825FA"/>
    <w:rsid w:val="00D82CE5"/>
    <w:rsid w:val="00D83176"/>
    <w:rsid w:val="00D834E3"/>
    <w:rsid w:val="00D84A2D"/>
    <w:rsid w:val="00D86409"/>
    <w:rsid w:val="00D910DE"/>
    <w:rsid w:val="00D930CB"/>
    <w:rsid w:val="00D9321B"/>
    <w:rsid w:val="00D93303"/>
    <w:rsid w:val="00D95DFD"/>
    <w:rsid w:val="00D9670C"/>
    <w:rsid w:val="00D96D15"/>
    <w:rsid w:val="00DA008D"/>
    <w:rsid w:val="00DA10B0"/>
    <w:rsid w:val="00DA13B3"/>
    <w:rsid w:val="00DA20DF"/>
    <w:rsid w:val="00DA50DC"/>
    <w:rsid w:val="00DA6D93"/>
    <w:rsid w:val="00DA791D"/>
    <w:rsid w:val="00DA7BEE"/>
    <w:rsid w:val="00DA7C3F"/>
    <w:rsid w:val="00DB004F"/>
    <w:rsid w:val="00DB392E"/>
    <w:rsid w:val="00DB51F5"/>
    <w:rsid w:val="00DB5B98"/>
    <w:rsid w:val="00DB6658"/>
    <w:rsid w:val="00DB7176"/>
    <w:rsid w:val="00DB7BB1"/>
    <w:rsid w:val="00DB7F01"/>
    <w:rsid w:val="00DC0F3A"/>
    <w:rsid w:val="00DC1173"/>
    <w:rsid w:val="00DC1284"/>
    <w:rsid w:val="00DC17D6"/>
    <w:rsid w:val="00DC1C96"/>
    <w:rsid w:val="00DC5751"/>
    <w:rsid w:val="00DC5CC2"/>
    <w:rsid w:val="00DC6C19"/>
    <w:rsid w:val="00DC6F7A"/>
    <w:rsid w:val="00DC7247"/>
    <w:rsid w:val="00DC7B51"/>
    <w:rsid w:val="00DD2C54"/>
    <w:rsid w:val="00DD35B3"/>
    <w:rsid w:val="00DD52D5"/>
    <w:rsid w:val="00DD625B"/>
    <w:rsid w:val="00DD79CB"/>
    <w:rsid w:val="00DE08AF"/>
    <w:rsid w:val="00DE0EDE"/>
    <w:rsid w:val="00DE0FDA"/>
    <w:rsid w:val="00DE250E"/>
    <w:rsid w:val="00DE2BC6"/>
    <w:rsid w:val="00DE4E48"/>
    <w:rsid w:val="00DF1F83"/>
    <w:rsid w:val="00DF2E02"/>
    <w:rsid w:val="00DF3F73"/>
    <w:rsid w:val="00DF581E"/>
    <w:rsid w:val="00DF58A6"/>
    <w:rsid w:val="00DF6714"/>
    <w:rsid w:val="00E00518"/>
    <w:rsid w:val="00E01676"/>
    <w:rsid w:val="00E04D73"/>
    <w:rsid w:val="00E05CD1"/>
    <w:rsid w:val="00E05E58"/>
    <w:rsid w:val="00E06790"/>
    <w:rsid w:val="00E06A50"/>
    <w:rsid w:val="00E06B0E"/>
    <w:rsid w:val="00E079E8"/>
    <w:rsid w:val="00E11586"/>
    <w:rsid w:val="00E12C76"/>
    <w:rsid w:val="00E14513"/>
    <w:rsid w:val="00E14899"/>
    <w:rsid w:val="00E14DD9"/>
    <w:rsid w:val="00E16005"/>
    <w:rsid w:val="00E165AB"/>
    <w:rsid w:val="00E17D79"/>
    <w:rsid w:val="00E202FC"/>
    <w:rsid w:val="00E21659"/>
    <w:rsid w:val="00E23364"/>
    <w:rsid w:val="00E253CD"/>
    <w:rsid w:val="00E268BA"/>
    <w:rsid w:val="00E26EF2"/>
    <w:rsid w:val="00E302A5"/>
    <w:rsid w:val="00E304AF"/>
    <w:rsid w:val="00E30595"/>
    <w:rsid w:val="00E31C11"/>
    <w:rsid w:val="00E32657"/>
    <w:rsid w:val="00E359FF"/>
    <w:rsid w:val="00E421C3"/>
    <w:rsid w:val="00E43386"/>
    <w:rsid w:val="00E43BC6"/>
    <w:rsid w:val="00E44BAE"/>
    <w:rsid w:val="00E47803"/>
    <w:rsid w:val="00E47AA9"/>
    <w:rsid w:val="00E47B90"/>
    <w:rsid w:val="00E47CD5"/>
    <w:rsid w:val="00E50159"/>
    <w:rsid w:val="00E50CF7"/>
    <w:rsid w:val="00E528DD"/>
    <w:rsid w:val="00E536BA"/>
    <w:rsid w:val="00E542A8"/>
    <w:rsid w:val="00E60379"/>
    <w:rsid w:val="00E605FA"/>
    <w:rsid w:val="00E6081A"/>
    <w:rsid w:val="00E60B42"/>
    <w:rsid w:val="00E6169F"/>
    <w:rsid w:val="00E621D3"/>
    <w:rsid w:val="00E63252"/>
    <w:rsid w:val="00E652A2"/>
    <w:rsid w:val="00E702AE"/>
    <w:rsid w:val="00E71806"/>
    <w:rsid w:val="00E73523"/>
    <w:rsid w:val="00E74F93"/>
    <w:rsid w:val="00E76B10"/>
    <w:rsid w:val="00E824DF"/>
    <w:rsid w:val="00E82BF5"/>
    <w:rsid w:val="00E84DBD"/>
    <w:rsid w:val="00E924B1"/>
    <w:rsid w:val="00E92949"/>
    <w:rsid w:val="00E932DA"/>
    <w:rsid w:val="00E94050"/>
    <w:rsid w:val="00E9553A"/>
    <w:rsid w:val="00E95E42"/>
    <w:rsid w:val="00E97062"/>
    <w:rsid w:val="00E97724"/>
    <w:rsid w:val="00E977EE"/>
    <w:rsid w:val="00EA139D"/>
    <w:rsid w:val="00EA56DE"/>
    <w:rsid w:val="00EA663C"/>
    <w:rsid w:val="00EA7160"/>
    <w:rsid w:val="00EB0F13"/>
    <w:rsid w:val="00EB1507"/>
    <w:rsid w:val="00EB1C49"/>
    <w:rsid w:val="00EB308B"/>
    <w:rsid w:val="00EB3B2D"/>
    <w:rsid w:val="00EB4D33"/>
    <w:rsid w:val="00EB534B"/>
    <w:rsid w:val="00EB693C"/>
    <w:rsid w:val="00EB7844"/>
    <w:rsid w:val="00EC0CA0"/>
    <w:rsid w:val="00EC3957"/>
    <w:rsid w:val="00EC4AC3"/>
    <w:rsid w:val="00EC57B1"/>
    <w:rsid w:val="00EC6308"/>
    <w:rsid w:val="00EC6F53"/>
    <w:rsid w:val="00EC73AB"/>
    <w:rsid w:val="00ED1116"/>
    <w:rsid w:val="00ED157F"/>
    <w:rsid w:val="00ED1EE4"/>
    <w:rsid w:val="00ED2386"/>
    <w:rsid w:val="00ED4BB1"/>
    <w:rsid w:val="00ED678B"/>
    <w:rsid w:val="00EE0723"/>
    <w:rsid w:val="00EE07D3"/>
    <w:rsid w:val="00EE0916"/>
    <w:rsid w:val="00EE1996"/>
    <w:rsid w:val="00EE1F3B"/>
    <w:rsid w:val="00EE37DB"/>
    <w:rsid w:val="00EE3B9F"/>
    <w:rsid w:val="00EE4E7D"/>
    <w:rsid w:val="00EE638F"/>
    <w:rsid w:val="00EE6408"/>
    <w:rsid w:val="00EE6631"/>
    <w:rsid w:val="00EE75AD"/>
    <w:rsid w:val="00EF0687"/>
    <w:rsid w:val="00EF19A3"/>
    <w:rsid w:val="00EF2231"/>
    <w:rsid w:val="00EF266A"/>
    <w:rsid w:val="00EF4461"/>
    <w:rsid w:val="00EF5BE9"/>
    <w:rsid w:val="00EF5FD1"/>
    <w:rsid w:val="00EF6A6F"/>
    <w:rsid w:val="00EF7A6B"/>
    <w:rsid w:val="00F00793"/>
    <w:rsid w:val="00F0101F"/>
    <w:rsid w:val="00F01032"/>
    <w:rsid w:val="00F0270A"/>
    <w:rsid w:val="00F0286E"/>
    <w:rsid w:val="00F02903"/>
    <w:rsid w:val="00F0348C"/>
    <w:rsid w:val="00F03F5C"/>
    <w:rsid w:val="00F04162"/>
    <w:rsid w:val="00F04475"/>
    <w:rsid w:val="00F06126"/>
    <w:rsid w:val="00F10886"/>
    <w:rsid w:val="00F12332"/>
    <w:rsid w:val="00F13FC7"/>
    <w:rsid w:val="00F14075"/>
    <w:rsid w:val="00F15E35"/>
    <w:rsid w:val="00F16CCE"/>
    <w:rsid w:val="00F20D7B"/>
    <w:rsid w:val="00F21CCD"/>
    <w:rsid w:val="00F237B6"/>
    <w:rsid w:val="00F24833"/>
    <w:rsid w:val="00F258F4"/>
    <w:rsid w:val="00F2630F"/>
    <w:rsid w:val="00F26556"/>
    <w:rsid w:val="00F268F6"/>
    <w:rsid w:val="00F27533"/>
    <w:rsid w:val="00F3158A"/>
    <w:rsid w:val="00F32F97"/>
    <w:rsid w:val="00F3303B"/>
    <w:rsid w:val="00F33599"/>
    <w:rsid w:val="00F33943"/>
    <w:rsid w:val="00F344BB"/>
    <w:rsid w:val="00F34B76"/>
    <w:rsid w:val="00F35320"/>
    <w:rsid w:val="00F36B84"/>
    <w:rsid w:val="00F40B09"/>
    <w:rsid w:val="00F42760"/>
    <w:rsid w:val="00F437F5"/>
    <w:rsid w:val="00F440F0"/>
    <w:rsid w:val="00F464F7"/>
    <w:rsid w:val="00F46AC8"/>
    <w:rsid w:val="00F46EB7"/>
    <w:rsid w:val="00F47ABD"/>
    <w:rsid w:val="00F50F63"/>
    <w:rsid w:val="00F52189"/>
    <w:rsid w:val="00F539D9"/>
    <w:rsid w:val="00F549CE"/>
    <w:rsid w:val="00F54E8D"/>
    <w:rsid w:val="00F6092E"/>
    <w:rsid w:val="00F61BF0"/>
    <w:rsid w:val="00F6217F"/>
    <w:rsid w:val="00F62308"/>
    <w:rsid w:val="00F629AE"/>
    <w:rsid w:val="00F633F8"/>
    <w:rsid w:val="00F638F9"/>
    <w:rsid w:val="00F65171"/>
    <w:rsid w:val="00F67C68"/>
    <w:rsid w:val="00F7100B"/>
    <w:rsid w:val="00F71452"/>
    <w:rsid w:val="00F71623"/>
    <w:rsid w:val="00F71C66"/>
    <w:rsid w:val="00F728D5"/>
    <w:rsid w:val="00F72ACA"/>
    <w:rsid w:val="00F72F28"/>
    <w:rsid w:val="00F73AFF"/>
    <w:rsid w:val="00F74613"/>
    <w:rsid w:val="00F7584A"/>
    <w:rsid w:val="00F76C5D"/>
    <w:rsid w:val="00F771A5"/>
    <w:rsid w:val="00F821D3"/>
    <w:rsid w:val="00F8523A"/>
    <w:rsid w:val="00F87E17"/>
    <w:rsid w:val="00F927E6"/>
    <w:rsid w:val="00FA1008"/>
    <w:rsid w:val="00FA1A27"/>
    <w:rsid w:val="00FA1BE9"/>
    <w:rsid w:val="00FA2A6B"/>
    <w:rsid w:val="00FA4F29"/>
    <w:rsid w:val="00FA6665"/>
    <w:rsid w:val="00FB1393"/>
    <w:rsid w:val="00FB1398"/>
    <w:rsid w:val="00FB1580"/>
    <w:rsid w:val="00FB24C3"/>
    <w:rsid w:val="00FB3ABB"/>
    <w:rsid w:val="00FB4425"/>
    <w:rsid w:val="00FB4715"/>
    <w:rsid w:val="00FB4A28"/>
    <w:rsid w:val="00FB59F4"/>
    <w:rsid w:val="00FC25C9"/>
    <w:rsid w:val="00FC275E"/>
    <w:rsid w:val="00FC292C"/>
    <w:rsid w:val="00FC43AE"/>
    <w:rsid w:val="00FD056B"/>
    <w:rsid w:val="00FD0C33"/>
    <w:rsid w:val="00FD10BD"/>
    <w:rsid w:val="00FD5421"/>
    <w:rsid w:val="00FD5510"/>
    <w:rsid w:val="00FD63E6"/>
    <w:rsid w:val="00FD6477"/>
    <w:rsid w:val="00FD6B4F"/>
    <w:rsid w:val="00FD7B52"/>
    <w:rsid w:val="00FD7EA8"/>
    <w:rsid w:val="00FE0AD9"/>
    <w:rsid w:val="00FE3C24"/>
    <w:rsid w:val="00FE43FF"/>
    <w:rsid w:val="00FE5176"/>
    <w:rsid w:val="00FF09A1"/>
    <w:rsid w:val="00FF31EE"/>
    <w:rsid w:val="00FF3A2A"/>
    <w:rsid w:val="00FF43E4"/>
    <w:rsid w:val="00FF6757"/>
    <w:rsid w:val="00FF72D5"/>
    <w:rsid w:val="00FF7E7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EA56"/>
  <w15:docId w15:val="{9ACE850F-07A4-436C-A3D3-52EF841E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4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0"/>
    <w:uiPriority w:val="9"/>
    <w:qFormat/>
    <w:rsid w:val="00EF2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3551"/>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9C76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60"/>
    <w:pPr>
      <w:ind w:left="720"/>
      <w:contextualSpacing/>
    </w:pPr>
  </w:style>
  <w:style w:type="character" w:styleId="a4">
    <w:name w:val="Hyperlink"/>
    <w:basedOn w:val="a0"/>
    <w:uiPriority w:val="99"/>
    <w:unhideWhenUsed/>
    <w:rsid w:val="000874EA"/>
    <w:rPr>
      <w:color w:val="0000FF" w:themeColor="hyperlink"/>
      <w:u w:val="single"/>
    </w:rPr>
  </w:style>
  <w:style w:type="paragraph" w:styleId="a5">
    <w:name w:val="Balloon Text"/>
    <w:basedOn w:val="a"/>
    <w:link w:val="a6"/>
    <w:uiPriority w:val="99"/>
    <w:semiHidden/>
    <w:unhideWhenUsed/>
    <w:rsid w:val="00C62B28"/>
    <w:rPr>
      <w:rFonts w:ascii="Tahoma" w:hAnsi="Tahoma" w:cs="Tahoma"/>
      <w:sz w:val="16"/>
      <w:szCs w:val="16"/>
    </w:rPr>
  </w:style>
  <w:style w:type="character" w:customStyle="1" w:styleId="a6">
    <w:name w:val="批注框文本 字符"/>
    <w:basedOn w:val="a0"/>
    <w:link w:val="a5"/>
    <w:uiPriority w:val="99"/>
    <w:semiHidden/>
    <w:rsid w:val="00C62B28"/>
    <w:rPr>
      <w:rFonts w:ascii="Tahoma" w:eastAsia="Times New Roman" w:hAnsi="Tahoma" w:cs="Tahoma"/>
      <w:sz w:val="16"/>
      <w:szCs w:val="16"/>
      <w:lang w:eastAsia="el-GR"/>
    </w:rPr>
  </w:style>
  <w:style w:type="paragraph" w:styleId="a7">
    <w:name w:val="Normal (Web)"/>
    <w:basedOn w:val="a"/>
    <w:uiPriority w:val="99"/>
    <w:semiHidden/>
    <w:unhideWhenUsed/>
    <w:rsid w:val="00C62B28"/>
    <w:pPr>
      <w:spacing w:before="100" w:beforeAutospacing="1" w:after="100" w:afterAutospacing="1"/>
    </w:pPr>
    <w:rPr>
      <w:rFonts w:eastAsiaTheme="minorEastAsia"/>
    </w:rPr>
  </w:style>
  <w:style w:type="paragraph" w:styleId="a8">
    <w:name w:val="header"/>
    <w:basedOn w:val="a"/>
    <w:link w:val="a9"/>
    <w:uiPriority w:val="99"/>
    <w:unhideWhenUsed/>
    <w:rsid w:val="006D04CE"/>
    <w:pPr>
      <w:tabs>
        <w:tab w:val="center" w:pos="4153"/>
        <w:tab w:val="right" w:pos="8306"/>
      </w:tabs>
    </w:pPr>
  </w:style>
  <w:style w:type="character" w:customStyle="1" w:styleId="a9">
    <w:name w:val="页眉 字符"/>
    <w:basedOn w:val="a0"/>
    <w:link w:val="a8"/>
    <w:uiPriority w:val="99"/>
    <w:rsid w:val="006D04CE"/>
    <w:rPr>
      <w:rFonts w:ascii="Times New Roman" w:eastAsia="Times New Roman" w:hAnsi="Times New Roman" w:cs="Times New Roman"/>
      <w:sz w:val="24"/>
      <w:szCs w:val="24"/>
      <w:lang w:eastAsia="el-GR"/>
    </w:rPr>
  </w:style>
  <w:style w:type="paragraph" w:styleId="aa">
    <w:name w:val="footer"/>
    <w:basedOn w:val="a"/>
    <w:link w:val="ab"/>
    <w:uiPriority w:val="99"/>
    <w:unhideWhenUsed/>
    <w:rsid w:val="006D04CE"/>
    <w:pPr>
      <w:tabs>
        <w:tab w:val="center" w:pos="4153"/>
        <w:tab w:val="right" w:pos="8306"/>
      </w:tabs>
    </w:pPr>
  </w:style>
  <w:style w:type="character" w:customStyle="1" w:styleId="ab">
    <w:name w:val="页脚 字符"/>
    <w:basedOn w:val="a0"/>
    <w:link w:val="aa"/>
    <w:uiPriority w:val="99"/>
    <w:rsid w:val="006D04CE"/>
    <w:rPr>
      <w:rFonts w:ascii="Times New Roman" w:eastAsia="Times New Roman" w:hAnsi="Times New Roman" w:cs="Times New Roman"/>
      <w:sz w:val="24"/>
      <w:szCs w:val="24"/>
      <w:lang w:eastAsia="el-GR"/>
    </w:rPr>
  </w:style>
  <w:style w:type="table" w:customStyle="1" w:styleId="21">
    <w:name w:val="Απλός πίνακας 21"/>
    <w:basedOn w:val="a1"/>
    <w:uiPriority w:val="42"/>
    <w:rsid w:val="001D0F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annotation reference"/>
    <w:basedOn w:val="a0"/>
    <w:uiPriority w:val="99"/>
    <w:unhideWhenUsed/>
    <w:qFormat/>
    <w:rsid w:val="00477BB7"/>
    <w:rPr>
      <w:sz w:val="16"/>
      <w:szCs w:val="16"/>
    </w:rPr>
  </w:style>
  <w:style w:type="paragraph" w:styleId="ad">
    <w:name w:val="annotation text"/>
    <w:basedOn w:val="a"/>
    <w:link w:val="ae"/>
    <w:uiPriority w:val="99"/>
    <w:unhideWhenUsed/>
    <w:qFormat/>
    <w:rsid w:val="00477BB7"/>
    <w:rPr>
      <w:sz w:val="20"/>
      <w:szCs w:val="20"/>
    </w:rPr>
  </w:style>
  <w:style w:type="character" w:customStyle="1" w:styleId="ae">
    <w:name w:val="批注文字 字符"/>
    <w:basedOn w:val="a0"/>
    <w:link w:val="ad"/>
    <w:uiPriority w:val="99"/>
    <w:semiHidden/>
    <w:rsid w:val="00477BB7"/>
    <w:rPr>
      <w:rFonts w:ascii="Times New Roman" w:eastAsia="Times New Roman" w:hAnsi="Times New Roman" w:cs="Times New Roman"/>
      <w:sz w:val="20"/>
      <w:szCs w:val="20"/>
      <w:lang w:eastAsia="el-GR"/>
    </w:rPr>
  </w:style>
  <w:style w:type="paragraph" w:styleId="af">
    <w:name w:val="annotation subject"/>
    <w:basedOn w:val="ad"/>
    <w:next w:val="ad"/>
    <w:link w:val="af0"/>
    <w:uiPriority w:val="99"/>
    <w:semiHidden/>
    <w:unhideWhenUsed/>
    <w:rsid w:val="00477BB7"/>
    <w:rPr>
      <w:b/>
      <w:bCs/>
    </w:rPr>
  </w:style>
  <w:style w:type="character" w:customStyle="1" w:styleId="af0">
    <w:name w:val="批注主题 字符"/>
    <w:basedOn w:val="ae"/>
    <w:link w:val="af"/>
    <w:uiPriority w:val="99"/>
    <w:semiHidden/>
    <w:rsid w:val="00477BB7"/>
    <w:rPr>
      <w:rFonts w:ascii="Times New Roman" w:eastAsia="Times New Roman" w:hAnsi="Times New Roman" w:cs="Times New Roman"/>
      <w:b/>
      <w:bCs/>
      <w:sz w:val="20"/>
      <w:szCs w:val="20"/>
      <w:lang w:eastAsia="el-GR"/>
    </w:rPr>
  </w:style>
  <w:style w:type="paragraph" w:customStyle="1" w:styleId="desc">
    <w:name w:val="desc"/>
    <w:basedOn w:val="a"/>
    <w:rsid w:val="007C4F78"/>
    <w:pPr>
      <w:spacing w:before="100" w:beforeAutospacing="1" w:after="100" w:afterAutospacing="1"/>
    </w:pPr>
  </w:style>
  <w:style w:type="table" w:styleId="af1">
    <w:name w:val="Table Grid"/>
    <w:basedOn w:val="a1"/>
    <w:uiPriority w:val="59"/>
    <w:rsid w:val="0019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C33551"/>
    <w:rPr>
      <w:rFonts w:ascii="Times New Roman" w:eastAsia="Times New Roman" w:hAnsi="Times New Roman" w:cs="Times New Roman"/>
      <w:b/>
      <w:bCs/>
      <w:sz w:val="36"/>
      <w:szCs w:val="36"/>
      <w:lang w:eastAsia="el-GR"/>
    </w:rPr>
  </w:style>
  <w:style w:type="character" w:customStyle="1" w:styleId="10">
    <w:name w:val="标题 1 字符"/>
    <w:basedOn w:val="a0"/>
    <w:link w:val="1"/>
    <w:uiPriority w:val="9"/>
    <w:rsid w:val="00EF2231"/>
    <w:rPr>
      <w:rFonts w:asciiTheme="majorHAnsi" w:eastAsiaTheme="majorEastAsia" w:hAnsiTheme="majorHAnsi" w:cstheme="majorBidi"/>
      <w:b/>
      <w:bCs/>
      <w:color w:val="365F91" w:themeColor="accent1" w:themeShade="BF"/>
      <w:sz w:val="28"/>
      <w:szCs w:val="28"/>
      <w:lang w:eastAsia="el-GR"/>
    </w:rPr>
  </w:style>
  <w:style w:type="character" w:customStyle="1" w:styleId="11">
    <w:name w:val="未处理的提及1"/>
    <w:basedOn w:val="a0"/>
    <w:uiPriority w:val="99"/>
    <w:semiHidden/>
    <w:unhideWhenUsed/>
    <w:rsid w:val="00A70278"/>
    <w:rPr>
      <w:color w:val="605E5C"/>
      <w:shd w:val="clear" w:color="auto" w:fill="E1DFDD"/>
    </w:rPr>
  </w:style>
  <w:style w:type="character" w:customStyle="1" w:styleId="highlight">
    <w:name w:val="highlight"/>
    <w:basedOn w:val="a0"/>
    <w:rsid w:val="0061665C"/>
  </w:style>
  <w:style w:type="paragraph" w:customStyle="1" w:styleId="details">
    <w:name w:val="details"/>
    <w:basedOn w:val="a"/>
    <w:rsid w:val="00F34B76"/>
    <w:pPr>
      <w:spacing w:before="100" w:beforeAutospacing="1" w:after="100" w:afterAutospacing="1"/>
    </w:pPr>
  </w:style>
  <w:style w:type="character" w:customStyle="1" w:styleId="12">
    <w:name w:val="批注文字 字符1"/>
    <w:basedOn w:val="a0"/>
    <w:uiPriority w:val="99"/>
    <w:qFormat/>
    <w:rsid w:val="00984405"/>
    <w:rPr>
      <w:rFonts w:eastAsiaTheme="minorEastAsia"/>
      <w:kern w:val="2"/>
      <w:sz w:val="21"/>
    </w:rPr>
  </w:style>
  <w:style w:type="character" w:customStyle="1" w:styleId="40">
    <w:name w:val="标题 4 字符"/>
    <w:basedOn w:val="a0"/>
    <w:link w:val="4"/>
    <w:uiPriority w:val="9"/>
    <w:rsid w:val="009C7678"/>
    <w:rPr>
      <w:rFonts w:asciiTheme="majorHAnsi" w:eastAsiaTheme="majorEastAsia" w:hAnsiTheme="majorHAnsi" w:cstheme="majorBidi"/>
      <w:b/>
      <w:b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6046">
      <w:bodyDiv w:val="1"/>
      <w:marLeft w:val="0"/>
      <w:marRight w:val="0"/>
      <w:marTop w:val="0"/>
      <w:marBottom w:val="0"/>
      <w:divBdr>
        <w:top w:val="none" w:sz="0" w:space="0" w:color="auto"/>
        <w:left w:val="none" w:sz="0" w:space="0" w:color="auto"/>
        <w:bottom w:val="none" w:sz="0" w:space="0" w:color="auto"/>
        <w:right w:val="none" w:sz="0" w:space="0" w:color="auto"/>
      </w:divBdr>
    </w:div>
    <w:div w:id="85810194">
      <w:bodyDiv w:val="1"/>
      <w:marLeft w:val="0"/>
      <w:marRight w:val="0"/>
      <w:marTop w:val="0"/>
      <w:marBottom w:val="0"/>
      <w:divBdr>
        <w:top w:val="none" w:sz="0" w:space="0" w:color="auto"/>
        <w:left w:val="none" w:sz="0" w:space="0" w:color="auto"/>
        <w:bottom w:val="none" w:sz="0" w:space="0" w:color="auto"/>
        <w:right w:val="none" w:sz="0" w:space="0" w:color="auto"/>
      </w:divBdr>
    </w:div>
    <w:div w:id="219831163">
      <w:bodyDiv w:val="1"/>
      <w:marLeft w:val="0"/>
      <w:marRight w:val="0"/>
      <w:marTop w:val="0"/>
      <w:marBottom w:val="0"/>
      <w:divBdr>
        <w:top w:val="none" w:sz="0" w:space="0" w:color="auto"/>
        <w:left w:val="none" w:sz="0" w:space="0" w:color="auto"/>
        <w:bottom w:val="none" w:sz="0" w:space="0" w:color="auto"/>
        <w:right w:val="none" w:sz="0" w:space="0" w:color="auto"/>
      </w:divBdr>
    </w:div>
    <w:div w:id="246773038">
      <w:bodyDiv w:val="1"/>
      <w:marLeft w:val="0"/>
      <w:marRight w:val="0"/>
      <w:marTop w:val="0"/>
      <w:marBottom w:val="0"/>
      <w:divBdr>
        <w:top w:val="none" w:sz="0" w:space="0" w:color="auto"/>
        <w:left w:val="none" w:sz="0" w:space="0" w:color="auto"/>
        <w:bottom w:val="none" w:sz="0" w:space="0" w:color="auto"/>
        <w:right w:val="none" w:sz="0" w:space="0" w:color="auto"/>
      </w:divBdr>
    </w:div>
    <w:div w:id="264659239">
      <w:bodyDiv w:val="1"/>
      <w:marLeft w:val="0"/>
      <w:marRight w:val="0"/>
      <w:marTop w:val="0"/>
      <w:marBottom w:val="0"/>
      <w:divBdr>
        <w:top w:val="none" w:sz="0" w:space="0" w:color="auto"/>
        <w:left w:val="none" w:sz="0" w:space="0" w:color="auto"/>
        <w:bottom w:val="none" w:sz="0" w:space="0" w:color="auto"/>
        <w:right w:val="none" w:sz="0" w:space="0" w:color="auto"/>
      </w:divBdr>
    </w:div>
    <w:div w:id="332730234">
      <w:bodyDiv w:val="1"/>
      <w:marLeft w:val="0"/>
      <w:marRight w:val="0"/>
      <w:marTop w:val="0"/>
      <w:marBottom w:val="0"/>
      <w:divBdr>
        <w:top w:val="none" w:sz="0" w:space="0" w:color="auto"/>
        <w:left w:val="none" w:sz="0" w:space="0" w:color="auto"/>
        <w:bottom w:val="none" w:sz="0" w:space="0" w:color="auto"/>
        <w:right w:val="none" w:sz="0" w:space="0" w:color="auto"/>
      </w:divBdr>
      <w:divsChild>
        <w:div w:id="1864896907">
          <w:marLeft w:val="0"/>
          <w:marRight w:val="0"/>
          <w:marTop w:val="0"/>
          <w:marBottom w:val="0"/>
          <w:divBdr>
            <w:top w:val="none" w:sz="0" w:space="0" w:color="auto"/>
            <w:left w:val="none" w:sz="0" w:space="0" w:color="auto"/>
            <w:bottom w:val="none" w:sz="0" w:space="0" w:color="auto"/>
            <w:right w:val="none" w:sz="0" w:space="0" w:color="auto"/>
          </w:divBdr>
        </w:div>
      </w:divsChild>
    </w:div>
    <w:div w:id="399669883">
      <w:bodyDiv w:val="1"/>
      <w:marLeft w:val="0"/>
      <w:marRight w:val="0"/>
      <w:marTop w:val="0"/>
      <w:marBottom w:val="0"/>
      <w:divBdr>
        <w:top w:val="none" w:sz="0" w:space="0" w:color="auto"/>
        <w:left w:val="none" w:sz="0" w:space="0" w:color="auto"/>
        <w:bottom w:val="none" w:sz="0" w:space="0" w:color="auto"/>
        <w:right w:val="none" w:sz="0" w:space="0" w:color="auto"/>
      </w:divBdr>
    </w:div>
    <w:div w:id="406614812">
      <w:bodyDiv w:val="1"/>
      <w:marLeft w:val="0"/>
      <w:marRight w:val="0"/>
      <w:marTop w:val="0"/>
      <w:marBottom w:val="0"/>
      <w:divBdr>
        <w:top w:val="none" w:sz="0" w:space="0" w:color="auto"/>
        <w:left w:val="none" w:sz="0" w:space="0" w:color="auto"/>
        <w:bottom w:val="none" w:sz="0" w:space="0" w:color="auto"/>
        <w:right w:val="none" w:sz="0" w:space="0" w:color="auto"/>
      </w:divBdr>
    </w:div>
    <w:div w:id="695234199">
      <w:bodyDiv w:val="1"/>
      <w:marLeft w:val="0"/>
      <w:marRight w:val="0"/>
      <w:marTop w:val="0"/>
      <w:marBottom w:val="0"/>
      <w:divBdr>
        <w:top w:val="none" w:sz="0" w:space="0" w:color="auto"/>
        <w:left w:val="none" w:sz="0" w:space="0" w:color="auto"/>
        <w:bottom w:val="none" w:sz="0" w:space="0" w:color="auto"/>
        <w:right w:val="none" w:sz="0" w:space="0" w:color="auto"/>
      </w:divBdr>
    </w:div>
    <w:div w:id="776827178">
      <w:bodyDiv w:val="1"/>
      <w:marLeft w:val="0"/>
      <w:marRight w:val="0"/>
      <w:marTop w:val="0"/>
      <w:marBottom w:val="0"/>
      <w:divBdr>
        <w:top w:val="none" w:sz="0" w:space="0" w:color="auto"/>
        <w:left w:val="none" w:sz="0" w:space="0" w:color="auto"/>
        <w:bottom w:val="none" w:sz="0" w:space="0" w:color="auto"/>
        <w:right w:val="none" w:sz="0" w:space="0" w:color="auto"/>
      </w:divBdr>
      <w:divsChild>
        <w:div w:id="1107846792">
          <w:marLeft w:val="0"/>
          <w:marRight w:val="0"/>
          <w:marTop w:val="0"/>
          <w:marBottom w:val="0"/>
          <w:divBdr>
            <w:top w:val="none" w:sz="0" w:space="0" w:color="auto"/>
            <w:left w:val="none" w:sz="0" w:space="0" w:color="auto"/>
            <w:bottom w:val="none" w:sz="0" w:space="0" w:color="auto"/>
            <w:right w:val="none" w:sz="0" w:space="0" w:color="auto"/>
          </w:divBdr>
        </w:div>
        <w:div w:id="415715241">
          <w:marLeft w:val="0"/>
          <w:marRight w:val="0"/>
          <w:marTop w:val="0"/>
          <w:marBottom w:val="0"/>
          <w:divBdr>
            <w:top w:val="none" w:sz="0" w:space="0" w:color="auto"/>
            <w:left w:val="none" w:sz="0" w:space="0" w:color="auto"/>
            <w:bottom w:val="none" w:sz="0" w:space="0" w:color="auto"/>
            <w:right w:val="none" w:sz="0" w:space="0" w:color="auto"/>
          </w:divBdr>
        </w:div>
      </w:divsChild>
    </w:div>
    <w:div w:id="812217371">
      <w:bodyDiv w:val="1"/>
      <w:marLeft w:val="0"/>
      <w:marRight w:val="0"/>
      <w:marTop w:val="0"/>
      <w:marBottom w:val="0"/>
      <w:divBdr>
        <w:top w:val="none" w:sz="0" w:space="0" w:color="auto"/>
        <w:left w:val="none" w:sz="0" w:space="0" w:color="auto"/>
        <w:bottom w:val="none" w:sz="0" w:space="0" w:color="auto"/>
        <w:right w:val="none" w:sz="0" w:space="0" w:color="auto"/>
      </w:divBdr>
      <w:divsChild>
        <w:div w:id="197856014">
          <w:marLeft w:val="0"/>
          <w:marRight w:val="0"/>
          <w:marTop w:val="0"/>
          <w:marBottom w:val="0"/>
          <w:divBdr>
            <w:top w:val="none" w:sz="0" w:space="0" w:color="auto"/>
            <w:left w:val="none" w:sz="0" w:space="0" w:color="auto"/>
            <w:bottom w:val="none" w:sz="0" w:space="0" w:color="auto"/>
            <w:right w:val="none" w:sz="0" w:space="0" w:color="auto"/>
          </w:divBdr>
        </w:div>
      </w:divsChild>
    </w:div>
    <w:div w:id="958999643">
      <w:bodyDiv w:val="1"/>
      <w:marLeft w:val="0"/>
      <w:marRight w:val="0"/>
      <w:marTop w:val="0"/>
      <w:marBottom w:val="0"/>
      <w:divBdr>
        <w:top w:val="none" w:sz="0" w:space="0" w:color="auto"/>
        <w:left w:val="none" w:sz="0" w:space="0" w:color="auto"/>
        <w:bottom w:val="none" w:sz="0" w:space="0" w:color="auto"/>
        <w:right w:val="none" w:sz="0" w:space="0" w:color="auto"/>
      </w:divBdr>
    </w:div>
    <w:div w:id="1136487308">
      <w:bodyDiv w:val="1"/>
      <w:marLeft w:val="0"/>
      <w:marRight w:val="0"/>
      <w:marTop w:val="0"/>
      <w:marBottom w:val="0"/>
      <w:divBdr>
        <w:top w:val="none" w:sz="0" w:space="0" w:color="auto"/>
        <w:left w:val="none" w:sz="0" w:space="0" w:color="auto"/>
        <w:bottom w:val="none" w:sz="0" w:space="0" w:color="auto"/>
        <w:right w:val="none" w:sz="0" w:space="0" w:color="auto"/>
      </w:divBdr>
      <w:divsChild>
        <w:div w:id="1390688975">
          <w:marLeft w:val="0"/>
          <w:marRight w:val="0"/>
          <w:marTop w:val="0"/>
          <w:marBottom w:val="0"/>
          <w:divBdr>
            <w:top w:val="none" w:sz="0" w:space="0" w:color="auto"/>
            <w:left w:val="none" w:sz="0" w:space="0" w:color="auto"/>
            <w:bottom w:val="none" w:sz="0" w:space="0" w:color="auto"/>
            <w:right w:val="none" w:sz="0" w:space="0" w:color="auto"/>
          </w:divBdr>
        </w:div>
      </w:divsChild>
    </w:div>
    <w:div w:id="1244492417">
      <w:bodyDiv w:val="1"/>
      <w:marLeft w:val="0"/>
      <w:marRight w:val="0"/>
      <w:marTop w:val="0"/>
      <w:marBottom w:val="0"/>
      <w:divBdr>
        <w:top w:val="none" w:sz="0" w:space="0" w:color="auto"/>
        <w:left w:val="none" w:sz="0" w:space="0" w:color="auto"/>
        <w:bottom w:val="none" w:sz="0" w:space="0" w:color="auto"/>
        <w:right w:val="none" w:sz="0" w:space="0" w:color="auto"/>
      </w:divBdr>
    </w:div>
    <w:div w:id="1276601974">
      <w:bodyDiv w:val="1"/>
      <w:marLeft w:val="0"/>
      <w:marRight w:val="0"/>
      <w:marTop w:val="0"/>
      <w:marBottom w:val="0"/>
      <w:divBdr>
        <w:top w:val="none" w:sz="0" w:space="0" w:color="auto"/>
        <w:left w:val="none" w:sz="0" w:space="0" w:color="auto"/>
        <w:bottom w:val="none" w:sz="0" w:space="0" w:color="auto"/>
        <w:right w:val="none" w:sz="0" w:space="0" w:color="auto"/>
      </w:divBdr>
    </w:div>
    <w:div w:id="1345014823">
      <w:bodyDiv w:val="1"/>
      <w:marLeft w:val="0"/>
      <w:marRight w:val="0"/>
      <w:marTop w:val="0"/>
      <w:marBottom w:val="0"/>
      <w:divBdr>
        <w:top w:val="none" w:sz="0" w:space="0" w:color="auto"/>
        <w:left w:val="none" w:sz="0" w:space="0" w:color="auto"/>
        <w:bottom w:val="none" w:sz="0" w:space="0" w:color="auto"/>
        <w:right w:val="none" w:sz="0" w:space="0" w:color="auto"/>
      </w:divBdr>
      <w:divsChild>
        <w:div w:id="404032123">
          <w:marLeft w:val="0"/>
          <w:marRight w:val="0"/>
          <w:marTop w:val="34"/>
          <w:marBottom w:val="34"/>
          <w:divBdr>
            <w:top w:val="none" w:sz="0" w:space="0" w:color="auto"/>
            <w:left w:val="none" w:sz="0" w:space="0" w:color="auto"/>
            <w:bottom w:val="none" w:sz="0" w:space="0" w:color="auto"/>
            <w:right w:val="none" w:sz="0" w:space="0" w:color="auto"/>
          </w:divBdr>
        </w:div>
        <w:div w:id="599532598">
          <w:marLeft w:val="0"/>
          <w:marRight w:val="0"/>
          <w:marTop w:val="0"/>
          <w:marBottom w:val="0"/>
          <w:divBdr>
            <w:top w:val="none" w:sz="0" w:space="0" w:color="auto"/>
            <w:left w:val="none" w:sz="0" w:space="0" w:color="auto"/>
            <w:bottom w:val="none" w:sz="0" w:space="0" w:color="auto"/>
            <w:right w:val="none" w:sz="0" w:space="0" w:color="auto"/>
          </w:divBdr>
        </w:div>
      </w:divsChild>
    </w:div>
    <w:div w:id="1353146228">
      <w:bodyDiv w:val="1"/>
      <w:marLeft w:val="0"/>
      <w:marRight w:val="0"/>
      <w:marTop w:val="0"/>
      <w:marBottom w:val="0"/>
      <w:divBdr>
        <w:top w:val="none" w:sz="0" w:space="0" w:color="auto"/>
        <w:left w:val="none" w:sz="0" w:space="0" w:color="auto"/>
        <w:bottom w:val="none" w:sz="0" w:space="0" w:color="auto"/>
        <w:right w:val="none" w:sz="0" w:space="0" w:color="auto"/>
      </w:divBdr>
    </w:div>
    <w:div w:id="1371151809">
      <w:bodyDiv w:val="1"/>
      <w:marLeft w:val="0"/>
      <w:marRight w:val="0"/>
      <w:marTop w:val="0"/>
      <w:marBottom w:val="0"/>
      <w:divBdr>
        <w:top w:val="none" w:sz="0" w:space="0" w:color="auto"/>
        <w:left w:val="none" w:sz="0" w:space="0" w:color="auto"/>
        <w:bottom w:val="none" w:sz="0" w:space="0" w:color="auto"/>
        <w:right w:val="none" w:sz="0" w:space="0" w:color="auto"/>
      </w:divBdr>
      <w:divsChild>
        <w:div w:id="127282558">
          <w:marLeft w:val="0"/>
          <w:marRight w:val="0"/>
          <w:marTop w:val="0"/>
          <w:marBottom w:val="0"/>
          <w:divBdr>
            <w:top w:val="none" w:sz="0" w:space="0" w:color="auto"/>
            <w:left w:val="none" w:sz="0" w:space="0" w:color="auto"/>
            <w:bottom w:val="none" w:sz="0" w:space="0" w:color="auto"/>
            <w:right w:val="none" w:sz="0" w:space="0" w:color="auto"/>
          </w:divBdr>
        </w:div>
        <w:div w:id="1301493174">
          <w:marLeft w:val="0"/>
          <w:marRight w:val="0"/>
          <w:marTop w:val="0"/>
          <w:marBottom w:val="0"/>
          <w:divBdr>
            <w:top w:val="none" w:sz="0" w:space="0" w:color="auto"/>
            <w:left w:val="none" w:sz="0" w:space="0" w:color="auto"/>
            <w:bottom w:val="none" w:sz="0" w:space="0" w:color="auto"/>
            <w:right w:val="none" w:sz="0" w:space="0" w:color="auto"/>
          </w:divBdr>
        </w:div>
        <w:div w:id="723530621">
          <w:marLeft w:val="0"/>
          <w:marRight w:val="0"/>
          <w:marTop w:val="0"/>
          <w:marBottom w:val="0"/>
          <w:divBdr>
            <w:top w:val="none" w:sz="0" w:space="0" w:color="auto"/>
            <w:left w:val="none" w:sz="0" w:space="0" w:color="auto"/>
            <w:bottom w:val="none" w:sz="0" w:space="0" w:color="auto"/>
            <w:right w:val="none" w:sz="0" w:space="0" w:color="auto"/>
          </w:divBdr>
        </w:div>
        <w:div w:id="1628773979">
          <w:marLeft w:val="0"/>
          <w:marRight w:val="0"/>
          <w:marTop w:val="0"/>
          <w:marBottom w:val="0"/>
          <w:divBdr>
            <w:top w:val="none" w:sz="0" w:space="0" w:color="auto"/>
            <w:left w:val="none" w:sz="0" w:space="0" w:color="auto"/>
            <w:bottom w:val="none" w:sz="0" w:space="0" w:color="auto"/>
            <w:right w:val="none" w:sz="0" w:space="0" w:color="auto"/>
          </w:divBdr>
        </w:div>
        <w:div w:id="699166285">
          <w:marLeft w:val="0"/>
          <w:marRight w:val="0"/>
          <w:marTop w:val="0"/>
          <w:marBottom w:val="0"/>
          <w:divBdr>
            <w:top w:val="none" w:sz="0" w:space="0" w:color="auto"/>
            <w:left w:val="none" w:sz="0" w:space="0" w:color="auto"/>
            <w:bottom w:val="none" w:sz="0" w:space="0" w:color="auto"/>
            <w:right w:val="none" w:sz="0" w:space="0" w:color="auto"/>
          </w:divBdr>
        </w:div>
        <w:div w:id="940143771">
          <w:marLeft w:val="0"/>
          <w:marRight w:val="0"/>
          <w:marTop w:val="0"/>
          <w:marBottom w:val="0"/>
          <w:divBdr>
            <w:top w:val="none" w:sz="0" w:space="0" w:color="auto"/>
            <w:left w:val="none" w:sz="0" w:space="0" w:color="auto"/>
            <w:bottom w:val="none" w:sz="0" w:space="0" w:color="auto"/>
            <w:right w:val="none" w:sz="0" w:space="0" w:color="auto"/>
          </w:divBdr>
        </w:div>
        <w:div w:id="103160672">
          <w:marLeft w:val="0"/>
          <w:marRight w:val="0"/>
          <w:marTop w:val="0"/>
          <w:marBottom w:val="0"/>
          <w:divBdr>
            <w:top w:val="none" w:sz="0" w:space="0" w:color="auto"/>
            <w:left w:val="none" w:sz="0" w:space="0" w:color="auto"/>
            <w:bottom w:val="none" w:sz="0" w:space="0" w:color="auto"/>
            <w:right w:val="none" w:sz="0" w:space="0" w:color="auto"/>
          </w:divBdr>
        </w:div>
        <w:div w:id="1204438433">
          <w:marLeft w:val="0"/>
          <w:marRight w:val="0"/>
          <w:marTop w:val="0"/>
          <w:marBottom w:val="0"/>
          <w:divBdr>
            <w:top w:val="none" w:sz="0" w:space="0" w:color="auto"/>
            <w:left w:val="none" w:sz="0" w:space="0" w:color="auto"/>
            <w:bottom w:val="none" w:sz="0" w:space="0" w:color="auto"/>
            <w:right w:val="none" w:sz="0" w:space="0" w:color="auto"/>
          </w:divBdr>
        </w:div>
        <w:div w:id="1601379449">
          <w:marLeft w:val="0"/>
          <w:marRight w:val="0"/>
          <w:marTop w:val="0"/>
          <w:marBottom w:val="0"/>
          <w:divBdr>
            <w:top w:val="none" w:sz="0" w:space="0" w:color="auto"/>
            <w:left w:val="none" w:sz="0" w:space="0" w:color="auto"/>
            <w:bottom w:val="none" w:sz="0" w:space="0" w:color="auto"/>
            <w:right w:val="none" w:sz="0" w:space="0" w:color="auto"/>
          </w:divBdr>
        </w:div>
        <w:div w:id="1887910059">
          <w:marLeft w:val="0"/>
          <w:marRight w:val="0"/>
          <w:marTop w:val="0"/>
          <w:marBottom w:val="0"/>
          <w:divBdr>
            <w:top w:val="none" w:sz="0" w:space="0" w:color="auto"/>
            <w:left w:val="none" w:sz="0" w:space="0" w:color="auto"/>
            <w:bottom w:val="none" w:sz="0" w:space="0" w:color="auto"/>
            <w:right w:val="none" w:sz="0" w:space="0" w:color="auto"/>
          </w:divBdr>
        </w:div>
        <w:div w:id="110249385">
          <w:marLeft w:val="0"/>
          <w:marRight w:val="0"/>
          <w:marTop w:val="0"/>
          <w:marBottom w:val="0"/>
          <w:divBdr>
            <w:top w:val="none" w:sz="0" w:space="0" w:color="auto"/>
            <w:left w:val="none" w:sz="0" w:space="0" w:color="auto"/>
            <w:bottom w:val="none" w:sz="0" w:space="0" w:color="auto"/>
            <w:right w:val="none" w:sz="0" w:space="0" w:color="auto"/>
          </w:divBdr>
        </w:div>
        <w:div w:id="2095204700">
          <w:marLeft w:val="0"/>
          <w:marRight w:val="0"/>
          <w:marTop w:val="0"/>
          <w:marBottom w:val="0"/>
          <w:divBdr>
            <w:top w:val="none" w:sz="0" w:space="0" w:color="auto"/>
            <w:left w:val="none" w:sz="0" w:space="0" w:color="auto"/>
            <w:bottom w:val="none" w:sz="0" w:space="0" w:color="auto"/>
            <w:right w:val="none" w:sz="0" w:space="0" w:color="auto"/>
          </w:divBdr>
        </w:div>
        <w:div w:id="1799765152">
          <w:marLeft w:val="0"/>
          <w:marRight w:val="0"/>
          <w:marTop w:val="0"/>
          <w:marBottom w:val="0"/>
          <w:divBdr>
            <w:top w:val="none" w:sz="0" w:space="0" w:color="auto"/>
            <w:left w:val="none" w:sz="0" w:space="0" w:color="auto"/>
            <w:bottom w:val="none" w:sz="0" w:space="0" w:color="auto"/>
            <w:right w:val="none" w:sz="0" w:space="0" w:color="auto"/>
          </w:divBdr>
        </w:div>
        <w:div w:id="1513295043">
          <w:marLeft w:val="0"/>
          <w:marRight w:val="0"/>
          <w:marTop w:val="0"/>
          <w:marBottom w:val="0"/>
          <w:divBdr>
            <w:top w:val="none" w:sz="0" w:space="0" w:color="auto"/>
            <w:left w:val="none" w:sz="0" w:space="0" w:color="auto"/>
            <w:bottom w:val="none" w:sz="0" w:space="0" w:color="auto"/>
            <w:right w:val="none" w:sz="0" w:space="0" w:color="auto"/>
          </w:divBdr>
        </w:div>
        <w:div w:id="653803701">
          <w:marLeft w:val="0"/>
          <w:marRight w:val="0"/>
          <w:marTop w:val="0"/>
          <w:marBottom w:val="0"/>
          <w:divBdr>
            <w:top w:val="none" w:sz="0" w:space="0" w:color="auto"/>
            <w:left w:val="none" w:sz="0" w:space="0" w:color="auto"/>
            <w:bottom w:val="none" w:sz="0" w:space="0" w:color="auto"/>
            <w:right w:val="none" w:sz="0" w:space="0" w:color="auto"/>
          </w:divBdr>
        </w:div>
        <w:div w:id="64881409">
          <w:marLeft w:val="0"/>
          <w:marRight w:val="0"/>
          <w:marTop w:val="0"/>
          <w:marBottom w:val="0"/>
          <w:divBdr>
            <w:top w:val="none" w:sz="0" w:space="0" w:color="auto"/>
            <w:left w:val="none" w:sz="0" w:space="0" w:color="auto"/>
            <w:bottom w:val="none" w:sz="0" w:space="0" w:color="auto"/>
            <w:right w:val="none" w:sz="0" w:space="0" w:color="auto"/>
          </w:divBdr>
        </w:div>
        <w:div w:id="1483354888">
          <w:marLeft w:val="0"/>
          <w:marRight w:val="0"/>
          <w:marTop w:val="0"/>
          <w:marBottom w:val="0"/>
          <w:divBdr>
            <w:top w:val="none" w:sz="0" w:space="0" w:color="auto"/>
            <w:left w:val="none" w:sz="0" w:space="0" w:color="auto"/>
            <w:bottom w:val="none" w:sz="0" w:space="0" w:color="auto"/>
            <w:right w:val="none" w:sz="0" w:space="0" w:color="auto"/>
          </w:divBdr>
        </w:div>
        <w:div w:id="1326939624">
          <w:marLeft w:val="0"/>
          <w:marRight w:val="0"/>
          <w:marTop w:val="0"/>
          <w:marBottom w:val="0"/>
          <w:divBdr>
            <w:top w:val="none" w:sz="0" w:space="0" w:color="auto"/>
            <w:left w:val="none" w:sz="0" w:space="0" w:color="auto"/>
            <w:bottom w:val="none" w:sz="0" w:space="0" w:color="auto"/>
            <w:right w:val="none" w:sz="0" w:space="0" w:color="auto"/>
          </w:divBdr>
        </w:div>
        <w:div w:id="1642030422">
          <w:marLeft w:val="0"/>
          <w:marRight w:val="0"/>
          <w:marTop w:val="0"/>
          <w:marBottom w:val="0"/>
          <w:divBdr>
            <w:top w:val="none" w:sz="0" w:space="0" w:color="auto"/>
            <w:left w:val="none" w:sz="0" w:space="0" w:color="auto"/>
            <w:bottom w:val="none" w:sz="0" w:space="0" w:color="auto"/>
            <w:right w:val="none" w:sz="0" w:space="0" w:color="auto"/>
          </w:divBdr>
        </w:div>
        <w:div w:id="1204289637">
          <w:marLeft w:val="0"/>
          <w:marRight w:val="0"/>
          <w:marTop w:val="0"/>
          <w:marBottom w:val="0"/>
          <w:divBdr>
            <w:top w:val="none" w:sz="0" w:space="0" w:color="auto"/>
            <w:left w:val="none" w:sz="0" w:space="0" w:color="auto"/>
            <w:bottom w:val="none" w:sz="0" w:space="0" w:color="auto"/>
            <w:right w:val="none" w:sz="0" w:space="0" w:color="auto"/>
          </w:divBdr>
        </w:div>
        <w:div w:id="847643963">
          <w:marLeft w:val="0"/>
          <w:marRight w:val="0"/>
          <w:marTop w:val="0"/>
          <w:marBottom w:val="0"/>
          <w:divBdr>
            <w:top w:val="none" w:sz="0" w:space="0" w:color="auto"/>
            <w:left w:val="none" w:sz="0" w:space="0" w:color="auto"/>
            <w:bottom w:val="none" w:sz="0" w:space="0" w:color="auto"/>
            <w:right w:val="none" w:sz="0" w:space="0" w:color="auto"/>
          </w:divBdr>
        </w:div>
        <w:div w:id="707027893">
          <w:marLeft w:val="0"/>
          <w:marRight w:val="0"/>
          <w:marTop w:val="0"/>
          <w:marBottom w:val="0"/>
          <w:divBdr>
            <w:top w:val="none" w:sz="0" w:space="0" w:color="auto"/>
            <w:left w:val="none" w:sz="0" w:space="0" w:color="auto"/>
            <w:bottom w:val="none" w:sz="0" w:space="0" w:color="auto"/>
            <w:right w:val="none" w:sz="0" w:space="0" w:color="auto"/>
          </w:divBdr>
        </w:div>
        <w:div w:id="1308362040">
          <w:marLeft w:val="0"/>
          <w:marRight w:val="0"/>
          <w:marTop w:val="0"/>
          <w:marBottom w:val="0"/>
          <w:divBdr>
            <w:top w:val="none" w:sz="0" w:space="0" w:color="auto"/>
            <w:left w:val="none" w:sz="0" w:space="0" w:color="auto"/>
            <w:bottom w:val="none" w:sz="0" w:space="0" w:color="auto"/>
            <w:right w:val="none" w:sz="0" w:space="0" w:color="auto"/>
          </w:divBdr>
        </w:div>
        <w:div w:id="933784672">
          <w:marLeft w:val="0"/>
          <w:marRight w:val="0"/>
          <w:marTop w:val="0"/>
          <w:marBottom w:val="0"/>
          <w:divBdr>
            <w:top w:val="none" w:sz="0" w:space="0" w:color="auto"/>
            <w:left w:val="none" w:sz="0" w:space="0" w:color="auto"/>
            <w:bottom w:val="none" w:sz="0" w:space="0" w:color="auto"/>
            <w:right w:val="none" w:sz="0" w:space="0" w:color="auto"/>
          </w:divBdr>
        </w:div>
        <w:div w:id="1202405283">
          <w:marLeft w:val="0"/>
          <w:marRight w:val="0"/>
          <w:marTop w:val="0"/>
          <w:marBottom w:val="0"/>
          <w:divBdr>
            <w:top w:val="none" w:sz="0" w:space="0" w:color="auto"/>
            <w:left w:val="none" w:sz="0" w:space="0" w:color="auto"/>
            <w:bottom w:val="none" w:sz="0" w:space="0" w:color="auto"/>
            <w:right w:val="none" w:sz="0" w:space="0" w:color="auto"/>
          </w:divBdr>
        </w:div>
        <w:div w:id="1542784231">
          <w:marLeft w:val="0"/>
          <w:marRight w:val="0"/>
          <w:marTop w:val="0"/>
          <w:marBottom w:val="0"/>
          <w:divBdr>
            <w:top w:val="none" w:sz="0" w:space="0" w:color="auto"/>
            <w:left w:val="none" w:sz="0" w:space="0" w:color="auto"/>
            <w:bottom w:val="none" w:sz="0" w:space="0" w:color="auto"/>
            <w:right w:val="none" w:sz="0" w:space="0" w:color="auto"/>
          </w:divBdr>
        </w:div>
        <w:div w:id="465315536">
          <w:marLeft w:val="0"/>
          <w:marRight w:val="0"/>
          <w:marTop w:val="0"/>
          <w:marBottom w:val="0"/>
          <w:divBdr>
            <w:top w:val="none" w:sz="0" w:space="0" w:color="auto"/>
            <w:left w:val="none" w:sz="0" w:space="0" w:color="auto"/>
            <w:bottom w:val="none" w:sz="0" w:space="0" w:color="auto"/>
            <w:right w:val="none" w:sz="0" w:space="0" w:color="auto"/>
          </w:divBdr>
        </w:div>
        <w:div w:id="402723320">
          <w:marLeft w:val="0"/>
          <w:marRight w:val="0"/>
          <w:marTop w:val="0"/>
          <w:marBottom w:val="0"/>
          <w:divBdr>
            <w:top w:val="none" w:sz="0" w:space="0" w:color="auto"/>
            <w:left w:val="none" w:sz="0" w:space="0" w:color="auto"/>
            <w:bottom w:val="none" w:sz="0" w:space="0" w:color="auto"/>
            <w:right w:val="none" w:sz="0" w:space="0" w:color="auto"/>
          </w:divBdr>
        </w:div>
        <w:div w:id="1412508361">
          <w:marLeft w:val="0"/>
          <w:marRight w:val="0"/>
          <w:marTop w:val="0"/>
          <w:marBottom w:val="0"/>
          <w:divBdr>
            <w:top w:val="none" w:sz="0" w:space="0" w:color="auto"/>
            <w:left w:val="none" w:sz="0" w:space="0" w:color="auto"/>
            <w:bottom w:val="none" w:sz="0" w:space="0" w:color="auto"/>
            <w:right w:val="none" w:sz="0" w:space="0" w:color="auto"/>
          </w:divBdr>
        </w:div>
        <w:div w:id="1974289428">
          <w:marLeft w:val="0"/>
          <w:marRight w:val="0"/>
          <w:marTop w:val="0"/>
          <w:marBottom w:val="0"/>
          <w:divBdr>
            <w:top w:val="none" w:sz="0" w:space="0" w:color="auto"/>
            <w:left w:val="none" w:sz="0" w:space="0" w:color="auto"/>
            <w:bottom w:val="none" w:sz="0" w:space="0" w:color="auto"/>
            <w:right w:val="none" w:sz="0" w:space="0" w:color="auto"/>
          </w:divBdr>
        </w:div>
        <w:div w:id="1172136914">
          <w:marLeft w:val="0"/>
          <w:marRight w:val="0"/>
          <w:marTop w:val="0"/>
          <w:marBottom w:val="0"/>
          <w:divBdr>
            <w:top w:val="none" w:sz="0" w:space="0" w:color="auto"/>
            <w:left w:val="none" w:sz="0" w:space="0" w:color="auto"/>
            <w:bottom w:val="none" w:sz="0" w:space="0" w:color="auto"/>
            <w:right w:val="none" w:sz="0" w:space="0" w:color="auto"/>
          </w:divBdr>
        </w:div>
        <w:div w:id="508181569">
          <w:marLeft w:val="0"/>
          <w:marRight w:val="0"/>
          <w:marTop w:val="0"/>
          <w:marBottom w:val="0"/>
          <w:divBdr>
            <w:top w:val="none" w:sz="0" w:space="0" w:color="auto"/>
            <w:left w:val="none" w:sz="0" w:space="0" w:color="auto"/>
            <w:bottom w:val="none" w:sz="0" w:space="0" w:color="auto"/>
            <w:right w:val="none" w:sz="0" w:space="0" w:color="auto"/>
          </w:divBdr>
        </w:div>
        <w:div w:id="660618870">
          <w:marLeft w:val="0"/>
          <w:marRight w:val="0"/>
          <w:marTop w:val="0"/>
          <w:marBottom w:val="0"/>
          <w:divBdr>
            <w:top w:val="none" w:sz="0" w:space="0" w:color="auto"/>
            <w:left w:val="none" w:sz="0" w:space="0" w:color="auto"/>
            <w:bottom w:val="none" w:sz="0" w:space="0" w:color="auto"/>
            <w:right w:val="none" w:sz="0" w:space="0" w:color="auto"/>
          </w:divBdr>
        </w:div>
        <w:div w:id="1535919025">
          <w:marLeft w:val="0"/>
          <w:marRight w:val="0"/>
          <w:marTop w:val="0"/>
          <w:marBottom w:val="0"/>
          <w:divBdr>
            <w:top w:val="none" w:sz="0" w:space="0" w:color="auto"/>
            <w:left w:val="none" w:sz="0" w:space="0" w:color="auto"/>
            <w:bottom w:val="none" w:sz="0" w:space="0" w:color="auto"/>
            <w:right w:val="none" w:sz="0" w:space="0" w:color="auto"/>
          </w:divBdr>
        </w:div>
        <w:div w:id="2141337453">
          <w:marLeft w:val="0"/>
          <w:marRight w:val="0"/>
          <w:marTop w:val="0"/>
          <w:marBottom w:val="0"/>
          <w:divBdr>
            <w:top w:val="none" w:sz="0" w:space="0" w:color="auto"/>
            <w:left w:val="none" w:sz="0" w:space="0" w:color="auto"/>
            <w:bottom w:val="none" w:sz="0" w:space="0" w:color="auto"/>
            <w:right w:val="none" w:sz="0" w:space="0" w:color="auto"/>
          </w:divBdr>
        </w:div>
        <w:div w:id="1860386435">
          <w:marLeft w:val="0"/>
          <w:marRight w:val="0"/>
          <w:marTop w:val="0"/>
          <w:marBottom w:val="0"/>
          <w:divBdr>
            <w:top w:val="none" w:sz="0" w:space="0" w:color="auto"/>
            <w:left w:val="none" w:sz="0" w:space="0" w:color="auto"/>
            <w:bottom w:val="none" w:sz="0" w:space="0" w:color="auto"/>
            <w:right w:val="none" w:sz="0" w:space="0" w:color="auto"/>
          </w:divBdr>
        </w:div>
        <w:div w:id="904535196">
          <w:marLeft w:val="0"/>
          <w:marRight w:val="0"/>
          <w:marTop w:val="0"/>
          <w:marBottom w:val="0"/>
          <w:divBdr>
            <w:top w:val="none" w:sz="0" w:space="0" w:color="auto"/>
            <w:left w:val="none" w:sz="0" w:space="0" w:color="auto"/>
            <w:bottom w:val="none" w:sz="0" w:space="0" w:color="auto"/>
            <w:right w:val="none" w:sz="0" w:space="0" w:color="auto"/>
          </w:divBdr>
        </w:div>
        <w:div w:id="194271637">
          <w:marLeft w:val="0"/>
          <w:marRight w:val="0"/>
          <w:marTop w:val="0"/>
          <w:marBottom w:val="0"/>
          <w:divBdr>
            <w:top w:val="none" w:sz="0" w:space="0" w:color="auto"/>
            <w:left w:val="none" w:sz="0" w:space="0" w:color="auto"/>
            <w:bottom w:val="none" w:sz="0" w:space="0" w:color="auto"/>
            <w:right w:val="none" w:sz="0" w:space="0" w:color="auto"/>
          </w:divBdr>
        </w:div>
        <w:div w:id="1053654058">
          <w:marLeft w:val="0"/>
          <w:marRight w:val="0"/>
          <w:marTop w:val="0"/>
          <w:marBottom w:val="0"/>
          <w:divBdr>
            <w:top w:val="none" w:sz="0" w:space="0" w:color="auto"/>
            <w:left w:val="none" w:sz="0" w:space="0" w:color="auto"/>
            <w:bottom w:val="none" w:sz="0" w:space="0" w:color="auto"/>
            <w:right w:val="none" w:sz="0" w:space="0" w:color="auto"/>
          </w:divBdr>
        </w:div>
        <w:div w:id="252862449">
          <w:marLeft w:val="0"/>
          <w:marRight w:val="0"/>
          <w:marTop w:val="0"/>
          <w:marBottom w:val="0"/>
          <w:divBdr>
            <w:top w:val="none" w:sz="0" w:space="0" w:color="auto"/>
            <w:left w:val="none" w:sz="0" w:space="0" w:color="auto"/>
            <w:bottom w:val="none" w:sz="0" w:space="0" w:color="auto"/>
            <w:right w:val="none" w:sz="0" w:space="0" w:color="auto"/>
          </w:divBdr>
        </w:div>
        <w:div w:id="1288897955">
          <w:marLeft w:val="0"/>
          <w:marRight w:val="0"/>
          <w:marTop w:val="0"/>
          <w:marBottom w:val="0"/>
          <w:divBdr>
            <w:top w:val="none" w:sz="0" w:space="0" w:color="auto"/>
            <w:left w:val="none" w:sz="0" w:space="0" w:color="auto"/>
            <w:bottom w:val="none" w:sz="0" w:space="0" w:color="auto"/>
            <w:right w:val="none" w:sz="0" w:space="0" w:color="auto"/>
          </w:divBdr>
        </w:div>
        <w:div w:id="1123037151">
          <w:marLeft w:val="0"/>
          <w:marRight w:val="0"/>
          <w:marTop w:val="0"/>
          <w:marBottom w:val="0"/>
          <w:divBdr>
            <w:top w:val="none" w:sz="0" w:space="0" w:color="auto"/>
            <w:left w:val="none" w:sz="0" w:space="0" w:color="auto"/>
            <w:bottom w:val="none" w:sz="0" w:space="0" w:color="auto"/>
            <w:right w:val="none" w:sz="0" w:space="0" w:color="auto"/>
          </w:divBdr>
        </w:div>
        <w:div w:id="49772680">
          <w:marLeft w:val="0"/>
          <w:marRight w:val="0"/>
          <w:marTop w:val="0"/>
          <w:marBottom w:val="0"/>
          <w:divBdr>
            <w:top w:val="none" w:sz="0" w:space="0" w:color="auto"/>
            <w:left w:val="none" w:sz="0" w:space="0" w:color="auto"/>
            <w:bottom w:val="none" w:sz="0" w:space="0" w:color="auto"/>
            <w:right w:val="none" w:sz="0" w:space="0" w:color="auto"/>
          </w:divBdr>
        </w:div>
        <w:div w:id="674570530">
          <w:marLeft w:val="0"/>
          <w:marRight w:val="0"/>
          <w:marTop w:val="0"/>
          <w:marBottom w:val="0"/>
          <w:divBdr>
            <w:top w:val="none" w:sz="0" w:space="0" w:color="auto"/>
            <w:left w:val="none" w:sz="0" w:space="0" w:color="auto"/>
            <w:bottom w:val="none" w:sz="0" w:space="0" w:color="auto"/>
            <w:right w:val="none" w:sz="0" w:space="0" w:color="auto"/>
          </w:divBdr>
        </w:div>
        <w:div w:id="566190533">
          <w:marLeft w:val="0"/>
          <w:marRight w:val="0"/>
          <w:marTop w:val="0"/>
          <w:marBottom w:val="0"/>
          <w:divBdr>
            <w:top w:val="none" w:sz="0" w:space="0" w:color="auto"/>
            <w:left w:val="none" w:sz="0" w:space="0" w:color="auto"/>
            <w:bottom w:val="none" w:sz="0" w:space="0" w:color="auto"/>
            <w:right w:val="none" w:sz="0" w:space="0" w:color="auto"/>
          </w:divBdr>
        </w:div>
        <w:div w:id="1742869920">
          <w:marLeft w:val="0"/>
          <w:marRight w:val="0"/>
          <w:marTop w:val="0"/>
          <w:marBottom w:val="0"/>
          <w:divBdr>
            <w:top w:val="none" w:sz="0" w:space="0" w:color="auto"/>
            <w:left w:val="none" w:sz="0" w:space="0" w:color="auto"/>
            <w:bottom w:val="none" w:sz="0" w:space="0" w:color="auto"/>
            <w:right w:val="none" w:sz="0" w:space="0" w:color="auto"/>
          </w:divBdr>
        </w:div>
        <w:div w:id="810053130">
          <w:marLeft w:val="0"/>
          <w:marRight w:val="0"/>
          <w:marTop w:val="0"/>
          <w:marBottom w:val="0"/>
          <w:divBdr>
            <w:top w:val="none" w:sz="0" w:space="0" w:color="auto"/>
            <w:left w:val="none" w:sz="0" w:space="0" w:color="auto"/>
            <w:bottom w:val="none" w:sz="0" w:space="0" w:color="auto"/>
            <w:right w:val="none" w:sz="0" w:space="0" w:color="auto"/>
          </w:divBdr>
        </w:div>
        <w:div w:id="374889091">
          <w:marLeft w:val="0"/>
          <w:marRight w:val="0"/>
          <w:marTop w:val="0"/>
          <w:marBottom w:val="0"/>
          <w:divBdr>
            <w:top w:val="none" w:sz="0" w:space="0" w:color="auto"/>
            <w:left w:val="none" w:sz="0" w:space="0" w:color="auto"/>
            <w:bottom w:val="none" w:sz="0" w:space="0" w:color="auto"/>
            <w:right w:val="none" w:sz="0" w:space="0" w:color="auto"/>
          </w:divBdr>
        </w:div>
        <w:div w:id="1684817705">
          <w:marLeft w:val="0"/>
          <w:marRight w:val="0"/>
          <w:marTop w:val="0"/>
          <w:marBottom w:val="0"/>
          <w:divBdr>
            <w:top w:val="none" w:sz="0" w:space="0" w:color="auto"/>
            <w:left w:val="none" w:sz="0" w:space="0" w:color="auto"/>
            <w:bottom w:val="none" w:sz="0" w:space="0" w:color="auto"/>
            <w:right w:val="none" w:sz="0" w:space="0" w:color="auto"/>
          </w:divBdr>
        </w:div>
        <w:div w:id="2075348071">
          <w:marLeft w:val="0"/>
          <w:marRight w:val="0"/>
          <w:marTop w:val="0"/>
          <w:marBottom w:val="0"/>
          <w:divBdr>
            <w:top w:val="none" w:sz="0" w:space="0" w:color="auto"/>
            <w:left w:val="none" w:sz="0" w:space="0" w:color="auto"/>
            <w:bottom w:val="none" w:sz="0" w:space="0" w:color="auto"/>
            <w:right w:val="none" w:sz="0" w:space="0" w:color="auto"/>
          </w:divBdr>
        </w:div>
        <w:div w:id="914630080">
          <w:marLeft w:val="0"/>
          <w:marRight w:val="0"/>
          <w:marTop w:val="0"/>
          <w:marBottom w:val="0"/>
          <w:divBdr>
            <w:top w:val="none" w:sz="0" w:space="0" w:color="auto"/>
            <w:left w:val="none" w:sz="0" w:space="0" w:color="auto"/>
            <w:bottom w:val="none" w:sz="0" w:space="0" w:color="auto"/>
            <w:right w:val="none" w:sz="0" w:space="0" w:color="auto"/>
          </w:divBdr>
        </w:div>
        <w:div w:id="1096242788">
          <w:marLeft w:val="0"/>
          <w:marRight w:val="0"/>
          <w:marTop w:val="0"/>
          <w:marBottom w:val="0"/>
          <w:divBdr>
            <w:top w:val="none" w:sz="0" w:space="0" w:color="auto"/>
            <w:left w:val="none" w:sz="0" w:space="0" w:color="auto"/>
            <w:bottom w:val="none" w:sz="0" w:space="0" w:color="auto"/>
            <w:right w:val="none" w:sz="0" w:space="0" w:color="auto"/>
          </w:divBdr>
        </w:div>
        <w:div w:id="1287153757">
          <w:marLeft w:val="0"/>
          <w:marRight w:val="0"/>
          <w:marTop w:val="0"/>
          <w:marBottom w:val="0"/>
          <w:divBdr>
            <w:top w:val="none" w:sz="0" w:space="0" w:color="auto"/>
            <w:left w:val="none" w:sz="0" w:space="0" w:color="auto"/>
            <w:bottom w:val="none" w:sz="0" w:space="0" w:color="auto"/>
            <w:right w:val="none" w:sz="0" w:space="0" w:color="auto"/>
          </w:divBdr>
        </w:div>
        <w:div w:id="1565799473">
          <w:marLeft w:val="0"/>
          <w:marRight w:val="0"/>
          <w:marTop w:val="0"/>
          <w:marBottom w:val="0"/>
          <w:divBdr>
            <w:top w:val="none" w:sz="0" w:space="0" w:color="auto"/>
            <w:left w:val="none" w:sz="0" w:space="0" w:color="auto"/>
            <w:bottom w:val="none" w:sz="0" w:space="0" w:color="auto"/>
            <w:right w:val="none" w:sz="0" w:space="0" w:color="auto"/>
          </w:divBdr>
        </w:div>
        <w:div w:id="1615940532">
          <w:marLeft w:val="0"/>
          <w:marRight w:val="0"/>
          <w:marTop w:val="0"/>
          <w:marBottom w:val="0"/>
          <w:divBdr>
            <w:top w:val="none" w:sz="0" w:space="0" w:color="auto"/>
            <w:left w:val="none" w:sz="0" w:space="0" w:color="auto"/>
            <w:bottom w:val="none" w:sz="0" w:space="0" w:color="auto"/>
            <w:right w:val="none" w:sz="0" w:space="0" w:color="auto"/>
          </w:divBdr>
        </w:div>
        <w:div w:id="1716150077">
          <w:marLeft w:val="0"/>
          <w:marRight w:val="0"/>
          <w:marTop w:val="0"/>
          <w:marBottom w:val="0"/>
          <w:divBdr>
            <w:top w:val="none" w:sz="0" w:space="0" w:color="auto"/>
            <w:left w:val="none" w:sz="0" w:space="0" w:color="auto"/>
            <w:bottom w:val="none" w:sz="0" w:space="0" w:color="auto"/>
            <w:right w:val="none" w:sz="0" w:space="0" w:color="auto"/>
          </w:divBdr>
        </w:div>
        <w:div w:id="1128202802">
          <w:marLeft w:val="0"/>
          <w:marRight w:val="0"/>
          <w:marTop w:val="0"/>
          <w:marBottom w:val="0"/>
          <w:divBdr>
            <w:top w:val="none" w:sz="0" w:space="0" w:color="auto"/>
            <w:left w:val="none" w:sz="0" w:space="0" w:color="auto"/>
            <w:bottom w:val="none" w:sz="0" w:space="0" w:color="auto"/>
            <w:right w:val="none" w:sz="0" w:space="0" w:color="auto"/>
          </w:divBdr>
        </w:div>
        <w:div w:id="957099934">
          <w:marLeft w:val="0"/>
          <w:marRight w:val="0"/>
          <w:marTop w:val="0"/>
          <w:marBottom w:val="0"/>
          <w:divBdr>
            <w:top w:val="none" w:sz="0" w:space="0" w:color="auto"/>
            <w:left w:val="none" w:sz="0" w:space="0" w:color="auto"/>
            <w:bottom w:val="none" w:sz="0" w:space="0" w:color="auto"/>
            <w:right w:val="none" w:sz="0" w:space="0" w:color="auto"/>
          </w:divBdr>
        </w:div>
        <w:div w:id="1174759534">
          <w:marLeft w:val="0"/>
          <w:marRight w:val="0"/>
          <w:marTop w:val="0"/>
          <w:marBottom w:val="0"/>
          <w:divBdr>
            <w:top w:val="none" w:sz="0" w:space="0" w:color="auto"/>
            <w:left w:val="none" w:sz="0" w:space="0" w:color="auto"/>
            <w:bottom w:val="none" w:sz="0" w:space="0" w:color="auto"/>
            <w:right w:val="none" w:sz="0" w:space="0" w:color="auto"/>
          </w:divBdr>
        </w:div>
        <w:div w:id="1998220016">
          <w:marLeft w:val="0"/>
          <w:marRight w:val="0"/>
          <w:marTop w:val="0"/>
          <w:marBottom w:val="0"/>
          <w:divBdr>
            <w:top w:val="none" w:sz="0" w:space="0" w:color="auto"/>
            <w:left w:val="none" w:sz="0" w:space="0" w:color="auto"/>
            <w:bottom w:val="none" w:sz="0" w:space="0" w:color="auto"/>
            <w:right w:val="none" w:sz="0" w:space="0" w:color="auto"/>
          </w:divBdr>
        </w:div>
        <w:div w:id="751585193">
          <w:marLeft w:val="0"/>
          <w:marRight w:val="0"/>
          <w:marTop w:val="0"/>
          <w:marBottom w:val="0"/>
          <w:divBdr>
            <w:top w:val="none" w:sz="0" w:space="0" w:color="auto"/>
            <w:left w:val="none" w:sz="0" w:space="0" w:color="auto"/>
            <w:bottom w:val="none" w:sz="0" w:space="0" w:color="auto"/>
            <w:right w:val="none" w:sz="0" w:space="0" w:color="auto"/>
          </w:divBdr>
        </w:div>
        <w:div w:id="904798553">
          <w:marLeft w:val="0"/>
          <w:marRight w:val="0"/>
          <w:marTop w:val="0"/>
          <w:marBottom w:val="0"/>
          <w:divBdr>
            <w:top w:val="none" w:sz="0" w:space="0" w:color="auto"/>
            <w:left w:val="none" w:sz="0" w:space="0" w:color="auto"/>
            <w:bottom w:val="none" w:sz="0" w:space="0" w:color="auto"/>
            <w:right w:val="none" w:sz="0" w:space="0" w:color="auto"/>
          </w:divBdr>
        </w:div>
        <w:div w:id="1804423441">
          <w:marLeft w:val="0"/>
          <w:marRight w:val="0"/>
          <w:marTop w:val="0"/>
          <w:marBottom w:val="0"/>
          <w:divBdr>
            <w:top w:val="none" w:sz="0" w:space="0" w:color="auto"/>
            <w:left w:val="none" w:sz="0" w:space="0" w:color="auto"/>
            <w:bottom w:val="none" w:sz="0" w:space="0" w:color="auto"/>
            <w:right w:val="none" w:sz="0" w:space="0" w:color="auto"/>
          </w:divBdr>
        </w:div>
        <w:div w:id="605894211">
          <w:marLeft w:val="0"/>
          <w:marRight w:val="0"/>
          <w:marTop w:val="0"/>
          <w:marBottom w:val="0"/>
          <w:divBdr>
            <w:top w:val="none" w:sz="0" w:space="0" w:color="auto"/>
            <w:left w:val="none" w:sz="0" w:space="0" w:color="auto"/>
            <w:bottom w:val="none" w:sz="0" w:space="0" w:color="auto"/>
            <w:right w:val="none" w:sz="0" w:space="0" w:color="auto"/>
          </w:divBdr>
        </w:div>
        <w:div w:id="1381515525">
          <w:marLeft w:val="0"/>
          <w:marRight w:val="0"/>
          <w:marTop w:val="0"/>
          <w:marBottom w:val="0"/>
          <w:divBdr>
            <w:top w:val="none" w:sz="0" w:space="0" w:color="auto"/>
            <w:left w:val="none" w:sz="0" w:space="0" w:color="auto"/>
            <w:bottom w:val="none" w:sz="0" w:space="0" w:color="auto"/>
            <w:right w:val="none" w:sz="0" w:space="0" w:color="auto"/>
          </w:divBdr>
        </w:div>
        <w:div w:id="1865050612">
          <w:marLeft w:val="0"/>
          <w:marRight w:val="0"/>
          <w:marTop w:val="0"/>
          <w:marBottom w:val="0"/>
          <w:divBdr>
            <w:top w:val="none" w:sz="0" w:space="0" w:color="auto"/>
            <w:left w:val="none" w:sz="0" w:space="0" w:color="auto"/>
            <w:bottom w:val="none" w:sz="0" w:space="0" w:color="auto"/>
            <w:right w:val="none" w:sz="0" w:space="0" w:color="auto"/>
          </w:divBdr>
        </w:div>
        <w:div w:id="1316303823">
          <w:marLeft w:val="0"/>
          <w:marRight w:val="0"/>
          <w:marTop w:val="0"/>
          <w:marBottom w:val="0"/>
          <w:divBdr>
            <w:top w:val="none" w:sz="0" w:space="0" w:color="auto"/>
            <w:left w:val="none" w:sz="0" w:space="0" w:color="auto"/>
            <w:bottom w:val="none" w:sz="0" w:space="0" w:color="auto"/>
            <w:right w:val="none" w:sz="0" w:space="0" w:color="auto"/>
          </w:divBdr>
        </w:div>
        <w:div w:id="665716559">
          <w:marLeft w:val="0"/>
          <w:marRight w:val="0"/>
          <w:marTop w:val="0"/>
          <w:marBottom w:val="0"/>
          <w:divBdr>
            <w:top w:val="none" w:sz="0" w:space="0" w:color="auto"/>
            <w:left w:val="none" w:sz="0" w:space="0" w:color="auto"/>
            <w:bottom w:val="none" w:sz="0" w:space="0" w:color="auto"/>
            <w:right w:val="none" w:sz="0" w:space="0" w:color="auto"/>
          </w:divBdr>
        </w:div>
        <w:div w:id="1566333013">
          <w:marLeft w:val="0"/>
          <w:marRight w:val="0"/>
          <w:marTop w:val="0"/>
          <w:marBottom w:val="0"/>
          <w:divBdr>
            <w:top w:val="none" w:sz="0" w:space="0" w:color="auto"/>
            <w:left w:val="none" w:sz="0" w:space="0" w:color="auto"/>
            <w:bottom w:val="none" w:sz="0" w:space="0" w:color="auto"/>
            <w:right w:val="none" w:sz="0" w:space="0" w:color="auto"/>
          </w:divBdr>
        </w:div>
        <w:div w:id="1362198256">
          <w:marLeft w:val="0"/>
          <w:marRight w:val="0"/>
          <w:marTop w:val="0"/>
          <w:marBottom w:val="0"/>
          <w:divBdr>
            <w:top w:val="none" w:sz="0" w:space="0" w:color="auto"/>
            <w:left w:val="none" w:sz="0" w:space="0" w:color="auto"/>
            <w:bottom w:val="none" w:sz="0" w:space="0" w:color="auto"/>
            <w:right w:val="none" w:sz="0" w:space="0" w:color="auto"/>
          </w:divBdr>
        </w:div>
        <w:div w:id="1942256611">
          <w:marLeft w:val="0"/>
          <w:marRight w:val="0"/>
          <w:marTop w:val="0"/>
          <w:marBottom w:val="0"/>
          <w:divBdr>
            <w:top w:val="none" w:sz="0" w:space="0" w:color="auto"/>
            <w:left w:val="none" w:sz="0" w:space="0" w:color="auto"/>
            <w:bottom w:val="none" w:sz="0" w:space="0" w:color="auto"/>
            <w:right w:val="none" w:sz="0" w:space="0" w:color="auto"/>
          </w:divBdr>
        </w:div>
        <w:div w:id="1726641792">
          <w:marLeft w:val="0"/>
          <w:marRight w:val="0"/>
          <w:marTop w:val="0"/>
          <w:marBottom w:val="0"/>
          <w:divBdr>
            <w:top w:val="none" w:sz="0" w:space="0" w:color="auto"/>
            <w:left w:val="none" w:sz="0" w:space="0" w:color="auto"/>
            <w:bottom w:val="none" w:sz="0" w:space="0" w:color="auto"/>
            <w:right w:val="none" w:sz="0" w:space="0" w:color="auto"/>
          </w:divBdr>
        </w:div>
        <w:div w:id="713189321">
          <w:marLeft w:val="0"/>
          <w:marRight w:val="0"/>
          <w:marTop w:val="0"/>
          <w:marBottom w:val="0"/>
          <w:divBdr>
            <w:top w:val="none" w:sz="0" w:space="0" w:color="auto"/>
            <w:left w:val="none" w:sz="0" w:space="0" w:color="auto"/>
            <w:bottom w:val="none" w:sz="0" w:space="0" w:color="auto"/>
            <w:right w:val="none" w:sz="0" w:space="0" w:color="auto"/>
          </w:divBdr>
        </w:div>
        <w:div w:id="758140319">
          <w:marLeft w:val="0"/>
          <w:marRight w:val="0"/>
          <w:marTop w:val="0"/>
          <w:marBottom w:val="0"/>
          <w:divBdr>
            <w:top w:val="none" w:sz="0" w:space="0" w:color="auto"/>
            <w:left w:val="none" w:sz="0" w:space="0" w:color="auto"/>
            <w:bottom w:val="none" w:sz="0" w:space="0" w:color="auto"/>
            <w:right w:val="none" w:sz="0" w:space="0" w:color="auto"/>
          </w:divBdr>
        </w:div>
        <w:div w:id="1621952229">
          <w:marLeft w:val="0"/>
          <w:marRight w:val="0"/>
          <w:marTop w:val="0"/>
          <w:marBottom w:val="0"/>
          <w:divBdr>
            <w:top w:val="none" w:sz="0" w:space="0" w:color="auto"/>
            <w:left w:val="none" w:sz="0" w:space="0" w:color="auto"/>
            <w:bottom w:val="none" w:sz="0" w:space="0" w:color="auto"/>
            <w:right w:val="none" w:sz="0" w:space="0" w:color="auto"/>
          </w:divBdr>
        </w:div>
        <w:div w:id="431778372">
          <w:marLeft w:val="0"/>
          <w:marRight w:val="0"/>
          <w:marTop w:val="0"/>
          <w:marBottom w:val="0"/>
          <w:divBdr>
            <w:top w:val="none" w:sz="0" w:space="0" w:color="auto"/>
            <w:left w:val="none" w:sz="0" w:space="0" w:color="auto"/>
            <w:bottom w:val="none" w:sz="0" w:space="0" w:color="auto"/>
            <w:right w:val="none" w:sz="0" w:space="0" w:color="auto"/>
          </w:divBdr>
        </w:div>
        <w:div w:id="1620453168">
          <w:marLeft w:val="0"/>
          <w:marRight w:val="0"/>
          <w:marTop w:val="0"/>
          <w:marBottom w:val="0"/>
          <w:divBdr>
            <w:top w:val="none" w:sz="0" w:space="0" w:color="auto"/>
            <w:left w:val="none" w:sz="0" w:space="0" w:color="auto"/>
            <w:bottom w:val="none" w:sz="0" w:space="0" w:color="auto"/>
            <w:right w:val="none" w:sz="0" w:space="0" w:color="auto"/>
          </w:divBdr>
        </w:div>
        <w:div w:id="5791675">
          <w:marLeft w:val="0"/>
          <w:marRight w:val="0"/>
          <w:marTop w:val="0"/>
          <w:marBottom w:val="0"/>
          <w:divBdr>
            <w:top w:val="none" w:sz="0" w:space="0" w:color="auto"/>
            <w:left w:val="none" w:sz="0" w:space="0" w:color="auto"/>
            <w:bottom w:val="none" w:sz="0" w:space="0" w:color="auto"/>
            <w:right w:val="none" w:sz="0" w:space="0" w:color="auto"/>
          </w:divBdr>
        </w:div>
        <w:div w:id="909122815">
          <w:marLeft w:val="0"/>
          <w:marRight w:val="0"/>
          <w:marTop w:val="0"/>
          <w:marBottom w:val="0"/>
          <w:divBdr>
            <w:top w:val="none" w:sz="0" w:space="0" w:color="auto"/>
            <w:left w:val="none" w:sz="0" w:space="0" w:color="auto"/>
            <w:bottom w:val="none" w:sz="0" w:space="0" w:color="auto"/>
            <w:right w:val="none" w:sz="0" w:space="0" w:color="auto"/>
          </w:divBdr>
        </w:div>
        <w:div w:id="1872766605">
          <w:marLeft w:val="0"/>
          <w:marRight w:val="0"/>
          <w:marTop w:val="0"/>
          <w:marBottom w:val="0"/>
          <w:divBdr>
            <w:top w:val="none" w:sz="0" w:space="0" w:color="auto"/>
            <w:left w:val="none" w:sz="0" w:space="0" w:color="auto"/>
            <w:bottom w:val="none" w:sz="0" w:space="0" w:color="auto"/>
            <w:right w:val="none" w:sz="0" w:space="0" w:color="auto"/>
          </w:divBdr>
        </w:div>
        <w:div w:id="2007509435">
          <w:marLeft w:val="0"/>
          <w:marRight w:val="0"/>
          <w:marTop w:val="0"/>
          <w:marBottom w:val="0"/>
          <w:divBdr>
            <w:top w:val="none" w:sz="0" w:space="0" w:color="auto"/>
            <w:left w:val="none" w:sz="0" w:space="0" w:color="auto"/>
            <w:bottom w:val="none" w:sz="0" w:space="0" w:color="auto"/>
            <w:right w:val="none" w:sz="0" w:space="0" w:color="auto"/>
          </w:divBdr>
        </w:div>
        <w:div w:id="2066176741">
          <w:marLeft w:val="0"/>
          <w:marRight w:val="0"/>
          <w:marTop w:val="0"/>
          <w:marBottom w:val="0"/>
          <w:divBdr>
            <w:top w:val="none" w:sz="0" w:space="0" w:color="auto"/>
            <w:left w:val="none" w:sz="0" w:space="0" w:color="auto"/>
            <w:bottom w:val="none" w:sz="0" w:space="0" w:color="auto"/>
            <w:right w:val="none" w:sz="0" w:space="0" w:color="auto"/>
          </w:divBdr>
        </w:div>
        <w:div w:id="345178513">
          <w:marLeft w:val="0"/>
          <w:marRight w:val="0"/>
          <w:marTop w:val="0"/>
          <w:marBottom w:val="0"/>
          <w:divBdr>
            <w:top w:val="none" w:sz="0" w:space="0" w:color="auto"/>
            <w:left w:val="none" w:sz="0" w:space="0" w:color="auto"/>
            <w:bottom w:val="none" w:sz="0" w:space="0" w:color="auto"/>
            <w:right w:val="none" w:sz="0" w:space="0" w:color="auto"/>
          </w:divBdr>
        </w:div>
        <w:div w:id="517348443">
          <w:marLeft w:val="0"/>
          <w:marRight w:val="0"/>
          <w:marTop w:val="0"/>
          <w:marBottom w:val="0"/>
          <w:divBdr>
            <w:top w:val="none" w:sz="0" w:space="0" w:color="auto"/>
            <w:left w:val="none" w:sz="0" w:space="0" w:color="auto"/>
            <w:bottom w:val="none" w:sz="0" w:space="0" w:color="auto"/>
            <w:right w:val="none" w:sz="0" w:space="0" w:color="auto"/>
          </w:divBdr>
        </w:div>
        <w:div w:id="1748529866">
          <w:marLeft w:val="0"/>
          <w:marRight w:val="0"/>
          <w:marTop w:val="0"/>
          <w:marBottom w:val="0"/>
          <w:divBdr>
            <w:top w:val="none" w:sz="0" w:space="0" w:color="auto"/>
            <w:left w:val="none" w:sz="0" w:space="0" w:color="auto"/>
            <w:bottom w:val="none" w:sz="0" w:space="0" w:color="auto"/>
            <w:right w:val="none" w:sz="0" w:space="0" w:color="auto"/>
          </w:divBdr>
        </w:div>
        <w:div w:id="1316178701">
          <w:marLeft w:val="0"/>
          <w:marRight w:val="0"/>
          <w:marTop w:val="0"/>
          <w:marBottom w:val="0"/>
          <w:divBdr>
            <w:top w:val="none" w:sz="0" w:space="0" w:color="auto"/>
            <w:left w:val="none" w:sz="0" w:space="0" w:color="auto"/>
            <w:bottom w:val="none" w:sz="0" w:space="0" w:color="auto"/>
            <w:right w:val="none" w:sz="0" w:space="0" w:color="auto"/>
          </w:divBdr>
        </w:div>
        <w:div w:id="1082221874">
          <w:marLeft w:val="0"/>
          <w:marRight w:val="0"/>
          <w:marTop w:val="0"/>
          <w:marBottom w:val="0"/>
          <w:divBdr>
            <w:top w:val="none" w:sz="0" w:space="0" w:color="auto"/>
            <w:left w:val="none" w:sz="0" w:space="0" w:color="auto"/>
            <w:bottom w:val="none" w:sz="0" w:space="0" w:color="auto"/>
            <w:right w:val="none" w:sz="0" w:space="0" w:color="auto"/>
          </w:divBdr>
        </w:div>
        <w:div w:id="1529488943">
          <w:marLeft w:val="0"/>
          <w:marRight w:val="0"/>
          <w:marTop w:val="0"/>
          <w:marBottom w:val="0"/>
          <w:divBdr>
            <w:top w:val="none" w:sz="0" w:space="0" w:color="auto"/>
            <w:left w:val="none" w:sz="0" w:space="0" w:color="auto"/>
            <w:bottom w:val="none" w:sz="0" w:space="0" w:color="auto"/>
            <w:right w:val="none" w:sz="0" w:space="0" w:color="auto"/>
          </w:divBdr>
        </w:div>
        <w:div w:id="1912932883">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591425280">
          <w:marLeft w:val="0"/>
          <w:marRight w:val="0"/>
          <w:marTop w:val="0"/>
          <w:marBottom w:val="0"/>
          <w:divBdr>
            <w:top w:val="none" w:sz="0" w:space="0" w:color="auto"/>
            <w:left w:val="none" w:sz="0" w:space="0" w:color="auto"/>
            <w:bottom w:val="none" w:sz="0" w:space="0" w:color="auto"/>
            <w:right w:val="none" w:sz="0" w:space="0" w:color="auto"/>
          </w:divBdr>
        </w:div>
        <w:div w:id="1488284920">
          <w:marLeft w:val="0"/>
          <w:marRight w:val="0"/>
          <w:marTop w:val="0"/>
          <w:marBottom w:val="0"/>
          <w:divBdr>
            <w:top w:val="none" w:sz="0" w:space="0" w:color="auto"/>
            <w:left w:val="none" w:sz="0" w:space="0" w:color="auto"/>
            <w:bottom w:val="none" w:sz="0" w:space="0" w:color="auto"/>
            <w:right w:val="none" w:sz="0" w:space="0" w:color="auto"/>
          </w:divBdr>
        </w:div>
        <w:div w:id="463500913">
          <w:marLeft w:val="0"/>
          <w:marRight w:val="0"/>
          <w:marTop w:val="0"/>
          <w:marBottom w:val="0"/>
          <w:divBdr>
            <w:top w:val="none" w:sz="0" w:space="0" w:color="auto"/>
            <w:left w:val="none" w:sz="0" w:space="0" w:color="auto"/>
            <w:bottom w:val="none" w:sz="0" w:space="0" w:color="auto"/>
            <w:right w:val="none" w:sz="0" w:space="0" w:color="auto"/>
          </w:divBdr>
        </w:div>
        <w:div w:id="2080519549">
          <w:marLeft w:val="0"/>
          <w:marRight w:val="0"/>
          <w:marTop w:val="0"/>
          <w:marBottom w:val="0"/>
          <w:divBdr>
            <w:top w:val="none" w:sz="0" w:space="0" w:color="auto"/>
            <w:left w:val="none" w:sz="0" w:space="0" w:color="auto"/>
            <w:bottom w:val="none" w:sz="0" w:space="0" w:color="auto"/>
            <w:right w:val="none" w:sz="0" w:space="0" w:color="auto"/>
          </w:divBdr>
        </w:div>
        <w:div w:id="624850242">
          <w:marLeft w:val="0"/>
          <w:marRight w:val="0"/>
          <w:marTop w:val="0"/>
          <w:marBottom w:val="0"/>
          <w:divBdr>
            <w:top w:val="none" w:sz="0" w:space="0" w:color="auto"/>
            <w:left w:val="none" w:sz="0" w:space="0" w:color="auto"/>
            <w:bottom w:val="none" w:sz="0" w:space="0" w:color="auto"/>
            <w:right w:val="none" w:sz="0" w:space="0" w:color="auto"/>
          </w:divBdr>
        </w:div>
        <w:div w:id="2096976244">
          <w:marLeft w:val="0"/>
          <w:marRight w:val="0"/>
          <w:marTop w:val="0"/>
          <w:marBottom w:val="0"/>
          <w:divBdr>
            <w:top w:val="none" w:sz="0" w:space="0" w:color="auto"/>
            <w:left w:val="none" w:sz="0" w:space="0" w:color="auto"/>
            <w:bottom w:val="none" w:sz="0" w:space="0" w:color="auto"/>
            <w:right w:val="none" w:sz="0" w:space="0" w:color="auto"/>
          </w:divBdr>
        </w:div>
        <w:div w:id="1965574174">
          <w:marLeft w:val="0"/>
          <w:marRight w:val="0"/>
          <w:marTop w:val="0"/>
          <w:marBottom w:val="0"/>
          <w:divBdr>
            <w:top w:val="none" w:sz="0" w:space="0" w:color="auto"/>
            <w:left w:val="none" w:sz="0" w:space="0" w:color="auto"/>
            <w:bottom w:val="none" w:sz="0" w:space="0" w:color="auto"/>
            <w:right w:val="none" w:sz="0" w:space="0" w:color="auto"/>
          </w:divBdr>
        </w:div>
        <w:div w:id="1392967720">
          <w:marLeft w:val="0"/>
          <w:marRight w:val="0"/>
          <w:marTop w:val="0"/>
          <w:marBottom w:val="0"/>
          <w:divBdr>
            <w:top w:val="none" w:sz="0" w:space="0" w:color="auto"/>
            <w:left w:val="none" w:sz="0" w:space="0" w:color="auto"/>
            <w:bottom w:val="none" w:sz="0" w:space="0" w:color="auto"/>
            <w:right w:val="none" w:sz="0" w:space="0" w:color="auto"/>
          </w:divBdr>
        </w:div>
        <w:div w:id="320739321">
          <w:marLeft w:val="0"/>
          <w:marRight w:val="0"/>
          <w:marTop w:val="0"/>
          <w:marBottom w:val="0"/>
          <w:divBdr>
            <w:top w:val="none" w:sz="0" w:space="0" w:color="auto"/>
            <w:left w:val="none" w:sz="0" w:space="0" w:color="auto"/>
            <w:bottom w:val="none" w:sz="0" w:space="0" w:color="auto"/>
            <w:right w:val="none" w:sz="0" w:space="0" w:color="auto"/>
          </w:divBdr>
        </w:div>
        <w:div w:id="764151774">
          <w:marLeft w:val="0"/>
          <w:marRight w:val="0"/>
          <w:marTop w:val="0"/>
          <w:marBottom w:val="0"/>
          <w:divBdr>
            <w:top w:val="none" w:sz="0" w:space="0" w:color="auto"/>
            <w:left w:val="none" w:sz="0" w:space="0" w:color="auto"/>
            <w:bottom w:val="none" w:sz="0" w:space="0" w:color="auto"/>
            <w:right w:val="none" w:sz="0" w:space="0" w:color="auto"/>
          </w:divBdr>
        </w:div>
        <w:div w:id="1713726233">
          <w:marLeft w:val="0"/>
          <w:marRight w:val="0"/>
          <w:marTop w:val="0"/>
          <w:marBottom w:val="0"/>
          <w:divBdr>
            <w:top w:val="none" w:sz="0" w:space="0" w:color="auto"/>
            <w:left w:val="none" w:sz="0" w:space="0" w:color="auto"/>
            <w:bottom w:val="none" w:sz="0" w:space="0" w:color="auto"/>
            <w:right w:val="none" w:sz="0" w:space="0" w:color="auto"/>
          </w:divBdr>
        </w:div>
        <w:div w:id="1378241109">
          <w:marLeft w:val="0"/>
          <w:marRight w:val="0"/>
          <w:marTop w:val="0"/>
          <w:marBottom w:val="0"/>
          <w:divBdr>
            <w:top w:val="none" w:sz="0" w:space="0" w:color="auto"/>
            <w:left w:val="none" w:sz="0" w:space="0" w:color="auto"/>
            <w:bottom w:val="none" w:sz="0" w:space="0" w:color="auto"/>
            <w:right w:val="none" w:sz="0" w:space="0" w:color="auto"/>
          </w:divBdr>
        </w:div>
        <w:div w:id="1157265581">
          <w:marLeft w:val="0"/>
          <w:marRight w:val="0"/>
          <w:marTop w:val="0"/>
          <w:marBottom w:val="0"/>
          <w:divBdr>
            <w:top w:val="none" w:sz="0" w:space="0" w:color="auto"/>
            <w:left w:val="none" w:sz="0" w:space="0" w:color="auto"/>
            <w:bottom w:val="none" w:sz="0" w:space="0" w:color="auto"/>
            <w:right w:val="none" w:sz="0" w:space="0" w:color="auto"/>
          </w:divBdr>
        </w:div>
        <w:div w:id="993533170">
          <w:marLeft w:val="0"/>
          <w:marRight w:val="0"/>
          <w:marTop w:val="0"/>
          <w:marBottom w:val="0"/>
          <w:divBdr>
            <w:top w:val="none" w:sz="0" w:space="0" w:color="auto"/>
            <w:left w:val="none" w:sz="0" w:space="0" w:color="auto"/>
            <w:bottom w:val="none" w:sz="0" w:space="0" w:color="auto"/>
            <w:right w:val="none" w:sz="0" w:space="0" w:color="auto"/>
          </w:divBdr>
        </w:div>
        <w:div w:id="285353038">
          <w:marLeft w:val="0"/>
          <w:marRight w:val="0"/>
          <w:marTop w:val="0"/>
          <w:marBottom w:val="0"/>
          <w:divBdr>
            <w:top w:val="none" w:sz="0" w:space="0" w:color="auto"/>
            <w:left w:val="none" w:sz="0" w:space="0" w:color="auto"/>
            <w:bottom w:val="none" w:sz="0" w:space="0" w:color="auto"/>
            <w:right w:val="none" w:sz="0" w:space="0" w:color="auto"/>
          </w:divBdr>
        </w:div>
        <w:div w:id="1712606700">
          <w:marLeft w:val="0"/>
          <w:marRight w:val="0"/>
          <w:marTop w:val="0"/>
          <w:marBottom w:val="0"/>
          <w:divBdr>
            <w:top w:val="none" w:sz="0" w:space="0" w:color="auto"/>
            <w:left w:val="none" w:sz="0" w:space="0" w:color="auto"/>
            <w:bottom w:val="none" w:sz="0" w:space="0" w:color="auto"/>
            <w:right w:val="none" w:sz="0" w:space="0" w:color="auto"/>
          </w:divBdr>
        </w:div>
        <w:div w:id="29192349">
          <w:marLeft w:val="0"/>
          <w:marRight w:val="0"/>
          <w:marTop w:val="0"/>
          <w:marBottom w:val="0"/>
          <w:divBdr>
            <w:top w:val="none" w:sz="0" w:space="0" w:color="auto"/>
            <w:left w:val="none" w:sz="0" w:space="0" w:color="auto"/>
            <w:bottom w:val="none" w:sz="0" w:space="0" w:color="auto"/>
            <w:right w:val="none" w:sz="0" w:space="0" w:color="auto"/>
          </w:divBdr>
        </w:div>
        <w:div w:id="1903297836">
          <w:marLeft w:val="0"/>
          <w:marRight w:val="0"/>
          <w:marTop w:val="0"/>
          <w:marBottom w:val="0"/>
          <w:divBdr>
            <w:top w:val="none" w:sz="0" w:space="0" w:color="auto"/>
            <w:left w:val="none" w:sz="0" w:space="0" w:color="auto"/>
            <w:bottom w:val="none" w:sz="0" w:space="0" w:color="auto"/>
            <w:right w:val="none" w:sz="0" w:space="0" w:color="auto"/>
          </w:divBdr>
        </w:div>
        <w:div w:id="2093427938">
          <w:marLeft w:val="0"/>
          <w:marRight w:val="0"/>
          <w:marTop w:val="0"/>
          <w:marBottom w:val="0"/>
          <w:divBdr>
            <w:top w:val="none" w:sz="0" w:space="0" w:color="auto"/>
            <w:left w:val="none" w:sz="0" w:space="0" w:color="auto"/>
            <w:bottom w:val="none" w:sz="0" w:space="0" w:color="auto"/>
            <w:right w:val="none" w:sz="0" w:space="0" w:color="auto"/>
          </w:divBdr>
        </w:div>
        <w:div w:id="2089880773">
          <w:marLeft w:val="0"/>
          <w:marRight w:val="0"/>
          <w:marTop w:val="0"/>
          <w:marBottom w:val="0"/>
          <w:divBdr>
            <w:top w:val="none" w:sz="0" w:space="0" w:color="auto"/>
            <w:left w:val="none" w:sz="0" w:space="0" w:color="auto"/>
            <w:bottom w:val="none" w:sz="0" w:space="0" w:color="auto"/>
            <w:right w:val="none" w:sz="0" w:space="0" w:color="auto"/>
          </w:divBdr>
        </w:div>
        <w:div w:id="1760711252">
          <w:marLeft w:val="0"/>
          <w:marRight w:val="0"/>
          <w:marTop w:val="0"/>
          <w:marBottom w:val="0"/>
          <w:divBdr>
            <w:top w:val="none" w:sz="0" w:space="0" w:color="auto"/>
            <w:left w:val="none" w:sz="0" w:space="0" w:color="auto"/>
            <w:bottom w:val="none" w:sz="0" w:space="0" w:color="auto"/>
            <w:right w:val="none" w:sz="0" w:space="0" w:color="auto"/>
          </w:divBdr>
        </w:div>
        <w:div w:id="102120202">
          <w:marLeft w:val="0"/>
          <w:marRight w:val="0"/>
          <w:marTop w:val="0"/>
          <w:marBottom w:val="0"/>
          <w:divBdr>
            <w:top w:val="none" w:sz="0" w:space="0" w:color="auto"/>
            <w:left w:val="none" w:sz="0" w:space="0" w:color="auto"/>
            <w:bottom w:val="none" w:sz="0" w:space="0" w:color="auto"/>
            <w:right w:val="none" w:sz="0" w:space="0" w:color="auto"/>
          </w:divBdr>
        </w:div>
        <w:div w:id="193349532">
          <w:marLeft w:val="0"/>
          <w:marRight w:val="0"/>
          <w:marTop w:val="0"/>
          <w:marBottom w:val="0"/>
          <w:divBdr>
            <w:top w:val="none" w:sz="0" w:space="0" w:color="auto"/>
            <w:left w:val="none" w:sz="0" w:space="0" w:color="auto"/>
            <w:bottom w:val="none" w:sz="0" w:space="0" w:color="auto"/>
            <w:right w:val="none" w:sz="0" w:space="0" w:color="auto"/>
          </w:divBdr>
        </w:div>
        <w:div w:id="1540243342">
          <w:marLeft w:val="0"/>
          <w:marRight w:val="0"/>
          <w:marTop w:val="0"/>
          <w:marBottom w:val="0"/>
          <w:divBdr>
            <w:top w:val="none" w:sz="0" w:space="0" w:color="auto"/>
            <w:left w:val="none" w:sz="0" w:space="0" w:color="auto"/>
            <w:bottom w:val="none" w:sz="0" w:space="0" w:color="auto"/>
            <w:right w:val="none" w:sz="0" w:space="0" w:color="auto"/>
          </w:divBdr>
        </w:div>
        <w:div w:id="979461102">
          <w:marLeft w:val="0"/>
          <w:marRight w:val="0"/>
          <w:marTop w:val="0"/>
          <w:marBottom w:val="0"/>
          <w:divBdr>
            <w:top w:val="none" w:sz="0" w:space="0" w:color="auto"/>
            <w:left w:val="none" w:sz="0" w:space="0" w:color="auto"/>
            <w:bottom w:val="none" w:sz="0" w:space="0" w:color="auto"/>
            <w:right w:val="none" w:sz="0" w:space="0" w:color="auto"/>
          </w:divBdr>
        </w:div>
        <w:div w:id="1258372127">
          <w:marLeft w:val="0"/>
          <w:marRight w:val="0"/>
          <w:marTop w:val="0"/>
          <w:marBottom w:val="0"/>
          <w:divBdr>
            <w:top w:val="none" w:sz="0" w:space="0" w:color="auto"/>
            <w:left w:val="none" w:sz="0" w:space="0" w:color="auto"/>
            <w:bottom w:val="none" w:sz="0" w:space="0" w:color="auto"/>
            <w:right w:val="none" w:sz="0" w:space="0" w:color="auto"/>
          </w:divBdr>
        </w:div>
        <w:div w:id="35392355">
          <w:marLeft w:val="0"/>
          <w:marRight w:val="0"/>
          <w:marTop w:val="0"/>
          <w:marBottom w:val="0"/>
          <w:divBdr>
            <w:top w:val="none" w:sz="0" w:space="0" w:color="auto"/>
            <w:left w:val="none" w:sz="0" w:space="0" w:color="auto"/>
            <w:bottom w:val="none" w:sz="0" w:space="0" w:color="auto"/>
            <w:right w:val="none" w:sz="0" w:space="0" w:color="auto"/>
          </w:divBdr>
        </w:div>
        <w:div w:id="1702507289">
          <w:marLeft w:val="0"/>
          <w:marRight w:val="0"/>
          <w:marTop w:val="0"/>
          <w:marBottom w:val="0"/>
          <w:divBdr>
            <w:top w:val="none" w:sz="0" w:space="0" w:color="auto"/>
            <w:left w:val="none" w:sz="0" w:space="0" w:color="auto"/>
            <w:bottom w:val="none" w:sz="0" w:space="0" w:color="auto"/>
            <w:right w:val="none" w:sz="0" w:space="0" w:color="auto"/>
          </w:divBdr>
        </w:div>
        <w:div w:id="1504542667">
          <w:marLeft w:val="0"/>
          <w:marRight w:val="0"/>
          <w:marTop w:val="0"/>
          <w:marBottom w:val="0"/>
          <w:divBdr>
            <w:top w:val="none" w:sz="0" w:space="0" w:color="auto"/>
            <w:left w:val="none" w:sz="0" w:space="0" w:color="auto"/>
            <w:bottom w:val="none" w:sz="0" w:space="0" w:color="auto"/>
            <w:right w:val="none" w:sz="0" w:space="0" w:color="auto"/>
          </w:divBdr>
        </w:div>
        <w:div w:id="761098919">
          <w:marLeft w:val="0"/>
          <w:marRight w:val="0"/>
          <w:marTop w:val="0"/>
          <w:marBottom w:val="0"/>
          <w:divBdr>
            <w:top w:val="none" w:sz="0" w:space="0" w:color="auto"/>
            <w:left w:val="none" w:sz="0" w:space="0" w:color="auto"/>
            <w:bottom w:val="none" w:sz="0" w:space="0" w:color="auto"/>
            <w:right w:val="none" w:sz="0" w:space="0" w:color="auto"/>
          </w:divBdr>
        </w:div>
        <w:div w:id="188572172">
          <w:marLeft w:val="0"/>
          <w:marRight w:val="0"/>
          <w:marTop w:val="0"/>
          <w:marBottom w:val="0"/>
          <w:divBdr>
            <w:top w:val="none" w:sz="0" w:space="0" w:color="auto"/>
            <w:left w:val="none" w:sz="0" w:space="0" w:color="auto"/>
            <w:bottom w:val="none" w:sz="0" w:space="0" w:color="auto"/>
            <w:right w:val="none" w:sz="0" w:space="0" w:color="auto"/>
          </w:divBdr>
        </w:div>
        <w:div w:id="2121560522">
          <w:marLeft w:val="0"/>
          <w:marRight w:val="0"/>
          <w:marTop w:val="0"/>
          <w:marBottom w:val="0"/>
          <w:divBdr>
            <w:top w:val="none" w:sz="0" w:space="0" w:color="auto"/>
            <w:left w:val="none" w:sz="0" w:space="0" w:color="auto"/>
            <w:bottom w:val="none" w:sz="0" w:space="0" w:color="auto"/>
            <w:right w:val="none" w:sz="0" w:space="0" w:color="auto"/>
          </w:divBdr>
        </w:div>
        <w:div w:id="2138260193">
          <w:marLeft w:val="0"/>
          <w:marRight w:val="0"/>
          <w:marTop w:val="0"/>
          <w:marBottom w:val="0"/>
          <w:divBdr>
            <w:top w:val="none" w:sz="0" w:space="0" w:color="auto"/>
            <w:left w:val="none" w:sz="0" w:space="0" w:color="auto"/>
            <w:bottom w:val="none" w:sz="0" w:space="0" w:color="auto"/>
            <w:right w:val="none" w:sz="0" w:space="0" w:color="auto"/>
          </w:divBdr>
        </w:div>
        <w:div w:id="1311520652">
          <w:marLeft w:val="0"/>
          <w:marRight w:val="0"/>
          <w:marTop w:val="0"/>
          <w:marBottom w:val="0"/>
          <w:divBdr>
            <w:top w:val="none" w:sz="0" w:space="0" w:color="auto"/>
            <w:left w:val="none" w:sz="0" w:space="0" w:color="auto"/>
            <w:bottom w:val="none" w:sz="0" w:space="0" w:color="auto"/>
            <w:right w:val="none" w:sz="0" w:space="0" w:color="auto"/>
          </w:divBdr>
        </w:div>
        <w:div w:id="2120876701">
          <w:marLeft w:val="0"/>
          <w:marRight w:val="0"/>
          <w:marTop w:val="0"/>
          <w:marBottom w:val="0"/>
          <w:divBdr>
            <w:top w:val="none" w:sz="0" w:space="0" w:color="auto"/>
            <w:left w:val="none" w:sz="0" w:space="0" w:color="auto"/>
            <w:bottom w:val="none" w:sz="0" w:space="0" w:color="auto"/>
            <w:right w:val="none" w:sz="0" w:space="0" w:color="auto"/>
          </w:divBdr>
        </w:div>
        <w:div w:id="974674171">
          <w:marLeft w:val="0"/>
          <w:marRight w:val="0"/>
          <w:marTop w:val="0"/>
          <w:marBottom w:val="0"/>
          <w:divBdr>
            <w:top w:val="none" w:sz="0" w:space="0" w:color="auto"/>
            <w:left w:val="none" w:sz="0" w:space="0" w:color="auto"/>
            <w:bottom w:val="none" w:sz="0" w:space="0" w:color="auto"/>
            <w:right w:val="none" w:sz="0" w:space="0" w:color="auto"/>
          </w:divBdr>
        </w:div>
        <w:div w:id="719013523">
          <w:marLeft w:val="0"/>
          <w:marRight w:val="0"/>
          <w:marTop w:val="0"/>
          <w:marBottom w:val="0"/>
          <w:divBdr>
            <w:top w:val="none" w:sz="0" w:space="0" w:color="auto"/>
            <w:left w:val="none" w:sz="0" w:space="0" w:color="auto"/>
            <w:bottom w:val="none" w:sz="0" w:space="0" w:color="auto"/>
            <w:right w:val="none" w:sz="0" w:space="0" w:color="auto"/>
          </w:divBdr>
        </w:div>
        <w:div w:id="343747514">
          <w:marLeft w:val="0"/>
          <w:marRight w:val="0"/>
          <w:marTop w:val="0"/>
          <w:marBottom w:val="0"/>
          <w:divBdr>
            <w:top w:val="none" w:sz="0" w:space="0" w:color="auto"/>
            <w:left w:val="none" w:sz="0" w:space="0" w:color="auto"/>
            <w:bottom w:val="none" w:sz="0" w:space="0" w:color="auto"/>
            <w:right w:val="none" w:sz="0" w:space="0" w:color="auto"/>
          </w:divBdr>
        </w:div>
        <w:div w:id="113210479">
          <w:marLeft w:val="0"/>
          <w:marRight w:val="0"/>
          <w:marTop w:val="0"/>
          <w:marBottom w:val="0"/>
          <w:divBdr>
            <w:top w:val="none" w:sz="0" w:space="0" w:color="auto"/>
            <w:left w:val="none" w:sz="0" w:space="0" w:color="auto"/>
            <w:bottom w:val="none" w:sz="0" w:space="0" w:color="auto"/>
            <w:right w:val="none" w:sz="0" w:space="0" w:color="auto"/>
          </w:divBdr>
        </w:div>
        <w:div w:id="1928003881">
          <w:marLeft w:val="0"/>
          <w:marRight w:val="0"/>
          <w:marTop w:val="0"/>
          <w:marBottom w:val="0"/>
          <w:divBdr>
            <w:top w:val="none" w:sz="0" w:space="0" w:color="auto"/>
            <w:left w:val="none" w:sz="0" w:space="0" w:color="auto"/>
            <w:bottom w:val="none" w:sz="0" w:space="0" w:color="auto"/>
            <w:right w:val="none" w:sz="0" w:space="0" w:color="auto"/>
          </w:divBdr>
        </w:div>
        <w:div w:id="2118408904">
          <w:marLeft w:val="0"/>
          <w:marRight w:val="0"/>
          <w:marTop w:val="0"/>
          <w:marBottom w:val="0"/>
          <w:divBdr>
            <w:top w:val="none" w:sz="0" w:space="0" w:color="auto"/>
            <w:left w:val="none" w:sz="0" w:space="0" w:color="auto"/>
            <w:bottom w:val="none" w:sz="0" w:space="0" w:color="auto"/>
            <w:right w:val="none" w:sz="0" w:space="0" w:color="auto"/>
          </w:divBdr>
        </w:div>
        <w:div w:id="1198086843">
          <w:marLeft w:val="0"/>
          <w:marRight w:val="0"/>
          <w:marTop w:val="0"/>
          <w:marBottom w:val="0"/>
          <w:divBdr>
            <w:top w:val="none" w:sz="0" w:space="0" w:color="auto"/>
            <w:left w:val="none" w:sz="0" w:space="0" w:color="auto"/>
            <w:bottom w:val="none" w:sz="0" w:space="0" w:color="auto"/>
            <w:right w:val="none" w:sz="0" w:space="0" w:color="auto"/>
          </w:divBdr>
        </w:div>
        <w:div w:id="1254053647">
          <w:marLeft w:val="0"/>
          <w:marRight w:val="0"/>
          <w:marTop w:val="0"/>
          <w:marBottom w:val="0"/>
          <w:divBdr>
            <w:top w:val="none" w:sz="0" w:space="0" w:color="auto"/>
            <w:left w:val="none" w:sz="0" w:space="0" w:color="auto"/>
            <w:bottom w:val="none" w:sz="0" w:space="0" w:color="auto"/>
            <w:right w:val="none" w:sz="0" w:space="0" w:color="auto"/>
          </w:divBdr>
        </w:div>
        <w:div w:id="2035375084">
          <w:marLeft w:val="0"/>
          <w:marRight w:val="0"/>
          <w:marTop w:val="0"/>
          <w:marBottom w:val="0"/>
          <w:divBdr>
            <w:top w:val="none" w:sz="0" w:space="0" w:color="auto"/>
            <w:left w:val="none" w:sz="0" w:space="0" w:color="auto"/>
            <w:bottom w:val="none" w:sz="0" w:space="0" w:color="auto"/>
            <w:right w:val="none" w:sz="0" w:space="0" w:color="auto"/>
          </w:divBdr>
        </w:div>
        <w:div w:id="288782080">
          <w:marLeft w:val="0"/>
          <w:marRight w:val="0"/>
          <w:marTop w:val="0"/>
          <w:marBottom w:val="0"/>
          <w:divBdr>
            <w:top w:val="none" w:sz="0" w:space="0" w:color="auto"/>
            <w:left w:val="none" w:sz="0" w:space="0" w:color="auto"/>
            <w:bottom w:val="none" w:sz="0" w:space="0" w:color="auto"/>
            <w:right w:val="none" w:sz="0" w:space="0" w:color="auto"/>
          </w:divBdr>
        </w:div>
        <w:div w:id="1595818437">
          <w:marLeft w:val="0"/>
          <w:marRight w:val="0"/>
          <w:marTop w:val="0"/>
          <w:marBottom w:val="0"/>
          <w:divBdr>
            <w:top w:val="none" w:sz="0" w:space="0" w:color="auto"/>
            <w:left w:val="none" w:sz="0" w:space="0" w:color="auto"/>
            <w:bottom w:val="none" w:sz="0" w:space="0" w:color="auto"/>
            <w:right w:val="none" w:sz="0" w:space="0" w:color="auto"/>
          </w:divBdr>
        </w:div>
        <w:div w:id="1144080100">
          <w:marLeft w:val="0"/>
          <w:marRight w:val="0"/>
          <w:marTop w:val="0"/>
          <w:marBottom w:val="0"/>
          <w:divBdr>
            <w:top w:val="none" w:sz="0" w:space="0" w:color="auto"/>
            <w:left w:val="none" w:sz="0" w:space="0" w:color="auto"/>
            <w:bottom w:val="none" w:sz="0" w:space="0" w:color="auto"/>
            <w:right w:val="none" w:sz="0" w:space="0" w:color="auto"/>
          </w:divBdr>
        </w:div>
        <w:div w:id="674921313">
          <w:marLeft w:val="0"/>
          <w:marRight w:val="0"/>
          <w:marTop w:val="0"/>
          <w:marBottom w:val="0"/>
          <w:divBdr>
            <w:top w:val="none" w:sz="0" w:space="0" w:color="auto"/>
            <w:left w:val="none" w:sz="0" w:space="0" w:color="auto"/>
            <w:bottom w:val="none" w:sz="0" w:space="0" w:color="auto"/>
            <w:right w:val="none" w:sz="0" w:space="0" w:color="auto"/>
          </w:divBdr>
        </w:div>
        <w:div w:id="1793478649">
          <w:marLeft w:val="0"/>
          <w:marRight w:val="0"/>
          <w:marTop w:val="0"/>
          <w:marBottom w:val="0"/>
          <w:divBdr>
            <w:top w:val="none" w:sz="0" w:space="0" w:color="auto"/>
            <w:left w:val="none" w:sz="0" w:space="0" w:color="auto"/>
            <w:bottom w:val="none" w:sz="0" w:space="0" w:color="auto"/>
            <w:right w:val="none" w:sz="0" w:space="0" w:color="auto"/>
          </w:divBdr>
        </w:div>
        <w:div w:id="448209918">
          <w:marLeft w:val="0"/>
          <w:marRight w:val="0"/>
          <w:marTop w:val="0"/>
          <w:marBottom w:val="0"/>
          <w:divBdr>
            <w:top w:val="none" w:sz="0" w:space="0" w:color="auto"/>
            <w:left w:val="none" w:sz="0" w:space="0" w:color="auto"/>
            <w:bottom w:val="none" w:sz="0" w:space="0" w:color="auto"/>
            <w:right w:val="none" w:sz="0" w:space="0" w:color="auto"/>
          </w:divBdr>
        </w:div>
        <w:div w:id="1742211028">
          <w:marLeft w:val="0"/>
          <w:marRight w:val="0"/>
          <w:marTop w:val="0"/>
          <w:marBottom w:val="0"/>
          <w:divBdr>
            <w:top w:val="none" w:sz="0" w:space="0" w:color="auto"/>
            <w:left w:val="none" w:sz="0" w:space="0" w:color="auto"/>
            <w:bottom w:val="none" w:sz="0" w:space="0" w:color="auto"/>
            <w:right w:val="none" w:sz="0" w:space="0" w:color="auto"/>
          </w:divBdr>
        </w:div>
        <w:div w:id="1437750755">
          <w:marLeft w:val="0"/>
          <w:marRight w:val="0"/>
          <w:marTop w:val="0"/>
          <w:marBottom w:val="0"/>
          <w:divBdr>
            <w:top w:val="none" w:sz="0" w:space="0" w:color="auto"/>
            <w:left w:val="none" w:sz="0" w:space="0" w:color="auto"/>
            <w:bottom w:val="none" w:sz="0" w:space="0" w:color="auto"/>
            <w:right w:val="none" w:sz="0" w:space="0" w:color="auto"/>
          </w:divBdr>
        </w:div>
        <w:div w:id="330958487">
          <w:marLeft w:val="0"/>
          <w:marRight w:val="0"/>
          <w:marTop w:val="0"/>
          <w:marBottom w:val="0"/>
          <w:divBdr>
            <w:top w:val="none" w:sz="0" w:space="0" w:color="auto"/>
            <w:left w:val="none" w:sz="0" w:space="0" w:color="auto"/>
            <w:bottom w:val="none" w:sz="0" w:space="0" w:color="auto"/>
            <w:right w:val="none" w:sz="0" w:space="0" w:color="auto"/>
          </w:divBdr>
        </w:div>
        <w:div w:id="1297107177">
          <w:marLeft w:val="0"/>
          <w:marRight w:val="0"/>
          <w:marTop w:val="0"/>
          <w:marBottom w:val="0"/>
          <w:divBdr>
            <w:top w:val="none" w:sz="0" w:space="0" w:color="auto"/>
            <w:left w:val="none" w:sz="0" w:space="0" w:color="auto"/>
            <w:bottom w:val="none" w:sz="0" w:space="0" w:color="auto"/>
            <w:right w:val="none" w:sz="0" w:space="0" w:color="auto"/>
          </w:divBdr>
        </w:div>
        <w:div w:id="694695180">
          <w:marLeft w:val="0"/>
          <w:marRight w:val="0"/>
          <w:marTop w:val="0"/>
          <w:marBottom w:val="0"/>
          <w:divBdr>
            <w:top w:val="none" w:sz="0" w:space="0" w:color="auto"/>
            <w:left w:val="none" w:sz="0" w:space="0" w:color="auto"/>
            <w:bottom w:val="none" w:sz="0" w:space="0" w:color="auto"/>
            <w:right w:val="none" w:sz="0" w:space="0" w:color="auto"/>
          </w:divBdr>
        </w:div>
        <w:div w:id="421415838">
          <w:marLeft w:val="0"/>
          <w:marRight w:val="0"/>
          <w:marTop w:val="0"/>
          <w:marBottom w:val="0"/>
          <w:divBdr>
            <w:top w:val="none" w:sz="0" w:space="0" w:color="auto"/>
            <w:left w:val="none" w:sz="0" w:space="0" w:color="auto"/>
            <w:bottom w:val="none" w:sz="0" w:space="0" w:color="auto"/>
            <w:right w:val="none" w:sz="0" w:space="0" w:color="auto"/>
          </w:divBdr>
        </w:div>
        <w:div w:id="2011567327">
          <w:marLeft w:val="0"/>
          <w:marRight w:val="0"/>
          <w:marTop w:val="0"/>
          <w:marBottom w:val="0"/>
          <w:divBdr>
            <w:top w:val="none" w:sz="0" w:space="0" w:color="auto"/>
            <w:left w:val="none" w:sz="0" w:space="0" w:color="auto"/>
            <w:bottom w:val="none" w:sz="0" w:space="0" w:color="auto"/>
            <w:right w:val="none" w:sz="0" w:space="0" w:color="auto"/>
          </w:divBdr>
        </w:div>
        <w:div w:id="820315383">
          <w:marLeft w:val="0"/>
          <w:marRight w:val="0"/>
          <w:marTop w:val="0"/>
          <w:marBottom w:val="0"/>
          <w:divBdr>
            <w:top w:val="none" w:sz="0" w:space="0" w:color="auto"/>
            <w:left w:val="none" w:sz="0" w:space="0" w:color="auto"/>
            <w:bottom w:val="none" w:sz="0" w:space="0" w:color="auto"/>
            <w:right w:val="none" w:sz="0" w:space="0" w:color="auto"/>
          </w:divBdr>
        </w:div>
        <w:div w:id="230504574">
          <w:marLeft w:val="0"/>
          <w:marRight w:val="0"/>
          <w:marTop w:val="0"/>
          <w:marBottom w:val="0"/>
          <w:divBdr>
            <w:top w:val="none" w:sz="0" w:space="0" w:color="auto"/>
            <w:left w:val="none" w:sz="0" w:space="0" w:color="auto"/>
            <w:bottom w:val="none" w:sz="0" w:space="0" w:color="auto"/>
            <w:right w:val="none" w:sz="0" w:space="0" w:color="auto"/>
          </w:divBdr>
        </w:div>
        <w:div w:id="1630818555">
          <w:marLeft w:val="0"/>
          <w:marRight w:val="0"/>
          <w:marTop w:val="0"/>
          <w:marBottom w:val="0"/>
          <w:divBdr>
            <w:top w:val="none" w:sz="0" w:space="0" w:color="auto"/>
            <w:left w:val="none" w:sz="0" w:space="0" w:color="auto"/>
            <w:bottom w:val="none" w:sz="0" w:space="0" w:color="auto"/>
            <w:right w:val="none" w:sz="0" w:space="0" w:color="auto"/>
          </w:divBdr>
        </w:div>
        <w:div w:id="1123305474">
          <w:marLeft w:val="0"/>
          <w:marRight w:val="0"/>
          <w:marTop w:val="0"/>
          <w:marBottom w:val="0"/>
          <w:divBdr>
            <w:top w:val="none" w:sz="0" w:space="0" w:color="auto"/>
            <w:left w:val="none" w:sz="0" w:space="0" w:color="auto"/>
            <w:bottom w:val="none" w:sz="0" w:space="0" w:color="auto"/>
            <w:right w:val="none" w:sz="0" w:space="0" w:color="auto"/>
          </w:divBdr>
        </w:div>
        <w:div w:id="499347374">
          <w:marLeft w:val="0"/>
          <w:marRight w:val="0"/>
          <w:marTop w:val="0"/>
          <w:marBottom w:val="0"/>
          <w:divBdr>
            <w:top w:val="none" w:sz="0" w:space="0" w:color="auto"/>
            <w:left w:val="none" w:sz="0" w:space="0" w:color="auto"/>
            <w:bottom w:val="none" w:sz="0" w:space="0" w:color="auto"/>
            <w:right w:val="none" w:sz="0" w:space="0" w:color="auto"/>
          </w:divBdr>
        </w:div>
        <w:div w:id="152644730">
          <w:marLeft w:val="0"/>
          <w:marRight w:val="0"/>
          <w:marTop w:val="0"/>
          <w:marBottom w:val="0"/>
          <w:divBdr>
            <w:top w:val="none" w:sz="0" w:space="0" w:color="auto"/>
            <w:left w:val="none" w:sz="0" w:space="0" w:color="auto"/>
            <w:bottom w:val="none" w:sz="0" w:space="0" w:color="auto"/>
            <w:right w:val="none" w:sz="0" w:space="0" w:color="auto"/>
          </w:divBdr>
        </w:div>
        <w:div w:id="1546066189">
          <w:marLeft w:val="0"/>
          <w:marRight w:val="0"/>
          <w:marTop w:val="0"/>
          <w:marBottom w:val="0"/>
          <w:divBdr>
            <w:top w:val="none" w:sz="0" w:space="0" w:color="auto"/>
            <w:left w:val="none" w:sz="0" w:space="0" w:color="auto"/>
            <w:bottom w:val="none" w:sz="0" w:space="0" w:color="auto"/>
            <w:right w:val="none" w:sz="0" w:space="0" w:color="auto"/>
          </w:divBdr>
        </w:div>
        <w:div w:id="329911394">
          <w:marLeft w:val="0"/>
          <w:marRight w:val="0"/>
          <w:marTop w:val="0"/>
          <w:marBottom w:val="0"/>
          <w:divBdr>
            <w:top w:val="none" w:sz="0" w:space="0" w:color="auto"/>
            <w:left w:val="none" w:sz="0" w:space="0" w:color="auto"/>
            <w:bottom w:val="none" w:sz="0" w:space="0" w:color="auto"/>
            <w:right w:val="none" w:sz="0" w:space="0" w:color="auto"/>
          </w:divBdr>
        </w:div>
        <w:div w:id="96340311">
          <w:marLeft w:val="0"/>
          <w:marRight w:val="0"/>
          <w:marTop w:val="0"/>
          <w:marBottom w:val="0"/>
          <w:divBdr>
            <w:top w:val="none" w:sz="0" w:space="0" w:color="auto"/>
            <w:left w:val="none" w:sz="0" w:space="0" w:color="auto"/>
            <w:bottom w:val="none" w:sz="0" w:space="0" w:color="auto"/>
            <w:right w:val="none" w:sz="0" w:space="0" w:color="auto"/>
          </w:divBdr>
        </w:div>
        <w:div w:id="1365062625">
          <w:marLeft w:val="0"/>
          <w:marRight w:val="0"/>
          <w:marTop w:val="0"/>
          <w:marBottom w:val="0"/>
          <w:divBdr>
            <w:top w:val="none" w:sz="0" w:space="0" w:color="auto"/>
            <w:left w:val="none" w:sz="0" w:space="0" w:color="auto"/>
            <w:bottom w:val="none" w:sz="0" w:space="0" w:color="auto"/>
            <w:right w:val="none" w:sz="0" w:space="0" w:color="auto"/>
          </w:divBdr>
        </w:div>
        <w:div w:id="1185480926">
          <w:marLeft w:val="0"/>
          <w:marRight w:val="0"/>
          <w:marTop w:val="0"/>
          <w:marBottom w:val="0"/>
          <w:divBdr>
            <w:top w:val="none" w:sz="0" w:space="0" w:color="auto"/>
            <w:left w:val="none" w:sz="0" w:space="0" w:color="auto"/>
            <w:bottom w:val="none" w:sz="0" w:space="0" w:color="auto"/>
            <w:right w:val="none" w:sz="0" w:space="0" w:color="auto"/>
          </w:divBdr>
        </w:div>
        <w:div w:id="1314867425">
          <w:marLeft w:val="0"/>
          <w:marRight w:val="0"/>
          <w:marTop w:val="0"/>
          <w:marBottom w:val="0"/>
          <w:divBdr>
            <w:top w:val="none" w:sz="0" w:space="0" w:color="auto"/>
            <w:left w:val="none" w:sz="0" w:space="0" w:color="auto"/>
            <w:bottom w:val="none" w:sz="0" w:space="0" w:color="auto"/>
            <w:right w:val="none" w:sz="0" w:space="0" w:color="auto"/>
          </w:divBdr>
        </w:div>
        <w:div w:id="2075538891">
          <w:marLeft w:val="0"/>
          <w:marRight w:val="0"/>
          <w:marTop w:val="0"/>
          <w:marBottom w:val="0"/>
          <w:divBdr>
            <w:top w:val="none" w:sz="0" w:space="0" w:color="auto"/>
            <w:left w:val="none" w:sz="0" w:space="0" w:color="auto"/>
            <w:bottom w:val="none" w:sz="0" w:space="0" w:color="auto"/>
            <w:right w:val="none" w:sz="0" w:space="0" w:color="auto"/>
          </w:divBdr>
        </w:div>
        <w:div w:id="1420180890">
          <w:marLeft w:val="0"/>
          <w:marRight w:val="0"/>
          <w:marTop w:val="0"/>
          <w:marBottom w:val="0"/>
          <w:divBdr>
            <w:top w:val="none" w:sz="0" w:space="0" w:color="auto"/>
            <w:left w:val="none" w:sz="0" w:space="0" w:color="auto"/>
            <w:bottom w:val="none" w:sz="0" w:space="0" w:color="auto"/>
            <w:right w:val="none" w:sz="0" w:space="0" w:color="auto"/>
          </w:divBdr>
        </w:div>
        <w:div w:id="1339698625">
          <w:marLeft w:val="0"/>
          <w:marRight w:val="0"/>
          <w:marTop w:val="0"/>
          <w:marBottom w:val="0"/>
          <w:divBdr>
            <w:top w:val="none" w:sz="0" w:space="0" w:color="auto"/>
            <w:left w:val="none" w:sz="0" w:space="0" w:color="auto"/>
            <w:bottom w:val="none" w:sz="0" w:space="0" w:color="auto"/>
            <w:right w:val="none" w:sz="0" w:space="0" w:color="auto"/>
          </w:divBdr>
        </w:div>
        <w:div w:id="1742483538">
          <w:marLeft w:val="0"/>
          <w:marRight w:val="0"/>
          <w:marTop w:val="0"/>
          <w:marBottom w:val="0"/>
          <w:divBdr>
            <w:top w:val="none" w:sz="0" w:space="0" w:color="auto"/>
            <w:left w:val="none" w:sz="0" w:space="0" w:color="auto"/>
            <w:bottom w:val="none" w:sz="0" w:space="0" w:color="auto"/>
            <w:right w:val="none" w:sz="0" w:space="0" w:color="auto"/>
          </w:divBdr>
        </w:div>
        <w:div w:id="1511413827">
          <w:marLeft w:val="0"/>
          <w:marRight w:val="0"/>
          <w:marTop w:val="0"/>
          <w:marBottom w:val="0"/>
          <w:divBdr>
            <w:top w:val="none" w:sz="0" w:space="0" w:color="auto"/>
            <w:left w:val="none" w:sz="0" w:space="0" w:color="auto"/>
            <w:bottom w:val="none" w:sz="0" w:space="0" w:color="auto"/>
            <w:right w:val="none" w:sz="0" w:space="0" w:color="auto"/>
          </w:divBdr>
        </w:div>
        <w:div w:id="819269027">
          <w:marLeft w:val="0"/>
          <w:marRight w:val="0"/>
          <w:marTop w:val="0"/>
          <w:marBottom w:val="0"/>
          <w:divBdr>
            <w:top w:val="none" w:sz="0" w:space="0" w:color="auto"/>
            <w:left w:val="none" w:sz="0" w:space="0" w:color="auto"/>
            <w:bottom w:val="none" w:sz="0" w:space="0" w:color="auto"/>
            <w:right w:val="none" w:sz="0" w:space="0" w:color="auto"/>
          </w:divBdr>
        </w:div>
        <w:div w:id="959843475">
          <w:marLeft w:val="0"/>
          <w:marRight w:val="0"/>
          <w:marTop w:val="0"/>
          <w:marBottom w:val="0"/>
          <w:divBdr>
            <w:top w:val="none" w:sz="0" w:space="0" w:color="auto"/>
            <w:left w:val="none" w:sz="0" w:space="0" w:color="auto"/>
            <w:bottom w:val="none" w:sz="0" w:space="0" w:color="auto"/>
            <w:right w:val="none" w:sz="0" w:space="0" w:color="auto"/>
          </w:divBdr>
        </w:div>
        <w:div w:id="1609703811">
          <w:marLeft w:val="0"/>
          <w:marRight w:val="0"/>
          <w:marTop w:val="0"/>
          <w:marBottom w:val="0"/>
          <w:divBdr>
            <w:top w:val="none" w:sz="0" w:space="0" w:color="auto"/>
            <w:left w:val="none" w:sz="0" w:space="0" w:color="auto"/>
            <w:bottom w:val="none" w:sz="0" w:space="0" w:color="auto"/>
            <w:right w:val="none" w:sz="0" w:space="0" w:color="auto"/>
          </w:divBdr>
        </w:div>
        <w:div w:id="823667747">
          <w:marLeft w:val="0"/>
          <w:marRight w:val="0"/>
          <w:marTop w:val="0"/>
          <w:marBottom w:val="0"/>
          <w:divBdr>
            <w:top w:val="none" w:sz="0" w:space="0" w:color="auto"/>
            <w:left w:val="none" w:sz="0" w:space="0" w:color="auto"/>
            <w:bottom w:val="none" w:sz="0" w:space="0" w:color="auto"/>
            <w:right w:val="none" w:sz="0" w:space="0" w:color="auto"/>
          </w:divBdr>
        </w:div>
        <w:div w:id="1367755249">
          <w:marLeft w:val="0"/>
          <w:marRight w:val="0"/>
          <w:marTop w:val="0"/>
          <w:marBottom w:val="0"/>
          <w:divBdr>
            <w:top w:val="none" w:sz="0" w:space="0" w:color="auto"/>
            <w:left w:val="none" w:sz="0" w:space="0" w:color="auto"/>
            <w:bottom w:val="none" w:sz="0" w:space="0" w:color="auto"/>
            <w:right w:val="none" w:sz="0" w:space="0" w:color="auto"/>
          </w:divBdr>
        </w:div>
        <w:div w:id="1361471347">
          <w:marLeft w:val="0"/>
          <w:marRight w:val="0"/>
          <w:marTop w:val="0"/>
          <w:marBottom w:val="0"/>
          <w:divBdr>
            <w:top w:val="none" w:sz="0" w:space="0" w:color="auto"/>
            <w:left w:val="none" w:sz="0" w:space="0" w:color="auto"/>
            <w:bottom w:val="none" w:sz="0" w:space="0" w:color="auto"/>
            <w:right w:val="none" w:sz="0" w:space="0" w:color="auto"/>
          </w:divBdr>
        </w:div>
        <w:div w:id="1059979534">
          <w:marLeft w:val="0"/>
          <w:marRight w:val="0"/>
          <w:marTop w:val="0"/>
          <w:marBottom w:val="0"/>
          <w:divBdr>
            <w:top w:val="none" w:sz="0" w:space="0" w:color="auto"/>
            <w:left w:val="none" w:sz="0" w:space="0" w:color="auto"/>
            <w:bottom w:val="none" w:sz="0" w:space="0" w:color="auto"/>
            <w:right w:val="none" w:sz="0" w:space="0" w:color="auto"/>
          </w:divBdr>
        </w:div>
        <w:div w:id="2096970051">
          <w:marLeft w:val="0"/>
          <w:marRight w:val="0"/>
          <w:marTop w:val="0"/>
          <w:marBottom w:val="0"/>
          <w:divBdr>
            <w:top w:val="none" w:sz="0" w:space="0" w:color="auto"/>
            <w:left w:val="none" w:sz="0" w:space="0" w:color="auto"/>
            <w:bottom w:val="none" w:sz="0" w:space="0" w:color="auto"/>
            <w:right w:val="none" w:sz="0" w:space="0" w:color="auto"/>
          </w:divBdr>
        </w:div>
        <w:div w:id="1666743540">
          <w:marLeft w:val="0"/>
          <w:marRight w:val="0"/>
          <w:marTop w:val="0"/>
          <w:marBottom w:val="0"/>
          <w:divBdr>
            <w:top w:val="none" w:sz="0" w:space="0" w:color="auto"/>
            <w:left w:val="none" w:sz="0" w:space="0" w:color="auto"/>
            <w:bottom w:val="none" w:sz="0" w:space="0" w:color="auto"/>
            <w:right w:val="none" w:sz="0" w:space="0" w:color="auto"/>
          </w:divBdr>
        </w:div>
        <w:div w:id="1082411352">
          <w:marLeft w:val="0"/>
          <w:marRight w:val="0"/>
          <w:marTop w:val="0"/>
          <w:marBottom w:val="0"/>
          <w:divBdr>
            <w:top w:val="none" w:sz="0" w:space="0" w:color="auto"/>
            <w:left w:val="none" w:sz="0" w:space="0" w:color="auto"/>
            <w:bottom w:val="none" w:sz="0" w:space="0" w:color="auto"/>
            <w:right w:val="none" w:sz="0" w:space="0" w:color="auto"/>
          </w:divBdr>
        </w:div>
        <w:div w:id="1255474014">
          <w:marLeft w:val="0"/>
          <w:marRight w:val="0"/>
          <w:marTop w:val="0"/>
          <w:marBottom w:val="0"/>
          <w:divBdr>
            <w:top w:val="none" w:sz="0" w:space="0" w:color="auto"/>
            <w:left w:val="none" w:sz="0" w:space="0" w:color="auto"/>
            <w:bottom w:val="none" w:sz="0" w:space="0" w:color="auto"/>
            <w:right w:val="none" w:sz="0" w:space="0" w:color="auto"/>
          </w:divBdr>
        </w:div>
        <w:div w:id="984550723">
          <w:marLeft w:val="0"/>
          <w:marRight w:val="0"/>
          <w:marTop w:val="0"/>
          <w:marBottom w:val="0"/>
          <w:divBdr>
            <w:top w:val="none" w:sz="0" w:space="0" w:color="auto"/>
            <w:left w:val="none" w:sz="0" w:space="0" w:color="auto"/>
            <w:bottom w:val="none" w:sz="0" w:space="0" w:color="auto"/>
            <w:right w:val="none" w:sz="0" w:space="0" w:color="auto"/>
          </w:divBdr>
        </w:div>
        <w:div w:id="1386222056">
          <w:marLeft w:val="0"/>
          <w:marRight w:val="0"/>
          <w:marTop w:val="0"/>
          <w:marBottom w:val="0"/>
          <w:divBdr>
            <w:top w:val="none" w:sz="0" w:space="0" w:color="auto"/>
            <w:left w:val="none" w:sz="0" w:space="0" w:color="auto"/>
            <w:bottom w:val="none" w:sz="0" w:space="0" w:color="auto"/>
            <w:right w:val="none" w:sz="0" w:space="0" w:color="auto"/>
          </w:divBdr>
        </w:div>
        <w:div w:id="2131241207">
          <w:marLeft w:val="0"/>
          <w:marRight w:val="0"/>
          <w:marTop w:val="0"/>
          <w:marBottom w:val="0"/>
          <w:divBdr>
            <w:top w:val="none" w:sz="0" w:space="0" w:color="auto"/>
            <w:left w:val="none" w:sz="0" w:space="0" w:color="auto"/>
            <w:bottom w:val="none" w:sz="0" w:space="0" w:color="auto"/>
            <w:right w:val="none" w:sz="0" w:space="0" w:color="auto"/>
          </w:divBdr>
        </w:div>
        <w:div w:id="317345889">
          <w:marLeft w:val="0"/>
          <w:marRight w:val="0"/>
          <w:marTop w:val="0"/>
          <w:marBottom w:val="0"/>
          <w:divBdr>
            <w:top w:val="none" w:sz="0" w:space="0" w:color="auto"/>
            <w:left w:val="none" w:sz="0" w:space="0" w:color="auto"/>
            <w:bottom w:val="none" w:sz="0" w:space="0" w:color="auto"/>
            <w:right w:val="none" w:sz="0" w:space="0" w:color="auto"/>
          </w:divBdr>
        </w:div>
        <w:div w:id="774863136">
          <w:marLeft w:val="0"/>
          <w:marRight w:val="0"/>
          <w:marTop w:val="0"/>
          <w:marBottom w:val="0"/>
          <w:divBdr>
            <w:top w:val="none" w:sz="0" w:space="0" w:color="auto"/>
            <w:left w:val="none" w:sz="0" w:space="0" w:color="auto"/>
            <w:bottom w:val="none" w:sz="0" w:space="0" w:color="auto"/>
            <w:right w:val="none" w:sz="0" w:space="0" w:color="auto"/>
          </w:divBdr>
        </w:div>
        <w:div w:id="2045598371">
          <w:marLeft w:val="0"/>
          <w:marRight w:val="0"/>
          <w:marTop w:val="0"/>
          <w:marBottom w:val="0"/>
          <w:divBdr>
            <w:top w:val="none" w:sz="0" w:space="0" w:color="auto"/>
            <w:left w:val="none" w:sz="0" w:space="0" w:color="auto"/>
            <w:bottom w:val="none" w:sz="0" w:space="0" w:color="auto"/>
            <w:right w:val="none" w:sz="0" w:space="0" w:color="auto"/>
          </w:divBdr>
        </w:div>
        <w:div w:id="870730755">
          <w:marLeft w:val="0"/>
          <w:marRight w:val="0"/>
          <w:marTop w:val="0"/>
          <w:marBottom w:val="0"/>
          <w:divBdr>
            <w:top w:val="none" w:sz="0" w:space="0" w:color="auto"/>
            <w:left w:val="none" w:sz="0" w:space="0" w:color="auto"/>
            <w:bottom w:val="none" w:sz="0" w:space="0" w:color="auto"/>
            <w:right w:val="none" w:sz="0" w:space="0" w:color="auto"/>
          </w:divBdr>
        </w:div>
        <w:div w:id="846870606">
          <w:marLeft w:val="0"/>
          <w:marRight w:val="0"/>
          <w:marTop w:val="0"/>
          <w:marBottom w:val="0"/>
          <w:divBdr>
            <w:top w:val="none" w:sz="0" w:space="0" w:color="auto"/>
            <w:left w:val="none" w:sz="0" w:space="0" w:color="auto"/>
            <w:bottom w:val="none" w:sz="0" w:space="0" w:color="auto"/>
            <w:right w:val="none" w:sz="0" w:space="0" w:color="auto"/>
          </w:divBdr>
        </w:div>
        <w:div w:id="373118647">
          <w:marLeft w:val="0"/>
          <w:marRight w:val="0"/>
          <w:marTop w:val="0"/>
          <w:marBottom w:val="0"/>
          <w:divBdr>
            <w:top w:val="none" w:sz="0" w:space="0" w:color="auto"/>
            <w:left w:val="none" w:sz="0" w:space="0" w:color="auto"/>
            <w:bottom w:val="none" w:sz="0" w:space="0" w:color="auto"/>
            <w:right w:val="none" w:sz="0" w:space="0" w:color="auto"/>
          </w:divBdr>
        </w:div>
        <w:div w:id="1273125830">
          <w:marLeft w:val="0"/>
          <w:marRight w:val="0"/>
          <w:marTop w:val="0"/>
          <w:marBottom w:val="0"/>
          <w:divBdr>
            <w:top w:val="none" w:sz="0" w:space="0" w:color="auto"/>
            <w:left w:val="none" w:sz="0" w:space="0" w:color="auto"/>
            <w:bottom w:val="none" w:sz="0" w:space="0" w:color="auto"/>
            <w:right w:val="none" w:sz="0" w:space="0" w:color="auto"/>
          </w:divBdr>
        </w:div>
        <w:div w:id="1630280575">
          <w:marLeft w:val="0"/>
          <w:marRight w:val="0"/>
          <w:marTop w:val="0"/>
          <w:marBottom w:val="0"/>
          <w:divBdr>
            <w:top w:val="none" w:sz="0" w:space="0" w:color="auto"/>
            <w:left w:val="none" w:sz="0" w:space="0" w:color="auto"/>
            <w:bottom w:val="none" w:sz="0" w:space="0" w:color="auto"/>
            <w:right w:val="none" w:sz="0" w:space="0" w:color="auto"/>
          </w:divBdr>
        </w:div>
        <w:div w:id="2032140827">
          <w:marLeft w:val="0"/>
          <w:marRight w:val="0"/>
          <w:marTop w:val="0"/>
          <w:marBottom w:val="0"/>
          <w:divBdr>
            <w:top w:val="none" w:sz="0" w:space="0" w:color="auto"/>
            <w:left w:val="none" w:sz="0" w:space="0" w:color="auto"/>
            <w:bottom w:val="none" w:sz="0" w:space="0" w:color="auto"/>
            <w:right w:val="none" w:sz="0" w:space="0" w:color="auto"/>
          </w:divBdr>
        </w:div>
        <w:div w:id="1474524660">
          <w:marLeft w:val="0"/>
          <w:marRight w:val="0"/>
          <w:marTop w:val="0"/>
          <w:marBottom w:val="0"/>
          <w:divBdr>
            <w:top w:val="none" w:sz="0" w:space="0" w:color="auto"/>
            <w:left w:val="none" w:sz="0" w:space="0" w:color="auto"/>
            <w:bottom w:val="none" w:sz="0" w:space="0" w:color="auto"/>
            <w:right w:val="none" w:sz="0" w:space="0" w:color="auto"/>
          </w:divBdr>
        </w:div>
        <w:div w:id="1103720291">
          <w:marLeft w:val="0"/>
          <w:marRight w:val="0"/>
          <w:marTop w:val="0"/>
          <w:marBottom w:val="0"/>
          <w:divBdr>
            <w:top w:val="none" w:sz="0" w:space="0" w:color="auto"/>
            <w:left w:val="none" w:sz="0" w:space="0" w:color="auto"/>
            <w:bottom w:val="none" w:sz="0" w:space="0" w:color="auto"/>
            <w:right w:val="none" w:sz="0" w:space="0" w:color="auto"/>
          </w:divBdr>
        </w:div>
        <w:div w:id="1475173511">
          <w:marLeft w:val="0"/>
          <w:marRight w:val="0"/>
          <w:marTop w:val="0"/>
          <w:marBottom w:val="0"/>
          <w:divBdr>
            <w:top w:val="none" w:sz="0" w:space="0" w:color="auto"/>
            <w:left w:val="none" w:sz="0" w:space="0" w:color="auto"/>
            <w:bottom w:val="none" w:sz="0" w:space="0" w:color="auto"/>
            <w:right w:val="none" w:sz="0" w:space="0" w:color="auto"/>
          </w:divBdr>
        </w:div>
        <w:div w:id="975642989">
          <w:marLeft w:val="0"/>
          <w:marRight w:val="0"/>
          <w:marTop w:val="0"/>
          <w:marBottom w:val="0"/>
          <w:divBdr>
            <w:top w:val="none" w:sz="0" w:space="0" w:color="auto"/>
            <w:left w:val="none" w:sz="0" w:space="0" w:color="auto"/>
            <w:bottom w:val="none" w:sz="0" w:space="0" w:color="auto"/>
            <w:right w:val="none" w:sz="0" w:space="0" w:color="auto"/>
          </w:divBdr>
        </w:div>
        <w:div w:id="1947224026">
          <w:marLeft w:val="0"/>
          <w:marRight w:val="0"/>
          <w:marTop w:val="0"/>
          <w:marBottom w:val="0"/>
          <w:divBdr>
            <w:top w:val="none" w:sz="0" w:space="0" w:color="auto"/>
            <w:left w:val="none" w:sz="0" w:space="0" w:color="auto"/>
            <w:bottom w:val="none" w:sz="0" w:space="0" w:color="auto"/>
            <w:right w:val="none" w:sz="0" w:space="0" w:color="auto"/>
          </w:divBdr>
        </w:div>
        <w:div w:id="18701816">
          <w:marLeft w:val="0"/>
          <w:marRight w:val="0"/>
          <w:marTop w:val="0"/>
          <w:marBottom w:val="0"/>
          <w:divBdr>
            <w:top w:val="none" w:sz="0" w:space="0" w:color="auto"/>
            <w:left w:val="none" w:sz="0" w:space="0" w:color="auto"/>
            <w:bottom w:val="none" w:sz="0" w:space="0" w:color="auto"/>
            <w:right w:val="none" w:sz="0" w:space="0" w:color="auto"/>
          </w:divBdr>
        </w:div>
        <w:div w:id="637153075">
          <w:marLeft w:val="0"/>
          <w:marRight w:val="0"/>
          <w:marTop w:val="0"/>
          <w:marBottom w:val="0"/>
          <w:divBdr>
            <w:top w:val="none" w:sz="0" w:space="0" w:color="auto"/>
            <w:left w:val="none" w:sz="0" w:space="0" w:color="auto"/>
            <w:bottom w:val="none" w:sz="0" w:space="0" w:color="auto"/>
            <w:right w:val="none" w:sz="0" w:space="0" w:color="auto"/>
          </w:divBdr>
        </w:div>
        <w:div w:id="1620868540">
          <w:marLeft w:val="0"/>
          <w:marRight w:val="0"/>
          <w:marTop w:val="0"/>
          <w:marBottom w:val="0"/>
          <w:divBdr>
            <w:top w:val="none" w:sz="0" w:space="0" w:color="auto"/>
            <w:left w:val="none" w:sz="0" w:space="0" w:color="auto"/>
            <w:bottom w:val="none" w:sz="0" w:space="0" w:color="auto"/>
            <w:right w:val="none" w:sz="0" w:space="0" w:color="auto"/>
          </w:divBdr>
        </w:div>
        <w:div w:id="1089424756">
          <w:marLeft w:val="0"/>
          <w:marRight w:val="0"/>
          <w:marTop w:val="0"/>
          <w:marBottom w:val="0"/>
          <w:divBdr>
            <w:top w:val="none" w:sz="0" w:space="0" w:color="auto"/>
            <w:left w:val="none" w:sz="0" w:space="0" w:color="auto"/>
            <w:bottom w:val="none" w:sz="0" w:space="0" w:color="auto"/>
            <w:right w:val="none" w:sz="0" w:space="0" w:color="auto"/>
          </w:divBdr>
        </w:div>
        <w:div w:id="93552030">
          <w:marLeft w:val="0"/>
          <w:marRight w:val="0"/>
          <w:marTop w:val="0"/>
          <w:marBottom w:val="0"/>
          <w:divBdr>
            <w:top w:val="none" w:sz="0" w:space="0" w:color="auto"/>
            <w:left w:val="none" w:sz="0" w:space="0" w:color="auto"/>
            <w:bottom w:val="none" w:sz="0" w:space="0" w:color="auto"/>
            <w:right w:val="none" w:sz="0" w:space="0" w:color="auto"/>
          </w:divBdr>
        </w:div>
        <w:div w:id="1351489041">
          <w:marLeft w:val="0"/>
          <w:marRight w:val="0"/>
          <w:marTop w:val="0"/>
          <w:marBottom w:val="0"/>
          <w:divBdr>
            <w:top w:val="none" w:sz="0" w:space="0" w:color="auto"/>
            <w:left w:val="none" w:sz="0" w:space="0" w:color="auto"/>
            <w:bottom w:val="none" w:sz="0" w:space="0" w:color="auto"/>
            <w:right w:val="none" w:sz="0" w:space="0" w:color="auto"/>
          </w:divBdr>
        </w:div>
        <w:div w:id="169683682">
          <w:marLeft w:val="0"/>
          <w:marRight w:val="0"/>
          <w:marTop w:val="0"/>
          <w:marBottom w:val="0"/>
          <w:divBdr>
            <w:top w:val="none" w:sz="0" w:space="0" w:color="auto"/>
            <w:left w:val="none" w:sz="0" w:space="0" w:color="auto"/>
            <w:bottom w:val="none" w:sz="0" w:space="0" w:color="auto"/>
            <w:right w:val="none" w:sz="0" w:space="0" w:color="auto"/>
          </w:divBdr>
        </w:div>
        <w:div w:id="936521814">
          <w:marLeft w:val="0"/>
          <w:marRight w:val="0"/>
          <w:marTop w:val="0"/>
          <w:marBottom w:val="0"/>
          <w:divBdr>
            <w:top w:val="none" w:sz="0" w:space="0" w:color="auto"/>
            <w:left w:val="none" w:sz="0" w:space="0" w:color="auto"/>
            <w:bottom w:val="none" w:sz="0" w:space="0" w:color="auto"/>
            <w:right w:val="none" w:sz="0" w:space="0" w:color="auto"/>
          </w:divBdr>
        </w:div>
        <w:div w:id="1999848063">
          <w:marLeft w:val="0"/>
          <w:marRight w:val="0"/>
          <w:marTop w:val="0"/>
          <w:marBottom w:val="0"/>
          <w:divBdr>
            <w:top w:val="none" w:sz="0" w:space="0" w:color="auto"/>
            <w:left w:val="none" w:sz="0" w:space="0" w:color="auto"/>
            <w:bottom w:val="none" w:sz="0" w:space="0" w:color="auto"/>
            <w:right w:val="none" w:sz="0" w:space="0" w:color="auto"/>
          </w:divBdr>
        </w:div>
        <w:div w:id="317806263">
          <w:marLeft w:val="0"/>
          <w:marRight w:val="0"/>
          <w:marTop w:val="0"/>
          <w:marBottom w:val="0"/>
          <w:divBdr>
            <w:top w:val="none" w:sz="0" w:space="0" w:color="auto"/>
            <w:left w:val="none" w:sz="0" w:space="0" w:color="auto"/>
            <w:bottom w:val="none" w:sz="0" w:space="0" w:color="auto"/>
            <w:right w:val="none" w:sz="0" w:space="0" w:color="auto"/>
          </w:divBdr>
        </w:div>
        <w:div w:id="1323312544">
          <w:marLeft w:val="0"/>
          <w:marRight w:val="0"/>
          <w:marTop w:val="0"/>
          <w:marBottom w:val="0"/>
          <w:divBdr>
            <w:top w:val="none" w:sz="0" w:space="0" w:color="auto"/>
            <w:left w:val="none" w:sz="0" w:space="0" w:color="auto"/>
            <w:bottom w:val="none" w:sz="0" w:space="0" w:color="auto"/>
            <w:right w:val="none" w:sz="0" w:space="0" w:color="auto"/>
          </w:divBdr>
        </w:div>
        <w:div w:id="1896116557">
          <w:marLeft w:val="0"/>
          <w:marRight w:val="0"/>
          <w:marTop w:val="0"/>
          <w:marBottom w:val="0"/>
          <w:divBdr>
            <w:top w:val="none" w:sz="0" w:space="0" w:color="auto"/>
            <w:left w:val="none" w:sz="0" w:space="0" w:color="auto"/>
            <w:bottom w:val="none" w:sz="0" w:space="0" w:color="auto"/>
            <w:right w:val="none" w:sz="0" w:space="0" w:color="auto"/>
          </w:divBdr>
        </w:div>
        <w:div w:id="793597933">
          <w:marLeft w:val="0"/>
          <w:marRight w:val="0"/>
          <w:marTop w:val="0"/>
          <w:marBottom w:val="0"/>
          <w:divBdr>
            <w:top w:val="none" w:sz="0" w:space="0" w:color="auto"/>
            <w:left w:val="none" w:sz="0" w:space="0" w:color="auto"/>
            <w:bottom w:val="none" w:sz="0" w:space="0" w:color="auto"/>
            <w:right w:val="none" w:sz="0" w:space="0" w:color="auto"/>
          </w:divBdr>
        </w:div>
        <w:div w:id="780300303">
          <w:marLeft w:val="0"/>
          <w:marRight w:val="0"/>
          <w:marTop w:val="0"/>
          <w:marBottom w:val="0"/>
          <w:divBdr>
            <w:top w:val="none" w:sz="0" w:space="0" w:color="auto"/>
            <w:left w:val="none" w:sz="0" w:space="0" w:color="auto"/>
            <w:bottom w:val="none" w:sz="0" w:space="0" w:color="auto"/>
            <w:right w:val="none" w:sz="0" w:space="0" w:color="auto"/>
          </w:divBdr>
        </w:div>
        <w:div w:id="236676716">
          <w:marLeft w:val="0"/>
          <w:marRight w:val="0"/>
          <w:marTop w:val="0"/>
          <w:marBottom w:val="0"/>
          <w:divBdr>
            <w:top w:val="none" w:sz="0" w:space="0" w:color="auto"/>
            <w:left w:val="none" w:sz="0" w:space="0" w:color="auto"/>
            <w:bottom w:val="none" w:sz="0" w:space="0" w:color="auto"/>
            <w:right w:val="none" w:sz="0" w:space="0" w:color="auto"/>
          </w:divBdr>
        </w:div>
        <w:div w:id="1496727674">
          <w:marLeft w:val="0"/>
          <w:marRight w:val="0"/>
          <w:marTop w:val="0"/>
          <w:marBottom w:val="0"/>
          <w:divBdr>
            <w:top w:val="none" w:sz="0" w:space="0" w:color="auto"/>
            <w:left w:val="none" w:sz="0" w:space="0" w:color="auto"/>
            <w:bottom w:val="none" w:sz="0" w:space="0" w:color="auto"/>
            <w:right w:val="none" w:sz="0" w:space="0" w:color="auto"/>
          </w:divBdr>
        </w:div>
        <w:div w:id="671371222">
          <w:marLeft w:val="0"/>
          <w:marRight w:val="0"/>
          <w:marTop w:val="0"/>
          <w:marBottom w:val="0"/>
          <w:divBdr>
            <w:top w:val="none" w:sz="0" w:space="0" w:color="auto"/>
            <w:left w:val="none" w:sz="0" w:space="0" w:color="auto"/>
            <w:bottom w:val="none" w:sz="0" w:space="0" w:color="auto"/>
            <w:right w:val="none" w:sz="0" w:space="0" w:color="auto"/>
          </w:divBdr>
        </w:div>
        <w:div w:id="1870751629">
          <w:marLeft w:val="0"/>
          <w:marRight w:val="0"/>
          <w:marTop w:val="0"/>
          <w:marBottom w:val="0"/>
          <w:divBdr>
            <w:top w:val="none" w:sz="0" w:space="0" w:color="auto"/>
            <w:left w:val="none" w:sz="0" w:space="0" w:color="auto"/>
            <w:bottom w:val="none" w:sz="0" w:space="0" w:color="auto"/>
            <w:right w:val="none" w:sz="0" w:space="0" w:color="auto"/>
          </w:divBdr>
        </w:div>
        <w:div w:id="1068383633">
          <w:marLeft w:val="0"/>
          <w:marRight w:val="0"/>
          <w:marTop w:val="0"/>
          <w:marBottom w:val="0"/>
          <w:divBdr>
            <w:top w:val="none" w:sz="0" w:space="0" w:color="auto"/>
            <w:left w:val="none" w:sz="0" w:space="0" w:color="auto"/>
            <w:bottom w:val="none" w:sz="0" w:space="0" w:color="auto"/>
            <w:right w:val="none" w:sz="0" w:space="0" w:color="auto"/>
          </w:divBdr>
        </w:div>
        <w:div w:id="2030062039">
          <w:marLeft w:val="0"/>
          <w:marRight w:val="0"/>
          <w:marTop w:val="0"/>
          <w:marBottom w:val="0"/>
          <w:divBdr>
            <w:top w:val="none" w:sz="0" w:space="0" w:color="auto"/>
            <w:left w:val="none" w:sz="0" w:space="0" w:color="auto"/>
            <w:bottom w:val="none" w:sz="0" w:space="0" w:color="auto"/>
            <w:right w:val="none" w:sz="0" w:space="0" w:color="auto"/>
          </w:divBdr>
        </w:div>
        <w:div w:id="1686205970">
          <w:marLeft w:val="0"/>
          <w:marRight w:val="0"/>
          <w:marTop w:val="0"/>
          <w:marBottom w:val="0"/>
          <w:divBdr>
            <w:top w:val="none" w:sz="0" w:space="0" w:color="auto"/>
            <w:left w:val="none" w:sz="0" w:space="0" w:color="auto"/>
            <w:bottom w:val="none" w:sz="0" w:space="0" w:color="auto"/>
            <w:right w:val="none" w:sz="0" w:space="0" w:color="auto"/>
          </w:divBdr>
        </w:div>
        <w:div w:id="882595875">
          <w:marLeft w:val="0"/>
          <w:marRight w:val="0"/>
          <w:marTop w:val="0"/>
          <w:marBottom w:val="0"/>
          <w:divBdr>
            <w:top w:val="none" w:sz="0" w:space="0" w:color="auto"/>
            <w:left w:val="none" w:sz="0" w:space="0" w:color="auto"/>
            <w:bottom w:val="none" w:sz="0" w:space="0" w:color="auto"/>
            <w:right w:val="none" w:sz="0" w:space="0" w:color="auto"/>
          </w:divBdr>
        </w:div>
        <w:div w:id="1456217050">
          <w:marLeft w:val="0"/>
          <w:marRight w:val="0"/>
          <w:marTop w:val="0"/>
          <w:marBottom w:val="0"/>
          <w:divBdr>
            <w:top w:val="none" w:sz="0" w:space="0" w:color="auto"/>
            <w:left w:val="none" w:sz="0" w:space="0" w:color="auto"/>
            <w:bottom w:val="none" w:sz="0" w:space="0" w:color="auto"/>
            <w:right w:val="none" w:sz="0" w:space="0" w:color="auto"/>
          </w:divBdr>
        </w:div>
        <w:div w:id="334040803">
          <w:marLeft w:val="0"/>
          <w:marRight w:val="0"/>
          <w:marTop w:val="0"/>
          <w:marBottom w:val="0"/>
          <w:divBdr>
            <w:top w:val="none" w:sz="0" w:space="0" w:color="auto"/>
            <w:left w:val="none" w:sz="0" w:space="0" w:color="auto"/>
            <w:bottom w:val="none" w:sz="0" w:space="0" w:color="auto"/>
            <w:right w:val="none" w:sz="0" w:space="0" w:color="auto"/>
          </w:divBdr>
        </w:div>
        <w:div w:id="730467240">
          <w:marLeft w:val="0"/>
          <w:marRight w:val="0"/>
          <w:marTop w:val="0"/>
          <w:marBottom w:val="0"/>
          <w:divBdr>
            <w:top w:val="none" w:sz="0" w:space="0" w:color="auto"/>
            <w:left w:val="none" w:sz="0" w:space="0" w:color="auto"/>
            <w:bottom w:val="none" w:sz="0" w:space="0" w:color="auto"/>
            <w:right w:val="none" w:sz="0" w:space="0" w:color="auto"/>
          </w:divBdr>
        </w:div>
        <w:div w:id="763888990">
          <w:marLeft w:val="0"/>
          <w:marRight w:val="0"/>
          <w:marTop w:val="0"/>
          <w:marBottom w:val="0"/>
          <w:divBdr>
            <w:top w:val="none" w:sz="0" w:space="0" w:color="auto"/>
            <w:left w:val="none" w:sz="0" w:space="0" w:color="auto"/>
            <w:bottom w:val="none" w:sz="0" w:space="0" w:color="auto"/>
            <w:right w:val="none" w:sz="0" w:space="0" w:color="auto"/>
          </w:divBdr>
        </w:div>
        <w:div w:id="1584409561">
          <w:marLeft w:val="0"/>
          <w:marRight w:val="0"/>
          <w:marTop w:val="0"/>
          <w:marBottom w:val="0"/>
          <w:divBdr>
            <w:top w:val="none" w:sz="0" w:space="0" w:color="auto"/>
            <w:left w:val="none" w:sz="0" w:space="0" w:color="auto"/>
            <w:bottom w:val="none" w:sz="0" w:space="0" w:color="auto"/>
            <w:right w:val="none" w:sz="0" w:space="0" w:color="auto"/>
          </w:divBdr>
        </w:div>
        <w:div w:id="1177496781">
          <w:marLeft w:val="0"/>
          <w:marRight w:val="0"/>
          <w:marTop w:val="0"/>
          <w:marBottom w:val="0"/>
          <w:divBdr>
            <w:top w:val="none" w:sz="0" w:space="0" w:color="auto"/>
            <w:left w:val="none" w:sz="0" w:space="0" w:color="auto"/>
            <w:bottom w:val="none" w:sz="0" w:space="0" w:color="auto"/>
            <w:right w:val="none" w:sz="0" w:space="0" w:color="auto"/>
          </w:divBdr>
        </w:div>
        <w:div w:id="1329286237">
          <w:marLeft w:val="0"/>
          <w:marRight w:val="0"/>
          <w:marTop w:val="0"/>
          <w:marBottom w:val="0"/>
          <w:divBdr>
            <w:top w:val="none" w:sz="0" w:space="0" w:color="auto"/>
            <w:left w:val="none" w:sz="0" w:space="0" w:color="auto"/>
            <w:bottom w:val="none" w:sz="0" w:space="0" w:color="auto"/>
            <w:right w:val="none" w:sz="0" w:space="0" w:color="auto"/>
          </w:divBdr>
        </w:div>
        <w:div w:id="933560553">
          <w:marLeft w:val="0"/>
          <w:marRight w:val="0"/>
          <w:marTop w:val="0"/>
          <w:marBottom w:val="0"/>
          <w:divBdr>
            <w:top w:val="none" w:sz="0" w:space="0" w:color="auto"/>
            <w:left w:val="none" w:sz="0" w:space="0" w:color="auto"/>
            <w:bottom w:val="none" w:sz="0" w:space="0" w:color="auto"/>
            <w:right w:val="none" w:sz="0" w:space="0" w:color="auto"/>
          </w:divBdr>
        </w:div>
        <w:div w:id="1811284689">
          <w:marLeft w:val="0"/>
          <w:marRight w:val="0"/>
          <w:marTop w:val="0"/>
          <w:marBottom w:val="0"/>
          <w:divBdr>
            <w:top w:val="none" w:sz="0" w:space="0" w:color="auto"/>
            <w:left w:val="none" w:sz="0" w:space="0" w:color="auto"/>
            <w:bottom w:val="none" w:sz="0" w:space="0" w:color="auto"/>
            <w:right w:val="none" w:sz="0" w:space="0" w:color="auto"/>
          </w:divBdr>
        </w:div>
        <w:div w:id="102111256">
          <w:marLeft w:val="0"/>
          <w:marRight w:val="0"/>
          <w:marTop w:val="0"/>
          <w:marBottom w:val="0"/>
          <w:divBdr>
            <w:top w:val="none" w:sz="0" w:space="0" w:color="auto"/>
            <w:left w:val="none" w:sz="0" w:space="0" w:color="auto"/>
            <w:bottom w:val="none" w:sz="0" w:space="0" w:color="auto"/>
            <w:right w:val="none" w:sz="0" w:space="0" w:color="auto"/>
          </w:divBdr>
        </w:div>
        <w:div w:id="1554582167">
          <w:marLeft w:val="0"/>
          <w:marRight w:val="0"/>
          <w:marTop w:val="0"/>
          <w:marBottom w:val="0"/>
          <w:divBdr>
            <w:top w:val="none" w:sz="0" w:space="0" w:color="auto"/>
            <w:left w:val="none" w:sz="0" w:space="0" w:color="auto"/>
            <w:bottom w:val="none" w:sz="0" w:space="0" w:color="auto"/>
            <w:right w:val="none" w:sz="0" w:space="0" w:color="auto"/>
          </w:divBdr>
        </w:div>
        <w:div w:id="1602488130">
          <w:marLeft w:val="0"/>
          <w:marRight w:val="0"/>
          <w:marTop w:val="0"/>
          <w:marBottom w:val="0"/>
          <w:divBdr>
            <w:top w:val="none" w:sz="0" w:space="0" w:color="auto"/>
            <w:left w:val="none" w:sz="0" w:space="0" w:color="auto"/>
            <w:bottom w:val="none" w:sz="0" w:space="0" w:color="auto"/>
            <w:right w:val="none" w:sz="0" w:space="0" w:color="auto"/>
          </w:divBdr>
        </w:div>
        <w:div w:id="1837304395">
          <w:marLeft w:val="0"/>
          <w:marRight w:val="0"/>
          <w:marTop w:val="0"/>
          <w:marBottom w:val="0"/>
          <w:divBdr>
            <w:top w:val="none" w:sz="0" w:space="0" w:color="auto"/>
            <w:left w:val="none" w:sz="0" w:space="0" w:color="auto"/>
            <w:bottom w:val="none" w:sz="0" w:space="0" w:color="auto"/>
            <w:right w:val="none" w:sz="0" w:space="0" w:color="auto"/>
          </w:divBdr>
        </w:div>
        <w:div w:id="2058045407">
          <w:marLeft w:val="0"/>
          <w:marRight w:val="0"/>
          <w:marTop w:val="0"/>
          <w:marBottom w:val="0"/>
          <w:divBdr>
            <w:top w:val="none" w:sz="0" w:space="0" w:color="auto"/>
            <w:left w:val="none" w:sz="0" w:space="0" w:color="auto"/>
            <w:bottom w:val="none" w:sz="0" w:space="0" w:color="auto"/>
            <w:right w:val="none" w:sz="0" w:space="0" w:color="auto"/>
          </w:divBdr>
        </w:div>
        <w:div w:id="1200626754">
          <w:marLeft w:val="0"/>
          <w:marRight w:val="0"/>
          <w:marTop w:val="0"/>
          <w:marBottom w:val="0"/>
          <w:divBdr>
            <w:top w:val="none" w:sz="0" w:space="0" w:color="auto"/>
            <w:left w:val="none" w:sz="0" w:space="0" w:color="auto"/>
            <w:bottom w:val="none" w:sz="0" w:space="0" w:color="auto"/>
            <w:right w:val="none" w:sz="0" w:space="0" w:color="auto"/>
          </w:divBdr>
        </w:div>
        <w:div w:id="856042341">
          <w:marLeft w:val="0"/>
          <w:marRight w:val="0"/>
          <w:marTop w:val="0"/>
          <w:marBottom w:val="0"/>
          <w:divBdr>
            <w:top w:val="none" w:sz="0" w:space="0" w:color="auto"/>
            <w:left w:val="none" w:sz="0" w:space="0" w:color="auto"/>
            <w:bottom w:val="none" w:sz="0" w:space="0" w:color="auto"/>
            <w:right w:val="none" w:sz="0" w:space="0" w:color="auto"/>
          </w:divBdr>
        </w:div>
        <w:div w:id="1664308425">
          <w:marLeft w:val="0"/>
          <w:marRight w:val="0"/>
          <w:marTop w:val="0"/>
          <w:marBottom w:val="0"/>
          <w:divBdr>
            <w:top w:val="none" w:sz="0" w:space="0" w:color="auto"/>
            <w:left w:val="none" w:sz="0" w:space="0" w:color="auto"/>
            <w:bottom w:val="none" w:sz="0" w:space="0" w:color="auto"/>
            <w:right w:val="none" w:sz="0" w:space="0" w:color="auto"/>
          </w:divBdr>
        </w:div>
        <w:div w:id="1159494882">
          <w:marLeft w:val="0"/>
          <w:marRight w:val="0"/>
          <w:marTop w:val="0"/>
          <w:marBottom w:val="0"/>
          <w:divBdr>
            <w:top w:val="none" w:sz="0" w:space="0" w:color="auto"/>
            <w:left w:val="none" w:sz="0" w:space="0" w:color="auto"/>
            <w:bottom w:val="none" w:sz="0" w:space="0" w:color="auto"/>
            <w:right w:val="none" w:sz="0" w:space="0" w:color="auto"/>
          </w:divBdr>
        </w:div>
        <w:div w:id="562563021">
          <w:marLeft w:val="0"/>
          <w:marRight w:val="0"/>
          <w:marTop w:val="0"/>
          <w:marBottom w:val="0"/>
          <w:divBdr>
            <w:top w:val="none" w:sz="0" w:space="0" w:color="auto"/>
            <w:left w:val="none" w:sz="0" w:space="0" w:color="auto"/>
            <w:bottom w:val="none" w:sz="0" w:space="0" w:color="auto"/>
            <w:right w:val="none" w:sz="0" w:space="0" w:color="auto"/>
          </w:divBdr>
        </w:div>
        <w:div w:id="1014266549">
          <w:marLeft w:val="0"/>
          <w:marRight w:val="0"/>
          <w:marTop w:val="0"/>
          <w:marBottom w:val="0"/>
          <w:divBdr>
            <w:top w:val="none" w:sz="0" w:space="0" w:color="auto"/>
            <w:left w:val="none" w:sz="0" w:space="0" w:color="auto"/>
            <w:bottom w:val="none" w:sz="0" w:space="0" w:color="auto"/>
            <w:right w:val="none" w:sz="0" w:space="0" w:color="auto"/>
          </w:divBdr>
        </w:div>
        <w:div w:id="305741618">
          <w:marLeft w:val="0"/>
          <w:marRight w:val="0"/>
          <w:marTop w:val="0"/>
          <w:marBottom w:val="0"/>
          <w:divBdr>
            <w:top w:val="none" w:sz="0" w:space="0" w:color="auto"/>
            <w:left w:val="none" w:sz="0" w:space="0" w:color="auto"/>
            <w:bottom w:val="none" w:sz="0" w:space="0" w:color="auto"/>
            <w:right w:val="none" w:sz="0" w:space="0" w:color="auto"/>
          </w:divBdr>
        </w:div>
        <w:div w:id="153880382">
          <w:marLeft w:val="0"/>
          <w:marRight w:val="0"/>
          <w:marTop w:val="0"/>
          <w:marBottom w:val="0"/>
          <w:divBdr>
            <w:top w:val="none" w:sz="0" w:space="0" w:color="auto"/>
            <w:left w:val="none" w:sz="0" w:space="0" w:color="auto"/>
            <w:bottom w:val="none" w:sz="0" w:space="0" w:color="auto"/>
            <w:right w:val="none" w:sz="0" w:space="0" w:color="auto"/>
          </w:divBdr>
        </w:div>
        <w:div w:id="1841776416">
          <w:marLeft w:val="0"/>
          <w:marRight w:val="0"/>
          <w:marTop w:val="0"/>
          <w:marBottom w:val="0"/>
          <w:divBdr>
            <w:top w:val="none" w:sz="0" w:space="0" w:color="auto"/>
            <w:left w:val="none" w:sz="0" w:space="0" w:color="auto"/>
            <w:bottom w:val="none" w:sz="0" w:space="0" w:color="auto"/>
            <w:right w:val="none" w:sz="0" w:space="0" w:color="auto"/>
          </w:divBdr>
        </w:div>
        <w:div w:id="1081756492">
          <w:marLeft w:val="0"/>
          <w:marRight w:val="0"/>
          <w:marTop w:val="0"/>
          <w:marBottom w:val="0"/>
          <w:divBdr>
            <w:top w:val="none" w:sz="0" w:space="0" w:color="auto"/>
            <w:left w:val="none" w:sz="0" w:space="0" w:color="auto"/>
            <w:bottom w:val="none" w:sz="0" w:space="0" w:color="auto"/>
            <w:right w:val="none" w:sz="0" w:space="0" w:color="auto"/>
          </w:divBdr>
        </w:div>
        <w:div w:id="1369261670">
          <w:marLeft w:val="0"/>
          <w:marRight w:val="0"/>
          <w:marTop w:val="0"/>
          <w:marBottom w:val="0"/>
          <w:divBdr>
            <w:top w:val="none" w:sz="0" w:space="0" w:color="auto"/>
            <w:left w:val="none" w:sz="0" w:space="0" w:color="auto"/>
            <w:bottom w:val="none" w:sz="0" w:space="0" w:color="auto"/>
            <w:right w:val="none" w:sz="0" w:space="0" w:color="auto"/>
          </w:divBdr>
        </w:div>
      </w:divsChild>
    </w:div>
    <w:div w:id="1401754694">
      <w:bodyDiv w:val="1"/>
      <w:marLeft w:val="0"/>
      <w:marRight w:val="0"/>
      <w:marTop w:val="0"/>
      <w:marBottom w:val="0"/>
      <w:divBdr>
        <w:top w:val="none" w:sz="0" w:space="0" w:color="auto"/>
        <w:left w:val="none" w:sz="0" w:space="0" w:color="auto"/>
        <w:bottom w:val="none" w:sz="0" w:space="0" w:color="auto"/>
        <w:right w:val="none" w:sz="0" w:space="0" w:color="auto"/>
      </w:divBdr>
    </w:div>
    <w:div w:id="1415083412">
      <w:bodyDiv w:val="1"/>
      <w:marLeft w:val="0"/>
      <w:marRight w:val="0"/>
      <w:marTop w:val="0"/>
      <w:marBottom w:val="0"/>
      <w:divBdr>
        <w:top w:val="none" w:sz="0" w:space="0" w:color="auto"/>
        <w:left w:val="none" w:sz="0" w:space="0" w:color="auto"/>
        <w:bottom w:val="none" w:sz="0" w:space="0" w:color="auto"/>
        <w:right w:val="none" w:sz="0" w:space="0" w:color="auto"/>
      </w:divBdr>
    </w:div>
    <w:div w:id="1486508123">
      <w:bodyDiv w:val="1"/>
      <w:marLeft w:val="0"/>
      <w:marRight w:val="0"/>
      <w:marTop w:val="0"/>
      <w:marBottom w:val="0"/>
      <w:divBdr>
        <w:top w:val="none" w:sz="0" w:space="0" w:color="auto"/>
        <w:left w:val="none" w:sz="0" w:space="0" w:color="auto"/>
        <w:bottom w:val="none" w:sz="0" w:space="0" w:color="auto"/>
        <w:right w:val="none" w:sz="0" w:space="0" w:color="auto"/>
      </w:divBdr>
      <w:divsChild>
        <w:div w:id="1415397666">
          <w:marLeft w:val="0"/>
          <w:marRight w:val="0"/>
          <w:marTop w:val="0"/>
          <w:marBottom w:val="0"/>
          <w:divBdr>
            <w:top w:val="none" w:sz="0" w:space="0" w:color="auto"/>
            <w:left w:val="none" w:sz="0" w:space="0" w:color="auto"/>
            <w:bottom w:val="none" w:sz="0" w:space="0" w:color="auto"/>
            <w:right w:val="none" w:sz="0" w:space="0" w:color="auto"/>
          </w:divBdr>
        </w:div>
      </w:divsChild>
    </w:div>
    <w:div w:id="1491017699">
      <w:bodyDiv w:val="1"/>
      <w:marLeft w:val="0"/>
      <w:marRight w:val="0"/>
      <w:marTop w:val="0"/>
      <w:marBottom w:val="0"/>
      <w:divBdr>
        <w:top w:val="none" w:sz="0" w:space="0" w:color="auto"/>
        <w:left w:val="none" w:sz="0" w:space="0" w:color="auto"/>
        <w:bottom w:val="none" w:sz="0" w:space="0" w:color="auto"/>
        <w:right w:val="none" w:sz="0" w:space="0" w:color="auto"/>
      </w:divBdr>
    </w:div>
    <w:div w:id="1505511906">
      <w:bodyDiv w:val="1"/>
      <w:marLeft w:val="0"/>
      <w:marRight w:val="0"/>
      <w:marTop w:val="0"/>
      <w:marBottom w:val="0"/>
      <w:divBdr>
        <w:top w:val="none" w:sz="0" w:space="0" w:color="auto"/>
        <w:left w:val="none" w:sz="0" w:space="0" w:color="auto"/>
        <w:bottom w:val="none" w:sz="0" w:space="0" w:color="auto"/>
        <w:right w:val="none" w:sz="0" w:space="0" w:color="auto"/>
      </w:divBdr>
    </w:div>
    <w:div w:id="1533686089">
      <w:bodyDiv w:val="1"/>
      <w:marLeft w:val="0"/>
      <w:marRight w:val="0"/>
      <w:marTop w:val="0"/>
      <w:marBottom w:val="0"/>
      <w:divBdr>
        <w:top w:val="none" w:sz="0" w:space="0" w:color="auto"/>
        <w:left w:val="none" w:sz="0" w:space="0" w:color="auto"/>
        <w:bottom w:val="none" w:sz="0" w:space="0" w:color="auto"/>
        <w:right w:val="none" w:sz="0" w:space="0" w:color="auto"/>
      </w:divBdr>
    </w:div>
    <w:div w:id="1874269142">
      <w:bodyDiv w:val="1"/>
      <w:marLeft w:val="0"/>
      <w:marRight w:val="0"/>
      <w:marTop w:val="0"/>
      <w:marBottom w:val="0"/>
      <w:divBdr>
        <w:top w:val="none" w:sz="0" w:space="0" w:color="auto"/>
        <w:left w:val="none" w:sz="0" w:space="0" w:color="auto"/>
        <w:bottom w:val="none" w:sz="0" w:space="0" w:color="auto"/>
        <w:right w:val="none" w:sz="0" w:space="0" w:color="auto"/>
      </w:divBdr>
    </w:div>
    <w:div w:id="1996949107">
      <w:bodyDiv w:val="1"/>
      <w:marLeft w:val="0"/>
      <w:marRight w:val="0"/>
      <w:marTop w:val="0"/>
      <w:marBottom w:val="0"/>
      <w:divBdr>
        <w:top w:val="none" w:sz="0" w:space="0" w:color="auto"/>
        <w:left w:val="none" w:sz="0" w:space="0" w:color="auto"/>
        <w:bottom w:val="none" w:sz="0" w:space="0" w:color="auto"/>
        <w:right w:val="none" w:sz="0" w:space="0" w:color="auto"/>
      </w:divBdr>
    </w:div>
    <w:div w:id="2018270725">
      <w:bodyDiv w:val="1"/>
      <w:marLeft w:val="0"/>
      <w:marRight w:val="0"/>
      <w:marTop w:val="0"/>
      <w:marBottom w:val="0"/>
      <w:divBdr>
        <w:top w:val="none" w:sz="0" w:space="0" w:color="auto"/>
        <w:left w:val="none" w:sz="0" w:space="0" w:color="auto"/>
        <w:bottom w:val="none" w:sz="0" w:space="0" w:color="auto"/>
        <w:right w:val="none" w:sz="0" w:space="0" w:color="auto"/>
      </w:divBdr>
      <w:divsChild>
        <w:div w:id="2078673917">
          <w:marLeft w:val="0"/>
          <w:marRight w:val="0"/>
          <w:marTop w:val="0"/>
          <w:marBottom w:val="0"/>
          <w:divBdr>
            <w:top w:val="none" w:sz="0" w:space="0" w:color="auto"/>
            <w:left w:val="none" w:sz="0" w:space="0" w:color="auto"/>
            <w:bottom w:val="none" w:sz="0" w:space="0" w:color="auto"/>
            <w:right w:val="none" w:sz="0" w:space="0" w:color="auto"/>
          </w:divBdr>
        </w:div>
      </w:divsChild>
    </w:div>
    <w:div w:id="2020160714">
      <w:bodyDiv w:val="1"/>
      <w:marLeft w:val="0"/>
      <w:marRight w:val="0"/>
      <w:marTop w:val="0"/>
      <w:marBottom w:val="0"/>
      <w:divBdr>
        <w:top w:val="none" w:sz="0" w:space="0" w:color="auto"/>
        <w:left w:val="none" w:sz="0" w:space="0" w:color="auto"/>
        <w:bottom w:val="none" w:sz="0" w:space="0" w:color="auto"/>
        <w:right w:val="none" w:sz="0" w:space="0" w:color="auto"/>
      </w:divBdr>
    </w:div>
    <w:div w:id="2024240374">
      <w:bodyDiv w:val="1"/>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
      </w:divsChild>
    </w:div>
    <w:div w:id="2044086051">
      <w:bodyDiv w:val="1"/>
      <w:marLeft w:val="0"/>
      <w:marRight w:val="0"/>
      <w:marTop w:val="0"/>
      <w:marBottom w:val="0"/>
      <w:divBdr>
        <w:top w:val="none" w:sz="0" w:space="0" w:color="auto"/>
        <w:left w:val="none" w:sz="0" w:space="0" w:color="auto"/>
        <w:bottom w:val="none" w:sz="0" w:space="0" w:color="auto"/>
        <w:right w:val="none" w:sz="0" w:space="0" w:color="auto"/>
      </w:divBdr>
    </w:div>
    <w:div w:id="20751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kos@med.uth.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jidonline.com/article/S1201-9712%2815%2900059-4/fulltext"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F525-1492-4CC2-B547-0CF2EC1D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8162</Words>
  <Characters>46530</Characters>
  <Application>Microsoft Office Word</Application>
  <DocSecurity>0</DocSecurity>
  <Lines>387</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Georgiadou</dc:creator>
  <cp:lastModifiedBy>HP</cp:lastModifiedBy>
  <cp:revision>2</cp:revision>
  <cp:lastPrinted>2018-12-28T09:17:00Z</cp:lastPrinted>
  <dcterms:created xsi:type="dcterms:W3CDTF">2019-10-15T03:52:00Z</dcterms:created>
  <dcterms:modified xsi:type="dcterms:W3CDTF">2019-10-15T03:52:00Z</dcterms:modified>
</cp:coreProperties>
</file>