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61DA3" w14:textId="77777777" w:rsidR="000705B7" w:rsidRPr="00E709A1" w:rsidRDefault="00624006" w:rsidP="00310F13">
      <w:pPr>
        <w:widowControl/>
        <w:snapToGrid w:val="0"/>
        <w:spacing w:line="360" w:lineRule="auto"/>
        <w:outlineLvl w:val="0"/>
        <w:rPr>
          <w:rFonts w:ascii="Book Antiqua" w:eastAsia="宋体" w:hAnsi="Book Antiqua" w:cs="Times New Roman"/>
          <w:i/>
          <w:iCs/>
          <w:kern w:val="36"/>
          <w:sz w:val="20"/>
          <w:szCs w:val="20"/>
        </w:rPr>
      </w:pPr>
      <w:bookmarkStart w:id="0" w:name="OLE_LINK7"/>
      <w:bookmarkStart w:id="1" w:name="OLE_LINK8"/>
      <w:bookmarkStart w:id="2" w:name="OLE_LINK14"/>
      <w:bookmarkStart w:id="3" w:name="OLE_LINK13"/>
      <w:r w:rsidRPr="00E709A1">
        <w:rPr>
          <w:rFonts w:ascii="Book Antiqua" w:eastAsia="宋体" w:hAnsi="Book Antiqua" w:cs="Times New Roman"/>
          <w:b/>
          <w:bCs/>
          <w:kern w:val="36"/>
          <w:sz w:val="20"/>
          <w:szCs w:val="20"/>
        </w:rPr>
        <w:t xml:space="preserve">Name of Journal: </w:t>
      </w:r>
      <w:r w:rsidRPr="00E709A1">
        <w:rPr>
          <w:rFonts w:ascii="Book Antiqua" w:eastAsia="宋体" w:hAnsi="Book Antiqua" w:cs="Times New Roman"/>
          <w:i/>
          <w:iCs/>
          <w:kern w:val="36"/>
          <w:sz w:val="20"/>
          <w:szCs w:val="20"/>
        </w:rPr>
        <w:t>World Journal of Clinical Cases</w:t>
      </w:r>
    </w:p>
    <w:p w14:paraId="142BCD22" w14:textId="77777777" w:rsidR="000705B7" w:rsidRPr="00E709A1" w:rsidRDefault="00624006" w:rsidP="00310F13">
      <w:pPr>
        <w:widowControl/>
        <w:snapToGrid w:val="0"/>
        <w:spacing w:line="360" w:lineRule="auto"/>
        <w:outlineLvl w:val="0"/>
        <w:rPr>
          <w:rFonts w:ascii="Book Antiqua" w:eastAsia="宋体" w:hAnsi="Book Antiqua" w:cs="Times New Roman"/>
          <w:kern w:val="36"/>
          <w:sz w:val="20"/>
          <w:szCs w:val="20"/>
        </w:rPr>
      </w:pPr>
      <w:r w:rsidRPr="00E709A1">
        <w:rPr>
          <w:rFonts w:ascii="Book Antiqua" w:eastAsia="宋体" w:hAnsi="Book Antiqua" w:cs="Times New Roman"/>
          <w:b/>
          <w:bCs/>
          <w:kern w:val="36"/>
          <w:sz w:val="20"/>
          <w:szCs w:val="20"/>
        </w:rPr>
        <w:t xml:space="preserve">Manuscript NO: </w:t>
      </w:r>
      <w:r w:rsidRPr="00E709A1">
        <w:rPr>
          <w:rFonts w:ascii="Book Antiqua" w:eastAsia="宋体" w:hAnsi="Book Antiqua" w:cs="Times New Roman"/>
          <w:kern w:val="36"/>
          <w:sz w:val="20"/>
          <w:szCs w:val="20"/>
        </w:rPr>
        <w:t>51912</w:t>
      </w:r>
    </w:p>
    <w:p w14:paraId="6F695FCD" w14:textId="26CFDA1A" w:rsidR="000705B7" w:rsidRPr="00E709A1" w:rsidRDefault="00624006" w:rsidP="00310F13">
      <w:pPr>
        <w:widowControl/>
        <w:snapToGrid w:val="0"/>
        <w:spacing w:line="360" w:lineRule="auto"/>
        <w:outlineLvl w:val="0"/>
        <w:rPr>
          <w:rFonts w:ascii="Book Antiqua" w:eastAsia="宋体" w:hAnsi="Book Antiqua" w:cs="Times New Roman"/>
          <w:kern w:val="36"/>
          <w:sz w:val="20"/>
          <w:szCs w:val="20"/>
        </w:rPr>
      </w:pPr>
      <w:r w:rsidRPr="00E709A1">
        <w:rPr>
          <w:rFonts w:ascii="Book Antiqua" w:eastAsia="宋体" w:hAnsi="Book Antiqua" w:cs="Times New Roman"/>
          <w:b/>
          <w:bCs/>
          <w:kern w:val="36"/>
          <w:sz w:val="20"/>
          <w:szCs w:val="20"/>
        </w:rPr>
        <w:t xml:space="preserve">Manuscript type: </w:t>
      </w:r>
      <w:r w:rsidR="00E2189D" w:rsidRPr="00E709A1">
        <w:rPr>
          <w:rFonts w:ascii="Book Antiqua" w:eastAsia="宋体" w:hAnsi="Book Antiqua" w:cs="Times New Roman"/>
          <w:kern w:val="36"/>
          <w:sz w:val="20"/>
          <w:szCs w:val="20"/>
        </w:rPr>
        <w:t>SYSTEMATIC REVIEW</w:t>
      </w:r>
    </w:p>
    <w:p w14:paraId="129D10CB" w14:textId="77777777" w:rsidR="00E2189D" w:rsidRPr="00E709A1" w:rsidRDefault="00E2189D" w:rsidP="00310F13">
      <w:pPr>
        <w:widowControl/>
        <w:snapToGrid w:val="0"/>
        <w:spacing w:line="360" w:lineRule="auto"/>
        <w:outlineLvl w:val="0"/>
        <w:rPr>
          <w:rFonts w:ascii="Book Antiqua" w:eastAsia="宋体" w:hAnsi="Book Antiqua" w:cs="Times New Roman"/>
          <w:b/>
          <w:bCs/>
          <w:kern w:val="36"/>
          <w:sz w:val="20"/>
          <w:szCs w:val="20"/>
        </w:rPr>
      </w:pPr>
    </w:p>
    <w:p w14:paraId="388D1C22" w14:textId="490E6991" w:rsidR="000705B7" w:rsidRPr="00E709A1" w:rsidRDefault="00624006" w:rsidP="00310F13">
      <w:pPr>
        <w:widowControl/>
        <w:snapToGrid w:val="0"/>
        <w:spacing w:line="360" w:lineRule="auto"/>
        <w:outlineLvl w:val="0"/>
        <w:rPr>
          <w:rFonts w:ascii="Book Antiqua" w:eastAsia="宋体" w:hAnsi="Book Antiqua" w:cs="Times New Roman"/>
          <w:b/>
          <w:bCs/>
          <w:kern w:val="36"/>
          <w:sz w:val="20"/>
          <w:szCs w:val="20"/>
        </w:rPr>
      </w:pPr>
      <w:bookmarkStart w:id="4" w:name="OLE_LINK37"/>
      <w:r w:rsidRPr="00E709A1">
        <w:rPr>
          <w:rFonts w:ascii="Book Antiqua" w:eastAsia="宋体" w:hAnsi="Book Antiqua" w:cs="Times New Roman"/>
          <w:b/>
          <w:bCs/>
          <w:kern w:val="36"/>
          <w:sz w:val="20"/>
          <w:szCs w:val="20"/>
        </w:rPr>
        <w:t>Lymphoepithelioma-like carcinoma</w:t>
      </w:r>
      <w:bookmarkEnd w:id="0"/>
      <w:bookmarkEnd w:id="1"/>
      <w:r w:rsidRPr="00E709A1">
        <w:rPr>
          <w:rFonts w:ascii="Book Antiqua" w:eastAsia="宋体" w:hAnsi="Book Antiqua" w:cs="Times New Roman"/>
          <w:b/>
          <w:bCs/>
          <w:kern w:val="36"/>
          <w:sz w:val="20"/>
          <w:szCs w:val="20"/>
        </w:rPr>
        <w:t xml:space="preserve"> of the</w:t>
      </w:r>
      <w:r w:rsidRPr="00E709A1">
        <w:rPr>
          <w:rFonts w:ascii="Book Antiqua" w:eastAsia="宋体" w:hAnsi="Book Antiqua" w:cs="Times New Roman"/>
          <w:sz w:val="20"/>
          <w:szCs w:val="20"/>
        </w:rPr>
        <w:t xml:space="preserve"> </w:t>
      </w:r>
      <w:bookmarkStart w:id="5" w:name="OLE_LINK4"/>
      <w:bookmarkStart w:id="6" w:name="OLE_LINK5"/>
      <w:r w:rsidRPr="00E709A1">
        <w:rPr>
          <w:rFonts w:ascii="Book Antiqua" w:eastAsia="宋体" w:hAnsi="Book Antiqua" w:cs="Times New Roman"/>
          <w:b/>
          <w:bCs/>
          <w:kern w:val="36"/>
          <w:sz w:val="20"/>
          <w:szCs w:val="20"/>
        </w:rPr>
        <w:t>upper urinary tract</w:t>
      </w:r>
      <w:bookmarkEnd w:id="5"/>
      <w:bookmarkEnd w:id="6"/>
      <w:r w:rsidRPr="00E709A1">
        <w:rPr>
          <w:rFonts w:ascii="Book Antiqua" w:eastAsia="宋体" w:hAnsi="Book Antiqua" w:cs="Times New Roman"/>
          <w:b/>
          <w:bCs/>
          <w:kern w:val="36"/>
          <w:sz w:val="20"/>
          <w:szCs w:val="20"/>
        </w:rPr>
        <w:t xml:space="preserve">: </w:t>
      </w:r>
      <w:bookmarkEnd w:id="2"/>
      <w:bookmarkEnd w:id="3"/>
      <w:r w:rsidRPr="00E709A1">
        <w:rPr>
          <w:rFonts w:ascii="Book Antiqua" w:eastAsia="宋体" w:hAnsi="Book Antiqua" w:cs="Times New Roman"/>
          <w:b/>
          <w:bCs/>
          <w:kern w:val="36"/>
          <w:sz w:val="20"/>
          <w:szCs w:val="20"/>
        </w:rPr>
        <w:t>A systematic review of case reports</w:t>
      </w:r>
    </w:p>
    <w:bookmarkEnd w:id="4"/>
    <w:p w14:paraId="636F8A83" w14:textId="77777777" w:rsidR="00E2189D" w:rsidRPr="00E709A1" w:rsidRDefault="00E2189D" w:rsidP="00310F13">
      <w:pPr>
        <w:widowControl/>
        <w:snapToGrid w:val="0"/>
        <w:spacing w:line="360" w:lineRule="auto"/>
        <w:outlineLvl w:val="0"/>
        <w:rPr>
          <w:rFonts w:ascii="Book Antiqua" w:eastAsia="宋体" w:hAnsi="Book Antiqua" w:cs="Times New Roman"/>
          <w:b/>
          <w:bCs/>
          <w:kern w:val="36"/>
          <w:sz w:val="20"/>
          <w:szCs w:val="20"/>
        </w:rPr>
      </w:pPr>
    </w:p>
    <w:p w14:paraId="187D041E" w14:textId="77A1CCD9" w:rsidR="000705B7" w:rsidRPr="00E709A1" w:rsidRDefault="00624006" w:rsidP="00310F13">
      <w:pPr>
        <w:widowControl/>
        <w:snapToGrid w:val="0"/>
        <w:spacing w:line="360" w:lineRule="auto"/>
        <w:outlineLvl w:val="0"/>
        <w:rPr>
          <w:rFonts w:ascii="Book Antiqua" w:eastAsia="宋体" w:hAnsi="Book Antiqua" w:cs="Times New Roman"/>
          <w:bCs/>
          <w:kern w:val="36"/>
          <w:sz w:val="20"/>
          <w:szCs w:val="20"/>
        </w:rPr>
      </w:pPr>
      <w:r w:rsidRPr="00E709A1">
        <w:rPr>
          <w:rFonts w:ascii="Book Antiqua" w:eastAsia="宋体" w:hAnsi="Book Antiqua" w:cs="Times New Roman"/>
          <w:bCs/>
          <w:kern w:val="36"/>
          <w:sz w:val="20"/>
          <w:szCs w:val="20"/>
        </w:rPr>
        <w:t xml:space="preserve">Lai SC </w:t>
      </w:r>
      <w:r w:rsidRPr="00E709A1">
        <w:rPr>
          <w:rFonts w:ascii="Book Antiqua" w:eastAsia="宋体" w:hAnsi="Book Antiqua" w:cs="Times New Roman"/>
          <w:bCs/>
          <w:i/>
          <w:iCs/>
          <w:kern w:val="36"/>
          <w:sz w:val="20"/>
          <w:szCs w:val="20"/>
        </w:rPr>
        <w:t>et al</w:t>
      </w:r>
      <w:r w:rsidRPr="00E709A1">
        <w:rPr>
          <w:rFonts w:ascii="Book Antiqua" w:eastAsia="宋体" w:hAnsi="Book Antiqua" w:cs="Times New Roman"/>
          <w:bCs/>
          <w:kern w:val="36"/>
          <w:sz w:val="20"/>
          <w:szCs w:val="20"/>
        </w:rPr>
        <w:t xml:space="preserve">. </w:t>
      </w:r>
      <w:bookmarkStart w:id="7" w:name="OLE_LINK38"/>
      <w:r w:rsidR="002B1DC3" w:rsidRPr="00E709A1">
        <w:rPr>
          <w:rFonts w:ascii="Book Antiqua" w:eastAsia="宋体" w:hAnsi="Book Antiqua" w:cs="Times New Roman"/>
          <w:bCs/>
          <w:kern w:val="36"/>
          <w:sz w:val="20"/>
          <w:szCs w:val="20"/>
        </w:rPr>
        <w:t>UUT-LELC</w:t>
      </w:r>
    </w:p>
    <w:bookmarkEnd w:id="7"/>
    <w:p w14:paraId="146F513C" w14:textId="77777777" w:rsidR="00E2189D" w:rsidRPr="00E709A1" w:rsidRDefault="00E2189D" w:rsidP="00310F13">
      <w:pPr>
        <w:widowControl/>
        <w:snapToGrid w:val="0"/>
        <w:spacing w:line="360" w:lineRule="auto"/>
        <w:outlineLvl w:val="0"/>
        <w:rPr>
          <w:rFonts w:ascii="Book Antiqua" w:eastAsia="宋体" w:hAnsi="Book Antiqua" w:cs="Times New Roman"/>
          <w:bCs/>
          <w:kern w:val="36"/>
          <w:sz w:val="20"/>
          <w:szCs w:val="20"/>
        </w:rPr>
      </w:pPr>
    </w:p>
    <w:p w14:paraId="0F13BC7B" w14:textId="7FDE816C" w:rsidR="000705B7" w:rsidRPr="00E709A1" w:rsidRDefault="00624006" w:rsidP="00310F13">
      <w:pPr>
        <w:widowControl/>
        <w:snapToGrid w:val="0"/>
        <w:spacing w:line="360" w:lineRule="auto"/>
        <w:outlineLvl w:val="0"/>
        <w:rPr>
          <w:rFonts w:ascii="Book Antiqua" w:eastAsia="宋体" w:hAnsi="Book Antiqua" w:cs="Times New Roman"/>
          <w:bCs/>
          <w:kern w:val="36"/>
          <w:sz w:val="20"/>
          <w:szCs w:val="20"/>
          <w:vertAlign w:val="superscript"/>
        </w:rPr>
      </w:pPr>
      <w:bookmarkStart w:id="8" w:name="OLE_LINK44"/>
      <w:r w:rsidRPr="00E709A1">
        <w:rPr>
          <w:rFonts w:ascii="Book Antiqua" w:eastAsia="宋体" w:hAnsi="Book Antiqua" w:cs="Times New Roman"/>
          <w:bCs/>
          <w:kern w:val="36"/>
          <w:sz w:val="20"/>
          <w:szCs w:val="20"/>
        </w:rPr>
        <w:t>Shi-Cong</w:t>
      </w:r>
      <w:bookmarkEnd w:id="8"/>
      <w:r w:rsidRPr="00E709A1">
        <w:rPr>
          <w:rFonts w:ascii="Book Antiqua" w:eastAsia="宋体" w:hAnsi="Book Antiqua" w:cs="Times New Roman"/>
          <w:bCs/>
          <w:kern w:val="36"/>
          <w:sz w:val="20"/>
          <w:szCs w:val="20"/>
        </w:rPr>
        <w:t xml:space="preserve"> Lai, </w:t>
      </w:r>
      <w:bookmarkStart w:id="9" w:name="OLE_LINK25"/>
      <w:bookmarkStart w:id="10" w:name="OLE_LINK26"/>
      <w:r w:rsidRPr="00E709A1">
        <w:rPr>
          <w:rFonts w:ascii="Book Antiqua" w:eastAsia="宋体" w:hAnsi="Book Antiqua" w:cs="Times New Roman"/>
          <w:bCs/>
          <w:kern w:val="36"/>
          <w:sz w:val="20"/>
          <w:szCs w:val="20"/>
        </w:rPr>
        <w:t>Samuel Seery</w:t>
      </w:r>
      <w:bookmarkEnd w:id="9"/>
      <w:bookmarkEnd w:id="10"/>
      <w:r w:rsidRPr="00E709A1">
        <w:rPr>
          <w:rFonts w:ascii="Book Antiqua" w:eastAsia="宋体" w:hAnsi="Book Antiqua" w:cs="Times New Roman"/>
          <w:bCs/>
          <w:kern w:val="36"/>
          <w:sz w:val="20"/>
          <w:szCs w:val="20"/>
        </w:rPr>
        <w:t>, Wei Zhang, Ming Liu, Guan Zhang, Jian-Ye Wang</w:t>
      </w:r>
    </w:p>
    <w:p w14:paraId="4458EA21" w14:textId="77777777" w:rsidR="00E2189D" w:rsidRPr="00E709A1" w:rsidRDefault="00E2189D" w:rsidP="00310F13">
      <w:pPr>
        <w:widowControl/>
        <w:snapToGrid w:val="0"/>
        <w:spacing w:line="360" w:lineRule="auto"/>
        <w:outlineLvl w:val="0"/>
        <w:rPr>
          <w:rFonts w:ascii="Book Antiqua" w:eastAsia="宋体" w:hAnsi="Book Antiqua" w:cs="Times New Roman"/>
          <w:bCs/>
          <w:kern w:val="36"/>
          <w:sz w:val="20"/>
          <w:szCs w:val="20"/>
        </w:rPr>
      </w:pPr>
    </w:p>
    <w:p w14:paraId="03327C66" w14:textId="40CF5EEF" w:rsidR="000705B7" w:rsidRPr="00E709A1" w:rsidRDefault="00624006" w:rsidP="00310F13">
      <w:pPr>
        <w:widowControl/>
        <w:snapToGrid w:val="0"/>
        <w:spacing w:line="360" w:lineRule="auto"/>
        <w:outlineLvl w:val="0"/>
        <w:rPr>
          <w:rFonts w:ascii="Book Antiqua" w:eastAsia="宋体" w:hAnsi="Book Antiqua" w:cs="Times New Roman"/>
          <w:bCs/>
          <w:kern w:val="36"/>
          <w:sz w:val="20"/>
          <w:szCs w:val="20"/>
        </w:rPr>
      </w:pPr>
      <w:r w:rsidRPr="00E709A1">
        <w:rPr>
          <w:rFonts w:ascii="Book Antiqua" w:eastAsia="宋体" w:hAnsi="Book Antiqua" w:cs="Times New Roman"/>
          <w:b/>
          <w:kern w:val="36"/>
          <w:sz w:val="20"/>
          <w:szCs w:val="20"/>
        </w:rPr>
        <w:t>Shi-Cong Lai</w:t>
      </w:r>
      <w:r w:rsidR="00E2189D" w:rsidRPr="00E709A1">
        <w:rPr>
          <w:rFonts w:ascii="Book Antiqua" w:eastAsia="宋体" w:hAnsi="Book Antiqua" w:cs="Times New Roman"/>
          <w:b/>
          <w:kern w:val="36"/>
          <w:sz w:val="20"/>
          <w:szCs w:val="20"/>
        </w:rPr>
        <w:t xml:space="preserve">, </w:t>
      </w:r>
      <w:r w:rsidRPr="00E709A1">
        <w:rPr>
          <w:rFonts w:ascii="Book Antiqua" w:eastAsia="宋体" w:hAnsi="Book Antiqua" w:cs="Times New Roman"/>
          <w:b/>
          <w:kern w:val="36"/>
          <w:sz w:val="20"/>
          <w:szCs w:val="20"/>
        </w:rPr>
        <w:t>Ming Liu</w:t>
      </w:r>
      <w:r w:rsidR="00E2189D" w:rsidRPr="00E709A1">
        <w:rPr>
          <w:rFonts w:ascii="Book Antiqua" w:eastAsia="宋体" w:hAnsi="Book Antiqua" w:cs="Times New Roman"/>
          <w:b/>
          <w:kern w:val="36"/>
          <w:sz w:val="20"/>
          <w:szCs w:val="20"/>
        </w:rPr>
        <w:t xml:space="preserve">, </w:t>
      </w:r>
      <w:r w:rsidRPr="00E709A1">
        <w:rPr>
          <w:rFonts w:ascii="Book Antiqua" w:eastAsia="宋体" w:hAnsi="Book Antiqua" w:cs="Times New Roman"/>
          <w:b/>
          <w:kern w:val="36"/>
          <w:sz w:val="20"/>
          <w:szCs w:val="20"/>
        </w:rPr>
        <w:t>Jian-Ye Wang</w:t>
      </w:r>
      <w:r w:rsidR="00E2189D" w:rsidRPr="005F0B43">
        <w:rPr>
          <w:rFonts w:ascii="Book Antiqua" w:eastAsia="宋体" w:hAnsi="Book Antiqua" w:cs="Times New Roman"/>
          <w:b/>
          <w:kern w:val="36"/>
          <w:sz w:val="20"/>
          <w:szCs w:val="20"/>
        </w:rPr>
        <w:t>,</w:t>
      </w:r>
      <w:r w:rsidRPr="00E709A1">
        <w:rPr>
          <w:rFonts w:ascii="Book Antiqua" w:eastAsia="宋体" w:hAnsi="Book Antiqua" w:cs="Times New Roman"/>
          <w:bCs/>
          <w:kern w:val="36"/>
          <w:sz w:val="20"/>
          <w:szCs w:val="20"/>
        </w:rPr>
        <w:t xml:space="preserve"> </w:t>
      </w:r>
      <w:bookmarkStart w:id="11" w:name="OLE_LINK22"/>
      <w:bookmarkStart w:id="12" w:name="OLE_LINK16"/>
      <w:bookmarkStart w:id="13" w:name="OLE_LINK21"/>
      <w:r w:rsidRPr="00E709A1">
        <w:rPr>
          <w:rFonts w:ascii="Book Antiqua" w:eastAsia="宋体" w:hAnsi="Book Antiqua" w:cs="Times New Roman"/>
          <w:bCs/>
          <w:kern w:val="36"/>
          <w:sz w:val="20"/>
          <w:szCs w:val="20"/>
        </w:rPr>
        <w:t>Department of Urology, Beijing Hospital, National Center of Gerontology, Beijing 100730, China</w:t>
      </w:r>
    </w:p>
    <w:p w14:paraId="6E79C353" w14:textId="77777777" w:rsidR="00E2189D" w:rsidRPr="00E709A1" w:rsidRDefault="00E2189D" w:rsidP="00310F13">
      <w:pPr>
        <w:widowControl/>
        <w:snapToGrid w:val="0"/>
        <w:spacing w:line="360" w:lineRule="auto"/>
        <w:outlineLvl w:val="0"/>
        <w:rPr>
          <w:rFonts w:ascii="Book Antiqua" w:eastAsia="宋体" w:hAnsi="Book Antiqua" w:cs="Times New Roman"/>
          <w:bCs/>
          <w:kern w:val="36"/>
          <w:sz w:val="20"/>
          <w:szCs w:val="20"/>
        </w:rPr>
      </w:pPr>
    </w:p>
    <w:bookmarkEnd w:id="11"/>
    <w:bookmarkEnd w:id="12"/>
    <w:bookmarkEnd w:id="13"/>
    <w:p w14:paraId="42DB13FF" w14:textId="3F970FCA" w:rsidR="000705B7" w:rsidRPr="00E709A1" w:rsidRDefault="00624006" w:rsidP="00310F13">
      <w:pPr>
        <w:widowControl/>
        <w:snapToGrid w:val="0"/>
        <w:spacing w:line="360" w:lineRule="auto"/>
        <w:outlineLvl w:val="0"/>
        <w:rPr>
          <w:rFonts w:ascii="Book Antiqua" w:eastAsia="宋体" w:hAnsi="Book Antiqua" w:cs="Times New Roman"/>
          <w:bCs/>
          <w:kern w:val="36"/>
          <w:sz w:val="20"/>
          <w:szCs w:val="20"/>
        </w:rPr>
      </w:pPr>
      <w:r w:rsidRPr="00E709A1">
        <w:rPr>
          <w:rFonts w:ascii="Book Antiqua" w:eastAsia="宋体" w:hAnsi="Book Antiqua" w:cs="Times New Roman"/>
          <w:b/>
          <w:kern w:val="36"/>
          <w:sz w:val="20"/>
          <w:szCs w:val="20"/>
        </w:rPr>
        <w:t>Shi-Cong Lai</w:t>
      </w:r>
      <w:r w:rsidR="00E2189D" w:rsidRPr="00E709A1">
        <w:rPr>
          <w:rFonts w:ascii="Book Antiqua" w:eastAsia="宋体" w:hAnsi="Book Antiqua" w:cs="Times New Roman"/>
          <w:b/>
          <w:kern w:val="36"/>
          <w:sz w:val="20"/>
          <w:szCs w:val="20"/>
        </w:rPr>
        <w:t xml:space="preserve">, </w:t>
      </w:r>
      <w:r w:rsidRPr="00E709A1">
        <w:rPr>
          <w:rFonts w:ascii="Book Antiqua" w:eastAsia="宋体" w:hAnsi="Book Antiqua" w:cs="Times New Roman"/>
          <w:b/>
          <w:kern w:val="36"/>
          <w:sz w:val="20"/>
          <w:szCs w:val="20"/>
        </w:rPr>
        <w:t>Ming Liu</w:t>
      </w:r>
      <w:r w:rsidR="00E2189D" w:rsidRPr="00E709A1">
        <w:rPr>
          <w:rFonts w:ascii="Book Antiqua" w:eastAsia="宋体" w:hAnsi="Book Antiqua" w:cs="Times New Roman"/>
          <w:b/>
          <w:kern w:val="36"/>
          <w:sz w:val="20"/>
          <w:szCs w:val="20"/>
        </w:rPr>
        <w:t xml:space="preserve">, </w:t>
      </w:r>
      <w:r w:rsidRPr="00E709A1">
        <w:rPr>
          <w:rFonts w:ascii="Book Antiqua" w:eastAsia="宋体" w:hAnsi="Book Antiqua" w:cs="Times New Roman"/>
          <w:b/>
          <w:kern w:val="36"/>
          <w:sz w:val="20"/>
          <w:szCs w:val="20"/>
        </w:rPr>
        <w:t>Jian-Ye Wang</w:t>
      </w:r>
      <w:r w:rsidR="00E2189D" w:rsidRPr="00E709A1">
        <w:rPr>
          <w:rFonts w:ascii="Book Antiqua" w:eastAsia="宋体" w:hAnsi="Book Antiqua" w:cs="Times New Roman"/>
          <w:b/>
          <w:kern w:val="36"/>
          <w:sz w:val="20"/>
          <w:szCs w:val="20"/>
        </w:rPr>
        <w:t xml:space="preserve">, </w:t>
      </w:r>
      <w:r w:rsidRPr="00E709A1">
        <w:rPr>
          <w:rFonts w:ascii="Book Antiqua" w:eastAsia="宋体" w:hAnsi="Book Antiqua" w:cs="Times New Roman"/>
          <w:bCs/>
          <w:kern w:val="36"/>
          <w:sz w:val="20"/>
          <w:szCs w:val="20"/>
        </w:rPr>
        <w:t>Graduate School of Peking Union Medical College and Chinese Academy of Medical Sciences, Beijing 100730, China</w:t>
      </w:r>
    </w:p>
    <w:p w14:paraId="21459153" w14:textId="77777777" w:rsidR="00E2189D" w:rsidRPr="00E709A1" w:rsidRDefault="00E2189D" w:rsidP="00310F13">
      <w:pPr>
        <w:widowControl/>
        <w:snapToGrid w:val="0"/>
        <w:spacing w:line="360" w:lineRule="auto"/>
        <w:outlineLvl w:val="0"/>
        <w:rPr>
          <w:rFonts w:ascii="Book Antiqua" w:eastAsia="宋体" w:hAnsi="Book Antiqua" w:cs="Times New Roman"/>
          <w:bCs/>
          <w:kern w:val="36"/>
          <w:sz w:val="20"/>
          <w:szCs w:val="20"/>
        </w:rPr>
      </w:pPr>
    </w:p>
    <w:p w14:paraId="699AE74B" w14:textId="72C3AABC" w:rsidR="000705B7" w:rsidRPr="00E709A1" w:rsidRDefault="00624006" w:rsidP="00310F13">
      <w:pPr>
        <w:widowControl/>
        <w:snapToGrid w:val="0"/>
        <w:spacing w:line="360" w:lineRule="auto"/>
        <w:outlineLvl w:val="0"/>
        <w:rPr>
          <w:rFonts w:ascii="Book Antiqua" w:eastAsia="宋体" w:hAnsi="Book Antiqua" w:cs="Times New Roman"/>
          <w:bCs/>
          <w:kern w:val="36"/>
          <w:sz w:val="20"/>
          <w:szCs w:val="20"/>
        </w:rPr>
      </w:pPr>
      <w:r w:rsidRPr="00E709A1">
        <w:rPr>
          <w:rFonts w:ascii="Book Antiqua" w:eastAsia="宋体" w:hAnsi="Book Antiqua" w:cs="Times New Roman"/>
          <w:b/>
          <w:kern w:val="36"/>
          <w:sz w:val="20"/>
          <w:szCs w:val="20"/>
        </w:rPr>
        <w:t>Samuel Seery</w:t>
      </w:r>
      <w:r w:rsidR="00E2189D" w:rsidRPr="00E709A1">
        <w:rPr>
          <w:rFonts w:ascii="Book Antiqua" w:eastAsia="宋体" w:hAnsi="Book Antiqua" w:cs="Times New Roman"/>
          <w:bCs/>
          <w:kern w:val="36"/>
          <w:sz w:val="20"/>
          <w:szCs w:val="20"/>
        </w:rPr>
        <w:t>,</w:t>
      </w:r>
      <w:r w:rsidRPr="00E709A1">
        <w:rPr>
          <w:rFonts w:ascii="Book Antiqua" w:eastAsia="宋体" w:hAnsi="Book Antiqua" w:cs="Times New Roman"/>
          <w:bCs/>
          <w:kern w:val="36"/>
          <w:sz w:val="20"/>
          <w:szCs w:val="20"/>
        </w:rPr>
        <w:t xml:space="preserve"> School of Humanities and Social Sciences, Chinese Academy of Medical Sciences and Peking Union Medical College, Beijing 100730, China</w:t>
      </w:r>
    </w:p>
    <w:p w14:paraId="27E9973A" w14:textId="77777777" w:rsidR="00E2189D" w:rsidRPr="00E709A1" w:rsidRDefault="00E2189D" w:rsidP="00310F13">
      <w:pPr>
        <w:widowControl/>
        <w:snapToGrid w:val="0"/>
        <w:spacing w:line="360" w:lineRule="auto"/>
        <w:outlineLvl w:val="0"/>
        <w:rPr>
          <w:rFonts w:ascii="Book Antiqua" w:eastAsia="宋体" w:hAnsi="Book Antiqua" w:cs="Times New Roman"/>
          <w:bCs/>
          <w:kern w:val="36"/>
          <w:sz w:val="20"/>
          <w:szCs w:val="20"/>
        </w:rPr>
      </w:pPr>
    </w:p>
    <w:p w14:paraId="76A807ED" w14:textId="2F8820D5" w:rsidR="000705B7" w:rsidRPr="00E709A1" w:rsidRDefault="00624006" w:rsidP="00310F13">
      <w:pPr>
        <w:widowControl/>
        <w:snapToGrid w:val="0"/>
        <w:spacing w:line="360" w:lineRule="auto"/>
        <w:outlineLvl w:val="0"/>
        <w:rPr>
          <w:rFonts w:ascii="Book Antiqua" w:eastAsia="宋体" w:hAnsi="Book Antiqua" w:cs="Times New Roman"/>
          <w:bCs/>
          <w:kern w:val="36"/>
          <w:sz w:val="20"/>
          <w:szCs w:val="20"/>
        </w:rPr>
      </w:pPr>
      <w:r w:rsidRPr="00E709A1">
        <w:rPr>
          <w:rFonts w:ascii="Book Antiqua" w:eastAsia="宋体" w:hAnsi="Book Antiqua" w:cs="Times New Roman"/>
          <w:b/>
          <w:kern w:val="36"/>
          <w:sz w:val="20"/>
          <w:szCs w:val="20"/>
        </w:rPr>
        <w:t>Wei Zhang</w:t>
      </w:r>
      <w:r w:rsidR="00E2189D" w:rsidRPr="005F0B43">
        <w:rPr>
          <w:rFonts w:ascii="Book Antiqua" w:eastAsia="宋体" w:hAnsi="Book Antiqua" w:cs="Times New Roman"/>
          <w:b/>
          <w:kern w:val="36"/>
          <w:sz w:val="20"/>
          <w:szCs w:val="20"/>
        </w:rPr>
        <w:t>,</w:t>
      </w:r>
      <w:r w:rsidR="00E2189D" w:rsidRPr="00E709A1">
        <w:rPr>
          <w:rFonts w:ascii="Book Antiqua" w:eastAsia="宋体" w:hAnsi="Book Antiqua" w:cs="Times New Roman"/>
          <w:bCs/>
          <w:kern w:val="36"/>
          <w:sz w:val="20"/>
          <w:szCs w:val="20"/>
        </w:rPr>
        <w:t xml:space="preserve"> </w:t>
      </w:r>
      <w:r w:rsidRPr="00E709A1">
        <w:rPr>
          <w:rFonts w:ascii="Book Antiqua" w:eastAsia="宋体" w:hAnsi="Book Antiqua" w:cs="Times New Roman"/>
          <w:bCs/>
          <w:kern w:val="36"/>
          <w:sz w:val="20"/>
          <w:szCs w:val="20"/>
        </w:rPr>
        <w:t>Department of Pathology, Beijing Hospital, National Center of Gerontology, Beijing 100730, China</w:t>
      </w:r>
    </w:p>
    <w:p w14:paraId="14605018" w14:textId="77777777" w:rsidR="00E2189D" w:rsidRPr="00E709A1" w:rsidRDefault="00E2189D" w:rsidP="00310F13">
      <w:pPr>
        <w:widowControl/>
        <w:snapToGrid w:val="0"/>
        <w:spacing w:line="360" w:lineRule="auto"/>
        <w:outlineLvl w:val="0"/>
        <w:rPr>
          <w:rFonts w:ascii="Book Antiqua" w:eastAsia="宋体" w:hAnsi="Book Antiqua" w:cs="Times New Roman"/>
          <w:bCs/>
          <w:kern w:val="36"/>
          <w:sz w:val="20"/>
          <w:szCs w:val="20"/>
        </w:rPr>
      </w:pPr>
    </w:p>
    <w:p w14:paraId="27450D94" w14:textId="05A76CF8" w:rsidR="000705B7" w:rsidRPr="00E709A1" w:rsidRDefault="00624006" w:rsidP="00310F13">
      <w:pPr>
        <w:widowControl/>
        <w:snapToGrid w:val="0"/>
        <w:spacing w:line="360" w:lineRule="auto"/>
        <w:outlineLvl w:val="0"/>
        <w:rPr>
          <w:rFonts w:ascii="Book Antiqua" w:eastAsia="宋体" w:hAnsi="Book Antiqua" w:cs="Times New Roman"/>
          <w:bCs/>
          <w:kern w:val="36"/>
          <w:sz w:val="20"/>
          <w:szCs w:val="20"/>
        </w:rPr>
      </w:pPr>
      <w:r w:rsidRPr="00E709A1">
        <w:rPr>
          <w:rFonts w:ascii="Book Antiqua" w:eastAsia="宋体" w:hAnsi="Book Antiqua" w:cs="Times New Roman"/>
          <w:b/>
          <w:kern w:val="36"/>
          <w:sz w:val="20"/>
          <w:szCs w:val="20"/>
        </w:rPr>
        <w:t>Guan Zhang</w:t>
      </w:r>
      <w:r w:rsidR="00E2189D" w:rsidRPr="005F0B43">
        <w:rPr>
          <w:rFonts w:ascii="Book Antiqua" w:eastAsia="宋体" w:hAnsi="Book Antiqua" w:cs="Times New Roman"/>
          <w:b/>
          <w:kern w:val="36"/>
          <w:sz w:val="20"/>
          <w:szCs w:val="20"/>
        </w:rPr>
        <w:t>,</w:t>
      </w:r>
      <w:r w:rsidRPr="00E709A1">
        <w:rPr>
          <w:rFonts w:ascii="Book Antiqua" w:eastAsia="宋体" w:hAnsi="Book Antiqua" w:cs="Times New Roman"/>
          <w:bCs/>
          <w:kern w:val="36"/>
          <w:sz w:val="20"/>
          <w:szCs w:val="20"/>
        </w:rPr>
        <w:t xml:space="preserve"> Department of Urology, China-Japan Friendship Hospital, Beijing</w:t>
      </w:r>
      <w:r w:rsidR="002B1DC3" w:rsidRPr="00E709A1">
        <w:rPr>
          <w:rFonts w:ascii="Book Antiqua" w:eastAsia="宋体" w:hAnsi="Book Antiqua" w:cs="Times New Roman"/>
          <w:bCs/>
          <w:kern w:val="36"/>
          <w:sz w:val="20"/>
          <w:szCs w:val="20"/>
        </w:rPr>
        <w:t xml:space="preserve"> </w:t>
      </w:r>
      <w:r w:rsidR="002B1DC3" w:rsidRPr="00E709A1">
        <w:rPr>
          <w:rFonts w:ascii="Book Antiqua" w:eastAsia="宋体" w:hAnsi="Book Antiqua" w:cs="Times New Roman"/>
          <w:kern w:val="36"/>
          <w:sz w:val="20"/>
          <w:szCs w:val="20"/>
        </w:rPr>
        <w:t>100029</w:t>
      </w:r>
      <w:r w:rsidRPr="00E709A1">
        <w:rPr>
          <w:rFonts w:ascii="Book Antiqua" w:eastAsia="宋体" w:hAnsi="Book Antiqua" w:cs="Times New Roman"/>
          <w:bCs/>
          <w:kern w:val="36"/>
          <w:sz w:val="20"/>
          <w:szCs w:val="20"/>
        </w:rPr>
        <w:t>, China</w:t>
      </w:r>
    </w:p>
    <w:p w14:paraId="22EC1025" w14:textId="77777777" w:rsidR="00E2189D" w:rsidRPr="00E709A1" w:rsidRDefault="00E2189D" w:rsidP="00310F13">
      <w:pPr>
        <w:widowControl/>
        <w:snapToGrid w:val="0"/>
        <w:spacing w:line="360" w:lineRule="auto"/>
        <w:outlineLvl w:val="0"/>
        <w:rPr>
          <w:rFonts w:ascii="Book Antiqua" w:eastAsia="宋体" w:hAnsi="Book Antiqua" w:cs="Times New Roman"/>
          <w:bCs/>
          <w:kern w:val="36"/>
          <w:sz w:val="20"/>
          <w:szCs w:val="20"/>
        </w:rPr>
      </w:pPr>
    </w:p>
    <w:p w14:paraId="7B167B70" w14:textId="06272993" w:rsidR="000705B7" w:rsidRPr="00E709A1" w:rsidRDefault="002B1DC3"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hAnsi="Book Antiqua"/>
          <w:b/>
          <w:sz w:val="20"/>
          <w:szCs w:val="20"/>
        </w:rPr>
        <w:t xml:space="preserve">Author contributions: </w:t>
      </w:r>
      <w:r w:rsidR="00624006" w:rsidRPr="00E709A1">
        <w:rPr>
          <w:rFonts w:ascii="Book Antiqua" w:eastAsia="宋体" w:hAnsi="Book Antiqua" w:cs="Times New Roman"/>
          <w:bCs/>
          <w:sz w:val="20"/>
          <w:szCs w:val="20"/>
        </w:rPr>
        <w:t xml:space="preserve">Lai SC and </w:t>
      </w:r>
      <w:bookmarkStart w:id="14" w:name="OLE_LINK17"/>
      <w:bookmarkStart w:id="15" w:name="OLE_LINK18"/>
      <w:r w:rsidR="00624006" w:rsidRPr="00E709A1">
        <w:rPr>
          <w:rFonts w:ascii="Book Antiqua" w:eastAsia="宋体" w:hAnsi="Book Antiqua" w:cs="Times New Roman"/>
          <w:bCs/>
          <w:kern w:val="36"/>
          <w:sz w:val="20"/>
          <w:szCs w:val="20"/>
        </w:rPr>
        <w:t>Seery</w:t>
      </w:r>
      <w:r w:rsidR="00624006" w:rsidRPr="00E709A1">
        <w:rPr>
          <w:rFonts w:ascii="Book Antiqua" w:eastAsia="宋体" w:hAnsi="Book Antiqua" w:cs="Times New Roman"/>
          <w:bCs/>
          <w:sz w:val="20"/>
          <w:szCs w:val="20"/>
        </w:rPr>
        <w:t xml:space="preserve"> S</w:t>
      </w:r>
      <w:bookmarkEnd w:id="14"/>
      <w:bookmarkEnd w:id="15"/>
      <w:r w:rsidR="00624006" w:rsidRPr="00E709A1">
        <w:rPr>
          <w:rFonts w:ascii="Book Antiqua" w:eastAsia="宋体" w:hAnsi="Book Antiqua" w:cs="Times New Roman"/>
          <w:bCs/>
          <w:sz w:val="20"/>
          <w:szCs w:val="20"/>
        </w:rPr>
        <w:t xml:space="preserve"> designed the study, conducted the systematic literature search to identify all pertinent studies, assessed eligibility and quality of each selected study, as well as performed data extraction and statistical analysis</w:t>
      </w:r>
      <w:r w:rsidR="005B185A"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Zhang W and Liu M coordinated the study and performed data acquisition</w:t>
      </w:r>
      <w:r w:rsidR="005B185A" w:rsidRPr="00E709A1">
        <w:rPr>
          <w:rFonts w:ascii="Book Antiqua" w:eastAsia="宋体" w:hAnsi="Book Antiqua" w:cs="Times New Roman"/>
          <w:bCs/>
          <w:sz w:val="20"/>
          <w:szCs w:val="20"/>
        </w:rPr>
        <w:t xml:space="preserve">; </w:t>
      </w:r>
      <w:r w:rsidR="00624006" w:rsidRPr="00E709A1">
        <w:rPr>
          <w:rFonts w:ascii="Book Antiqua" w:eastAsia="宋体" w:hAnsi="Book Antiqua" w:cs="Times New Roman"/>
          <w:bCs/>
          <w:sz w:val="20"/>
          <w:szCs w:val="20"/>
        </w:rPr>
        <w:t xml:space="preserve">Lai SC, </w:t>
      </w:r>
      <w:r w:rsidR="00624006" w:rsidRPr="00E709A1">
        <w:rPr>
          <w:rFonts w:ascii="Book Antiqua" w:eastAsia="宋体" w:hAnsi="Book Antiqua" w:cs="Times New Roman"/>
          <w:bCs/>
          <w:kern w:val="36"/>
          <w:sz w:val="20"/>
          <w:szCs w:val="20"/>
        </w:rPr>
        <w:t>Seery</w:t>
      </w:r>
      <w:r w:rsidR="00624006" w:rsidRPr="00E709A1">
        <w:rPr>
          <w:rFonts w:ascii="Book Antiqua" w:eastAsia="宋体" w:hAnsi="Book Antiqua" w:cs="Times New Roman"/>
          <w:bCs/>
          <w:sz w:val="20"/>
          <w:szCs w:val="20"/>
        </w:rPr>
        <w:t xml:space="preserve"> S and Zhang G participated in collecting and interpreting the data, </w:t>
      </w:r>
      <w:r w:rsidR="00F47460" w:rsidRPr="00E709A1">
        <w:rPr>
          <w:rFonts w:ascii="Book Antiqua" w:eastAsia="宋体" w:hAnsi="Book Antiqua" w:cs="Times New Roman"/>
          <w:bCs/>
          <w:sz w:val="20"/>
          <w:szCs w:val="20"/>
        </w:rPr>
        <w:t>drafted</w:t>
      </w:r>
      <w:r w:rsidR="00624006" w:rsidRPr="00E709A1">
        <w:rPr>
          <w:rFonts w:ascii="Book Antiqua" w:eastAsia="宋体" w:hAnsi="Book Antiqua" w:cs="Times New Roman"/>
          <w:bCs/>
          <w:sz w:val="20"/>
          <w:szCs w:val="20"/>
        </w:rPr>
        <w:t xml:space="preserve"> and revised the paper</w:t>
      </w:r>
      <w:r w:rsidR="005B185A"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Zhang G and Wang JY participated in critical </w:t>
      </w:r>
      <w:r w:rsidR="00F47460" w:rsidRPr="00E709A1">
        <w:rPr>
          <w:rFonts w:ascii="Book Antiqua" w:eastAsia="宋体" w:hAnsi="Book Antiqua" w:cs="Times New Roman"/>
          <w:bCs/>
          <w:sz w:val="20"/>
          <w:szCs w:val="20"/>
        </w:rPr>
        <w:t>reviewing</w:t>
      </w:r>
      <w:r w:rsidR="00624006" w:rsidRPr="00E709A1">
        <w:rPr>
          <w:rFonts w:ascii="Book Antiqua" w:eastAsia="宋体" w:hAnsi="Book Antiqua" w:cs="Times New Roman"/>
          <w:bCs/>
          <w:sz w:val="20"/>
          <w:szCs w:val="20"/>
        </w:rPr>
        <w:t xml:space="preserve"> the paper</w:t>
      </w:r>
      <w:r w:rsidR="005B185A"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w:t>
      </w:r>
      <w:r w:rsidR="00310F13" w:rsidRPr="00E709A1">
        <w:rPr>
          <w:rFonts w:ascii="Book Antiqua" w:eastAsia="宋体" w:hAnsi="Book Antiqua" w:cs="Times New Roman"/>
          <w:bCs/>
          <w:sz w:val="20"/>
          <w:szCs w:val="20"/>
        </w:rPr>
        <w:t>A</w:t>
      </w:r>
      <w:r w:rsidR="005B185A" w:rsidRPr="00E709A1">
        <w:rPr>
          <w:rFonts w:ascii="Book Antiqua" w:eastAsia="宋体" w:hAnsi="Book Antiqua" w:cs="Times New Roman"/>
          <w:bCs/>
          <w:sz w:val="20"/>
          <w:szCs w:val="20"/>
        </w:rPr>
        <w:t xml:space="preserve">ll </w:t>
      </w:r>
      <w:r w:rsidR="00624006" w:rsidRPr="00E709A1">
        <w:rPr>
          <w:rFonts w:ascii="Book Antiqua" w:eastAsia="宋体" w:hAnsi="Book Antiqua" w:cs="Times New Roman"/>
          <w:bCs/>
          <w:sz w:val="20"/>
          <w:szCs w:val="20"/>
        </w:rPr>
        <w:t>authors read and approved the final manuscript.</w:t>
      </w:r>
    </w:p>
    <w:p w14:paraId="50D996C0" w14:textId="77777777" w:rsidR="00E2189D" w:rsidRPr="00E709A1" w:rsidRDefault="00E2189D" w:rsidP="00310F13">
      <w:pPr>
        <w:widowControl/>
        <w:tabs>
          <w:tab w:val="left" w:pos="2350"/>
        </w:tabs>
        <w:snapToGrid w:val="0"/>
        <w:spacing w:line="360" w:lineRule="auto"/>
        <w:outlineLvl w:val="0"/>
        <w:rPr>
          <w:rFonts w:ascii="Book Antiqua" w:eastAsia="宋体" w:hAnsi="Book Antiqua" w:cs="Times New Roman"/>
          <w:b/>
          <w:bCs/>
          <w:sz w:val="20"/>
          <w:szCs w:val="20"/>
        </w:rPr>
      </w:pPr>
    </w:p>
    <w:p w14:paraId="5E23D336" w14:textId="6267E192" w:rsidR="007641F6" w:rsidRPr="00E709A1" w:rsidRDefault="002B1DC3" w:rsidP="00310F13">
      <w:pPr>
        <w:widowControl/>
        <w:snapToGrid w:val="0"/>
        <w:spacing w:line="360" w:lineRule="auto"/>
        <w:outlineLvl w:val="0"/>
        <w:rPr>
          <w:rFonts w:ascii="Book Antiqua" w:eastAsia="宋体" w:hAnsi="Book Antiqua" w:cs="Times New Roman"/>
          <w:b/>
          <w:bCs/>
          <w:kern w:val="36"/>
          <w:sz w:val="20"/>
          <w:szCs w:val="20"/>
        </w:rPr>
      </w:pPr>
      <w:bookmarkStart w:id="16" w:name="OLE_LINK35"/>
      <w:bookmarkStart w:id="17" w:name="OLE_LINK36"/>
      <w:bookmarkStart w:id="18" w:name="OLE_LINK33"/>
      <w:r w:rsidRPr="00E709A1">
        <w:rPr>
          <w:rFonts w:ascii="Book Antiqua" w:hAnsi="Book Antiqua"/>
          <w:b/>
          <w:bCs/>
          <w:sz w:val="20"/>
          <w:szCs w:val="20"/>
          <w:lang w:eastAsia="it-IT"/>
        </w:rPr>
        <w:t>Corresponding author:</w:t>
      </w:r>
      <w:r w:rsidRPr="00E709A1">
        <w:rPr>
          <w:rFonts w:ascii="Book Antiqua" w:hAnsi="Book Antiqua"/>
          <w:b/>
          <w:bCs/>
          <w:sz w:val="20"/>
          <w:szCs w:val="20"/>
        </w:rPr>
        <w:t xml:space="preserve"> </w:t>
      </w:r>
      <w:bookmarkEnd w:id="16"/>
      <w:bookmarkEnd w:id="17"/>
      <w:bookmarkEnd w:id="18"/>
      <w:r w:rsidR="0016614F" w:rsidRPr="00E709A1">
        <w:rPr>
          <w:rFonts w:ascii="Book Antiqua" w:eastAsia="宋体" w:hAnsi="Book Antiqua" w:cs="Times New Roman"/>
          <w:b/>
          <w:kern w:val="36"/>
          <w:sz w:val="20"/>
          <w:szCs w:val="20"/>
        </w:rPr>
        <w:t>Jian-Ye Wang, MD,</w:t>
      </w:r>
      <w:r w:rsidR="0016614F" w:rsidRPr="00E709A1">
        <w:rPr>
          <w:rFonts w:ascii="Book Antiqua" w:eastAsia="宋体" w:hAnsi="Book Antiqua" w:cs="Times New Roman"/>
          <w:bCs/>
          <w:kern w:val="36"/>
          <w:sz w:val="20"/>
          <w:szCs w:val="20"/>
        </w:rPr>
        <w:t xml:space="preserve"> </w:t>
      </w:r>
      <w:r w:rsidR="0016614F" w:rsidRPr="00E709A1">
        <w:rPr>
          <w:rFonts w:ascii="Book Antiqua" w:eastAsia="宋体" w:hAnsi="Book Antiqua" w:cs="Times New Roman"/>
          <w:b/>
          <w:bCs/>
          <w:kern w:val="0"/>
          <w:sz w:val="20"/>
          <w:szCs w:val="20"/>
        </w:rPr>
        <w:t>Professor,</w:t>
      </w:r>
      <w:r w:rsidR="0016614F" w:rsidRPr="00E709A1">
        <w:rPr>
          <w:rFonts w:ascii="Book Antiqua" w:eastAsia="宋体" w:hAnsi="Book Antiqua" w:cs="Times New Roman"/>
          <w:kern w:val="0"/>
          <w:sz w:val="20"/>
          <w:szCs w:val="20"/>
        </w:rPr>
        <w:t xml:space="preserve"> </w:t>
      </w:r>
      <w:r w:rsidR="0016614F" w:rsidRPr="00E709A1">
        <w:rPr>
          <w:rFonts w:ascii="Book Antiqua" w:eastAsia="宋体" w:hAnsi="Book Antiqua" w:cs="Times New Roman"/>
          <w:b/>
          <w:bCs/>
          <w:kern w:val="0"/>
          <w:sz w:val="20"/>
          <w:szCs w:val="20"/>
        </w:rPr>
        <w:t>Surgeon, Surgical Oncologist,</w:t>
      </w:r>
      <w:r w:rsidR="0016614F" w:rsidRPr="00E709A1">
        <w:rPr>
          <w:rFonts w:ascii="Book Antiqua" w:eastAsia="宋体" w:hAnsi="Book Antiqua" w:cs="Times New Roman"/>
          <w:bCs/>
          <w:kern w:val="0"/>
          <w:sz w:val="20"/>
          <w:szCs w:val="20"/>
        </w:rPr>
        <w:t xml:space="preserve"> Department of Urology, Beijing Hospital, National Center of Gerontology, </w:t>
      </w:r>
      <w:r w:rsidR="0016614F" w:rsidRPr="00E709A1">
        <w:rPr>
          <w:rFonts w:ascii="Book Antiqua" w:eastAsia="宋体" w:hAnsi="Book Antiqua" w:cs="Times New Roman"/>
          <w:bCs/>
          <w:kern w:val="36"/>
          <w:sz w:val="20"/>
          <w:szCs w:val="20"/>
        </w:rPr>
        <w:t>No. 1 Dahua Road, Dong Dan, Beijing 100730, China</w:t>
      </w:r>
      <w:r w:rsidRPr="00E709A1">
        <w:rPr>
          <w:rFonts w:ascii="Book Antiqua" w:eastAsia="宋体" w:hAnsi="Book Antiqua" w:cs="Times New Roman"/>
          <w:kern w:val="36"/>
          <w:sz w:val="20"/>
          <w:szCs w:val="20"/>
        </w:rPr>
        <w:t>.</w:t>
      </w:r>
      <w:r w:rsidR="007641F6" w:rsidRPr="00E709A1">
        <w:rPr>
          <w:rFonts w:ascii="Book Antiqua" w:eastAsia="宋体" w:hAnsi="Book Antiqua" w:cs="Times New Roman"/>
          <w:kern w:val="36"/>
          <w:sz w:val="20"/>
          <w:szCs w:val="20"/>
        </w:rPr>
        <w:t xml:space="preserve"> </w:t>
      </w:r>
      <w:hyperlink r:id="rId8" w:history="1">
        <w:r w:rsidR="0016614F" w:rsidRPr="00E709A1">
          <w:rPr>
            <w:rStyle w:val="a9"/>
            <w:rFonts w:ascii="Book Antiqua" w:eastAsia="宋体" w:hAnsi="Book Antiqua" w:cs="Times New Roman"/>
            <w:bCs/>
            <w:color w:val="auto"/>
            <w:kern w:val="36"/>
            <w:sz w:val="20"/>
            <w:szCs w:val="20"/>
            <w:u w:val="none"/>
          </w:rPr>
          <w:t>wangjy@bjhmoh.cn</w:t>
        </w:r>
      </w:hyperlink>
    </w:p>
    <w:p w14:paraId="73537C69" w14:textId="77777777" w:rsidR="002B1DC3" w:rsidRPr="00E709A1" w:rsidRDefault="002B1DC3" w:rsidP="00310F13">
      <w:pPr>
        <w:snapToGrid w:val="0"/>
        <w:spacing w:line="360" w:lineRule="auto"/>
        <w:rPr>
          <w:rFonts w:ascii="Book Antiqua" w:eastAsia="宋体" w:hAnsi="Book Antiqua" w:cs="Times New Roman"/>
          <w:b/>
          <w:kern w:val="36"/>
          <w:sz w:val="20"/>
          <w:szCs w:val="20"/>
        </w:rPr>
      </w:pPr>
    </w:p>
    <w:p w14:paraId="53BC928D" w14:textId="1A89900C" w:rsidR="002B1DC3" w:rsidRPr="00E709A1" w:rsidRDefault="002B1DC3" w:rsidP="00310F13">
      <w:pPr>
        <w:snapToGrid w:val="0"/>
        <w:spacing w:line="360" w:lineRule="auto"/>
        <w:rPr>
          <w:rFonts w:ascii="Book Antiqua" w:eastAsia="宋体" w:hAnsi="Book Antiqua" w:cs="Times New Roman"/>
          <w:b/>
          <w:sz w:val="20"/>
          <w:szCs w:val="20"/>
        </w:rPr>
      </w:pPr>
      <w:r w:rsidRPr="00E709A1">
        <w:rPr>
          <w:rFonts w:ascii="Book Antiqua" w:hAnsi="Book Antiqua"/>
          <w:b/>
          <w:sz w:val="20"/>
          <w:szCs w:val="20"/>
        </w:rPr>
        <w:t>Received:</w:t>
      </w:r>
      <w:r w:rsidR="00624006" w:rsidRPr="00E709A1">
        <w:rPr>
          <w:rFonts w:ascii="Book Antiqua" w:eastAsia="宋体" w:hAnsi="Book Antiqua" w:cs="Times New Roman"/>
          <w:b/>
          <w:bCs/>
          <w:sz w:val="20"/>
          <w:szCs w:val="20"/>
        </w:rPr>
        <w:t xml:space="preserve"> </w:t>
      </w:r>
      <w:bookmarkStart w:id="19" w:name="_Hlk26798024"/>
      <w:r w:rsidR="00624006" w:rsidRPr="00E709A1">
        <w:rPr>
          <w:rFonts w:ascii="Book Antiqua" w:eastAsia="宋体" w:hAnsi="Book Antiqua" w:cs="Times New Roman"/>
          <w:bCs/>
          <w:sz w:val="20"/>
          <w:szCs w:val="20"/>
        </w:rPr>
        <w:t>October</w:t>
      </w:r>
      <w:r w:rsidRPr="00E709A1">
        <w:rPr>
          <w:rFonts w:ascii="Book Antiqua" w:eastAsia="宋体" w:hAnsi="Book Antiqua" w:cs="Times New Roman"/>
          <w:bCs/>
          <w:sz w:val="20"/>
          <w:szCs w:val="20"/>
        </w:rPr>
        <w:t xml:space="preserve"> </w:t>
      </w:r>
      <w:r w:rsidR="00624006" w:rsidRPr="00E709A1">
        <w:rPr>
          <w:rFonts w:ascii="Book Antiqua" w:eastAsia="宋体" w:hAnsi="Book Antiqua" w:cs="Times New Roman"/>
          <w:bCs/>
          <w:sz w:val="20"/>
          <w:szCs w:val="20"/>
        </w:rPr>
        <w:t>20, 2019</w:t>
      </w:r>
    </w:p>
    <w:p w14:paraId="7458B348" w14:textId="3BEC61A6" w:rsidR="002B1DC3" w:rsidRPr="00E709A1" w:rsidRDefault="002B1DC3" w:rsidP="00310F13">
      <w:pPr>
        <w:snapToGrid w:val="0"/>
        <w:spacing w:line="360" w:lineRule="auto"/>
        <w:rPr>
          <w:rFonts w:ascii="Book Antiqua" w:eastAsia="宋体" w:hAnsi="Book Antiqua" w:cs="Times New Roman"/>
          <w:b/>
          <w:sz w:val="20"/>
          <w:szCs w:val="20"/>
        </w:rPr>
      </w:pPr>
      <w:r w:rsidRPr="00E709A1">
        <w:rPr>
          <w:rFonts w:ascii="Book Antiqua" w:hAnsi="Book Antiqua"/>
          <w:b/>
          <w:sz w:val="20"/>
          <w:szCs w:val="20"/>
        </w:rPr>
        <w:t xml:space="preserve">Revised: </w:t>
      </w:r>
      <w:r w:rsidR="00624006" w:rsidRPr="00E709A1">
        <w:rPr>
          <w:rFonts w:ascii="Book Antiqua" w:eastAsia="宋体" w:hAnsi="Book Antiqua" w:cs="Times New Roman"/>
          <w:bCs/>
          <w:sz w:val="20"/>
          <w:szCs w:val="20"/>
        </w:rPr>
        <w:t xml:space="preserve">December </w:t>
      </w:r>
      <w:r w:rsidRPr="00E709A1">
        <w:rPr>
          <w:rFonts w:ascii="Book Antiqua" w:eastAsia="宋体" w:hAnsi="Book Antiqua" w:cs="Times New Roman"/>
          <w:bCs/>
          <w:sz w:val="20"/>
          <w:szCs w:val="20"/>
        </w:rPr>
        <w:t>11</w:t>
      </w:r>
      <w:r w:rsidR="00624006" w:rsidRPr="00E709A1">
        <w:rPr>
          <w:rFonts w:ascii="Book Antiqua" w:eastAsia="宋体" w:hAnsi="Book Antiqua" w:cs="Times New Roman"/>
          <w:bCs/>
          <w:sz w:val="20"/>
          <w:szCs w:val="20"/>
        </w:rPr>
        <w:t>, 2019</w:t>
      </w:r>
      <w:bookmarkEnd w:id="19"/>
    </w:p>
    <w:p w14:paraId="601D7E72" w14:textId="2528F031" w:rsidR="002B1DC3" w:rsidRPr="00E709A1" w:rsidRDefault="002B1DC3" w:rsidP="00310F13">
      <w:pPr>
        <w:adjustRightInd w:val="0"/>
        <w:snapToGrid w:val="0"/>
        <w:spacing w:line="360" w:lineRule="auto"/>
        <w:rPr>
          <w:rFonts w:ascii="Book Antiqua" w:hAnsi="Book Antiqua"/>
          <w:b/>
          <w:sz w:val="20"/>
          <w:szCs w:val="20"/>
        </w:rPr>
      </w:pPr>
      <w:r w:rsidRPr="00E709A1">
        <w:rPr>
          <w:rFonts w:ascii="Book Antiqua" w:hAnsi="Book Antiqua"/>
          <w:b/>
          <w:sz w:val="20"/>
          <w:szCs w:val="20"/>
        </w:rPr>
        <w:lastRenderedPageBreak/>
        <w:t>Accepted:</w:t>
      </w:r>
      <w:r w:rsidR="00B94A8E" w:rsidRPr="00E709A1">
        <w:rPr>
          <w:rFonts w:ascii="Book Antiqua" w:eastAsia="宋体" w:hAnsi="Book Antiqua" w:cs="Times New Roman"/>
          <w:bCs/>
          <w:sz w:val="20"/>
          <w:szCs w:val="20"/>
        </w:rPr>
        <w:t xml:space="preserve"> December 22, 2019</w:t>
      </w:r>
    </w:p>
    <w:p w14:paraId="6688C091" w14:textId="11469F34" w:rsidR="002B1DC3" w:rsidRPr="00E709A1" w:rsidRDefault="002B1DC3" w:rsidP="00310F13">
      <w:pPr>
        <w:adjustRightInd w:val="0"/>
        <w:snapToGrid w:val="0"/>
        <w:spacing w:line="360" w:lineRule="auto"/>
        <w:rPr>
          <w:rFonts w:ascii="Book Antiqua" w:hAnsi="Book Antiqua"/>
          <w:b/>
          <w:sz w:val="20"/>
          <w:szCs w:val="20"/>
        </w:rPr>
      </w:pPr>
      <w:r w:rsidRPr="00E709A1">
        <w:rPr>
          <w:rFonts w:ascii="Book Antiqua" w:hAnsi="Book Antiqua"/>
          <w:b/>
          <w:sz w:val="20"/>
          <w:szCs w:val="20"/>
        </w:rPr>
        <w:t xml:space="preserve">Published online: </w:t>
      </w:r>
      <w:r w:rsidR="006B60E2" w:rsidRPr="00934448">
        <w:rPr>
          <w:rFonts w:ascii="Book Antiqua" w:hAnsi="Book Antiqua"/>
        </w:rPr>
        <w:t>February 26, 2020</w:t>
      </w:r>
    </w:p>
    <w:p w14:paraId="59CEB680" w14:textId="25AE65A8"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b/>
          <w:sz w:val="20"/>
          <w:szCs w:val="20"/>
        </w:rPr>
        <w:br w:type="page"/>
      </w:r>
    </w:p>
    <w:p w14:paraId="508DDBBC" w14:textId="77777777" w:rsidR="002B1DC3" w:rsidRPr="00E709A1" w:rsidRDefault="002B1DC3" w:rsidP="00310F13">
      <w:pPr>
        <w:adjustRightInd w:val="0"/>
        <w:snapToGrid w:val="0"/>
        <w:spacing w:line="360" w:lineRule="auto"/>
        <w:rPr>
          <w:rFonts w:ascii="Book Antiqua" w:hAnsi="Book Antiqua"/>
          <w:b/>
          <w:bCs/>
          <w:sz w:val="20"/>
          <w:szCs w:val="20"/>
        </w:rPr>
      </w:pPr>
      <w:r w:rsidRPr="00E709A1">
        <w:rPr>
          <w:rFonts w:ascii="Book Antiqua" w:eastAsia="Times New Roman" w:hAnsi="Book Antiqua"/>
          <w:b/>
          <w:bCs/>
          <w:sz w:val="20"/>
          <w:szCs w:val="20"/>
        </w:rPr>
        <w:lastRenderedPageBreak/>
        <w:t>Abstract</w:t>
      </w:r>
    </w:p>
    <w:p w14:paraId="6D33A52B" w14:textId="77777777" w:rsidR="002B1DC3" w:rsidRPr="00E709A1" w:rsidRDefault="002B1DC3" w:rsidP="00310F13">
      <w:pPr>
        <w:snapToGrid w:val="0"/>
        <w:spacing w:line="360" w:lineRule="auto"/>
        <w:rPr>
          <w:rFonts w:ascii="Book Antiqua" w:hAnsi="Book Antiqua"/>
          <w:sz w:val="20"/>
          <w:szCs w:val="20"/>
        </w:rPr>
      </w:pPr>
      <w:r w:rsidRPr="00E709A1">
        <w:rPr>
          <w:rFonts w:ascii="Book Antiqua" w:hAnsi="Book Antiqua"/>
          <w:sz w:val="20"/>
          <w:szCs w:val="20"/>
        </w:rPr>
        <w:t xml:space="preserve">BACKGROUND </w:t>
      </w:r>
    </w:p>
    <w:p w14:paraId="7545E22E" w14:textId="34DE496C"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sz w:val="20"/>
          <w:szCs w:val="20"/>
        </w:rPr>
        <w:t>Lymphoepithelioma-like carcinoma</w:t>
      </w:r>
      <w:r w:rsidR="00B94611"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(LELC</w:t>
      </w:r>
      <w:r w:rsidR="00B94611"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are rare, malignant epithelial </w:t>
      </w:r>
      <w:r w:rsidR="00E709A1" w:rsidRPr="00E709A1">
        <w:rPr>
          <w:rFonts w:ascii="Book Antiqua" w:eastAsia="宋体" w:hAnsi="Book Antiqua" w:cs="Times New Roman"/>
          <w:sz w:val="20"/>
          <w:szCs w:val="20"/>
        </w:rPr>
        <w:t>tumors</w:t>
      </w:r>
      <w:r w:rsidRPr="00E709A1">
        <w:rPr>
          <w:rFonts w:ascii="Book Antiqua" w:eastAsia="宋体" w:hAnsi="Book Antiqua" w:cs="Times New Roman"/>
          <w:sz w:val="20"/>
          <w:szCs w:val="20"/>
        </w:rPr>
        <w:t>, generally considered a subtype</w:t>
      </w:r>
      <w:r w:rsidR="00B94611" w:rsidRPr="00E709A1">
        <w:rPr>
          <w:rFonts w:ascii="Book Antiqua" w:eastAsia="宋体" w:hAnsi="Book Antiqua" w:cs="Times New Roman"/>
          <w:sz w:val="20"/>
          <w:szCs w:val="20"/>
        </w:rPr>
        <w:t xml:space="preserve"> of</w:t>
      </w:r>
      <w:r w:rsidRPr="00E709A1">
        <w:rPr>
          <w:rFonts w:ascii="Book Antiqua" w:eastAsia="宋体" w:hAnsi="Book Antiqua" w:cs="Times New Roman"/>
          <w:sz w:val="20"/>
          <w:szCs w:val="20"/>
        </w:rPr>
        <w:t xml:space="preserve"> squamous cell carcinoma. LELC</w:t>
      </w:r>
      <w:r w:rsidR="00030213"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are undifferentiated and can occur in multiple tissues, although LELC</w:t>
      </w:r>
      <w:r w:rsidR="00030213"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in the urinary tract are extremely rare. As such, evidence does not provide clinicians with guidelines for </w:t>
      </w:r>
      <w:r w:rsidR="00030213" w:rsidRPr="00E709A1">
        <w:rPr>
          <w:rFonts w:ascii="Book Antiqua" w:eastAsia="宋体" w:hAnsi="Book Antiqua" w:cs="Times New Roman"/>
          <w:sz w:val="20"/>
          <w:szCs w:val="20"/>
        </w:rPr>
        <w:t xml:space="preserve">the </w:t>
      </w:r>
      <w:r w:rsidRPr="00E709A1">
        <w:rPr>
          <w:rFonts w:ascii="Book Antiqua" w:eastAsia="宋体" w:hAnsi="Book Antiqua" w:cs="Times New Roman"/>
          <w:sz w:val="20"/>
          <w:szCs w:val="20"/>
        </w:rPr>
        <w:t>best practice</w:t>
      </w:r>
      <w:r w:rsidR="00030213"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Even though this is a rare disease, it is associated with high morbidity and mortality</w:t>
      </w:r>
      <w:r w:rsidR="00030213"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t>
      </w:r>
      <w:r w:rsidR="00030213" w:rsidRPr="00E709A1">
        <w:rPr>
          <w:rFonts w:ascii="Book Antiqua" w:eastAsia="宋体" w:hAnsi="Book Antiqua" w:cs="Times New Roman"/>
          <w:sz w:val="20"/>
          <w:szCs w:val="20"/>
        </w:rPr>
        <w:t>T</w:t>
      </w:r>
      <w:r w:rsidRPr="00E709A1">
        <w:rPr>
          <w:rFonts w:ascii="Book Antiqua" w:eastAsia="宋体" w:hAnsi="Book Antiqua" w:cs="Times New Roman"/>
          <w:sz w:val="20"/>
          <w:szCs w:val="20"/>
        </w:rPr>
        <w:t>herefore</w:t>
      </w:r>
      <w:r w:rsidR="00030213"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we must learn to differentiate LELC types and identify risk factors for early identification.</w:t>
      </w:r>
    </w:p>
    <w:p w14:paraId="45D3774D" w14:textId="77777777" w:rsidR="002B1DC3" w:rsidRPr="00E709A1" w:rsidRDefault="002B1DC3" w:rsidP="00310F13">
      <w:pPr>
        <w:snapToGrid w:val="0"/>
        <w:spacing w:line="360" w:lineRule="auto"/>
        <w:rPr>
          <w:rFonts w:ascii="Book Antiqua" w:eastAsia="宋体" w:hAnsi="Book Antiqua" w:cs="Times New Roman"/>
          <w:b/>
          <w:i/>
          <w:iCs/>
          <w:sz w:val="20"/>
          <w:szCs w:val="20"/>
        </w:rPr>
      </w:pPr>
    </w:p>
    <w:p w14:paraId="1A0C2891" w14:textId="18B4D66C" w:rsidR="002B1DC3" w:rsidRPr="00E709A1" w:rsidRDefault="002B1DC3" w:rsidP="00310F13">
      <w:pPr>
        <w:adjustRightInd w:val="0"/>
        <w:snapToGrid w:val="0"/>
        <w:spacing w:line="360" w:lineRule="auto"/>
        <w:rPr>
          <w:rFonts w:ascii="Book Antiqua" w:hAnsi="Book Antiqua"/>
          <w:sz w:val="20"/>
          <w:szCs w:val="20"/>
        </w:rPr>
      </w:pPr>
      <w:r w:rsidRPr="00E709A1">
        <w:rPr>
          <w:rFonts w:ascii="Book Antiqua" w:hAnsi="Book Antiqua"/>
          <w:bCs/>
          <w:sz w:val="20"/>
          <w:szCs w:val="20"/>
        </w:rPr>
        <w:t>AIM</w:t>
      </w:r>
    </w:p>
    <w:p w14:paraId="2D3C9CBA" w14:textId="18C9B755" w:rsidR="000705B7" w:rsidRPr="00E709A1" w:rsidRDefault="005B185A" w:rsidP="00310F13">
      <w:pPr>
        <w:snapToGrid w:val="0"/>
        <w:spacing w:line="360" w:lineRule="auto"/>
        <w:rPr>
          <w:rFonts w:ascii="Book Antiqua" w:eastAsia="宋体" w:hAnsi="Book Antiqua" w:cs="Times New Roman"/>
          <w:bCs/>
          <w:kern w:val="36"/>
          <w:sz w:val="20"/>
          <w:szCs w:val="20"/>
        </w:rPr>
      </w:pPr>
      <w:r w:rsidRPr="00E709A1">
        <w:rPr>
          <w:rFonts w:ascii="Book Antiqua" w:eastAsia="宋体" w:hAnsi="Book Antiqua" w:cs="Times New Roman"/>
          <w:sz w:val="20"/>
          <w:szCs w:val="20"/>
        </w:rPr>
        <w:t>To develop an evidence</w:t>
      </w:r>
      <w:r w:rsidR="00624006" w:rsidRPr="00E709A1">
        <w:rPr>
          <w:rFonts w:ascii="Book Antiqua" w:eastAsia="宋体" w:hAnsi="Book Antiqua" w:cs="Times New Roman"/>
          <w:sz w:val="20"/>
          <w:szCs w:val="20"/>
        </w:rPr>
        <w:t xml:space="preserve"> base to guide clinicians treating primary LELC</w:t>
      </w:r>
      <w:r w:rsidR="00E86729" w:rsidRPr="00E709A1">
        <w:rPr>
          <w:rFonts w:ascii="Book Antiqua" w:eastAsia="宋体" w:hAnsi="Book Antiqua" w:cs="Times New Roman"/>
          <w:sz w:val="20"/>
          <w:szCs w:val="20"/>
        </w:rPr>
        <w:t>s</w:t>
      </w:r>
      <w:r w:rsidR="00624006" w:rsidRPr="00E709A1">
        <w:rPr>
          <w:rFonts w:ascii="Book Antiqua" w:eastAsia="宋体" w:hAnsi="Book Antiqua" w:cs="Times New Roman"/>
          <w:sz w:val="20"/>
          <w:szCs w:val="20"/>
        </w:rPr>
        <w:t xml:space="preserve"> of the</w:t>
      </w:r>
      <w:r w:rsidR="00624006" w:rsidRPr="00E709A1">
        <w:rPr>
          <w:rFonts w:ascii="Book Antiqua" w:eastAsia="宋体" w:hAnsi="Book Antiqua" w:cs="Times New Roman"/>
          <w:b/>
          <w:bCs/>
          <w:kern w:val="36"/>
          <w:sz w:val="20"/>
          <w:szCs w:val="20"/>
        </w:rPr>
        <w:t xml:space="preserve"> </w:t>
      </w:r>
      <w:r w:rsidR="00624006" w:rsidRPr="00E709A1">
        <w:rPr>
          <w:rFonts w:ascii="Book Antiqua" w:eastAsia="宋体" w:hAnsi="Book Antiqua" w:cs="Times New Roman"/>
          <w:bCs/>
          <w:kern w:val="36"/>
          <w:sz w:val="20"/>
          <w:szCs w:val="20"/>
        </w:rPr>
        <w:t>upper urinary tract (UUT-LELC).</w:t>
      </w:r>
    </w:p>
    <w:p w14:paraId="5504BB77" w14:textId="77777777" w:rsidR="002B1DC3" w:rsidRPr="00E709A1" w:rsidRDefault="002B1DC3" w:rsidP="00310F13">
      <w:pPr>
        <w:snapToGrid w:val="0"/>
        <w:spacing w:line="360" w:lineRule="auto"/>
        <w:rPr>
          <w:rFonts w:ascii="Book Antiqua" w:eastAsia="宋体" w:hAnsi="Book Antiqua" w:cs="Times New Roman"/>
          <w:sz w:val="20"/>
          <w:szCs w:val="20"/>
        </w:rPr>
      </w:pPr>
    </w:p>
    <w:p w14:paraId="416405CD" w14:textId="77777777" w:rsidR="002B1DC3" w:rsidRPr="00E709A1" w:rsidRDefault="002B1DC3" w:rsidP="00310F13">
      <w:pPr>
        <w:adjustRightInd w:val="0"/>
        <w:snapToGrid w:val="0"/>
        <w:spacing w:line="360" w:lineRule="auto"/>
        <w:rPr>
          <w:rFonts w:ascii="Book Antiqua" w:hAnsi="Book Antiqua"/>
          <w:caps/>
          <w:sz w:val="20"/>
          <w:szCs w:val="20"/>
        </w:rPr>
      </w:pPr>
      <w:r w:rsidRPr="00E709A1">
        <w:rPr>
          <w:rFonts w:ascii="Book Antiqua" w:hAnsi="Book Antiqua"/>
          <w:bCs/>
          <w:caps/>
          <w:sz w:val="20"/>
          <w:szCs w:val="20"/>
        </w:rPr>
        <w:t>Methods</w:t>
      </w:r>
    </w:p>
    <w:p w14:paraId="2A0C76BE" w14:textId="4EB378A5" w:rsidR="000705B7" w:rsidRPr="00E709A1" w:rsidRDefault="00624006" w:rsidP="00310F13">
      <w:pPr>
        <w:snapToGrid w:val="0"/>
        <w:spacing w:line="360" w:lineRule="auto"/>
        <w:rPr>
          <w:rFonts w:ascii="Book Antiqua" w:eastAsia="宋体" w:hAnsi="Book Antiqua" w:cs="Helvetica"/>
          <w:sz w:val="20"/>
          <w:szCs w:val="20"/>
        </w:rPr>
      </w:pPr>
      <w:r w:rsidRPr="00E709A1">
        <w:rPr>
          <w:rFonts w:ascii="Book Antiqua" w:eastAsia="宋体" w:hAnsi="Book Antiqua" w:cs="Times New Roman"/>
          <w:sz w:val="20"/>
          <w:szCs w:val="20"/>
        </w:rPr>
        <w:t xml:space="preserve">We performed a systematic review of all reports on UUT-LELC from the first published case in 1998 until October 2019, according to the PRISMA. A database was then developed by extracting data from previously published reports in order to </w:t>
      </w:r>
      <w:r w:rsidR="00E709A1" w:rsidRPr="00E709A1">
        <w:rPr>
          <w:rFonts w:ascii="Book Antiqua" w:eastAsia="宋体" w:hAnsi="Book Antiqua" w:cs="Times New Roman"/>
          <w:sz w:val="20"/>
          <w:szCs w:val="20"/>
        </w:rPr>
        <w:t>analyze</w:t>
      </w:r>
      <w:r w:rsidRPr="00E709A1">
        <w:rPr>
          <w:rFonts w:ascii="Book Antiqua" w:eastAsia="宋体" w:hAnsi="Book Antiqua" w:cs="Times New Roman"/>
          <w:sz w:val="20"/>
          <w:szCs w:val="20"/>
        </w:rPr>
        <w:t xml:space="preserve"> interactions between clinical characteristics, pathological features, interventions and outcomes.</w:t>
      </w:r>
      <w:r w:rsidRPr="00E709A1">
        <w:rPr>
          <w:rFonts w:ascii="Book Antiqua" w:eastAsia="宋体" w:hAnsi="Book Antiqua" w:cs="Arial"/>
          <w:sz w:val="20"/>
          <w:szCs w:val="20"/>
        </w:rPr>
        <w:t xml:space="preserve"> </w:t>
      </w:r>
      <w:r w:rsidRPr="00E709A1">
        <w:rPr>
          <w:rFonts w:ascii="Book Antiqua" w:eastAsia="宋体" w:hAnsi="Book Antiqua" w:cs="Times New Roman"/>
          <w:sz w:val="20"/>
          <w:szCs w:val="20"/>
        </w:rPr>
        <w:t>Survival was analyzed using Kaplan–Meier estimates, which were compared using log rank tests.</w:t>
      </w:r>
    </w:p>
    <w:p w14:paraId="2FCBFB9D" w14:textId="77777777" w:rsidR="00606AC7" w:rsidRPr="00E709A1" w:rsidRDefault="00606AC7" w:rsidP="00310F13">
      <w:pPr>
        <w:snapToGrid w:val="0"/>
        <w:spacing w:line="360" w:lineRule="auto"/>
        <w:rPr>
          <w:rFonts w:ascii="Book Antiqua" w:eastAsia="宋体" w:hAnsi="Book Antiqua" w:cs="Helvetica"/>
          <w:sz w:val="20"/>
          <w:szCs w:val="20"/>
        </w:rPr>
      </w:pPr>
    </w:p>
    <w:p w14:paraId="09724F51" w14:textId="77777777" w:rsidR="00606AC7" w:rsidRPr="00E709A1" w:rsidRDefault="00606AC7" w:rsidP="00310F13">
      <w:pPr>
        <w:adjustRightInd w:val="0"/>
        <w:snapToGrid w:val="0"/>
        <w:spacing w:line="360" w:lineRule="auto"/>
        <w:rPr>
          <w:rFonts w:ascii="Book Antiqua" w:hAnsi="Book Antiqua"/>
          <w:caps/>
          <w:sz w:val="20"/>
          <w:szCs w:val="20"/>
        </w:rPr>
      </w:pPr>
      <w:r w:rsidRPr="00E709A1">
        <w:rPr>
          <w:rFonts w:ascii="Book Antiqua" w:hAnsi="Book Antiqua"/>
          <w:bCs/>
          <w:caps/>
          <w:sz w:val="20"/>
          <w:szCs w:val="20"/>
        </w:rPr>
        <w:t>Results</w:t>
      </w:r>
    </w:p>
    <w:p w14:paraId="5B774923" w14:textId="2243DECC"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sz w:val="20"/>
          <w:szCs w:val="20"/>
        </w:rPr>
        <w:t>A total of 28 previously published cases were identified for inclusion. The</w:t>
      </w:r>
      <w:r w:rsidRPr="00E709A1">
        <w:rPr>
          <w:rFonts w:ascii="Book Antiqua" w:eastAsia="宋体" w:hAnsi="Book Antiqua" w:cs="Helvetica"/>
          <w:sz w:val="20"/>
          <w:szCs w:val="20"/>
        </w:rPr>
        <w:t xml:space="preserve"> </w:t>
      </w:r>
      <w:r w:rsidRPr="00E709A1">
        <w:rPr>
          <w:rFonts w:ascii="Book Antiqua" w:eastAsia="宋体" w:hAnsi="Book Antiqua" w:cs="Times New Roman"/>
          <w:sz w:val="20"/>
          <w:szCs w:val="20"/>
        </w:rPr>
        <w:t xml:space="preserve">median age was 72 years with a male to female ratio of 4:3. </w:t>
      </w:r>
      <w:bookmarkStart w:id="20" w:name="OLE_LINK20"/>
      <w:bookmarkStart w:id="21" w:name="OLE_LINK19"/>
      <w:r w:rsidRPr="00E709A1">
        <w:rPr>
          <w:rFonts w:ascii="Book Antiqua" w:eastAsia="宋体" w:hAnsi="Book Antiqua" w:cs="Times New Roman"/>
          <w:sz w:val="20"/>
          <w:szCs w:val="20"/>
        </w:rPr>
        <w:t>Pure type LELC</w:t>
      </w:r>
      <w:r w:rsidR="002B4102"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were most common with 48.3% (</w:t>
      </w:r>
      <w:r w:rsidRPr="00E709A1">
        <w:rPr>
          <w:rFonts w:ascii="Book Antiqua" w:eastAsia="宋体" w:hAnsi="Book Antiqua" w:cs="Times New Roman"/>
          <w:i/>
          <w:iCs/>
          <w:sz w:val="20"/>
          <w:szCs w:val="20"/>
        </w:rPr>
        <w:t>n</w:t>
      </w:r>
      <w:r w:rsidR="00606AC7"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w:t>
      </w:r>
      <w:r w:rsidR="00606AC7"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 xml:space="preserve">14), followed by </w:t>
      </w:r>
      <w:r w:rsidR="002B4102" w:rsidRPr="00E709A1">
        <w:rPr>
          <w:rFonts w:ascii="Book Antiqua" w:eastAsia="宋体" w:hAnsi="Book Antiqua" w:cs="Times New Roman"/>
          <w:sz w:val="20"/>
          <w:szCs w:val="20"/>
        </w:rPr>
        <w:t>37.9% (</w:t>
      </w:r>
      <w:r w:rsidR="002B4102" w:rsidRPr="00E709A1">
        <w:rPr>
          <w:rFonts w:ascii="Book Antiqua" w:eastAsia="宋体" w:hAnsi="Book Antiqua" w:cs="Times New Roman"/>
          <w:i/>
          <w:iCs/>
          <w:sz w:val="20"/>
          <w:szCs w:val="20"/>
        </w:rPr>
        <w:t>n</w:t>
      </w:r>
      <w:r w:rsidR="002B4102" w:rsidRPr="00E709A1">
        <w:rPr>
          <w:rFonts w:ascii="Book Antiqua" w:eastAsia="宋体" w:hAnsi="Book Antiqua" w:cs="Times New Roman"/>
          <w:sz w:val="20"/>
          <w:szCs w:val="20"/>
        </w:rPr>
        <w:t xml:space="preserve"> = 11) </w:t>
      </w:r>
      <w:r w:rsidRPr="00E709A1">
        <w:rPr>
          <w:rFonts w:ascii="Book Antiqua" w:eastAsia="宋体" w:hAnsi="Book Antiqua" w:cs="Times New Roman"/>
          <w:sz w:val="20"/>
          <w:szCs w:val="20"/>
        </w:rPr>
        <w:t>predominant LELC</w:t>
      </w:r>
      <w:r w:rsidR="002B4102"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and</w:t>
      </w:r>
      <w:r w:rsidR="002B4102" w:rsidRPr="00E709A1">
        <w:rPr>
          <w:rFonts w:ascii="Book Antiqua" w:eastAsia="宋体" w:hAnsi="Book Antiqua" w:cs="Times New Roman"/>
          <w:sz w:val="20"/>
          <w:szCs w:val="20"/>
        </w:rPr>
        <w:t xml:space="preserve"> 3.4% (</w:t>
      </w:r>
      <w:r w:rsidR="002B4102" w:rsidRPr="00E709A1">
        <w:rPr>
          <w:rFonts w:ascii="Book Antiqua" w:eastAsia="宋体" w:hAnsi="Book Antiqua" w:cs="Times New Roman"/>
          <w:i/>
          <w:iCs/>
          <w:sz w:val="20"/>
          <w:szCs w:val="20"/>
        </w:rPr>
        <w:t>n</w:t>
      </w:r>
      <w:r w:rsidR="002B4102" w:rsidRPr="00E709A1">
        <w:rPr>
          <w:rFonts w:ascii="Book Antiqua" w:eastAsia="宋体" w:hAnsi="Book Antiqua" w:cs="Times New Roman"/>
          <w:sz w:val="20"/>
          <w:szCs w:val="20"/>
        </w:rPr>
        <w:t xml:space="preserve"> = 1)</w:t>
      </w:r>
      <w:r w:rsidRPr="00E709A1">
        <w:rPr>
          <w:rFonts w:ascii="Book Antiqua" w:eastAsia="宋体" w:hAnsi="Book Antiqua" w:cs="Times New Roman"/>
          <w:sz w:val="20"/>
          <w:szCs w:val="20"/>
        </w:rPr>
        <w:t xml:space="preserve"> focal LELC</w:t>
      </w:r>
      <w:r w:rsidR="002B4102"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Epstein-Barr virus testing was negative in all cases.</w:t>
      </w:r>
      <w:bookmarkEnd w:id="20"/>
      <w:bookmarkEnd w:id="21"/>
      <w:r w:rsidRPr="00E709A1">
        <w:rPr>
          <w:rFonts w:ascii="Book Antiqua" w:eastAsia="宋体" w:hAnsi="Book Antiqua" w:cs="Times New Roman"/>
          <w:sz w:val="20"/>
          <w:szCs w:val="20"/>
        </w:rPr>
        <w:t xml:space="preserve"> </w:t>
      </w:r>
      <w:r w:rsidR="00F2336C" w:rsidRPr="00E709A1">
        <w:rPr>
          <w:rFonts w:ascii="Book Antiqua" w:eastAsia="宋体" w:hAnsi="Book Antiqua" w:cs="Times New Roman"/>
          <w:sz w:val="20"/>
          <w:szCs w:val="20"/>
        </w:rPr>
        <w:t xml:space="preserve">Fourteen </w:t>
      </w:r>
      <w:r w:rsidRPr="00E709A1">
        <w:rPr>
          <w:rFonts w:ascii="Book Antiqua" w:eastAsia="宋体" w:hAnsi="Book Antiqua" w:cs="Times New Roman"/>
          <w:sz w:val="20"/>
          <w:szCs w:val="20"/>
        </w:rPr>
        <w:t>patients receiv</w:t>
      </w:r>
      <w:r w:rsidR="002478A1" w:rsidRPr="00E709A1">
        <w:rPr>
          <w:rFonts w:ascii="Book Antiqua" w:eastAsia="宋体" w:hAnsi="Book Antiqua" w:cs="Times New Roman"/>
          <w:sz w:val="20"/>
          <w:szCs w:val="20"/>
        </w:rPr>
        <w:t>e</w:t>
      </w:r>
      <w:r w:rsidRPr="00E709A1">
        <w:rPr>
          <w:rFonts w:ascii="Book Antiqua" w:eastAsia="宋体" w:hAnsi="Book Antiqua" w:cs="Times New Roman"/>
          <w:sz w:val="20"/>
          <w:szCs w:val="20"/>
        </w:rPr>
        <w:t>d radical nephroureterectomy (RNU)</w:t>
      </w:r>
      <w:r w:rsidR="002478A1"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based intervention. </w:t>
      </w:r>
      <w:r w:rsidR="002478A1" w:rsidRPr="00E709A1">
        <w:rPr>
          <w:rFonts w:ascii="Book Antiqua" w:eastAsia="宋体" w:hAnsi="Book Antiqua" w:cs="Times New Roman"/>
          <w:sz w:val="20"/>
          <w:szCs w:val="20"/>
        </w:rPr>
        <w:t xml:space="preserve">Twenty-three </w:t>
      </w:r>
      <w:r w:rsidRPr="00E709A1">
        <w:rPr>
          <w:rFonts w:ascii="Book Antiqua" w:eastAsia="宋体" w:hAnsi="Book Antiqua" w:cs="Times New Roman"/>
          <w:sz w:val="20"/>
          <w:szCs w:val="20"/>
        </w:rPr>
        <w:t>patients survived with no evidence of further metastasis</w:t>
      </w:r>
      <w:r w:rsidR="002478A1"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although six died before the median 18 mo follow-up point. Survival analysis suggests </w:t>
      </w:r>
      <w:r w:rsidRPr="00E709A1">
        <w:rPr>
          <w:rFonts w:ascii="Book Antiqua" w:eastAsia="宋体" w:hAnsi="Book Antiqua" w:cs="Times New Roman"/>
          <w:bCs/>
          <w:sz w:val="20"/>
          <w:szCs w:val="20"/>
        </w:rPr>
        <w:t>pure histological subtypes</w:t>
      </w:r>
      <w:r w:rsidR="002478A1"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patients who receive complete tumor resection have more </w:t>
      </w:r>
      <w:r w:rsidR="00E709A1" w:rsidRPr="00E709A1">
        <w:rPr>
          <w:rFonts w:ascii="Book Antiqua" w:eastAsia="宋体" w:hAnsi="Book Antiqua" w:cs="Times New Roman"/>
          <w:bCs/>
          <w:sz w:val="20"/>
          <w:szCs w:val="20"/>
        </w:rPr>
        <w:t>favorable</w:t>
      </w:r>
      <w:r w:rsidRPr="00E709A1">
        <w:rPr>
          <w:rFonts w:ascii="Book Antiqua" w:eastAsia="宋体" w:hAnsi="Book Antiqua" w:cs="Times New Roman"/>
          <w:bCs/>
          <w:sz w:val="20"/>
          <w:szCs w:val="20"/>
        </w:rPr>
        <w:t xml:space="preserve"> prognoses. As always in cancer care, e</w:t>
      </w:r>
      <w:r w:rsidRPr="00E709A1">
        <w:rPr>
          <w:rFonts w:ascii="Book Antiqua" w:eastAsia="宋体" w:hAnsi="Book Antiqua" w:cs="Times New Roman"/>
          <w:sz w:val="20"/>
          <w:szCs w:val="20"/>
        </w:rPr>
        <w:t>arly identification generally increases the probability of intervention</w:t>
      </w:r>
      <w:r w:rsidR="002478A1" w:rsidRPr="00E709A1">
        <w:rPr>
          <w:rFonts w:ascii="Book Antiqua" w:eastAsia="宋体" w:hAnsi="Book Antiqua" w:cs="Times New Roman"/>
          <w:sz w:val="20"/>
          <w:szCs w:val="20"/>
        </w:rPr>
        <w:t>al</w:t>
      </w:r>
      <w:r w:rsidRPr="00E709A1">
        <w:rPr>
          <w:rFonts w:ascii="Book Antiqua" w:eastAsia="宋体" w:hAnsi="Book Antiqua" w:cs="Times New Roman"/>
          <w:sz w:val="20"/>
          <w:szCs w:val="20"/>
        </w:rPr>
        <w:t xml:space="preserve"> success.</w:t>
      </w:r>
    </w:p>
    <w:p w14:paraId="5F895515" w14:textId="77777777" w:rsidR="00606AC7" w:rsidRPr="00E709A1" w:rsidRDefault="00606AC7" w:rsidP="00310F13">
      <w:pPr>
        <w:snapToGrid w:val="0"/>
        <w:spacing w:line="360" w:lineRule="auto"/>
        <w:rPr>
          <w:rFonts w:ascii="Book Antiqua" w:eastAsia="宋体" w:hAnsi="Book Antiqua" w:cs="Times New Roman"/>
          <w:bCs/>
          <w:sz w:val="20"/>
          <w:szCs w:val="20"/>
        </w:rPr>
      </w:pPr>
    </w:p>
    <w:p w14:paraId="2DC605ED" w14:textId="77777777" w:rsidR="00606AC7" w:rsidRPr="00E709A1" w:rsidRDefault="00606AC7" w:rsidP="00310F13">
      <w:pPr>
        <w:adjustRightInd w:val="0"/>
        <w:snapToGrid w:val="0"/>
        <w:spacing w:line="360" w:lineRule="auto"/>
        <w:rPr>
          <w:rFonts w:ascii="Book Antiqua" w:hAnsi="Book Antiqua"/>
          <w:bCs/>
          <w:caps/>
          <w:sz w:val="20"/>
          <w:szCs w:val="20"/>
        </w:rPr>
      </w:pPr>
      <w:r w:rsidRPr="00E709A1">
        <w:rPr>
          <w:rFonts w:ascii="Book Antiqua" w:hAnsi="Book Antiqua"/>
          <w:bCs/>
          <w:caps/>
          <w:sz w:val="20"/>
          <w:szCs w:val="20"/>
        </w:rPr>
        <w:t>Conclusion</w:t>
      </w:r>
    </w:p>
    <w:p w14:paraId="7C5B9984" w14:textId="3757EF31"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sz w:val="20"/>
          <w:szCs w:val="20"/>
        </w:rPr>
        <w:t>The most effective treatment for UUT-LELC is RNU</w:t>
      </w:r>
      <w:r w:rsidR="00847386"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based therapy. </w:t>
      </w:r>
      <w:r w:rsidR="00923FE2" w:rsidRPr="00E709A1">
        <w:rPr>
          <w:rFonts w:ascii="Book Antiqua" w:eastAsia="宋体" w:hAnsi="Book Antiqua" w:cs="Times New Roman"/>
          <w:sz w:val="20"/>
          <w:szCs w:val="20"/>
        </w:rPr>
        <w:t>Since c</w:t>
      </w:r>
      <w:r w:rsidRPr="00E709A1">
        <w:rPr>
          <w:rFonts w:ascii="Book Antiqua" w:eastAsia="宋体" w:hAnsi="Book Antiqua" w:cs="Times New Roman"/>
          <w:sz w:val="20"/>
          <w:szCs w:val="20"/>
        </w:rPr>
        <w:t>ases are few in number, case reporting must be enhanced and publishing encouraged to both</w:t>
      </w:r>
      <w:r w:rsidR="00923FE2"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 xml:space="preserve">save and prolong </w:t>
      </w:r>
      <w:r w:rsidR="00C85C29" w:rsidRPr="00E709A1">
        <w:rPr>
          <w:rFonts w:ascii="Book Antiqua" w:eastAsia="宋体" w:hAnsi="Book Antiqua" w:cs="Times New Roman"/>
          <w:sz w:val="20"/>
          <w:szCs w:val="20"/>
        </w:rPr>
        <w:t>lives</w:t>
      </w:r>
      <w:r w:rsidRPr="00E709A1">
        <w:rPr>
          <w:rFonts w:ascii="Book Antiqua" w:eastAsia="宋体" w:hAnsi="Book Antiqua" w:cs="Times New Roman"/>
          <w:sz w:val="20"/>
          <w:szCs w:val="20"/>
        </w:rPr>
        <w:t>.</w:t>
      </w:r>
    </w:p>
    <w:p w14:paraId="611D62EC" w14:textId="77777777" w:rsidR="000705B7" w:rsidRPr="00E709A1" w:rsidRDefault="000705B7" w:rsidP="00310F13">
      <w:pPr>
        <w:snapToGrid w:val="0"/>
        <w:spacing w:line="360" w:lineRule="auto"/>
        <w:rPr>
          <w:rFonts w:ascii="Book Antiqua" w:eastAsia="宋体" w:hAnsi="Book Antiqua" w:cs="Times New Roman"/>
          <w:b/>
          <w:sz w:val="20"/>
          <w:szCs w:val="20"/>
        </w:rPr>
      </w:pPr>
    </w:p>
    <w:p w14:paraId="3F68EF3F" w14:textId="53ACDC45" w:rsidR="000705B7" w:rsidRPr="00E709A1" w:rsidRDefault="00606AC7" w:rsidP="00310F13">
      <w:pPr>
        <w:snapToGrid w:val="0"/>
        <w:spacing w:line="360" w:lineRule="auto"/>
        <w:rPr>
          <w:rFonts w:ascii="Book Antiqua" w:eastAsia="宋体" w:hAnsi="Book Antiqua" w:cs="Times New Roman"/>
          <w:bCs/>
          <w:sz w:val="20"/>
          <w:szCs w:val="20"/>
        </w:rPr>
      </w:pPr>
      <w:r w:rsidRPr="00E709A1">
        <w:rPr>
          <w:rFonts w:ascii="Book Antiqua" w:eastAsia="Times New Roman" w:hAnsi="Book Antiqua"/>
          <w:b/>
          <w:bCs/>
          <w:sz w:val="20"/>
          <w:szCs w:val="20"/>
        </w:rPr>
        <w:t>Key words:</w:t>
      </w:r>
      <w:r w:rsidRPr="00E709A1">
        <w:rPr>
          <w:rFonts w:ascii="Book Antiqua" w:hAnsi="Book Antiqua"/>
          <w:sz w:val="20"/>
          <w:szCs w:val="20"/>
        </w:rPr>
        <w:t xml:space="preserve"> </w:t>
      </w:r>
      <w:r w:rsidR="00624006" w:rsidRPr="00E709A1">
        <w:rPr>
          <w:rFonts w:ascii="Book Antiqua" w:eastAsia="宋体" w:hAnsi="Book Antiqua" w:cs="Times New Roman"/>
          <w:bCs/>
          <w:sz w:val="20"/>
          <w:szCs w:val="20"/>
        </w:rPr>
        <w:t xml:space="preserve">Lymphoepithelioma-like carcinoma; Prognosis; </w:t>
      </w:r>
      <w:r w:rsidR="00624006" w:rsidRPr="00E709A1">
        <w:rPr>
          <w:rFonts w:ascii="Book Antiqua" w:eastAsia="宋体" w:hAnsi="Book Antiqua" w:cs="Times New Roman"/>
          <w:sz w:val="20"/>
          <w:szCs w:val="20"/>
        </w:rPr>
        <w:t xml:space="preserve">Radical nephroureterectomy; </w:t>
      </w:r>
      <w:r w:rsidR="00624006" w:rsidRPr="00E709A1">
        <w:rPr>
          <w:rFonts w:ascii="Book Antiqua" w:eastAsia="宋体" w:hAnsi="Book Antiqua" w:cs="Times New Roman"/>
          <w:bCs/>
          <w:sz w:val="20"/>
          <w:szCs w:val="20"/>
        </w:rPr>
        <w:t xml:space="preserve">Upper urinary tract; </w:t>
      </w:r>
      <w:bookmarkStart w:id="22" w:name="OLE_LINK45"/>
      <w:r w:rsidR="00624006" w:rsidRPr="00E709A1">
        <w:rPr>
          <w:rFonts w:ascii="Book Antiqua" w:eastAsia="宋体" w:hAnsi="Book Antiqua" w:cs="Times New Roman"/>
          <w:bCs/>
          <w:sz w:val="20"/>
          <w:szCs w:val="20"/>
        </w:rPr>
        <w:t>Systematic review</w:t>
      </w:r>
      <w:bookmarkEnd w:id="22"/>
      <w:r w:rsidR="00624006" w:rsidRPr="00E709A1">
        <w:rPr>
          <w:rFonts w:ascii="Book Antiqua" w:eastAsia="宋体" w:hAnsi="Book Antiqua" w:cs="Times New Roman"/>
          <w:bCs/>
          <w:sz w:val="20"/>
          <w:szCs w:val="20"/>
        </w:rPr>
        <w:t xml:space="preserve">; </w:t>
      </w:r>
      <w:bookmarkStart w:id="23" w:name="OLE_LINK46"/>
      <w:r w:rsidR="00624006" w:rsidRPr="00E709A1">
        <w:rPr>
          <w:rFonts w:ascii="Book Antiqua" w:eastAsia="宋体" w:hAnsi="Book Antiqua" w:cs="Times New Roman"/>
          <w:bCs/>
          <w:sz w:val="20"/>
          <w:szCs w:val="20"/>
        </w:rPr>
        <w:t>Case report</w:t>
      </w:r>
      <w:bookmarkEnd w:id="23"/>
    </w:p>
    <w:p w14:paraId="37AF12DD" w14:textId="77777777" w:rsidR="000705B7" w:rsidRPr="00E709A1" w:rsidRDefault="000705B7" w:rsidP="00310F13">
      <w:pPr>
        <w:snapToGrid w:val="0"/>
        <w:spacing w:line="360" w:lineRule="auto"/>
        <w:rPr>
          <w:rFonts w:ascii="Book Antiqua" w:eastAsia="宋体" w:hAnsi="Book Antiqua" w:cs="Times New Roman"/>
          <w:bCs/>
          <w:sz w:val="20"/>
          <w:szCs w:val="20"/>
        </w:rPr>
      </w:pPr>
    </w:p>
    <w:p w14:paraId="0E75A198" w14:textId="3593A10F" w:rsidR="00D80D34" w:rsidRPr="00AE2521" w:rsidRDefault="00546796" w:rsidP="00D80D34">
      <w:pPr>
        <w:adjustRightInd w:val="0"/>
        <w:snapToGrid w:val="0"/>
        <w:spacing w:line="360" w:lineRule="auto"/>
        <w:rPr>
          <w:rFonts w:ascii="Book Antiqua" w:hAnsi="Book Antiqua"/>
          <w:bCs/>
          <w:iCs/>
        </w:rPr>
      </w:pPr>
      <w:r w:rsidRPr="00F16189">
        <w:rPr>
          <w:rFonts w:ascii="Book Antiqua" w:hAnsi="Book Antiqua" w:cs="Segoe UI" w:hint="eastAsia"/>
          <w:b/>
          <w:bCs/>
          <w:color w:val="000000"/>
          <w:sz w:val="24"/>
        </w:rPr>
        <w:lastRenderedPageBreak/>
        <w:t>Citation:</w:t>
      </w:r>
      <w:r>
        <w:rPr>
          <w:rFonts w:ascii="Book Antiqua" w:hAnsi="Book Antiqua" w:cs="Segoe UI" w:hint="eastAsia"/>
          <w:b/>
          <w:bCs/>
          <w:color w:val="000000"/>
          <w:sz w:val="24"/>
        </w:rPr>
        <w:t xml:space="preserve"> </w:t>
      </w:r>
      <w:r w:rsidR="00624006" w:rsidRPr="00E709A1">
        <w:rPr>
          <w:rFonts w:ascii="Book Antiqua" w:eastAsia="宋体" w:hAnsi="Book Antiqua" w:cs="Times New Roman"/>
          <w:bCs/>
          <w:sz w:val="20"/>
          <w:szCs w:val="20"/>
        </w:rPr>
        <w:t xml:space="preserve">Lai SC, Seery S, Zhang W, Liu M, Zhang G, Wang JY. Lymphoepithelioma-like carcinoma of the upper urinary tract: A systematic review of case reports. </w:t>
      </w:r>
      <w:r w:rsidR="00624006" w:rsidRPr="00E709A1">
        <w:rPr>
          <w:rFonts w:ascii="Book Antiqua" w:eastAsia="宋体" w:hAnsi="Book Antiqua" w:cs="Times New Roman"/>
          <w:bCs/>
          <w:i/>
          <w:iCs/>
          <w:sz w:val="20"/>
          <w:szCs w:val="20"/>
        </w:rPr>
        <w:t xml:space="preserve">World J </w:t>
      </w:r>
      <w:r w:rsidR="00606AC7" w:rsidRPr="00E709A1">
        <w:rPr>
          <w:rFonts w:ascii="Book Antiqua" w:eastAsia="宋体" w:hAnsi="Book Antiqua" w:cs="Times New Roman"/>
          <w:bCs/>
          <w:i/>
          <w:iCs/>
          <w:sz w:val="20"/>
          <w:szCs w:val="20"/>
        </w:rPr>
        <w:t>Clin Cases</w:t>
      </w:r>
      <w:r w:rsidR="00624006" w:rsidRPr="00E709A1">
        <w:rPr>
          <w:rFonts w:ascii="Book Antiqua" w:eastAsia="宋体" w:hAnsi="Book Antiqua" w:cs="Times New Roman"/>
          <w:bCs/>
          <w:sz w:val="20"/>
          <w:szCs w:val="20"/>
        </w:rPr>
        <w:t xml:space="preserve"> </w:t>
      </w:r>
      <w:r w:rsidR="00D80D34" w:rsidRPr="00AE2521">
        <w:rPr>
          <w:rFonts w:ascii="Book Antiqua" w:hAnsi="Book Antiqua"/>
          <w:bCs/>
          <w:iCs/>
        </w:rPr>
        <w:t xml:space="preserve">2020; 8(4): </w:t>
      </w:r>
      <w:r w:rsidR="004500C5" w:rsidRPr="004500C5">
        <w:rPr>
          <w:rFonts w:ascii="Book Antiqua" w:hAnsi="Book Antiqua"/>
          <w:bCs/>
          <w:iCs/>
        </w:rPr>
        <w:t>771-781</w:t>
      </w:r>
      <w:r w:rsidR="00D80D34" w:rsidRPr="00AE2521">
        <w:rPr>
          <w:rFonts w:ascii="Book Antiqua" w:hAnsi="Book Antiqua"/>
          <w:bCs/>
          <w:iCs/>
        </w:rPr>
        <w:t xml:space="preserve">  </w:t>
      </w:r>
    </w:p>
    <w:p w14:paraId="51C4EEED" w14:textId="2102F602" w:rsidR="00D80D34" w:rsidRPr="00AE2521" w:rsidRDefault="00D80D34" w:rsidP="00D80D34">
      <w:pPr>
        <w:adjustRightInd w:val="0"/>
        <w:snapToGrid w:val="0"/>
        <w:spacing w:line="360" w:lineRule="auto"/>
        <w:rPr>
          <w:rFonts w:ascii="Book Antiqua" w:hAnsi="Book Antiqua"/>
          <w:bCs/>
          <w:iCs/>
        </w:rPr>
      </w:pPr>
      <w:r w:rsidRPr="00AE2521">
        <w:rPr>
          <w:rFonts w:ascii="Book Antiqua" w:hAnsi="Book Antiqua"/>
          <w:b/>
          <w:bCs/>
          <w:iCs/>
        </w:rPr>
        <w:t>URL:</w:t>
      </w:r>
      <w:r w:rsidRPr="00AE2521">
        <w:rPr>
          <w:rFonts w:ascii="Book Antiqua" w:hAnsi="Book Antiqua"/>
          <w:bCs/>
          <w:iCs/>
        </w:rPr>
        <w:t xml:space="preserve"> https://www.wjgnet.com/2307-8960/full/v8/i4/</w:t>
      </w:r>
      <w:r w:rsidR="004500C5">
        <w:rPr>
          <w:rFonts w:ascii="Book Antiqua" w:hAnsi="Book Antiqua" w:hint="eastAsia"/>
          <w:bCs/>
          <w:iCs/>
        </w:rPr>
        <w:t>771</w:t>
      </w:r>
      <w:r w:rsidRPr="00AE2521">
        <w:rPr>
          <w:rFonts w:ascii="Book Antiqua" w:hAnsi="Book Antiqua"/>
          <w:bCs/>
          <w:iCs/>
        </w:rPr>
        <w:t xml:space="preserve">.htm </w:t>
      </w:r>
    </w:p>
    <w:p w14:paraId="0B0EE878" w14:textId="62142544" w:rsidR="00D80D34" w:rsidRPr="00AE2521" w:rsidRDefault="00D80D34" w:rsidP="00D80D34">
      <w:pPr>
        <w:adjustRightInd w:val="0"/>
        <w:snapToGrid w:val="0"/>
        <w:spacing w:line="360" w:lineRule="auto"/>
        <w:rPr>
          <w:rFonts w:ascii="Book Antiqua" w:hAnsi="Book Antiqua"/>
          <w:bCs/>
        </w:rPr>
      </w:pPr>
      <w:r w:rsidRPr="00AE2521">
        <w:rPr>
          <w:rFonts w:ascii="Book Antiqua" w:hAnsi="Book Antiqua"/>
          <w:b/>
          <w:bCs/>
          <w:iCs/>
        </w:rPr>
        <w:t>DOI:</w:t>
      </w:r>
      <w:r w:rsidRPr="00AE2521">
        <w:rPr>
          <w:rFonts w:ascii="Book Antiqua" w:hAnsi="Book Antiqua"/>
          <w:bCs/>
          <w:iCs/>
        </w:rPr>
        <w:t xml:space="preserve"> https://dx.doi.org/10.12998/wjcc.v8.i4.</w:t>
      </w:r>
      <w:r w:rsidR="004500C5">
        <w:rPr>
          <w:rFonts w:ascii="Book Antiqua" w:hAnsi="Book Antiqua" w:hint="eastAsia"/>
          <w:bCs/>
          <w:iCs/>
        </w:rPr>
        <w:t>771</w:t>
      </w:r>
      <w:bookmarkStart w:id="24" w:name="_GoBack"/>
      <w:bookmarkEnd w:id="24"/>
    </w:p>
    <w:p w14:paraId="52736CFE" w14:textId="1E286349" w:rsidR="000705B7" w:rsidRPr="00D80D34" w:rsidRDefault="000705B7" w:rsidP="00310F13">
      <w:pPr>
        <w:snapToGrid w:val="0"/>
        <w:spacing w:line="360" w:lineRule="auto"/>
        <w:rPr>
          <w:rFonts w:ascii="Book Antiqua" w:eastAsia="宋体" w:hAnsi="Book Antiqua" w:cs="Times New Roman"/>
          <w:bCs/>
          <w:sz w:val="20"/>
          <w:szCs w:val="20"/>
        </w:rPr>
      </w:pPr>
    </w:p>
    <w:p w14:paraId="4B8C10C9" w14:textId="77777777" w:rsidR="00606AC7" w:rsidRPr="00E709A1" w:rsidRDefault="00606AC7" w:rsidP="00310F13">
      <w:pPr>
        <w:snapToGrid w:val="0"/>
        <w:spacing w:line="360" w:lineRule="auto"/>
        <w:rPr>
          <w:rFonts w:ascii="Book Antiqua" w:eastAsia="宋体" w:hAnsi="Book Antiqua" w:cs="Times New Roman"/>
          <w:b/>
          <w:bCs/>
          <w:sz w:val="20"/>
          <w:szCs w:val="20"/>
        </w:rPr>
      </w:pPr>
    </w:p>
    <w:p w14:paraId="15E6B2D6" w14:textId="180C6E12" w:rsidR="000705B7" w:rsidRPr="00E709A1" w:rsidRDefault="00624006" w:rsidP="00310F13">
      <w:pPr>
        <w:snapToGrid w:val="0"/>
        <w:spacing w:line="360" w:lineRule="auto"/>
        <w:rPr>
          <w:rFonts w:ascii="Book Antiqua" w:eastAsia="宋体" w:hAnsi="Book Antiqua" w:cs="Times New Roman"/>
          <w:b/>
          <w:sz w:val="20"/>
          <w:szCs w:val="20"/>
        </w:rPr>
      </w:pPr>
      <w:r w:rsidRPr="00E709A1">
        <w:rPr>
          <w:rFonts w:ascii="Book Antiqua" w:eastAsia="宋体" w:hAnsi="Book Antiqua" w:cs="Times New Roman"/>
          <w:b/>
          <w:sz w:val="20"/>
          <w:szCs w:val="20"/>
        </w:rPr>
        <w:t xml:space="preserve">Core tip: </w:t>
      </w:r>
      <w:bookmarkStart w:id="25" w:name="OLE_LINK49"/>
      <w:r w:rsidRPr="00E709A1">
        <w:rPr>
          <w:rFonts w:ascii="Book Antiqua" w:eastAsia="宋体" w:hAnsi="Book Antiqua" w:cs="Times New Roman"/>
          <w:sz w:val="20"/>
          <w:szCs w:val="20"/>
        </w:rPr>
        <w:t>Lymphoepithelioma-like carcinoma</w:t>
      </w:r>
      <w:r w:rsidR="00324497"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in the urinary tract are extremely rare, hence there is little evidence to provide clinical guidelines. Of the 28 participants included in this systematic review of case reports, 23 patients survived with no evidence of further metastasis. Survival analysis suggests </w:t>
      </w:r>
      <w:r w:rsidRPr="00E709A1">
        <w:rPr>
          <w:rFonts w:ascii="Book Antiqua" w:eastAsia="宋体" w:hAnsi="Book Antiqua" w:cs="Times New Roman"/>
          <w:bCs/>
          <w:sz w:val="20"/>
          <w:szCs w:val="20"/>
        </w:rPr>
        <w:t>pure histological subtypes</w:t>
      </w:r>
      <w:r w:rsidR="00324497"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patients who receive complete tumor resection have more </w:t>
      </w:r>
      <w:r w:rsidR="00E709A1" w:rsidRPr="00E709A1">
        <w:rPr>
          <w:rFonts w:ascii="Book Antiqua" w:eastAsia="宋体" w:hAnsi="Book Antiqua" w:cs="Times New Roman"/>
          <w:bCs/>
          <w:sz w:val="20"/>
          <w:szCs w:val="20"/>
        </w:rPr>
        <w:t>favorable</w:t>
      </w:r>
      <w:r w:rsidRPr="00E709A1">
        <w:rPr>
          <w:rFonts w:ascii="Book Antiqua" w:eastAsia="宋体" w:hAnsi="Book Antiqua" w:cs="Times New Roman"/>
          <w:bCs/>
          <w:sz w:val="20"/>
          <w:szCs w:val="20"/>
        </w:rPr>
        <w:t xml:space="preserve"> prognoses. As always in cancer care, e</w:t>
      </w:r>
      <w:r w:rsidRPr="00E709A1">
        <w:rPr>
          <w:rFonts w:ascii="Book Antiqua" w:eastAsia="宋体" w:hAnsi="Book Antiqua" w:cs="Times New Roman"/>
          <w:sz w:val="20"/>
          <w:szCs w:val="20"/>
        </w:rPr>
        <w:t>arly identification generally increases the probability of intervention</w:t>
      </w:r>
      <w:r w:rsidR="00324497" w:rsidRPr="00E709A1">
        <w:rPr>
          <w:rFonts w:ascii="Book Antiqua" w:eastAsia="宋体" w:hAnsi="Book Antiqua" w:cs="Times New Roman"/>
          <w:sz w:val="20"/>
          <w:szCs w:val="20"/>
        </w:rPr>
        <w:t>al</w:t>
      </w:r>
      <w:r w:rsidRPr="00E709A1">
        <w:rPr>
          <w:rFonts w:ascii="Book Antiqua" w:eastAsia="宋体" w:hAnsi="Book Antiqua" w:cs="Times New Roman"/>
          <w:sz w:val="20"/>
          <w:szCs w:val="20"/>
        </w:rPr>
        <w:t xml:space="preserve"> success</w:t>
      </w:r>
      <w:r w:rsidR="00324497"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although this evidence base must be developed with more rigorous testing and case reporting.</w:t>
      </w:r>
    </w:p>
    <w:bookmarkEnd w:id="25"/>
    <w:p w14:paraId="4E676D0B" w14:textId="77777777" w:rsidR="000705B7" w:rsidRPr="00E709A1" w:rsidRDefault="00624006" w:rsidP="00310F13">
      <w:pPr>
        <w:snapToGrid w:val="0"/>
        <w:spacing w:line="360" w:lineRule="auto"/>
        <w:rPr>
          <w:rFonts w:ascii="Book Antiqua" w:eastAsia="宋体" w:hAnsi="Book Antiqua" w:cs="Times New Roman"/>
          <w:b/>
          <w:bCs/>
          <w:sz w:val="20"/>
          <w:szCs w:val="20"/>
        </w:rPr>
      </w:pPr>
      <w:r w:rsidRPr="00E709A1">
        <w:rPr>
          <w:rFonts w:ascii="Book Antiqua" w:eastAsia="宋体" w:hAnsi="Book Antiqua" w:cs="Times New Roman"/>
          <w:b/>
          <w:sz w:val="20"/>
          <w:szCs w:val="20"/>
        </w:rPr>
        <w:br w:type="page"/>
      </w:r>
    </w:p>
    <w:p w14:paraId="202452EA" w14:textId="77777777" w:rsidR="00606AC7" w:rsidRPr="00E709A1" w:rsidRDefault="00606AC7" w:rsidP="00310F13">
      <w:pPr>
        <w:adjustRightInd w:val="0"/>
        <w:snapToGrid w:val="0"/>
        <w:spacing w:line="360" w:lineRule="auto"/>
        <w:rPr>
          <w:rFonts w:ascii="Book Antiqua" w:eastAsia="Times New Roman" w:hAnsi="Book Antiqua"/>
          <w:bCs/>
          <w:sz w:val="20"/>
          <w:szCs w:val="20"/>
          <w:u w:val="single"/>
        </w:rPr>
      </w:pPr>
      <w:r w:rsidRPr="00E709A1">
        <w:rPr>
          <w:rFonts w:ascii="Book Antiqua" w:eastAsia="Times New Roman" w:hAnsi="Book Antiqua"/>
          <w:b/>
          <w:bCs/>
          <w:sz w:val="20"/>
          <w:szCs w:val="20"/>
          <w:u w:val="single"/>
        </w:rPr>
        <w:lastRenderedPageBreak/>
        <w:t>INTRODUCTION</w:t>
      </w:r>
    </w:p>
    <w:p w14:paraId="56F53903" w14:textId="73D2DAD8"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sz w:val="20"/>
          <w:szCs w:val="20"/>
        </w:rPr>
        <w:t>Lymphoepithelioma-like carcinoma</w:t>
      </w:r>
      <w:r w:rsidR="00E74D50"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(LELC) are rare, malignant epithelial </w:t>
      </w:r>
      <w:r w:rsidR="00E709A1" w:rsidRPr="00E709A1">
        <w:rPr>
          <w:rFonts w:ascii="Book Antiqua" w:eastAsia="宋体" w:hAnsi="Book Antiqua" w:cs="Times New Roman"/>
          <w:sz w:val="20"/>
          <w:szCs w:val="20"/>
        </w:rPr>
        <w:t>tumors</w:t>
      </w:r>
      <w:r w:rsidR="00E74D50" w:rsidRPr="00E709A1">
        <w:rPr>
          <w:rFonts w:ascii="Book Antiqua" w:eastAsia="宋体" w:hAnsi="Book Antiqua" w:cs="Times New Roman"/>
          <w:sz w:val="20"/>
          <w:szCs w:val="20"/>
        </w:rPr>
        <w:t xml:space="preserve"> that</w:t>
      </w:r>
      <w:r w:rsidRPr="00E709A1">
        <w:rPr>
          <w:rFonts w:ascii="Book Antiqua" w:eastAsia="宋体" w:hAnsi="Book Antiqua" w:cs="Times New Roman"/>
          <w:sz w:val="20"/>
          <w:szCs w:val="20"/>
        </w:rPr>
        <w:t xml:space="preserve"> are generally considered a subtype</w:t>
      </w:r>
      <w:r w:rsidR="001E579E" w:rsidRPr="00E709A1">
        <w:rPr>
          <w:rFonts w:ascii="Book Antiqua" w:eastAsia="宋体" w:hAnsi="Book Antiqua" w:cs="Times New Roman"/>
          <w:sz w:val="20"/>
          <w:szCs w:val="20"/>
        </w:rPr>
        <w:t xml:space="preserve"> of</w:t>
      </w:r>
      <w:r w:rsidRPr="00E709A1">
        <w:rPr>
          <w:rFonts w:ascii="Book Antiqua" w:eastAsia="宋体" w:hAnsi="Book Antiqua" w:cs="Times New Roman"/>
          <w:sz w:val="20"/>
          <w:szCs w:val="20"/>
        </w:rPr>
        <w:t xml:space="preserve"> squamous cell carcinoma. LELC</w:t>
      </w:r>
      <w:r w:rsidR="001E579E"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are undifferentiated</w:t>
      </w:r>
      <w:r w:rsidR="001520D8"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with histological features </w:t>
      </w:r>
      <w:r w:rsidR="001520D8" w:rsidRPr="00E709A1">
        <w:rPr>
          <w:rFonts w:ascii="Book Antiqua" w:eastAsia="宋体" w:hAnsi="Book Antiqua" w:cs="Times New Roman"/>
          <w:sz w:val="20"/>
          <w:szCs w:val="20"/>
        </w:rPr>
        <w:t xml:space="preserve">that </w:t>
      </w:r>
      <w:r w:rsidRPr="00E709A1">
        <w:rPr>
          <w:rFonts w:ascii="Book Antiqua" w:eastAsia="宋体" w:hAnsi="Book Antiqua" w:cs="Times New Roman"/>
          <w:sz w:val="20"/>
          <w:szCs w:val="20"/>
        </w:rPr>
        <w:t xml:space="preserve">bear </w:t>
      </w:r>
      <w:bookmarkStart w:id="26" w:name="OLE_LINK15"/>
      <w:r w:rsidRPr="00E709A1">
        <w:rPr>
          <w:rFonts w:ascii="Book Antiqua" w:eastAsia="宋体" w:hAnsi="Book Antiqua" w:cs="Times New Roman"/>
          <w:sz w:val="20"/>
          <w:szCs w:val="20"/>
        </w:rPr>
        <w:t>a striking morphologic</w:t>
      </w:r>
      <w:r w:rsidR="001520D8" w:rsidRPr="00E709A1">
        <w:rPr>
          <w:rFonts w:ascii="Book Antiqua" w:eastAsia="宋体" w:hAnsi="Book Antiqua" w:cs="Times New Roman"/>
          <w:sz w:val="20"/>
          <w:szCs w:val="20"/>
        </w:rPr>
        <w:t>al</w:t>
      </w:r>
      <w:r w:rsidRPr="00E709A1">
        <w:rPr>
          <w:rFonts w:ascii="Book Antiqua" w:eastAsia="宋体" w:hAnsi="Book Antiqua" w:cs="Times New Roman"/>
          <w:sz w:val="20"/>
          <w:szCs w:val="20"/>
        </w:rPr>
        <w:t xml:space="preserve"> resemblance to</w:t>
      </w:r>
      <w:bookmarkEnd w:id="26"/>
      <w:r w:rsidRPr="00E709A1">
        <w:rPr>
          <w:rFonts w:ascii="Book Antiqua" w:eastAsia="宋体" w:hAnsi="Book Antiqua" w:cs="Times New Roman"/>
          <w:sz w:val="20"/>
          <w:szCs w:val="20"/>
        </w:rPr>
        <w:t xml:space="preserve"> non-keratinizing nasopharyngeal carcinomas</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KYMRREF{5D2893EE-DD9C-42E7-B353-2596C163F4A5}17114</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LELC</w:t>
      </w:r>
      <w:r w:rsidR="00DB3A3D"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occur in multiple tissues across the body, including salivary glands, thymus, lung, stomach, ovary, uterine cervix and breast</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KYMRREF{5D2893EE-DD9C-42E7-B353-2596C163F4A5}17115,{5D2893EE-DD9C-42E7-B353-2596C163F4A5}17116,{5D2893EE-DD9C-42E7-B353-2596C163F4A5}17117</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[2-4]</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However, LELC</w:t>
      </w:r>
      <w:r w:rsidR="00A47105"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in the urinary tract are extremely rare and</w:t>
      </w:r>
      <w:r w:rsidR="00A47105"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to the best of our knowledge, most previously described urinary LELC</w:t>
      </w:r>
      <w:r w:rsidR="00A47105"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have been reported </w:t>
      </w:r>
      <w:r w:rsidR="00A47105" w:rsidRPr="00E709A1">
        <w:rPr>
          <w:rFonts w:ascii="Book Antiqua" w:eastAsia="宋体" w:hAnsi="Book Antiqua" w:cs="Times New Roman"/>
          <w:sz w:val="20"/>
          <w:szCs w:val="20"/>
        </w:rPr>
        <w:t xml:space="preserve">to </w:t>
      </w:r>
      <w:r w:rsidRPr="00E709A1">
        <w:rPr>
          <w:rFonts w:ascii="Book Antiqua" w:eastAsia="宋体" w:hAnsi="Book Antiqua" w:cs="Times New Roman"/>
          <w:sz w:val="20"/>
          <w:szCs w:val="20"/>
        </w:rPr>
        <w:t>occur in the bladder</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KYMRREF{5D2893EE-DD9C-42E7-B353-2596C163F4A5}17114,{5D2893EE-DD9C-42E7-B353-2596C163F4A5}17118</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[1,5]</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xml:space="preserve">. </w:t>
      </w:r>
      <w:bookmarkStart w:id="27" w:name="OLE_LINK9"/>
      <w:bookmarkStart w:id="28" w:name="OLE_LINK10"/>
      <w:r w:rsidRPr="00E709A1">
        <w:rPr>
          <w:rFonts w:ascii="Book Antiqua" w:eastAsia="宋体" w:hAnsi="Book Antiqua" w:cs="Times New Roman"/>
          <w:sz w:val="20"/>
          <w:szCs w:val="20"/>
        </w:rPr>
        <w:t>Rationally speaking, there are likely to be distinctions between subtypes</w:t>
      </w:r>
      <w:r w:rsidR="00280D1F"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related to the exact location</w:t>
      </w:r>
      <w:r w:rsidR="00280D1F"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as well as specific risk factors associated with these carcinomas.</w:t>
      </w:r>
    </w:p>
    <w:bookmarkEnd w:id="27"/>
    <w:bookmarkEnd w:id="28"/>
    <w:p w14:paraId="189911D1" w14:textId="070A197E" w:rsidR="000705B7" w:rsidRPr="00E709A1" w:rsidRDefault="002E0C9C" w:rsidP="00310F13">
      <w:pPr>
        <w:snapToGrid w:val="0"/>
        <w:spacing w:line="360" w:lineRule="auto"/>
        <w:ind w:firstLineChars="100" w:firstLine="200"/>
        <w:rPr>
          <w:rFonts w:ascii="Book Antiqua" w:eastAsia="宋体" w:hAnsi="Book Antiqua" w:cs="Times New Roman"/>
          <w:sz w:val="20"/>
          <w:szCs w:val="20"/>
        </w:rPr>
      </w:pPr>
      <w:r w:rsidRPr="00E709A1">
        <w:rPr>
          <w:rFonts w:ascii="Book Antiqua" w:eastAsia="宋体" w:hAnsi="Book Antiqua" w:cs="Times New Roman"/>
          <w:sz w:val="20"/>
          <w:szCs w:val="20"/>
        </w:rPr>
        <w:t>Current e</w:t>
      </w:r>
      <w:r w:rsidR="00624006" w:rsidRPr="00E709A1">
        <w:rPr>
          <w:rFonts w:ascii="Book Antiqua" w:eastAsia="宋体" w:hAnsi="Book Antiqua" w:cs="Times New Roman"/>
          <w:sz w:val="20"/>
          <w:szCs w:val="20"/>
        </w:rPr>
        <w:t>vidence does not provide clinicians with clear guidelines</w:t>
      </w:r>
      <w:r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due to the relative rareness of these carcinomas. Even within the most common LELC locations</w:t>
      </w:r>
      <w:r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there remains some controversy. Several studies have identified an association between Epstein-Barr virus (EBV) and nasopharyngeal, stomach, and lung LELC</w:t>
      </w:r>
      <w:r w:rsidRPr="00E709A1">
        <w:rPr>
          <w:rFonts w:ascii="Book Antiqua" w:eastAsia="宋体" w:hAnsi="Book Antiqua" w:cs="Times New Roman"/>
          <w:sz w:val="20"/>
          <w:szCs w:val="20"/>
        </w:rPr>
        <w:t>s</w:t>
      </w:r>
      <w:r w:rsidR="00624006" w:rsidRPr="00E709A1">
        <w:rPr>
          <w:rFonts w:ascii="Book Antiqua" w:eastAsia="宋体" w:hAnsi="Book Antiqua" w:cs="Times New Roman"/>
          <w:sz w:val="20"/>
          <w:szCs w:val="20"/>
        </w:rPr>
        <w:fldChar w:fldCharType="begin"/>
      </w:r>
      <w:r w:rsidR="00624006" w:rsidRPr="00E709A1">
        <w:rPr>
          <w:rFonts w:ascii="Book Antiqua" w:eastAsia="宋体" w:hAnsi="Book Antiqua" w:cs="Times New Roman"/>
          <w:sz w:val="20"/>
          <w:szCs w:val="20"/>
        </w:rPr>
        <w:instrText xml:space="preserve"> ADDIN KYMRREF{5D2893EE-DD9C-42E7-B353-2596C163F4A5}17119</w:instrText>
      </w:r>
      <w:r w:rsidR="00624006" w:rsidRPr="00E709A1">
        <w:rPr>
          <w:rFonts w:ascii="Book Antiqua" w:eastAsia="宋体" w:hAnsi="Book Antiqua" w:cs="Times New Roman"/>
          <w:sz w:val="20"/>
          <w:szCs w:val="20"/>
        </w:rPr>
        <w:fldChar w:fldCharType="separate"/>
      </w:r>
      <w:r w:rsidR="00624006" w:rsidRPr="00E709A1">
        <w:rPr>
          <w:rFonts w:ascii="Book Antiqua" w:eastAsia="宋体" w:hAnsi="Book Antiqua" w:cs="Times New Roman"/>
          <w:sz w:val="20"/>
          <w:szCs w:val="20"/>
          <w:vertAlign w:val="superscript"/>
        </w:rPr>
        <w:t>[6]</w:t>
      </w:r>
      <w:r w:rsidR="00624006" w:rsidRPr="00E709A1">
        <w:rPr>
          <w:rFonts w:ascii="Book Antiqua" w:eastAsia="宋体" w:hAnsi="Book Antiqua" w:cs="Times New Roman"/>
          <w:sz w:val="20"/>
          <w:szCs w:val="20"/>
        </w:rPr>
        <w:fldChar w:fldCharType="end"/>
      </w:r>
      <w:r w:rsidR="00624006" w:rsidRPr="00E709A1">
        <w:rPr>
          <w:rFonts w:ascii="Book Antiqua" w:eastAsia="宋体" w:hAnsi="Book Antiqua" w:cs="Times New Roman"/>
          <w:sz w:val="20"/>
          <w:szCs w:val="20"/>
        </w:rPr>
        <w:t>, although this association is not apparent in other locations. For example, a systematic review of 142 patients</w:t>
      </w:r>
      <w:r w:rsidR="00624006" w:rsidRPr="00E709A1">
        <w:rPr>
          <w:rFonts w:ascii="Book Antiqua" w:eastAsia="宋体" w:hAnsi="Book Antiqua" w:cs="Times New Roman"/>
          <w:sz w:val="20"/>
          <w:szCs w:val="20"/>
        </w:rPr>
        <w:fldChar w:fldCharType="begin"/>
      </w:r>
      <w:r w:rsidR="00624006" w:rsidRPr="00E709A1">
        <w:rPr>
          <w:rFonts w:ascii="Book Antiqua" w:eastAsia="宋体" w:hAnsi="Book Antiqua" w:cs="Times New Roman"/>
          <w:sz w:val="20"/>
          <w:szCs w:val="20"/>
        </w:rPr>
        <w:instrText xml:space="preserve"> ADDIN KYMRREF{5D2893EE-DD9C-42E7-B353-2596C163F4A5}17120</w:instrText>
      </w:r>
      <w:r w:rsidR="00624006" w:rsidRPr="00E709A1">
        <w:rPr>
          <w:rFonts w:ascii="Book Antiqua" w:eastAsia="宋体" w:hAnsi="Book Antiqua" w:cs="Times New Roman"/>
          <w:sz w:val="20"/>
          <w:szCs w:val="20"/>
        </w:rPr>
        <w:fldChar w:fldCharType="separate"/>
      </w:r>
      <w:r w:rsidR="00624006" w:rsidRPr="00E709A1">
        <w:rPr>
          <w:rFonts w:ascii="Book Antiqua" w:eastAsia="宋体" w:hAnsi="Book Antiqua" w:cs="Times New Roman"/>
          <w:sz w:val="20"/>
          <w:szCs w:val="20"/>
          <w:vertAlign w:val="superscript"/>
        </w:rPr>
        <w:t>[7]</w:t>
      </w:r>
      <w:r w:rsidR="00624006" w:rsidRPr="00E709A1">
        <w:rPr>
          <w:rFonts w:ascii="Book Antiqua" w:eastAsia="宋体" w:hAnsi="Book Antiqua" w:cs="Times New Roman"/>
          <w:sz w:val="20"/>
          <w:szCs w:val="20"/>
        </w:rPr>
        <w:fldChar w:fldCharType="end"/>
      </w:r>
      <w:r w:rsidR="00624006" w:rsidRPr="00E709A1">
        <w:rPr>
          <w:rFonts w:ascii="Book Antiqua" w:eastAsia="宋体" w:hAnsi="Book Antiqua" w:cs="Times New Roman"/>
          <w:sz w:val="20"/>
          <w:szCs w:val="20"/>
        </w:rPr>
        <w:t xml:space="preserve"> diagnosed with bladder LELC</w:t>
      </w:r>
      <w:r w:rsidRPr="00E709A1">
        <w:rPr>
          <w:rFonts w:ascii="Book Antiqua" w:eastAsia="宋体" w:hAnsi="Book Antiqua" w:cs="Times New Roman"/>
          <w:sz w:val="20"/>
          <w:szCs w:val="20"/>
        </w:rPr>
        <w:t>s,</w:t>
      </w:r>
      <w:r w:rsidR="00624006" w:rsidRPr="00E709A1">
        <w:rPr>
          <w:rFonts w:ascii="Book Antiqua" w:eastAsia="宋体" w:hAnsi="Book Antiqua" w:cs="Times New Roman"/>
          <w:sz w:val="20"/>
          <w:szCs w:val="20"/>
        </w:rPr>
        <w:t xml:space="preserve"> as well as several case reports focusing on renal LELC</w:t>
      </w:r>
      <w:r w:rsidRPr="00E709A1">
        <w:rPr>
          <w:rFonts w:ascii="Book Antiqua" w:eastAsia="宋体" w:hAnsi="Book Antiqua" w:cs="Times New Roman"/>
          <w:sz w:val="20"/>
          <w:szCs w:val="20"/>
        </w:rPr>
        <w:t>s</w:t>
      </w:r>
      <w:r w:rsidR="00624006" w:rsidRPr="00E709A1">
        <w:rPr>
          <w:rFonts w:ascii="Book Antiqua" w:eastAsia="宋体" w:hAnsi="Book Antiqua" w:cs="Times New Roman"/>
          <w:sz w:val="20"/>
          <w:szCs w:val="20"/>
        </w:rPr>
        <w:fldChar w:fldCharType="begin"/>
      </w:r>
      <w:r w:rsidR="00624006" w:rsidRPr="00E709A1">
        <w:rPr>
          <w:rFonts w:ascii="Book Antiqua" w:eastAsia="宋体" w:hAnsi="Book Antiqua" w:cs="Times New Roman"/>
          <w:sz w:val="20"/>
          <w:szCs w:val="20"/>
        </w:rPr>
        <w:instrText xml:space="preserve"> ADDIN KYMRREF{5D2893EE-DD9C-42E7-B353-2596C163F4A5}17121</w:instrText>
      </w:r>
      <w:r w:rsidR="00624006" w:rsidRPr="00E709A1">
        <w:rPr>
          <w:rFonts w:ascii="Book Antiqua" w:eastAsia="宋体" w:hAnsi="Book Antiqua" w:cs="Times New Roman"/>
          <w:sz w:val="20"/>
          <w:szCs w:val="20"/>
        </w:rPr>
        <w:fldChar w:fldCharType="separate"/>
      </w:r>
      <w:r w:rsidR="00624006" w:rsidRPr="00E709A1">
        <w:rPr>
          <w:rFonts w:ascii="Book Antiqua" w:eastAsia="宋体" w:hAnsi="Book Antiqua" w:cs="Times New Roman"/>
          <w:sz w:val="20"/>
          <w:szCs w:val="20"/>
          <w:vertAlign w:val="superscript"/>
        </w:rPr>
        <w:t>[8]</w:t>
      </w:r>
      <w:r w:rsidR="00624006"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xml:space="preserve">, </w:t>
      </w:r>
      <w:r w:rsidR="00624006" w:rsidRPr="00E709A1">
        <w:rPr>
          <w:rFonts w:ascii="Book Antiqua" w:eastAsia="宋体" w:hAnsi="Book Antiqua" w:cs="Times New Roman"/>
          <w:sz w:val="20"/>
          <w:szCs w:val="20"/>
        </w:rPr>
        <w:t xml:space="preserve">suggests </w:t>
      </w:r>
      <w:r w:rsidRPr="00E709A1">
        <w:rPr>
          <w:rFonts w:ascii="Book Antiqua" w:eastAsia="宋体" w:hAnsi="Book Antiqua" w:cs="Times New Roman"/>
          <w:sz w:val="20"/>
          <w:szCs w:val="20"/>
        </w:rPr>
        <w:t xml:space="preserve">that </w:t>
      </w:r>
      <w:r w:rsidR="00606AC7" w:rsidRPr="00E709A1">
        <w:rPr>
          <w:rFonts w:ascii="Book Antiqua" w:eastAsia="宋体" w:hAnsi="Book Antiqua" w:cs="Times New Roman"/>
          <w:sz w:val="20"/>
          <w:szCs w:val="20"/>
        </w:rPr>
        <w:t>these</w:t>
      </w:r>
      <w:r w:rsidR="00624006" w:rsidRPr="00E709A1">
        <w:rPr>
          <w:rFonts w:ascii="Book Antiqua" w:eastAsia="宋体" w:hAnsi="Book Antiqua" w:cs="Times New Roman"/>
          <w:sz w:val="20"/>
          <w:szCs w:val="20"/>
        </w:rPr>
        <w:t xml:space="preserve"> types are not associated with the presence of EBV. Clearly, there is a need to differentiate all LELC types</w:t>
      </w:r>
      <w:r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and to identify risk factors for early identification. At present, little is known about </w:t>
      </w:r>
      <w:bookmarkStart w:id="29" w:name="OLE_LINK6"/>
      <w:bookmarkStart w:id="30" w:name="OLE_LINK3"/>
      <w:r w:rsidR="00624006" w:rsidRPr="00E709A1">
        <w:rPr>
          <w:rFonts w:ascii="Book Antiqua" w:eastAsia="宋体" w:hAnsi="Book Antiqua" w:cs="Times New Roman"/>
          <w:sz w:val="20"/>
          <w:szCs w:val="20"/>
        </w:rPr>
        <w:t>upper urinary tract LELC</w:t>
      </w:r>
      <w:bookmarkEnd w:id="29"/>
      <w:bookmarkEnd w:id="30"/>
      <w:r w:rsidRPr="00E709A1">
        <w:rPr>
          <w:rFonts w:ascii="Book Antiqua" w:eastAsia="宋体" w:hAnsi="Book Antiqua" w:cs="Times New Roman"/>
          <w:sz w:val="20"/>
          <w:szCs w:val="20"/>
        </w:rPr>
        <w:t>s</w:t>
      </w:r>
      <w:r w:rsidR="00624006" w:rsidRPr="00E709A1">
        <w:rPr>
          <w:rFonts w:ascii="Book Antiqua" w:eastAsia="宋体" w:hAnsi="Book Antiqua" w:cs="Times New Roman"/>
          <w:sz w:val="20"/>
          <w:szCs w:val="20"/>
        </w:rPr>
        <w:t xml:space="preserve"> (UUT-LELC</w:t>
      </w:r>
      <w:r w:rsidRPr="00E709A1">
        <w:rPr>
          <w:rFonts w:ascii="Book Antiqua" w:eastAsia="宋体" w:hAnsi="Book Antiqua" w:cs="Times New Roman"/>
          <w:sz w:val="20"/>
          <w:szCs w:val="20"/>
        </w:rPr>
        <w:t>s</w:t>
      </w:r>
      <w:r w:rsidR="00624006" w:rsidRPr="00E709A1">
        <w:rPr>
          <w:rFonts w:ascii="Book Antiqua" w:eastAsia="宋体" w:hAnsi="Book Antiqua" w:cs="Times New Roman"/>
          <w:sz w:val="20"/>
          <w:szCs w:val="20"/>
        </w:rPr>
        <w:t xml:space="preserve">) due to the lack of evidence and </w:t>
      </w:r>
      <w:r w:rsidRPr="00E709A1">
        <w:rPr>
          <w:rFonts w:ascii="Book Antiqua" w:eastAsia="宋体" w:hAnsi="Book Antiqua" w:cs="Times New Roman"/>
          <w:sz w:val="20"/>
          <w:szCs w:val="20"/>
        </w:rPr>
        <w:t xml:space="preserve">the </w:t>
      </w:r>
      <w:r w:rsidR="00624006" w:rsidRPr="00E709A1">
        <w:rPr>
          <w:rFonts w:ascii="Book Antiqua" w:eastAsia="宋体" w:hAnsi="Book Antiqua" w:cs="Times New Roman"/>
          <w:sz w:val="20"/>
          <w:szCs w:val="20"/>
        </w:rPr>
        <w:t>limited number of publications.</w:t>
      </w:r>
    </w:p>
    <w:p w14:paraId="434D3DB7" w14:textId="2980BCFC" w:rsidR="000705B7" w:rsidRPr="00E709A1" w:rsidRDefault="00624006" w:rsidP="00310F13">
      <w:pPr>
        <w:snapToGrid w:val="0"/>
        <w:spacing w:line="360" w:lineRule="auto"/>
        <w:ind w:firstLineChars="100" w:firstLine="200"/>
        <w:rPr>
          <w:rFonts w:ascii="Book Antiqua" w:eastAsia="宋体" w:hAnsi="Book Antiqua" w:cs="Times New Roman"/>
          <w:b/>
          <w:sz w:val="20"/>
          <w:szCs w:val="20"/>
        </w:rPr>
      </w:pPr>
      <w:r w:rsidRPr="00E709A1">
        <w:rPr>
          <w:rFonts w:ascii="Book Antiqua" w:eastAsia="宋体" w:hAnsi="Book Antiqua" w:cs="Times New Roman"/>
          <w:sz w:val="20"/>
          <w:szCs w:val="20"/>
        </w:rPr>
        <w:t>Consequently, w</w:t>
      </w:r>
      <w:r w:rsidR="00606AC7" w:rsidRPr="00E709A1">
        <w:rPr>
          <w:rFonts w:ascii="Book Antiqua" w:eastAsia="宋体" w:hAnsi="Book Antiqua" w:cs="Times New Roman"/>
          <w:sz w:val="20"/>
          <w:szCs w:val="20"/>
        </w:rPr>
        <w:t>e</w:t>
      </w:r>
      <w:r w:rsidRPr="00E709A1">
        <w:rPr>
          <w:rFonts w:ascii="Book Antiqua" w:eastAsia="宋体" w:hAnsi="Book Antiqua" w:cs="Times New Roman"/>
          <w:sz w:val="20"/>
          <w:szCs w:val="20"/>
        </w:rPr>
        <w:t xml:space="preserve"> performed a systematic review of all </w:t>
      </w:r>
      <w:bookmarkStart w:id="31" w:name="OLE_LINK2"/>
      <w:bookmarkStart w:id="32" w:name="OLE_LINK1"/>
      <w:r w:rsidRPr="00E709A1">
        <w:rPr>
          <w:rFonts w:ascii="Book Antiqua" w:eastAsia="宋体" w:hAnsi="Book Antiqua" w:cs="Times New Roman"/>
          <w:sz w:val="20"/>
          <w:szCs w:val="20"/>
        </w:rPr>
        <w:t xml:space="preserve">available English literature to </w:t>
      </w:r>
      <w:r w:rsidR="00E709A1" w:rsidRPr="00E709A1">
        <w:rPr>
          <w:rFonts w:ascii="Book Antiqua" w:eastAsia="宋体" w:hAnsi="Book Antiqua" w:cs="Times New Roman"/>
          <w:sz w:val="20"/>
          <w:szCs w:val="20"/>
        </w:rPr>
        <w:t>analyze</w:t>
      </w:r>
      <w:r w:rsidRPr="00E709A1">
        <w:rPr>
          <w:rFonts w:ascii="Book Antiqua" w:eastAsia="宋体" w:hAnsi="Book Antiqua" w:cs="Times New Roman"/>
          <w:sz w:val="20"/>
          <w:szCs w:val="20"/>
        </w:rPr>
        <w:t xml:space="preserve"> and differentiate associations with this LELC type. The primary goal was to develop this evidence base for practitioners and clinicians. As such, we investigated disease management techniques</w:t>
      </w:r>
      <w:r w:rsidR="00887478"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with a view to quantifying risks and identifying </w:t>
      </w:r>
      <w:r w:rsidR="00606AC7" w:rsidRPr="00E709A1">
        <w:rPr>
          <w:rFonts w:ascii="Book Antiqua" w:eastAsia="宋体" w:hAnsi="Book Antiqua" w:cs="Times New Roman"/>
          <w:sz w:val="20"/>
          <w:szCs w:val="20"/>
        </w:rPr>
        <w:t>prognos</w:t>
      </w:r>
      <w:r w:rsidRPr="00E709A1">
        <w:rPr>
          <w:rFonts w:ascii="Book Antiqua" w:eastAsia="宋体" w:hAnsi="Book Antiqua" w:cs="Times New Roman"/>
          <w:sz w:val="20"/>
          <w:szCs w:val="20"/>
        </w:rPr>
        <w:t>tic factors associated with this rare</w:t>
      </w:r>
      <w:r w:rsidRPr="00E709A1">
        <w:rPr>
          <w:rFonts w:ascii="Book Antiqua" w:eastAsia="宋体" w:hAnsi="Book Antiqua" w:cs="Arial"/>
          <w:sz w:val="20"/>
          <w:szCs w:val="20"/>
        </w:rPr>
        <w:t xml:space="preserve"> </w:t>
      </w:r>
      <w:r w:rsidRPr="00E709A1">
        <w:rPr>
          <w:rFonts w:ascii="Book Antiqua" w:eastAsia="宋体" w:hAnsi="Book Antiqua" w:cs="Times New Roman"/>
          <w:sz w:val="20"/>
          <w:szCs w:val="20"/>
        </w:rPr>
        <w:t xml:space="preserve">malignant </w:t>
      </w:r>
      <w:r w:rsidR="00606AC7" w:rsidRPr="00E709A1">
        <w:rPr>
          <w:rFonts w:ascii="Book Antiqua" w:eastAsia="宋体" w:hAnsi="Book Antiqua" w:cs="Times New Roman"/>
          <w:sz w:val="20"/>
          <w:szCs w:val="20"/>
        </w:rPr>
        <w:t>neoplasm</w:t>
      </w:r>
      <w:r w:rsidRPr="00E709A1">
        <w:rPr>
          <w:rFonts w:ascii="Book Antiqua" w:eastAsia="宋体" w:hAnsi="Book Antiqua" w:cs="Times New Roman"/>
          <w:sz w:val="20"/>
          <w:szCs w:val="20"/>
        </w:rPr>
        <w:t>.</w:t>
      </w:r>
      <w:bookmarkEnd w:id="31"/>
      <w:bookmarkEnd w:id="32"/>
    </w:p>
    <w:p w14:paraId="05457791" w14:textId="77777777" w:rsidR="000705B7" w:rsidRPr="00E709A1" w:rsidRDefault="000705B7" w:rsidP="00310F13">
      <w:pPr>
        <w:snapToGrid w:val="0"/>
        <w:spacing w:line="360" w:lineRule="auto"/>
        <w:rPr>
          <w:rFonts w:ascii="Book Antiqua" w:eastAsia="宋体" w:hAnsi="Book Antiqua" w:cs="Times New Roman"/>
          <w:b/>
          <w:sz w:val="20"/>
          <w:szCs w:val="20"/>
        </w:rPr>
      </w:pPr>
    </w:p>
    <w:p w14:paraId="475AEE67" w14:textId="77777777" w:rsidR="00606AC7" w:rsidRPr="00E709A1" w:rsidRDefault="00606AC7" w:rsidP="00310F13">
      <w:pPr>
        <w:adjustRightInd w:val="0"/>
        <w:snapToGrid w:val="0"/>
        <w:spacing w:line="360" w:lineRule="auto"/>
        <w:rPr>
          <w:rFonts w:ascii="Book Antiqua" w:hAnsi="Book Antiqua"/>
          <w:sz w:val="20"/>
          <w:szCs w:val="20"/>
          <w:u w:val="single"/>
        </w:rPr>
      </w:pPr>
      <w:r w:rsidRPr="00E709A1">
        <w:rPr>
          <w:rFonts w:ascii="Book Antiqua" w:hAnsi="Book Antiqua"/>
          <w:b/>
          <w:bCs/>
          <w:sz w:val="20"/>
          <w:szCs w:val="20"/>
          <w:u w:val="single"/>
        </w:rPr>
        <w:t>MATERIALS AND METHODS</w:t>
      </w:r>
    </w:p>
    <w:p w14:paraId="46F7FE3B" w14:textId="192C4D0A" w:rsidR="000705B7" w:rsidRPr="00E709A1" w:rsidRDefault="00624006" w:rsidP="00310F13">
      <w:pPr>
        <w:widowControl/>
        <w:snapToGrid w:val="0"/>
        <w:spacing w:line="360" w:lineRule="auto"/>
        <w:outlineLvl w:val="0"/>
        <w:rPr>
          <w:rFonts w:ascii="Book Antiqua" w:eastAsia="宋体" w:hAnsi="Book Antiqua" w:cs="Times New Roman"/>
          <w:sz w:val="20"/>
          <w:szCs w:val="20"/>
        </w:rPr>
      </w:pPr>
      <w:r w:rsidRPr="00E709A1">
        <w:rPr>
          <w:rFonts w:ascii="Book Antiqua" w:eastAsia="宋体" w:hAnsi="Book Antiqua" w:cs="Times New Roman"/>
          <w:sz w:val="20"/>
          <w:szCs w:val="20"/>
        </w:rPr>
        <w:t xml:space="preserve">A systematic search of PubMed, </w:t>
      </w:r>
      <w:r w:rsidR="005B185A" w:rsidRPr="00E709A1">
        <w:rPr>
          <w:rFonts w:ascii="Book Antiqua" w:eastAsia="宋体" w:hAnsi="Book Antiqua" w:cs="Times New Roman"/>
          <w:sz w:val="20"/>
          <w:szCs w:val="20"/>
        </w:rPr>
        <w:t>EMBASE</w:t>
      </w:r>
      <w:r w:rsidRPr="00E709A1">
        <w:rPr>
          <w:rFonts w:ascii="Book Antiqua" w:eastAsia="宋体" w:hAnsi="Book Antiqua" w:cs="Times New Roman"/>
          <w:sz w:val="20"/>
          <w:szCs w:val="20"/>
        </w:rPr>
        <w:t>, and other databases was conducted for all reports on UUT-LELC up until October, 2019. The search strategy was conducted for all types of UUT-LELC stud</w:t>
      </w:r>
      <w:r w:rsidR="00CD6D5E" w:rsidRPr="00E709A1">
        <w:rPr>
          <w:rFonts w:ascii="Book Antiqua" w:eastAsia="宋体" w:hAnsi="Book Antiqua" w:cs="Times New Roman"/>
          <w:sz w:val="20"/>
          <w:szCs w:val="20"/>
        </w:rPr>
        <w:t>ies</w:t>
      </w:r>
      <w:r w:rsidRPr="00E709A1">
        <w:rPr>
          <w:rFonts w:ascii="Book Antiqua" w:eastAsia="宋体" w:hAnsi="Book Antiqua" w:cs="Times New Roman"/>
          <w:sz w:val="20"/>
          <w:szCs w:val="20"/>
        </w:rPr>
        <w:t xml:space="preserve"> up until March 8</w:t>
      </w:r>
      <w:r w:rsidRPr="00E709A1">
        <w:rPr>
          <w:rFonts w:ascii="Book Antiqua" w:eastAsia="宋体" w:hAnsi="Book Antiqua" w:cs="Times New Roman"/>
          <w:sz w:val="20"/>
          <w:szCs w:val="20"/>
          <w:vertAlign w:val="superscript"/>
        </w:rPr>
        <w:t>th</w:t>
      </w:r>
      <w:r w:rsidRPr="00E709A1">
        <w:rPr>
          <w:rFonts w:ascii="Book Antiqua" w:eastAsia="宋体" w:hAnsi="Book Antiqua" w:cs="Times New Roman"/>
          <w:sz w:val="20"/>
          <w:szCs w:val="20"/>
        </w:rPr>
        <w:t xml:space="preserve">, 2019. The following key terms were defined to source pertinent studies; </w:t>
      </w:r>
      <w:r w:rsidR="002B1DC3" w:rsidRPr="00E709A1">
        <w:rPr>
          <w:rFonts w:ascii="Book Antiqua" w:eastAsia="宋体" w:hAnsi="Book Antiqua" w:cs="Times New Roman"/>
          <w:sz w:val="20"/>
          <w:szCs w:val="20"/>
        </w:rPr>
        <w:t>LELC</w:t>
      </w:r>
      <w:r w:rsidRPr="00E709A1">
        <w:rPr>
          <w:rFonts w:ascii="Book Antiqua" w:eastAsia="宋体" w:hAnsi="Book Antiqua" w:cs="Times New Roman"/>
          <w:sz w:val="20"/>
          <w:szCs w:val="20"/>
        </w:rPr>
        <w:t xml:space="preserve">, urinary, </w:t>
      </w:r>
      <w:r w:rsidR="002B1DC3" w:rsidRPr="00E709A1">
        <w:rPr>
          <w:rFonts w:ascii="Book Antiqua" w:eastAsia="宋体" w:hAnsi="Book Antiqua" w:cs="Times New Roman"/>
          <w:sz w:val="20"/>
          <w:szCs w:val="20"/>
        </w:rPr>
        <w:t>UUT</w:t>
      </w:r>
      <w:r w:rsidRPr="00E709A1">
        <w:rPr>
          <w:rFonts w:ascii="Book Antiqua" w:eastAsia="宋体" w:hAnsi="Book Antiqua" w:cs="Times New Roman"/>
          <w:sz w:val="20"/>
          <w:szCs w:val="20"/>
        </w:rPr>
        <w:t xml:space="preserve">, pelvis, and ureter. In addition, manual </w:t>
      </w:r>
      <w:r w:rsidR="00CD6D5E" w:rsidRPr="00E709A1">
        <w:rPr>
          <w:rFonts w:ascii="Book Antiqua" w:eastAsia="宋体" w:hAnsi="Book Antiqua" w:cs="Times New Roman"/>
          <w:sz w:val="20"/>
          <w:szCs w:val="20"/>
        </w:rPr>
        <w:t xml:space="preserve">searches </w:t>
      </w:r>
      <w:r w:rsidRPr="00E709A1">
        <w:rPr>
          <w:rFonts w:ascii="Book Antiqua" w:eastAsia="宋体" w:hAnsi="Book Antiqua" w:cs="Times New Roman"/>
          <w:sz w:val="20"/>
          <w:szCs w:val="20"/>
        </w:rPr>
        <w:t xml:space="preserve">of references and citations </w:t>
      </w:r>
      <w:r w:rsidR="00CD6D5E" w:rsidRPr="00E709A1">
        <w:rPr>
          <w:rFonts w:ascii="Book Antiqua" w:eastAsia="宋体" w:hAnsi="Book Antiqua" w:cs="Times New Roman"/>
          <w:sz w:val="20"/>
          <w:szCs w:val="20"/>
        </w:rPr>
        <w:t xml:space="preserve">were </w:t>
      </w:r>
      <w:r w:rsidRPr="00E709A1">
        <w:rPr>
          <w:rFonts w:ascii="Book Antiqua" w:eastAsia="宋体" w:hAnsi="Book Antiqua" w:cs="Times New Roman"/>
          <w:sz w:val="20"/>
          <w:szCs w:val="20"/>
        </w:rPr>
        <w:t xml:space="preserve">conducted to ensure that all necessary evidence was identified. This search and selection strategy </w:t>
      </w:r>
      <w:r w:rsidR="00A14FF4" w:rsidRPr="00E709A1">
        <w:rPr>
          <w:rFonts w:ascii="Book Antiqua" w:eastAsia="宋体" w:hAnsi="Book Antiqua" w:cs="Times New Roman"/>
          <w:sz w:val="20"/>
          <w:szCs w:val="20"/>
        </w:rPr>
        <w:t xml:space="preserve">was </w:t>
      </w:r>
      <w:r w:rsidRPr="00E709A1">
        <w:rPr>
          <w:rFonts w:ascii="Book Antiqua" w:eastAsia="宋体" w:hAnsi="Book Antiqua" w:cs="Times New Roman"/>
          <w:sz w:val="20"/>
          <w:szCs w:val="20"/>
        </w:rPr>
        <w:t xml:space="preserve">adapted from the PRISMA. Literature searching, selection and data extraction </w:t>
      </w:r>
      <w:r w:rsidR="00CB5875" w:rsidRPr="00E709A1">
        <w:rPr>
          <w:rFonts w:ascii="Book Antiqua" w:eastAsia="宋体" w:hAnsi="Book Antiqua" w:cs="Times New Roman"/>
          <w:sz w:val="20"/>
          <w:szCs w:val="20"/>
        </w:rPr>
        <w:t xml:space="preserve">were independently </w:t>
      </w:r>
      <w:r w:rsidRPr="00E709A1">
        <w:rPr>
          <w:rFonts w:ascii="Book Antiqua" w:eastAsia="宋体" w:hAnsi="Book Antiqua" w:cs="Times New Roman"/>
          <w:sz w:val="20"/>
          <w:szCs w:val="20"/>
        </w:rPr>
        <w:t>undertaken by two reviewers (</w:t>
      </w:r>
      <w:r w:rsidR="00606AC7" w:rsidRPr="00E709A1">
        <w:rPr>
          <w:rFonts w:ascii="Book Antiqua" w:eastAsia="宋体" w:hAnsi="Book Antiqua" w:cs="Times New Roman"/>
          <w:sz w:val="20"/>
          <w:szCs w:val="20"/>
        </w:rPr>
        <w:t>Lai SC</w:t>
      </w:r>
      <w:r w:rsidRPr="00E709A1">
        <w:rPr>
          <w:rFonts w:ascii="Book Antiqua" w:eastAsia="宋体" w:hAnsi="Book Antiqua" w:cs="Times New Roman"/>
          <w:sz w:val="20"/>
          <w:szCs w:val="20"/>
        </w:rPr>
        <w:t xml:space="preserve"> and </w:t>
      </w:r>
      <w:r w:rsidR="00606AC7" w:rsidRPr="00E709A1">
        <w:rPr>
          <w:rFonts w:ascii="Book Antiqua" w:eastAsia="宋体" w:hAnsi="Book Antiqua" w:cs="Times New Roman"/>
          <w:sz w:val="20"/>
          <w:szCs w:val="20"/>
        </w:rPr>
        <w:t>Seery S</w:t>
      </w:r>
      <w:r w:rsidRPr="00E709A1">
        <w:rPr>
          <w:rFonts w:ascii="Book Antiqua" w:eastAsia="宋体" w:hAnsi="Book Antiqua" w:cs="Times New Roman"/>
          <w:sz w:val="20"/>
          <w:szCs w:val="20"/>
        </w:rPr>
        <w:t>)</w:t>
      </w:r>
      <w:r w:rsidR="00CB5875"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which </w:t>
      </w:r>
      <w:r w:rsidR="00CB5875" w:rsidRPr="00E709A1">
        <w:rPr>
          <w:rFonts w:ascii="Book Antiqua" w:eastAsia="宋体" w:hAnsi="Book Antiqua" w:cs="Times New Roman"/>
          <w:sz w:val="20"/>
          <w:szCs w:val="20"/>
        </w:rPr>
        <w:t xml:space="preserve">were </w:t>
      </w:r>
      <w:r w:rsidRPr="00E709A1">
        <w:rPr>
          <w:rFonts w:ascii="Book Antiqua" w:eastAsia="宋体" w:hAnsi="Book Antiqua" w:cs="Times New Roman"/>
          <w:sz w:val="20"/>
          <w:szCs w:val="20"/>
        </w:rPr>
        <w:t>then cross-checked</w:t>
      </w:r>
      <w:r w:rsidR="00CB5875"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and </w:t>
      </w:r>
      <w:r w:rsidR="00606AC7" w:rsidRPr="00E709A1">
        <w:rPr>
          <w:rFonts w:ascii="Book Antiqua" w:eastAsia="宋体" w:hAnsi="Book Antiqua" w:cs="Times New Roman"/>
          <w:sz w:val="20"/>
          <w:szCs w:val="20"/>
        </w:rPr>
        <w:t>any</w:t>
      </w:r>
      <w:r w:rsidRPr="00E709A1">
        <w:rPr>
          <w:rFonts w:ascii="Book Antiqua" w:eastAsia="宋体" w:hAnsi="Book Antiqua" w:cs="Times New Roman"/>
          <w:sz w:val="20"/>
          <w:szCs w:val="20"/>
        </w:rPr>
        <w:t xml:space="preserve"> discrepancies </w:t>
      </w:r>
      <w:r w:rsidR="00CB5875" w:rsidRPr="00E709A1">
        <w:rPr>
          <w:rFonts w:ascii="Book Antiqua" w:eastAsia="宋体" w:hAnsi="Book Antiqua" w:cs="Times New Roman"/>
          <w:sz w:val="20"/>
          <w:szCs w:val="20"/>
        </w:rPr>
        <w:t xml:space="preserve">were </w:t>
      </w:r>
      <w:r w:rsidRPr="00E709A1">
        <w:rPr>
          <w:rFonts w:ascii="Book Antiqua" w:eastAsia="宋体" w:hAnsi="Book Antiqua" w:cs="Times New Roman"/>
          <w:sz w:val="20"/>
          <w:szCs w:val="20"/>
        </w:rPr>
        <w:t xml:space="preserve">resolved through discussion. A flowchart representing the search and selection process is presented in </w:t>
      </w:r>
      <w:r w:rsidR="00606AC7" w:rsidRPr="00E709A1">
        <w:rPr>
          <w:rFonts w:ascii="Book Antiqua" w:eastAsia="宋体" w:hAnsi="Book Antiqua" w:cs="Times New Roman"/>
          <w:sz w:val="20"/>
          <w:szCs w:val="20"/>
        </w:rPr>
        <w:t xml:space="preserve">Figure </w:t>
      </w:r>
      <w:r w:rsidRPr="00E709A1">
        <w:rPr>
          <w:rFonts w:ascii="Book Antiqua" w:eastAsia="宋体" w:hAnsi="Book Antiqua" w:cs="Times New Roman"/>
          <w:sz w:val="20"/>
          <w:szCs w:val="20"/>
        </w:rPr>
        <w:t>1. Ethical approval was unnecessary because all data were carefully extracted from existing published case reports.</w:t>
      </w:r>
    </w:p>
    <w:p w14:paraId="32E0EE82" w14:textId="654586E5" w:rsidR="000705B7" w:rsidRPr="00E709A1" w:rsidRDefault="00624006" w:rsidP="00310F13">
      <w:pPr>
        <w:widowControl/>
        <w:snapToGrid w:val="0"/>
        <w:spacing w:line="360" w:lineRule="auto"/>
        <w:ind w:firstLineChars="100" w:firstLine="200"/>
        <w:outlineLvl w:val="0"/>
        <w:rPr>
          <w:rFonts w:ascii="Book Antiqua" w:eastAsia="宋体" w:hAnsi="Book Antiqua" w:cs="Times New Roman"/>
          <w:sz w:val="20"/>
          <w:szCs w:val="20"/>
        </w:rPr>
      </w:pPr>
      <w:r w:rsidRPr="00E709A1">
        <w:rPr>
          <w:rFonts w:ascii="Book Antiqua" w:eastAsia="宋体" w:hAnsi="Book Antiqua" w:cs="Times New Roman"/>
          <w:sz w:val="20"/>
          <w:szCs w:val="20"/>
        </w:rPr>
        <w:t xml:space="preserve">A database was then designed to extract information </w:t>
      </w:r>
      <w:r w:rsidR="00C52AA2" w:rsidRPr="00E709A1">
        <w:rPr>
          <w:rFonts w:ascii="Book Antiqua" w:eastAsia="宋体" w:hAnsi="Book Antiqua" w:cs="Times New Roman"/>
          <w:sz w:val="20"/>
          <w:szCs w:val="20"/>
        </w:rPr>
        <w:t xml:space="preserve">that </w:t>
      </w:r>
      <w:r w:rsidR="00606AC7" w:rsidRPr="00E709A1">
        <w:rPr>
          <w:rFonts w:ascii="Book Antiqua" w:eastAsia="宋体" w:hAnsi="Book Antiqua" w:cs="Times New Roman"/>
          <w:sz w:val="20"/>
          <w:szCs w:val="20"/>
        </w:rPr>
        <w:t>include</w:t>
      </w:r>
      <w:r w:rsidRPr="00E709A1">
        <w:rPr>
          <w:rFonts w:ascii="Book Antiqua" w:eastAsia="宋体" w:hAnsi="Book Antiqua" w:cs="Times New Roman"/>
          <w:sz w:val="20"/>
          <w:szCs w:val="20"/>
        </w:rPr>
        <w:t>d patient age, gender, chief complaint(s), tumor laterality, location, LELC type, immunohistochemical staining results, EBV status, TNM staging, treatment strategies, follow-up time, and survival. Detailed</w:t>
      </w:r>
      <w:bookmarkStart w:id="33" w:name="OLE_LINK12"/>
      <w:bookmarkStart w:id="34" w:name="OLE_LINK11"/>
      <w:r w:rsidRPr="00E709A1">
        <w:rPr>
          <w:rFonts w:ascii="Book Antiqua" w:eastAsia="宋体" w:hAnsi="Book Antiqua" w:cs="Times New Roman"/>
          <w:sz w:val="20"/>
          <w:szCs w:val="20"/>
        </w:rPr>
        <w:t xml:space="preserve"> demographic </w:t>
      </w:r>
      <w:r w:rsidRPr="00E709A1">
        <w:rPr>
          <w:rFonts w:ascii="Book Antiqua" w:eastAsia="宋体" w:hAnsi="Book Antiqua" w:cs="Times New Roman"/>
          <w:sz w:val="20"/>
          <w:szCs w:val="20"/>
        </w:rPr>
        <w:lastRenderedPageBreak/>
        <w:t xml:space="preserve">characteristics of this sample </w:t>
      </w:r>
      <w:bookmarkEnd w:id="33"/>
      <w:bookmarkEnd w:id="34"/>
      <w:r w:rsidRPr="00E709A1">
        <w:rPr>
          <w:rFonts w:ascii="Book Antiqua" w:eastAsia="宋体" w:hAnsi="Book Antiqua" w:cs="Times New Roman"/>
          <w:sz w:val="20"/>
          <w:szCs w:val="20"/>
        </w:rPr>
        <w:t>are summarized in Table 1. We adopted a simple descriptive analytical approach</w:t>
      </w:r>
      <w:r w:rsidR="00D90EE4"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and then </w:t>
      </w:r>
      <w:r w:rsidR="00606AC7" w:rsidRPr="00E709A1">
        <w:rPr>
          <w:rFonts w:ascii="Book Antiqua" w:eastAsia="宋体" w:hAnsi="Book Antiqua" w:cs="Times New Roman"/>
          <w:sz w:val="20"/>
          <w:szCs w:val="20"/>
        </w:rPr>
        <w:t>utilized</w:t>
      </w:r>
      <w:r w:rsidRPr="00E709A1">
        <w:rPr>
          <w:rFonts w:ascii="Book Antiqua" w:eastAsia="宋体" w:hAnsi="Book Antiqua" w:cs="Times New Roman"/>
          <w:sz w:val="20"/>
          <w:szCs w:val="20"/>
        </w:rPr>
        <w:t xml:space="preserve"> the Kaplan-Meier method to </w:t>
      </w:r>
      <w:r w:rsidR="00E709A1" w:rsidRPr="00E709A1">
        <w:rPr>
          <w:rFonts w:ascii="Book Antiqua" w:eastAsia="宋体" w:hAnsi="Book Antiqua" w:cs="Times New Roman"/>
          <w:sz w:val="20"/>
          <w:szCs w:val="20"/>
        </w:rPr>
        <w:t>analyze</w:t>
      </w:r>
      <w:r w:rsidRPr="00E709A1">
        <w:rPr>
          <w:rFonts w:ascii="Book Antiqua" w:eastAsia="宋体" w:hAnsi="Book Antiqua" w:cs="Times New Roman"/>
          <w:sz w:val="20"/>
          <w:szCs w:val="20"/>
        </w:rPr>
        <w:t xml:space="preserve"> survival. </w:t>
      </w:r>
      <w:r w:rsidR="00606AC7" w:rsidRPr="00E709A1">
        <w:rPr>
          <w:rFonts w:ascii="Book Antiqua" w:eastAsia="宋体" w:hAnsi="Book Antiqua" w:cs="Times New Roman"/>
          <w:sz w:val="20"/>
          <w:szCs w:val="20"/>
        </w:rPr>
        <w:t xml:space="preserve">Survival </w:t>
      </w:r>
      <w:r w:rsidRPr="00E709A1">
        <w:rPr>
          <w:rFonts w:ascii="Book Antiqua" w:eastAsia="宋体" w:hAnsi="Book Antiqua" w:cs="Times New Roman"/>
          <w:sz w:val="20"/>
          <w:szCs w:val="20"/>
        </w:rPr>
        <w:t xml:space="preserve">rates between subgroups were compared using the log-rank test to </w:t>
      </w:r>
      <w:r w:rsidR="00E709A1" w:rsidRPr="00E709A1">
        <w:rPr>
          <w:rFonts w:ascii="Book Antiqua" w:eastAsia="宋体" w:hAnsi="Book Antiqua" w:cs="Times New Roman"/>
          <w:sz w:val="20"/>
          <w:szCs w:val="20"/>
        </w:rPr>
        <w:t>analyze</w:t>
      </w:r>
      <w:r w:rsidRPr="00E709A1">
        <w:rPr>
          <w:rFonts w:ascii="Book Antiqua" w:eastAsia="宋体" w:hAnsi="Book Antiqua" w:cs="Times New Roman"/>
          <w:sz w:val="20"/>
          <w:szCs w:val="20"/>
        </w:rPr>
        <w:t xml:space="preserve"> prognostic factors. </w:t>
      </w:r>
      <w:r w:rsidRPr="00E709A1">
        <w:rPr>
          <w:rFonts w:ascii="Book Antiqua" w:eastAsia="宋体" w:hAnsi="Book Antiqua" w:cs="Times New Roman"/>
          <w:i/>
          <w:iCs/>
          <w:sz w:val="20"/>
          <w:szCs w:val="20"/>
        </w:rPr>
        <w:t>P</w:t>
      </w:r>
      <w:r w:rsidRPr="00E709A1">
        <w:rPr>
          <w:rFonts w:ascii="Book Antiqua" w:eastAsia="宋体" w:hAnsi="Book Antiqua" w:cs="Times New Roman"/>
          <w:sz w:val="20"/>
          <w:szCs w:val="20"/>
        </w:rPr>
        <w:t xml:space="preserve"> values of less than 0.05 were considered significant. All </w:t>
      </w:r>
      <w:r w:rsidR="00606AC7" w:rsidRPr="00E709A1">
        <w:rPr>
          <w:rFonts w:ascii="Book Antiqua" w:eastAsia="宋体" w:hAnsi="Book Antiqua" w:cs="Times New Roman"/>
          <w:sz w:val="20"/>
          <w:szCs w:val="20"/>
        </w:rPr>
        <w:t>statistical</w:t>
      </w:r>
      <w:r w:rsidRPr="00E709A1">
        <w:rPr>
          <w:rFonts w:ascii="Book Antiqua" w:eastAsia="宋体" w:hAnsi="Book Antiqua" w:cs="Times New Roman"/>
          <w:sz w:val="20"/>
          <w:szCs w:val="20"/>
        </w:rPr>
        <w:t xml:space="preserve"> analysis was conducted using SPSS Software v.19.0 (SPSS Inc., Chicago, IL, </w:t>
      </w:r>
      <w:r w:rsidR="00606AC7" w:rsidRPr="00E709A1">
        <w:rPr>
          <w:rFonts w:ascii="Book Antiqua" w:eastAsia="宋体" w:hAnsi="Book Antiqua" w:cs="Times New Roman"/>
          <w:sz w:val="20"/>
          <w:szCs w:val="20"/>
        </w:rPr>
        <w:t>United States</w:t>
      </w:r>
      <w:r w:rsidRPr="00E709A1">
        <w:rPr>
          <w:rFonts w:ascii="Book Antiqua" w:eastAsia="宋体" w:hAnsi="Book Antiqua" w:cs="Times New Roman"/>
          <w:sz w:val="20"/>
          <w:szCs w:val="20"/>
        </w:rPr>
        <w:t>).</w:t>
      </w:r>
    </w:p>
    <w:p w14:paraId="07EFAA03" w14:textId="77777777" w:rsidR="00606AC7" w:rsidRPr="00E709A1" w:rsidRDefault="00606AC7" w:rsidP="00310F13">
      <w:pPr>
        <w:widowControl/>
        <w:snapToGrid w:val="0"/>
        <w:spacing w:line="360" w:lineRule="auto"/>
        <w:ind w:firstLineChars="100" w:firstLine="200"/>
        <w:outlineLvl w:val="0"/>
        <w:rPr>
          <w:rFonts w:ascii="Book Antiqua" w:eastAsia="宋体" w:hAnsi="Book Antiqua" w:cs="Times New Roman"/>
          <w:sz w:val="20"/>
          <w:szCs w:val="20"/>
        </w:rPr>
      </w:pPr>
    </w:p>
    <w:p w14:paraId="0E5C4DCB" w14:textId="77777777" w:rsidR="003142CF" w:rsidRPr="00E709A1" w:rsidRDefault="003142CF" w:rsidP="00310F13">
      <w:pPr>
        <w:adjustRightInd w:val="0"/>
        <w:snapToGrid w:val="0"/>
        <w:spacing w:line="360" w:lineRule="auto"/>
        <w:rPr>
          <w:rFonts w:ascii="Book Antiqua" w:hAnsi="Book Antiqua"/>
          <w:b/>
          <w:bCs/>
          <w:sz w:val="20"/>
          <w:szCs w:val="20"/>
          <w:u w:val="single"/>
        </w:rPr>
      </w:pPr>
      <w:r w:rsidRPr="00E709A1">
        <w:rPr>
          <w:rFonts w:ascii="Book Antiqua" w:hAnsi="Book Antiqua"/>
          <w:b/>
          <w:bCs/>
          <w:sz w:val="20"/>
          <w:szCs w:val="20"/>
          <w:u w:val="single"/>
        </w:rPr>
        <w:t>RESULTS</w:t>
      </w:r>
    </w:p>
    <w:p w14:paraId="5410FBA0" w14:textId="4A7F299C" w:rsidR="000705B7" w:rsidRPr="00E709A1" w:rsidRDefault="00624006" w:rsidP="00310F13">
      <w:pPr>
        <w:widowControl/>
        <w:snapToGrid w:val="0"/>
        <w:spacing w:line="360" w:lineRule="auto"/>
        <w:outlineLvl w:val="0"/>
        <w:rPr>
          <w:rFonts w:ascii="Book Antiqua" w:eastAsia="宋体" w:hAnsi="Book Antiqua" w:cs="Times New Roman"/>
          <w:sz w:val="20"/>
          <w:szCs w:val="20"/>
        </w:rPr>
      </w:pPr>
      <w:r w:rsidRPr="00E709A1">
        <w:rPr>
          <w:rFonts w:ascii="Book Antiqua" w:eastAsia="宋体" w:hAnsi="Book Antiqua" w:cs="Times New Roman"/>
          <w:sz w:val="20"/>
          <w:szCs w:val="20"/>
        </w:rPr>
        <w:t>In total, 28 UUT-LELC cases were identified from 1998 up until October 2019</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17122,{5D2893EE-DD9C-42E7-B353-2596C163F4A5}17123,{5D2893EE-DD9C-42E7-B353-2596C163F4A5}17124,{5D2893EE-DD9C-42E7-B353-2596C163F4A5}17125,{5D2893EE-DD9C-42E7-B353-2596C163F4A5}17126,{5D2893EE-DD9C-42E7-B353-2596C163F4A5}17127,{5D2893EE-DD9C-42E7-B353-2596C163F4A5}17128,{5D2893EE-DD9C-42E7-B353-2596C163F4A5}17131,{5D2893EE-DD9C-42E7-B353-2596C163F4A5}17132,{5D2893EE-DD9C-42E7-B353-2596C163F4A5}17133,{5D2893EE-DD9C-42E7-B353-2596C163F4A5}17134,{5D2893EE-DD9C-42E7-B353-2596C163F4A5}17135,{5D2893EE-DD9C-42E7-B353-2596C163F4A5}17136,{5D2893EE-DD9C-42E7-B353-2596C163F4A5}17137,{5D2893EE-DD9C-42E7-B353-2596C163F4A5}17138,{5D2893EE-DD9C-42E7-B353-2596C163F4A5}17139,{5D2893EE-DD9C-42E7-B353-2596C163F4A5}17141,{5D2893EE-DD9C-42E7-B353-2596C163F4A5}17142,{5D2893EE-DD9C-42E7-B353-2596C163F4A5}17143</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[9-27]</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xml:space="preserve">. Among </w:t>
      </w:r>
      <w:r w:rsidR="003142CF" w:rsidRPr="00E709A1">
        <w:rPr>
          <w:rFonts w:ascii="Book Antiqua" w:eastAsia="宋体" w:hAnsi="Book Antiqua" w:cs="Times New Roman"/>
          <w:sz w:val="20"/>
          <w:szCs w:val="20"/>
        </w:rPr>
        <w:t>this</w:t>
      </w:r>
      <w:r w:rsidRPr="00E709A1">
        <w:rPr>
          <w:rFonts w:ascii="Book Antiqua" w:eastAsia="宋体" w:hAnsi="Book Antiqua" w:cs="Times New Roman"/>
          <w:sz w:val="20"/>
          <w:szCs w:val="20"/>
        </w:rPr>
        <w:t xml:space="preserve"> sample, 14 cases reported LELC</w:t>
      </w:r>
      <w:r w:rsidR="00FA0332"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located in the renal pelvis, with the remaining 14 located in the ureter. The median age of these patients was 72 years, ranging from 54 to 85 years. </w:t>
      </w:r>
      <w:r w:rsidR="00FA0332" w:rsidRPr="00E709A1">
        <w:rPr>
          <w:rFonts w:ascii="Book Antiqua" w:eastAsia="宋体" w:hAnsi="Book Antiqua" w:cs="Times New Roman"/>
          <w:sz w:val="20"/>
          <w:szCs w:val="20"/>
        </w:rPr>
        <w:t xml:space="preserve">Of the patients, </w:t>
      </w:r>
      <w:r w:rsidRPr="00E709A1">
        <w:rPr>
          <w:rFonts w:ascii="Book Antiqua" w:eastAsia="宋体" w:hAnsi="Book Antiqua" w:cs="Times New Roman"/>
          <w:sz w:val="20"/>
          <w:szCs w:val="20"/>
        </w:rPr>
        <w:t>57.1% were male (</w:t>
      </w:r>
      <w:r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w:t>
      </w:r>
      <w:r w:rsidR="003142CF"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16</w:t>
      </w:r>
      <w:r w:rsidR="00FA0332" w:rsidRPr="00E709A1">
        <w:rPr>
          <w:rFonts w:ascii="Book Antiqua" w:eastAsia="宋体" w:hAnsi="Book Antiqua" w:cs="Times New Roman"/>
          <w:sz w:val="20"/>
          <w:szCs w:val="20"/>
        </w:rPr>
        <w:t>) (</w:t>
      </w:r>
      <w:r w:rsidRPr="00E709A1">
        <w:rPr>
          <w:rFonts w:ascii="Book Antiqua" w:eastAsia="宋体" w:hAnsi="Book Antiqua" w:cs="Times New Roman"/>
          <w:sz w:val="20"/>
          <w:szCs w:val="20"/>
        </w:rPr>
        <w:t>Table 2</w:t>
      </w:r>
      <w:r w:rsidR="00FA0332" w:rsidRPr="00E709A1">
        <w:rPr>
          <w:rFonts w:ascii="Book Antiqua" w:eastAsia="宋体" w:hAnsi="Book Antiqua" w:cs="Times New Roman"/>
          <w:sz w:val="20"/>
          <w:szCs w:val="20"/>
        </w:rPr>
        <w:t>), and</w:t>
      </w:r>
      <w:r w:rsidRPr="00E709A1">
        <w:rPr>
          <w:rFonts w:ascii="Book Antiqua" w:eastAsia="宋体" w:hAnsi="Book Antiqua" w:cs="Times New Roman"/>
          <w:sz w:val="20"/>
          <w:szCs w:val="20"/>
        </w:rPr>
        <w:t xml:space="preserve"> 32.1% were of Asian descent. The most common primary presentation</w:t>
      </w:r>
      <w:r w:rsidR="00FA0332"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at diagnosis </w:t>
      </w:r>
      <w:r w:rsidR="00FA0332" w:rsidRPr="00E709A1">
        <w:rPr>
          <w:rFonts w:ascii="Book Antiqua" w:eastAsia="宋体" w:hAnsi="Book Antiqua" w:cs="Times New Roman"/>
          <w:sz w:val="20"/>
          <w:szCs w:val="20"/>
        </w:rPr>
        <w:t xml:space="preserve">were </w:t>
      </w:r>
      <w:r w:rsidRPr="00E709A1">
        <w:rPr>
          <w:rFonts w:ascii="Book Antiqua" w:eastAsia="宋体" w:hAnsi="Book Antiqua" w:cs="Times New Roman"/>
          <w:sz w:val="20"/>
          <w:szCs w:val="20"/>
        </w:rPr>
        <w:t>gross hematuria (67.9%), combined hematuria and flank pain (10.7%), urinary infection (3.6%) and nausea (3.6%). The remaining two cases were</w:t>
      </w:r>
      <w:r w:rsidR="008C0A11" w:rsidRPr="00E709A1">
        <w:rPr>
          <w:rFonts w:ascii="Book Antiqua" w:eastAsia="宋体" w:hAnsi="Book Antiqua" w:cs="Times New Roman"/>
          <w:sz w:val="20"/>
          <w:szCs w:val="20"/>
        </w:rPr>
        <w:t xml:space="preserve"> incidentally</w:t>
      </w:r>
      <w:r w:rsidRPr="00E709A1">
        <w:rPr>
          <w:rFonts w:ascii="Book Antiqua" w:eastAsia="宋体" w:hAnsi="Book Antiqua" w:cs="Times New Roman"/>
          <w:sz w:val="20"/>
          <w:szCs w:val="20"/>
        </w:rPr>
        <w:t xml:space="preserve"> detected. Histological subtypes were described in all but three cases (10.7%). </w:t>
      </w:r>
      <w:r w:rsidR="003142CF" w:rsidRPr="00E709A1">
        <w:rPr>
          <w:rFonts w:ascii="Book Antiqua" w:eastAsia="宋体" w:hAnsi="Book Antiqua" w:cs="Times New Roman"/>
          <w:sz w:val="20"/>
          <w:szCs w:val="20"/>
        </w:rPr>
        <w:t>Pure</w:t>
      </w:r>
      <w:r w:rsidRPr="00E709A1">
        <w:rPr>
          <w:rFonts w:ascii="Book Antiqua" w:eastAsia="宋体" w:hAnsi="Book Antiqua" w:cs="Times New Roman"/>
          <w:sz w:val="20"/>
          <w:szCs w:val="20"/>
        </w:rPr>
        <w:t xml:space="preserve"> LELC occurs most frequently at 50% (</w:t>
      </w:r>
      <w:r w:rsidR="003142CF"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 </w:t>
      </w:r>
      <w:r w:rsidRPr="00E709A1">
        <w:rPr>
          <w:rFonts w:ascii="Book Antiqua" w:eastAsia="宋体" w:hAnsi="Book Antiqua" w:cs="Times New Roman"/>
          <w:sz w:val="20"/>
          <w:szCs w:val="20"/>
        </w:rPr>
        <w:t xml:space="preserve">14), followed by predominant LELC </w:t>
      </w:r>
      <w:r w:rsidR="00990C29" w:rsidRPr="00E709A1">
        <w:rPr>
          <w:rFonts w:ascii="Book Antiqua" w:eastAsia="宋体" w:hAnsi="Book Antiqua" w:cs="Times New Roman"/>
          <w:sz w:val="20"/>
          <w:szCs w:val="20"/>
        </w:rPr>
        <w:t xml:space="preserve">at </w:t>
      </w:r>
      <w:r w:rsidRPr="00E709A1">
        <w:rPr>
          <w:rFonts w:ascii="Book Antiqua" w:eastAsia="宋体" w:hAnsi="Book Antiqua" w:cs="Times New Roman"/>
          <w:sz w:val="20"/>
          <w:szCs w:val="20"/>
        </w:rPr>
        <w:t>35.7% (</w:t>
      </w:r>
      <w:r w:rsidR="003142CF"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 </w:t>
      </w:r>
      <w:r w:rsidRPr="00E709A1">
        <w:rPr>
          <w:rFonts w:ascii="Book Antiqua" w:eastAsia="宋体" w:hAnsi="Book Antiqua" w:cs="Times New Roman"/>
          <w:sz w:val="20"/>
          <w:szCs w:val="20"/>
        </w:rPr>
        <w:t xml:space="preserve">10) and focal LELC </w:t>
      </w:r>
      <w:r w:rsidR="00990C29" w:rsidRPr="00E709A1">
        <w:rPr>
          <w:rFonts w:ascii="Book Antiqua" w:eastAsia="宋体" w:hAnsi="Book Antiqua" w:cs="Times New Roman"/>
          <w:sz w:val="20"/>
          <w:szCs w:val="20"/>
        </w:rPr>
        <w:t xml:space="preserve">the </w:t>
      </w:r>
      <w:r w:rsidRPr="00E709A1">
        <w:rPr>
          <w:rFonts w:ascii="Book Antiqua" w:eastAsia="宋体" w:hAnsi="Book Antiqua" w:cs="Times New Roman"/>
          <w:sz w:val="20"/>
          <w:szCs w:val="20"/>
        </w:rPr>
        <w:t>least frequently at 3.6% (</w:t>
      </w:r>
      <w:r w:rsidR="003142CF"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 </w:t>
      </w:r>
      <w:r w:rsidRPr="00E709A1">
        <w:rPr>
          <w:rFonts w:ascii="Book Antiqua" w:eastAsia="宋体" w:hAnsi="Book Antiqua" w:cs="Times New Roman"/>
          <w:sz w:val="20"/>
          <w:szCs w:val="20"/>
        </w:rPr>
        <w:t>1). EBV testing was conducted in 93.1% of cases, all of which were negative.</w:t>
      </w:r>
    </w:p>
    <w:p w14:paraId="2A92183F" w14:textId="55B9AC4B" w:rsidR="000705B7" w:rsidRPr="00E709A1" w:rsidRDefault="00624006" w:rsidP="00310F13">
      <w:pPr>
        <w:widowControl/>
        <w:tabs>
          <w:tab w:val="left" w:pos="2350"/>
        </w:tabs>
        <w:snapToGrid w:val="0"/>
        <w:spacing w:line="360" w:lineRule="auto"/>
        <w:ind w:firstLineChars="100" w:firstLine="200"/>
        <w:outlineLvl w:val="0"/>
        <w:rPr>
          <w:rFonts w:ascii="Book Antiqua" w:eastAsia="宋体" w:hAnsi="Book Antiqua" w:cs="Times New Roman"/>
          <w:sz w:val="20"/>
          <w:szCs w:val="20"/>
        </w:rPr>
      </w:pPr>
      <w:r w:rsidRPr="00E709A1">
        <w:rPr>
          <w:rFonts w:ascii="Book Antiqua" w:eastAsia="宋体" w:hAnsi="Book Antiqua" w:cs="Times New Roman"/>
          <w:sz w:val="20"/>
          <w:szCs w:val="20"/>
        </w:rPr>
        <w:t xml:space="preserve">Cases related to each </w:t>
      </w:r>
      <w:r w:rsidR="003142CF" w:rsidRPr="00E709A1">
        <w:rPr>
          <w:rFonts w:ascii="Book Antiqua" w:eastAsia="宋体" w:hAnsi="Book Antiqua" w:cs="Times New Roman"/>
          <w:sz w:val="20"/>
          <w:szCs w:val="20"/>
        </w:rPr>
        <w:t>pathological</w:t>
      </w:r>
      <w:r w:rsidRPr="00E709A1">
        <w:rPr>
          <w:rFonts w:ascii="Book Antiqua" w:eastAsia="宋体" w:hAnsi="Book Antiqua" w:cs="Times New Roman"/>
          <w:sz w:val="20"/>
          <w:szCs w:val="20"/>
        </w:rPr>
        <w:t xml:space="preserve"> tumor stage appear</w:t>
      </w:r>
      <w:r w:rsidR="00990C29" w:rsidRPr="00E709A1">
        <w:rPr>
          <w:rFonts w:ascii="Book Antiqua" w:eastAsia="宋体" w:hAnsi="Book Antiqua" w:cs="Times New Roman"/>
          <w:sz w:val="20"/>
          <w:szCs w:val="20"/>
        </w:rPr>
        <w:t>ed</w:t>
      </w:r>
      <w:r w:rsidRPr="00E709A1">
        <w:rPr>
          <w:rFonts w:ascii="Book Antiqua" w:eastAsia="宋体" w:hAnsi="Book Antiqua" w:cs="Times New Roman"/>
          <w:sz w:val="20"/>
          <w:szCs w:val="20"/>
        </w:rPr>
        <w:t xml:space="preserve"> as follows; pT1 in 14.2% (</w:t>
      </w:r>
      <w:r w:rsidR="003142CF"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 </w:t>
      </w:r>
      <w:r w:rsidRPr="00E709A1">
        <w:rPr>
          <w:rFonts w:ascii="Book Antiqua" w:eastAsia="宋体" w:hAnsi="Book Antiqua" w:cs="Times New Roman"/>
          <w:sz w:val="20"/>
          <w:szCs w:val="20"/>
        </w:rPr>
        <w:t>4), pT2 in 28.6% (</w:t>
      </w:r>
      <w:r w:rsidR="003142CF"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 </w:t>
      </w:r>
      <w:r w:rsidRPr="00E709A1">
        <w:rPr>
          <w:rFonts w:ascii="Book Antiqua" w:eastAsia="宋体" w:hAnsi="Book Antiqua" w:cs="Times New Roman"/>
          <w:sz w:val="20"/>
          <w:szCs w:val="20"/>
        </w:rPr>
        <w:t>8), pT3 in 53.6% (</w:t>
      </w:r>
      <w:r w:rsidR="003142CF"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 </w:t>
      </w:r>
      <w:r w:rsidRPr="00E709A1">
        <w:rPr>
          <w:rFonts w:ascii="Book Antiqua" w:eastAsia="宋体" w:hAnsi="Book Antiqua" w:cs="Times New Roman"/>
          <w:sz w:val="20"/>
          <w:szCs w:val="20"/>
        </w:rPr>
        <w:t>15) and pT4 in 3.6% (</w:t>
      </w:r>
      <w:r w:rsidR="003142CF" w:rsidRPr="00E709A1">
        <w:rPr>
          <w:rFonts w:ascii="Book Antiqua" w:eastAsia="宋体" w:hAnsi="Book Antiqua" w:cs="Times New Roman"/>
          <w:i/>
          <w:iCs/>
          <w:sz w:val="20"/>
          <w:szCs w:val="20"/>
        </w:rPr>
        <w:t>n</w:t>
      </w:r>
      <w:r w:rsidR="003142CF" w:rsidRPr="00E709A1">
        <w:rPr>
          <w:rFonts w:ascii="Book Antiqua" w:eastAsia="宋体" w:hAnsi="Book Antiqua" w:cs="Times New Roman"/>
          <w:sz w:val="20"/>
          <w:szCs w:val="20"/>
        </w:rPr>
        <w:t xml:space="preserve"> = </w:t>
      </w:r>
      <w:r w:rsidRPr="00E709A1">
        <w:rPr>
          <w:rFonts w:ascii="Book Antiqua" w:eastAsia="宋体" w:hAnsi="Book Antiqua" w:cs="Times New Roman"/>
          <w:sz w:val="20"/>
          <w:szCs w:val="20"/>
        </w:rPr>
        <w:t xml:space="preserve">1). Lymph node metastasis was reported in 27.6% of cases, although no distant metastasis was noted at the time of diagnosis. </w:t>
      </w:r>
      <w:r w:rsidR="003142CF" w:rsidRPr="00E709A1">
        <w:rPr>
          <w:rFonts w:ascii="Book Antiqua" w:eastAsia="宋体" w:hAnsi="Book Antiqua" w:cs="Times New Roman"/>
          <w:sz w:val="20"/>
          <w:szCs w:val="20"/>
        </w:rPr>
        <w:t xml:space="preserve">Surgery </w:t>
      </w:r>
      <w:r w:rsidRPr="00E709A1">
        <w:rPr>
          <w:rFonts w:ascii="Book Antiqua" w:eastAsia="宋体" w:hAnsi="Book Antiqua" w:cs="Times New Roman"/>
          <w:sz w:val="20"/>
          <w:szCs w:val="20"/>
        </w:rPr>
        <w:t xml:space="preserve">was the first-line therapy for all patients. </w:t>
      </w:r>
      <w:r w:rsidR="00990C29" w:rsidRPr="00E709A1">
        <w:rPr>
          <w:rFonts w:ascii="Book Antiqua" w:eastAsia="宋体" w:hAnsi="Book Antiqua" w:cs="Times New Roman"/>
          <w:sz w:val="20"/>
          <w:szCs w:val="20"/>
        </w:rPr>
        <w:t xml:space="preserve">Of the cases, </w:t>
      </w:r>
      <w:r w:rsidRPr="00E709A1">
        <w:rPr>
          <w:rFonts w:ascii="Book Antiqua" w:eastAsia="宋体" w:hAnsi="Book Antiqua" w:cs="Times New Roman"/>
          <w:sz w:val="20"/>
          <w:szCs w:val="20"/>
        </w:rPr>
        <w:t>85.2% utilized</w:t>
      </w:r>
      <w:r w:rsidR="00990C29" w:rsidRPr="00E709A1">
        <w:rPr>
          <w:rFonts w:ascii="Book Antiqua" w:eastAsia="宋体" w:hAnsi="Book Antiqua" w:cs="Times New Roman"/>
          <w:sz w:val="20"/>
          <w:szCs w:val="20"/>
        </w:rPr>
        <w:t xml:space="preserve"> a</w:t>
      </w:r>
      <w:r w:rsidRPr="00E709A1">
        <w:rPr>
          <w:rFonts w:ascii="Book Antiqua" w:eastAsia="宋体" w:hAnsi="Book Antiqua" w:cs="Times New Roman"/>
          <w:sz w:val="20"/>
          <w:szCs w:val="20"/>
        </w:rPr>
        <w:t xml:space="preserve"> single treatment modality, and in combination with </w:t>
      </w:r>
      <w:r w:rsidR="003142CF" w:rsidRPr="00E709A1">
        <w:rPr>
          <w:rFonts w:ascii="Book Antiqua" w:eastAsia="宋体" w:hAnsi="Book Antiqua" w:cs="Times New Roman"/>
          <w:sz w:val="20"/>
          <w:szCs w:val="20"/>
        </w:rPr>
        <w:t>“</w:t>
      </w:r>
      <w:r w:rsidRPr="00E709A1">
        <w:rPr>
          <w:rFonts w:ascii="Book Antiqua" w:eastAsia="宋体" w:hAnsi="Book Antiqua" w:cs="Times New Roman"/>
          <w:sz w:val="20"/>
          <w:szCs w:val="20"/>
        </w:rPr>
        <w:t>radical nephroureterectomy</w:t>
      </w:r>
      <w:r w:rsidR="003142CF" w:rsidRPr="00E709A1">
        <w:rPr>
          <w:rFonts w:ascii="Book Antiqua" w:eastAsia="宋体" w:hAnsi="Book Antiqua" w:cs="Times New Roman"/>
          <w:sz w:val="20"/>
          <w:szCs w:val="20"/>
        </w:rPr>
        <w:t>”</w:t>
      </w:r>
      <w:r w:rsidRPr="00E709A1">
        <w:rPr>
          <w:rFonts w:ascii="Book Antiqua" w:eastAsia="宋体" w:hAnsi="Book Antiqua" w:cs="Times New Roman"/>
          <w:i/>
          <w:iCs/>
          <w:sz w:val="20"/>
          <w:szCs w:val="20"/>
        </w:rPr>
        <w:t xml:space="preserve"> </w:t>
      </w:r>
      <w:r w:rsidRPr="00E709A1">
        <w:rPr>
          <w:rFonts w:ascii="Book Antiqua" w:eastAsia="宋体" w:hAnsi="Book Antiqua" w:cs="Times New Roman"/>
          <w:sz w:val="20"/>
          <w:szCs w:val="20"/>
        </w:rPr>
        <w:t>(RNU)</w:t>
      </w:r>
      <w:r w:rsidR="00990C29" w:rsidRPr="00E709A1">
        <w:rPr>
          <w:rFonts w:ascii="Book Antiqua" w:eastAsia="宋体" w:hAnsi="Book Antiqua" w:cs="Times New Roman"/>
          <w:sz w:val="20"/>
          <w:szCs w:val="20"/>
        </w:rPr>
        <w:t>, which</w:t>
      </w:r>
      <w:r w:rsidRPr="00E709A1">
        <w:rPr>
          <w:rFonts w:ascii="Book Antiqua" w:eastAsia="宋体" w:hAnsi="Book Antiqua" w:cs="Times New Roman"/>
          <w:sz w:val="20"/>
          <w:szCs w:val="20"/>
        </w:rPr>
        <w:t xml:space="preserve"> appear</w:t>
      </w:r>
      <w:r w:rsidR="00990C29" w:rsidRPr="00E709A1">
        <w:rPr>
          <w:rFonts w:ascii="Book Antiqua" w:eastAsia="宋体" w:hAnsi="Book Antiqua" w:cs="Times New Roman"/>
          <w:sz w:val="20"/>
          <w:szCs w:val="20"/>
        </w:rPr>
        <w:t>ed</w:t>
      </w:r>
      <w:r w:rsidRPr="00E709A1">
        <w:rPr>
          <w:rFonts w:ascii="Book Antiqua" w:eastAsia="宋体" w:hAnsi="Book Antiqua" w:cs="Times New Roman"/>
          <w:sz w:val="20"/>
          <w:szCs w:val="20"/>
        </w:rPr>
        <w:t xml:space="preserve"> to be the most frequently administered (50%), followed by </w:t>
      </w:r>
      <w:bookmarkStart w:id="35" w:name="OLE_LINK23"/>
      <w:r w:rsidR="003142CF" w:rsidRPr="00E709A1">
        <w:rPr>
          <w:rFonts w:ascii="Book Antiqua" w:eastAsia="宋体" w:hAnsi="Book Antiqua" w:cs="Times New Roman"/>
          <w:sz w:val="20"/>
          <w:szCs w:val="20"/>
        </w:rPr>
        <w:t>“</w:t>
      </w:r>
      <w:r w:rsidRPr="00E709A1">
        <w:rPr>
          <w:rFonts w:ascii="Book Antiqua" w:eastAsia="宋体" w:hAnsi="Book Antiqua" w:cs="Times New Roman"/>
          <w:bCs/>
          <w:sz w:val="20"/>
          <w:szCs w:val="20"/>
        </w:rPr>
        <w:t>radical nephrectomy</w:t>
      </w:r>
      <w:r w:rsidR="003142CF" w:rsidRPr="00E709A1">
        <w:rPr>
          <w:rFonts w:ascii="Book Antiqua" w:eastAsia="宋体" w:hAnsi="Book Antiqua" w:cs="Times New Roman"/>
          <w:bCs/>
          <w:sz w:val="20"/>
          <w:szCs w:val="20"/>
        </w:rPr>
        <w:t>”</w:t>
      </w:r>
      <w:r w:rsidRPr="00E709A1">
        <w:rPr>
          <w:rFonts w:ascii="Book Antiqua" w:eastAsia="宋体" w:hAnsi="Book Antiqua" w:cs="Times New Roman"/>
          <w:sz w:val="20"/>
          <w:szCs w:val="20"/>
        </w:rPr>
        <w:t xml:space="preserve"> </w:t>
      </w:r>
      <w:bookmarkEnd w:id="35"/>
      <w:r w:rsidRPr="00E709A1">
        <w:rPr>
          <w:rFonts w:ascii="Book Antiqua" w:eastAsia="宋体" w:hAnsi="Book Antiqua" w:cs="Times New Roman"/>
          <w:sz w:val="20"/>
          <w:szCs w:val="20"/>
        </w:rPr>
        <w:t>(RN)</w:t>
      </w:r>
      <w:r w:rsidRPr="00E709A1">
        <w:rPr>
          <w:rFonts w:ascii="Book Antiqua" w:eastAsia="宋体" w:hAnsi="Book Antiqua" w:cs="Times New Roman"/>
          <w:i/>
          <w:iCs/>
          <w:sz w:val="20"/>
          <w:szCs w:val="20"/>
        </w:rPr>
        <w:t xml:space="preserve"> </w:t>
      </w:r>
      <w:r w:rsidRPr="00E709A1">
        <w:rPr>
          <w:rFonts w:ascii="Book Antiqua" w:eastAsia="宋体" w:hAnsi="Book Antiqua" w:cs="Times New Roman"/>
          <w:sz w:val="20"/>
          <w:szCs w:val="20"/>
        </w:rPr>
        <w:t xml:space="preserve">alone (27.3%), ureterectomy (18.2%), and partial nephrectomy plus ureterectomy (4.5%). </w:t>
      </w:r>
    </w:p>
    <w:p w14:paraId="41B8EAAD" w14:textId="5C198855" w:rsidR="000705B7" w:rsidRPr="00E709A1" w:rsidRDefault="00624006" w:rsidP="00310F13">
      <w:pPr>
        <w:widowControl/>
        <w:tabs>
          <w:tab w:val="left" w:pos="2350"/>
        </w:tabs>
        <w:snapToGrid w:val="0"/>
        <w:spacing w:line="360" w:lineRule="auto"/>
        <w:ind w:firstLineChars="100" w:firstLine="200"/>
        <w:outlineLvl w:val="0"/>
        <w:rPr>
          <w:rFonts w:ascii="Book Antiqua" w:eastAsia="宋体" w:hAnsi="Book Antiqua" w:cs="Times New Roman"/>
          <w:sz w:val="20"/>
          <w:szCs w:val="20"/>
        </w:rPr>
      </w:pPr>
      <w:r w:rsidRPr="00E709A1">
        <w:rPr>
          <w:rFonts w:ascii="Book Antiqua" w:eastAsia="宋体" w:hAnsi="Book Antiqua" w:cs="Times New Roman"/>
          <w:sz w:val="20"/>
          <w:szCs w:val="20"/>
        </w:rPr>
        <w:t xml:space="preserve">There was no evidence of further metastasis in 87% of these cases; however, 13% died of the disease post-surgery. Of the multi-modal treatments, primary treatments </w:t>
      </w:r>
      <w:r w:rsidR="003142CF" w:rsidRPr="00E709A1">
        <w:rPr>
          <w:rFonts w:ascii="Book Antiqua" w:eastAsia="宋体" w:hAnsi="Book Antiqua" w:cs="Times New Roman"/>
          <w:sz w:val="20"/>
          <w:szCs w:val="20"/>
        </w:rPr>
        <w:t>included</w:t>
      </w:r>
      <w:r w:rsidRPr="00E709A1">
        <w:rPr>
          <w:rFonts w:ascii="Book Antiqua" w:eastAsia="宋体" w:hAnsi="Book Antiqua" w:cs="Times New Roman"/>
          <w:sz w:val="20"/>
          <w:szCs w:val="20"/>
        </w:rPr>
        <w:t xml:space="preserve"> RN (66.7%) and RNU (33.3%). Adjuvant treatments </w:t>
      </w:r>
      <w:r w:rsidR="003142CF" w:rsidRPr="00E709A1">
        <w:rPr>
          <w:rFonts w:ascii="Book Antiqua" w:eastAsia="宋体" w:hAnsi="Book Antiqua" w:cs="Times New Roman"/>
          <w:sz w:val="20"/>
          <w:szCs w:val="20"/>
        </w:rPr>
        <w:t>involved</w:t>
      </w:r>
      <w:r w:rsidRPr="00E709A1">
        <w:rPr>
          <w:rFonts w:ascii="Book Antiqua" w:eastAsia="宋体" w:hAnsi="Book Antiqua" w:cs="Times New Roman"/>
          <w:sz w:val="20"/>
          <w:szCs w:val="20"/>
        </w:rPr>
        <w:t xml:space="preserve"> either chemotherapy (83.3%) or radiotherapy (16.7%). Outcomes for those receiving multi-modal treatments included no evidence of further metastasis (33.3%)</w:t>
      </w:r>
      <w:r w:rsidR="00990C29"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although 66.7% died</w:t>
      </w:r>
      <w:r w:rsidR="00990C29"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postoperatively. Overall, 21 patients were alive with no evidence of disease recurrence. Seven died at the median</w:t>
      </w:r>
      <w:r w:rsidR="003142CF"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follow-up</w:t>
      </w:r>
      <w:r w:rsidR="003142CF"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point of 18 mo</w:t>
      </w:r>
      <w:r w:rsidR="00F958EC"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and </w:t>
      </w:r>
      <w:r w:rsidR="003142CF" w:rsidRPr="00E709A1">
        <w:rPr>
          <w:rFonts w:ascii="Book Antiqua" w:eastAsia="宋体" w:hAnsi="Book Antiqua" w:cs="Times New Roman"/>
          <w:sz w:val="20"/>
          <w:szCs w:val="20"/>
        </w:rPr>
        <w:t>cancer-specific</w:t>
      </w:r>
      <w:r w:rsidRPr="00E709A1">
        <w:rPr>
          <w:rFonts w:ascii="Book Antiqua" w:eastAsia="宋体" w:hAnsi="Book Antiqua" w:cs="Times New Roman"/>
          <w:sz w:val="20"/>
          <w:szCs w:val="20"/>
        </w:rPr>
        <w:t xml:space="preserve"> survival curves are presented in Figure 2.</w:t>
      </w:r>
    </w:p>
    <w:p w14:paraId="6E0FB4C1" w14:textId="5BDD386B" w:rsidR="000705B7" w:rsidRPr="00E709A1" w:rsidRDefault="00624006" w:rsidP="00310F13">
      <w:pPr>
        <w:widowControl/>
        <w:tabs>
          <w:tab w:val="left" w:pos="2350"/>
        </w:tabs>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sz w:val="20"/>
          <w:szCs w:val="20"/>
        </w:rPr>
        <w:t>A non-parametric log-rank test was implemented to compare survival curves and explore prognostic factors. With univariate analysis, the following clinicopathological parameters were significantly associated with survival; treatment modality (</w:t>
      </w:r>
      <w:r w:rsidR="003142CF" w:rsidRPr="00E709A1">
        <w:rPr>
          <w:rFonts w:ascii="Book Antiqua" w:eastAsia="宋体" w:hAnsi="Book Antiqua" w:cs="Times New Roman"/>
          <w:i/>
          <w:sz w:val="20"/>
          <w:szCs w:val="20"/>
        </w:rPr>
        <w:t>P</w:t>
      </w:r>
      <w:r w:rsidRPr="00E709A1">
        <w:rPr>
          <w:rFonts w:ascii="Book Antiqua" w:eastAsia="宋体" w:hAnsi="Book Antiqua" w:cs="Times New Roman"/>
          <w:sz w:val="20"/>
          <w:szCs w:val="20"/>
        </w:rPr>
        <w:t xml:space="preserve"> = 0.006, Fig</w:t>
      </w:r>
      <w:r w:rsidR="003142CF" w:rsidRPr="00E709A1">
        <w:rPr>
          <w:rFonts w:ascii="Book Antiqua" w:eastAsia="宋体" w:hAnsi="Book Antiqua" w:cs="Times New Roman"/>
          <w:sz w:val="20"/>
          <w:szCs w:val="20"/>
        </w:rPr>
        <w:t>ure</w:t>
      </w:r>
      <w:r w:rsidRPr="00E709A1">
        <w:rPr>
          <w:rFonts w:ascii="Book Antiqua" w:eastAsia="宋体" w:hAnsi="Book Antiqua" w:cs="Times New Roman"/>
          <w:sz w:val="20"/>
          <w:szCs w:val="20"/>
        </w:rPr>
        <w:t xml:space="preserve"> 2</w:t>
      </w:r>
      <w:r w:rsidR="003142CF" w:rsidRPr="00E709A1">
        <w:rPr>
          <w:rFonts w:ascii="Book Antiqua" w:eastAsia="宋体" w:hAnsi="Book Antiqua" w:cs="Times New Roman"/>
          <w:sz w:val="20"/>
          <w:szCs w:val="20"/>
        </w:rPr>
        <w:t>B</w:t>
      </w:r>
      <w:r w:rsidRPr="00E709A1">
        <w:rPr>
          <w:rFonts w:ascii="Book Antiqua" w:eastAsia="宋体" w:hAnsi="Book Antiqua" w:cs="Times New Roman"/>
          <w:sz w:val="20"/>
          <w:szCs w:val="20"/>
        </w:rPr>
        <w:t>), histological subtypes (</w:t>
      </w:r>
      <w:r w:rsidR="003142CF" w:rsidRPr="00E709A1">
        <w:rPr>
          <w:rFonts w:ascii="Book Antiqua" w:eastAsia="宋体" w:hAnsi="Book Antiqua" w:cs="Times New Roman"/>
          <w:i/>
          <w:sz w:val="20"/>
          <w:szCs w:val="20"/>
        </w:rPr>
        <w:t>P</w:t>
      </w:r>
      <w:r w:rsidRPr="00E709A1">
        <w:rPr>
          <w:rFonts w:ascii="Book Antiqua" w:eastAsia="宋体" w:hAnsi="Book Antiqua" w:cs="Times New Roman"/>
          <w:sz w:val="20"/>
          <w:szCs w:val="20"/>
        </w:rPr>
        <w:t xml:space="preserve"> = 0.002, Fig</w:t>
      </w:r>
      <w:r w:rsidR="003142CF" w:rsidRPr="00E709A1">
        <w:rPr>
          <w:rFonts w:ascii="Book Antiqua" w:eastAsia="宋体" w:hAnsi="Book Antiqua" w:cs="Times New Roman"/>
          <w:sz w:val="20"/>
          <w:szCs w:val="20"/>
        </w:rPr>
        <w:t>ure</w:t>
      </w:r>
      <w:r w:rsidRPr="00E709A1">
        <w:rPr>
          <w:rFonts w:ascii="Book Antiqua" w:eastAsia="宋体" w:hAnsi="Book Antiqua" w:cs="Times New Roman"/>
          <w:sz w:val="20"/>
          <w:szCs w:val="20"/>
        </w:rPr>
        <w:t xml:space="preserve"> 2</w:t>
      </w:r>
      <w:r w:rsidR="003142CF" w:rsidRPr="00E709A1">
        <w:rPr>
          <w:rFonts w:ascii="Book Antiqua" w:eastAsia="宋体" w:hAnsi="Book Antiqua" w:cs="Times New Roman"/>
          <w:sz w:val="20"/>
          <w:szCs w:val="20"/>
        </w:rPr>
        <w:t>C</w:t>
      </w:r>
      <w:r w:rsidRPr="00E709A1">
        <w:rPr>
          <w:rFonts w:ascii="Book Antiqua" w:eastAsia="宋体" w:hAnsi="Book Antiqua" w:cs="Times New Roman"/>
          <w:sz w:val="20"/>
          <w:szCs w:val="20"/>
        </w:rPr>
        <w:t>), pathological stage (</w:t>
      </w:r>
      <w:r w:rsidR="003142CF" w:rsidRPr="00E709A1">
        <w:rPr>
          <w:rFonts w:ascii="Book Antiqua" w:eastAsia="宋体" w:hAnsi="Book Antiqua" w:cs="Times New Roman"/>
          <w:i/>
          <w:sz w:val="20"/>
          <w:szCs w:val="20"/>
        </w:rPr>
        <w:t>P</w:t>
      </w:r>
      <w:r w:rsidRPr="00E709A1">
        <w:rPr>
          <w:rFonts w:ascii="Book Antiqua" w:eastAsia="宋体" w:hAnsi="Book Antiqua" w:cs="Times New Roman"/>
          <w:sz w:val="20"/>
          <w:szCs w:val="20"/>
        </w:rPr>
        <w:t xml:space="preserve"> = 0.004, </w:t>
      </w:r>
      <w:r w:rsidRPr="00E709A1">
        <w:rPr>
          <w:rFonts w:ascii="Book Antiqua" w:eastAsia="宋体" w:hAnsi="Book Antiqua" w:cs="Times New Roman"/>
          <w:kern w:val="0"/>
          <w:sz w:val="20"/>
          <w:szCs w:val="20"/>
        </w:rPr>
        <w:t>Fig</w:t>
      </w:r>
      <w:r w:rsidR="003142CF" w:rsidRPr="00E709A1">
        <w:rPr>
          <w:rFonts w:ascii="Book Antiqua" w:eastAsia="宋体" w:hAnsi="Book Antiqua" w:cs="Times New Roman"/>
          <w:kern w:val="0"/>
          <w:sz w:val="20"/>
          <w:szCs w:val="20"/>
        </w:rPr>
        <w:t>ure</w:t>
      </w:r>
      <w:r w:rsidRPr="00E709A1">
        <w:rPr>
          <w:rFonts w:ascii="Book Antiqua" w:eastAsia="宋体" w:hAnsi="Book Antiqua" w:cs="Times New Roman"/>
          <w:kern w:val="0"/>
          <w:sz w:val="20"/>
          <w:szCs w:val="20"/>
        </w:rPr>
        <w:t xml:space="preserve"> 2</w:t>
      </w:r>
      <w:r w:rsidR="003142CF" w:rsidRPr="00E709A1">
        <w:rPr>
          <w:rFonts w:ascii="Book Antiqua" w:eastAsia="宋体" w:hAnsi="Book Antiqua" w:cs="Times New Roman"/>
          <w:kern w:val="0"/>
          <w:sz w:val="20"/>
          <w:szCs w:val="20"/>
        </w:rPr>
        <w:t>D</w:t>
      </w:r>
      <w:r w:rsidRPr="00E709A1">
        <w:rPr>
          <w:rFonts w:ascii="Book Antiqua" w:eastAsia="宋体" w:hAnsi="Book Antiqua" w:cs="Times New Roman"/>
          <w:sz w:val="20"/>
          <w:szCs w:val="20"/>
        </w:rPr>
        <w:t>) and tumor location (</w:t>
      </w:r>
      <w:r w:rsidR="003142CF" w:rsidRPr="00E709A1">
        <w:rPr>
          <w:rFonts w:ascii="Book Antiqua" w:eastAsia="宋体" w:hAnsi="Book Antiqua" w:cs="Times New Roman"/>
          <w:i/>
          <w:sz w:val="20"/>
          <w:szCs w:val="20"/>
        </w:rPr>
        <w:t>P</w:t>
      </w:r>
      <w:r w:rsidRPr="00E709A1">
        <w:rPr>
          <w:rFonts w:ascii="Book Antiqua" w:eastAsia="宋体" w:hAnsi="Book Antiqua" w:cs="Times New Roman"/>
          <w:sz w:val="20"/>
          <w:szCs w:val="20"/>
        </w:rPr>
        <w:t xml:space="preserve"> = 0.016, </w:t>
      </w:r>
      <w:r w:rsidRPr="00E709A1">
        <w:rPr>
          <w:rFonts w:ascii="Book Antiqua" w:eastAsia="宋体" w:hAnsi="Book Antiqua" w:cs="Times New Roman"/>
          <w:kern w:val="0"/>
          <w:sz w:val="20"/>
          <w:szCs w:val="20"/>
        </w:rPr>
        <w:t>Fig</w:t>
      </w:r>
      <w:r w:rsidR="003142CF" w:rsidRPr="00E709A1">
        <w:rPr>
          <w:rFonts w:ascii="Book Antiqua" w:eastAsia="宋体" w:hAnsi="Book Antiqua" w:cs="Times New Roman"/>
          <w:kern w:val="0"/>
          <w:sz w:val="20"/>
          <w:szCs w:val="20"/>
        </w:rPr>
        <w:t>ure</w:t>
      </w:r>
      <w:r w:rsidRPr="00E709A1">
        <w:rPr>
          <w:rFonts w:ascii="Book Antiqua" w:eastAsia="宋体" w:hAnsi="Book Antiqua" w:cs="Times New Roman"/>
          <w:kern w:val="0"/>
          <w:sz w:val="20"/>
          <w:szCs w:val="20"/>
        </w:rPr>
        <w:t xml:space="preserve"> 2</w:t>
      </w:r>
      <w:r w:rsidR="003142CF" w:rsidRPr="00E709A1">
        <w:rPr>
          <w:rFonts w:ascii="Book Antiqua" w:eastAsia="宋体" w:hAnsi="Book Antiqua" w:cs="Times New Roman"/>
          <w:kern w:val="0"/>
          <w:sz w:val="20"/>
          <w:szCs w:val="20"/>
        </w:rPr>
        <w:t>E</w:t>
      </w:r>
      <w:r w:rsidRPr="00E709A1">
        <w:rPr>
          <w:rFonts w:ascii="Book Antiqua" w:eastAsia="宋体" w:hAnsi="Book Antiqua" w:cs="Times New Roman"/>
          <w:sz w:val="20"/>
          <w:szCs w:val="20"/>
        </w:rPr>
        <w:t>). RNU</w:t>
      </w:r>
      <w:r w:rsidR="00FF4646" w:rsidRPr="00E709A1">
        <w:rPr>
          <w:rFonts w:ascii="Book Antiqua" w:eastAsia="宋体" w:hAnsi="Book Antiqua" w:cs="Times New Roman"/>
          <w:sz w:val="20"/>
          <w:szCs w:val="20"/>
        </w:rPr>
        <w:t>-</w:t>
      </w:r>
      <w:r w:rsidRPr="00E709A1">
        <w:rPr>
          <w:rFonts w:ascii="Book Antiqua" w:eastAsia="宋体" w:hAnsi="Book Antiqua" w:cs="Times New Roman"/>
          <w:sz w:val="20"/>
          <w:szCs w:val="20"/>
        </w:rPr>
        <w:t>based therapy significant</w:t>
      </w:r>
      <w:r w:rsidR="003142CF" w:rsidRPr="00E709A1">
        <w:rPr>
          <w:rFonts w:ascii="Book Antiqua" w:eastAsia="宋体" w:hAnsi="Book Antiqua" w:cs="Times New Roman"/>
          <w:sz w:val="20"/>
          <w:szCs w:val="20"/>
        </w:rPr>
        <w:t>ly</w:t>
      </w:r>
      <w:r w:rsidRPr="00E709A1">
        <w:rPr>
          <w:rFonts w:ascii="Book Antiqua" w:eastAsia="宋体" w:hAnsi="Book Antiqua" w:cs="Times New Roman"/>
          <w:sz w:val="20"/>
          <w:szCs w:val="20"/>
        </w:rPr>
        <w:t xml:space="preserve"> improved the </w:t>
      </w:r>
      <w:r w:rsidR="003142CF" w:rsidRPr="00E709A1">
        <w:rPr>
          <w:rFonts w:ascii="Book Antiqua" w:eastAsia="宋体" w:hAnsi="Book Antiqua" w:cs="Times New Roman"/>
          <w:sz w:val="20"/>
          <w:szCs w:val="20"/>
        </w:rPr>
        <w:t xml:space="preserve">cancer-specific survival </w:t>
      </w:r>
      <w:r w:rsidRPr="00E709A1">
        <w:rPr>
          <w:rFonts w:ascii="Book Antiqua" w:eastAsia="宋体" w:hAnsi="Book Antiqua" w:cs="Times New Roman"/>
          <w:sz w:val="20"/>
          <w:szCs w:val="20"/>
        </w:rPr>
        <w:t>rate compared with Non-RNU</w:t>
      </w:r>
      <w:r w:rsidR="00FF4646" w:rsidRPr="00E709A1">
        <w:rPr>
          <w:rFonts w:ascii="Book Antiqua" w:eastAsia="宋体" w:hAnsi="Book Antiqua" w:cs="Times New Roman"/>
          <w:sz w:val="20"/>
          <w:szCs w:val="20"/>
        </w:rPr>
        <w:t>-</w:t>
      </w:r>
      <w:r w:rsidRPr="00E709A1">
        <w:rPr>
          <w:rFonts w:ascii="Book Antiqua" w:eastAsia="宋体" w:hAnsi="Book Antiqua" w:cs="Times New Roman"/>
          <w:sz w:val="20"/>
          <w:szCs w:val="20"/>
        </w:rPr>
        <w:t>based therapy (</w:t>
      </w:r>
      <w:r w:rsidR="003142CF" w:rsidRPr="00E709A1">
        <w:rPr>
          <w:rFonts w:ascii="Book Antiqua" w:eastAsia="宋体" w:hAnsi="Book Antiqua" w:cs="Times New Roman"/>
          <w:i/>
          <w:iCs/>
          <w:sz w:val="20"/>
          <w:szCs w:val="20"/>
        </w:rPr>
        <w:t>P</w:t>
      </w:r>
      <w:r w:rsidRPr="00E709A1">
        <w:rPr>
          <w:rFonts w:ascii="Book Antiqua" w:eastAsia="宋体" w:hAnsi="Book Antiqua" w:cs="Times New Roman"/>
          <w:sz w:val="20"/>
          <w:szCs w:val="20"/>
        </w:rPr>
        <w:t xml:space="preserve"> &lt; 0.01). T</w:t>
      </w:r>
      <w:r w:rsidRPr="00E709A1">
        <w:rPr>
          <w:rFonts w:ascii="Book Antiqua" w:eastAsia="宋体" w:hAnsi="Book Antiqua" w:cs="Times New Roman"/>
          <w:bCs/>
          <w:sz w:val="20"/>
          <w:szCs w:val="20"/>
        </w:rPr>
        <w:t xml:space="preserve">he pure histological subtype also appears to have </w:t>
      </w:r>
      <w:r w:rsidR="003142CF" w:rsidRPr="00E709A1">
        <w:rPr>
          <w:rFonts w:ascii="Book Antiqua" w:eastAsia="宋体" w:hAnsi="Book Antiqua" w:cs="Times New Roman"/>
          <w:bCs/>
          <w:sz w:val="20"/>
          <w:szCs w:val="20"/>
        </w:rPr>
        <w:t>better</w:t>
      </w:r>
      <w:r w:rsidRPr="00E709A1">
        <w:rPr>
          <w:rFonts w:ascii="Book Antiqua" w:eastAsia="宋体" w:hAnsi="Book Antiqua" w:cs="Times New Roman"/>
          <w:bCs/>
          <w:sz w:val="20"/>
          <w:szCs w:val="20"/>
        </w:rPr>
        <w:t xml:space="preserve"> prognosis compared with the non-pure subtypes, including predominant and focal subtypes (</w:t>
      </w:r>
      <w:r w:rsidR="003142CF" w:rsidRPr="00E709A1">
        <w:rPr>
          <w:rFonts w:ascii="Book Antiqua" w:eastAsia="宋体" w:hAnsi="Book Antiqua" w:cs="Times New Roman"/>
          <w:i/>
          <w:iCs/>
          <w:sz w:val="20"/>
          <w:szCs w:val="20"/>
        </w:rPr>
        <w:t>P</w:t>
      </w:r>
      <w:r w:rsidRPr="00E709A1">
        <w:rPr>
          <w:rFonts w:ascii="Book Antiqua" w:eastAsia="宋体" w:hAnsi="Book Antiqua" w:cs="Times New Roman"/>
          <w:sz w:val="20"/>
          <w:szCs w:val="20"/>
        </w:rPr>
        <w:t xml:space="preserve"> &lt; </w:t>
      </w:r>
      <w:r w:rsidRPr="00E709A1">
        <w:rPr>
          <w:rFonts w:ascii="Book Antiqua" w:eastAsia="宋体" w:hAnsi="Book Antiqua" w:cs="Times New Roman"/>
          <w:sz w:val="20"/>
          <w:szCs w:val="20"/>
        </w:rPr>
        <w:lastRenderedPageBreak/>
        <w:t>0.01</w:t>
      </w:r>
      <w:r w:rsidRPr="00E709A1">
        <w:rPr>
          <w:rFonts w:ascii="Book Antiqua" w:eastAsia="宋体" w:hAnsi="Book Antiqua" w:cs="Times New Roman"/>
          <w:bCs/>
          <w:sz w:val="20"/>
          <w:szCs w:val="20"/>
        </w:rPr>
        <w:t xml:space="preserve">). </w:t>
      </w:r>
      <w:r w:rsidR="003142CF" w:rsidRPr="00E709A1">
        <w:rPr>
          <w:rFonts w:ascii="Book Antiqua" w:eastAsia="宋体" w:hAnsi="Book Antiqua" w:cs="Times New Roman"/>
          <w:sz w:val="20"/>
          <w:szCs w:val="20"/>
        </w:rPr>
        <w:t xml:space="preserve">Higher </w:t>
      </w:r>
      <w:r w:rsidRPr="00E709A1">
        <w:rPr>
          <w:rFonts w:ascii="Book Antiqua" w:eastAsia="宋体" w:hAnsi="Book Antiqua" w:cs="Times New Roman"/>
          <w:sz w:val="20"/>
          <w:szCs w:val="20"/>
        </w:rPr>
        <w:t>tumor stage (</w:t>
      </w:r>
      <w:r w:rsidRPr="00E709A1">
        <w:rPr>
          <w:rFonts w:ascii="Book Antiqua" w:eastAsia="宋体" w:hAnsi="Book Antiqua" w:cs="Times New Roman"/>
          <w:i/>
          <w:iCs/>
          <w:sz w:val="20"/>
          <w:szCs w:val="20"/>
        </w:rPr>
        <w:t>i.e.</w:t>
      </w:r>
      <w:r w:rsidRPr="00E709A1">
        <w:rPr>
          <w:rFonts w:ascii="Book Antiqua" w:eastAsia="宋体" w:hAnsi="Book Antiqua" w:cs="Times New Roman"/>
          <w:sz w:val="20"/>
          <w:szCs w:val="20"/>
        </w:rPr>
        <w:t>, pT3–pT4) corresponds with a higher mortality rate</w:t>
      </w:r>
      <w:r w:rsidR="00FF4646"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and location within the urinary tract also appears to have a significant impact on outcomes.</w:t>
      </w:r>
      <w:r w:rsidRPr="00E709A1">
        <w:rPr>
          <w:rFonts w:ascii="Book Antiqua" w:eastAsia="宋体" w:hAnsi="Book Antiqua" w:cs="Times New Roman"/>
          <w:bCs/>
          <w:sz w:val="20"/>
          <w:szCs w:val="20"/>
        </w:rPr>
        <w:t xml:space="preserve"> </w:t>
      </w:r>
      <w:r w:rsidRPr="00E709A1">
        <w:rPr>
          <w:rFonts w:ascii="Book Antiqua" w:eastAsia="宋体" w:hAnsi="Book Antiqua" w:cs="Times New Roman"/>
          <w:sz w:val="20"/>
          <w:szCs w:val="20"/>
        </w:rPr>
        <w:t>For example, r</w:t>
      </w:r>
      <w:r w:rsidRPr="00E709A1">
        <w:rPr>
          <w:rFonts w:ascii="Book Antiqua" w:eastAsia="宋体" w:hAnsi="Book Antiqua" w:cs="Times New Roman"/>
          <w:bCs/>
          <w:sz w:val="20"/>
          <w:szCs w:val="20"/>
        </w:rPr>
        <w:t>enal pelvis LELC seems to have poorer outcomes. There also appears to be a difference between men and women, although this was not statistically significant (</w:t>
      </w:r>
      <w:r w:rsidR="003142CF" w:rsidRPr="00E709A1">
        <w:rPr>
          <w:rFonts w:ascii="Book Antiqua" w:eastAsia="宋体" w:hAnsi="Book Antiqua" w:cs="Times New Roman"/>
          <w:i/>
          <w:sz w:val="20"/>
          <w:szCs w:val="20"/>
        </w:rPr>
        <w:t>P</w:t>
      </w:r>
      <w:r w:rsidRPr="00E709A1">
        <w:rPr>
          <w:rFonts w:ascii="Book Antiqua" w:eastAsia="宋体" w:hAnsi="Book Antiqua" w:cs="Times New Roman"/>
          <w:sz w:val="20"/>
          <w:szCs w:val="20"/>
        </w:rPr>
        <w:t xml:space="preserve"> = 0.217, </w:t>
      </w:r>
      <w:r w:rsidRPr="00E709A1">
        <w:rPr>
          <w:rFonts w:ascii="Book Antiqua" w:eastAsia="宋体" w:hAnsi="Book Antiqua" w:cs="Times New Roman"/>
          <w:kern w:val="0"/>
          <w:sz w:val="20"/>
          <w:szCs w:val="20"/>
        </w:rPr>
        <w:t>Fig</w:t>
      </w:r>
      <w:r w:rsidR="003142CF" w:rsidRPr="00E709A1">
        <w:rPr>
          <w:rFonts w:ascii="Book Antiqua" w:eastAsia="宋体" w:hAnsi="Book Antiqua" w:cs="Times New Roman"/>
          <w:kern w:val="0"/>
          <w:sz w:val="20"/>
          <w:szCs w:val="20"/>
        </w:rPr>
        <w:t>ure</w:t>
      </w:r>
      <w:r w:rsidRPr="00E709A1">
        <w:rPr>
          <w:rFonts w:ascii="Book Antiqua" w:eastAsia="宋体" w:hAnsi="Book Antiqua" w:cs="Times New Roman"/>
          <w:kern w:val="0"/>
          <w:sz w:val="20"/>
          <w:szCs w:val="20"/>
        </w:rPr>
        <w:t xml:space="preserve"> 2</w:t>
      </w:r>
      <w:r w:rsidR="003142CF" w:rsidRPr="00E709A1">
        <w:rPr>
          <w:rFonts w:ascii="Book Antiqua" w:eastAsia="宋体" w:hAnsi="Book Antiqua" w:cs="Times New Roman"/>
          <w:kern w:val="0"/>
          <w:sz w:val="20"/>
          <w:szCs w:val="20"/>
        </w:rPr>
        <w:t>F</w:t>
      </w:r>
      <w:r w:rsidRPr="00E709A1">
        <w:rPr>
          <w:rFonts w:ascii="Book Antiqua" w:eastAsia="宋体" w:hAnsi="Book Antiqua" w:cs="Times New Roman"/>
          <w:bCs/>
          <w:sz w:val="20"/>
          <w:szCs w:val="20"/>
        </w:rPr>
        <w:t>).</w:t>
      </w:r>
    </w:p>
    <w:p w14:paraId="594CFA02" w14:textId="77777777" w:rsidR="003142CF" w:rsidRPr="00E709A1" w:rsidRDefault="003142CF" w:rsidP="00310F13">
      <w:pPr>
        <w:widowControl/>
        <w:tabs>
          <w:tab w:val="left" w:pos="2350"/>
        </w:tabs>
        <w:snapToGrid w:val="0"/>
        <w:spacing w:line="360" w:lineRule="auto"/>
        <w:ind w:firstLineChars="100" w:firstLine="200"/>
        <w:outlineLvl w:val="0"/>
        <w:rPr>
          <w:rFonts w:ascii="Book Antiqua" w:eastAsia="宋体" w:hAnsi="Book Antiqua" w:cs="Times New Roman"/>
          <w:sz w:val="20"/>
          <w:szCs w:val="20"/>
        </w:rPr>
      </w:pPr>
    </w:p>
    <w:p w14:paraId="45A9B35D" w14:textId="77777777" w:rsidR="003142CF" w:rsidRPr="00E709A1" w:rsidRDefault="003142CF" w:rsidP="00310F13">
      <w:pPr>
        <w:adjustRightInd w:val="0"/>
        <w:snapToGrid w:val="0"/>
        <w:spacing w:line="360" w:lineRule="auto"/>
        <w:rPr>
          <w:rFonts w:ascii="Book Antiqua" w:hAnsi="Book Antiqua"/>
          <w:b/>
          <w:bCs/>
          <w:sz w:val="20"/>
          <w:szCs w:val="20"/>
          <w:u w:val="single"/>
        </w:rPr>
      </w:pPr>
      <w:r w:rsidRPr="00E709A1">
        <w:rPr>
          <w:rFonts w:ascii="Book Antiqua" w:hAnsi="Book Antiqua"/>
          <w:b/>
          <w:bCs/>
          <w:sz w:val="20"/>
          <w:szCs w:val="20"/>
          <w:u w:val="single"/>
        </w:rPr>
        <w:t>DISCUSSION</w:t>
      </w:r>
    </w:p>
    <w:p w14:paraId="7D890824" w14:textId="4EB8AB29" w:rsidR="000705B7" w:rsidRPr="00E709A1" w:rsidRDefault="003142CF" w:rsidP="00310F13">
      <w:pPr>
        <w:widowControl/>
        <w:snapToGrid w:val="0"/>
        <w:spacing w:line="360" w:lineRule="auto"/>
        <w:outlineLvl w:val="0"/>
        <w:rPr>
          <w:rFonts w:ascii="Book Antiqua" w:eastAsia="宋体" w:hAnsi="Book Antiqua" w:cs="Times New Roman"/>
          <w:sz w:val="20"/>
          <w:szCs w:val="20"/>
        </w:rPr>
      </w:pPr>
      <w:r w:rsidRPr="00E709A1">
        <w:rPr>
          <w:rFonts w:ascii="Book Antiqua" w:eastAsia="宋体" w:hAnsi="Book Antiqua" w:cs="Times New Roman"/>
          <w:sz w:val="20"/>
          <w:szCs w:val="20"/>
        </w:rPr>
        <w:t xml:space="preserve">More </w:t>
      </w:r>
      <w:r w:rsidR="00624006" w:rsidRPr="00E709A1">
        <w:rPr>
          <w:rFonts w:ascii="Book Antiqua" w:eastAsia="宋体" w:hAnsi="Book Antiqua" w:cs="Times New Roman"/>
          <w:sz w:val="20"/>
          <w:szCs w:val="20"/>
        </w:rPr>
        <w:t>than 95% of all malignant neoplasms arising within the urinary tract are pure type urothelial carcinomas</w:t>
      </w:r>
      <w:r w:rsidR="009B5C4A"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with an estimated incidence of 1</w:t>
      </w:r>
      <w:r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4 cases per 100</w:t>
      </w:r>
      <w:r w:rsidR="009B5C4A"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000 individuals per year</w:t>
      </w:r>
      <w:r w:rsidR="00624006" w:rsidRPr="00E709A1">
        <w:rPr>
          <w:rFonts w:ascii="Book Antiqua" w:eastAsia="宋体" w:hAnsi="Book Antiqua" w:cs="Times New Roman"/>
          <w:sz w:val="20"/>
          <w:szCs w:val="20"/>
        </w:rPr>
        <w:fldChar w:fldCharType="begin"/>
      </w:r>
      <w:r w:rsidR="00624006" w:rsidRPr="00E709A1">
        <w:rPr>
          <w:rFonts w:ascii="Book Antiqua" w:eastAsia="宋体" w:hAnsi="Book Antiqua" w:cs="Times New Roman"/>
          <w:sz w:val="20"/>
          <w:szCs w:val="20"/>
        </w:rPr>
        <w:instrText xml:space="preserve"> ADDIN KYMRREF{5D2893EE-DD9C-42E7-B353-2596C163F4A5}17144,{5D2893EE-DD9C-42E7-B353-2596C163F4A5}17145</w:instrText>
      </w:r>
      <w:r w:rsidR="00624006" w:rsidRPr="00E709A1">
        <w:rPr>
          <w:rFonts w:ascii="Book Antiqua" w:eastAsia="宋体" w:hAnsi="Book Antiqua" w:cs="Times New Roman"/>
          <w:sz w:val="20"/>
          <w:szCs w:val="20"/>
        </w:rPr>
        <w:fldChar w:fldCharType="separate"/>
      </w:r>
      <w:r w:rsidR="00624006" w:rsidRPr="00E709A1">
        <w:rPr>
          <w:rFonts w:ascii="Book Antiqua" w:eastAsia="宋体" w:hAnsi="Book Antiqua" w:cs="Times New Roman"/>
          <w:sz w:val="20"/>
          <w:szCs w:val="20"/>
          <w:vertAlign w:val="superscript"/>
        </w:rPr>
        <w:t>[28,29]</w:t>
      </w:r>
      <w:r w:rsidR="00624006" w:rsidRPr="00E709A1">
        <w:rPr>
          <w:rFonts w:ascii="Book Antiqua" w:eastAsia="宋体" w:hAnsi="Book Antiqua" w:cs="Times New Roman"/>
          <w:sz w:val="20"/>
          <w:szCs w:val="20"/>
        </w:rPr>
        <w:fldChar w:fldCharType="end"/>
      </w:r>
      <w:r w:rsidR="00624006"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Several “</w:t>
      </w:r>
      <w:r w:rsidR="00624006" w:rsidRPr="00E709A1">
        <w:rPr>
          <w:rFonts w:ascii="Book Antiqua" w:eastAsia="宋体" w:hAnsi="Book Antiqua" w:cs="Times New Roman"/>
          <w:sz w:val="20"/>
          <w:szCs w:val="20"/>
        </w:rPr>
        <w:t>variant</w:t>
      </w:r>
      <w:r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morphologies (</w:t>
      </w:r>
      <w:r w:rsidR="00624006" w:rsidRPr="00E709A1">
        <w:rPr>
          <w:rFonts w:ascii="Book Antiqua" w:eastAsia="宋体" w:hAnsi="Book Antiqua" w:cs="Times New Roman"/>
          <w:i/>
          <w:iCs/>
          <w:sz w:val="20"/>
          <w:szCs w:val="20"/>
        </w:rPr>
        <w:t>i.e.</w:t>
      </w:r>
      <w:r w:rsidR="00624006" w:rsidRPr="00E709A1">
        <w:rPr>
          <w:rFonts w:ascii="Book Antiqua" w:eastAsia="宋体" w:hAnsi="Book Antiqua" w:cs="Times New Roman"/>
          <w:sz w:val="20"/>
          <w:szCs w:val="20"/>
        </w:rPr>
        <w:t xml:space="preserve">, small cell, lymphoepithelioma-like, clear cell, nested, plasmacytoid, micropapillary, sarcomatoid variants, </w:t>
      </w:r>
      <w:r w:rsidR="00624006" w:rsidRPr="00E709A1">
        <w:rPr>
          <w:rFonts w:ascii="Book Antiqua" w:eastAsia="宋体" w:hAnsi="Book Antiqua" w:cs="Times New Roman"/>
          <w:i/>
          <w:iCs/>
          <w:sz w:val="20"/>
          <w:szCs w:val="20"/>
        </w:rPr>
        <w:t>etc</w:t>
      </w:r>
      <w:r w:rsidR="00624006" w:rsidRPr="00E709A1">
        <w:rPr>
          <w:rFonts w:ascii="Book Antiqua" w:eastAsia="宋体" w:hAnsi="Book Antiqua" w:cs="Times New Roman"/>
          <w:sz w:val="20"/>
          <w:szCs w:val="20"/>
        </w:rPr>
        <w:t>) have been reported</w:t>
      </w:r>
      <w:r w:rsidR="00F83EFC"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and most have been classified according </w:t>
      </w:r>
      <w:r w:rsidR="00F83EFC" w:rsidRPr="00E709A1">
        <w:rPr>
          <w:rFonts w:ascii="Book Antiqua" w:eastAsia="宋体" w:hAnsi="Book Antiqua" w:cs="Times New Roman"/>
          <w:sz w:val="20"/>
          <w:szCs w:val="20"/>
        </w:rPr>
        <w:t xml:space="preserve">to </w:t>
      </w:r>
      <w:r w:rsidR="00624006" w:rsidRPr="00E709A1">
        <w:rPr>
          <w:rFonts w:ascii="Book Antiqua" w:eastAsia="宋体" w:hAnsi="Book Antiqua" w:cs="Times New Roman"/>
          <w:sz w:val="20"/>
          <w:szCs w:val="20"/>
        </w:rPr>
        <w:t xml:space="preserve">the World Health Organization Classification of Tumors in the </w:t>
      </w:r>
      <w:r w:rsidRPr="00E709A1">
        <w:rPr>
          <w:rFonts w:ascii="Book Antiqua" w:eastAsia="宋体" w:hAnsi="Book Antiqua" w:cs="Times New Roman"/>
          <w:sz w:val="20"/>
          <w:szCs w:val="20"/>
        </w:rPr>
        <w:t>Urinary System</w:t>
      </w:r>
      <w:r w:rsidR="00624006" w:rsidRPr="00E709A1">
        <w:rPr>
          <w:rFonts w:ascii="Book Antiqua" w:eastAsia="宋体" w:hAnsi="Book Antiqua" w:cs="Times New Roman"/>
          <w:sz w:val="20"/>
          <w:szCs w:val="20"/>
        </w:rPr>
        <w:fldChar w:fldCharType="begin"/>
      </w:r>
      <w:r w:rsidR="00624006" w:rsidRPr="00E709A1">
        <w:rPr>
          <w:rFonts w:ascii="Book Antiqua" w:eastAsia="宋体" w:hAnsi="Book Antiqua" w:cs="Times New Roman"/>
          <w:sz w:val="20"/>
          <w:szCs w:val="20"/>
        </w:rPr>
        <w:instrText xml:space="preserve"> ADDIN KYMRREF{5D2893EE-DD9C-42E7-B353-2596C163F4A5}17146</w:instrText>
      </w:r>
      <w:r w:rsidR="00624006" w:rsidRPr="00E709A1">
        <w:rPr>
          <w:rFonts w:ascii="Book Antiqua" w:eastAsia="宋体" w:hAnsi="Book Antiqua" w:cs="Times New Roman"/>
          <w:sz w:val="20"/>
          <w:szCs w:val="20"/>
        </w:rPr>
        <w:fldChar w:fldCharType="separate"/>
      </w:r>
      <w:r w:rsidR="00624006" w:rsidRPr="00E709A1">
        <w:rPr>
          <w:rFonts w:ascii="Book Antiqua" w:eastAsia="宋体" w:hAnsi="Book Antiqua" w:cs="Times New Roman"/>
          <w:sz w:val="20"/>
          <w:szCs w:val="20"/>
          <w:vertAlign w:val="superscript"/>
        </w:rPr>
        <w:t>[30]</w:t>
      </w:r>
      <w:r w:rsidR="00624006" w:rsidRPr="00E709A1">
        <w:rPr>
          <w:rFonts w:ascii="Book Antiqua" w:eastAsia="宋体" w:hAnsi="Book Antiqua" w:cs="Times New Roman"/>
          <w:sz w:val="20"/>
          <w:szCs w:val="20"/>
        </w:rPr>
        <w:fldChar w:fldCharType="end"/>
      </w:r>
      <w:r w:rsidR="00624006" w:rsidRPr="00E709A1">
        <w:rPr>
          <w:rFonts w:ascii="Book Antiqua" w:eastAsia="宋体" w:hAnsi="Book Antiqua" w:cs="Times New Roman"/>
          <w:sz w:val="20"/>
          <w:szCs w:val="20"/>
        </w:rPr>
        <w:t xml:space="preserve"> since 2016. Even </w:t>
      </w:r>
      <w:r w:rsidRPr="00E709A1">
        <w:rPr>
          <w:rFonts w:ascii="Book Antiqua" w:eastAsia="宋体" w:hAnsi="Book Antiqua" w:cs="Times New Roman"/>
          <w:sz w:val="20"/>
          <w:szCs w:val="20"/>
        </w:rPr>
        <w:t>though</w:t>
      </w:r>
      <w:r w:rsidR="00624006" w:rsidRPr="00E709A1">
        <w:rPr>
          <w:rFonts w:ascii="Book Antiqua" w:eastAsia="宋体" w:hAnsi="Book Antiqua" w:cs="Times New Roman"/>
          <w:sz w:val="20"/>
          <w:szCs w:val="20"/>
        </w:rPr>
        <w:t xml:space="preserve"> these malignancies are rare, awareness of morphological variants has a multitude of clinical implications, such as avoidable </w:t>
      </w:r>
      <w:r w:rsidRPr="00E709A1">
        <w:rPr>
          <w:rFonts w:ascii="Book Antiqua" w:eastAsia="宋体" w:hAnsi="Book Antiqua" w:cs="Times New Roman"/>
          <w:sz w:val="20"/>
          <w:szCs w:val="20"/>
        </w:rPr>
        <w:t>misdiagnoses</w:t>
      </w:r>
      <w:r w:rsidR="00624006" w:rsidRPr="00E709A1">
        <w:rPr>
          <w:rFonts w:ascii="Book Antiqua" w:eastAsia="宋体" w:hAnsi="Book Antiqua" w:cs="Times New Roman"/>
          <w:sz w:val="20"/>
          <w:szCs w:val="20"/>
        </w:rPr>
        <w:t>, prognostics based upon patient risk stratification, stress management</w:t>
      </w:r>
      <w:r w:rsidR="008408D4"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and of course administering the most appropriate and beneficial intervention</w:t>
      </w:r>
      <w:r w:rsidR="008408D4" w:rsidRPr="00E709A1">
        <w:rPr>
          <w:rFonts w:ascii="Book Antiqua" w:eastAsia="宋体" w:hAnsi="Book Antiqua" w:cs="Times New Roman"/>
          <w:sz w:val="20"/>
          <w:szCs w:val="20"/>
        </w:rPr>
        <w:t>s</w:t>
      </w:r>
      <w:r w:rsidR="00624006" w:rsidRPr="00E709A1">
        <w:rPr>
          <w:rFonts w:ascii="Book Antiqua" w:eastAsia="宋体" w:hAnsi="Book Antiqua" w:cs="Times New Roman"/>
          <w:sz w:val="20"/>
          <w:szCs w:val="20"/>
        </w:rPr>
        <w:t>. Clinical guidelines are not yet available and</w:t>
      </w:r>
      <w:r w:rsidR="00A02C82"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therefore</w:t>
      </w:r>
      <w:r w:rsidR="00A02C82"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the aim</w:t>
      </w:r>
      <w:r w:rsidR="00624006" w:rsidRPr="00E709A1">
        <w:rPr>
          <w:rFonts w:ascii="Book Antiqua" w:eastAsia="宋体" w:hAnsi="Book Antiqua" w:cs="Times New Roman"/>
          <w:bCs/>
          <w:sz w:val="20"/>
          <w:szCs w:val="20"/>
        </w:rPr>
        <w:t xml:space="preserve"> of this study was to report and develop the existing evidence</w:t>
      </w:r>
      <w:r w:rsidR="00A02C82" w:rsidRPr="00E709A1">
        <w:rPr>
          <w:rFonts w:ascii="Book Antiqua" w:eastAsia="宋体" w:hAnsi="Book Antiqua" w:cs="Times New Roman"/>
          <w:bCs/>
          <w:sz w:val="20"/>
          <w:szCs w:val="20"/>
        </w:rPr>
        <w:t xml:space="preserve"> </w:t>
      </w:r>
      <w:r w:rsidR="00624006" w:rsidRPr="00E709A1">
        <w:rPr>
          <w:rFonts w:ascii="Book Antiqua" w:eastAsia="宋体" w:hAnsi="Book Antiqua" w:cs="Times New Roman"/>
          <w:bCs/>
          <w:sz w:val="20"/>
          <w:szCs w:val="20"/>
        </w:rPr>
        <w:t>base for clinicians treating this rare malignant disease.</w:t>
      </w:r>
    </w:p>
    <w:p w14:paraId="0D0A512E" w14:textId="0E001689" w:rsidR="000705B7" w:rsidRPr="00E709A1" w:rsidRDefault="00624006" w:rsidP="00310F13">
      <w:pPr>
        <w:widowControl/>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 xml:space="preserve">Only 28 cases </w:t>
      </w:r>
      <w:r w:rsidR="00CB3449" w:rsidRPr="00E709A1">
        <w:rPr>
          <w:rFonts w:ascii="Book Antiqua" w:eastAsia="宋体" w:hAnsi="Book Antiqua" w:cs="Times New Roman"/>
          <w:bCs/>
          <w:sz w:val="20"/>
          <w:szCs w:val="20"/>
        </w:rPr>
        <w:t xml:space="preserve">of </w:t>
      </w:r>
      <w:r w:rsidRPr="00E709A1">
        <w:rPr>
          <w:rFonts w:ascii="Book Antiqua" w:eastAsia="宋体" w:hAnsi="Book Antiqua" w:cs="Times New Roman"/>
          <w:bCs/>
          <w:sz w:val="20"/>
          <w:szCs w:val="20"/>
        </w:rPr>
        <w:t>UUT-LELC (14 renal pelvis and 14 ureter) have been described within the English</w:t>
      </w:r>
      <w:r w:rsidR="0084440A"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 xml:space="preserve">language literature since it was first reported by Fukunaga </w:t>
      </w:r>
      <w:r w:rsidR="003142CF" w:rsidRPr="00E709A1">
        <w:rPr>
          <w:rFonts w:ascii="Book Antiqua" w:eastAsia="宋体" w:hAnsi="Book Antiqua" w:cs="Times New Roman"/>
          <w:bCs/>
          <w:i/>
          <w:iCs/>
          <w:sz w:val="20"/>
          <w:szCs w:val="20"/>
        </w:rPr>
        <w:t>et al</w:t>
      </w:r>
      <w:r w:rsidR="003142CF" w:rsidRPr="00E709A1">
        <w:rPr>
          <w:rFonts w:ascii="Book Antiqua" w:eastAsia="宋体" w:hAnsi="Book Antiqua" w:cs="Times New Roman"/>
          <w:sz w:val="20"/>
          <w:szCs w:val="20"/>
        </w:rPr>
        <w:fldChar w:fldCharType="begin"/>
      </w:r>
      <w:r w:rsidR="003142CF" w:rsidRPr="00E709A1">
        <w:rPr>
          <w:rFonts w:ascii="Book Antiqua" w:eastAsia="宋体" w:hAnsi="Book Antiqua" w:cs="Times New Roman"/>
          <w:sz w:val="20"/>
          <w:szCs w:val="20"/>
        </w:rPr>
        <w:instrText xml:space="preserve"> ADDIN KYMRREF{5D2893EE-DD9C-42E7-B353-2596C163F4A5}17122</w:instrText>
      </w:r>
      <w:r w:rsidR="003142CF" w:rsidRPr="00E709A1">
        <w:rPr>
          <w:rFonts w:ascii="Book Antiqua" w:eastAsia="宋体" w:hAnsi="Book Antiqua" w:cs="Times New Roman"/>
          <w:sz w:val="20"/>
          <w:szCs w:val="20"/>
        </w:rPr>
        <w:fldChar w:fldCharType="separate"/>
      </w:r>
      <w:r w:rsidR="003142CF" w:rsidRPr="00E709A1">
        <w:rPr>
          <w:rFonts w:ascii="Book Antiqua" w:eastAsia="宋体" w:hAnsi="Book Antiqua" w:cs="Times New Roman"/>
          <w:sz w:val="20"/>
          <w:szCs w:val="20"/>
          <w:vertAlign w:val="superscript"/>
        </w:rPr>
        <w:t>[9]</w:t>
      </w:r>
      <w:r w:rsidR="003142CF" w:rsidRPr="00E709A1">
        <w:rPr>
          <w:rFonts w:ascii="Book Antiqua" w:eastAsia="宋体" w:hAnsi="Book Antiqua" w:cs="Times New Roman"/>
          <w:sz w:val="20"/>
          <w:szCs w:val="20"/>
        </w:rPr>
        <w:fldChar w:fldCharType="end"/>
      </w:r>
      <w:r w:rsidR="003142CF"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in 1998</w:t>
      </w:r>
      <w:r w:rsidRPr="00E709A1">
        <w:rPr>
          <w:rFonts w:ascii="Book Antiqua" w:eastAsia="宋体" w:hAnsi="Book Antiqua" w:cs="Times New Roman"/>
          <w:sz w:val="20"/>
          <w:szCs w:val="20"/>
        </w:rPr>
        <w:t xml:space="preserve">. The complete data suggests </w:t>
      </w:r>
      <w:r w:rsidR="009A4349" w:rsidRPr="00E709A1">
        <w:rPr>
          <w:rFonts w:ascii="Book Antiqua" w:eastAsia="宋体" w:hAnsi="Book Antiqua" w:cs="Times New Roman"/>
          <w:sz w:val="20"/>
          <w:szCs w:val="20"/>
        </w:rPr>
        <w:t xml:space="preserve">that </w:t>
      </w:r>
      <w:r w:rsidRPr="00E709A1">
        <w:rPr>
          <w:rFonts w:ascii="Book Antiqua" w:eastAsia="宋体" w:hAnsi="Book Antiqua" w:cs="Times New Roman"/>
          <w:sz w:val="20"/>
          <w:szCs w:val="20"/>
        </w:rPr>
        <w:t>men are more likely to develop UUT-LELC</w:t>
      </w:r>
      <w:r w:rsidR="009A4349"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with a male to female ratio of 4:3. This finding is dissimilar to </w:t>
      </w:r>
      <w:r w:rsidR="003142CF" w:rsidRPr="00E709A1">
        <w:rPr>
          <w:rFonts w:ascii="Book Antiqua" w:eastAsia="宋体" w:hAnsi="Book Antiqua" w:cs="Times New Roman"/>
          <w:sz w:val="20"/>
          <w:szCs w:val="20"/>
        </w:rPr>
        <w:t>the</w:t>
      </w:r>
      <w:r w:rsidRPr="00E709A1">
        <w:rPr>
          <w:rFonts w:ascii="Book Antiqua" w:eastAsia="宋体" w:hAnsi="Book Antiqua" w:cs="Times New Roman"/>
          <w:sz w:val="20"/>
          <w:szCs w:val="20"/>
        </w:rPr>
        <w:t xml:space="preserve"> general UUT-UC population</w:t>
      </w:r>
      <w:r w:rsidR="0044414F"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which has a median age of 65 years and a gender ratio of 2-3 male:</w:t>
      </w:r>
      <w:r w:rsidR="0044414F" w:rsidRPr="00E709A1">
        <w:rPr>
          <w:rFonts w:ascii="Book Antiqua" w:eastAsia="宋体" w:hAnsi="Book Antiqua" w:cs="Times New Roman"/>
          <w:sz w:val="20"/>
          <w:szCs w:val="20"/>
        </w:rPr>
        <w:t xml:space="preserve"> </w:t>
      </w:r>
      <w:r w:rsidRPr="00E709A1">
        <w:rPr>
          <w:rFonts w:ascii="Book Antiqua" w:eastAsia="宋体" w:hAnsi="Book Antiqua" w:cs="Times New Roman"/>
          <w:sz w:val="20"/>
          <w:szCs w:val="20"/>
        </w:rPr>
        <w:t>1 female</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KYMRREF{5D2893EE-DD9C-42E7-B353-2596C163F4A5}17144</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[28]</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xml:space="preserve">. </w:t>
      </w:r>
      <w:r w:rsidRPr="00E709A1">
        <w:rPr>
          <w:rFonts w:ascii="Book Antiqua" w:eastAsia="宋体" w:hAnsi="Book Antiqua" w:cs="Times New Roman"/>
          <w:bCs/>
          <w:sz w:val="20"/>
          <w:szCs w:val="20"/>
        </w:rPr>
        <w:t xml:space="preserve">Previous studies have also suggested there may be an increased prevalence within Asian communities; however, across this larger sample, we found </w:t>
      </w:r>
      <w:r w:rsidR="00E869F4" w:rsidRPr="00E709A1">
        <w:rPr>
          <w:rFonts w:ascii="Book Antiqua" w:eastAsia="宋体" w:hAnsi="Book Antiqua" w:cs="Times New Roman"/>
          <w:bCs/>
          <w:sz w:val="20"/>
          <w:szCs w:val="20"/>
        </w:rPr>
        <w:t xml:space="preserve">that </w:t>
      </w:r>
      <w:r w:rsidRPr="00E709A1">
        <w:rPr>
          <w:rFonts w:ascii="Book Antiqua" w:eastAsia="宋体" w:hAnsi="Book Antiqua" w:cs="Times New Roman"/>
          <w:bCs/>
          <w:sz w:val="20"/>
          <w:szCs w:val="20"/>
        </w:rPr>
        <w:t>32.1% of all cases were of Asian descent (</w:t>
      </w:r>
      <w:r w:rsidRPr="00E709A1">
        <w:rPr>
          <w:rFonts w:ascii="Book Antiqua" w:eastAsia="宋体" w:hAnsi="Book Antiqua" w:cs="Times New Roman"/>
          <w:bCs/>
          <w:i/>
          <w:iCs/>
          <w:sz w:val="20"/>
          <w:szCs w:val="20"/>
        </w:rPr>
        <w:t>n</w:t>
      </w:r>
      <w:r w:rsidR="003142CF"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w:t>
      </w:r>
      <w:r w:rsidR="003142CF"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9). This may be used to differentiate LELC</w:t>
      </w:r>
      <w:r w:rsidR="00E869F4"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from small cell carcinomas in the </w:t>
      </w:r>
      <w:r w:rsidR="002B1DC3" w:rsidRPr="00E709A1">
        <w:rPr>
          <w:rFonts w:ascii="Book Antiqua" w:eastAsia="宋体" w:hAnsi="Book Antiqua" w:cs="Times New Roman"/>
          <w:bCs/>
          <w:sz w:val="20"/>
          <w:szCs w:val="20"/>
        </w:rPr>
        <w:t>UUT</w:t>
      </w:r>
      <w:r w:rsidRPr="00E709A1">
        <w:rPr>
          <w:rFonts w:ascii="Book Antiqua" w:eastAsia="宋体" w:hAnsi="Book Antiqua" w:cs="Times New Roman"/>
          <w:bCs/>
          <w:sz w:val="20"/>
          <w:szCs w:val="20"/>
        </w:rPr>
        <w:t xml:space="preserve">. In a recent case report combined with a review of UUT-SCC involving 39 cases, Ouzzane </w:t>
      </w:r>
      <w:r w:rsidRPr="00E709A1">
        <w:rPr>
          <w:rFonts w:ascii="Book Antiqua" w:eastAsia="宋体" w:hAnsi="Book Antiqua" w:cs="Times New Roman"/>
          <w:bCs/>
          <w:i/>
          <w:iCs/>
          <w:sz w:val="20"/>
          <w:szCs w:val="20"/>
        </w:rPr>
        <w:t>et al</w:t>
      </w:r>
      <w:r w:rsidR="003142CF" w:rsidRPr="00E709A1">
        <w:rPr>
          <w:rFonts w:ascii="Book Antiqua" w:eastAsia="宋体" w:hAnsi="Book Antiqua" w:cs="Times New Roman"/>
          <w:sz w:val="20"/>
          <w:szCs w:val="20"/>
        </w:rPr>
        <w:fldChar w:fldCharType="begin"/>
      </w:r>
      <w:r w:rsidR="003142CF" w:rsidRPr="00E709A1">
        <w:rPr>
          <w:rFonts w:ascii="Book Antiqua" w:eastAsia="宋体" w:hAnsi="Book Antiqua" w:cs="Times New Roman"/>
          <w:sz w:val="20"/>
          <w:szCs w:val="20"/>
        </w:rPr>
        <w:instrText xml:space="preserve"> ADDIN KYMRREF{5D2893EE-DD9C-42E7-B353-2596C163F4A5}17144</w:instrText>
      </w:r>
      <w:r w:rsidR="003142CF" w:rsidRPr="00E709A1">
        <w:rPr>
          <w:rFonts w:ascii="Book Antiqua" w:eastAsia="宋体" w:hAnsi="Book Antiqua" w:cs="Times New Roman"/>
          <w:sz w:val="20"/>
          <w:szCs w:val="20"/>
        </w:rPr>
        <w:fldChar w:fldCharType="separate"/>
      </w:r>
      <w:r w:rsidR="003142CF" w:rsidRPr="00E709A1">
        <w:rPr>
          <w:rFonts w:ascii="Book Antiqua" w:eastAsia="宋体" w:hAnsi="Book Antiqua" w:cs="Times New Roman"/>
          <w:sz w:val="20"/>
          <w:szCs w:val="20"/>
          <w:vertAlign w:val="superscript"/>
        </w:rPr>
        <w:t>[28]</w:t>
      </w:r>
      <w:r w:rsidR="003142CF" w:rsidRPr="00E709A1">
        <w:rPr>
          <w:rFonts w:ascii="Book Antiqua" w:eastAsia="宋体" w:hAnsi="Book Antiqua" w:cs="Times New Roman"/>
          <w:sz w:val="20"/>
          <w:szCs w:val="20"/>
        </w:rPr>
        <w:fldChar w:fldCharType="end"/>
      </w:r>
      <w:r w:rsidRPr="00E709A1">
        <w:rPr>
          <w:rFonts w:ascii="Book Antiqua" w:eastAsia="宋体" w:hAnsi="Book Antiqua" w:cs="Times New Roman"/>
          <w:bCs/>
          <w:sz w:val="20"/>
          <w:szCs w:val="20"/>
        </w:rPr>
        <w:t xml:space="preserve"> found </w:t>
      </w:r>
      <w:r w:rsidR="00E869F4" w:rsidRPr="00E709A1">
        <w:rPr>
          <w:rFonts w:ascii="Book Antiqua" w:eastAsia="宋体" w:hAnsi="Book Antiqua" w:cs="Times New Roman"/>
          <w:bCs/>
          <w:sz w:val="20"/>
          <w:szCs w:val="20"/>
        </w:rPr>
        <w:t xml:space="preserve">that </w:t>
      </w:r>
      <w:r w:rsidRPr="00E709A1">
        <w:rPr>
          <w:rFonts w:ascii="Book Antiqua" w:eastAsia="宋体" w:hAnsi="Book Antiqua" w:cs="Times New Roman"/>
          <w:bCs/>
          <w:sz w:val="20"/>
          <w:szCs w:val="20"/>
        </w:rPr>
        <w:t xml:space="preserve">59% of all cases were Asian. That said, six case reports included in this study did not report any information </w:t>
      </w:r>
      <w:r w:rsidR="003B5127" w:rsidRPr="00E709A1">
        <w:rPr>
          <w:rFonts w:ascii="Book Antiqua" w:eastAsia="宋体" w:hAnsi="Book Antiqua" w:cs="Times New Roman"/>
          <w:bCs/>
          <w:sz w:val="20"/>
          <w:szCs w:val="20"/>
        </w:rPr>
        <w:t xml:space="preserve">about </w:t>
      </w:r>
      <w:r w:rsidRPr="00E709A1">
        <w:rPr>
          <w:rFonts w:ascii="Book Antiqua" w:eastAsia="宋体" w:hAnsi="Book Antiqua" w:cs="Times New Roman"/>
          <w:bCs/>
          <w:sz w:val="20"/>
          <w:szCs w:val="20"/>
        </w:rPr>
        <w:t>ethnicity</w:t>
      </w:r>
      <w:r w:rsidR="003B5127"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which may have provided necessary basic insight</w:t>
      </w:r>
      <w:r w:rsidR="003B5127"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into associated genetic risk factors.</w:t>
      </w:r>
    </w:p>
    <w:p w14:paraId="5FD90E2D" w14:textId="6431BD1F" w:rsidR="000705B7" w:rsidRPr="00E709A1" w:rsidRDefault="00624006" w:rsidP="00310F13">
      <w:pPr>
        <w:widowControl/>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 xml:space="preserve">Unnecessary diagnostic testing </w:t>
      </w:r>
      <w:r w:rsidR="00CF217B" w:rsidRPr="00E709A1">
        <w:rPr>
          <w:rFonts w:ascii="Book Antiqua" w:eastAsia="宋体" w:hAnsi="Book Antiqua" w:cs="Times New Roman"/>
          <w:bCs/>
          <w:sz w:val="20"/>
          <w:szCs w:val="20"/>
        </w:rPr>
        <w:t xml:space="preserve">not only </w:t>
      </w:r>
      <w:r w:rsidRPr="00E709A1">
        <w:rPr>
          <w:rFonts w:ascii="Book Antiqua" w:eastAsia="宋体" w:hAnsi="Book Antiqua" w:cs="Times New Roman"/>
          <w:bCs/>
          <w:sz w:val="20"/>
          <w:szCs w:val="20"/>
        </w:rPr>
        <w:t>increases healthcare expenditure</w:t>
      </w:r>
      <w:r w:rsidR="00CF217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but also impacts</w:t>
      </w:r>
      <w:r w:rsidR="00CF217B"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patient trust and satisfaction in health service provision</w:t>
      </w:r>
      <w:r w:rsidR="00CF217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To </w:t>
      </w:r>
      <w:r w:rsidR="00A8406C" w:rsidRPr="00E709A1">
        <w:rPr>
          <w:rFonts w:ascii="Book Antiqua" w:eastAsia="宋体" w:hAnsi="Book Antiqua" w:cs="Times New Roman"/>
          <w:bCs/>
          <w:sz w:val="20"/>
          <w:szCs w:val="20"/>
        </w:rPr>
        <w:t>the best of our</w:t>
      </w:r>
      <w:r w:rsidRPr="00E709A1">
        <w:rPr>
          <w:rFonts w:ascii="Book Antiqua" w:eastAsia="宋体" w:hAnsi="Book Antiqua" w:cs="Times New Roman"/>
          <w:bCs/>
          <w:sz w:val="20"/>
          <w:szCs w:val="20"/>
        </w:rPr>
        <w:t xml:space="preserve"> knowledge, EBV is positively associated with nasopharyngeal carcinoma and LELC developing in specific anatomic</w:t>
      </w:r>
      <w:r w:rsidR="00D71446" w:rsidRPr="00E709A1">
        <w:rPr>
          <w:rFonts w:ascii="Book Antiqua" w:eastAsia="宋体" w:hAnsi="Book Antiqua" w:cs="Times New Roman"/>
          <w:bCs/>
          <w:sz w:val="20"/>
          <w:szCs w:val="20"/>
        </w:rPr>
        <w:t>al</w:t>
      </w:r>
      <w:r w:rsidRPr="00E709A1">
        <w:rPr>
          <w:rFonts w:ascii="Book Antiqua" w:eastAsia="宋体" w:hAnsi="Book Antiqua" w:cs="Times New Roman"/>
          <w:bCs/>
          <w:sz w:val="20"/>
          <w:szCs w:val="20"/>
        </w:rPr>
        <w:t xml:space="preserve"> sites, including the salivary glands, esophageal, lungs, and stomach</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KYMRREF{5D2893EE-DD9C-42E7-B353-2596C163F4A5}17119</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[6]</w:t>
      </w:r>
      <w:r w:rsidRPr="00E709A1">
        <w:rPr>
          <w:rFonts w:ascii="Book Antiqua" w:eastAsia="宋体" w:hAnsi="Book Antiqua" w:cs="Times New Roman"/>
          <w:sz w:val="20"/>
          <w:szCs w:val="20"/>
        </w:rPr>
        <w:fldChar w:fldCharType="end"/>
      </w:r>
      <w:r w:rsidRPr="00E709A1">
        <w:rPr>
          <w:rFonts w:ascii="Book Antiqua" w:eastAsia="宋体" w:hAnsi="Book Antiqua" w:cs="Times New Roman"/>
          <w:bCs/>
          <w:sz w:val="20"/>
          <w:szCs w:val="20"/>
        </w:rPr>
        <w:t xml:space="preserve">. However, </w:t>
      </w:r>
      <w:r w:rsidR="003142CF" w:rsidRPr="00E709A1">
        <w:rPr>
          <w:rFonts w:ascii="Book Antiqua" w:eastAsia="宋体" w:hAnsi="Book Antiqua" w:cs="Times New Roman"/>
          <w:bCs/>
          <w:sz w:val="20"/>
          <w:szCs w:val="20"/>
        </w:rPr>
        <w:t xml:space="preserve">urinary </w:t>
      </w:r>
      <w:r w:rsidRPr="00E709A1">
        <w:rPr>
          <w:rFonts w:ascii="Book Antiqua" w:eastAsia="宋体" w:hAnsi="Book Antiqua" w:cs="Times New Roman"/>
          <w:bCs/>
          <w:sz w:val="20"/>
          <w:szCs w:val="20"/>
        </w:rPr>
        <w:t>tract LELC</w:t>
      </w:r>
      <w:r w:rsidR="007932C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appear uniformly EBV negative. Among all tumors arising within the UUT, no case has been associated with EBV</w:t>
      </w:r>
      <w:r w:rsidR="007932C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which suggests </w:t>
      </w:r>
      <w:r w:rsidR="007932CB" w:rsidRPr="00E709A1">
        <w:rPr>
          <w:rFonts w:ascii="Book Antiqua" w:eastAsia="宋体" w:hAnsi="Book Antiqua" w:cs="Times New Roman"/>
          <w:bCs/>
          <w:sz w:val="20"/>
          <w:szCs w:val="20"/>
        </w:rPr>
        <w:t xml:space="preserve">that </w:t>
      </w:r>
      <w:r w:rsidRPr="00E709A1">
        <w:rPr>
          <w:rFonts w:ascii="Book Antiqua" w:eastAsia="宋体" w:hAnsi="Book Antiqua" w:cs="Times New Roman"/>
          <w:bCs/>
          <w:sz w:val="20"/>
          <w:szCs w:val="20"/>
        </w:rPr>
        <w:t>urinary tract LELC</w:t>
      </w:r>
      <w:r w:rsidR="007932C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are distinct from gastrointestinal LELC</w:t>
      </w:r>
      <w:r w:rsidR="007932C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Clinicians may be able to use this information when considering which diagnostic approach to administer, thereby alleviating some unnecessary stress and maintaining confidence in practitioners.</w:t>
      </w:r>
    </w:p>
    <w:p w14:paraId="2501C498" w14:textId="60E9A4A9" w:rsidR="000705B7" w:rsidRPr="00E709A1" w:rsidRDefault="00624006" w:rsidP="00310F13">
      <w:pPr>
        <w:widowControl/>
        <w:snapToGrid w:val="0"/>
        <w:spacing w:line="360" w:lineRule="auto"/>
        <w:ind w:firstLineChars="100" w:firstLine="200"/>
        <w:outlineLvl w:val="0"/>
        <w:rPr>
          <w:rFonts w:ascii="Book Antiqua" w:eastAsia="宋体" w:hAnsi="Book Antiqua" w:cs="Times New Roman"/>
          <w:sz w:val="20"/>
          <w:szCs w:val="20"/>
        </w:rPr>
      </w:pPr>
      <w:r w:rsidRPr="00E709A1">
        <w:rPr>
          <w:rFonts w:ascii="Book Antiqua" w:eastAsia="宋体" w:hAnsi="Book Antiqua" w:cs="Times New Roman"/>
          <w:sz w:val="20"/>
          <w:szCs w:val="20"/>
        </w:rPr>
        <w:lastRenderedPageBreak/>
        <w:t xml:space="preserve">Unfortunately, </w:t>
      </w:r>
      <w:r w:rsidR="003142CF" w:rsidRPr="00E709A1">
        <w:rPr>
          <w:rFonts w:ascii="Book Antiqua" w:eastAsia="宋体" w:hAnsi="Book Antiqua" w:cs="Times New Roman"/>
          <w:sz w:val="20"/>
          <w:szCs w:val="20"/>
        </w:rPr>
        <w:t>clinical</w:t>
      </w:r>
      <w:r w:rsidRPr="00E709A1">
        <w:rPr>
          <w:rFonts w:ascii="Book Antiqua" w:eastAsia="宋体" w:hAnsi="Book Antiqua" w:cs="Times New Roman"/>
          <w:sz w:val="20"/>
          <w:szCs w:val="20"/>
        </w:rPr>
        <w:t xml:space="preserve"> presentation of UUT-LELC may not be distinct from other UUT-UC</w:t>
      </w:r>
      <w:r w:rsidR="00171FD0"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with gross hematuria (78.6% </w:t>
      </w:r>
      <w:r w:rsidRPr="00E709A1">
        <w:rPr>
          <w:rFonts w:ascii="Book Antiqua" w:eastAsia="宋体" w:hAnsi="Book Antiqua" w:cs="Times New Roman"/>
          <w:i/>
          <w:iCs/>
          <w:sz w:val="20"/>
          <w:szCs w:val="20"/>
        </w:rPr>
        <w:t>vs</w:t>
      </w:r>
      <w:r w:rsidRPr="00E709A1">
        <w:rPr>
          <w:rFonts w:ascii="Book Antiqua" w:eastAsia="宋体" w:hAnsi="Book Antiqua" w:cs="Times New Roman"/>
          <w:sz w:val="20"/>
          <w:szCs w:val="20"/>
        </w:rPr>
        <w:t xml:space="preserve"> 77%) and flank pain (17.8% </w:t>
      </w:r>
      <w:r w:rsidRPr="00E709A1">
        <w:rPr>
          <w:rFonts w:ascii="Book Antiqua" w:eastAsia="宋体" w:hAnsi="Book Antiqua" w:cs="Times New Roman"/>
          <w:i/>
          <w:iCs/>
          <w:sz w:val="20"/>
          <w:szCs w:val="20"/>
        </w:rPr>
        <w:t>vs</w:t>
      </w:r>
      <w:r w:rsidRPr="00E709A1">
        <w:rPr>
          <w:rFonts w:ascii="Book Antiqua" w:eastAsia="宋体" w:hAnsi="Book Antiqua" w:cs="Times New Roman"/>
          <w:sz w:val="20"/>
          <w:szCs w:val="20"/>
        </w:rPr>
        <w:t xml:space="preserve"> 18%) being the most commonly described symptoms</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KYMRREF{5D2893EE-DD9C-42E7-B353-2596C163F4A5}17144</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[28]</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xml:space="preserve">. Consequently, pre-operative diagnosis is </w:t>
      </w:r>
      <w:r w:rsidR="00171FD0" w:rsidRPr="00E709A1">
        <w:rPr>
          <w:rFonts w:ascii="Book Antiqua" w:eastAsia="宋体" w:hAnsi="Book Antiqua" w:cs="Times New Roman"/>
          <w:sz w:val="20"/>
          <w:szCs w:val="20"/>
        </w:rPr>
        <w:t>currently</w:t>
      </w:r>
      <w:r w:rsidRPr="00E709A1">
        <w:rPr>
          <w:rFonts w:ascii="Book Antiqua" w:eastAsia="宋体" w:hAnsi="Book Antiqua" w:cs="Times New Roman"/>
          <w:sz w:val="20"/>
          <w:szCs w:val="20"/>
        </w:rPr>
        <w:t xml:space="preserve"> not possible. </w:t>
      </w:r>
      <w:r w:rsidR="003142CF" w:rsidRPr="00E709A1">
        <w:rPr>
          <w:rFonts w:ascii="Book Antiqua" w:eastAsia="宋体" w:hAnsi="Book Antiqua" w:cs="Times New Roman"/>
          <w:sz w:val="20"/>
          <w:szCs w:val="20"/>
        </w:rPr>
        <w:t>Again,</w:t>
      </w:r>
      <w:r w:rsidRPr="00E709A1">
        <w:rPr>
          <w:rFonts w:ascii="Book Antiqua" w:eastAsia="宋体" w:hAnsi="Book Antiqua" w:cs="Times New Roman"/>
          <w:sz w:val="20"/>
          <w:szCs w:val="20"/>
        </w:rPr>
        <w:t xml:space="preserve"> from the patient’s perspective, this </w:t>
      </w:r>
      <w:r w:rsidR="003142CF" w:rsidRPr="00E709A1">
        <w:rPr>
          <w:rFonts w:ascii="Book Antiqua" w:eastAsia="宋体" w:hAnsi="Book Antiqua" w:cs="Times New Roman"/>
          <w:sz w:val="20"/>
          <w:szCs w:val="20"/>
        </w:rPr>
        <w:t>“</w:t>
      </w:r>
      <w:r w:rsidRPr="00E709A1">
        <w:rPr>
          <w:rFonts w:ascii="Book Antiqua" w:eastAsia="宋体" w:hAnsi="Book Antiqua" w:cs="Times New Roman"/>
          <w:sz w:val="20"/>
          <w:szCs w:val="20"/>
        </w:rPr>
        <w:t>not knowing</w:t>
      </w:r>
      <w:r w:rsidR="003142CF"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is likely to increase stress and will impact their psychological well-being. Therefore, clinicians should pay special attention to this aspect of patient-practitioner consultations in order to alleviate unnecessary stress and provide reassurance.</w:t>
      </w:r>
    </w:p>
    <w:p w14:paraId="4FDFB271" w14:textId="7E5EE2F3" w:rsidR="000705B7" w:rsidRPr="00E709A1" w:rsidRDefault="00624006" w:rsidP="00310F13">
      <w:pPr>
        <w:widowControl/>
        <w:snapToGrid w:val="0"/>
        <w:spacing w:line="360" w:lineRule="auto"/>
        <w:ind w:firstLineChars="100" w:firstLine="200"/>
        <w:outlineLvl w:val="0"/>
        <w:rPr>
          <w:rFonts w:ascii="Book Antiqua" w:eastAsia="宋体" w:hAnsi="Book Antiqua" w:cs="Times New Roman"/>
          <w:sz w:val="20"/>
          <w:szCs w:val="20"/>
        </w:rPr>
      </w:pPr>
      <w:r w:rsidRPr="00E709A1">
        <w:rPr>
          <w:rFonts w:ascii="Book Antiqua" w:eastAsia="宋体" w:hAnsi="Book Antiqua" w:cs="Times New Roman"/>
          <w:sz w:val="20"/>
          <w:szCs w:val="20"/>
        </w:rPr>
        <w:t xml:space="preserve">The best available UUT-LELC </w:t>
      </w:r>
      <w:r w:rsidR="003142CF" w:rsidRPr="00E709A1">
        <w:rPr>
          <w:rFonts w:ascii="Book Antiqua" w:eastAsia="宋体" w:hAnsi="Book Antiqua" w:cs="Times New Roman"/>
          <w:sz w:val="20"/>
          <w:szCs w:val="20"/>
        </w:rPr>
        <w:t>diagnostic</w:t>
      </w:r>
      <w:r w:rsidRPr="00E709A1">
        <w:rPr>
          <w:rFonts w:ascii="Book Antiqua" w:eastAsia="宋体" w:hAnsi="Book Antiqua" w:cs="Times New Roman"/>
          <w:sz w:val="20"/>
          <w:szCs w:val="20"/>
        </w:rPr>
        <w:t xml:space="preserve"> method remains </w:t>
      </w:r>
      <w:r w:rsidR="003142CF" w:rsidRPr="00E709A1">
        <w:rPr>
          <w:rFonts w:ascii="Book Antiqua" w:eastAsia="宋体" w:hAnsi="Book Antiqua" w:cs="Times New Roman"/>
          <w:sz w:val="20"/>
          <w:szCs w:val="20"/>
        </w:rPr>
        <w:t>postoperative</w:t>
      </w:r>
      <w:r w:rsidRPr="00E709A1">
        <w:rPr>
          <w:rFonts w:ascii="Book Antiqua" w:eastAsia="宋体" w:hAnsi="Book Antiqua" w:cs="Times New Roman"/>
          <w:sz w:val="20"/>
          <w:szCs w:val="20"/>
        </w:rPr>
        <w:t xml:space="preserve"> pathological examination and immunohistochemical staining. </w:t>
      </w:r>
      <w:r w:rsidR="00FE5434" w:rsidRPr="00E709A1">
        <w:rPr>
          <w:rFonts w:ascii="Book Antiqua" w:eastAsia="宋体" w:hAnsi="Book Antiqua" w:cs="Times New Roman"/>
          <w:sz w:val="20"/>
          <w:szCs w:val="20"/>
        </w:rPr>
        <w:t xml:space="preserve">Upon </w:t>
      </w:r>
      <w:r w:rsidRPr="00E709A1">
        <w:rPr>
          <w:rFonts w:ascii="Book Antiqua" w:eastAsia="宋体" w:hAnsi="Book Antiqua" w:cs="Times New Roman"/>
          <w:sz w:val="20"/>
          <w:szCs w:val="20"/>
        </w:rPr>
        <w:t>histological examination, the epithelial component</w:t>
      </w:r>
      <w:r w:rsidR="00FE5434"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of LELC</w:t>
      </w:r>
      <w:r w:rsidR="00FE5434" w:rsidRPr="00E709A1">
        <w:rPr>
          <w:rFonts w:ascii="Book Antiqua" w:eastAsia="宋体" w:hAnsi="Book Antiqua" w:cs="Times New Roman"/>
          <w:sz w:val="20"/>
          <w:szCs w:val="20"/>
        </w:rPr>
        <w:t>s</w:t>
      </w:r>
      <w:r w:rsidRPr="00E709A1">
        <w:rPr>
          <w:rFonts w:ascii="Book Antiqua" w:eastAsia="宋体" w:hAnsi="Book Antiqua" w:cs="Times New Roman"/>
          <w:sz w:val="20"/>
          <w:szCs w:val="20"/>
        </w:rPr>
        <w:t xml:space="preserve"> consist of nests and individual cells of undifferentiated carcinoma</w:t>
      </w:r>
      <w:r w:rsidR="00FE5434"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which are characterized by indistinct cytoplasmic borders and syncytial growth patterns</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KYMRREF{5D2893EE-DD9C-42E7-B353-2596C163F4A5}17128,{5D2893EE-DD9C-42E7-B353-2596C163F4A5}17127</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[14,15]</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Most tumor cells display vesicular nuclei, prominent nucleoli, and frequent mitoses</w:t>
      </w:r>
      <w:r w:rsidR="00FE5434"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which are indicatively considered</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KYMRREF{5D2893EE-DD9C-42E7-B353-2596C163F4A5}17128</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[15]</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xml:space="preserve">. Immunohistochemically, the epithelial component of the tumor typically stains </w:t>
      </w:r>
      <w:r w:rsidR="00FE5434" w:rsidRPr="00E709A1">
        <w:rPr>
          <w:rFonts w:ascii="Book Antiqua" w:eastAsia="宋体" w:hAnsi="Book Antiqua" w:cs="Times New Roman"/>
          <w:sz w:val="20"/>
          <w:szCs w:val="20"/>
        </w:rPr>
        <w:t xml:space="preserve">positive for </w:t>
      </w:r>
      <w:r w:rsidRPr="00E709A1">
        <w:rPr>
          <w:rFonts w:ascii="Book Antiqua" w:eastAsia="宋体" w:hAnsi="Book Antiqua" w:cs="Times New Roman"/>
          <w:sz w:val="20"/>
          <w:szCs w:val="20"/>
        </w:rPr>
        <w:t>a number of cytokeratin (CK) markers, namely AE1/AE3, CK7, CK8 and CK20, which is then used for diagnostic confirmation</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KYMRREF{5D2893EE-DD9C-42E7-B353-2596C163F4A5}17127,{5D2893EE-DD9C-42E7-B353-2596C163F4A5}17128,{5D2893EE-DD9C-42E7-B353-2596C163F4A5}17133</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[14,15,18]</w:t>
      </w:r>
      <w:r w:rsidRPr="00E709A1">
        <w:rPr>
          <w:rFonts w:ascii="Book Antiqua" w:eastAsia="宋体" w:hAnsi="Book Antiqua" w:cs="Times New Roman"/>
          <w:sz w:val="20"/>
          <w:szCs w:val="20"/>
        </w:rPr>
        <w:fldChar w:fldCharType="end"/>
      </w:r>
      <w:r w:rsidRPr="00E709A1">
        <w:rPr>
          <w:rFonts w:ascii="Book Antiqua" w:eastAsia="宋体" w:hAnsi="Book Antiqua" w:cs="Times New Roman"/>
          <w:sz w:val="20"/>
          <w:szCs w:val="20"/>
        </w:rPr>
        <w:t xml:space="preserve">. </w:t>
      </w:r>
    </w:p>
    <w:p w14:paraId="53CD6DDE" w14:textId="3596DD05" w:rsidR="000705B7" w:rsidRPr="00E709A1" w:rsidRDefault="00624006" w:rsidP="00310F13">
      <w:pPr>
        <w:widowControl/>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LELC</w:t>
      </w:r>
      <w:r w:rsidR="001F3D18"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are generally classified into three subtypes: pure (100%), predominant (50-99%), and focal (&lt;</w:t>
      </w:r>
      <w:r w:rsidR="00E474F1"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50%)</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KYMRREF{5D2893EE-DD9C-42E7-B353-2596C163F4A5}17127,{5D2893EE-DD9C-42E7-B353-2596C163F4A5}17125</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[12,14]</w:t>
      </w:r>
      <w:r w:rsidRPr="00E709A1">
        <w:rPr>
          <w:rFonts w:ascii="Book Antiqua" w:eastAsia="宋体" w:hAnsi="Book Antiqua" w:cs="Times New Roman"/>
          <w:sz w:val="20"/>
          <w:szCs w:val="20"/>
        </w:rPr>
        <w:fldChar w:fldCharType="end"/>
      </w:r>
      <w:r w:rsidR="001F3D18" w:rsidRPr="00E709A1">
        <w:rPr>
          <w:rFonts w:ascii="Book Antiqua" w:eastAsia="宋体" w:hAnsi="Book Antiqua" w:cs="Times New Roman"/>
          <w:bCs/>
          <w:sz w:val="20"/>
          <w:szCs w:val="20"/>
        </w:rPr>
        <w:t xml:space="preserve">, </w:t>
      </w:r>
      <w:r w:rsidRPr="00E709A1">
        <w:rPr>
          <w:rFonts w:ascii="Book Antiqua" w:eastAsia="宋体" w:hAnsi="Book Antiqua" w:cs="Times New Roman"/>
          <w:sz w:val="20"/>
          <w:szCs w:val="20"/>
        </w:rPr>
        <w:t>and t</w:t>
      </w:r>
      <w:r w:rsidRPr="00E709A1">
        <w:rPr>
          <w:rFonts w:ascii="Book Antiqua" w:eastAsia="宋体" w:hAnsi="Book Antiqua" w:cs="Times New Roman"/>
          <w:bCs/>
          <w:sz w:val="20"/>
          <w:szCs w:val="20"/>
        </w:rPr>
        <w:t>he</w:t>
      </w:r>
      <w:r w:rsidRPr="00E709A1">
        <w:rPr>
          <w:rFonts w:ascii="Book Antiqua" w:eastAsia="宋体" w:hAnsi="Book Antiqua" w:cs="Times New Roman"/>
          <w:sz w:val="20"/>
          <w:szCs w:val="20"/>
        </w:rPr>
        <w:t xml:space="preserve"> </w:t>
      </w:r>
      <w:r w:rsidRPr="00E709A1">
        <w:rPr>
          <w:rFonts w:ascii="Book Antiqua" w:eastAsia="宋体" w:hAnsi="Book Antiqua" w:cs="Times New Roman"/>
          <w:bCs/>
          <w:sz w:val="20"/>
          <w:szCs w:val="20"/>
        </w:rPr>
        <w:t>pathological results of the current study were consistent with the predominant histological subtype. There may also be further distinctions between LELC</w:t>
      </w:r>
      <w:r w:rsidR="001F3D18"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For example, </w:t>
      </w:r>
      <w:bookmarkStart w:id="36" w:name="OLE_LINK42"/>
      <w:bookmarkStart w:id="37" w:name="OLE_LINK43"/>
      <w:r w:rsidRPr="00E709A1">
        <w:rPr>
          <w:rFonts w:ascii="Book Antiqua" w:eastAsia="宋体" w:hAnsi="Book Antiqua" w:cs="Times New Roman"/>
          <w:sz w:val="20"/>
          <w:szCs w:val="20"/>
        </w:rPr>
        <w:t>pathological</w:t>
      </w:r>
      <w:bookmarkEnd w:id="36"/>
      <w:bookmarkEnd w:id="37"/>
      <w:r w:rsidRPr="00E709A1">
        <w:rPr>
          <w:rFonts w:ascii="Book Antiqua" w:eastAsia="宋体" w:hAnsi="Book Antiqua" w:cs="Times New Roman"/>
          <w:sz w:val="20"/>
          <w:szCs w:val="20"/>
        </w:rPr>
        <w:t xml:space="preserve"> features of urinary tract LELC</w:t>
      </w:r>
      <w:r w:rsidR="001F3D18" w:rsidRPr="00E709A1">
        <w:rPr>
          <w:rFonts w:ascii="Book Antiqua" w:eastAsia="宋体" w:hAnsi="Book Antiqua" w:cs="Times New Roman"/>
          <w:sz w:val="20"/>
          <w:szCs w:val="20"/>
        </w:rPr>
        <w:t>s</w:t>
      </w:r>
      <w:r w:rsidRPr="00E709A1">
        <w:rPr>
          <w:rFonts w:ascii="Book Antiqua" w:eastAsia="宋体" w:hAnsi="Book Antiqua" w:cs="Times New Roman"/>
          <w:bCs/>
          <w:sz w:val="20"/>
          <w:szCs w:val="20"/>
        </w:rPr>
        <w:t xml:space="preserve"> may be composed of two or more elements, such as usual infiltrating urothelial carcinoma, squamous carcinoma or adenocarcinoma</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KYMRREF{5D2893EE-DD9C-42E7-B353-2596C163F4A5}17125</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[12]</w:t>
      </w:r>
      <w:r w:rsidRPr="00E709A1">
        <w:rPr>
          <w:rFonts w:ascii="Book Antiqua" w:eastAsia="宋体" w:hAnsi="Book Antiqua" w:cs="Times New Roman"/>
          <w:sz w:val="20"/>
          <w:szCs w:val="20"/>
        </w:rPr>
        <w:fldChar w:fldCharType="end"/>
      </w:r>
      <w:r w:rsidRPr="00E709A1">
        <w:rPr>
          <w:rFonts w:ascii="Book Antiqua" w:eastAsia="宋体" w:hAnsi="Book Antiqua" w:cs="Times New Roman"/>
          <w:bCs/>
          <w:sz w:val="20"/>
          <w:szCs w:val="20"/>
        </w:rPr>
        <w:t xml:space="preserve">. Each </w:t>
      </w:r>
      <w:r w:rsidR="001F3D18" w:rsidRPr="00E709A1">
        <w:rPr>
          <w:rFonts w:ascii="Book Antiqua" w:eastAsia="宋体" w:hAnsi="Book Antiqua" w:cs="Times New Roman"/>
          <w:bCs/>
          <w:sz w:val="20"/>
          <w:szCs w:val="20"/>
        </w:rPr>
        <w:t xml:space="preserve">of these are </w:t>
      </w:r>
      <w:r w:rsidRPr="00E709A1">
        <w:rPr>
          <w:rFonts w:ascii="Book Antiqua" w:eastAsia="宋体" w:hAnsi="Book Antiqua" w:cs="Times New Roman"/>
          <w:bCs/>
          <w:sz w:val="20"/>
          <w:szCs w:val="20"/>
        </w:rPr>
        <w:t xml:space="preserve">likely to respond differently to treatments, adding complexity to therapeutic planning and suggesting the need for </w:t>
      </w:r>
      <w:r w:rsidR="001F3D18" w:rsidRPr="00E709A1">
        <w:rPr>
          <w:rFonts w:ascii="Book Antiqua" w:eastAsia="宋体" w:hAnsi="Book Antiqua" w:cs="Times New Roman"/>
          <w:bCs/>
          <w:sz w:val="20"/>
          <w:szCs w:val="20"/>
        </w:rPr>
        <w:t xml:space="preserve">targeted </w:t>
      </w:r>
      <w:r w:rsidRPr="00E709A1">
        <w:rPr>
          <w:rFonts w:ascii="Book Antiqua" w:eastAsia="宋体" w:hAnsi="Book Antiqua" w:cs="Times New Roman"/>
          <w:bCs/>
          <w:sz w:val="20"/>
          <w:szCs w:val="20"/>
        </w:rPr>
        <w:t>rather than generic interventions.</w:t>
      </w:r>
    </w:p>
    <w:p w14:paraId="0AFCCF2B" w14:textId="440FBCE8" w:rsidR="000705B7" w:rsidRPr="00E709A1" w:rsidRDefault="00624006" w:rsidP="00310F13">
      <w:pPr>
        <w:widowControl/>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 xml:space="preserve">Similarly, there may be distinctions between lower and </w:t>
      </w:r>
      <w:r w:rsidR="002B1DC3" w:rsidRPr="00E709A1">
        <w:rPr>
          <w:rFonts w:ascii="Book Antiqua" w:eastAsia="宋体" w:hAnsi="Book Antiqua" w:cs="Times New Roman"/>
          <w:bCs/>
          <w:sz w:val="20"/>
          <w:szCs w:val="20"/>
        </w:rPr>
        <w:t>UUT-</w:t>
      </w:r>
      <w:r w:rsidRPr="00E709A1">
        <w:rPr>
          <w:rFonts w:ascii="Book Antiqua" w:eastAsia="宋体" w:hAnsi="Book Antiqua" w:cs="Times New Roman"/>
          <w:bCs/>
          <w:sz w:val="20"/>
          <w:szCs w:val="20"/>
        </w:rPr>
        <w:t>LELC</w:t>
      </w:r>
      <w:r w:rsidR="00E85F58"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For example, according to the relatively large number of studies in LELC</w:t>
      </w:r>
      <w:r w:rsidR="00E85F58"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of the urinary bladder,</w:t>
      </w:r>
      <w:r w:rsidRPr="00E709A1">
        <w:rPr>
          <w:rFonts w:ascii="Book Antiqua" w:eastAsia="宋体" w:hAnsi="Book Antiqua" w:cs="Times New Roman"/>
          <w:sz w:val="20"/>
          <w:szCs w:val="20"/>
        </w:rPr>
        <w:t xml:space="preserve"> </w:t>
      </w:r>
      <w:r w:rsidRPr="00E709A1">
        <w:rPr>
          <w:rFonts w:ascii="Book Antiqua" w:eastAsia="宋体" w:hAnsi="Book Antiqua" w:cs="Times New Roman"/>
          <w:bCs/>
          <w:sz w:val="20"/>
          <w:szCs w:val="20"/>
        </w:rPr>
        <w:t xml:space="preserve">the prognosis of patients presenting with pure and predominant forms appears more </w:t>
      </w:r>
      <w:r w:rsidR="00E709A1" w:rsidRPr="00E709A1">
        <w:rPr>
          <w:rFonts w:ascii="Book Antiqua" w:eastAsia="宋体" w:hAnsi="Book Antiqua" w:cs="Times New Roman"/>
          <w:bCs/>
          <w:sz w:val="20"/>
          <w:szCs w:val="20"/>
        </w:rPr>
        <w:t>favorable</w:t>
      </w:r>
      <w:r w:rsidRPr="00E709A1">
        <w:rPr>
          <w:rFonts w:ascii="Book Antiqua" w:eastAsia="宋体" w:hAnsi="Book Antiqua" w:cs="Times New Roman"/>
          <w:bCs/>
          <w:sz w:val="20"/>
          <w:szCs w:val="20"/>
        </w:rPr>
        <w:t xml:space="preserve"> than that in patients presenting with a focal form</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KYMRREF{5D2893EE-DD9C-42E7-B353-2596C163F4A5}17118</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[5]</w:t>
      </w:r>
      <w:r w:rsidRPr="00E709A1">
        <w:rPr>
          <w:rFonts w:ascii="Book Antiqua" w:eastAsia="宋体" w:hAnsi="Book Antiqua" w:cs="Times New Roman"/>
          <w:sz w:val="20"/>
          <w:szCs w:val="20"/>
        </w:rPr>
        <w:fldChar w:fldCharType="end"/>
      </w:r>
      <w:r w:rsidRPr="00E709A1">
        <w:rPr>
          <w:rFonts w:ascii="Book Antiqua" w:eastAsia="宋体" w:hAnsi="Book Antiqua" w:cs="Times New Roman"/>
          <w:bCs/>
          <w:sz w:val="20"/>
          <w:szCs w:val="20"/>
        </w:rPr>
        <w:t xml:space="preserve">. However, evidence confirming whether these results are consistent across all other LELC cases in the urinary tract, such as the bladder, remains limited. Our systematically sourced case reports presented in </w:t>
      </w:r>
      <w:r w:rsidR="00E474F1" w:rsidRPr="00E709A1">
        <w:rPr>
          <w:rFonts w:ascii="Book Antiqua" w:eastAsia="宋体" w:hAnsi="Book Antiqua" w:cs="Times New Roman"/>
          <w:bCs/>
          <w:sz w:val="20"/>
          <w:szCs w:val="20"/>
        </w:rPr>
        <w:t xml:space="preserve">Table </w:t>
      </w:r>
      <w:r w:rsidRPr="00E709A1">
        <w:rPr>
          <w:rFonts w:ascii="Book Antiqua" w:eastAsia="宋体" w:hAnsi="Book Antiqua" w:cs="Times New Roman"/>
          <w:bCs/>
          <w:sz w:val="20"/>
          <w:szCs w:val="20"/>
        </w:rPr>
        <w:t xml:space="preserve">1 consist of six cases with a non-pure histological subtype, all of </w:t>
      </w:r>
      <w:r w:rsidR="00CA27B3" w:rsidRPr="00E709A1">
        <w:rPr>
          <w:rFonts w:ascii="Book Antiqua" w:eastAsia="宋体" w:hAnsi="Book Antiqua" w:cs="Times New Roman"/>
          <w:bCs/>
          <w:sz w:val="20"/>
          <w:szCs w:val="20"/>
        </w:rPr>
        <w:t xml:space="preserve">which </w:t>
      </w:r>
      <w:r w:rsidRPr="00E709A1">
        <w:rPr>
          <w:rFonts w:ascii="Book Antiqua" w:eastAsia="宋体" w:hAnsi="Book Antiqua" w:cs="Times New Roman"/>
          <w:bCs/>
          <w:sz w:val="20"/>
          <w:szCs w:val="20"/>
        </w:rPr>
        <w:t xml:space="preserve">had poor outcomes. Most died within one year after surgery, although the remaining 14 patients </w:t>
      </w:r>
      <w:r w:rsidR="00CA27B3" w:rsidRPr="00E709A1">
        <w:rPr>
          <w:rFonts w:ascii="Book Antiqua" w:eastAsia="宋体" w:hAnsi="Book Antiqua" w:cs="Times New Roman"/>
          <w:bCs/>
          <w:sz w:val="20"/>
          <w:szCs w:val="20"/>
        </w:rPr>
        <w:t xml:space="preserve">had </w:t>
      </w:r>
      <w:r w:rsidRPr="00E709A1">
        <w:rPr>
          <w:rFonts w:ascii="Book Antiqua" w:eastAsia="宋体" w:hAnsi="Book Antiqua" w:cs="Times New Roman"/>
          <w:bCs/>
          <w:sz w:val="20"/>
          <w:szCs w:val="20"/>
        </w:rPr>
        <w:t>pure predominant histological subtype</w:t>
      </w:r>
      <w:r w:rsidR="00CA27B3"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with no evidence of disease at a </w:t>
      </w:r>
      <w:r w:rsidR="00E474F1" w:rsidRPr="00E709A1">
        <w:rPr>
          <w:rFonts w:ascii="Book Antiqua" w:eastAsia="宋体" w:hAnsi="Book Antiqua" w:cs="Times New Roman"/>
          <w:bCs/>
          <w:sz w:val="20"/>
          <w:szCs w:val="20"/>
        </w:rPr>
        <w:t>long-term</w:t>
      </w:r>
      <w:r w:rsidRPr="00E709A1">
        <w:rPr>
          <w:rFonts w:ascii="Book Antiqua" w:eastAsia="宋体" w:hAnsi="Book Antiqua" w:cs="Times New Roman"/>
          <w:bCs/>
          <w:sz w:val="20"/>
          <w:szCs w:val="20"/>
        </w:rPr>
        <w:t xml:space="preserve"> follow-up juncture. Again, as this evidence base </w:t>
      </w:r>
      <w:r w:rsidR="00E474F1" w:rsidRPr="00E709A1">
        <w:rPr>
          <w:rFonts w:ascii="Book Antiqua" w:eastAsia="宋体" w:hAnsi="Book Antiqua" w:cs="Times New Roman"/>
          <w:bCs/>
          <w:sz w:val="20"/>
          <w:szCs w:val="20"/>
        </w:rPr>
        <w:t>develops,</w:t>
      </w:r>
      <w:r w:rsidRPr="00E709A1">
        <w:rPr>
          <w:rFonts w:ascii="Book Antiqua" w:eastAsia="宋体" w:hAnsi="Book Antiqua" w:cs="Times New Roman"/>
          <w:bCs/>
          <w:sz w:val="20"/>
          <w:szCs w:val="20"/>
        </w:rPr>
        <w:t xml:space="preserve"> we should be able to determine which intervention is most beneficial for each histological subtype, although data recording and reporting must be enhanced to understand these subtleties.</w:t>
      </w:r>
    </w:p>
    <w:p w14:paraId="1FA45F38" w14:textId="765B2C21" w:rsidR="000705B7" w:rsidRPr="00E709A1" w:rsidRDefault="00624006" w:rsidP="00310F13">
      <w:pPr>
        <w:widowControl/>
        <w:tabs>
          <w:tab w:val="left" w:pos="2350"/>
        </w:tabs>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 xml:space="preserve">Overall, </w:t>
      </w:r>
      <w:r w:rsidR="00E709A1" w:rsidRPr="00E709A1">
        <w:rPr>
          <w:rFonts w:ascii="Book Antiqua" w:eastAsia="宋体" w:hAnsi="Book Antiqua" w:cs="Times New Roman"/>
          <w:bCs/>
          <w:sz w:val="20"/>
          <w:szCs w:val="20"/>
        </w:rPr>
        <w:t>tumor</w:t>
      </w:r>
      <w:r w:rsidRPr="00E709A1">
        <w:rPr>
          <w:rFonts w:ascii="Book Antiqua" w:eastAsia="宋体" w:hAnsi="Book Antiqua" w:cs="Times New Roman"/>
          <w:bCs/>
          <w:sz w:val="20"/>
          <w:szCs w:val="20"/>
        </w:rPr>
        <w:t xml:space="preserve"> stage had a significant impact on the oncological outcomes</w:t>
      </w:r>
      <w:r w:rsidR="00A07C2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which highlights the need for early identification</w:t>
      </w:r>
      <w:r w:rsidRPr="00E709A1">
        <w:rPr>
          <w:rFonts w:ascii="Book Antiqua" w:eastAsia="宋体" w:hAnsi="Book Antiqua" w:cs="Times New Roman"/>
          <w:sz w:val="20"/>
          <w:szCs w:val="20"/>
        </w:rPr>
        <w:fldChar w:fldCharType="begin"/>
      </w:r>
      <w:r w:rsidRPr="00E709A1">
        <w:rPr>
          <w:rFonts w:ascii="Book Antiqua" w:eastAsia="宋体" w:hAnsi="Book Antiqua" w:cs="Times New Roman"/>
          <w:sz w:val="20"/>
          <w:szCs w:val="20"/>
        </w:rPr>
        <w:instrText xml:space="preserve"> ADDIN KYMRREF{5D2893EE-DD9C-42E7-B353-2596C163F4A5}17128</w:instrText>
      </w:r>
      <w:r w:rsidRPr="00E709A1">
        <w:rPr>
          <w:rFonts w:ascii="Book Antiqua" w:eastAsia="宋体" w:hAnsi="Book Antiqua" w:cs="Times New Roman"/>
          <w:sz w:val="20"/>
          <w:szCs w:val="20"/>
        </w:rPr>
        <w:fldChar w:fldCharType="separate"/>
      </w:r>
      <w:r w:rsidRPr="00E709A1">
        <w:rPr>
          <w:rFonts w:ascii="Book Antiqua" w:eastAsia="宋体" w:hAnsi="Book Antiqua" w:cs="Times New Roman"/>
          <w:sz w:val="20"/>
          <w:szCs w:val="20"/>
          <w:vertAlign w:val="superscript"/>
        </w:rPr>
        <w:t>[15]</w:t>
      </w:r>
      <w:r w:rsidRPr="00E709A1">
        <w:rPr>
          <w:rFonts w:ascii="Book Antiqua" w:eastAsia="宋体" w:hAnsi="Book Antiqua" w:cs="Times New Roman"/>
          <w:sz w:val="20"/>
          <w:szCs w:val="20"/>
        </w:rPr>
        <w:fldChar w:fldCharType="end"/>
      </w:r>
      <w:r w:rsidRPr="00E709A1">
        <w:rPr>
          <w:rFonts w:ascii="Book Antiqua" w:eastAsia="宋体" w:hAnsi="Book Antiqua" w:cs="Times New Roman"/>
          <w:bCs/>
          <w:sz w:val="20"/>
          <w:szCs w:val="20"/>
        </w:rPr>
        <w:t xml:space="preserve">. In this study, all of those who died with the disease presented </w:t>
      </w:r>
      <w:bookmarkStart w:id="38" w:name="OLE_LINK48"/>
      <w:bookmarkStart w:id="39" w:name="OLE_LINK47"/>
      <w:r w:rsidRPr="00E709A1">
        <w:rPr>
          <w:rFonts w:ascii="Book Antiqua" w:eastAsia="宋体" w:hAnsi="Book Antiqua" w:cs="Times New Roman"/>
          <w:bCs/>
          <w:sz w:val="20"/>
          <w:szCs w:val="20"/>
        </w:rPr>
        <w:t>at an advanced pathological stage</w:t>
      </w:r>
      <w:bookmarkEnd w:id="38"/>
      <w:bookmarkEnd w:id="39"/>
      <w:r w:rsidRPr="00E709A1">
        <w:rPr>
          <w:rFonts w:ascii="Book Antiqua" w:eastAsia="宋体" w:hAnsi="Book Antiqua" w:cs="Times New Roman"/>
          <w:bCs/>
          <w:sz w:val="20"/>
          <w:szCs w:val="20"/>
        </w:rPr>
        <w:t>. According to the univariant analysis shown in Figure 2</w:t>
      </w:r>
      <w:r w:rsidR="00A07C2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patients identified </w:t>
      </w:r>
      <w:r w:rsidR="00A07C2B" w:rsidRPr="00E709A1">
        <w:rPr>
          <w:rFonts w:ascii="Book Antiqua" w:eastAsia="宋体" w:hAnsi="Book Antiqua" w:cs="Times New Roman"/>
          <w:bCs/>
          <w:sz w:val="20"/>
          <w:szCs w:val="20"/>
        </w:rPr>
        <w:t xml:space="preserve">at </w:t>
      </w:r>
      <w:r w:rsidRPr="00E709A1">
        <w:rPr>
          <w:rFonts w:ascii="Book Antiqua" w:eastAsia="宋体" w:hAnsi="Book Antiqua" w:cs="Times New Roman"/>
          <w:bCs/>
          <w:sz w:val="20"/>
          <w:szCs w:val="20"/>
        </w:rPr>
        <w:t xml:space="preserve">earlier pathological stages have relatively </w:t>
      </w:r>
      <w:r w:rsidR="00E709A1" w:rsidRPr="00E709A1">
        <w:rPr>
          <w:rFonts w:ascii="Book Antiqua" w:eastAsia="宋体" w:hAnsi="Book Antiqua" w:cs="Times New Roman"/>
          <w:bCs/>
          <w:sz w:val="20"/>
          <w:szCs w:val="20"/>
        </w:rPr>
        <w:t>favorable</w:t>
      </w:r>
      <w:r w:rsidRPr="00E709A1">
        <w:rPr>
          <w:rFonts w:ascii="Book Antiqua" w:eastAsia="宋体" w:hAnsi="Book Antiqua" w:cs="Times New Roman"/>
          <w:bCs/>
          <w:sz w:val="20"/>
          <w:szCs w:val="20"/>
        </w:rPr>
        <w:t xml:space="preserve"> prognoses. In addition, location appears to also be a key factor. For example, renal pelvis LELC</w:t>
      </w:r>
      <w:r w:rsidR="00A07C2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appear to correspond with poor </w:t>
      </w:r>
      <w:r w:rsidRPr="00E709A1">
        <w:rPr>
          <w:rFonts w:ascii="Book Antiqua" w:eastAsia="宋体" w:hAnsi="Book Antiqua" w:cs="Times New Roman"/>
          <w:bCs/>
          <w:sz w:val="20"/>
          <w:szCs w:val="20"/>
        </w:rPr>
        <w:lastRenderedPageBreak/>
        <w:t>oncologic outcomes</w:t>
      </w:r>
      <w:r w:rsidR="00A07C2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which adds support to the theory that renal pelvis LELC management should be consistent with the standard therapy of renal pelvis carcinoma, requiring radical resection of the entire upper tract of the urothelium. This recommends RNU</w:t>
      </w:r>
      <w:r w:rsidR="00A07C2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based therapy as the first-line management technique for renal pelvis LELC</w:t>
      </w:r>
      <w:r w:rsidR="00A07C2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but does not elaborate on our understanding of UUT-LELC.</w:t>
      </w:r>
    </w:p>
    <w:p w14:paraId="7FE59C77" w14:textId="24EDE836" w:rsidR="000705B7" w:rsidRPr="00E709A1" w:rsidRDefault="00624006" w:rsidP="00310F13">
      <w:pPr>
        <w:widowControl/>
        <w:tabs>
          <w:tab w:val="left" w:pos="2350"/>
        </w:tabs>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 xml:space="preserve">Further analysis </w:t>
      </w:r>
      <w:r w:rsidR="003670BB" w:rsidRPr="00E709A1">
        <w:rPr>
          <w:rFonts w:ascii="Book Antiqua" w:eastAsia="宋体" w:hAnsi="Book Antiqua" w:cs="Times New Roman"/>
          <w:bCs/>
          <w:sz w:val="20"/>
          <w:szCs w:val="20"/>
        </w:rPr>
        <w:t xml:space="preserve">of </w:t>
      </w:r>
      <w:r w:rsidRPr="00E709A1">
        <w:rPr>
          <w:rFonts w:ascii="Book Antiqua" w:eastAsia="宋体" w:hAnsi="Book Antiqua" w:cs="Times New Roman"/>
          <w:bCs/>
          <w:sz w:val="20"/>
          <w:szCs w:val="20"/>
        </w:rPr>
        <w:t xml:space="preserve">these </w:t>
      </w:r>
      <w:r w:rsidR="003670BB" w:rsidRPr="00E709A1">
        <w:rPr>
          <w:rFonts w:ascii="Book Antiqua" w:eastAsia="宋体" w:hAnsi="Book Antiqua" w:cs="Times New Roman"/>
          <w:bCs/>
          <w:sz w:val="20"/>
          <w:szCs w:val="20"/>
        </w:rPr>
        <w:t xml:space="preserve">combined </w:t>
      </w:r>
      <w:r w:rsidRPr="00E709A1">
        <w:rPr>
          <w:rFonts w:ascii="Book Antiqua" w:eastAsia="宋体" w:hAnsi="Book Antiqua" w:cs="Times New Roman"/>
          <w:bCs/>
          <w:sz w:val="20"/>
          <w:szCs w:val="20"/>
        </w:rPr>
        <w:t xml:space="preserve">cases confirmed that surgical strategies influence prognosis. Importantly, </w:t>
      </w:r>
      <w:r w:rsidR="003670BB" w:rsidRPr="00E709A1">
        <w:rPr>
          <w:rFonts w:ascii="Book Antiqua" w:eastAsia="宋体" w:hAnsi="Book Antiqua" w:cs="Times New Roman"/>
          <w:bCs/>
          <w:sz w:val="20"/>
          <w:szCs w:val="20"/>
        </w:rPr>
        <w:t xml:space="preserve">seven </w:t>
      </w:r>
      <w:r w:rsidRPr="00E709A1">
        <w:rPr>
          <w:rFonts w:ascii="Book Antiqua" w:eastAsia="宋体" w:hAnsi="Book Antiqua" w:cs="Times New Roman"/>
          <w:bCs/>
          <w:sz w:val="20"/>
          <w:szCs w:val="20"/>
        </w:rPr>
        <w:t>of the 15 patients who underwent Non-RNU</w:t>
      </w:r>
      <w:r w:rsidR="0071496D"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based therapies died with the disease. Conversely, all those </w:t>
      </w:r>
      <w:r w:rsidR="0071496D" w:rsidRPr="00E709A1">
        <w:rPr>
          <w:rFonts w:ascii="Book Antiqua" w:eastAsia="宋体" w:hAnsi="Book Antiqua" w:cs="Times New Roman"/>
          <w:bCs/>
          <w:sz w:val="20"/>
          <w:szCs w:val="20"/>
        </w:rPr>
        <w:t xml:space="preserve">who </w:t>
      </w:r>
      <w:r w:rsidRPr="00E709A1">
        <w:rPr>
          <w:rFonts w:ascii="Book Antiqua" w:eastAsia="宋体" w:hAnsi="Book Antiqua" w:cs="Times New Roman"/>
          <w:bCs/>
          <w:sz w:val="20"/>
          <w:szCs w:val="20"/>
        </w:rPr>
        <w:t>received RNU</w:t>
      </w:r>
      <w:r w:rsidR="0071496D"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based treatments survived and had no evidence of disease at the long-term follow-up point. In line with oncological management principles, proper recognition of the</w:t>
      </w:r>
      <w:r w:rsidR="0071496D" w:rsidRPr="00E709A1">
        <w:rPr>
          <w:rFonts w:ascii="Book Antiqua" w:eastAsia="宋体" w:hAnsi="Book Antiqua" w:cs="Times New Roman"/>
          <w:bCs/>
          <w:sz w:val="20"/>
          <w:szCs w:val="20"/>
        </w:rPr>
        <w:t xml:space="preserve"> disease</w:t>
      </w:r>
      <w:r w:rsidRPr="00E709A1">
        <w:rPr>
          <w:rFonts w:ascii="Book Antiqua" w:eastAsia="宋体" w:hAnsi="Book Antiqua" w:cs="Times New Roman"/>
          <w:bCs/>
          <w:sz w:val="20"/>
          <w:szCs w:val="20"/>
        </w:rPr>
        <w:t xml:space="preserve"> prognosis and regular follow-up </w:t>
      </w:r>
      <w:r w:rsidR="0071496D" w:rsidRPr="00E709A1">
        <w:rPr>
          <w:rFonts w:ascii="Book Antiqua" w:eastAsia="宋体" w:hAnsi="Book Antiqua" w:cs="Times New Roman"/>
          <w:bCs/>
          <w:sz w:val="20"/>
          <w:szCs w:val="20"/>
        </w:rPr>
        <w:t xml:space="preserve">are </w:t>
      </w:r>
      <w:r w:rsidRPr="00E709A1">
        <w:rPr>
          <w:rFonts w:ascii="Book Antiqua" w:eastAsia="宋体" w:hAnsi="Book Antiqua" w:cs="Times New Roman"/>
          <w:bCs/>
          <w:sz w:val="20"/>
          <w:szCs w:val="20"/>
        </w:rPr>
        <w:t xml:space="preserve">also essential. During the follow-up period, regular cystoscopy, urine cytology testing and </w:t>
      </w:r>
      <w:r w:rsidRPr="00E709A1">
        <w:rPr>
          <w:rFonts w:ascii="Book Antiqua" w:eastAsia="宋体" w:hAnsi="Book Antiqua" w:cs="Times New Roman"/>
          <w:sz w:val="20"/>
          <w:szCs w:val="20"/>
        </w:rPr>
        <w:t xml:space="preserve">abdominal </w:t>
      </w:r>
      <w:r w:rsidR="00E474F1" w:rsidRPr="00E709A1">
        <w:rPr>
          <w:rFonts w:ascii="Book Antiqua" w:eastAsia="宋体" w:hAnsi="Book Antiqua" w:cs="Times New Roman"/>
          <w:sz w:val="20"/>
          <w:szCs w:val="20"/>
        </w:rPr>
        <w:t>computer</w:t>
      </w:r>
      <w:r w:rsidRPr="00E709A1">
        <w:rPr>
          <w:rFonts w:ascii="Book Antiqua" w:eastAsia="宋体" w:hAnsi="Book Antiqua" w:cs="Times New Roman"/>
          <w:sz w:val="20"/>
          <w:szCs w:val="20"/>
        </w:rPr>
        <w:t xml:space="preserve"> tomography</w:t>
      </w:r>
      <w:r w:rsidRPr="00E709A1">
        <w:rPr>
          <w:rFonts w:ascii="Book Antiqua" w:eastAsia="宋体" w:hAnsi="Book Antiqua" w:cs="Times New Roman"/>
          <w:bCs/>
          <w:sz w:val="20"/>
          <w:szCs w:val="20"/>
        </w:rPr>
        <w:t xml:space="preserve"> should also be performed at three months</w:t>
      </w:r>
      <w:r w:rsidR="0071496D"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annually thereafter. Clearly, there is</w:t>
      </w:r>
      <w:bookmarkStart w:id="40" w:name="OLE_LINK41"/>
      <w:r w:rsidRPr="00E709A1">
        <w:rPr>
          <w:rFonts w:ascii="Book Antiqua" w:eastAsia="宋体" w:hAnsi="Book Antiqua" w:cs="Times New Roman"/>
          <w:bCs/>
          <w:sz w:val="20"/>
          <w:szCs w:val="20"/>
        </w:rPr>
        <w:t xml:space="preserve"> variability </w:t>
      </w:r>
      <w:bookmarkEnd w:id="40"/>
      <w:r w:rsidRPr="00E709A1">
        <w:rPr>
          <w:rFonts w:ascii="Book Antiqua" w:eastAsia="宋体" w:hAnsi="Book Antiqua" w:cs="Times New Roman"/>
          <w:bCs/>
          <w:sz w:val="20"/>
          <w:szCs w:val="20"/>
        </w:rPr>
        <w:t>within this sample of cases</w:t>
      </w:r>
      <w:r w:rsidR="0071496D"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which may relate to concomitant transitional cell carcinoma admixed with the non-pure subtype LELC, which may add to our </w:t>
      </w:r>
      <w:r w:rsidR="00E474F1" w:rsidRPr="00E709A1">
        <w:rPr>
          <w:rFonts w:ascii="Book Antiqua" w:eastAsia="宋体" w:hAnsi="Book Antiqua" w:cs="Times New Roman"/>
          <w:bCs/>
          <w:sz w:val="20"/>
          <w:szCs w:val="20"/>
        </w:rPr>
        <w:t>prognostic</w:t>
      </w:r>
      <w:r w:rsidRPr="00E709A1">
        <w:rPr>
          <w:rFonts w:ascii="Book Antiqua" w:eastAsia="宋体" w:hAnsi="Book Antiqua" w:cs="Times New Roman"/>
          <w:bCs/>
          <w:sz w:val="20"/>
          <w:szCs w:val="20"/>
        </w:rPr>
        <w:t xml:space="preserve"> knowledge.</w:t>
      </w:r>
    </w:p>
    <w:p w14:paraId="26B0791E" w14:textId="27943C4C" w:rsidR="000705B7" w:rsidRPr="00E709A1" w:rsidRDefault="00624006" w:rsidP="00310F13">
      <w:pPr>
        <w:widowControl/>
        <w:tabs>
          <w:tab w:val="left" w:pos="2350"/>
        </w:tabs>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This study was systematically performed to better understand this uncommon variant of urinary carcinoma</w:t>
      </w:r>
      <w:r w:rsidR="00AE4F4F"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although there are some limitations </w:t>
      </w:r>
      <w:r w:rsidR="00AE4F4F" w:rsidRPr="00E709A1">
        <w:rPr>
          <w:rFonts w:ascii="Book Antiqua" w:eastAsia="宋体" w:hAnsi="Book Antiqua" w:cs="Times New Roman"/>
          <w:bCs/>
          <w:sz w:val="20"/>
          <w:szCs w:val="20"/>
        </w:rPr>
        <w:t xml:space="preserve">that </w:t>
      </w:r>
      <w:r w:rsidRPr="00E709A1">
        <w:rPr>
          <w:rFonts w:ascii="Book Antiqua" w:eastAsia="宋体" w:hAnsi="Book Antiqua" w:cs="Times New Roman"/>
          <w:bCs/>
          <w:sz w:val="20"/>
          <w:szCs w:val="20"/>
        </w:rPr>
        <w:t>should be addressed prior to drawing conclusions. Firstly, the evidence around this rare tumor was retrospectively gathered</w:t>
      </w:r>
      <w:r w:rsidR="00AE4F4F"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included case reports and small case series</w:t>
      </w:r>
      <w:r w:rsidR="00AE4F4F"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t>
      </w:r>
      <w:r w:rsidR="00AE4F4F" w:rsidRPr="00E709A1">
        <w:rPr>
          <w:rFonts w:ascii="Book Antiqua" w:eastAsia="宋体" w:hAnsi="Book Antiqua" w:cs="Times New Roman"/>
          <w:bCs/>
          <w:sz w:val="20"/>
          <w:szCs w:val="20"/>
        </w:rPr>
        <w:t>H</w:t>
      </w:r>
      <w:r w:rsidRPr="00E709A1">
        <w:rPr>
          <w:rFonts w:ascii="Book Antiqua" w:eastAsia="宋体" w:hAnsi="Book Antiqua" w:cs="Times New Roman"/>
          <w:bCs/>
          <w:sz w:val="20"/>
          <w:szCs w:val="20"/>
        </w:rPr>
        <w:t>owever</w:t>
      </w:r>
      <w:r w:rsidR="00AE4F4F"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this evidence base is limited</w:t>
      </w:r>
      <w:r w:rsidR="00AE4F4F"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therefore generalizing </w:t>
      </w:r>
      <w:r w:rsidR="00AE4F4F" w:rsidRPr="00E709A1">
        <w:rPr>
          <w:rFonts w:ascii="Book Antiqua" w:eastAsia="宋体" w:hAnsi="Book Antiqua" w:cs="Times New Roman"/>
          <w:bCs/>
          <w:sz w:val="20"/>
          <w:szCs w:val="20"/>
        </w:rPr>
        <w:t xml:space="preserve">it as </w:t>
      </w:r>
      <w:r w:rsidRPr="00E709A1">
        <w:rPr>
          <w:rFonts w:ascii="Book Antiqua" w:eastAsia="宋体" w:hAnsi="Book Antiqua" w:cs="Times New Roman"/>
          <w:bCs/>
          <w:sz w:val="20"/>
          <w:szCs w:val="20"/>
        </w:rPr>
        <w:t xml:space="preserve">inappropriate. Additionally, the </w:t>
      </w:r>
      <w:r w:rsidR="00E709A1" w:rsidRPr="00E709A1">
        <w:rPr>
          <w:rFonts w:ascii="Book Antiqua" w:eastAsia="宋体" w:hAnsi="Book Antiqua" w:cs="Times New Roman"/>
          <w:bCs/>
          <w:sz w:val="20"/>
          <w:szCs w:val="20"/>
        </w:rPr>
        <w:t>rigor</w:t>
      </w:r>
      <w:r w:rsidRPr="00E709A1">
        <w:rPr>
          <w:rFonts w:ascii="Book Antiqua" w:eastAsia="宋体" w:hAnsi="Book Antiqua" w:cs="Times New Roman"/>
          <w:bCs/>
          <w:sz w:val="20"/>
          <w:szCs w:val="20"/>
        </w:rPr>
        <w:t xml:space="preserve"> with which cases are recorded and reported could be improved. Data around smoking and drinking status, family history and co-morbidities might prove useful. Also, follow-up periods in some cases were relatively short</w:t>
      </w:r>
      <w:r w:rsidR="00AE4F4F"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which creates a number of unnecessary unknowns.</w:t>
      </w:r>
    </w:p>
    <w:p w14:paraId="5B233F5A" w14:textId="45FABA2D" w:rsidR="000705B7" w:rsidRPr="00E709A1" w:rsidRDefault="00624006" w:rsidP="00310F13">
      <w:pPr>
        <w:widowControl/>
        <w:tabs>
          <w:tab w:val="left" w:pos="2350"/>
        </w:tabs>
        <w:snapToGrid w:val="0"/>
        <w:spacing w:line="360" w:lineRule="auto"/>
        <w:ind w:firstLineChars="100" w:firstLine="200"/>
        <w:outlineLvl w:val="0"/>
        <w:rPr>
          <w:rFonts w:ascii="Book Antiqua" w:eastAsia="宋体" w:hAnsi="Book Antiqua" w:cs="Times New Roman"/>
          <w:bCs/>
          <w:sz w:val="20"/>
          <w:szCs w:val="20"/>
        </w:rPr>
      </w:pPr>
      <w:r w:rsidRPr="00E709A1">
        <w:rPr>
          <w:rFonts w:ascii="Book Antiqua" w:eastAsia="宋体" w:hAnsi="Book Antiqua" w:cs="Times New Roman"/>
          <w:sz w:val="20"/>
          <w:szCs w:val="20"/>
        </w:rPr>
        <w:t>In conclusion,</w:t>
      </w:r>
      <w:r w:rsidRPr="00E709A1">
        <w:rPr>
          <w:rFonts w:ascii="Book Antiqua" w:eastAsia="宋体" w:hAnsi="Book Antiqua" w:cs="Times New Roman"/>
          <w:b/>
          <w:bCs/>
          <w:sz w:val="20"/>
          <w:szCs w:val="20"/>
        </w:rPr>
        <w:t xml:space="preserve"> </w:t>
      </w:r>
      <w:r w:rsidRPr="00E709A1">
        <w:rPr>
          <w:rFonts w:ascii="Book Antiqua" w:eastAsia="宋体" w:hAnsi="Book Antiqua" w:cs="Times New Roman"/>
          <w:bCs/>
          <w:sz w:val="20"/>
          <w:szCs w:val="20"/>
        </w:rPr>
        <w:t>these findings suggest</w:t>
      </w:r>
      <w:r w:rsidR="0086002C" w:rsidRPr="00E709A1">
        <w:rPr>
          <w:rFonts w:ascii="Book Antiqua" w:eastAsia="宋体" w:hAnsi="Book Antiqua" w:cs="Times New Roman"/>
          <w:bCs/>
          <w:sz w:val="20"/>
          <w:szCs w:val="20"/>
        </w:rPr>
        <w:t xml:space="preserve"> that</w:t>
      </w:r>
      <w:r w:rsidRPr="00E709A1">
        <w:rPr>
          <w:rFonts w:ascii="Book Antiqua" w:eastAsia="宋体" w:hAnsi="Book Antiqua" w:cs="Times New Roman"/>
          <w:bCs/>
          <w:sz w:val="20"/>
          <w:szCs w:val="20"/>
        </w:rPr>
        <w:t xml:space="preserve"> the treatment associated with the highest disease-free survival is an RNU</w:t>
      </w:r>
      <w:r w:rsidR="0086002C"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based intervention. However, this can only be a tentative recommendation given the limitations of this evidence base. We would encourage clinicians to actively communicate findings and publish case reports. UUT-LELC cases may be rare</w:t>
      </w:r>
      <w:r w:rsidR="0086002C"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but there is an opportunity to save and prolong life by sharing knowledge, enhancing the depth and breadth of data recording</w:t>
      </w:r>
      <w:r w:rsidR="0086002C"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reporting and discussing clinical experiences.</w:t>
      </w:r>
    </w:p>
    <w:p w14:paraId="276F839A" w14:textId="77777777" w:rsidR="00E474F1" w:rsidRPr="00E709A1" w:rsidRDefault="00E474F1" w:rsidP="00310F13">
      <w:pPr>
        <w:widowControl/>
        <w:tabs>
          <w:tab w:val="left" w:pos="2350"/>
        </w:tabs>
        <w:snapToGrid w:val="0"/>
        <w:spacing w:line="360" w:lineRule="auto"/>
        <w:ind w:firstLineChars="100" w:firstLine="200"/>
        <w:outlineLvl w:val="0"/>
        <w:rPr>
          <w:rFonts w:ascii="Book Antiqua" w:eastAsia="宋体" w:hAnsi="Book Antiqua" w:cs="Times New Roman"/>
          <w:bCs/>
          <w:sz w:val="20"/>
          <w:szCs w:val="20"/>
        </w:rPr>
      </w:pPr>
    </w:p>
    <w:p w14:paraId="60E042D7" w14:textId="77777777" w:rsidR="00E474F1" w:rsidRPr="00E709A1" w:rsidRDefault="00E474F1" w:rsidP="00310F13">
      <w:pPr>
        <w:adjustRightInd w:val="0"/>
        <w:snapToGrid w:val="0"/>
        <w:spacing w:line="360" w:lineRule="auto"/>
        <w:rPr>
          <w:rFonts w:ascii="Book Antiqua" w:hAnsi="Book Antiqua"/>
          <w:b/>
          <w:sz w:val="20"/>
          <w:szCs w:val="20"/>
          <w:u w:val="single"/>
        </w:rPr>
      </w:pPr>
      <w:bookmarkStart w:id="41" w:name="_Hlk26793053"/>
      <w:r w:rsidRPr="00E709A1">
        <w:rPr>
          <w:rFonts w:ascii="Book Antiqua" w:hAnsi="Book Antiqua"/>
          <w:b/>
          <w:sz w:val="20"/>
          <w:szCs w:val="20"/>
          <w:u w:val="single"/>
        </w:rPr>
        <w:t>ARTICLE HIGHLIGHTS</w:t>
      </w:r>
    </w:p>
    <w:p w14:paraId="7124B442" w14:textId="77777777"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
          <w:bCs/>
          <w:i/>
          <w:sz w:val="20"/>
          <w:szCs w:val="20"/>
        </w:rPr>
      </w:pPr>
      <w:r w:rsidRPr="00E709A1">
        <w:rPr>
          <w:rFonts w:ascii="Book Antiqua" w:eastAsia="宋体" w:hAnsi="Book Antiqua" w:cs="Times New Roman"/>
          <w:b/>
          <w:bCs/>
          <w:i/>
          <w:sz w:val="20"/>
          <w:szCs w:val="20"/>
        </w:rPr>
        <w:t xml:space="preserve">Research background </w:t>
      </w:r>
    </w:p>
    <w:bookmarkEnd w:id="41"/>
    <w:p w14:paraId="28244170" w14:textId="2705D6AB"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
          <w:bCs/>
          <w:i/>
          <w:sz w:val="20"/>
          <w:szCs w:val="20"/>
        </w:rPr>
      </w:pPr>
      <w:r w:rsidRPr="00E709A1">
        <w:rPr>
          <w:rFonts w:ascii="Book Antiqua" w:eastAsia="宋体" w:hAnsi="Book Antiqua" w:cs="Times New Roman"/>
          <w:bCs/>
          <w:sz w:val="20"/>
          <w:szCs w:val="20"/>
        </w:rPr>
        <w:t>Lymphoepithelioma-like carcinoma</w:t>
      </w:r>
      <w:r w:rsidR="00275642"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(LELC) are rare, malignant epithelial </w:t>
      </w:r>
      <w:r w:rsidR="00E709A1" w:rsidRPr="00E709A1">
        <w:rPr>
          <w:rFonts w:ascii="Book Antiqua" w:eastAsia="宋体" w:hAnsi="Book Antiqua" w:cs="Times New Roman"/>
          <w:bCs/>
          <w:sz w:val="20"/>
          <w:szCs w:val="20"/>
        </w:rPr>
        <w:t>tumors</w:t>
      </w:r>
      <w:r w:rsidRPr="00E709A1">
        <w:rPr>
          <w:rFonts w:ascii="Book Antiqua" w:eastAsia="宋体" w:hAnsi="Book Antiqua" w:cs="Times New Roman"/>
          <w:bCs/>
          <w:sz w:val="20"/>
          <w:szCs w:val="20"/>
        </w:rPr>
        <w:t xml:space="preserve"> </w:t>
      </w:r>
      <w:r w:rsidR="00275642" w:rsidRPr="00E709A1">
        <w:rPr>
          <w:rFonts w:ascii="Book Antiqua" w:eastAsia="宋体" w:hAnsi="Book Antiqua" w:cs="Times New Roman"/>
          <w:bCs/>
          <w:sz w:val="20"/>
          <w:szCs w:val="20"/>
        </w:rPr>
        <w:t>that</w:t>
      </w:r>
      <w:r w:rsidRPr="00E709A1">
        <w:rPr>
          <w:rFonts w:ascii="Book Antiqua" w:eastAsia="宋体" w:hAnsi="Book Antiqua" w:cs="Times New Roman"/>
          <w:bCs/>
          <w:sz w:val="20"/>
          <w:szCs w:val="20"/>
        </w:rPr>
        <w:t xml:space="preserve"> are generally considered </w:t>
      </w:r>
      <w:r w:rsidR="004264F2" w:rsidRPr="00E709A1">
        <w:rPr>
          <w:rFonts w:ascii="Book Antiqua" w:eastAsia="宋体" w:hAnsi="Book Antiqua" w:cs="Times New Roman"/>
          <w:bCs/>
          <w:sz w:val="20"/>
          <w:szCs w:val="20"/>
        </w:rPr>
        <w:t xml:space="preserve">a </w:t>
      </w:r>
      <w:r w:rsidRPr="00E709A1">
        <w:rPr>
          <w:rFonts w:ascii="Book Antiqua" w:eastAsia="宋体" w:hAnsi="Book Antiqua" w:cs="Times New Roman"/>
          <w:bCs/>
          <w:sz w:val="20"/>
          <w:szCs w:val="20"/>
        </w:rPr>
        <w:t xml:space="preserve">subtype </w:t>
      </w:r>
      <w:r w:rsidR="004264F2" w:rsidRPr="00E709A1">
        <w:rPr>
          <w:rFonts w:ascii="Book Antiqua" w:eastAsia="宋体" w:hAnsi="Book Antiqua" w:cs="Times New Roman"/>
          <w:bCs/>
          <w:sz w:val="20"/>
          <w:szCs w:val="20"/>
        </w:rPr>
        <w:t xml:space="preserve">of </w:t>
      </w:r>
      <w:r w:rsidRPr="00E709A1">
        <w:rPr>
          <w:rFonts w:ascii="Book Antiqua" w:eastAsia="宋体" w:hAnsi="Book Antiqua" w:cs="Times New Roman"/>
          <w:bCs/>
          <w:sz w:val="20"/>
          <w:szCs w:val="20"/>
        </w:rPr>
        <w:t>squamous cell carcinoma. LELC</w:t>
      </w:r>
      <w:r w:rsidR="0023398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are undifferentiated</w:t>
      </w:r>
      <w:r w:rsidR="0023398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with histological features bearing a striking morphologic</w:t>
      </w:r>
      <w:r w:rsidR="0023398B" w:rsidRPr="00E709A1">
        <w:rPr>
          <w:rFonts w:ascii="Book Antiqua" w:eastAsia="宋体" w:hAnsi="Book Antiqua" w:cs="Times New Roman"/>
          <w:bCs/>
          <w:sz w:val="20"/>
          <w:szCs w:val="20"/>
        </w:rPr>
        <w:t>al</w:t>
      </w:r>
      <w:r w:rsidRPr="00E709A1">
        <w:rPr>
          <w:rFonts w:ascii="Book Antiqua" w:eastAsia="宋体" w:hAnsi="Book Antiqua" w:cs="Times New Roman"/>
          <w:bCs/>
          <w:sz w:val="20"/>
          <w:szCs w:val="20"/>
        </w:rPr>
        <w:t xml:space="preserve"> resemblance to non-keratinizing nasopharyngeal carcinomas. LELC</w:t>
      </w:r>
      <w:r w:rsidR="0023398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occur in multiple tissues across the body, including </w:t>
      </w:r>
      <w:r w:rsidR="0023398B" w:rsidRPr="00E709A1">
        <w:rPr>
          <w:rFonts w:ascii="Book Antiqua" w:eastAsia="宋体" w:hAnsi="Book Antiqua" w:cs="Times New Roman"/>
          <w:bCs/>
          <w:sz w:val="20"/>
          <w:szCs w:val="20"/>
        </w:rPr>
        <w:t xml:space="preserve">the </w:t>
      </w:r>
      <w:r w:rsidRPr="00E709A1">
        <w:rPr>
          <w:rFonts w:ascii="Book Antiqua" w:eastAsia="宋体" w:hAnsi="Book Antiqua" w:cs="Times New Roman"/>
          <w:bCs/>
          <w:sz w:val="20"/>
          <w:szCs w:val="20"/>
        </w:rPr>
        <w:t>salivary glands, thymus, lung, stomach, ovary, uterine cervix and breast. However, LELC</w:t>
      </w:r>
      <w:r w:rsidR="0023398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in the urinary tract are extremely rare</w:t>
      </w:r>
      <w:r w:rsidR="0023398B"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to the best of our knowledge, most previously described urinary LELC</w:t>
      </w:r>
      <w:r w:rsidR="0023398B"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have been reported </w:t>
      </w:r>
      <w:r w:rsidR="0023398B" w:rsidRPr="00E709A1">
        <w:rPr>
          <w:rFonts w:ascii="Book Antiqua" w:eastAsia="宋体" w:hAnsi="Book Antiqua" w:cs="Times New Roman"/>
          <w:bCs/>
          <w:sz w:val="20"/>
          <w:szCs w:val="20"/>
        </w:rPr>
        <w:lastRenderedPageBreak/>
        <w:t xml:space="preserve">to </w:t>
      </w:r>
      <w:r w:rsidRPr="00E709A1">
        <w:rPr>
          <w:rFonts w:ascii="Book Antiqua" w:eastAsia="宋体" w:hAnsi="Book Antiqua" w:cs="Times New Roman"/>
          <w:bCs/>
          <w:sz w:val="20"/>
          <w:szCs w:val="20"/>
        </w:rPr>
        <w:t>occur in the bladder. Rationally speaking, there are likely to be distinctions between subtypes, related to the exact location</w:t>
      </w:r>
      <w:r w:rsidR="00BC0C5A"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as well as specific risk factors associated with these carcinomas. This systematic review is an attempt to expand and synthesize findings to provide clinicians with guidelines for </w:t>
      </w:r>
      <w:r w:rsidR="00BC0C5A" w:rsidRPr="00E709A1">
        <w:rPr>
          <w:rFonts w:ascii="Book Antiqua" w:eastAsia="宋体" w:hAnsi="Book Antiqua" w:cs="Times New Roman"/>
          <w:bCs/>
          <w:sz w:val="20"/>
          <w:szCs w:val="20"/>
        </w:rPr>
        <w:t xml:space="preserve">the </w:t>
      </w:r>
      <w:r w:rsidRPr="00E709A1">
        <w:rPr>
          <w:rFonts w:ascii="Book Antiqua" w:eastAsia="宋体" w:hAnsi="Book Antiqua" w:cs="Times New Roman"/>
          <w:bCs/>
          <w:sz w:val="20"/>
          <w:szCs w:val="20"/>
        </w:rPr>
        <w:t>best practice</w:t>
      </w:r>
      <w:r w:rsidR="00BC0C5A"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w:t>
      </w:r>
    </w:p>
    <w:p w14:paraId="11EF2A1A" w14:textId="77777777" w:rsidR="000705B7" w:rsidRPr="00E709A1" w:rsidRDefault="000705B7" w:rsidP="00310F13">
      <w:pPr>
        <w:widowControl/>
        <w:tabs>
          <w:tab w:val="left" w:pos="2350"/>
        </w:tabs>
        <w:snapToGrid w:val="0"/>
        <w:spacing w:line="360" w:lineRule="auto"/>
        <w:outlineLvl w:val="0"/>
        <w:rPr>
          <w:rFonts w:ascii="Book Antiqua" w:eastAsia="宋体" w:hAnsi="Book Antiqua" w:cs="Times New Roman"/>
          <w:b/>
          <w:bCs/>
          <w:i/>
          <w:sz w:val="20"/>
          <w:szCs w:val="20"/>
        </w:rPr>
      </w:pPr>
    </w:p>
    <w:p w14:paraId="1F2ED4B4" w14:textId="4F279DEB"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
          <w:bCs/>
          <w:i/>
          <w:sz w:val="20"/>
          <w:szCs w:val="20"/>
        </w:rPr>
      </w:pPr>
      <w:r w:rsidRPr="00E709A1">
        <w:rPr>
          <w:rFonts w:ascii="Book Antiqua" w:eastAsia="宋体" w:hAnsi="Book Antiqua" w:cs="Times New Roman"/>
          <w:b/>
          <w:bCs/>
          <w:i/>
          <w:sz w:val="20"/>
          <w:szCs w:val="20"/>
        </w:rPr>
        <w:t>Research motivation</w:t>
      </w:r>
    </w:p>
    <w:p w14:paraId="62A2CC23" w14:textId="11819E8E" w:rsidR="000705B7" w:rsidRPr="00E709A1" w:rsidRDefault="00D23C26"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The l</w:t>
      </w:r>
      <w:r w:rsidR="00624006" w:rsidRPr="00E709A1">
        <w:rPr>
          <w:rFonts w:ascii="Book Antiqua" w:eastAsia="宋体" w:hAnsi="Book Antiqua" w:cs="Times New Roman"/>
          <w:bCs/>
          <w:sz w:val="20"/>
          <w:szCs w:val="20"/>
        </w:rPr>
        <w:t xml:space="preserve">imited </w:t>
      </w:r>
      <w:r w:rsidRPr="00E709A1">
        <w:rPr>
          <w:rFonts w:ascii="Book Antiqua" w:eastAsia="宋体" w:hAnsi="Book Antiqua" w:cs="Times New Roman"/>
          <w:bCs/>
          <w:sz w:val="20"/>
          <w:szCs w:val="20"/>
        </w:rPr>
        <w:t xml:space="preserve">current </w:t>
      </w:r>
      <w:r w:rsidR="00624006" w:rsidRPr="00E709A1">
        <w:rPr>
          <w:rFonts w:ascii="Book Antiqua" w:eastAsia="宋体" w:hAnsi="Book Antiqua" w:cs="Times New Roman"/>
          <w:bCs/>
          <w:sz w:val="20"/>
          <w:szCs w:val="20"/>
        </w:rPr>
        <w:t xml:space="preserve">evidence </w:t>
      </w:r>
      <w:r w:rsidRPr="00E709A1">
        <w:rPr>
          <w:rFonts w:ascii="Book Antiqua" w:eastAsia="宋体" w:hAnsi="Book Antiqua" w:cs="Times New Roman"/>
          <w:bCs/>
          <w:sz w:val="20"/>
          <w:szCs w:val="20"/>
        </w:rPr>
        <w:t xml:space="preserve">is not sufficient to </w:t>
      </w:r>
      <w:r w:rsidR="00624006" w:rsidRPr="00E709A1">
        <w:rPr>
          <w:rFonts w:ascii="Book Antiqua" w:eastAsia="宋体" w:hAnsi="Book Antiqua" w:cs="Times New Roman"/>
          <w:bCs/>
          <w:sz w:val="20"/>
          <w:szCs w:val="20"/>
        </w:rPr>
        <w:t>provide clinicians with clear guidelines</w:t>
      </w:r>
      <w:r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due to the relative rareness of these carcinomas. Even within the most common LELC locations</w:t>
      </w:r>
      <w:r w:rsidR="00314DAC"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there remains some controversy. Several studies have identified an association between Epstein-Barr virus (EBV) and nasopharyngeal, stomach, and lung LELC</w:t>
      </w:r>
      <w:r w:rsidR="00314DAC" w:rsidRPr="00E709A1">
        <w:rPr>
          <w:rFonts w:ascii="Book Antiqua" w:eastAsia="宋体" w:hAnsi="Book Antiqua" w:cs="Times New Roman"/>
          <w:bCs/>
          <w:sz w:val="20"/>
          <w:szCs w:val="20"/>
        </w:rPr>
        <w:t>s</w:t>
      </w:r>
      <w:r w:rsidR="00624006" w:rsidRPr="00E709A1">
        <w:rPr>
          <w:rFonts w:ascii="Book Antiqua" w:eastAsia="宋体" w:hAnsi="Book Antiqua" w:cs="Times New Roman"/>
          <w:bCs/>
          <w:sz w:val="20"/>
          <w:szCs w:val="20"/>
        </w:rPr>
        <w:t>, although this association is not apparent in other locations. A previous systematic review of 142 patients diagnosed with bladder LELC</w:t>
      </w:r>
      <w:r w:rsidR="00314DAC"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as well as several case reports focusing on renal LELC</w:t>
      </w:r>
      <w:r w:rsidR="00314DAC" w:rsidRPr="00E709A1">
        <w:rPr>
          <w:rFonts w:ascii="Book Antiqua" w:eastAsia="宋体" w:hAnsi="Book Antiqua" w:cs="Times New Roman"/>
          <w:bCs/>
          <w:sz w:val="20"/>
          <w:szCs w:val="20"/>
        </w:rPr>
        <w:t>s,</w:t>
      </w:r>
      <w:r w:rsidR="00624006" w:rsidRPr="00E709A1">
        <w:rPr>
          <w:rFonts w:ascii="Book Antiqua" w:eastAsia="宋体" w:hAnsi="Book Antiqua" w:cs="Times New Roman"/>
          <w:bCs/>
          <w:sz w:val="20"/>
          <w:szCs w:val="20"/>
        </w:rPr>
        <w:t xml:space="preserve"> suggests </w:t>
      </w:r>
      <w:r w:rsidR="00314DAC" w:rsidRPr="00E709A1">
        <w:rPr>
          <w:rFonts w:ascii="Book Antiqua" w:eastAsia="宋体" w:hAnsi="Book Antiqua" w:cs="Times New Roman"/>
          <w:bCs/>
          <w:sz w:val="20"/>
          <w:szCs w:val="20"/>
        </w:rPr>
        <w:t xml:space="preserve">that </w:t>
      </w:r>
      <w:r w:rsidR="00E474F1" w:rsidRPr="00E709A1">
        <w:rPr>
          <w:rFonts w:ascii="Book Antiqua" w:eastAsia="宋体" w:hAnsi="Book Antiqua" w:cs="Times New Roman"/>
          <w:bCs/>
          <w:sz w:val="20"/>
          <w:szCs w:val="20"/>
        </w:rPr>
        <w:t>the</w:t>
      </w:r>
      <w:r w:rsidR="00624006" w:rsidRPr="00E709A1">
        <w:rPr>
          <w:rFonts w:ascii="Book Antiqua" w:eastAsia="宋体" w:hAnsi="Book Antiqua" w:cs="Times New Roman"/>
          <w:bCs/>
          <w:sz w:val="20"/>
          <w:szCs w:val="20"/>
        </w:rPr>
        <w:t>se types are not associated with the presence of EBV.</w:t>
      </w:r>
      <w:r w:rsidR="00E474F1" w:rsidRPr="00E709A1">
        <w:rPr>
          <w:rFonts w:ascii="Book Antiqua" w:eastAsia="宋体" w:hAnsi="Book Antiqua" w:cs="Times New Roman"/>
          <w:bCs/>
          <w:sz w:val="20"/>
          <w:szCs w:val="20"/>
        </w:rPr>
        <w:t xml:space="preserve"> </w:t>
      </w:r>
      <w:r w:rsidR="00624006" w:rsidRPr="00E709A1">
        <w:rPr>
          <w:rFonts w:ascii="Book Antiqua" w:eastAsia="宋体" w:hAnsi="Book Antiqua" w:cs="Times New Roman"/>
          <w:bCs/>
          <w:sz w:val="20"/>
          <w:szCs w:val="20"/>
        </w:rPr>
        <w:t xml:space="preserve">There are several other controversies </w:t>
      </w:r>
      <w:r w:rsidR="00314DAC" w:rsidRPr="00E709A1">
        <w:rPr>
          <w:rFonts w:ascii="Book Antiqua" w:eastAsia="宋体" w:hAnsi="Book Antiqua" w:cs="Times New Roman"/>
          <w:bCs/>
          <w:sz w:val="20"/>
          <w:szCs w:val="20"/>
        </w:rPr>
        <w:t xml:space="preserve">that </w:t>
      </w:r>
      <w:r w:rsidR="00624006" w:rsidRPr="00E709A1">
        <w:rPr>
          <w:rFonts w:ascii="Book Antiqua" w:eastAsia="宋体" w:hAnsi="Book Antiqua" w:cs="Times New Roman"/>
          <w:bCs/>
          <w:sz w:val="20"/>
          <w:szCs w:val="20"/>
        </w:rPr>
        <w:t xml:space="preserve">should be investigated using meta-analytical techniques. </w:t>
      </w:r>
      <w:r w:rsidR="00E474F1" w:rsidRPr="00E709A1">
        <w:rPr>
          <w:rFonts w:ascii="Book Antiqua" w:eastAsia="宋体" w:hAnsi="Book Antiqua" w:cs="Times New Roman"/>
          <w:bCs/>
          <w:sz w:val="20"/>
          <w:szCs w:val="20"/>
        </w:rPr>
        <w:t>Therefore,</w:t>
      </w:r>
      <w:r w:rsidR="00624006" w:rsidRPr="00E709A1">
        <w:rPr>
          <w:rFonts w:ascii="Book Antiqua" w:eastAsia="宋体" w:hAnsi="Book Antiqua" w:cs="Times New Roman"/>
          <w:bCs/>
          <w:sz w:val="20"/>
          <w:szCs w:val="20"/>
        </w:rPr>
        <w:t xml:space="preserve"> the general motivation was to differentiate all LELC types</w:t>
      </w:r>
      <w:r w:rsidR="003D3F58"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and to identify risk factors for early identification</w:t>
      </w:r>
      <w:r w:rsidR="003D3F58" w:rsidRPr="00E709A1">
        <w:rPr>
          <w:rFonts w:ascii="Book Antiqua" w:eastAsia="宋体" w:hAnsi="Book Antiqua" w:cs="Times New Roman"/>
          <w:bCs/>
          <w:sz w:val="20"/>
          <w:szCs w:val="20"/>
        </w:rPr>
        <w:t>,</w:t>
      </w:r>
      <w:r w:rsidR="00624006" w:rsidRPr="00E709A1">
        <w:rPr>
          <w:rFonts w:ascii="Book Antiqua" w:eastAsia="宋体" w:hAnsi="Book Antiqua" w:cs="Times New Roman"/>
          <w:bCs/>
          <w:sz w:val="20"/>
          <w:szCs w:val="20"/>
        </w:rPr>
        <w:t xml:space="preserve"> </w:t>
      </w:r>
      <w:r w:rsidR="003D3F58" w:rsidRPr="00E709A1">
        <w:rPr>
          <w:rFonts w:ascii="Book Antiqua" w:eastAsia="宋体" w:hAnsi="Book Antiqua" w:cs="Times New Roman"/>
          <w:bCs/>
          <w:sz w:val="20"/>
          <w:szCs w:val="20"/>
        </w:rPr>
        <w:t xml:space="preserve">since </w:t>
      </w:r>
      <w:r w:rsidR="00624006" w:rsidRPr="00E709A1">
        <w:rPr>
          <w:rFonts w:ascii="Book Antiqua" w:eastAsia="宋体" w:hAnsi="Book Antiqua" w:cs="Times New Roman"/>
          <w:bCs/>
          <w:sz w:val="20"/>
          <w:szCs w:val="20"/>
        </w:rPr>
        <w:t>little is known about upper urinary tract LELC (UUT-LELC).</w:t>
      </w:r>
    </w:p>
    <w:p w14:paraId="0B4FE339" w14:textId="77777777" w:rsidR="00E474F1" w:rsidRPr="00E709A1" w:rsidRDefault="00E474F1" w:rsidP="00310F13">
      <w:pPr>
        <w:widowControl/>
        <w:tabs>
          <w:tab w:val="left" w:pos="2350"/>
        </w:tabs>
        <w:snapToGrid w:val="0"/>
        <w:spacing w:line="360" w:lineRule="auto"/>
        <w:outlineLvl w:val="0"/>
        <w:rPr>
          <w:rFonts w:ascii="Book Antiqua" w:eastAsia="宋体" w:hAnsi="Book Antiqua" w:cs="Times New Roman"/>
          <w:b/>
          <w:bCs/>
          <w:i/>
          <w:sz w:val="20"/>
          <w:szCs w:val="20"/>
        </w:rPr>
      </w:pPr>
    </w:p>
    <w:p w14:paraId="1A7E5740" w14:textId="65A5E43E"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
          <w:bCs/>
          <w:i/>
          <w:sz w:val="20"/>
          <w:szCs w:val="20"/>
        </w:rPr>
      </w:pPr>
      <w:r w:rsidRPr="00E709A1">
        <w:rPr>
          <w:rFonts w:ascii="Book Antiqua" w:eastAsia="宋体" w:hAnsi="Book Antiqua" w:cs="Times New Roman"/>
          <w:b/>
          <w:bCs/>
          <w:i/>
          <w:sz w:val="20"/>
          <w:szCs w:val="20"/>
        </w:rPr>
        <w:t>Research objectives</w:t>
      </w:r>
    </w:p>
    <w:p w14:paraId="7BE5E160" w14:textId="79B709D2"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 xml:space="preserve">The fundamental research objective </w:t>
      </w:r>
      <w:r w:rsidR="00BD3E79" w:rsidRPr="00E709A1">
        <w:rPr>
          <w:rFonts w:ascii="Book Antiqua" w:eastAsia="宋体" w:hAnsi="Book Antiqua" w:cs="Times New Roman"/>
          <w:bCs/>
          <w:sz w:val="20"/>
          <w:szCs w:val="20"/>
        </w:rPr>
        <w:t xml:space="preserve">of this study </w:t>
      </w:r>
      <w:r w:rsidRPr="00E709A1">
        <w:rPr>
          <w:rFonts w:ascii="Book Antiqua" w:eastAsia="宋体" w:hAnsi="Book Antiqua" w:cs="Times New Roman"/>
          <w:bCs/>
          <w:sz w:val="20"/>
          <w:szCs w:val="20"/>
        </w:rPr>
        <w:t xml:space="preserve">was to develop the </w:t>
      </w:r>
      <w:r w:rsidR="00E474F1" w:rsidRPr="00E709A1">
        <w:rPr>
          <w:rFonts w:ascii="Book Antiqua" w:eastAsia="宋体" w:hAnsi="Book Antiqua" w:cs="Times New Roman"/>
          <w:bCs/>
          <w:sz w:val="20"/>
          <w:szCs w:val="20"/>
        </w:rPr>
        <w:t>evidence</w:t>
      </w:r>
      <w:r w:rsidRPr="00E709A1">
        <w:rPr>
          <w:rFonts w:ascii="Book Antiqua" w:eastAsia="宋体" w:hAnsi="Book Antiqua" w:cs="Times New Roman"/>
          <w:bCs/>
          <w:sz w:val="20"/>
          <w:szCs w:val="20"/>
        </w:rPr>
        <w:t xml:space="preserve"> base for </w:t>
      </w:r>
      <w:r w:rsidR="00E474F1" w:rsidRPr="00E709A1">
        <w:rPr>
          <w:rFonts w:ascii="Book Antiqua" w:eastAsia="宋体" w:hAnsi="Book Antiqua" w:cs="Times New Roman"/>
          <w:bCs/>
          <w:sz w:val="20"/>
          <w:szCs w:val="20"/>
        </w:rPr>
        <w:t>clinic</w:t>
      </w:r>
      <w:r w:rsidR="005818FB" w:rsidRPr="00E709A1">
        <w:rPr>
          <w:rFonts w:ascii="Book Antiqua" w:eastAsia="宋体" w:hAnsi="Book Antiqua" w:cs="Times New Roman"/>
          <w:bCs/>
          <w:sz w:val="20"/>
          <w:szCs w:val="20"/>
        </w:rPr>
        <w:t>al</w:t>
      </w:r>
      <w:r w:rsidRPr="00E709A1">
        <w:rPr>
          <w:rFonts w:ascii="Book Antiqua" w:eastAsia="宋体" w:hAnsi="Book Antiqua" w:cs="Times New Roman"/>
          <w:bCs/>
          <w:sz w:val="20"/>
          <w:szCs w:val="20"/>
        </w:rPr>
        <w:t xml:space="preserve"> </w:t>
      </w:r>
      <w:r w:rsidR="005818FB" w:rsidRPr="00E709A1">
        <w:rPr>
          <w:rFonts w:ascii="Book Antiqua" w:eastAsia="宋体" w:hAnsi="Book Antiqua" w:cs="Times New Roman"/>
          <w:bCs/>
          <w:sz w:val="20"/>
          <w:szCs w:val="20"/>
        </w:rPr>
        <w:t xml:space="preserve">diagnoses, and </w:t>
      </w:r>
      <w:r w:rsidR="0002191C" w:rsidRPr="00E709A1">
        <w:rPr>
          <w:rFonts w:ascii="Book Antiqua" w:eastAsia="宋体" w:hAnsi="Book Antiqua" w:cs="Times New Roman"/>
          <w:bCs/>
          <w:sz w:val="20"/>
          <w:szCs w:val="20"/>
        </w:rPr>
        <w:t>to</w:t>
      </w:r>
      <w:r w:rsidR="005818FB"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engag</w:t>
      </w:r>
      <w:r w:rsidR="00EC3D13" w:rsidRPr="00E709A1">
        <w:rPr>
          <w:rFonts w:ascii="Book Antiqua" w:eastAsia="宋体" w:hAnsi="Book Antiqua" w:cs="Times New Roman"/>
          <w:bCs/>
          <w:sz w:val="20"/>
          <w:szCs w:val="20"/>
        </w:rPr>
        <w:t>e</w:t>
      </w:r>
      <w:r w:rsidRPr="00E709A1">
        <w:rPr>
          <w:rFonts w:ascii="Book Antiqua" w:eastAsia="宋体" w:hAnsi="Book Antiqua" w:cs="Times New Roman"/>
          <w:bCs/>
          <w:sz w:val="20"/>
          <w:szCs w:val="20"/>
        </w:rPr>
        <w:t xml:space="preserve"> patients in shared-decision making for the treatment of primary </w:t>
      </w:r>
      <w:r w:rsidR="002B1DC3" w:rsidRPr="00E709A1">
        <w:rPr>
          <w:rFonts w:ascii="Book Antiqua" w:eastAsia="宋体" w:hAnsi="Book Antiqua" w:cs="Times New Roman"/>
          <w:bCs/>
          <w:sz w:val="20"/>
          <w:szCs w:val="20"/>
        </w:rPr>
        <w:t>UUT-LELC</w:t>
      </w:r>
      <w:r w:rsidRPr="00E709A1">
        <w:rPr>
          <w:rFonts w:ascii="Book Antiqua" w:eastAsia="宋体" w:hAnsi="Book Antiqua" w:cs="Times New Roman"/>
          <w:bCs/>
          <w:sz w:val="20"/>
          <w:szCs w:val="20"/>
        </w:rPr>
        <w:t>.</w:t>
      </w:r>
    </w:p>
    <w:p w14:paraId="6E563E17" w14:textId="77777777" w:rsidR="00E474F1" w:rsidRPr="00E709A1" w:rsidRDefault="00E474F1" w:rsidP="00310F13">
      <w:pPr>
        <w:widowControl/>
        <w:tabs>
          <w:tab w:val="left" w:pos="2350"/>
        </w:tabs>
        <w:snapToGrid w:val="0"/>
        <w:spacing w:line="360" w:lineRule="auto"/>
        <w:outlineLvl w:val="0"/>
        <w:rPr>
          <w:rFonts w:ascii="Book Antiqua" w:eastAsia="宋体" w:hAnsi="Book Antiqua" w:cs="Times New Roman"/>
          <w:bCs/>
          <w:sz w:val="20"/>
          <w:szCs w:val="20"/>
        </w:rPr>
      </w:pPr>
    </w:p>
    <w:p w14:paraId="3D0429BE" w14:textId="3B1C2B4D"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
          <w:bCs/>
          <w:i/>
          <w:sz w:val="20"/>
          <w:szCs w:val="20"/>
        </w:rPr>
      </w:pPr>
      <w:r w:rsidRPr="00E709A1">
        <w:rPr>
          <w:rFonts w:ascii="Book Antiqua" w:eastAsia="宋体" w:hAnsi="Book Antiqua" w:cs="Times New Roman"/>
          <w:b/>
          <w:bCs/>
          <w:i/>
          <w:sz w:val="20"/>
          <w:szCs w:val="20"/>
        </w:rPr>
        <w:t>Research methods</w:t>
      </w:r>
    </w:p>
    <w:p w14:paraId="63C24041" w14:textId="157B0EF0"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A systematic search of PubMed, Embase, and other databases was conducted for all reports on UUT-LELC up until October, 2019, according to PRISMA guidelines. A database was then developed by extracting data from previously published reports in order to analyze interactions between clinical characteristics, pathological features, interventions and outcomes. Survival was analyzed using Kaplan–Meier estimates, which were compared using log rank tests.</w:t>
      </w:r>
    </w:p>
    <w:p w14:paraId="2CF8C71C" w14:textId="77777777" w:rsidR="00E474F1" w:rsidRPr="00E709A1" w:rsidRDefault="00E474F1" w:rsidP="00310F13">
      <w:pPr>
        <w:widowControl/>
        <w:tabs>
          <w:tab w:val="left" w:pos="2350"/>
        </w:tabs>
        <w:snapToGrid w:val="0"/>
        <w:spacing w:line="360" w:lineRule="auto"/>
        <w:outlineLvl w:val="0"/>
        <w:rPr>
          <w:rFonts w:ascii="Book Antiqua" w:eastAsia="宋体" w:hAnsi="Book Antiqua" w:cs="Times New Roman"/>
          <w:bCs/>
          <w:sz w:val="20"/>
          <w:szCs w:val="20"/>
        </w:rPr>
      </w:pPr>
    </w:p>
    <w:p w14:paraId="2E27DC79" w14:textId="6B437557"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
          <w:bCs/>
          <w:i/>
          <w:sz w:val="20"/>
          <w:szCs w:val="20"/>
        </w:rPr>
      </w:pPr>
      <w:r w:rsidRPr="00E709A1">
        <w:rPr>
          <w:rFonts w:ascii="Book Antiqua" w:eastAsia="宋体" w:hAnsi="Book Antiqua" w:cs="Times New Roman"/>
          <w:b/>
          <w:bCs/>
          <w:i/>
          <w:sz w:val="20"/>
          <w:szCs w:val="20"/>
        </w:rPr>
        <w:t>Research results</w:t>
      </w:r>
    </w:p>
    <w:p w14:paraId="4A41E626" w14:textId="0057E0EC"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 xml:space="preserve">A total of 28 previously published cases were identified for inclusion. The median age was 72 years with a male to female ratio of 4:3. </w:t>
      </w:r>
      <w:r w:rsidR="00E474F1" w:rsidRPr="00E709A1">
        <w:rPr>
          <w:rFonts w:ascii="Book Antiqua" w:eastAsia="宋体" w:hAnsi="Book Antiqua" w:cs="Times New Roman"/>
          <w:bCs/>
          <w:sz w:val="20"/>
          <w:szCs w:val="20"/>
        </w:rPr>
        <w:t xml:space="preserve">Pure </w:t>
      </w:r>
      <w:r w:rsidRPr="00E709A1">
        <w:rPr>
          <w:rFonts w:ascii="Book Antiqua" w:eastAsia="宋体" w:hAnsi="Book Antiqua" w:cs="Times New Roman"/>
          <w:bCs/>
          <w:sz w:val="20"/>
          <w:szCs w:val="20"/>
        </w:rPr>
        <w:t>type LELC</w:t>
      </w:r>
      <w:r w:rsidR="00EC3D13"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were most common with 48.3% (</w:t>
      </w:r>
      <w:r w:rsidRPr="00E709A1">
        <w:rPr>
          <w:rFonts w:ascii="Book Antiqua" w:eastAsia="宋体" w:hAnsi="Book Antiqua" w:cs="Times New Roman"/>
          <w:bCs/>
          <w:i/>
          <w:iCs/>
          <w:sz w:val="20"/>
          <w:szCs w:val="20"/>
        </w:rPr>
        <w:t>n</w:t>
      </w:r>
      <w:r w:rsidR="00E474F1"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w:t>
      </w:r>
      <w:r w:rsidR="00E474F1" w:rsidRPr="00E709A1">
        <w:rPr>
          <w:rFonts w:ascii="Book Antiqua" w:eastAsia="宋体" w:hAnsi="Book Antiqua" w:cs="Times New Roman"/>
          <w:bCs/>
          <w:sz w:val="20"/>
          <w:szCs w:val="20"/>
        </w:rPr>
        <w:t xml:space="preserve"> </w:t>
      </w:r>
      <w:r w:rsidRPr="00E709A1">
        <w:rPr>
          <w:rFonts w:ascii="Book Antiqua" w:eastAsia="宋体" w:hAnsi="Book Antiqua" w:cs="Times New Roman"/>
          <w:bCs/>
          <w:sz w:val="20"/>
          <w:szCs w:val="20"/>
        </w:rPr>
        <w:t xml:space="preserve">14), followed by </w:t>
      </w:r>
      <w:r w:rsidR="00EC3D13" w:rsidRPr="00E709A1">
        <w:rPr>
          <w:rFonts w:ascii="Book Antiqua" w:eastAsia="宋体" w:hAnsi="Book Antiqua" w:cs="Times New Roman"/>
          <w:bCs/>
          <w:sz w:val="20"/>
          <w:szCs w:val="20"/>
        </w:rPr>
        <w:t>37.9% (</w:t>
      </w:r>
      <w:r w:rsidR="00EC3D13" w:rsidRPr="00E709A1">
        <w:rPr>
          <w:rFonts w:ascii="Book Antiqua" w:eastAsia="宋体" w:hAnsi="Book Antiqua" w:cs="Times New Roman"/>
          <w:bCs/>
          <w:i/>
          <w:iCs/>
          <w:sz w:val="20"/>
          <w:szCs w:val="20"/>
        </w:rPr>
        <w:t>n</w:t>
      </w:r>
      <w:r w:rsidR="00EC3D13" w:rsidRPr="00E709A1">
        <w:rPr>
          <w:rFonts w:ascii="Book Antiqua" w:eastAsia="宋体" w:hAnsi="Book Antiqua" w:cs="Times New Roman"/>
          <w:bCs/>
          <w:sz w:val="20"/>
          <w:szCs w:val="20"/>
        </w:rPr>
        <w:t xml:space="preserve"> = 11) </w:t>
      </w:r>
      <w:r w:rsidRPr="00E709A1">
        <w:rPr>
          <w:rFonts w:ascii="Book Antiqua" w:eastAsia="宋体" w:hAnsi="Book Antiqua" w:cs="Times New Roman"/>
          <w:bCs/>
          <w:sz w:val="20"/>
          <w:szCs w:val="20"/>
        </w:rPr>
        <w:t>predominant LELC</w:t>
      </w:r>
      <w:r w:rsidR="00EC3D13"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and </w:t>
      </w:r>
      <w:r w:rsidR="00EC3D13" w:rsidRPr="00E709A1">
        <w:rPr>
          <w:rFonts w:ascii="Book Antiqua" w:eastAsia="宋体" w:hAnsi="Book Antiqua" w:cs="Times New Roman"/>
          <w:bCs/>
          <w:sz w:val="20"/>
          <w:szCs w:val="20"/>
        </w:rPr>
        <w:t>3.4% (</w:t>
      </w:r>
      <w:r w:rsidR="00EC3D13" w:rsidRPr="00E709A1">
        <w:rPr>
          <w:rFonts w:ascii="Book Antiqua" w:eastAsia="宋体" w:hAnsi="Book Antiqua" w:cs="Times New Roman"/>
          <w:bCs/>
          <w:i/>
          <w:iCs/>
          <w:sz w:val="20"/>
          <w:szCs w:val="20"/>
        </w:rPr>
        <w:t>n</w:t>
      </w:r>
      <w:r w:rsidR="00EC3D13" w:rsidRPr="00E709A1">
        <w:rPr>
          <w:rFonts w:ascii="Book Antiqua" w:eastAsia="宋体" w:hAnsi="Book Antiqua" w:cs="Times New Roman"/>
          <w:bCs/>
          <w:sz w:val="20"/>
          <w:szCs w:val="20"/>
        </w:rPr>
        <w:t xml:space="preserve"> = 1) </w:t>
      </w:r>
      <w:r w:rsidRPr="00E709A1">
        <w:rPr>
          <w:rFonts w:ascii="Book Antiqua" w:eastAsia="宋体" w:hAnsi="Book Antiqua" w:cs="Times New Roman"/>
          <w:bCs/>
          <w:sz w:val="20"/>
          <w:szCs w:val="20"/>
        </w:rPr>
        <w:t>focal LELC</w:t>
      </w:r>
      <w:r w:rsidR="00EC3D13"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EBV testing was negative in all cases. </w:t>
      </w:r>
      <w:r w:rsidR="00EC3D13" w:rsidRPr="00E709A1">
        <w:rPr>
          <w:rFonts w:ascii="Book Antiqua" w:eastAsia="宋体" w:hAnsi="Book Antiqua" w:cs="Times New Roman"/>
          <w:bCs/>
          <w:sz w:val="20"/>
          <w:szCs w:val="20"/>
        </w:rPr>
        <w:t xml:space="preserve">Fourteen </w:t>
      </w:r>
      <w:r w:rsidRPr="00E709A1">
        <w:rPr>
          <w:rFonts w:ascii="Book Antiqua" w:eastAsia="宋体" w:hAnsi="Book Antiqua" w:cs="Times New Roman"/>
          <w:bCs/>
          <w:sz w:val="20"/>
          <w:szCs w:val="20"/>
        </w:rPr>
        <w:t>patients received radical nephroureterectomy (RNU)</w:t>
      </w:r>
      <w:r w:rsidR="00EC3D13"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based intervention. </w:t>
      </w:r>
      <w:r w:rsidR="00EC3D13" w:rsidRPr="00E709A1">
        <w:rPr>
          <w:rFonts w:ascii="Book Antiqua" w:eastAsia="宋体" w:hAnsi="Book Antiqua" w:cs="Times New Roman"/>
          <w:bCs/>
          <w:sz w:val="20"/>
          <w:szCs w:val="20"/>
        </w:rPr>
        <w:t>Twenty-three</w:t>
      </w:r>
      <w:r w:rsidRPr="00E709A1">
        <w:rPr>
          <w:rFonts w:ascii="Book Antiqua" w:eastAsia="宋体" w:hAnsi="Book Antiqua" w:cs="Times New Roman"/>
          <w:bCs/>
          <w:sz w:val="20"/>
          <w:szCs w:val="20"/>
        </w:rPr>
        <w:t xml:space="preserve"> patients survived with no evidence of further metastasis. Six died before the median 18 mo follow-up point. Survival analysis suggests pure histological subtypes</w:t>
      </w:r>
      <w:r w:rsidR="00EC3D13"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patients who receive </w:t>
      </w:r>
      <w:r w:rsidRPr="00E709A1">
        <w:rPr>
          <w:rFonts w:ascii="Book Antiqua" w:eastAsia="宋体" w:hAnsi="Book Antiqua" w:cs="Times New Roman"/>
          <w:bCs/>
          <w:sz w:val="20"/>
          <w:szCs w:val="20"/>
        </w:rPr>
        <w:lastRenderedPageBreak/>
        <w:t xml:space="preserve">complete tumor resection have more </w:t>
      </w:r>
      <w:r w:rsidR="00E709A1" w:rsidRPr="00E709A1">
        <w:rPr>
          <w:rFonts w:ascii="Book Antiqua" w:eastAsia="宋体" w:hAnsi="Book Antiqua" w:cs="Times New Roman"/>
          <w:bCs/>
          <w:sz w:val="20"/>
          <w:szCs w:val="20"/>
        </w:rPr>
        <w:t>favorable</w:t>
      </w:r>
      <w:r w:rsidRPr="00E709A1">
        <w:rPr>
          <w:rFonts w:ascii="Book Antiqua" w:eastAsia="宋体" w:hAnsi="Book Antiqua" w:cs="Times New Roman"/>
          <w:bCs/>
          <w:sz w:val="20"/>
          <w:szCs w:val="20"/>
        </w:rPr>
        <w:t xml:space="preserve"> prognoses. As always in cancer care, early identification generally increases the probability of intervention</w:t>
      </w:r>
      <w:r w:rsidR="00EC3D13" w:rsidRPr="00E709A1">
        <w:rPr>
          <w:rFonts w:ascii="Book Antiqua" w:eastAsia="宋体" w:hAnsi="Book Antiqua" w:cs="Times New Roman"/>
          <w:bCs/>
          <w:sz w:val="20"/>
          <w:szCs w:val="20"/>
        </w:rPr>
        <w:t xml:space="preserve">al </w:t>
      </w:r>
      <w:r w:rsidRPr="00E709A1">
        <w:rPr>
          <w:rFonts w:ascii="Book Antiqua" w:eastAsia="宋体" w:hAnsi="Book Antiqua" w:cs="Times New Roman"/>
          <w:bCs/>
          <w:sz w:val="20"/>
          <w:szCs w:val="20"/>
        </w:rPr>
        <w:t>success.</w:t>
      </w:r>
    </w:p>
    <w:p w14:paraId="76EBA73D" w14:textId="77777777" w:rsidR="00E474F1" w:rsidRPr="00E709A1" w:rsidRDefault="00E474F1" w:rsidP="00310F13">
      <w:pPr>
        <w:widowControl/>
        <w:tabs>
          <w:tab w:val="left" w:pos="2350"/>
        </w:tabs>
        <w:snapToGrid w:val="0"/>
        <w:spacing w:line="360" w:lineRule="auto"/>
        <w:outlineLvl w:val="0"/>
        <w:rPr>
          <w:rFonts w:ascii="Book Antiqua" w:eastAsia="宋体" w:hAnsi="Book Antiqua" w:cs="Times New Roman"/>
          <w:b/>
          <w:bCs/>
          <w:i/>
          <w:sz w:val="20"/>
          <w:szCs w:val="20"/>
        </w:rPr>
      </w:pPr>
    </w:p>
    <w:p w14:paraId="5D2711A0" w14:textId="36EBED43"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
          <w:bCs/>
          <w:i/>
          <w:sz w:val="20"/>
          <w:szCs w:val="20"/>
        </w:rPr>
      </w:pPr>
      <w:r w:rsidRPr="00E709A1">
        <w:rPr>
          <w:rFonts w:ascii="Book Antiqua" w:eastAsia="宋体" w:hAnsi="Book Antiqua" w:cs="Times New Roman"/>
          <w:b/>
          <w:bCs/>
          <w:i/>
          <w:sz w:val="20"/>
          <w:szCs w:val="20"/>
        </w:rPr>
        <w:t>Research conclusions</w:t>
      </w:r>
    </w:p>
    <w:p w14:paraId="3EDC0E74" w14:textId="67FD73B3"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Findings suggest th</w:t>
      </w:r>
      <w:r w:rsidR="00EC3D13" w:rsidRPr="00E709A1">
        <w:rPr>
          <w:rFonts w:ascii="Book Antiqua" w:eastAsia="宋体" w:hAnsi="Book Antiqua" w:cs="Times New Roman"/>
          <w:bCs/>
          <w:sz w:val="20"/>
          <w:szCs w:val="20"/>
        </w:rPr>
        <w:t>at the</w:t>
      </w:r>
      <w:r w:rsidRPr="00E709A1">
        <w:rPr>
          <w:rFonts w:ascii="Book Antiqua" w:eastAsia="宋体" w:hAnsi="Book Antiqua" w:cs="Times New Roman"/>
          <w:bCs/>
          <w:sz w:val="20"/>
          <w:szCs w:val="20"/>
        </w:rPr>
        <w:t xml:space="preserve"> treatment associated with the highest disease-free survival is an RNU</w:t>
      </w:r>
      <w:r w:rsidR="00EC3D13"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based intervention. However, this can only be a tentative recommendation given the limitations of this evidence base. We would encourage clinicians to actively communicate </w:t>
      </w:r>
      <w:r w:rsidR="00EC3D13" w:rsidRPr="00E709A1">
        <w:rPr>
          <w:rFonts w:ascii="Book Antiqua" w:eastAsia="宋体" w:hAnsi="Book Antiqua" w:cs="Times New Roman"/>
          <w:bCs/>
          <w:sz w:val="20"/>
          <w:szCs w:val="20"/>
        </w:rPr>
        <w:t xml:space="preserve">their </w:t>
      </w:r>
      <w:r w:rsidRPr="00E709A1">
        <w:rPr>
          <w:rFonts w:ascii="Book Antiqua" w:eastAsia="宋体" w:hAnsi="Book Antiqua" w:cs="Times New Roman"/>
          <w:bCs/>
          <w:sz w:val="20"/>
          <w:szCs w:val="20"/>
        </w:rPr>
        <w:t>findings and publish case reports. UUT-LELC cases may be rare</w:t>
      </w:r>
      <w:r w:rsidR="00EC3D13"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but there is an opportunity to save and prolong li</w:t>
      </w:r>
      <w:r w:rsidR="00EC3D13" w:rsidRPr="00E709A1">
        <w:rPr>
          <w:rFonts w:ascii="Book Antiqua" w:eastAsia="宋体" w:hAnsi="Book Antiqua" w:cs="Times New Roman"/>
          <w:bCs/>
          <w:sz w:val="20"/>
          <w:szCs w:val="20"/>
        </w:rPr>
        <w:t>ves</w:t>
      </w:r>
      <w:r w:rsidRPr="00E709A1">
        <w:rPr>
          <w:rFonts w:ascii="Book Antiqua" w:eastAsia="宋体" w:hAnsi="Book Antiqua" w:cs="Times New Roman"/>
          <w:bCs/>
          <w:sz w:val="20"/>
          <w:szCs w:val="20"/>
        </w:rPr>
        <w:t xml:space="preserve"> by sharing knowledge, enhancing the depth and breadth of data recording</w:t>
      </w:r>
      <w:r w:rsidR="00EC3D13"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and reporting and discussing clinical experiences.</w:t>
      </w:r>
    </w:p>
    <w:p w14:paraId="6DB71523" w14:textId="77777777" w:rsidR="00E474F1" w:rsidRPr="00E709A1" w:rsidRDefault="00E474F1" w:rsidP="00310F13">
      <w:pPr>
        <w:widowControl/>
        <w:tabs>
          <w:tab w:val="left" w:pos="2350"/>
        </w:tabs>
        <w:snapToGrid w:val="0"/>
        <w:spacing w:line="360" w:lineRule="auto"/>
        <w:outlineLvl w:val="0"/>
        <w:rPr>
          <w:rFonts w:ascii="Book Antiqua" w:eastAsia="宋体" w:hAnsi="Book Antiqua" w:cs="Times New Roman"/>
          <w:b/>
          <w:bCs/>
          <w:i/>
          <w:sz w:val="20"/>
          <w:szCs w:val="20"/>
        </w:rPr>
      </w:pPr>
    </w:p>
    <w:p w14:paraId="1B233E20" w14:textId="4EACB3F4"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eastAsia="宋体" w:hAnsi="Book Antiqua" w:cs="Times New Roman"/>
          <w:b/>
          <w:bCs/>
          <w:i/>
          <w:sz w:val="20"/>
          <w:szCs w:val="20"/>
        </w:rPr>
        <w:t>Research perspectives</w:t>
      </w:r>
    </w:p>
    <w:p w14:paraId="32131E21" w14:textId="5DD5A8AE" w:rsidR="000705B7" w:rsidRPr="00E709A1" w:rsidRDefault="00624006" w:rsidP="00310F13">
      <w:pPr>
        <w:widowControl/>
        <w:tabs>
          <w:tab w:val="left" w:pos="2350"/>
        </w:tabs>
        <w:snapToGrid w:val="0"/>
        <w:spacing w:line="360" w:lineRule="auto"/>
        <w:outlineLvl w:val="0"/>
        <w:rPr>
          <w:rFonts w:ascii="Book Antiqua" w:eastAsia="宋体" w:hAnsi="Book Antiqua" w:cs="Times New Roman"/>
          <w:bCs/>
          <w:sz w:val="20"/>
          <w:szCs w:val="20"/>
        </w:rPr>
      </w:pPr>
      <w:r w:rsidRPr="00E709A1">
        <w:rPr>
          <w:rFonts w:ascii="Book Antiqua" w:eastAsia="宋体" w:hAnsi="Book Antiqua" w:cs="Times New Roman"/>
          <w:bCs/>
          <w:sz w:val="20"/>
          <w:szCs w:val="20"/>
        </w:rPr>
        <w:t>Case reports are not generally high priority for publication houses</w:t>
      </w:r>
      <w:r w:rsidR="00EC3D13" w:rsidRPr="00E709A1">
        <w:rPr>
          <w:rFonts w:ascii="Book Antiqua" w:eastAsia="宋体" w:hAnsi="Book Antiqua" w:cs="Times New Roman"/>
          <w:bCs/>
          <w:sz w:val="20"/>
          <w:szCs w:val="20"/>
        </w:rPr>
        <w:t>,</w:t>
      </w:r>
      <w:r w:rsidRPr="00E709A1">
        <w:rPr>
          <w:rFonts w:ascii="Book Antiqua" w:eastAsia="宋体" w:hAnsi="Book Antiqua" w:cs="Times New Roman"/>
          <w:bCs/>
          <w:sz w:val="20"/>
          <w:szCs w:val="20"/>
        </w:rPr>
        <w:t xml:space="preserve"> although </w:t>
      </w:r>
      <w:r w:rsidR="00EC3D13" w:rsidRPr="00E709A1">
        <w:rPr>
          <w:rFonts w:ascii="Book Antiqua" w:eastAsia="宋体" w:hAnsi="Book Antiqua" w:cs="Times New Roman"/>
          <w:bCs/>
          <w:sz w:val="20"/>
          <w:szCs w:val="20"/>
        </w:rPr>
        <w:t xml:space="preserve">a lot </w:t>
      </w:r>
      <w:r w:rsidRPr="00E709A1">
        <w:rPr>
          <w:rFonts w:ascii="Book Antiqua" w:eastAsia="宋体" w:hAnsi="Book Antiqua" w:cs="Times New Roman"/>
          <w:bCs/>
          <w:sz w:val="20"/>
          <w:szCs w:val="20"/>
        </w:rPr>
        <w:t xml:space="preserve">of very valuable information can be extracted and synthesized. This is an incredibly meaningful approach </w:t>
      </w:r>
      <w:r w:rsidR="00EC3D13" w:rsidRPr="00E709A1">
        <w:rPr>
          <w:rFonts w:ascii="Book Antiqua" w:eastAsia="宋体" w:hAnsi="Book Antiqua" w:cs="Times New Roman"/>
          <w:bCs/>
          <w:sz w:val="20"/>
          <w:szCs w:val="20"/>
        </w:rPr>
        <w:t xml:space="preserve">that </w:t>
      </w:r>
      <w:r w:rsidRPr="00E709A1">
        <w:rPr>
          <w:rFonts w:ascii="Book Antiqua" w:eastAsia="宋体" w:hAnsi="Book Antiqua" w:cs="Times New Roman"/>
          <w:bCs/>
          <w:sz w:val="20"/>
          <w:szCs w:val="20"/>
        </w:rPr>
        <w:t xml:space="preserve">we would encourage others to conduct, especially for rare conditions such as UUT-LELC. Clinicians must be guided by the best available evidence to reduce anxiety </w:t>
      </w:r>
      <w:r w:rsidR="00EC3D13" w:rsidRPr="00E709A1">
        <w:rPr>
          <w:rFonts w:ascii="Book Antiqua" w:eastAsia="宋体" w:hAnsi="Book Antiqua" w:cs="Times New Roman"/>
          <w:bCs/>
          <w:sz w:val="20"/>
          <w:szCs w:val="20"/>
        </w:rPr>
        <w:t xml:space="preserve">that </w:t>
      </w:r>
      <w:r w:rsidRPr="00E709A1">
        <w:rPr>
          <w:rFonts w:ascii="Book Antiqua" w:eastAsia="宋体" w:hAnsi="Book Antiqua" w:cs="Times New Roman"/>
          <w:bCs/>
          <w:sz w:val="20"/>
          <w:szCs w:val="20"/>
        </w:rPr>
        <w:t>may manifest through unnecessary testing and unclear guidelines. Systematic reviews of case reports and case series such as this</w:t>
      </w:r>
      <w:r w:rsidR="00EC3D13" w:rsidRPr="00E709A1">
        <w:rPr>
          <w:rFonts w:ascii="Book Antiqua" w:eastAsia="宋体" w:hAnsi="Book Antiqua" w:cs="Times New Roman"/>
          <w:bCs/>
          <w:sz w:val="20"/>
          <w:szCs w:val="20"/>
        </w:rPr>
        <w:t xml:space="preserve"> one</w:t>
      </w:r>
      <w:r w:rsidRPr="00E709A1">
        <w:rPr>
          <w:rFonts w:ascii="Book Antiqua" w:eastAsia="宋体" w:hAnsi="Book Antiqua" w:cs="Times New Roman"/>
          <w:bCs/>
          <w:sz w:val="20"/>
          <w:szCs w:val="20"/>
        </w:rPr>
        <w:t xml:space="preserve"> can also be used to support best practice</w:t>
      </w:r>
      <w:r w:rsidR="00EC3D13" w:rsidRPr="00E709A1">
        <w:rPr>
          <w:rFonts w:ascii="Book Antiqua" w:eastAsia="宋体" w:hAnsi="Book Antiqua" w:cs="Times New Roman"/>
          <w:bCs/>
          <w:sz w:val="20"/>
          <w:szCs w:val="20"/>
        </w:rPr>
        <w:t>s,</w:t>
      </w:r>
      <w:r w:rsidRPr="00E709A1">
        <w:rPr>
          <w:rFonts w:ascii="Book Antiqua" w:eastAsia="宋体" w:hAnsi="Book Antiqua" w:cs="Times New Roman"/>
          <w:bCs/>
          <w:sz w:val="20"/>
          <w:szCs w:val="20"/>
        </w:rPr>
        <w:t xml:space="preserve"> which will reduce the possibility of unnecessary harm.</w:t>
      </w:r>
    </w:p>
    <w:p w14:paraId="56DE216B" w14:textId="77777777" w:rsidR="00E474F1" w:rsidRPr="00E709A1" w:rsidRDefault="00E474F1" w:rsidP="00310F13">
      <w:pPr>
        <w:snapToGrid w:val="0"/>
        <w:spacing w:line="360" w:lineRule="auto"/>
        <w:rPr>
          <w:rFonts w:ascii="Book Antiqua" w:eastAsia="宋体" w:hAnsi="Book Antiqua" w:cs="Times New Roman"/>
          <w:sz w:val="20"/>
          <w:szCs w:val="20"/>
        </w:rPr>
      </w:pPr>
    </w:p>
    <w:p w14:paraId="149B370D" w14:textId="3EE5E210" w:rsidR="00E474F1" w:rsidRPr="00E709A1" w:rsidRDefault="00E474F1" w:rsidP="00310F13">
      <w:pPr>
        <w:adjustRightInd w:val="0"/>
        <w:snapToGrid w:val="0"/>
        <w:spacing w:line="360" w:lineRule="auto"/>
        <w:rPr>
          <w:rFonts w:ascii="Book Antiqua" w:eastAsia="Times New Roman" w:hAnsi="Book Antiqua"/>
          <w:b/>
          <w:sz w:val="20"/>
          <w:szCs w:val="20"/>
        </w:rPr>
      </w:pPr>
      <w:r w:rsidRPr="00E709A1">
        <w:rPr>
          <w:rFonts w:ascii="Book Antiqua" w:eastAsia="Times New Roman" w:hAnsi="Book Antiqua"/>
          <w:b/>
          <w:sz w:val="20"/>
          <w:szCs w:val="20"/>
        </w:rPr>
        <w:t>REFERENCES</w:t>
      </w:r>
    </w:p>
    <w:p w14:paraId="378656E3"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 </w:t>
      </w:r>
      <w:r w:rsidRPr="00E709A1">
        <w:rPr>
          <w:rFonts w:ascii="Book Antiqua" w:hAnsi="Book Antiqua"/>
          <w:b/>
          <w:sz w:val="20"/>
          <w:szCs w:val="20"/>
        </w:rPr>
        <w:t>Amin MB</w:t>
      </w:r>
      <w:r w:rsidRPr="00E709A1">
        <w:rPr>
          <w:rFonts w:ascii="Book Antiqua" w:hAnsi="Book Antiqua"/>
          <w:sz w:val="20"/>
          <w:szCs w:val="20"/>
        </w:rPr>
        <w:t xml:space="preserve">. Histological variants of urothelial carcinoma: diagnostic, therapeutic and prognostic implications. </w:t>
      </w:r>
      <w:r w:rsidRPr="00E709A1">
        <w:rPr>
          <w:rFonts w:ascii="Book Antiqua" w:hAnsi="Book Antiqua"/>
          <w:i/>
          <w:sz w:val="20"/>
          <w:szCs w:val="20"/>
        </w:rPr>
        <w:t>Mod Pathol</w:t>
      </w:r>
      <w:r w:rsidRPr="00E709A1">
        <w:rPr>
          <w:rFonts w:ascii="Book Antiqua" w:hAnsi="Book Antiqua"/>
          <w:sz w:val="20"/>
          <w:szCs w:val="20"/>
        </w:rPr>
        <w:t xml:space="preserve"> 2009; </w:t>
      </w:r>
      <w:r w:rsidRPr="00E709A1">
        <w:rPr>
          <w:rFonts w:ascii="Book Antiqua" w:hAnsi="Book Antiqua"/>
          <w:b/>
          <w:sz w:val="20"/>
          <w:szCs w:val="20"/>
        </w:rPr>
        <w:t>22 Suppl 2</w:t>
      </w:r>
      <w:r w:rsidRPr="00E709A1">
        <w:rPr>
          <w:rFonts w:ascii="Book Antiqua" w:hAnsi="Book Antiqua"/>
          <w:sz w:val="20"/>
          <w:szCs w:val="20"/>
        </w:rPr>
        <w:t>: S96-S118 [PMID: 19494856 DOI: 10.1038/modpathol.2009.26]</w:t>
      </w:r>
    </w:p>
    <w:p w14:paraId="37C00B4C"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 </w:t>
      </w:r>
      <w:r w:rsidRPr="00E709A1">
        <w:rPr>
          <w:rFonts w:ascii="Book Antiqua" w:hAnsi="Book Antiqua"/>
          <w:b/>
          <w:sz w:val="20"/>
          <w:szCs w:val="20"/>
        </w:rPr>
        <w:t>Butler AE</w:t>
      </w:r>
      <w:r w:rsidRPr="00E709A1">
        <w:rPr>
          <w:rFonts w:ascii="Book Antiqua" w:hAnsi="Book Antiqua"/>
          <w:sz w:val="20"/>
          <w:szCs w:val="20"/>
        </w:rPr>
        <w:t xml:space="preserve">, Colby TV, Weiss L, Lombard C. Lymphoepithelioma-like carcinoma of the lung. </w:t>
      </w:r>
      <w:r w:rsidRPr="00E709A1">
        <w:rPr>
          <w:rFonts w:ascii="Book Antiqua" w:hAnsi="Book Antiqua"/>
          <w:i/>
          <w:sz w:val="20"/>
          <w:szCs w:val="20"/>
        </w:rPr>
        <w:t>Am J Surg Pathol</w:t>
      </w:r>
      <w:r w:rsidRPr="00E709A1">
        <w:rPr>
          <w:rFonts w:ascii="Book Antiqua" w:hAnsi="Book Antiqua"/>
          <w:sz w:val="20"/>
          <w:szCs w:val="20"/>
        </w:rPr>
        <w:t xml:space="preserve"> 1989; </w:t>
      </w:r>
      <w:r w:rsidRPr="00E709A1">
        <w:rPr>
          <w:rFonts w:ascii="Book Antiqua" w:hAnsi="Book Antiqua"/>
          <w:b/>
          <w:sz w:val="20"/>
          <w:szCs w:val="20"/>
        </w:rPr>
        <w:t>13</w:t>
      </w:r>
      <w:r w:rsidRPr="00E709A1">
        <w:rPr>
          <w:rFonts w:ascii="Book Antiqua" w:hAnsi="Book Antiqua"/>
          <w:sz w:val="20"/>
          <w:szCs w:val="20"/>
        </w:rPr>
        <w:t>: 632-639 [PMID: 2546459 DOI: 10.1097/00000478-198908000-00002]</w:t>
      </w:r>
    </w:p>
    <w:p w14:paraId="5D7E2B5D"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3 </w:t>
      </w:r>
      <w:r w:rsidRPr="00E709A1">
        <w:rPr>
          <w:rFonts w:ascii="Book Antiqua" w:hAnsi="Book Antiqua"/>
          <w:b/>
          <w:sz w:val="20"/>
          <w:szCs w:val="20"/>
        </w:rPr>
        <w:t>Lee S</w:t>
      </w:r>
      <w:r w:rsidRPr="00E709A1">
        <w:rPr>
          <w:rFonts w:ascii="Book Antiqua" w:hAnsi="Book Antiqua"/>
          <w:sz w:val="20"/>
          <w:szCs w:val="20"/>
        </w:rPr>
        <w:t xml:space="preserve">, Park SY, Hong EK, Ro JY. Lymphoepithelioma-like carcinoma of the ovary: a case report and review of the literature. </w:t>
      </w:r>
      <w:r w:rsidRPr="00E709A1">
        <w:rPr>
          <w:rFonts w:ascii="Book Antiqua" w:hAnsi="Book Antiqua"/>
          <w:i/>
          <w:sz w:val="20"/>
          <w:szCs w:val="20"/>
        </w:rPr>
        <w:t>Arch Pathol Lab Med</w:t>
      </w:r>
      <w:r w:rsidRPr="00E709A1">
        <w:rPr>
          <w:rFonts w:ascii="Book Antiqua" w:hAnsi="Book Antiqua"/>
          <w:sz w:val="20"/>
          <w:szCs w:val="20"/>
        </w:rPr>
        <w:t xml:space="preserve"> 2007; </w:t>
      </w:r>
      <w:r w:rsidRPr="00E709A1">
        <w:rPr>
          <w:rFonts w:ascii="Book Antiqua" w:hAnsi="Book Antiqua"/>
          <w:b/>
          <w:sz w:val="20"/>
          <w:szCs w:val="20"/>
        </w:rPr>
        <w:t>131</w:t>
      </w:r>
      <w:r w:rsidRPr="00E709A1">
        <w:rPr>
          <w:rFonts w:ascii="Book Antiqua" w:hAnsi="Book Antiqua"/>
          <w:sz w:val="20"/>
          <w:szCs w:val="20"/>
        </w:rPr>
        <w:t>: 1715-1718 [PMID: 17979492]</w:t>
      </w:r>
    </w:p>
    <w:p w14:paraId="4C5276EF"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4 </w:t>
      </w:r>
      <w:r w:rsidRPr="00E709A1">
        <w:rPr>
          <w:rFonts w:ascii="Book Antiqua" w:hAnsi="Book Antiqua"/>
          <w:b/>
          <w:sz w:val="20"/>
          <w:szCs w:val="20"/>
        </w:rPr>
        <w:t>Kulka J</w:t>
      </w:r>
      <w:r w:rsidRPr="00E709A1">
        <w:rPr>
          <w:rFonts w:ascii="Book Antiqua" w:hAnsi="Book Antiqua"/>
          <w:sz w:val="20"/>
          <w:szCs w:val="20"/>
        </w:rPr>
        <w:t xml:space="preserve">, Kovalszky I, Svastics E, Berta M, Füle T. Lymphoepithelioma-like carcinoma of the breast: not Epstein-Barr virus-, but human papilloma virus-positive. </w:t>
      </w:r>
      <w:r w:rsidRPr="00E709A1">
        <w:rPr>
          <w:rFonts w:ascii="Book Antiqua" w:hAnsi="Book Antiqua"/>
          <w:i/>
          <w:sz w:val="20"/>
          <w:szCs w:val="20"/>
        </w:rPr>
        <w:t>Hum Pathol</w:t>
      </w:r>
      <w:r w:rsidRPr="00E709A1">
        <w:rPr>
          <w:rFonts w:ascii="Book Antiqua" w:hAnsi="Book Antiqua"/>
          <w:sz w:val="20"/>
          <w:szCs w:val="20"/>
        </w:rPr>
        <w:t xml:space="preserve"> 2008; </w:t>
      </w:r>
      <w:r w:rsidRPr="00E709A1">
        <w:rPr>
          <w:rFonts w:ascii="Book Antiqua" w:hAnsi="Book Antiqua"/>
          <w:b/>
          <w:sz w:val="20"/>
          <w:szCs w:val="20"/>
        </w:rPr>
        <w:t>39</w:t>
      </w:r>
      <w:r w:rsidRPr="00E709A1">
        <w:rPr>
          <w:rFonts w:ascii="Book Antiqua" w:hAnsi="Book Antiqua"/>
          <w:sz w:val="20"/>
          <w:szCs w:val="20"/>
        </w:rPr>
        <w:t>: 298-301 [PMID: 18206498 DOI: 10.1016/j.humpath.2007.08.006]</w:t>
      </w:r>
    </w:p>
    <w:p w14:paraId="12A99B19"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5 </w:t>
      </w:r>
      <w:r w:rsidRPr="00E709A1">
        <w:rPr>
          <w:rFonts w:ascii="Book Antiqua" w:hAnsi="Book Antiqua"/>
          <w:b/>
          <w:sz w:val="20"/>
          <w:szCs w:val="20"/>
        </w:rPr>
        <w:t>Porcaro AB</w:t>
      </w:r>
      <w:r w:rsidRPr="00E709A1">
        <w:rPr>
          <w:rFonts w:ascii="Book Antiqua" w:hAnsi="Book Antiqua"/>
          <w:sz w:val="20"/>
          <w:szCs w:val="20"/>
        </w:rPr>
        <w:t xml:space="preserve">, Gilioli E, Migliorini F, Antoniolli SZ, Iannucci A, Comunale L. Primary lymphoepithelioma-like carcinoma of the urinary bladder: report of one case with review and update of the literature after a pooled analysis of 43 patients. </w:t>
      </w:r>
      <w:r w:rsidRPr="00E709A1">
        <w:rPr>
          <w:rFonts w:ascii="Book Antiqua" w:hAnsi="Book Antiqua"/>
          <w:i/>
          <w:sz w:val="20"/>
          <w:szCs w:val="20"/>
        </w:rPr>
        <w:t>Int Urol Nephrol</w:t>
      </w:r>
      <w:r w:rsidRPr="00E709A1">
        <w:rPr>
          <w:rFonts w:ascii="Book Antiqua" w:hAnsi="Book Antiqua"/>
          <w:sz w:val="20"/>
          <w:szCs w:val="20"/>
        </w:rPr>
        <w:t xml:space="preserve"> 2003; </w:t>
      </w:r>
      <w:r w:rsidRPr="00E709A1">
        <w:rPr>
          <w:rFonts w:ascii="Book Antiqua" w:hAnsi="Book Antiqua"/>
          <w:b/>
          <w:sz w:val="20"/>
          <w:szCs w:val="20"/>
        </w:rPr>
        <w:t>35</w:t>
      </w:r>
      <w:r w:rsidRPr="00E709A1">
        <w:rPr>
          <w:rFonts w:ascii="Book Antiqua" w:hAnsi="Book Antiqua"/>
          <w:sz w:val="20"/>
          <w:szCs w:val="20"/>
        </w:rPr>
        <w:t>: 99-106 [PMID: 14620297 DOI: 10.1023/a:1025981106561]</w:t>
      </w:r>
    </w:p>
    <w:p w14:paraId="0FAFD39E"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6 </w:t>
      </w:r>
      <w:r w:rsidRPr="00E709A1">
        <w:rPr>
          <w:rFonts w:ascii="Book Antiqua" w:hAnsi="Book Antiqua"/>
          <w:b/>
          <w:sz w:val="20"/>
          <w:szCs w:val="20"/>
        </w:rPr>
        <w:t>Iezzoni JC</w:t>
      </w:r>
      <w:r w:rsidRPr="00E709A1">
        <w:rPr>
          <w:rFonts w:ascii="Book Antiqua" w:hAnsi="Book Antiqua"/>
          <w:sz w:val="20"/>
          <w:szCs w:val="20"/>
        </w:rPr>
        <w:t xml:space="preserve">, Gaffey MJ, Weiss LM. The role of Epstein-Barr virus in lymphoepithelioma-like carcinomas. </w:t>
      </w:r>
      <w:r w:rsidRPr="00E709A1">
        <w:rPr>
          <w:rFonts w:ascii="Book Antiqua" w:hAnsi="Book Antiqua"/>
          <w:i/>
          <w:sz w:val="20"/>
          <w:szCs w:val="20"/>
        </w:rPr>
        <w:t>Am J Clin Pathol</w:t>
      </w:r>
      <w:r w:rsidRPr="00E709A1">
        <w:rPr>
          <w:rFonts w:ascii="Book Antiqua" w:hAnsi="Book Antiqua"/>
          <w:sz w:val="20"/>
          <w:szCs w:val="20"/>
        </w:rPr>
        <w:t xml:space="preserve"> 1995; </w:t>
      </w:r>
      <w:r w:rsidRPr="00E709A1">
        <w:rPr>
          <w:rFonts w:ascii="Book Antiqua" w:hAnsi="Book Antiqua"/>
          <w:b/>
          <w:sz w:val="20"/>
          <w:szCs w:val="20"/>
        </w:rPr>
        <w:t>103</w:t>
      </w:r>
      <w:r w:rsidRPr="00E709A1">
        <w:rPr>
          <w:rFonts w:ascii="Book Antiqua" w:hAnsi="Book Antiqua"/>
          <w:sz w:val="20"/>
          <w:szCs w:val="20"/>
        </w:rPr>
        <w:t>: 308-315 [PMID: 7872253 DOI: 10.1093/ajcp/103.3.308]</w:t>
      </w:r>
    </w:p>
    <w:p w14:paraId="67561D74"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7 </w:t>
      </w:r>
      <w:r w:rsidRPr="00E709A1">
        <w:rPr>
          <w:rFonts w:ascii="Book Antiqua" w:hAnsi="Book Antiqua"/>
          <w:b/>
          <w:sz w:val="20"/>
          <w:szCs w:val="20"/>
        </w:rPr>
        <w:t>Rodríguez-Cabello MA</w:t>
      </w:r>
      <w:r w:rsidRPr="00E709A1">
        <w:rPr>
          <w:rFonts w:ascii="Book Antiqua" w:hAnsi="Book Antiqua"/>
          <w:sz w:val="20"/>
          <w:szCs w:val="20"/>
        </w:rPr>
        <w:t xml:space="preserve">, Méndez-Rubio S, Sanz-Miguelañez JL, Saenz-Medina J, Garrido-Abad P, </w:t>
      </w:r>
      <w:r w:rsidRPr="00E709A1">
        <w:rPr>
          <w:rFonts w:ascii="Book Antiqua" w:hAnsi="Book Antiqua"/>
          <w:sz w:val="20"/>
          <w:szCs w:val="20"/>
        </w:rPr>
        <w:lastRenderedPageBreak/>
        <w:t xml:space="preserve">Del-Barrio-Díaz-Aldagalan A, López-Elzaurdia C, Platas-Sancho A. Lymphoepithelioma-Like Bladder Carcinoma: A Diagnostic and Therapeutic Challenge. Contribution Using a New Case and Review of the Literature. </w:t>
      </w:r>
      <w:r w:rsidRPr="00E709A1">
        <w:rPr>
          <w:rFonts w:ascii="Book Antiqua" w:hAnsi="Book Antiqua"/>
          <w:i/>
          <w:sz w:val="20"/>
          <w:szCs w:val="20"/>
        </w:rPr>
        <w:t>Clin Genitourin Cancer</w:t>
      </w:r>
      <w:r w:rsidRPr="00E709A1">
        <w:rPr>
          <w:rFonts w:ascii="Book Antiqua" w:hAnsi="Book Antiqua"/>
          <w:sz w:val="20"/>
          <w:szCs w:val="20"/>
        </w:rPr>
        <w:t xml:space="preserve"> 2017; </w:t>
      </w:r>
      <w:r w:rsidRPr="00E709A1">
        <w:rPr>
          <w:rFonts w:ascii="Book Antiqua" w:hAnsi="Book Antiqua"/>
          <w:b/>
          <w:sz w:val="20"/>
          <w:szCs w:val="20"/>
        </w:rPr>
        <w:t>15</w:t>
      </w:r>
      <w:r w:rsidRPr="00E709A1">
        <w:rPr>
          <w:rFonts w:ascii="Book Antiqua" w:hAnsi="Book Antiqua"/>
          <w:sz w:val="20"/>
          <w:szCs w:val="20"/>
        </w:rPr>
        <w:t>: e507-e515 [PMID: 28139445 DOI: 10.1016/j.clgc.2016.12.023]</w:t>
      </w:r>
    </w:p>
    <w:p w14:paraId="6DB4C8CC"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8 </w:t>
      </w:r>
      <w:r w:rsidRPr="00E709A1">
        <w:rPr>
          <w:rFonts w:ascii="Book Antiqua" w:hAnsi="Book Antiqua"/>
          <w:b/>
          <w:sz w:val="20"/>
          <w:szCs w:val="20"/>
        </w:rPr>
        <w:t>Elzevier HW</w:t>
      </w:r>
      <w:r w:rsidRPr="00E709A1">
        <w:rPr>
          <w:rFonts w:ascii="Book Antiqua" w:hAnsi="Book Antiqua"/>
          <w:sz w:val="20"/>
          <w:szCs w:val="20"/>
        </w:rPr>
        <w:t xml:space="preserve">, Venema PL, Kropman RF, Kazzaz BA. Lymphoepithelioma-like carcinoma of the kidney. </w:t>
      </w:r>
      <w:r w:rsidRPr="00E709A1">
        <w:rPr>
          <w:rFonts w:ascii="Book Antiqua" w:hAnsi="Book Antiqua"/>
          <w:i/>
          <w:sz w:val="20"/>
          <w:szCs w:val="20"/>
        </w:rPr>
        <w:t>J Urol</w:t>
      </w:r>
      <w:r w:rsidRPr="00E709A1">
        <w:rPr>
          <w:rFonts w:ascii="Book Antiqua" w:hAnsi="Book Antiqua"/>
          <w:sz w:val="20"/>
          <w:szCs w:val="20"/>
        </w:rPr>
        <w:t xml:space="preserve"> 2002; </w:t>
      </w:r>
      <w:r w:rsidRPr="00E709A1">
        <w:rPr>
          <w:rFonts w:ascii="Book Antiqua" w:hAnsi="Book Antiqua"/>
          <w:b/>
          <w:sz w:val="20"/>
          <w:szCs w:val="20"/>
        </w:rPr>
        <w:t>167</w:t>
      </w:r>
      <w:r w:rsidRPr="00E709A1">
        <w:rPr>
          <w:rFonts w:ascii="Book Antiqua" w:hAnsi="Book Antiqua"/>
          <w:sz w:val="20"/>
          <w:szCs w:val="20"/>
        </w:rPr>
        <w:t>: 2127-2128 [PMID: 11956457 DOI: 10.1016/S0022-5347(05)65102-6]</w:t>
      </w:r>
    </w:p>
    <w:p w14:paraId="4B883C42"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9 </w:t>
      </w:r>
      <w:r w:rsidRPr="00E709A1">
        <w:rPr>
          <w:rFonts w:ascii="Book Antiqua" w:hAnsi="Book Antiqua"/>
          <w:b/>
          <w:sz w:val="20"/>
          <w:szCs w:val="20"/>
        </w:rPr>
        <w:t>Fukunaga M</w:t>
      </w:r>
      <w:r w:rsidRPr="00E709A1">
        <w:rPr>
          <w:rFonts w:ascii="Book Antiqua" w:hAnsi="Book Antiqua"/>
          <w:sz w:val="20"/>
          <w:szCs w:val="20"/>
        </w:rPr>
        <w:t xml:space="preserve">, Ushigome S. Lymphoepithelioma-like carcinoma of the renal pelvis: a case report with immunohistochemical analysis and in situ hybridization for the Epstein-Barr viral genome. </w:t>
      </w:r>
      <w:r w:rsidRPr="00E709A1">
        <w:rPr>
          <w:rFonts w:ascii="Book Antiqua" w:hAnsi="Book Antiqua"/>
          <w:i/>
          <w:sz w:val="20"/>
          <w:szCs w:val="20"/>
        </w:rPr>
        <w:t>Mod Pathol</w:t>
      </w:r>
      <w:r w:rsidRPr="00E709A1">
        <w:rPr>
          <w:rFonts w:ascii="Book Antiqua" w:hAnsi="Book Antiqua"/>
          <w:sz w:val="20"/>
          <w:szCs w:val="20"/>
        </w:rPr>
        <w:t xml:space="preserve"> 1998; </w:t>
      </w:r>
      <w:r w:rsidRPr="00E709A1">
        <w:rPr>
          <w:rFonts w:ascii="Book Antiqua" w:hAnsi="Book Antiqua"/>
          <w:b/>
          <w:sz w:val="20"/>
          <w:szCs w:val="20"/>
        </w:rPr>
        <w:t>11</w:t>
      </w:r>
      <w:r w:rsidRPr="00E709A1">
        <w:rPr>
          <w:rFonts w:ascii="Book Antiqua" w:hAnsi="Book Antiqua"/>
          <w:sz w:val="20"/>
          <w:szCs w:val="20"/>
        </w:rPr>
        <w:t>: 1252-1256 [PMID: 9872659]</w:t>
      </w:r>
    </w:p>
    <w:p w14:paraId="447C9D72"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10 </w:t>
      </w:r>
      <w:r w:rsidRPr="00E709A1">
        <w:rPr>
          <w:rFonts w:ascii="Book Antiqua" w:hAnsi="Book Antiqua"/>
          <w:b/>
          <w:sz w:val="20"/>
          <w:szCs w:val="20"/>
        </w:rPr>
        <w:t>Cohen RJ</w:t>
      </w:r>
      <w:r w:rsidRPr="00E709A1">
        <w:rPr>
          <w:rFonts w:ascii="Book Antiqua" w:hAnsi="Book Antiqua"/>
          <w:sz w:val="20"/>
          <w:szCs w:val="20"/>
        </w:rPr>
        <w:t xml:space="preserve">, Stanley JC, Dawkins HJ. Lymphoepithelioma-like carcinoma of the renal pelvis. </w:t>
      </w:r>
      <w:r w:rsidRPr="00E709A1">
        <w:rPr>
          <w:rFonts w:ascii="Book Antiqua" w:hAnsi="Book Antiqua"/>
          <w:i/>
          <w:sz w:val="20"/>
          <w:szCs w:val="20"/>
        </w:rPr>
        <w:t>Pathology</w:t>
      </w:r>
      <w:r w:rsidRPr="00E709A1">
        <w:rPr>
          <w:rFonts w:ascii="Book Antiqua" w:hAnsi="Book Antiqua"/>
          <w:sz w:val="20"/>
          <w:szCs w:val="20"/>
        </w:rPr>
        <w:t xml:space="preserve"> 1999; </w:t>
      </w:r>
      <w:r w:rsidRPr="00E709A1">
        <w:rPr>
          <w:rFonts w:ascii="Book Antiqua" w:hAnsi="Book Antiqua"/>
          <w:b/>
          <w:sz w:val="20"/>
          <w:szCs w:val="20"/>
        </w:rPr>
        <w:t>31</w:t>
      </w:r>
      <w:r w:rsidRPr="00E709A1">
        <w:rPr>
          <w:rFonts w:ascii="Book Antiqua" w:hAnsi="Book Antiqua"/>
          <w:sz w:val="20"/>
          <w:szCs w:val="20"/>
        </w:rPr>
        <w:t>: 434-435 [PMID: 10643022 DOI: 10.1080/003130299104891]</w:t>
      </w:r>
    </w:p>
    <w:p w14:paraId="7BB106B6"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11 </w:t>
      </w:r>
      <w:r w:rsidRPr="00E709A1">
        <w:rPr>
          <w:rFonts w:ascii="Book Antiqua" w:hAnsi="Book Antiqua"/>
          <w:b/>
          <w:sz w:val="20"/>
          <w:szCs w:val="20"/>
        </w:rPr>
        <w:t>Yamada Y</w:t>
      </w:r>
      <w:r w:rsidRPr="00E709A1">
        <w:rPr>
          <w:rFonts w:ascii="Book Antiqua" w:hAnsi="Book Antiqua"/>
          <w:sz w:val="20"/>
          <w:szCs w:val="20"/>
        </w:rPr>
        <w:t xml:space="preserve">, Fujimura T, Yamaguchi T, Nishimatsu H, Hirano Y, Kawamura T, Teshima S, Takeuchi T, Kitamura T. Lymphoepithelioma-like carcinoma of the renal pelvis. </w:t>
      </w:r>
      <w:r w:rsidRPr="00E709A1">
        <w:rPr>
          <w:rFonts w:ascii="Book Antiqua" w:hAnsi="Book Antiqua"/>
          <w:i/>
          <w:sz w:val="20"/>
          <w:szCs w:val="20"/>
        </w:rPr>
        <w:t>Int J Urol</w:t>
      </w:r>
      <w:r w:rsidRPr="00E709A1">
        <w:rPr>
          <w:rFonts w:ascii="Book Antiqua" w:hAnsi="Book Antiqua"/>
          <w:sz w:val="20"/>
          <w:szCs w:val="20"/>
        </w:rPr>
        <w:t xml:space="preserve"> 2007; </w:t>
      </w:r>
      <w:r w:rsidRPr="00E709A1">
        <w:rPr>
          <w:rFonts w:ascii="Book Antiqua" w:hAnsi="Book Antiqua"/>
          <w:b/>
          <w:sz w:val="20"/>
          <w:szCs w:val="20"/>
        </w:rPr>
        <w:t>14</w:t>
      </w:r>
      <w:r w:rsidRPr="00E709A1">
        <w:rPr>
          <w:rFonts w:ascii="Book Antiqua" w:hAnsi="Book Antiqua"/>
          <w:sz w:val="20"/>
          <w:szCs w:val="20"/>
        </w:rPr>
        <w:t>: 1093-1094 [PMID: 18036048 DOI: 10.1111/j.1442-2042.2007.01897.x]</w:t>
      </w:r>
    </w:p>
    <w:p w14:paraId="515B6E53"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12 </w:t>
      </w:r>
      <w:r w:rsidRPr="00E709A1">
        <w:rPr>
          <w:rFonts w:ascii="Book Antiqua" w:hAnsi="Book Antiqua"/>
          <w:b/>
          <w:sz w:val="20"/>
          <w:szCs w:val="20"/>
        </w:rPr>
        <w:t>Tamas EF</w:t>
      </w:r>
      <w:r w:rsidRPr="00E709A1">
        <w:rPr>
          <w:rFonts w:ascii="Book Antiqua" w:hAnsi="Book Antiqua"/>
          <w:sz w:val="20"/>
          <w:szCs w:val="20"/>
        </w:rPr>
        <w:t xml:space="preserve">, Nielsen ME, Schoenberg MP, Epstein JI. Lymphoepithelioma-like carcinoma of the urinary tract: a clinicopathological study of 30 pure and mixed cases. </w:t>
      </w:r>
      <w:r w:rsidRPr="00E709A1">
        <w:rPr>
          <w:rFonts w:ascii="Book Antiqua" w:hAnsi="Book Antiqua"/>
          <w:i/>
          <w:sz w:val="20"/>
          <w:szCs w:val="20"/>
        </w:rPr>
        <w:t>Mod Pathol</w:t>
      </w:r>
      <w:r w:rsidRPr="00E709A1">
        <w:rPr>
          <w:rFonts w:ascii="Book Antiqua" w:hAnsi="Book Antiqua"/>
          <w:sz w:val="20"/>
          <w:szCs w:val="20"/>
        </w:rPr>
        <w:t xml:space="preserve"> 2007; </w:t>
      </w:r>
      <w:r w:rsidRPr="00E709A1">
        <w:rPr>
          <w:rFonts w:ascii="Book Antiqua" w:hAnsi="Book Antiqua"/>
          <w:b/>
          <w:sz w:val="20"/>
          <w:szCs w:val="20"/>
        </w:rPr>
        <w:t>20</w:t>
      </w:r>
      <w:r w:rsidRPr="00E709A1">
        <w:rPr>
          <w:rFonts w:ascii="Book Antiqua" w:hAnsi="Book Antiqua"/>
          <w:sz w:val="20"/>
          <w:szCs w:val="20"/>
        </w:rPr>
        <w:t>: 828-834 [PMID: 17541442 DOI: 10.1038/modpathol.3800823]</w:t>
      </w:r>
    </w:p>
    <w:p w14:paraId="3BA449E2"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13 </w:t>
      </w:r>
      <w:r w:rsidRPr="00E709A1">
        <w:rPr>
          <w:rFonts w:ascii="Book Antiqua" w:hAnsi="Book Antiqua"/>
          <w:b/>
          <w:sz w:val="20"/>
          <w:szCs w:val="20"/>
        </w:rPr>
        <w:t>Perez-Montiel D</w:t>
      </w:r>
      <w:r w:rsidRPr="00E709A1">
        <w:rPr>
          <w:rFonts w:ascii="Book Antiqua" w:hAnsi="Book Antiqua"/>
          <w:sz w:val="20"/>
          <w:szCs w:val="20"/>
        </w:rPr>
        <w:t xml:space="preserve">, Wakely PE, Hes O, Michal M, Suster S. High-grade urothelial carcinoma of the renal pelvis: clinicopathologic study of 108 cases with emphasis on unusual morphologic variants. </w:t>
      </w:r>
      <w:r w:rsidRPr="00E709A1">
        <w:rPr>
          <w:rFonts w:ascii="Book Antiqua" w:hAnsi="Book Antiqua"/>
          <w:i/>
          <w:sz w:val="20"/>
          <w:szCs w:val="20"/>
        </w:rPr>
        <w:t>Mod Pathol</w:t>
      </w:r>
      <w:r w:rsidRPr="00E709A1">
        <w:rPr>
          <w:rFonts w:ascii="Book Antiqua" w:hAnsi="Book Antiqua"/>
          <w:sz w:val="20"/>
          <w:szCs w:val="20"/>
        </w:rPr>
        <w:t xml:space="preserve"> 2006; </w:t>
      </w:r>
      <w:r w:rsidRPr="00E709A1">
        <w:rPr>
          <w:rFonts w:ascii="Book Antiqua" w:hAnsi="Book Antiqua"/>
          <w:b/>
          <w:sz w:val="20"/>
          <w:szCs w:val="20"/>
        </w:rPr>
        <w:t>19</w:t>
      </w:r>
      <w:r w:rsidRPr="00E709A1">
        <w:rPr>
          <w:rFonts w:ascii="Book Antiqua" w:hAnsi="Book Antiqua"/>
          <w:sz w:val="20"/>
          <w:szCs w:val="20"/>
        </w:rPr>
        <w:t>: 494-503 [PMID: 16474378 DOI: 10.1038/modpathol.3800559]</w:t>
      </w:r>
    </w:p>
    <w:p w14:paraId="28B333E0"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14 </w:t>
      </w:r>
      <w:r w:rsidRPr="00E709A1">
        <w:rPr>
          <w:rFonts w:ascii="Book Antiqua" w:hAnsi="Book Antiqua"/>
          <w:b/>
          <w:sz w:val="20"/>
          <w:szCs w:val="20"/>
        </w:rPr>
        <w:t>Modi H</w:t>
      </w:r>
      <w:r w:rsidRPr="00E709A1">
        <w:rPr>
          <w:rFonts w:ascii="Book Antiqua" w:hAnsi="Book Antiqua"/>
          <w:sz w:val="20"/>
          <w:szCs w:val="20"/>
        </w:rPr>
        <w:t xml:space="preserve">, Beckley I, Bhattarai S, Spencer J, Cartledge J. Lymphoepithelioma-like carcinoma of the renal pelvis: Pathological and therapeutic implications. </w:t>
      </w:r>
      <w:r w:rsidRPr="00E709A1">
        <w:rPr>
          <w:rFonts w:ascii="Book Antiqua" w:hAnsi="Book Antiqua"/>
          <w:i/>
          <w:sz w:val="20"/>
          <w:szCs w:val="20"/>
        </w:rPr>
        <w:t>Can Urol Assoc J</w:t>
      </w:r>
      <w:r w:rsidRPr="00E709A1">
        <w:rPr>
          <w:rFonts w:ascii="Book Antiqua" w:hAnsi="Book Antiqua"/>
          <w:sz w:val="20"/>
          <w:szCs w:val="20"/>
        </w:rPr>
        <w:t xml:space="preserve"> 2013; </w:t>
      </w:r>
      <w:r w:rsidRPr="00E709A1">
        <w:rPr>
          <w:rFonts w:ascii="Book Antiqua" w:hAnsi="Book Antiqua"/>
          <w:b/>
          <w:sz w:val="20"/>
          <w:szCs w:val="20"/>
        </w:rPr>
        <w:t>7</w:t>
      </w:r>
      <w:r w:rsidRPr="00E709A1">
        <w:rPr>
          <w:rFonts w:ascii="Book Antiqua" w:hAnsi="Book Antiqua"/>
          <w:sz w:val="20"/>
          <w:szCs w:val="20"/>
        </w:rPr>
        <w:t>: E590-E593 [PMID: 24069102 DOI: 10.5489/cuaj.1545]</w:t>
      </w:r>
    </w:p>
    <w:p w14:paraId="7DD9EADE"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15 </w:t>
      </w:r>
      <w:r w:rsidRPr="00E709A1">
        <w:rPr>
          <w:rFonts w:ascii="Book Antiqua" w:hAnsi="Book Antiqua"/>
          <w:b/>
          <w:sz w:val="20"/>
          <w:szCs w:val="20"/>
        </w:rPr>
        <w:t>Lopez-Beltran A</w:t>
      </w:r>
      <w:r w:rsidRPr="00E709A1">
        <w:rPr>
          <w:rFonts w:ascii="Book Antiqua" w:hAnsi="Book Antiqua"/>
          <w:sz w:val="20"/>
          <w:szCs w:val="20"/>
        </w:rPr>
        <w:t xml:space="preserve">, Paner G, Blanca A, Montironi R, Tsuzuki T, Nagashima Y, Chuang SS, Win KT, Madruga L, Raspollini MR, Cheng L. Lymphoepithelioma-like carcinoma of the upper urinary tract. </w:t>
      </w:r>
      <w:r w:rsidRPr="00E709A1">
        <w:rPr>
          <w:rFonts w:ascii="Book Antiqua" w:hAnsi="Book Antiqua"/>
          <w:i/>
          <w:sz w:val="20"/>
          <w:szCs w:val="20"/>
        </w:rPr>
        <w:t>Virchows Arch</w:t>
      </w:r>
      <w:r w:rsidRPr="00E709A1">
        <w:rPr>
          <w:rFonts w:ascii="Book Antiqua" w:hAnsi="Book Antiqua"/>
          <w:sz w:val="20"/>
          <w:szCs w:val="20"/>
        </w:rPr>
        <w:t xml:space="preserve"> 2017; </w:t>
      </w:r>
      <w:r w:rsidRPr="00E709A1">
        <w:rPr>
          <w:rFonts w:ascii="Book Antiqua" w:hAnsi="Book Antiqua"/>
          <w:b/>
          <w:sz w:val="20"/>
          <w:szCs w:val="20"/>
        </w:rPr>
        <w:t>470</w:t>
      </w:r>
      <w:r w:rsidRPr="00E709A1">
        <w:rPr>
          <w:rFonts w:ascii="Book Antiqua" w:hAnsi="Book Antiqua"/>
          <w:sz w:val="20"/>
          <w:szCs w:val="20"/>
        </w:rPr>
        <w:t>: 703-709 [PMID: 28455741 DOI: 10.1007/s00428-017-2117-z]</w:t>
      </w:r>
    </w:p>
    <w:p w14:paraId="2C144654"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16 </w:t>
      </w:r>
      <w:r w:rsidRPr="00E709A1">
        <w:rPr>
          <w:rFonts w:ascii="Book Antiqua" w:hAnsi="Book Antiqua"/>
          <w:b/>
          <w:sz w:val="20"/>
          <w:szCs w:val="20"/>
        </w:rPr>
        <w:t>Chen YC</w:t>
      </w:r>
      <w:r w:rsidRPr="00E709A1">
        <w:rPr>
          <w:rFonts w:ascii="Book Antiqua" w:hAnsi="Book Antiqua"/>
          <w:sz w:val="20"/>
          <w:szCs w:val="20"/>
        </w:rPr>
        <w:t xml:space="preserve">, Chen HW, Chueh KS, Wei YC. A rare pure lymphoepithelioma-like carcinoma of the renal pelvis mimicking upper tract urothelial carcinoma: A potential diagnostic pitfall. </w:t>
      </w:r>
      <w:r w:rsidRPr="00E709A1">
        <w:rPr>
          <w:rFonts w:ascii="Book Antiqua" w:hAnsi="Book Antiqua"/>
          <w:i/>
          <w:sz w:val="20"/>
          <w:szCs w:val="20"/>
        </w:rPr>
        <w:t>Kaohsiung J Med Sci</w:t>
      </w:r>
      <w:r w:rsidRPr="00E709A1">
        <w:rPr>
          <w:rFonts w:ascii="Book Antiqua" w:hAnsi="Book Antiqua"/>
          <w:sz w:val="20"/>
          <w:szCs w:val="20"/>
        </w:rPr>
        <w:t xml:space="preserve"> 2018; </w:t>
      </w:r>
      <w:r w:rsidRPr="00E709A1">
        <w:rPr>
          <w:rFonts w:ascii="Book Antiqua" w:hAnsi="Book Antiqua"/>
          <w:b/>
          <w:sz w:val="20"/>
          <w:szCs w:val="20"/>
        </w:rPr>
        <w:t>34</w:t>
      </w:r>
      <w:r w:rsidRPr="00E709A1">
        <w:rPr>
          <w:rFonts w:ascii="Book Antiqua" w:hAnsi="Book Antiqua"/>
          <w:sz w:val="20"/>
          <w:szCs w:val="20"/>
        </w:rPr>
        <w:t>: 657-658 [PMID: 30392573 DOI: 10.1016/j.kjms.2018.03.007]</w:t>
      </w:r>
    </w:p>
    <w:p w14:paraId="20DACBC6"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17 </w:t>
      </w:r>
      <w:r w:rsidRPr="00E709A1">
        <w:rPr>
          <w:rFonts w:ascii="Book Antiqua" w:hAnsi="Book Antiqua"/>
          <w:b/>
          <w:sz w:val="20"/>
          <w:szCs w:val="20"/>
        </w:rPr>
        <w:t>Ahn H</w:t>
      </w:r>
      <w:r w:rsidRPr="00E709A1">
        <w:rPr>
          <w:rFonts w:ascii="Book Antiqua" w:hAnsi="Book Antiqua"/>
          <w:sz w:val="20"/>
          <w:szCs w:val="20"/>
        </w:rPr>
        <w:t xml:space="preserve">, Sim J, Kim H, Yi K, Han H, Chung Y, Rehman A, Paik SS. Lymphoepithelioma-like Carcinoma of the Renal Pelvis: A Case Report and Review of the Literature. </w:t>
      </w:r>
      <w:r w:rsidRPr="00E709A1">
        <w:rPr>
          <w:rFonts w:ascii="Book Antiqua" w:hAnsi="Book Antiqua"/>
          <w:i/>
          <w:sz w:val="20"/>
          <w:szCs w:val="20"/>
        </w:rPr>
        <w:t>Korean J Pathol</w:t>
      </w:r>
      <w:r w:rsidRPr="00E709A1">
        <w:rPr>
          <w:rFonts w:ascii="Book Antiqua" w:hAnsi="Book Antiqua"/>
          <w:sz w:val="20"/>
          <w:szCs w:val="20"/>
        </w:rPr>
        <w:t xml:space="preserve"> 2014; </w:t>
      </w:r>
      <w:r w:rsidRPr="00E709A1">
        <w:rPr>
          <w:rFonts w:ascii="Book Antiqua" w:hAnsi="Book Antiqua"/>
          <w:b/>
          <w:sz w:val="20"/>
          <w:szCs w:val="20"/>
        </w:rPr>
        <w:t>48</w:t>
      </w:r>
      <w:r w:rsidRPr="00E709A1">
        <w:rPr>
          <w:rFonts w:ascii="Book Antiqua" w:hAnsi="Book Antiqua"/>
          <w:sz w:val="20"/>
          <w:szCs w:val="20"/>
        </w:rPr>
        <w:t>: 458-461 [PMID: 25588641 DOI: 10.4132/KoreanJPathol.2014.48.6.458]</w:t>
      </w:r>
    </w:p>
    <w:p w14:paraId="04C83ACF"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18 </w:t>
      </w:r>
      <w:r w:rsidRPr="00E709A1">
        <w:rPr>
          <w:rFonts w:ascii="Book Antiqua" w:hAnsi="Book Antiqua"/>
          <w:b/>
          <w:sz w:val="20"/>
          <w:szCs w:val="20"/>
        </w:rPr>
        <w:t>Allende DS</w:t>
      </w:r>
      <w:r w:rsidRPr="00E709A1">
        <w:rPr>
          <w:rFonts w:ascii="Book Antiqua" w:hAnsi="Book Antiqua"/>
          <w:sz w:val="20"/>
          <w:szCs w:val="20"/>
        </w:rPr>
        <w:t xml:space="preserve">, Desai M, Hansel DE. Primary lymphoepithelioma-like carcinoma of the ureter. </w:t>
      </w:r>
      <w:r w:rsidRPr="00E709A1">
        <w:rPr>
          <w:rFonts w:ascii="Book Antiqua" w:hAnsi="Book Antiqua"/>
          <w:i/>
          <w:sz w:val="20"/>
          <w:szCs w:val="20"/>
        </w:rPr>
        <w:t>Ann Diagn Pathol</w:t>
      </w:r>
      <w:r w:rsidRPr="00E709A1">
        <w:rPr>
          <w:rFonts w:ascii="Book Antiqua" w:hAnsi="Book Antiqua"/>
          <w:sz w:val="20"/>
          <w:szCs w:val="20"/>
        </w:rPr>
        <w:t xml:space="preserve"> 2010; </w:t>
      </w:r>
      <w:r w:rsidRPr="00E709A1">
        <w:rPr>
          <w:rFonts w:ascii="Book Antiqua" w:hAnsi="Book Antiqua"/>
          <w:b/>
          <w:sz w:val="20"/>
          <w:szCs w:val="20"/>
        </w:rPr>
        <w:t>14</w:t>
      </w:r>
      <w:r w:rsidRPr="00E709A1">
        <w:rPr>
          <w:rFonts w:ascii="Book Antiqua" w:hAnsi="Book Antiqua"/>
          <w:sz w:val="20"/>
          <w:szCs w:val="20"/>
        </w:rPr>
        <w:t>: 209-214 [PMID: 20471568 DOI: 10.1016/j.anndiagpath.2009.05.007]</w:t>
      </w:r>
    </w:p>
    <w:p w14:paraId="1084BC71"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19 </w:t>
      </w:r>
      <w:r w:rsidRPr="00E709A1">
        <w:rPr>
          <w:rFonts w:ascii="Book Antiqua" w:hAnsi="Book Antiqua"/>
          <w:b/>
          <w:sz w:val="20"/>
          <w:szCs w:val="20"/>
        </w:rPr>
        <w:t>Chalik YN</w:t>
      </w:r>
      <w:r w:rsidRPr="00E709A1">
        <w:rPr>
          <w:rFonts w:ascii="Book Antiqua" w:hAnsi="Book Antiqua"/>
          <w:sz w:val="20"/>
          <w:szCs w:val="20"/>
        </w:rPr>
        <w:t xml:space="preserve">, Wieczorek R, Grasso M. Lymphoepithelioma-like carcinoma of the ureter. </w:t>
      </w:r>
      <w:r w:rsidRPr="00E709A1">
        <w:rPr>
          <w:rFonts w:ascii="Book Antiqua" w:hAnsi="Book Antiqua"/>
          <w:i/>
          <w:sz w:val="20"/>
          <w:szCs w:val="20"/>
        </w:rPr>
        <w:t>J Urol</w:t>
      </w:r>
      <w:r w:rsidRPr="00E709A1">
        <w:rPr>
          <w:rFonts w:ascii="Book Antiqua" w:hAnsi="Book Antiqua"/>
          <w:sz w:val="20"/>
          <w:szCs w:val="20"/>
        </w:rPr>
        <w:t xml:space="preserve"> 1998; </w:t>
      </w:r>
      <w:r w:rsidRPr="00E709A1">
        <w:rPr>
          <w:rFonts w:ascii="Book Antiqua" w:hAnsi="Book Antiqua"/>
          <w:b/>
          <w:sz w:val="20"/>
          <w:szCs w:val="20"/>
        </w:rPr>
        <w:t>159</w:t>
      </w:r>
      <w:r w:rsidRPr="00E709A1">
        <w:rPr>
          <w:rFonts w:ascii="Book Antiqua" w:hAnsi="Book Antiqua"/>
          <w:sz w:val="20"/>
          <w:szCs w:val="20"/>
        </w:rPr>
        <w:t>: 503-504 [PMID: 9649274 DOI: 10.1016/s0022-5347(01)63963-6]</w:t>
      </w:r>
    </w:p>
    <w:p w14:paraId="4F3DF917" w14:textId="035ED910"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20 </w:t>
      </w:r>
      <w:r w:rsidRPr="00E709A1">
        <w:rPr>
          <w:rFonts w:ascii="Book Antiqua" w:hAnsi="Book Antiqua"/>
          <w:b/>
          <w:sz w:val="20"/>
          <w:szCs w:val="20"/>
        </w:rPr>
        <w:t>Liu A,</w:t>
      </w:r>
      <w:r w:rsidRPr="00E709A1">
        <w:rPr>
          <w:rFonts w:ascii="Book Antiqua" w:hAnsi="Book Antiqua"/>
          <w:sz w:val="20"/>
          <w:szCs w:val="20"/>
        </w:rPr>
        <w:t xml:space="preserve"> Cui W, Sun M, Wang H, Liu J</w:t>
      </w:r>
      <w:r w:rsidR="0083216F" w:rsidRPr="00E709A1">
        <w:rPr>
          <w:rFonts w:ascii="Book Antiqua" w:hAnsi="Book Antiqua"/>
          <w:sz w:val="20"/>
          <w:szCs w:val="20"/>
        </w:rPr>
        <w:t>.</w:t>
      </w:r>
      <w:r w:rsidRPr="00E709A1">
        <w:rPr>
          <w:rFonts w:ascii="Book Antiqua" w:hAnsi="Book Antiqua"/>
          <w:sz w:val="20"/>
          <w:szCs w:val="20"/>
        </w:rPr>
        <w:t xml:space="preserve"> Lymphoepithelioma-like Carcinoma of the Renal Pelvis–A </w:t>
      </w:r>
      <w:r w:rsidRPr="00E709A1">
        <w:rPr>
          <w:rFonts w:ascii="Book Antiqua" w:hAnsi="Book Antiqua"/>
          <w:sz w:val="20"/>
          <w:szCs w:val="20"/>
        </w:rPr>
        <w:lastRenderedPageBreak/>
        <w:t xml:space="preserve">Case Report and Literature Review. </w:t>
      </w:r>
      <w:r w:rsidRPr="00E709A1">
        <w:rPr>
          <w:rFonts w:ascii="Book Antiqua" w:hAnsi="Book Antiqua"/>
          <w:i/>
          <w:iCs/>
          <w:sz w:val="20"/>
          <w:szCs w:val="20"/>
        </w:rPr>
        <w:t>OMICS J Radiol</w:t>
      </w:r>
      <w:r w:rsidRPr="00E709A1">
        <w:rPr>
          <w:rFonts w:ascii="Book Antiqua" w:hAnsi="Book Antiqua"/>
          <w:sz w:val="20"/>
          <w:szCs w:val="20"/>
        </w:rPr>
        <w:t xml:space="preserve"> </w:t>
      </w:r>
      <w:r w:rsidR="0083216F" w:rsidRPr="00E709A1">
        <w:rPr>
          <w:rFonts w:ascii="Book Antiqua" w:hAnsi="Book Antiqua"/>
          <w:sz w:val="20"/>
          <w:szCs w:val="20"/>
        </w:rPr>
        <w:t xml:space="preserve">2014; </w:t>
      </w:r>
      <w:r w:rsidRPr="00E709A1">
        <w:rPr>
          <w:rFonts w:ascii="Book Antiqua" w:hAnsi="Book Antiqua"/>
          <w:b/>
          <w:bCs/>
          <w:sz w:val="20"/>
          <w:szCs w:val="20"/>
        </w:rPr>
        <w:t>3</w:t>
      </w:r>
      <w:r w:rsidRPr="00E709A1">
        <w:rPr>
          <w:rFonts w:ascii="Book Antiqua" w:hAnsi="Book Antiqua"/>
          <w:sz w:val="20"/>
          <w:szCs w:val="20"/>
        </w:rPr>
        <w:t>: 167 [</w:t>
      </w:r>
      <w:r w:rsidR="0083216F" w:rsidRPr="00E709A1">
        <w:rPr>
          <w:rFonts w:ascii="Book Antiqua" w:hAnsi="Book Antiqua"/>
          <w:sz w:val="20"/>
          <w:szCs w:val="20"/>
        </w:rPr>
        <w:t>DOI</w:t>
      </w:r>
      <w:r w:rsidRPr="00E709A1">
        <w:rPr>
          <w:rFonts w:ascii="Book Antiqua" w:hAnsi="Book Antiqua"/>
          <w:sz w:val="20"/>
          <w:szCs w:val="20"/>
        </w:rPr>
        <w:t>:</w:t>
      </w:r>
      <w:r w:rsidR="0083216F" w:rsidRPr="00E709A1">
        <w:rPr>
          <w:rFonts w:ascii="Book Antiqua" w:hAnsi="Book Antiqua"/>
          <w:sz w:val="20"/>
          <w:szCs w:val="20"/>
        </w:rPr>
        <w:t xml:space="preserve"> </w:t>
      </w:r>
      <w:r w:rsidRPr="00E709A1">
        <w:rPr>
          <w:rFonts w:ascii="Book Antiqua" w:hAnsi="Book Antiqua"/>
          <w:sz w:val="20"/>
          <w:szCs w:val="20"/>
        </w:rPr>
        <w:t>10.4172/2167-7964.1000167]</w:t>
      </w:r>
    </w:p>
    <w:p w14:paraId="1789D07C"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21 </w:t>
      </w:r>
      <w:r w:rsidRPr="00E709A1">
        <w:rPr>
          <w:rFonts w:ascii="Book Antiqua" w:hAnsi="Book Antiqua"/>
          <w:b/>
          <w:sz w:val="20"/>
          <w:szCs w:val="20"/>
        </w:rPr>
        <w:t>Ma P</w:t>
      </w:r>
      <w:r w:rsidRPr="00E709A1">
        <w:rPr>
          <w:rFonts w:ascii="Book Antiqua" w:hAnsi="Book Antiqua"/>
          <w:sz w:val="20"/>
          <w:szCs w:val="20"/>
        </w:rPr>
        <w:t xml:space="preserve">, Leonard T, Trussell JC. Lymphoepithelioma-like carcinoma of the ureter discovered intraoperatively during a hysterectomy. </w:t>
      </w:r>
      <w:r w:rsidRPr="00E709A1">
        <w:rPr>
          <w:rFonts w:ascii="Book Antiqua" w:hAnsi="Book Antiqua"/>
          <w:i/>
          <w:sz w:val="20"/>
          <w:szCs w:val="20"/>
        </w:rPr>
        <w:t>Can J Urol</w:t>
      </w:r>
      <w:r w:rsidRPr="00E709A1">
        <w:rPr>
          <w:rFonts w:ascii="Book Antiqua" w:hAnsi="Book Antiqua"/>
          <w:sz w:val="20"/>
          <w:szCs w:val="20"/>
        </w:rPr>
        <w:t xml:space="preserve"> 2008; </w:t>
      </w:r>
      <w:r w:rsidRPr="00E709A1">
        <w:rPr>
          <w:rFonts w:ascii="Book Antiqua" w:hAnsi="Book Antiqua"/>
          <w:b/>
          <w:sz w:val="20"/>
          <w:szCs w:val="20"/>
        </w:rPr>
        <w:t>15</w:t>
      </w:r>
      <w:r w:rsidRPr="00E709A1">
        <w:rPr>
          <w:rFonts w:ascii="Book Antiqua" w:hAnsi="Book Antiqua"/>
          <w:sz w:val="20"/>
          <w:szCs w:val="20"/>
        </w:rPr>
        <w:t>: 4421-4424 [PMID: 19046496]</w:t>
      </w:r>
    </w:p>
    <w:p w14:paraId="1D0FD275"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22 </w:t>
      </w:r>
      <w:r w:rsidRPr="00E709A1">
        <w:rPr>
          <w:rFonts w:ascii="Book Antiqua" w:hAnsi="Book Antiqua"/>
          <w:b/>
          <w:sz w:val="20"/>
          <w:szCs w:val="20"/>
        </w:rPr>
        <w:t>Ng KF</w:t>
      </w:r>
      <w:r w:rsidRPr="00E709A1">
        <w:rPr>
          <w:rFonts w:ascii="Book Antiqua" w:hAnsi="Book Antiqua"/>
          <w:sz w:val="20"/>
          <w:szCs w:val="20"/>
        </w:rPr>
        <w:t xml:space="preserve">, Chen TC, Chang PL. Lymphoepithelioma-like carcinoma of the ureter. </w:t>
      </w:r>
      <w:r w:rsidRPr="00E709A1">
        <w:rPr>
          <w:rFonts w:ascii="Book Antiqua" w:hAnsi="Book Antiqua"/>
          <w:i/>
          <w:sz w:val="20"/>
          <w:szCs w:val="20"/>
        </w:rPr>
        <w:t>J Urol</w:t>
      </w:r>
      <w:r w:rsidRPr="00E709A1">
        <w:rPr>
          <w:rFonts w:ascii="Book Antiqua" w:hAnsi="Book Antiqua"/>
          <w:sz w:val="20"/>
          <w:szCs w:val="20"/>
        </w:rPr>
        <w:t xml:space="preserve"> 1999; </w:t>
      </w:r>
      <w:r w:rsidRPr="00E709A1">
        <w:rPr>
          <w:rFonts w:ascii="Book Antiqua" w:hAnsi="Book Antiqua"/>
          <w:b/>
          <w:sz w:val="20"/>
          <w:szCs w:val="20"/>
        </w:rPr>
        <w:t>161</w:t>
      </w:r>
      <w:r w:rsidRPr="00E709A1">
        <w:rPr>
          <w:rFonts w:ascii="Book Antiqua" w:hAnsi="Book Antiqua"/>
          <w:sz w:val="20"/>
          <w:szCs w:val="20"/>
        </w:rPr>
        <w:t>: 1277-1278 [PMID: 10081888 DOI: 10.1016/S0022-5347(01)61660-4]</w:t>
      </w:r>
    </w:p>
    <w:p w14:paraId="030988D5"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23 </w:t>
      </w:r>
      <w:r w:rsidRPr="00E709A1">
        <w:rPr>
          <w:rFonts w:ascii="Book Antiqua" w:hAnsi="Book Antiqua"/>
          <w:b/>
          <w:sz w:val="20"/>
          <w:szCs w:val="20"/>
        </w:rPr>
        <w:t>Roig JM</w:t>
      </w:r>
      <w:r w:rsidRPr="00E709A1">
        <w:rPr>
          <w:rFonts w:ascii="Book Antiqua" w:hAnsi="Book Antiqua"/>
          <w:sz w:val="20"/>
          <w:szCs w:val="20"/>
        </w:rPr>
        <w:t xml:space="preserve">, Amérigo J, Velasco FJ, Giménez A, Guerrero E, Soler JL, González-Cámpora R. Lymphoepithelioma-like carcinoma of ureter. </w:t>
      </w:r>
      <w:r w:rsidRPr="00E709A1">
        <w:rPr>
          <w:rFonts w:ascii="Book Antiqua" w:hAnsi="Book Antiqua"/>
          <w:i/>
          <w:sz w:val="20"/>
          <w:szCs w:val="20"/>
        </w:rPr>
        <w:t>Histopathology</w:t>
      </w:r>
      <w:r w:rsidRPr="00E709A1">
        <w:rPr>
          <w:rFonts w:ascii="Book Antiqua" w:hAnsi="Book Antiqua"/>
          <w:sz w:val="20"/>
          <w:szCs w:val="20"/>
        </w:rPr>
        <w:t xml:space="preserve"> 2001; </w:t>
      </w:r>
      <w:r w:rsidRPr="00E709A1">
        <w:rPr>
          <w:rFonts w:ascii="Book Antiqua" w:hAnsi="Book Antiqua"/>
          <w:b/>
          <w:sz w:val="20"/>
          <w:szCs w:val="20"/>
        </w:rPr>
        <w:t>39</w:t>
      </w:r>
      <w:r w:rsidRPr="00E709A1">
        <w:rPr>
          <w:rFonts w:ascii="Book Antiqua" w:hAnsi="Book Antiqua"/>
          <w:sz w:val="20"/>
          <w:szCs w:val="20"/>
        </w:rPr>
        <w:t>: 106-107 [PMID: 11454053 DOI: 10.1046/j.1365-2559.2001.1217e.x]</w:t>
      </w:r>
    </w:p>
    <w:p w14:paraId="1FD2FAF1"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24 </w:t>
      </w:r>
      <w:r w:rsidRPr="00E709A1">
        <w:rPr>
          <w:rFonts w:ascii="Book Antiqua" w:hAnsi="Book Antiqua"/>
          <w:b/>
          <w:sz w:val="20"/>
          <w:szCs w:val="20"/>
        </w:rPr>
        <w:t>Terai A</w:t>
      </w:r>
      <w:r w:rsidRPr="00E709A1">
        <w:rPr>
          <w:rFonts w:ascii="Book Antiqua" w:hAnsi="Book Antiqua"/>
          <w:sz w:val="20"/>
          <w:szCs w:val="20"/>
        </w:rPr>
        <w:t xml:space="preserve">, Terada N, Ichioka K, Matsui Y, Yoshimura K, Wani Y. Lymphoepithelioma-like carcinoma of the ureter. </w:t>
      </w:r>
      <w:r w:rsidRPr="00E709A1">
        <w:rPr>
          <w:rFonts w:ascii="Book Antiqua" w:hAnsi="Book Antiqua"/>
          <w:i/>
          <w:sz w:val="20"/>
          <w:szCs w:val="20"/>
        </w:rPr>
        <w:t>Urology</w:t>
      </w:r>
      <w:r w:rsidRPr="00E709A1">
        <w:rPr>
          <w:rFonts w:ascii="Book Antiqua" w:hAnsi="Book Antiqua"/>
          <w:sz w:val="20"/>
          <w:szCs w:val="20"/>
        </w:rPr>
        <w:t xml:space="preserve"> 2005; </w:t>
      </w:r>
      <w:r w:rsidRPr="00E709A1">
        <w:rPr>
          <w:rFonts w:ascii="Book Antiqua" w:hAnsi="Book Antiqua"/>
          <w:b/>
          <w:sz w:val="20"/>
          <w:szCs w:val="20"/>
        </w:rPr>
        <w:t>66</w:t>
      </w:r>
      <w:r w:rsidRPr="00E709A1">
        <w:rPr>
          <w:rFonts w:ascii="Book Antiqua" w:hAnsi="Book Antiqua"/>
          <w:sz w:val="20"/>
          <w:szCs w:val="20"/>
        </w:rPr>
        <w:t>: 1109 [PMID: 16286140 DOI: 10.1016/j.urology.2005.05.038]</w:t>
      </w:r>
    </w:p>
    <w:p w14:paraId="7BF1C5CB"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25 </w:t>
      </w:r>
      <w:r w:rsidRPr="00E709A1">
        <w:rPr>
          <w:rFonts w:ascii="Book Antiqua" w:hAnsi="Book Antiqua"/>
          <w:b/>
          <w:sz w:val="20"/>
          <w:szCs w:val="20"/>
        </w:rPr>
        <w:t>Wen SC</w:t>
      </w:r>
      <w:r w:rsidRPr="00E709A1">
        <w:rPr>
          <w:rFonts w:ascii="Book Antiqua" w:hAnsi="Book Antiqua"/>
          <w:sz w:val="20"/>
          <w:szCs w:val="20"/>
        </w:rPr>
        <w:t xml:space="preserve">, Shen JT, Jang MY, Tsai KB, Chang SF, Tsai LJ, Wu WJ. Lymphoepithelioma-like carcinoma of ureter-a rare case report and review of the literature. </w:t>
      </w:r>
      <w:r w:rsidRPr="00E709A1">
        <w:rPr>
          <w:rFonts w:ascii="Book Antiqua" w:hAnsi="Book Antiqua"/>
          <w:i/>
          <w:sz w:val="20"/>
          <w:szCs w:val="20"/>
        </w:rPr>
        <w:t>Kaohsiung J Med Sci</w:t>
      </w:r>
      <w:r w:rsidRPr="00E709A1">
        <w:rPr>
          <w:rFonts w:ascii="Book Antiqua" w:hAnsi="Book Antiqua"/>
          <w:sz w:val="20"/>
          <w:szCs w:val="20"/>
        </w:rPr>
        <w:t xml:space="preserve"> 2012; </w:t>
      </w:r>
      <w:r w:rsidRPr="00E709A1">
        <w:rPr>
          <w:rFonts w:ascii="Book Antiqua" w:hAnsi="Book Antiqua"/>
          <w:b/>
          <w:sz w:val="20"/>
          <w:szCs w:val="20"/>
        </w:rPr>
        <w:t>28</w:t>
      </w:r>
      <w:r w:rsidRPr="00E709A1">
        <w:rPr>
          <w:rFonts w:ascii="Book Antiqua" w:hAnsi="Book Antiqua"/>
          <w:sz w:val="20"/>
          <w:szCs w:val="20"/>
        </w:rPr>
        <w:t>: 509-513 [PMID: 22974672 DOI: 10.1016/j.kjms.2012.04.010]</w:t>
      </w:r>
    </w:p>
    <w:p w14:paraId="053DF037"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26 </w:t>
      </w:r>
      <w:r w:rsidRPr="00E709A1">
        <w:rPr>
          <w:rFonts w:ascii="Book Antiqua" w:hAnsi="Book Antiqua"/>
          <w:b/>
          <w:sz w:val="20"/>
          <w:szCs w:val="20"/>
        </w:rPr>
        <w:t>Haga K</w:t>
      </w:r>
      <w:r w:rsidRPr="00E709A1">
        <w:rPr>
          <w:rFonts w:ascii="Book Antiqua" w:hAnsi="Book Antiqua"/>
          <w:sz w:val="20"/>
          <w:szCs w:val="20"/>
        </w:rPr>
        <w:t xml:space="preserve">, Aoyagi T, Kashiwagi A, Yamashiro K, Nagamori S. Lymphoepithelioma-like carcinoma of the renal pelvis. </w:t>
      </w:r>
      <w:r w:rsidRPr="00E709A1">
        <w:rPr>
          <w:rFonts w:ascii="Book Antiqua" w:hAnsi="Book Antiqua"/>
          <w:i/>
          <w:sz w:val="20"/>
          <w:szCs w:val="20"/>
        </w:rPr>
        <w:t>Int J Urol</w:t>
      </w:r>
      <w:r w:rsidRPr="00E709A1">
        <w:rPr>
          <w:rFonts w:ascii="Book Antiqua" w:hAnsi="Book Antiqua"/>
          <w:sz w:val="20"/>
          <w:szCs w:val="20"/>
        </w:rPr>
        <w:t xml:space="preserve"> 2007; </w:t>
      </w:r>
      <w:r w:rsidRPr="00E709A1">
        <w:rPr>
          <w:rFonts w:ascii="Book Antiqua" w:hAnsi="Book Antiqua"/>
          <w:b/>
          <w:sz w:val="20"/>
          <w:szCs w:val="20"/>
        </w:rPr>
        <w:t>14</w:t>
      </w:r>
      <w:r w:rsidRPr="00E709A1">
        <w:rPr>
          <w:rFonts w:ascii="Book Antiqua" w:hAnsi="Book Antiqua"/>
          <w:sz w:val="20"/>
          <w:szCs w:val="20"/>
        </w:rPr>
        <w:t>: 851-853 [PMID: 17760754 DOI: 10.1111/j.1442-2042.2007.01846.x]</w:t>
      </w:r>
    </w:p>
    <w:p w14:paraId="34351E03"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27 </w:t>
      </w:r>
      <w:r w:rsidRPr="00E709A1">
        <w:rPr>
          <w:rFonts w:ascii="Book Antiqua" w:hAnsi="Book Antiqua"/>
          <w:b/>
          <w:sz w:val="20"/>
          <w:szCs w:val="20"/>
        </w:rPr>
        <w:t>Val-Bernal JF</w:t>
      </w:r>
      <w:r w:rsidRPr="00E709A1">
        <w:rPr>
          <w:rFonts w:ascii="Book Antiqua" w:hAnsi="Book Antiqua"/>
          <w:sz w:val="20"/>
          <w:szCs w:val="20"/>
        </w:rPr>
        <w:t xml:space="preserve">, González-Márquez P, Ballestero R, Zubillaga S. Primary lymphoepithelioma-like carcinoma of the ureter. </w:t>
      </w:r>
      <w:r w:rsidRPr="00E709A1">
        <w:rPr>
          <w:rFonts w:ascii="Book Antiqua" w:hAnsi="Book Antiqua"/>
          <w:i/>
          <w:sz w:val="20"/>
          <w:szCs w:val="20"/>
        </w:rPr>
        <w:t>Ann Diagn Pathol</w:t>
      </w:r>
      <w:r w:rsidRPr="00E709A1">
        <w:rPr>
          <w:rFonts w:ascii="Book Antiqua" w:hAnsi="Book Antiqua"/>
          <w:sz w:val="20"/>
          <w:szCs w:val="20"/>
        </w:rPr>
        <w:t xml:space="preserve"> 2011; </w:t>
      </w:r>
      <w:r w:rsidRPr="00E709A1">
        <w:rPr>
          <w:rFonts w:ascii="Book Antiqua" w:hAnsi="Book Antiqua"/>
          <w:b/>
          <w:sz w:val="20"/>
          <w:szCs w:val="20"/>
        </w:rPr>
        <w:t>15</w:t>
      </w:r>
      <w:r w:rsidRPr="00E709A1">
        <w:rPr>
          <w:rFonts w:ascii="Book Antiqua" w:hAnsi="Book Antiqua"/>
          <w:sz w:val="20"/>
          <w:szCs w:val="20"/>
        </w:rPr>
        <w:t>: 218-220 [PMID: 21396867 DOI: 10.1016/j.anndiagpath.2010.10.008]</w:t>
      </w:r>
    </w:p>
    <w:p w14:paraId="74CD1D1F"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28 </w:t>
      </w:r>
      <w:r w:rsidRPr="00E709A1">
        <w:rPr>
          <w:rFonts w:ascii="Book Antiqua" w:hAnsi="Book Antiqua"/>
          <w:b/>
          <w:sz w:val="20"/>
          <w:szCs w:val="20"/>
        </w:rPr>
        <w:t>Ouzzane A</w:t>
      </w:r>
      <w:r w:rsidRPr="00E709A1">
        <w:rPr>
          <w:rFonts w:ascii="Book Antiqua" w:hAnsi="Book Antiqua"/>
          <w:sz w:val="20"/>
          <w:szCs w:val="20"/>
        </w:rPr>
        <w:t xml:space="preserve">, Ghoneim TP, Udo K, Verhasselt-Crinquette M, Puech P, Betrouni N, Rouprêt M, Villers A, Leroy X, Colin P. Small cell carcinoma of the upper urinary tract (UUT-SCC): report of a rare entity and systematic review of the literature. </w:t>
      </w:r>
      <w:r w:rsidRPr="00E709A1">
        <w:rPr>
          <w:rFonts w:ascii="Book Antiqua" w:hAnsi="Book Antiqua"/>
          <w:i/>
          <w:sz w:val="20"/>
          <w:szCs w:val="20"/>
        </w:rPr>
        <w:t>Cancer Treat Rev</w:t>
      </w:r>
      <w:r w:rsidRPr="00E709A1">
        <w:rPr>
          <w:rFonts w:ascii="Book Antiqua" w:hAnsi="Book Antiqua"/>
          <w:sz w:val="20"/>
          <w:szCs w:val="20"/>
        </w:rPr>
        <w:t xml:space="preserve"> 2011; </w:t>
      </w:r>
      <w:r w:rsidRPr="00E709A1">
        <w:rPr>
          <w:rFonts w:ascii="Book Antiqua" w:hAnsi="Book Antiqua"/>
          <w:b/>
          <w:sz w:val="20"/>
          <w:szCs w:val="20"/>
        </w:rPr>
        <w:t>37</w:t>
      </w:r>
      <w:r w:rsidRPr="00E709A1">
        <w:rPr>
          <w:rFonts w:ascii="Book Antiqua" w:hAnsi="Book Antiqua"/>
          <w:sz w:val="20"/>
          <w:szCs w:val="20"/>
        </w:rPr>
        <w:t>: 366-372 [PMID: 21257269 DOI: 10.1016/j.ctrv.2010.12.005]</w:t>
      </w:r>
    </w:p>
    <w:p w14:paraId="7BE32BC3" w14:textId="77777777"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29 </w:t>
      </w:r>
      <w:r w:rsidRPr="00E709A1">
        <w:rPr>
          <w:rFonts w:ascii="Book Antiqua" w:hAnsi="Book Antiqua"/>
          <w:b/>
          <w:sz w:val="20"/>
          <w:szCs w:val="20"/>
        </w:rPr>
        <w:t>David KA</w:t>
      </w:r>
      <w:r w:rsidRPr="00E709A1">
        <w:rPr>
          <w:rFonts w:ascii="Book Antiqua" w:hAnsi="Book Antiqua"/>
          <w:sz w:val="20"/>
          <w:szCs w:val="20"/>
        </w:rPr>
        <w:t xml:space="preserve">, Mallin K, Milowsky MI, Ritchey J, Carroll PR, Nanus DM. Surveillance of urothelial carcinoma: stage and grade migration, 1993-2005 and survival trends, 1993-2000. </w:t>
      </w:r>
      <w:r w:rsidRPr="00E709A1">
        <w:rPr>
          <w:rFonts w:ascii="Book Antiqua" w:hAnsi="Book Antiqua"/>
          <w:i/>
          <w:sz w:val="20"/>
          <w:szCs w:val="20"/>
        </w:rPr>
        <w:t>Cancer</w:t>
      </w:r>
      <w:r w:rsidRPr="00E709A1">
        <w:rPr>
          <w:rFonts w:ascii="Book Antiqua" w:hAnsi="Book Antiqua"/>
          <w:sz w:val="20"/>
          <w:szCs w:val="20"/>
        </w:rPr>
        <w:t xml:space="preserve"> 2009; </w:t>
      </w:r>
      <w:r w:rsidRPr="00E709A1">
        <w:rPr>
          <w:rFonts w:ascii="Book Antiqua" w:hAnsi="Book Antiqua"/>
          <w:b/>
          <w:sz w:val="20"/>
          <w:szCs w:val="20"/>
        </w:rPr>
        <w:t>115</w:t>
      </w:r>
      <w:r w:rsidRPr="00E709A1">
        <w:rPr>
          <w:rFonts w:ascii="Book Antiqua" w:hAnsi="Book Antiqua"/>
          <w:sz w:val="20"/>
          <w:szCs w:val="20"/>
        </w:rPr>
        <w:t>: 1435-1447 [PMID: 19215030 DOI: 10.1002/cncr.24147]</w:t>
      </w:r>
    </w:p>
    <w:p w14:paraId="141E4E0A" w14:textId="68B9DC4E" w:rsidR="00E474F1" w:rsidRPr="00E709A1" w:rsidRDefault="00E474F1" w:rsidP="00310F13">
      <w:pPr>
        <w:snapToGrid w:val="0"/>
        <w:spacing w:line="360" w:lineRule="auto"/>
        <w:rPr>
          <w:rFonts w:ascii="Book Antiqua" w:hAnsi="Book Antiqua"/>
          <w:sz w:val="20"/>
          <w:szCs w:val="20"/>
        </w:rPr>
      </w:pPr>
      <w:r w:rsidRPr="00E709A1">
        <w:rPr>
          <w:rFonts w:ascii="Book Antiqua" w:hAnsi="Book Antiqua"/>
          <w:sz w:val="20"/>
          <w:szCs w:val="20"/>
        </w:rPr>
        <w:t xml:space="preserve">30 </w:t>
      </w:r>
      <w:r w:rsidRPr="00E709A1">
        <w:rPr>
          <w:rFonts w:ascii="Book Antiqua" w:hAnsi="Book Antiqua"/>
          <w:b/>
          <w:sz w:val="20"/>
          <w:szCs w:val="20"/>
        </w:rPr>
        <w:t>Humphrey PA</w:t>
      </w:r>
      <w:r w:rsidRPr="00E709A1">
        <w:rPr>
          <w:rFonts w:ascii="Book Antiqua" w:hAnsi="Book Antiqua"/>
          <w:sz w:val="20"/>
          <w:szCs w:val="20"/>
        </w:rPr>
        <w:t xml:space="preserve">, Moch H, Cubilla AL, Ulbright TM, Reuter VE. The 2016 WHO Classification of Tumours of the Urinary System and Male Genital Organs-Part B: Prostate and Bladder Tumours. </w:t>
      </w:r>
      <w:r w:rsidRPr="00E709A1">
        <w:rPr>
          <w:rFonts w:ascii="Book Antiqua" w:hAnsi="Book Antiqua"/>
          <w:i/>
          <w:sz w:val="20"/>
          <w:szCs w:val="20"/>
        </w:rPr>
        <w:t>Eur Urol</w:t>
      </w:r>
      <w:r w:rsidRPr="00E709A1">
        <w:rPr>
          <w:rFonts w:ascii="Book Antiqua" w:hAnsi="Book Antiqua"/>
          <w:sz w:val="20"/>
          <w:szCs w:val="20"/>
        </w:rPr>
        <w:t xml:space="preserve"> 2016; </w:t>
      </w:r>
      <w:r w:rsidRPr="00E709A1">
        <w:rPr>
          <w:rFonts w:ascii="Book Antiqua" w:hAnsi="Book Antiqua"/>
          <w:b/>
          <w:sz w:val="20"/>
          <w:szCs w:val="20"/>
        </w:rPr>
        <w:t>70</w:t>
      </w:r>
      <w:r w:rsidRPr="00E709A1">
        <w:rPr>
          <w:rFonts w:ascii="Book Antiqua" w:hAnsi="Book Antiqua"/>
          <w:sz w:val="20"/>
          <w:szCs w:val="20"/>
        </w:rPr>
        <w:t>: 106-119 [PMID: 26996659 DOI: 10.1016/j.eururo.2016.02.028]</w:t>
      </w:r>
    </w:p>
    <w:p w14:paraId="1675B68E" w14:textId="77777777" w:rsidR="0083216F" w:rsidRPr="00E709A1" w:rsidRDefault="00624006" w:rsidP="00310F13">
      <w:pPr>
        <w:adjustRightInd w:val="0"/>
        <w:snapToGrid w:val="0"/>
        <w:spacing w:line="360" w:lineRule="auto"/>
        <w:rPr>
          <w:rFonts w:ascii="Book Antiqua" w:hAnsi="Book Antiqua"/>
          <w:b/>
          <w:sz w:val="20"/>
          <w:szCs w:val="20"/>
        </w:rPr>
      </w:pPr>
      <w:r w:rsidRPr="00E709A1">
        <w:rPr>
          <w:rFonts w:ascii="Book Antiqua" w:eastAsia="宋体" w:hAnsi="Book Antiqua" w:cs="Times New Roman"/>
          <w:sz w:val="20"/>
          <w:szCs w:val="20"/>
        </w:rPr>
        <w:br w:type="page"/>
      </w:r>
      <w:r w:rsidR="0083216F" w:rsidRPr="00E709A1">
        <w:rPr>
          <w:rFonts w:ascii="Book Antiqua" w:hAnsi="Book Antiqua"/>
          <w:b/>
          <w:sz w:val="20"/>
          <w:szCs w:val="20"/>
        </w:rPr>
        <w:lastRenderedPageBreak/>
        <w:t>Footnotes</w:t>
      </w:r>
    </w:p>
    <w:p w14:paraId="5A48D1C9" w14:textId="25F6F1B0" w:rsidR="000705B7" w:rsidRPr="00E709A1" w:rsidRDefault="0083216F" w:rsidP="00310F13">
      <w:pPr>
        <w:widowControl/>
        <w:snapToGrid w:val="0"/>
        <w:spacing w:line="360" w:lineRule="auto"/>
        <w:outlineLvl w:val="0"/>
        <w:rPr>
          <w:rFonts w:ascii="Book Antiqua" w:hAnsi="Book Antiqua" w:cs="Times New Roman"/>
          <w:bCs/>
          <w:sz w:val="20"/>
          <w:szCs w:val="20"/>
        </w:rPr>
      </w:pPr>
      <w:r w:rsidRPr="00E709A1">
        <w:rPr>
          <w:rFonts w:ascii="Book Antiqua" w:hAnsi="Book Antiqua"/>
          <w:b/>
          <w:sz w:val="20"/>
          <w:szCs w:val="20"/>
        </w:rPr>
        <w:t>Conflict-of-interest statement</w:t>
      </w:r>
      <w:r w:rsidRPr="00E709A1">
        <w:rPr>
          <w:rFonts w:ascii="Book Antiqua" w:hAnsi="Book Antiqua" w:cs="TimesNewRomanPS-BoldItalicMT"/>
          <w:b/>
          <w:bCs/>
          <w:iCs/>
          <w:sz w:val="20"/>
          <w:szCs w:val="20"/>
        </w:rPr>
        <w:t xml:space="preserve">: </w:t>
      </w:r>
      <w:r w:rsidR="00624006" w:rsidRPr="00E709A1">
        <w:rPr>
          <w:rFonts w:ascii="Book Antiqua" w:hAnsi="Book Antiqua" w:cs="Times New Roman"/>
          <w:bCs/>
          <w:sz w:val="20"/>
          <w:szCs w:val="20"/>
        </w:rPr>
        <w:t>The authors declare that they have no competing interests.</w:t>
      </w:r>
    </w:p>
    <w:p w14:paraId="0DA2C415" w14:textId="77777777" w:rsidR="0083216F" w:rsidRPr="00E709A1" w:rsidRDefault="0083216F" w:rsidP="00310F13">
      <w:pPr>
        <w:widowControl/>
        <w:snapToGrid w:val="0"/>
        <w:spacing w:line="360" w:lineRule="auto"/>
        <w:outlineLvl w:val="0"/>
        <w:rPr>
          <w:rStyle w:val="fontstyle21"/>
          <w:rFonts w:cs="Times New Roman"/>
          <w:bCs/>
          <w:color w:val="auto"/>
          <w:sz w:val="20"/>
          <w:szCs w:val="20"/>
        </w:rPr>
      </w:pPr>
    </w:p>
    <w:p w14:paraId="36A4F4D8" w14:textId="258DD33D" w:rsidR="000705B7" w:rsidRPr="00E709A1" w:rsidRDefault="0083216F" w:rsidP="00310F13">
      <w:pPr>
        <w:kinsoku w:val="0"/>
        <w:overflowPunct w:val="0"/>
        <w:autoSpaceDE w:val="0"/>
        <w:autoSpaceDN w:val="0"/>
        <w:adjustRightInd w:val="0"/>
        <w:snapToGrid w:val="0"/>
        <w:spacing w:line="360" w:lineRule="auto"/>
        <w:rPr>
          <w:rFonts w:ascii="Book Antiqua" w:eastAsia="宋体" w:hAnsi="Book Antiqua"/>
          <w:bCs/>
          <w:kern w:val="36"/>
          <w:sz w:val="20"/>
          <w:szCs w:val="20"/>
        </w:rPr>
      </w:pPr>
      <w:bookmarkStart w:id="42" w:name="_Hlk22246610"/>
      <w:r w:rsidRPr="00E709A1">
        <w:rPr>
          <w:rStyle w:val="ab"/>
          <w:rFonts w:ascii="Book Antiqua" w:hAnsi="Book Antiqua"/>
          <w:sz w:val="20"/>
          <w:szCs w:val="20"/>
        </w:rPr>
        <w:t>PRISMA 2009 Checklist</w:t>
      </w:r>
      <w:r w:rsidRPr="00E709A1">
        <w:rPr>
          <w:rFonts w:ascii="Book Antiqua" w:hAnsi="Book Antiqua"/>
          <w:b/>
          <w:snapToGrid w:val="0"/>
          <w:kern w:val="10"/>
          <w:sz w:val="20"/>
          <w:szCs w:val="20"/>
        </w:rPr>
        <w:t xml:space="preserve"> </w:t>
      </w:r>
      <w:r w:rsidRPr="00E709A1">
        <w:rPr>
          <w:rFonts w:ascii="Book Antiqua" w:hAnsi="Book Antiqua" w:cs="Tahoma"/>
          <w:b/>
          <w:bCs/>
          <w:sz w:val="20"/>
          <w:szCs w:val="20"/>
        </w:rPr>
        <w:t>statement</w:t>
      </w:r>
      <w:r w:rsidRPr="00E709A1">
        <w:rPr>
          <w:rFonts w:ascii="Book Antiqua" w:hAnsi="Book Antiqua" w:cs="Book Antiqua"/>
          <w:b/>
          <w:bCs/>
          <w:iCs/>
          <w:sz w:val="20"/>
          <w:szCs w:val="20"/>
        </w:rPr>
        <w:t xml:space="preserve">: </w:t>
      </w:r>
      <w:r w:rsidR="00624006" w:rsidRPr="00E709A1">
        <w:rPr>
          <w:rFonts w:ascii="Book Antiqua" w:eastAsia="宋体" w:hAnsi="Book Antiqua"/>
          <w:bCs/>
          <w:kern w:val="36"/>
          <w:sz w:val="20"/>
          <w:szCs w:val="20"/>
        </w:rPr>
        <w:t>The authors have read the PRISMA 2009 Checklist, and the manuscript was prepared and revised according to the PRISMA 2009 Checklist.</w:t>
      </w:r>
      <w:bookmarkEnd w:id="42"/>
    </w:p>
    <w:p w14:paraId="59E1E295" w14:textId="77777777" w:rsidR="0083216F" w:rsidRPr="00E709A1" w:rsidRDefault="0083216F" w:rsidP="00310F13">
      <w:pPr>
        <w:kinsoku w:val="0"/>
        <w:overflowPunct w:val="0"/>
        <w:autoSpaceDE w:val="0"/>
        <w:autoSpaceDN w:val="0"/>
        <w:adjustRightInd w:val="0"/>
        <w:snapToGrid w:val="0"/>
        <w:spacing w:line="360" w:lineRule="auto"/>
        <w:rPr>
          <w:rFonts w:ascii="Book Antiqua" w:hAnsi="Book Antiqua" w:cs="Book Antiqua"/>
          <w:b/>
          <w:bCs/>
          <w:iCs/>
          <w:sz w:val="20"/>
          <w:szCs w:val="20"/>
        </w:rPr>
      </w:pPr>
    </w:p>
    <w:p w14:paraId="16F6E6CA" w14:textId="112214FB" w:rsidR="0083216F" w:rsidRPr="00E709A1" w:rsidRDefault="0083216F" w:rsidP="00310F13">
      <w:pPr>
        <w:snapToGrid w:val="0"/>
        <w:spacing w:line="360" w:lineRule="auto"/>
        <w:rPr>
          <w:rFonts w:ascii="Book Antiqua" w:hAnsi="Book Antiqua"/>
          <w:sz w:val="20"/>
          <w:szCs w:val="20"/>
        </w:rPr>
      </w:pPr>
      <w:bookmarkStart w:id="43" w:name="OLE_LINK195"/>
      <w:bookmarkStart w:id="44" w:name="OLE_LINK196"/>
      <w:bookmarkStart w:id="45" w:name="OLE_LINK272"/>
      <w:bookmarkStart w:id="46" w:name="OLE_LINK1847"/>
      <w:bookmarkStart w:id="47" w:name="OLE_LINK381"/>
      <w:bookmarkStart w:id="48" w:name="OLE_LINK416"/>
      <w:r w:rsidRPr="00E709A1">
        <w:rPr>
          <w:rFonts w:ascii="Book Antiqua" w:hAnsi="Book Antiqua"/>
          <w:b/>
          <w:sz w:val="20"/>
          <w:szCs w:val="20"/>
        </w:rPr>
        <w:t xml:space="preserve">Open-Access: </w:t>
      </w:r>
      <w:bookmarkStart w:id="49" w:name="OLE_LINK479"/>
      <w:bookmarkStart w:id="50" w:name="OLE_LINK496"/>
      <w:bookmarkStart w:id="51" w:name="OLE_LINK506"/>
      <w:bookmarkStart w:id="52" w:name="OLE_LINK507"/>
      <w:bookmarkStart w:id="53" w:name="OLE_LINK498"/>
      <w:r w:rsidRPr="00E709A1">
        <w:rPr>
          <w:rFonts w:ascii="Book Antiqua" w:hAnsi="Book Antiqua"/>
          <w:sz w:val="20"/>
          <w:szCs w:val="20"/>
        </w:rPr>
        <w:t>This article is an open-access article </w:t>
      </w:r>
      <w:r w:rsidR="00EC3D13" w:rsidRPr="00E709A1">
        <w:rPr>
          <w:rFonts w:ascii="Book Antiqua" w:hAnsi="Book Antiqua"/>
          <w:sz w:val="20"/>
          <w:szCs w:val="20"/>
        </w:rPr>
        <w:t xml:space="preserve">that </w:t>
      </w:r>
      <w:r w:rsidRPr="00E709A1">
        <w:rPr>
          <w:rFonts w:ascii="Book Antiqua" w:hAnsi="Book Antiqua"/>
          <w:sz w:val="20"/>
          <w:szCs w:val="20"/>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9"/>
      <w:bookmarkEnd w:id="50"/>
      <w:bookmarkEnd w:id="51"/>
      <w:bookmarkEnd w:id="52"/>
    </w:p>
    <w:p w14:paraId="19009C24" w14:textId="77777777" w:rsidR="0083216F" w:rsidRPr="00E709A1" w:rsidRDefault="0083216F" w:rsidP="00310F13">
      <w:pPr>
        <w:snapToGrid w:val="0"/>
        <w:spacing w:line="360" w:lineRule="auto"/>
        <w:rPr>
          <w:rFonts w:ascii="Book Antiqua" w:hAnsi="Book Antiqua" w:cs="宋体"/>
          <w:sz w:val="20"/>
          <w:szCs w:val="20"/>
        </w:rPr>
      </w:pPr>
    </w:p>
    <w:bookmarkEnd w:id="43"/>
    <w:bookmarkEnd w:id="44"/>
    <w:bookmarkEnd w:id="45"/>
    <w:bookmarkEnd w:id="46"/>
    <w:bookmarkEnd w:id="47"/>
    <w:bookmarkEnd w:id="48"/>
    <w:bookmarkEnd w:id="53"/>
    <w:p w14:paraId="6D272CBD" w14:textId="75C41F98" w:rsidR="000705B7" w:rsidRPr="00E709A1" w:rsidRDefault="0083216F" w:rsidP="00310F13">
      <w:pPr>
        <w:widowControl/>
        <w:snapToGrid w:val="0"/>
        <w:spacing w:line="360" w:lineRule="auto"/>
        <w:outlineLvl w:val="0"/>
        <w:rPr>
          <w:rFonts w:ascii="Book Antiqua" w:hAnsi="Book Antiqua" w:cs="Times New Roman"/>
          <w:sz w:val="20"/>
          <w:szCs w:val="20"/>
        </w:rPr>
      </w:pPr>
      <w:r w:rsidRPr="00E709A1">
        <w:rPr>
          <w:rFonts w:ascii="Book Antiqua" w:hAnsi="Book Antiqua"/>
          <w:b/>
          <w:bCs/>
          <w:sz w:val="20"/>
          <w:szCs w:val="20"/>
          <w:lang w:eastAsia="pl-PL"/>
        </w:rPr>
        <w:t>Manuscript source:</w:t>
      </w:r>
      <w:r w:rsidR="00624006" w:rsidRPr="00E709A1">
        <w:rPr>
          <w:rFonts w:ascii="Book Antiqua" w:hAnsi="Book Antiqua" w:cs="Times New Roman"/>
          <w:b/>
          <w:bCs/>
          <w:sz w:val="20"/>
          <w:szCs w:val="20"/>
        </w:rPr>
        <w:t xml:space="preserve"> </w:t>
      </w:r>
      <w:r w:rsidR="00624006" w:rsidRPr="00E709A1">
        <w:rPr>
          <w:rFonts w:ascii="Book Antiqua" w:hAnsi="Book Antiqua" w:cs="Times New Roman"/>
          <w:sz w:val="20"/>
          <w:szCs w:val="20"/>
        </w:rPr>
        <w:t>Invited manuscript</w:t>
      </w:r>
    </w:p>
    <w:p w14:paraId="7FFCF79C" w14:textId="77777777" w:rsidR="0083216F" w:rsidRPr="00E709A1" w:rsidRDefault="0083216F" w:rsidP="00310F13">
      <w:pPr>
        <w:widowControl/>
        <w:snapToGrid w:val="0"/>
        <w:spacing w:line="360" w:lineRule="auto"/>
        <w:outlineLvl w:val="0"/>
        <w:rPr>
          <w:rFonts w:ascii="Book Antiqua" w:hAnsi="Book Antiqua" w:cs="Times New Roman"/>
          <w:sz w:val="20"/>
          <w:szCs w:val="20"/>
        </w:rPr>
      </w:pPr>
    </w:p>
    <w:p w14:paraId="62AC47EE" w14:textId="77777777"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b/>
          <w:bCs/>
          <w:sz w:val="20"/>
          <w:szCs w:val="20"/>
        </w:rPr>
        <w:t xml:space="preserve">Peer-review started: </w:t>
      </w:r>
      <w:r w:rsidRPr="00E709A1">
        <w:rPr>
          <w:rFonts w:ascii="Book Antiqua" w:hAnsi="Book Antiqua" w:cs="Times New Roman"/>
          <w:bCs/>
          <w:sz w:val="20"/>
          <w:szCs w:val="20"/>
        </w:rPr>
        <w:t>October</w:t>
      </w:r>
      <w:r w:rsidR="0083216F" w:rsidRPr="00E709A1">
        <w:rPr>
          <w:rFonts w:ascii="Book Antiqua" w:hAnsi="Book Antiqua" w:cs="Times New Roman"/>
          <w:bCs/>
          <w:sz w:val="20"/>
          <w:szCs w:val="20"/>
        </w:rPr>
        <w:t xml:space="preserve"> </w:t>
      </w:r>
      <w:r w:rsidRPr="00E709A1">
        <w:rPr>
          <w:rFonts w:ascii="Book Antiqua" w:hAnsi="Book Antiqua" w:cs="Times New Roman"/>
          <w:bCs/>
          <w:sz w:val="20"/>
          <w:szCs w:val="20"/>
        </w:rPr>
        <w:t>20, 2019</w:t>
      </w:r>
    </w:p>
    <w:p w14:paraId="0C9A9D0E" w14:textId="68540EF3" w:rsidR="000705B7"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b/>
          <w:bCs/>
          <w:sz w:val="20"/>
          <w:szCs w:val="20"/>
        </w:rPr>
        <w:t xml:space="preserve">First decision: </w:t>
      </w:r>
      <w:r w:rsidR="0083216F" w:rsidRPr="00E709A1">
        <w:rPr>
          <w:rFonts w:ascii="Book Antiqua" w:hAnsi="Book Antiqua" w:cs="Times New Roman"/>
          <w:sz w:val="20"/>
          <w:szCs w:val="20"/>
        </w:rPr>
        <w:t>December</w:t>
      </w:r>
      <w:r w:rsidRPr="00E709A1">
        <w:rPr>
          <w:rFonts w:ascii="Book Antiqua" w:hAnsi="Book Antiqua" w:cs="Times New Roman"/>
          <w:sz w:val="20"/>
          <w:szCs w:val="20"/>
        </w:rPr>
        <w:t xml:space="preserve"> </w:t>
      </w:r>
      <w:r w:rsidR="0083216F" w:rsidRPr="00E709A1">
        <w:rPr>
          <w:rFonts w:ascii="Book Antiqua" w:hAnsi="Book Antiqua" w:cs="Times New Roman"/>
          <w:sz w:val="20"/>
          <w:szCs w:val="20"/>
        </w:rPr>
        <w:t>4</w:t>
      </w:r>
      <w:r w:rsidRPr="00E709A1">
        <w:rPr>
          <w:rFonts w:ascii="Book Antiqua" w:hAnsi="Book Antiqua" w:cs="Times New Roman"/>
          <w:sz w:val="20"/>
          <w:szCs w:val="20"/>
        </w:rPr>
        <w:t>, 2019</w:t>
      </w:r>
      <w:r w:rsidRPr="00E709A1">
        <w:rPr>
          <w:rFonts w:ascii="Book Antiqua" w:hAnsi="Book Antiqua" w:cs="Times New Roman"/>
          <w:sz w:val="20"/>
          <w:szCs w:val="20"/>
        </w:rPr>
        <w:br/>
      </w:r>
      <w:r w:rsidRPr="00E709A1">
        <w:rPr>
          <w:rFonts w:ascii="Book Antiqua" w:hAnsi="Book Antiqua" w:cs="Times New Roman"/>
          <w:b/>
          <w:bCs/>
          <w:sz w:val="20"/>
          <w:szCs w:val="20"/>
        </w:rPr>
        <w:t>Article in press:</w:t>
      </w:r>
      <w:r w:rsidR="00905324" w:rsidRPr="00905324">
        <w:rPr>
          <w:rFonts w:ascii="Book Antiqua" w:eastAsia="宋体" w:hAnsi="Book Antiqua" w:cs="Times New Roman"/>
          <w:bCs/>
          <w:sz w:val="20"/>
          <w:szCs w:val="20"/>
        </w:rPr>
        <w:t xml:space="preserve"> </w:t>
      </w:r>
      <w:r w:rsidR="00905324" w:rsidRPr="00E709A1">
        <w:rPr>
          <w:rFonts w:ascii="Book Antiqua" w:eastAsia="宋体" w:hAnsi="Book Antiqua" w:cs="Times New Roman"/>
          <w:bCs/>
          <w:sz w:val="20"/>
          <w:szCs w:val="20"/>
        </w:rPr>
        <w:t>December 22, 2019</w:t>
      </w:r>
    </w:p>
    <w:p w14:paraId="3C23D3D5" w14:textId="77777777" w:rsidR="0083216F" w:rsidRPr="00E709A1" w:rsidRDefault="0083216F" w:rsidP="00310F13">
      <w:pPr>
        <w:widowControl/>
        <w:snapToGrid w:val="0"/>
        <w:spacing w:line="360" w:lineRule="auto"/>
        <w:outlineLvl w:val="0"/>
        <w:rPr>
          <w:rFonts w:ascii="Book Antiqua" w:hAnsi="Book Antiqua" w:cs="Times New Roman"/>
          <w:b/>
          <w:bCs/>
          <w:sz w:val="20"/>
          <w:szCs w:val="20"/>
        </w:rPr>
      </w:pPr>
    </w:p>
    <w:p w14:paraId="0D123474" w14:textId="77777777"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b/>
          <w:bCs/>
          <w:sz w:val="20"/>
          <w:szCs w:val="20"/>
        </w:rPr>
        <w:t xml:space="preserve">Specialty type: </w:t>
      </w:r>
      <w:r w:rsidR="0083216F" w:rsidRPr="00E709A1">
        <w:rPr>
          <w:rFonts w:ascii="Book Antiqua" w:hAnsi="Book Antiqua" w:cs="Times New Roman"/>
          <w:sz w:val="20"/>
          <w:szCs w:val="20"/>
        </w:rPr>
        <w:t>Medicine, Research and Experimental</w:t>
      </w:r>
    </w:p>
    <w:p w14:paraId="0907F9F4" w14:textId="645E3488"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b/>
          <w:bCs/>
          <w:sz w:val="20"/>
          <w:szCs w:val="20"/>
        </w:rPr>
        <w:t xml:space="preserve">Country of origin: </w:t>
      </w:r>
      <w:r w:rsidRPr="00E709A1">
        <w:rPr>
          <w:rFonts w:ascii="Book Antiqua" w:hAnsi="Book Antiqua" w:cs="Times New Roman"/>
          <w:sz w:val="20"/>
          <w:szCs w:val="20"/>
        </w:rPr>
        <w:t>China</w:t>
      </w:r>
    </w:p>
    <w:p w14:paraId="6841BAC8" w14:textId="77777777" w:rsidR="0083216F" w:rsidRPr="00E709A1" w:rsidRDefault="00624006" w:rsidP="00310F13">
      <w:pPr>
        <w:widowControl/>
        <w:snapToGrid w:val="0"/>
        <w:spacing w:line="360" w:lineRule="auto"/>
        <w:outlineLvl w:val="0"/>
        <w:rPr>
          <w:rFonts w:ascii="Book Antiqua" w:hAnsi="Book Antiqua" w:cs="Times New Roman"/>
          <w:b/>
          <w:bCs/>
          <w:sz w:val="20"/>
          <w:szCs w:val="20"/>
        </w:rPr>
      </w:pPr>
      <w:r w:rsidRPr="00E709A1">
        <w:rPr>
          <w:rFonts w:ascii="Book Antiqua" w:hAnsi="Book Antiqua" w:cs="Times New Roman"/>
          <w:b/>
          <w:bCs/>
          <w:sz w:val="20"/>
          <w:szCs w:val="20"/>
        </w:rPr>
        <w:t>Peer-review report classification</w:t>
      </w:r>
    </w:p>
    <w:p w14:paraId="0D4739D3" w14:textId="4BFD4D5E"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sz w:val="20"/>
          <w:szCs w:val="20"/>
        </w:rPr>
        <w:t xml:space="preserve">Grade A (Excellent): </w:t>
      </w:r>
      <w:r w:rsidR="0083216F" w:rsidRPr="00E709A1">
        <w:rPr>
          <w:rFonts w:ascii="Book Antiqua" w:hAnsi="Book Antiqua" w:cs="Times New Roman"/>
          <w:sz w:val="20"/>
          <w:szCs w:val="20"/>
        </w:rPr>
        <w:t>0</w:t>
      </w:r>
    </w:p>
    <w:p w14:paraId="09C454FE" w14:textId="77777777"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sz w:val="20"/>
          <w:szCs w:val="20"/>
        </w:rPr>
        <w:t>Grade B (Very good): B</w:t>
      </w:r>
    </w:p>
    <w:p w14:paraId="4A813FD4" w14:textId="5B7A8899"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sz w:val="20"/>
          <w:szCs w:val="20"/>
        </w:rPr>
        <w:t xml:space="preserve">Grade C (Good): </w:t>
      </w:r>
      <w:r w:rsidR="0083216F" w:rsidRPr="00E709A1">
        <w:rPr>
          <w:rFonts w:ascii="Book Antiqua" w:hAnsi="Book Antiqua" w:cs="Times New Roman"/>
          <w:sz w:val="20"/>
          <w:szCs w:val="20"/>
        </w:rPr>
        <w:t>0</w:t>
      </w:r>
    </w:p>
    <w:p w14:paraId="25D5804E" w14:textId="06D73498"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sz w:val="20"/>
          <w:szCs w:val="20"/>
        </w:rPr>
        <w:t xml:space="preserve">Grade D (Fair): </w:t>
      </w:r>
      <w:r w:rsidR="0083216F" w:rsidRPr="00E709A1">
        <w:rPr>
          <w:rFonts w:ascii="Book Antiqua" w:hAnsi="Book Antiqua" w:cs="Times New Roman"/>
          <w:sz w:val="20"/>
          <w:szCs w:val="20"/>
        </w:rPr>
        <w:t>0</w:t>
      </w:r>
    </w:p>
    <w:p w14:paraId="60DBF379" w14:textId="4D53E06C" w:rsidR="0083216F"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sz w:val="20"/>
          <w:szCs w:val="20"/>
        </w:rPr>
        <w:t xml:space="preserve">Grade E (Poor): </w:t>
      </w:r>
      <w:r w:rsidR="0083216F" w:rsidRPr="00E709A1">
        <w:rPr>
          <w:rFonts w:ascii="Book Antiqua" w:hAnsi="Book Antiqua" w:cs="Times New Roman"/>
          <w:sz w:val="20"/>
          <w:szCs w:val="20"/>
        </w:rPr>
        <w:t>0</w:t>
      </w:r>
    </w:p>
    <w:p w14:paraId="0A98865B" w14:textId="77777777" w:rsidR="00310F13" w:rsidRPr="00E709A1" w:rsidRDefault="00310F13" w:rsidP="00310F13">
      <w:pPr>
        <w:widowControl/>
        <w:snapToGrid w:val="0"/>
        <w:spacing w:line="360" w:lineRule="auto"/>
        <w:outlineLvl w:val="0"/>
        <w:rPr>
          <w:rFonts w:ascii="Book Antiqua" w:hAnsi="Book Antiqua" w:cs="Times New Roman"/>
          <w:b/>
          <w:bCs/>
          <w:sz w:val="20"/>
          <w:szCs w:val="20"/>
        </w:rPr>
      </w:pPr>
    </w:p>
    <w:p w14:paraId="51C513B7" w14:textId="6FB58263" w:rsidR="000705B7" w:rsidRPr="00E709A1" w:rsidRDefault="00624006" w:rsidP="00310F13">
      <w:pPr>
        <w:widowControl/>
        <w:snapToGrid w:val="0"/>
        <w:spacing w:line="360" w:lineRule="auto"/>
        <w:outlineLvl w:val="0"/>
        <w:rPr>
          <w:rFonts w:ascii="Book Antiqua" w:hAnsi="Book Antiqua" w:cs="Times New Roman"/>
          <w:sz w:val="20"/>
          <w:szCs w:val="20"/>
        </w:rPr>
      </w:pPr>
      <w:r w:rsidRPr="00E709A1">
        <w:rPr>
          <w:rFonts w:ascii="Book Antiqua" w:hAnsi="Book Antiqua" w:cs="Times New Roman"/>
          <w:b/>
          <w:bCs/>
          <w:sz w:val="20"/>
          <w:szCs w:val="20"/>
        </w:rPr>
        <w:t>P-Reviewer:</w:t>
      </w:r>
      <w:r w:rsidRPr="00E709A1">
        <w:rPr>
          <w:rFonts w:ascii="Book Antiqua" w:hAnsi="Book Antiqua" w:cs="Times New Roman"/>
          <w:sz w:val="20"/>
          <w:szCs w:val="20"/>
        </w:rPr>
        <w:t xml:space="preserve"> </w:t>
      </w:r>
      <w:r w:rsidR="0083216F" w:rsidRPr="00E709A1">
        <w:rPr>
          <w:rFonts w:ascii="Book Antiqua" w:hAnsi="Book Antiqua"/>
          <w:sz w:val="20"/>
          <w:szCs w:val="20"/>
        </w:rPr>
        <w:t xml:space="preserve">Rodrigues AT </w:t>
      </w:r>
      <w:r w:rsidRPr="00E709A1">
        <w:rPr>
          <w:rFonts w:ascii="Book Antiqua" w:hAnsi="Book Antiqua" w:cs="Times New Roman"/>
          <w:b/>
          <w:bCs/>
          <w:sz w:val="20"/>
          <w:szCs w:val="20"/>
        </w:rPr>
        <w:t xml:space="preserve">S-Editor: </w:t>
      </w:r>
      <w:r w:rsidR="0083216F" w:rsidRPr="00E709A1">
        <w:rPr>
          <w:rFonts w:ascii="Book Antiqua" w:hAnsi="Book Antiqua" w:cs="Times New Roman"/>
          <w:sz w:val="20"/>
          <w:szCs w:val="20"/>
        </w:rPr>
        <w:t xml:space="preserve">Dou Y </w:t>
      </w:r>
      <w:r w:rsidRPr="00E709A1">
        <w:rPr>
          <w:rFonts w:ascii="Book Antiqua" w:hAnsi="Book Antiqua" w:cs="Times New Roman"/>
          <w:b/>
          <w:bCs/>
          <w:sz w:val="20"/>
          <w:szCs w:val="20"/>
        </w:rPr>
        <w:t xml:space="preserve">L-Editor: </w:t>
      </w:r>
      <w:r w:rsidR="00290C6A" w:rsidRPr="00E709A1">
        <w:rPr>
          <w:rFonts w:ascii="Book Antiqua" w:hAnsi="Book Antiqua" w:cs="Times New Roman"/>
          <w:bCs/>
          <w:sz w:val="20"/>
          <w:szCs w:val="20"/>
        </w:rPr>
        <w:t xml:space="preserve">Filipodia </w:t>
      </w:r>
      <w:r w:rsidRPr="00E709A1">
        <w:rPr>
          <w:rFonts w:ascii="Book Antiqua" w:hAnsi="Book Antiqua" w:cs="Times New Roman"/>
          <w:b/>
          <w:bCs/>
          <w:sz w:val="20"/>
          <w:szCs w:val="20"/>
        </w:rPr>
        <w:t>E-Editor:</w:t>
      </w:r>
      <w:r w:rsidR="0054173C">
        <w:rPr>
          <w:rFonts w:ascii="Book Antiqua" w:hAnsi="Book Antiqua" w:cs="Times New Roman" w:hint="eastAsia"/>
          <w:b/>
          <w:bCs/>
          <w:sz w:val="20"/>
          <w:szCs w:val="20"/>
        </w:rPr>
        <w:t xml:space="preserve"> </w:t>
      </w:r>
      <w:r w:rsidR="0054173C" w:rsidRPr="0054173C">
        <w:rPr>
          <w:rFonts w:ascii="Book Antiqua" w:hAnsi="Book Antiqua" w:cs="Times New Roman" w:hint="eastAsia"/>
          <w:bCs/>
          <w:sz w:val="20"/>
          <w:szCs w:val="20"/>
        </w:rPr>
        <w:t>Liu JH</w:t>
      </w:r>
    </w:p>
    <w:p w14:paraId="10922CA6" w14:textId="0E7300F6" w:rsidR="0083216F" w:rsidRPr="00E709A1" w:rsidRDefault="0083216F" w:rsidP="00310F13">
      <w:pPr>
        <w:widowControl/>
        <w:snapToGrid w:val="0"/>
        <w:spacing w:line="360" w:lineRule="auto"/>
        <w:rPr>
          <w:rStyle w:val="fontstyle21"/>
          <w:rFonts w:cs="Times New Roman"/>
          <w:color w:val="auto"/>
          <w:sz w:val="20"/>
          <w:szCs w:val="20"/>
        </w:rPr>
      </w:pPr>
      <w:r w:rsidRPr="00E709A1">
        <w:rPr>
          <w:rStyle w:val="fontstyle21"/>
          <w:rFonts w:cs="Times New Roman"/>
          <w:color w:val="auto"/>
          <w:sz w:val="20"/>
          <w:szCs w:val="20"/>
        </w:rPr>
        <w:br w:type="page"/>
      </w:r>
    </w:p>
    <w:p w14:paraId="52C795A0" w14:textId="1364BA97" w:rsidR="000705B7" w:rsidRPr="00E709A1" w:rsidRDefault="005B3E82" w:rsidP="00310F13">
      <w:pPr>
        <w:snapToGrid w:val="0"/>
        <w:spacing w:line="360" w:lineRule="auto"/>
        <w:rPr>
          <w:rFonts w:ascii="Book Antiqua" w:eastAsia="宋体" w:hAnsi="Book Antiqua" w:cs="Times New Roman"/>
          <w:b/>
          <w:sz w:val="20"/>
          <w:szCs w:val="20"/>
        </w:rPr>
      </w:pPr>
      <w:r w:rsidRPr="00E709A1">
        <w:rPr>
          <w:noProof/>
          <w:sz w:val="20"/>
          <w:szCs w:val="20"/>
        </w:rPr>
        <w:lastRenderedPageBreak/>
        <w:drawing>
          <wp:inline distT="0" distB="0" distL="0" distR="0" wp14:anchorId="1A56ECDA" wp14:editId="4E7C5A8E">
            <wp:extent cx="5274310" cy="5353058"/>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5353058"/>
                    </a:xfrm>
                    <a:prstGeom prst="rect">
                      <a:avLst/>
                    </a:prstGeom>
                  </pic:spPr>
                </pic:pic>
              </a:graphicData>
            </a:graphic>
          </wp:inline>
        </w:drawing>
      </w:r>
    </w:p>
    <w:p w14:paraId="71575C60" w14:textId="4DF53620"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b/>
          <w:sz w:val="20"/>
          <w:szCs w:val="20"/>
        </w:rPr>
        <w:t>Fig</w:t>
      </w:r>
      <w:r w:rsidR="0083216F" w:rsidRPr="00E709A1">
        <w:rPr>
          <w:rFonts w:ascii="Book Antiqua" w:eastAsia="宋体" w:hAnsi="Book Antiqua" w:cs="Times New Roman"/>
          <w:b/>
          <w:sz w:val="20"/>
          <w:szCs w:val="20"/>
        </w:rPr>
        <w:t>ure</w:t>
      </w:r>
      <w:r w:rsidRPr="00E709A1">
        <w:rPr>
          <w:rFonts w:ascii="Book Antiqua" w:eastAsia="宋体" w:hAnsi="Book Antiqua" w:cs="Times New Roman"/>
          <w:b/>
          <w:sz w:val="20"/>
          <w:szCs w:val="20"/>
        </w:rPr>
        <w:t xml:space="preserve"> 1 Flow diagram of stud</w:t>
      </w:r>
      <w:r w:rsidR="00231F36" w:rsidRPr="00E709A1">
        <w:rPr>
          <w:rFonts w:ascii="Book Antiqua" w:eastAsia="宋体" w:hAnsi="Book Antiqua" w:cs="Times New Roman"/>
          <w:b/>
          <w:sz w:val="20"/>
          <w:szCs w:val="20"/>
        </w:rPr>
        <w:t>y</w:t>
      </w:r>
      <w:r w:rsidRPr="00E709A1">
        <w:rPr>
          <w:rFonts w:ascii="Book Antiqua" w:eastAsia="宋体" w:hAnsi="Book Antiqua" w:cs="Times New Roman"/>
          <w:b/>
          <w:sz w:val="20"/>
          <w:szCs w:val="20"/>
        </w:rPr>
        <w:t xml:space="preserve"> selection.</w:t>
      </w:r>
      <w:r w:rsidR="005B3E82" w:rsidRPr="00E709A1">
        <w:rPr>
          <w:rFonts w:ascii="Book Antiqua" w:eastAsia="宋体" w:hAnsi="Book Antiqua" w:cs="Times New Roman"/>
          <w:b/>
          <w:sz w:val="20"/>
          <w:szCs w:val="20"/>
        </w:rPr>
        <w:t xml:space="preserve"> </w:t>
      </w:r>
      <w:r w:rsidR="005B3E82" w:rsidRPr="00E709A1">
        <w:rPr>
          <w:rFonts w:ascii="Book Antiqua" w:eastAsia="宋体" w:hAnsi="Book Antiqua" w:cs="Times New Roman"/>
          <w:sz w:val="20"/>
          <w:szCs w:val="20"/>
        </w:rPr>
        <w:t>LELC: Lymphoepithelioma-like carcinoma.</w:t>
      </w:r>
    </w:p>
    <w:p w14:paraId="3F7FBA53" w14:textId="77777777"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hAnsi="Book Antiqua"/>
          <w:noProof/>
          <w:sz w:val="20"/>
          <w:szCs w:val="20"/>
        </w:rPr>
        <w:lastRenderedPageBreak/>
        <w:drawing>
          <wp:inline distT="0" distB="0" distL="0" distR="0" wp14:anchorId="17DBBC7E" wp14:editId="63DAE059">
            <wp:extent cx="5274310" cy="352552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4310" cy="3525520"/>
                    </a:xfrm>
                    <a:prstGeom prst="rect">
                      <a:avLst/>
                    </a:prstGeom>
                    <a:noFill/>
                    <a:ln>
                      <a:noFill/>
                    </a:ln>
                  </pic:spPr>
                </pic:pic>
              </a:graphicData>
            </a:graphic>
          </wp:inline>
        </w:drawing>
      </w:r>
    </w:p>
    <w:p w14:paraId="221BC7EA" w14:textId="42738D0A"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b/>
          <w:sz w:val="20"/>
          <w:szCs w:val="20"/>
        </w:rPr>
        <w:t>Fig</w:t>
      </w:r>
      <w:r w:rsidR="0083216F" w:rsidRPr="00E709A1">
        <w:rPr>
          <w:rFonts w:ascii="Book Antiqua" w:eastAsia="宋体" w:hAnsi="Book Antiqua" w:cs="Times New Roman"/>
          <w:b/>
          <w:sz w:val="20"/>
          <w:szCs w:val="20"/>
        </w:rPr>
        <w:t xml:space="preserve">ure </w:t>
      </w:r>
      <w:r w:rsidRPr="00E709A1">
        <w:rPr>
          <w:rFonts w:ascii="Book Antiqua" w:eastAsia="宋体" w:hAnsi="Book Antiqua" w:cs="Times New Roman"/>
          <w:b/>
          <w:sz w:val="20"/>
          <w:szCs w:val="20"/>
        </w:rPr>
        <w:t xml:space="preserve">2 </w:t>
      </w:r>
      <w:r w:rsidRPr="00E709A1">
        <w:rPr>
          <w:rFonts w:ascii="Book Antiqua" w:eastAsia="宋体" w:hAnsi="Book Antiqua" w:cs="Times New Roman"/>
          <w:b/>
          <w:bCs/>
          <w:sz w:val="20"/>
          <w:szCs w:val="20"/>
        </w:rPr>
        <w:t xml:space="preserve">Overall Kaplan–Meier survival curves for patients with upper urinary tract </w:t>
      </w:r>
      <w:r w:rsidR="005B185A" w:rsidRPr="00E709A1">
        <w:rPr>
          <w:rFonts w:ascii="Book Antiqua" w:eastAsia="宋体" w:hAnsi="Book Antiqua" w:cs="Times New Roman"/>
          <w:b/>
          <w:sz w:val="20"/>
          <w:szCs w:val="20"/>
        </w:rPr>
        <w:t>lymphoepithelioma-like carcinoma</w:t>
      </w:r>
      <w:r w:rsidR="00231F36" w:rsidRPr="00E709A1">
        <w:rPr>
          <w:rFonts w:ascii="Book Antiqua" w:eastAsia="宋体" w:hAnsi="Book Antiqua" w:cs="Times New Roman"/>
          <w:b/>
          <w:sz w:val="20"/>
          <w:szCs w:val="20"/>
        </w:rPr>
        <w:t>s</w:t>
      </w:r>
      <w:r w:rsidR="0083216F" w:rsidRPr="00E709A1">
        <w:rPr>
          <w:rFonts w:ascii="Book Antiqua" w:eastAsia="宋体" w:hAnsi="Book Antiqua" w:cs="Times New Roman"/>
          <w:b/>
          <w:sz w:val="20"/>
          <w:szCs w:val="20"/>
        </w:rPr>
        <w:t>.</w:t>
      </w:r>
      <w:r w:rsidRPr="00E709A1">
        <w:rPr>
          <w:rFonts w:ascii="Book Antiqua" w:eastAsia="宋体" w:hAnsi="Book Antiqua" w:cs="Times New Roman"/>
          <w:sz w:val="20"/>
          <w:szCs w:val="20"/>
        </w:rPr>
        <w:t xml:space="preserve"> </w:t>
      </w:r>
      <w:r w:rsidR="0083216F" w:rsidRPr="00E709A1">
        <w:rPr>
          <w:rFonts w:ascii="Book Antiqua" w:eastAsia="宋体" w:hAnsi="Book Antiqua" w:cs="Times New Roman"/>
          <w:sz w:val="20"/>
          <w:szCs w:val="20"/>
        </w:rPr>
        <w:t>A: Cancer</w:t>
      </w:r>
      <w:r w:rsidRPr="00E709A1">
        <w:rPr>
          <w:rFonts w:ascii="Book Antiqua" w:eastAsia="宋体" w:hAnsi="Book Antiqua" w:cs="Times New Roman"/>
          <w:sz w:val="20"/>
          <w:szCs w:val="20"/>
        </w:rPr>
        <w:t>-specific survival curve for the entire cohort</w:t>
      </w:r>
      <w:r w:rsidR="0083216F" w:rsidRPr="00E709A1">
        <w:rPr>
          <w:rFonts w:ascii="Book Antiqua" w:eastAsia="宋体" w:hAnsi="Book Antiqua" w:cs="Times New Roman"/>
          <w:sz w:val="20"/>
          <w:szCs w:val="20"/>
        </w:rPr>
        <w:t>;</w:t>
      </w:r>
      <w:r w:rsidRPr="00E709A1">
        <w:rPr>
          <w:rFonts w:ascii="Book Antiqua" w:eastAsia="宋体" w:hAnsi="Book Antiqua" w:cs="Times New Roman"/>
          <w:sz w:val="20"/>
          <w:szCs w:val="20"/>
        </w:rPr>
        <w:t xml:space="preserve"> </w:t>
      </w:r>
      <w:r w:rsidR="0083216F" w:rsidRPr="00E709A1">
        <w:rPr>
          <w:rFonts w:ascii="Book Antiqua" w:eastAsia="宋体" w:hAnsi="Book Antiqua" w:cs="Times New Roman"/>
          <w:sz w:val="20"/>
          <w:szCs w:val="20"/>
        </w:rPr>
        <w:t>B:</w:t>
      </w:r>
      <w:r w:rsidRPr="00E709A1">
        <w:rPr>
          <w:rFonts w:ascii="Book Antiqua" w:eastAsia="宋体" w:hAnsi="Book Antiqua" w:cs="Times New Roman"/>
          <w:sz w:val="20"/>
          <w:szCs w:val="20"/>
        </w:rPr>
        <w:t xml:space="preserve"> </w:t>
      </w:r>
      <w:r w:rsidR="00231F36" w:rsidRPr="00E709A1">
        <w:rPr>
          <w:rFonts w:ascii="Book Antiqua" w:eastAsia="宋体" w:hAnsi="Book Antiqua" w:cs="Times New Roman"/>
          <w:sz w:val="20"/>
          <w:szCs w:val="20"/>
        </w:rPr>
        <w:t>S</w:t>
      </w:r>
      <w:r w:rsidRPr="00E709A1">
        <w:rPr>
          <w:rFonts w:ascii="Book Antiqua" w:eastAsia="宋体" w:hAnsi="Book Antiqua" w:cs="Times New Roman"/>
          <w:sz w:val="20"/>
          <w:szCs w:val="20"/>
        </w:rPr>
        <w:t>tratified according to treatment modality</w:t>
      </w:r>
      <w:r w:rsidR="0083216F" w:rsidRPr="00E709A1">
        <w:rPr>
          <w:rFonts w:ascii="Book Antiqua" w:eastAsia="宋体" w:hAnsi="Book Antiqua" w:cs="Times New Roman"/>
          <w:sz w:val="20"/>
          <w:szCs w:val="20"/>
        </w:rPr>
        <w:t>; C:</w:t>
      </w:r>
      <w:r w:rsidRPr="00E709A1">
        <w:rPr>
          <w:rFonts w:ascii="Book Antiqua" w:eastAsia="宋体" w:hAnsi="Book Antiqua" w:cs="Times New Roman"/>
          <w:sz w:val="20"/>
          <w:szCs w:val="20"/>
        </w:rPr>
        <w:t xml:space="preserve"> </w:t>
      </w:r>
      <w:r w:rsidR="0083216F" w:rsidRPr="00E709A1">
        <w:rPr>
          <w:rFonts w:ascii="Book Antiqua" w:eastAsia="宋体" w:hAnsi="Book Antiqua" w:cs="Times New Roman"/>
          <w:sz w:val="20"/>
          <w:szCs w:val="20"/>
        </w:rPr>
        <w:t xml:space="preserve">To </w:t>
      </w:r>
      <w:r w:rsidRPr="00E709A1">
        <w:rPr>
          <w:rFonts w:ascii="Book Antiqua" w:eastAsia="宋体" w:hAnsi="Book Antiqua" w:cs="Times New Roman"/>
          <w:bCs/>
          <w:sz w:val="20"/>
          <w:szCs w:val="20"/>
        </w:rPr>
        <w:t>histological subtype</w:t>
      </w:r>
      <w:r w:rsidR="0083216F" w:rsidRPr="00E709A1">
        <w:rPr>
          <w:rFonts w:ascii="Book Antiqua" w:eastAsia="宋体" w:hAnsi="Book Antiqua" w:cs="Times New Roman"/>
          <w:bCs/>
          <w:sz w:val="20"/>
          <w:szCs w:val="20"/>
        </w:rPr>
        <w:t>; D:</w:t>
      </w:r>
      <w:r w:rsidRPr="00E709A1">
        <w:rPr>
          <w:rFonts w:ascii="Book Antiqua" w:eastAsia="宋体" w:hAnsi="Book Antiqua" w:cs="Times New Roman"/>
          <w:bCs/>
          <w:sz w:val="20"/>
          <w:szCs w:val="20"/>
        </w:rPr>
        <w:t xml:space="preserve"> </w:t>
      </w:r>
      <w:r w:rsidR="0083216F" w:rsidRPr="00E709A1">
        <w:rPr>
          <w:rFonts w:ascii="Book Antiqua" w:eastAsia="宋体" w:hAnsi="Book Antiqua" w:cs="Times New Roman"/>
          <w:bCs/>
          <w:sz w:val="20"/>
          <w:szCs w:val="20"/>
        </w:rPr>
        <w:t xml:space="preserve">To </w:t>
      </w:r>
      <w:r w:rsidRPr="00E709A1">
        <w:rPr>
          <w:rFonts w:ascii="Book Antiqua" w:eastAsia="宋体" w:hAnsi="Book Antiqua" w:cs="Times New Roman"/>
          <w:sz w:val="20"/>
          <w:szCs w:val="20"/>
        </w:rPr>
        <w:t>pathological stage</w:t>
      </w:r>
      <w:r w:rsidR="0083216F" w:rsidRPr="00E709A1">
        <w:rPr>
          <w:rFonts w:ascii="Book Antiqua" w:eastAsia="宋体" w:hAnsi="Book Antiqua" w:cs="Times New Roman"/>
          <w:sz w:val="20"/>
          <w:szCs w:val="20"/>
        </w:rPr>
        <w:t>; E, F:</w:t>
      </w:r>
      <w:r w:rsidRPr="00E709A1">
        <w:rPr>
          <w:rFonts w:ascii="Book Antiqua" w:eastAsia="宋体" w:hAnsi="Book Antiqua" w:cs="Times New Roman"/>
          <w:sz w:val="20"/>
          <w:szCs w:val="20"/>
        </w:rPr>
        <w:t xml:space="preserve"> </w:t>
      </w:r>
      <w:r w:rsidR="0083216F" w:rsidRPr="00E709A1">
        <w:rPr>
          <w:rFonts w:ascii="Book Antiqua" w:eastAsia="宋体" w:hAnsi="Book Antiqua" w:cs="Times New Roman"/>
          <w:sz w:val="20"/>
          <w:szCs w:val="20"/>
        </w:rPr>
        <w:t xml:space="preserve">To </w:t>
      </w:r>
      <w:r w:rsidRPr="00E709A1">
        <w:rPr>
          <w:rFonts w:ascii="Book Antiqua" w:eastAsia="宋体" w:hAnsi="Book Antiqua" w:cs="Times New Roman"/>
          <w:sz w:val="20"/>
          <w:szCs w:val="20"/>
        </w:rPr>
        <w:t>tumor location and sex</w:t>
      </w:r>
      <w:r w:rsidR="00310F13" w:rsidRPr="00E709A1">
        <w:rPr>
          <w:rFonts w:ascii="Book Antiqua" w:eastAsia="宋体" w:hAnsi="Book Antiqua" w:cs="Times New Roman"/>
          <w:sz w:val="20"/>
          <w:szCs w:val="20"/>
        </w:rPr>
        <w:t>, respectively</w:t>
      </w:r>
      <w:r w:rsidRPr="00E709A1">
        <w:rPr>
          <w:rFonts w:ascii="Book Antiqua" w:eastAsia="宋体" w:hAnsi="Book Antiqua" w:cs="Times New Roman"/>
          <w:sz w:val="20"/>
          <w:szCs w:val="20"/>
        </w:rPr>
        <w:t>.</w:t>
      </w:r>
    </w:p>
    <w:p w14:paraId="03A899A8" w14:textId="77777777" w:rsidR="0083216F" w:rsidRPr="00E709A1" w:rsidRDefault="0083216F" w:rsidP="00310F13">
      <w:pPr>
        <w:snapToGrid w:val="0"/>
        <w:spacing w:line="360" w:lineRule="auto"/>
        <w:rPr>
          <w:rFonts w:ascii="Book Antiqua" w:eastAsia="宋体" w:hAnsi="Book Antiqua" w:cs="Times New Roman"/>
          <w:sz w:val="20"/>
          <w:szCs w:val="20"/>
        </w:rPr>
      </w:pPr>
    </w:p>
    <w:p w14:paraId="1ED1139B" w14:textId="77777777" w:rsidR="000705B7" w:rsidRPr="00E709A1" w:rsidRDefault="000705B7" w:rsidP="00310F13">
      <w:pPr>
        <w:snapToGrid w:val="0"/>
        <w:spacing w:line="360" w:lineRule="auto"/>
        <w:rPr>
          <w:rFonts w:ascii="Book Antiqua" w:eastAsia="宋体" w:hAnsi="Book Antiqua" w:cs="Times New Roman"/>
          <w:sz w:val="20"/>
          <w:szCs w:val="20"/>
        </w:rPr>
        <w:sectPr w:rsidR="000705B7" w:rsidRPr="00E709A1" w:rsidSect="00310F13">
          <w:footerReference w:type="even" r:id="rId11"/>
          <w:footerReference w:type="default" r:id="rId12"/>
          <w:pgSz w:w="11906" w:h="16838"/>
          <w:pgMar w:top="1440" w:right="1440" w:bottom="1440" w:left="1440" w:header="850" w:footer="994" w:gutter="0"/>
          <w:pgNumType w:start="1"/>
          <w:cols w:space="425"/>
          <w:docGrid w:type="lines" w:linePitch="312"/>
        </w:sectPr>
      </w:pPr>
    </w:p>
    <w:p w14:paraId="55E9F29B" w14:textId="1E885AD3" w:rsidR="000705B7" w:rsidRPr="00E709A1" w:rsidRDefault="00624006" w:rsidP="00310F13">
      <w:pPr>
        <w:snapToGrid w:val="0"/>
        <w:spacing w:line="360" w:lineRule="auto"/>
        <w:rPr>
          <w:rFonts w:ascii="Book Antiqua" w:eastAsia="宋体" w:hAnsi="Book Antiqua" w:cs="Times New Roman"/>
          <w:b/>
          <w:sz w:val="20"/>
          <w:szCs w:val="20"/>
        </w:rPr>
      </w:pPr>
      <w:r w:rsidRPr="00E709A1">
        <w:rPr>
          <w:rFonts w:ascii="Book Antiqua" w:eastAsia="宋体" w:hAnsi="Book Antiqua" w:cs="Times New Roman"/>
          <w:b/>
          <w:sz w:val="20"/>
          <w:szCs w:val="20"/>
        </w:rPr>
        <w:lastRenderedPageBreak/>
        <w:t>Table 1 Clinicopathological</w:t>
      </w:r>
      <w:bookmarkStart w:id="54" w:name="OLE_LINK29"/>
      <w:bookmarkStart w:id="55" w:name="OLE_LINK28"/>
      <w:r w:rsidRPr="00E709A1">
        <w:rPr>
          <w:rFonts w:ascii="Book Antiqua" w:eastAsia="宋体" w:hAnsi="Book Antiqua" w:cs="Times New Roman"/>
          <w:b/>
          <w:sz w:val="20"/>
          <w:szCs w:val="20"/>
        </w:rPr>
        <w:t xml:space="preserve"> characteristics</w:t>
      </w:r>
      <w:bookmarkEnd w:id="54"/>
      <w:bookmarkEnd w:id="55"/>
      <w:r w:rsidRPr="00E709A1">
        <w:rPr>
          <w:rFonts w:ascii="Book Antiqua" w:eastAsia="宋体" w:hAnsi="Book Antiqua" w:cs="Times New Roman"/>
          <w:b/>
          <w:sz w:val="20"/>
          <w:szCs w:val="20"/>
        </w:rPr>
        <w:t xml:space="preserve"> of reported lymphoepithelioma-like carcinoma</w:t>
      </w:r>
      <w:r w:rsidR="00231F36" w:rsidRPr="00E709A1">
        <w:rPr>
          <w:rFonts w:ascii="Book Antiqua" w:eastAsia="宋体" w:hAnsi="Book Antiqua" w:cs="Times New Roman"/>
          <w:b/>
          <w:sz w:val="20"/>
          <w:szCs w:val="20"/>
        </w:rPr>
        <w:t>s</w:t>
      </w:r>
      <w:r w:rsidRPr="00E709A1">
        <w:rPr>
          <w:rFonts w:ascii="Book Antiqua" w:eastAsia="宋体" w:hAnsi="Book Antiqua" w:cs="Times New Roman"/>
          <w:b/>
          <w:sz w:val="20"/>
          <w:szCs w:val="20"/>
        </w:rPr>
        <w:t xml:space="preserve"> in the upper urinary tract</w:t>
      </w:r>
    </w:p>
    <w:tbl>
      <w:tblPr>
        <w:tblStyle w:val="41"/>
        <w:tblW w:w="18995" w:type="dxa"/>
        <w:tblLayout w:type="fixed"/>
        <w:tblLook w:val="04A0" w:firstRow="1" w:lastRow="0" w:firstColumn="1" w:lastColumn="0" w:noHBand="0" w:noVBand="1"/>
      </w:tblPr>
      <w:tblGrid>
        <w:gridCol w:w="993"/>
        <w:gridCol w:w="1134"/>
        <w:gridCol w:w="1842"/>
        <w:gridCol w:w="1844"/>
        <w:gridCol w:w="992"/>
        <w:gridCol w:w="1134"/>
        <w:gridCol w:w="1276"/>
        <w:gridCol w:w="1275"/>
        <w:gridCol w:w="1560"/>
        <w:gridCol w:w="1134"/>
        <w:gridCol w:w="1134"/>
        <w:gridCol w:w="1275"/>
        <w:gridCol w:w="1134"/>
        <w:gridCol w:w="2268"/>
      </w:tblGrid>
      <w:tr w:rsidR="00310F13" w:rsidRPr="00E709A1" w14:paraId="3A605FE4" w14:textId="77777777" w:rsidTr="003E27A2">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000000"/>
              <w:bottom w:val="single" w:sz="4" w:space="0" w:color="000000"/>
            </w:tcBorders>
            <w:shd w:val="clear" w:color="auto" w:fill="auto"/>
          </w:tcPr>
          <w:p w14:paraId="0B0D0139"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Case No.</w:t>
            </w:r>
          </w:p>
        </w:tc>
        <w:tc>
          <w:tcPr>
            <w:tcW w:w="1134" w:type="dxa"/>
            <w:tcBorders>
              <w:top w:val="single" w:sz="4" w:space="0" w:color="000000"/>
              <w:bottom w:val="single" w:sz="4" w:space="0" w:color="000000"/>
            </w:tcBorders>
            <w:shd w:val="clear" w:color="auto" w:fill="auto"/>
          </w:tcPr>
          <w:p w14:paraId="0CF4A42D"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Age/gender</w:t>
            </w:r>
          </w:p>
        </w:tc>
        <w:tc>
          <w:tcPr>
            <w:tcW w:w="1842" w:type="dxa"/>
            <w:tcBorders>
              <w:top w:val="single" w:sz="4" w:space="0" w:color="000000"/>
              <w:bottom w:val="single" w:sz="4" w:space="0" w:color="000000"/>
            </w:tcBorders>
            <w:shd w:val="clear" w:color="auto" w:fill="auto"/>
          </w:tcPr>
          <w:p w14:paraId="204B1C3B"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Region</w:t>
            </w:r>
          </w:p>
        </w:tc>
        <w:tc>
          <w:tcPr>
            <w:tcW w:w="1844" w:type="dxa"/>
            <w:tcBorders>
              <w:top w:val="single" w:sz="4" w:space="0" w:color="000000"/>
              <w:bottom w:val="single" w:sz="4" w:space="0" w:color="000000"/>
            </w:tcBorders>
            <w:shd w:val="clear" w:color="auto" w:fill="auto"/>
          </w:tcPr>
          <w:p w14:paraId="7C86BAA7"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Presentation</w:t>
            </w:r>
          </w:p>
        </w:tc>
        <w:tc>
          <w:tcPr>
            <w:tcW w:w="992" w:type="dxa"/>
            <w:tcBorders>
              <w:top w:val="single" w:sz="4" w:space="0" w:color="000000"/>
              <w:bottom w:val="single" w:sz="4" w:space="0" w:color="000000"/>
            </w:tcBorders>
            <w:shd w:val="clear" w:color="auto" w:fill="auto"/>
          </w:tcPr>
          <w:p w14:paraId="57B393D9"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Side</w:t>
            </w:r>
          </w:p>
        </w:tc>
        <w:tc>
          <w:tcPr>
            <w:tcW w:w="1134" w:type="dxa"/>
            <w:tcBorders>
              <w:top w:val="single" w:sz="4" w:space="0" w:color="000000"/>
              <w:bottom w:val="single" w:sz="4" w:space="0" w:color="000000"/>
            </w:tcBorders>
            <w:shd w:val="clear" w:color="auto" w:fill="auto"/>
          </w:tcPr>
          <w:p w14:paraId="1F3BDD5A"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Location</w:t>
            </w:r>
          </w:p>
        </w:tc>
        <w:tc>
          <w:tcPr>
            <w:tcW w:w="1276" w:type="dxa"/>
            <w:tcBorders>
              <w:top w:val="single" w:sz="4" w:space="0" w:color="000000"/>
              <w:bottom w:val="single" w:sz="4" w:space="0" w:color="000000"/>
            </w:tcBorders>
            <w:shd w:val="clear" w:color="auto" w:fill="auto"/>
          </w:tcPr>
          <w:p w14:paraId="56A7804A" w14:textId="7F3DA13A"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 xml:space="preserve">Tumor </w:t>
            </w:r>
            <w:r w:rsidR="00310F13" w:rsidRPr="00E709A1">
              <w:rPr>
                <w:rFonts w:ascii="Book Antiqua" w:eastAsia="宋体" w:hAnsi="Book Antiqua" w:cs="Times New Roman"/>
                <w:kern w:val="0"/>
                <w:sz w:val="20"/>
                <w:szCs w:val="20"/>
              </w:rPr>
              <w:t>s</w:t>
            </w:r>
            <w:r w:rsidRPr="00E709A1">
              <w:rPr>
                <w:rFonts w:ascii="Book Antiqua" w:eastAsia="宋体" w:hAnsi="Book Antiqua" w:cs="Times New Roman"/>
                <w:kern w:val="0"/>
                <w:sz w:val="20"/>
                <w:szCs w:val="20"/>
              </w:rPr>
              <w:t>tage</w:t>
            </w:r>
          </w:p>
        </w:tc>
        <w:tc>
          <w:tcPr>
            <w:tcW w:w="1275" w:type="dxa"/>
            <w:tcBorders>
              <w:top w:val="single" w:sz="4" w:space="0" w:color="000000"/>
              <w:bottom w:val="single" w:sz="4" w:space="0" w:color="000000"/>
            </w:tcBorders>
            <w:shd w:val="clear" w:color="auto" w:fill="auto"/>
          </w:tcPr>
          <w:p w14:paraId="72F1725E"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HC</w:t>
            </w:r>
          </w:p>
        </w:tc>
        <w:tc>
          <w:tcPr>
            <w:tcW w:w="1560" w:type="dxa"/>
            <w:tcBorders>
              <w:top w:val="single" w:sz="4" w:space="0" w:color="000000"/>
              <w:bottom w:val="single" w:sz="4" w:space="0" w:color="000000"/>
            </w:tcBorders>
            <w:shd w:val="clear" w:color="auto" w:fill="auto"/>
          </w:tcPr>
          <w:p w14:paraId="33BD7809"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CK antigen</w:t>
            </w:r>
          </w:p>
        </w:tc>
        <w:tc>
          <w:tcPr>
            <w:tcW w:w="1134" w:type="dxa"/>
            <w:tcBorders>
              <w:top w:val="single" w:sz="4" w:space="0" w:color="000000"/>
              <w:bottom w:val="single" w:sz="4" w:space="0" w:color="000000"/>
            </w:tcBorders>
            <w:shd w:val="clear" w:color="auto" w:fill="auto"/>
          </w:tcPr>
          <w:p w14:paraId="06B2BCBA"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EBV-status</w:t>
            </w:r>
          </w:p>
        </w:tc>
        <w:tc>
          <w:tcPr>
            <w:tcW w:w="1134" w:type="dxa"/>
            <w:tcBorders>
              <w:top w:val="single" w:sz="4" w:space="0" w:color="000000"/>
              <w:bottom w:val="single" w:sz="4" w:space="0" w:color="000000"/>
            </w:tcBorders>
            <w:shd w:val="clear" w:color="auto" w:fill="auto"/>
          </w:tcPr>
          <w:p w14:paraId="11FEDBAD"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Treatment</w:t>
            </w:r>
          </w:p>
        </w:tc>
        <w:tc>
          <w:tcPr>
            <w:tcW w:w="1275" w:type="dxa"/>
            <w:tcBorders>
              <w:top w:val="single" w:sz="4" w:space="0" w:color="000000"/>
              <w:bottom w:val="single" w:sz="4" w:space="0" w:color="000000"/>
            </w:tcBorders>
            <w:shd w:val="clear" w:color="auto" w:fill="auto"/>
          </w:tcPr>
          <w:p w14:paraId="793E46D9" w14:textId="3228720A"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Follow-up</w:t>
            </w:r>
            <w:r w:rsidR="00310F13" w:rsidRPr="00E709A1">
              <w:rPr>
                <w:rFonts w:ascii="Book Antiqua" w:eastAsia="宋体" w:hAnsi="Book Antiqua" w:cs="Times New Roman"/>
                <w:kern w:val="0"/>
                <w:sz w:val="20"/>
                <w:szCs w:val="20"/>
              </w:rPr>
              <w:t xml:space="preserve"> in</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mo</w:t>
            </w:r>
          </w:p>
        </w:tc>
        <w:tc>
          <w:tcPr>
            <w:tcW w:w="1134" w:type="dxa"/>
            <w:tcBorders>
              <w:top w:val="single" w:sz="4" w:space="0" w:color="000000"/>
              <w:bottom w:val="single" w:sz="4" w:space="0" w:color="000000"/>
            </w:tcBorders>
            <w:shd w:val="clear" w:color="auto" w:fill="auto"/>
          </w:tcPr>
          <w:p w14:paraId="6530EC37" w14:textId="77777777"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Outcome</w:t>
            </w:r>
          </w:p>
        </w:tc>
        <w:tc>
          <w:tcPr>
            <w:tcW w:w="2268" w:type="dxa"/>
            <w:tcBorders>
              <w:top w:val="single" w:sz="4" w:space="0" w:color="000000"/>
              <w:bottom w:val="single" w:sz="4" w:space="0" w:color="000000"/>
            </w:tcBorders>
            <w:shd w:val="clear" w:color="auto" w:fill="auto"/>
          </w:tcPr>
          <w:p w14:paraId="20E2DDB6" w14:textId="4D7B9689" w:rsidR="000705B7" w:rsidRPr="00E709A1" w:rsidRDefault="00624006"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Ref</w:t>
            </w:r>
            <w:r w:rsidR="0083216F" w:rsidRPr="00E709A1">
              <w:rPr>
                <w:rFonts w:ascii="Book Antiqua" w:eastAsia="宋体" w:hAnsi="Book Antiqua" w:cs="Times New Roman"/>
                <w:kern w:val="0"/>
                <w:sz w:val="20"/>
                <w:szCs w:val="20"/>
              </w:rPr>
              <w:t>.</w:t>
            </w:r>
          </w:p>
        </w:tc>
      </w:tr>
      <w:tr w:rsidR="00310F13" w:rsidRPr="00E709A1" w14:paraId="1F9B6E30"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1E4B8054"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w:t>
            </w:r>
          </w:p>
        </w:tc>
        <w:tc>
          <w:tcPr>
            <w:tcW w:w="1134" w:type="dxa"/>
            <w:shd w:val="clear" w:color="auto" w:fill="auto"/>
          </w:tcPr>
          <w:p w14:paraId="5186C97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73/F</w:t>
            </w:r>
          </w:p>
        </w:tc>
        <w:tc>
          <w:tcPr>
            <w:tcW w:w="1842" w:type="dxa"/>
            <w:shd w:val="clear" w:color="auto" w:fill="auto"/>
          </w:tcPr>
          <w:p w14:paraId="3AEBC7D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(Chinese Taipei)</w:t>
            </w:r>
          </w:p>
        </w:tc>
        <w:tc>
          <w:tcPr>
            <w:tcW w:w="1844" w:type="dxa"/>
            <w:shd w:val="clear" w:color="auto" w:fill="auto"/>
          </w:tcPr>
          <w:p w14:paraId="025EC61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08E16C2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4AFE857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2153BFC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pT2N0M0</w:t>
            </w:r>
          </w:p>
        </w:tc>
        <w:tc>
          <w:tcPr>
            <w:tcW w:w="1275" w:type="dxa"/>
            <w:shd w:val="clear" w:color="auto" w:fill="auto"/>
          </w:tcPr>
          <w:p w14:paraId="24F1FD4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728D820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w:t>
            </w:r>
          </w:p>
        </w:tc>
        <w:tc>
          <w:tcPr>
            <w:tcW w:w="1134" w:type="dxa"/>
            <w:shd w:val="clear" w:color="auto" w:fill="auto"/>
          </w:tcPr>
          <w:p w14:paraId="39C2111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6516BBB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342CD1F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24</w:t>
            </w:r>
          </w:p>
        </w:tc>
        <w:tc>
          <w:tcPr>
            <w:tcW w:w="1134" w:type="dxa"/>
            <w:shd w:val="clear" w:color="auto" w:fill="auto"/>
          </w:tcPr>
          <w:p w14:paraId="3680EE0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0B38DDA3" w14:textId="1A7CBE4D"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Chen </w:t>
            </w:r>
            <w:r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[16]</w:t>
            </w:r>
            <w:r w:rsidR="0083216F"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 xml:space="preserve"> 2018</w:t>
            </w:r>
          </w:p>
        </w:tc>
      </w:tr>
      <w:tr w:rsidR="00310F13" w:rsidRPr="00E709A1" w14:paraId="7D01452A"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28DEF537"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w:t>
            </w:r>
          </w:p>
        </w:tc>
        <w:tc>
          <w:tcPr>
            <w:tcW w:w="1134" w:type="dxa"/>
            <w:shd w:val="clear" w:color="auto" w:fill="auto"/>
          </w:tcPr>
          <w:p w14:paraId="0C72074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54/M</w:t>
            </w:r>
          </w:p>
        </w:tc>
        <w:tc>
          <w:tcPr>
            <w:tcW w:w="1842" w:type="dxa"/>
            <w:vMerge w:val="restart"/>
            <w:shd w:val="clear" w:color="auto" w:fill="auto"/>
          </w:tcPr>
          <w:p w14:paraId="55B233CC" w14:textId="67B8E361"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4 Europe (Spain)</w:t>
            </w:r>
            <w:r w:rsidR="003E27A2"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The re</w:t>
            </w:r>
            <w:r w:rsidR="0083216F" w:rsidRPr="00E709A1">
              <w:rPr>
                <w:rFonts w:ascii="Book Antiqua" w:eastAsia="宋体" w:hAnsi="Book Antiqua" w:cs="Times New Roman"/>
                <w:kern w:val="0"/>
                <w:sz w:val="20"/>
                <w:szCs w:val="20"/>
              </w:rPr>
              <w:t>maining</w:t>
            </w:r>
            <w:r w:rsidRPr="00E709A1">
              <w:rPr>
                <w:rFonts w:ascii="Book Antiqua" w:eastAsia="宋体" w:hAnsi="Book Antiqua" w:cs="Times New Roman"/>
                <w:kern w:val="0"/>
                <w:sz w:val="20"/>
                <w:szCs w:val="20"/>
              </w:rPr>
              <w:t xml:space="preserve"> 6 unknown</w:t>
            </w:r>
          </w:p>
        </w:tc>
        <w:tc>
          <w:tcPr>
            <w:tcW w:w="1844" w:type="dxa"/>
            <w:shd w:val="clear" w:color="auto" w:fill="auto"/>
          </w:tcPr>
          <w:p w14:paraId="3079FF5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53447C1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0558C0D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38EACD1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pT3N1Mx</w:t>
            </w:r>
          </w:p>
        </w:tc>
        <w:tc>
          <w:tcPr>
            <w:tcW w:w="1275" w:type="dxa"/>
            <w:shd w:val="clear" w:color="auto" w:fill="auto"/>
          </w:tcPr>
          <w:p w14:paraId="22CA2AF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40E02AF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72DE082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4AEB644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 + Ch</w:t>
            </w:r>
          </w:p>
        </w:tc>
        <w:tc>
          <w:tcPr>
            <w:tcW w:w="1275" w:type="dxa"/>
            <w:shd w:val="clear" w:color="auto" w:fill="auto"/>
          </w:tcPr>
          <w:p w14:paraId="43730D4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39</w:t>
            </w:r>
          </w:p>
        </w:tc>
        <w:tc>
          <w:tcPr>
            <w:tcW w:w="1134" w:type="dxa"/>
            <w:shd w:val="clear" w:color="auto" w:fill="auto"/>
          </w:tcPr>
          <w:p w14:paraId="2FD11E9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DWD</w:t>
            </w:r>
          </w:p>
        </w:tc>
        <w:tc>
          <w:tcPr>
            <w:tcW w:w="2268" w:type="dxa"/>
            <w:shd w:val="clear" w:color="auto" w:fill="auto"/>
          </w:tcPr>
          <w:p w14:paraId="048F000A" w14:textId="43F8DA72"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 xml:space="preserve"> 2017</w:t>
            </w:r>
          </w:p>
        </w:tc>
      </w:tr>
      <w:tr w:rsidR="00310F13" w:rsidRPr="00E709A1" w14:paraId="7874BC97"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34C74BAD"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3</w:t>
            </w:r>
          </w:p>
        </w:tc>
        <w:tc>
          <w:tcPr>
            <w:tcW w:w="1134" w:type="dxa"/>
            <w:shd w:val="clear" w:color="auto" w:fill="auto"/>
          </w:tcPr>
          <w:p w14:paraId="5CAF099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62/M</w:t>
            </w:r>
          </w:p>
        </w:tc>
        <w:tc>
          <w:tcPr>
            <w:tcW w:w="1842" w:type="dxa"/>
            <w:vMerge/>
            <w:shd w:val="clear" w:color="auto" w:fill="auto"/>
          </w:tcPr>
          <w:p w14:paraId="420F7BE2"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6710766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7D9A229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1D2D829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75F7102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pT1N0Mx</w:t>
            </w:r>
          </w:p>
        </w:tc>
        <w:tc>
          <w:tcPr>
            <w:tcW w:w="1275" w:type="dxa"/>
            <w:shd w:val="clear" w:color="auto" w:fill="auto"/>
          </w:tcPr>
          <w:p w14:paraId="22337E5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2C827EE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254A958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3957CF7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78BFA7A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55</w:t>
            </w:r>
          </w:p>
        </w:tc>
        <w:tc>
          <w:tcPr>
            <w:tcW w:w="1134" w:type="dxa"/>
            <w:shd w:val="clear" w:color="auto" w:fill="auto"/>
          </w:tcPr>
          <w:p w14:paraId="6B8FA92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015A18C4" w14:textId="6484BAD8"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2017</w:t>
            </w:r>
          </w:p>
        </w:tc>
      </w:tr>
      <w:tr w:rsidR="00310F13" w:rsidRPr="00E709A1" w14:paraId="4E307D8F"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3173DF33"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4</w:t>
            </w:r>
          </w:p>
        </w:tc>
        <w:tc>
          <w:tcPr>
            <w:tcW w:w="1134" w:type="dxa"/>
            <w:shd w:val="clear" w:color="auto" w:fill="auto"/>
          </w:tcPr>
          <w:p w14:paraId="45466D9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62/F</w:t>
            </w:r>
          </w:p>
        </w:tc>
        <w:tc>
          <w:tcPr>
            <w:tcW w:w="1842" w:type="dxa"/>
            <w:vMerge/>
            <w:shd w:val="clear" w:color="auto" w:fill="auto"/>
          </w:tcPr>
          <w:p w14:paraId="39E6E6F7"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6A37528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67667CE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61D2A50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6911C1B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pT2N0Mx</w:t>
            </w:r>
          </w:p>
        </w:tc>
        <w:tc>
          <w:tcPr>
            <w:tcW w:w="1275" w:type="dxa"/>
            <w:shd w:val="clear" w:color="auto" w:fill="auto"/>
          </w:tcPr>
          <w:p w14:paraId="6941E1A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1F7A786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386A75E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673A721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w:t>
            </w:r>
          </w:p>
        </w:tc>
        <w:tc>
          <w:tcPr>
            <w:tcW w:w="1275" w:type="dxa"/>
            <w:shd w:val="clear" w:color="auto" w:fill="auto"/>
          </w:tcPr>
          <w:p w14:paraId="4836CAC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18</w:t>
            </w:r>
          </w:p>
        </w:tc>
        <w:tc>
          <w:tcPr>
            <w:tcW w:w="1134" w:type="dxa"/>
            <w:shd w:val="clear" w:color="auto" w:fill="auto"/>
          </w:tcPr>
          <w:p w14:paraId="790DC42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202BDFAC" w14:textId="64437D7E"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2017</w:t>
            </w:r>
          </w:p>
        </w:tc>
      </w:tr>
      <w:tr w:rsidR="00310F13" w:rsidRPr="00E709A1" w14:paraId="0F963ED0"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354DBA01"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5</w:t>
            </w:r>
          </w:p>
        </w:tc>
        <w:tc>
          <w:tcPr>
            <w:tcW w:w="1134" w:type="dxa"/>
            <w:shd w:val="clear" w:color="auto" w:fill="auto"/>
          </w:tcPr>
          <w:p w14:paraId="01E5972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80/F</w:t>
            </w:r>
          </w:p>
        </w:tc>
        <w:tc>
          <w:tcPr>
            <w:tcW w:w="1842" w:type="dxa"/>
            <w:vMerge/>
            <w:shd w:val="clear" w:color="auto" w:fill="auto"/>
          </w:tcPr>
          <w:p w14:paraId="5FE45E06"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56F8087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046A7B0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03FD95C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3268BB6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pT3N0Mx</w:t>
            </w:r>
          </w:p>
        </w:tc>
        <w:tc>
          <w:tcPr>
            <w:tcW w:w="1275" w:type="dxa"/>
            <w:shd w:val="clear" w:color="auto" w:fill="auto"/>
          </w:tcPr>
          <w:p w14:paraId="76EA47C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14D012E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0D71122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45D19EB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15C359D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39</w:t>
            </w:r>
          </w:p>
        </w:tc>
        <w:tc>
          <w:tcPr>
            <w:tcW w:w="1134" w:type="dxa"/>
            <w:shd w:val="clear" w:color="auto" w:fill="auto"/>
          </w:tcPr>
          <w:p w14:paraId="025AEBF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751A5E08" w14:textId="7ECC9D80"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2017</w:t>
            </w:r>
          </w:p>
        </w:tc>
      </w:tr>
      <w:tr w:rsidR="00310F13" w:rsidRPr="00E709A1" w14:paraId="2E758F10"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11F47D51"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6</w:t>
            </w:r>
          </w:p>
        </w:tc>
        <w:tc>
          <w:tcPr>
            <w:tcW w:w="1134" w:type="dxa"/>
            <w:shd w:val="clear" w:color="auto" w:fill="auto"/>
          </w:tcPr>
          <w:p w14:paraId="6B78586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76/M</w:t>
            </w:r>
          </w:p>
        </w:tc>
        <w:tc>
          <w:tcPr>
            <w:tcW w:w="1842" w:type="dxa"/>
            <w:vMerge/>
            <w:shd w:val="clear" w:color="auto" w:fill="auto"/>
          </w:tcPr>
          <w:p w14:paraId="02E4484E"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0AB6869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1755454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3D5005D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41FCA4C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pT3N1M0</w:t>
            </w:r>
          </w:p>
        </w:tc>
        <w:tc>
          <w:tcPr>
            <w:tcW w:w="1275" w:type="dxa"/>
            <w:shd w:val="clear" w:color="auto" w:fill="auto"/>
          </w:tcPr>
          <w:p w14:paraId="144ACAD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1453DAA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6FF7A52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0A88F39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 + Ch</w:t>
            </w:r>
          </w:p>
        </w:tc>
        <w:tc>
          <w:tcPr>
            <w:tcW w:w="1275" w:type="dxa"/>
            <w:shd w:val="clear" w:color="auto" w:fill="auto"/>
          </w:tcPr>
          <w:p w14:paraId="42F5908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29</w:t>
            </w:r>
          </w:p>
        </w:tc>
        <w:tc>
          <w:tcPr>
            <w:tcW w:w="1134" w:type="dxa"/>
            <w:shd w:val="clear" w:color="auto" w:fill="auto"/>
          </w:tcPr>
          <w:p w14:paraId="61B6F02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4228B35B" w14:textId="37D2FE80"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2017</w:t>
            </w:r>
          </w:p>
        </w:tc>
      </w:tr>
      <w:tr w:rsidR="00310F13" w:rsidRPr="00E709A1" w14:paraId="640C855A"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6EFE2CF4"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7</w:t>
            </w:r>
          </w:p>
        </w:tc>
        <w:tc>
          <w:tcPr>
            <w:tcW w:w="1134" w:type="dxa"/>
            <w:shd w:val="clear" w:color="auto" w:fill="auto"/>
          </w:tcPr>
          <w:p w14:paraId="280F8C2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61/M</w:t>
            </w:r>
          </w:p>
        </w:tc>
        <w:tc>
          <w:tcPr>
            <w:tcW w:w="1842" w:type="dxa"/>
            <w:vMerge/>
            <w:shd w:val="clear" w:color="auto" w:fill="auto"/>
          </w:tcPr>
          <w:p w14:paraId="77812D74"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31B9A13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3969BDE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28A800D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5036215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pT1N0Mx</w:t>
            </w:r>
          </w:p>
        </w:tc>
        <w:tc>
          <w:tcPr>
            <w:tcW w:w="1275" w:type="dxa"/>
            <w:shd w:val="clear" w:color="auto" w:fill="auto"/>
          </w:tcPr>
          <w:p w14:paraId="47A9AE2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538B7DD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296863C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24C775C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w:t>
            </w:r>
          </w:p>
        </w:tc>
        <w:tc>
          <w:tcPr>
            <w:tcW w:w="1275" w:type="dxa"/>
            <w:shd w:val="clear" w:color="auto" w:fill="auto"/>
          </w:tcPr>
          <w:p w14:paraId="12FDE92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35</w:t>
            </w:r>
          </w:p>
        </w:tc>
        <w:tc>
          <w:tcPr>
            <w:tcW w:w="1134" w:type="dxa"/>
            <w:shd w:val="clear" w:color="auto" w:fill="auto"/>
          </w:tcPr>
          <w:p w14:paraId="31E7185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099CEBBE" w14:textId="347A3670"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 xml:space="preserve"> 2017</w:t>
            </w:r>
          </w:p>
        </w:tc>
      </w:tr>
      <w:tr w:rsidR="00310F13" w:rsidRPr="00E709A1" w14:paraId="48F542DB"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4F64C9C7"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8</w:t>
            </w:r>
          </w:p>
        </w:tc>
        <w:tc>
          <w:tcPr>
            <w:tcW w:w="1134" w:type="dxa"/>
            <w:shd w:val="clear" w:color="auto" w:fill="auto"/>
          </w:tcPr>
          <w:p w14:paraId="689DA95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64/M</w:t>
            </w:r>
          </w:p>
        </w:tc>
        <w:tc>
          <w:tcPr>
            <w:tcW w:w="1842" w:type="dxa"/>
            <w:vMerge/>
            <w:shd w:val="clear" w:color="auto" w:fill="auto"/>
          </w:tcPr>
          <w:p w14:paraId="0376447A"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6B2DB5F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53A9AC2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2F3F1B1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22FEBB3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pT2N0Mx</w:t>
            </w:r>
          </w:p>
        </w:tc>
        <w:tc>
          <w:tcPr>
            <w:tcW w:w="1275" w:type="dxa"/>
            <w:shd w:val="clear" w:color="auto" w:fill="auto"/>
          </w:tcPr>
          <w:p w14:paraId="2160E48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1D2AF33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13C07FD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5AF4F0D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w:t>
            </w:r>
          </w:p>
        </w:tc>
        <w:tc>
          <w:tcPr>
            <w:tcW w:w="1275" w:type="dxa"/>
            <w:shd w:val="clear" w:color="auto" w:fill="auto"/>
          </w:tcPr>
          <w:p w14:paraId="01C80F2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58</w:t>
            </w:r>
          </w:p>
        </w:tc>
        <w:tc>
          <w:tcPr>
            <w:tcW w:w="1134" w:type="dxa"/>
            <w:shd w:val="clear" w:color="auto" w:fill="auto"/>
          </w:tcPr>
          <w:p w14:paraId="72F9CA4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73D18C03" w14:textId="50BB5F22"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2017</w:t>
            </w:r>
          </w:p>
        </w:tc>
      </w:tr>
      <w:tr w:rsidR="00310F13" w:rsidRPr="00E709A1" w14:paraId="59663831"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04129777"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9</w:t>
            </w:r>
          </w:p>
        </w:tc>
        <w:tc>
          <w:tcPr>
            <w:tcW w:w="1134" w:type="dxa"/>
            <w:shd w:val="clear" w:color="auto" w:fill="auto"/>
          </w:tcPr>
          <w:p w14:paraId="584963C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81/M</w:t>
            </w:r>
          </w:p>
        </w:tc>
        <w:tc>
          <w:tcPr>
            <w:tcW w:w="1842" w:type="dxa"/>
            <w:vMerge/>
            <w:shd w:val="clear" w:color="auto" w:fill="auto"/>
          </w:tcPr>
          <w:p w14:paraId="1285C84D"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3161E0E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12FCE65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0B1D5FD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00F2727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pT3N1Mx</w:t>
            </w:r>
          </w:p>
        </w:tc>
        <w:tc>
          <w:tcPr>
            <w:tcW w:w="1275" w:type="dxa"/>
            <w:shd w:val="clear" w:color="auto" w:fill="auto"/>
          </w:tcPr>
          <w:p w14:paraId="701E951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6049E32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0D9D22A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6047D47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 Ch</w:t>
            </w:r>
          </w:p>
        </w:tc>
        <w:tc>
          <w:tcPr>
            <w:tcW w:w="1275" w:type="dxa"/>
            <w:shd w:val="clear" w:color="auto" w:fill="auto"/>
          </w:tcPr>
          <w:p w14:paraId="3EAF752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w:t>
            </w:r>
          </w:p>
        </w:tc>
        <w:tc>
          <w:tcPr>
            <w:tcW w:w="1134" w:type="dxa"/>
            <w:shd w:val="clear" w:color="auto" w:fill="auto"/>
          </w:tcPr>
          <w:p w14:paraId="6C2D7C4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DWD</w:t>
            </w:r>
          </w:p>
        </w:tc>
        <w:tc>
          <w:tcPr>
            <w:tcW w:w="2268" w:type="dxa"/>
            <w:shd w:val="clear" w:color="auto" w:fill="auto"/>
          </w:tcPr>
          <w:p w14:paraId="2804C0D3" w14:textId="6B20519E"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2017</w:t>
            </w:r>
          </w:p>
        </w:tc>
      </w:tr>
      <w:tr w:rsidR="00310F13" w:rsidRPr="00E709A1" w14:paraId="3E394E61"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41868BF6"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10</w:t>
            </w:r>
          </w:p>
        </w:tc>
        <w:tc>
          <w:tcPr>
            <w:tcW w:w="1134" w:type="dxa"/>
            <w:shd w:val="clear" w:color="auto" w:fill="auto"/>
          </w:tcPr>
          <w:p w14:paraId="61B4463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85/M</w:t>
            </w:r>
          </w:p>
        </w:tc>
        <w:tc>
          <w:tcPr>
            <w:tcW w:w="1842" w:type="dxa"/>
            <w:vMerge/>
            <w:shd w:val="clear" w:color="auto" w:fill="auto"/>
          </w:tcPr>
          <w:p w14:paraId="5BF78540"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41BFC21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7485BE0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49D7EBE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7B82FE1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pT3N1Mx</w:t>
            </w:r>
          </w:p>
        </w:tc>
        <w:tc>
          <w:tcPr>
            <w:tcW w:w="1275" w:type="dxa"/>
            <w:shd w:val="clear" w:color="auto" w:fill="auto"/>
          </w:tcPr>
          <w:p w14:paraId="6B5BE45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3F53F23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127EFCC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2CB3E98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 + Ch</w:t>
            </w:r>
          </w:p>
        </w:tc>
        <w:tc>
          <w:tcPr>
            <w:tcW w:w="1275" w:type="dxa"/>
            <w:shd w:val="clear" w:color="auto" w:fill="auto"/>
          </w:tcPr>
          <w:p w14:paraId="0D12E9B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4</w:t>
            </w:r>
          </w:p>
        </w:tc>
        <w:tc>
          <w:tcPr>
            <w:tcW w:w="1134" w:type="dxa"/>
            <w:shd w:val="clear" w:color="auto" w:fill="auto"/>
          </w:tcPr>
          <w:p w14:paraId="299BD24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DWD</w:t>
            </w:r>
          </w:p>
        </w:tc>
        <w:tc>
          <w:tcPr>
            <w:tcW w:w="2268" w:type="dxa"/>
            <w:shd w:val="clear" w:color="auto" w:fill="auto"/>
          </w:tcPr>
          <w:p w14:paraId="59DE3F90" w14:textId="0F02FD08"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 xml:space="preserve"> 2017</w:t>
            </w:r>
          </w:p>
        </w:tc>
      </w:tr>
      <w:tr w:rsidR="00310F13" w:rsidRPr="00E709A1" w14:paraId="3FD0124B"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3780BBA0"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11</w:t>
            </w:r>
          </w:p>
        </w:tc>
        <w:tc>
          <w:tcPr>
            <w:tcW w:w="1134" w:type="dxa"/>
            <w:shd w:val="clear" w:color="auto" w:fill="auto"/>
          </w:tcPr>
          <w:p w14:paraId="60AAC18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81/M</w:t>
            </w:r>
          </w:p>
        </w:tc>
        <w:tc>
          <w:tcPr>
            <w:tcW w:w="1842" w:type="dxa"/>
            <w:vMerge/>
            <w:shd w:val="clear" w:color="auto" w:fill="auto"/>
          </w:tcPr>
          <w:p w14:paraId="11CFB1DD"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p>
        </w:tc>
        <w:tc>
          <w:tcPr>
            <w:tcW w:w="1844" w:type="dxa"/>
            <w:shd w:val="clear" w:color="auto" w:fill="auto"/>
          </w:tcPr>
          <w:p w14:paraId="67E71FE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28BF0E9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449EDF5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1DEAE07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pT3N1M0</w:t>
            </w:r>
          </w:p>
        </w:tc>
        <w:tc>
          <w:tcPr>
            <w:tcW w:w="1275" w:type="dxa"/>
            <w:shd w:val="clear" w:color="auto" w:fill="auto"/>
          </w:tcPr>
          <w:p w14:paraId="56B17F6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72728F2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2FE9BB9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34CF024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 + Ch</w:t>
            </w:r>
          </w:p>
        </w:tc>
        <w:tc>
          <w:tcPr>
            <w:tcW w:w="1275" w:type="dxa"/>
            <w:shd w:val="clear" w:color="auto" w:fill="auto"/>
          </w:tcPr>
          <w:p w14:paraId="04961C0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10</w:t>
            </w:r>
          </w:p>
        </w:tc>
        <w:tc>
          <w:tcPr>
            <w:tcW w:w="1134" w:type="dxa"/>
            <w:shd w:val="clear" w:color="auto" w:fill="auto"/>
          </w:tcPr>
          <w:p w14:paraId="0DBE1D0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DWD</w:t>
            </w:r>
          </w:p>
        </w:tc>
        <w:tc>
          <w:tcPr>
            <w:tcW w:w="2268" w:type="dxa"/>
            <w:shd w:val="clear" w:color="auto" w:fill="auto"/>
          </w:tcPr>
          <w:p w14:paraId="516C38E9" w14:textId="00B1E56A"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Lopez-Beltran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[15]</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2017</w:t>
            </w:r>
          </w:p>
        </w:tc>
      </w:tr>
      <w:tr w:rsidR="00310F13" w:rsidRPr="00E709A1" w14:paraId="754667DA"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2C5AA44F"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12</w:t>
            </w:r>
          </w:p>
        </w:tc>
        <w:tc>
          <w:tcPr>
            <w:tcW w:w="1134" w:type="dxa"/>
            <w:shd w:val="clear" w:color="auto" w:fill="auto"/>
          </w:tcPr>
          <w:p w14:paraId="2C5E351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65/F</w:t>
            </w:r>
          </w:p>
        </w:tc>
        <w:tc>
          <w:tcPr>
            <w:tcW w:w="1842" w:type="dxa"/>
            <w:shd w:val="clear" w:color="auto" w:fill="auto"/>
          </w:tcPr>
          <w:p w14:paraId="35280E7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(Korea)</w:t>
            </w:r>
          </w:p>
        </w:tc>
        <w:tc>
          <w:tcPr>
            <w:tcW w:w="1844" w:type="dxa"/>
            <w:shd w:val="clear" w:color="auto" w:fill="auto"/>
          </w:tcPr>
          <w:p w14:paraId="5CBF09B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27E5D88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37B07B5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0878EA0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T3N0M0</w:t>
            </w:r>
          </w:p>
        </w:tc>
        <w:tc>
          <w:tcPr>
            <w:tcW w:w="1275" w:type="dxa"/>
            <w:shd w:val="clear" w:color="auto" w:fill="auto"/>
          </w:tcPr>
          <w:p w14:paraId="21B739E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0D353C9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Cytokeratin</w:t>
            </w:r>
          </w:p>
        </w:tc>
        <w:tc>
          <w:tcPr>
            <w:tcW w:w="1134" w:type="dxa"/>
            <w:shd w:val="clear" w:color="auto" w:fill="auto"/>
          </w:tcPr>
          <w:p w14:paraId="4E6164D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0967322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w:t>
            </w:r>
          </w:p>
        </w:tc>
        <w:tc>
          <w:tcPr>
            <w:tcW w:w="1275" w:type="dxa"/>
            <w:shd w:val="clear" w:color="auto" w:fill="auto"/>
          </w:tcPr>
          <w:p w14:paraId="56FAC62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w:t>
            </w:r>
          </w:p>
        </w:tc>
        <w:tc>
          <w:tcPr>
            <w:tcW w:w="1134" w:type="dxa"/>
            <w:shd w:val="clear" w:color="auto" w:fill="auto"/>
          </w:tcPr>
          <w:p w14:paraId="6D9169F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7E9A01DD" w14:textId="18A446E8"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Ahn </w:t>
            </w:r>
            <w:r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[17]</w:t>
            </w:r>
            <w:r w:rsidR="0083216F"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 xml:space="preserve"> 2014</w:t>
            </w:r>
          </w:p>
        </w:tc>
      </w:tr>
      <w:tr w:rsidR="00310F13" w:rsidRPr="00E709A1" w14:paraId="514F7711"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290B1E0B"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13</w:t>
            </w:r>
          </w:p>
        </w:tc>
        <w:tc>
          <w:tcPr>
            <w:tcW w:w="1134" w:type="dxa"/>
            <w:shd w:val="clear" w:color="auto" w:fill="auto"/>
          </w:tcPr>
          <w:p w14:paraId="2A8C4B9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61/M</w:t>
            </w:r>
          </w:p>
        </w:tc>
        <w:tc>
          <w:tcPr>
            <w:tcW w:w="1842" w:type="dxa"/>
            <w:shd w:val="clear" w:color="auto" w:fill="auto"/>
          </w:tcPr>
          <w:p w14:paraId="633D81A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(China)</w:t>
            </w:r>
          </w:p>
        </w:tc>
        <w:tc>
          <w:tcPr>
            <w:tcW w:w="1844" w:type="dxa"/>
            <w:shd w:val="clear" w:color="auto" w:fill="auto"/>
          </w:tcPr>
          <w:p w14:paraId="49A4BA2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Flank pain; Hematuria</w:t>
            </w:r>
          </w:p>
        </w:tc>
        <w:tc>
          <w:tcPr>
            <w:tcW w:w="992" w:type="dxa"/>
            <w:shd w:val="clear" w:color="auto" w:fill="auto"/>
          </w:tcPr>
          <w:p w14:paraId="4F86C1D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Left</w:t>
            </w:r>
          </w:p>
        </w:tc>
        <w:tc>
          <w:tcPr>
            <w:tcW w:w="1134" w:type="dxa"/>
            <w:shd w:val="clear" w:color="auto" w:fill="auto"/>
          </w:tcPr>
          <w:p w14:paraId="7FC6194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6DC3EAD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T4N2M0</w:t>
            </w:r>
          </w:p>
        </w:tc>
        <w:tc>
          <w:tcPr>
            <w:tcW w:w="1275" w:type="dxa"/>
            <w:shd w:val="clear" w:color="auto" w:fill="auto"/>
          </w:tcPr>
          <w:p w14:paraId="1016241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560" w:type="dxa"/>
            <w:shd w:val="clear" w:color="auto" w:fill="auto"/>
          </w:tcPr>
          <w:p w14:paraId="3C7326F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w:t>
            </w:r>
          </w:p>
        </w:tc>
        <w:tc>
          <w:tcPr>
            <w:tcW w:w="1134" w:type="dxa"/>
            <w:shd w:val="clear" w:color="auto" w:fill="auto"/>
          </w:tcPr>
          <w:p w14:paraId="28AA12A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1F99F9A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w:t>
            </w:r>
          </w:p>
        </w:tc>
        <w:tc>
          <w:tcPr>
            <w:tcW w:w="1275" w:type="dxa"/>
            <w:shd w:val="clear" w:color="auto" w:fill="auto"/>
          </w:tcPr>
          <w:p w14:paraId="710BD1A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3</w:t>
            </w:r>
          </w:p>
        </w:tc>
        <w:tc>
          <w:tcPr>
            <w:tcW w:w="1134" w:type="dxa"/>
            <w:shd w:val="clear" w:color="auto" w:fill="auto"/>
          </w:tcPr>
          <w:p w14:paraId="6D77379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DWD</w:t>
            </w:r>
          </w:p>
        </w:tc>
        <w:tc>
          <w:tcPr>
            <w:tcW w:w="2268" w:type="dxa"/>
            <w:shd w:val="clear" w:color="auto" w:fill="auto"/>
          </w:tcPr>
          <w:p w14:paraId="119D0EDA" w14:textId="023F1653"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Liu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20</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2014</w:t>
            </w:r>
          </w:p>
        </w:tc>
      </w:tr>
      <w:tr w:rsidR="00310F13" w:rsidRPr="00E709A1" w14:paraId="23DCBD2F" w14:textId="77777777" w:rsidTr="003E27A2">
        <w:trPr>
          <w:trHeight w:val="34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7097B804"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14</w:t>
            </w:r>
          </w:p>
        </w:tc>
        <w:tc>
          <w:tcPr>
            <w:tcW w:w="1134" w:type="dxa"/>
            <w:shd w:val="clear" w:color="auto" w:fill="auto"/>
          </w:tcPr>
          <w:p w14:paraId="077B606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75/F</w:t>
            </w:r>
          </w:p>
        </w:tc>
        <w:tc>
          <w:tcPr>
            <w:tcW w:w="1842" w:type="dxa"/>
            <w:shd w:val="clear" w:color="auto" w:fill="auto"/>
          </w:tcPr>
          <w:p w14:paraId="232EE98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Europe (UK)</w:t>
            </w:r>
          </w:p>
        </w:tc>
        <w:tc>
          <w:tcPr>
            <w:tcW w:w="1844" w:type="dxa"/>
            <w:shd w:val="clear" w:color="auto" w:fill="auto"/>
          </w:tcPr>
          <w:p w14:paraId="59C18ECC" w14:textId="781CF912"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Flank pain</w:t>
            </w:r>
            <w:r w:rsidR="003E27A2"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Hematuria</w:t>
            </w:r>
          </w:p>
        </w:tc>
        <w:tc>
          <w:tcPr>
            <w:tcW w:w="992" w:type="dxa"/>
            <w:shd w:val="clear" w:color="auto" w:fill="auto"/>
          </w:tcPr>
          <w:p w14:paraId="71900F2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3EA1823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550C489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T3N1M0</w:t>
            </w:r>
          </w:p>
        </w:tc>
        <w:tc>
          <w:tcPr>
            <w:tcW w:w="1275" w:type="dxa"/>
            <w:shd w:val="clear" w:color="auto" w:fill="auto"/>
          </w:tcPr>
          <w:p w14:paraId="534900C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32AF8FC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20;AE1/AE3</w:t>
            </w:r>
          </w:p>
        </w:tc>
        <w:tc>
          <w:tcPr>
            <w:tcW w:w="1134" w:type="dxa"/>
            <w:shd w:val="clear" w:color="auto" w:fill="auto"/>
          </w:tcPr>
          <w:p w14:paraId="142CD6E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173D72E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2B6DBB9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w:t>
            </w:r>
          </w:p>
        </w:tc>
        <w:tc>
          <w:tcPr>
            <w:tcW w:w="1134" w:type="dxa"/>
            <w:shd w:val="clear" w:color="auto" w:fill="auto"/>
          </w:tcPr>
          <w:p w14:paraId="2BC382F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06847DDA" w14:textId="69EDAC26"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iCs/>
                <w:kern w:val="0"/>
                <w:sz w:val="20"/>
                <w:szCs w:val="20"/>
              </w:rPr>
              <w:t xml:space="preserve">Modi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w:t>
            </w:r>
            <w:r w:rsidR="00227817" w:rsidRPr="00E709A1">
              <w:rPr>
                <w:rFonts w:ascii="Book Antiqua" w:eastAsia="宋体" w:hAnsi="Book Antiqua" w:cs="Times New Roman"/>
                <w:kern w:val="0"/>
                <w:sz w:val="20"/>
                <w:szCs w:val="20"/>
                <w:vertAlign w:val="superscript"/>
              </w:rPr>
              <w:t>4</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iCs/>
                <w:kern w:val="0"/>
                <w:sz w:val="20"/>
                <w:szCs w:val="20"/>
              </w:rPr>
              <w:t>2013</w:t>
            </w:r>
          </w:p>
        </w:tc>
      </w:tr>
      <w:tr w:rsidR="00310F13" w:rsidRPr="00E709A1" w14:paraId="25A9FA5A"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66527543"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15</w:t>
            </w:r>
          </w:p>
        </w:tc>
        <w:tc>
          <w:tcPr>
            <w:tcW w:w="1134" w:type="dxa"/>
            <w:shd w:val="clear" w:color="auto" w:fill="auto"/>
          </w:tcPr>
          <w:p w14:paraId="0469663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64/M</w:t>
            </w:r>
          </w:p>
        </w:tc>
        <w:tc>
          <w:tcPr>
            <w:tcW w:w="1842" w:type="dxa"/>
            <w:shd w:val="clear" w:color="auto" w:fill="auto"/>
          </w:tcPr>
          <w:p w14:paraId="5A83A59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(Chinese Taipei)</w:t>
            </w:r>
          </w:p>
        </w:tc>
        <w:tc>
          <w:tcPr>
            <w:tcW w:w="1844" w:type="dxa"/>
            <w:shd w:val="clear" w:color="auto" w:fill="auto"/>
          </w:tcPr>
          <w:p w14:paraId="0773BE7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Nausea</w:t>
            </w:r>
          </w:p>
        </w:tc>
        <w:tc>
          <w:tcPr>
            <w:tcW w:w="992" w:type="dxa"/>
            <w:shd w:val="clear" w:color="auto" w:fill="auto"/>
          </w:tcPr>
          <w:p w14:paraId="7E5E885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0BA1326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4218115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pT3N0M0</w:t>
            </w:r>
          </w:p>
        </w:tc>
        <w:tc>
          <w:tcPr>
            <w:tcW w:w="1275" w:type="dxa"/>
            <w:shd w:val="clear" w:color="auto" w:fill="auto"/>
          </w:tcPr>
          <w:p w14:paraId="305EABC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3AF08AF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w:t>
            </w:r>
          </w:p>
        </w:tc>
        <w:tc>
          <w:tcPr>
            <w:tcW w:w="1134" w:type="dxa"/>
            <w:shd w:val="clear" w:color="auto" w:fill="auto"/>
          </w:tcPr>
          <w:p w14:paraId="391117B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5FC8122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196D95B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w:t>
            </w:r>
          </w:p>
        </w:tc>
        <w:tc>
          <w:tcPr>
            <w:tcW w:w="1134" w:type="dxa"/>
            <w:shd w:val="clear" w:color="auto" w:fill="auto"/>
          </w:tcPr>
          <w:p w14:paraId="1C14AF9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60A14391" w14:textId="79271A02"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Wen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25</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2012</w:t>
            </w:r>
          </w:p>
        </w:tc>
      </w:tr>
      <w:tr w:rsidR="00310F13" w:rsidRPr="00E709A1" w14:paraId="21DAA642"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04F61F06"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16</w:t>
            </w:r>
          </w:p>
        </w:tc>
        <w:tc>
          <w:tcPr>
            <w:tcW w:w="1134" w:type="dxa"/>
            <w:shd w:val="clear" w:color="auto" w:fill="auto"/>
          </w:tcPr>
          <w:p w14:paraId="7110D1D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76/F</w:t>
            </w:r>
          </w:p>
        </w:tc>
        <w:tc>
          <w:tcPr>
            <w:tcW w:w="1842" w:type="dxa"/>
            <w:shd w:val="clear" w:color="auto" w:fill="auto"/>
          </w:tcPr>
          <w:p w14:paraId="2D4FFD5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Europe (Spain)</w:t>
            </w:r>
          </w:p>
        </w:tc>
        <w:tc>
          <w:tcPr>
            <w:tcW w:w="1844" w:type="dxa"/>
            <w:shd w:val="clear" w:color="auto" w:fill="auto"/>
          </w:tcPr>
          <w:p w14:paraId="70B644A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Recurrent UTI</w:t>
            </w:r>
          </w:p>
        </w:tc>
        <w:tc>
          <w:tcPr>
            <w:tcW w:w="992" w:type="dxa"/>
            <w:shd w:val="clear" w:color="auto" w:fill="auto"/>
          </w:tcPr>
          <w:p w14:paraId="1B756D6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Left</w:t>
            </w:r>
          </w:p>
        </w:tc>
        <w:tc>
          <w:tcPr>
            <w:tcW w:w="1134" w:type="dxa"/>
            <w:shd w:val="clear" w:color="auto" w:fill="auto"/>
          </w:tcPr>
          <w:p w14:paraId="02F3BAA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5B4C5A2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T2N0M0</w:t>
            </w:r>
          </w:p>
        </w:tc>
        <w:tc>
          <w:tcPr>
            <w:tcW w:w="1275" w:type="dxa"/>
            <w:shd w:val="clear" w:color="auto" w:fill="auto"/>
          </w:tcPr>
          <w:p w14:paraId="1B2B80E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6EFE177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24D7AE8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014FAA7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PN+U</w:t>
            </w:r>
          </w:p>
        </w:tc>
        <w:tc>
          <w:tcPr>
            <w:tcW w:w="1275" w:type="dxa"/>
            <w:shd w:val="clear" w:color="auto" w:fill="auto"/>
          </w:tcPr>
          <w:p w14:paraId="684C6CC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5</w:t>
            </w:r>
          </w:p>
        </w:tc>
        <w:tc>
          <w:tcPr>
            <w:tcW w:w="1134" w:type="dxa"/>
            <w:shd w:val="clear" w:color="auto" w:fill="auto"/>
          </w:tcPr>
          <w:p w14:paraId="56F4FEC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0FE01036" w14:textId="29E29944"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Val-Bernal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w:t>
            </w:r>
            <w:r w:rsidR="0083216F" w:rsidRPr="00E709A1">
              <w:rPr>
                <w:rFonts w:ascii="Book Antiqua" w:eastAsia="宋体" w:hAnsi="Book Antiqua" w:cs="Times New Roman"/>
                <w:kern w:val="0"/>
                <w:sz w:val="20"/>
                <w:szCs w:val="20"/>
                <w:vertAlign w:val="superscript"/>
              </w:rPr>
              <w:t>7]</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2011</w:t>
            </w:r>
          </w:p>
        </w:tc>
      </w:tr>
      <w:tr w:rsidR="00310F13" w:rsidRPr="00E709A1" w14:paraId="273CADB9"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5C29061F"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17</w:t>
            </w:r>
          </w:p>
        </w:tc>
        <w:tc>
          <w:tcPr>
            <w:tcW w:w="1134" w:type="dxa"/>
            <w:shd w:val="clear" w:color="auto" w:fill="auto"/>
          </w:tcPr>
          <w:p w14:paraId="2CDCAC6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71/M</w:t>
            </w:r>
          </w:p>
        </w:tc>
        <w:tc>
          <w:tcPr>
            <w:tcW w:w="1842" w:type="dxa"/>
            <w:shd w:val="clear" w:color="auto" w:fill="auto"/>
          </w:tcPr>
          <w:p w14:paraId="28CFB148" w14:textId="54ABA799"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America (U</w:t>
            </w:r>
            <w:r w:rsidR="000B5803" w:rsidRPr="00E709A1">
              <w:rPr>
                <w:rFonts w:ascii="Book Antiqua" w:eastAsia="宋体" w:hAnsi="Book Antiqua" w:cs="Times New Roman"/>
                <w:kern w:val="0"/>
                <w:sz w:val="20"/>
                <w:szCs w:val="20"/>
              </w:rPr>
              <w:t xml:space="preserve">nited </w:t>
            </w:r>
            <w:r w:rsidRPr="00E709A1">
              <w:rPr>
                <w:rFonts w:ascii="Book Antiqua" w:eastAsia="宋体" w:hAnsi="Book Antiqua" w:cs="Times New Roman"/>
                <w:kern w:val="0"/>
                <w:sz w:val="20"/>
                <w:szCs w:val="20"/>
              </w:rPr>
              <w:t>S</w:t>
            </w:r>
            <w:r w:rsidR="000B5803" w:rsidRPr="00E709A1">
              <w:rPr>
                <w:rFonts w:ascii="Book Antiqua" w:eastAsia="宋体" w:hAnsi="Book Antiqua" w:cs="Times New Roman"/>
                <w:kern w:val="0"/>
                <w:sz w:val="20"/>
                <w:szCs w:val="20"/>
              </w:rPr>
              <w:t>tates</w:t>
            </w:r>
            <w:r w:rsidRPr="00E709A1">
              <w:rPr>
                <w:rFonts w:ascii="Book Antiqua" w:eastAsia="宋体" w:hAnsi="Book Antiqua" w:cs="Times New Roman"/>
                <w:kern w:val="0"/>
                <w:sz w:val="20"/>
                <w:szCs w:val="20"/>
              </w:rPr>
              <w:t>)</w:t>
            </w:r>
          </w:p>
        </w:tc>
        <w:tc>
          <w:tcPr>
            <w:tcW w:w="1844" w:type="dxa"/>
            <w:shd w:val="clear" w:color="auto" w:fill="auto"/>
          </w:tcPr>
          <w:p w14:paraId="42D0EF4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64781B4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6EBB849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2ADAF3E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T2NxMx</w:t>
            </w:r>
          </w:p>
        </w:tc>
        <w:tc>
          <w:tcPr>
            <w:tcW w:w="1275" w:type="dxa"/>
            <w:shd w:val="clear" w:color="auto" w:fill="auto"/>
          </w:tcPr>
          <w:p w14:paraId="2CCC4E7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34EB321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7;20;CKAE1/AE3</w:t>
            </w:r>
          </w:p>
        </w:tc>
        <w:tc>
          <w:tcPr>
            <w:tcW w:w="1134" w:type="dxa"/>
            <w:shd w:val="clear" w:color="auto" w:fill="auto"/>
          </w:tcPr>
          <w:p w14:paraId="3DEDE77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6AD66A4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3EB8AED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5</w:t>
            </w:r>
          </w:p>
        </w:tc>
        <w:tc>
          <w:tcPr>
            <w:tcW w:w="1134" w:type="dxa"/>
            <w:shd w:val="clear" w:color="auto" w:fill="auto"/>
          </w:tcPr>
          <w:p w14:paraId="4E174D3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6EFAD14F" w14:textId="1444AA7F"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Allend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w:t>
            </w:r>
            <w:r w:rsidR="00227817" w:rsidRPr="00E709A1">
              <w:rPr>
                <w:rFonts w:ascii="Book Antiqua" w:eastAsia="宋体" w:hAnsi="Book Antiqua" w:cs="Times New Roman"/>
                <w:kern w:val="0"/>
                <w:sz w:val="20"/>
                <w:szCs w:val="20"/>
                <w:vertAlign w:val="superscript"/>
              </w:rPr>
              <w:t>8</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2010</w:t>
            </w:r>
          </w:p>
        </w:tc>
      </w:tr>
      <w:tr w:rsidR="00310F13" w:rsidRPr="00E709A1" w14:paraId="6EC75EA0"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5DE16CF2"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lastRenderedPageBreak/>
              <w:t>18</w:t>
            </w:r>
          </w:p>
        </w:tc>
        <w:tc>
          <w:tcPr>
            <w:tcW w:w="1134" w:type="dxa"/>
            <w:shd w:val="clear" w:color="auto" w:fill="auto"/>
          </w:tcPr>
          <w:p w14:paraId="2C1D587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64/F</w:t>
            </w:r>
          </w:p>
        </w:tc>
        <w:tc>
          <w:tcPr>
            <w:tcW w:w="1842" w:type="dxa"/>
            <w:shd w:val="clear" w:color="auto" w:fill="auto"/>
          </w:tcPr>
          <w:p w14:paraId="7CD834FB" w14:textId="58497ABD"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America (U</w:t>
            </w:r>
            <w:r w:rsidR="000B5803" w:rsidRPr="00E709A1">
              <w:rPr>
                <w:rFonts w:ascii="Book Antiqua" w:eastAsia="宋体" w:hAnsi="Book Antiqua" w:cs="Times New Roman"/>
                <w:kern w:val="0"/>
                <w:sz w:val="20"/>
                <w:szCs w:val="20"/>
              </w:rPr>
              <w:t xml:space="preserve">nited </w:t>
            </w:r>
            <w:r w:rsidRPr="00E709A1">
              <w:rPr>
                <w:rFonts w:ascii="Book Antiqua" w:eastAsia="宋体" w:hAnsi="Book Antiqua" w:cs="Times New Roman"/>
                <w:kern w:val="0"/>
                <w:sz w:val="20"/>
                <w:szCs w:val="20"/>
              </w:rPr>
              <w:t>S</w:t>
            </w:r>
            <w:r w:rsidR="000B5803" w:rsidRPr="00E709A1">
              <w:rPr>
                <w:rFonts w:ascii="Book Antiqua" w:eastAsia="宋体" w:hAnsi="Book Antiqua" w:cs="Times New Roman"/>
                <w:kern w:val="0"/>
                <w:sz w:val="20"/>
                <w:szCs w:val="20"/>
              </w:rPr>
              <w:t>tates</w:t>
            </w:r>
            <w:r w:rsidRPr="00E709A1">
              <w:rPr>
                <w:rFonts w:ascii="Book Antiqua" w:eastAsia="宋体" w:hAnsi="Book Antiqua" w:cs="Times New Roman"/>
                <w:kern w:val="0"/>
                <w:sz w:val="20"/>
                <w:szCs w:val="20"/>
              </w:rPr>
              <w:t>)</w:t>
            </w:r>
          </w:p>
        </w:tc>
        <w:tc>
          <w:tcPr>
            <w:tcW w:w="1844" w:type="dxa"/>
            <w:shd w:val="clear" w:color="auto" w:fill="auto"/>
          </w:tcPr>
          <w:p w14:paraId="0D757A4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6EE070E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Left</w:t>
            </w:r>
          </w:p>
        </w:tc>
        <w:tc>
          <w:tcPr>
            <w:tcW w:w="1134" w:type="dxa"/>
            <w:shd w:val="clear" w:color="auto" w:fill="auto"/>
          </w:tcPr>
          <w:p w14:paraId="3358EEF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75D5576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T2NxMx</w:t>
            </w:r>
          </w:p>
        </w:tc>
        <w:tc>
          <w:tcPr>
            <w:tcW w:w="1275" w:type="dxa"/>
            <w:shd w:val="clear" w:color="auto" w:fill="auto"/>
          </w:tcPr>
          <w:p w14:paraId="1487993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310D717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7;CKAE1/AE3</w:t>
            </w:r>
          </w:p>
        </w:tc>
        <w:tc>
          <w:tcPr>
            <w:tcW w:w="1134" w:type="dxa"/>
            <w:shd w:val="clear" w:color="auto" w:fill="auto"/>
          </w:tcPr>
          <w:p w14:paraId="6BC72C6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52FEAE5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w:t>
            </w:r>
          </w:p>
        </w:tc>
        <w:tc>
          <w:tcPr>
            <w:tcW w:w="1275" w:type="dxa"/>
            <w:shd w:val="clear" w:color="auto" w:fill="auto"/>
          </w:tcPr>
          <w:p w14:paraId="0F738B3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24</w:t>
            </w:r>
          </w:p>
        </w:tc>
        <w:tc>
          <w:tcPr>
            <w:tcW w:w="1134" w:type="dxa"/>
            <w:shd w:val="clear" w:color="auto" w:fill="auto"/>
          </w:tcPr>
          <w:p w14:paraId="5EAF77C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0C929769" w14:textId="005F2A02"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Ma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21</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2008</w:t>
            </w:r>
          </w:p>
        </w:tc>
      </w:tr>
      <w:tr w:rsidR="00310F13" w:rsidRPr="00E709A1" w14:paraId="2324C495"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718604E7"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19</w:t>
            </w:r>
          </w:p>
        </w:tc>
        <w:tc>
          <w:tcPr>
            <w:tcW w:w="1134" w:type="dxa"/>
            <w:shd w:val="clear" w:color="auto" w:fill="auto"/>
          </w:tcPr>
          <w:p w14:paraId="3D76F79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75/F</w:t>
            </w:r>
          </w:p>
        </w:tc>
        <w:tc>
          <w:tcPr>
            <w:tcW w:w="1842" w:type="dxa"/>
            <w:shd w:val="clear" w:color="auto" w:fill="auto"/>
          </w:tcPr>
          <w:p w14:paraId="18056EC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(Japan)</w:t>
            </w:r>
          </w:p>
        </w:tc>
        <w:tc>
          <w:tcPr>
            <w:tcW w:w="1844" w:type="dxa"/>
            <w:shd w:val="clear" w:color="auto" w:fill="auto"/>
          </w:tcPr>
          <w:p w14:paraId="23781CC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Flank pain</w:t>
            </w:r>
            <w:r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Hematuria</w:t>
            </w:r>
          </w:p>
        </w:tc>
        <w:tc>
          <w:tcPr>
            <w:tcW w:w="992" w:type="dxa"/>
            <w:shd w:val="clear" w:color="auto" w:fill="auto"/>
          </w:tcPr>
          <w:p w14:paraId="51F5505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Left</w:t>
            </w:r>
          </w:p>
        </w:tc>
        <w:tc>
          <w:tcPr>
            <w:tcW w:w="1134" w:type="dxa"/>
            <w:shd w:val="clear" w:color="auto" w:fill="auto"/>
          </w:tcPr>
          <w:p w14:paraId="4B17129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4F30D23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T1N1M0</w:t>
            </w:r>
          </w:p>
        </w:tc>
        <w:tc>
          <w:tcPr>
            <w:tcW w:w="1275" w:type="dxa"/>
            <w:shd w:val="clear" w:color="auto" w:fill="auto"/>
          </w:tcPr>
          <w:p w14:paraId="1EFC898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5933DC5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Unknown</w:t>
            </w:r>
          </w:p>
        </w:tc>
        <w:tc>
          <w:tcPr>
            <w:tcW w:w="1134" w:type="dxa"/>
            <w:shd w:val="clear" w:color="auto" w:fill="auto"/>
          </w:tcPr>
          <w:p w14:paraId="35983A6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2C05BB5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72EFDED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36</w:t>
            </w:r>
          </w:p>
        </w:tc>
        <w:tc>
          <w:tcPr>
            <w:tcW w:w="1134" w:type="dxa"/>
            <w:shd w:val="clear" w:color="auto" w:fill="auto"/>
          </w:tcPr>
          <w:p w14:paraId="7745358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352337E9" w14:textId="111E8183"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Haga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26</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2</w:t>
            </w:r>
            <w:r w:rsidRPr="00E709A1">
              <w:rPr>
                <w:rFonts w:ascii="Book Antiqua" w:eastAsia="宋体" w:hAnsi="Book Antiqua" w:cs="Times New Roman"/>
                <w:kern w:val="0"/>
                <w:sz w:val="20"/>
                <w:szCs w:val="20"/>
              </w:rPr>
              <w:t>007</w:t>
            </w:r>
          </w:p>
        </w:tc>
      </w:tr>
      <w:tr w:rsidR="00310F13" w:rsidRPr="00E709A1" w14:paraId="4BA63AFE"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549640EC"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20</w:t>
            </w:r>
          </w:p>
        </w:tc>
        <w:tc>
          <w:tcPr>
            <w:tcW w:w="1134" w:type="dxa"/>
            <w:shd w:val="clear" w:color="auto" w:fill="auto"/>
          </w:tcPr>
          <w:p w14:paraId="234591C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75/F</w:t>
            </w:r>
          </w:p>
        </w:tc>
        <w:tc>
          <w:tcPr>
            <w:tcW w:w="1842" w:type="dxa"/>
            <w:shd w:val="clear" w:color="auto" w:fill="auto"/>
          </w:tcPr>
          <w:p w14:paraId="3EF726C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(Japan)</w:t>
            </w:r>
          </w:p>
        </w:tc>
        <w:tc>
          <w:tcPr>
            <w:tcW w:w="1844" w:type="dxa"/>
            <w:shd w:val="clear" w:color="auto" w:fill="auto"/>
          </w:tcPr>
          <w:p w14:paraId="2A98BC0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Flank pain</w:t>
            </w:r>
            <w:r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Hematuria</w:t>
            </w:r>
          </w:p>
        </w:tc>
        <w:tc>
          <w:tcPr>
            <w:tcW w:w="992" w:type="dxa"/>
            <w:shd w:val="clear" w:color="auto" w:fill="auto"/>
          </w:tcPr>
          <w:p w14:paraId="4072107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Left</w:t>
            </w:r>
          </w:p>
        </w:tc>
        <w:tc>
          <w:tcPr>
            <w:tcW w:w="1134" w:type="dxa"/>
            <w:shd w:val="clear" w:color="auto" w:fill="auto"/>
          </w:tcPr>
          <w:p w14:paraId="72ED85D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1D35155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T3N0M0</w:t>
            </w:r>
          </w:p>
        </w:tc>
        <w:tc>
          <w:tcPr>
            <w:tcW w:w="1275" w:type="dxa"/>
            <w:shd w:val="clear" w:color="auto" w:fill="auto"/>
          </w:tcPr>
          <w:p w14:paraId="1880DBA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560" w:type="dxa"/>
            <w:shd w:val="clear" w:color="auto" w:fill="auto"/>
          </w:tcPr>
          <w:p w14:paraId="2277C48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15</w:t>
            </w:r>
          </w:p>
        </w:tc>
        <w:tc>
          <w:tcPr>
            <w:tcW w:w="1134" w:type="dxa"/>
            <w:shd w:val="clear" w:color="auto" w:fill="auto"/>
          </w:tcPr>
          <w:p w14:paraId="67BC2D1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391B8DD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w:t>
            </w:r>
          </w:p>
        </w:tc>
        <w:tc>
          <w:tcPr>
            <w:tcW w:w="1275" w:type="dxa"/>
            <w:shd w:val="clear" w:color="auto" w:fill="auto"/>
          </w:tcPr>
          <w:p w14:paraId="711D8F4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w:t>
            </w:r>
          </w:p>
        </w:tc>
        <w:tc>
          <w:tcPr>
            <w:tcW w:w="1134" w:type="dxa"/>
            <w:shd w:val="clear" w:color="auto" w:fill="auto"/>
          </w:tcPr>
          <w:p w14:paraId="160E81A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45904B51" w14:textId="1D1433D8"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Yamada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w:t>
            </w:r>
            <w:r w:rsidR="00227817" w:rsidRPr="00E709A1">
              <w:rPr>
                <w:rFonts w:ascii="Book Antiqua" w:eastAsia="宋体" w:hAnsi="Book Antiqua" w:cs="Times New Roman"/>
                <w:kern w:val="0"/>
                <w:sz w:val="20"/>
                <w:szCs w:val="20"/>
                <w:vertAlign w:val="superscript"/>
              </w:rPr>
              <w:t>1</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2007</w:t>
            </w:r>
          </w:p>
        </w:tc>
      </w:tr>
      <w:tr w:rsidR="00310F13" w:rsidRPr="00E709A1" w14:paraId="5FA7D5CE"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4331F093"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21</w:t>
            </w:r>
          </w:p>
        </w:tc>
        <w:tc>
          <w:tcPr>
            <w:tcW w:w="1134" w:type="dxa"/>
            <w:shd w:val="clear" w:color="auto" w:fill="auto"/>
          </w:tcPr>
          <w:p w14:paraId="6DE70A1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72/F</w:t>
            </w:r>
          </w:p>
        </w:tc>
        <w:tc>
          <w:tcPr>
            <w:tcW w:w="1842" w:type="dxa"/>
            <w:shd w:val="clear" w:color="auto" w:fill="auto"/>
          </w:tcPr>
          <w:p w14:paraId="537C357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Europe or America</w:t>
            </w:r>
          </w:p>
        </w:tc>
        <w:tc>
          <w:tcPr>
            <w:tcW w:w="1844" w:type="dxa"/>
            <w:shd w:val="clear" w:color="auto" w:fill="auto"/>
          </w:tcPr>
          <w:p w14:paraId="5F1C910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Incidental finding</w:t>
            </w:r>
          </w:p>
        </w:tc>
        <w:tc>
          <w:tcPr>
            <w:tcW w:w="992" w:type="dxa"/>
            <w:shd w:val="clear" w:color="auto" w:fill="auto"/>
          </w:tcPr>
          <w:p w14:paraId="65F41E6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613FD22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686DEF7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w:t>
            </w:r>
          </w:p>
        </w:tc>
        <w:tc>
          <w:tcPr>
            <w:tcW w:w="1275" w:type="dxa"/>
            <w:shd w:val="clear" w:color="auto" w:fill="auto"/>
          </w:tcPr>
          <w:p w14:paraId="5C899FF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Predominant</w:t>
            </w:r>
          </w:p>
        </w:tc>
        <w:tc>
          <w:tcPr>
            <w:tcW w:w="1560" w:type="dxa"/>
            <w:shd w:val="clear" w:color="auto" w:fill="auto"/>
          </w:tcPr>
          <w:p w14:paraId="26CBD0B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AE1/AE3</w:t>
            </w:r>
          </w:p>
        </w:tc>
        <w:tc>
          <w:tcPr>
            <w:tcW w:w="1134" w:type="dxa"/>
            <w:shd w:val="clear" w:color="auto" w:fill="auto"/>
          </w:tcPr>
          <w:p w14:paraId="741265C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00D75BB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w:t>
            </w:r>
          </w:p>
        </w:tc>
        <w:tc>
          <w:tcPr>
            <w:tcW w:w="1275" w:type="dxa"/>
            <w:shd w:val="clear" w:color="auto" w:fill="auto"/>
          </w:tcPr>
          <w:p w14:paraId="60E6157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3</w:t>
            </w:r>
          </w:p>
        </w:tc>
        <w:tc>
          <w:tcPr>
            <w:tcW w:w="1134" w:type="dxa"/>
            <w:shd w:val="clear" w:color="auto" w:fill="auto"/>
          </w:tcPr>
          <w:p w14:paraId="75D2EAA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DWD</w:t>
            </w:r>
          </w:p>
        </w:tc>
        <w:tc>
          <w:tcPr>
            <w:tcW w:w="2268" w:type="dxa"/>
            <w:shd w:val="clear" w:color="auto" w:fill="auto"/>
          </w:tcPr>
          <w:p w14:paraId="3780B4E0" w14:textId="7C65589F"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Perez-Montiel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w:t>
            </w:r>
            <w:r w:rsidR="00227817" w:rsidRPr="00E709A1">
              <w:rPr>
                <w:rFonts w:ascii="Book Antiqua" w:eastAsia="宋体" w:hAnsi="Book Antiqua" w:cs="Times New Roman"/>
                <w:kern w:val="0"/>
                <w:sz w:val="20"/>
                <w:szCs w:val="20"/>
                <w:vertAlign w:val="superscript"/>
              </w:rPr>
              <w:t>3</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2006</w:t>
            </w:r>
          </w:p>
        </w:tc>
      </w:tr>
      <w:tr w:rsidR="00310F13" w:rsidRPr="00E709A1" w14:paraId="7CA00DCB"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44C23746"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22</w:t>
            </w:r>
          </w:p>
        </w:tc>
        <w:tc>
          <w:tcPr>
            <w:tcW w:w="1134" w:type="dxa"/>
            <w:shd w:val="clear" w:color="auto" w:fill="auto"/>
          </w:tcPr>
          <w:p w14:paraId="69CF406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68/M</w:t>
            </w:r>
          </w:p>
        </w:tc>
        <w:tc>
          <w:tcPr>
            <w:tcW w:w="1842" w:type="dxa"/>
            <w:shd w:val="clear" w:color="auto" w:fill="auto"/>
          </w:tcPr>
          <w:p w14:paraId="4EE7D18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Europe or America</w:t>
            </w:r>
          </w:p>
        </w:tc>
        <w:tc>
          <w:tcPr>
            <w:tcW w:w="1844" w:type="dxa"/>
            <w:shd w:val="clear" w:color="auto" w:fill="auto"/>
          </w:tcPr>
          <w:p w14:paraId="2E5DA41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Incidental finding</w:t>
            </w:r>
          </w:p>
        </w:tc>
        <w:tc>
          <w:tcPr>
            <w:tcW w:w="992" w:type="dxa"/>
            <w:shd w:val="clear" w:color="auto" w:fill="auto"/>
          </w:tcPr>
          <w:p w14:paraId="596C2EB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2648023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3389972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w:t>
            </w:r>
          </w:p>
        </w:tc>
        <w:tc>
          <w:tcPr>
            <w:tcW w:w="1275" w:type="dxa"/>
            <w:shd w:val="clear" w:color="auto" w:fill="auto"/>
          </w:tcPr>
          <w:p w14:paraId="40787C3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Focal</w:t>
            </w:r>
          </w:p>
        </w:tc>
        <w:tc>
          <w:tcPr>
            <w:tcW w:w="1560" w:type="dxa"/>
            <w:shd w:val="clear" w:color="auto" w:fill="auto"/>
          </w:tcPr>
          <w:p w14:paraId="6942745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AE1/AE3</w:t>
            </w:r>
          </w:p>
        </w:tc>
        <w:tc>
          <w:tcPr>
            <w:tcW w:w="1134" w:type="dxa"/>
            <w:shd w:val="clear" w:color="auto" w:fill="auto"/>
          </w:tcPr>
          <w:p w14:paraId="357715F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34915F3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w:t>
            </w:r>
          </w:p>
        </w:tc>
        <w:tc>
          <w:tcPr>
            <w:tcW w:w="1275" w:type="dxa"/>
            <w:shd w:val="clear" w:color="auto" w:fill="auto"/>
          </w:tcPr>
          <w:p w14:paraId="47FEC8A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12</w:t>
            </w:r>
          </w:p>
        </w:tc>
        <w:tc>
          <w:tcPr>
            <w:tcW w:w="1134" w:type="dxa"/>
            <w:shd w:val="clear" w:color="auto" w:fill="auto"/>
          </w:tcPr>
          <w:p w14:paraId="14656CD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DWD</w:t>
            </w:r>
          </w:p>
        </w:tc>
        <w:tc>
          <w:tcPr>
            <w:tcW w:w="2268" w:type="dxa"/>
            <w:shd w:val="clear" w:color="auto" w:fill="auto"/>
          </w:tcPr>
          <w:p w14:paraId="120C4AD8" w14:textId="11639774"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Perez-Montiel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w:t>
            </w:r>
            <w:r w:rsidR="00227817" w:rsidRPr="00E709A1">
              <w:rPr>
                <w:rFonts w:ascii="Book Antiqua" w:eastAsia="宋体" w:hAnsi="Book Antiqua" w:cs="Times New Roman"/>
                <w:kern w:val="0"/>
                <w:sz w:val="20"/>
                <w:szCs w:val="20"/>
                <w:vertAlign w:val="superscript"/>
              </w:rPr>
              <w:t>3</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2006</w:t>
            </w:r>
          </w:p>
        </w:tc>
      </w:tr>
      <w:tr w:rsidR="00310F13" w:rsidRPr="00E709A1" w14:paraId="20EC9E88"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233E0FF8"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23</w:t>
            </w:r>
          </w:p>
        </w:tc>
        <w:tc>
          <w:tcPr>
            <w:tcW w:w="1134" w:type="dxa"/>
            <w:shd w:val="clear" w:color="auto" w:fill="auto"/>
          </w:tcPr>
          <w:p w14:paraId="1EF7743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73/M</w:t>
            </w:r>
          </w:p>
        </w:tc>
        <w:tc>
          <w:tcPr>
            <w:tcW w:w="1842" w:type="dxa"/>
            <w:shd w:val="clear" w:color="auto" w:fill="auto"/>
          </w:tcPr>
          <w:p w14:paraId="1633052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(Japan)</w:t>
            </w:r>
          </w:p>
        </w:tc>
        <w:tc>
          <w:tcPr>
            <w:tcW w:w="1844" w:type="dxa"/>
            <w:shd w:val="clear" w:color="auto" w:fill="auto"/>
          </w:tcPr>
          <w:p w14:paraId="3E597D7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0A2EFEF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47F8478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1ADD2BA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T2N0Mx</w:t>
            </w:r>
          </w:p>
        </w:tc>
        <w:tc>
          <w:tcPr>
            <w:tcW w:w="1275" w:type="dxa"/>
            <w:shd w:val="clear" w:color="auto" w:fill="auto"/>
          </w:tcPr>
          <w:p w14:paraId="31DFD00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723C5EC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CKAE1/AE3</w:t>
            </w:r>
          </w:p>
        </w:tc>
        <w:tc>
          <w:tcPr>
            <w:tcW w:w="1134" w:type="dxa"/>
            <w:shd w:val="clear" w:color="auto" w:fill="auto"/>
          </w:tcPr>
          <w:p w14:paraId="110CE80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372D8E5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69BA4B8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30</w:t>
            </w:r>
          </w:p>
        </w:tc>
        <w:tc>
          <w:tcPr>
            <w:tcW w:w="1134" w:type="dxa"/>
            <w:shd w:val="clear" w:color="auto" w:fill="auto"/>
          </w:tcPr>
          <w:p w14:paraId="2AEFCB5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4C598268" w14:textId="61783982"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Terai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24</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2005</w:t>
            </w:r>
          </w:p>
        </w:tc>
      </w:tr>
      <w:tr w:rsidR="00310F13" w:rsidRPr="00E709A1" w14:paraId="1D0F183C"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308A9D93"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24</w:t>
            </w:r>
          </w:p>
        </w:tc>
        <w:tc>
          <w:tcPr>
            <w:tcW w:w="1134" w:type="dxa"/>
            <w:shd w:val="clear" w:color="auto" w:fill="auto"/>
          </w:tcPr>
          <w:p w14:paraId="50CBE5E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58/M</w:t>
            </w:r>
          </w:p>
        </w:tc>
        <w:tc>
          <w:tcPr>
            <w:tcW w:w="1842" w:type="dxa"/>
            <w:shd w:val="clear" w:color="auto" w:fill="auto"/>
          </w:tcPr>
          <w:p w14:paraId="393F65B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Europe (Spain)</w:t>
            </w:r>
          </w:p>
        </w:tc>
        <w:tc>
          <w:tcPr>
            <w:tcW w:w="1844" w:type="dxa"/>
            <w:shd w:val="clear" w:color="auto" w:fill="auto"/>
          </w:tcPr>
          <w:p w14:paraId="502D3FE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72F9130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Left</w:t>
            </w:r>
          </w:p>
        </w:tc>
        <w:tc>
          <w:tcPr>
            <w:tcW w:w="1134" w:type="dxa"/>
            <w:shd w:val="clear" w:color="auto" w:fill="auto"/>
          </w:tcPr>
          <w:p w14:paraId="585CB1E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77222FE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T3N0M0</w:t>
            </w:r>
          </w:p>
        </w:tc>
        <w:tc>
          <w:tcPr>
            <w:tcW w:w="1275" w:type="dxa"/>
            <w:shd w:val="clear" w:color="auto" w:fill="auto"/>
          </w:tcPr>
          <w:p w14:paraId="75949F3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61ACC2D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CKAE1/AE3</w:t>
            </w:r>
          </w:p>
        </w:tc>
        <w:tc>
          <w:tcPr>
            <w:tcW w:w="1134" w:type="dxa"/>
            <w:shd w:val="clear" w:color="auto" w:fill="auto"/>
          </w:tcPr>
          <w:p w14:paraId="3BBBA56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28C5E89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4B79BAB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18</w:t>
            </w:r>
          </w:p>
        </w:tc>
        <w:tc>
          <w:tcPr>
            <w:tcW w:w="1134" w:type="dxa"/>
            <w:shd w:val="clear" w:color="auto" w:fill="auto"/>
          </w:tcPr>
          <w:p w14:paraId="17FC8C4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4E9DF6BA" w14:textId="4DB3B0F4"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Roig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23</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2001</w:t>
            </w:r>
          </w:p>
        </w:tc>
      </w:tr>
      <w:tr w:rsidR="00310F13" w:rsidRPr="00E709A1" w14:paraId="35E30BBB"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67218764"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25</w:t>
            </w:r>
          </w:p>
        </w:tc>
        <w:tc>
          <w:tcPr>
            <w:tcW w:w="1134" w:type="dxa"/>
            <w:shd w:val="clear" w:color="auto" w:fill="auto"/>
          </w:tcPr>
          <w:p w14:paraId="0C54001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62/F</w:t>
            </w:r>
          </w:p>
        </w:tc>
        <w:tc>
          <w:tcPr>
            <w:tcW w:w="1842" w:type="dxa"/>
            <w:shd w:val="clear" w:color="auto" w:fill="auto"/>
          </w:tcPr>
          <w:p w14:paraId="0D952AE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(Chinese Taipei)</w:t>
            </w:r>
          </w:p>
        </w:tc>
        <w:tc>
          <w:tcPr>
            <w:tcW w:w="1844" w:type="dxa"/>
            <w:shd w:val="clear" w:color="auto" w:fill="auto"/>
          </w:tcPr>
          <w:p w14:paraId="2E9AEB7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shd w:val="clear" w:color="auto" w:fill="auto"/>
          </w:tcPr>
          <w:p w14:paraId="08489D3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64C2E33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shd w:val="clear" w:color="auto" w:fill="auto"/>
          </w:tcPr>
          <w:p w14:paraId="2392EE2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T2N0M0</w:t>
            </w:r>
          </w:p>
        </w:tc>
        <w:tc>
          <w:tcPr>
            <w:tcW w:w="1275" w:type="dxa"/>
            <w:shd w:val="clear" w:color="auto" w:fill="auto"/>
          </w:tcPr>
          <w:p w14:paraId="56C7F53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5017E42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CKAE1/AE 3</w:t>
            </w:r>
          </w:p>
        </w:tc>
        <w:tc>
          <w:tcPr>
            <w:tcW w:w="1134" w:type="dxa"/>
            <w:shd w:val="clear" w:color="auto" w:fill="auto"/>
          </w:tcPr>
          <w:p w14:paraId="3F9962F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7A76AF0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36250E0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18</w:t>
            </w:r>
          </w:p>
        </w:tc>
        <w:tc>
          <w:tcPr>
            <w:tcW w:w="1134" w:type="dxa"/>
            <w:shd w:val="clear" w:color="auto" w:fill="auto"/>
          </w:tcPr>
          <w:p w14:paraId="46974FB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35DB373E" w14:textId="334A7D5A"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Ng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22</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1999</w:t>
            </w:r>
          </w:p>
        </w:tc>
      </w:tr>
      <w:tr w:rsidR="00310F13" w:rsidRPr="00E709A1" w14:paraId="3140B122" w14:textId="77777777" w:rsidTr="003E27A2">
        <w:trPr>
          <w:trHeight w:val="34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6245E657"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26</w:t>
            </w:r>
          </w:p>
        </w:tc>
        <w:tc>
          <w:tcPr>
            <w:tcW w:w="1134" w:type="dxa"/>
            <w:shd w:val="clear" w:color="auto" w:fill="auto"/>
          </w:tcPr>
          <w:p w14:paraId="2EA2768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79/F</w:t>
            </w:r>
          </w:p>
        </w:tc>
        <w:tc>
          <w:tcPr>
            <w:tcW w:w="1842" w:type="dxa"/>
            <w:shd w:val="clear" w:color="auto" w:fill="auto"/>
          </w:tcPr>
          <w:p w14:paraId="29AA6B4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iCs/>
                <w:kern w:val="0"/>
                <w:sz w:val="20"/>
                <w:szCs w:val="20"/>
              </w:rPr>
              <w:t>Australia</w:t>
            </w:r>
          </w:p>
        </w:tc>
        <w:tc>
          <w:tcPr>
            <w:tcW w:w="1844" w:type="dxa"/>
            <w:shd w:val="clear" w:color="auto" w:fill="auto"/>
          </w:tcPr>
          <w:p w14:paraId="09E2E9F3"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Flank pain; Hematuria</w:t>
            </w:r>
          </w:p>
        </w:tc>
        <w:tc>
          <w:tcPr>
            <w:tcW w:w="992" w:type="dxa"/>
            <w:shd w:val="clear" w:color="auto" w:fill="auto"/>
          </w:tcPr>
          <w:p w14:paraId="6135D09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shd w:val="clear" w:color="auto" w:fill="auto"/>
          </w:tcPr>
          <w:p w14:paraId="6890FFD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1DB4792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T3N0M0</w:t>
            </w:r>
          </w:p>
        </w:tc>
        <w:tc>
          <w:tcPr>
            <w:tcW w:w="1275" w:type="dxa"/>
            <w:shd w:val="clear" w:color="auto" w:fill="auto"/>
          </w:tcPr>
          <w:p w14:paraId="2F99C6E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560" w:type="dxa"/>
            <w:shd w:val="clear" w:color="auto" w:fill="auto"/>
          </w:tcPr>
          <w:p w14:paraId="396F988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AE1/AE3</w:t>
            </w:r>
          </w:p>
        </w:tc>
        <w:tc>
          <w:tcPr>
            <w:tcW w:w="1134" w:type="dxa"/>
            <w:shd w:val="clear" w:color="auto" w:fill="auto"/>
          </w:tcPr>
          <w:p w14:paraId="093B5760"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4493B9A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p>
        </w:tc>
        <w:tc>
          <w:tcPr>
            <w:tcW w:w="1275" w:type="dxa"/>
            <w:shd w:val="clear" w:color="auto" w:fill="auto"/>
          </w:tcPr>
          <w:p w14:paraId="7246AD02"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6</w:t>
            </w:r>
          </w:p>
        </w:tc>
        <w:tc>
          <w:tcPr>
            <w:tcW w:w="1134" w:type="dxa"/>
            <w:shd w:val="clear" w:color="auto" w:fill="auto"/>
          </w:tcPr>
          <w:p w14:paraId="1C68286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62E2C8DD" w14:textId="4F873A88"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Cohen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w:t>
            </w:r>
            <w:r w:rsidR="00227817" w:rsidRPr="00E709A1">
              <w:rPr>
                <w:rFonts w:ascii="Book Antiqua" w:eastAsia="宋体" w:hAnsi="Book Antiqua" w:cs="Times New Roman"/>
                <w:kern w:val="0"/>
                <w:sz w:val="20"/>
                <w:szCs w:val="20"/>
                <w:vertAlign w:val="superscript"/>
              </w:rPr>
              <w:t>0</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 xml:space="preserve"> 1999</w:t>
            </w:r>
          </w:p>
        </w:tc>
      </w:tr>
      <w:tr w:rsidR="00310F13" w:rsidRPr="00E709A1" w14:paraId="380A52CE" w14:textId="77777777" w:rsidTr="003E27A2">
        <w:trPr>
          <w:trHeight w:val="34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19D83FF1"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27</w:t>
            </w:r>
          </w:p>
        </w:tc>
        <w:tc>
          <w:tcPr>
            <w:tcW w:w="1134" w:type="dxa"/>
            <w:shd w:val="clear" w:color="auto" w:fill="auto"/>
          </w:tcPr>
          <w:p w14:paraId="1819CB2F"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70/M</w:t>
            </w:r>
          </w:p>
        </w:tc>
        <w:tc>
          <w:tcPr>
            <w:tcW w:w="1842" w:type="dxa"/>
            <w:shd w:val="clear" w:color="auto" w:fill="auto"/>
          </w:tcPr>
          <w:p w14:paraId="30947A41"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Asia (Japan)</w:t>
            </w:r>
          </w:p>
        </w:tc>
        <w:tc>
          <w:tcPr>
            <w:tcW w:w="1844" w:type="dxa"/>
            <w:shd w:val="clear" w:color="auto" w:fill="auto"/>
          </w:tcPr>
          <w:p w14:paraId="4B22E196" w14:textId="09A6E605"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Flank pain;</w:t>
            </w:r>
            <w:r w:rsidR="003E27A2"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Hematuria</w:t>
            </w:r>
          </w:p>
        </w:tc>
        <w:tc>
          <w:tcPr>
            <w:tcW w:w="992" w:type="dxa"/>
            <w:shd w:val="clear" w:color="auto" w:fill="auto"/>
          </w:tcPr>
          <w:p w14:paraId="1435066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NM</w:t>
            </w:r>
          </w:p>
        </w:tc>
        <w:tc>
          <w:tcPr>
            <w:tcW w:w="1134" w:type="dxa"/>
            <w:shd w:val="clear" w:color="auto" w:fill="auto"/>
          </w:tcPr>
          <w:p w14:paraId="51430E6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Renal pelvis</w:t>
            </w:r>
          </w:p>
        </w:tc>
        <w:tc>
          <w:tcPr>
            <w:tcW w:w="1276" w:type="dxa"/>
            <w:shd w:val="clear" w:color="auto" w:fill="auto"/>
          </w:tcPr>
          <w:p w14:paraId="148D859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T1N0M0</w:t>
            </w:r>
          </w:p>
        </w:tc>
        <w:tc>
          <w:tcPr>
            <w:tcW w:w="1275" w:type="dxa"/>
            <w:shd w:val="clear" w:color="auto" w:fill="auto"/>
          </w:tcPr>
          <w:p w14:paraId="144A3CA9"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shd w:val="clear" w:color="auto" w:fill="auto"/>
          </w:tcPr>
          <w:p w14:paraId="7F05D437" w14:textId="15F67C8E"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w:t>
            </w:r>
            <w:r w:rsidR="00310F13"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20</w:t>
            </w:r>
          </w:p>
        </w:tc>
        <w:tc>
          <w:tcPr>
            <w:tcW w:w="1134" w:type="dxa"/>
            <w:shd w:val="clear" w:color="auto" w:fill="auto"/>
          </w:tcPr>
          <w:p w14:paraId="1DAB445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shd w:val="clear" w:color="auto" w:fill="auto"/>
          </w:tcPr>
          <w:p w14:paraId="4E6A32FF" w14:textId="50F098C1"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RNU</w:t>
            </w:r>
            <w:r w:rsidR="00310F13"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w:t>
            </w:r>
            <w:r w:rsidR="00310F13"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RT</w:t>
            </w:r>
          </w:p>
        </w:tc>
        <w:tc>
          <w:tcPr>
            <w:tcW w:w="1275" w:type="dxa"/>
            <w:shd w:val="clear" w:color="auto" w:fill="auto"/>
          </w:tcPr>
          <w:p w14:paraId="5B33359B"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w:t>
            </w:r>
          </w:p>
        </w:tc>
        <w:tc>
          <w:tcPr>
            <w:tcW w:w="1134" w:type="dxa"/>
            <w:shd w:val="clear" w:color="auto" w:fill="auto"/>
          </w:tcPr>
          <w:p w14:paraId="569C546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shd w:val="clear" w:color="auto" w:fill="auto"/>
          </w:tcPr>
          <w:p w14:paraId="465EA5C5" w14:textId="11DD5710"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Fukunaga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w:t>
            </w:r>
            <w:r w:rsidR="00227817" w:rsidRPr="00E709A1">
              <w:rPr>
                <w:rFonts w:ascii="Book Antiqua" w:eastAsia="宋体" w:hAnsi="Book Antiqua" w:cs="Times New Roman"/>
                <w:kern w:val="0"/>
                <w:sz w:val="20"/>
                <w:szCs w:val="20"/>
                <w:vertAlign w:val="superscript"/>
              </w:rPr>
              <w:t>9</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w:t>
            </w:r>
            <w:r w:rsidRPr="00E709A1">
              <w:rPr>
                <w:rFonts w:ascii="Book Antiqua" w:eastAsia="宋体" w:hAnsi="Book Antiqua" w:cs="Times New Roman"/>
                <w:kern w:val="0"/>
                <w:sz w:val="20"/>
                <w:szCs w:val="20"/>
              </w:rPr>
              <w:t xml:space="preserve"> 1998</w:t>
            </w:r>
          </w:p>
        </w:tc>
      </w:tr>
      <w:tr w:rsidR="00310F13" w:rsidRPr="00E709A1" w14:paraId="7E839F81" w14:textId="77777777" w:rsidTr="005B185A">
        <w:trPr>
          <w:trHeight w:val="337"/>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000000"/>
            </w:tcBorders>
            <w:shd w:val="clear" w:color="auto" w:fill="auto"/>
          </w:tcPr>
          <w:p w14:paraId="7F177350" w14:textId="77777777" w:rsidR="000705B7" w:rsidRPr="00E709A1" w:rsidRDefault="00624006" w:rsidP="00310F13">
            <w:pPr>
              <w:snapToGrid w:val="0"/>
              <w:spacing w:line="360" w:lineRule="auto"/>
              <w:rPr>
                <w:rFonts w:ascii="Book Antiqua" w:eastAsia="宋体" w:hAnsi="Book Antiqua" w:cs="Times New Roman"/>
                <w:b w:val="0"/>
                <w:bCs w:val="0"/>
                <w:kern w:val="0"/>
                <w:sz w:val="20"/>
                <w:szCs w:val="20"/>
              </w:rPr>
            </w:pPr>
            <w:r w:rsidRPr="00E709A1">
              <w:rPr>
                <w:rFonts w:ascii="Book Antiqua" w:eastAsia="宋体" w:hAnsi="Book Antiqua" w:cs="Times New Roman"/>
                <w:kern w:val="0"/>
                <w:sz w:val="20"/>
                <w:szCs w:val="20"/>
              </w:rPr>
              <w:t>28</w:t>
            </w:r>
          </w:p>
        </w:tc>
        <w:tc>
          <w:tcPr>
            <w:tcW w:w="1134" w:type="dxa"/>
            <w:tcBorders>
              <w:bottom w:val="single" w:sz="4" w:space="0" w:color="000000"/>
            </w:tcBorders>
            <w:shd w:val="clear" w:color="auto" w:fill="auto"/>
          </w:tcPr>
          <w:p w14:paraId="41AFB30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75/M</w:t>
            </w:r>
          </w:p>
        </w:tc>
        <w:tc>
          <w:tcPr>
            <w:tcW w:w="1842" w:type="dxa"/>
            <w:tcBorders>
              <w:bottom w:val="single" w:sz="4" w:space="0" w:color="000000"/>
            </w:tcBorders>
            <w:shd w:val="clear" w:color="auto" w:fill="auto"/>
          </w:tcPr>
          <w:p w14:paraId="0C741433" w14:textId="2C150989"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America (U</w:t>
            </w:r>
            <w:r w:rsidR="000B5803" w:rsidRPr="00E709A1">
              <w:rPr>
                <w:rFonts w:ascii="Book Antiqua" w:eastAsia="宋体" w:hAnsi="Book Antiqua" w:cs="Times New Roman"/>
                <w:kern w:val="0"/>
                <w:sz w:val="20"/>
                <w:szCs w:val="20"/>
              </w:rPr>
              <w:t xml:space="preserve">nited </w:t>
            </w:r>
            <w:r w:rsidRPr="00E709A1">
              <w:rPr>
                <w:rFonts w:ascii="Book Antiqua" w:eastAsia="宋体" w:hAnsi="Book Antiqua" w:cs="Times New Roman"/>
                <w:kern w:val="0"/>
                <w:sz w:val="20"/>
                <w:szCs w:val="20"/>
              </w:rPr>
              <w:t>S</w:t>
            </w:r>
            <w:r w:rsidR="000B5803" w:rsidRPr="00E709A1">
              <w:rPr>
                <w:rFonts w:ascii="Book Antiqua" w:eastAsia="宋体" w:hAnsi="Book Antiqua" w:cs="Times New Roman"/>
                <w:kern w:val="0"/>
                <w:sz w:val="20"/>
                <w:szCs w:val="20"/>
              </w:rPr>
              <w:t>tates</w:t>
            </w:r>
            <w:r w:rsidRPr="00E709A1">
              <w:rPr>
                <w:rFonts w:ascii="Book Antiqua" w:eastAsia="宋体" w:hAnsi="Book Antiqua" w:cs="Times New Roman"/>
                <w:kern w:val="0"/>
                <w:sz w:val="20"/>
                <w:szCs w:val="20"/>
              </w:rPr>
              <w:t>)</w:t>
            </w:r>
          </w:p>
        </w:tc>
        <w:tc>
          <w:tcPr>
            <w:tcW w:w="1844" w:type="dxa"/>
            <w:tcBorders>
              <w:bottom w:val="single" w:sz="4" w:space="0" w:color="000000"/>
            </w:tcBorders>
            <w:shd w:val="clear" w:color="auto" w:fill="auto"/>
          </w:tcPr>
          <w:p w14:paraId="5C37974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Hematuria</w:t>
            </w:r>
          </w:p>
        </w:tc>
        <w:tc>
          <w:tcPr>
            <w:tcW w:w="992" w:type="dxa"/>
            <w:tcBorders>
              <w:bottom w:val="single" w:sz="4" w:space="0" w:color="000000"/>
            </w:tcBorders>
            <w:shd w:val="clear" w:color="auto" w:fill="auto"/>
          </w:tcPr>
          <w:p w14:paraId="5BB38C2E"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Right</w:t>
            </w:r>
          </w:p>
        </w:tc>
        <w:tc>
          <w:tcPr>
            <w:tcW w:w="1134" w:type="dxa"/>
            <w:tcBorders>
              <w:bottom w:val="single" w:sz="4" w:space="0" w:color="000000"/>
            </w:tcBorders>
            <w:shd w:val="clear" w:color="auto" w:fill="auto"/>
          </w:tcPr>
          <w:p w14:paraId="1215B78D"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Ureter</w:t>
            </w:r>
          </w:p>
        </w:tc>
        <w:tc>
          <w:tcPr>
            <w:tcW w:w="1276" w:type="dxa"/>
            <w:tcBorders>
              <w:bottom w:val="single" w:sz="4" w:space="0" w:color="000000"/>
            </w:tcBorders>
            <w:shd w:val="clear" w:color="auto" w:fill="auto"/>
          </w:tcPr>
          <w:p w14:paraId="662F52D8"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T3N0M0</w:t>
            </w:r>
          </w:p>
        </w:tc>
        <w:tc>
          <w:tcPr>
            <w:tcW w:w="1275" w:type="dxa"/>
            <w:tcBorders>
              <w:bottom w:val="single" w:sz="4" w:space="0" w:color="000000"/>
            </w:tcBorders>
            <w:shd w:val="clear" w:color="auto" w:fill="auto"/>
          </w:tcPr>
          <w:p w14:paraId="408A124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Pure</w:t>
            </w:r>
          </w:p>
        </w:tc>
        <w:tc>
          <w:tcPr>
            <w:tcW w:w="1560" w:type="dxa"/>
            <w:tcBorders>
              <w:bottom w:val="single" w:sz="4" w:space="0" w:color="000000"/>
            </w:tcBorders>
            <w:shd w:val="clear" w:color="auto" w:fill="auto"/>
          </w:tcPr>
          <w:p w14:paraId="0BEBA6D4"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7;20</w:t>
            </w:r>
          </w:p>
        </w:tc>
        <w:tc>
          <w:tcPr>
            <w:tcW w:w="1134" w:type="dxa"/>
            <w:tcBorders>
              <w:bottom w:val="single" w:sz="4" w:space="0" w:color="000000"/>
            </w:tcBorders>
            <w:shd w:val="clear" w:color="auto" w:fill="auto"/>
          </w:tcPr>
          <w:p w14:paraId="6A6BCA9C"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Negative</w:t>
            </w:r>
          </w:p>
        </w:tc>
        <w:tc>
          <w:tcPr>
            <w:tcW w:w="1134" w:type="dxa"/>
            <w:tcBorders>
              <w:bottom w:val="single" w:sz="4" w:space="0" w:color="000000"/>
            </w:tcBorders>
            <w:shd w:val="clear" w:color="auto" w:fill="auto"/>
          </w:tcPr>
          <w:p w14:paraId="4448BA55"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U</w:t>
            </w:r>
          </w:p>
        </w:tc>
        <w:tc>
          <w:tcPr>
            <w:tcW w:w="1275" w:type="dxa"/>
            <w:tcBorders>
              <w:bottom w:val="single" w:sz="4" w:space="0" w:color="000000"/>
            </w:tcBorders>
            <w:shd w:val="clear" w:color="auto" w:fill="auto"/>
          </w:tcPr>
          <w:p w14:paraId="35212BCA"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12</w:t>
            </w:r>
          </w:p>
        </w:tc>
        <w:tc>
          <w:tcPr>
            <w:tcW w:w="1134" w:type="dxa"/>
            <w:tcBorders>
              <w:bottom w:val="single" w:sz="4" w:space="0" w:color="000000"/>
            </w:tcBorders>
            <w:shd w:val="clear" w:color="auto" w:fill="auto"/>
          </w:tcPr>
          <w:p w14:paraId="5499C736"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NED</w:t>
            </w:r>
          </w:p>
        </w:tc>
        <w:tc>
          <w:tcPr>
            <w:tcW w:w="2268" w:type="dxa"/>
            <w:tcBorders>
              <w:bottom w:val="single" w:sz="4" w:space="0" w:color="000000"/>
            </w:tcBorders>
            <w:shd w:val="clear" w:color="auto" w:fill="auto"/>
          </w:tcPr>
          <w:p w14:paraId="2A7C52DD" w14:textId="5FBF1C88"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kern w:val="0"/>
                <w:sz w:val="20"/>
                <w:szCs w:val="20"/>
              </w:rPr>
            </w:pPr>
            <w:r w:rsidRPr="00E709A1">
              <w:rPr>
                <w:rFonts w:ascii="Book Antiqua" w:eastAsia="宋体" w:hAnsi="Book Antiqua" w:cs="Times New Roman"/>
                <w:kern w:val="0"/>
                <w:sz w:val="20"/>
                <w:szCs w:val="20"/>
              </w:rPr>
              <w:t xml:space="preserve">Chalik </w:t>
            </w:r>
            <w:r w:rsidR="0083216F" w:rsidRPr="00E709A1">
              <w:rPr>
                <w:rFonts w:ascii="Book Antiqua" w:eastAsia="宋体" w:hAnsi="Book Antiqua" w:cs="Times New Roman"/>
                <w:i/>
                <w:iCs/>
                <w:kern w:val="0"/>
                <w:sz w:val="20"/>
                <w:szCs w:val="20"/>
              </w:rPr>
              <w:t>et al</w:t>
            </w:r>
            <w:r w:rsidR="0083216F" w:rsidRPr="00E709A1">
              <w:rPr>
                <w:rFonts w:ascii="Book Antiqua" w:eastAsia="宋体" w:hAnsi="Book Antiqua" w:cs="Times New Roman"/>
                <w:kern w:val="0"/>
                <w:sz w:val="20"/>
                <w:szCs w:val="20"/>
                <w:vertAlign w:val="superscript"/>
              </w:rPr>
              <w:t>[1</w:t>
            </w:r>
            <w:r w:rsidR="00227817" w:rsidRPr="00E709A1">
              <w:rPr>
                <w:rFonts w:ascii="Book Antiqua" w:eastAsia="宋体" w:hAnsi="Book Antiqua" w:cs="Times New Roman"/>
                <w:kern w:val="0"/>
                <w:sz w:val="20"/>
                <w:szCs w:val="20"/>
                <w:vertAlign w:val="superscript"/>
              </w:rPr>
              <w:t>9</w:t>
            </w:r>
            <w:r w:rsidR="0083216F" w:rsidRPr="00E709A1">
              <w:rPr>
                <w:rFonts w:ascii="Book Antiqua" w:eastAsia="宋体" w:hAnsi="Book Antiqua" w:cs="Times New Roman"/>
                <w:kern w:val="0"/>
                <w:sz w:val="20"/>
                <w:szCs w:val="20"/>
                <w:vertAlign w:val="superscript"/>
              </w:rPr>
              <w:t>]</w:t>
            </w:r>
            <w:r w:rsidR="0083216F" w:rsidRPr="00E709A1">
              <w:rPr>
                <w:rFonts w:ascii="Book Antiqua" w:eastAsia="宋体" w:hAnsi="Book Antiqua" w:cs="Times New Roman"/>
                <w:kern w:val="0"/>
                <w:sz w:val="20"/>
                <w:szCs w:val="20"/>
              </w:rPr>
              <w:t xml:space="preserve">, </w:t>
            </w:r>
            <w:r w:rsidRPr="00E709A1">
              <w:rPr>
                <w:rFonts w:ascii="Book Antiqua" w:eastAsia="宋体" w:hAnsi="Book Antiqua" w:cs="Times New Roman"/>
                <w:kern w:val="0"/>
                <w:sz w:val="20"/>
                <w:szCs w:val="20"/>
              </w:rPr>
              <w:t>1998</w:t>
            </w:r>
          </w:p>
        </w:tc>
      </w:tr>
    </w:tbl>
    <w:p w14:paraId="4ABBFE59" w14:textId="7011107D" w:rsidR="000705B7" w:rsidRPr="00E709A1" w:rsidRDefault="002D6649"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kern w:val="0"/>
          <w:sz w:val="20"/>
          <w:szCs w:val="20"/>
        </w:rPr>
        <w:t>Ch: Chemotherapy; CK: Cytokeratin; DWD: Died with disease; NED: No evidence of disease; EBV: Epstein-Barr virus; F: Female; HC: Histological classification; M: Male; NM: No</w:t>
      </w:r>
      <w:r w:rsidR="00231F36" w:rsidRPr="00E709A1">
        <w:rPr>
          <w:rFonts w:ascii="Book Antiqua" w:eastAsia="宋体" w:hAnsi="Book Antiqua" w:cs="Times New Roman"/>
          <w:kern w:val="0"/>
          <w:sz w:val="20"/>
          <w:szCs w:val="20"/>
        </w:rPr>
        <w:t>t</w:t>
      </w:r>
      <w:r w:rsidRPr="00E709A1">
        <w:rPr>
          <w:rFonts w:ascii="Book Antiqua" w:eastAsia="宋体" w:hAnsi="Book Antiqua" w:cs="Times New Roman"/>
          <w:kern w:val="0"/>
          <w:sz w:val="20"/>
          <w:szCs w:val="20"/>
        </w:rPr>
        <w:t xml:space="preserve"> mentioned; PN: Partial nephrectomy; RNU: Radical nephroureterectomy; RN: Radical nephrectomy; RT: Radiotherapy; U: Ureterectomy; UTI: Urinary tract infection.</w:t>
      </w:r>
    </w:p>
    <w:p w14:paraId="362D3719" w14:textId="77777777" w:rsidR="002D6649" w:rsidRPr="00E709A1" w:rsidRDefault="002D6649" w:rsidP="00310F13">
      <w:pPr>
        <w:snapToGrid w:val="0"/>
        <w:spacing w:line="360" w:lineRule="auto"/>
        <w:rPr>
          <w:rFonts w:ascii="Book Antiqua" w:eastAsia="宋体" w:hAnsi="Book Antiqua" w:cs="Times New Roman"/>
          <w:sz w:val="20"/>
          <w:szCs w:val="20"/>
        </w:rPr>
      </w:pPr>
    </w:p>
    <w:p w14:paraId="29196DDB" w14:textId="77777777" w:rsidR="000705B7" w:rsidRPr="00E709A1" w:rsidRDefault="000705B7" w:rsidP="00310F13">
      <w:pPr>
        <w:snapToGrid w:val="0"/>
        <w:spacing w:line="360" w:lineRule="auto"/>
        <w:rPr>
          <w:rFonts w:ascii="Book Antiqua" w:eastAsia="宋体" w:hAnsi="Book Antiqua" w:cs="Times New Roman"/>
          <w:sz w:val="20"/>
          <w:szCs w:val="20"/>
        </w:rPr>
        <w:sectPr w:rsidR="000705B7" w:rsidRPr="00E709A1" w:rsidSect="00310F13">
          <w:pgSz w:w="23814" w:h="16839" w:orient="landscape"/>
          <w:pgMar w:top="1440" w:right="1440" w:bottom="1440" w:left="1440" w:header="850" w:footer="994" w:gutter="0"/>
          <w:cols w:space="425"/>
          <w:docGrid w:type="lines" w:linePitch="312"/>
        </w:sectPr>
      </w:pPr>
    </w:p>
    <w:p w14:paraId="4F983603" w14:textId="5BE7EE1F"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b/>
          <w:sz w:val="20"/>
          <w:szCs w:val="20"/>
        </w:rPr>
        <w:lastRenderedPageBreak/>
        <w:t>Table 2</w:t>
      </w:r>
      <w:r w:rsidR="005421D2" w:rsidRPr="00E709A1">
        <w:rPr>
          <w:rFonts w:ascii="Book Antiqua" w:eastAsia="宋体" w:hAnsi="Book Antiqua" w:cs="Times New Roman"/>
          <w:b/>
          <w:sz w:val="20"/>
          <w:szCs w:val="20"/>
        </w:rPr>
        <w:t xml:space="preserve"> S</w:t>
      </w:r>
      <w:r w:rsidRPr="00E709A1">
        <w:rPr>
          <w:rFonts w:ascii="Book Antiqua" w:eastAsia="宋体" w:hAnsi="Book Antiqua" w:cs="Times New Roman"/>
          <w:b/>
          <w:sz w:val="20"/>
          <w:szCs w:val="20"/>
        </w:rPr>
        <w:t xml:space="preserve">ummary </w:t>
      </w:r>
      <w:r w:rsidR="005421D2" w:rsidRPr="00E709A1">
        <w:rPr>
          <w:rFonts w:ascii="Book Antiqua" w:eastAsia="宋体" w:hAnsi="Book Antiqua" w:cs="Times New Roman"/>
          <w:b/>
          <w:sz w:val="20"/>
          <w:szCs w:val="20"/>
        </w:rPr>
        <w:t xml:space="preserve">of </w:t>
      </w:r>
      <w:r w:rsidRPr="00E709A1">
        <w:rPr>
          <w:rFonts w:ascii="Book Antiqua" w:eastAsia="宋体" w:hAnsi="Book Antiqua" w:cs="Times New Roman"/>
          <w:b/>
          <w:sz w:val="20"/>
          <w:szCs w:val="20"/>
        </w:rPr>
        <w:t xml:space="preserve">clinicopathological </w:t>
      </w:r>
      <w:r w:rsidR="005421D2" w:rsidRPr="00E709A1">
        <w:rPr>
          <w:rFonts w:ascii="Book Antiqua" w:eastAsia="宋体" w:hAnsi="Book Antiqua" w:cs="Times New Roman"/>
          <w:b/>
          <w:sz w:val="20"/>
          <w:szCs w:val="20"/>
        </w:rPr>
        <w:t xml:space="preserve">patient </w:t>
      </w:r>
      <w:r w:rsidRPr="00E709A1">
        <w:rPr>
          <w:rFonts w:ascii="Book Antiqua" w:eastAsia="宋体" w:hAnsi="Book Antiqua" w:cs="Times New Roman"/>
          <w:b/>
          <w:sz w:val="20"/>
          <w:szCs w:val="20"/>
        </w:rPr>
        <w:t>characteristics</w:t>
      </w:r>
    </w:p>
    <w:tbl>
      <w:tblPr>
        <w:tblStyle w:val="42"/>
        <w:tblW w:w="7230" w:type="dxa"/>
        <w:tblBorders>
          <w:top w:val="single" w:sz="4" w:space="0" w:color="000000"/>
          <w:bottom w:val="single" w:sz="4" w:space="0" w:color="000000"/>
        </w:tblBorders>
        <w:tblLayout w:type="fixed"/>
        <w:tblLook w:val="04A0" w:firstRow="1" w:lastRow="0" w:firstColumn="1" w:lastColumn="0" w:noHBand="0" w:noVBand="1"/>
      </w:tblPr>
      <w:tblGrid>
        <w:gridCol w:w="4536"/>
        <w:gridCol w:w="426"/>
        <w:gridCol w:w="2268"/>
      </w:tblGrid>
      <w:tr w:rsidR="00310F13" w:rsidRPr="00E709A1" w14:paraId="086C1AAA" w14:textId="77777777" w:rsidTr="003E27A2">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000000"/>
              <w:bottom w:val="single" w:sz="4" w:space="0" w:color="000000"/>
            </w:tcBorders>
            <w:shd w:val="clear" w:color="auto" w:fill="auto"/>
          </w:tcPr>
          <w:p w14:paraId="1D5CE78F" w14:textId="77777777" w:rsidR="000705B7" w:rsidRPr="00E709A1" w:rsidRDefault="00624006" w:rsidP="00310F13">
            <w:pPr>
              <w:snapToGrid w:val="0"/>
              <w:spacing w:line="360" w:lineRule="auto"/>
              <w:rPr>
                <w:rFonts w:ascii="Book Antiqua" w:eastAsia="宋体" w:hAnsi="Book Antiqua" w:cs="Times New Roman"/>
                <w:sz w:val="20"/>
                <w:szCs w:val="20"/>
              </w:rPr>
            </w:pPr>
            <w:r w:rsidRPr="00E709A1">
              <w:rPr>
                <w:rFonts w:ascii="Book Antiqua" w:eastAsia="宋体" w:hAnsi="Book Antiqua" w:cs="Times New Roman"/>
                <w:sz w:val="20"/>
                <w:szCs w:val="20"/>
              </w:rPr>
              <w:t>Variable</w:t>
            </w:r>
          </w:p>
        </w:tc>
        <w:tc>
          <w:tcPr>
            <w:tcW w:w="2694" w:type="dxa"/>
            <w:gridSpan w:val="2"/>
            <w:tcBorders>
              <w:top w:val="single" w:sz="4" w:space="0" w:color="000000"/>
              <w:bottom w:val="single" w:sz="4" w:space="0" w:color="000000"/>
            </w:tcBorders>
            <w:shd w:val="clear" w:color="auto" w:fill="auto"/>
          </w:tcPr>
          <w:p w14:paraId="102C23F5" w14:textId="38E71D8A" w:rsidR="000705B7" w:rsidRPr="00E709A1" w:rsidRDefault="003E27A2" w:rsidP="00310F13">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i/>
                <w:iCs/>
                <w:sz w:val="20"/>
                <w:szCs w:val="20"/>
              </w:rPr>
              <w:t xml:space="preserve">n </w:t>
            </w:r>
            <w:r w:rsidR="005B185A" w:rsidRPr="00E709A1">
              <w:rPr>
                <w:rFonts w:ascii="Book Antiqua" w:eastAsia="宋体" w:hAnsi="Book Antiqua" w:cs="Times New Roman"/>
                <w:sz w:val="20"/>
                <w:szCs w:val="20"/>
              </w:rPr>
              <w:t>(%),</w:t>
            </w:r>
            <w:r w:rsidR="00624006" w:rsidRPr="00E709A1">
              <w:rPr>
                <w:rFonts w:ascii="Book Antiqua" w:eastAsia="宋体" w:hAnsi="Book Antiqua" w:cs="Times New Roman"/>
                <w:sz w:val="20"/>
                <w:szCs w:val="20"/>
              </w:rPr>
              <w:t xml:space="preserve"> median</w:t>
            </w:r>
            <w:r w:rsidR="002D6649" w:rsidRPr="00E709A1">
              <w:rPr>
                <w:rFonts w:ascii="Book Antiqua" w:eastAsia="宋体" w:hAnsi="Book Antiqua" w:cs="Times New Roman"/>
                <w:sz w:val="20"/>
                <w:szCs w:val="20"/>
              </w:rPr>
              <w:t xml:space="preserve"> </w:t>
            </w:r>
            <w:r w:rsidR="00624006" w:rsidRPr="00E709A1">
              <w:rPr>
                <w:rFonts w:ascii="Book Antiqua" w:eastAsia="宋体" w:hAnsi="Book Antiqua" w:cs="Times New Roman"/>
                <w:sz w:val="20"/>
                <w:szCs w:val="20"/>
              </w:rPr>
              <w:t>(range)</w:t>
            </w:r>
          </w:p>
        </w:tc>
      </w:tr>
      <w:tr w:rsidR="00310F13" w:rsidRPr="00E709A1" w14:paraId="2AB2788D"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000000"/>
            </w:tcBorders>
            <w:shd w:val="clear" w:color="auto" w:fill="auto"/>
          </w:tcPr>
          <w:p w14:paraId="3647A920" w14:textId="6BA7006A"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Age</w:t>
            </w:r>
            <w:r w:rsidR="00310F13" w:rsidRPr="00E709A1">
              <w:rPr>
                <w:rFonts w:ascii="Book Antiqua" w:eastAsia="宋体" w:hAnsi="Book Antiqua" w:cs="Times New Roman"/>
                <w:b w:val="0"/>
                <w:bCs w:val="0"/>
                <w:sz w:val="20"/>
                <w:szCs w:val="20"/>
              </w:rPr>
              <w:t xml:space="preserve"> in</w:t>
            </w:r>
            <w:r w:rsidRPr="00E709A1">
              <w:rPr>
                <w:rFonts w:ascii="Book Antiqua" w:eastAsia="宋体" w:hAnsi="Book Antiqua" w:cs="Times New Roman"/>
                <w:b w:val="0"/>
                <w:bCs w:val="0"/>
                <w:sz w:val="20"/>
                <w:szCs w:val="20"/>
              </w:rPr>
              <w:t xml:space="preserve"> yr</w:t>
            </w:r>
          </w:p>
        </w:tc>
        <w:tc>
          <w:tcPr>
            <w:tcW w:w="2694" w:type="dxa"/>
            <w:gridSpan w:val="2"/>
            <w:tcBorders>
              <w:top w:val="single" w:sz="4" w:space="0" w:color="000000"/>
            </w:tcBorders>
            <w:shd w:val="clear" w:color="auto" w:fill="auto"/>
          </w:tcPr>
          <w:p w14:paraId="76300165" w14:textId="514C50E3"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 xml:space="preserve">72 (54-85) </w:t>
            </w:r>
          </w:p>
        </w:tc>
      </w:tr>
      <w:tr w:rsidR="00310F13" w:rsidRPr="00E709A1" w14:paraId="70635917"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1BC7929D"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Gender</w:t>
            </w:r>
          </w:p>
        </w:tc>
        <w:tc>
          <w:tcPr>
            <w:tcW w:w="2694" w:type="dxa"/>
            <w:gridSpan w:val="2"/>
            <w:shd w:val="clear" w:color="auto" w:fill="auto"/>
          </w:tcPr>
          <w:p w14:paraId="52505F42"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779F091E"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2E5DB9B3"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Female</w:t>
            </w:r>
          </w:p>
        </w:tc>
        <w:tc>
          <w:tcPr>
            <w:tcW w:w="2694" w:type="dxa"/>
            <w:gridSpan w:val="2"/>
            <w:shd w:val="clear" w:color="auto" w:fill="auto"/>
          </w:tcPr>
          <w:p w14:paraId="5CA9C2B2" w14:textId="3D48AB58"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 xml:space="preserve">12 </w:t>
            </w:r>
            <w:r w:rsidR="005B185A" w:rsidRPr="00E709A1">
              <w:rPr>
                <w:rFonts w:ascii="Book Antiqua" w:eastAsia="宋体" w:hAnsi="Book Antiqua" w:cs="Times New Roman"/>
                <w:sz w:val="20"/>
                <w:szCs w:val="20"/>
              </w:rPr>
              <w:t>(42.9</w:t>
            </w:r>
            <w:r w:rsidRPr="00E709A1">
              <w:rPr>
                <w:rFonts w:ascii="Book Antiqua" w:eastAsia="宋体" w:hAnsi="Book Antiqua" w:cs="Times New Roman"/>
                <w:sz w:val="20"/>
                <w:szCs w:val="20"/>
              </w:rPr>
              <w:t>)</w:t>
            </w:r>
          </w:p>
        </w:tc>
      </w:tr>
      <w:tr w:rsidR="00310F13" w:rsidRPr="00E709A1" w14:paraId="564AED4F"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2B2DB7AA"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Male</w:t>
            </w:r>
          </w:p>
        </w:tc>
        <w:tc>
          <w:tcPr>
            <w:tcW w:w="2694" w:type="dxa"/>
            <w:gridSpan w:val="2"/>
            <w:shd w:val="clear" w:color="auto" w:fill="auto"/>
          </w:tcPr>
          <w:p w14:paraId="13EBC0AA" w14:textId="2A52BE3A"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16 (57.1</w:t>
            </w:r>
            <w:r w:rsidR="00624006" w:rsidRPr="00E709A1">
              <w:rPr>
                <w:rFonts w:ascii="Book Antiqua" w:eastAsia="宋体" w:hAnsi="Book Antiqua" w:cs="Times New Roman"/>
                <w:sz w:val="20"/>
                <w:szCs w:val="20"/>
              </w:rPr>
              <w:t>)</w:t>
            </w:r>
          </w:p>
        </w:tc>
      </w:tr>
      <w:tr w:rsidR="00310F13" w:rsidRPr="00E709A1" w14:paraId="6ABB0DF9"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137EC858"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Presentation</w:t>
            </w:r>
          </w:p>
        </w:tc>
        <w:tc>
          <w:tcPr>
            <w:tcW w:w="2694" w:type="dxa"/>
            <w:gridSpan w:val="2"/>
            <w:shd w:val="clear" w:color="auto" w:fill="auto"/>
          </w:tcPr>
          <w:p w14:paraId="01D886E1"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08982B8F"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2513F80E"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Hematuria</w:t>
            </w:r>
          </w:p>
        </w:tc>
        <w:tc>
          <w:tcPr>
            <w:tcW w:w="2694" w:type="dxa"/>
            <w:gridSpan w:val="2"/>
            <w:shd w:val="clear" w:color="auto" w:fill="auto"/>
          </w:tcPr>
          <w:p w14:paraId="0A1FFF77" w14:textId="6103F53B"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19 (67.9</w:t>
            </w:r>
            <w:r w:rsidR="00624006" w:rsidRPr="00E709A1">
              <w:rPr>
                <w:rFonts w:ascii="Book Antiqua" w:eastAsia="宋体" w:hAnsi="Book Antiqua" w:cs="Times New Roman"/>
                <w:sz w:val="20"/>
                <w:szCs w:val="20"/>
              </w:rPr>
              <w:t>)</w:t>
            </w:r>
          </w:p>
        </w:tc>
      </w:tr>
      <w:tr w:rsidR="00310F13" w:rsidRPr="00E709A1" w14:paraId="5EE1DDBA"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50CBD0AF"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Pain</w:t>
            </w:r>
          </w:p>
        </w:tc>
        <w:tc>
          <w:tcPr>
            <w:tcW w:w="2694" w:type="dxa"/>
            <w:gridSpan w:val="2"/>
            <w:shd w:val="clear" w:color="auto" w:fill="auto"/>
          </w:tcPr>
          <w:p w14:paraId="3611AB35" w14:textId="5D0B41C5"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2 (7.1</w:t>
            </w:r>
            <w:r w:rsidR="00624006" w:rsidRPr="00E709A1">
              <w:rPr>
                <w:rFonts w:ascii="Book Antiqua" w:eastAsia="宋体" w:hAnsi="Book Antiqua" w:cs="Times New Roman"/>
                <w:sz w:val="20"/>
                <w:szCs w:val="20"/>
              </w:rPr>
              <w:t>)</w:t>
            </w:r>
          </w:p>
        </w:tc>
      </w:tr>
      <w:tr w:rsidR="00310F13" w:rsidRPr="00E709A1" w14:paraId="2111DC9D"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1A0421BB"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Hematuria and flank pain</w:t>
            </w:r>
          </w:p>
        </w:tc>
        <w:tc>
          <w:tcPr>
            <w:tcW w:w="2694" w:type="dxa"/>
            <w:gridSpan w:val="2"/>
            <w:shd w:val="clear" w:color="auto" w:fill="auto"/>
          </w:tcPr>
          <w:p w14:paraId="2B8ED1C2" w14:textId="107C939A"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3 (10.7</w:t>
            </w:r>
            <w:r w:rsidR="00624006" w:rsidRPr="00E709A1">
              <w:rPr>
                <w:rFonts w:ascii="Book Antiqua" w:eastAsia="宋体" w:hAnsi="Book Antiqua" w:cs="Times New Roman"/>
                <w:sz w:val="20"/>
                <w:szCs w:val="20"/>
              </w:rPr>
              <w:t>)</w:t>
            </w:r>
          </w:p>
        </w:tc>
      </w:tr>
      <w:tr w:rsidR="00310F13" w:rsidRPr="00E709A1" w14:paraId="682E8B1A"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45494468"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Nausea</w:t>
            </w:r>
          </w:p>
        </w:tc>
        <w:tc>
          <w:tcPr>
            <w:tcW w:w="2694" w:type="dxa"/>
            <w:gridSpan w:val="2"/>
            <w:shd w:val="clear" w:color="auto" w:fill="auto"/>
          </w:tcPr>
          <w:p w14:paraId="26D22DAA" w14:textId="1F7F32AE"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 (3.6</w:t>
            </w:r>
            <w:r w:rsidR="00624006" w:rsidRPr="00E709A1">
              <w:rPr>
                <w:rFonts w:ascii="Book Antiqua" w:eastAsia="宋体" w:hAnsi="Book Antiqua" w:cs="Times New Roman"/>
                <w:sz w:val="20"/>
                <w:szCs w:val="20"/>
              </w:rPr>
              <w:t>)</w:t>
            </w:r>
          </w:p>
        </w:tc>
      </w:tr>
      <w:tr w:rsidR="00310F13" w:rsidRPr="00E709A1" w14:paraId="01C917F5"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5C9B5510"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Recurrent UTI</w:t>
            </w:r>
          </w:p>
        </w:tc>
        <w:tc>
          <w:tcPr>
            <w:tcW w:w="2694" w:type="dxa"/>
            <w:gridSpan w:val="2"/>
            <w:shd w:val="clear" w:color="auto" w:fill="auto"/>
          </w:tcPr>
          <w:p w14:paraId="4E1B20E0" w14:textId="2C634AD9"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 (3.6</w:t>
            </w:r>
            <w:r w:rsidR="00624006" w:rsidRPr="00E709A1">
              <w:rPr>
                <w:rFonts w:ascii="Book Antiqua" w:eastAsia="宋体" w:hAnsi="Book Antiqua" w:cs="Times New Roman"/>
                <w:sz w:val="20"/>
                <w:szCs w:val="20"/>
              </w:rPr>
              <w:t>)</w:t>
            </w:r>
          </w:p>
        </w:tc>
      </w:tr>
      <w:tr w:rsidR="00310F13" w:rsidRPr="00E709A1" w14:paraId="72DFC525"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1AA8B8AB"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Incidental finding</w:t>
            </w:r>
          </w:p>
        </w:tc>
        <w:tc>
          <w:tcPr>
            <w:tcW w:w="2694" w:type="dxa"/>
            <w:gridSpan w:val="2"/>
            <w:shd w:val="clear" w:color="auto" w:fill="auto"/>
          </w:tcPr>
          <w:p w14:paraId="55C14779" w14:textId="14A592BA"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2 (7.1</w:t>
            </w:r>
            <w:r w:rsidR="00624006" w:rsidRPr="00E709A1">
              <w:rPr>
                <w:rFonts w:ascii="Book Antiqua" w:eastAsia="宋体" w:hAnsi="Book Antiqua" w:cs="Times New Roman"/>
                <w:sz w:val="20"/>
                <w:szCs w:val="20"/>
              </w:rPr>
              <w:t>)</w:t>
            </w:r>
          </w:p>
        </w:tc>
      </w:tr>
      <w:tr w:rsidR="00310F13" w:rsidRPr="00E709A1" w14:paraId="09709921"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0D9B14A1"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Side</w:t>
            </w:r>
          </w:p>
        </w:tc>
        <w:tc>
          <w:tcPr>
            <w:tcW w:w="2694" w:type="dxa"/>
            <w:gridSpan w:val="2"/>
            <w:shd w:val="clear" w:color="auto" w:fill="auto"/>
          </w:tcPr>
          <w:p w14:paraId="11732574"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7966AEC4"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3FAF2D21"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Left</w:t>
            </w:r>
          </w:p>
        </w:tc>
        <w:tc>
          <w:tcPr>
            <w:tcW w:w="2694" w:type="dxa"/>
            <w:gridSpan w:val="2"/>
            <w:shd w:val="clear" w:color="auto" w:fill="auto"/>
          </w:tcPr>
          <w:p w14:paraId="3E630FEC" w14:textId="62250779"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6 (21.4</w:t>
            </w:r>
            <w:r w:rsidR="00624006" w:rsidRPr="00E709A1">
              <w:rPr>
                <w:rFonts w:ascii="Book Antiqua" w:eastAsia="宋体" w:hAnsi="Book Antiqua" w:cs="Times New Roman"/>
                <w:sz w:val="20"/>
                <w:szCs w:val="20"/>
              </w:rPr>
              <w:t>)</w:t>
            </w:r>
          </w:p>
        </w:tc>
      </w:tr>
      <w:tr w:rsidR="00310F13" w:rsidRPr="00E709A1" w14:paraId="1E51B3A5" w14:textId="77777777" w:rsidTr="005F0B43">
        <w:trPr>
          <w:trHeight w:val="7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34B93D4"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Right</w:t>
            </w:r>
          </w:p>
        </w:tc>
        <w:tc>
          <w:tcPr>
            <w:tcW w:w="0" w:type="dxa"/>
            <w:gridSpan w:val="2"/>
            <w:shd w:val="clear" w:color="auto" w:fill="auto"/>
          </w:tcPr>
          <w:p w14:paraId="35732B52" w14:textId="31641E50"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9 (32.2</w:t>
            </w:r>
            <w:r w:rsidR="00624006" w:rsidRPr="00E709A1">
              <w:rPr>
                <w:rFonts w:ascii="Book Antiqua" w:eastAsia="宋体" w:hAnsi="Book Antiqua" w:cs="Times New Roman"/>
                <w:sz w:val="20"/>
                <w:szCs w:val="20"/>
              </w:rPr>
              <w:t xml:space="preserve">) </w:t>
            </w:r>
          </w:p>
        </w:tc>
      </w:tr>
      <w:tr w:rsidR="00310F13" w:rsidRPr="00E709A1" w14:paraId="30E82831"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3F658607"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NM</w:t>
            </w:r>
          </w:p>
        </w:tc>
        <w:tc>
          <w:tcPr>
            <w:tcW w:w="2694" w:type="dxa"/>
            <w:gridSpan w:val="2"/>
            <w:shd w:val="clear" w:color="auto" w:fill="auto"/>
          </w:tcPr>
          <w:p w14:paraId="34D38027" w14:textId="3253EE49"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13 (46.4</w:t>
            </w:r>
            <w:r w:rsidR="00624006" w:rsidRPr="00E709A1">
              <w:rPr>
                <w:rFonts w:ascii="Book Antiqua" w:eastAsia="宋体" w:hAnsi="Book Antiqua" w:cs="Times New Roman"/>
                <w:sz w:val="20"/>
                <w:szCs w:val="20"/>
              </w:rPr>
              <w:t>)</w:t>
            </w:r>
          </w:p>
        </w:tc>
      </w:tr>
      <w:tr w:rsidR="00310F13" w:rsidRPr="00E709A1" w14:paraId="5160BB13"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555AB957"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Location</w:t>
            </w:r>
          </w:p>
        </w:tc>
        <w:tc>
          <w:tcPr>
            <w:tcW w:w="2694" w:type="dxa"/>
            <w:gridSpan w:val="2"/>
            <w:shd w:val="clear" w:color="auto" w:fill="auto"/>
          </w:tcPr>
          <w:p w14:paraId="14851AC5"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328D3635"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06F5BAFF"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Renal pelvis</w:t>
            </w:r>
          </w:p>
        </w:tc>
        <w:tc>
          <w:tcPr>
            <w:tcW w:w="2694" w:type="dxa"/>
            <w:gridSpan w:val="2"/>
            <w:shd w:val="clear" w:color="auto" w:fill="auto"/>
          </w:tcPr>
          <w:p w14:paraId="1C137C1D" w14:textId="07E694A2"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14 (51</w:t>
            </w:r>
            <w:r w:rsidR="00624006" w:rsidRPr="00E709A1">
              <w:rPr>
                <w:rFonts w:ascii="Book Antiqua" w:eastAsia="宋体" w:hAnsi="Book Antiqua" w:cs="Times New Roman"/>
                <w:sz w:val="20"/>
                <w:szCs w:val="20"/>
              </w:rPr>
              <w:t>)</w:t>
            </w:r>
          </w:p>
        </w:tc>
      </w:tr>
      <w:tr w:rsidR="00310F13" w:rsidRPr="00E709A1" w14:paraId="2D4C4D60"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6E6568A4"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Ureter</w:t>
            </w:r>
          </w:p>
        </w:tc>
        <w:tc>
          <w:tcPr>
            <w:tcW w:w="2694" w:type="dxa"/>
            <w:gridSpan w:val="2"/>
            <w:shd w:val="clear" w:color="auto" w:fill="auto"/>
          </w:tcPr>
          <w:p w14:paraId="436C502B" w14:textId="4DBF0789"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14 (50</w:t>
            </w:r>
            <w:r w:rsidR="00624006" w:rsidRPr="00E709A1">
              <w:rPr>
                <w:rFonts w:ascii="Book Antiqua" w:eastAsia="宋体" w:hAnsi="Book Antiqua" w:cs="Times New Roman"/>
                <w:sz w:val="20"/>
                <w:szCs w:val="20"/>
              </w:rPr>
              <w:t>)</w:t>
            </w:r>
          </w:p>
        </w:tc>
      </w:tr>
      <w:tr w:rsidR="00310F13" w:rsidRPr="00E709A1" w14:paraId="5E564EC9"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634127DA"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HC</w:t>
            </w:r>
          </w:p>
        </w:tc>
        <w:tc>
          <w:tcPr>
            <w:tcW w:w="2694" w:type="dxa"/>
            <w:gridSpan w:val="2"/>
            <w:shd w:val="clear" w:color="auto" w:fill="auto"/>
          </w:tcPr>
          <w:p w14:paraId="55A2B714"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4BA8B9BB"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30194AAA"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Pure</w:t>
            </w:r>
          </w:p>
        </w:tc>
        <w:tc>
          <w:tcPr>
            <w:tcW w:w="2694" w:type="dxa"/>
            <w:gridSpan w:val="2"/>
            <w:shd w:val="clear" w:color="auto" w:fill="auto"/>
          </w:tcPr>
          <w:p w14:paraId="555226D6" w14:textId="37112B80"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14 (50</w:t>
            </w:r>
            <w:r w:rsidR="00624006" w:rsidRPr="00E709A1">
              <w:rPr>
                <w:rFonts w:ascii="Book Antiqua" w:eastAsia="宋体" w:hAnsi="Book Antiqua" w:cs="Times New Roman"/>
                <w:sz w:val="20"/>
                <w:szCs w:val="20"/>
              </w:rPr>
              <w:t>)</w:t>
            </w:r>
          </w:p>
        </w:tc>
      </w:tr>
      <w:tr w:rsidR="00310F13" w:rsidRPr="00E709A1" w14:paraId="19DCE3EB"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22EA1A8B"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Predominant</w:t>
            </w:r>
          </w:p>
        </w:tc>
        <w:tc>
          <w:tcPr>
            <w:tcW w:w="2694" w:type="dxa"/>
            <w:gridSpan w:val="2"/>
            <w:shd w:val="clear" w:color="auto" w:fill="auto"/>
          </w:tcPr>
          <w:p w14:paraId="0A0917A6" w14:textId="32FE9F1C"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10 (35.7</w:t>
            </w:r>
            <w:r w:rsidR="00624006" w:rsidRPr="00E709A1">
              <w:rPr>
                <w:rFonts w:ascii="Book Antiqua" w:eastAsia="宋体" w:hAnsi="Book Antiqua" w:cs="Times New Roman"/>
                <w:sz w:val="20"/>
                <w:szCs w:val="20"/>
              </w:rPr>
              <w:t>)</w:t>
            </w:r>
          </w:p>
        </w:tc>
      </w:tr>
      <w:tr w:rsidR="00310F13" w:rsidRPr="00E709A1" w14:paraId="42A8B81B"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4A207314"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Focal</w:t>
            </w:r>
          </w:p>
        </w:tc>
        <w:tc>
          <w:tcPr>
            <w:tcW w:w="2694" w:type="dxa"/>
            <w:gridSpan w:val="2"/>
            <w:shd w:val="clear" w:color="auto" w:fill="auto"/>
          </w:tcPr>
          <w:p w14:paraId="59EBB5C2" w14:textId="1C1B515F"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 (3.6</w:t>
            </w:r>
            <w:r w:rsidR="00624006" w:rsidRPr="00E709A1">
              <w:rPr>
                <w:rFonts w:ascii="Book Antiqua" w:eastAsia="宋体" w:hAnsi="Book Antiqua" w:cs="Times New Roman"/>
                <w:sz w:val="20"/>
                <w:szCs w:val="20"/>
              </w:rPr>
              <w:t>)</w:t>
            </w:r>
          </w:p>
        </w:tc>
      </w:tr>
      <w:tr w:rsidR="00310F13" w:rsidRPr="00E709A1" w14:paraId="6B900361" w14:textId="77777777" w:rsidTr="003E27A2">
        <w:trPr>
          <w:trHeight w:val="348"/>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5DABBB79"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Unknown</w:t>
            </w:r>
          </w:p>
        </w:tc>
        <w:tc>
          <w:tcPr>
            <w:tcW w:w="2694" w:type="dxa"/>
            <w:gridSpan w:val="2"/>
            <w:shd w:val="clear" w:color="auto" w:fill="auto"/>
          </w:tcPr>
          <w:p w14:paraId="2043FEBB" w14:textId="20309683"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3 (10.7</w:t>
            </w:r>
            <w:r w:rsidR="00624006" w:rsidRPr="00E709A1">
              <w:rPr>
                <w:rFonts w:ascii="Book Antiqua" w:eastAsia="宋体" w:hAnsi="Book Antiqua" w:cs="Times New Roman"/>
                <w:sz w:val="20"/>
                <w:szCs w:val="20"/>
              </w:rPr>
              <w:t>)</w:t>
            </w:r>
          </w:p>
        </w:tc>
      </w:tr>
      <w:tr w:rsidR="00310F13" w:rsidRPr="00E709A1" w14:paraId="27DA12DF"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0EDE89F7"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Tumor stage</w:t>
            </w:r>
          </w:p>
        </w:tc>
        <w:tc>
          <w:tcPr>
            <w:tcW w:w="426" w:type="dxa"/>
            <w:shd w:val="clear" w:color="auto" w:fill="auto"/>
          </w:tcPr>
          <w:p w14:paraId="0A5F8799"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c>
          <w:tcPr>
            <w:tcW w:w="2268" w:type="dxa"/>
            <w:shd w:val="clear" w:color="auto" w:fill="auto"/>
          </w:tcPr>
          <w:p w14:paraId="0DE1BB46"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74B697EC"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7412AF74"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T1</w:t>
            </w:r>
          </w:p>
        </w:tc>
        <w:tc>
          <w:tcPr>
            <w:tcW w:w="2694" w:type="dxa"/>
            <w:gridSpan w:val="2"/>
            <w:shd w:val="clear" w:color="auto" w:fill="auto"/>
          </w:tcPr>
          <w:p w14:paraId="0BE1E90F" w14:textId="55F60F4E"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4 (14.2</w:t>
            </w:r>
            <w:r w:rsidR="00624006" w:rsidRPr="00E709A1">
              <w:rPr>
                <w:rFonts w:ascii="Book Antiqua" w:eastAsia="宋体" w:hAnsi="Book Antiqua" w:cs="Times New Roman"/>
                <w:sz w:val="20"/>
                <w:szCs w:val="20"/>
              </w:rPr>
              <w:t>)</w:t>
            </w:r>
          </w:p>
        </w:tc>
      </w:tr>
      <w:tr w:rsidR="00310F13" w:rsidRPr="00E709A1" w14:paraId="18CC1AF9"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1BEF30C6"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T2</w:t>
            </w:r>
          </w:p>
        </w:tc>
        <w:tc>
          <w:tcPr>
            <w:tcW w:w="2694" w:type="dxa"/>
            <w:gridSpan w:val="2"/>
            <w:shd w:val="clear" w:color="auto" w:fill="auto"/>
          </w:tcPr>
          <w:p w14:paraId="422ECF1B" w14:textId="72B56DE1"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8 (28.6</w:t>
            </w:r>
            <w:r w:rsidR="00624006" w:rsidRPr="00E709A1">
              <w:rPr>
                <w:rFonts w:ascii="Book Antiqua" w:eastAsia="宋体" w:hAnsi="Book Antiqua" w:cs="Times New Roman"/>
                <w:sz w:val="20"/>
                <w:szCs w:val="20"/>
              </w:rPr>
              <w:t>)</w:t>
            </w:r>
          </w:p>
        </w:tc>
      </w:tr>
      <w:tr w:rsidR="00310F13" w:rsidRPr="00E709A1" w14:paraId="447B1D21" w14:textId="77777777" w:rsidTr="005F0B43">
        <w:trPr>
          <w:trHeight w:val="7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93385F7"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T3</w:t>
            </w:r>
          </w:p>
        </w:tc>
        <w:tc>
          <w:tcPr>
            <w:tcW w:w="0" w:type="dxa"/>
            <w:gridSpan w:val="2"/>
            <w:shd w:val="clear" w:color="auto" w:fill="auto"/>
          </w:tcPr>
          <w:p w14:paraId="78A747D1" w14:textId="3BC10772"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15 (53.6</w:t>
            </w:r>
            <w:r w:rsidR="00624006" w:rsidRPr="00E709A1">
              <w:rPr>
                <w:rFonts w:ascii="Book Antiqua" w:eastAsia="宋体" w:hAnsi="Book Antiqua" w:cs="Times New Roman"/>
                <w:sz w:val="20"/>
                <w:szCs w:val="20"/>
              </w:rPr>
              <w:t>)</w:t>
            </w:r>
          </w:p>
        </w:tc>
      </w:tr>
      <w:tr w:rsidR="00310F13" w:rsidRPr="00E709A1" w14:paraId="57CFFF22"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42194CBC"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T4</w:t>
            </w:r>
          </w:p>
        </w:tc>
        <w:tc>
          <w:tcPr>
            <w:tcW w:w="2694" w:type="dxa"/>
            <w:gridSpan w:val="2"/>
            <w:shd w:val="clear" w:color="auto" w:fill="auto"/>
          </w:tcPr>
          <w:p w14:paraId="5FA1A8A7" w14:textId="08B1A940"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 (3.6</w:t>
            </w:r>
            <w:r w:rsidR="00624006" w:rsidRPr="00E709A1">
              <w:rPr>
                <w:rFonts w:ascii="Book Antiqua" w:eastAsia="宋体" w:hAnsi="Book Antiqua" w:cs="Times New Roman"/>
                <w:sz w:val="20"/>
                <w:szCs w:val="20"/>
              </w:rPr>
              <w:t>)</w:t>
            </w:r>
          </w:p>
        </w:tc>
      </w:tr>
      <w:tr w:rsidR="00310F13" w:rsidRPr="00E709A1" w14:paraId="4A9B8044"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617BADD7"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Treatment strategy</w:t>
            </w:r>
          </w:p>
        </w:tc>
        <w:tc>
          <w:tcPr>
            <w:tcW w:w="426" w:type="dxa"/>
            <w:shd w:val="clear" w:color="auto" w:fill="auto"/>
          </w:tcPr>
          <w:p w14:paraId="60C8FFEC"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c>
          <w:tcPr>
            <w:tcW w:w="2268" w:type="dxa"/>
            <w:shd w:val="clear" w:color="auto" w:fill="auto"/>
          </w:tcPr>
          <w:p w14:paraId="1A0EF361"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563C5CD9"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4A949B1A" w14:textId="00C7C498"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RNU</w:t>
            </w:r>
            <w:r w:rsidR="005421D2" w:rsidRPr="00E709A1">
              <w:rPr>
                <w:rFonts w:ascii="Book Antiqua" w:eastAsia="宋体" w:hAnsi="Book Antiqua" w:cs="Times New Roman"/>
                <w:b w:val="0"/>
                <w:bCs w:val="0"/>
                <w:sz w:val="20"/>
                <w:szCs w:val="20"/>
              </w:rPr>
              <w:t>-</w:t>
            </w:r>
            <w:r w:rsidRPr="00E709A1">
              <w:rPr>
                <w:rFonts w:ascii="Book Antiqua" w:eastAsia="宋体" w:hAnsi="Book Antiqua" w:cs="Times New Roman"/>
                <w:b w:val="0"/>
                <w:bCs w:val="0"/>
                <w:sz w:val="20"/>
                <w:szCs w:val="20"/>
              </w:rPr>
              <w:t>based therapy</w:t>
            </w:r>
          </w:p>
        </w:tc>
        <w:tc>
          <w:tcPr>
            <w:tcW w:w="2694" w:type="dxa"/>
            <w:gridSpan w:val="2"/>
            <w:shd w:val="clear" w:color="auto" w:fill="auto"/>
          </w:tcPr>
          <w:p w14:paraId="420F0B96" w14:textId="568E7816"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kern w:val="0"/>
                <w:sz w:val="20"/>
                <w:szCs w:val="20"/>
              </w:rPr>
              <w:t>13 (46.4</w:t>
            </w:r>
            <w:r w:rsidR="00624006" w:rsidRPr="00E709A1">
              <w:rPr>
                <w:rFonts w:ascii="Book Antiqua" w:eastAsia="宋体" w:hAnsi="Book Antiqua" w:cs="Times New Roman"/>
                <w:kern w:val="0"/>
                <w:sz w:val="20"/>
                <w:szCs w:val="20"/>
              </w:rPr>
              <w:t>)</w:t>
            </w:r>
          </w:p>
        </w:tc>
      </w:tr>
      <w:tr w:rsidR="00310F13" w:rsidRPr="00E709A1" w14:paraId="74600E02"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64C2C520" w14:textId="0ACDA5DB"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Non RNU</w:t>
            </w:r>
            <w:r w:rsidR="005421D2" w:rsidRPr="00E709A1">
              <w:rPr>
                <w:rFonts w:ascii="Book Antiqua" w:eastAsia="宋体" w:hAnsi="Book Antiqua" w:cs="Times New Roman"/>
                <w:b w:val="0"/>
                <w:bCs w:val="0"/>
                <w:sz w:val="20"/>
                <w:szCs w:val="20"/>
              </w:rPr>
              <w:t>-</w:t>
            </w:r>
            <w:r w:rsidRPr="00E709A1">
              <w:rPr>
                <w:rFonts w:ascii="Book Antiqua" w:eastAsia="宋体" w:hAnsi="Book Antiqua" w:cs="Times New Roman"/>
                <w:b w:val="0"/>
                <w:bCs w:val="0"/>
                <w:sz w:val="20"/>
                <w:szCs w:val="20"/>
              </w:rPr>
              <w:t>based therapy</w:t>
            </w:r>
          </w:p>
        </w:tc>
        <w:tc>
          <w:tcPr>
            <w:tcW w:w="2694" w:type="dxa"/>
            <w:gridSpan w:val="2"/>
            <w:shd w:val="clear" w:color="auto" w:fill="auto"/>
          </w:tcPr>
          <w:p w14:paraId="1F1143BB" w14:textId="015B6D4C"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15 (53.6</w:t>
            </w:r>
            <w:r w:rsidR="00624006" w:rsidRPr="00E709A1">
              <w:rPr>
                <w:rFonts w:ascii="Book Antiqua" w:eastAsia="宋体" w:hAnsi="Book Antiqua" w:cs="Times New Roman"/>
                <w:sz w:val="20"/>
                <w:szCs w:val="20"/>
              </w:rPr>
              <w:t>)</w:t>
            </w:r>
          </w:p>
        </w:tc>
      </w:tr>
      <w:tr w:rsidR="00310F13" w:rsidRPr="00E709A1" w14:paraId="31E64EE8"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240661F5" w14:textId="27A55D09"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Follow-up</w:t>
            </w:r>
            <w:r w:rsidR="000B5803" w:rsidRPr="00E709A1">
              <w:rPr>
                <w:rFonts w:ascii="Book Antiqua" w:eastAsia="宋体" w:hAnsi="Book Antiqua" w:cs="Times New Roman"/>
                <w:b w:val="0"/>
                <w:bCs w:val="0"/>
                <w:sz w:val="20"/>
                <w:szCs w:val="20"/>
              </w:rPr>
              <w:t xml:space="preserve"> in </w:t>
            </w:r>
            <w:r w:rsidRPr="00E709A1">
              <w:rPr>
                <w:rFonts w:ascii="Book Antiqua" w:eastAsia="宋体" w:hAnsi="Book Antiqua" w:cs="Times New Roman"/>
                <w:b w:val="0"/>
                <w:bCs w:val="0"/>
                <w:sz w:val="20"/>
                <w:szCs w:val="20"/>
              </w:rPr>
              <w:t>mo</w:t>
            </w:r>
          </w:p>
        </w:tc>
        <w:tc>
          <w:tcPr>
            <w:tcW w:w="2694" w:type="dxa"/>
            <w:gridSpan w:val="2"/>
            <w:shd w:val="clear" w:color="auto" w:fill="auto"/>
          </w:tcPr>
          <w:p w14:paraId="23E8B7F7" w14:textId="77777777" w:rsidR="000705B7" w:rsidRPr="00E709A1" w:rsidRDefault="00624006"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15 (3-72)</w:t>
            </w:r>
          </w:p>
        </w:tc>
      </w:tr>
      <w:tr w:rsidR="00310F13" w:rsidRPr="00E709A1" w14:paraId="3F38D55E"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6B6DDB64" w14:textId="77777777" w:rsidR="000705B7" w:rsidRPr="00E709A1" w:rsidRDefault="00624006" w:rsidP="00310F13">
            <w:pPr>
              <w:snapToGrid w:val="0"/>
              <w:spacing w:line="360" w:lineRule="auto"/>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Outcome</w:t>
            </w:r>
          </w:p>
        </w:tc>
        <w:tc>
          <w:tcPr>
            <w:tcW w:w="426" w:type="dxa"/>
            <w:shd w:val="clear" w:color="auto" w:fill="auto"/>
          </w:tcPr>
          <w:p w14:paraId="7086859C"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c>
          <w:tcPr>
            <w:tcW w:w="2268" w:type="dxa"/>
            <w:shd w:val="clear" w:color="auto" w:fill="auto"/>
          </w:tcPr>
          <w:p w14:paraId="73C09C4B" w14:textId="77777777" w:rsidR="000705B7" w:rsidRPr="00E709A1" w:rsidRDefault="000705B7"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p>
        </w:tc>
      </w:tr>
      <w:tr w:rsidR="00310F13" w:rsidRPr="00E709A1" w14:paraId="50D71666"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025E5530"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NED</w:t>
            </w:r>
          </w:p>
        </w:tc>
        <w:tc>
          <w:tcPr>
            <w:tcW w:w="2694" w:type="dxa"/>
            <w:gridSpan w:val="2"/>
            <w:shd w:val="clear" w:color="auto" w:fill="auto"/>
          </w:tcPr>
          <w:p w14:paraId="77F6C456" w14:textId="6981CD68"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21 (75</w:t>
            </w:r>
            <w:r w:rsidR="00624006" w:rsidRPr="00E709A1">
              <w:rPr>
                <w:rFonts w:ascii="Book Antiqua" w:eastAsia="宋体" w:hAnsi="Book Antiqua" w:cs="Times New Roman"/>
                <w:sz w:val="20"/>
                <w:szCs w:val="20"/>
              </w:rPr>
              <w:t>)</w:t>
            </w:r>
          </w:p>
        </w:tc>
      </w:tr>
      <w:tr w:rsidR="00310F13" w:rsidRPr="00E709A1" w14:paraId="2FEC5A6C" w14:textId="77777777" w:rsidTr="003E27A2">
        <w:trPr>
          <w:trHeight w:val="33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tcPr>
          <w:p w14:paraId="66831AE6" w14:textId="77777777" w:rsidR="000705B7" w:rsidRPr="00E709A1" w:rsidRDefault="00624006" w:rsidP="005F0B43">
            <w:pPr>
              <w:snapToGrid w:val="0"/>
              <w:spacing w:line="360" w:lineRule="auto"/>
              <w:ind w:left="288"/>
              <w:rPr>
                <w:rFonts w:ascii="Book Antiqua" w:eastAsia="宋体" w:hAnsi="Book Antiqua" w:cs="Times New Roman"/>
                <w:b w:val="0"/>
                <w:bCs w:val="0"/>
                <w:sz w:val="20"/>
                <w:szCs w:val="20"/>
              </w:rPr>
            </w:pPr>
            <w:r w:rsidRPr="00E709A1">
              <w:rPr>
                <w:rFonts w:ascii="Book Antiqua" w:eastAsia="宋体" w:hAnsi="Book Antiqua" w:cs="Times New Roman"/>
                <w:b w:val="0"/>
                <w:bCs w:val="0"/>
                <w:sz w:val="20"/>
                <w:szCs w:val="20"/>
              </w:rPr>
              <w:t>DWD</w:t>
            </w:r>
          </w:p>
        </w:tc>
        <w:tc>
          <w:tcPr>
            <w:tcW w:w="2694" w:type="dxa"/>
            <w:gridSpan w:val="2"/>
            <w:shd w:val="clear" w:color="auto" w:fill="auto"/>
          </w:tcPr>
          <w:p w14:paraId="4EABCD35" w14:textId="4BA1B89F" w:rsidR="000705B7" w:rsidRPr="00E709A1" w:rsidRDefault="005B185A" w:rsidP="00310F13">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0"/>
                <w:szCs w:val="20"/>
              </w:rPr>
            </w:pPr>
            <w:r w:rsidRPr="00E709A1">
              <w:rPr>
                <w:rFonts w:ascii="Book Antiqua" w:eastAsia="宋体" w:hAnsi="Book Antiqua" w:cs="Times New Roman"/>
                <w:sz w:val="20"/>
                <w:szCs w:val="20"/>
              </w:rPr>
              <w:t>7 (25</w:t>
            </w:r>
            <w:r w:rsidR="00624006" w:rsidRPr="00E709A1">
              <w:rPr>
                <w:rFonts w:ascii="Book Antiqua" w:eastAsia="宋体" w:hAnsi="Book Antiqua" w:cs="Times New Roman"/>
                <w:sz w:val="20"/>
                <w:szCs w:val="20"/>
              </w:rPr>
              <w:t>)</w:t>
            </w:r>
          </w:p>
        </w:tc>
      </w:tr>
    </w:tbl>
    <w:p w14:paraId="719AAC7E" w14:textId="68645CE1" w:rsidR="000705B7" w:rsidRPr="00E709A1" w:rsidRDefault="002D6649" w:rsidP="00310F13">
      <w:pPr>
        <w:snapToGrid w:val="0"/>
        <w:spacing w:line="360" w:lineRule="auto"/>
        <w:rPr>
          <w:rFonts w:ascii="Book Antiqua" w:hAnsi="Book Antiqua"/>
          <w:sz w:val="20"/>
          <w:szCs w:val="20"/>
        </w:rPr>
      </w:pPr>
      <w:r w:rsidRPr="00E709A1">
        <w:rPr>
          <w:rFonts w:ascii="Book Antiqua" w:eastAsia="宋体" w:hAnsi="Book Antiqua" w:cs="Times New Roman"/>
          <w:sz w:val="20"/>
          <w:szCs w:val="20"/>
        </w:rPr>
        <w:lastRenderedPageBreak/>
        <w:t xml:space="preserve">DWD: Died with disease; HC: Histological </w:t>
      </w:r>
      <w:r w:rsidR="003E27A2" w:rsidRPr="00E709A1">
        <w:rPr>
          <w:rFonts w:ascii="Book Antiqua" w:eastAsia="宋体" w:hAnsi="Book Antiqua" w:cs="Times New Roman"/>
          <w:sz w:val="20"/>
          <w:szCs w:val="20"/>
        </w:rPr>
        <w:t>classification</w:t>
      </w:r>
      <w:r w:rsidRPr="00E709A1">
        <w:rPr>
          <w:rFonts w:ascii="Book Antiqua" w:eastAsia="宋体" w:hAnsi="Book Antiqua" w:cs="Times New Roman"/>
          <w:sz w:val="20"/>
          <w:szCs w:val="20"/>
        </w:rPr>
        <w:t>; NM: No</w:t>
      </w:r>
      <w:r w:rsidR="005421D2" w:rsidRPr="00E709A1">
        <w:rPr>
          <w:rFonts w:ascii="Book Antiqua" w:eastAsia="宋体" w:hAnsi="Book Antiqua" w:cs="Times New Roman"/>
          <w:sz w:val="20"/>
          <w:szCs w:val="20"/>
        </w:rPr>
        <w:t>t</w:t>
      </w:r>
      <w:r w:rsidRPr="00E709A1">
        <w:rPr>
          <w:rFonts w:ascii="Book Antiqua" w:eastAsia="宋体" w:hAnsi="Book Antiqua" w:cs="Times New Roman"/>
          <w:sz w:val="20"/>
          <w:szCs w:val="20"/>
        </w:rPr>
        <w:t xml:space="preserve"> mentioned; RN: Radical nephrectomy; RNU: Radical nephroureterectomy; UTI: Urinary tract infection.</w:t>
      </w:r>
    </w:p>
    <w:sectPr w:rsidR="000705B7" w:rsidRPr="00E709A1" w:rsidSect="00310F1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113EB" w14:textId="77777777" w:rsidR="009D62BA" w:rsidRDefault="009D62BA">
      <w:r>
        <w:separator/>
      </w:r>
    </w:p>
  </w:endnote>
  <w:endnote w:type="continuationSeparator" w:id="0">
    <w:p w14:paraId="01299DEA" w14:textId="77777777" w:rsidR="009D62BA" w:rsidRDefault="009D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ItalicMT">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415433292"/>
      <w:docPartObj>
        <w:docPartGallery w:val="Page Numbers (Bottom of Page)"/>
        <w:docPartUnique/>
      </w:docPartObj>
    </w:sdtPr>
    <w:sdtEndPr>
      <w:rPr>
        <w:rStyle w:val="ac"/>
      </w:rPr>
    </w:sdtEndPr>
    <w:sdtContent>
      <w:p w14:paraId="0BC73128" w14:textId="12DC582A" w:rsidR="000B5803" w:rsidRDefault="000B5803" w:rsidP="000B5803">
        <w:pPr>
          <w:pStyle w:val="a6"/>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72B7AF26" w14:textId="77777777" w:rsidR="000B5803" w:rsidRDefault="000B580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Fonts w:ascii="Book Antiqua" w:hAnsi="Book Antiqua"/>
        <w:sz w:val="24"/>
        <w:szCs w:val="24"/>
      </w:rPr>
      <w:id w:val="767893785"/>
      <w:docPartObj>
        <w:docPartGallery w:val="Page Numbers (Bottom of Page)"/>
        <w:docPartUnique/>
      </w:docPartObj>
    </w:sdtPr>
    <w:sdtEndPr>
      <w:rPr>
        <w:rStyle w:val="ac"/>
      </w:rPr>
    </w:sdtEndPr>
    <w:sdtContent>
      <w:p w14:paraId="151B6026" w14:textId="297C2F7A" w:rsidR="000B5803" w:rsidRPr="005F0B43" w:rsidRDefault="000B5803" w:rsidP="000B5803">
        <w:pPr>
          <w:pStyle w:val="a6"/>
          <w:framePr w:wrap="none" w:vAnchor="text" w:hAnchor="margin" w:xAlign="center" w:y="1"/>
          <w:rPr>
            <w:rStyle w:val="ac"/>
            <w:rFonts w:ascii="Book Antiqua" w:hAnsi="Book Antiqua"/>
            <w:sz w:val="24"/>
            <w:szCs w:val="24"/>
          </w:rPr>
        </w:pPr>
        <w:r w:rsidRPr="005F0B43">
          <w:rPr>
            <w:rStyle w:val="ac"/>
            <w:rFonts w:ascii="Book Antiqua" w:hAnsi="Book Antiqua"/>
            <w:sz w:val="20"/>
            <w:szCs w:val="20"/>
          </w:rPr>
          <w:fldChar w:fldCharType="begin"/>
        </w:r>
        <w:r w:rsidRPr="005F0B43">
          <w:rPr>
            <w:rStyle w:val="ac"/>
            <w:rFonts w:ascii="Book Antiqua" w:hAnsi="Book Antiqua"/>
            <w:sz w:val="20"/>
            <w:szCs w:val="20"/>
          </w:rPr>
          <w:instrText xml:space="preserve"> PAGE </w:instrText>
        </w:r>
        <w:r w:rsidRPr="005F0B43">
          <w:rPr>
            <w:rStyle w:val="ac"/>
            <w:rFonts w:ascii="Book Antiqua" w:hAnsi="Book Antiqua"/>
            <w:sz w:val="20"/>
            <w:szCs w:val="20"/>
          </w:rPr>
          <w:fldChar w:fldCharType="separate"/>
        </w:r>
        <w:r w:rsidR="004500C5">
          <w:rPr>
            <w:rStyle w:val="ac"/>
            <w:rFonts w:ascii="Book Antiqua" w:hAnsi="Book Antiqua"/>
            <w:noProof/>
            <w:sz w:val="20"/>
            <w:szCs w:val="20"/>
          </w:rPr>
          <w:t>4</w:t>
        </w:r>
        <w:r w:rsidRPr="005F0B43">
          <w:rPr>
            <w:rStyle w:val="ac"/>
            <w:rFonts w:ascii="Book Antiqua" w:hAnsi="Book Antiqua"/>
            <w:sz w:val="20"/>
            <w:szCs w:val="20"/>
          </w:rPr>
          <w:fldChar w:fldCharType="end"/>
        </w:r>
      </w:p>
    </w:sdtContent>
  </w:sdt>
  <w:sdt>
    <w:sdtPr>
      <w:id w:val="1072153840"/>
      <w:showingPlcHdr/>
    </w:sdtPr>
    <w:sdtEndPr/>
    <w:sdtContent>
      <w:p w14:paraId="16E7C97B" w14:textId="5400FA97" w:rsidR="000B5803" w:rsidRDefault="005F0B43">
        <w:pPr>
          <w:pStyle w:val="a6"/>
          <w:jc w:val="right"/>
        </w:pPr>
        <w:r>
          <w:t xml:space="preserve">     </w:t>
        </w:r>
      </w:p>
    </w:sdtContent>
  </w:sdt>
  <w:p w14:paraId="55291F71" w14:textId="77777777" w:rsidR="000B5803" w:rsidRDefault="000B58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60AAC" w14:textId="77777777" w:rsidR="009D62BA" w:rsidRDefault="009D62BA">
      <w:r>
        <w:separator/>
      </w:r>
    </w:p>
  </w:footnote>
  <w:footnote w:type="continuationSeparator" w:id="0">
    <w:p w14:paraId="3CE9846B" w14:textId="77777777" w:rsidR="009D62BA" w:rsidRDefault="009D6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6D"/>
    <w:rsid w:val="0001615A"/>
    <w:rsid w:val="0002191C"/>
    <w:rsid w:val="00030213"/>
    <w:rsid w:val="00031834"/>
    <w:rsid w:val="000705B7"/>
    <w:rsid w:val="000902A6"/>
    <w:rsid w:val="000A10AC"/>
    <w:rsid w:val="000B5803"/>
    <w:rsid w:val="000E1DEF"/>
    <w:rsid w:val="001007AD"/>
    <w:rsid w:val="001338E1"/>
    <w:rsid w:val="00136BB3"/>
    <w:rsid w:val="001520D8"/>
    <w:rsid w:val="001633DA"/>
    <w:rsid w:val="001634F5"/>
    <w:rsid w:val="0016614F"/>
    <w:rsid w:val="00171FD0"/>
    <w:rsid w:val="0018546E"/>
    <w:rsid w:val="001A43D4"/>
    <w:rsid w:val="001C5B64"/>
    <w:rsid w:val="001D4F86"/>
    <w:rsid w:val="001E579E"/>
    <w:rsid w:val="001F3D18"/>
    <w:rsid w:val="002149F3"/>
    <w:rsid w:val="002238C2"/>
    <w:rsid w:val="00227817"/>
    <w:rsid w:val="00231F36"/>
    <w:rsid w:val="0023398B"/>
    <w:rsid w:val="002478A1"/>
    <w:rsid w:val="00253ABC"/>
    <w:rsid w:val="00254077"/>
    <w:rsid w:val="0027533B"/>
    <w:rsid w:val="00275642"/>
    <w:rsid w:val="00280D1F"/>
    <w:rsid w:val="00280F55"/>
    <w:rsid w:val="00290C6A"/>
    <w:rsid w:val="002A6B0B"/>
    <w:rsid w:val="002B1DC3"/>
    <w:rsid w:val="002B4102"/>
    <w:rsid w:val="002B430B"/>
    <w:rsid w:val="002C0704"/>
    <w:rsid w:val="002D60B8"/>
    <w:rsid w:val="002D6649"/>
    <w:rsid w:val="002E0C9C"/>
    <w:rsid w:val="00310F13"/>
    <w:rsid w:val="003142CF"/>
    <w:rsid w:val="00314DAC"/>
    <w:rsid w:val="00324497"/>
    <w:rsid w:val="003560FD"/>
    <w:rsid w:val="00363A34"/>
    <w:rsid w:val="003670BB"/>
    <w:rsid w:val="00385068"/>
    <w:rsid w:val="003B5127"/>
    <w:rsid w:val="003C3FEA"/>
    <w:rsid w:val="003D3F58"/>
    <w:rsid w:val="003E27A2"/>
    <w:rsid w:val="00423F99"/>
    <w:rsid w:val="004264F2"/>
    <w:rsid w:val="0044414F"/>
    <w:rsid w:val="004500C5"/>
    <w:rsid w:val="00450D50"/>
    <w:rsid w:val="004B4AF5"/>
    <w:rsid w:val="004C34B4"/>
    <w:rsid w:val="004E7A12"/>
    <w:rsid w:val="00540856"/>
    <w:rsid w:val="0054173C"/>
    <w:rsid w:val="005421D2"/>
    <w:rsid w:val="00546796"/>
    <w:rsid w:val="005703BC"/>
    <w:rsid w:val="00580180"/>
    <w:rsid w:val="005818FB"/>
    <w:rsid w:val="00590622"/>
    <w:rsid w:val="005B185A"/>
    <w:rsid w:val="005B3E82"/>
    <w:rsid w:val="005E097C"/>
    <w:rsid w:val="005F0B43"/>
    <w:rsid w:val="00606AC7"/>
    <w:rsid w:val="00624006"/>
    <w:rsid w:val="006251B6"/>
    <w:rsid w:val="006257B3"/>
    <w:rsid w:val="006A3281"/>
    <w:rsid w:val="006B60E2"/>
    <w:rsid w:val="006C0D37"/>
    <w:rsid w:val="006C12DB"/>
    <w:rsid w:val="006E39ED"/>
    <w:rsid w:val="00703336"/>
    <w:rsid w:val="0071496D"/>
    <w:rsid w:val="00731077"/>
    <w:rsid w:val="007641F6"/>
    <w:rsid w:val="00773422"/>
    <w:rsid w:val="007932CB"/>
    <w:rsid w:val="007E508C"/>
    <w:rsid w:val="00813387"/>
    <w:rsid w:val="0083216F"/>
    <w:rsid w:val="008408D4"/>
    <w:rsid w:val="0084440A"/>
    <w:rsid w:val="0084550B"/>
    <w:rsid w:val="0084712B"/>
    <w:rsid w:val="00847386"/>
    <w:rsid w:val="0086002C"/>
    <w:rsid w:val="008618EF"/>
    <w:rsid w:val="00887478"/>
    <w:rsid w:val="008C0A11"/>
    <w:rsid w:val="008D0451"/>
    <w:rsid w:val="008E7346"/>
    <w:rsid w:val="00905324"/>
    <w:rsid w:val="00916187"/>
    <w:rsid w:val="00923FE2"/>
    <w:rsid w:val="00951704"/>
    <w:rsid w:val="00962F67"/>
    <w:rsid w:val="00980168"/>
    <w:rsid w:val="00990C29"/>
    <w:rsid w:val="009A4349"/>
    <w:rsid w:val="009B0878"/>
    <w:rsid w:val="009B1094"/>
    <w:rsid w:val="009B1241"/>
    <w:rsid w:val="009B5C4A"/>
    <w:rsid w:val="009D0FBE"/>
    <w:rsid w:val="009D62BA"/>
    <w:rsid w:val="00A02C82"/>
    <w:rsid w:val="00A07C2B"/>
    <w:rsid w:val="00A14FF4"/>
    <w:rsid w:val="00A47105"/>
    <w:rsid w:val="00A77723"/>
    <w:rsid w:val="00A8406C"/>
    <w:rsid w:val="00A96DC5"/>
    <w:rsid w:val="00AB246D"/>
    <w:rsid w:val="00AB2BD1"/>
    <w:rsid w:val="00AE4F4F"/>
    <w:rsid w:val="00B0239B"/>
    <w:rsid w:val="00B7589F"/>
    <w:rsid w:val="00B82806"/>
    <w:rsid w:val="00B83451"/>
    <w:rsid w:val="00B94611"/>
    <w:rsid w:val="00B94A8E"/>
    <w:rsid w:val="00BB549F"/>
    <w:rsid w:val="00BB77E5"/>
    <w:rsid w:val="00BC0C5A"/>
    <w:rsid w:val="00BD3E79"/>
    <w:rsid w:val="00BF1FDE"/>
    <w:rsid w:val="00BF68B1"/>
    <w:rsid w:val="00C1380C"/>
    <w:rsid w:val="00C20072"/>
    <w:rsid w:val="00C2272A"/>
    <w:rsid w:val="00C52AA2"/>
    <w:rsid w:val="00C57186"/>
    <w:rsid w:val="00C82F54"/>
    <w:rsid w:val="00C85C29"/>
    <w:rsid w:val="00C93888"/>
    <w:rsid w:val="00CA27B3"/>
    <w:rsid w:val="00CA31B1"/>
    <w:rsid w:val="00CB3449"/>
    <w:rsid w:val="00CB5875"/>
    <w:rsid w:val="00CD52E7"/>
    <w:rsid w:val="00CD6D5E"/>
    <w:rsid w:val="00CE209A"/>
    <w:rsid w:val="00CF217B"/>
    <w:rsid w:val="00D23C26"/>
    <w:rsid w:val="00D2530C"/>
    <w:rsid w:val="00D25648"/>
    <w:rsid w:val="00D673F3"/>
    <w:rsid w:val="00D71446"/>
    <w:rsid w:val="00D80D34"/>
    <w:rsid w:val="00D90EE4"/>
    <w:rsid w:val="00DB3A3D"/>
    <w:rsid w:val="00DB46CB"/>
    <w:rsid w:val="00DC78C5"/>
    <w:rsid w:val="00E2189D"/>
    <w:rsid w:val="00E318BF"/>
    <w:rsid w:val="00E474F1"/>
    <w:rsid w:val="00E61878"/>
    <w:rsid w:val="00E633D4"/>
    <w:rsid w:val="00E664E2"/>
    <w:rsid w:val="00E700FA"/>
    <w:rsid w:val="00E709A1"/>
    <w:rsid w:val="00E74D50"/>
    <w:rsid w:val="00E85F58"/>
    <w:rsid w:val="00E86729"/>
    <w:rsid w:val="00E869F4"/>
    <w:rsid w:val="00E9719C"/>
    <w:rsid w:val="00EB649A"/>
    <w:rsid w:val="00EC3D13"/>
    <w:rsid w:val="00F00F80"/>
    <w:rsid w:val="00F14154"/>
    <w:rsid w:val="00F158C1"/>
    <w:rsid w:val="00F2336C"/>
    <w:rsid w:val="00F31E90"/>
    <w:rsid w:val="00F47460"/>
    <w:rsid w:val="00F47999"/>
    <w:rsid w:val="00F73007"/>
    <w:rsid w:val="00F83EFC"/>
    <w:rsid w:val="00F958EC"/>
    <w:rsid w:val="00FA0332"/>
    <w:rsid w:val="00FA317C"/>
    <w:rsid w:val="00FE42B0"/>
    <w:rsid w:val="00FE5434"/>
    <w:rsid w:val="00FE66F5"/>
    <w:rsid w:val="00FF1FBA"/>
    <w:rsid w:val="00FF4646"/>
    <w:rsid w:val="130A6BC3"/>
    <w:rsid w:val="17D424DF"/>
    <w:rsid w:val="1E085116"/>
    <w:rsid w:val="27381243"/>
    <w:rsid w:val="36F5703E"/>
    <w:rsid w:val="44883B79"/>
    <w:rsid w:val="50C046D7"/>
    <w:rsid w:val="6FF61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8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annotation text"/>
    <w:basedOn w:val="a"/>
    <w:link w:val="Char0"/>
    <w:uiPriority w:val="99"/>
    <w:semiHidden/>
    <w:unhideWhenUsed/>
    <w:qFormat/>
    <w:pPr>
      <w:jc w:val="left"/>
    </w:pPr>
    <w:rPr>
      <w:rFonts w:ascii="Calibri" w:eastAsia="宋体" w:hAnsi="Calibri" w:cs="Times New Roman"/>
    </w:rPr>
  </w:style>
  <w:style w:type="paragraph" w:styleId="a5">
    <w:name w:val="annotation subject"/>
    <w:basedOn w:val="a4"/>
    <w:next w:val="a4"/>
    <w:link w:val="Char1"/>
    <w:uiPriority w:val="99"/>
    <w:semiHidden/>
    <w:unhideWhenUsed/>
    <w:rPr>
      <w:rFonts w:asciiTheme="minorHAnsi" w:eastAsiaTheme="minorEastAsia" w:hAnsiTheme="minorHAnsi" w:cstheme="minorBidi"/>
      <w:b/>
      <w:bCs/>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styleId="a9">
    <w:name w:val="Hyperlink"/>
    <w:basedOn w:val="a0"/>
    <w:uiPriority w:val="99"/>
    <w:unhideWhenUsed/>
    <w:rPr>
      <w:color w:val="0000FF" w:themeColor="hyperlink"/>
      <w:u w:val="single"/>
    </w:rPr>
  </w:style>
  <w:style w:type="character" w:styleId="aa">
    <w:name w:val="line number"/>
    <w:basedOn w:val="a0"/>
    <w:uiPriority w:val="99"/>
    <w:semiHidden/>
    <w:unhideWhenUsed/>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Char">
    <w:name w:val="批注框文本 Char"/>
    <w:basedOn w:val="a0"/>
    <w:link w:val="a3"/>
    <w:uiPriority w:val="99"/>
    <w:semiHidden/>
    <w:rPr>
      <w:sz w:val="18"/>
      <w:szCs w:val="18"/>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1">
    <w:name w:val="未处理的提及1"/>
    <w:basedOn w:val="a0"/>
    <w:uiPriority w:val="99"/>
    <w:semiHidden/>
    <w:unhideWhenUsed/>
    <w:rPr>
      <w:color w:val="605E5C"/>
      <w:shd w:val="clear" w:color="auto" w:fill="E1DFDD"/>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无格式表格 42"/>
    <w:basedOn w:val="a1"/>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3">
    <w:name w:val="无格式表格 43"/>
    <w:basedOn w:val="a1"/>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character" w:customStyle="1" w:styleId="2">
    <w:name w:val="未处理的提及2"/>
    <w:basedOn w:val="a0"/>
    <w:uiPriority w:val="99"/>
    <w:semiHidden/>
    <w:unhideWhenUsed/>
    <w:rPr>
      <w:color w:val="605E5C"/>
      <w:shd w:val="clear" w:color="auto" w:fill="E1DFDD"/>
    </w:rPr>
  </w:style>
  <w:style w:type="character" w:customStyle="1" w:styleId="Char1">
    <w:name w:val="批注主题 Char"/>
    <w:basedOn w:val="Char0"/>
    <w:link w:val="a5"/>
    <w:uiPriority w:val="99"/>
    <w:semiHidden/>
    <w:rPr>
      <w:rFonts w:ascii="Calibri" w:eastAsia="宋体" w:hAnsi="Calibri" w:cs="Times New Roman"/>
      <w:b/>
      <w:bCs/>
    </w:rPr>
  </w:style>
  <w:style w:type="character" w:customStyle="1" w:styleId="fontstyle01">
    <w:name w:val="fontstyle01"/>
    <w:basedOn w:val="a0"/>
    <w:rPr>
      <w:rFonts w:ascii="Book Antiqua" w:hAnsi="Book Antiqua" w:hint="default"/>
      <w:b/>
      <w:bCs/>
      <w:color w:val="000000"/>
      <w:sz w:val="24"/>
      <w:szCs w:val="24"/>
    </w:rPr>
  </w:style>
  <w:style w:type="character" w:customStyle="1" w:styleId="fontstyle21">
    <w:name w:val="fontstyle21"/>
    <w:basedOn w:val="a0"/>
    <w:rPr>
      <w:rFonts w:ascii="Book Antiqua" w:hAnsi="Book Antiqua" w:hint="default"/>
      <w:color w:val="000000"/>
      <w:sz w:val="24"/>
      <w:szCs w:val="24"/>
    </w:rPr>
  </w:style>
  <w:style w:type="character" w:customStyle="1" w:styleId="3">
    <w:name w:val="未处理的提及3"/>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sid w:val="002B1DC3"/>
    <w:rPr>
      <w:color w:val="605E5C"/>
      <w:shd w:val="clear" w:color="auto" w:fill="E1DFDD"/>
    </w:rPr>
  </w:style>
  <w:style w:type="character" w:styleId="ab">
    <w:name w:val="Strong"/>
    <w:uiPriority w:val="22"/>
    <w:qFormat/>
    <w:rsid w:val="0083216F"/>
    <w:rPr>
      <w:b/>
      <w:bCs/>
    </w:rPr>
  </w:style>
  <w:style w:type="character" w:styleId="ac">
    <w:name w:val="page number"/>
    <w:basedOn w:val="a0"/>
    <w:uiPriority w:val="99"/>
    <w:semiHidden/>
    <w:unhideWhenUsed/>
    <w:rsid w:val="00E61878"/>
  </w:style>
  <w:style w:type="paragraph" w:styleId="ad">
    <w:name w:val="Revision"/>
    <w:hidden/>
    <w:uiPriority w:val="99"/>
    <w:semiHidden/>
    <w:rsid w:val="005F0B4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annotation text"/>
    <w:basedOn w:val="a"/>
    <w:link w:val="Char0"/>
    <w:uiPriority w:val="99"/>
    <w:semiHidden/>
    <w:unhideWhenUsed/>
    <w:qFormat/>
    <w:pPr>
      <w:jc w:val="left"/>
    </w:pPr>
    <w:rPr>
      <w:rFonts w:ascii="Calibri" w:eastAsia="宋体" w:hAnsi="Calibri" w:cs="Times New Roman"/>
    </w:rPr>
  </w:style>
  <w:style w:type="paragraph" w:styleId="a5">
    <w:name w:val="annotation subject"/>
    <w:basedOn w:val="a4"/>
    <w:next w:val="a4"/>
    <w:link w:val="Char1"/>
    <w:uiPriority w:val="99"/>
    <w:semiHidden/>
    <w:unhideWhenUsed/>
    <w:rPr>
      <w:rFonts w:asciiTheme="minorHAnsi" w:eastAsiaTheme="minorEastAsia" w:hAnsiTheme="minorHAnsi" w:cstheme="minorBidi"/>
      <w:b/>
      <w:bCs/>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rPr>
      <w:sz w:val="21"/>
      <w:szCs w:val="21"/>
    </w:rPr>
  </w:style>
  <w:style w:type="character" w:styleId="a9">
    <w:name w:val="Hyperlink"/>
    <w:basedOn w:val="a0"/>
    <w:uiPriority w:val="99"/>
    <w:unhideWhenUsed/>
    <w:rPr>
      <w:color w:val="0000FF" w:themeColor="hyperlink"/>
      <w:u w:val="single"/>
    </w:rPr>
  </w:style>
  <w:style w:type="character" w:styleId="aa">
    <w:name w:val="line number"/>
    <w:basedOn w:val="a0"/>
    <w:uiPriority w:val="99"/>
    <w:semiHidden/>
    <w:unhideWhenUsed/>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Char">
    <w:name w:val="批注框文本 Char"/>
    <w:basedOn w:val="a0"/>
    <w:link w:val="a3"/>
    <w:uiPriority w:val="99"/>
    <w:semiHidden/>
    <w:rPr>
      <w:sz w:val="18"/>
      <w:szCs w:val="18"/>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1">
    <w:name w:val="未处理的提及1"/>
    <w:basedOn w:val="a0"/>
    <w:uiPriority w:val="99"/>
    <w:semiHidden/>
    <w:unhideWhenUsed/>
    <w:rPr>
      <w:color w:val="605E5C"/>
      <w:shd w:val="clear" w:color="auto" w:fill="E1DFDD"/>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无格式表格 42"/>
    <w:basedOn w:val="a1"/>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3">
    <w:name w:val="无格式表格 43"/>
    <w:basedOn w:val="a1"/>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character" w:customStyle="1" w:styleId="2">
    <w:name w:val="未处理的提及2"/>
    <w:basedOn w:val="a0"/>
    <w:uiPriority w:val="99"/>
    <w:semiHidden/>
    <w:unhideWhenUsed/>
    <w:rPr>
      <w:color w:val="605E5C"/>
      <w:shd w:val="clear" w:color="auto" w:fill="E1DFDD"/>
    </w:rPr>
  </w:style>
  <w:style w:type="character" w:customStyle="1" w:styleId="Char1">
    <w:name w:val="批注主题 Char"/>
    <w:basedOn w:val="Char0"/>
    <w:link w:val="a5"/>
    <w:uiPriority w:val="99"/>
    <w:semiHidden/>
    <w:rPr>
      <w:rFonts w:ascii="Calibri" w:eastAsia="宋体" w:hAnsi="Calibri" w:cs="Times New Roman"/>
      <w:b/>
      <w:bCs/>
    </w:rPr>
  </w:style>
  <w:style w:type="character" w:customStyle="1" w:styleId="fontstyle01">
    <w:name w:val="fontstyle01"/>
    <w:basedOn w:val="a0"/>
    <w:rPr>
      <w:rFonts w:ascii="Book Antiqua" w:hAnsi="Book Antiqua" w:hint="default"/>
      <w:b/>
      <w:bCs/>
      <w:color w:val="000000"/>
      <w:sz w:val="24"/>
      <w:szCs w:val="24"/>
    </w:rPr>
  </w:style>
  <w:style w:type="character" w:customStyle="1" w:styleId="fontstyle21">
    <w:name w:val="fontstyle21"/>
    <w:basedOn w:val="a0"/>
    <w:rPr>
      <w:rFonts w:ascii="Book Antiqua" w:hAnsi="Book Antiqua" w:hint="default"/>
      <w:color w:val="000000"/>
      <w:sz w:val="24"/>
      <w:szCs w:val="24"/>
    </w:rPr>
  </w:style>
  <w:style w:type="character" w:customStyle="1" w:styleId="3">
    <w:name w:val="未处理的提及3"/>
    <w:basedOn w:val="a0"/>
    <w:uiPriority w:val="99"/>
    <w:semiHidden/>
    <w:unhideWhenUsed/>
    <w:rPr>
      <w:color w:val="605E5C"/>
      <w:shd w:val="clear" w:color="auto" w:fill="E1DFDD"/>
    </w:rPr>
  </w:style>
  <w:style w:type="character" w:customStyle="1" w:styleId="UnresolvedMention1">
    <w:name w:val="Unresolved Mention1"/>
    <w:basedOn w:val="a0"/>
    <w:uiPriority w:val="99"/>
    <w:semiHidden/>
    <w:unhideWhenUsed/>
    <w:rsid w:val="002B1DC3"/>
    <w:rPr>
      <w:color w:val="605E5C"/>
      <w:shd w:val="clear" w:color="auto" w:fill="E1DFDD"/>
    </w:rPr>
  </w:style>
  <w:style w:type="character" w:styleId="ab">
    <w:name w:val="Strong"/>
    <w:uiPriority w:val="22"/>
    <w:qFormat/>
    <w:rsid w:val="0083216F"/>
    <w:rPr>
      <w:b/>
      <w:bCs/>
    </w:rPr>
  </w:style>
  <w:style w:type="character" w:styleId="ac">
    <w:name w:val="page number"/>
    <w:basedOn w:val="a0"/>
    <w:uiPriority w:val="99"/>
    <w:semiHidden/>
    <w:unhideWhenUsed/>
    <w:rsid w:val="00E61878"/>
  </w:style>
  <w:style w:type="paragraph" w:styleId="ad">
    <w:name w:val="Revision"/>
    <w:hidden/>
    <w:uiPriority w:val="99"/>
    <w:semiHidden/>
    <w:rsid w:val="005F0B4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jy@bjhmoh.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6084</Words>
  <Characters>34682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2019-12-22T01:30:00Z</dcterms:created>
  <dcterms:modified xsi:type="dcterms:W3CDTF">2020-02-25T03:49:00Z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2057-11.2.0.9070</vt:lpwstr>
  </property>
</Properties>
</file>