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D9B0" w14:textId="12C989AD" w:rsidR="00F053F4" w:rsidRPr="00425573" w:rsidRDefault="000B2243" w:rsidP="00CC10A4">
      <w:pPr>
        <w:snapToGrid w:val="0"/>
        <w:spacing w:line="360" w:lineRule="auto"/>
        <w:jc w:val="both"/>
        <w:rPr>
          <w:rFonts w:ascii="Book Antiqua" w:hAnsi="Book Antiqua"/>
          <w:bCs/>
          <w:i/>
          <w:iCs/>
          <w:lang w:val="en-US"/>
        </w:rPr>
      </w:pPr>
      <w:r w:rsidRPr="00425573">
        <w:rPr>
          <w:rFonts w:ascii="Book Antiqua" w:hAnsi="Book Antiqua"/>
          <w:b/>
          <w:lang w:val="en-US"/>
        </w:rPr>
        <w:t xml:space="preserve">Name of Journal: </w:t>
      </w:r>
      <w:r w:rsidRPr="00425573">
        <w:rPr>
          <w:rFonts w:ascii="Book Antiqua" w:hAnsi="Book Antiqua"/>
          <w:bCs/>
          <w:i/>
          <w:iCs/>
          <w:lang w:val="en-US"/>
        </w:rPr>
        <w:t xml:space="preserve">World Journal of Diabetes </w:t>
      </w:r>
    </w:p>
    <w:p w14:paraId="4FE9FF16" w14:textId="39A61D92" w:rsidR="00F053F4" w:rsidRPr="00425573" w:rsidRDefault="000B2243" w:rsidP="00CC10A4">
      <w:pPr>
        <w:snapToGrid w:val="0"/>
        <w:spacing w:line="360" w:lineRule="auto"/>
        <w:jc w:val="both"/>
        <w:rPr>
          <w:rFonts w:ascii="Book Antiqua" w:hAnsi="Book Antiqua"/>
          <w:lang w:val="en-US"/>
        </w:rPr>
      </w:pPr>
      <w:r w:rsidRPr="00425573">
        <w:rPr>
          <w:rFonts w:ascii="Book Antiqua" w:hAnsi="Book Antiqua"/>
          <w:b/>
          <w:lang w:val="en-US"/>
        </w:rPr>
        <w:t xml:space="preserve">Manuscript NO: </w:t>
      </w:r>
      <w:r w:rsidR="00403B29" w:rsidRPr="00425573">
        <w:rPr>
          <w:rFonts w:ascii="Book Antiqua" w:hAnsi="Book Antiqua"/>
          <w:lang w:val="en-US"/>
        </w:rPr>
        <w:t>53262</w:t>
      </w:r>
    </w:p>
    <w:p w14:paraId="21B8FC2B" w14:textId="77777777" w:rsidR="000B2243" w:rsidRPr="00425573" w:rsidRDefault="000B2243" w:rsidP="00CC10A4">
      <w:pPr>
        <w:snapToGrid w:val="0"/>
        <w:spacing w:line="360" w:lineRule="auto"/>
        <w:jc w:val="both"/>
        <w:rPr>
          <w:rFonts w:ascii="Book Antiqua" w:hAnsi="Book Antiqua"/>
          <w:bCs/>
          <w:lang w:val="en-US"/>
        </w:rPr>
      </w:pPr>
      <w:r w:rsidRPr="00425573">
        <w:rPr>
          <w:rFonts w:ascii="Book Antiqua" w:hAnsi="Book Antiqua"/>
          <w:b/>
          <w:lang w:val="en-US"/>
        </w:rPr>
        <w:t xml:space="preserve">Manuscript Type: </w:t>
      </w:r>
      <w:r w:rsidRPr="00425573">
        <w:rPr>
          <w:rFonts w:ascii="Book Antiqua" w:hAnsi="Book Antiqua"/>
          <w:bCs/>
          <w:lang w:val="en-US"/>
        </w:rPr>
        <w:t>REVIEW</w:t>
      </w:r>
    </w:p>
    <w:p w14:paraId="0AE36017" w14:textId="77777777" w:rsidR="00F053F4" w:rsidRPr="00425573" w:rsidRDefault="00F053F4" w:rsidP="00CC10A4">
      <w:pPr>
        <w:snapToGrid w:val="0"/>
        <w:spacing w:line="360" w:lineRule="auto"/>
        <w:jc w:val="both"/>
        <w:rPr>
          <w:rFonts w:ascii="Book Antiqua" w:hAnsi="Book Antiqua"/>
          <w:b/>
          <w:lang w:val="en-US"/>
        </w:rPr>
      </w:pPr>
    </w:p>
    <w:p w14:paraId="7AA40427" w14:textId="298B5A90" w:rsidR="000B2243" w:rsidRPr="00425573" w:rsidRDefault="00285BE6" w:rsidP="00CC10A4">
      <w:pPr>
        <w:snapToGrid w:val="0"/>
        <w:spacing w:line="360" w:lineRule="auto"/>
        <w:jc w:val="both"/>
        <w:rPr>
          <w:rFonts w:ascii="Book Antiqua" w:hAnsi="Book Antiqua"/>
          <w:b/>
          <w:lang w:val="en-US"/>
        </w:rPr>
      </w:pPr>
      <w:bookmarkStart w:id="0" w:name="OLE_LINK19"/>
      <w:bookmarkStart w:id="1" w:name="OLE_LINK20"/>
      <w:r w:rsidRPr="00425573">
        <w:rPr>
          <w:rFonts w:ascii="Book Antiqua" w:hAnsi="Book Antiqua"/>
          <w:b/>
          <w:lang w:val="en-US"/>
        </w:rPr>
        <w:t xml:space="preserve">Shared </w:t>
      </w:r>
      <w:r w:rsidR="00F6420E" w:rsidRPr="00425573">
        <w:rPr>
          <w:rFonts w:ascii="Book Antiqua" w:hAnsi="Book Antiqua"/>
          <w:b/>
          <w:lang w:val="en-US"/>
        </w:rPr>
        <w:t>(epi)genomic</w:t>
      </w:r>
      <w:r w:rsidR="000B2243" w:rsidRPr="00425573">
        <w:rPr>
          <w:rFonts w:ascii="Book Antiqua" w:hAnsi="Book Antiqua"/>
          <w:b/>
          <w:lang w:val="en-US"/>
        </w:rPr>
        <w:t xml:space="preserve"> background connecting neurodegenerative diseases and </w:t>
      </w:r>
      <w:r w:rsidR="007C5117" w:rsidRPr="00425573">
        <w:rPr>
          <w:rFonts w:ascii="Book Antiqua" w:hAnsi="Book Antiqua"/>
          <w:b/>
          <w:lang w:val="en-US"/>
        </w:rPr>
        <w:t>t</w:t>
      </w:r>
      <w:r w:rsidR="000B2243" w:rsidRPr="00425573">
        <w:rPr>
          <w:rFonts w:ascii="Book Antiqua" w:hAnsi="Book Antiqua"/>
          <w:b/>
          <w:lang w:val="en-US"/>
        </w:rPr>
        <w:t xml:space="preserve">ype 2 </w:t>
      </w:r>
      <w:r w:rsidR="007C5117" w:rsidRPr="00425573">
        <w:rPr>
          <w:rFonts w:ascii="Book Antiqua" w:hAnsi="Book Antiqua"/>
          <w:b/>
          <w:lang w:val="en-US"/>
        </w:rPr>
        <w:t>d</w:t>
      </w:r>
      <w:r w:rsidR="000B2243" w:rsidRPr="00425573">
        <w:rPr>
          <w:rFonts w:ascii="Book Antiqua" w:hAnsi="Book Antiqua"/>
          <w:b/>
          <w:lang w:val="en-US"/>
        </w:rPr>
        <w:t>iabetes</w:t>
      </w:r>
    </w:p>
    <w:bookmarkEnd w:id="0"/>
    <w:bookmarkEnd w:id="1"/>
    <w:p w14:paraId="5B48212C" w14:textId="2CE6A83A" w:rsidR="000B2243" w:rsidRPr="00425573" w:rsidRDefault="000B2243" w:rsidP="00CC10A4">
      <w:pPr>
        <w:snapToGrid w:val="0"/>
        <w:spacing w:line="360" w:lineRule="auto"/>
        <w:jc w:val="both"/>
        <w:rPr>
          <w:rFonts w:ascii="Book Antiqua" w:hAnsi="Book Antiqua"/>
          <w:b/>
          <w:lang w:val="en-US"/>
        </w:rPr>
      </w:pPr>
    </w:p>
    <w:p w14:paraId="502A047C" w14:textId="5E19792F" w:rsidR="00CB1948" w:rsidRPr="00425573" w:rsidRDefault="00CB1948" w:rsidP="00CC10A4">
      <w:pPr>
        <w:snapToGrid w:val="0"/>
        <w:spacing w:line="360" w:lineRule="auto"/>
        <w:jc w:val="both"/>
        <w:rPr>
          <w:rFonts w:ascii="Book Antiqua" w:hAnsi="Book Antiqua"/>
          <w:bCs/>
          <w:lang w:val="en-US"/>
        </w:rPr>
      </w:pPr>
      <w:r w:rsidRPr="00425573">
        <w:rPr>
          <w:rFonts w:ascii="Book Antiqua" w:hAnsi="Book Antiqua"/>
          <w:bCs/>
          <w:lang w:val="en-US"/>
        </w:rPr>
        <w:t xml:space="preserve">Caputo V </w:t>
      </w:r>
      <w:r w:rsidRPr="00425573">
        <w:rPr>
          <w:rFonts w:ascii="Book Antiqua" w:hAnsi="Book Antiqua"/>
          <w:bCs/>
          <w:i/>
          <w:iCs/>
          <w:lang w:val="en-US"/>
        </w:rPr>
        <w:t>et al</w:t>
      </w:r>
      <w:r w:rsidR="0084664E" w:rsidRPr="00425573">
        <w:rPr>
          <w:rFonts w:ascii="Book Antiqua" w:hAnsi="Book Antiqua"/>
          <w:bCs/>
          <w:lang w:val="en-US"/>
        </w:rPr>
        <w:t xml:space="preserve">. </w:t>
      </w:r>
      <w:r w:rsidR="00D63357" w:rsidRPr="00425573">
        <w:rPr>
          <w:rFonts w:ascii="Book Antiqua" w:hAnsi="Book Antiqua"/>
          <w:bCs/>
          <w:lang w:val="en-US"/>
        </w:rPr>
        <w:t xml:space="preserve">Shared </w:t>
      </w:r>
      <w:r w:rsidR="00D058A3" w:rsidRPr="00425573">
        <w:rPr>
          <w:rFonts w:ascii="Book Antiqua" w:hAnsi="Book Antiqua"/>
          <w:bCs/>
          <w:lang w:val="en-US"/>
        </w:rPr>
        <w:t>genomics connecting neurodegeneration and T2D</w:t>
      </w:r>
    </w:p>
    <w:p w14:paraId="3441867F" w14:textId="77777777" w:rsidR="00D058A3" w:rsidRPr="00425573" w:rsidRDefault="00D058A3" w:rsidP="00CC10A4">
      <w:pPr>
        <w:snapToGrid w:val="0"/>
        <w:spacing w:line="360" w:lineRule="auto"/>
        <w:jc w:val="both"/>
        <w:rPr>
          <w:rFonts w:ascii="Book Antiqua" w:hAnsi="Book Antiqua"/>
          <w:bCs/>
          <w:lang w:val="en-US"/>
        </w:rPr>
      </w:pPr>
    </w:p>
    <w:p w14:paraId="20624102" w14:textId="74FDF5ED" w:rsidR="000C1828" w:rsidRPr="00425573" w:rsidRDefault="000C1828" w:rsidP="00CC10A4">
      <w:pPr>
        <w:snapToGrid w:val="0"/>
        <w:spacing w:line="360" w:lineRule="auto"/>
        <w:jc w:val="both"/>
        <w:rPr>
          <w:rFonts w:ascii="Book Antiqua" w:hAnsi="Book Antiqua"/>
          <w:bCs/>
          <w:lang w:val="en-US"/>
        </w:rPr>
      </w:pPr>
      <w:r w:rsidRPr="00425573">
        <w:rPr>
          <w:rFonts w:ascii="Book Antiqua" w:hAnsi="Book Antiqua"/>
          <w:bCs/>
          <w:lang w:val="en-US"/>
        </w:rPr>
        <w:t>Valerio Caputo, Andrea Termine, Claudia Strafella, Emiliano Giardina, Raffaella Cascella</w:t>
      </w:r>
    </w:p>
    <w:p w14:paraId="7464B4CD" w14:textId="77777777" w:rsidR="000C1828" w:rsidRPr="00425573" w:rsidRDefault="000C1828" w:rsidP="00CC10A4">
      <w:pPr>
        <w:snapToGrid w:val="0"/>
        <w:spacing w:line="360" w:lineRule="auto"/>
        <w:jc w:val="both"/>
        <w:rPr>
          <w:rFonts w:ascii="Book Antiqua" w:hAnsi="Book Antiqua"/>
          <w:b/>
          <w:lang w:val="en-US"/>
        </w:rPr>
      </w:pPr>
    </w:p>
    <w:p w14:paraId="3F05F535" w14:textId="40A4D1B2" w:rsidR="00616ED5" w:rsidRPr="00425573" w:rsidRDefault="000C1828" w:rsidP="00CC10A4">
      <w:pPr>
        <w:snapToGrid w:val="0"/>
        <w:spacing w:line="360" w:lineRule="auto"/>
        <w:jc w:val="both"/>
        <w:rPr>
          <w:rFonts w:ascii="Book Antiqua" w:hAnsi="Book Antiqua"/>
          <w:b/>
          <w:lang w:val="en-US"/>
        </w:rPr>
      </w:pPr>
      <w:r w:rsidRPr="00425573">
        <w:rPr>
          <w:rFonts w:ascii="Book Antiqua" w:hAnsi="Book Antiqua"/>
          <w:b/>
          <w:lang w:val="en-US"/>
        </w:rPr>
        <w:t xml:space="preserve">Valerio </w:t>
      </w:r>
      <w:r w:rsidR="0067286C" w:rsidRPr="00425573">
        <w:rPr>
          <w:rFonts w:ascii="Book Antiqua" w:hAnsi="Book Antiqua"/>
          <w:b/>
          <w:lang w:val="en-US"/>
        </w:rPr>
        <w:t xml:space="preserve">Caputo, </w:t>
      </w:r>
      <w:r w:rsidR="006A2F02" w:rsidRPr="00425573">
        <w:rPr>
          <w:rFonts w:ascii="Book Antiqua" w:hAnsi="Book Antiqua"/>
          <w:bCs/>
          <w:lang w:val="en-US"/>
        </w:rPr>
        <w:t>Department of Biomedicine and Prevention, Tor Vergata University, Rome</w:t>
      </w:r>
      <w:r w:rsidR="00403B29" w:rsidRPr="00425573">
        <w:rPr>
          <w:rFonts w:ascii="Book Antiqua" w:hAnsi="Book Antiqua"/>
          <w:bCs/>
          <w:lang w:val="en-US"/>
        </w:rPr>
        <w:t xml:space="preserve"> 00133</w:t>
      </w:r>
      <w:r w:rsidR="006A2F02" w:rsidRPr="00425573">
        <w:rPr>
          <w:rFonts w:ascii="Book Antiqua" w:hAnsi="Book Antiqua"/>
          <w:bCs/>
          <w:lang w:val="en-US"/>
        </w:rPr>
        <w:t>, Italy</w:t>
      </w:r>
    </w:p>
    <w:p w14:paraId="14AAC83D" w14:textId="77777777" w:rsidR="00616ED5" w:rsidRPr="00425573" w:rsidRDefault="00616ED5" w:rsidP="00CC10A4">
      <w:pPr>
        <w:snapToGrid w:val="0"/>
        <w:spacing w:line="360" w:lineRule="auto"/>
        <w:jc w:val="both"/>
        <w:rPr>
          <w:rFonts w:ascii="Book Antiqua" w:hAnsi="Book Antiqua"/>
          <w:b/>
          <w:lang w:val="en-US"/>
        </w:rPr>
      </w:pPr>
    </w:p>
    <w:p w14:paraId="7F53AA55" w14:textId="0690D94A" w:rsidR="000C1828" w:rsidRPr="00425573" w:rsidRDefault="00616ED5" w:rsidP="00CC10A4">
      <w:pPr>
        <w:snapToGrid w:val="0"/>
        <w:spacing w:line="360" w:lineRule="auto"/>
        <w:jc w:val="both"/>
        <w:rPr>
          <w:rFonts w:ascii="Book Antiqua" w:hAnsi="Book Antiqua"/>
          <w:b/>
          <w:lang w:val="en-US"/>
        </w:rPr>
      </w:pPr>
      <w:r w:rsidRPr="00425573">
        <w:rPr>
          <w:rFonts w:ascii="Book Antiqua" w:hAnsi="Book Antiqua"/>
          <w:b/>
          <w:lang w:val="en-US"/>
        </w:rPr>
        <w:t xml:space="preserve">Valerio Caputo, </w:t>
      </w:r>
      <w:r w:rsidR="002D1880" w:rsidRPr="00425573">
        <w:rPr>
          <w:rFonts w:ascii="Book Antiqua" w:hAnsi="Book Antiqua"/>
          <w:b/>
          <w:lang w:val="en-US"/>
        </w:rPr>
        <w:t>Andrea Termine, Claudia Strafella, Emiliano Giardina,</w:t>
      </w:r>
      <w:r w:rsidR="002D1880" w:rsidRPr="00425573">
        <w:rPr>
          <w:rFonts w:ascii="Book Antiqua" w:hAnsi="Book Antiqua"/>
          <w:lang w:val="en-US"/>
        </w:rPr>
        <w:t xml:space="preserve"> </w:t>
      </w:r>
      <w:r w:rsidR="003A0B35" w:rsidRPr="00425573">
        <w:rPr>
          <w:rFonts w:ascii="Book Antiqua" w:hAnsi="Book Antiqua"/>
          <w:bCs/>
          <w:lang w:val="en-US"/>
        </w:rPr>
        <w:t>Molecular Genetics Laboratory UILD</w:t>
      </w:r>
      <w:r w:rsidR="00F027D4" w:rsidRPr="00425573">
        <w:rPr>
          <w:rFonts w:ascii="Book Antiqua" w:hAnsi="Book Antiqua"/>
          <w:bCs/>
          <w:lang w:val="en-US"/>
        </w:rPr>
        <w:t xml:space="preserve">M, Santa Lucia Foundation, </w:t>
      </w:r>
      <w:r w:rsidR="003A0B35" w:rsidRPr="00425573">
        <w:rPr>
          <w:rFonts w:ascii="Book Antiqua" w:hAnsi="Book Antiqua"/>
          <w:bCs/>
          <w:lang w:val="en-US"/>
        </w:rPr>
        <w:t>Rome</w:t>
      </w:r>
      <w:r w:rsidR="006D064D" w:rsidRPr="00425573">
        <w:rPr>
          <w:rFonts w:ascii="Book Antiqua" w:hAnsi="Book Antiqua"/>
          <w:bCs/>
          <w:lang w:val="en-US"/>
        </w:rPr>
        <w:t xml:space="preserve"> 00142</w:t>
      </w:r>
      <w:r w:rsidR="003A0B35" w:rsidRPr="00425573">
        <w:rPr>
          <w:rFonts w:ascii="Book Antiqua" w:hAnsi="Book Antiqua"/>
          <w:bCs/>
          <w:lang w:val="en-US"/>
        </w:rPr>
        <w:t>, Italy</w:t>
      </w:r>
    </w:p>
    <w:p w14:paraId="705D75C5" w14:textId="77777777" w:rsidR="006A2F02" w:rsidRPr="00425573" w:rsidRDefault="006A2F02" w:rsidP="00CC10A4">
      <w:pPr>
        <w:snapToGrid w:val="0"/>
        <w:spacing w:line="360" w:lineRule="auto"/>
        <w:jc w:val="both"/>
        <w:rPr>
          <w:rFonts w:ascii="Book Antiqua" w:hAnsi="Book Antiqua"/>
          <w:b/>
          <w:lang w:val="en-US"/>
        </w:rPr>
      </w:pPr>
    </w:p>
    <w:p w14:paraId="0AC1CE1C" w14:textId="35452351" w:rsidR="0067286C" w:rsidRPr="00425573" w:rsidRDefault="002D1880" w:rsidP="00CC10A4">
      <w:pPr>
        <w:snapToGrid w:val="0"/>
        <w:spacing w:line="360" w:lineRule="auto"/>
        <w:jc w:val="both"/>
        <w:rPr>
          <w:rFonts w:ascii="Book Antiqua" w:hAnsi="Book Antiqua"/>
          <w:b/>
          <w:lang w:val="en-US"/>
        </w:rPr>
      </w:pPr>
      <w:r w:rsidRPr="00425573">
        <w:rPr>
          <w:rFonts w:ascii="Book Antiqua" w:hAnsi="Book Antiqua"/>
          <w:b/>
          <w:lang w:val="en-US"/>
        </w:rPr>
        <w:t xml:space="preserve">Andrea Termine, </w:t>
      </w:r>
      <w:r w:rsidR="00D05421" w:rsidRPr="00425573">
        <w:rPr>
          <w:rFonts w:ascii="Book Antiqua" w:hAnsi="Book Antiqua"/>
          <w:bCs/>
          <w:lang w:val="en-US"/>
        </w:rPr>
        <w:t xml:space="preserve">Experimental and Behavioral Neurophysiology Laboratory, </w:t>
      </w:r>
      <w:r w:rsidR="00F027D4" w:rsidRPr="00425573">
        <w:rPr>
          <w:rFonts w:ascii="Book Antiqua" w:hAnsi="Book Antiqua"/>
          <w:bCs/>
          <w:lang w:val="en-US"/>
        </w:rPr>
        <w:t xml:space="preserve">Santa Lucia Foundation, </w:t>
      </w:r>
      <w:r w:rsidR="00D05421" w:rsidRPr="00425573">
        <w:rPr>
          <w:rFonts w:ascii="Book Antiqua" w:hAnsi="Book Antiqua"/>
          <w:bCs/>
          <w:lang w:val="en-US"/>
        </w:rPr>
        <w:t>Rome</w:t>
      </w:r>
      <w:r w:rsidR="00951EFA" w:rsidRPr="00425573">
        <w:rPr>
          <w:rFonts w:ascii="Book Antiqua" w:hAnsi="Book Antiqua"/>
          <w:bCs/>
          <w:lang w:val="en-US"/>
        </w:rPr>
        <w:t xml:space="preserve"> 00142</w:t>
      </w:r>
      <w:r w:rsidR="00D05421" w:rsidRPr="00425573">
        <w:rPr>
          <w:rFonts w:ascii="Book Antiqua" w:hAnsi="Book Antiqua"/>
          <w:bCs/>
          <w:lang w:val="en-US"/>
        </w:rPr>
        <w:t>, Italy</w:t>
      </w:r>
    </w:p>
    <w:p w14:paraId="4C7BEB7F" w14:textId="77777777" w:rsidR="006A2F02" w:rsidRPr="00425573" w:rsidRDefault="006A2F02" w:rsidP="00CC10A4">
      <w:pPr>
        <w:snapToGrid w:val="0"/>
        <w:spacing w:line="360" w:lineRule="auto"/>
        <w:jc w:val="both"/>
        <w:rPr>
          <w:rFonts w:ascii="Book Antiqua" w:hAnsi="Book Antiqua"/>
          <w:b/>
          <w:lang w:val="en-US"/>
        </w:rPr>
      </w:pPr>
    </w:p>
    <w:p w14:paraId="7B67BFEE" w14:textId="4F4932AD" w:rsidR="006A2F02" w:rsidRPr="00425573" w:rsidRDefault="0067286C" w:rsidP="00CC10A4">
      <w:pPr>
        <w:snapToGrid w:val="0"/>
        <w:spacing w:line="360" w:lineRule="auto"/>
        <w:jc w:val="both"/>
        <w:rPr>
          <w:rFonts w:ascii="Book Antiqua" w:hAnsi="Book Antiqua"/>
          <w:b/>
          <w:lang w:val="en-US"/>
        </w:rPr>
      </w:pPr>
      <w:r w:rsidRPr="00425573">
        <w:rPr>
          <w:rFonts w:ascii="Book Antiqua" w:hAnsi="Book Antiqua"/>
          <w:b/>
          <w:lang w:val="en-US"/>
        </w:rPr>
        <w:t>Claudia Strafella,</w:t>
      </w:r>
      <w:r w:rsidR="003A0B35" w:rsidRPr="00425573">
        <w:rPr>
          <w:rFonts w:ascii="Book Antiqua" w:hAnsi="Book Antiqua"/>
          <w:b/>
          <w:lang w:val="en-US"/>
        </w:rPr>
        <w:t xml:space="preserve"> </w:t>
      </w:r>
      <w:r w:rsidR="002D1880" w:rsidRPr="00425573">
        <w:rPr>
          <w:rFonts w:ascii="Book Antiqua" w:hAnsi="Book Antiqua"/>
          <w:b/>
          <w:lang w:val="en-US"/>
        </w:rPr>
        <w:t>Emiliano Giardina,</w:t>
      </w:r>
      <w:r w:rsidR="002D1880" w:rsidRPr="00425573">
        <w:rPr>
          <w:rFonts w:ascii="Book Antiqua" w:hAnsi="Book Antiqua"/>
          <w:lang w:val="en-US"/>
        </w:rPr>
        <w:t xml:space="preserve"> </w:t>
      </w:r>
      <w:r w:rsidR="002D1880" w:rsidRPr="00425573">
        <w:rPr>
          <w:rFonts w:ascii="Book Antiqua" w:hAnsi="Book Antiqua"/>
          <w:b/>
          <w:lang w:val="en-US"/>
        </w:rPr>
        <w:t>Raffaella Cascella,</w:t>
      </w:r>
      <w:r w:rsidR="002D1880" w:rsidRPr="00425573">
        <w:rPr>
          <w:rFonts w:ascii="Book Antiqua" w:hAnsi="Book Antiqua"/>
          <w:lang w:val="en-US"/>
        </w:rPr>
        <w:t xml:space="preserve"> </w:t>
      </w:r>
      <w:r w:rsidR="006A2F02" w:rsidRPr="00425573">
        <w:rPr>
          <w:rFonts w:ascii="Book Antiqua" w:hAnsi="Book Antiqua"/>
          <w:bCs/>
          <w:lang w:val="en-US"/>
        </w:rPr>
        <w:t>Department of Biomedicine and Preventio</w:t>
      </w:r>
      <w:r w:rsidR="00F027D4" w:rsidRPr="00425573">
        <w:rPr>
          <w:rFonts w:ascii="Book Antiqua" w:hAnsi="Book Antiqua"/>
          <w:bCs/>
          <w:lang w:val="en-US"/>
        </w:rPr>
        <w:t xml:space="preserve">n, Tor Vergata University, </w:t>
      </w:r>
      <w:r w:rsidR="006A2F02" w:rsidRPr="00425573">
        <w:rPr>
          <w:rFonts w:ascii="Book Antiqua" w:hAnsi="Book Antiqua"/>
          <w:bCs/>
          <w:lang w:val="en-US"/>
        </w:rPr>
        <w:t>Rome</w:t>
      </w:r>
      <w:r w:rsidR="00A37B50" w:rsidRPr="00425573">
        <w:rPr>
          <w:rFonts w:ascii="Book Antiqua" w:hAnsi="Book Antiqua"/>
          <w:bCs/>
          <w:lang w:val="en-US"/>
        </w:rPr>
        <w:t xml:space="preserve"> 00133</w:t>
      </w:r>
      <w:r w:rsidR="006A2F02" w:rsidRPr="00425573">
        <w:rPr>
          <w:rFonts w:ascii="Book Antiqua" w:hAnsi="Book Antiqua"/>
          <w:bCs/>
          <w:lang w:val="en-US"/>
        </w:rPr>
        <w:t>, Italy</w:t>
      </w:r>
    </w:p>
    <w:p w14:paraId="2DCDB0F1" w14:textId="77777777" w:rsidR="002D1880" w:rsidRPr="00425573" w:rsidRDefault="002D1880" w:rsidP="00CC10A4">
      <w:pPr>
        <w:snapToGrid w:val="0"/>
        <w:spacing w:line="360" w:lineRule="auto"/>
        <w:jc w:val="both"/>
        <w:rPr>
          <w:rFonts w:ascii="Book Antiqua" w:hAnsi="Book Antiqua"/>
          <w:b/>
          <w:lang w:val="en-US"/>
        </w:rPr>
      </w:pPr>
    </w:p>
    <w:p w14:paraId="274198F6" w14:textId="4D2672FE" w:rsidR="0067286C" w:rsidRPr="00425573" w:rsidRDefault="00432D83" w:rsidP="00CC10A4">
      <w:pPr>
        <w:snapToGrid w:val="0"/>
        <w:spacing w:line="360" w:lineRule="auto"/>
        <w:jc w:val="both"/>
        <w:rPr>
          <w:rFonts w:ascii="Book Antiqua" w:hAnsi="Book Antiqua"/>
          <w:b/>
          <w:lang w:val="en-US"/>
        </w:rPr>
      </w:pPr>
      <w:r w:rsidRPr="00425573">
        <w:rPr>
          <w:rFonts w:ascii="Book Antiqua" w:hAnsi="Book Antiqua"/>
          <w:b/>
          <w:lang w:val="en-US"/>
        </w:rPr>
        <w:t>Raffaella Cascella,</w:t>
      </w:r>
      <w:r w:rsidRPr="00425573">
        <w:rPr>
          <w:rFonts w:ascii="Book Antiqua" w:hAnsi="Book Antiqua"/>
          <w:lang w:val="en-US"/>
        </w:rPr>
        <w:t xml:space="preserve"> </w:t>
      </w:r>
      <w:r w:rsidR="003A0B35" w:rsidRPr="00425573">
        <w:rPr>
          <w:rFonts w:ascii="Book Antiqua" w:hAnsi="Book Antiqua"/>
          <w:bCs/>
          <w:lang w:val="en-US"/>
        </w:rPr>
        <w:t>Department of Biomedical Sciences, Catholic University Our Lady of Good Counsel, Tirana</w:t>
      </w:r>
      <w:r w:rsidR="00A37B50" w:rsidRPr="00425573">
        <w:rPr>
          <w:rFonts w:ascii="Book Antiqua" w:hAnsi="Book Antiqua"/>
          <w:bCs/>
          <w:lang w:val="en-US"/>
        </w:rPr>
        <w:t xml:space="preserve"> 1000</w:t>
      </w:r>
      <w:r w:rsidR="003A0B35" w:rsidRPr="00425573">
        <w:rPr>
          <w:rFonts w:ascii="Book Antiqua" w:hAnsi="Book Antiqua"/>
          <w:bCs/>
          <w:lang w:val="en-US"/>
        </w:rPr>
        <w:t>, Albania</w:t>
      </w:r>
    </w:p>
    <w:p w14:paraId="54919E3B" w14:textId="77777777" w:rsidR="00432D83" w:rsidRPr="00425573" w:rsidRDefault="00432D83" w:rsidP="00CC10A4">
      <w:pPr>
        <w:snapToGrid w:val="0"/>
        <w:spacing w:line="360" w:lineRule="auto"/>
        <w:jc w:val="both"/>
        <w:rPr>
          <w:rFonts w:ascii="Book Antiqua" w:hAnsi="Book Antiqua"/>
          <w:b/>
          <w:bCs/>
          <w:lang w:val="en-US"/>
        </w:rPr>
      </w:pPr>
    </w:p>
    <w:p w14:paraId="1E6F8ECA" w14:textId="70095442" w:rsidR="00D9763F" w:rsidRPr="00425573" w:rsidRDefault="000B2243" w:rsidP="00CC10A4">
      <w:pPr>
        <w:snapToGrid w:val="0"/>
        <w:spacing w:line="360" w:lineRule="auto"/>
        <w:jc w:val="both"/>
        <w:rPr>
          <w:rFonts w:ascii="Book Antiqua" w:hAnsi="Book Antiqua"/>
          <w:bCs/>
          <w:lang w:val="en-US"/>
        </w:rPr>
      </w:pPr>
      <w:r w:rsidRPr="00425573">
        <w:rPr>
          <w:rFonts w:ascii="Book Antiqua" w:hAnsi="Book Antiqua"/>
          <w:b/>
          <w:lang w:val="en-US"/>
        </w:rPr>
        <w:t xml:space="preserve">Author contributions: </w:t>
      </w:r>
      <w:r w:rsidR="0067286C" w:rsidRPr="00425573">
        <w:rPr>
          <w:rFonts w:ascii="Book Antiqua" w:hAnsi="Book Antiqua"/>
          <w:bCs/>
          <w:lang w:val="en-US"/>
        </w:rPr>
        <w:t>Caputo V</w:t>
      </w:r>
      <w:r w:rsidR="00D9763F" w:rsidRPr="00425573">
        <w:rPr>
          <w:rFonts w:ascii="Book Antiqua" w:hAnsi="Book Antiqua"/>
          <w:bCs/>
          <w:lang w:val="en-US"/>
        </w:rPr>
        <w:t xml:space="preserve"> and Termine A conceived </w:t>
      </w:r>
      <w:r w:rsidR="00432D83" w:rsidRPr="00425573">
        <w:rPr>
          <w:rFonts w:ascii="Book Antiqua" w:hAnsi="Book Antiqua"/>
          <w:bCs/>
          <w:lang w:val="en-US"/>
        </w:rPr>
        <w:t xml:space="preserve">of </w:t>
      </w:r>
      <w:r w:rsidR="00D9763F" w:rsidRPr="00425573">
        <w:rPr>
          <w:rFonts w:ascii="Book Antiqua" w:hAnsi="Book Antiqua"/>
          <w:bCs/>
          <w:lang w:val="en-US"/>
        </w:rPr>
        <w:t xml:space="preserve">the study, performed </w:t>
      </w:r>
      <w:r w:rsidR="00432D83" w:rsidRPr="00425573">
        <w:rPr>
          <w:rFonts w:ascii="Book Antiqua" w:hAnsi="Book Antiqua"/>
          <w:bCs/>
          <w:lang w:val="en-US"/>
        </w:rPr>
        <w:t xml:space="preserve">the </w:t>
      </w:r>
      <w:r w:rsidR="00D9763F" w:rsidRPr="00425573">
        <w:rPr>
          <w:rFonts w:ascii="Book Antiqua" w:hAnsi="Book Antiqua"/>
          <w:bCs/>
          <w:lang w:val="en-US"/>
        </w:rPr>
        <w:t>literature search</w:t>
      </w:r>
      <w:r w:rsidR="00432D83" w:rsidRPr="00425573">
        <w:rPr>
          <w:rFonts w:ascii="Book Antiqua" w:hAnsi="Book Antiqua"/>
          <w:bCs/>
          <w:lang w:val="en-US"/>
        </w:rPr>
        <w:t>,</w:t>
      </w:r>
      <w:r w:rsidR="00D9763F" w:rsidRPr="00425573">
        <w:rPr>
          <w:rFonts w:ascii="Book Antiqua" w:hAnsi="Book Antiqua"/>
          <w:bCs/>
          <w:lang w:val="en-US"/>
        </w:rPr>
        <w:t xml:space="preserve"> and wrote the manuscript</w:t>
      </w:r>
      <w:r w:rsidR="00432D83" w:rsidRPr="00425573">
        <w:rPr>
          <w:rFonts w:ascii="Book Antiqua" w:hAnsi="Book Antiqua"/>
          <w:bCs/>
          <w:lang w:val="en-US"/>
        </w:rPr>
        <w:t>;</w:t>
      </w:r>
      <w:r w:rsidR="00D9763F" w:rsidRPr="00425573">
        <w:rPr>
          <w:rFonts w:ascii="Book Antiqua" w:hAnsi="Book Antiqua"/>
          <w:bCs/>
          <w:lang w:val="en-US"/>
        </w:rPr>
        <w:t xml:space="preserve"> Strafella C, Giardina E and Cascella R conceived </w:t>
      </w:r>
      <w:r w:rsidR="00432D83" w:rsidRPr="00425573">
        <w:rPr>
          <w:rFonts w:ascii="Book Antiqua" w:hAnsi="Book Antiqua"/>
          <w:bCs/>
          <w:lang w:val="en-US"/>
        </w:rPr>
        <w:t xml:space="preserve">of </w:t>
      </w:r>
      <w:r w:rsidR="00D9763F" w:rsidRPr="00425573">
        <w:rPr>
          <w:rFonts w:ascii="Book Antiqua" w:hAnsi="Book Antiqua"/>
          <w:bCs/>
          <w:lang w:val="en-US"/>
        </w:rPr>
        <w:t xml:space="preserve">the study and revised the manuscript; </w:t>
      </w:r>
      <w:r w:rsidR="002934FB" w:rsidRPr="00425573">
        <w:rPr>
          <w:rFonts w:ascii="Book Antiqua" w:hAnsi="Book Antiqua"/>
          <w:bCs/>
          <w:lang w:val="en-US"/>
        </w:rPr>
        <w:t>a</w:t>
      </w:r>
      <w:r w:rsidR="00D9763F" w:rsidRPr="00425573">
        <w:rPr>
          <w:rFonts w:ascii="Book Antiqua" w:hAnsi="Book Antiqua"/>
          <w:bCs/>
          <w:lang w:val="en-US"/>
        </w:rPr>
        <w:t>ll authors approved the final version of the article.</w:t>
      </w:r>
    </w:p>
    <w:p w14:paraId="7AF8C420" w14:textId="77777777" w:rsidR="007E04FB" w:rsidRPr="00425573" w:rsidRDefault="007E04FB" w:rsidP="00CC10A4">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b/>
          <w:bCs/>
          <w:color w:val="333333"/>
          <w:sz w:val="24"/>
          <w:szCs w:val="24"/>
          <w:u w:color="333333"/>
          <w:shd w:val="clear" w:color="auto" w:fill="FFFFFF"/>
        </w:rPr>
      </w:pPr>
    </w:p>
    <w:p w14:paraId="1EA53F9B" w14:textId="0CAB6771" w:rsidR="000B2243" w:rsidRPr="00425573" w:rsidRDefault="000B2243" w:rsidP="00CC10A4">
      <w:pPr>
        <w:snapToGrid w:val="0"/>
        <w:spacing w:line="360" w:lineRule="auto"/>
        <w:jc w:val="both"/>
        <w:rPr>
          <w:rFonts w:ascii="Book Antiqua" w:hAnsi="Book Antiqua"/>
          <w:bCs/>
          <w:lang w:val="en-US"/>
        </w:rPr>
      </w:pPr>
      <w:r w:rsidRPr="00425573">
        <w:rPr>
          <w:rFonts w:ascii="Book Antiqua" w:hAnsi="Book Antiqua"/>
          <w:b/>
          <w:lang w:val="en-US"/>
        </w:rPr>
        <w:lastRenderedPageBreak/>
        <w:t xml:space="preserve">Corresponding author: </w:t>
      </w:r>
      <w:bookmarkStart w:id="2" w:name="OLE_LINK21"/>
      <w:bookmarkStart w:id="3" w:name="OLE_LINK22"/>
      <w:r w:rsidR="00CE14A7" w:rsidRPr="00425573">
        <w:rPr>
          <w:rFonts w:ascii="Book Antiqua" w:hAnsi="Book Antiqua"/>
          <w:b/>
          <w:lang w:val="en-US"/>
        </w:rPr>
        <w:t>Emiliano Giardina</w:t>
      </w:r>
      <w:r w:rsidRPr="00425573">
        <w:rPr>
          <w:rFonts w:ascii="Book Antiqua" w:hAnsi="Book Antiqua"/>
          <w:b/>
          <w:lang w:val="en-US"/>
        </w:rPr>
        <w:t xml:space="preserve">, </w:t>
      </w:r>
      <w:r w:rsidR="00CE14A7" w:rsidRPr="00425573">
        <w:rPr>
          <w:rFonts w:ascii="Book Antiqua" w:hAnsi="Book Antiqua"/>
          <w:b/>
          <w:lang w:val="en-US"/>
        </w:rPr>
        <w:t>PhD</w:t>
      </w:r>
      <w:r w:rsidRPr="00425573">
        <w:rPr>
          <w:rFonts w:ascii="Book Antiqua" w:hAnsi="Book Antiqua"/>
          <w:b/>
          <w:lang w:val="en-US"/>
        </w:rPr>
        <w:t xml:space="preserve">, </w:t>
      </w:r>
      <w:r w:rsidR="001933E4" w:rsidRPr="00425573">
        <w:rPr>
          <w:rFonts w:ascii="Book Antiqua" w:hAnsi="Book Antiqua"/>
          <w:b/>
          <w:lang w:val="en-US"/>
        </w:rPr>
        <w:t>Associate Professor</w:t>
      </w:r>
      <w:r w:rsidR="00CC10A4" w:rsidRPr="00425573">
        <w:rPr>
          <w:rFonts w:ascii="Book Antiqua" w:hAnsi="Book Antiqua"/>
          <w:b/>
          <w:lang w:val="en-US"/>
        </w:rPr>
        <w:t xml:space="preserve">, </w:t>
      </w:r>
      <w:r w:rsidR="00D05421" w:rsidRPr="00425573">
        <w:rPr>
          <w:rFonts w:ascii="Book Antiqua" w:hAnsi="Book Antiqua"/>
          <w:bCs/>
          <w:lang w:val="en-US"/>
        </w:rPr>
        <w:t xml:space="preserve">Molecular Genetics Laboratory UILDM, Santa Lucia Foundation, </w:t>
      </w:r>
      <w:r w:rsidR="000975F3" w:rsidRPr="00425573">
        <w:rPr>
          <w:rFonts w:ascii="Book Antiqua" w:hAnsi="Book Antiqua"/>
          <w:bCs/>
          <w:lang w:val="en-US"/>
        </w:rPr>
        <w:t xml:space="preserve">Via Ardeatina 354, </w:t>
      </w:r>
      <w:r w:rsidR="00D05421" w:rsidRPr="00425573">
        <w:rPr>
          <w:rFonts w:ascii="Book Antiqua" w:hAnsi="Book Antiqua"/>
          <w:bCs/>
          <w:lang w:val="en-US"/>
        </w:rPr>
        <w:t>Rome</w:t>
      </w:r>
      <w:r w:rsidR="00CC10A4" w:rsidRPr="00425573">
        <w:rPr>
          <w:rFonts w:ascii="Book Antiqua" w:hAnsi="Book Antiqua"/>
          <w:bCs/>
          <w:lang w:val="en-US"/>
        </w:rPr>
        <w:t xml:space="preserve"> 001</w:t>
      </w:r>
      <w:r w:rsidR="000975F3" w:rsidRPr="00425573">
        <w:rPr>
          <w:rFonts w:ascii="Book Antiqua" w:hAnsi="Book Antiqua"/>
          <w:bCs/>
          <w:lang w:val="en-US"/>
        </w:rPr>
        <w:t>42</w:t>
      </w:r>
      <w:r w:rsidR="00D05421" w:rsidRPr="00425573">
        <w:rPr>
          <w:rFonts w:ascii="Book Antiqua" w:hAnsi="Book Antiqua"/>
          <w:bCs/>
          <w:lang w:val="en-US"/>
        </w:rPr>
        <w:t>, Italy.</w:t>
      </w:r>
      <w:r w:rsidR="00B20436" w:rsidRPr="00425573">
        <w:rPr>
          <w:rFonts w:ascii="Book Antiqua" w:hAnsi="Book Antiqua"/>
          <w:bCs/>
          <w:lang w:val="en-US"/>
        </w:rPr>
        <w:t xml:space="preserve"> </w:t>
      </w:r>
      <w:r w:rsidR="000B5E79" w:rsidRPr="00425573">
        <w:rPr>
          <w:rFonts w:ascii="Book Antiqua" w:hAnsi="Book Antiqua"/>
          <w:bCs/>
          <w:lang w:val="en-US"/>
        </w:rPr>
        <w:t>emiliano.giardina@uniroma2.it</w:t>
      </w:r>
      <w:bookmarkEnd w:id="2"/>
      <w:bookmarkEnd w:id="3"/>
    </w:p>
    <w:p w14:paraId="5D7A878B" w14:textId="3D5350E3" w:rsidR="00F053F4" w:rsidRPr="00425573" w:rsidRDefault="00F053F4" w:rsidP="00CC10A4">
      <w:pPr>
        <w:snapToGrid w:val="0"/>
        <w:spacing w:line="360" w:lineRule="auto"/>
        <w:jc w:val="both"/>
        <w:rPr>
          <w:rFonts w:ascii="Book Antiqua" w:hAnsi="Book Antiqua"/>
          <w:b/>
          <w:lang w:val="en-US"/>
        </w:rPr>
      </w:pPr>
    </w:p>
    <w:p w14:paraId="27471377" w14:textId="77777777" w:rsidR="00BB65DD" w:rsidRPr="00BB65DD" w:rsidRDefault="00BB65DD" w:rsidP="00BB65DD">
      <w:pPr>
        <w:adjustRightInd w:val="0"/>
        <w:snapToGrid w:val="0"/>
        <w:spacing w:line="360" w:lineRule="auto"/>
        <w:jc w:val="both"/>
        <w:rPr>
          <w:rFonts w:ascii="Book Antiqua" w:eastAsia="SimSun" w:hAnsi="Book Antiqua" w:cs="Times New Roman"/>
          <w:b/>
          <w:lang w:val="en-US" w:eastAsia="zh-CN"/>
        </w:rPr>
      </w:pPr>
      <w:r w:rsidRPr="00BB65DD">
        <w:rPr>
          <w:rFonts w:ascii="Book Antiqua" w:eastAsia="SimSun" w:hAnsi="Book Antiqua" w:cs="Times New Roman"/>
          <w:b/>
          <w:lang w:val="en-US" w:eastAsia="en-US"/>
        </w:rPr>
        <w:t>Received:</w:t>
      </w:r>
      <w:r w:rsidRPr="00BB65DD">
        <w:rPr>
          <w:rFonts w:ascii="Book Antiqua" w:eastAsia="SimSun" w:hAnsi="Book Antiqua" w:cs="Times New Roman"/>
          <w:b/>
          <w:lang w:val="en-US" w:eastAsia="zh-CN"/>
        </w:rPr>
        <w:t xml:space="preserve"> </w:t>
      </w:r>
      <w:r w:rsidRPr="00BB65DD">
        <w:rPr>
          <w:rFonts w:ascii="Book Antiqua" w:eastAsia="SimSun" w:hAnsi="Book Antiqua" w:cs="Times New Roman"/>
          <w:lang w:val="en-US" w:eastAsia="zh-CN"/>
        </w:rPr>
        <w:t>December 27, 2019</w:t>
      </w:r>
    </w:p>
    <w:p w14:paraId="6CC292B2" w14:textId="77777777" w:rsidR="00BB65DD" w:rsidRPr="00BB65DD" w:rsidRDefault="00BB65DD" w:rsidP="00BB65DD">
      <w:pPr>
        <w:adjustRightInd w:val="0"/>
        <w:snapToGrid w:val="0"/>
        <w:spacing w:line="360" w:lineRule="auto"/>
        <w:jc w:val="both"/>
        <w:rPr>
          <w:rFonts w:ascii="Book Antiqua" w:eastAsia="SimSun" w:hAnsi="Book Antiqua" w:cs="Times New Roman"/>
          <w:b/>
          <w:lang w:val="en-US" w:eastAsia="zh-CN"/>
        </w:rPr>
      </w:pPr>
      <w:r w:rsidRPr="00BB65DD">
        <w:rPr>
          <w:rFonts w:ascii="Book Antiqua" w:eastAsia="SimSun" w:hAnsi="Book Antiqua" w:cs="Times New Roman"/>
          <w:b/>
          <w:lang w:val="en-US" w:eastAsia="en-US"/>
        </w:rPr>
        <w:t>Revised:</w:t>
      </w:r>
      <w:r w:rsidRPr="00BB65DD">
        <w:rPr>
          <w:rFonts w:ascii="Book Antiqua" w:eastAsia="SimSun" w:hAnsi="Book Antiqua" w:cs="Times New Roman"/>
          <w:b/>
          <w:lang w:val="en-US" w:eastAsia="zh-CN"/>
        </w:rPr>
        <w:t xml:space="preserve"> </w:t>
      </w:r>
      <w:r w:rsidRPr="00BB65DD">
        <w:rPr>
          <w:rFonts w:ascii="Book Antiqua" w:eastAsia="SimSun" w:hAnsi="Book Antiqua" w:cs="Times New Roman"/>
          <w:lang w:val="en-US" w:eastAsia="zh-CN"/>
        </w:rPr>
        <w:t xml:space="preserve">February 10, 2020 </w:t>
      </w:r>
    </w:p>
    <w:p w14:paraId="4A835592" w14:textId="286BE1D8" w:rsidR="00BB65DD" w:rsidRPr="00BB65DD" w:rsidRDefault="00BB65DD" w:rsidP="00BB65DD">
      <w:pPr>
        <w:adjustRightInd w:val="0"/>
        <w:snapToGrid w:val="0"/>
        <w:spacing w:line="360" w:lineRule="auto"/>
        <w:jc w:val="both"/>
        <w:rPr>
          <w:rFonts w:ascii="Book Antiqua" w:eastAsia="SimSun" w:hAnsi="Book Antiqua" w:cs="Times New Roman"/>
          <w:color w:val="000000"/>
          <w:lang w:val="fr-FR" w:eastAsia="en-US"/>
        </w:rPr>
      </w:pPr>
      <w:r w:rsidRPr="00BB65DD">
        <w:rPr>
          <w:rFonts w:ascii="Book Antiqua" w:eastAsia="SimSun" w:hAnsi="Book Antiqua" w:cs="Times New Roman"/>
          <w:b/>
          <w:lang w:val="en-US" w:eastAsia="en-US"/>
        </w:rPr>
        <w:t>Accepted:</w:t>
      </w:r>
      <w:bookmarkStart w:id="4" w:name="OLE_LINK52"/>
      <w:bookmarkStart w:id="5" w:name="OLE_LINK53"/>
      <w:r w:rsidRPr="00BB65DD">
        <w:rPr>
          <w:rFonts w:ascii="Book Antiqua" w:eastAsia="SimSun" w:hAnsi="Book Antiqua" w:cs="Times New Roman"/>
          <w:b/>
          <w:color w:val="000000"/>
          <w:kern w:val="2"/>
          <w:lang w:val="en-US" w:eastAsia="zh-CN"/>
        </w:rPr>
        <w:t xml:space="preserve"> </w:t>
      </w:r>
      <w:bookmarkStart w:id="6" w:name="_GoBack"/>
      <w:bookmarkEnd w:id="4"/>
      <w:bookmarkEnd w:id="5"/>
      <w:r w:rsidR="00506C43" w:rsidRPr="00506C43">
        <w:rPr>
          <w:rFonts w:ascii="Book Antiqua" w:eastAsia="SimSun" w:hAnsi="Book Antiqua" w:cs="Times New Roman"/>
          <w:color w:val="000000"/>
          <w:kern w:val="2"/>
          <w:lang w:val="en-US" w:eastAsia="zh-CN"/>
        </w:rPr>
        <w:t>March 22, 2020</w:t>
      </w:r>
      <w:bookmarkEnd w:id="6"/>
    </w:p>
    <w:p w14:paraId="2B76A4CC" w14:textId="77777777" w:rsidR="00BB65DD" w:rsidRPr="00BB65DD" w:rsidRDefault="00BB65DD" w:rsidP="00BB65DD">
      <w:pPr>
        <w:adjustRightInd w:val="0"/>
        <w:snapToGrid w:val="0"/>
        <w:spacing w:line="360" w:lineRule="auto"/>
        <w:jc w:val="both"/>
        <w:rPr>
          <w:rFonts w:ascii="Book Antiqua" w:eastAsia="SimSun" w:hAnsi="Book Antiqua" w:cs="Times New Roman"/>
          <w:b/>
          <w:lang w:val="en-US" w:eastAsia="en-US"/>
        </w:rPr>
      </w:pPr>
      <w:r w:rsidRPr="00BB65DD">
        <w:rPr>
          <w:rFonts w:ascii="Book Antiqua" w:eastAsia="SimSun" w:hAnsi="Book Antiqua" w:cs="Times New Roman"/>
          <w:b/>
          <w:lang w:val="en-US" w:eastAsia="en-US"/>
        </w:rPr>
        <w:t>Published online:</w:t>
      </w:r>
    </w:p>
    <w:p w14:paraId="6091A5AD" w14:textId="77777777" w:rsidR="00393906" w:rsidRPr="00425573" w:rsidRDefault="00393906" w:rsidP="00CC10A4">
      <w:pPr>
        <w:snapToGrid w:val="0"/>
        <w:spacing w:line="360" w:lineRule="auto"/>
        <w:jc w:val="both"/>
        <w:rPr>
          <w:rFonts w:ascii="Book Antiqua" w:hAnsi="Book Antiqua"/>
          <w:b/>
          <w:lang w:val="en-US"/>
        </w:rPr>
      </w:pPr>
    </w:p>
    <w:p w14:paraId="4D44E1A6" w14:textId="77777777" w:rsidR="00CC10A4" w:rsidRPr="00425573" w:rsidRDefault="00CC10A4" w:rsidP="00CC10A4">
      <w:pPr>
        <w:snapToGrid w:val="0"/>
        <w:spacing w:line="360" w:lineRule="auto"/>
        <w:rPr>
          <w:rFonts w:ascii="Book Antiqua" w:hAnsi="Book Antiqua"/>
          <w:b/>
          <w:lang w:val="en-US"/>
        </w:rPr>
      </w:pPr>
      <w:r w:rsidRPr="00425573">
        <w:rPr>
          <w:rFonts w:ascii="Book Antiqua" w:hAnsi="Book Antiqua"/>
          <w:b/>
          <w:lang w:val="en-US"/>
        </w:rPr>
        <w:br w:type="page"/>
      </w:r>
    </w:p>
    <w:p w14:paraId="7933F16D" w14:textId="77777777" w:rsidR="0012089E" w:rsidRPr="00425573" w:rsidRDefault="0012089E" w:rsidP="0012089E">
      <w:pPr>
        <w:pStyle w:val="12ptBold"/>
        <w:adjustRightInd w:val="0"/>
        <w:snapToGrid w:val="0"/>
        <w:rPr>
          <w:rFonts w:cs="Times New Roman"/>
        </w:rPr>
      </w:pPr>
      <w:r w:rsidRPr="00425573">
        <w:rPr>
          <w:rFonts w:cs="Times New Roman"/>
        </w:rPr>
        <w:lastRenderedPageBreak/>
        <w:t>Abstract</w:t>
      </w:r>
    </w:p>
    <w:p w14:paraId="2095B88B" w14:textId="70CB95F6" w:rsidR="009B3F63" w:rsidRPr="00425573" w:rsidRDefault="009B3F63" w:rsidP="00CC10A4">
      <w:pPr>
        <w:snapToGrid w:val="0"/>
        <w:spacing w:line="360" w:lineRule="auto"/>
        <w:jc w:val="both"/>
        <w:rPr>
          <w:rFonts w:ascii="Book Antiqua" w:hAnsi="Book Antiqua"/>
          <w:lang w:val="en-US"/>
        </w:rPr>
      </w:pPr>
      <w:r w:rsidRPr="00425573">
        <w:rPr>
          <w:rFonts w:ascii="Book Antiqua" w:hAnsi="Book Antiqua"/>
          <w:lang w:val="en-US"/>
        </w:rPr>
        <w:t xml:space="preserve">The progressive aging of populations </w:t>
      </w:r>
      <w:r w:rsidR="007C5117" w:rsidRPr="00425573">
        <w:rPr>
          <w:rFonts w:ascii="Book Antiqua" w:hAnsi="Book Antiqua"/>
          <w:lang w:val="en-US"/>
        </w:rPr>
        <w:t xml:space="preserve">has </w:t>
      </w:r>
      <w:r w:rsidRPr="00425573">
        <w:rPr>
          <w:rFonts w:ascii="Book Antiqua" w:hAnsi="Book Antiqua"/>
          <w:lang w:val="en-US"/>
        </w:rPr>
        <w:t xml:space="preserve">resulted in an increased prevalence of chronic pathologies, especially </w:t>
      </w:r>
      <w:r w:rsidR="007C5117" w:rsidRPr="00425573">
        <w:rPr>
          <w:rFonts w:ascii="Book Antiqua" w:hAnsi="Book Antiqua"/>
          <w:lang w:val="en-US"/>
        </w:rPr>
        <w:t xml:space="preserve">of </w:t>
      </w:r>
      <w:r w:rsidRPr="00425573">
        <w:rPr>
          <w:rFonts w:ascii="Book Antiqua" w:hAnsi="Book Antiqua"/>
          <w:lang w:val="en-US"/>
        </w:rPr>
        <w:t>metaboli</w:t>
      </w:r>
      <w:r w:rsidR="00FB37AB" w:rsidRPr="00425573">
        <w:rPr>
          <w:rFonts w:ascii="Book Antiqua" w:hAnsi="Book Antiqua"/>
          <w:lang w:val="en-US"/>
        </w:rPr>
        <w:t>c</w:t>
      </w:r>
      <w:r w:rsidRPr="00425573">
        <w:rPr>
          <w:rFonts w:ascii="Book Antiqua" w:hAnsi="Book Antiqua"/>
          <w:lang w:val="en-US"/>
        </w:rPr>
        <w:t xml:space="preserve">, neurodegenerative and movement disorders. In particular, </w:t>
      </w:r>
      <w:r w:rsidR="007C5117" w:rsidRPr="00425573">
        <w:rPr>
          <w:rFonts w:ascii="Book Antiqua" w:hAnsi="Book Antiqua"/>
          <w:lang w:val="en-US"/>
        </w:rPr>
        <w:t>t</w:t>
      </w:r>
      <w:r w:rsidRPr="00425573">
        <w:rPr>
          <w:rFonts w:ascii="Book Antiqua" w:hAnsi="Book Antiqua"/>
          <w:lang w:val="en-US"/>
        </w:rPr>
        <w:t xml:space="preserve">ype 2 </w:t>
      </w:r>
      <w:r w:rsidR="007C5117" w:rsidRPr="00425573">
        <w:rPr>
          <w:rFonts w:ascii="Book Antiqua" w:hAnsi="Book Antiqua"/>
          <w:lang w:val="en-US"/>
        </w:rPr>
        <w:t>d</w:t>
      </w:r>
      <w:r w:rsidRPr="00425573">
        <w:rPr>
          <w:rFonts w:ascii="Book Antiqua" w:hAnsi="Book Antiqua"/>
          <w:lang w:val="en-US"/>
        </w:rPr>
        <w:t xml:space="preserve">iabetes (T2D), Alzheimer’s </w:t>
      </w:r>
      <w:r w:rsidR="007C5117" w:rsidRPr="00425573">
        <w:rPr>
          <w:rFonts w:ascii="Book Antiqua" w:hAnsi="Book Antiqua"/>
          <w:lang w:val="en-US"/>
        </w:rPr>
        <w:t>d</w:t>
      </w:r>
      <w:r w:rsidRPr="00425573">
        <w:rPr>
          <w:rFonts w:ascii="Book Antiqua" w:hAnsi="Book Antiqua"/>
          <w:lang w:val="en-US"/>
        </w:rPr>
        <w:t xml:space="preserve">isease (AD) and Parkinson’s </w:t>
      </w:r>
      <w:r w:rsidR="007C5117" w:rsidRPr="00425573">
        <w:rPr>
          <w:rFonts w:ascii="Book Antiqua" w:hAnsi="Book Antiqua"/>
          <w:lang w:val="en-US"/>
        </w:rPr>
        <w:t>d</w:t>
      </w:r>
      <w:r w:rsidRPr="00425573">
        <w:rPr>
          <w:rFonts w:ascii="Book Antiqua" w:hAnsi="Book Antiqua"/>
          <w:lang w:val="en-US"/>
        </w:rPr>
        <w:t>isease (PD) are among the most prevalent age-related, multifactorial pathologies</w:t>
      </w:r>
      <w:r w:rsidRPr="00425573">
        <w:rPr>
          <w:rFonts w:ascii="Book Antiqua" w:hAnsi="Book Antiqua"/>
          <w:color w:val="000000" w:themeColor="text1"/>
          <w:lang w:val="en-US"/>
        </w:rPr>
        <w:t xml:space="preserve"> </w:t>
      </w:r>
      <w:r w:rsidR="007C5117" w:rsidRPr="00425573">
        <w:rPr>
          <w:rFonts w:ascii="Book Antiqua" w:hAnsi="Book Antiqua"/>
          <w:color w:val="000000" w:themeColor="text1"/>
          <w:lang w:val="en-US"/>
        </w:rPr>
        <w:t>that</w:t>
      </w:r>
      <w:r w:rsidR="007C5117" w:rsidRPr="00425573">
        <w:rPr>
          <w:rFonts w:ascii="Book Antiqua" w:hAnsi="Book Antiqua"/>
          <w:lang w:val="en-US"/>
        </w:rPr>
        <w:t xml:space="preserve"> </w:t>
      </w:r>
      <w:r w:rsidRPr="00425573">
        <w:rPr>
          <w:rFonts w:ascii="Book Antiqua" w:hAnsi="Book Antiqua"/>
          <w:lang w:val="en-US"/>
        </w:rPr>
        <w:t>deserve particular attention</w:t>
      </w:r>
      <w:r w:rsidR="00FB37AB" w:rsidRPr="00425573">
        <w:rPr>
          <w:rFonts w:ascii="Book Antiqua" w:hAnsi="Book Antiqua"/>
          <w:lang w:val="en-US"/>
        </w:rPr>
        <w:t>,</w:t>
      </w:r>
      <w:r w:rsidRPr="00425573">
        <w:rPr>
          <w:rFonts w:ascii="Book Antiqua" w:hAnsi="Book Antiqua"/>
          <w:lang w:val="en-US"/>
        </w:rPr>
        <w:t xml:space="preserve"> given their dramatic impact on patient quality of life, their economic and social burden as well the etiopathogenetic mechanisms, which may overlap in some cases. Indeed, </w:t>
      </w:r>
      <w:r w:rsidRPr="00425573">
        <w:rPr>
          <w:rFonts w:ascii="Book Antiqua" w:hAnsi="Book Antiqua"/>
          <w:color w:val="000000" w:themeColor="text1"/>
          <w:lang w:val="en-US"/>
        </w:rPr>
        <w:t>the existence of common triggering factors reflects the contribution of mutual genetic, epigenetic and environmental features in the etiopathogenetic mechanisms underlying T2D and AD</w:t>
      </w:r>
      <w:r w:rsidR="007C5117" w:rsidRPr="00425573">
        <w:rPr>
          <w:rFonts w:ascii="Book Antiqua" w:hAnsi="Book Antiqua"/>
          <w:color w:val="000000" w:themeColor="text1"/>
          <w:lang w:val="en-US"/>
        </w:rPr>
        <w:t>/</w:t>
      </w:r>
      <w:r w:rsidRPr="00425573">
        <w:rPr>
          <w:rFonts w:ascii="Book Antiqua" w:hAnsi="Book Antiqua"/>
          <w:color w:val="000000" w:themeColor="text1"/>
          <w:lang w:val="en-US"/>
        </w:rPr>
        <w:t>PD. On this subject, this review will summarize the shared (epi)genomic features that characterize these complex pathologies.</w:t>
      </w:r>
      <w:r w:rsidRPr="00425573">
        <w:rPr>
          <w:rFonts w:ascii="Book Antiqua" w:hAnsi="Book Antiqua"/>
          <w:lang w:val="en-US"/>
        </w:rPr>
        <w:t xml:space="preserve"> </w:t>
      </w:r>
      <w:r w:rsidRPr="00425573">
        <w:rPr>
          <w:rFonts w:ascii="Book Antiqua" w:hAnsi="Book Antiqua"/>
          <w:color w:val="000000" w:themeColor="text1"/>
          <w:lang w:val="en-US"/>
        </w:rPr>
        <w:t xml:space="preserve">In particular, genetic variants and gene expression profiles associated with T2D and AD/PD will be discussed as possible contributors to determine the susceptibility and progression to these disorders. Moreover, </w:t>
      </w:r>
      <w:r w:rsidR="00EF47C3" w:rsidRPr="00425573">
        <w:rPr>
          <w:rFonts w:ascii="Book Antiqua" w:hAnsi="Book Antiqua"/>
          <w:color w:val="000000" w:themeColor="text1"/>
          <w:lang w:val="en-US"/>
        </w:rPr>
        <w:t xml:space="preserve">potential </w:t>
      </w:r>
      <w:r w:rsidRPr="00425573">
        <w:rPr>
          <w:rFonts w:ascii="Book Antiqua" w:hAnsi="Book Antiqua"/>
          <w:color w:val="000000" w:themeColor="text1"/>
          <w:lang w:val="en-US"/>
        </w:rPr>
        <w:t>shared epigenetic modifications and factors among T2D, AD and PD will also be illust</w:t>
      </w:r>
      <w:r w:rsidR="00F068CF" w:rsidRPr="00425573">
        <w:rPr>
          <w:rFonts w:ascii="Book Antiqua" w:hAnsi="Book Antiqua"/>
          <w:color w:val="000000" w:themeColor="text1"/>
          <w:lang w:val="en-US"/>
        </w:rPr>
        <w:t xml:space="preserve">rated. Overall, this review shows that </w:t>
      </w:r>
      <w:r w:rsidR="00EF47C3" w:rsidRPr="00425573">
        <w:rPr>
          <w:rFonts w:ascii="Book Antiqua" w:hAnsi="Book Antiqua"/>
          <w:color w:val="000000" w:themeColor="text1"/>
          <w:lang w:val="en-US"/>
        </w:rPr>
        <w:t>findings</w:t>
      </w:r>
      <w:r w:rsidR="00F068CF" w:rsidRPr="00425573">
        <w:rPr>
          <w:rFonts w:ascii="Book Antiqua" w:hAnsi="Book Antiqua"/>
          <w:color w:val="000000" w:themeColor="text1"/>
          <w:lang w:val="en-US"/>
        </w:rPr>
        <w:t xml:space="preserve"> from genomic</w:t>
      </w:r>
      <w:r w:rsidR="00EF47C3" w:rsidRPr="00425573">
        <w:rPr>
          <w:rFonts w:ascii="Book Antiqua" w:hAnsi="Book Antiqua"/>
          <w:color w:val="000000" w:themeColor="text1"/>
          <w:lang w:val="en-US"/>
        </w:rPr>
        <w:t xml:space="preserve"> studies still </w:t>
      </w:r>
      <w:r w:rsidR="00F068CF" w:rsidRPr="00425573">
        <w:rPr>
          <w:rFonts w:ascii="Book Antiqua" w:hAnsi="Book Antiqua"/>
          <w:color w:val="000000" w:themeColor="text1"/>
          <w:lang w:val="en-US"/>
        </w:rPr>
        <w:t xml:space="preserve">deserves further </w:t>
      </w:r>
      <w:r w:rsidR="00557EBA" w:rsidRPr="00425573">
        <w:rPr>
          <w:rFonts w:ascii="Book Antiqua" w:hAnsi="Book Antiqua"/>
          <w:color w:val="000000" w:themeColor="text1"/>
          <w:lang w:val="en-US"/>
        </w:rPr>
        <w:t>research</w:t>
      </w:r>
      <w:r w:rsidR="00EF47C3" w:rsidRPr="00425573">
        <w:rPr>
          <w:rFonts w:ascii="Book Antiqua" w:hAnsi="Book Antiqua"/>
          <w:color w:val="000000" w:themeColor="text1"/>
          <w:lang w:val="en-US"/>
        </w:rPr>
        <w:t xml:space="preserve"> to evaluate</w:t>
      </w:r>
      <w:r w:rsidR="00136842" w:rsidRPr="00425573">
        <w:rPr>
          <w:rFonts w:ascii="Book Antiqua" w:hAnsi="Book Antiqua"/>
          <w:color w:val="000000" w:themeColor="text1"/>
          <w:lang w:val="en-US"/>
        </w:rPr>
        <w:t xml:space="preserve"> and identify</w:t>
      </w:r>
      <w:r w:rsidR="00EF47C3" w:rsidRPr="00425573">
        <w:rPr>
          <w:rFonts w:ascii="Book Antiqua" w:hAnsi="Book Antiqua"/>
          <w:color w:val="000000" w:themeColor="text1"/>
          <w:lang w:val="en-US"/>
        </w:rPr>
        <w:t xml:space="preserve"> genetic factors</w:t>
      </w:r>
      <w:r w:rsidR="00136842" w:rsidRPr="00425573">
        <w:rPr>
          <w:rFonts w:ascii="Book Antiqua" w:hAnsi="Book Antiqua"/>
          <w:color w:val="000000" w:themeColor="text1"/>
          <w:lang w:val="en-US"/>
        </w:rPr>
        <w:t xml:space="preserve"> that directly contribute</w:t>
      </w:r>
      <w:r w:rsidR="00EF47C3" w:rsidRPr="00425573">
        <w:rPr>
          <w:rFonts w:ascii="Book Antiqua" w:hAnsi="Book Antiqua"/>
          <w:color w:val="000000" w:themeColor="text1"/>
          <w:lang w:val="en-US"/>
        </w:rPr>
        <w:t xml:space="preserve"> to the shared etiopathogenesis. Moreover, </w:t>
      </w:r>
      <w:r w:rsidR="00557EBA" w:rsidRPr="00425573">
        <w:rPr>
          <w:rFonts w:ascii="Book Antiqua" w:hAnsi="Book Antiqua"/>
          <w:color w:val="000000" w:themeColor="text1"/>
          <w:lang w:val="en-US"/>
        </w:rPr>
        <w:t>a common epigenetic background</w:t>
      </w:r>
      <w:r w:rsidR="009A1120" w:rsidRPr="00425573">
        <w:rPr>
          <w:rFonts w:ascii="Book Antiqua" w:hAnsi="Book Antiqua"/>
          <w:color w:val="000000" w:themeColor="text1"/>
          <w:lang w:val="en-US"/>
        </w:rPr>
        <w:t xml:space="preserve"> still</w:t>
      </w:r>
      <w:r w:rsidR="00557EBA" w:rsidRPr="00425573">
        <w:rPr>
          <w:rFonts w:ascii="Book Antiqua" w:hAnsi="Book Antiqua"/>
          <w:color w:val="000000" w:themeColor="text1"/>
          <w:lang w:val="en-US"/>
        </w:rPr>
        <w:t xml:space="preserve"> needs to be investigated and characterized. The evidences discussed in this review </w:t>
      </w:r>
      <w:r w:rsidRPr="00425573">
        <w:rPr>
          <w:rFonts w:ascii="Book Antiqua" w:hAnsi="Book Antiqua"/>
          <w:color w:val="000000" w:themeColor="text1"/>
          <w:lang w:val="en-US"/>
        </w:rPr>
        <w:t>underline the importance of integrating large-scale (epi)genomic data with additional molecular information</w:t>
      </w:r>
      <w:r w:rsidR="007C5117" w:rsidRPr="00425573">
        <w:rPr>
          <w:rFonts w:ascii="Book Antiqua" w:hAnsi="Book Antiqua"/>
          <w:color w:val="000000" w:themeColor="text1"/>
          <w:lang w:val="en-US"/>
        </w:rPr>
        <w:t xml:space="preserve"> and</w:t>
      </w:r>
      <w:r w:rsidRPr="00425573">
        <w:rPr>
          <w:rFonts w:ascii="Book Antiqua" w:hAnsi="Book Antiqua"/>
          <w:color w:val="000000" w:themeColor="text1"/>
          <w:lang w:val="en-US"/>
        </w:rPr>
        <w:t xml:space="preserve"> clinical and social background in order to finely dissect the complex etiopathogenic networks that build up the “disease interactome” characterizing T2D, AD and PD. </w:t>
      </w:r>
    </w:p>
    <w:p w14:paraId="2AD57960" w14:textId="77777777" w:rsidR="009B3F63" w:rsidRPr="00425573" w:rsidRDefault="009B3F63" w:rsidP="00CC10A4">
      <w:pPr>
        <w:snapToGrid w:val="0"/>
        <w:spacing w:line="360" w:lineRule="auto"/>
        <w:jc w:val="both"/>
        <w:rPr>
          <w:rFonts w:ascii="Book Antiqua" w:hAnsi="Book Antiqua"/>
          <w:color w:val="000000" w:themeColor="text1"/>
          <w:lang w:val="en-US"/>
        </w:rPr>
      </w:pPr>
    </w:p>
    <w:p w14:paraId="5A9E1949" w14:textId="593DF1EA" w:rsidR="009B3F63" w:rsidRPr="00425573" w:rsidRDefault="009B3F63" w:rsidP="00CC10A4">
      <w:pPr>
        <w:snapToGrid w:val="0"/>
        <w:spacing w:line="360" w:lineRule="auto"/>
        <w:jc w:val="both"/>
        <w:rPr>
          <w:rFonts w:ascii="Book Antiqua" w:hAnsi="Book Antiqua"/>
          <w:color w:val="000000" w:themeColor="text1"/>
          <w:lang w:val="en-US"/>
        </w:rPr>
      </w:pPr>
      <w:r w:rsidRPr="00425573">
        <w:rPr>
          <w:rFonts w:ascii="Book Antiqua" w:hAnsi="Book Antiqua"/>
          <w:b/>
          <w:color w:val="000000" w:themeColor="text1"/>
          <w:lang w:val="en-US"/>
        </w:rPr>
        <w:t xml:space="preserve">Key words: </w:t>
      </w:r>
      <w:r w:rsidRPr="00425573">
        <w:rPr>
          <w:rFonts w:ascii="Book Antiqua" w:hAnsi="Book Antiqua"/>
          <w:color w:val="000000" w:themeColor="text1"/>
          <w:lang w:val="en-US"/>
        </w:rPr>
        <w:t>Type 2</w:t>
      </w:r>
      <w:r w:rsidRPr="00425573">
        <w:rPr>
          <w:rFonts w:ascii="Book Antiqua" w:hAnsi="Book Antiqua"/>
          <w:b/>
          <w:color w:val="000000" w:themeColor="text1"/>
          <w:lang w:val="en-US"/>
        </w:rPr>
        <w:t xml:space="preserve"> </w:t>
      </w:r>
      <w:r w:rsidR="00A248AF" w:rsidRPr="00425573">
        <w:rPr>
          <w:rFonts w:ascii="Book Antiqua" w:hAnsi="Book Antiqua"/>
          <w:color w:val="000000" w:themeColor="text1"/>
          <w:lang w:val="en-US"/>
        </w:rPr>
        <w:t>d</w:t>
      </w:r>
      <w:r w:rsidRPr="00425573">
        <w:rPr>
          <w:rFonts w:ascii="Book Antiqua" w:hAnsi="Book Antiqua"/>
          <w:color w:val="000000" w:themeColor="text1"/>
          <w:lang w:val="en-US"/>
        </w:rPr>
        <w:t xml:space="preserve">iabetes; Alzheimer’s </w:t>
      </w:r>
      <w:r w:rsidR="00A248AF" w:rsidRPr="00425573">
        <w:rPr>
          <w:rFonts w:ascii="Book Antiqua" w:hAnsi="Book Antiqua"/>
          <w:color w:val="000000" w:themeColor="text1"/>
          <w:lang w:val="en-US"/>
        </w:rPr>
        <w:t>d</w:t>
      </w:r>
      <w:r w:rsidRPr="00425573">
        <w:rPr>
          <w:rFonts w:ascii="Book Antiqua" w:hAnsi="Book Antiqua"/>
          <w:color w:val="000000" w:themeColor="text1"/>
          <w:lang w:val="en-US"/>
        </w:rPr>
        <w:t xml:space="preserve">isease; Parkinson’s </w:t>
      </w:r>
      <w:r w:rsidR="00FB37AB" w:rsidRPr="00425573">
        <w:rPr>
          <w:rFonts w:ascii="Book Antiqua" w:hAnsi="Book Antiqua"/>
          <w:color w:val="000000" w:themeColor="text1"/>
          <w:lang w:val="en-US"/>
        </w:rPr>
        <w:t>d</w:t>
      </w:r>
      <w:r w:rsidR="007C5117" w:rsidRPr="00425573">
        <w:rPr>
          <w:rFonts w:ascii="Book Antiqua" w:hAnsi="Book Antiqua"/>
          <w:color w:val="000000" w:themeColor="text1"/>
          <w:lang w:val="en-US"/>
        </w:rPr>
        <w:t>i</w:t>
      </w:r>
      <w:r w:rsidRPr="00425573">
        <w:rPr>
          <w:rFonts w:ascii="Book Antiqua" w:hAnsi="Book Antiqua"/>
          <w:color w:val="000000" w:themeColor="text1"/>
          <w:lang w:val="en-US"/>
        </w:rPr>
        <w:t xml:space="preserve">sease; </w:t>
      </w:r>
      <w:r w:rsidR="00A248AF" w:rsidRPr="00425573">
        <w:rPr>
          <w:rFonts w:ascii="Book Antiqua" w:hAnsi="Book Antiqua"/>
          <w:color w:val="000000" w:themeColor="text1"/>
          <w:lang w:val="en-US"/>
        </w:rPr>
        <w:t>M</w:t>
      </w:r>
      <w:r w:rsidRPr="00425573">
        <w:rPr>
          <w:rFonts w:ascii="Book Antiqua" w:hAnsi="Book Antiqua"/>
          <w:color w:val="000000" w:themeColor="text1"/>
          <w:lang w:val="en-US"/>
        </w:rPr>
        <w:t xml:space="preserve">etabolism; </w:t>
      </w:r>
      <w:r w:rsidR="00A248AF" w:rsidRPr="00425573">
        <w:rPr>
          <w:rFonts w:ascii="Book Antiqua" w:hAnsi="Book Antiqua"/>
          <w:color w:val="000000" w:themeColor="text1"/>
          <w:lang w:val="en-US"/>
        </w:rPr>
        <w:t>N</w:t>
      </w:r>
      <w:r w:rsidRPr="00425573">
        <w:rPr>
          <w:rFonts w:ascii="Book Antiqua" w:hAnsi="Book Antiqua"/>
          <w:color w:val="000000" w:themeColor="text1"/>
          <w:lang w:val="en-US"/>
        </w:rPr>
        <w:t xml:space="preserve">eurodegeneration; </w:t>
      </w:r>
      <w:r w:rsidR="00A248AF" w:rsidRPr="00425573">
        <w:rPr>
          <w:rFonts w:ascii="Book Antiqua" w:hAnsi="Book Antiqua"/>
          <w:color w:val="000000" w:themeColor="text1"/>
          <w:lang w:val="en-US"/>
        </w:rPr>
        <w:t>N</w:t>
      </w:r>
      <w:r w:rsidRPr="00425573">
        <w:rPr>
          <w:rFonts w:ascii="Book Antiqua" w:hAnsi="Book Antiqua"/>
          <w:color w:val="000000" w:themeColor="text1"/>
          <w:lang w:val="en-US"/>
        </w:rPr>
        <w:t xml:space="preserve">euroinflammation; </w:t>
      </w:r>
      <w:r w:rsidR="00A248AF" w:rsidRPr="00425573">
        <w:rPr>
          <w:rFonts w:ascii="Book Antiqua" w:hAnsi="Book Antiqua"/>
          <w:color w:val="000000" w:themeColor="text1"/>
          <w:lang w:val="en-US"/>
        </w:rPr>
        <w:t>G</w:t>
      </w:r>
      <w:r w:rsidRPr="00425573">
        <w:rPr>
          <w:rFonts w:ascii="Book Antiqua" w:hAnsi="Book Antiqua"/>
          <w:color w:val="000000" w:themeColor="text1"/>
          <w:lang w:val="en-US"/>
        </w:rPr>
        <w:t xml:space="preserve">enetic variants; </w:t>
      </w:r>
      <w:r w:rsidR="00A248AF" w:rsidRPr="00425573">
        <w:rPr>
          <w:rFonts w:ascii="Book Antiqua" w:hAnsi="Book Antiqua"/>
          <w:color w:val="000000" w:themeColor="text1"/>
          <w:lang w:val="en-US"/>
        </w:rPr>
        <w:t>E</w:t>
      </w:r>
      <w:r w:rsidRPr="00425573">
        <w:rPr>
          <w:rFonts w:ascii="Book Antiqua" w:hAnsi="Book Antiqua"/>
          <w:color w:val="000000" w:themeColor="text1"/>
          <w:lang w:val="en-US"/>
        </w:rPr>
        <w:t xml:space="preserve">pigenomic background; </w:t>
      </w:r>
      <w:r w:rsidR="00A248AF" w:rsidRPr="00425573">
        <w:rPr>
          <w:rFonts w:ascii="Book Antiqua" w:hAnsi="Book Antiqua"/>
          <w:color w:val="000000" w:themeColor="text1"/>
          <w:lang w:val="en-US"/>
        </w:rPr>
        <w:t>D</w:t>
      </w:r>
      <w:r w:rsidRPr="00425573">
        <w:rPr>
          <w:rFonts w:ascii="Book Antiqua" w:hAnsi="Book Antiqua"/>
          <w:color w:val="000000" w:themeColor="text1"/>
          <w:lang w:val="en-US"/>
        </w:rPr>
        <w:t>isease interactome</w:t>
      </w:r>
    </w:p>
    <w:p w14:paraId="7E3CF54F" w14:textId="77777777" w:rsidR="009B3F63" w:rsidRPr="00425573" w:rsidRDefault="009B3F63" w:rsidP="00CC10A4">
      <w:pPr>
        <w:snapToGrid w:val="0"/>
        <w:spacing w:line="360" w:lineRule="auto"/>
        <w:jc w:val="both"/>
        <w:rPr>
          <w:rFonts w:ascii="Book Antiqua" w:hAnsi="Book Antiqua"/>
          <w:b/>
          <w:color w:val="000000" w:themeColor="text1"/>
          <w:lang w:val="en-US"/>
        </w:rPr>
      </w:pPr>
    </w:p>
    <w:p w14:paraId="43EC97CD" w14:textId="7E03A788" w:rsidR="001D1CC7" w:rsidRPr="00425573" w:rsidRDefault="001D1CC7" w:rsidP="00CC10A4">
      <w:pPr>
        <w:snapToGrid w:val="0"/>
        <w:spacing w:line="360" w:lineRule="auto"/>
        <w:jc w:val="both"/>
        <w:rPr>
          <w:rFonts w:ascii="Book Antiqua" w:hAnsi="Book Antiqua"/>
          <w:color w:val="000000" w:themeColor="text1"/>
          <w:lang w:val="en-US"/>
        </w:rPr>
      </w:pPr>
      <w:r w:rsidRPr="00425573">
        <w:rPr>
          <w:rFonts w:ascii="Book Antiqua" w:hAnsi="Book Antiqua"/>
          <w:bCs/>
          <w:color w:val="000000" w:themeColor="text1"/>
          <w:lang w:val="en-US"/>
        </w:rPr>
        <w:t>Caputo V</w:t>
      </w:r>
      <w:r w:rsidRPr="00425573">
        <w:rPr>
          <w:rFonts w:ascii="Book Antiqua" w:hAnsi="Book Antiqua"/>
          <w:color w:val="000000" w:themeColor="text1"/>
          <w:lang w:val="en-US"/>
        </w:rPr>
        <w:t>, Termine A, Strafella C, Giardina E, Cascella R.</w:t>
      </w:r>
      <w:r w:rsidR="00804200" w:rsidRPr="00425573">
        <w:rPr>
          <w:rFonts w:ascii="Book Antiqua" w:hAnsi="Book Antiqua"/>
          <w:lang w:val="en-US"/>
        </w:rPr>
        <w:t xml:space="preserve"> </w:t>
      </w:r>
      <w:r w:rsidR="00804200" w:rsidRPr="00425573">
        <w:rPr>
          <w:rFonts w:ascii="Book Antiqua" w:hAnsi="Book Antiqua"/>
          <w:color w:val="000000" w:themeColor="text1"/>
          <w:lang w:val="en-US"/>
        </w:rPr>
        <w:t xml:space="preserve">Shared (epi)genomic background connecting neurodegenerative diseases and </w:t>
      </w:r>
      <w:r w:rsidR="007C5117" w:rsidRPr="00425573">
        <w:rPr>
          <w:rFonts w:ascii="Book Antiqua" w:hAnsi="Book Antiqua"/>
          <w:color w:val="000000" w:themeColor="text1"/>
          <w:lang w:val="en-US"/>
        </w:rPr>
        <w:t>t</w:t>
      </w:r>
      <w:r w:rsidR="00804200" w:rsidRPr="00425573">
        <w:rPr>
          <w:rFonts w:ascii="Book Antiqua" w:hAnsi="Book Antiqua"/>
          <w:color w:val="000000" w:themeColor="text1"/>
          <w:lang w:val="en-US"/>
        </w:rPr>
        <w:t xml:space="preserve">ype 2 </w:t>
      </w:r>
      <w:r w:rsidR="007C5117" w:rsidRPr="00425573">
        <w:rPr>
          <w:rFonts w:ascii="Book Antiqua" w:hAnsi="Book Antiqua"/>
          <w:color w:val="000000" w:themeColor="text1"/>
          <w:lang w:val="en-US"/>
        </w:rPr>
        <w:t>d</w:t>
      </w:r>
      <w:r w:rsidR="00804200" w:rsidRPr="00425573">
        <w:rPr>
          <w:rFonts w:ascii="Book Antiqua" w:hAnsi="Book Antiqua"/>
          <w:color w:val="000000" w:themeColor="text1"/>
          <w:lang w:val="en-US"/>
        </w:rPr>
        <w:t>iabetes.</w:t>
      </w:r>
      <w:r w:rsidR="00A248AF" w:rsidRPr="00425573">
        <w:rPr>
          <w:rFonts w:ascii="Book Antiqua" w:hAnsi="Book Antiqua"/>
          <w:color w:val="000000" w:themeColor="text1"/>
          <w:lang w:val="en-US"/>
        </w:rPr>
        <w:t xml:space="preserve"> </w:t>
      </w:r>
      <w:r w:rsidR="00A248AF" w:rsidRPr="00425573">
        <w:rPr>
          <w:rFonts w:ascii="Book Antiqua" w:hAnsi="Book Antiqua"/>
          <w:i/>
          <w:iCs/>
          <w:color w:val="000000" w:themeColor="text1"/>
          <w:lang w:val="en-US"/>
        </w:rPr>
        <w:t>World J Diabetes</w:t>
      </w:r>
      <w:r w:rsidR="00A248AF" w:rsidRPr="00425573">
        <w:rPr>
          <w:rFonts w:ascii="Book Antiqua" w:hAnsi="Book Antiqua"/>
          <w:color w:val="000000" w:themeColor="text1"/>
          <w:lang w:val="en-US"/>
        </w:rPr>
        <w:t xml:space="preserve"> 20</w:t>
      </w:r>
      <w:r w:rsidR="00393906" w:rsidRPr="00425573">
        <w:rPr>
          <w:rFonts w:ascii="Book Antiqua" w:hAnsi="Book Antiqua"/>
          <w:color w:val="000000" w:themeColor="text1"/>
          <w:lang w:val="en-US"/>
        </w:rPr>
        <w:t>20</w:t>
      </w:r>
      <w:r w:rsidR="00A248AF" w:rsidRPr="00425573">
        <w:rPr>
          <w:rFonts w:ascii="Book Antiqua" w:hAnsi="Book Antiqua"/>
          <w:color w:val="000000" w:themeColor="text1"/>
          <w:lang w:val="en-US"/>
        </w:rPr>
        <w:t>;</w:t>
      </w:r>
      <w:r w:rsidR="00393906" w:rsidRPr="00425573">
        <w:rPr>
          <w:rFonts w:ascii="Book Antiqua" w:hAnsi="Book Antiqua"/>
          <w:color w:val="000000" w:themeColor="text1"/>
          <w:lang w:val="en-US"/>
        </w:rPr>
        <w:t xml:space="preserve"> In press</w:t>
      </w:r>
    </w:p>
    <w:p w14:paraId="63C0124B" w14:textId="77777777" w:rsidR="00804200" w:rsidRPr="00425573" w:rsidRDefault="00804200" w:rsidP="00CC10A4">
      <w:pPr>
        <w:snapToGrid w:val="0"/>
        <w:spacing w:line="360" w:lineRule="auto"/>
        <w:jc w:val="both"/>
        <w:rPr>
          <w:rFonts w:ascii="Book Antiqua" w:hAnsi="Book Antiqua"/>
          <w:color w:val="000000" w:themeColor="text1"/>
          <w:lang w:val="en-US"/>
        </w:rPr>
      </w:pPr>
    </w:p>
    <w:p w14:paraId="0EED5583" w14:textId="3533C23F" w:rsidR="009B3F63" w:rsidRPr="00425573" w:rsidRDefault="009B3F63" w:rsidP="00CC10A4">
      <w:pPr>
        <w:snapToGrid w:val="0"/>
        <w:spacing w:line="360" w:lineRule="auto"/>
        <w:jc w:val="both"/>
        <w:rPr>
          <w:rFonts w:ascii="Book Antiqua" w:hAnsi="Book Antiqua"/>
          <w:b/>
          <w:lang w:val="en-US"/>
        </w:rPr>
      </w:pPr>
      <w:r w:rsidRPr="00425573">
        <w:rPr>
          <w:rFonts w:ascii="Book Antiqua" w:hAnsi="Book Antiqua"/>
          <w:b/>
          <w:color w:val="000000" w:themeColor="text1"/>
          <w:lang w:val="en-US"/>
        </w:rPr>
        <w:lastRenderedPageBreak/>
        <w:t>Core tip</w:t>
      </w:r>
      <w:r w:rsidR="00B2158D" w:rsidRPr="00425573">
        <w:rPr>
          <w:rFonts w:ascii="Book Antiqua" w:hAnsi="Book Antiqua"/>
          <w:b/>
          <w:color w:val="000000" w:themeColor="text1"/>
          <w:lang w:val="en-US"/>
        </w:rPr>
        <w:t>:</w:t>
      </w:r>
      <w:r w:rsidR="00B2158D" w:rsidRPr="00425573">
        <w:rPr>
          <w:rFonts w:ascii="Book Antiqua" w:hAnsi="Book Antiqua" w:cs="Times New Roman"/>
          <w:color w:val="000000" w:themeColor="text1"/>
          <w:lang w:val="en-US"/>
        </w:rPr>
        <w:t xml:space="preserve"> </w:t>
      </w:r>
      <w:r w:rsidR="007C5117" w:rsidRPr="00425573">
        <w:rPr>
          <w:rFonts w:ascii="Book Antiqua" w:hAnsi="Book Antiqua" w:cs="Times New Roman"/>
          <w:color w:val="000000" w:themeColor="text1"/>
          <w:lang w:val="en-US"/>
        </w:rPr>
        <w:t xml:space="preserve">Populations’ </w:t>
      </w:r>
      <w:r w:rsidRPr="00425573">
        <w:rPr>
          <w:rFonts w:ascii="Book Antiqua" w:hAnsi="Book Antiqua" w:cs="Times New Roman"/>
          <w:color w:val="000000" w:themeColor="text1"/>
          <w:lang w:val="en-US"/>
        </w:rPr>
        <w:t>progressive aging raises important challenges to be faced, including the increased prevalence of metabolic, neurodegenerative and movement disorders, especially</w:t>
      </w:r>
      <w:r w:rsidR="007C5117" w:rsidRPr="00425573">
        <w:rPr>
          <w:rFonts w:ascii="Book Antiqua" w:hAnsi="Book Antiqua" w:cs="Times New Roman"/>
          <w:color w:val="000000" w:themeColor="text1"/>
          <w:lang w:val="en-US"/>
        </w:rPr>
        <w:t xml:space="preserve"> of t</w:t>
      </w:r>
      <w:r w:rsidRPr="00425573">
        <w:rPr>
          <w:rFonts w:ascii="Book Antiqua" w:hAnsi="Book Antiqua" w:cs="Times New Roman"/>
          <w:color w:val="000000" w:themeColor="text1"/>
          <w:lang w:val="en-US"/>
        </w:rPr>
        <w:t xml:space="preserve">ype 2 </w:t>
      </w:r>
      <w:r w:rsidR="007C5117" w:rsidRPr="00425573">
        <w:rPr>
          <w:rFonts w:ascii="Book Antiqua" w:hAnsi="Book Antiqua" w:cs="Times New Roman"/>
          <w:color w:val="000000" w:themeColor="text1"/>
          <w:lang w:val="en-US"/>
        </w:rPr>
        <w:t>d</w:t>
      </w:r>
      <w:r w:rsidRPr="00425573">
        <w:rPr>
          <w:rFonts w:ascii="Book Antiqua" w:hAnsi="Book Antiqua" w:cs="Times New Roman"/>
          <w:color w:val="000000" w:themeColor="text1"/>
          <w:lang w:val="en-US"/>
        </w:rPr>
        <w:t xml:space="preserve">iabetes, Alzheimer’s </w:t>
      </w:r>
      <w:r w:rsidR="007C5117" w:rsidRPr="00425573">
        <w:rPr>
          <w:rFonts w:ascii="Book Antiqua" w:hAnsi="Book Antiqua" w:cs="Times New Roman"/>
          <w:color w:val="000000" w:themeColor="text1"/>
          <w:lang w:val="en-US"/>
        </w:rPr>
        <w:t>d</w:t>
      </w:r>
      <w:r w:rsidRPr="00425573">
        <w:rPr>
          <w:rFonts w:ascii="Book Antiqua" w:hAnsi="Book Antiqua" w:cs="Times New Roman"/>
          <w:color w:val="000000" w:themeColor="text1"/>
          <w:lang w:val="en-US"/>
        </w:rPr>
        <w:t xml:space="preserve">isease and Parkinson’s </w:t>
      </w:r>
      <w:r w:rsidR="007C5117" w:rsidRPr="00425573">
        <w:rPr>
          <w:rFonts w:ascii="Book Antiqua" w:hAnsi="Book Antiqua" w:cs="Times New Roman"/>
          <w:color w:val="000000" w:themeColor="text1"/>
          <w:lang w:val="en-US"/>
        </w:rPr>
        <w:t>d</w:t>
      </w:r>
      <w:r w:rsidRPr="00425573">
        <w:rPr>
          <w:rFonts w:ascii="Book Antiqua" w:hAnsi="Book Antiqua" w:cs="Times New Roman"/>
          <w:color w:val="000000" w:themeColor="text1"/>
          <w:lang w:val="en-US"/>
        </w:rPr>
        <w:t xml:space="preserve">isease. These disorders are characterized by a multifactorial etiology, involving genetic and non-genetic factors, which may overlap. This review </w:t>
      </w:r>
      <w:r w:rsidR="007C5117" w:rsidRPr="00425573">
        <w:rPr>
          <w:rFonts w:ascii="Book Antiqua" w:hAnsi="Book Antiqua" w:cs="Times New Roman"/>
          <w:color w:val="000000" w:themeColor="text1"/>
          <w:lang w:val="en-US"/>
        </w:rPr>
        <w:t>will</w:t>
      </w:r>
      <w:r w:rsidRPr="00425573">
        <w:rPr>
          <w:rFonts w:ascii="Book Antiqua" w:hAnsi="Book Antiqua" w:cs="Times New Roman"/>
          <w:color w:val="000000" w:themeColor="text1"/>
          <w:lang w:val="en-US"/>
        </w:rPr>
        <w:t xml:space="preserve"> discuss the </w:t>
      </w:r>
      <w:r w:rsidRPr="00425573">
        <w:rPr>
          <w:rFonts w:ascii="Book Antiqua" w:hAnsi="Book Antiqua"/>
          <w:color w:val="000000" w:themeColor="text1"/>
          <w:lang w:val="en-US"/>
        </w:rPr>
        <w:t>shared (epi)genomic features, the role of mutually</w:t>
      </w:r>
      <w:r w:rsidR="00FB37AB" w:rsidRPr="00425573">
        <w:rPr>
          <w:rFonts w:ascii="Book Antiqua" w:hAnsi="Book Antiqua"/>
          <w:color w:val="000000" w:themeColor="text1"/>
          <w:lang w:val="en-US"/>
        </w:rPr>
        <w:t>-</w:t>
      </w:r>
      <w:r w:rsidRPr="00425573">
        <w:rPr>
          <w:rFonts w:ascii="Book Antiqua" w:hAnsi="Book Antiqua"/>
          <w:color w:val="000000" w:themeColor="text1"/>
          <w:lang w:val="en-US"/>
        </w:rPr>
        <w:t xml:space="preserve">associated genetic variants, common gene expression profiles and epigenetic background leading to development and progression of such disorders. Overall, this review highlights the importance of characterizing the “disease interactome” in order to </w:t>
      </w:r>
      <w:r w:rsidR="007C5117" w:rsidRPr="00425573">
        <w:rPr>
          <w:rFonts w:ascii="Book Antiqua" w:hAnsi="Book Antiqua"/>
          <w:color w:val="000000" w:themeColor="text1"/>
          <w:lang w:val="en-US"/>
        </w:rPr>
        <w:t>establish</w:t>
      </w:r>
      <w:r w:rsidRPr="00425573">
        <w:rPr>
          <w:rFonts w:ascii="Book Antiqua" w:hAnsi="Book Antiqua"/>
          <w:color w:val="000000" w:themeColor="text1"/>
          <w:lang w:val="en-US"/>
        </w:rPr>
        <w:t xml:space="preserve"> adequate personalized and preventative healthcare approaches for the ageing populations.</w:t>
      </w:r>
    </w:p>
    <w:p w14:paraId="5D00EC4E" w14:textId="7DB3E8EA" w:rsidR="00264051" w:rsidRPr="00425573" w:rsidRDefault="00264051" w:rsidP="00CC10A4">
      <w:pPr>
        <w:snapToGrid w:val="0"/>
        <w:spacing w:line="360" w:lineRule="auto"/>
        <w:jc w:val="both"/>
        <w:rPr>
          <w:rFonts w:ascii="Book Antiqua" w:hAnsi="Book Antiqua"/>
          <w:lang w:val="en-US"/>
        </w:rPr>
      </w:pPr>
      <w:r w:rsidRPr="00425573">
        <w:rPr>
          <w:rFonts w:ascii="Book Antiqua" w:hAnsi="Book Antiqua"/>
          <w:lang w:val="en-US"/>
        </w:rPr>
        <w:br w:type="page"/>
      </w:r>
    </w:p>
    <w:p w14:paraId="07765F0E" w14:textId="6EE2462F" w:rsidR="003E6434" w:rsidRPr="00425573" w:rsidRDefault="00A11C90" w:rsidP="00CC10A4">
      <w:pPr>
        <w:snapToGrid w:val="0"/>
        <w:spacing w:line="360" w:lineRule="auto"/>
        <w:jc w:val="both"/>
        <w:outlineLvl w:val="0"/>
        <w:rPr>
          <w:rFonts w:ascii="Book Antiqua" w:hAnsi="Book Antiqua"/>
          <w:b/>
          <w:u w:val="single"/>
          <w:lang w:val="en-US"/>
        </w:rPr>
      </w:pPr>
      <w:r w:rsidRPr="00425573">
        <w:rPr>
          <w:rFonts w:ascii="Book Antiqua" w:hAnsi="Book Antiqua"/>
          <w:b/>
          <w:u w:val="single"/>
          <w:lang w:val="en-US"/>
        </w:rPr>
        <w:lastRenderedPageBreak/>
        <w:t>INTRODUCTION</w:t>
      </w:r>
    </w:p>
    <w:p w14:paraId="5659ABED" w14:textId="7F23C919" w:rsidR="00D46A3E" w:rsidRPr="00425573" w:rsidRDefault="00A4411E" w:rsidP="00CC10A4">
      <w:pPr>
        <w:snapToGrid w:val="0"/>
        <w:spacing w:line="360" w:lineRule="auto"/>
        <w:jc w:val="both"/>
        <w:rPr>
          <w:rFonts w:ascii="Book Antiqua" w:hAnsi="Book Antiqua"/>
          <w:lang w:val="en-US"/>
        </w:rPr>
      </w:pPr>
      <w:r w:rsidRPr="00425573">
        <w:rPr>
          <w:rFonts w:ascii="Book Antiqua" w:hAnsi="Book Antiqua"/>
          <w:lang w:val="en-US"/>
        </w:rPr>
        <w:t>The recent progress in medicin</w:t>
      </w:r>
      <w:r w:rsidR="00B738A1" w:rsidRPr="00425573">
        <w:rPr>
          <w:rFonts w:ascii="Book Antiqua" w:hAnsi="Book Antiqua"/>
          <w:lang w:val="en-US"/>
        </w:rPr>
        <w:t>e and the improvement of health</w:t>
      </w:r>
      <w:r w:rsidRPr="00425573">
        <w:rPr>
          <w:rFonts w:ascii="Book Antiqua" w:hAnsi="Book Antiqua"/>
          <w:lang w:val="en-US"/>
        </w:rPr>
        <w:t xml:space="preserve"> conditions </w:t>
      </w:r>
      <w:r w:rsidR="007C5117" w:rsidRPr="00425573">
        <w:rPr>
          <w:rFonts w:ascii="Book Antiqua" w:hAnsi="Book Antiqua"/>
          <w:lang w:val="en-US"/>
        </w:rPr>
        <w:t xml:space="preserve">have </w:t>
      </w:r>
      <w:r w:rsidRPr="00425573">
        <w:rPr>
          <w:rFonts w:ascii="Book Antiqua" w:hAnsi="Book Antiqua"/>
          <w:lang w:val="en-US"/>
        </w:rPr>
        <w:t>contributed to the rise of life expectancy</w:t>
      </w:r>
      <w:r w:rsidR="00FB37AB" w:rsidRPr="00425573">
        <w:rPr>
          <w:rFonts w:ascii="Book Antiqua" w:hAnsi="Book Antiqua"/>
          <w:lang w:val="en-US"/>
        </w:rPr>
        <w:t>,</w:t>
      </w:r>
      <w:r w:rsidRPr="00425573">
        <w:rPr>
          <w:rFonts w:ascii="Book Antiqua" w:hAnsi="Book Antiqua"/>
          <w:lang w:val="en-US"/>
        </w:rPr>
        <w:t xml:space="preserve"> on the one hand. On th</w:t>
      </w:r>
      <w:r w:rsidR="00B738A1" w:rsidRPr="00425573">
        <w:rPr>
          <w:rFonts w:ascii="Book Antiqua" w:hAnsi="Book Antiqua"/>
          <w:lang w:val="en-US"/>
        </w:rPr>
        <w:t>e other hand, the better healthcare</w:t>
      </w:r>
      <w:r w:rsidRPr="00425573">
        <w:rPr>
          <w:rFonts w:ascii="Book Antiqua" w:hAnsi="Book Antiqua"/>
          <w:lang w:val="en-US"/>
        </w:rPr>
        <w:t xml:space="preserve"> conditions and the availability of several therapeutic approaches </w:t>
      </w:r>
      <w:r w:rsidR="00FB37AB" w:rsidRPr="00425573">
        <w:rPr>
          <w:rFonts w:ascii="Book Antiqua" w:hAnsi="Book Antiqua"/>
          <w:lang w:val="en-US"/>
        </w:rPr>
        <w:t xml:space="preserve">have </w:t>
      </w:r>
      <w:r w:rsidRPr="00425573">
        <w:rPr>
          <w:rFonts w:ascii="Book Antiqua" w:hAnsi="Book Antiqua"/>
          <w:lang w:val="en-US"/>
        </w:rPr>
        <w:t>r</w:t>
      </w:r>
      <w:r w:rsidR="00FB37AB" w:rsidRPr="00425573">
        <w:rPr>
          <w:rFonts w:ascii="Book Antiqua" w:hAnsi="Book Antiqua"/>
          <w:lang w:val="en-US"/>
        </w:rPr>
        <w:t>u</w:t>
      </w:r>
      <w:r w:rsidRPr="00425573">
        <w:rPr>
          <w:rFonts w:ascii="Book Antiqua" w:hAnsi="Book Antiqua"/>
          <w:lang w:val="en-US"/>
        </w:rPr>
        <w:t xml:space="preserve">n in parallel </w:t>
      </w:r>
      <w:r w:rsidR="00902BF5" w:rsidRPr="00425573">
        <w:rPr>
          <w:rFonts w:ascii="Book Antiqua" w:hAnsi="Book Antiqua"/>
          <w:lang w:val="en-US"/>
        </w:rPr>
        <w:t xml:space="preserve">to </w:t>
      </w:r>
      <w:r w:rsidRPr="00425573">
        <w:rPr>
          <w:rFonts w:ascii="Book Antiqua" w:hAnsi="Book Antiqua"/>
          <w:lang w:val="en-US"/>
        </w:rPr>
        <w:t xml:space="preserve">the progressive aging of populations, which </w:t>
      </w:r>
      <w:r w:rsidR="00B738A1" w:rsidRPr="00425573">
        <w:rPr>
          <w:rFonts w:ascii="Book Antiqua" w:hAnsi="Book Antiqua"/>
          <w:lang w:val="en-US"/>
        </w:rPr>
        <w:t>raised</w:t>
      </w:r>
      <w:r w:rsidRPr="00425573">
        <w:rPr>
          <w:rFonts w:ascii="Book Antiqua" w:hAnsi="Book Antiqua"/>
          <w:lang w:val="en-US"/>
        </w:rPr>
        <w:t xml:space="preserve"> novel challenges to be faced by the healthcare systems and</w:t>
      </w:r>
      <w:r w:rsidR="00B738A1" w:rsidRPr="00425573">
        <w:rPr>
          <w:rFonts w:ascii="Book Antiqua" w:hAnsi="Book Antiqua"/>
          <w:lang w:val="en-US"/>
        </w:rPr>
        <w:t xml:space="preserve"> the</w:t>
      </w:r>
      <w:r w:rsidRPr="00425573">
        <w:rPr>
          <w:rFonts w:ascii="Book Antiqua" w:hAnsi="Book Antiqua"/>
          <w:lang w:val="en-US"/>
        </w:rPr>
        <w:t xml:space="preserve"> scient</w:t>
      </w:r>
      <w:r w:rsidR="00B738A1" w:rsidRPr="00425573">
        <w:rPr>
          <w:rFonts w:ascii="Book Antiqua" w:hAnsi="Book Antiqua"/>
          <w:lang w:val="en-US"/>
        </w:rPr>
        <w:t>i</w:t>
      </w:r>
      <w:r w:rsidRPr="00425573">
        <w:rPr>
          <w:rFonts w:ascii="Book Antiqua" w:hAnsi="Book Antiqua"/>
          <w:lang w:val="en-US"/>
        </w:rPr>
        <w:t xml:space="preserve">fic </w:t>
      </w:r>
      <w:r w:rsidR="00B738A1" w:rsidRPr="00425573">
        <w:rPr>
          <w:rFonts w:ascii="Book Antiqua" w:hAnsi="Book Antiqua"/>
          <w:lang w:val="en-US"/>
        </w:rPr>
        <w:t>communities</w:t>
      </w:r>
      <w:r w:rsidRPr="00425573">
        <w:rPr>
          <w:rFonts w:ascii="Book Antiqua" w:hAnsi="Book Antiqua"/>
          <w:lang w:val="en-US"/>
        </w:rPr>
        <w:t>. In fact,</w:t>
      </w:r>
      <w:r w:rsidR="00B738A1" w:rsidRPr="00425573">
        <w:rPr>
          <w:rFonts w:ascii="Book Antiqua" w:hAnsi="Book Antiqua"/>
          <w:lang w:val="en-US"/>
        </w:rPr>
        <w:t xml:space="preserve"> the</w:t>
      </w:r>
      <w:r w:rsidRPr="00425573">
        <w:rPr>
          <w:rFonts w:ascii="Book Antiqua" w:hAnsi="Book Antiqua"/>
          <w:lang w:val="en-US"/>
        </w:rPr>
        <w:t xml:space="preserve"> progressive aging population </w:t>
      </w:r>
      <w:r w:rsidR="00902BF5" w:rsidRPr="00425573">
        <w:rPr>
          <w:rFonts w:ascii="Book Antiqua" w:hAnsi="Book Antiqua"/>
          <w:lang w:val="en-US"/>
        </w:rPr>
        <w:t xml:space="preserve">has </w:t>
      </w:r>
      <w:r w:rsidRPr="00425573">
        <w:rPr>
          <w:rFonts w:ascii="Book Antiqua" w:hAnsi="Book Antiqua"/>
          <w:lang w:val="en-US"/>
        </w:rPr>
        <w:t xml:space="preserve">resulted in the increased prevalence of chronic pathologies, </w:t>
      </w:r>
      <w:r w:rsidR="00B738A1" w:rsidRPr="00425573">
        <w:rPr>
          <w:rFonts w:ascii="Book Antiqua" w:hAnsi="Book Antiqua"/>
          <w:lang w:val="en-US"/>
        </w:rPr>
        <w:t>especially</w:t>
      </w:r>
      <w:r w:rsidR="00A30DD2" w:rsidRPr="00425573">
        <w:rPr>
          <w:rFonts w:ascii="Book Antiqua" w:hAnsi="Book Antiqua"/>
          <w:lang w:val="en-US"/>
        </w:rPr>
        <w:t xml:space="preserve"> </w:t>
      </w:r>
      <w:r w:rsidR="00902BF5" w:rsidRPr="00425573">
        <w:rPr>
          <w:rFonts w:ascii="Book Antiqua" w:hAnsi="Book Antiqua"/>
          <w:lang w:val="en-US"/>
        </w:rPr>
        <w:t xml:space="preserve">of </w:t>
      </w:r>
      <w:r w:rsidR="00A30DD2" w:rsidRPr="00425573">
        <w:rPr>
          <w:rFonts w:ascii="Book Antiqua" w:hAnsi="Book Antiqua"/>
          <w:lang w:val="en-US"/>
        </w:rPr>
        <w:t>metabolic</w:t>
      </w:r>
      <w:r w:rsidRPr="00425573">
        <w:rPr>
          <w:rFonts w:ascii="Book Antiqua" w:hAnsi="Book Antiqua"/>
          <w:lang w:val="en-US"/>
        </w:rPr>
        <w:t>, neurodegenerative and movement</w:t>
      </w:r>
      <w:r w:rsidR="00B738A1" w:rsidRPr="00425573">
        <w:rPr>
          <w:rFonts w:ascii="Book Antiqua" w:hAnsi="Book Antiqua"/>
          <w:lang w:val="en-US"/>
        </w:rPr>
        <w:t xml:space="preserve"> disorders</w:t>
      </w:r>
      <w:r w:rsidR="002E3893"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{"citationID":"QnermOMT","properties":{"formattedCitation":"\\super [1]\\nosupersub{}","plainCitation":"[1]","noteIndex":0},"citationItems":[{"id":50,"uris":["http://zotero.org/groups/2394923/items/ZYE26X5I"],"uri":["http://zotero.org/groups/2394923/items/ZYE26X5I"],"itemData":{"id":50,"type":"article-journal","abstract":"The advances in medicine, together with lifestyle modifications, led to a rising life expectancy. Unfortunately, however, aging is accompanied by an alarming boost of age-associated chronic pathologies, including neurodegenerative and metabolic diseases. Interestingly, a non-negligible interplay between alterations of glucose homeostasis and brain dysfunction has clearly emerged. In particular, epidemiological studies have pointed out a possible association between Type 2 Diabetes (T2D) and Parkinson's Disease (PD). Insulin resistance, one of the major hallmark for etiology of T2D, has a detrimental influence on PD, negatively affecting PD phenotype, accelerating its progression and worsening cognitive impairment. This review aims to provide an exhaustive analysis of the most recent evidences supporting the key role of insulin resistance in PD pathogenesis. It will focus on the relevance of insulin in the brain, working as pro-survival neurotrophic factor and as a master regulator of neuronal mitochondrial function and oxidative stress. Insulin action as a modulator of dopamine signaling and of alpha-synuclein degradation will be described in details, too. The intriguing idea that shared deregulated pathogenic pathways represent a link between PD and insulin resistance has clinical and therapeutic implications. Thus, ongoing studies about the promising healing potential of common antidiabetic drugs such as metformin, exenatide, DPP IV inhibitors, thiazolidinediones and bromocriptine, will be summarized and the rationale for their use to decelerate neurodegeneration will be critically assessed.","container-title":"Frontiers in Neuroscience","DOI":"10.3389/fnins.2019.00868","ISSN":"1662-4548","journalAbbreviation":"Front Neurosci","language":"eng","note":"PMID: 31474827\nPMCID: PMC6706784","page":"868","source":"PubMed","title":"The Relevance of Insulin Action in the Dopaminergic System","volume":"13","author":[{"family":"Fiory","given":"Francesca"},{"family":"Perruolo","given":"Giuseppe"},{"family":"Cimmino","given":"Ilaria"},{"family":"Cabaro","given":"Serena"},{"family":"Pignalosa","given":"Francesca Chiara"},{"family":"Miele","given":"Claudia"},{"family":"Beguinot","given":"Francesco"},{"family":"Formisano","given":"Pietro"},{"family":"Oriente","given":"Francesco"}],"issued":{"date-parts":[["2019"]]}}}],"schema":"https://github.com/citation-style-language/schema/raw/master/csl-citation.json"} </w:instrText>
      </w:r>
      <w:r w:rsidR="002E3893" w:rsidRPr="00425573">
        <w:rPr>
          <w:rFonts w:ascii="Book Antiqua" w:hAnsi="Book Antiqua"/>
          <w:lang w:val="en-US"/>
        </w:rPr>
        <w:fldChar w:fldCharType="separate"/>
      </w:r>
      <w:r w:rsidR="002E3893" w:rsidRPr="00425573">
        <w:rPr>
          <w:rFonts w:ascii="Book Antiqua" w:hAnsi="Book Antiqua" w:cs="Times New Roman"/>
          <w:vertAlign w:val="superscript"/>
          <w:lang w:val="en-US"/>
        </w:rPr>
        <w:t>[1]</w:t>
      </w:r>
      <w:r w:rsidR="002E3893" w:rsidRPr="00425573">
        <w:rPr>
          <w:rFonts w:ascii="Book Antiqua" w:hAnsi="Book Antiqua"/>
          <w:lang w:val="en-US"/>
        </w:rPr>
        <w:fldChar w:fldCharType="end"/>
      </w:r>
      <w:r w:rsidRPr="00425573">
        <w:rPr>
          <w:rFonts w:ascii="Book Antiqua" w:hAnsi="Book Antiqua"/>
          <w:lang w:val="en-US"/>
        </w:rPr>
        <w:t xml:space="preserve">. </w:t>
      </w:r>
      <w:r w:rsidR="00F62A3B" w:rsidRPr="00425573">
        <w:rPr>
          <w:rFonts w:ascii="Book Antiqua" w:hAnsi="Book Antiqua"/>
          <w:lang w:val="en-US"/>
        </w:rPr>
        <w:t>In particular</w:t>
      </w:r>
      <w:r w:rsidRPr="00425573">
        <w:rPr>
          <w:rFonts w:ascii="Book Antiqua" w:hAnsi="Book Antiqua"/>
          <w:lang w:val="en-US"/>
        </w:rPr>
        <w:t xml:space="preserve">, </w:t>
      </w:r>
      <w:r w:rsidR="00902BF5" w:rsidRPr="00425573">
        <w:rPr>
          <w:rFonts w:ascii="Book Antiqua" w:hAnsi="Book Antiqua"/>
          <w:lang w:val="en-US"/>
        </w:rPr>
        <w:t>t</w:t>
      </w:r>
      <w:r w:rsidR="00B738A1" w:rsidRPr="00425573">
        <w:rPr>
          <w:rFonts w:ascii="Book Antiqua" w:hAnsi="Book Antiqua"/>
          <w:lang w:val="en-US"/>
        </w:rPr>
        <w:t>y</w:t>
      </w:r>
      <w:r w:rsidR="00B87231" w:rsidRPr="00425573">
        <w:rPr>
          <w:rFonts w:ascii="Book Antiqua" w:hAnsi="Book Antiqua"/>
          <w:lang w:val="en-US"/>
        </w:rPr>
        <w:t xml:space="preserve">pe 2 </w:t>
      </w:r>
      <w:r w:rsidR="00902BF5" w:rsidRPr="00425573">
        <w:rPr>
          <w:rFonts w:ascii="Book Antiqua" w:hAnsi="Book Antiqua"/>
          <w:lang w:val="en-US"/>
        </w:rPr>
        <w:t>d</w:t>
      </w:r>
      <w:r w:rsidR="00B87231" w:rsidRPr="00425573">
        <w:rPr>
          <w:rFonts w:ascii="Book Antiqua" w:hAnsi="Book Antiqua"/>
          <w:lang w:val="en-US"/>
        </w:rPr>
        <w:t>iabetes (T2D</w:t>
      </w:r>
      <w:r w:rsidR="00B738A1" w:rsidRPr="00425573">
        <w:rPr>
          <w:rFonts w:ascii="Book Antiqua" w:hAnsi="Book Antiqua"/>
          <w:lang w:val="en-US"/>
        </w:rPr>
        <w:t xml:space="preserve">), </w:t>
      </w:r>
      <w:r w:rsidRPr="00425573">
        <w:rPr>
          <w:rFonts w:ascii="Book Antiqua" w:hAnsi="Book Antiqua"/>
          <w:lang w:val="en-US"/>
        </w:rPr>
        <w:t>Alzh</w:t>
      </w:r>
      <w:r w:rsidR="00B87231" w:rsidRPr="00425573">
        <w:rPr>
          <w:rFonts w:ascii="Book Antiqua" w:hAnsi="Book Antiqua"/>
          <w:lang w:val="en-US"/>
        </w:rPr>
        <w:t xml:space="preserve">eimer’s </w:t>
      </w:r>
      <w:r w:rsidR="00902BF5" w:rsidRPr="00425573">
        <w:rPr>
          <w:rFonts w:ascii="Book Antiqua" w:hAnsi="Book Antiqua"/>
          <w:lang w:val="en-US"/>
        </w:rPr>
        <w:t>d</w:t>
      </w:r>
      <w:r w:rsidR="00B87231" w:rsidRPr="00425573">
        <w:rPr>
          <w:rFonts w:ascii="Book Antiqua" w:hAnsi="Book Antiqua"/>
          <w:lang w:val="en-US"/>
        </w:rPr>
        <w:t>isease (AD</w:t>
      </w:r>
      <w:r w:rsidRPr="00425573">
        <w:rPr>
          <w:rFonts w:ascii="Book Antiqua" w:hAnsi="Book Antiqua"/>
          <w:lang w:val="en-US"/>
        </w:rPr>
        <w:t>) and Parkinson</w:t>
      </w:r>
      <w:r w:rsidR="00B87231" w:rsidRPr="00425573">
        <w:rPr>
          <w:rFonts w:ascii="Book Antiqua" w:hAnsi="Book Antiqua"/>
          <w:lang w:val="en-US"/>
        </w:rPr>
        <w:t xml:space="preserve">’s </w:t>
      </w:r>
      <w:r w:rsidR="00902BF5" w:rsidRPr="00425573">
        <w:rPr>
          <w:rFonts w:ascii="Book Antiqua" w:hAnsi="Book Antiqua"/>
          <w:lang w:val="en-US"/>
        </w:rPr>
        <w:t>d</w:t>
      </w:r>
      <w:r w:rsidR="00B87231" w:rsidRPr="00425573">
        <w:rPr>
          <w:rFonts w:ascii="Book Antiqua" w:hAnsi="Book Antiqua"/>
          <w:lang w:val="en-US"/>
        </w:rPr>
        <w:t>isease (PD</w:t>
      </w:r>
      <w:r w:rsidR="00B738A1" w:rsidRPr="00425573">
        <w:rPr>
          <w:rFonts w:ascii="Book Antiqua" w:hAnsi="Book Antiqua"/>
          <w:lang w:val="en-US"/>
        </w:rPr>
        <w:t xml:space="preserve">) </w:t>
      </w:r>
      <w:r w:rsidRPr="00425573">
        <w:rPr>
          <w:rFonts w:ascii="Book Antiqua" w:hAnsi="Book Antiqua"/>
          <w:lang w:val="en-US"/>
        </w:rPr>
        <w:t>are among the most prevalent chronic, age-re</w:t>
      </w:r>
      <w:r w:rsidR="00F62A3B" w:rsidRPr="00425573">
        <w:rPr>
          <w:rFonts w:ascii="Book Antiqua" w:hAnsi="Book Antiqua"/>
          <w:lang w:val="en-US"/>
        </w:rPr>
        <w:t xml:space="preserve">lated pathologies </w:t>
      </w:r>
      <w:r w:rsidR="00902BF5" w:rsidRPr="00425573">
        <w:rPr>
          <w:rFonts w:ascii="Book Antiqua" w:hAnsi="Book Antiqua"/>
          <w:lang w:val="en-US"/>
        </w:rPr>
        <w:t xml:space="preserve">that </w:t>
      </w:r>
      <w:r w:rsidR="00F62A3B" w:rsidRPr="00425573">
        <w:rPr>
          <w:rFonts w:ascii="Book Antiqua" w:hAnsi="Book Antiqua"/>
          <w:lang w:val="en-US"/>
        </w:rPr>
        <w:t>deserve</w:t>
      </w:r>
      <w:r w:rsidRPr="00425573">
        <w:rPr>
          <w:rFonts w:ascii="Book Antiqua" w:hAnsi="Book Antiqua"/>
          <w:lang w:val="en-US"/>
        </w:rPr>
        <w:t xml:space="preserve"> particular attention given their dramatic impact</w:t>
      </w:r>
      <w:r w:rsidR="00F62A3B" w:rsidRPr="00425573">
        <w:rPr>
          <w:rFonts w:ascii="Book Antiqua" w:hAnsi="Book Antiqua"/>
          <w:lang w:val="en-US"/>
        </w:rPr>
        <w:t xml:space="preserve"> on patient quality of lif</w:t>
      </w:r>
      <w:r w:rsidRPr="00425573">
        <w:rPr>
          <w:rFonts w:ascii="Book Antiqua" w:hAnsi="Book Antiqua"/>
          <w:lang w:val="en-US"/>
        </w:rPr>
        <w:t>e, their economic</w:t>
      </w:r>
      <w:r w:rsidR="00B738A1" w:rsidRPr="00425573">
        <w:rPr>
          <w:rFonts w:ascii="Book Antiqua" w:hAnsi="Book Antiqua"/>
          <w:lang w:val="en-US"/>
        </w:rPr>
        <w:t xml:space="preserve"> and social burden as well the</w:t>
      </w:r>
      <w:r w:rsidRPr="00425573">
        <w:rPr>
          <w:rFonts w:ascii="Book Antiqua" w:hAnsi="Book Antiqua"/>
          <w:lang w:val="en-US"/>
        </w:rPr>
        <w:t xml:space="preserve"> etiopathogenetic mechanisms, which may overlap in some cases.</w:t>
      </w:r>
      <w:r w:rsidR="00225BBF" w:rsidRPr="00425573">
        <w:rPr>
          <w:rFonts w:ascii="Book Antiqua" w:hAnsi="Book Antiqua"/>
          <w:lang w:val="en-US"/>
        </w:rPr>
        <w:t xml:space="preserve"> </w:t>
      </w:r>
    </w:p>
    <w:p w14:paraId="1473E02E" w14:textId="20196C4F" w:rsidR="00F41A33" w:rsidRPr="00425573" w:rsidRDefault="00EE7B34"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lang w:val="en-US"/>
        </w:rPr>
        <w:t xml:space="preserve">In fact, </w:t>
      </w:r>
      <w:r w:rsidR="00DC310F" w:rsidRPr="00425573">
        <w:rPr>
          <w:rFonts w:ascii="Book Antiqua" w:hAnsi="Book Antiqua"/>
          <w:lang w:val="en-US"/>
        </w:rPr>
        <w:t xml:space="preserve">T2D </w:t>
      </w:r>
      <w:r w:rsidR="00642B48" w:rsidRPr="00425573">
        <w:rPr>
          <w:rFonts w:ascii="Book Antiqua" w:hAnsi="Book Antiqua"/>
          <w:lang w:val="en-US"/>
        </w:rPr>
        <w:t>accounts for 90%</w:t>
      </w:r>
      <w:r w:rsidR="00DC310F" w:rsidRPr="00425573">
        <w:rPr>
          <w:rFonts w:ascii="Book Antiqua" w:hAnsi="Book Antiqua"/>
          <w:lang w:val="en-US"/>
        </w:rPr>
        <w:t xml:space="preserve"> of </w:t>
      </w:r>
      <w:r w:rsidR="00902BF5" w:rsidRPr="00425573">
        <w:rPr>
          <w:rFonts w:ascii="Book Antiqua" w:hAnsi="Book Antiqua"/>
          <w:lang w:val="en-US"/>
        </w:rPr>
        <w:t xml:space="preserve">cases of </w:t>
      </w:r>
      <w:r w:rsidR="00DC310F" w:rsidRPr="00425573">
        <w:rPr>
          <w:rFonts w:ascii="Book Antiqua" w:hAnsi="Book Antiqua"/>
          <w:lang w:val="en-US"/>
        </w:rPr>
        <w:t>diabetes mellitus</w:t>
      </w:r>
      <w:r w:rsidR="00642B48" w:rsidRPr="00425573">
        <w:rPr>
          <w:rFonts w:ascii="Book Antiqua" w:hAnsi="Book Antiqua"/>
          <w:lang w:val="en-US"/>
        </w:rPr>
        <w:t>, which affects 285 million people worldwide</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{"citationID":"QPz47RL5","properties":{"formattedCitation":"\\super [2]\\nosupersub{}","plainCitation":"[2]","noteIndex":0},"citationItems":[{"id":111,"uris":["http://zotero.org/groups/2394923/items/ZQNTYLBS"],"uri":["http://zotero.org/groups/2394923/items/ZQNTYLBS"],"itemData":{"id":111,"type":"article-journal","abstract":"There is an epidemic of type 2 diabetes mellitus in nearly every nation in the world. This Review gives an overview of the current trends of the diabetes epidemic in a world scenario and discusses the associated major risk factors, particularly genetic and epigenetic factors. The potential impact of the use of HbA1cas an alternative diagnostic tool on global diabetes surveillance is also discussed.","container-title":"Nature Reviews Endocrinology","DOI":"10.1038/nrendo.2011.183","ISSN":"1759-5037","issue":"4","journalAbbreviation":"Nat Rev Endocrinol","language":"en","page":"228-236","source":"www.nature.com","title":"The worldwide epidemiology of type 2 diabetes mellitus—present and future perspectives","volume":"8","author":[{"family":"Chen","given":"Lei"},{"family":"Magliano","given":"Dianna J."},{"family":"Zimmet","given":"Paul Z."}],"issued":{"date-parts":[["2012",4]]}}}],"schema":"https://github.com/citation-style-language/schema/raw/master/csl-citation.json"} </w:instrText>
      </w:r>
      <w:r w:rsidR="00C303FA" w:rsidRPr="00425573">
        <w:rPr>
          <w:rFonts w:ascii="Book Antiqua" w:hAnsi="Book Antiqua"/>
          <w:lang w:val="en-US"/>
        </w:rPr>
        <w:fldChar w:fldCharType="separate"/>
      </w:r>
      <w:r w:rsidR="00D92382" w:rsidRPr="00425573">
        <w:rPr>
          <w:rFonts w:ascii="Book Antiqua" w:hAnsi="Book Antiqua"/>
          <w:vertAlign w:val="superscript"/>
          <w:lang w:val="en-US"/>
        </w:rPr>
        <w:t>[2]</w:t>
      </w:r>
      <w:r w:rsidR="00C303FA" w:rsidRPr="00425573">
        <w:rPr>
          <w:rFonts w:ascii="Book Antiqua" w:hAnsi="Book Antiqua"/>
          <w:lang w:val="en-US"/>
        </w:rPr>
        <w:fldChar w:fldCharType="end"/>
      </w:r>
      <w:r w:rsidR="00642B48" w:rsidRPr="00425573">
        <w:rPr>
          <w:rFonts w:ascii="Book Antiqua" w:hAnsi="Book Antiqua"/>
          <w:lang w:val="en-US"/>
        </w:rPr>
        <w:t>.</w:t>
      </w:r>
      <w:r w:rsidR="009D0BCE" w:rsidRPr="00425573">
        <w:rPr>
          <w:rFonts w:ascii="Book Antiqua" w:hAnsi="Book Antiqua"/>
          <w:lang w:val="en-US"/>
        </w:rPr>
        <w:t xml:space="preserve"> </w:t>
      </w:r>
      <w:r w:rsidR="00C20AD1" w:rsidRPr="00425573">
        <w:rPr>
          <w:rFonts w:ascii="Book Antiqua" w:hAnsi="Book Antiqua"/>
          <w:lang w:val="en-US"/>
        </w:rPr>
        <w:t>It</w:t>
      </w:r>
      <w:r w:rsidR="009D0BCE" w:rsidRPr="00425573">
        <w:rPr>
          <w:rFonts w:ascii="Book Antiqua" w:hAnsi="Book Antiqua"/>
          <w:lang w:val="en-US"/>
        </w:rPr>
        <w:t xml:space="preserve"> </w:t>
      </w:r>
      <w:r w:rsidRPr="00425573">
        <w:rPr>
          <w:rFonts w:ascii="Book Antiqua" w:hAnsi="Book Antiqua"/>
          <w:lang w:val="en-US"/>
        </w:rPr>
        <w:t xml:space="preserve">is </w:t>
      </w:r>
      <w:r w:rsidR="00B612C8" w:rsidRPr="00425573">
        <w:rPr>
          <w:rFonts w:ascii="Book Antiqua" w:hAnsi="Book Antiqua"/>
          <w:lang w:val="en-US"/>
        </w:rPr>
        <w:t xml:space="preserve">mainly </w:t>
      </w:r>
      <w:r w:rsidRPr="00425573">
        <w:rPr>
          <w:rFonts w:ascii="Book Antiqua" w:hAnsi="Book Antiqua"/>
          <w:lang w:val="en-US"/>
        </w:rPr>
        <w:t>caused by a</w:t>
      </w:r>
      <w:r w:rsidR="00B612C8" w:rsidRPr="00425573">
        <w:rPr>
          <w:rFonts w:ascii="Book Antiqua" w:hAnsi="Book Antiqua"/>
          <w:lang w:val="en-US"/>
        </w:rPr>
        <w:t xml:space="preserve"> combination of</w:t>
      </w:r>
      <w:r w:rsidR="00B23CFC" w:rsidRPr="00425573">
        <w:rPr>
          <w:rFonts w:ascii="Book Antiqua" w:hAnsi="Book Antiqua"/>
          <w:lang w:val="en-US"/>
        </w:rPr>
        <w:t xml:space="preserve"> insulin resistance and </w:t>
      </w:r>
      <w:r w:rsidR="00214BA0" w:rsidRPr="00425573">
        <w:rPr>
          <w:rFonts w:ascii="Book Antiqua" w:hAnsi="Book Antiqua"/>
          <w:lang w:val="en-US"/>
        </w:rPr>
        <w:t xml:space="preserve">relative </w:t>
      </w:r>
      <w:r w:rsidR="00B23CFC" w:rsidRPr="00425573">
        <w:rPr>
          <w:rFonts w:ascii="Book Antiqua" w:hAnsi="Book Antiqua"/>
          <w:lang w:val="en-US"/>
        </w:rPr>
        <w:t xml:space="preserve">insulin </w:t>
      </w:r>
      <w:r w:rsidR="00214BA0" w:rsidRPr="00425573">
        <w:rPr>
          <w:rFonts w:ascii="Book Antiqua" w:hAnsi="Book Antiqua"/>
          <w:lang w:val="en-US"/>
        </w:rPr>
        <w:t>deficiency</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{"citationID":"z527Us1w","properties":{"formattedCitation":"\\super [3]\\nosupersub{}","plainCitation":"[3]","noteIndex":0},"citationItems":[{"id":114,"uris":["http://zotero.org/groups/2394923/items/UQGFM3UM"],"uri":["http://zotero.org/groups/2394923/items/UQGFM3UM"],"itemData":{"id":114,"type":"article-journal","container-title":"Morbidity and Mortality Weekly Report","DOI":"10.15585/mmwr.mm6712a2","ISSN":"0149-2195","issue":"12","journalAbbreviation":"MMWR Morb Mortal Wkly Rep","note":"PMID: 29596402\nPMCID: PMC5877361","page":"359-361","source":"PubMed Central","title":"Prevalence of Diagnosed Diabetes in Adults by Diabetes Type — United States, 2016","volume":"67","author":[{"family":"Bullard","given":"Kai McKeever"},{"family":"Cowie","given":"Catherine C."},{"family":"Lessem","given":"Sarah E."},{"family":"Saydah","given":"Sharon H."},{"family":"Menke","given":"Andy"},{"family":"Geiss","given":"Linda S."},{"family":"Orchard","given":"Trevor J."},{"family":"Rolka","given":"Deborah B."},{"family":"Imperatore","given":"Giuseppina"}],"issued":{"date-parts":[["2018",3,30]]}}}],"schema":"https://github.com/citation-style-language/schema/raw/master/csl-citation.json"} </w:instrText>
      </w:r>
      <w:r w:rsidR="00C303FA" w:rsidRPr="00425573">
        <w:rPr>
          <w:rFonts w:ascii="Book Antiqua" w:hAnsi="Book Antiqua"/>
          <w:lang w:val="en-US"/>
        </w:rPr>
        <w:fldChar w:fldCharType="separate"/>
      </w:r>
      <w:r w:rsidR="00D92382" w:rsidRPr="00425573">
        <w:rPr>
          <w:rFonts w:ascii="Book Antiqua" w:hAnsi="Book Antiqua"/>
          <w:vertAlign w:val="superscript"/>
          <w:lang w:val="en-US"/>
        </w:rPr>
        <w:t>[3]</w:t>
      </w:r>
      <w:r w:rsidR="00C303FA" w:rsidRPr="00425573">
        <w:rPr>
          <w:rFonts w:ascii="Book Antiqua" w:hAnsi="Book Antiqua"/>
          <w:lang w:val="en-US"/>
        </w:rPr>
        <w:fldChar w:fldCharType="end"/>
      </w:r>
      <w:r w:rsidRPr="00425573">
        <w:rPr>
          <w:rFonts w:ascii="Book Antiqua" w:hAnsi="Book Antiqua"/>
          <w:lang w:val="en-US"/>
        </w:rPr>
        <w:t xml:space="preserve">, which results in </w:t>
      </w:r>
      <w:r w:rsidR="00881810" w:rsidRPr="00425573">
        <w:rPr>
          <w:rFonts w:ascii="Book Antiqua" w:hAnsi="Book Antiqua"/>
          <w:lang w:val="en-US"/>
        </w:rPr>
        <w:t xml:space="preserve">glucose </w:t>
      </w:r>
      <w:r w:rsidR="0025415F" w:rsidRPr="00425573">
        <w:rPr>
          <w:rFonts w:ascii="Book Antiqua" w:hAnsi="Book Antiqua"/>
          <w:lang w:val="en-US"/>
        </w:rPr>
        <w:t>dyshomeostasis</w:t>
      </w:r>
      <w:r w:rsidR="00B2257F" w:rsidRPr="00425573">
        <w:rPr>
          <w:rFonts w:ascii="Book Antiqua" w:hAnsi="Book Antiqua"/>
          <w:lang w:val="en-US"/>
        </w:rPr>
        <w:t xml:space="preserve"> and</w:t>
      </w:r>
      <w:r w:rsidRPr="00425573">
        <w:rPr>
          <w:rFonts w:ascii="Book Antiqua" w:hAnsi="Book Antiqua"/>
          <w:lang w:val="en-US"/>
        </w:rPr>
        <w:t xml:space="preserve"> other concomitant conditions</w:t>
      </w:r>
      <w:r w:rsidR="007C3636" w:rsidRPr="00425573">
        <w:rPr>
          <w:rFonts w:ascii="Book Antiqua" w:hAnsi="Book Antiqua"/>
          <w:lang w:val="en-US"/>
        </w:rPr>
        <w:t xml:space="preserve">, including hypertension and </w:t>
      </w:r>
      <w:r w:rsidR="00B2257F" w:rsidRPr="00425573">
        <w:rPr>
          <w:rFonts w:ascii="Book Antiqua" w:hAnsi="Book Antiqua"/>
          <w:lang w:val="en-US"/>
        </w:rPr>
        <w:t>dyslipid</w:t>
      </w:r>
      <w:r w:rsidR="007C3636" w:rsidRPr="00425573">
        <w:rPr>
          <w:rFonts w:ascii="Book Antiqua" w:hAnsi="Book Antiqua"/>
          <w:lang w:val="en-US"/>
        </w:rPr>
        <w:t>emia</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{"citationID":"psB7wyLx","properties":{"formattedCitation":"\\super [4]\\nosupersub{}","plainCitation":"[4]","noteIndex":0},"citationItems":[{"id":117,"uris":["http://zotero.org/groups/2394923/items/4XPI98M8"],"uri":["http://zotero.org/groups/2394923/items/4XPI98M8"],"itemData":{"id":117,"type":"article-journal","abstract":"Background\nType 2 diabetes mellitus (T2DM) has a strong genetic component, and its prevalence is notably increased in the family members of T2DM patients. However, there are few studies about the family history of T2DM. We carried out this study to assess the influences of family history on clinical characteristics in T2DM patients.\n\nMethods\nThis is a cross-sectional study involving 651 T2DM patients. Patient history and physical examination were performed and fasting blood was taken. If any first degree relative was diabetic, a family history of diabetes was considered to exist.\n\nResults\nAmong the total 621 patients, 38.4% had a family history of diabetes. Patients with a family history had a younger age, higher weight, younger age at diagnosis and higher triglyceride level than did those without a family history. Dyslipidemia medication and metabolic syndrome were more prevalent in familial diabetes. Sex, blood pressure, previous treatment for diabetes, HbA1c, C-peptide, total cholesterol, high density lipoprotein cholesterol, and low density lipoprotein cholesterol were not different between familial and non-familial diabetes. Upon multiple linear regression analysis, the family history of diabetes remained significantly associated with serum triglyceride level.\n\nConclusion\nIn T2DM patients with a family history of diabetes, the disease tended to develop earlier. Metabolic syndrome and cardiovascular risk factors are more prevalent in familial T2DM than they were in non-familial T2DM. These results support the necessity of earlier screening for diabetes in family members of T2DM patients and more active prevention against cardiovascular disease in T2DM patients with a family history.","container-title":"Korean Diabetes Journal","DOI":"10.4093/kdj.2010.34.4.222","ISSN":"1976-9180","issue":"4","journalAbbreviation":"Korean Diabetes J","note":"PMID: 20835339\nPMCID: PMC2932891","page":"222-228","source":"PubMed Central","title":"Clinical Characteristics of Type 2 Diabetes Patients according to Family History of Diabetes","volume":"34","author":[{"family":"Jeong","given":"Seung Uk"},{"family":"Kang","given":"Dong Gu"},{"family":"Lee","given":"Dae Ho"},{"family":"Lee","given":"Kang Woo"},{"family":"Lim","given":"Dong-Mee"},{"family":"Kim","given":"Byung Joon"},{"family":"Park","given":"Keun-Yong"},{"family":"Chin","given":"Hyoun-Jung"},{"family":"Koh","given":"Gwanpyo"}],"issued":{"date-parts":[["2010",8]]}}}],"schema":"https://github.com/citation-style-language/schema/raw/master/csl-citation.json"} </w:instrText>
      </w:r>
      <w:r w:rsidR="00C303FA" w:rsidRPr="00425573">
        <w:rPr>
          <w:rFonts w:ascii="Book Antiqua" w:hAnsi="Book Antiqua"/>
          <w:lang w:val="en-US"/>
        </w:rPr>
        <w:fldChar w:fldCharType="separate"/>
      </w:r>
      <w:r w:rsidR="00D92382" w:rsidRPr="00425573">
        <w:rPr>
          <w:rFonts w:ascii="Book Antiqua" w:hAnsi="Book Antiqua"/>
          <w:vertAlign w:val="superscript"/>
          <w:lang w:val="en-US"/>
        </w:rPr>
        <w:t>[4]</w:t>
      </w:r>
      <w:r w:rsidR="00C303FA" w:rsidRPr="00425573">
        <w:rPr>
          <w:rFonts w:ascii="Book Antiqua" w:hAnsi="Book Antiqua"/>
          <w:lang w:val="en-US"/>
        </w:rPr>
        <w:fldChar w:fldCharType="end"/>
      </w:r>
      <w:r w:rsidR="00C303FA" w:rsidRPr="00425573">
        <w:rPr>
          <w:rFonts w:ascii="Book Antiqua" w:hAnsi="Book Antiqua"/>
          <w:lang w:val="en-US"/>
        </w:rPr>
        <w:t>.</w:t>
      </w:r>
      <w:r w:rsidR="007C3636" w:rsidRPr="00425573">
        <w:rPr>
          <w:rFonts w:ascii="Book Antiqua" w:hAnsi="Book Antiqua"/>
          <w:lang w:val="en-US"/>
        </w:rPr>
        <w:t xml:space="preserve"> </w:t>
      </w:r>
      <w:r w:rsidR="00866553" w:rsidRPr="00425573">
        <w:rPr>
          <w:rFonts w:ascii="Book Antiqua" w:hAnsi="Book Antiqua"/>
          <w:lang w:val="en-US"/>
        </w:rPr>
        <w:t>AD is characterized by progressive loss of memory and cognitive domains responsible for functional independence</w:t>
      </w:r>
      <w:r w:rsidR="00866553"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{"citationID":"WwOaSHj8","properties":{"formattedCitation":"\\super [5,6]\\nosupersub{}","plainCitation":"[5,6]","noteIndex":0},"citationItems":[{"id":102,"uris":["http://zotero.org/groups/2394923/items/YSTYDU62"],"uri":["http://zotero.org/groups/2394923/items/YSTYDU62"],"itemData":{"id":102,"type":"article-journal","abstract":"Neurodegenerative diseases are a common cause of morbidity and cognitive impairment in older adults. Most clinicians who care for the elderly are not trained to diagnose these conditions, perhaps other than typical Alzheimer’s disease (AD). Each of these disorders has varied epidemiology, clinical symptomatology, laboratory and neuroimaging features, neuropathology, and management. Thus, it is important that clinicians be able to differentiate and diagnose these conditions accurately. This review summarizes and highlights clinical aspects of several of the most commonly encountered neurodegenerative diseases, including AD, frontotemporal dementia (FTD) and its variants, progressive supranuclear palsy (PSP), corticobasal degeneration (CBD), Parkinson’s disease (PD), dementia with Lewy bodies (DLB), multiple system atrophy (MSA), and Huntington’s disease (HD). For each condition, we provide a brief overview of the epidemiology, defining clinical symptoms and diagnostic criteria, relevant imaging and laboratory features, genetics, pathology, treatments, and differential diagnosis.","container-title":"Cold Spring Harbor Perspectives in Biology","DOI":"10.1101/cshperspect.a033118","ISSN":", 1943-0264","issue":"4","journalAbbreviation":"Cold Spring Harb Perspect Biol","language":"en","note":"PMID: 28716886","page":"a033118","source":"cshperspectives.cshlp.org","title":"Clinical Neurology and Epidemiology of the Major Neurodegenerative Diseases","volume":"10","author":[{"family":"Erkkinen","given":"Michael G."},{"family":"Kim","given":"Mee-Ohk"},{"family":"Geschwind","given":"Michael D."}],"issued":{"date-parts":[["2018",1,4]]}}},{"id":325,"uris":["http://zotero.org/groups/2394923/items/I4T5URR3"],"uri":["http://zotero.org/groups/2394923/items/I4T5URR3"],"itemData":{"id":325,"type":"article-journal","abstract":"The oldest-old represent the fastest growing segment of society, and the risk of developing dementia continues to increase with advancing age into the 9th and 10th decades of life. The most common form of dementia in the oldest-old is Alzheimer disease (AD), although there are often mixed pathologies contributing to dementia in addition to amyloid plaques and neurofibrillary tangles. Diagnosing AD in the oldest-old is challenging due to cognitive and physical changes associated with aging. Treatment remains supportive, with current approved medications able to provide modest symptomatic benefit but unable to slow the progression of disease.","container-title":"Neurologic Clinics","DOI":"10.1016/j.ncl.2017.01.006","ISSN":"1557-9875","issue":"2","journalAbbreviation":"Neurol Clin","language":"eng","note":"PMID: 28410660","page":"283-293","source":"PubMed","title":"Late-Onset Alzheimer Disease","volume":"35","author":[{"family":"Pierce","given":"Aimee L."},{"family":"Bullain","given":"Szofia S."},{"family":"Kawas","given":"Claudia H."}],"issued":{"date-parts":[["2017"]]}}}],"schema":"https://github.com/citation-style-language/schema/raw/master/csl-citation.json"} </w:instrText>
      </w:r>
      <w:r w:rsidR="00866553" w:rsidRPr="00425573">
        <w:rPr>
          <w:rFonts w:ascii="Book Antiqua" w:hAnsi="Book Antiqua"/>
          <w:lang w:val="en-US"/>
        </w:rPr>
        <w:fldChar w:fldCharType="separate"/>
      </w:r>
      <w:r w:rsidR="00871974" w:rsidRPr="00425573">
        <w:rPr>
          <w:rFonts w:ascii="Book Antiqua" w:hAnsi="Book Antiqua"/>
          <w:vertAlign w:val="superscript"/>
          <w:lang w:val="en-US"/>
        </w:rPr>
        <w:t>[5,6]</w:t>
      </w:r>
      <w:r w:rsidR="00866553" w:rsidRPr="00425573">
        <w:rPr>
          <w:rFonts w:ascii="Book Antiqua" w:hAnsi="Book Antiqua"/>
          <w:lang w:val="en-US"/>
        </w:rPr>
        <w:fldChar w:fldCharType="end"/>
      </w:r>
      <w:r w:rsidR="00866553" w:rsidRPr="00425573">
        <w:rPr>
          <w:rFonts w:ascii="Book Antiqua" w:hAnsi="Book Antiqua"/>
          <w:lang w:val="en-US"/>
        </w:rPr>
        <w:t>.</w:t>
      </w:r>
      <w:r w:rsidR="0051335A" w:rsidRPr="00425573">
        <w:rPr>
          <w:rFonts w:ascii="Book Antiqua" w:hAnsi="Book Antiqua"/>
          <w:lang w:val="en-US"/>
        </w:rPr>
        <w:t xml:space="preserve"> This pathology</w:t>
      </w:r>
      <w:r w:rsidR="0040452E" w:rsidRPr="00425573">
        <w:rPr>
          <w:rFonts w:ascii="Book Antiqua" w:hAnsi="Book Antiqua"/>
          <w:lang w:val="en-US"/>
        </w:rPr>
        <w:t xml:space="preserve"> </w:t>
      </w:r>
      <w:r w:rsidR="00752AA0" w:rsidRPr="00425573">
        <w:rPr>
          <w:rFonts w:ascii="Book Antiqua" w:hAnsi="Book Antiqua"/>
          <w:lang w:val="en-US"/>
        </w:rPr>
        <w:t>accounts for</w:t>
      </w:r>
      <w:r w:rsidR="0040452E" w:rsidRPr="00425573">
        <w:rPr>
          <w:rFonts w:ascii="Book Antiqua" w:hAnsi="Book Antiqua"/>
          <w:lang w:val="en-US"/>
        </w:rPr>
        <w:t xml:space="preserve"> the 60</w:t>
      </w:r>
      <w:r w:rsidR="0074051F" w:rsidRPr="00425573">
        <w:rPr>
          <w:rFonts w:ascii="Book Antiqua" w:hAnsi="Book Antiqua"/>
          <w:lang w:val="en-US"/>
        </w:rPr>
        <w:t>%</w:t>
      </w:r>
      <w:r w:rsidR="0040452E" w:rsidRPr="00425573">
        <w:rPr>
          <w:rFonts w:ascii="Book Antiqua" w:hAnsi="Book Antiqua"/>
          <w:lang w:val="en-US"/>
        </w:rPr>
        <w:t>-80% of overall forms of dementia</w:t>
      </w:r>
      <w:r w:rsidR="00FC1CE5" w:rsidRPr="00425573">
        <w:rPr>
          <w:rFonts w:ascii="Book Antiqua" w:hAnsi="Book Antiqua"/>
          <w:lang w:val="en-US"/>
        </w:rPr>
        <w:t xml:space="preserve"> and </w:t>
      </w:r>
      <w:r w:rsidR="00D47FA8" w:rsidRPr="00425573">
        <w:rPr>
          <w:rFonts w:ascii="Book Antiqua" w:hAnsi="Book Antiqua"/>
          <w:lang w:val="en-US"/>
        </w:rPr>
        <w:t>represents the sixth cause of death in the world</w:t>
      </w:r>
      <w:r w:rsidR="00FC1CE5" w:rsidRPr="00425573">
        <w:rPr>
          <w:rFonts w:ascii="Book Antiqua" w:hAnsi="Book Antiqua"/>
          <w:lang w:val="en-US"/>
        </w:rPr>
        <w:t>. It affects</w:t>
      </w:r>
      <w:r w:rsidR="004D1DE3" w:rsidRPr="00425573">
        <w:rPr>
          <w:rFonts w:ascii="Book Antiqua" w:hAnsi="Book Antiqua"/>
          <w:lang w:val="en-US"/>
        </w:rPr>
        <w:t xml:space="preserve"> about 30</w:t>
      </w:r>
      <w:r w:rsidR="00A401F4" w:rsidRPr="00425573">
        <w:rPr>
          <w:rFonts w:ascii="Book Antiqua" w:hAnsi="Book Antiqua"/>
          <w:lang w:val="en-US"/>
        </w:rPr>
        <w:t xml:space="preserve">-46 </w:t>
      </w:r>
      <w:r w:rsidR="004D1DE3" w:rsidRPr="00425573">
        <w:rPr>
          <w:rFonts w:ascii="Book Antiqua" w:hAnsi="Book Antiqua"/>
          <w:lang w:val="en-US"/>
        </w:rPr>
        <w:t>million people</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{"citationID":"GqEQMLoT","properties":{"formattedCitation":"\\super [5,7\\uc0\\u8211{}9]\\nosupersub{}","plainCitation":"[5,7–9]","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C04A01"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C04A01"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C04A01"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102,"uris":["http://zotero.org/groups/2394923/items/YSTYDU62"],"uri":["http://zotero.org/groups/2394923/items/YSTYDU62"],"itemData":{"id":102,"type":"article-journal","abstract":"Neurodegenerative diseases are a common cause of morbidity and cognitive impairment in older adults. Most clinicians who care for the elderly are not trained to diagnose these conditions, perhaps other than typical Alzheimer’s disease (AD). Each of these disorders has varied epidemiology, clinical symptomatology, laboratory and neuroimaging features, neuropathology, and management. Thus, it is important that clinicians be able to differentiate and diagnose these conditions accurately. This review summarizes and highlights clinical aspects of several of the most commonly encountered neurodegenerative diseases, including AD, frontotemporal dementia (FTD) and its variants, progressive supranuclear palsy (PSP), corticobasal degeneration (CBD), Parkinson’s disease (PD), dementia with Lewy bodies (DLB), multiple system atrophy (MSA), and Huntington’s disease (HD). For each condition, we provide a brief overview of the epidemiology, defining clinical symptoms and diagnostic criteria, relevant imaging and laboratory features, genetics, pathology, treatments, and differential diagnosis.","container-title":"Cold Spring Harbor Perspectives in Biology","DOI":"10.1101/cshperspect.a033118","ISSN":", 1943-0264","issue":"4","journalAbbreviation":"Cold Spring Harb Perspect Biol","language":"en","note":"PMID: 28716886","page":"a033118","source":"cshperspectives.cshlp.org","title":"Clinical Neurology and Epidemiology of the Major Neurodegenerative Diseases","volume":"10","author":[{"family":"Erkkinen","given":"Michael G."},{"family":"Kim","given":"Mee-Ohk"},{"family":"Geschwind","given":"Michael D."}],"issued":{"date-parts":[["2018",1,4]]}}},{"id":314,"uris":["http://zotero.org/groups/2394923/items/UAIBXRUG"],"uri":["http://zotero.org/groups/2394923/items/UAIBXRUG"],"itemData":{"id":314,"type":"article-journal","abstract":"BACKGROUND: Amyloid protein precursor (APP), presenilin-1 (PSEN1), and presenilin-2 (PSEN2) mutations cause autosomal dominant forms of early-onset Alzheimer disease (AD-EOAD). Although these genes were identified in the 1990s, variant classification remains a challenge, highlighting the need to colligate mutations from large series.\nMETHODS AND FINDINGS: We report here a novel update (2012-2016) of the genetic screening of the large AD-EOAD series ascertained across 28 French hospitals from 1993 onwards, bringing the total number of families with identified mutations to n = 170. Families were included when at least two first-degree relatives suffered from early-onset Alzheimer disease (EOAD) with an age of onset (AOO) ≤65 y in two generations. Furthermore, we also screened 129 sporadic cases of Alzheimer disease with an AOO below age 51 (44% males, mean AOO = 45 ± 2 y). APP, PSEN1, or PSEN2 mutations were identified in 53 novel AD-EOAD families. Of the 129 sporadic cases screened, 17 carried a PSEN1 mutation and 1 carried an APP duplication (13%). Parental DNA was available for 10 sporadic mutation carriers, allowing us to show that the mutation had occurred de novo in each case. Thirteen mutations (12 in PSEN1 and 1 in PSEN2) identified either in familial or in sporadic cases were previously unreported. Of the 53 mutation carriers with available cerebrospinal fluid (CSF) biomarkers, 46 (87%) had all three CSF biomarkers-total tau protein (Tau), phospho-tau protein (P-Tau), and amyloid β (Aβ)42-in abnormal ranges. No mutation carrier had the three biomarkers in normal ranges. One limitation of this study is the absence of functional assessment of the possibly and probably pathogenic variants, which should help their classification.\nCONCLUSIONS: Our findings suggest that a nonnegligible fraction of PSEN1 mutations occurs de novo, which is of high importance for genetic counseling, as PSEN1 mutational screening is currently performed in familial cases only. Among the 90 distinct mutations found in the whole sample of families and isolated cases, definite pathogenicity is currently established for only 77%, emphasizing the need to pursue the effort to classify variants.","container-title":"PLoS medicine","DOI":"10.1371/journal.pmed.1002270","ISSN":"1549-1676","issue":"3","journalAbbreviation":"PLoS Med.","language":"eng","note":"PMID: 28350801\nPMCID: PMC5370101","page":"e1002270","source":"PubMed","title":"APP, PSEN1, and PSEN2 mutations in early-onset Alzheimer disease: A genetic screening study of familial and sporadic cases","title-short":"APP, PSEN1, and PSEN2 mutations in early-onset Alzheimer disease","volume":"14","author":[{"family":"Lanoiselée","given":"Hélène-Marie"},{"family":"Nicolas","given":"Gaël"},{"family":"Wallon","given":"David"},{"family":"Rovelet-Lecrux","given":"Anne"},{"family":"Lacour","given":"Morgane"},{"family":"Rousseau","given":"Stéphane"},{"family":"Richard","given":"Anne-Claire"},{"family":"Pasquier","given":"Florence"},{"family":"Rollin-Sillaire","given":"Adeline"},{"family":"Martinaud","given":"Olivier"},{"family":"Quillard-Muraine","given":"Muriel"},{"family":"Sayette","given":"Vincent","non-dropping-particle":"de la"},{"family":"Boutoleau-Bretonniere","given":"Claire"},{"family":"Etcharry-Bouyx","given":"Frédérique"},{"family":"Chauviré","given":"Valérie"},{"family":"Sarazin","given":"Marie"},{"family":"Ber","given":"Isabelle","non-dropping-particle":"le"},{"family":"Epelbaum","given":"Stéphane"},{"family":"Jonveaux","given":"Thérèse"},{"family":"Rouaud","given":"Olivier"},{"family":"Ceccaldi","given":"Mathieu"},{"family":"Félician","given":"Olivier"},{"family":"Godefroy","given":"Olivier"},{"family":"Formaglio","given":"Maite"},{"family":"Croisile","given":"Bernard"},{"family":"Auriacombe","given":"Sophie"},{"family":"Chamard","given":"Ludivine"},{"family":"Vincent","given":"Jean-Louis"},{"family":"Sauvée","given":"Mathilde"},{"family":"Marelli-Tosi","given":"Cecilia"},{"family":"Gabelle","given":"Audrey"},{"family":"Ozsancak","given":"Canan"},{"family":"Pariente","given":"Jérémie"},{"family":"Paquet","given":"Claire"},{"family":"Hannequin","given":"Didier"},{"family":"Campion","given":"Dominique"},{"literal":"collaborators of the CNR-MAJ project"}],"issued":{"date-parts":[["2017",3]]}}},{"id":317,"uris":["http://zotero.org/groups/2394923/items/VG54TICD"],"uri":["http://zotero.org/groups/2394923/items/VG54TICD"],"itemData":{"id":317,"type":"article-journal","abstract":"The progressive nature of Alzheimer's disease (AD) is thought to occur, at least in part, by the self-replication and spreading of Aβ and Tau aggregates through a prion mechanism. Evidence now exists that structural variants of Aβ prions can propagate their distinct conformations through template-directed folding of naïve Aβ peptides. This notion implicates that the first self-propagating Aβ assembly to emerge in the brain dictates the conformation, anatomical spread and pace of subsequently formed deposits. It is hypothesized that a prion mechanism defines the molecular basis underlying the diverse clinicopathologic phenotypes observed across the spectrum of AD patients. Thus, distinct AD strains might require further sub-classification based on biochemical and structural characterization of aggregated Aβ. Here, we review the evidence for distinct, self-propagating Aβ strains, and discuss potential cellular mechanisms that might contribute to their manifestation. From this perspective, we also explore the implications of Aβ strains for current FDA-approved medical imaging probes and therapies for amyloid. Ultimately, the discovery of new molecular tools to differentiate Aβ strains and dissect the heterogeneity of AD may lead to the development of more informative diagnostics and strain-specific therapeutics.","container-title":"Neurobiology of Disease","DOI":"10.1016/j.nbd.2017.03.014","ISSN":"1095-953X","issue":"Pt B","journalAbbreviation":"Neurobiol. Dis.","language":"eng","note":"PMID: 28359847","page":"191-200","source":"PubMed","title":"Aβ propagation and strains: Implications for the phenotypic diversity in Alzheimer's disease","title-short":"Aβ propagation and strains","volume":"109","author":[{"family":"Condello","given":"Carlo"},{"family":"Stöehr","given":"Jan"}],"issued":{"date-parts":[["2018",1]]}}}],"schema":"https://github.com/citation-style-language/schema/raw/master/csl-citation.json"} </w:instrText>
      </w:r>
      <w:r w:rsidR="00C303FA" w:rsidRPr="00425573">
        <w:rPr>
          <w:rFonts w:ascii="Book Antiqua" w:hAnsi="Book Antiqua"/>
          <w:lang w:val="en-US"/>
        </w:rPr>
        <w:fldChar w:fldCharType="separate"/>
      </w:r>
      <w:r w:rsidR="00871974" w:rsidRPr="00425573">
        <w:rPr>
          <w:rFonts w:ascii="Book Antiqua" w:hAnsi="Book Antiqua"/>
          <w:vertAlign w:val="superscript"/>
          <w:lang w:val="en-US"/>
        </w:rPr>
        <w:t>[5,7–9]</w:t>
      </w:r>
      <w:r w:rsidR="00C303FA" w:rsidRPr="00425573">
        <w:rPr>
          <w:rFonts w:ascii="Book Antiqua" w:hAnsi="Book Antiqua"/>
          <w:lang w:val="en-US"/>
        </w:rPr>
        <w:fldChar w:fldCharType="end"/>
      </w:r>
      <w:r w:rsidR="00FC1CE5" w:rsidRPr="00425573">
        <w:rPr>
          <w:rFonts w:ascii="Book Antiqua" w:hAnsi="Book Antiqua"/>
          <w:lang w:val="en-US"/>
        </w:rPr>
        <w:t xml:space="preserve">, with an increasing </w:t>
      </w:r>
      <w:r w:rsidR="0035484C" w:rsidRPr="00425573">
        <w:rPr>
          <w:rFonts w:ascii="Book Antiqua" w:hAnsi="Book Antiqua"/>
          <w:lang w:val="en-US"/>
        </w:rPr>
        <w:t xml:space="preserve">prevalence </w:t>
      </w:r>
      <w:r w:rsidR="00FC1CE5" w:rsidRPr="00425573">
        <w:rPr>
          <w:rFonts w:ascii="Book Antiqua" w:hAnsi="Book Antiqua"/>
          <w:lang w:val="en-US"/>
        </w:rPr>
        <w:t>depending on age</w:t>
      </w:r>
      <w:r w:rsidR="0035484C" w:rsidRPr="00425573">
        <w:rPr>
          <w:rFonts w:ascii="Book Antiqua" w:hAnsi="Book Antiqua"/>
          <w:lang w:val="en-US"/>
        </w:rPr>
        <w:t xml:space="preserve"> </w:t>
      </w:r>
      <w:r w:rsidR="00FC1CE5" w:rsidRPr="00425573">
        <w:rPr>
          <w:rFonts w:ascii="Book Antiqua" w:hAnsi="Book Antiqua"/>
          <w:lang w:val="en-US"/>
        </w:rPr>
        <w:t>(</w:t>
      </w:r>
      <w:r w:rsidR="001A11A1" w:rsidRPr="00425573">
        <w:rPr>
          <w:rFonts w:ascii="Book Antiqua" w:hAnsi="Book Antiqua"/>
          <w:lang w:val="en-US"/>
        </w:rPr>
        <w:t xml:space="preserve">ranging </w:t>
      </w:r>
      <w:r w:rsidR="0035484C" w:rsidRPr="00425573">
        <w:rPr>
          <w:rFonts w:ascii="Book Antiqua" w:hAnsi="Book Antiqua"/>
          <w:lang w:val="en-US"/>
        </w:rPr>
        <w:t>from 0.3</w:t>
      </w:r>
      <w:r w:rsidR="0074051F" w:rsidRPr="00425573">
        <w:rPr>
          <w:rFonts w:ascii="Book Antiqua" w:hAnsi="Book Antiqua"/>
          <w:lang w:val="en-US"/>
        </w:rPr>
        <w:t>%</w:t>
      </w:r>
      <w:r w:rsidR="0075194E" w:rsidRPr="00425573">
        <w:rPr>
          <w:rFonts w:ascii="Book Antiqua" w:hAnsi="Book Antiqua"/>
          <w:lang w:val="en-US"/>
        </w:rPr>
        <w:t>-</w:t>
      </w:r>
      <w:r w:rsidR="0035484C" w:rsidRPr="00425573">
        <w:rPr>
          <w:rFonts w:ascii="Book Antiqua" w:hAnsi="Book Antiqua"/>
          <w:lang w:val="en-US"/>
        </w:rPr>
        <w:t>0.5% at age 60 to 11</w:t>
      </w:r>
      <w:r w:rsidR="0074051F" w:rsidRPr="00425573">
        <w:rPr>
          <w:rFonts w:ascii="Book Antiqua" w:hAnsi="Book Antiqua"/>
          <w:lang w:val="en-US"/>
        </w:rPr>
        <w:t>%</w:t>
      </w:r>
      <w:r w:rsidR="0075194E" w:rsidRPr="00425573">
        <w:rPr>
          <w:rFonts w:ascii="Book Antiqua" w:hAnsi="Book Antiqua"/>
          <w:lang w:val="en-US"/>
        </w:rPr>
        <w:t>-</w:t>
      </w:r>
      <w:r w:rsidR="0035484C" w:rsidRPr="00425573">
        <w:rPr>
          <w:rFonts w:ascii="Book Antiqua" w:hAnsi="Book Antiqua"/>
          <w:lang w:val="en-US"/>
        </w:rPr>
        <w:t>15% at age 80</w:t>
      </w:r>
      <w:r w:rsidR="00FC1CE5" w:rsidRPr="00425573">
        <w:rPr>
          <w:rFonts w:ascii="Book Antiqua" w:hAnsi="Book Antiqua"/>
          <w:lang w:val="en-US"/>
        </w:rPr>
        <w:t>)</w:t>
      </w:r>
      <w:r w:rsidR="00CA24C5"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{"citationID":"YKteTqE9","properties":{"formattedCitation":"\\super [10\\uc0\\u8211{}12]\\nosupersub{}","plainCitation":"[10–12]","noteIndex":0},"citationItems":[{"id":319,"uris":["http://zotero.org/groups/2394923/items/HDYRUCKH"],"uri":["http://zotero.org/groups/2394923/items/HDYRUCKH"],"itemData":{"id":319,"type":"article-journal","abstract":"Alzheimer's disease (AD) (MIM: 104300) is a highly heritable disease with great complexity in its genetic contributors, and represents the most common form of dementia. With the gradual aging of the world's population, leading to increased prevalence of AD, and the substantial cost of care for those afflicted, identifying the genetic causes of disease represents a critical effort in identifying therapeutic targets. Here we provide a comprehensive review of genomic studies of AD, from the earliest linkage studies identifying monogenic contributors to early-onset forms of AD to the genome-wide and rare variant association studies of recent years that are being used to characterize the mosaic of genetic contributors to late-onset AD (LOAD), and which have identified approximately </w:instrText>
      </w:r>
      <w:r w:rsidR="00C04A01" w:rsidRPr="00425573">
        <w:rPr>
          <w:rFonts w:ascii="Cambria Math" w:hAnsi="Cambria Math" w:cs="Cambria Math"/>
          <w:lang w:val="en-US"/>
        </w:rPr>
        <w:instrText>∼</w:instrText>
      </w:r>
      <w:r w:rsidR="00C04A01" w:rsidRPr="00425573">
        <w:rPr>
          <w:rFonts w:ascii="Book Antiqua" w:hAnsi="Book Antiqua"/>
          <w:lang w:val="en-US"/>
        </w:rPr>
        <w:instrText xml:space="preserve">20 genes with common variants contributing to LOAD risk. In addition, we explore studies employing alternative approaches to identify genetic contributors to AD, including studies of AD-related phenotypes and multi-variant association studies such as pathway analyses. Finally, we introduce studies of next-generation sequencing, which have recently helped identify multiple low-frequency and rare variant contributors to AD, and discuss on-going efforts with next-generation sequencing studies to develop statistically well- powered and comprehensive genomic studies of AD. Through this review, we help uncover the many insights the genetics of AD have provided into the pathways and pathophysiology of AD. © 2016 Wiley Periodicals, Inc.","container-title":"American Journal of Medical Genetics. Part B, Neuropsychiatric Genetics: The Official Publication of the International Society of Psychiatric Genetics","DOI":"10.1002/ajmg.b.32499","ISSN":"1552-485X","issue":"1","journalAbbreviation":"Am. J. Med. Genet. B Neuropsychiatr. Genet.","language":"eng","note":"PMID: 27943641\nPMCID: PMC6179157","page":"5-26","source":"PubMed","title":"Genomic variants, genes, and pathways of Alzheimer's disease: An overview","title-short":"Genomic variants, genes, and pathways of Alzheimer's disease","volume":"174","author":[{"family":"Naj","given":"Adam C."},{"family":"Schellenberg","given":"Gerard D."},{"literal":"Alzheimer's Disease Genetics Consortium (ADGC)"}],"issued":{"date-parts":[["2017"]]}}},{"id":106,"uris":["http://zotero.org/groups/2394923/items/46BRRH2K"],"uri":["http://zotero.org/groups/2394923/items/46BRRH2K"],"itemData":{"id":106,"type":"article-journal","abstract":"Background\nGiven the increasing lifespan of the elderly and the higher proportion of older people in the global population, the incidence rate of neurodegenerative diseases is increasing. The aim of this study is to evaluate, by means of computer simulations, developments in the costs of treating and caring for people suffering from Alzheimer’s disease (AD) in the EU 28 by 2080, while assuming the introduction of drug administrations at various disease stages.\n\nMethods\nImpact analysis leverages a mathematical model that compares five different population development scenarios when introducing different types of drugs to the scenarios but without changing the treatment. Changes in the economic burden are considered as of 2023, when new drugs are expected to enter the market.\n\nFindings\nThe results of the simulations show that by prolonging the length of a person’s ‘stay’ in the Mild, Moderate, or Severe stage, the total cost of care for all persons with AD will increase by 2080. For individual scenarios, the percentage of patients and costs increased as follows: Mild by one year, by 10.61%; Mild by two years, by 17.73%; Moderate by one year, by 16.79%; Moderate by two years, by 34.88%; and Severe by one year, by 23.79%. The change in cost development when prolonging the stay in the Mild cognitive impairment stage (by lowering the incidence by 10%, 30%, or 50%) reduced the cost (by 4.88%, 16.78% and 32.48%, respectively).\n\nInterpretation\nThe results unambiguously show that any intervention prolonging a patient’s stay in any stage will incur additional care costs and an increase in the number of persons with AD. Therefore, extending lifespan is important in terms of improving the quality of life of patients, and the introduction of new drugs must consider the additional costs imposed upon society.","container-title":"PLoS ONE","DOI":"10.1371/journal.pone.0210958","ISSN":"1932-6203","issue":"1","journalAbbreviation":"PLoS One","note":"PMID: 30682120\nPMCID: PMC6347248","source":"PubMed Central","title":"Predictions of Alzheimer’s disease treatment and care costs in European countries","URL":"https://www.ncbi.nlm.nih.gov/pmc/articles/PMC6347248/","volume":"14","author":[{"family":"Cimler","given":"Richard"},{"family":"Maresova","given":"Petra"},{"family":"Kuhnova","given":"Jitka"},{"family":"Kuca","given":"Kamil"}],"accessed":{"date-parts":[["2019",10,29]]},"issued":{"date-parts":[["2019",1,25]]}}},{"id":322,"uris":["http://zotero.org/groups/2394923/items/JZLJPNZ8"],"uri":["http://zotero.org/groups/2394923/items/JZLJPNZ8"],"itemData":{"id":322,"type":"article-journal","abstract":"PURPOSE: The goal of this literature review was to determine the validity and policy relevance of recent estimates from many countries of Alzheimer's disease (AD) costs.\nDESIGN AND METHODS: We searched Medline and other databases for English-language peer-reviewed journals on total, direct, indirect, and per case cost of AD that used 1985-2000 data. We adjusted costs of U.S. studies for inflation. We adjusted non-U.S. studies by that country's medical cost inflation rate and purchasing power parity (PPP).\nRESULTS: Of 71 studies identified, 21 met all criteria for inclusion. Annual inflation adjusted U.S. total costs of AD varied from $5.6 billion to $88.3 billion. AD total per case (direct and indirect) costs varied from $1,500 to $91,000; indirect/family costs varied from $3,700 to $21,000. Among non-U.S. studies, AD annual adjusted per case costs varied from PPP $2,300 to PPP $30,000. Cost variation was due to diverse study methods, data sources, services included, and lack of clear differentiation between cost of AD and cost of caring for people with AD.\nIMPLICATIONS: The cost of AD is high, although reliable estimates are not available. Costs are likely to rise given expected demographic shifts in all countries. The widely variable cost estimates call into question the real costs of Alzheimer's disease and their applicability to policy initiatives.","container-title":"The Gerontologist","DOI":"10.1093/geront/43.2.158","ISSN":"0016-9013","issue":"2","journalAbbreviation":"Gerontologist","language":"eng","note":"PMID: 12677073","page":"158-164","source":"PubMed","title":"Cost of illness of Alzheimer's disease: how useful are current estimates?","title-short":"Cost of illness of Alzheimer's disease","volume":"43","author":[{"family":"Bloom","given":"Bernard S."},{"family":"Pouvourville","given":"Nathalie","non-dropping-particle":"de"},{"family":"Straus","given":"Walter L."}],"issued":{"date-parts":[["2003",4]]}}}],"schema":"https://github.com/citation-style-language/schema/raw/master/csl-citation.json"} </w:instrText>
      </w:r>
      <w:r w:rsidR="00CA24C5" w:rsidRPr="00425573">
        <w:rPr>
          <w:rFonts w:ascii="Book Antiqua" w:hAnsi="Book Antiqua"/>
          <w:lang w:val="en-US"/>
        </w:rPr>
        <w:fldChar w:fldCharType="separate"/>
      </w:r>
      <w:r w:rsidR="00871974" w:rsidRPr="00425573">
        <w:rPr>
          <w:rFonts w:ascii="Book Antiqua" w:hAnsi="Book Antiqua"/>
          <w:vertAlign w:val="superscript"/>
          <w:lang w:val="en-US"/>
        </w:rPr>
        <w:t>[10–12]</w:t>
      </w:r>
      <w:r w:rsidR="00CA24C5" w:rsidRPr="00425573">
        <w:rPr>
          <w:rFonts w:ascii="Book Antiqua" w:hAnsi="Book Antiqua"/>
          <w:lang w:val="en-US"/>
        </w:rPr>
        <w:fldChar w:fldCharType="end"/>
      </w:r>
      <w:r w:rsidR="00CC1F44" w:rsidRPr="00425573">
        <w:rPr>
          <w:rFonts w:ascii="Book Antiqua" w:hAnsi="Book Antiqua"/>
          <w:lang w:val="en-US"/>
        </w:rPr>
        <w:t>.</w:t>
      </w:r>
      <w:r w:rsidR="001F4EAD" w:rsidRPr="00425573">
        <w:rPr>
          <w:rFonts w:ascii="Book Antiqua" w:hAnsi="Book Antiqua"/>
          <w:lang w:val="en-US"/>
        </w:rPr>
        <w:t xml:space="preserve"> </w:t>
      </w:r>
      <w:r w:rsidR="00C9279C" w:rsidRPr="00425573">
        <w:rPr>
          <w:rFonts w:ascii="Book Antiqua" w:hAnsi="Book Antiqua" w:cs="Times"/>
          <w:color w:val="000000" w:themeColor="text1"/>
          <w:lang w:val="en-US"/>
        </w:rPr>
        <w:t>PD</w:t>
      </w:r>
      <w:r w:rsidR="00075FC3" w:rsidRPr="00425573">
        <w:rPr>
          <w:rFonts w:ascii="Book Antiqua" w:hAnsi="Book Antiqua" w:cs="Times"/>
          <w:color w:val="000000" w:themeColor="text1"/>
          <w:lang w:val="en-US"/>
        </w:rPr>
        <w:t xml:space="preserve"> </w:t>
      </w:r>
      <w:r w:rsidR="001A11A1" w:rsidRPr="00425573">
        <w:rPr>
          <w:rFonts w:ascii="Book Antiqua" w:hAnsi="Book Antiqua" w:cs="Times"/>
          <w:color w:val="000000" w:themeColor="text1"/>
          <w:lang w:val="en-US"/>
        </w:rPr>
        <w:t>affects 0</w:t>
      </w:r>
      <w:r w:rsidR="0074051F" w:rsidRPr="00425573">
        <w:rPr>
          <w:rFonts w:ascii="Book Antiqua" w:hAnsi="Book Antiqua" w:cs="Times"/>
          <w:color w:val="000000" w:themeColor="text1"/>
          <w:lang w:val="en-US"/>
        </w:rPr>
        <w:t>.</w:t>
      </w:r>
      <w:r w:rsidR="001A11A1" w:rsidRPr="00425573">
        <w:rPr>
          <w:rFonts w:ascii="Book Antiqua" w:hAnsi="Book Antiqua" w:cs="Times"/>
          <w:color w:val="000000" w:themeColor="text1"/>
          <w:lang w:val="en-US"/>
        </w:rPr>
        <w:t>3% of the worldwide population, with prevalence increasing by age</w:t>
      </w:r>
      <w:r w:rsidR="00902BF5" w:rsidRPr="00425573">
        <w:rPr>
          <w:rFonts w:ascii="Book Antiqua" w:hAnsi="Book Antiqua" w:cs="Times"/>
          <w:color w:val="000000" w:themeColor="text1"/>
          <w:lang w:val="en-US"/>
        </w:rPr>
        <w:t>;</w:t>
      </w:r>
      <w:r w:rsidR="00675855" w:rsidRPr="00425573">
        <w:rPr>
          <w:rFonts w:ascii="Book Antiqua" w:hAnsi="Book Antiqua" w:cs="Times"/>
          <w:color w:val="000000" w:themeColor="text1"/>
          <w:lang w:val="en-US"/>
        </w:rPr>
        <w:t xml:space="preserve"> </w:t>
      </w:r>
      <w:r w:rsidR="00902BF5" w:rsidRPr="00425573">
        <w:rPr>
          <w:rFonts w:ascii="Book Antiqua" w:hAnsi="Book Antiqua" w:cs="Times"/>
          <w:color w:val="000000" w:themeColor="text1"/>
          <w:lang w:val="en-US"/>
        </w:rPr>
        <w:t>i</w:t>
      </w:r>
      <w:r w:rsidR="00075FC3" w:rsidRPr="00425573">
        <w:rPr>
          <w:rFonts w:ascii="Book Antiqua" w:hAnsi="Book Antiqua" w:cs="Times"/>
          <w:color w:val="000000" w:themeColor="text1"/>
          <w:lang w:val="en-US"/>
        </w:rPr>
        <w:t>n fact</w:t>
      </w:r>
      <w:r w:rsidR="001A11A1" w:rsidRPr="00425573">
        <w:rPr>
          <w:rFonts w:ascii="Book Antiqua" w:hAnsi="Book Antiqua" w:cs="Times"/>
          <w:color w:val="000000" w:themeColor="text1"/>
          <w:lang w:val="en-US"/>
        </w:rPr>
        <w:t>,</w:t>
      </w:r>
      <w:r w:rsidR="00075FC3" w:rsidRPr="00425573">
        <w:rPr>
          <w:rFonts w:ascii="Book Antiqua" w:hAnsi="Book Antiqua" w:cs="Times"/>
          <w:color w:val="000000" w:themeColor="text1"/>
          <w:lang w:val="en-US"/>
        </w:rPr>
        <w:t xml:space="preserve"> it is estimated </w:t>
      </w:r>
      <w:r w:rsidR="001A11A1" w:rsidRPr="00425573">
        <w:rPr>
          <w:rFonts w:ascii="Book Antiqua" w:hAnsi="Book Antiqua" w:cs="Times"/>
          <w:color w:val="000000" w:themeColor="text1"/>
          <w:lang w:val="en-US"/>
        </w:rPr>
        <w:t xml:space="preserve">to be </w:t>
      </w:r>
      <w:r w:rsidR="00075FC3" w:rsidRPr="00425573">
        <w:rPr>
          <w:rFonts w:ascii="Book Antiqua" w:hAnsi="Book Antiqua" w:cs="Times"/>
          <w:color w:val="000000" w:themeColor="text1"/>
          <w:lang w:val="en-US"/>
        </w:rPr>
        <w:t>1%</w:t>
      </w:r>
      <w:r w:rsidR="00852667" w:rsidRPr="00425573">
        <w:rPr>
          <w:rFonts w:ascii="Book Antiqua" w:hAnsi="Book Antiqua" w:cs="Times"/>
          <w:color w:val="000000" w:themeColor="text1"/>
          <w:lang w:val="en-US"/>
        </w:rPr>
        <w:t xml:space="preserve"> in people over 60 years of age</w:t>
      </w:r>
      <w:r w:rsidR="00075FC3" w:rsidRPr="00425573">
        <w:rPr>
          <w:rFonts w:ascii="Book Antiqua" w:hAnsi="Book Antiqua" w:cs="Times"/>
          <w:color w:val="000000" w:themeColor="text1"/>
          <w:lang w:val="en-US"/>
        </w:rPr>
        <w:t xml:space="preserve"> and </w:t>
      </w:r>
      <w:r w:rsidR="004E7CC6" w:rsidRPr="00425573">
        <w:rPr>
          <w:rFonts w:ascii="Book Antiqua" w:hAnsi="Book Antiqua" w:cs="Times"/>
          <w:color w:val="000000" w:themeColor="text1"/>
          <w:lang w:val="en-US"/>
        </w:rPr>
        <w:t>3</w:t>
      </w:r>
      <w:r w:rsidR="0074051F" w:rsidRPr="00425573">
        <w:rPr>
          <w:rFonts w:ascii="Book Antiqua" w:hAnsi="Book Antiqua" w:cs="Times"/>
          <w:color w:val="000000" w:themeColor="text1"/>
          <w:lang w:val="en-US"/>
        </w:rPr>
        <w:t>%</w:t>
      </w:r>
      <w:r w:rsidR="004E7CC6" w:rsidRPr="00425573">
        <w:rPr>
          <w:rFonts w:ascii="Book Antiqua" w:hAnsi="Book Antiqua" w:cs="Times"/>
          <w:color w:val="000000" w:themeColor="text1"/>
          <w:lang w:val="en-US"/>
        </w:rPr>
        <w:t>-</w:t>
      </w:r>
      <w:r w:rsidR="00075FC3" w:rsidRPr="00425573">
        <w:rPr>
          <w:rFonts w:ascii="Book Antiqua" w:hAnsi="Book Antiqua" w:cs="Times"/>
          <w:color w:val="000000" w:themeColor="text1"/>
          <w:lang w:val="en-US"/>
        </w:rPr>
        <w:t>5% in individuals over 85</w:t>
      </w:r>
      <w:r w:rsidR="00F679F0" w:rsidRPr="00425573">
        <w:rPr>
          <w:rFonts w:ascii="Book Antiqua" w:hAnsi="Book Antiqua" w:cs="Times"/>
          <w:color w:val="000000" w:themeColor="text1"/>
          <w:lang w:val="en-US"/>
        </w:rPr>
        <w:fldChar w:fldCharType="begin"/>
      </w:r>
      <w:r w:rsidR="00C04A01" w:rsidRPr="00425573">
        <w:rPr>
          <w:rFonts w:ascii="Book Antiqua" w:hAnsi="Book Antiqua" w:cs="Times"/>
          <w:color w:val="000000" w:themeColor="text1"/>
          <w:lang w:val="en-US"/>
        </w:rPr>
        <w:instrText xml:space="preserve"> ADDIN ZOTERO_ITEM CSL_CITATION {"citationID":"2NxOkrMr","properties":{"formattedCitation":"\\super [13,14]\\nosupersub{}","plainCitation":"[13,14]","noteIndex":0},"citationItems":[{"id":49,"uris":["http://zotero.org/groups/2394923/items/Y9NFCHCY"],"uri":["http://zotero.org/groups/2394923/items/Y9NFCHCY"],"itemData":{"id":49,"type":"article-journal","abstract":"Parkinson's disease (PD) affects 1-2 per 1000 of the population at any time. PD prevalence is increasing with age and PD affects 1% of the population above 60 years. The main neuropathological finding is α-synuclein-containing Lewy bodies and loss of dopaminergic neurons in the substantia nigra, manifesting as reduced facilitation of voluntary movements. With progression of PD, Lewy body pathology spreads to neocortical and cortical regions. PD is regarded as a movement disorder with three cardinal signs: tremor, rigidity and bradykinesia. A recent revision of the diagnostic criteria excludes postural instability as a fourth hallmark and defines supportive criteria, absolute exclusion criteria and red flags. Non-motor symptoms in PD have gained increasing attention and both motor and non-motor signs are now included among the supportive criteria. The cause of PD is unknown in most cases. Genetic risk factors have been identified, including monogenetic causes that are rare in unselected populations. Some genetic factor can be identified in 5-10% of the patients. Several environmental factors are associated with increased risk of PD. Autopsy studies show that the clinical diagnosis of PD is not confirmed at autopsy in a significant proportion of patients. Revised diagnostic criteria are expected to improve the clinician´s accuracy in diagnosing PD. Increasing knowledge on genetic and environmental risk factors of PD will probably elucidate the cause of this disease within the near future.","container-title":"Journal of Neural Transmission (Vienna, Austria: 1996)","DOI":"10.1007/s00702-017-1686-y","ISSN":"1435-1463","issue":"8","journalAbbreviation":"J Neural Transm (Vienna)","language":"eng","note":"PMID: 28150045","page":"901-905","source":"PubMed","title":"Epidemiology of Parkinson's disease","volume":"124","author":[{"family":"Tysnes","given":"Ole-Bjørn"},{"family":"Storstein","given":"Anette"}],"issued":{"date-parts":[["2017"]]}}},{"id":330,"uris":["http://zotero.org/groups/2394923/items/7Y88YHCV"],"uri":["http://zotero.org/groups/2394923/items/7Y88YHCV"],"itemData":{"id":330,"type":"article-journal","abstract":"As the second most common age related neurodegenerative disease after Alzheimer's disease, the health, social and economic impact resulting from Parkinson's disease will continue to increase alongside the longevity of the population. Ageing remains the biggest risk factor for developing idiopathic Parkinson's disease. Although research into the mechanisms leading to cell death in Parkinson's disease has shed light on many aspects of the pathogenesis of this disorder, we still cannot answer the fundamental question, what specific age related factors predispose some individuals to develop this common neurodegenerative disease. In this review we focus specifically on the neuronal population associated with the motor symptoms of Parkinson's disease, the dopaminergic neurons of the substantia nigra, and try to understand how ageing puts these neurons at risk to the extent that a slight change in protein metabolism or mitochondrial function can push the cells over the edge leading to catastrophic cell death and many of the symptoms seen in Parkinson's disease. We review the evidence that ageing is important for the development of Parkinson's disease and how age related decline leads to the loss of neurons within this disease, before describing exactly how advancing age may lead to substantia nigra neuronal loss and Parkinson's disease in some individuals.","container-title":"Ageing Research Reviews","DOI":"10.1016/j.arr.2014.01.004","ISSN":"1872-9649","journalAbbreviation":"Ageing Res. Rev.","language":"eng","note":"PMID: 24503004\nPMCID: PMC3989046","page":"19-30","source":"PubMed","title":"Ageing and Parkinson's disease: why is advancing age the biggest risk factor?","title-short":"Ageing and Parkinson's disease","volume":"14","author":[{"family":"Reeve","given":"Amy"},{"family":"Simcox","given":"Eve"},{"family":"Turnbull","given":"Doug"}],"issued":{"date-parts":[["2014",3]]}}}],"schema":"https://github.com/citation-style-language/schema/raw/master/csl-citation.json"} </w:instrText>
      </w:r>
      <w:r w:rsidR="00F679F0" w:rsidRPr="00425573">
        <w:rPr>
          <w:rFonts w:ascii="Book Antiqua" w:hAnsi="Book Antiqua" w:cs="Times"/>
          <w:color w:val="000000" w:themeColor="text1"/>
          <w:lang w:val="en-US"/>
        </w:rPr>
        <w:fldChar w:fldCharType="separate"/>
      </w:r>
      <w:r w:rsidR="00D92382" w:rsidRPr="00425573">
        <w:rPr>
          <w:rFonts w:ascii="Book Antiqua" w:hAnsi="Book Antiqua"/>
          <w:vertAlign w:val="superscript"/>
          <w:lang w:val="en-US"/>
        </w:rPr>
        <w:t>[13,14]</w:t>
      </w:r>
      <w:r w:rsidR="00F679F0" w:rsidRPr="00425573">
        <w:rPr>
          <w:rFonts w:ascii="Book Antiqua" w:hAnsi="Book Antiqua" w:cs="Times"/>
          <w:color w:val="000000" w:themeColor="text1"/>
          <w:lang w:val="en-US"/>
        </w:rPr>
        <w:fldChar w:fldCharType="end"/>
      </w:r>
      <w:r w:rsidR="007D247C" w:rsidRPr="00425573">
        <w:rPr>
          <w:rFonts w:ascii="Book Antiqua" w:hAnsi="Book Antiqua" w:cs="Times"/>
          <w:color w:val="000000" w:themeColor="text1"/>
          <w:lang w:val="en-US"/>
        </w:rPr>
        <w:t>.</w:t>
      </w:r>
      <w:r w:rsidR="00F41A33" w:rsidRPr="00425573">
        <w:rPr>
          <w:rFonts w:ascii="Book Antiqua" w:hAnsi="Book Antiqua" w:cs="Times"/>
          <w:color w:val="000000" w:themeColor="text1"/>
          <w:lang w:val="en-US"/>
        </w:rPr>
        <w:t xml:space="preserve"> </w:t>
      </w:r>
      <w:r w:rsidR="00AD2BF3" w:rsidRPr="00425573">
        <w:rPr>
          <w:rFonts w:ascii="Book Antiqua" w:hAnsi="Book Antiqua"/>
          <w:color w:val="000000" w:themeColor="text1"/>
          <w:lang w:val="en-US"/>
        </w:rPr>
        <w:t>The clinical features</w:t>
      </w:r>
      <w:r w:rsidR="00F41A33" w:rsidRPr="00425573">
        <w:rPr>
          <w:rFonts w:ascii="Book Antiqua" w:hAnsi="Book Antiqua"/>
          <w:color w:val="000000" w:themeColor="text1"/>
          <w:lang w:val="en-US"/>
        </w:rPr>
        <w:t xml:space="preserve"> of PD</w:t>
      </w:r>
      <w:r w:rsidR="00AD2BF3" w:rsidRPr="00425573">
        <w:rPr>
          <w:rFonts w:ascii="Book Antiqua" w:hAnsi="Book Antiqua"/>
          <w:color w:val="000000" w:themeColor="text1"/>
          <w:lang w:val="en-US"/>
        </w:rPr>
        <w:t xml:space="preserve"> include </w:t>
      </w:r>
      <w:r w:rsidR="00AD2BF3" w:rsidRPr="00425573">
        <w:rPr>
          <w:rFonts w:ascii="Book Antiqua" w:hAnsi="Book Antiqua" w:cs="Times New Roman"/>
          <w:color w:val="000000" w:themeColor="text1"/>
          <w:lang w:val="en-US"/>
        </w:rPr>
        <w:t>typical motor symptomatology</w:t>
      </w:r>
      <w:r w:rsidR="00FC1CE5" w:rsidRPr="00425573">
        <w:rPr>
          <w:rFonts w:ascii="Book Antiqua" w:hAnsi="Book Antiqua" w:cs="Times New Roman"/>
          <w:color w:val="000000" w:themeColor="text1"/>
          <w:lang w:val="en-US"/>
        </w:rPr>
        <w:t xml:space="preserve"> (</w:t>
      </w:r>
      <w:r w:rsidR="00BA721A" w:rsidRPr="00425573">
        <w:rPr>
          <w:rFonts w:ascii="Book Antiqua" w:hAnsi="Book Antiqua" w:cs="Times New Roman"/>
          <w:color w:val="000000" w:themeColor="text1"/>
          <w:lang w:val="en-US"/>
        </w:rPr>
        <w:t>bradykinesia,</w:t>
      </w:r>
      <w:r w:rsidR="004349C0" w:rsidRPr="00425573">
        <w:rPr>
          <w:rFonts w:ascii="Book Antiqua" w:hAnsi="Book Antiqua" w:cs="Times New Roman"/>
          <w:color w:val="000000" w:themeColor="text1"/>
          <w:lang w:val="en-US"/>
        </w:rPr>
        <w:t xml:space="preserve"> resting tremor,</w:t>
      </w:r>
      <w:r w:rsidR="00BC1DF5" w:rsidRPr="00425573">
        <w:rPr>
          <w:rFonts w:ascii="Book Antiqua" w:hAnsi="Book Antiqua" w:cs="Times New Roman"/>
          <w:color w:val="000000" w:themeColor="text1"/>
          <w:lang w:val="en-US"/>
        </w:rPr>
        <w:t xml:space="preserve"> </w:t>
      </w:r>
      <w:r w:rsidR="00CB1FAD" w:rsidRPr="00425573">
        <w:rPr>
          <w:rFonts w:ascii="Book Antiqua" w:hAnsi="Book Antiqua" w:cs="Times New Roman"/>
          <w:color w:val="000000" w:themeColor="text1"/>
          <w:lang w:val="en-US"/>
        </w:rPr>
        <w:t>postural in</w:t>
      </w:r>
      <w:r w:rsidR="00306AF0" w:rsidRPr="00425573">
        <w:rPr>
          <w:rFonts w:ascii="Book Antiqua" w:hAnsi="Book Antiqua" w:cs="Times New Roman"/>
          <w:color w:val="000000" w:themeColor="text1"/>
          <w:lang w:val="en-US"/>
        </w:rPr>
        <w:t>stability</w:t>
      </w:r>
      <w:r w:rsidR="00FB37AB" w:rsidRPr="00425573">
        <w:rPr>
          <w:rFonts w:ascii="Book Antiqua" w:hAnsi="Book Antiqua" w:cs="Times New Roman"/>
          <w:color w:val="000000" w:themeColor="text1"/>
          <w:lang w:val="en-US"/>
        </w:rPr>
        <w:t>,</w:t>
      </w:r>
      <w:r w:rsidR="00306AF0" w:rsidRPr="00425573">
        <w:rPr>
          <w:rFonts w:ascii="Book Antiqua" w:hAnsi="Book Antiqua" w:cs="Times New Roman"/>
          <w:color w:val="000000" w:themeColor="text1"/>
          <w:lang w:val="en-US"/>
        </w:rPr>
        <w:t xml:space="preserve"> and gait difficulties</w:t>
      </w:r>
      <w:r w:rsidR="00FC1CE5" w:rsidRPr="00425573">
        <w:rPr>
          <w:rFonts w:ascii="Book Antiqua" w:hAnsi="Book Antiqua" w:cs="Times New Roman"/>
          <w:color w:val="000000" w:themeColor="text1"/>
          <w:lang w:val="en-US"/>
        </w:rPr>
        <w:t>) and</w:t>
      </w:r>
      <w:r w:rsidR="00AE062B" w:rsidRPr="00425573">
        <w:rPr>
          <w:rFonts w:ascii="Book Antiqua" w:hAnsi="Book Antiqua" w:cs="Times New Roman"/>
          <w:color w:val="000000" w:themeColor="text1"/>
          <w:lang w:val="en-US"/>
        </w:rPr>
        <w:t xml:space="preserve"> </w:t>
      </w:r>
      <w:r w:rsidR="00BC1DF5" w:rsidRPr="00425573">
        <w:rPr>
          <w:rFonts w:ascii="Book Antiqua" w:hAnsi="Book Antiqua" w:cs="Times New Roman"/>
          <w:color w:val="000000" w:themeColor="text1"/>
          <w:lang w:val="en-US"/>
        </w:rPr>
        <w:t xml:space="preserve">non-motor </w:t>
      </w:r>
      <w:r w:rsidR="00FC1CE5" w:rsidRPr="00425573">
        <w:rPr>
          <w:rFonts w:ascii="Book Antiqua" w:hAnsi="Book Antiqua" w:cs="Times New Roman"/>
          <w:color w:val="000000" w:themeColor="text1"/>
          <w:lang w:val="en-US"/>
        </w:rPr>
        <w:t>symptoms (</w:t>
      </w:r>
      <w:r w:rsidR="00BA721A" w:rsidRPr="00425573">
        <w:rPr>
          <w:rFonts w:ascii="Book Antiqua" w:hAnsi="Book Antiqua" w:cs="Times New Roman"/>
          <w:color w:val="000000" w:themeColor="text1"/>
          <w:lang w:val="en-US"/>
        </w:rPr>
        <w:t>dysautonomia, sleep disturbances, mood</w:t>
      </w:r>
      <w:r w:rsidR="00FB37AB" w:rsidRPr="00425573">
        <w:rPr>
          <w:rFonts w:ascii="Book Antiqua" w:hAnsi="Book Antiqua" w:cs="Times New Roman"/>
          <w:color w:val="000000" w:themeColor="text1"/>
          <w:lang w:val="en-US"/>
        </w:rPr>
        <w:t>,</w:t>
      </w:r>
      <w:r w:rsidR="00BA721A" w:rsidRPr="00425573">
        <w:rPr>
          <w:rFonts w:ascii="Book Antiqua" w:hAnsi="Book Antiqua" w:cs="Times New Roman"/>
          <w:color w:val="000000" w:themeColor="text1"/>
          <w:lang w:val="en-US"/>
        </w:rPr>
        <w:t xml:space="preserve"> </w:t>
      </w:r>
      <w:r w:rsidR="00AE062B" w:rsidRPr="00425573">
        <w:rPr>
          <w:rFonts w:ascii="Book Antiqua" w:hAnsi="Book Antiqua" w:cs="Times New Roman"/>
          <w:color w:val="000000" w:themeColor="text1"/>
          <w:lang w:val="en-US"/>
        </w:rPr>
        <w:t xml:space="preserve">and cognitive </w:t>
      </w:r>
      <w:r w:rsidR="00BA721A" w:rsidRPr="00425573">
        <w:rPr>
          <w:rFonts w:ascii="Book Antiqua" w:hAnsi="Book Antiqua" w:cs="Times New Roman"/>
          <w:color w:val="000000" w:themeColor="text1"/>
          <w:lang w:val="en-US"/>
        </w:rPr>
        <w:t>disorders</w:t>
      </w:r>
      <w:r w:rsidR="00FC1CE5" w:rsidRPr="00425573">
        <w:rPr>
          <w:rFonts w:ascii="Book Antiqua" w:hAnsi="Book Antiqua" w:cs="Times New Roman"/>
          <w:color w:val="000000" w:themeColor="text1"/>
          <w:lang w:val="en-US"/>
        </w:rPr>
        <w:t>)</w:t>
      </w:r>
      <w:r w:rsidR="00E91C48" w:rsidRPr="00425573">
        <w:rPr>
          <w:rFonts w:ascii="Book Antiqua" w:hAnsi="Book Antiqua" w:cs="Times New Roman"/>
          <w:color w:val="000000" w:themeColor="text1"/>
          <w:lang w:val="en-US"/>
        </w:rPr>
        <w:fldChar w:fldCharType="begin"/>
      </w:r>
      <w:r w:rsidR="00C04A01" w:rsidRPr="00425573">
        <w:rPr>
          <w:rFonts w:ascii="Book Antiqua" w:hAnsi="Book Antiqua" w:cs="Times New Roman"/>
          <w:color w:val="000000" w:themeColor="text1"/>
          <w:lang w:val="en-US"/>
        </w:rPr>
        <w:instrText xml:space="preserve"> ADDIN ZOTERO_ITEM CSL_CITATION {"citationID":"V64GCPUD","properties":{"formattedCitation":"\\super [15,16]\\nosupersub{}","plainCitation":"[15,16]","noteIndex":0},"citationItems":[{"id":335,"uris":["http://zotero.org/groups/2394923/items/XHL7XVHU"],"uri":["http://zotero.org/groups/2394923/items/XHL7XVHU"],"itemData":{"id":335,"type":"article-journal","abstract":"The leucine rich repeat kinase 2 (LRRK2/dardarin) is implicated in autosomal dominant familial and sporadic Parkinson's disease (PD); mutations in LRRK2 account for up to 40% of PD cases in some populations. LRRK2 is a large protein with a kinase domain, a GTPase domain, and multiple potential protein interaction domains. As such, delineating the functional pathways for LRRK2 and mechanisms by which PD-linked variants contribute to age-related neurodegeneration could result in pharmaceutically tractable therapies. A growing number of recent studies implicate dysregulation of mitogen activated protein kinases 3 and 1 (also known as ERK1/2) as possible downstream mediators of mutant LRRK2 effects. As these master regulators of growth, differentiation, neuronal plasticity and cell survival have also been implicated in other PD models, a set of common cell biological pathways may contribute to neuronal susceptibility in PD. Here, we review the literature on several major cellular pathways impacted by LRRK2 mutations--autophagy, microtubule/cytoskeletal dynamics, and protein synthesis--in context of potential signaling crosstalk involving the ERK1/2 and Wnt signaling pathways. Emerging implications for calcium homeostasis, mitochondrial biology and synaptic dysregulation are discussed in relation to LRRK2 interactions with other PD gene products. It has been shown that substantia nigra neurons in human PD and Lewy body dementia patients exhibit cytoplasmic accumulations of ERK1/2 in mitochondria, autophagosomes and bundles of intracellular fibrils. Both experimental and human tissue data implicate pathogenic changes in ERK1/2 signaling in sporadic, toxin-based and mutant LRRK2 settings, suggesting engagement of common cell biological pathways by divergent PD etiologies.","container-title":"Biochimica Et Biophysica Acta","DOI":"10.1016/j.bbadis.2013.11.005","ISSN":"0006-3002","issue":"8","journalAbbreviation":"Biochim. Biophys. Acta","language":"eng","note":"PMID: 24225420\nPMCID: PMC4016799","page":"1273-1281","source":"PubMed","title":"ERKed by LRRK2: a cell biological perspective on hereditary and sporadic Parkinson's disease","title-short":"ERKed by LRRK2","volume":"1842","author":[{"family":"Verma","given":"Manish"},{"family":"Steer","given":"Erin K."},{"family":"Chu","given":"Charleen T."}],"issued":{"date-parts":[["2014",8]]}}},{"id":340,"uris":["http://zotero.org/groups/2394923/items/AYF8TLPN"],"uri":["http://zotero.org/groups/2394923/items/AYF8TLPN"],"itemData":{"id":340,"type":"article-journal","abstract":"BACKGROUND: Blogs have become a major venue of information sharing and emotional release for people worldwide. Illness blogs are a specific type of blog in which patients describe their experience with illness and coping with disease. Illness blog research has been conducted on several disorders; however, blogs by Parkinson's disease (PD) patients have been neglected.\nOBJECTIVES: To categorize the characteristics of PD patients from blogs and explore whether we can learn about the medical issues with which they are most concerned, as conveyed through their blog posts.\nMETHODS: Using located PD patients' blogs, we analyzed the contents of 78 blogs, and employed thematic analysis of eight arbitrarily selected blogs.\nRESULTS: The majority of blog authors in our sample (N=78) were from the United States (42%). The number of blogs written by male and female authors was fairly similar: 49% and 44%, respectively, while gender was unknown for 7%. Blogs were written by both early- and late-onset PD patients. The thematic analysis revealed five major themes: diagnosis, symptoms, treatment, coping mechanisms, and information.\nCONCLUSIONS: Thematic analysis of blogs by PD patients provided considerable information and insight regarding the experience of these patients, which is significant to other patients and their families, as well as to medical professionals. Further qualitative studies of larger blog samples utilizing data mining techniques are needed to further explore the subjective experiences of patients.","container-title":"The Israel Medical Association journal: IMAJ","ISSN":"1565-1088","issue":"11","journalAbbreviation":"Isr. Med. Assoc. J.","language":"eng","note":"PMID: 29185282","page":"685-690","source":"PubMed","title":"The Lived Experience of Parkinson's Disease: A Content Analysis of Parkinson's Patients' Blogs","title-short":"The Lived Experience of Parkinson's Disease","volume":"19","author":[{"family":"Shapira","given":"Amy L."},{"family":"Handzel","given":"Ruth"},{"family":"Korczyn","given":"Amos D."}],"issued":{"date-parts":[["2017",11]]}}}],"schema":"https://github.com/citation-style-language/schema/raw/master/csl-citation.json"} </w:instrText>
      </w:r>
      <w:r w:rsidR="00E91C48" w:rsidRPr="00425573">
        <w:rPr>
          <w:rFonts w:ascii="Book Antiqua" w:hAnsi="Book Antiqua" w:cs="Times New Roman"/>
          <w:color w:val="000000" w:themeColor="text1"/>
          <w:lang w:val="en-US"/>
        </w:rPr>
        <w:fldChar w:fldCharType="separate"/>
      </w:r>
      <w:r w:rsidR="00D92382" w:rsidRPr="00425573">
        <w:rPr>
          <w:rFonts w:ascii="Book Antiqua" w:hAnsi="Book Antiqua"/>
          <w:vertAlign w:val="superscript"/>
          <w:lang w:val="en-US"/>
        </w:rPr>
        <w:t>[15,16]</w:t>
      </w:r>
      <w:r w:rsidR="00E91C48" w:rsidRPr="00425573">
        <w:rPr>
          <w:rFonts w:ascii="Book Antiqua" w:hAnsi="Book Antiqua" w:cs="Times New Roman"/>
          <w:color w:val="000000" w:themeColor="text1"/>
          <w:lang w:val="en-US"/>
        </w:rPr>
        <w:fldChar w:fldCharType="end"/>
      </w:r>
      <w:r w:rsidR="00E91C48" w:rsidRPr="00425573">
        <w:rPr>
          <w:rFonts w:ascii="Book Antiqua" w:hAnsi="Book Antiqua" w:cs="Times New Roman"/>
          <w:color w:val="000000" w:themeColor="text1"/>
          <w:lang w:val="en-US"/>
        </w:rPr>
        <w:t xml:space="preserve">. </w:t>
      </w:r>
    </w:p>
    <w:p w14:paraId="44AD0B30" w14:textId="3229DEA6" w:rsidR="007F525B" w:rsidRPr="00425573" w:rsidRDefault="00F41A33"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 xml:space="preserve">T2D, AD and PD </w:t>
      </w:r>
      <w:r w:rsidR="007F525B" w:rsidRPr="00425573">
        <w:rPr>
          <w:rFonts w:ascii="Book Antiqua" w:hAnsi="Book Antiqua"/>
          <w:color w:val="000000" w:themeColor="text1"/>
          <w:lang w:val="en-US"/>
        </w:rPr>
        <w:t>are</w:t>
      </w:r>
      <w:r w:rsidR="000B21F8" w:rsidRPr="00425573">
        <w:rPr>
          <w:rFonts w:ascii="Book Antiqua" w:hAnsi="Book Antiqua"/>
          <w:color w:val="000000" w:themeColor="text1"/>
          <w:lang w:val="en-US"/>
        </w:rPr>
        <w:t xml:space="preserve"> all</w:t>
      </w:r>
      <w:r w:rsidR="007F525B" w:rsidRPr="00425573">
        <w:rPr>
          <w:rFonts w:ascii="Book Antiqua" w:hAnsi="Book Antiqua"/>
          <w:color w:val="000000" w:themeColor="text1"/>
          <w:lang w:val="en-US"/>
        </w:rPr>
        <w:t xml:space="preserve"> characterized by a multifactorial </w:t>
      </w:r>
      <w:r w:rsidRPr="00425573">
        <w:rPr>
          <w:rFonts w:ascii="Book Antiqua" w:hAnsi="Book Antiqua"/>
          <w:color w:val="000000" w:themeColor="text1"/>
          <w:lang w:val="en-US"/>
        </w:rPr>
        <w:t>etiology</w:t>
      </w:r>
      <w:r w:rsidR="007F525B" w:rsidRPr="00425573">
        <w:rPr>
          <w:rFonts w:ascii="Book Antiqua" w:hAnsi="Book Antiqua"/>
          <w:color w:val="000000" w:themeColor="text1"/>
          <w:lang w:val="en-US"/>
        </w:rPr>
        <w:t xml:space="preserve">, involving </w:t>
      </w:r>
      <w:r w:rsidR="00985BB4" w:rsidRPr="00425573">
        <w:rPr>
          <w:rFonts w:ascii="Book Antiqua" w:hAnsi="Book Antiqua"/>
          <w:color w:val="000000" w:themeColor="text1"/>
          <w:lang w:val="en-US"/>
        </w:rPr>
        <w:t xml:space="preserve">the interplay </w:t>
      </w:r>
      <w:r w:rsidR="00E8006A" w:rsidRPr="00425573">
        <w:rPr>
          <w:rFonts w:ascii="Book Antiqua" w:hAnsi="Book Antiqua"/>
          <w:color w:val="000000" w:themeColor="text1"/>
          <w:lang w:val="en-US"/>
        </w:rPr>
        <w:t>among</w:t>
      </w:r>
      <w:r w:rsidR="00985BB4" w:rsidRPr="00425573">
        <w:rPr>
          <w:rFonts w:ascii="Book Antiqua" w:hAnsi="Book Antiqua"/>
          <w:color w:val="000000" w:themeColor="text1"/>
          <w:lang w:val="en-US"/>
        </w:rPr>
        <w:t xml:space="preserve"> </w:t>
      </w:r>
      <w:r w:rsidR="00B40D28" w:rsidRPr="00425573">
        <w:rPr>
          <w:rFonts w:ascii="Book Antiqua" w:hAnsi="Book Antiqua"/>
          <w:color w:val="000000" w:themeColor="text1"/>
          <w:lang w:val="en-US"/>
        </w:rPr>
        <w:t>genetic</w:t>
      </w:r>
      <w:r w:rsidRPr="00425573">
        <w:rPr>
          <w:rFonts w:ascii="Book Antiqua" w:hAnsi="Book Antiqua"/>
          <w:color w:val="000000" w:themeColor="text1"/>
          <w:lang w:val="en-US"/>
        </w:rPr>
        <w:t>, epigenetic</w:t>
      </w:r>
      <w:r w:rsidR="00B40D28" w:rsidRPr="00425573">
        <w:rPr>
          <w:rFonts w:ascii="Book Antiqua" w:hAnsi="Book Antiqua"/>
          <w:color w:val="000000" w:themeColor="text1"/>
          <w:lang w:val="en-US"/>
        </w:rPr>
        <w:t xml:space="preserve"> and environmental factors</w:t>
      </w:r>
      <w:r w:rsidR="00115086" w:rsidRPr="00425573">
        <w:rPr>
          <w:rFonts w:ascii="Book Antiqua" w:hAnsi="Book Antiqua"/>
          <w:color w:val="000000" w:themeColor="text1"/>
          <w:lang w:val="en-US"/>
        </w:rPr>
        <w:fldChar w:fldCharType="begin"/>
      </w:r>
      <w:r w:rsidR="00C04A01" w:rsidRPr="00425573">
        <w:rPr>
          <w:rFonts w:ascii="Book Antiqua" w:hAnsi="Book Antiqua"/>
          <w:color w:val="000000" w:themeColor="text1"/>
          <w:lang w:val="en-US"/>
        </w:rPr>
        <w:instrText xml:space="preserve"> ADDIN ZOTERO_ITEM CSL_CITATION {"citationID":"g5dirbOX","properties":{"formattedCitation":"\\super [17,18]\\nosupersub{}","plainCitation":"[17,18]","noteIndex":0},"citationItems":[{"id":74,"uris":["http://zotero.org/groups/2394923/items/XQZV35JX"],"uri":["http://zotero.org/groups/2394923/items/XQZV35JX"],"itemData":{"id":74,"type":"article-journal","abstract":"One of the main challenges for healthcare systems is the increasing prevalence of neurodegenerative pathologies together with the rapidly aging populations. The enormous progresses made in the ﬁeld of biomedical research and informatics have been crucial for improving the knowledge of how genes, epigenetic modiﬁcations,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qualiﬁed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beneﬁt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ﬁnd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life.","container-title":"Frontiers in Neurology","DOI":"10.3389/fneur.2018.00701","ISSN":"1664-2295","journalAbbreviation":"Front. Neurol.","language":"en","page":"701","source":"DOI.org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id":100,"uris":["http://zotero.org/groups/2394923/items/XEYJBINK"],"uri":["http://zotero.org/groups/2394923/items/XEYJBINK"],"itemData":{"id":100,"type":"article-journal","abstract":"BACKGROUND: Neurodegenerative disorders are among the most common challenging diseases that affect the population with extreme medical and financial burdens. Widely seen neurodegeneration affects population of all ages, as it progresses with age, affecting a large proportion of elderly population including patients, caregivers, and immensely increasing the financial load of the country. These diseases have a very complex nature that frequently results from combined genetic, environmental and pathological factors. Various challenges are faced by the researchers working on the pathogenesis and the possible treatment of neurodegenerative disorder.\nOBJECTIVE: The review has analysed for recent patent documents and treatment approaches for neurodegenerative disorders. This review does not relate to potential targets such as ( i.e. protein where modulation could be predicted to impact on pathophysiology), rather it mainly focuses on various available patented approaches for neurodegenerative disorders.\nMETHOD: The study design is based on updating the international and national literatures and an exhaustive patent search, compiling various patented documents for the treatment of neurodegenerative disorders (EP2282779A1, US20110229555A1) to provide information in the state of technological innovation in terms of research and development.\nRESULTS: In the present review, the authors described various neurodegenerative diseases, there treatment strategies and emphasized on various patented approaches for age-related neurodegenerative disorders such as novel therapeutic methods for treating Alzheimer's and associated disorders via modulated cell stress response EP2282779A1, through combined therapies that modulate angiogenesis US20120058992A1.\nCONCLUSION: The review will attract the interest of academics, researchers, students and pharmaceutical companies with regard to the recent on-going activities in neurodegenerative disorders.","container-title":"Recent Patents on Drug Delivery &amp; Formulation","DOI":"10.2174/1872211311666171010123958","ISSN":"2212-4039","issue":"3","journalAbbreviation":"Recent Pat Drug Deliv Formul","language":"eng","note":"PMID: 29032765","page":"158-172","source":"PubMed","title":"Recent Patent Advances for Neurodegenerative Disorders and its Treatment","volume":"11","author":[{"family":"Kumar","given":"Bhavna"},{"family":"Sharma","given":"Deepika"}],"issued":{"date-parts":[["2017"]]}}}],"schema":"https://github.com/citation-style-language/schema/raw/master/csl-citation.json"} </w:instrText>
      </w:r>
      <w:r w:rsidR="00115086" w:rsidRPr="00425573">
        <w:rPr>
          <w:rFonts w:ascii="Book Antiqua" w:hAnsi="Book Antiqua"/>
          <w:color w:val="000000" w:themeColor="text1"/>
          <w:lang w:val="en-US"/>
        </w:rPr>
        <w:fldChar w:fldCharType="separate"/>
      </w:r>
      <w:r w:rsidR="00D92382" w:rsidRPr="00425573">
        <w:rPr>
          <w:rFonts w:ascii="Book Antiqua" w:hAnsi="Book Antiqua"/>
          <w:vertAlign w:val="superscript"/>
          <w:lang w:val="en-US"/>
        </w:rPr>
        <w:t>[17,18]</w:t>
      </w:r>
      <w:r w:rsidR="00115086" w:rsidRPr="00425573">
        <w:rPr>
          <w:rFonts w:ascii="Book Antiqua" w:hAnsi="Book Antiqua"/>
          <w:color w:val="000000" w:themeColor="text1"/>
          <w:lang w:val="en-US"/>
        </w:rPr>
        <w:fldChar w:fldCharType="end"/>
      </w:r>
      <w:r w:rsidR="00115086" w:rsidRPr="00425573">
        <w:rPr>
          <w:rFonts w:ascii="Book Antiqua" w:hAnsi="Book Antiqua"/>
          <w:color w:val="000000" w:themeColor="text1"/>
          <w:lang w:val="en-US"/>
        </w:rPr>
        <w:t>.</w:t>
      </w:r>
      <w:r w:rsidR="00717DDA" w:rsidRPr="00425573">
        <w:rPr>
          <w:rFonts w:ascii="Book Antiqua" w:hAnsi="Book Antiqua"/>
          <w:color w:val="000000" w:themeColor="text1"/>
          <w:lang w:val="en-US"/>
        </w:rPr>
        <w:t xml:space="preserve"> </w:t>
      </w:r>
      <w:r w:rsidRPr="00425573">
        <w:rPr>
          <w:rFonts w:ascii="Book Antiqua" w:hAnsi="Book Antiqua"/>
          <w:color w:val="000000" w:themeColor="text1"/>
          <w:lang w:val="en-US"/>
        </w:rPr>
        <w:t>Inter</w:t>
      </w:r>
      <w:r w:rsidR="00675855" w:rsidRPr="00425573">
        <w:rPr>
          <w:rFonts w:ascii="Book Antiqua" w:hAnsi="Book Antiqua"/>
          <w:color w:val="000000" w:themeColor="text1"/>
          <w:lang w:val="en-US"/>
        </w:rPr>
        <w:t>e</w:t>
      </w:r>
      <w:r w:rsidRPr="00425573">
        <w:rPr>
          <w:rFonts w:ascii="Book Antiqua" w:hAnsi="Book Antiqua"/>
          <w:color w:val="000000" w:themeColor="text1"/>
          <w:lang w:val="en-US"/>
        </w:rPr>
        <w:t xml:space="preserve">stingly, there are </w:t>
      </w:r>
      <w:r w:rsidR="00353777" w:rsidRPr="00425573">
        <w:rPr>
          <w:rFonts w:ascii="Book Antiqua" w:hAnsi="Book Antiqua"/>
          <w:color w:val="000000" w:themeColor="text1"/>
          <w:lang w:val="en-US"/>
        </w:rPr>
        <w:t xml:space="preserve">lines of </w:t>
      </w:r>
      <w:r w:rsidRPr="00425573">
        <w:rPr>
          <w:rFonts w:ascii="Book Antiqua" w:hAnsi="Book Antiqua"/>
          <w:color w:val="000000" w:themeColor="text1"/>
          <w:lang w:val="en-US"/>
        </w:rPr>
        <w:t xml:space="preserve">evidence at </w:t>
      </w:r>
      <w:r w:rsidR="00353777" w:rsidRPr="00425573">
        <w:rPr>
          <w:rFonts w:ascii="Book Antiqua" w:hAnsi="Book Antiqua"/>
          <w:color w:val="000000" w:themeColor="text1"/>
          <w:lang w:val="en-US"/>
        </w:rPr>
        <w:t xml:space="preserve">the </w:t>
      </w:r>
      <w:r w:rsidR="000B21F8" w:rsidRPr="00425573">
        <w:rPr>
          <w:rFonts w:ascii="Book Antiqua" w:hAnsi="Book Antiqua" w:cs="Times New Roman"/>
          <w:color w:val="000000" w:themeColor="text1"/>
          <w:lang w:val="en-US"/>
        </w:rPr>
        <w:t>e</w:t>
      </w:r>
      <w:r w:rsidR="00497CE2" w:rsidRPr="00425573">
        <w:rPr>
          <w:rFonts w:ascii="Book Antiqua" w:hAnsi="Book Antiqua"/>
          <w:color w:val="000000" w:themeColor="text1"/>
          <w:lang w:val="en-US"/>
        </w:rPr>
        <w:t>pidemiological, cognitive</w:t>
      </w:r>
      <w:r w:rsidR="00FB37AB" w:rsidRPr="00425573">
        <w:rPr>
          <w:rFonts w:ascii="Book Antiqua" w:hAnsi="Book Antiqua"/>
          <w:color w:val="000000" w:themeColor="text1"/>
          <w:lang w:val="en-US"/>
        </w:rPr>
        <w:t xml:space="preserve"> and</w:t>
      </w:r>
      <w:r w:rsidR="00497CE2" w:rsidRPr="00425573">
        <w:rPr>
          <w:rFonts w:ascii="Book Antiqua" w:hAnsi="Book Antiqua"/>
          <w:color w:val="000000" w:themeColor="text1"/>
          <w:lang w:val="en-US"/>
        </w:rPr>
        <w:t xml:space="preserve"> neuropathological</w:t>
      </w:r>
      <w:r w:rsidRPr="00425573">
        <w:rPr>
          <w:rFonts w:ascii="Book Antiqua" w:hAnsi="Book Antiqua"/>
          <w:color w:val="000000" w:themeColor="text1"/>
          <w:lang w:val="en-US"/>
        </w:rPr>
        <w:t xml:space="preserve"> level</w:t>
      </w:r>
      <w:r w:rsidR="00353777" w:rsidRPr="00425573">
        <w:rPr>
          <w:rFonts w:ascii="Book Antiqua" w:hAnsi="Book Antiqua"/>
          <w:color w:val="000000" w:themeColor="text1"/>
          <w:lang w:val="en-US"/>
        </w:rPr>
        <w:t>s</w:t>
      </w:r>
      <w:r w:rsidRPr="00425573">
        <w:rPr>
          <w:rFonts w:ascii="Book Antiqua" w:hAnsi="Book Antiqua"/>
          <w:color w:val="000000" w:themeColor="text1"/>
          <w:lang w:val="en-US"/>
        </w:rPr>
        <w:t xml:space="preserve"> that seem to</w:t>
      </w:r>
      <w:r w:rsidR="00497CE2" w:rsidRPr="00425573">
        <w:rPr>
          <w:rFonts w:ascii="Book Antiqua" w:hAnsi="Book Antiqua"/>
          <w:color w:val="000000" w:themeColor="text1"/>
          <w:lang w:val="en-US"/>
        </w:rPr>
        <w:t xml:space="preserve"> </w:t>
      </w:r>
      <w:r w:rsidR="008C491A" w:rsidRPr="00425573">
        <w:rPr>
          <w:rFonts w:ascii="Book Antiqua" w:hAnsi="Book Antiqua"/>
          <w:color w:val="000000" w:themeColor="text1"/>
          <w:lang w:val="en-US"/>
        </w:rPr>
        <w:t>link</w:t>
      </w:r>
      <w:r w:rsidR="00497CE2" w:rsidRPr="00425573">
        <w:rPr>
          <w:rFonts w:ascii="Book Antiqua" w:hAnsi="Book Antiqua"/>
          <w:color w:val="000000" w:themeColor="text1"/>
          <w:lang w:val="en-US"/>
        </w:rPr>
        <w:t xml:space="preserve"> T2D </w:t>
      </w:r>
      <w:r w:rsidRPr="00425573">
        <w:rPr>
          <w:rFonts w:ascii="Book Antiqua" w:hAnsi="Book Antiqua"/>
          <w:color w:val="000000" w:themeColor="text1"/>
          <w:lang w:val="en-US"/>
        </w:rPr>
        <w:t xml:space="preserve">to </w:t>
      </w:r>
      <w:r w:rsidR="00497CE2" w:rsidRPr="00425573">
        <w:rPr>
          <w:rFonts w:ascii="Book Antiqua" w:hAnsi="Book Antiqua"/>
          <w:color w:val="000000" w:themeColor="text1"/>
          <w:lang w:val="en-US"/>
        </w:rPr>
        <w:t>AD and PD</w:t>
      </w:r>
      <w:r w:rsidR="00F13FB7" w:rsidRPr="00425573">
        <w:rPr>
          <w:rFonts w:ascii="Book Antiqua" w:hAnsi="Book Antiqua"/>
          <w:color w:val="000000" w:themeColor="text1"/>
          <w:lang w:val="en-US"/>
        </w:rPr>
        <w:fldChar w:fldCharType="begin"/>
      </w:r>
      <w:r w:rsidR="00C04A01" w:rsidRPr="00425573">
        <w:rPr>
          <w:rFonts w:ascii="Book Antiqua" w:hAnsi="Book Antiqua"/>
          <w:color w:val="000000" w:themeColor="text1"/>
          <w:lang w:val="en-US"/>
        </w:rPr>
        <w:instrText xml:space="preserve"> ADDIN ZOTERO_ITEM CSL_CITATION {"citationID":"J2JciHzy","properties":{"formattedCitation":"\\super [19]\\nosupersub{}","plainCitation":"[19]","noteIndex":0},"citationItems":[{"id":109,"uris":["http://zotero.org/groups/2394923/items/GXPS3BKH"],"uri":["http://zotero.org/groups/2394923/items/GXPS3BKH"],"itemData":{"id":109,"type":"article-journal","abstract":"A wealth of evidence indicates a strong link between type 2 diabetes (T2D) and neurodegenerative diseases such as Alzheimer's disease (AD). Although the precise mechanism remains unclear, T2D can exacerbate neurodegenerative processes. Brain atrophy, reduced cerebral glucose metabolism, and central nervous system insulin resistance are features of both AD and T2D. The T2D phenotype (glucose dyshomeostasis, insulin resistance, impaired insulin signaling) also promotes AD pathology, namely accumulation of amyloid-β (Aβ) and hyperphosphorylated tau and can induce other aspects of neuronal degeneration including inflammatory and oxidative processes. Aβ and hyperphosphorylated tau may also have roles in pancreatic β-cell dysfunction and in reducing insulin sensitivity and glucose uptake by peripheral tissues such as liver, skeletal muscle, and adipose tissue. This suggests a role for these AD-related proteins in promoting T2D. The accumulation of the islet amyloid polypeptide (IAPP, or amylin) within islet β-cells is a major pathological feature of the pancreas in patients with chronic T2D. Co-secreted with insulin, amylin accumulates over time and contributes to β-cell toxicity, ultimately leading to reduced insulin secretion and onset of overt (insulin dependent) diabetes. Recent evidence also suggests that this protein accumulates in the brain of AD patients and may interact with Aβ to exacerbate the neurodegenerative process. In this review, we highlight evidence indicating T2D in promoting Aβ and tau mediated neurodegeneration and the potential contributions of Aβ and tau in promoting a diabetic phenotype that could further exacerbate neurodegeneration. We also discuss underlying mechanisms by which amylin can contribute to the neurodegenerative processes.","container-title":"Journal of Alzheimer's disease: JAD","DOI":"10.3233/JAD-161192","ISSN":"1875-8908","issue":"2","journalAbbreviation":"J. Alzheimers Dis.","language":"eng","note":"PMID: 28269785","page":"421-432","source":"PubMed","title":"The Link between Type 2 Diabetes and Neurodegeneration: Roles for Amyloid-β, Amylin, and Tau Proteins","title-short":"The Link between Type 2 Diabetes and Neurodegeneration","volume":"59","author":[{"family":"Bharadwaj","given":"Prashant"},{"family":"Wijesekara","given":"Nadeeja"},{"family":"Liyanapathirana","given":"Milindu"},{"family":"Newsholme","given":"Philip"},{"family":"Ittner","given":"Lars"},{"family":"Fraser","given":"Paul"},{"family":"Verdile","given":"Giuseppe"}],"issued":{"date-parts":[["2017"]]}}}],"schema":"https://github.com/citation-style-language/schema/raw/master/csl-citation.json"} </w:instrText>
      </w:r>
      <w:r w:rsidR="00F13FB7" w:rsidRPr="00425573">
        <w:rPr>
          <w:rFonts w:ascii="Book Antiqua" w:hAnsi="Book Antiqua"/>
          <w:color w:val="000000" w:themeColor="text1"/>
          <w:lang w:val="en-US"/>
        </w:rPr>
        <w:fldChar w:fldCharType="separate"/>
      </w:r>
      <w:r w:rsidR="00D92382" w:rsidRPr="00425573">
        <w:rPr>
          <w:rFonts w:ascii="Book Antiqua" w:hAnsi="Book Antiqua"/>
          <w:vertAlign w:val="superscript"/>
          <w:lang w:val="en-US"/>
        </w:rPr>
        <w:t>[19]</w:t>
      </w:r>
      <w:r w:rsidR="00F13FB7" w:rsidRPr="00425573">
        <w:rPr>
          <w:rFonts w:ascii="Book Antiqua" w:hAnsi="Book Antiqua"/>
          <w:color w:val="000000" w:themeColor="text1"/>
          <w:lang w:val="en-US"/>
        </w:rPr>
        <w:fldChar w:fldCharType="end"/>
      </w:r>
      <w:r w:rsidR="00FA08F8" w:rsidRPr="00425573">
        <w:rPr>
          <w:rFonts w:ascii="Book Antiqua" w:hAnsi="Book Antiqua"/>
          <w:color w:val="000000" w:themeColor="text1"/>
          <w:lang w:val="en-US"/>
        </w:rPr>
        <w:t xml:space="preserve">. In particular, brain insulin resistance could represent the bridge </w:t>
      </w:r>
      <w:r w:rsidR="00FC1CE5" w:rsidRPr="00425573">
        <w:rPr>
          <w:rFonts w:ascii="Book Antiqua" w:hAnsi="Book Antiqua"/>
          <w:color w:val="000000" w:themeColor="text1"/>
          <w:lang w:val="en-US"/>
        </w:rPr>
        <w:t xml:space="preserve">linking metabolic disorders to </w:t>
      </w:r>
      <w:r w:rsidR="00FA08F8" w:rsidRPr="00425573">
        <w:rPr>
          <w:rFonts w:ascii="Book Antiqua" w:hAnsi="Book Antiqua"/>
          <w:color w:val="000000" w:themeColor="text1"/>
          <w:lang w:val="en-US"/>
        </w:rPr>
        <w:lastRenderedPageBreak/>
        <w:t>neurodegenerative</w:t>
      </w:r>
      <w:r w:rsidR="00FC1CE5" w:rsidRPr="00425573">
        <w:rPr>
          <w:rFonts w:ascii="Book Antiqua" w:hAnsi="Book Antiqua"/>
          <w:color w:val="000000" w:themeColor="text1"/>
          <w:lang w:val="en-US"/>
        </w:rPr>
        <w:t>/movement</w:t>
      </w:r>
      <w:r w:rsidR="00F14B27" w:rsidRPr="00425573">
        <w:rPr>
          <w:rFonts w:ascii="Book Antiqua" w:hAnsi="Book Antiqua"/>
          <w:color w:val="000000" w:themeColor="text1"/>
          <w:lang w:val="en-US"/>
        </w:rPr>
        <w:t xml:space="preserve"> pathological conditions</w:t>
      </w:r>
      <w:r w:rsidR="00E22EA2" w:rsidRPr="00425573">
        <w:rPr>
          <w:rFonts w:ascii="Book Antiqua" w:hAnsi="Book Antiqua"/>
          <w:color w:val="000000" w:themeColor="text1"/>
          <w:lang w:val="en-US"/>
        </w:rPr>
        <w:fldChar w:fldCharType="begin"/>
      </w:r>
      <w:r w:rsidR="00C04A01" w:rsidRPr="00425573">
        <w:rPr>
          <w:rFonts w:ascii="Book Antiqua" w:hAnsi="Book Antiqua"/>
          <w:color w:val="000000" w:themeColor="text1"/>
          <w:lang w:val="en-US"/>
        </w:rPr>
        <w:instrText xml:space="preserve"> ADDIN ZOTERO_ITEM CSL_CITATION {"citationID":"MyUyOCJQ","properties":{"formattedCitation":"\\super [20]\\nosupersub{}","plainCitation":"[20]","noteIndex":0},"citationItems":[{"id":125,"uris":["http://zotero.org/groups/2394923/items/EAAJV5RH"],"uri":["http://zotero.org/groups/2394923/items/EAAJV5RH"],"itemData":{"id":125,"type":"article-journal","abstract":"Neurodegeneration refers to a heterogeneous group of brain disorders that progressively evolve. It has been increasingly appreciated that many neurodegenerative conditions overlap at multiple levels and therefore traditional clinicopathological correlation approaches to better classify a disease have met with limited success. Neuronal network disintegration is fundamental to neurodegeneration, and concepts based around such a concept may better explain the overlap between their clinical and pathological phenotypes. In this Review, promoters of overlap in neurodegeneration incorporating behavioural, cognitive, metabolic, motor, and extrapyramidal presentations will be critically appraised. In addition, evidence that may support the existence of large-scale networks that might be contributing to phenotypic differentiation will be considered across a neurodegenerative spectrum. Disintegration of neuronal networks through different pathological processes, such as prion-like spread, may provide a better paradigm of disease and thereby facilitate the identification of novel therapies for neurodegeneration.","container-title":"Journal of Neurology, Neurosurgery &amp; Psychiatry","DOI":"10.1136/jnnp-2014-308350","ISSN":"0022-3050, 1468-330X","issue":"11","journalAbbreviation":"J Neurol Neurosurg Psychiatry","language":"en","note":"PMID: 27172939","page":"1234-1241","source":"jnnp.bmj.com","title":"Neuronal network disintegration: common pathways linking neurodegenerative diseases","title-short":"Neuronal network disintegration","volume":"87","author":[{"family":"Ahmed","given":"Rebekah M."},{"family":"Devenney","given":"Emma M."},{"family":"Irish","given":"Muireann"},{"family":"Ittner","given":"Arne"},{"family":"Naismith","given":"Sharon"},{"family":"Ittner","given":"Lars M."},{"family":"Rohrer","given":"Jonathan D."},{"family":"Halliday","given":"Glenda M."},{"family":"Eisen","given":"Andrew"},{"family":"Hodges","given":"John R."},{"family":"Kiernan","given":"Matthew C."}],"issued":{"date-parts":[["2016",11,1]]}}}],"schema":"https://github.com/citation-style-language/schema/raw/master/csl-citation.json"} </w:instrText>
      </w:r>
      <w:r w:rsidR="00E22EA2" w:rsidRPr="00425573">
        <w:rPr>
          <w:rFonts w:ascii="Book Antiqua" w:hAnsi="Book Antiqua"/>
          <w:color w:val="000000" w:themeColor="text1"/>
          <w:lang w:val="en-US"/>
        </w:rPr>
        <w:fldChar w:fldCharType="separate"/>
      </w:r>
      <w:r w:rsidR="00D92382" w:rsidRPr="00425573">
        <w:rPr>
          <w:rFonts w:ascii="Book Antiqua" w:hAnsi="Book Antiqua"/>
          <w:vertAlign w:val="superscript"/>
          <w:lang w:val="en-US"/>
        </w:rPr>
        <w:t>[20]</w:t>
      </w:r>
      <w:r w:rsidR="00E22EA2" w:rsidRPr="00425573">
        <w:rPr>
          <w:rFonts w:ascii="Book Antiqua" w:hAnsi="Book Antiqua"/>
          <w:color w:val="000000" w:themeColor="text1"/>
          <w:lang w:val="en-US"/>
        </w:rPr>
        <w:fldChar w:fldCharType="end"/>
      </w:r>
      <w:r w:rsidRPr="00425573">
        <w:rPr>
          <w:rFonts w:ascii="Book Antiqua" w:hAnsi="Book Antiqua"/>
          <w:color w:val="000000" w:themeColor="text1"/>
          <w:lang w:val="en-US"/>
        </w:rPr>
        <w:t>.</w:t>
      </w:r>
      <w:r w:rsidR="00B759AE" w:rsidRPr="00425573">
        <w:rPr>
          <w:rFonts w:ascii="Book Antiqua" w:hAnsi="Book Antiqua"/>
          <w:color w:val="000000" w:themeColor="text1"/>
          <w:lang w:val="en-US"/>
        </w:rPr>
        <w:t xml:space="preserve"> I</w:t>
      </w:r>
      <w:r w:rsidR="008504F5" w:rsidRPr="00425573">
        <w:rPr>
          <w:rFonts w:ascii="Book Antiqua" w:hAnsi="Book Antiqua"/>
          <w:color w:val="000000" w:themeColor="text1"/>
          <w:lang w:val="en-US"/>
        </w:rPr>
        <w:t>nsulin is transported via the blood brain barrier</w:t>
      </w:r>
      <w:r w:rsidR="006F5FE2" w:rsidRPr="00425573">
        <w:rPr>
          <w:rFonts w:ascii="Book Antiqua" w:hAnsi="Book Antiqua"/>
          <w:color w:val="000000" w:themeColor="text1"/>
          <w:lang w:val="en-US"/>
        </w:rPr>
        <w:t xml:space="preserve"> to the central nervous system, where it regulates</w:t>
      </w:r>
      <w:r w:rsidR="008F7FA2" w:rsidRPr="00425573">
        <w:rPr>
          <w:rFonts w:ascii="Book Antiqua" w:hAnsi="Book Antiqua"/>
          <w:color w:val="000000" w:themeColor="text1"/>
          <w:lang w:val="en-US"/>
        </w:rPr>
        <w:t xml:space="preserve"> local blood and cerebrospinal fluid glucose levels</w:t>
      </w:r>
      <w:r w:rsidR="007162EE" w:rsidRPr="00425573">
        <w:rPr>
          <w:rFonts w:ascii="Book Antiqua" w:hAnsi="Book Antiqua"/>
          <w:color w:val="000000" w:themeColor="text1"/>
          <w:lang w:val="en-US"/>
        </w:rPr>
        <w:t>.</w:t>
      </w:r>
      <w:r w:rsidR="008A3BC4" w:rsidRPr="00425573">
        <w:rPr>
          <w:rFonts w:ascii="Book Antiqua" w:hAnsi="Book Antiqua"/>
          <w:color w:val="000000" w:themeColor="text1"/>
          <w:lang w:val="en-US"/>
        </w:rPr>
        <w:t xml:space="preserve"> </w:t>
      </w:r>
      <w:r w:rsidR="007162EE" w:rsidRPr="00425573">
        <w:rPr>
          <w:rFonts w:ascii="Book Antiqua" w:hAnsi="Book Antiqua"/>
          <w:color w:val="000000" w:themeColor="text1"/>
          <w:lang w:val="en-US"/>
        </w:rPr>
        <w:t>Nevertheless,</w:t>
      </w:r>
      <w:r w:rsidR="008A3BC4" w:rsidRPr="00425573">
        <w:rPr>
          <w:rFonts w:ascii="Book Antiqua" w:hAnsi="Book Antiqua"/>
          <w:color w:val="000000" w:themeColor="text1"/>
          <w:lang w:val="en-US"/>
        </w:rPr>
        <w:t xml:space="preserve"> it is thought that the principal </w:t>
      </w:r>
      <w:r w:rsidR="000D6809" w:rsidRPr="00425573">
        <w:rPr>
          <w:rFonts w:ascii="Book Antiqua" w:hAnsi="Book Antiqua"/>
          <w:color w:val="000000" w:themeColor="text1"/>
          <w:lang w:val="en-US"/>
        </w:rPr>
        <w:t>activity</w:t>
      </w:r>
      <w:r w:rsidR="008A3BC4" w:rsidRPr="00425573">
        <w:rPr>
          <w:rFonts w:ascii="Book Antiqua" w:hAnsi="Book Antiqua"/>
          <w:color w:val="000000" w:themeColor="text1"/>
          <w:lang w:val="en-US"/>
        </w:rPr>
        <w:t xml:space="preserve"> in the brain may be related to </w:t>
      </w:r>
      <w:r w:rsidR="001F3922" w:rsidRPr="00425573">
        <w:rPr>
          <w:rFonts w:ascii="Book Antiqua" w:hAnsi="Book Antiqua"/>
          <w:color w:val="000000" w:themeColor="text1"/>
          <w:lang w:val="en-US"/>
        </w:rPr>
        <w:t xml:space="preserve">the regulation </w:t>
      </w:r>
      <w:r w:rsidR="008A3BC4" w:rsidRPr="00425573">
        <w:rPr>
          <w:rFonts w:ascii="Book Antiqua" w:hAnsi="Book Antiqua"/>
          <w:color w:val="000000" w:themeColor="text1"/>
          <w:lang w:val="en-US"/>
        </w:rPr>
        <w:t>of synaptic plasticity</w:t>
      </w:r>
      <w:r w:rsidR="000D6809" w:rsidRPr="00425573">
        <w:rPr>
          <w:rFonts w:ascii="Book Antiqua" w:hAnsi="Book Antiqua"/>
          <w:color w:val="000000" w:themeColor="text1"/>
          <w:lang w:val="en-US"/>
        </w:rPr>
        <w:t xml:space="preserve"> and cognitive functions</w:t>
      </w:r>
      <w:r w:rsidR="00070D59" w:rsidRPr="00425573">
        <w:rPr>
          <w:rFonts w:ascii="Book Antiqua" w:hAnsi="Book Antiqua"/>
          <w:color w:val="000000" w:themeColor="text1"/>
          <w:lang w:val="en-US"/>
        </w:rPr>
        <w:fldChar w:fldCharType="begin"/>
      </w:r>
      <w:r w:rsidR="00070D59" w:rsidRPr="00425573">
        <w:rPr>
          <w:rFonts w:ascii="Book Antiqua" w:hAnsi="Book Antiqua"/>
          <w:color w:val="000000" w:themeColor="text1"/>
          <w:lang w:val="en-US"/>
        </w:rPr>
        <w:instrText xml:space="preserve"> ADDIN ZOTERO_ITEM CSL_CITATION {"citationID":"REs1IeSa","properties":{"formattedCitation":"\\super [7,21]\\nosupersub{}","plainCitation":"[7,21]","noteIndex":0},"citationItems":[{"id":9,"uris":["http://zotero.org/groups/2394923/items/S2DK92PF"],"uri":["http://zotero.org/groups/2394923/items/S2DK92PF"],"itemData":{"id":9,"type":"article-journal","abstract":"Alzheimer’s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070D59"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070D59"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070D59"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483,"uris":["http://zotero.org/groups/2394923/items/NM75IRL7"],"uri":["http://zotero.org/groups/2394923/items/NM75IRL7"],"itemData":{"id":483,"type":"article-journal","abstract":"In the periphery insulin plays a critical role in the regulation of metabolic homeostasis by stimulating glucose uptake into peripheral organs. In the central nervous system (CNS), insulin plays a critical role in the formation of neural circuits and synaptic connections from the earliest stages of development and facilitates and promotes neuroplasticity in the adult brain. Beyond these physiological roles of insulin, a shared feature between the periphery and CNS is that decreases in insulin receptor activity and signaling (i.e. insulin resistance) contributes to the pathological consequences of type 2 diabetes (T2DM) and obesity. Indeed, clinical and preclinical studies illustrate that CNS insulin resistance elicits neuroplasticity deficits that lead to decreases in cognitive function and increased risk of neuropsychiatric disorders. The goals of this review are to provide an overview of the literature that have identified the neuroplasticity deficits observed in T2DM and obesity, as well as to discuss the potential causes and consequences of insulin resistance in the CNS, with a particular focus on how insulin resistance impacts hippocampal neuroplasticity. Interestingly, studies that have examined the effects of hippocampal-specific insulin resistance illustrate that brain insulin resistance may impair neuroplasticity independent of peripheral insulin resistance, thereby supporting the concept that restoration of brain insulin activity is an attractive therapeutic strategy to ameliorate or reverse cognitive decline observed in patients with CNS insulin resistance such as T2DM and Alzheimer's Disease.","container-title":"Experimental Neurology","DOI":"10.1016/j.expneurol.2019.04.012","ISSN":"1090-2430","journalAbbreviation":"Exp. Neurol.","language":"eng","note":"PMID: 31028829","page":"71-77","source":"PubMed","title":"Insulin resistance and hippocampal dysfunction: Disentangling peripheral and brain causes from consequences","title-short":"Insulin resistance and hippocampal dysfunction","volume":"318","author":[{"family":"Grillo","given":"Claudia A."},{"family":"Woodruff","given":"Jennifer L."},{"family":"Macht","given":"Victoria A."},{"family":"Reagan","given":"Lawrence P."}],"issued":{"date-parts":[["2019",8]]}}}],"schema":"https://github.com/citation-style-language/schema/raw/master/csl-citation.json"} </w:instrText>
      </w:r>
      <w:r w:rsidR="00070D59" w:rsidRPr="00425573">
        <w:rPr>
          <w:rFonts w:ascii="Book Antiqua" w:hAnsi="Book Antiqua"/>
          <w:color w:val="000000" w:themeColor="text1"/>
          <w:lang w:val="en-US"/>
        </w:rPr>
        <w:fldChar w:fldCharType="separate"/>
      </w:r>
      <w:r w:rsidR="00070D59" w:rsidRPr="00425573">
        <w:rPr>
          <w:rFonts w:ascii="Book Antiqua" w:hAnsi="Book Antiqua"/>
          <w:color w:val="000000"/>
          <w:vertAlign w:val="superscript"/>
        </w:rPr>
        <w:t>[7,21]</w:t>
      </w:r>
      <w:r w:rsidR="00070D59" w:rsidRPr="00425573">
        <w:rPr>
          <w:rFonts w:ascii="Book Antiqua" w:hAnsi="Book Antiqua"/>
          <w:color w:val="000000" w:themeColor="text1"/>
          <w:lang w:val="en-US"/>
        </w:rPr>
        <w:fldChar w:fldCharType="end"/>
      </w:r>
      <w:r w:rsidR="001F3922" w:rsidRPr="00425573">
        <w:rPr>
          <w:rFonts w:ascii="Book Antiqua" w:hAnsi="Book Antiqua"/>
          <w:color w:val="000000" w:themeColor="text1"/>
          <w:lang w:val="en-US"/>
        </w:rPr>
        <w:t>.</w:t>
      </w:r>
      <w:r w:rsidR="00136B98" w:rsidRPr="00425573">
        <w:rPr>
          <w:rFonts w:ascii="Book Antiqua" w:hAnsi="Book Antiqua"/>
          <w:color w:val="000000" w:themeColor="text1"/>
          <w:lang w:val="en-US"/>
        </w:rPr>
        <w:t xml:space="preserve"> Moreover, a little proportion of</w:t>
      </w:r>
      <w:r w:rsidR="00A8785D" w:rsidRPr="00425573">
        <w:rPr>
          <w:rFonts w:ascii="Book Antiqua" w:hAnsi="Book Antiqua"/>
          <w:color w:val="000000" w:themeColor="text1"/>
          <w:lang w:val="en-US"/>
        </w:rPr>
        <w:t xml:space="preserve"> i</w:t>
      </w:r>
      <w:r w:rsidR="00136B98" w:rsidRPr="00425573">
        <w:rPr>
          <w:rFonts w:ascii="Book Antiqua" w:hAnsi="Book Antiqua"/>
          <w:color w:val="000000" w:themeColor="text1"/>
          <w:lang w:val="en-US"/>
        </w:rPr>
        <w:t>nsulin may be produced in the brain, as well.</w:t>
      </w:r>
      <w:r w:rsidR="006B35C8" w:rsidRPr="00425573">
        <w:rPr>
          <w:rFonts w:ascii="Book Antiqua" w:hAnsi="Book Antiqua"/>
          <w:color w:val="000000" w:themeColor="text1"/>
          <w:lang w:val="en-US"/>
        </w:rPr>
        <w:t xml:space="preserve"> Indeed, insulin levels detected in humans and rodents have been found to be lo</w:t>
      </w:r>
      <w:r w:rsidR="00686FF2" w:rsidRPr="00425573">
        <w:rPr>
          <w:rFonts w:ascii="Book Antiqua" w:hAnsi="Book Antiqua"/>
          <w:color w:val="000000" w:themeColor="text1"/>
          <w:lang w:val="en-US"/>
        </w:rPr>
        <w:t>w</w:t>
      </w:r>
      <w:r w:rsidR="005C59AA" w:rsidRPr="00425573">
        <w:rPr>
          <w:rFonts w:ascii="Book Antiqua" w:hAnsi="Book Antiqua"/>
          <w:color w:val="000000" w:themeColor="text1"/>
          <w:lang w:val="en-US"/>
        </w:rPr>
        <w:t>er than</w:t>
      </w:r>
      <w:r w:rsidR="006B35C8" w:rsidRPr="00425573">
        <w:rPr>
          <w:rFonts w:ascii="Book Antiqua" w:hAnsi="Book Antiqua"/>
          <w:color w:val="000000" w:themeColor="text1"/>
          <w:lang w:val="en-US"/>
        </w:rPr>
        <w:t xml:space="preserve"> those in the systemic circulation.</w:t>
      </w:r>
      <w:r w:rsidR="00686FF2" w:rsidRPr="00425573">
        <w:rPr>
          <w:rFonts w:ascii="Book Antiqua" w:hAnsi="Book Antiqua"/>
          <w:color w:val="000000" w:themeColor="text1"/>
          <w:lang w:val="en-US"/>
        </w:rPr>
        <w:t xml:space="preserve"> However,</w:t>
      </w:r>
      <w:r w:rsidR="00F376D5" w:rsidRPr="00425573">
        <w:rPr>
          <w:rFonts w:ascii="Book Antiqua" w:hAnsi="Book Antiqua"/>
          <w:color w:val="000000" w:themeColor="text1"/>
          <w:lang w:val="en-US"/>
        </w:rPr>
        <w:t xml:space="preserve"> differences in the levels of insulin among AD brains and age-matched controls have not been established</w:t>
      </w:r>
      <w:r w:rsidR="003F0DC6" w:rsidRPr="00425573">
        <w:rPr>
          <w:rFonts w:ascii="Book Antiqua" w:hAnsi="Book Antiqua"/>
          <w:color w:val="000000" w:themeColor="text1"/>
          <w:lang w:val="en-US"/>
        </w:rPr>
        <w:fldChar w:fldCharType="begin"/>
      </w:r>
      <w:r w:rsidR="003F0DC6" w:rsidRPr="00425573">
        <w:rPr>
          <w:rFonts w:ascii="Book Antiqua" w:hAnsi="Book Antiqua"/>
          <w:color w:val="000000" w:themeColor="text1"/>
          <w:lang w:val="en-US"/>
        </w:rPr>
        <w:instrText xml:space="preserve"> ADDIN ZOTERO_ITEM CSL_CITATION {"citationID":"LWPPtdCl","properties":{"formattedCitation":"\\super [7]\\nosupersub{}","plainCitation":"[7]","noteIndex":0},"citationItems":[{"id":9,"uris":["http://zotero.org/groups/2394923/items/S2DK92PF"],"uri":["http://zotero.org/groups/2394923/items/S2DK92PF"],"itemData":{"id":9,"type":"article-journal","abstract":"Alzheimer’s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3F0DC6"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3F0DC6"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3F0DC6"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schema":"https://github.com/citation-style-language/schema/raw/master/csl-citation.json"} </w:instrText>
      </w:r>
      <w:r w:rsidR="003F0DC6" w:rsidRPr="00425573">
        <w:rPr>
          <w:rFonts w:ascii="Book Antiqua" w:hAnsi="Book Antiqua"/>
          <w:color w:val="000000" w:themeColor="text1"/>
          <w:lang w:val="en-US"/>
        </w:rPr>
        <w:fldChar w:fldCharType="separate"/>
      </w:r>
      <w:r w:rsidR="003F0DC6" w:rsidRPr="00425573">
        <w:rPr>
          <w:rFonts w:ascii="Book Antiqua" w:hAnsi="Book Antiqua"/>
          <w:color w:val="000000"/>
          <w:vertAlign w:val="superscript"/>
        </w:rPr>
        <w:t>[7]</w:t>
      </w:r>
      <w:r w:rsidR="003F0DC6" w:rsidRPr="00425573">
        <w:rPr>
          <w:rFonts w:ascii="Book Antiqua" w:hAnsi="Book Antiqua"/>
          <w:color w:val="000000" w:themeColor="text1"/>
          <w:lang w:val="en-US"/>
        </w:rPr>
        <w:fldChar w:fldCharType="end"/>
      </w:r>
      <w:r w:rsidR="00F376D5" w:rsidRPr="00425573">
        <w:rPr>
          <w:rFonts w:ascii="Book Antiqua" w:hAnsi="Book Antiqua"/>
          <w:color w:val="000000" w:themeColor="text1"/>
          <w:lang w:val="en-US"/>
        </w:rPr>
        <w:t xml:space="preserve">. </w:t>
      </w:r>
      <w:r w:rsidR="00686FF2" w:rsidRPr="00425573">
        <w:rPr>
          <w:rFonts w:ascii="Book Antiqua" w:hAnsi="Book Antiqua"/>
          <w:color w:val="000000" w:themeColor="text1"/>
          <w:lang w:val="en-US"/>
        </w:rPr>
        <w:t xml:space="preserve"> Insulin Receptors (IRs) are well distributed in the brain, especially in the cortex, hippocampus and hypothalamus</w:t>
      </w:r>
      <w:r w:rsidR="005C59AA" w:rsidRPr="00425573">
        <w:rPr>
          <w:rFonts w:ascii="Book Antiqua" w:hAnsi="Book Antiqua"/>
          <w:color w:val="000000" w:themeColor="text1"/>
          <w:lang w:val="en-US"/>
        </w:rPr>
        <w:t xml:space="preserve">, corroborating the importance of brain insulin </w:t>
      </w:r>
      <w:r w:rsidR="009631BD" w:rsidRPr="00425573">
        <w:rPr>
          <w:rFonts w:ascii="Book Antiqua" w:hAnsi="Book Antiqua"/>
          <w:color w:val="000000" w:themeColor="text1"/>
          <w:lang w:val="en-US"/>
        </w:rPr>
        <w:t>signaling</w:t>
      </w:r>
      <w:r w:rsidR="003F0DC6" w:rsidRPr="00425573">
        <w:rPr>
          <w:rFonts w:ascii="Book Antiqua" w:hAnsi="Book Antiqua"/>
          <w:color w:val="000000" w:themeColor="text1"/>
          <w:lang w:val="en-US"/>
        </w:rPr>
        <w:fldChar w:fldCharType="begin"/>
      </w:r>
      <w:r w:rsidR="003F0DC6" w:rsidRPr="00425573">
        <w:rPr>
          <w:rFonts w:ascii="Book Antiqua" w:hAnsi="Book Antiqua"/>
          <w:color w:val="000000" w:themeColor="text1"/>
          <w:lang w:val="en-US"/>
        </w:rPr>
        <w:instrText xml:space="preserve"> ADDIN ZOTERO_ITEM CSL_CITATION {"citationID":"E6PGkq1A","properties":{"formattedCitation":"\\super [7,21]\\nosupersub{}","plainCitation":"[7,21]","noteIndex":0},"citationItems":[{"id":9,"uris":["http://zotero.org/groups/2394923/items/S2DK92PF"],"uri":["http://zotero.org/groups/2394923/items/S2DK92PF"],"itemData":{"id":9,"type":"article-journal","abstract":"Alzheimer’s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3F0DC6"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3F0DC6"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3F0DC6"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483,"uris":["http://zotero.org/groups/2394923/items/NM75IRL7"],"uri":["http://zotero.org/groups/2394923/items/NM75IRL7"],"itemData":{"id":483,"type":"article-journal","abstract":"In the periphery insulin plays a critical role in the regulation of metabolic homeostasis by stimulating glucose uptake into peripheral organs. In the central nervous system (CNS), insulin plays a critical role in the formation of neural circuits and synaptic connections from the earliest stages of development and facilitates and promotes neuroplasticity in the adult brain. Beyond these physiological roles of insulin, a shared feature between the periphery and CNS is that decreases in insulin receptor activity and signaling (i.e. insulin resistance) contributes to the pathological consequences of type 2 diabetes (T2DM) and obesity. Indeed, clinical and preclinical studies illustrate that CNS insulin resistance elicits neuroplasticity deficits that lead to decreases in cognitive function and increased risk of neuropsychiatric disorders. The goals of this review are to provide an overview of the literature that have identified the neuroplasticity deficits observed in T2DM and obesity, as well as to discuss the potential causes and consequences of insulin resistance in the CNS, with a particular focus on how insulin resistance impacts hippocampal neuroplasticity. Interestingly, studies that have examined the effects of hippocampal-specific insulin resistance illustrate that brain insulin resistance may impair neuroplasticity independent of peripheral insulin resistance, thereby supporting the concept that restoration of brain insulin activity is an attractive therapeutic strategy to ameliorate or reverse cognitive decline observed in patients with CNS insulin resistance such as T2DM and Alzheimer's Disease.","container-title":"Experimental Neurology","DOI":"10.1016/j.expneurol.2019.04.012","ISSN":"1090-2430","journalAbbreviation":"Exp. Neurol.","language":"eng","note":"PMID: 31028829","page":"71-77","source":"PubMed","title":"Insulin resistance and hippocampal dysfunction: Disentangling peripheral and brain causes from consequences","title-short":"Insulin resistance and hippocampal dysfunction","volume":"318","author":[{"family":"Grillo","given":"Claudia A."},{"family":"Woodruff","given":"Jennifer L."},{"family":"Macht","given":"Victoria A."},{"family":"Reagan","given":"Lawrence P."}],"issued":{"date-parts":[["2019",8]]}}}],"schema":"https://github.com/citation-style-language/schema/raw/master/csl-citation.json"} </w:instrText>
      </w:r>
      <w:r w:rsidR="003F0DC6" w:rsidRPr="00425573">
        <w:rPr>
          <w:rFonts w:ascii="Book Antiqua" w:hAnsi="Book Antiqua"/>
          <w:color w:val="000000" w:themeColor="text1"/>
          <w:lang w:val="en-US"/>
        </w:rPr>
        <w:fldChar w:fldCharType="separate"/>
      </w:r>
      <w:r w:rsidR="003F0DC6" w:rsidRPr="00425573">
        <w:rPr>
          <w:rFonts w:ascii="Book Antiqua" w:hAnsi="Book Antiqua"/>
          <w:color w:val="000000"/>
          <w:vertAlign w:val="superscript"/>
        </w:rPr>
        <w:t>[7,21]</w:t>
      </w:r>
      <w:r w:rsidR="003F0DC6" w:rsidRPr="00425573">
        <w:rPr>
          <w:rFonts w:ascii="Book Antiqua" w:hAnsi="Book Antiqua"/>
          <w:color w:val="000000" w:themeColor="text1"/>
          <w:lang w:val="en-US"/>
        </w:rPr>
        <w:fldChar w:fldCharType="end"/>
      </w:r>
      <w:r w:rsidR="009631BD" w:rsidRPr="00425573">
        <w:rPr>
          <w:rFonts w:ascii="Book Antiqua" w:hAnsi="Book Antiqua"/>
          <w:color w:val="000000" w:themeColor="text1"/>
          <w:lang w:val="en-US"/>
        </w:rPr>
        <w:t>.</w:t>
      </w:r>
      <w:r w:rsidR="00136B98" w:rsidRPr="00425573">
        <w:rPr>
          <w:rFonts w:ascii="Book Antiqua" w:hAnsi="Book Antiqua"/>
          <w:color w:val="000000" w:themeColor="text1"/>
          <w:lang w:val="en-US"/>
        </w:rPr>
        <w:t xml:space="preserve"> </w:t>
      </w:r>
      <w:r w:rsidR="000D6809" w:rsidRPr="00425573">
        <w:rPr>
          <w:rFonts w:ascii="Book Antiqua" w:hAnsi="Book Antiqua"/>
          <w:color w:val="000000" w:themeColor="text1"/>
          <w:lang w:val="en-US"/>
        </w:rPr>
        <w:t>The “diabetic brain” may suffer of the hyperglycemia and insulin resistance arising from the decrease in insulin receptor expression or activity</w:t>
      </w:r>
      <w:r w:rsidR="00BE550B" w:rsidRPr="00425573">
        <w:rPr>
          <w:rFonts w:ascii="Book Antiqua" w:hAnsi="Book Antiqua"/>
          <w:color w:val="000000" w:themeColor="text1"/>
          <w:lang w:val="en-US"/>
        </w:rPr>
        <w:fldChar w:fldCharType="begin"/>
      </w:r>
      <w:r w:rsidR="00BE550B" w:rsidRPr="00425573">
        <w:rPr>
          <w:rFonts w:ascii="Book Antiqua" w:hAnsi="Book Antiqua"/>
          <w:color w:val="000000" w:themeColor="text1"/>
          <w:lang w:val="en-US"/>
        </w:rPr>
        <w:instrText xml:space="preserve"> ADDIN ZOTERO_ITEM CSL_CITATION {"citationID":"gOySE0fq","properties":{"formattedCitation":"\\super [7,21]\\nosupersub{}","plainCitation":"[7,21]","noteIndex":0},"citationItems":[{"id":9,"uris":["http://zotero.org/groups/2394923/items/S2DK92PF"],"uri":["http://zotero.org/groups/2394923/items/S2DK92PF"],"itemData":{"id":9,"type":"article-journal","abstract":"Alzheimer’s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BE550B"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BE550B"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BE550B"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483,"uris":["http://zotero.org/groups/2394923/items/NM75IRL7"],"uri":["http://zotero.org/groups/2394923/items/NM75IRL7"],"itemData":{"id":483,"type":"article-journal","abstract":"In the periphery insulin plays a critical role in the regulation of metabolic homeostasis by stimulating glucose uptake into peripheral organs. In the central nervous system (CNS), insulin plays a critical role in the formation of neural circuits and synaptic connections from the earliest stages of development and facilitates and promotes neuroplasticity in the adult brain. Beyond these physiological roles of insulin, a shared feature between the periphery and CNS is that decreases in insulin receptor activity and signaling (i.e. insulin resistance) contributes to the pathological consequences of type 2 diabetes (T2DM) and obesity. Indeed, clinical and preclinical studies illustrate that CNS insulin resistance elicits neuroplasticity deficits that lead to decreases in cognitive function and increased risk of neuropsychiatric disorders. The goals of this review are to provide an overview of the literature that have identified the neuroplasticity deficits observed in T2DM and obesity, as well as to discuss the potential causes and consequences of insulin resistance in the CNS, with a particular focus on how insulin resistance impacts hippocampal neuroplasticity. Interestingly, studies that have examined the effects of hippocampal-specific insulin resistance illustrate that brain insulin resistance may impair neuroplasticity independent of peripheral insulin resistance, thereby supporting the concept that restoration of brain insulin activity is an attractive therapeutic strategy to ameliorate or reverse cognitive decline observed in patients with CNS insulin resistance such as T2DM and Alzheimer's Disease.","container-title":"Experimental Neurology","DOI":"10.1016/j.expneurol.2019.04.012","ISSN":"1090-2430","journalAbbreviation":"Exp. Neurol.","language":"eng","note":"PMID: 31028829","page":"71-77","source":"PubMed","title":"Insulin resistance and hippocampal dysfunction: Disentangling peripheral and brain causes from consequences","title-short":"Insulin resistance and hippocampal dysfunction","volume":"318","author":[{"family":"Grillo","given":"Claudia A."},{"family":"Woodruff","given":"Jennifer L."},{"family":"Macht","given":"Victoria A."},{"family":"Reagan","given":"Lawrence P."}],"issued":{"date-parts":[["2019",8]]}}}],"schema":"https://github.com/citation-style-language/schema/raw/master/csl-citation.json"} </w:instrText>
      </w:r>
      <w:r w:rsidR="00BE550B" w:rsidRPr="00425573">
        <w:rPr>
          <w:rFonts w:ascii="Book Antiqua" w:hAnsi="Book Antiqua"/>
          <w:color w:val="000000" w:themeColor="text1"/>
          <w:lang w:val="en-US"/>
        </w:rPr>
        <w:fldChar w:fldCharType="separate"/>
      </w:r>
      <w:r w:rsidR="00BE550B" w:rsidRPr="00425573">
        <w:rPr>
          <w:rFonts w:ascii="Book Antiqua" w:hAnsi="Book Antiqua"/>
          <w:color w:val="000000"/>
          <w:vertAlign w:val="superscript"/>
        </w:rPr>
        <w:t>[7,21]</w:t>
      </w:r>
      <w:r w:rsidR="00BE550B" w:rsidRPr="00425573">
        <w:rPr>
          <w:rFonts w:ascii="Book Antiqua" w:hAnsi="Book Antiqua"/>
          <w:color w:val="000000" w:themeColor="text1"/>
          <w:lang w:val="en-US"/>
        </w:rPr>
        <w:fldChar w:fldCharType="end"/>
      </w:r>
      <w:r w:rsidR="000D6809" w:rsidRPr="00425573">
        <w:rPr>
          <w:rFonts w:ascii="Book Antiqua" w:hAnsi="Book Antiqua"/>
          <w:color w:val="000000" w:themeColor="text1"/>
          <w:lang w:val="en-US"/>
        </w:rPr>
        <w:t xml:space="preserve">. </w:t>
      </w:r>
      <w:r w:rsidR="001E3ADC" w:rsidRPr="00425573">
        <w:rPr>
          <w:rFonts w:ascii="Book Antiqua" w:hAnsi="Book Antiqua"/>
          <w:color w:val="000000" w:themeColor="text1"/>
          <w:lang w:val="en-US"/>
        </w:rPr>
        <w:t>This alteration may lead to the activation of pathogenic processes, namely</w:t>
      </w:r>
      <w:r w:rsidR="00C808C1" w:rsidRPr="00425573">
        <w:rPr>
          <w:rFonts w:ascii="Book Antiqua" w:hAnsi="Book Antiqua"/>
          <w:color w:val="000000" w:themeColor="text1"/>
          <w:lang w:val="en-US"/>
        </w:rPr>
        <w:t xml:space="preserve"> enhanced production of reactive oxygen species (ROS) and pro-inflammatory cytokines</w:t>
      </w:r>
      <w:r w:rsidR="00D63357" w:rsidRPr="00425573">
        <w:rPr>
          <w:rFonts w:ascii="Book Antiqua" w:hAnsi="Book Antiqua"/>
          <w:color w:val="000000" w:themeColor="text1"/>
          <w:lang w:val="en-US"/>
        </w:rPr>
        <w:t>,</w:t>
      </w:r>
      <w:r w:rsidR="00083E5A" w:rsidRPr="00425573">
        <w:rPr>
          <w:rFonts w:ascii="Book Antiqua" w:hAnsi="Book Antiqua"/>
          <w:color w:val="000000" w:themeColor="text1"/>
          <w:lang w:val="en-US"/>
        </w:rPr>
        <w:t xml:space="preserve"> </w:t>
      </w:r>
      <w:r w:rsidR="00F15503" w:rsidRPr="00425573">
        <w:rPr>
          <w:rFonts w:ascii="Book Antiqua" w:hAnsi="Book Antiqua"/>
          <w:color w:val="000000" w:themeColor="text1"/>
          <w:lang w:val="en-US"/>
        </w:rPr>
        <w:t>that trigger</w:t>
      </w:r>
      <w:r w:rsidR="001E3ADC" w:rsidRPr="00425573">
        <w:rPr>
          <w:rFonts w:ascii="Book Antiqua" w:hAnsi="Book Antiqua"/>
          <w:color w:val="000000" w:themeColor="text1"/>
          <w:lang w:val="en-US"/>
        </w:rPr>
        <w:t xml:space="preserve"> inflammatory responses</w:t>
      </w:r>
      <w:r w:rsidR="00F15503" w:rsidRPr="00425573">
        <w:rPr>
          <w:rFonts w:ascii="Book Antiqua" w:hAnsi="Book Antiqua"/>
          <w:color w:val="000000" w:themeColor="text1"/>
          <w:lang w:val="en-US"/>
        </w:rPr>
        <w:t xml:space="preserve"> also</w:t>
      </w:r>
      <w:r w:rsidR="006706CB" w:rsidRPr="00425573">
        <w:rPr>
          <w:rFonts w:ascii="Book Antiqua" w:hAnsi="Book Antiqua"/>
          <w:color w:val="000000" w:themeColor="text1"/>
          <w:lang w:val="en-US"/>
        </w:rPr>
        <w:t xml:space="preserve"> </w:t>
      </w:r>
      <w:r w:rsidR="00F15503" w:rsidRPr="00425573">
        <w:rPr>
          <w:rFonts w:ascii="Book Antiqua" w:hAnsi="Book Antiqua"/>
          <w:color w:val="000000" w:themeColor="text1"/>
          <w:lang w:val="en-US"/>
        </w:rPr>
        <w:t>in</w:t>
      </w:r>
      <w:r w:rsidR="006706CB" w:rsidRPr="00425573">
        <w:rPr>
          <w:rFonts w:ascii="Book Antiqua" w:hAnsi="Book Antiqua"/>
          <w:color w:val="000000" w:themeColor="text1"/>
          <w:lang w:val="en-US"/>
        </w:rPr>
        <w:t xml:space="preserve"> the brain</w:t>
      </w:r>
      <w:r w:rsidR="001E3ADC" w:rsidRPr="00425573">
        <w:rPr>
          <w:rFonts w:ascii="Book Antiqua" w:hAnsi="Book Antiqua"/>
          <w:color w:val="000000" w:themeColor="text1"/>
          <w:lang w:val="en-US"/>
        </w:rPr>
        <w:t>, advanced glycation products and dysfunctions of autophagic functions.</w:t>
      </w:r>
      <w:r w:rsidR="00455787" w:rsidRPr="00425573">
        <w:rPr>
          <w:rFonts w:ascii="Book Antiqua" w:hAnsi="Book Antiqua"/>
          <w:color w:val="000000" w:themeColor="text1"/>
          <w:lang w:val="en-US"/>
        </w:rPr>
        <w:t xml:space="preserve"> </w:t>
      </w:r>
      <w:r w:rsidR="00DC388D" w:rsidRPr="00425573">
        <w:rPr>
          <w:rFonts w:ascii="Book Antiqua" w:hAnsi="Book Antiqua"/>
          <w:color w:val="000000" w:themeColor="text1"/>
          <w:lang w:val="en-US"/>
        </w:rPr>
        <w:t>Moreover</w:t>
      </w:r>
      <w:r w:rsidR="008421F8" w:rsidRPr="00425573">
        <w:rPr>
          <w:rFonts w:ascii="Book Antiqua" w:hAnsi="Book Antiqua"/>
          <w:color w:val="000000" w:themeColor="text1"/>
          <w:lang w:val="en-US"/>
        </w:rPr>
        <w:t>,</w:t>
      </w:r>
      <w:r w:rsidR="00715F9F" w:rsidRPr="00425573">
        <w:rPr>
          <w:rFonts w:ascii="Book Antiqua" w:hAnsi="Book Antiqua"/>
          <w:color w:val="000000" w:themeColor="text1"/>
          <w:lang w:val="en-US"/>
        </w:rPr>
        <w:t xml:space="preserve"> </w:t>
      </w:r>
      <w:r w:rsidR="00192DA0" w:rsidRPr="00425573">
        <w:rPr>
          <w:rFonts w:ascii="Book Antiqua" w:hAnsi="Book Antiqua" w:cs="Times New Roman"/>
          <w:color w:val="000000" w:themeColor="text1"/>
          <w:lang w:val="en-US"/>
        </w:rPr>
        <w:t>insulin resistance</w:t>
      </w:r>
      <w:r w:rsidR="00715F9F" w:rsidRPr="00425573">
        <w:rPr>
          <w:rFonts w:ascii="Book Antiqua" w:hAnsi="Book Antiqua" w:cs="Times New Roman"/>
          <w:color w:val="000000" w:themeColor="text1"/>
          <w:lang w:val="en-US"/>
        </w:rPr>
        <w:t xml:space="preserve"> is able to increase the production and secret</w:t>
      </w:r>
      <w:r w:rsidR="00DE5EF6" w:rsidRPr="00425573">
        <w:rPr>
          <w:rFonts w:ascii="Book Antiqua" w:hAnsi="Book Antiqua" w:cs="Times New Roman"/>
          <w:color w:val="000000" w:themeColor="text1"/>
          <w:lang w:val="en-US"/>
        </w:rPr>
        <w:t xml:space="preserve">ion of </w:t>
      </w:r>
      <w:r w:rsidR="00C3474F" w:rsidRPr="00425573">
        <w:rPr>
          <w:rFonts w:ascii="Book Antiqua" w:hAnsi="Book Antiqua" w:cs="Times New Roman"/>
          <w:color w:val="000000" w:themeColor="text1"/>
          <w:lang w:val="en-US"/>
        </w:rPr>
        <w:t>beta amyloid (</w:t>
      </w:r>
      <w:r w:rsidR="00DE5EF6" w:rsidRPr="00425573">
        <w:rPr>
          <w:rFonts w:ascii="Book Antiqua" w:hAnsi="Book Antiqua" w:cs="Times New Roman"/>
          <w:color w:val="000000" w:themeColor="text1"/>
          <w:lang w:val="en-US"/>
        </w:rPr>
        <w:t>A</w:t>
      </w:r>
      <w:r w:rsidR="005703D4" w:rsidRPr="00425573">
        <w:rPr>
          <w:rFonts w:ascii="Book Antiqua" w:hAnsi="Book Antiqua" w:cs="Lucida Grande"/>
          <w:color w:val="000000" w:themeColor="text1"/>
          <w:lang w:val="en-US"/>
        </w:rPr>
        <w:t>β</w:t>
      </w:r>
      <w:r w:rsidR="00F14B27" w:rsidRPr="00425573">
        <w:rPr>
          <w:rFonts w:ascii="Book Antiqua" w:hAnsi="Book Antiqua" w:cs="Times New Roman"/>
          <w:color w:val="000000" w:themeColor="text1"/>
          <w:lang w:val="en-US"/>
        </w:rPr>
        <w:t>) and alter the</w:t>
      </w:r>
      <w:r w:rsidR="00715F9F" w:rsidRPr="00425573">
        <w:rPr>
          <w:rFonts w:ascii="Book Antiqua" w:hAnsi="Book Antiqua" w:cs="Times New Roman"/>
          <w:color w:val="000000" w:themeColor="text1"/>
          <w:lang w:val="en-US"/>
        </w:rPr>
        <w:t xml:space="preserve"> </w:t>
      </w:r>
      <w:r w:rsidR="00484CAF" w:rsidRPr="00425573">
        <w:rPr>
          <w:rFonts w:ascii="Book Antiqua" w:hAnsi="Book Antiqua" w:cs="Times New Roman"/>
          <w:color w:val="000000" w:themeColor="text1"/>
          <w:lang w:val="en-US"/>
        </w:rPr>
        <w:t>molecular</w:t>
      </w:r>
      <w:r w:rsidR="00715F9F" w:rsidRPr="00425573">
        <w:rPr>
          <w:rFonts w:ascii="Book Antiqua" w:hAnsi="Book Antiqua" w:cs="Times New Roman"/>
          <w:color w:val="000000" w:themeColor="text1"/>
          <w:lang w:val="en-US"/>
        </w:rPr>
        <w:t xml:space="preserve"> pathways involved in the phosphorylation of Tau protein</w:t>
      </w:r>
      <w:r w:rsidR="00B573A2" w:rsidRPr="00425573">
        <w:rPr>
          <w:rFonts w:ascii="Book Antiqua" w:hAnsi="Book Antiqua" w:cs="Times New Roman"/>
          <w:color w:val="000000" w:themeColor="text1"/>
          <w:lang w:val="en-US"/>
        </w:rPr>
        <w:t xml:space="preserve">: both </w:t>
      </w:r>
      <w:r w:rsidR="005703D4" w:rsidRPr="00425573">
        <w:rPr>
          <w:rFonts w:ascii="Book Antiqua" w:hAnsi="Book Antiqua" w:cs="Times New Roman"/>
          <w:color w:val="000000" w:themeColor="text1"/>
          <w:lang w:val="en-US"/>
        </w:rPr>
        <w:t>A</w:t>
      </w:r>
      <w:r w:rsidR="005703D4" w:rsidRPr="00425573">
        <w:rPr>
          <w:rFonts w:ascii="Book Antiqua" w:hAnsi="Book Antiqua" w:cs="Lucida Grande"/>
          <w:color w:val="000000" w:themeColor="text1"/>
          <w:lang w:val="en-US"/>
        </w:rPr>
        <w:t>β</w:t>
      </w:r>
      <w:r w:rsidR="00B573A2" w:rsidRPr="00425573">
        <w:rPr>
          <w:rFonts w:ascii="Book Antiqua" w:hAnsi="Book Antiqua" w:cs="Times New Roman"/>
          <w:color w:val="000000" w:themeColor="text1"/>
          <w:lang w:val="en-US"/>
        </w:rPr>
        <w:t xml:space="preserve"> and hyperphosphorilated-Tau are known to misfold, aggregate and accumulate</w:t>
      </w:r>
      <w:r w:rsidR="00DC388D" w:rsidRPr="00425573">
        <w:rPr>
          <w:rFonts w:ascii="Book Antiqua" w:hAnsi="Book Antiqua" w:cs="Times New Roman"/>
          <w:color w:val="000000" w:themeColor="text1"/>
          <w:lang w:val="en-US"/>
        </w:rPr>
        <w:t xml:space="preserve"> leading to the loss of synapses and death of neurons, which </w:t>
      </w:r>
      <w:r w:rsidR="00B87F30" w:rsidRPr="00425573">
        <w:rPr>
          <w:rFonts w:ascii="Book Antiqua" w:hAnsi="Book Antiqua" w:cs="Times New Roman"/>
          <w:color w:val="000000" w:themeColor="text1"/>
          <w:lang w:val="en-US"/>
        </w:rPr>
        <w:t>are</w:t>
      </w:r>
      <w:r w:rsidR="00DC388D" w:rsidRPr="00425573">
        <w:rPr>
          <w:rFonts w:ascii="Book Antiqua" w:hAnsi="Book Antiqua" w:cs="Times New Roman"/>
          <w:color w:val="000000" w:themeColor="text1"/>
          <w:lang w:val="en-US"/>
        </w:rPr>
        <w:t xml:space="preserve"> typical of neurodegeneration processes</w:t>
      </w:r>
      <w:r w:rsidR="00115086" w:rsidRPr="00425573">
        <w:rPr>
          <w:rFonts w:ascii="Book Antiqua" w:hAnsi="Book Antiqua"/>
          <w:color w:val="000000" w:themeColor="text1"/>
          <w:lang w:val="en-US"/>
        </w:rPr>
        <w:fldChar w:fldCharType="begin"/>
      </w:r>
      <w:r w:rsidR="00992D72" w:rsidRPr="00425573">
        <w:rPr>
          <w:rFonts w:ascii="Book Antiqua" w:hAnsi="Book Antiqua"/>
          <w:color w:val="000000" w:themeColor="text1"/>
          <w:lang w:val="en-US"/>
        </w:rPr>
        <w:instrText xml:space="preserve"> ADDIN ZOTERO_ITEM CSL_CITATION {"citationID":"lImnfzya","properties":{"formattedCitation":"\\super [7,22\\uc0\\u8211{}28]\\nosupersub{}","plainCitation":"[7,22–28]","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992D72"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992D72"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992D72"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45,"uris":["http://zotero.org/groups/2394923/items/V3G9CGWF"],"uri":["http://zotero.org/groups/2394923/items/V3G9CGWF"],"itemData":{"id":45,"type":"article-journal","abstract":"OBJECTIVE: To investigate whether diabetes mellitus is associated with Parkinson-like pathology in people without Parkinson disease and to evaluate the effect of diabetes mellitus on markers of Parkinson pathology and clinical progression in drug-naive patients with early-stage Parkinson disease.\nMETHODS: We compared 25 patients with Parkinson disease and diabetes mellitus to 25 without diabetes mellitus, and 14 patients with diabetes mellitus and no Parkinson disease to 14 healthy controls (people with no diabetes mellitus or Parkinson disease). The clinical diagnosis of diabetes mellitus was confirmed by 2 consecutive fasting measurements of serum glucose levels &gt;126 mL/dL. Over a 36-month follow-up period, we then investigated in the population with Parkinson disease whether the presence of diabetes mellitus was associated with faster motor progression or cognitive decline.\nRESULTS: The presence of diabetes mellitus was associated with higher motor scores (p &lt; 0.01), lower striatal dopamine transporter binding (p &lt; 0.05), and higher tau CSF levels (p &lt; 0.05) in patients with Parkinson disease. In patients with diabetes but without Parkinson disease, the presence of diabetes mellitus was associated with lower striatal dopamine transporter binding (p &lt; 0.05) and higher tau (p &lt; 0.05) and α-synuclein (p &lt; 0.05) CSF levels compared to healthy controls. At the Cox survival analysis in the population of patients with Parkinson disease, the presence of diabetes mellitus was associated with faster motor progression (hazard ratio = 4.521, 95% confidence interval = 1.468-13.926; p &lt; 0.01) and cognitive decline (hazard ratio = 9.314, 95% confidence interval = 1.164-74.519; p &lt; 0.05).\nCONCLUSIONS: Diabetes mellitus may predispose toward a Parkinson-like pathology, and when present in patients with Parkinson disease, can induce a more aggressive phenotype.","container-title":"Neurology","DOI":"10.1212/WNL.0000000000005475","ISSN":"1526-632X","issue":"19","journalAbbreviation":"Neurology","language":"eng","note":"PMID: 29626177","page":"e1654-e1662","source":"PubMed","title":"Diabetes mellitus and Parkinson disease","volume":"90","author":[{"family":"Pagano","given":"Gennaro"},{"family":"Polychronis","given":"Sotirios"},{"family":"Wilson","given":"Heather"},{"family":"Giordano","given":"Beniamino"},{"family":"Ferrara","given":"Nicola"},{"family":"Niccolini","given":"Flavia"},{"family":"Politis","given":"Marios"}],"issued":{"date-parts":[["2018"]],"season":"08"}}},{"id":44,"uris":["http://zotero.org/groups/2394923/items/PP9JMRXV"],"uri":["http://zotero.org/groups/2394923/items/PP9JMRXV"],"itemData":{"id":44,"type":"article-journal","abstract":"Type 2 diabetes mellitus (T2DM) is a metabolic disorder characterized by elevated concentrations of glucose in the blood. The chronic hyperglycemic state accounts for most of the vascular complications associated to the disease and the prevalent mechanism proposed is related to the glycating chemistry mediated by methylglyoxal (MG), which accumulates in T2DM. In recent years, a higher risk of Parkinson's disease (PD) onset in people affected by T2DM has become evident, but the molecular mechanisms underlying the interplay between T2DM and PD are still unknown. The oxidative chemistry of dopamine and its reactivity towards the protein α-Synuclein (aS) has been associated to the pathogenesis of PD. Recently, aS has also been described to interact with MG. Interestingly, MG and the dopamine oxidation products share both structural similarity and chemical reactivity. The ability of MG to spread over the site of its production and react with aS could represent the rationale to explain the higher incidence of PD in T2DM-affected people and may open opportunities for the development of novel strategies to antagonize the raise of PD.","container-title":"Molecular Neurobiology","DOI":"10.1007/s12035-018-1025-9","ISSN":"1559-1182","issue":"11","journalAbbreviation":"Mol. Neurobiol.","language":"eng","note":"PMID: 29594935","page":"8754-8763","source":"PubMed","title":"Diabetes Mellitus as a Risk Factor for Parkinson's Disease: a Molecular Point of View","title-short":"Diabetes Mellitus as a Risk Factor for Parkinson's Disease","volume":"55","author":[{"family":"Biosa","given":"Alice"},{"family":"Outeiro","given":"Tiago F."},{"family":"Bubacco","given":"Luigi"},{"family":"Bisaglia","given":"Marco"}],"issued":{"date-parts":[["2018",11]]}}},{"id":51,"uris":["http://zotero.org/groups/2394923/items/ZBGMBLVQ"],"uri":["http://zotero.org/groups/2394923/items/ZBGMBLVQ"],"itemData":{"id":51,"type":"article-journal","abstract":"There is growing evidence that patients with Type 2 diabetes have an increased risk of developing Parkinson's disease and share similar dysregulated pathways suggesting common underlying pathological mechanisms. Historically insulin was thought solely to be a peripherally acting hormone responsible for glucose homeostasis and energy metabolism. However accumulating evidence indicates insulin can cross the blood-brain-barrier and influence a multitude of processes in the brain including regulating neuronal survival and growth, dopaminergic transmission, maintenance of synapses and pathways involved in cognition. In conjunction, there is growing evidence that a process analogous to peripheral insulin resistance occurs in the brains of Parkinson's disease patients, even in those without diabetes. This raises the possibility that defective insulin signalling pathways may contribute to the development of the pathological features of Parkinson's disease, and thereby suggests that the insulin signalling pathway may potentially be a novel target for disease modification. Given these growing links between PD and Type 2 diabetes it is perhaps not unsurprising that drugs used the treatment of T2DM are amongst the most promising treatments currently being prioritised for repositioning as possible novel treatments for PD and several clinical trials are under way. In this review, we will examine the underlying cellular links between insulin resistance and the pathogenesis of PD and then we will assess current and future pharmacological strategies being developed to restore neuronal insulin signalling as a potential strategy for slowing neurodegeneration in Parkinson's disease.","container-title":"Progress in Neurobiology","DOI":"10.1016/j.pneurobio.2016.10.001","ISSN":"1873-5118","journalAbbreviation":"Prog. Neurobiol.","language":"eng","note":"PMID: 27713036","page":"98-120","source":"PubMed","title":"Insulin resistance and Parkinson's disease: A new target for disease modification?","title-short":"Insulin resistance and Parkinson's disease","volume":"145-146","author":[{"family":"Athauda","given":"D."},{"family":"Foltynie","given":"T."}],"issued":{"date-parts":[["2016",11]]}}},{"id":52,"uris":["http://zotero.org/groups/2394923/items/U583BDT4"],"uri":["http://zotero.org/groups/2394923/items/U583BDT4"],"itemData":{"id":52,"type":"article-journal","abstract":"BACKGROUND: Parkinson's disease is a chronic neurodegenerative disorder characterized by a progressive loss of dopaminergic neurons. The pathophysiological mechanisms underlying Parkinson's are still unknown. Mitochondrial dysfunction, abnormal protein aggregation, increased neuroinflammation and impairment of brain glucose metabolism are shared processes among insulinresistance, diabetes and neurodegeneration and have been suggested as key mechanisms in development of Parkinson's and cognitive impairment.\nOBJECTIVE: To review experimental and clinical evidence of underlying Parkinson's pathophysiology in common with diabetes and cognitive impairment. Anti-diabetic agents and recent patents for insulin-resistance that might be repositioned in the treatment of Parkinson's also have been included in this review.\nMETHOD: A narrative review using MEDLINE database.\nRESULTS: Common antidiabetic treatments such as DPP4 inhibitors, GLP-1 agonists and metformin have shown promise in the treatment of Parkinson's disease and cognitive impairment in animals and humans. Study of the pathophysiology of neurodegeneration common between diabetes and Parkinson's disease has given rise to new treatment possibilities. Patents published in the last 5 years could be used in novel approaches to Parkinson's treatment by targeting specific pathophysiology proteins, such as Nurr1, PINK1 and NrF2, while patents to improve penetration of the blood brain barrier could allow improved efficacy of existing treatments.\nCONCLUSION: Further studies using GLP-1 agonists and DPP-4 inhibitors to treat PD are warranted as they have shown promise.","container-title":"Recent Patents on Endocrine, Metabolic &amp; Immune Drug Discovery","ISSN":"2212-3334","issue":"1","journalAbbreviation":"Recent Pat Endocr Metab Immune Drug Discov","language":"eng","note":"PMID: 27396477","page":"11-21","source":"PubMed","title":"Parkinson's Disease, Diabetes and Cognitive Impairment","volume":"10","author":[{"family":"Ashraghi","given":"Mohammad R."},{"family":"Pagano","given":"Gennaro"},{"family":"Polychronis","given":"Sotirios"},{"family":"Niccolini","given":"Flavia"},{"family":"Politis","given":"Marios"}],"issued":{"date-parts":[["2016"]]}}},{"id":47,"uris":["http://zotero.org/groups/2394923/items/J5JSYM9Q"],"uri":["http://zotero.org/groups/2394923/items/J5JSYM9Q"],"itemData":{"id":47,"type":"article-journal","abstract":"Breakthroughs in biochemistry have furthered our understanding of the onset and progression of various diseases, and have advanced the development of new therapeutics. Oxidative stress and reactive oxygen species (ROS) are ubiquitous in biological systems. ROS can be formed non-enzymatically by chemical, photochemical and electron transfer reactions, or as the byproducts of endogenous enzymatic reactions, phagocytosis, and inflammation. Imbalances in ROS homeostasis, caused by impairments in antioxidant enzymes or non-enzymatic antioxidant networks, increase oxidative stress, leading to the deleterious oxidation and chemical modification of biomacromolecules such as lipids, DNA, and proteins. While many ROS are intracellular signaling messengers and most products of oxidative metabolisms are beneficial for normal cellular function, the elevation of ROS levels by light, hyperglycemia, peroxisomes, and certain enzymes causes oxidative stress-sensitive signaling, toxicity, oncogenesis, neurodegenerative diseases, and diabetes. Although the underlying mechanisms of these diseases are manifold, oxidative stress caused by ROS is a major contributing factor in their onset. This review summarizes the relationship between ROS and oxidative stress, with special reference to recent advancements in the detection of biomarkers related to oxidative stress. Further, we will introduce biomarkers for the early detection of neurodegenerative diseases and diabetes, with a focus on our recent work.","container-title":"Free Radical Research","DOI":"10.1080/10715762.2017.1315114","ISSN":"1029-2470","issue":"4","journalAbbreviation":"Free Radic. Res.","language":"eng","note":"PMID: 28372523","page":"413-427","source":"PubMed","title":"In vivo ROS production and use of oxidative stress-derived biomarkers to detect the onset of diseases such as Alzheimer's disease, Parkinson's disease, and diabetes","volume":"51","author":[{"family":"Umeno","given":"Aya"},{"family":"Biju","given":"Vasudevanpillai"},{"family":"Yoshida","given":"Yasukazu"}],"issued":{"date-parts":[["2017",4]]}}},{"id":46,"uris":["http://zotero.org/groups/2394923/items/29C8WAZH"],"uri":["http://zotero.org/groups/2394923/items/29C8WAZH"],"itemData":{"id":46,"type":"article-journal","abstract":"BACKGROUND: Despite growing evidence showing an association between Parkinson's disease (PD) and diabetes, epidemiological studies have shown conflicting results.\nAIMS OF THE STUDY: To evaluate the association between PD and diabetes and the impact of diabetes duration in this association in an elderly (≥65 years) Spanish population.\nMETHODS: Data for this cross-sectional population-based analysis were obtained from NEDICES study. Subjects were identified from census list. Diagnosis of PD was confirmed by neurological examination. Diabetes was defined by self-report, being on antidiabetic medication or diagnosis on medical records. Logistic regression analysis adjusted by potential confounders was performed to estimate the association between both conditions and also after dividing patients into short-duration (&lt;10 years) and long-duration (≥10 years) diabetes.\nRESULTS: A total of 4998 subjects were included (79 PD and 4919 controls). Univariate analysis did not show any association between prevalence of PD and diabetes (OR 1.89, 95% CI 0.90-3.98, P=.09), although subgroup analysis showed a positive association in those with long-duration diabetes (3.27, 95% CI 1.21-8.85, P=.02).\nCONCLUSIONS: Diabetes duration might be an important factor in the association between PD and diabetes, and the risk might be limited to those with longer disease duration.","container-title":"Acta Neurologica Scandinavica","DOI":"10.1111/ane.12793","ISSN":"1600-0404","issue":"6","journalAbbreviation":"Acta Neurol. Scand.","language":"eng","note":"PMID: 28653373","page":"732-736","source":"PubMed","title":"Association between Parkinson's disease and diabetes: Data from NEDICES study","title-short":"Association between Parkinson's disease and diabetes","volume":"136","author":[{"family":"De Pablo-Fernandez","given":"E."},{"family":"Sierra-Hidalgo","given":"F."},{"family":"Benito-León","given":"J."},{"family":"Bermejo-Pareja","given":"F."}],"issued":{"date-parts":[["2017",12]]}}},{"id":139,"uris":["http://zotero.org/groups/2394923/items/BBG88MY7"],"uri":["http://zotero.org/groups/2394923/items/BBG88MY7"],"itemData":{"id":139,"type":"article-journal","abstract":"Type 2 diabetes (T2D) and Alzheimer’s disease (AD) are two age-related amyloid diseases that affect millions of people worldwide. Broadly supported by epidemiological data, the higher incidence of AD among type 2 diabetic patients led to the recognition of T2D as a tangible risk factor for the development of AD. Indeed, there is now growing evidence on brain structural and functional abnormalities arising from brain insulin resistance and deﬁciency, ultimately highlighting the need for new approaches capable of preventing the development of AD in type 2 diabetic patients. This review provides an update on overlapping pathophysiological mechanisms and pathways in T2D and AD, such as amyloidogenic events, oxidative stress, endothelial dysfunction, aberrant enzymatic activity, and even shared genetic background. These events will be presented as puzzle pieces put together, thus establishing potential therapeutic targets for drug discovery and development against T2D and diabetes-induced cognitive decline—a heavyweight contributor to the increasing incidence of dementia in developed countries. Hoping to pave the way in this direction, we will present some of the most promising and well-studied drug leads with potential against both pathologies, including their respective bioactivity reports, mechanisms of action, and structure–activity relationships.","container-title":"Medicinal Research Reviews","DOI":"10.1002/med.21440","ISSN":"01986325","issue":"1","journalAbbreviation":"Med. Res. Rev.","language":"en","page":"261-324","source":"DOI.org (Crossref)","title":"Bridging Type 2 Diabetes and Alzheimer's Disease: Assembling the Puzzle Pieces in the Quest for the Molecules With Therapeutic and Preventive Potential","title-short":"Bridging Type 2 Diabetes and Alzheimer's Disease","volume":"38","author":[{"family":"Matos","given":"Ana Marta","non-dropping-particle":"de"},{"family":"Macedo","given":"Maria Paula","non-dropping-particle":"de"},{"family":"Rauter","given":"Amélia Pilar"}],"issued":{"date-parts":[["2018",1]]}}}],"schema":"https://github.com/citation-style-language/schema/raw/master/csl-citation.json"} </w:instrText>
      </w:r>
      <w:r w:rsidR="00115086" w:rsidRPr="00425573">
        <w:rPr>
          <w:rFonts w:ascii="Book Antiqua" w:hAnsi="Book Antiqua"/>
          <w:color w:val="000000" w:themeColor="text1"/>
          <w:lang w:val="en-US"/>
        </w:rPr>
        <w:fldChar w:fldCharType="separate"/>
      </w:r>
      <w:r w:rsidR="00992D72" w:rsidRPr="00425573">
        <w:rPr>
          <w:rFonts w:ascii="Book Antiqua" w:hAnsi="Book Antiqua"/>
          <w:vertAlign w:val="superscript"/>
        </w:rPr>
        <w:t>[7,22–28]</w:t>
      </w:r>
      <w:r w:rsidR="00115086" w:rsidRPr="00425573">
        <w:rPr>
          <w:rFonts w:ascii="Book Antiqua" w:hAnsi="Book Antiqua"/>
          <w:color w:val="000000" w:themeColor="text1"/>
          <w:lang w:val="en-US"/>
        </w:rPr>
        <w:fldChar w:fldCharType="end"/>
      </w:r>
      <w:r w:rsidR="00115086" w:rsidRPr="00425573">
        <w:rPr>
          <w:rFonts w:ascii="Book Antiqua" w:hAnsi="Book Antiqua"/>
          <w:color w:val="000000" w:themeColor="text1"/>
          <w:lang w:val="en-US"/>
        </w:rPr>
        <w:t xml:space="preserve">. </w:t>
      </w:r>
      <w:r w:rsidR="00B23292" w:rsidRPr="00425573">
        <w:rPr>
          <w:rFonts w:ascii="Book Antiqua" w:hAnsi="Book Antiqua"/>
          <w:color w:val="000000" w:themeColor="text1"/>
          <w:lang w:val="en-US"/>
        </w:rPr>
        <w:t>Indeed, the</w:t>
      </w:r>
      <w:r w:rsidR="008421F8" w:rsidRPr="00425573">
        <w:rPr>
          <w:rFonts w:ascii="Book Antiqua" w:hAnsi="Book Antiqua"/>
          <w:color w:val="000000" w:themeColor="text1"/>
          <w:lang w:val="en-US"/>
        </w:rPr>
        <w:t xml:space="preserve"> </w:t>
      </w:r>
      <w:r w:rsidR="00F92C6F" w:rsidRPr="00425573">
        <w:rPr>
          <w:rFonts w:ascii="Book Antiqua" w:hAnsi="Book Antiqua"/>
          <w:color w:val="000000" w:themeColor="text1"/>
          <w:lang w:val="en-US"/>
        </w:rPr>
        <w:t xml:space="preserve">increased </w:t>
      </w:r>
      <w:r w:rsidR="00ED579C" w:rsidRPr="00425573">
        <w:rPr>
          <w:rFonts w:ascii="Book Antiqua" w:hAnsi="Book Antiqua"/>
          <w:color w:val="000000" w:themeColor="text1"/>
          <w:lang w:val="en-US"/>
        </w:rPr>
        <w:t>neuroinflammation</w:t>
      </w:r>
      <w:r w:rsidR="0066395E" w:rsidRPr="00425573">
        <w:rPr>
          <w:rFonts w:ascii="Book Antiqua" w:hAnsi="Book Antiqua"/>
          <w:color w:val="000000" w:themeColor="text1"/>
          <w:lang w:val="en-US"/>
        </w:rPr>
        <w:t xml:space="preserve"> </w:t>
      </w:r>
      <w:r w:rsidR="00ED579C" w:rsidRPr="00425573">
        <w:rPr>
          <w:rFonts w:ascii="Book Antiqua" w:hAnsi="Book Antiqua"/>
          <w:color w:val="000000" w:themeColor="text1"/>
          <w:lang w:val="en-US"/>
        </w:rPr>
        <w:t>represent</w:t>
      </w:r>
      <w:r w:rsidR="008421F8" w:rsidRPr="00425573">
        <w:rPr>
          <w:rFonts w:ascii="Book Antiqua" w:hAnsi="Book Antiqua"/>
          <w:color w:val="000000" w:themeColor="text1"/>
          <w:lang w:val="en-US"/>
        </w:rPr>
        <w:t>s</w:t>
      </w:r>
      <w:r w:rsidR="00ED579C" w:rsidRPr="00425573">
        <w:rPr>
          <w:rFonts w:ascii="Book Antiqua" w:hAnsi="Book Antiqua"/>
          <w:color w:val="000000" w:themeColor="text1"/>
          <w:lang w:val="en-US"/>
        </w:rPr>
        <w:t xml:space="preserve"> </w:t>
      </w:r>
      <w:r w:rsidR="008421F8" w:rsidRPr="00425573">
        <w:rPr>
          <w:rFonts w:ascii="Book Antiqua" w:hAnsi="Book Antiqua"/>
          <w:color w:val="000000" w:themeColor="text1"/>
          <w:lang w:val="en-US"/>
        </w:rPr>
        <w:t xml:space="preserve">a </w:t>
      </w:r>
      <w:r w:rsidR="00ED579C" w:rsidRPr="00425573">
        <w:rPr>
          <w:rFonts w:ascii="Book Antiqua" w:hAnsi="Book Antiqua"/>
          <w:color w:val="000000" w:themeColor="text1"/>
          <w:lang w:val="en-US"/>
        </w:rPr>
        <w:t>pathological</w:t>
      </w:r>
      <w:r w:rsidR="00452993" w:rsidRPr="00425573">
        <w:rPr>
          <w:rFonts w:ascii="Book Antiqua" w:hAnsi="Book Antiqua"/>
          <w:color w:val="000000" w:themeColor="text1"/>
          <w:lang w:val="en-US"/>
        </w:rPr>
        <w:t xml:space="preserve"> feature</w:t>
      </w:r>
      <w:r w:rsidR="00ED579C" w:rsidRPr="00425573">
        <w:rPr>
          <w:rFonts w:ascii="Book Antiqua" w:hAnsi="Book Antiqua"/>
          <w:color w:val="000000" w:themeColor="text1"/>
          <w:lang w:val="en-US"/>
        </w:rPr>
        <w:t xml:space="preserve"> shared by </w:t>
      </w:r>
      <w:r w:rsidR="008421F8" w:rsidRPr="00425573">
        <w:rPr>
          <w:rFonts w:ascii="Book Antiqua" w:hAnsi="Book Antiqua"/>
          <w:color w:val="000000" w:themeColor="text1"/>
          <w:lang w:val="en-US"/>
        </w:rPr>
        <w:t xml:space="preserve">all of </w:t>
      </w:r>
      <w:r w:rsidR="00ED579C" w:rsidRPr="00425573">
        <w:rPr>
          <w:rFonts w:ascii="Book Antiqua" w:hAnsi="Book Antiqua"/>
          <w:color w:val="000000" w:themeColor="text1"/>
          <w:lang w:val="en-US"/>
        </w:rPr>
        <w:t xml:space="preserve">the three </w:t>
      </w:r>
      <w:r w:rsidR="001547F7" w:rsidRPr="00425573">
        <w:rPr>
          <w:rFonts w:ascii="Book Antiqua" w:hAnsi="Book Antiqua"/>
          <w:color w:val="000000" w:themeColor="text1"/>
          <w:lang w:val="en-US"/>
        </w:rPr>
        <w:t>ag</w:t>
      </w:r>
      <w:r w:rsidR="00B37296" w:rsidRPr="00425573">
        <w:rPr>
          <w:rFonts w:ascii="Book Antiqua" w:hAnsi="Book Antiqua"/>
          <w:color w:val="000000" w:themeColor="text1"/>
          <w:lang w:val="en-US"/>
        </w:rPr>
        <w:t>e-</w:t>
      </w:r>
      <w:r w:rsidR="001547F7" w:rsidRPr="00425573">
        <w:rPr>
          <w:rFonts w:ascii="Book Antiqua" w:hAnsi="Book Antiqua"/>
          <w:color w:val="000000" w:themeColor="text1"/>
          <w:lang w:val="en-US"/>
        </w:rPr>
        <w:t>related pathologies</w:t>
      </w:r>
      <w:r w:rsidR="00115086" w:rsidRPr="00425573">
        <w:rPr>
          <w:rFonts w:ascii="Book Antiqua" w:hAnsi="Book Antiqua"/>
          <w:color w:val="000000" w:themeColor="text1"/>
          <w:lang w:val="en-US"/>
        </w:rPr>
        <w:fldChar w:fldCharType="begin"/>
      </w:r>
      <w:r w:rsidR="00992D72" w:rsidRPr="00425573">
        <w:rPr>
          <w:rFonts w:ascii="Book Antiqua" w:hAnsi="Book Antiqua"/>
          <w:color w:val="000000" w:themeColor="text1"/>
          <w:lang w:val="en-US"/>
        </w:rPr>
        <w:instrText xml:space="preserve"> ADDIN ZOTERO_ITEM CSL_CITATION {"citationID":"ccq2Z0WY","properties":{"formattedCitation":"\\super [29]\\nosupersub{}","plainCitation":"[29]","noteIndex":0},"citationItems":[{"id":69,"uris":["http://zotero.org/groups/2394923/items/L62J85HC"],"uri":["http://zotero.org/groups/2394923/items/L62J85HC"],"itemData":{"id":69,"type":"article-journal","abstract":"BACKGROUND: Alzheimer's Disease (AD) and Parkinson's Disease (PD) are among the most common causes of dementia, which increasingly contribute to morbidity and mortality worldwide. A common hallmark in the pathogenesis of these two diseases is neuroinflammation, which is initially triggered by the presence of pathological structures associated with these disorders. Chronic neuroinflammation is sustained by persistent and aberrant microglial activation in the brain, which results in damage and death of neighboring cells, including neurons and glial cells. Two types of risk factors contribute to the development of AD and PD: non-modifiable risk factors and modifiable risk factors. Non-modifiable risk factors include genetic susceptibility that increases an individual's risk of developing the disease, whereas modifiable risk factors include a wide variety of health- and lifestyle-related factors that may be altered by changing individual behaviors.\nMETHOD: Ovid Medline and PubMed databases were used to perform an ordered search of the peerreviewed research literature described in this review.\nRESULTS: This review focuses on four modifiable risk factors including physical inactivity, vascular disease-related conditions, obesity and type two diabetes mellitus, all of which have been identified as risk factors for the development of AD and PD.\nCONCLUSION: We highlight that control of the modifiable risk factors is a valid approach for managing the increased incidence of AD and PD. We describe neuroinflammatory mechanisms, which are common to AD and PD that may link both these neurodegenerative diseases with the four common modifiable risk factors. Understanding neuroinflammatory mechanisms could help identify novel therapeutic targets for combating these neurodegenerative diseases.","container-title":"Current Aging Science","DOI":"10.2174/1874609810666170315113244","ISSN":"1874-6128","issue":"3","journalAbbreviation":"Curr Aging Sci","language":"eng","note":"PMID: 28302047","page":"158-176","source":"PubMed","title":"Neuroinflammation as a Common Mechanism Associated with the Modifiable Risk Factors for Alzheimer's and Parkinson's Diseases","volume":"10","author":[{"family":"McKenzie","given":"Jordan A."},{"family":"Spielman","given":"Lindsay J."},{"family":"Pointer","given":"Caitlin B."},{"family":"Lowry","given":"Jessica R."},{"family":"Bajwa","given":"Ekta"},{"family":"Lee","given":"Carolyn W."},{"family":"Klegeris","given":"Andis"}],"issued":{"date-parts":[["2017"]]}}}],"schema":"https://github.com/citation-style-language/schema/raw/master/csl-citation.json"} </w:instrText>
      </w:r>
      <w:r w:rsidR="00115086" w:rsidRPr="00425573">
        <w:rPr>
          <w:rFonts w:ascii="Book Antiqua" w:hAnsi="Book Antiqua"/>
          <w:color w:val="000000" w:themeColor="text1"/>
          <w:lang w:val="en-US"/>
        </w:rPr>
        <w:fldChar w:fldCharType="separate"/>
      </w:r>
      <w:r w:rsidR="00992D72" w:rsidRPr="00425573">
        <w:rPr>
          <w:rFonts w:ascii="Book Antiqua" w:hAnsi="Book Antiqua"/>
          <w:vertAlign w:val="superscript"/>
        </w:rPr>
        <w:t>[29]</w:t>
      </w:r>
      <w:r w:rsidR="00115086" w:rsidRPr="00425573">
        <w:rPr>
          <w:rFonts w:ascii="Book Antiqua" w:hAnsi="Book Antiqua"/>
          <w:color w:val="000000" w:themeColor="text1"/>
          <w:lang w:val="en-US"/>
        </w:rPr>
        <w:fldChar w:fldCharType="end"/>
      </w:r>
      <w:r w:rsidR="00115086" w:rsidRPr="00425573">
        <w:rPr>
          <w:rFonts w:ascii="Book Antiqua" w:hAnsi="Book Antiqua"/>
          <w:color w:val="000000" w:themeColor="text1"/>
          <w:lang w:val="en-US"/>
        </w:rPr>
        <w:t>.</w:t>
      </w:r>
      <w:r w:rsidR="00404886" w:rsidRPr="00425573">
        <w:rPr>
          <w:rFonts w:ascii="Book Antiqua" w:hAnsi="Book Antiqua"/>
          <w:color w:val="000000" w:themeColor="text1"/>
          <w:lang w:val="en-US"/>
        </w:rPr>
        <w:t xml:space="preserve"> </w:t>
      </w:r>
      <w:r w:rsidR="00D85AB7" w:rsidRPr="00425573">
        <w:rPr>
          <w:rFonts w:ascii="Book Antiqua" w:hAnsi="Book Antiqua"/>
          <w:color w:val="000000" w:themeColor="text1"/>
          <w:lang w:val="en-US"/>
        </w:rPr>
        <w:t xml:space="preserve">Thus, the existence of </w:t>
      </w:r>
      <w:r w:rsidRPr="00425573">
        <w:rPr>
          <w:rFonts w:ascii="Book Antiqua" w:hAnsi="Book Antiqua"/>
          <w:color w:val="000000" w:themeColor="text1"/>
          <w:lang w:val="en-US"/>
        </w:rPr>
        <w:t xml:space="preserve">common </w:t>
      </w:r>
      <w:r w:rsidR="00D91D30" w:rsidRPr="00425573">
        <w:rPr>
          <w:rFonts w:ascii="Book Antiqua" w:hAnsi="Book Antiqua"/>
          <w:color w:val="000000" w:themeColor="text1"/>
          <w:lang w:val="en-US"/>
        </w:rPr>
        <w:t>triggering factors</w:t>
      </w:r>
      <w:r w:rsidR="00D85AB7" w:rsidRPr="00425573">
        <w:rPr>
          <w:rFonts w:ascii="Book Antiqua" w:hAnsi="Book Antiqua"/>
          <w:color w:val="000000" w:themeColor="text1"/>
          <w:lang w:val="en-US"/>
        </w:rPr>
        <w:t xml:space="preserve"> reflects the contribution of </w:t>
      </w:r>
      <w:r w:rsidR="00B37296" w:rsidRPr="00425573">
        <w:rPr>
          <w:rFonts w:ascii="Book Antiqua" w:hAnsi="Book Antiqua"/>
          <w:color w:val="000000" w:themeColor="text1"/>
          <w:lang w:val="en-US"/>
        </w:rPr>
        <w:t>mutual</w:t>
      </w:r>
      <w:r w:rsidR="00D85AB7" w:rsidRPr="00425573">
        <w:rPr>
          <w:rFonts w:ascii="Book Antiqua" w:hAnsi="Book Antiqua"/>
          <w:color w:val="000000" w:themeColor="text1"/>
          <w:lang w:val="en-US"/>
        </w:rPr>
        <w:t xml:space="preserve"> genetic and epigenetic </w:t>
      </w:r>
      <w:r w:rsidR="00D91D30" w:rsidRPr="00425573">
        <w:rPr>
          <w:rFonts w:ascii="Book Antiqua" w:hAnsi="Book Antiqua"/>
          <w:color w:val="000000" w:themeColor="text1"/>
          <w:lang w:val="en-US"/>
        </w:rPr>
        <w:t>features in</w:t>
      </w:r>
      <w:r w:rsidR="00D85AB7" w:rsidRPr="00425573">
        <w:rPr>
          <w:rFonts w:ascii="Book Antiqua" w:hAnsi="Book Antiqua"/>
          <w:color w:val="000000" w:themeColor="text1"/>
          <w:lang w:val="en-US"/>
        </w:rPr>
        <w:t xml:space="preserve"> the </w:t>
      </w:r>
      <w:r w:rsidRPr="00425573">
        <w:rPr>
          <w:rFonts w:ascii="Book Antiqua" w:hAnsi="Book Antiqua"/>
          <w:color w:val="000000" w:themeColor="text1"/>
          <w:lang w:val="en-US"/>
        </w:rPr>
        <w:t>etio</w:t>
      </w:r>
      <w:r w:rsidR="00105C2E" w:rsidRPr="00425573">
        <w:rPr>
          <w:rFonts w:ascii="Book Antiqua" w:hAnsi="Book Antiqua"/>
          <w:color w:val="000000" w:themeColor="text1"/>
          <w:lang w:val="en-US"/>
        </w:rPr>
        <w:t>pathogenetic mechanisms</w:t>
      </w:r>
      <w:r w:rsidR="00D85AB7" w:rsidRPr="00425573">
        <w:rPr>
          <w:rFonts w:ascii="Book Antiqua" w:hAnsi="Book Antiqua"/>
          <w:color w:val="000000" w:themeColor="text1"/>
          <w:lang w:val="en-US"/>
        </w:rPr>
        <w:t xml:space="preserve"> underlying AD, PD and T2D. </w:t>
      </w:r>
      <w:r w:rsidR="007240DF" w:rsidRPr="00425573">
        <w:rPr>
          <w:rFonts w:ascii="Book Antiqua" w:hAnsi="Book Antiqua"/>
          <w:color w:val="000000" w:themeColor="text1"/>
          <w:lang w:val="en-US"/>
        </w:rPr>
        <w:t>On this subject</w:t>
      </w:r>
      <w:r w:rsidR="004D1908" w:rsidRPr="00425573">
        <w:rPr>
          <w:rFonts w:ascii="Book Antiqua" w:hAnsi="Book Antiqua"/>
          <w:color w:val="000000" w:themeColor="text1"/>
          <w:lang w:val="en-US"/>
        </w:rPr>
        <w:t xml:space="preserve">, this review </w:t>
      </w:r>
      <w:r w:rsidR="00C8640F" w:rsidRPr="00425573">
        <w:rPr>
          <w:rFonts w:ascii="Book Antiqua" w:hAnsi="Book Antiqua"/>
          <w:color w:val="000000" w:themeColor="text1"/>
          <w:lang w:val="en-US"/>
        </w:rPr>
        <w:t xml:space="preserve">will summarize the shared </w:t>
      </w:r>
      <w:r w:rsidR="007240DF" w:rsidRPr="00425573">
        <w:rPr>
          <w:rFonts w:ascii="Book Antiqua" w:hAnsi="Book Antiqua"/>
          <w:color w:val="000000" w:themeColor="text1"/>
          <w:lang w:val="en-US"/>
        </w:rPr>
        <w:t>(</w:t>
      </w:r>
      <w:r w:rsidR="00C8640F" w:rsidRPr="00425573">
        <w:rPr>
          <w:rFonts w:ascii="Book Antiqua" w:hAnsi="Book Antiqua"/>
          <w:color w:val="000000" w:themeColor="text1"/>
          <w:lang w:val="en-US"/>
        </w:rPr>
        <w:t>epi</w:t>
      </w:r>
      <w:r w:rsidR="007240DF" w:rsidRPr="00425573">
        <w:rPr>
          <w:rFonts w:ascii="Book Antiqua" w:hAnsi="Book Antiqua"/>
          <w:color w:val="000000" w:themeColor="text1"/>
          <w:lang w:val="en-US"/>
        </w:rPr>
        <w:t>)</w:t>
      </w:r>
      <w:r w:rsidR="00C8640F" w:rsidRPr="00425573">
        <w:rPr>
          <w:rFonts w:ascii="Book Antiqua" w:hAnsi="Book Antiqua"/>
          <w:color w:val="000000" w:themeColor="text1"/>
          <w:lang w:val="en-US"/>
        </w:rPr>
        <w:t>genomic</w:t>
      </w:r>
      <w:r w:rsidR="007240DF" w:rsidRPr="00425573">
        <w:rPr>
          <w:rFonts w:ascii="Book Antiqua" w:hAnsi="Book Antiqua"/>
          <w:color w:val="000000" w:themeColor="text1"/>
          <w:lang w:val="en-US"/>
        </w:rPr>
        <w:t xml:space="preserve"> features that characterize these</w:t>
      </w:r>
      <w:r w:rsidR="005C5972" w:rsidRPr="00425573">
        <w:rPr>
          <w:rFonts w:ascii="Book Antiqua" w:hAnsi="Book Antiqua"/>
          <w:color w:val="000000" w:themeColor="text1"/>
          <w:lang w:val="en-US"/>
        </w:rPr>
        <w:t xml:space="preserve"> complex</w:t>
      </w:r>
      <w:r w:rsidR="007240DF" w:rsidRPr="00425573">
        <w:rPr>
          <w:rFonts w:ascii="Book Antiqua" w:hAnsi="Book Antiqua"/>
          <w:color w:val="000000" w:themeColor="text1"/>
          <w:lang w:val="en-US"/>
        </w:rPr>
        <w:t xml:space="preserve"> pathologies.</w:t>
      </w:r>
    </w:p>
    <w:p w14:paraId="1F9EEA10" w14:textId="77777777" w:rsidR="00957A8D" w:rsidRPr="00425573" w:rsidRDefault="00957A8D" w:rsidP="00CC10A4">
      <w:pPr>
        <w:snapToGrid w:val="0"/>
        <w:spacing w:line="360" w:lineRule="auto"/>
        <w:jc w:val="both"/>
        <w:rPr>
          <w:rFonts w:ascii="Book Antiqua" w:hAnsi="Book Antiqua"/>
          <w:color w:val="000000" w:themeColor="text1"/>
          <w:lang w:val="en-US"/>
        </w:rPr>
      </w:pPr>
    </w:p>
    <w:p w14:paraId="4E6DA51F" w14:textId="5E1270BB" w:rsidR="00B93B47" w:rsidRPr="00425573" w:rsidRDefault="00A11C90" w:rsidP="00CC10A4">
      <w:pPr>
        <w:snapToGrid w:val="0"/>
        <w:spacing w:line="360" w:lineRule="auto"/>
        <w:jc w:val="both"/>
        <w:outlineLvl w:val="0"/>
        <w:rPr>
          <w:rFonts w:ascii="Book Antiqua" w:hAnsi="Book Antiqua" w:cs="Times New Roman"/>
          <w:b/>
          <w:color w:val="000000" w:themeColor="text1"/>
          <w:u w:val="single"/>
          <w:lang w:val="en-US"/>
        </w:rPr>
      </w:pPr>
      <w:r w:rsidRPr="00425573">
        <w:rPr>
          <w:rFonts w:ascii="Book Antiqua" w:hAnsi="Book Antiqua" w:cs="Times New Roman"/>
          <w:b/>
          <w:color w:val="000000" w:themeColor="text1"/>
          <w:u w:val="single"/>
          <w:lang w:val="en-US"/>
        </w:rPr>
        <w:t>SHARED GENETIC MAKE-UP AND FUNCTIONAL PATHWAYS AMONG T2D</w:t>
      </w:r>
      <w:r w:rsidR="00F27195" w:rsidRPr="00425573">
        <w:rPr>
          <w:rFonts w:ascii="Book Antiqua" w:hAnsi="Book Antiqua" w:cs="Times New Roman"/>
          <w:b/>
          <w:color w:val="000000" w:themeColor="text1"/>
          <w:u w:val="single"/>
          <w:lang w:val="en-US"/>
        </w:rPr>
        <w:t>,</w:t>
      </w:r>
      <w:r w:rsidR="007C291A" w:rsidRPr="00425573">
        <w:rPr>
          <w:rFonts w:ascii="Book Antiqua" w:hAnsi="Book Antiqua" w:cs="Times New Roman"/>
          <w:b/>
          <w:color w:val="000000" w:themeColor="text1"/>
          <w:u w:val="single"/>
          <w:lang w:val="en-US"/>
        </w:rPr>
        <w:t xml:space="preserve"> </w:t>
      </w:r>
      <w:r w:rsidRPr="00425573">
        <w:rPr>
          <w:rFonts w:ascii="Book Antiqua" w:hAnsi="Book Antiqua" w:cs="Times New Roman"/>
          <w:b/>
          <w:color w:val="000000" w:themeColor="text1"/>
          <w:u w:val="single"/>
          <w:lang w:val="en-US"/>
        </w:rPr>
        <w:t>AD</w:t>
      </w:r>
      <w:r w:rsidR="00F27195" w:rsidRPr="00425573">
        <w:rPr>
          <w:rFonts w:ascii="Book Antiqua" w:hAnsi="Book Antiqua" w:cs="Times New Roman"/>
          <w:b/>
          <w:color w:val="000000" w:themeColor="text1"/>
          <w:u w:val="single"/>
          <w:lang w:val="en-US"/>
        </w:rPr>
        <w:t xml:space="preserve"> AND </w:t>
      </w:r>
      <w:r w:rsidRPr="00425573">
        <w:rPr>
          <w:rFonts w:ascii="Book Antiqua" w:hAnsi="Book Antiqua" w:cs="Times New Roman"/>
          <w:b/>
          <w:color w:val="000000" w:themeColor="text1"/>
          <w:u w:val="single"/>
          <w:lang w:val="en-US"/>
        </w:rPr>
        <w:t>PD</w:t>
      </w:r>
    </w:p>
    <w:p w14:paraId="0CC9A644" w14:textId="2F46A2BD" w:rsidR="00F73E63" w:rsidRPr="00425573" w:rsidRDefault="008F76D7" w:rsidP="00CC10A4">
      <w:pPr>
        <w:snapToGrid w:val="0"/>
        <w:spacing w:line="360" w:lineRule="auto"/>
        <w:jc w:val="both"/>
        <w:rPr>
          <w:rFonts w:ascii="Book Antiqua" w:hAnsi="Book Antiqua"/>
          <w:lang w:val="en-US"/>
        </w:rPr>
      </w:pPr>
      <w:r w:rsidRPr="00425573">
        <w:rPr>
          <w:rFonts w:ascii="Book Antiqua" w:hAnsi="Book Antiqua" w:cs="Times New Roman"/>
          <w:color w:val="000000" w:themeColor="text1"/>
          <w:lang w:val="en-US"/>
        </w:rPr>
        <w:t>Several studies</w:t>
      </w:r>
      <w:r w:rsidR="00CD58C0" w:rsidRPr="00425573">
        <w:rPr>
          <w:rFonts w:ascii="Book Antiqua" w:hAnsi="Book Antiqua" w:cs="Times New Roman"/>
          <w:color w:val="000000" w:themeColor="text1"/>
          <w:lang w:val="en-US"/>
        </w:rPr>
        <w:t xml:space="preserve"> </w:t>
      </w:r>
      <w:r w:rsidR="007C291A" w:rsidRPr="00425573">
        <w:rPr>
          <w:rFonts w:ascii="Book Antiqua" w:hAnsi="Book Antiqua" w:cs="Times New Roman"/>
          <w:color w:val="000000" w:themeColor="text1"/>
          <w:lang w:val="en-US"/>
        </w:rPr>
        <w:t xml:space="preserve">have attempted </w:t>
      </w:r>
      <w:r w:rsidR="00D91D30" w:rsidRPr="00425573">
        <w:rPr>
          <w:rFonts w:ascii="Book Antiqua" w:hAnsi="Book Antiqua" w:cs="Times New Roman"/>
          <w:color w:val="000000" w:themeColor="text1"/>
          <w:lang w:val="en-US"/>
        </w:rPr>
        <w:t>to dissect the</w:t>
      </w:r>
      <w:r w:rsidR="00CD58C0" w:rsidRPr="00425573">
        <w:rPr>
          <w:rFonts w:ascii="Book Antiqua" w:hAnsi="Book Antiqua" w:cs="Times New Roman"/>
          <w:color w:val="000000" w:themeColor="text1"/>
          <w:lang w:val="en-US"/>
        </w:rPr>
        <w:t xml:space="preserve"> </w:t>
      </w:r>
      <w:r w:rsidR="007C291A" w:rsidRPr="00425573">
        <w:rPr>
          <w:rFonts w:ascii="Book Antiqua" w:hAnsi="Book Antiqua" w:cs="Times New Roman"/>
          <w:color w:val="000000" w:themeColor="text1"/>
          <w:lang w:val="en-US"/>
        </w:rPr>
        <w:t xml:space="preserve">contributing </w:t>
      </w:r>
      <w:r w:rsidR="00CD58C0" w:rsidRPr="00425573">
        <w:rPr>
          <w:rFonts w:ascii="Book Antiqua" w:hAnsi="Book Antiqua" w:cs="Times New Roman"/>
          <w:color w:val="000000" w:themeColor="text1"/>
          <w:lang w:val="en-US"/>
        </w:rPr>
        <w:t>genetic background</w:t>
      </w:r>
      <w:r w:rsidR="007C291A" w:rsidRPr="00425573">
        <w:rPr>
          <w:rFonts w:ascii="Book Antiqua" w:hAnsi="Book Antiqua" w:cs="Times New Roman"/>
          <w:color w:val="000000" w:themeColor="text1"/>
          <w:lang w:val="en-US"/>
        </w:rPr>
        <w:t>(s)</w:t>
      </w:r>
      <w:r w:rsidR="00CD58C0" w:rsidRPr="00425573">
        <w:rPr>
          <w:rFonts w:ascii="Book Antiqua" w:hAnsi="Book Antiqua" w:cs="Times New Roman"/>
          <w:color w:val="000000" w:themeColor="text1"/>
          <w:lang w:val="en-US"/>
        </w:rPr>
        <w:t xml:space="preserve"> </w:t>
      </w:r>
      <w:r w:rsidR="00B67AF3" w:rsidRPr="00425573">
        <w:rPr>
          <w:rFonts w:ascii="Book Antiqua" w:hAnsi="Book Antiqua" w:cs="Times New Roman"/>
          <w:color w:val="000000" w:themeColor="text1"/>
          <w:lang w:val="en-US"/>
        </w:rPr>
        <w:t>to</w:t>
      </w:r>
      <w:r w:rsidR="00B37296" w:rsidRPr="00425573">
        <w:rPr>
          <w:rFonts w:ascii="Book Antiqua" w:hAnsi="Book Antiqua" w:cs="Times New Roman"/>
          <w:color w:val="000000" w:themeColor="text1"/>
          <w:lang w:val="en-US"/>
        </w:rPr>
        <w:t xml:space="preserve"> </w:t>
      </w:r>
      <w:r w:rsidR="00D91D30" w:rsidRPr="00425573">
        <w:rPr>
          <w:rFonts w:ascii="Book Antiqua" w:hAnsi="Book Antiqua" w:cs="Times New Roman"/>
          <w:color w:val="000000" w:themeColor="text1"/>
          <w:lang w:val="en-US"/>
        </w:rPr>
        <w:t xml:space="preserve">determine </w:t>
      </w:r>
      <w:r w:rsidR="00B37296" w:rsidRPr="00425573">
        <w:rPr>
          <w:rFonts w:ascii="Book Antiqua" w:hAnsi="Book Antiqua" w:cs="Times New Roman"/>
          <w:color w:val="000000" w:themeColor="text1"/>
          <w:lang w:val="en-US"/>
        </w:rPr>
        <w:t>the</w:t>
      </w:r>
      <w:r w:rsidR="00B67AF3" w:rsidRPr="00425573">
        <w:rPr>
          <w:rFonts w:ascii="Book Antiqua" w:hAnsi="Book Antiqua" w:cs="Times New Roman"/>
          <w:color w:val="000000" w:themeColor="text1"/>
          <w:lang w:val="en-US"/>
        </w:rPr>
        <w:t xml:space="preserve"> susceptibility to T2D</w:t>
      </w:r>
      <w:r w:rsidR="00C20644" w:rsidRPr="00425573">
        <w:rPr>
          <w:rFonts w:ascii="Book Antiqua" w:hAnsi="Book Antiqua" w:cs="Times New Roman"/>
          <w:color w:val="000000" w:themeColor="text1"/>
          <w:lang w:val="en-US"/>
        </w:rPr>
        <w:t xml:space="preserve">, AD and </w:t>
      </w:r>
      <w:r w:rsidR="00B67AF3" w:rsidRPr="00425573">
        <w:rPr>
          <w:rFonts w:ascii="Book Antiqua" w:hAnsi="Book Antiqua" w:cs="Times New Roman"/>
          <w:color w:val="000000" w:themeColor="text1"/>
          <w:lang w:val="en-US"/>
        </w:rPr>
        <w:t>PD</w:t>
      </w:r>
      <w:r w:rsidR="00D10924" w:rsidRPr="00425573">
        <w:rPr>
          <w:rFonts w:ascii="Book Antiqua" w:hAnsi="Book Antiqua" w:cs="Times New Roman"/>
          <w:color w:val="000000" w:themeColor="text1"/>
          <w:lang w:val="en-US"/>
        </w:rPr>
        <w:t xml:space="preserve">. </w:t>
      </w:r>
      <w:r w:rsidR="00B67AF3" w:rsidRPr="00425573">
        <w:rPr>
          <w:rFonts w:ascii="Book Antiqua" w:hAnsi="Book Antiqua"/>
          <w:lang w:val="en-US"/>
        </w:rPr>
        <w:t xml:space="preserve">Concerning T2D, </w:t>
      </w:r>
      <w:r w:rsidR="00D91D30" w:rsidRPr="00425573">
        <w:rPr>
          <w:rFonts w:ascii="Book Antiqua" w:hAnsi="Book Antiqua"/>
          <w:lang w:val="en-US"/>
        </w:rPr>
        <w:t xml:space="preserve">most of the </w:t>
      </w:r>
      <w:r w:rsidR="00D91D30" w:rsidRPr="00425573">
        <w:rPr>
          <w:rFonts w:ascii="Book Antiqua" w:hAnsi="Book Antiqua"/>
          <w:lang w:val="en-US"/>
        </w:rPr>
        <w:lastRenderedPageBreak/>
        <w:t>identified</w:t>
      </w:r>
      <w:r w:rsidR="00B67AF3" w:rsidRPr="00425573">
        <w:rPr>
          <w:rFonts w:ascii="Book Antiqua" w:hAnsi="Book Antiqua"/>
          <w:lang w:val="en-US"/>
        </w:rPr>
        <w:t xml:space="preserve"> genetic risk </w:t>
      </w:r>
      <w:r w:rsidR="00D91D30" w:rsidRPr="00425573">
        <w:rPr>
          <w:rFonts w:ascii="Book Antiqua" w:hAnsi="Book Antiqua"/>
          <w:lang w:val="en-US"/>
        </w:rPr>
        <w:t>factors</w:t>
      </w:r>
      <w:r w:rsidR="00B67AF3" w:rsidRPr="00425573">
        <w:rPr>
          <w:rFonts w:ascii="Book Antiqua" w:hAnsi="Book Antiqua"/>
          <w:lang w:val="en-US"/>
        </w:rPr>
        <w:t xml:space="preserve"> are mainly involved in the maintenance of </w:t>
      </w:r>
      <w:r w:rsidR="005703D4" w:rsidRPr="00425573">
        <w:rPr>
          <w:rFonts w:ascii="Book Antiqua" w:hAnsi="Book Antiqua" w:cs="Lucida Grande"/>
          <w:color w:val="000000" w:themeColor="text1"/>
          <w:lang w:val="en-US"/>
        </w:rPr>
        <w:t>β</w:t>
      </w:r>
      <w:r w:rsidR="00B67AF3" w:rsidRPr="00425573">
        <w:rPr>
          <w:rFonts w:ascii="Book Antiqua" w:hAnsi="Book Antiqua"/>
          <w:lang w:val="en-US"/>
        </w:rPr>
        <w:t>-cell homeostasis and in the modulation of insulin metabolism</w:t>
      </w:r>
      <w:r w:rsidR="00B67AF3" w:rsidRPr="00425573">
        <w:rPr>
          <w:rFonts w:ascii="Book Antiqua" w:hAnsi="Book Antiqua"/>
          <w:lang w:val="en-US"/>
        </w:rPr>
        <w:fldChar w:fldCharType="begin"/>
      </w:r>
      <w:r w:rsidR="00992D72" w:rsidRPr="00425573">
        <w:rPr>
          <w:rFonts w:ascii="Book Antiqua" w:hAnsi="Book Antiqua"/>
          <w:lang w:val="en-US"/>
        </w:rPr>
        <w:instrText xml:space="preserve"> ADDIN ZOTERO_ITEM CSL_CITATION {"citationID":"POTujzI0","properties":{"formattedCitation":"\\super [2,30,31]\\nosupersub{}","plainCitation":"[2,30,31]","noteIndex":0},"citationItems":[{"id":111,"uris":["http://zotero.org/groups/2394923/items/ZQNTYLBS"],"uri":["http://zotero.org/groups/2394923/items/ZQNTYLBS"],"itemData":{"id":111,"type":"article-journal","abstract":"There is an epidemic of type 2 diabetes mellitus in nearly every nation in the world. This Review gives an overview of the current trends of the diabetes epidemic in a world scenario and discusses the associated major risk factors, particularly genetic and epigenetic factors. The potential impact of the use of HbA1cas an alternative diagnostic tool on global diabetes surveillance is also discussed.","container-title":"Nature Reviews Endocrinology","DOI":"10.1038/nrendo.2011.183","ISSN":"1759-5037","issue":"4","journalAbbreviation":"Nat Rev Endocrinol","language":"en","page":"228-236","source":"www.nature.com","title":"The worldwide epidemiology of type 2 diabetes mellitus—present and future perspectives","volume":"8","author":[{"family":"Chen","given":"Lei"},{"family":"Magliano","given":"Dianna J."},{"family":"Zimmet","given":"Paul Z."}],"issued":{"date-parts":[["2012",4]]}}},{"id":153,"uris":["http://zotero.org/groups/2394923/items/JIUQ6GAI"],"uri":["http://zotero.org/groups/2394923/items/JIUQ6GAI"],"itemData":{"id":153,"type":"article-journal","abstract":"Many lines of evidence suggest that Parkinson's disease (PD) and Alzheimer's disease (AD) have common characteristics, such as mitochondrial dysfunction and oxidative stress. As the underlying molecular mechanisms are unclear, we perform a meta-analysis with 9 microarray datasets of PD studies and 7 of AD studies to explore it. Functional enrichment analysis revealed that PD and AD both showed dysfunction in the synaptic vesicle cycle, GABAergic synapses, phagosomes, oxidative phosphorylation, and TCA cycle pathways, and AD had more enriched genes. Comparing the differentially expressed genes between AD and PD, we identified 54 common genes shared by more than six tissues. Among them, 31 downregulated genes contained the antioxidant response element (ARE) consensus sequence bound by NRF2. NRF2 is a transcription factor, which protects cells against oxidative stress through coordinated upregulation of ARE-driven genes. To our surprise, although NRF2 was upregulated, its target genes were all downregulated. Further exploration found that MAFF was upregulated in all tissues and significantly negatively correlated with the 31 NRF2-dependent genes in diseased conditions. Previous studies have demonstrated over-expressed small MAFs can form homodimers and act as transcriptional repressors. Therefore, MAFF might play an important role in dysfunction of NRF2 regulatory network in PD and AD.","container-title":"Journal of Alzheimer's disease: JAD","DOI":"10.3233/JAD-161032","ISSN":"1875-8908","issue":"4","journalAbbreviation":"J. Alzheimers Dis.","language":"eng","note":"PMID: 28222515","page":"1525-1539","source":"PubMed","title":"Meta-Analysis of Parkinson's Disease and Alzheimer's Disease Revealed Commonly Impaired Pathways and Dysregulation of NRF2-Dependent Genes","volume":"56","author":[{"family":"Wang","given":"Qian"},{"family":"Li","given":"Wen-Xing"},{"family":"Dai","given":"Shao-Xing"},{"family":"Guo","given":"Yi-Cheng"},{"family":"Han","given":"Fei-Fei"},{"family":"Zheng","given":"Jun-Juan"},{"family":"Li","given":"Gong-Hua"},{"family":"Huang","given":"Jing-Fei"}],"issued":{"date-parts":[["2017"]]}}},{"id":344,"uris":["http://zotero.org/groups/2394923/items/9MK3EKTM"],"uri":["http://zotero.org/groups/2394923/items/9MK3EKTM"],"itemData":{"id":344,"type":"article-journal","abstract":"Type 2 diabetes is now a pandemic and shows no signs of abatement. In this Seminar we review the pathophysiology of this disorder, with particular attention to epidemiology, genetics, epigenetics, and molecular cell biology. Evidence is emerging that a substantial part of diabetes susceptibility is acquired early in life, probably owing to fetal or neonatal programming via epigenetic phenomena. Maternal and early childhood health might, therefore, be crucial to the development of effective prevention strategies. Diabetes develops because of inadequate islet β-cell and adipose-tissue responses to chronic fuel excess, which results in so-called nutrient spillover, insulin resistance, and metabolic stress. The latter damages multiple organs. Insulin resistance, while forcing β cells to work harder, might also have an important defensive role against nutrient-related toxic effects in tissues such as the heart. Reversal of overnutrition, healing of the β cells, and lessening of adipose tissue defects should be treatment priorities.","container-title":"Lancet (London, England)","DOI":"10.1016/S0140-6736(11)60614-4","ISSN":"1474-547X","issue":"9786","journalAbbreviation":"Lancet","language":"eng","note":"PMID: 21705072","page":"169-181","source":"PubMed","title":"Type 2 diabetes across generations: from pathophysiology to prevention and management","title-short":"Type 2 diabetes across generations","volume":"378","author":[{"family":"Nolan","given":"Christopher J."},{"family":"Damm","given":"Peter"},{"family":"Prentki","given":"Marc"}],"issued":{"date-parts":[["2011",7,9]]}}}],"schema":"https://github.com/citation-style-language/schema/raw/master/csl-citation.json"} </w:instrText>
      </w:r>
      <w:r w:rsidR="00B67AF3" w:rsidRPr="00425573">
        <w:rPr>
          <w:rFonts w:ascii="Book Antiqua" w:hAnsi="Book Antiqua"/>
          <w:lang w:val="en-US"/>
        </w:rPr>
        <w:fldChar w:fldCharType="separate"/>
      </w:r>
      <w:r w:rsidR="00992D72" w:rsidRPr="00425573">
        <w:rPr>
          <w:rFonts w:ascii="Book Antiqua" w:hAnsi="Book Antiqua"/>
          <w:vertAlign w:val="superscript"/>
        </w:rPr>
        <w:t>[2,30,31]</w:t>
      </w:r>
      <w:r w:rsidR="00B67AF3" w:rsidRPr="00425573">
        <w:rPr>
          <w:rFonts w:ascii="Book Antiqua" w:hAnsi="Book Antiqua"/>
          <w:lang w:val="en-US"/>
        </w:rPr>
        <w:fldChar w:fldCharType="end"/>
      </w:r>
      <w:r w:rsidR="00B67AF3" w:rsidRPr="00425573">
        <w:rPr>
          <w:rFonts w:ascii="Book Antiqua" w:hAnsi="Book Antiqua"/>
          <w:lang w:val="en-US"/>
        </w:rPr>
        <w:t xml:space="preserve">. As previously mentioned, insulin resistance </w:t>
      </w:r>
      <w:r w:rsidR="001D386B" w:rsidRPr="00425573">
        <w:rPr>
          <w:rFonts w:ascii="Book Antiqua" w:hAnsi="Book Antiqua"/>
          <w:lang w:val="en-US"/>
        </w:rPr>
        <w:t>has been reported to</w:t>
      </w:r>
      <w:r w:rsidR="00452FAE" w:rsidRPr="00425573">
        <w:rPr>
          <w:rFonts w:ascii="Book Antiqua" w:hAnsi="Book Antiqua"/>
          <w:lang w:val="en-US"/>
        </w:rPr>
        <w:t xml:space="preserve"> likely</w:t>
      </w:r>
      <w:r w:rsidR="001D386B" w:rsidRPr="00425573">
        <w:rPr>
          <w:rFonts w:ascii="Book Antiqua" w:hAnsi="Book Antiqua"/>
          <w:lang w:val="en-US"/>
        </w:rPr>
        <w:t xml:space="preserve"> influence</w:t>
      </w:r>
      <w:r w:rsidR="00B67AF3" w:rsidRPr="00425573">
        <w:rPr>
          <w:rFonts w:ascii="Book Antiqua" w:hAnsi="Book Antiqua"/>
          <w:lang w:val="en-US"/>
        </w:rPr>
        <w:t xml:space="preserve"> brain functions and neuronal activity.</w:t>
      </w:r>
      <w:r w:rsidR="00300D1B" w:rsidRPr="00425573">
        <w:rPr>
          <w:rFonts w:ascii="Book Antiqua" w:hAnsi="Book Antiqua"/>
          <w:lang w:val="en-US"/>
        </w:rPr>
        <w:t xml:space="preserve"> </w:t>
      </w:r>
      <w:r w:rsidR="00B67AF3" w:rsidRPr="00425573">
        <w:rPr>
          <w:rFonts w:ascii="Book Antiqua" w:hAnsi="Book Antiqua"/>
          <w:lang w:val="en-US"/>
        </w:rPr>
        <w:t xml:space="preserve">Concerning the genetic susceptibility factors </w:t>
      </w:r>
      <w:r w:rsidR="005A58FF" w:rsidRPr="00425573">
        <w:rPr>
          <w:rFonts w:ascii="Book Antiqua" w:hAnsi="Book Antiqua"/>
          <w:lang w:val="en-US"/>
        </w:rPr>
        <w:t>of</w:t>
      </w:r>
      <w:r w:rsidR="00B67AF3" w:rsidRPr="00425573">
        <w:rPr>
          <w:rFonts w:ascii="Book Antiqua" w:hAnsi="Book Antiqua"/>
          <w:lang w:val="en-US"/>
        </w:rPr>
        <w:t xml:space="preserve"> AD and PD, </w:t>
      </w:r>
      <w:r w:rsidR="005A58FF" w:rsidRPr="00425573">
        <w:rPr>
          <w:rFonts w:ascii="Book Antiqua" w:hAnsi="Book Antiqua"/>
          <w:lang w:val="en-US"/>
        </w:rPr>
        <w:t>several genome-wide association studies (</w:t>
      </w:r>
      <w:r w:rsidR="007C291A" w:rsidRPr="00425573">
        <w:rPr>
          <w:rFonts w:ascii="Book Antiqua" w:hAnsi="Book Antiqua"/>
          <w:lang w:val="en-US"/>
        </w:rPr>
        <w:t xml:space="preserve">commonly referred to as </w:t>
      </w:r>
      <w:r w:rsidR="005A58FF" w:rsidRPr="00425573">
        <w:rPr>
          <w:rFonts w:ascii="Book Antiqua" w:hAnsi="Book Antiqua"/>
          <w:lang w:val="en-US"/>
        </w:rPr>
        <w:t xml:space="preserve">GWAS) </w:t>
      </w:r>
      <w:r w:rsidR="007C291A" w:rsidRPr="00425573">
        <w:rPr>
          <w:rFonts w:ascii="Book Antiqua" w:hAnsi="Book Antiqua"/>
          <w:lang w:val="en-US"/>
        </w:rPr>
        <w:t>have identified</w:t>
      </w:r>
      <w:r w:rsidR="005A58FF" w:rsidRPr="00425573">
        <w:rPr>
          <w:rFonts w:ascii="Book Antiqua" w:hAnsi="Book Antiqua"/>
          <w:lang w:val="en-US"/>
        </w:rPr>
        <w:t xml:space="preserve"> many genetic </w:t>
      </w:r>
      <w:r w:rsidR="00DD1700" w:rsidRPr="00425573">
        <w:rPr>
          <w:rFonts w:ascii="Book Antiqua" w:hAnsi="Book Antiqua"/>
          <w:lang w:val="en-US"/>
        </w:rPr>
        <w:t>polymorphisms</w:t>
      </w:r>
      <w:r w:rsidR="005A58FF" w:rsidRPr="00425573">
        <w:rPr>
          <w:rFonts w:ascii="Book Antiqua" w:hAnsi="Book Antiqua"/>
          <w:lang w:val="en-US"/>
        </w:rPr>
        <w:t xml:space="preserve"> associated with the </w:t>
      </w:r>
      <w:r w:rsidR="00DD1700" w:rsidRPr="00425573">
        <w:rPr>
          <w:rFonts w:ascii="Book Antiqua" w:hAnsi="Book Antiqua"/>
          <w:lang w:val="en-US"/>
        </w:rPr>
        <w:t>onset</w:t>
      </w:r>
      <w:r w:rsidR="005A58FF" w:rsidRPr="00425573">
        <w:rPr>
          <w:rFonts w:ascii="Book Antiqua" w:hAnsi="Book Antiqua"/>
          <w:lang w:val="en-US"/>
        </w:rPr>
        <w:t xml:space="preserve"> and progression of sporadic forms of AD and PD.</w:t>
      </w:r>
      <w:r w:rsidR="00DD1700" w:rsidRPr="00425573">
        <w:rPr>
          <w:rFonts w:ascii="Book Antiqua" w:hAnsi="Book Antiqua"/>
          <w:lang w:val="en-US"/>
        </w:rPr>
        <w:t xml:space="preserve"> </w:t>
      </w:r>
      <w:r w:rsidR="0028717C" w:rsidRPr="00425573">
        <w:rPr>
          <w:rFonts w:ascii="Book Antiqua" w:hAnsi="Book Antiqua"/>
          <w:lang w:val="en-US"/>
        </w:rPr>
        <w:t>Most of the</w:t>
      </w:r>
      <w:r w:rsidR="00DD1700" w:rsidRPr="00425573">
        <w:rPr>
          <w:rFonts w:ascii="Book Antiqua" w:hAnsi="Book Antiqua"/>
          <w:lang w:val="en-US"/>
        </w:rPr>
        <w:t>m</w:t>
      </w:r>
      <w:r w:rsidR="005A58FF" w:rsidRPr="00425573">
        <w:rPr>
          <w:rFonts w:ascii="Book Antiqua" w:hAnsi="Book Antiqua"/>
          <w:lang w:val="en-US"/>
        </w:rPr>
        <w:t xml:space="preserve"> have been found to be located within</w:t>
      </w:r>
      <w:r w:rsidR="0028717C" w:rsidRPr="00425573">
        <w:rPr>
          <w:rFonts w:ascii="Book Antiqua" w:hAnsi="Book Antiqua"/>
          <w:lang w:val="en-US"/>
        </w:rPr>
        <w:t xml:space="preserve"> genes involved in</w:t>
      </w:r>
      <w:r w:rsidR="00E34356" w:rsidRPr="00425573">
        <w:rPr>
          <w:rFonts w:ascii="Book Antiqua" w:hAnsi="Book Antiqua"/>
          <w:lang w:val="en-US"/>
        </w:rPr>
        <w:t xml:space="preserve"> </w:t>
      </w:r>
      <w:r w:rsidR="004B56BC" w:rsidRPr="00425573">
        <w:rPr>
          <w:rFonts w:ascii="Book Antiqua" w:hAnsi="Book Antiqua"/>
          <w:lang w:val="en-US"/>
        </w:rPr>
        <w:t>dopamine metabolic process, apoptosis</w:t>
      </w:r>
      <w:r w:rsidR="005A58FF" w:rsidRPr="00425573">
        <w:rPr>
          <w:rFonts w:ascii="Book Antiqua" w:hAnsi="Book Antiqua"/>
          <w:lang w:val="en-US"/>
        </w:rPr>
        <w:t>,</w:t>
      </w:r>
      <w:r w:rsidR="004B0D92" w:rsidRPr="00425573">
        <w:rPr>
          <w:rFonts w:ascii="Book Antiqua" w:hAnsi="Book Antiqua"/>
          <w:lang w:val="en-US"/>
        </w:rPr>
        <w:t xml:space="preserve"> </w:t>
      </w:r>
      <w:r w:rsidR="00C75E64" w:rsidRPr="00425573">
        <w:rPr>
          <w:rFonts w:ascii="Book Antiqua" w:hAnsi="Book Antiqua"/>
          <w:lang w:val="en-US"/>
        </w:rPr>
        <w:t>autophagy</w:t>
      </w:r>
      <w:r w:rsidR="004B56BC" w:rsidRPr="00425573">
        <w:rPr>
          <w:rFonts w:ascii="Book Antiqua" w:hAnsi="Book Antiqua"/>
          <w:lang w:val="en-US"/>
        </w:rPr>
        <w:t xml:space="preserve">-related pathways, </w:t>
      </w:r>
      <w:r w:rsidR="0004601D" w:rsidRPr="00425573">
        <w:rPr>
          <w:rFonts w:ascii="Book Antiqua" w:hAnsi="Book Antiqua"/>
          <w:lang w:val="en-US"/>
        </w:rPr>
        <w:t>A</w:t>
      </w:r>
      <w:r w:rsidR="005E3833" w:rsidRPr="00425573">
        <w:rPr>
          <w:rFonts w:ascii="Book Antiqua" w:hAnsi="Book Antiqua" w:cs="Lucida Grande"/>
          <w:lang w:val="en-US"/>
        </w:rPr>
        <w:t>β</w:t>
      </w:r>
      <w:r w:rsidR="001E4B73" w:rsidRPr="00425573">
        <w:rPr>
          <w:rFonts w:ascii="Book Antiqua" w:hAnsi="Book Antiqua"/>
          <w:lang w:val="en-US"/>
        </w:rPr>
        <w:t xml:space="preserve"> cascade, </w:t>
      </w:r>
      <w:r w:rsidR="0004601D" w:rsidRPr="00425573">
        <w:rPr>
          <w:rFonts w:ascii="Book Antiqua" w:hAnsi="Book Antiqua"/>
          <w:lang w:val="en-US"/>
        </w:rPr>
        <w:t>Tau pathology</w:t>
      </w:r>
      <w:r w:rsidR="005A58FF" w:rsidRPr="00425573">
        <w:rPr>
          <w:rFonts w:ascii="Book Antiqua" w:hAnsi="Book Antiqua"/>
          <w:lang w:val="en-US"/>
        </w:rPr>
        <w:t>,</w:t>
      </w:r>
      <w:r w:rsidR="00B9056D" w:rsidRPr="00425573">
        <w:rPr>
          <w:rFonts w:ascii="Book Antiqua" w:hAnsi="Book Antiqua"/>
          <w:lang w:val="en-US"/>
        </w:rPr>
        <w:t xml:space="preserve"> </w:t>
      </w:r>
      <w:r w:rsidR="005A58FF" w:rsidRPr="00425573">
        <w:rPr>
          <w:rFonts w:ascii="Book Antiqua" w:hAnsi="Book Antiqua"/>
          <w:lang w:val="en-US"/>
        </w:rPr>
        <w:t>neuro</w:t>
      </w:r>
      <w:r w:rsidR="0004601D" w:rsidRPr="00425573">
        <w:rPr>
          <w:rFonts w:ascii="Book Antiqua" w:hAnsi="Book Antiqua"/>
          <w:lang w:val="en-US"/>
        </w:rPr>
        <w:t>inflammat</w:t>
      </w:r>
      <w:r w:rsidR="00616FE6" w:rsidRPr="00425573">
        <w:rPr>
          <w:rFonts w:ascii="Book Antiqua" w:hAnsi="Book Antiqua"/>
          <w:lang w:val="en-US"/>
        </w:rPr>
        <w:t>ion</w:t>
      </w:r>
      <w:r w:rsidR="001E4B73" w:rsidRPr="00425573">
        <w:rPr>
          <w:rFonts w:ascii="Book Antiqua" w:hAnsi="Book Antiqua"/>
          <w:lang w:val="en-US"/>
        </w:rPr>
        <w:t xml:space="preserve">, </w:t>
      </w:r>
      <w:r w:rsidR="005A58FF" w:rsidRPr="00425573">
        <w:rPr>
          <w:rFonts w:ascii="Book Antiqua" w:hAnsi="Book Antiqua"/>
          <w:lang w:val="en-US"/>
        </w:rPr>
        <w:t>regulation</w:t>
      </w:r>
      <w:r w:rsidR="001E4B73" w:rsidRPr="00425573">
        <w:rPr>
          <w:rFonts w:ascii="Book Antiqua" w:hAnsi="Book Antiqua"/>
          <w:lang w:val="en-US"/>
        </w:rPr>
        <w:t xml:space="preserve"> </w:t>
      </w:r>
      <w:r w:rsidR="005A58FF" w:rsidRPr="00425573">
        <w:rPr>
          <w:rFonts w:ascii="Book Antiqua" w:hAnsi="Book Antiqua"/>
          <w:lang w:val="en-US"/>
        </w:rPr>
        <w:t xml:space="preserve">of </w:t>
      </w:r>
      <w:r w:rsidR="009C0D96" w:rsidRPr="00425573">
        <w:rPr>
          <w:rFonts w:ascii="Book Antiqua" w:hAnsi="Book Antiqua"/>
          <w:lang w:val="en-US"/>
        </w:rPr>
        <w:t xml:space="preserve">neuronal </w:t>
      </w:r>
      <w:r w:rsidR="00DF4E0E" w:rsidRPr="00425573">
        <w:rPr>
          <w:rFonts w:ascii="Book Antiqua" w:hAnsi="Book Antiqua"/>
          <w:lang w:val="en-US"/>
        </w:rPr>
        <w:t>transmission</w:t>
      </w:r>
      <w:r w:rsidR="007C291A" w:rsidRPr="00425573">
        <w:rPr>
          <w:rFonts w:ascii="Book Antiqua" w:hAnsi="Book Antiqua"/>
          <w:lang w:val="en-US"/>
        </w:rPr>
        <w:t>,</w:t>
      </w:r>
      <w:r w:rsidR="00DF4E0E" w:rsidRPr="00425573">
        <w:rPr>
          <w:rFonts w:ascii="Book Antiqua" w:hAnsi="Book Antiqua"/>
          <w:lang w:val="en-US"/>
        </w:rPr>
        <w:t xml:space="preserve"> and survival</w:t>
      </w:r>
      <w:r w:rsidR="0072595E" w:rsidRPr="00425573">
        <w:rPr>
          <w:rFonts w:ascii="Book Antiqua" w:hAnsi="Book Antiqua"/>
          <w:lang w:val="en-US"/>
        </w:rPr>
        <w:fldChar w:fldCharType="begin"/>
      </w:r>
      <w:r w:rsidR="00992D72" w:rsidRPr="00425573">
        <w:rPr>
          <w:rFonts w:ascii="Book Antiqua" w:hAnsi="Book Antiqua"/>
          <w:lang w:val="en-US"/>
        </w:rPr>
        <w:instrText xml:space="preserve"> ADDIN ZOTERO_ITEM CSL_CITATION {"citationID":"DkIKtVof","properties":{"formattedCitation":"\\super [17,32\\uc0\\u8211{}35]\\nosupersub{}","plainCitation":"[17,32–35]","noteIndex":0},"citationItems":[{"id":74,"uris":["http://zotero.org/groups/2394923/items/XQZV35JX"],"uri":["http://zotero.org/groups/2394923/items/XQZV35JX"],"itemData":{"id":74,"type":"article-journal","abstract":"One of the main challenges for healthcare systems is the increasing prevalence of neurodegenerative pathologies together with the rapidly aging populations. The enormous progresses made in the ﬁeld of biomedical research and informatics have been crucial for improving the knowledge of how genes, epigenetic modiﬁcations,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qualiﬁed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beneﬁt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ﬁnd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life.","container-title":"Frontiers in Neurology","DOI":"10.3389/fneur.2018.00701","ISSN":"1664-2295","journalAbbreviation":"Front. Neurol.","language":"en","page":"701","source":"DOI.org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id":78,"uris":["http://zotero.org/groups/2394923/items/GVWTQDEY"],"uri":["http://zotero.org/groups/2394923/items/GVWTQDEY"],"itemData":{"id":78,"type":"article-journal","abstract":"Alzheimer’s disease (AD) is a progressive, neurodegenerative disease and the most common form of dementia in elderly people. It is an emerging public health problem that poses a huge societal burden. Linkage analysis was the first milestone in unraveling the mutations in APP, PSEN1, and PSEN2 that cause early-onset AD, followed by the discovery of apolipoprotein E-ε4 allele as the only one genetic risk factor for late-onset AD. Genome-wide association studies have revolutionized genetic research and have identified over 20 genetic loci associated with late-onset AD. Recently, next-generation sequencing technologies have enabled the identification of rare disease variants, including unmasking small mutations with intermediate risk of AD in PLD3, TREM2, UNC5C, AKAP9, and ADAM10. This review provides an overview of the genetic basis of AD and the relationship between these risk genes and the neuropathologic features of AD. An understanding of genetic mechanisms underlying AD pathogenesis and the potentially implicated pathways will lead to the development of novel treatment for this devastating disease.","container-title":"Clinical Interventions in Aging","DOI":"10.2147/CIA.S105769","ISSN":"1178-1998","journalAbbreviation":"CIA","language":"en","page":"665","source":"DOI.org (Crossref)","title":"Genes associated with Alzheimer&amp;#39;s disease: an overview and current status","title-short":"Genes associated with Alzheimer&amp;#39;s disease","author":[{"family":"Giri","given":"Mohan"},{"family":"Lü","given":"Yang"},{"family":"Zhang","given":"Man"}],"issued":{"date-parts":[["2016",5]]}}},{"id":195,"uris":["http://zotero.org/groups/2394923/items/QRV73IU4"],"uri":["http://zotero.org/groups/2394923/items/QRV73IU4"],"itemData":{"id":195,"type":"article-journal","abstract":"Cognitive impairment is highly prevalent in patients with Parkinson's disease (PD) and causes adverse health outcomes. Novel procognitive therapies are needed to address this unmet need. It is now established that there is an increased risk of dementia in patients with type 2 diabetes mellitus (T2DM) and, moreover, T2DM and PD may have common underlying biological mechanisms. As such, T2DM medications are emerging as potential therapies in the context of PD dementia (PDD). In this review, we provide an update on pathophysiological mechanisms underlying cognitive impairments and PDD, focusing on diabetes-related pathways. Finally, we have conducted a review of ongoing clinical trials in PD patients with dementia, highlighting the multiple pharmacological mechanisms that are targeted to achieve cognitive enhancement.","container-title":"CNS drugs","DOI":"10.1007/s40263-018-0601-x","ISSN":"1179-1934","issue":"2","journalAbbreviation":"CNS Drugs","language":"eng","note":"PMID: 30687888\nPMCID: PMC6373401","page":"143-160","source":"PubMed","title":"Novel Treatment Opportunities Against Cognitive Impairment in Parkinson's Disease with an Emphasis on Diabetes-Related Pathways","volume":"33","author":[{"family":"Green","given":"Holly"},{"family":"Tsitsi","given":"Panagiota"},{"family":"Markaki","given":"Ioanna"},{"family":"Aarsland","given":"Dag"},{"family":"Svenningsson","given":"Per"}],"issued":{"date-parts":[["2019",2]]}}},{"id":338,"uris":["http://zotero.org/groups/2394923/items/PYS2M7RA"],"uri":["http://zotero.org/groups/2394923/items/PYS2M7RA"],"itemData":{"id":338,"type":"article-journal","container-title":"The Lancet","DOI":"10.1016/S0140-6736(10)62345-8","ISSN":"01406736","issue":"9766","journalAbbreviation":"The Lancet","language":"en","page":"641-649","source":"DOI.org (Crossref)","title":"Imputation of sequence variants for identification of genetic risks for Parkinson's disease: a meta-analysis of genome-wide association studies","title-short":"Imputation of sequence variants for identification of genetic risks for Parkinson's disease","volume":"377","issued":{"date-parts":[["2011",2]]}}},{"id":342,"uris":["http://zotero.org/groups/2394923/items/XU5QBIHA"],"uri":["http://zotero.org/groups/2394923/items/XU5QBIHA"],"itemData":{"id":342,"type":"article-journal","abstract":"Alzheimer disease (AD) is a remarkable example of genetic heterogeneity. Extremely rare variants in the APP, PSEN1, or PSEN2 genes, or duplications of the APP gene cause autosomal dominant forms, generally with complete penetrance by the age of 65 years. Nonautosomal dominant forms are considered as a complex disorder with a high genetic component, whatever the age of onset. Although genetically heterogeneous, AD is defined by the same neuropathological criteria in all configurations. According to the amyloid cascade hypothesis, the Aβ peptide, which aggregates in AD brains, is a key player. APP, PSEN1, or PSEN2 gene mutations increase the production of more aggregation-prone forms of the Aβ peptide, triggering the pathological process. Several risk factors identified in association studies hit genes involved in Aβ production/secretion, aggregation, clearance, or toxicity. Among them, the APOE ε4 allele is a rare example of a common allele with a large effect size, the ORs ranging from 4 to 11-14 for heterozygous and homozygous carriers, respectively. In addition, genome-wide association studies have identified more than two dozen loci with a weak but significant association, the OR of the at-risk allele ranging from 1.08 to 1.30. Recently, the use of massive parallel sequencing has enabled the analysis of rare variants in a genome-wide manner. Two rare variants have been nominally associated with AD risk or protection (TREM2 p.R47H, MAF approximately 0.002, OR approximately 4 and APP p.A673T, MAF approximately 0.0005, OR approximately 0.2). Association analyses at the gene level identified rare loss-of-function and missense, predicted damaging, variants (MAF &lt;0.01) in the SORL1 and ABCA7 genes associated with a moderate relative risk (OR approximately 5 and approximately 2.8, respectively). Although the latter analyses revealed association signals with moderately rare variants by collapsing them, the power to detect genes hit by extremely rare variants is still limited. An alternative approach is to consider the de novo paradigm, stating that de novo variants may contribute to AD genetics in sporadic patients. Here, we critically review AD genetics reports with a special focus on rare variants.","container-title":"Human Heredity","DOI":"10.1159/000452256","ISSN":"1423-0062","issue":"3","journalAbbreviation":"Hum. Hered.","language":"eng","note":"PMID: 28002825","page":"129-141","source":"PubMed","title":"From Common to Rare Variants: The Genetic Component of Alzheimer Disease","title-short":"From Common to Rare Variants","volume":"81","author":[{"family":"Nicolas","given":"Gaël"},{"family":"Charbonnier","given":"Camille"},{"family":"Campion","given":"Dominique"}],"issued":{"date-parts":[["2016"]]}}}],"schema":"https://github.com/citation-style-language/schema/raw/master/csl-citation.json"} </w:instrText>
      </w:r>
      <w:r w:rsidR="0072595E" w:rsidRPr="00425573">
        <w:rPr>
          <w:rFonts w:ascii="Book Antiqua" w:hAnsi="Book Antiqua"/>
          <w:lang w:val="en-US"/>
        </w:rPr>
        <w:fldChar w:fldCharType="separate"/>
      </w:r>
      <w:r w:rsidR="00992D72" w:rsidRPr="00425573">
        <w:rPr>
          <w:rFonts w:ascii="Book Antiqua" w:hAnsi="Book Antiqua"/>
          <w:vertAlign w:val="superscript"/>
        </w:rPr>
        <w:t>[17,32–35]</w:t>
      </w:r>
      <w:r w:rsidR="0072595E" w:rsidRPr="00425573">
        <w:rPr>
          <w:rFonts w:ascii="Book Antiqua" w:hAnsi="Book Antiqua"/>
          <w:lang w:val="en-US"/>
        </w:rPr>
        <w:fldChar w:fldCharType="end"/>
      </w:r>
      <w:r w:rsidR="00FB0165" w:rsidRPr="00425573">
        <w:rPr>
          <w:rFonts w:ascii="Book Antiqua" w:hAnsi="Book Antiqua"/>
          <w:lang w:val="en-US"/>
        </w:rPr>
        <w:t>.</w:t>
      </w:r>
      <w:r w:rsidR="00B9056D" w:rsidRPr="00425573">
        <w:rPr>
          <w:rFonts w:ascii="Book Antiqua" w:hAnsi="Book Antiqua"/>
          <w:lang w:val="en-US"/>
        </w:rPr>
        <w:t xml:space="preserve"> </w:t>
      </w:r>
      <w:r w:rsidR="00991D40" w:rsidRPr="00425573">
        <w:rPr>
          <w:rFonts w:ascii="Book Antiqua" w:hAnsi="Book Antiqua"/>
          <w:lang w:val="en-US"/>
        </w:rPr>
        <w:t>The availability of GWAS and bioinformatic approaches</w:t>
      </w:r>
      <w:r w:rsidR="007C291A" w:rsidRPr="00425573">
        <w:rPr>
          <w:rFonts w:ascii="Book Antiqua" w:hAnsi="Book Antiqua"/>
          <w:lang w:val="en-US"/>
        </w:rPr>
        <w:t xml:space="preserve"> has</w:t>
      </w:r>
      <w:r w:rsidR="00991D40" w:rsidRPr="00425573">
        <w:rPr>
          <w:rFonts w:ascii="Book Antiqua" w:hAnsi="Book Antiqua"/>
          <w:lang w:val="en-US"/>
        </w:rPr>
        <w:t xml:space="preserve"> allowed </w:t>
      </w:r>
      <w:r w:rsidR="007C291A" w:rsidRPr="00425573">
        <w:rPr>
          <w:rFonts w:ascii="Book Antiqua" w:hAnsi="Book Antiqua"/>
          <w:lang w:val="en-US"/>
        </w:rPr>
        <w:t xml:space="preserve">for </w:t>
      </w:r>
      <w:r w:rsidR="00991D40" w:rsidRPr="00425573">
        <w:rPr>
          <w:rFonts w:ascii="Book Antiqua" w:hAnsi="Book Antiqua"/>
          <w:lang w:val="en-US"/>
        </w:rPr>
        <w:t xml:space="preserve">the identification of 927 </w:t>
      </w:r>
      <w:r w:rsidR="007C291A" w:rsidRPr="00425573">
        <w:rPr>
          <w:rFonts w:ascii="Book Antiqua" w:hAnsi="Book Antiqua"/>
          <w:lang w:val="en-US"/>
        </w:rPr>
        <w:t>s</w:t>
      </w:r>
      <w:r w:rsidR="00991D40" w:rsidRPr="00425573">
        <w:rPr>
          <w:rFonts w:ascii="Book Antiqua" w:hAnsi="Book Antiqua"/>
          <w:lang w:val="en-US"/>
        </w:rPr>
        <w:t xml:space="preserve">ingle </w:t>
      </w:r>
      <w:r w:rsidR="007C291A" w:rsidRPr="00425573">
        <w:rPr>
          <w:rFonts w:ascii="Book Antiqua" w:hAnsi="Book Antiqua"/>
          <w:lang w:val="en-US"/>
        </w:rPr>
        <w:t>n</w:t>
      </w:r>
      <w:r w:rsidR="00991D40" w:rsidRPr="00425573">
        <w:rPr>
          <w:rFonts w:ascii="Book Antiqua" w:hAnsi="Book Antiqua"/>
          <w:lang w:val="en-US"/>
        </w:rPr>
        <w:t xml:space="preserve">ucleotide </w:t>
      </w:r>
      <w:r w:rsidR="007C291A" w:rsidRPr="00425573">
        <w:rPr>
          <w:rFonts w:ascii="Book Antiqua" w:hAnsi="Book Antiqua"/>
          <w:lang w:val="en-US"/>
        </w:rPr>
        <w:t>p</w:t>
      </w:r>
      <w:r w:rsidR="00991D40" w:rsidRPr="00425573">
        <w:rPr>
          <w:rFonts w:ascii="Book Antiqua" w:hAnsi="Book Antiqua"/>
          <w:lang w:val="en-US"/>
        </w:rPr>
        <w:t>olymorphisms (SNPs)</w:t>
      </w:r>
      <w:r w:rsidR="00DD1700" w:rsidRPr="00425573">
        <w:rPr>
          <w:rFonts w:ascii="Book Antiqua" w:hAnsi="Book Antiqua"/>
          <w:lang w:val="en-US"/>
        </w:rPr>
        <w:t xml:space="preserve"> associated with both T2D and AD</w:t>
      </w:r>
      <w:r w:rsidR="00991D40" w:rsidRPr="00425573">
        <w:rPr>
          <w:rFonts w:ascii="Book Antiqua" w:hAnsi="Book Antiqua"/>
          <w:lang w:val="en-US"/>
        </w:rPr>
        <w:t xml:space="preserve"> in populations of European ancestry. Intriguingly, 395</w:t>
      </w:r>
      <w:r w:rsidR="00FB0748" w:rsidRPr="00425573">
        <w:rPr>
          <w:rFonts w:ascii="Book Antiqua" w:hAnsi="Book Antiqua"/>
          <w:lang w:val="en-US"/>
        </w:rPr>
        <w:t xml:space="preserve"> of these</w:t>
      </w:r>
      <w:r w:rsidR="00991D40" w:rsidRPr="00425573">
        <w:rPr>
          <w:rFonts w:ascii="Book Antiqua" w:hAnsi="Book Antiqua"/>
          <w:lang w:val="en-US"/>
        </w:rPr>
        <w:t xml:space="preserve"> SNPs </w:t>
      </w:r>
      <w:r w:rsidR="007C291A" w:rsidRPr="00425573">
        <w:rPr>
          <w:rFonts w:ascii="Book Antiqua" w:hAnsi="Book Antiqua"/>
          <w:lang w:val="en-US"/>
        </w:rPr>
        <w:t xml:space="preserve">have been </w:t>
      </w:r>
      <w:r w:rsidR="00991D40" w:rsidRPr="00425573">
        <w:rPr>
          <w:rFonts w:ascii="Book Antiqua" w:hAnsi="Book Antiqua"/>
          <w:lang w:val="en-US"/>
        </w:rPr>
        <w:t xml:space="preserve">reported to share the same risk </w:t>
      </w:r>
      <w:r w:rsidR="00D60905" w:rsidRPr="00425573">
        <w:rPr>
          <w:rFonts w:ascii="Book Antiqua" w:hAnsi="Book Antiqua"/>
          <w:lang w:val="en-US"/>
        </w:rPr>
        <w:t>allele</w:t>
      </w:r>
      <w:r w:rsidR="00991D40" w:rsidRPr="00425573">
        <w:rPr>
          <w:rFonts w:ascii="Book Antiqua" w:hAnsi="Book Antiqua"/>
          <w:lang w:val="en-US"/>
        </w:rPr>
        <w:t xml:space="preserve"> between</w:t>
      </w:r>
      <w:r w:rsidR="00DD1700" w:rsidRPr="00425573">
        <w:rPr>
          <w:rFonts w:ascii="Book Antiqua" w:hAnsi="Book Antiqua"/>
          <w:lang w:val="en-US"/>
        </w:rPr>
        <w:t xml:space="preserve"> T2D and</w:t>
      </w:r>
      <w:r w:rsidR="00991D40" w:rsidRPr="00425573">
        <w:rPr>
          <w:rFonts w:ascii="Book Antiqua" w:hAnsi="Book Antiqua"/>
          <w:lang w:val="en-US"/>
        </w:rPr>
        <w:t xml:space="preserve"> AD</w:t>
      </w:r>
      <w:r w:rsidR="009C5C9E" w:rsidRPr="00425573">
        <w:rPr>
          <w:rFonts w:ascii="Book Antiqua" w:hAnsi="Book Antiqua"/>
          <w:lang w:val="en-US"/>
        </w:rPr>
        <w:fldChar w:fldCharType="begin"/>
      </w:r>
      <w:r w:rsidR="00992D72" w:rsidRPr="00425573">
        <w:rPr>
          <w:rFonts w:ascii="Book Antiqua" w:hAnsi="Book Antiqua"/>
          <w:lang w:val="en-US"/>
        </w:rPr>
        <w:instrText xml:space="preserve"> ADDIN ZOTERO_ITEM CSL_CITATION {"citationID":"C7JSuNfu","properties":{"formattedCitation":"\\super [36]\\nosupersub{}","plainCitation":"[36]","noteIndex":0},"citationItems":[{"id":10,"uris":["http://zotero.org/groups/2394923/items/SKQ2CI93"],"uri":["http://zotero.org/groups/2394923/items/SKQ2CI93"],"itemData":{"id":10,"type":"article-journal","abstract":"Epidemiological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992D72" w:rsidRPr="00425573">
        <w:rPr>
          <w:rFonts w:ascii="MS Gothic" w:hAnsi="MS Gothic" w:cs="MS Gothic"/>
          <w:lang w:val="en-US"/>
        </w:rPr>
        <w:instrText> </w:instrText>
      </w:r>
      <w:r w:rsidR="00992D72" w:rsidRPr="00425573">
        <w:rPr>
          <w:rFonts w:ascii="Book Antiqua" w:hAnsi="Book Antiqua"/>
          <w:lang w:val="en-US"/>
        </w:rPr>
        <w:instrText>≤0.01, an overlap significantly larger than random chance (overlapping p-value</w:instrText>
      </w:r>
      <w:r w:rsidR="00992D72" w:rsidRPr="00425573">
        <w:rPr>
          <w:rFonts w:ascii="MS Gothic" w:hAnsi="MS Gothic" w:cs="MS Gothic"/>
          <w:lang w:val="en-US"/>
        </w:rPr>
        <w:instrText> </w:instrText>
      </w:r>
      <w:r w:rsidR="00992D72" w:rsidRPr="00425573">
        <w:rPr>
          <w:rFonts w:ascii="Book Antiqua" w:hAnsi="Book Antiqua"/>
          <w:lang w:val="en-US"/>
        </w:rPr>
        <w:instrText>of</w:instrText>
      </w:r>
      <w:r w:rsidR="00992D72" w:rsidRPr="00425573">
        <w:rPr>
          <w:rFonts w:ascii="MS Gothic" w:hAnsi="MS Gothic" w:cs="MS Gothic"/>
          <w:lang w:val="en-US"/>
        </w:rPr>
        <w:instrText> </w:instrText>
      </w:r>
      <w:r w:rsidR="00992D72" w:rsidRPr="00425573">
        <w:rPr>
          <w:rFonts w:ascii="Book Antiqua" w:hAnsi="Book Antiqua"/>
          <w:lang w:val="en-US"/>
        </w:rPr>
        <w:instrText xml:space="preserve">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Maria"}],"issued":{"date-parts":[["2015",10]]}}}],"schema":"https://github.com/citation-style-language/schema/raw/master/csl-citation.json"} </w:instrText>
      </w:r>
      <w:r w:rsidR="009C5C9E" w:rsidRPr="00425573">
        <w:rPr>
          <w:rFonts w:ascii="Book Antiqua" w:hAnsi="Book Antiqua"/>
          <w:lang w:val="en-US"/>
        </w:rPr>
        <w:fldChar w:fldCharType="separate"/>
      </w:r>
      <w:r w:rsidR="00992D72" w:rsidRPr="00425573">
        <w:rPr>
          <w:rFonts w:ascii="Book Antiqua" w:hAnsi="Book Antiqua"/>
          <w:vertAlign w:val="superscript"/>
        </w:rPr>
        <w:t>[36]</w:t>
      </w:r>
      <w:r w:rsidR="009C5C9E" w:rsidRPr="00425573">
        <w:rPr>
          <w:rFonts w:ascii="Book Antiqua" w:hAnsi="Book Antiqua"/>
          <w:lang w:val="en-US"/>
        </w:rPr>
        <w:fldChar w:fldCharType="end"/>
      </w:r>
      <w:r w:rsidR="00991D40" w:rsidRPr="00425573">
        <w:rPr>
          <w:rFonts w:ascii="Book Antiqua" w:hAnsi="Book Antiqua"/>
          <w:lang w:val="en-US"/>
        </w:rPr>
        <w:t xml:space="preserve">. These SNPs are involved in immunity/inflammation-related pathways, cell-cell communication and neuronal plasticity, </w:t>
      </w:r>
      <w:r w:rsidR="00D27B38" w:rsidRPr="00425573">
        <w:rPr>
          <w:rFonts w:ascii="Book Antiqua" w:hAnsi="Book Antiqua"/>
          <w:lang w:val="en-US"/>
        </w:rPr>
        <w:t>whose</w:t>
      </w:r>
      <w:r w:rsidR="007C291A" w:rsidRPr="00425573">
        <w:rPr>
          <w:rFonts w:ascii="Book Antiqua" w:hAnsi="Book Antiqua"/>
          <w:lang w:val="en-US"/>
        </w:rPr>
        <w:t xml:space="preserve"> </w:t>
      </w:r>
      <w:r w:rsidR="00991D40" w:rsidRPr="00425573">
        <w:rPr>
          <w:rFonts w:ascii="Book Antiqua" w:hAnsi="Book Antiqua"/>
          <w:lang w:val="en-US"/>
        </w:rPr>
        <w:t xml:space="preserve">dysregulation may lead to </w:t>
      </w:r>
      <w:r w:rsidR="00DD1700" w:rsidRPr="00425573">
        <w:rPr>
          <w:rFonts w:ascii="Book Antiqua" w:hAnsi="Book Antiqua"/>
          <w:lang w:val="en-US"/>
        </w:rPr>
        <w:t xml:space="preserve">increase </w:t>
      </w:r>
      <w:r w:rsidR="00FB37AB" w:rsidRPr="00425573">
        <w:rPr>
          <w:rFonts w:ascii="Book Antiqua" w:hAnsi="Book Antiqua"/>
          <w:lang w:val="en-US"/>
        </w:rPr>
        <w:t xml:space="preserve">in </w:t>
      </w:r>
      <w:r w:rsidR="00DD1700" w:rsidRPr="00425573">
        <w:rPr>
          <w:rFonts w:ascii="Book Antiqua" w:hAnsi="Book Antiqua"/>
          <w:lang w:val="en-US"/>
        </w:rPr>
        <w:t>the</w:t>
      </w:r>
      <w:r w:rsidR="00991D40" w:rsidRPr="00425573">
        <w:rPr>
          <w:rFonts w:ascii="Book Antiqua" w:hAnsi="Book Antiqua"/>
          <w:lang w:val="en-US"/>
        </w:rPr>
        <w:t xml:space="preserve"> neuroinflammation</w:t>
      </w:r>
      <w:r w:rsidR="00DD1700" w:rsidRPr="00425573">
        <w:rPr>
          <w:rFonts w:ascii="Book Antiqua" w:hAnsi="Book Antiqua"/>
          <w:lang w:val="en-US"/>
        </w:rPr>
        <w:t xml:space="preserve"> typically occurring in T2D and AD</w:t>
      </w:r>
      <w:r w:rsidR="00D47A11"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{"citationID":"G3nyfim8","properties":{"formattedCitation":"\\super [7,37,38]\\nosupersub{}","plainCitation":"[7,37,38]","noteIndex":0},"citationItems":[{"id":9,"uris":["http://zotero.org/groups/2394923/items/S2DK92PF"],"uri":["http://zotero.org/groups/2394923/items/S2DK92PF"],"itemData":{"id":9,"type":"article-journal","abstract":"Alzheimer’s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D47A11"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D47A11"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D47A11"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490,"uris":["http://zotero.org/groups/2394923/items/JGHAPQXU"],"uri":["http://zotero.org/groups/2394923/items/JGHAPQXU"],"itemData":{"id":490,"type":"article-journal","abstract":"Alzheimer's disease (AD), characterized by the aggregation of amyloid-β (Aβ) protein and neuroinflammation, is the most common neurodegenerative disease globally. Previous studies have reported that some AD patients show impaired glucose utilization in brain, leading to cognitive decline. Recently, diabetes-induced dementia has been called \"type 3 diabetes\", based on features in common with those of type 2 diabetes and the progression of AD. Impaired glucose uptake and insulin resistance in the brain are important issues in type 3 diabetes, because these problems ultimately aggravate memory dysfunction in the brain. Glucagon-like peptide 1 (GLP-1) has been known to act as a critical controller of the glucose metabolism. Several studies have demonstrated that GLP-1 alleviates learning and memory dysfunction by enhancing the regulation of glucose in the AD brain. However, the specific actions of GLP-1 in the AD brain are not fully understood. Here, we review evidences related to the role of GLP-1 in type 3 diabetes.","container-title":"International Journal of Molecular Sciences","DOI":"10.3390/ijms18112493","ISSN":"1422-0067","issue":"11","journalAbbreviation":"Int J Mol Sci","language":"eng","note":"PMID: 29165354\nPMCID: PMC5713459","source":"PubMed","title":"The Role of Glucagon-Like Peptide 1 (GLP1) in Type 3 Diabetes: GLP-1 Controls Insulin Resistance, Neuroinflammation and Neurogenesis in the Brain","title-short":"The Role of Glucagon-Like Peptide 1 (GLP1) in Type 3 Diabetes","volume":"18","author":[{"family":"Bae","given":"Choon Sang"},{"family":"Song","given":"Juhyun"}],"issued":{"date-parts":[["2017",11,22]]}}},{"id":493,"uris":["http://zotero.org/groups/2394923/items/EVQ7KYK4"],"uri":["http://zotero.org/groups/2394923/items/EVQ7KYK4"],"itemData":{"id":493,"type":"article-journal","abstract":"Cognitive decline in chronic diabetic patients is a less investigated topic. Diabetes and obesity are among the modifiable risk factors for Alzheimer's disease (AD), the most common form of dementia. Studies have identified several overlapping neurodegenerative mechanisms, including oxidative stress, mitochondrial dysfunction, and inflammation that are observed in these disorders. Advanced glycation end products generated by chronic hyperglycemia and their receptor RAGE provide critical links between diabetes and AD. Peripheral inflammation observed in obesity leads to insulin resistance and type 2 diabetes. Although the brain is an immune-privileged organ, cross-talks between peripheral and central inflammation have been reported. Damage to the blood brain barrier (BBB) as seen with aging can lead to infiltration of immune cells into the brain, leading to the exacerbation of central inflammation. Neuroinflammation, which has emerged as an important cause of cognitive dysfunction, could provide a central mechanism for aging-associated ailments. To further add to these injuries, adult neurogenesis that provides neuronal plasticity is also impaired in the diabetic brain. This review discusses these molecular mechanisms that link obesity, diabetes and AD. This article is part of a Special Issue entitled: Oxidative Stress and Mitochondrial Quality in Diabetes/Obesity and Critical Illness Spectrum of Diseases - edited by P. Hemachandra Reddy.","container-title":"Biochimica Et Biophysica Acta. Molecular Basis of Disease","DOI":"10.1016/j.bbadis.2016.04.017","ISSN":"0925-4439","issue":"5","journalAbbreviation":"Biochim Biophys Acta Mol Basis Dis","language":"eng","note":"PMID: 27156888\nPMCID: PMC5344771","page":"1037-1045","source":"PubMed","title":"Common neurodegenerative pathways in obesity, diabetes, and Alzheimer's disease","volume":"1863","author":[{"family":"Pugazhenthi","given":"Subbiah"},{"family":"Qin","given":"Limei"},{"family":"Reddy","given":"P. Hemachandra"}],"issued":{"date-parts":[["2017",5]]}}}],"schema":"https://github.com/citation-style-language/schema/raw/master/csl-citation.json"} </w:instrText>
      </w:r>
      <w:r w:rsidR="00D47A11" w:rsidRPr="00425573">
        <w:rPr>
          <w:rFonts w:ascii="Book Antiqua" w:hAnsi="Book Antiqua"/>
          <w:lang w:val="en-US"/>
        </w:rPr>
        <w:fldChar w:fldCharType="separate"/>
      </w:r>
      <w:r w:rsidR="00D47A11" w:rsidRPr="00425573">
        <w:rPr>
          <w:rFonts w:ascii="Book Antiqua" w:hAnsi="Book Antiqua"/>
          <w:vertAlign w:val="superscript"/>
        </w:rPr>
        <w:t>[7,37,38]</w:t>
      </w:r>
      <w:r w:rsidR="00D47A11" w:rsidRPr="00425573">
        <w:rPr>
          <w:rFonts w:ascii="Book Antiqua" w:hAnsi="Book Antiqua"/>
          <w:lang w:val="en-US"/>
        </w:rPr>
        <w:fldChar w:fldCharType="end"/>
      </w:r>
      <w:r w:rsidR="00991D40" w:rsidRPr="00425573">
        <w:rPr>
          <w:rFonts w:ascii="Book Antiqua" w:hAnsi="Book Antiqua"/>
          <w:lang w:val="en-US"/>
        </w:rPr>
        <w:t xml:space="preserve">. </w:t>
      </w:r>
      <w:r w:rsidR="00DD1700" w:rsidRPr="00425573">
        <w:rPr>
          <w:rFonts w:ascii="Book Antiqua" w:hAnsi="Book Antiqua"/>
          <w:lang w:val="en-US"/>
        </w:rPr>
        <w:t>Polymorphisms</w:t>
      </w:r>
      <w:r w:rsidR="00B67AF3" w:rsidRPr="00425573">
        <w:rPr>
          <w:rFonts w:ascii="Book Antiqua" w:hAnsi="Book Antiqua"/>
          <w:lang w:val="en-US"/>
        </w:rPr>
        <w:t xml:space="preserve"> within the </w:t>
      </w:r>
      <w:r w:rsidR="00B67AF3" w:rsidRPr="00425573">
        <w:rPr>
          <w:rFonts w:ascii="Book Antiqua" w:hAnsi="Book Antiqua"/>
          <w:i/>
          <w:lang w:val="en-US"/>
        </w:rPr>
        <w:t>IDE</w:t>
      </w:r>
      <w:r w:rsidR="00B67AF3" w:rsidRPr="00425573">
        <w:rPr>
          <w:rFonts w:ascii="Book Antiqua" w:hAnsi="Book Antiqua"/>
          <w:lang w:val="en-US"/>
        </w:rPr>
        <w:t>/</w:t>
      </w:r>
      <w:r w:rsidR="00B67AF3" w:rsidRPr="00425573">
        <w:rPr>
          <w:rFonts w:ascii="Book Antiqua" w:hAnsi="Book Antiqua"/>
          <w:i/>
          <w:lang w:val="en-US"/>
        </w:rPr>
        <w:t>HHEX</w:t>
      </w:r>
      <w:r w:rsidR="00B67AF3" w:rsidRPr="00425573">
        <w:rPr>
          <w:rFonts w:ascii="Book Antiqua" w:hAnsi="Book Antiqua"/>
          <w:lang w:val="en-US"/>
        </w:rPr>
        <w:t xml:space="preserve"> region have </w:t>
      </w:r>
      <w:r w:rsidR="00991D40" w:rsidRPr="00425573">
        <w:rPr>
          <w:rFonts w:ascii="Book Antiqua" w:hAnsi="Book Antiqua"/>
          <w:lang w:val="en-US"/>
        </w:rPr>
        <w:t xml:space="preserve">also </w:t>
      </w:r>
      <w:r w:rsidR="00B67AF3" w:rsidRPr="00425573">
        <w:rPr>
          <w:rFonts w:ascii="Book Antiqua" w:hAnsi="Book Antiqua"/>
          <w:lang w:val="en-US"/>
        </w:rPr>
        <w:t xml:space="preserve">been investigated as </w:t>
      </w:r>
      <w:r w:rsidR="005A58FF" w:rsidRPr="00425573">
        <w:rPr>
          <w:rFonts w:ascii="Book Antiqua" w:hAnsi="Book Antiqua"/>
          <w:lang w:val="en-US"/>
        </w:rPr>
        <w:t>combined susceptibility factors</w:t>
      </w:r>
      <w:r w:rsidR="00B67AF3" w:rsidRPr="00425573">
        <w:rPr>
          <w:rFonts w:ascii="Book Antiqua" w:hAnsi="Book Antiqua"/>
          <w:lang w:val="en-US"/>
        </w:rPr>
        <w:t xml:space="preserve"> </w:t>
      </w:r>
      <w:r w:rsidR="005A58FF" w:rsidRPr="00425573">
        <w:rPr>
          <w:rFonts w:ascii="Book Antiqua" w:hAnsi="Book Antiqua"/>
          <w:lang w:val="en-US"/>
        </w:rPr>
        <w:t>for</w:t>
      </w:r>
      <w:r w:rsidR="00DD1700" w:rsidRPr="00425573">
        <w:rPr>
          <w:rFonts w:ascii="Book Antiqua" w:hAnsi="Book Antiqua"/>
          <w:lang w:val="en-US"/>
        </w:rPr>
        <w:t xml:space="preserve"> T2D and</w:t>
      </w:r>
      <w:r w:rsidR="005A58FF" w:rsidRPr="00425573">
        <w:rPr>
          <w:rFonts w:ascii="Book Antiqua" w:hAnsi="Book Antiqua"/>
          <w:lang w:val="en-US"/>
        </w:rPr>
        <w:t xml:space="preserve"> </w:t>
      </w:r>
      <w:r w:rsidR="00DD1700" w:rsidRPr="00425573">
        <w:rPr>
          <w:rFonts w:ascii="Book Antiqua" w:hAnsi="Book Antiqua"/>
          <w:lang w:val="en-US"/>
        </w:rPr>
        <w:t xml:space="preserve">AD </w:t>
      </w:r>
      <w:r w:rsidR="00B67AF3" w:rsidRPr="00425573">
        <w:rPr>
          <w:rFonts w:ascii="Book Antiqua" w:hAnsi="Book Antiqua"/>
          <w:lang w:val="en-US"/>
        </w:rPr>
        <w:t>(Table 1)</w:t>
      </w:r>
      <w:r w:rsidR="00B67AF3"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{"citationID":"zOqaeVRz","properties":{"formattedCitation":"\\super [39\\uc0\\u8211{}41]\\nosupersub{}","plainCitation":"[39–41]","noteIndex":0},"citationItems":[{"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id":234,"uris":["http://zotero.org/groups/2394923/items/SF8SD2LJ"],"uri":["http://zotero.org/groups/2394923/items/SF8SD2LJ"],"itemData":{"id":234,"type":"article-journal","abstract":"We tested independent and interactive contributions of a recently noted and promising insulin degrading enzyme polymorphism (IDE; rs6583817) and type 2 diabetes (T2D) to executive function performance, concurrently and longitudinally. Regarding normal neurocognitive decline and Alzheimer's disease, T2D is a known risk factor and this IDE variant might contribute risk or risk reduction via the minor (A) or major (G) allele. We compared normal aging and T2D groups (baseline n = 574; ages 53-95 years) over 2 longitudinal waves (mean interval = 4.4 years). We used confirmatory factor analysis, latent growth curve modeling, and path analysis. A confirmed single-factor model of 4 executive function tasks established the cognitive phenotype. This IDE variant predicted concurrent group differences and differential change in cognitive performance. Furthermore, the IDE major allele reduced risk of cognitive decline. T2D predicted performance only concurrently. Both IDE and T2D are associated with executive function levels in older adults, but only IDE moderated 2-wave change. Previously linked to Alzheimer's disease, this IDE variant should be further explored for its potential influence on cognitive phenotypes of normal aging.","container-title":"Neurobiology of Aging","DOI":"10.1016/j.neurobiolaging.2013.03.010","ISSN":"1558-1497","issue":"9","journalAbbreviation":"Neurobiol. Aging","language":"eng","note":"PMID: 23597493\nPMCID: PMC3679261","page":"2208-2216","source":"PubMed","title":"IDE (rs6583817) polymorphism and type 2 diabetes differentially modify executive function in older adults","volume":"34","author":[{"family":"McFall","given":"G. Peggy"},{"family":"Wiebe","given":"Sandra A."},{"family":"Vergote","given":"David"},{"family":"Westaway","given":"David"},{"family":"Jhamandas","given":"Jack"},{"family":"Dixon","given":"Roger A."}],"issued":{"date-parts":[["2013",9]]}}},{"id":242,"uris":["http://zotero.org/groups/2394923/items/WBQQWLEV"],"uri":["http://zotero.org/groups/2394923/items/WBQQWLEV"],"itemData":{"id":242,"type":"article-journal","abstract":"BACKGROUND: The insulin-degrading enzyme gene (IDE) is a strong functional and positional candidate for late onset Alzheimer's disease (LOAD).\nMETHODOLOGY/PRINCIPAL FINDINGS: We examined conserved regions of IDE and its 10 kb flanks in 269 AD cases and 252 controls thereby identifying 17 putative functional polymorphisms. These variants formed eleven haplotypes that were tagged with ten variants. Four of these showed significant association with IDE transcript levels in samples from 194 LOAD cerebella. The strongest, rs6583817, which has not previously been reported, showed unequivocal association (p = 1.5x10(-8), fold-increase = 2.12,); the eleven haplotypes were also significantly associated with transcript levels (global p = 0.003). Using an in vitro dual luciferase reporter assay, we found that rs6583817 increases reporter gene expression in Be(2)-C (p = 0.006) and HepG2 (p = 0.02) cell lines. Furthermore, using data from a recent genome-wide association study of two Croatian isolated populations (n = 1,879), we identified a proxy for rs6583817 that associated significantly with decreased plasma Abeta40 levels (ss = -0.124, p = 0.011) and total measured plasma Abeta levels (b = -0.130, p = 0.009). Finally, rs6583817 was associated with decreased risk of LOAD in 3,891 AD cases and 3,605 controls. (OR = 0.87, p = 0.03), and the eleven IDE haplotypes (global p = 0.02) also showed significant association.\nCONCLUSIONS: Thus, a previously unreported variant unequivocally associated with increased IDE expression was also associated with reduced plasma Abeta40 and decreased LOAD susceptibility. Genetic association between LOAD and IDE has been difficult to replicate. Our findings suggest that targeted testing of expression SNPs (eSNPs) strongly associated with altered transcript levels in autopsy brain samples may be a powerful way to identify genetic associations with LOAD that would otherwise be difficult to detect.","container-title":"PloS One","DOI":"10.1371/journal.pone.0008764","ISSN":"1932-6203","issue":"1","journalAbbreviation":"PLoS ONE","language":"eng","note":"PMID: 20098734\nPMCID: PMC2808243","page":"e8764","source":"PubMed","title":"Concordant association of insulin degrading enzyme gene (IDE) variants with IDE mRNA, Abeta, and Alzheimer's disease","volume":"5","author":[{"family":"Carrasquillo","given":"Minerva M."},{"family":"Belbin","given":"Olivia"},{"family":"Zou","given":"Fanggeng"},{"family":"Allen","given":"Mariet"},{"family":"Ertekin-Taner","given":"Nilufer"},{"family":"Ansari","given":"Morad"},{"family":"Wilcox","given":"Samantha L."},{"family":"Kashino","given":"Mariah R."},{"family":"Ma","given":"Li"},{"family":"Younkin","given":"Linda H."},{"family":"Younkin","given":"Samuel G."},{"family":"Younkin","given":"Curtis S."},{"family":"Dincman","given":"Toros A."},{"family":"Howard","given":"Melissa E."},{"family":"Howell","given":"Chanley C."},{"family":"Stanton","given":"Chloe M."},{"family":"Watson","given":"Christopher M."},{"family":"Crump","given":"Michael"},{"family":"Vitart","given":"Veronique"},{"family":"Hayward","given":"Caroline"},{"family":"Hastie","given":"Nicholas D."},{"family":"Rudan","given":"Igor"},{"family":"Campbell","given":"Harry"},{"family":"Polasek","given":"Ozren"},{"family":"Brown","given":"Kristelle"},{"family":"Passmore","given":"Peter"},{"family":"Craig","given":"David"},{"family":"McGuinness","given":"Bernadette"},{"family":"Todd","given":"Stephen"},{"family":"Kehoe","given":"Patrick G."},{"family":"Mann","given":"David M."},{"family":"Smith","given":"A. David"},{"family":"Beaumont","given":"Helen"},{"family":"Warden","given":"Donald"},{"family":"Holmes","given":"Clive"},{"family":"Heun","given":"Reinhard"},{"family":"Kölsch","given":"Heike"},{"family":"Kalsheker","given":"Noor"},{"family":"Pankratz","given":"V. Shane"},{"family":"Dickson","given":"Dennis W."},{"family":"Graff-Radford","given":"Neill R."},{"family":"Petersen","given":"Ronald C."},{"family":"Wright","given":"Alan F."},{"family":"Younkin","given":"Steven G."},{"family":"Morgan","given":"Kevin"}],"issued":{"date-parts":[["2010",1,19]]}}}],"schema":"https://github.com/citation-style-language/schema/raw/master/csl-citation.json"} </w:instrText>
      </w:r>
      <w:r w:rsidR="00B67AF3" w:rsidRPr="00425573">
        <w:rPr>
          <w:rFonts w:ascii="Book Antiqua" w:hAnsi="Book Antiqua"/>
          <w:lang w:val="en-US"/>
        </w:rPr>
        <w:fldChar w:fldCharType="separate"/>
      </w:r>
      <w:r w:rsidR="00D47A11" w:rsidRPr="00425573">
        <w:rPr>
          <w:rFonts w:ascii="Book Antiqua" w:hAnsi="Book Antiqua"/>
          <w:vertAlign w:val="superscript"/>
        </w:rPr>
        <w:t>[39–41]</w:t>
      </w:r>
      <w:r w:rsidR="00B67AF3" w:rsidRPr="00425573">
        <w:rPr>
          <w:rFonts w:ascii="Book Antiqua" w:hAnsi="Book Antiqua"/>
          <w:lang w:val="en-US"/>
        </w:rPr>
        <w:fldChar w:fldCharType="end"/>
      </w:r>
      <w:r w:rsidR="005A58FF" w:rsidRPr="00425573">
        <w:rPr>
          <w:rFonts w:ascii="Book Antiqua" w:hAnsi="Book Antiqua"/>
          <w:lang w:val="en-US"/>
        </w:rPr>
        <w:t>.</w:t>
      </w:r>
      <w:r w:rsidR="00B67AF3" w:rsidRPr="00425573">
        <w:rPr>
          <w:rFonts w:ascii="Book Antiqua" w:hAnsi="Book Antiqua"/>
          <w:lang w:val="en-US"/>
        </w:rPr>
        <w:t xml:space="preserve"> </w:t>
      </w:r>
      <w:r w:rsidR="005A58FF" w:rsidRPr="00425573">
        <w:rPr>
          <w:rFonts w:ascii="Book Antiqua" w:hAnsi="Book Antiqua"/>
          <w:lang w:val="en-US"/>
        </w:rPr>
        <w:t>N</w:t>
      </w:r>
      <w:r w:rsidR="00B67AF3" w:rsidRPr="00425573">
        <w:rPr>
          <w:rFonts w:ascii="Book Antiqua" w:hAnsi="Book Antiqua"/>
          <w:lang w:val="en-US"/>
        </w:rPr>
        <w:t xml:space="preserve">otably, </w:t>
      </w:r>
      <w:r w:rsidR="00B67AF3" w:rsidRPr="00425573">
        <w:rPr>
          <w:rFonts w:ascii="Book Antiqua" w:hAnsi="Book Antiqua"/>
          <w:i/>
          <w:lang w:val="en-US"/>
        </w:rPr>
        <w:t>IDE</w:t>
      </w:r>
      <w:r w:rsidR="00B67AF3" w:rsidRPr="00425573">
        <w:rPr>
          <w:rFonts w:ascii="Book Antiqua" w:hAnsi="Book Antiqua"/>
          <w:lang w:val="en-US"/>
        </w:rPr>
        <w:t xml:space="preserve"> codes for the enzyme responsible for insulin clearance</w:t>
      </w:r>
      <w:r w:rsidR="005A58FF" w:rsidRPr="00425573">
        <w:rPr>
          <w:rFonts w:ascii="Book Antiqua" w:hAnsi="Book Antiqua"/>
          <w:lang w:val="en-US"/>
        </w:rPr>
        <w:t>, although</w:t>
      </w:r>
      <w:r w:rsidR="0067388A" w:rsidRPr="00425573">
        <w:rPr>
          <w:rFonts w:ascii="Book Antiqua" w:hAnsi="Book Antiqua"/>
          <w:lang w:val="en-US"/>
        </w:rPr>
        <w:t xml:space="preserve"> it</w:t>
      </w:r>
      <w:r w:rsidR="005A58FF" w:rsidRPr="00425573">
        <w:rPr>
          <w:rFonts w:ascii="Book Antiqua" w:hAnsi="Book Antiqua"/>
          <w:lang w:val="en-US"/>
        </w:rPr>
        <w:t xml:space="preserve"> is also</w:t>
      </w:r>
      <w:r w:rsidR="00B67AF3" w:rsidRPr="00425573">
        <w:rPr>
          <w:rFonts w:ascii="Book Antiqua" w:hAnsi="Book Antiqua"/>
          <w:lang w:val="en-US"/>
        </w:rPr>
        <w:t xml:space="preserve"> able to degrade A</w:t>
      </w:r>
      <w:r w:rsidR="00412D51" w:rsidRPr="00425573">
        <w:rPr>
          <w:rFonts w:ascii="Book Antiqua" w:hAnsi="Book Antiqua" w:cs="Lucida Grande"/>
          <w:lang w:val="en-US"/>
        </w:rPr>
        <w:t>β</w:t>
      </w:r>
      <w:r w:rsidR="00B67AF3" w:rsidRPr="00425573">
        <w:rPr>
          <w:rFonts w:ascii="Book Antiqua" w:hAnsi="Book Antiqua"/>
          <w:lang w:val="en-US"/>
        </w:rPr>
        <w:t xml:space="preserve"> peptide in neurons and glia cells</w:t>
      </w:r>
      <w:r w:rsidR="00B67AF3"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{"citationID":"hKhzxMuU","properties":{"formattedCitation":"\\super [7,39]\\nosupersub{}","plainCitation":"[7,39]","noteIndex":0},"citationItems":[{"id":9,"uris":["http://zotero.org/groups/2394923/items/S2DK92PF"],"uri":["http://zotero.org/groups/2394923/items/S2DK92PF"],"itemData":{"id":9,"type":"article-journal","abstract":"Alzheimer’s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D47A11"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D47A11"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D47A11"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schema":"https://github.com/citation-style-language/schema/raw/master/csl-citation.json"} </w:instrText>
      </w:r>
      <w:r w:rsidR="00B67AF3" w:rsidRPr="00425573">
        <w:rPr>
          <w:rFonts w:ascii="Book Antiqua" w:hAnsi="Book Antiqua"/>
          <w:lang w:val="en-US"/>
        </w:rPr>
        <w:fldChar w:fldCharType="separate"/>
      </w:r>
      <w:r w:rsidR="00D47A11" w:rsidRPr="00425573">
        <w:rPr>
          <w:rFonts w:ascii="Book Antiqua" w:hAnsi="Book Antiqua"/>
          <w:vertAlign w:val="superscript"/>
        </w:rPr>
        <w:t>[7,39]</w:t>
      </w:r>
      <w:r w:rsidR="00B67AF3" w:rsidRPr="00425573">
        <w:rPr>
          <w:rFonts w:ascii="Book Antiqua" w:hAnsi="Book Antiqua"/>
          <w:lang w:val="en-US"/>
        </w:rPr>
        <w:fldChar w:fldCharType="end"/>
      </w:r>
      <w:r w:rsidR="00B67AF3" w:rsidRPr="00425573">
        <w:rPr>
          <w:rFonts w:ascii="Book Antiqua" w:hAnsi="Book Antiqua"/>
          <w:lang w:val="en-US"/>
        </w:rPr>
        <w:t>.</w:t>
      </w:r>
      <w:r w:rsidR="005A58FF" w:rsidRPr="00425573">
        <w:rPr>
          <w:rFonts w:ascii="Book Antiqua" w:hAnsi="Book Antiqua"/>
          <w:lang w:val="en-US"/>
        </w:rPr>
        <w:t xml:space="preserve"> </w:t>
      </w:r>
    </w:p>
    <w:p w14:paraId="65AA57DF" w14:textId="6F2F6564" w:rsidR="00A56A26" w:rsidRPr="00425573" w:rsidRDefault="00A40D54" w:rsidP="00083E5A">
      <w:pPr>
        <w:snapToGrid w:val="0"/>
        <w:spacing w:line="360" w:lineRule="auto"/>
        <w:ind w:firstLineChars="100" w:firstLine="240"/>
        <w:jc w:val="both"/>
        <w:rPr>
          <w:rFonts w:ascii="Book Antiqua" w:hAnsi="Book Antiqua"/>
          <w:lang w:val="en-US"/>
        </w:rPr>
      </w:pPr>
      <w:r w:rsidRPr="00425573">
        <w:rPr>
          <w:rFonts w:ascii="Book Antiqua" w:hAnsi="Book Antiqua"/>
          <w:lang w:val="en-US"/>
        </w:rPr>
        <w:t>A</w:t>
      </w:r>
      <w:r w:rsidR="00F12A3C" w:rsidRPr="00425573">
        <w:rPr>
          <w:rFonts w:ascii="Book Antiqua" w:hAnsi="Book Antiqua"/>
          <w:lang w:val="en-US"/>
        </w:rPr>
        <w:t xml:space="preserve"> </w:t>
      </w:r>
      <w:r w:rsidR="00991D40" w:rsidRPr="00425573">
        <w:rPr>
          <w:rFonts w:ascii="Book Antiqua" w:hAnsi="Book Antiqua"/>
          <w:lang w:val="en-US"/>
        </w:rPr>
        <w:t xml:space="preserve">recent study performed on populations of European ancestry has described the association of </w:t>
      </w:r>
      <w:r w:rsidR="00A06BC6" w:rsidRPr="00425573">
        <w:rPr>
          <w:rFonts w:ascii="Book Antiqua" w:hAnsi="Book Antiqua"/>
          <w:lang w:val="en-US"/>
        </w:rPr>
        <w:t>14</w:t>
      </w:r>
      <w:r w:rsidR="00972EF2" w:rsidRPr="00425573">
        <w:rPr>
          <w:rFonts w:ascii="Book Antiqua" w:hAnsi="Book Antiqua"/>
          <w:lang w:val="en-US"/>
        </w:rPr>
        <w:t xml:space="preserve"> </w:t>
      </w:r>
      <w:r w:rsidR="00991D40" w:rsidRPr="00425573">
        <w:rPr>
          <w:rFonts w:ascii="Book Antiqua" w:hAnsi="Book Antiqua"/>
          <w:lang w:val="en-US"/>
        </w:rPr>
        <w:t xml:space="preserve">common </w:t>
      </w:r>
      <w:r w:rsidR="0057004A" w:rsidRPr="00425573">
        <w:rPr>
          <w:rFonts w:ascii="Book Antiqua" w:hAnsi="Book Antiqua"/>
          <w:lang w:val="en-US"/>
        </w:rPr>
        <w:t>SNPs</w:t>
      </w:r>
      <w:r w:rsidR="00972EF2" w:rsidRPr="00425573">
        <w:rPr>
          <w:rFonts w:ascii="Book Antiqua" w:hAnsi="Book Antiqua"/>
          <w:lang w:val="en-US"/>
        </w:rPr>
        <w:t xml:space="preserve"> with</w:t>
      </w:r>
      <w:r w:rsidR="00CF40C6" w:rsidRPr="00425573">
        <w:rPr>
          <w:rFonts w:ascii="Book Antiqua" w:hAnsi="Book Antiqua"/>
          <w:lang w:val="en-US"/>
        </w:rPr>
        <w:t xml:space="preserve"> both</w:t>
      </w:r>
      <w:r w:rsidR="00DD1700" w:rsidRPr="00425573">
        <w:rPr>
          <w:rFonts w:ascii="Book Antiqua" w:hAnsi="Book Antiqua"/>
          <w:lang w:val="en-US"/>
        </w:rPr>
        <w:t xml:space="preserve"> T2D and </w:t>
      </w:r>
      <w:r w:rsidR="00972EF2" w:rsidRPr="00425573">
        <w:rPr>
          <w:rFonts w:ascii="Book Antiqua" w:hAnsi="Book Antiqua"/>
          <w:lang w:val="en-US"/>
        </w:rPr>
        <w:t>AD</w:t>
      </w:r>
      <w:r w:rsidR="007C291A" w:rsidRPr="00425573">
        <w:rPr>
          <w:rFonts w:ascii="Book Antiqua" w:hAnsi="Book Antiqua"/>
          <w:lang w:val="en-US"/>
        </w:rPr>
        <w:t>;</w:t>
      </w:r>
      <w:r w:rsidR="00991D40" w:rsidRPr="00425573">
        <w:rPr>
          <w:rFonts w:ascii="Book Antiqua" w:hAnsi="Book Antiqua"/>
          <w:lang w:val="en-US"/>
        </w:rPr>
        <w:t xml:space="preserve"> </w:t>
      </w:r>
      <w:r w:rsidR="007C291A" w:rsidRPr="00425573">
        <w:rPr>
          <w:rFonts w:ascii="Book Antiqua" w:hAnsi="Book Antiqua"/>
          <w:lang w:val="en-US"/>
        </w:rPr>
        <w:t xml:space="preserve">these </w:t>
      </w:r>
      <w:r w:rsidR="00991D40" w:rsidRPr="00425573">
        <w:rPr>
          <w:rFonts w:ascii="Book Antiqua" w:hAnsi="Book Antiqua"/>
          <w:lang w:val="en-US"/>
        </w:rPr>
        <w:t>are</w:t>
      </w:r>
      <w:r w:rsidR="00300D1B" w:rsidRPr="00425573">
        <w:rPr>
          <w:rFonts w:ascii="Book Antiqua" w:hAnsi="Book Antiqua"/>
          <w:lang w:val="en-US"/>
        </w:rPr>
        <w:t xml:space="preserve"> </w:t>
      </w:r>
      <w:r w:rsidR="007B2D6B" w:rsidRPr="00425573">
        <w:rPr>
          <w:rFonts w:ascii="Book Antiqua" w:hAnsi="Book Antiqua"/>
          <w:lang w:val="en-US"/>
        </w:rPr>
        <w:t xml:space="preserve">located in </w:t>
      </w:r>
      <w:r w:rsidR="00972EF2" w:rsidRPr="00425573">
        <w:rPr>
          <w:rFonts w:ascii="Book Antiqua" w:hAnsi="Book Antiqua"/>
          <w:i/>
          <w:lang w:val="en-US"/>
        </w:rPr>
        <w:t>TP53INP1</w:t>
      </w:r>
      <w:r w:rsidR="00972EF2" w:rsidRPr="00425573">
        <w:rPr>
          <w:rFonts w:ascii="Book Antiqua" w:hAnsi="Book Antiqua"/>
          <w:lang w:val="en-US"/>
        </w:rPr>
        <w:t xml:space="preserve">, </w:t>
      </w:r>
      <w:r w:rsidR="002F5CCF" w:rsidRPr="00425573">
        <w:rPr>
          <w:rFonts w:ascii="Book Antiqua" w:hAnsi="Book Antiqua"/>
          <w:i/>
          <w:lang w:val="en-US"/>
        </w:rPr>
        <w:t>NDUFAF6</w:t>
      </w:r>
      <w:r w:rsidR="00AC470C" w:rsidRPr="00425573">
        <w:rPr>
          <w:rFonts w:ascii="Book Antiqua" w:hAnsi="Book Antiqua"/>
          <w:lang w:val="en-US"/>
        </w:rPr>
        <w:t xml:space="preserve">, </w:t>
      </w:r>
      <w:r w:rsidR="00AC470C" w:rsidRPr="00425573">
        <w:rPr>
          <w:rFonts w:ascii="Book Antiqua" w:hAnsi="Book Antiqua"/>
          <w:i/>
          <w:lang w:val="en-US"/>
        </w:rPr>
        <w:t>TOMM40</w:t>
      </w:r>
      <w:r w:rsidR="00AC470C" w:rsidRPr="00425573">
        <w:rPr>
          <w:rFonts w:ascii="Book Antiqua" w:hAnsi="Book Antiqua"/>
          <w:lang w:val="en-US"/>
        </w:rPr>
        <w:t xml:space="preserve">, </w:t>
      </w:r>
      <w:r w:rsidR="00AC470C" w:rsidRPr="00425573">
        <w:rPr>
          <w:rFonts w:ascii="Book Antiqua" w:hAnsi="Book Antiqua"/>
          <w:i/>
          <w:lang w:val="en-US"/>
        </w:rPr>
        <w:t>BTBD16</w:t>
      </w:r>
      <w:r w:rsidR="00AC470C" w:rsidRPr="00425573">
        <w:rPr>
          <w:rFonts w:ascii="Book Antiqua" w:hAnsi="Book Antiqua"/>
          <w:lang w:val="en-US"/>
        </w:rPr>
        <w:t xml:space="preserve">, </w:t>
      </w:r>
      <w:r w:rsidR="00AC470C" w:rsidRPr="00425573">
        <w:rPr>
          <w:rFonts w:ascii="Book Antiqua" w:hAnsi="Book Antiqua"/>
          <w:i/>
          <w:lang w:val="en-US"/>
        </w:rPr>
        <w:t>PLEKHA1</w:t>
      </w:r>
      <w:r w:rsidR="00AC470C" w:rsidRPr="00425573">
        <w:rPr>
          <w:rFonts w:ascii="Book Antiqua" w:hAnsi="Book Antiqua"/>
          <w:lang w:val="en-US"/>
        </w:rPr>
        <w:t xml:space="preserve">, </w:t>
      </w:r>
      <w:r w:rsidR="00972EF2" w:rsidRPr="00425573">
        <w:rPr>
          <w:rFonts w:ascii="Book Antiqua" w:hAnsi="Book Antiqua"/>
          <w:i/>
          <w:lang w:val="en-US"/>
        </w:rPr>
        <w:t>PVRL2</w:t>
      </w:r>
      <w:r w:rsidR="006460C9" w:rsidRPr="00425573">
        <w:rPr>
          <w:rFonts w:ascii="Book Antiqua" w:hAnsi="Book Antiqua"/>
          <w:lang w:val="en-US"/>
        </w:rPr>
        <w:t xml:space="preserve"> </w:t>
      </w:r>
      <w:r w:rsidR="00AC470C" w:rsidRPr="00425573">
        <w:rPr>
          <w:rFonts w:ascii="Book Antiqua" w:hAnsi="Book Antiqua"/>
          <w:lang w:val="en-US"/>
        </w:rPr>
        <w:t xml:space="preserve">and </w:t>
      </w:r>
      <w:r w:rsidR="00AC470C" w:rsidRPr="00425573">
        <w:rPr>
          <w:rFonts w:ascii="Book Antiqua" w:hAnsi="Book Antiqua"/>
          <w:i/>
          <w:lang w:val="en-US"/>
        </w:rPr>
        <w:t>APOC1</w:t>
      </w:r>
      <w:r w:rsidR="00AC470C" w:rsidRPr="00425573">
        <w:rPr>
          <w:rFonts w:ascii="Book Antiqua" w:hAnsi="Book Antiqua"/>
          <w:lang w:val="en-US"/>
        </w:rPr>
        <w:t xml:space="preserve"> </w:t>
      </w:r>
      <w:r w:rsidR="006460C9" w:rsidRPr="00425573">
        <w:rPr>
          <w:rFonts w:ascii="Book Antiqua" w:hAnsi="Book Antiqua"/>
          <w:lang w:val="en-US"/>
        </w:rPr>
        <w:t>genes</w:t>
      </w:r>
      <w:r w:rsidR="00EF547F"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{"citationID":"fWv44SaW","properties":{"formattedCitation":"\\super [42,43]\\nosupersub{}","plainCitation":"[42,43]","noteIndex":0},"citationItems":[{"id":137,"uris":["http://zotero.org/groups/2394923/items/AGE6GTTY"],"uri":["http://zotero.org/groups/2394923/items/AGE6GTTY"],"itemData":{"id":137,"type":"article-journal","abstract":"Type 2 diabetes (T2D) and Alzheimer’s disease (AD) are two major health issues, and increasing evidence in recent years supports the close connection between these two diseases. The present study aimed to explore the shared genetic etiology underlying T2D and AD based on the available genome wide association studies (GWAS) data collected through August 2014. We performed bioinformatics analyses based on GWAS data of T2D and AD on single nucleotide polymorphisms (SNPs), gene, and pathway levels, respectively. Six SNPs (rs111789331, rs12721046, rs12721051, rs4420638, rs56131196, and rs66626994) were identiﬁed for the ﬁrst time to be shared genetic factors between T2D and AD. Further functional enrichment analysis found lipid metabolism related pathways to be common between these two disorders. The ﬁndings may have important implications for future mechanistic and interventional studies for T2D and AD.","container-title":"Journal of Alzheimer's Disease","DOI":"10.3233/JAD-150580","ISSN":"13872877, 18758908","issue":"1","journalAbbreviation":"JAD","language":"en","page":"13-17","source":"DOI.org (Crossref)","title":"Shared Genetic Etiology between Type 2 Diabetes and Alzheimer’s Disease Identified by Bioinformatics Analysis","volume":"50","author":[{"family":"Gao","given":"Lei"},{"family":"Cui","given":"Zhen"},{"family":"Shen","given":"Liang"},{"family":"Ji","given":"Hong-Fang"}],"issued":{"date-parts":[["2015",11,28]]}}},{"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schema":"https://github.com/citation-style-language/schema/raw/master/csl-citation.json"} </w:instrText>
      </w:r>
      <w:r w:rsidR="00EF547F" w:rsidRPr="00425573">
        <w:rPr>
          <w:rFonts w:ascii="Book Antiqua" w:hAnsi="Book Antiqua"/>
          <w:lang w:val="en-US"/>
        </w:rPr>
        <w:fldChar w:fldCharType="separate"/>
      </w:r>
      <w:r w:rsidR="00D47A11" w:rsidRPr="00425573">
        <w:rPr>
          <w:rFonts w:ascii="Book Antiqua" w:hAnsi="Book Antiqua"/>
          <w:vertAlign w:val="superscript"/>
        </w:rPr>
        <w:t>[42,43]</w:t>
      </w:r>
      <w:r w:rsidR="00EF547F" w:rsidRPr="00425573">
        <w:rPr>
          <w:rFonts w:ascii="Book Antiqua" w:hAnsi="Book Antiqua"/>
          <w:lang w:val="en-US"/>
        </w:rPr>
        <w:fldChar w:fldCharType="end"/>
      </w:r>
      <w:r w:rsidR="00C14D31" w:rsidRPr="00425573">
        <w:rPr>
          <w:rFonts w:ascii="Book Antiqua" w:hAnsi="Book Antiqua"/>
          <w:lang w:val="en-US"/>
        </w:rPr>
        <w:t xml:space="preserve"> </w:t>
      </w:r>
      <w:r w:rsidR="00604F54" w:rsidRPr="00425573">
        <w:rPr>
          <w:rFonts w:ascii="Book Antiqua" w:hAnsi="Book Antiqua"/>
          <w:lang w:val="en-US"/>
        </w:rPr>
        <w:t>(Table 1)</w:t>
      </w:r>
      <w:r w:rsidR="00991D40" w:rsidRPr="00425573">
        <w:rPr>
          <w:rFonts w:ascii="Book Antiqua" w:hAnsi="Book Antiqua"/>
          <w:lang w:val="en-US"/>
        </w:rPr>
        <w:t>. Interestingly, these genes</w:t>
      </w:r>
      <w:r w:rsidR="000772CD" w:rsidRPr="00425573">
        <w:rPr>
          <w:rFonts w:ascii="Book Antiqua" w:hAnsi="Book Antiqua"/>
          <w:lang w:val="en-US"/>
        </w:rPr>
        <w:t xml:space="preserve"> encode </w:t>
      </w:r>
      <w:r w:rsidR="00DD1700" w:rsidRPr="00425573">
        <w:rPr>
          <w:rFonts w:ascii="Book Antiqua" w:hAnsi="Book Antiqua"/>
          <w:lang w:val="en-US"/>
        </w:rPr>
        <w:t>proteins</w:t>
      </w:r>
      <w:r w:rsidR="000772CD" w:rsidRPr="00425573">
        <w:rPr>
          <w:rFonts w:ascii="Book Antiqua" w:hAnsi="Book Antiqua"/>
          <w:lang w:val="en-US"/>
        </w:rPr>
        <w:t xml:space="preserve"> involved in the </w:t>
      </w:r>
      <w:r w:rsidR="00BA306B" w:rsidRPr="00425573">
        <w:rPr>
          <w:rFonts w:ascii="Book Antiqua" w:hAnsi="Book Antiqua"/>
          <w:lang w:val="en-US"/>
        </w:rPr>
        <w:t>regulation of autophagy, apoptosis</w:t>
      </w:r>
      <w:r w:rsidR="002653C2" w:rsidRPr="00425573">
        <w:rPr>
          <w:rFonts w:ascii="Book Antiqua" w:hAnsi="Book Antiqua"/>
          <w:lang w:val="en-US"/>
        </w:rPr>
        <w:t>, respons</w:t>
      </w:r>
      <w:r w:rsidR="00356B81" w:rsidRPr="00425573">
        <w:rPr>
          <w:rFonts w:ascii="Book Antiqua" w:hAnsi="Book Antiqua"/>
          <w:lang w:val="en-US"/>
        </w:rPr>
        <w:t xml:space="preserve">e </w:t>
      </w:r>
      <w:r w:rsidR="00991D40" w:rsidRPr="00425573">
        <w:rPr>
          <w:rFonts w:ascii="Book Antiqua" w:hAnsi="Book Antiqua"/>
          <w:lang w:val="en-US"/>
        </w:rPr>
        <w:t xml:space="preserve">to </w:t>
      </w:r>
      <w:r w:rsidR="00356B81" w:rsidRPr="00425573">
        <w:rPr>
          <w:rFonts w:ascii="Book Antiqua" w:hAnsi="Book Antiqua"/>
          <w:lang w:val="en-US"/>
        </w:rPr>
        <w:t xml:space="preserve">oxidative stress, </w:t>
      </w:r>
      <w:r w:rsidR="00991D40" w:rsidRPr="00425573">
        <w:rPr>
          <w:rFonts w:ascii="Book Antiqua" w:hAnsi="Book Antiqua"/>
          <w:lang w:val="en-US"/>
        </w:rPr>
        <w:t>mitochondrial</w:t>
      </w:r>
      <w:r w:rsidR="002653C2" w:rsidRPr="00425573">
        <w:rPr>
          <w:rFonts w:ascii="Book Antiqua" w:hAnsi="Book Antiqua"/>
          <w:lang w:val="en-US"/>
        </w:rPr>
        <w:t xml:space="preserve"> function</w:t>
      </w:r>
      <w:r w:rsidR="007C291A" w:rsidRPr="00425573">
        <w:rPr>
          <w:rFonts w:ascii="Book Antiqua" w:hAnsi="Book Antiqua"/>
          <w:lang w:val="en-US"/>
        </w:rPr>
        <w:t xml:space="preserve"> and</w:t>
      </w:r>
      <w:r w:rsidR="00356B81" w:rsidRPr="00425573">
        <w:rPr>
          <w:rFonts w:ascii="Book Antiqua" w:hAnsi="Book Antiqua"/>
          <w:lang w:val="en-US"/>
        </w:rPr>
        <w:t xml:space="preserve"> lipid metabolism</w:t>
      </w:r>
      <w:r w:rsidR="002400F1" w:rsidRPr="00425573">
        <w:rPr>
          <w:rFonts w:ascii="Book Antiqua" w:hAnsi="Book Antiqua"/>
          <w:lang w:val="en-US"/>
        </w:rPr>
        <w:t xml:space="preserve">, </w:t>
      </w:r>
      <w:r w:rsidR="007C291A" w:rsidRPr="00425573">
        <w:rPr>
          <w:rFonts w:ascii="Book Antiqua" w:hAnsi="Book Antiqua"/>
          <w:lang w:val="en-US"/>
        </w:rPr>
        <w:t xml:space="preserve">and their </w:t>
      </w:r>
      <w:r w:rsidR="0058206C" w:rsidRPr="00425573">
        <w:rPr>
          <w:rFonts w:ascii="Book Antiqua" w:hAnsi="Book Antiqua"/>
          <w:lang w:val="en-US"/>
        </w:rPr>
        <w:t xml:space="preserve">overall </w:t>
      </w:r>
      <w:r w:rsidR="00DC055C" w:rsidRPr="00425573">
        <w:rPr>
          <w:rFonts w:ascii="Book Antiqua" w:hAnsi="Book Antiqua"/>
          <w:lang w:val="en-US"/>
        </w:rPr>
        <w:t>dysregulation</w:t>
      </w:r>
      <w:r w:rsidR="0058206C" w:rsidRPr="00425573">
        <w:rPr>
          <w:rFonts w:ascii="Book Antiqua" w:hAnsi="Book Antiqua"/>
          <w:lang w:val="en-US"/>
        </w:rPr>
        <w:t xml:space="preserve"> </w:t>
      </w:r>
      <w:r w:rsidR="00991D40" w:rsidRPr="00425573">
        <w:rPr>
          <w:rFonts w:ascii="Book Antiqua" w:hAnsi="Book Antiqua"/>
          <w:lang w:val="en-US"/>
        </w:rPr>
        <w:t xml:space="preserve">can </w:t>
      </w:r>
      <w:r w:rsidR="002400F1" w:rsidRPr="00425573">
        <w:rPr>
          <w:rFonts w:ascii="Book Antiqua" w:hAnsi="Book Antiqua"/>
          <w:lang w:val="en-US"/>
        </w:rPr>
        <w:t>contribute</w:t>
      </w:r>
      <w:r w:rsidR="00DC055C" w:rsidRPr="00425573">
        <w:rPr>
          <w:rFonts w:ascii="Book Antiqua" w:hAnsi="Book Antiqua"/>
          <w:lang w:val="en-US"/>
        </w:rPr>
        <w:t xml:space="preserve"> to</w:t>
      </w:r>
      <w:r w:rsidR="0033618E" w:rsidRPr="00425573">
        <w:rPr>
          <w:rFonts w:ascii="Book Antiqua" w:hAnsi="Book Antiqua"/>
          <w:lang w:val="en-US"/>
        </w:rPr>
        <w:t xml:space="preserve"> the etiopathogenetic pathways underlying </w:t>
      </w:r>
      <w:r w:rsidR="00520CE1" w:rsidRPr="00425573">
        <w:rPr>
          <w:rFonts w:ascii="Book Antiqua" w:hAnsi="Book Antiqua"/>
          <w:lang w:val="en-US"/>
        </w:rPr>
        <w:t>T2D and AD</w:t>
      </w:r>
      <w:r w:rsidR="00EF547F" w:rsidRPr="00425573">
        <w:rPr>
          <w:rFonts w:ascii="Book Antiqua" w:hAnsi="Book Antiqua"/>
          <w:lang w:val="en-US"/>
        </w:rPr>
        <w:fldChar w:fldCharType="begin"/>
      </w:r>
      <w:r w:rsidR="00070D59" w:rsidRPr="00425573">
        <w:rPr>
          <w:rFonts w:ascii="Book Antiqua" w:hAnsi="Book Antiqua"/>
          <w:lang w:val="en-US"/>
        </w:rPr>
        <w:instrText xml:space="preserve"> ADDIN ZOTERO_ITEM CSL_CITATION {"citationID":"rRiYGPUa","properties":{"formattedCitation":"\\super [7,22]\\nosupersub{}","plainCitation":"[7,22]","noteIndex":0},"citationItems":[{"id":9,"uris":["http://zotero.org/groups/2394923/items/S2DK92PF"],"uri":["http://zotero.org/groups/2394923/items/S2DK92PF"],"itemData":{"id":9,"type":"article-journal","abstract":"Alzheimer’s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070D59"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070D59"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070D59"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45,"uris":["http://zotero.org/groups/2394923/items/V3G9CGWF"],"uri":["http://zotero.org/groups/2394923/items/V3G9CGWF"],"itemData":{"id":45,"type":"article-journal","abstract":"OBJECTIVE: To investigate whether diabetes mellitus is associated with Parkinson-like pathology in people without Parkinson disease and to evaluate the effect of diabetes mellitus on markers of Parkinson pathology and clinical progression in drug-naive patients with early-stage Parkinson disease.\nMETHODS: We compared 25 patients with Parkinson disease and diabetes mellitus to 25 without diabetes mellitus, and 14 patients with diabetes mellitus and no Parkinson disease to 14 healthy controls (people with no diabetes mellitus or Parkinson disease). The clinical diagnosis of diabetes mellitus was confirmed by 2 consecutive fasting measurements of serum glucose levels &gt;126 mL/dL. Over a 36-month follow-up period, we then investigated in the population with Parkinson disease whether the presence of diabetes mellitus was associated with faster motor progression or cognitive decline.\nRESULTS: The presence of diabetes mellitus was associated with higher motor scores (p &lt; 0.01), lower striatal dopamine transporter binding (p &lt; 0.05), and higher tau CSF levels (p &lt; 0.05) in patients with Parkinson disease. In patients with diabetes but without Parkinson disease, the presence of diabetes mellitus was associated with lower striatal dopamine transporter binding (p &lt; 0.05) and higher tau (p &lt; 0.05) and α-synuclein (p &lt; 0.05) CSF levels compared to healthy controls. At the Cox survival analysis in the population of patients with Parkinson disease, the presence of diabetes mellitus was associated with faster motor progression (hazard ratio = 4.521, 95% confidence interval = 1.468-13.926; p &lt; 0.01) and cognitive decline (hazard ratio = 9.314, 95% confidence interval = 1.164-74.519; p &lt; 0.05).\nCONCLUSIONS: Diabetes mellitus may predispose toward a Parkinson-like pathology, and when present in patients with Parkinson disease, can induce a more aggressive phenotype.","container-title":"Neurology","DOI":"10.1212/WNL.0000000000005475","ISSN":"1526-632X","issue":"19","journalAbbreviation":"Neurology","language":"eng","note":"PMID: 29626177","page":"e1654-e1662","source":"PubMed","title":"Diabetes mellitus and Parkinson disease","volume":"90","author":[{"family":"Pagano","given":"Gennaro"},{"family":"Polychronis","given":"Sotirios"},{"family":"Wilson","given":"Heather"},{"family":"Giordano","given":"Beniamino"},{"family":"Ferrara","given":"Nicola"},{"family":"Niccolini","given":"Flavia"},{"family":"Politis","given":"Marios"}],"issued":{"date-parts":[["2018"]],"season":"08"}}}],"schema":"https://github.com/citation-style-language/schema/raw/master/csl-citation.json"} </w:instrText>
      </w:r>
      <w:r w:rsidR="00EF547F" w:rsidRPr="00425573">
        <w:rPr>
          <w:rFonts w:ascii="Book Antiqua" w:hAnsi="Book Antiqua"/>
          <w:lang w:val="en-US"/>
        </w:rPr>
        <w:fldChar w:fldCharType="separate"/>
      </w:r>
      <w:r w:rsidR="00070D59" w:rsidRPr="00425573">
        <w:rPr>
          <w:rFonts w:ascii="Book Antiqua" w:hAnsi="Book Antiqua"/>
          <w:vertAlign w:val="superscript"/>
        </w:rPr>
        <w:t>[7,22]</w:t>
      </w:r>
      <w:r w:rsidR="00EF547F" w:rsidRPr="00425573">
        <w:rPr>
          <w:rFonts w:ascii="Book Antiqua" w:hAnsi="Book Antiqua"/>
          <w:lang w:val="en-US"/>
        </w:rPr>
        <w:fldChar w:fldCharType="end"/>
      </w:r>
      <w:r w:rsidR="002400F1" w:rsidRPr="00425573">
        <w:rPr>
          <w:rFonts w:ascii="Book Antiqua" w:hAnsi="Book Antiqua"/>
          <w:lang w:val="en-US"/>
        </w:rPr>
        <w:t>.</w:t>
      </w:r>
      <w:r w:rsidR="00D671D9" w:rsidRPr="00425573">
        <w:rPr>
          <w:rFonts w:ascii="Book Antiqua" w:hAnsi="Book Antiqua"/>
          <w:lang w:val="en-US"/>
        </w:rPr>
        <w:t xml:space="preserve"> </w:t>
      </w:r>
      <w:r w:rsidR="00883989" w:rsidRPr="00425573">
        <w:rPr>
          <w:rFonts w:ascii="Book Antiqua" w:hAnsi="Book Antiqua"/>
          <w:lang w:val="en-US"/>
        </w:rPr>
        <w:t>Of note,</w:t>
      </w:r>
      <w:r w:rsidR="000F7F51" w:rsidRPr="00425573">
        <w:rPr>
          <w:rFonts w:ascii="Book Antiqua" w:hAnsi="Book Antiqua"/>
          <w:lang w:val="en-US"/>
        </w:rPr>
        <w:t xml:space="preserve"> </w:t>
      </w:r>
      <w:r w:rsidR="00F12A3C" w:rsidRPr="00425573">
        <w:rPr>
          <w:rFonts w:ascii="Book Antiqua" w:hAnsi="Book Antiqua"/>
          <w:lang w:val="en-US"/>
        </w:rPr>
        <w:t xml:space="preserve">Hao </w:t>
      </w:r>
      <w:r w:rsidR="00F12A3C" w:rsidRPr="00425573">
        <w:rPr>
          <w:rFonts w:ascii="Book Antiqua" w:hAnsi="Book Antiqua"/>
          <w:i/>
          <w:iCs/>
          <w:lang w:val="en-US"/>
        </w:rPr>
        <w:t>et al</w:t>
      </w:r>
      <w:r w:rsidR="007C291A" w:rsidRPr="00425573">
        <w:rPr>
          <w:rFonts w:ascii="Book Antiqua" w:hAnsi="Book Antiqua"/>
          <w:lang w:val="en-US"/>
        </w:rPr>
        <w:fldChar w:fldCharType="begin"/>
      </w:r>
      <w:r w:rsidR="0018163B" w:rsidRPr="00425573">
        <w:rPr>
          <w:rFonts w:ascii="Book Antiqua" w:hAnsi="Book Antiqua"/>
          <w:lang w:val="en-US"/>
        </w:rPr>
        <w:instrText xml:space="preserve"> ADDIN ZOTERO_ITEM CSL_CITATION {"citationID":"Nxho1WAw","properties":{"formattedCitation":"\\super [34,39]\\nosupersub{}","plainCitation":"[34,39]","dontUpdate":true,"noteIndex":0},"citationItems":[{"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18163B" w:rsidRPr="00425573">
        <w:rPr>
          <w:rFonts w:ascii="MS Gothic" w:hAnsi="MS Gothic" w:cs="MS Gothic"/>
          <w:lang w:val="en-US"/>
        </w:rPr>
        <w:instrText> </w:instrText>
      </w:r>
      <w:r w:rsidR="0018163B" w:rsidRPr="00425573">
        <w:rPr>
          <w:rFonts w:ascii="Book Antiqua" w:hAnsi="Book Antiqua"/>
          <w:lang w:val="en-US"/>
        </w:rPr>
        <w:instrText>≤0.01, an overlap significantly larger than random chance (overlapping p-value</w:instrText>
      </w:r>
      <w:r w:rsidR="0018163B" w:rsidRPr="00425573">
        <w:rPr>
          <w:rFonts w:ascii="MS Gothic" w:hAnsi="MS Gothic" w:cs="MS Gothic"/>
          <w:lang w:val="en-US"/>
        </w:rPr>
        <w:instrText> </w:instrText>
      </w:r>
      <w:r w:rsidR="0018163B" w:rsidRPr="00425573">
        <w:rPr>
          <w:rFonts w:ascii="Book Antiqua" w:hAnsi="Book Antiqua"/>
          <w:lang w:val="en-US"/>
        </w:rPr>
        <w:instrText>of</w:instrText>
      </w:r>
      <w:r w:rsidR="0018163B" w:rsidRPr="00425573">
        <w:rPr>
          <w:rFonts w:ascii="MS Gothic" w:hAnsi="MS Gothic" w:cs="MS Gothic"/>
          <w:lang w:val="en-US"/>
        </w:rPr>
        <w:instrText> </w:instrText>
      </w:r>
      <w:r w:rsidR="0018163B" w:rsidRPr="00425573">
        <w:rPr>
          <w:rFonts w:ascii="Book Antiqua" w:hAnsi="Book Antiqua"/>
          <w:lang w:val="en-US"/>
        </w:rPr>
        <w:instrText xml:space="preserve">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Maria"}],"issued":{"date-parts":[["2015",10]]}}}],"schema":"https://github.com/citation-style-language/schema/raw/master/csl-citation.json"} </w:instrText>
      </w:r>
      <w:r w:rsidR="007C291A" w:rsidRPr="00425573">
        <w:rPr>
          <w:rFonts w:ascii="Book Antiqua" w:hAnsi="Book Antiqua"/>
          <w:lang w:val="en-US"/>
        </w:rPr>
        <w:fldChar w:fldCharType="separate"/>
      </w:r>
      <w:r w:rsidR="007C291A" w:rsidRPr="00425573">
        <w:rPr>
          <w:rFonts w:ascii="Book Antiqua" w:hAnsi="Book Antiqua"/>
          <w:vertAlign w:val="superscript"/>
          <w:lang w:val="en-US"/>
        </w:rPr>
        <w:t>[34]</w:t>
      </w:r>
      <w:r w:rsidR="007C291A" w:rsidRPr="00425573">
        <w:rPr>
          <w:rFonts w:ascii="Book Antiqua" w:hAnsi="Book Antiqua"/>
          <w:lang w:val="en-US"/>
        </w:rPr>
        <w:fldChar w:fldCharType="end"/>
      </w:r>
      <w:r w:rsidR="00F12A3C" w:rsidRPr="00425573">
        <w:rPr>
          <w:rFonts w:ascii="Book Antiqua" w:hAnsi="Book Antiqua"/>
          <w:lang w:val="en-US"/>
        </w:rPr>
        <w:t xml:space="preserve">, 2015 and </w:t>
      </w:r>
      <w:r w:rsidR="000F7F51" w:rsidRPr="00425573">
        <w:rPr>
          <w:rFonts w:ascii="Book Antiqua" w:hAnsi="Book Antiqua"/>
          <w:lang w:val="en-US"/>
        </w:rPr>
        <w:t xml:space="preserve">Wang </w:t>
      </w:r>
      <w:r w:rsidR="000F7F51" w:rsidRPr="00425573">
        <w:rPr>
          <w:rFonts w:ascii="Book Antiqua" w:hAnsi="Book Antiqua"/>
          <w:i/>
          <w:iCs/>
          <w:lang w:val="en-US"/>
        </w:rPr>
        <w:t>et al</w:t>
      </w:r>
      <w:r w:rsidR="007C291A" w:rsidRPr="00425573">
        <w:rPr>
          <w:rFonts w:ascii="Book Antiqua" w:hAnsi="Book Antiqua"/>
          <w:lang w:val="en-US"/>
        </w:rPr>
        <w:fldChar w:fldCharType="begin"/>
      </w:r>
      <w:r w:rsidR="0018163B" w:rsidRPr="00425573">
        <w:rPr>
          <w:rFonts w:ascii="Book Antiqua" w:hAnsi="Book Antiqua"/>
          <w:lang w:val="en-US"/>
        </w:rPr>
        <w:instrText xml:space="preserve"> ADDIN ZOTERO_ITEM CSL_CITATION {"citationID":"Ngo8HENT","properties":{"formattedCitation":"\\super [34,39]\\nosupersub{}","plainCitation":"[34,39]","dontUpdate":true,"noteIndex":0},"citationItems":[{"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18163B" w:rsidRPr="00425573">
        <w:rPr>
          <w:rFonts w:ascii="MS Gothic" w:hAnsi="MS Gothic" w:cs="MS Gothic"/>
          <w:lang w:val="en-US"/>
        </w:rPr>
        <w:instrText> </w:instrText>
      </w:r>
      <w:r w:rsidR="0018163B" w:rsidRPr="00425573">
        <w:rPr>
          <w:rFonts w:ascii="Book Antiqua" w:hAnsi="Book Antiqua"/>
          <w:lang w:val="en-US"/>
        </w:rPr>
        <w:instrText>≤0.01, an overlap significantly larger than random chance (overlapping p-value</w:instrText>
      </w:r>
      <w:r w:rsidR="0018163B" w:rsidRPr="00425573">
        <w:rPr>
          <w:rFonts w:ascii="MS Gothic" w:hAnsi="MS Gothic" w:cs="MS Gothic"/>
          <w:lang w:val="en-US"/>
        </w:rPr>
        <w:instrText> </w:instrText>
      </w:r>
      <w:r w:rsidR="0018163B" w:rsidRPr="00425573">
        <w:rPr>
          <w:rFonts w:ascii="Book Antiqua" w:hAnsi="Book Antiqua"/>
          <w:lang w:val="en-US"/>
        </w:rPr>
        <w:instrText>of</w:instrText>
      </w:r>
      <w:r w:rsidR="0018163B" w:rsidRPr="00425573">
        <w:rPr>
          <w:rFonts w:ascii="MS Gothic" w:hAnsi="MS Gothic" w:cs="MS Gothic"/>
          <w:lang w:val="en-US"/>
        </w:rPr>
        <w:instrText> </w:instrText>
      </w:r>
      <w:r w:rsidR="0018163B" w:rsidRPr="00425573">
        <w:rPr>
          <w:rFonts w:ascii="Book Antiqua" w:hAnsi="Book Antiqua"/>
          <w:lang w:val="en-US"/>
        </w:rPr>
        <w:instrText xml:space="preserve">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Maria"}],"issued":{"date-parts":[["2015",10]]}}}],"schema":"https://github.com/citation-style-language/schema/raw/master/csl-citation.json"} </w:instrText>
      </w:r>
      <w:r w:rsidR="007C291A" w:rsidRPr="00425573">
        <w:rPr>
          <w:rFonts w:ascii="Book Antiqua" w:hAnsi="Book Antiqua"/>
          <w:lang w:val="en-US"/>
        </w:rPr>
        <w:fldChar w:fldCharType="separate"/>
      </w:r>
      <w:r w:rsidR="007C291A" w:rsidRPr="00425573">
        <w:rPr>
          <w:rFonts w:ascii="Book Antiqua" w:hAnsi="Book Antiqua"/>
          <w:vertAlign w:val="superscript"/>
          <w:lang w:val="en-US"/>
        </w:rPr>
        <w:t>[39]</w:t>
      </w:r>
      <w:r w:rsidR="007C291A" w:rsidRPr="00425573">
        <w:rPr>
          <w:rFonts w:ascii="Book Antiqua" w:hAnsi="Book Antiqua"/>
          <w:lang w:val="en-US"/>
        </w:rPr>
        <w:fldChar w:fldCharType="end"/>
      </w:r>
      <w:r w:rsidR="000F7F51" w:rsidRPr="00425573">
        <w:rPr>
          <w:rFonts w:ascii="Book Antiqua" w:hAnsi="Book Antiqua"/>
          <w:lang w:val="en-US"/>
        </w:rPr>
        <w:t>, 2017</w:t>
      </w:r>
      <w:r w:rsidR="0033618E" w:rsidRPr="00425573">
        <w:rPr>
          <w:rFonts w:ascii="Book Antiqua" w:hAnsi="Book Antiqua"/>
          <w:lang w:val="en-US"/>
        </w:rPr>
        <w:t xml:space="preserve"> found </w:t>
      </w:r>
      <w:r w:rsidR="000F7F51" w:rsidRPr="00425573">
        <w:rPr>
          <w:rFonts w:ascii="Book Antiqua" w:hAnsi="Book Antiqua"/>
          <w:lang w:val="en-US"/>
        </w:rPr>
        <w:t>th</w:t>
      </w:r>
      <w:r w:rsidR="00B37296" w:rsidRPr="00425573">
        <w:rPr>
          <w:rFonts w:ascii="Book Antiqua" w:hAnsi="Book Antiqua"/>
          <w:lang w:val="en-US"/>
        </w:rPr>
        <w:t>at both disorders sha</w:t>
      </w:r>
      <w:r w:rsidR="00520CE1" w:rsidRPr="00425573">
        <w:rPr>
          <w:rFonts w:ascii="Book Antiqua" w:hAnsi="Book Antiqua"/>
          <w:lang w:val="en-US"/>
        </w:rPr>
        <w:t>red the same risk variant</w:t>
      </w:r>
      <w:r w:rsidR="0033618E" w:rsidRPr="00425573">
        <w:rPr>
          <w:rFonts w:ascii="Book Antiqua" w:hAnsi="Book Antiqua"/>
          <w:lang w:val="en-US"/>
        </w:rPr>
        <w:t xml:space="preserve"> in </w:t>
      </w:r>
      <w:r w:rsidR="00520CE1" w:rsidRPr="00425573">
        <w:rPr>
          <w:rFonts w:ascii="Book Antiqua" w:hAnsi="Book Antiqua"/>
          <w:lang w:val="en-US"/>
        </w:rPr>
        <w:t xml:space="preserve">SNPs (rs10510109 and rs2421016) located in </w:t>
      </w:r>
      <w:r w:rsidR="000F7F51" w:rsidRPr="00425573">
        <w:rPr>
          <w:rFonts w:ascii="Book Antiqua" w:hAnsi="Book Antiqua"/>
          <w:i/>
          <w:lang w:val="en-US"/>
        </w:rPr>
        <w:t>BTBD16</w:t>
      </w:r>
      <w:r w:rsidR="000F7F51" w:rsidRPr="00425573">
        <w:rPr>
          <w:rFonts w:ascii="Book Antiqua" w:hAnsi="Book Antiqua"/>
          <w:lang w:val="en-US"/>
        </w:rPr>
        <w:t xml:space="preserve"> and </w:t>
      </w:r>
      <w:r w:rsidR="000F7F51" w:rsidRPr="00425573">
        <w:rPr>
          <w:rFonts w:ascii="Book Antiqua" w:hAnsi="Book Antiqua"/>
          <w:i/>
          <w:lang w:val="en-US"/>
        </w:rPr>
        <w:t>PLEKHA1</w:t>
      </w:r>
      <w:r w:rsidR="000F7F51" w:rsidRPr="00425573">
        <w:rPr>
          <w:rFonts w:ascii="Book Antiqua" w:hAnsi="Book Antiqua"/>
          <w:lang w:val="en-US"/>
        </w:rPr>
        <w:t xml:space="preserve"> </w:t>
      </w:r>
      <w:r w:rsidR="0033618E" w:rsidRPr="00425573">
        <w:rPr>
          <w:rFonts w:ascii="Book Antiqua" w:hAnsi="Book Antiqua"/>
          <w:lang w:val="en-US"/>
        </w:rPr>
        <w:t>gene</w:t>
      </w:r>
      <w:r w:rsidR="007C5B46" w:rsidRPr="00425573">
        <w:rPr>
          <w:rFonts w:ascii="Book Antiqua" w:hAnsi="Book Antiqua"/>
          <w:lang w:val="en-US"/>
        </w:rPr>
        <w:t>s</w:t>
      </w:r>
      <w:r w:rsidR="00961B06" w:rsidRPr="00425573">
        <w:rPr>
          <w:rFonts w:ascii="Book Antiqua" w:hAnsi="Book Antiqua"/>
          <w:lang w:val="en-US"/>
        </w:rPr>
        <w:t xml:space="preserve"> </w:t>
      </w:r>
      <w:r w:rsidR="000F7F51" w:rsidRPr="00425573">
        <w:rPr>
          <w:rFonts w:ascii="Book Antiqua" w:hAnsi="Book Antiqua"/>
          <w:lang w:val="en-US"/>
        </w:rPr>
        <w:t xml:space="preserve">(Table 1). </w:t>
      </w:r>
      <w:r w:rsidR="000E3A3F" w:rsidRPr="00425573">
        <w:rPr>
          <w:rFonts w:ascii="Book Antiqua" w:hAnsi="Book Antiqua"/>
          <w:lang w:val="en-US"/>
        </w:rPr>
        <w:t xml:space="preserve">This is of particular interest, as different SNPs within </w:t>
      </w:r>
      <w:r w:rsidR="000E3A3F" w:rsidRPr="00425573">
        <w:rPr>
          <w:rFonts w:ascii="Book Antiqua" w:hAnsi="Book Antiqua"/>
          <w:i/>
          <w:lang w:val="en-US"/>
        </w:rPr>
        <w:t>PLEKHA1</w:t>
      </w:r>
      <w:r w:rsidR="000E3A3F" w:rsidRPr="00425573">
        <w:rPr>
          <w:rFonts w:ascii="Book Antiqua" w:hAnsi="Book Antiqua"/>
          <w:lang w:val="en-US"/>
        </w:rPr>
        <w:t xml:space="preserve"> have been associated with </w:t>
      </w:r>
      <w:r w:rsidR="007C291A" w:rsidRPr="00425573">
        <w:rPr>
          <w:rFonts w:ascii="Book Antiqua" w:hAnsi="Book Antiqua"/>
          <w:lang w:val="en-US"/>
        </w:rPr>
        <w:t>a</w:t>
      </w:r>
      <w:r w:rsidR="000E3A3F" w:rsidRPr="00425573">
        <w:rPr>
          <w:rFonts w:ascii="Book Antiqua" w:hAnsi="Book Antiqua"/>
          <w:lang w:val="en-US"/>
        </w:rPr>
        <w:t xml:space="preserve">ge-related </w:t>
      </w:r>
      <w:r w:rsidR="007C291A" w:rsidRPr="00425573">
        <w:rPr>
          <w:rFonts w:ascii="Book Antiqua" w:hAnsi="Book Antiqua"/>
          <w:lang w:val="en-US"/>
        </w:rPr>
        <w:t>m</w:t>
      </w:r>
      <w:r w:rsidR="000E3A3F" w:rsidRPr="00425573">
        <w:rPr>
          <w:rFonts w:ascii="Book Antiqua" w:hAnsi="Book Antiqua"/>
          <w:lang w:val="en-US"/>
        </w:rPr>
        <w:t xml:space="preserve">acular </w:t>
      </w:r>
      <w:r w:rsidR="007C291A" w:rsidRPr="00425573">
        <w:rPr>
          <w:rFonts w:ascii="Book Antiqua" w:hAnsi="Book Antiqua"/>
          <w:lang w:val="en-US"/>
        </w:rPr>
        <w:t>d</w:t>
      </w:r>
      <w:r w:rsidR="000E3A3F" w:rsidRPr="00425573">
        <w:rPr>
          <w:rFonts w:ascii="Book Antiqua" w:hAnsi="Book Antiqua"/>
          <w:lang w:val="en-US"/>
        </w:rPr>
        <w:t xml:space="preserve">egeneration </w:t>
      </w:r>
      <w:r w:rsidR="007C291A" w:rsidRPr="00425573">
        <w:rPr>
          <w:rFonts w:ascii="Book Antiqua" w:hAnsi="Book Antiqua"/>
          <w:lang w:val="en-US"/>
        </w:rPr>
        <w:t>(</w:t>
      </w:r>
      <w:r w:rsidR="000E3A3F" w:rsidRPr="00425573">
        <w:rPr>
          <w:rFonts w:ascii="Book Antiqua" w:hAnsi="Book Antiqua"/>
          <w:lang w:val="en-US"/>
        </w:rPr>
        <w:t>an ocular neurodegenerative complex disease</w:t>
      </w:r>
      <w:r w:rsidR="007C291A" w:rsidRPr="00425573">
        <w:rPr>
          <w:rFonts w:ascii="Book Antiqua" w:hAnsi="Book Antiqua"/>
          <w:lang w:val="en-US"/>
        </w:rPr>
        <w:t>)</w:t>
      </w:r>
      <w:r w:rsidR="000E3A3F"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{"citationID":"6g2IUWTW","properties":{"formattedCitation":"\\super [44\\uc0\\u8211{}46]\\nosupersub{}","plainCitation":"[44–46]","noteIndex":0},"citationItems":[{"id":297,"uris":["http://zotero.org/groups/2394923/items/IE9N5PS8"],"uri":["http://zotero.org/groups/2394923/items/IE9N5PS8"],"itemData":{"id":297,"type":"article-journal","abstract":"Advanced age-related macular degeneration (AAMD) is a complex sight-threating disease of public health significance. Micro RNAs (miRNAs) have been proposed as biomarkers for AAMD. The presence of certain single nucleotide polymorphisms (SNPs) may influence the explanatory value of these biomarkers. Here we present findings from an integrated approach used to determine whether AAMD-associated SNPs have the capacity to influence miRNA-mRNA pairing and, if so, to what extent such pairing may be manifested in a discrete AAMD transcriptome. Using a panel of 8854 SNPs associated with AAMD at p-values ≤5.0E-7 from a cohort of &gt;30,000 elderly people, we identified SNPs in miRNA target-encoding constituents of: (1) regulator of complement activation (RCA) genes (rs390679, CFHR1, p≤2.14E-214 | rs12140421, CFHR3, p≤4.63E-29); (2) genes of major histocompatibility complex (MHC) loci (rs4151672, CFB, p≤8.91E-41 | rs115404146, HLA-C, p≤6.32E-12 | rs1055821, HLA-B, p≤1.93E-9 | rs1063355, HLA-DQB1, p≤6.82E-14); and (3) genes of the 10q26 AAMD locus (rs1045216, PLEKHA1, p≤4.17E-142 | rs2672603, ARMS2, p≤7.14E-46). We used these findings with existing data on AAMD-related retinal miRNA and transcript profiles for the purpose of making inferences on SNP-mRNA-miRNA-AAMD relationships. Four of 12 miRNAs significantly elevated in AAMD retina (hsa-miR-155-5p, hsa-let-7a-5p, hsa-let-7b-5p hsa-let-7d-5p) also showed strong pairing capacity (TarBase 7.1 context++ score &lt;-0.2, miRanda 3.3 pairing score &gt;150) with miRNA target transcripts encoded by AAMD-associated SNPs resident in HLA-DQB1 (rs1063355, hsa-miR-155-5p) and TGFBR1 (rs868, hsa-let-7). Three of the 12 miRNAs overexpressed in AAMD retina are inducible by NFkB and have high affinity targets in the complement factor H (CFH) mRNA 3' UTR. We used ENSEMBL to identify polymorphic regions in the CFH mRNA 3' UTR with the capacity to disrupt miRNA-mRNA pairing. Two variants (rs766666504 and rs459598) existed in DNA sequence encoding the seed region of hsa-miR-146a-5p in the CFH mRNA 3' UTR - as this miRNA is also elevated in both vitreous and serum of people with AAMD, it shows great value as a biomarker. Our findings suggest that knowledge on the nature of DNA sequence variation may increase the explanatory power of miRNA biomarkers in genetically diverse populations, while yielding information with which to develop: (1) mechanistic tests on processes implicated in AMD pathogenesis; and, (2) site-specific small molecules (synthetic mimetics or anti-miRNAs) with preventive or therapeutic efficacy for AAMD.","container-title":"Clinical Chemistry and Laboratory Medicine","DOI":"10.1515/cclm-2016-0898","ISSN":"1437-4331","issue":"5","journalAbbreviation":"Clin. Chem. Lab. Med.","language":"eng","note":"PMID: 28343170","page":"763-775","source":"PubMed","title":"miRNAs, single nucleotide polymorphisms (SNPs) and age-related macular degeneration (AMD)","volume":"55","author":[{"family":"SanGiovanni","given":"John Paul"},{"family":"SanGiovanni","given":"Peter M."},{"family":"Sapieha","given":"Przemys</w:instrText>
      </w:r>
      <w:r w:rsidR="00D47A11" w:rsidRPr="00425573">
        <w:rPr>
          <w:rFonts w:ascii="Book Antiqua" w:hAnsi="Book Antiqua" w:cs="Times New Roman"/>
          <w:lang w:val="en-US"/>
        </w:rPr>
        <w:instrText>ł</w:instrText>
      </w:r>
      <w:r w:rsidR="00D47A11" w:rsidRPr="00425573">
        <w:rPr>
          <w:rFonts w:ascii="Book Antiqua" w:hAnsi="Book Antiqua"/>
          <w:lang w:val="en-US"/>
        </w:rPr>
        <w:instrText xml:space="preserve">aw"},{"family":"De Guire","given":"Vincent"}],"issued":{"date-parts":[["2017",5,1]]}}},{"id":295,"uris":["http://zotero.org/groups/2394923/items/I5YVKTPV"],"uri":["http://zotero.org/groups/2394923/items/I5YVKTPV"],"itemData":{"id":295,"type":"article-journal","abstract":"Age-related macular degeneration (AMD) is the leading cause of late-onset central vision loss in developed countries. Both genetic and environmental factors contribute to the onset of AMD. Variation at a locus on chromosome 10q26 has been consistently associated with this disease and represents one of the two strongest genetic effects being identified in AMD. At least three genes are located within the bounds of the locus: pleckstrin homology domain containing family A member 1 (PLEKHA1), age-related maculopathy susceptibility 2 (ARMS2) and high-temperature requirement A serine peptidase 1 (HTRA1), all of which are associated with AMD. Due to the strong linkage disequilibrium (LD) across this region, statistical genetic analysis alone is incapable of distinguishing the effect of an individual gene in the locus. Uncertainty remains, however, in regards to which gene is responsible for the linkage and association of the locus with AMD. Investigating functional consequences of the associated variants and related genes tends to be essential to identifying the biologically responsible gene(s) underlying AMD. This review examines the recent progress and current uncertainty on the genetic and functional analyses of the 10q26 locus in AMD with a focus on ARMS2 and HTRA1. A discussion, which entails the possible multi-faceted approaches for pinpointing the gene(s) in the locus underlying the pathogenesis of AMD, is also included.","container-title":"Experimental Eye Research","DOI":"10.1016/j.exer.2013.11.009","ISSN":"1096-0007","journalAbbreviation":"Exp. Eye Res.","language":"eng","note":"PMID: 24291204","page":"1-7","source":"PubMed","title":"Chromosome 10q26 locus and age-related macular degeneration: a progress update","title-short":"Chromosome 10q26 locus and age-related macular degeneration","volume":"119","author":[{"family":"Wang","given":"Gaofeng"}],"issued":{"date-parts":[["2014",2]]}}},{"id":361,"uris":["http://zotero.org/groups/2394923/items/J9FVC4HR"],"uri":["http://zotero.org/groups/2394923/items/J9FVC4HR"],"itemData":{"id":361,"type":"article-journal","abstract":"OBJECTIVES: To determine the effects of the polymorphisms CFH Tyr402His and ARMS2 del443ins54 on susceptibility to age-related macular degeneration (AMD) and to find the frequencies of these single-nucleotide polymorphisms in an Italian population that was not examined clinically.\nMETHODS: A total of 286 control subjects (126 men and 160 women) and 159 white patients (73 men and 86 women) harboring exudative AMD in 1 eye were recruited. A third group of 182 DNA samples from blood donors of the same geographical areas were also typed to assess the frequency of CFH Tyr402His and ARMS2 del443ins54 polymorphisms in the general population. The data were analyzed statistically by a standard 2 x 2 table, Fisher exact tests, and odds ratios.\nRESULTS: The deletion-insertion at chromosome 10q26 (del443ins54) showed the strongest association with AMD in terms of both P value and odds ratio (P = 2.7 x 10(-15); odds ratio = 3.25), and a highly significant association was also confirmed for Tyr402His at the CFH locus (P = 9.9 x 10(-13); odds ratio = 2.86). We found no differences in allele and genotype association between classic and occult choroidal neovascularization. We also observed that 39% of the samples in the general Italian population were at least 5.4 times more likely than control subjects to develop AMD.\nCONCLUSIONS: To our knowledge, this is the first confirmation of the association of del443ins54 in Italian patients with AMD, and we also confirmed the association of Tyr402His with CFH. Genetic analysis of the general population suggested that analysis of the ARMS2 and CFH risk alleles alone may be helpful in differentiating high-risk individuals (odds ratio &gt; 5.00) from low-risk individuals (odds ratio &lt; 0.45).\nCLINICAL RELEVANCE: Individuals at high risk for developing AMD could be identified and selected for specific prevention programs. In this context, the development of prevention programs based on dietary antioxidants or on close monitoring of at-risk individuals should be considered or suggested.","container-title":"Archives of Ophthalmology (Chicago, Ill.: 1960)","DOI":"10.1001/archophthalmol.2009.237","ISSN":"1538-3601","issue":"10","journalAbbreviation":"Arch. Ophthalmol.","language":"eng","note":"PMID: 19822855","page":"1368-1372","source":"PubMed","title":"Typing of ARMS2 and CFH in age-related macular degeneration: case-control study and assessment of frequency in the Italian population","title-short":"Typing of ARMS2 and CFH in age-related macular degeneration","volume":"127","author":[{"family":"Ricci","given":"Federico"},{"family":"Zampatti","given":"Stefania"},{"family":"D'Abbruzzi","given":"Francesca"},{"family":"Missiroli","given":"Filippo"},{"family":"Martone","given":"Claudia"},{"family":"Lepre","given":"Tiziana"},{"family":"Pietrangeli","given":"Ilenia"},{"family":"Sinibaldi","given":"Cecilia"},{"family":"Peconi","given":"Cristina"},{"family":"Novelli","given":"Giuseppe"},{"family":"Giardina","given":"Emiliano"}],"issued":{"date-parts":[["2009",10]]}}}],"schema":"https://github.com/citation-style-language/schema/raw/master/csl-citation.json"} </w:instrText>
      </w:r>
      <w:r w:rsidR="000E3A3F" w:rsidRPr="00425573">
        <w:rPr>
          <w:rFonts w:ascii="Book Antiqua" w:hAnsi="Book Antiqua"/>
          <w:lang w:val="en-US"/>
        </w:rPr>
        <w:fldChar w:fldCharType="separate"/>
      </w:r>
      <w:r w:rsidR="00D47A11" w:rsidRPr="00425573">
        <w:rPr>
          <w:rFonts w:ascii="Book Antiqua" w:hAnsi="Book Antiqua"/>
          <w:vertAlign w:val="superscript"/>
        </w:rPr>
        <w:t>[44–46]</w:t>
      </w:r>
      <w:r w:rsidR="000E3A3F" w:rsidRPr="00425573">
        <w:rPr>
          <w:rFonts w:ascii="Book Antiqua" w:hAnsi="Book Antiqua"/>
          <w:lang w:val="en-US"/>
        </w:rPr>
        <w:fldChar w:fldCharType="end"/>
      </w:r>
      <w:r w:rsidR="007C291A" w:rsidRPr="00425573">
        <w:rPr>
          <w:rFonts w:ascii="Book Antiqua" w:hAnsi="Book Antiqua"/>
          <w:lang w:val="en-US"/>
        </w:rPr>
        <w:t xml:space="preserve"> </w:t>
      </w:r>
      <w:r w:rsidR="000E3A3F" w:rsidRPr="00425573">
        <w:rPr>
          <w:rFonts w:ascii="Book Antiqua" w:hAnsi="Book Antiqua"/>
          <w:lang w:val="en-US"/>
        </w:rPr>
        <w:t xml:space="preserve">and </w:t>
      </w:r>
      <w:r w:rsidR="0014695A" w:rsidRPr="00425573">
        <w:rPr>
          <w:rFonts w:ascii="Book Antiqua" w:hAnsi="Book Antiqua"/>
          <w:lang w:val="en-US"/>
        </w:rPr>
        <w:t xml:space="preserve">they </w:t>
      </w:r>
      <w:r w:rsidR="0014695A" w:rsidRPr="00425573">
        <w:rPr>
          <w:rFonts w:ascii="Book Antiqua" w:hAnsi="Book Antiqua"/>
          <w:lang w:val="en-US"/>
        </w:rPr>
        <w:lastRenderedPageBreak/>
        <w:t>map</w:t>
      </w:r>
      <w:r w:rsidR="000E3A3F" w:rsidRPr="00425573">
        <w:rPr>
          <w:rFonts w:ascii="Book Antiqua" w:hAnsi="Book Antiqua"/>
          <w:lang w:val="en-US"/>
        </w:rPr>
        <w:t xml:space="preserve"> on the 10q26.13 locus, which also contain</w:t>
      </w:r>
      <w:r w:rsidR="00CF7A45" w:rsidRPr="00425573">
        <w:rPr>
          <w:rFonts w:ascii="Book Antiqua" w:hAnsi="Book Antiqua"/>
          <w:lang w:val="en-US"/>
        </w:rPr>
        <w:t>s</w:t>
      </w:r>
      <w:r w:rsidR="000E3A3F" w:rsidRPr="00425573">
        <w:rPr>
          <w:rFonts w:ascii="Book Antiqua" w:hAnsi="Book Antiqua"/>
          <w:lang w:val="en-US"/>
        </w:rPr>
        <w:t xml:space="preserve"> another </w:t>
      </w:r>
      <w:r w:rsidR="007C291A" w:rsidRPr="00425573">
        <w:rPr>
          <w:rFonts w:ascii="Book Antiqua" w:hAnsi="Book Antiqua"/>
          <w:lang w:val="en-US"/>
        </w:rPr>
        <w:t>age-related macular degeneration</w:t>
      </w:r>
      <w:r w:rsidR="000E3A3F" w:rsidRPr="00425573">
        <w:rPr>
          <w:rFonts w:ascii="Book Antiqua" w:hAnsi="Book Antiqua"/>
          <w:lang w:val="en-US"/>
        </w:rPr>
        <w:t>-associated gene (</w:t>
      </w:r>
      <w:r w:rsidR="00B00E03" w:rsidRPr="00425573">
        <w:rPr>
          <w:rFonts w:ascii="Book Antiqua" w:hAnsi="Book Antiqua"/>
          <w:i/>
          <w:lang w:val="en-US"/>
        </w:rPr>
        <w:t>ARMS2</w:t>
      </w:r>
      <w:r w:rsidR="00B00E03" w:rsidRPr="00425573">
        <w:rPr>
          <w:rFonts w:ascii="Book Antiqua" w:hAnsi="Book Antiqua"/>
          <w:lang w:val="en-US"/>
        </w:rPr>
        <w:t>/</w:t>
      </w:r>
      <w:r w:rsidR="00B00E03" w:rsidRPr="00425573">
        <w:rPr>
          <w:rFonts w:ascii="Book Antiqua" w:hAnsi="Book Antiqua"/>
          <w:i/>
          <w:lang w:val="en-US"/>
        </w:rPr>
        <w:t>HTRA1</w:t>
      </w:r>
      <w:r w:rsidR="000E3A3F" w:rsidRPr="00425573">
        <w:rPr>
          <w:rFonts w:ascii="Book Antiqua" w:hAnsi="Book Antiqua"/>
          <w:lang w:val="en-US"/>
        </w:rPr>
        <w:t>)</w:t>
      </w:r>
      <w:r w:rsidR="00194001"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{"citationID":"0Vyjvj1E","properties":{"formattedCitation":"\\super [47,48]\\nosupersub{}","plainCitation":"[47,48]","noteIndex":0},"citationItems":[{"id":90,"uris":["http://zotero.org/groups/2394923/items/K6W6R3YM"],"uri":["http://zotero.org/groups/2394923/items/K6W6R3YM"],"itemData":{"id":90,"type":"article-journal","abstract":"Age-related Macular Degeneration (AMD) represents one of the most sightthreatening diseases in developed countries that substantially impacts the patients’ lifestyle by compromising everyday activities, such as reading and driving. In this context, understanding the prevalence, burden, and population-specific risk/ protective factors of AMD is essential for adequate health care planning and provision. Our work aimed to characterize exudative AMD in Italian population and to identify the susceptibility/protective factors (genetic variants, age, sex, smoking and dietary habits) which are specific for the onset of disease. Our study involved a cohort of 1976 subjects, including 976 patients affected with exudative AMD and 1000 control subjects. In particular, the sample cohort has been subjected to a large genotyping analysis of 20 genetic variants which are known to be associated with AMD among European and Asiatic populations. This analysis revealed that 8 genetic variants (CFH, ARMS2, IL-8, TIMP3, SLC16A8, RAD51B, VEGFA and COL8A1) were significantly associated with AMD susceptibility. Successively, we performed a multivariate analysis, considering both genetic and non-genetic data available for our sample cohort. The multivariate analysis showed that age, smoking, dietary habits and sex, together with the genetic variants, were significantly associated with AMD in our population. Altogether, these data represent a starting point for the set-up of adequate preventive and personalized strategies aimed to decrease the burden of disease and improve the patients’ quality of life.","container-title":"Oncotarget","DOI":"10.18632/oncotarget.23241","ISSN":"1949-2553","issue":"8","journalAbbreviation":"Oncotarget","language":"en","source":"DOI.org (Crossref)","title":"Uncovering genetic and non-genetic biomarkers specific for exudative age-related macular degeneration: significant association of twelve variants","title-short":"Uncovering genetic and non-genetic biomarkers specific for exudative age-related macular degeneration","URL":"http://www.oncotarget.com/fulltext/23241","volume":"9","author":[{"family":"Cascella","given":"Raffaella"},{"family":"Strafella","given":"Claudia"},{"family":"Longo","given":"Giuliana"},{"family":"Ragazzo","given":"Michele"},{"family":"Manzo","given":"Laura"},{"family":"De Felici","given":"Cecilia"},{"family":"Errichiello","given":"Valeria"},{"family":"Caputo","given":"Valerio"},{"family":"Viola","given":"Francesco"},{"family":"Eandi","given":"Chiara Maria"},{"family":"Staurenghi","given":"Giovanni"},{"family":"Cusumano","given":"Andrea"},{"family":"Mauriello","given":"Silvestro"},{"family":"Marsella","given":"Luigi Tonino"},{"family":"Ciccacci","given":"Cinzia"},{"family":"Borgiani","given":"Paola"},{"family":"Sangiuolo","given":"Federica"},{"family":"Novelli","given":"Giuseppe"},{"family":"Ricci","given":"Federico"},{"family":"Giardina","given":"Emiliano"}],"accessed":{"date-parts":[["2019",10,24]]},"issued":{"date-parts":[["2018",1,30]]}}},{"id":86,"uris":["http://zotero.org/groups/2394923/items/HXLSCUWQ"],"uri":["http://zotero.org/groups/2394923/items/HXLSCUWQ"],"itemData":{"id":86,"type":"article-journal","abstract":"The review essentially describes genetic and non-genetic variables contributing to the onset and progression of exudative Age-related Macular Degeneration (AMD) in Italian population. In particular, AMD susceptibility within Italian population is contributed to by genetic variants, accounting for 23% of disease and non-genetic variants, accounting for 10% of AMD. Our data highlighted prominent di</w:instrText>
      </w:r>
      <w:r w:rsidR="00D47A11" w:rsidRPr="00425573">
        <w:rPr>
          <w:rFonts w:ascii="Cambria" w:hAnsi="Cambria" w:cs="Cambria"/>
          <w:lang w:val="en-US"/>
        </w:rPr>
        <w:instrText>ﬀ</w:instrText>
      </w:r>
      <w:r w:rsidR="00D47A11" w:rsidRPr="00425573">
        <w:rPr>
          <w:rFonts w:ascii="Book Antiqua" w:hAnsi="Book Antiqua"/>
          <w:lang w:val="en-US"/>
        </w:rPr>
        <w:instrText xml:space="preserve">erences concerning genetic and nongenetic contributors to AMD in our cohort with respect to worldwide populations. Among genetic variables, SNPs of CFH, ARMS2, IL-8, TIMP3, SLC16A8, RAD51B, VEGFA and COL8A1 were signiﬁcantly associated with the risk of AMD in the Italian cohort. Surprisingly, other susceptibility variants described in European, American and Asiatic populations, did not reach the signiﬁcance threshold in our cohort. As expected, advanced age, smoking and dietary habits were associated with the disease. In addition, we also describe a number of genegene and gene-phenotype interactions. In fact, AMD-associated genes may be involved in the alteration of Bruch's membrane and induction of angiogenesis, contributing to exacerbate the damage caused by aging and environmental factors.","container-title":"Progress in Retinal and Eye Research","DOI":"10.1016/j.preteyeres.2017.11.004","ISSN":"13509462","journalAbbreviation":"Progress in Retinal and Eye Research","language":"en","page":"132-146","source":"DOI.org (Crossref)","title":"Towards the application of precision medicine in Age-Related Macular Degeneration","volume":"63","author":[{"family":"Cascella","given":"Raffaella"},{"family":"Strafella","given":"Claudia"},{"family":"Caputo","given":"Valerio"},{"family":"Errichiello","given":"Valeria"},{"family":"Zampatti","given":"Stefania"},{"family":"Milano","given":"Filippo"},{"family":"Potenza","given":"Saverio"},{"family":"Mauriello","given":"Silvestro"},{"family":"Novelli","given":"Giuseppe"},{"family":"Ricci","given":"Federico"},{"family":"Cusumano","given":"Andrea"},{"family":"Giardina","given":"Emiliano"}],"issued":{"date-parts":[["2018",3]]}}}],"schema":"https://github.com/citation-style-language/schema/raw/master/csl-citation.json"} </w:instrText>
      </w:r>
      <w:r w:rsidR="00194001" w:rsidRPr="00425573">
        <w:rPr>
          <w:rFonts w:ascii="Book Antiqua" w:hAnsi="Book Antiqua"/>
          <w:lang w:val="en-US"/>
        </w:rPr>
        <w:fldChar w:fldCharType="separate"/>
      </w:r>
      <w:r w:rsidR="00D47A11" w:rsidRPr="00425573">
        <w:rPr>
          <w:rFonts w:ascii="Book Antiqua" w:hAnsi="Book Antiqua"/>
          <w:vertAlign w:val="superscript"/>
        </w:rPr>
        <w:t>[47,48]</w:t>
      </w:r>
      <w:r w:rsidR="00194001" w:rsidRPr="00425573">
        <w:rPr>
          <w:rFonts w:ascii="Book Antiqua" w:hAnsi="Book Antiqua"/>
          <w:lang w:val="en-US"/>
        </w:rPr>
        <w:fldChar w:fldCharType="end"/>
      </w:r>
      <w:r w:rsidR="00194001" w:rsidRPr="00425573">
        <w:rPr>
          <w:rFonts w:ascii="Book Antiqua" w:hAnsi="Book Antiqua"/>
          <w:lang w:val="en-US"/>
        </w:rPr>
        <w:t>.</w:t>
      </w:r>
      <w:r w:rsidR="002A4D6D" w:rsidRPr="00425573">
        <w:rPr>
          <w:rFonts w:ascii="Book Antiqua" w:hAnsi="Book Antiqua"/>
          <w:lang w:val="en-US"/>
        </w:rPr>
        <w:t xml:space="preserve"> </w:t>
      </w:r>
      <w:r w:rsidR="009C28EF" w:rsidRPr="00425573">
        <w:rPr>
          <w:rFonts w:ascii="Book Antiqua" w:hAnsi="Book Antiqua"/>
          <w:lang w:val="en-US"/>
        </w:rPr>
        <w:t xml:space="preserve">Given these data, the genetic architecture of </w:t>
      </w:r>
      <w:r w:rsidR="00AC79B1" w:rsidRPr="00425573">
        <w:rPr>
          <w:rFonts w:ascii="Book Antiqua" w:hAnsi="Book Antiqua"/>
          <w:lang w:val="en-US"/>
        </w:rPr>
        <w:t xml:space="preserve">the </w:t>
      </w:r>
      <w:r w:rsidR="009C28EF" w:rsidRPr="00425573">
        <w:rPr>
          <w:rFonts w:ascii="Book Antiqua" w:hAnsi="Book Antiqua"/>
          <w:lang w:val="en-US"/>
        </w:rPr>
        <w:t>10q26</w:t>
      </w:r>
      <w:r w:rsidR="005B171D" w:rsidRPr="00425573">
        <w:rPr>
          <w:rFonts w:ascii="Book Antiqua" w:hAnsi="Book Antiqua"/>
          <w:lang w:val="en-US"/>
        </w:rPr>
        <w:t>.13</w:t>
      </w:r>
      <w:r w:rsidR="009C28EF" w:rsidRPr="00425573">
        <w:rPr>
          <w:rFonts w:ascii="Book Antiqua" w:hAnsi="Book Antiqua"/>
          <w:lang w:val="en-US"/>
        </w:rPr>
        <w:t xml:space="preserve"> region may be investigated for its potential contribution to </w:t>
      </w:r>
      <w:r w:rsidR="00BE4355" w:rsidRPr="00425573">
        <w:rPr>
          <w:rFonts w:ascii="Book Antiqua" w:hAnsi="Book Antiqua"/>
          <w:lang w:val="en-US"/>
        </w:rPr>
        <w:t>neuro</w:t>
      </w:r>
      <w:r w:rsidR="009C28EF" w:rsidRPr="00425573">
        <w:rPr>
          <w:rFonts w:ascii="Book Antiqua" w:hAnsi="Book Antiqua"/>
          <w:lang w:val="en-US"/>
        </w:rPr>
        <w:t xml:space="preserve">degeneration and </w:t>
      </w:r>
      <w:r w:rsidR="0058168C" w:rsidRPr="00425573">
        <w:rPr>
          <w:rFonts w:ascii="Book Antiqua" w:hAnsi="Book Antiqua"/>
          <w:lang w:val="en-US"/>
        </w:rPr>
        <w:t xml:space="preserve">could be </w:t>
      </w:r>
      <w:r w:rsidR="009C28EF" w:rsidRPr="00425573">
        <w:rPr>
          <w:rFonts w:ascii="Book Antiqua" w:hAnsi="Book Antiqua"/>
          <w:lang w:val="en-US"/>
        </w:rPr>
        <w:t>addressed as a shared</w:t>
      </w:r>
      <w:r w:rsidR="00015AFD" w:rsidRPr="00425573">
        <w:rPr>
          <w:rFonts w:ascii="Book Antiqua" w:hAnsi="Book Antiqua"/>
          <w:lang w:val="en-US"/>
        </w:rPr>
        <w:t xml:space="preserve"> susceptibility locus for T2D and AD</w:t>
      </w:r>
      <w:r w:rsidR="009C28EF" w:rsidRPr="00425573">
        <w:rPr>
          <w:rFonts w:ascii="Book Antiqua" w:hAnsi="Book Antiqua"/>
          <w:lang w:val="en-US"/>
        </w:rPr>
        <w:t>.</w:t>
      </w:r>
      <w:r w:rsidR="00D24B73" w:rsidRPr="00425573">
        <w:rPr>
          <w:rFonts w:ascii="Book Antiqua" w:hAnsi="Book Antiqua"/>
          <w:lang w:val="en-US"/>
        </w:rPr>
        <w:t xml:space="preserve"> </w:t>
      </w:r>
      <w:r w:rsidR="009C28EF" w:rsidRPr="00425573">
        <w:rPr>
          <w:rFonts w:ascii="Book Antiqua" w:hAnsi="Book Antiqua"/>
          <w:lang w:val="en-US"/>
        </w:rPr>
        <w:t>Moreover,</w:t>
      </w:r>
      <w:r w:rsidR="00BE4355" w:rsidRPr="00425573">
        <w:rPr>
          <w:rFonts w:ascii="Book Antiqua" w:hAnsi="Book Antiqua"/>
          <w:lang w:val="en-US"/>
        </w:rPr>
        <w:t xml:space="preserve"> the presence of</w:t>
      </w:r>
      <w:r w:rsidR="00015AFD" w:rsidRPr="00425573">
        <w:rPr>
          <w:rFonts w:ascii="Book Antiqua" w:hAnsi="Book Antiqua"/>
          <w:lang w:val="en-US"/>
        </w:rPr>
        <w:t xml:space="preserve"> shared</w:t>
      </w:r>
      <w:r w:rsidR="009C28EF" w:rsidRPr="00425573">
        <w:rPr>
          <w:rFonts w:ascii="Book Antiqua" w:hAnsi="Book Antiqua"/>
          <w:lang w:val="en-US"/>
        </w:rPr>
        <w:t xml:space="preserve"> genetic </w:t>
      </w:r>
      <w:r w:rsidR="00015AFD" w:rsidRPr="00425573">
        <w:rPr>
          <w:rFonts w:ascii="Book Antiqua" w:hAnsi="Book Antiqua"/>
          <w:lang w:val="en-US"/>
        </w:rPr>
        <w:t>polymorphisms</w:t>
      </w:r>
      <w:r w:rsidR="009C28EF" w:rsidRPr="00425573">
        <w:rPr>
          <w:rFonts w:ascii="Book Antiqua" w:hAnsi="Book Antiqua"/>
          <w:lang w:val="en-US"/>
        </w:rPr>
        <w:t xml:space="preserve"> </w:t>
      </w:r>
      <w:r w:rsidR="00015AFD" w:rsidRPr="00425573">
        <w:rPr>
          <w:rFonts w:ascii="Book Antiqua" w:hAnsi="Book Antiqua"/>
          <w:lang w:val="en-US"/>
        </w:rPr>
        <w:t>associated with</w:t>
      </w:r>
      <w:r w:rsidR="00BE4355" w:rsidRPr="00425573">
        <w:rPr>
          <w:rFonts w:ascii="Book Antiqua" w:hAnsi="Book Antiqua"/>
          <w:lang w:val="en-US"/>
        </w:rPr>
        <w:t xml:space="preserve"> </w:t>
      </w:r>
      <w:r w:rsidR="009C28EF" w:rsidRPr="00425573">
        <w:rPr>
          <w:rFonts w:ascii="Book Antiqua" w:hAnsi="Book Antiqua"/>
          <w:lang w:val="en-US"/>
        </w:rPr>
        <w:t xml:space="preserve">both diseases </w:t>
      </w:r>
      <w:r w:rsidR="00015AFD" w:rsidRPr="00425573">
        <w:rPr>
          <w:rFonts w:ascii="Book Antiqua" w:hAnsi="Book Antiqua"/>
          <w:lang w:val="en-US"/>
        </w:rPr>
        <w:t>may</w:t>
      </w:r>
      <w:r w:rsidR="009C28EF" w:rsidRPr="00425573">
        <w:rPr>
          <w:rFonts w:ascii="Book Antiqua" w:hAnsi="Book Antiqua"/>
          <w:lang w:val="en-US"/>
        </w:rPr>
        <w:t xml:space="preserve"> also </w:t>
      </w:r>
      <w:r w:rsidR="004B5FE2" w:rsidRPr="00425573">
        <w:rPr>
          <w:rFonts w:ascii="Book Antiqua" w:hAnsi="Book Antiqua"/>
          <w:lang w:val="en-US"/>
        </w:rPr>
        <w:t xml:space="preserve">be </w:t>
      </w:r>
      <w:r w:rsidR="009C28EF" w:rsidRPr="00425573">
        <w:rPr>
          <w:rFonts w:ascii="Book Antiqua" w:hAnsi="Book Antiqua"/>
          <w:lang w:val="en-US"/>
        </w:rPr>
        <w:t xml:space="preserve">exploited to predict the risk of developing AD in individuals </w:t>
      </w:r>
      <w:r w:rsidR="00BE4355" w:rsidRPr="00425573">
        <w:rPr>
          <w:rFonts w:ascii="Book Antiqua" w:hAnsi="Book Antiqua"/>
          <w:lang w:val="en-US"/>
        </w:rPr>
        <w:t>already suffering f</w:t>
      </w:r>
      <w:r w:rsidR="00575231" w:rsidRPr="00425573">
        <w:rPr>
          <w:rFonts w:ascii="Book Antiqua" w:hAnsi="Book Antiqua"/>
          <w:lang w:val="en-US"/>
        </w:rPr>
        <w:t>rom</w:t>
      </w:r>
      <w:r w:rsidR="009C28EF" w:rsidRPr="00425573">
        <w:rPr>
          <w:rFonts w:ascii="Book Antiqua" w:hAnsi="Book Antiqua"/>
          <w:lang w:val="en-US"/>
        </w:rPr>
        <w:t xml:space="preserve"> T2D.</w:t>
      </w:r>
    </w:p>
    <w:p w14:paraId="19CB0CA6" w14:textId="3B36DD5D" w:rsidR="00211FD6" w:rsidRPr="00425573" w:rsidRDefault="0042328B" w:rsidP="00083E5A">
      <w:pPr>
        <w:snapToGrid w:val="0"/>
        <w:spacing w:line="360" w:lineRule="auto"/>
        <w:ind w:firstLineChars="100" w:firstLine="240"/>
        <w:jc w:val="both"/>
        <w:rPr>
          <w:rFonts w:ascii="Book Antiqua" w:hAnsi="Book Antiqua"/>
          <w:lang w:val="en-US"/>
        </w:rPr>
      </w:pPr>
      <w:r w:rsidRPr="00425573">
        <w:rPr>
          <w:rFonts w:ascii="Book Antiqua" w:hAnsi="Book Antiqua"/>
          <w:lang w:val="en-US"/>
        </w:rPr>
        <w:t>Less</w:t>
      </w:r>
      <w:r w:rsidR="001D5D44" w:rsidRPr="00425573">
        <w:rPr>
          <w:rFonts w:ascii="Book Antiqua" w:hAnsi="Book Antiqua"/>
          <w:lang w:val="en-US"/>
        </w:rPr>
        <w:t xml:space="preserve"> </w:t>
      </w:r>
      <w:r w:rsidR="00647B0D" w:rsidRPr="00425573">
        <w:rPr>
          <w:rFonts w:ascii="Book Antiqua" w:hAnsi="Book Antiqua"/>
          <w:lang w:val="en-US"/>
        </w:rPr>
        <w:t>information</w:t>
      </w:r>
      <w:r w:rsidR="00BE4355" w:rsidRPr="00425573">
        <w:rPr>
          <w:rFonts w:ascii="Book Antiqua" w:hAnsi="Book Antiqua"/>
          <w:lang w:val="en-US"/>
        </w:rPr>
        <w:t xml:space="preserve"> </w:t>
      </w:r>
      <w:r w:rsidR="00647B0D" w:rsidRPr="00425573">
        <w:rPr>
          <w:rFonts w:ascii="Book Antiqua" w:hAnsi="Book Antiqua"/>
          <w:lang w:val="en-US"/>
        </w:rPr>
        <w:t>is</w:t>
      </w:r>
      <w:r w:rsidR="00BE4355" w:rsidRPr="00425573">
        <w:rPr>
          <w:rFonts w:ascii="Book Antiqua" w:hAnsi="Book Antiqua"/>
          <w:lang w:val="en-US"/>
        </w:rPr>
        <w:t xml:space="preserve"> available</w:t>
      </w:r>
      <w:r w:rsidR="001D5D44" w:rsidRPr="00425573">
        <w:rPr>
          <w:rFonts w:ascii="Book Antiqua" w:hAnsi="Book Antiqua"/>
          <w:lang w:val="en-US"/>
        </w:rPr>
        <w:t xml:space="preserve"> c</w:t>
      </w:r>
      <w:r w:rsidR="00AE2166" w:rsidRPr="00425573">
        <w:rPr>
          <w:rFonts w:ascii="Book Antiqua" w:hAnsi="Book Antiqua"/>
          <w:lang w:val="en-US"/>
        </w:rPr>
        <w:t xml:space="preserve">oncerning </w:t>
      </w:r>
      <w:r w:rsidR="001D5D44" w:rsidRPr="00425573">
        <w:rPr>
          <w:rFonts w:ascii="Book Antiqua" w:hAnsi="Book Antiqua"/>
          <w:lang w:val="en-US"/>
        </w:rPr>
        <w:t>the genetic overlap between</w:t>
      </w:r>
      <w:r w:rsidR="00015AFD" w:rsidRPr="00425573">
        <w:rPr>
          <w:rFonts w:ascii="Book Antiqua" w:hAnsi="Book Antiqua"/>
          <w:lang w:val="en-US"/>
        </w:rPr>
        <w:t xml:space="preserve"> T2D and</w:t>
      </w:r>
      <w:r w:rsidR="001D5D44" w:rsidRPr="00425573">
        <w:rPr>
          <w:rFonts w:ascii="Book Antiqua" w:hAnsi="Book Antiqua"/>
          <w:lang w:val="en-US"/>
        </w:rPr>
        <w:t xml:space="preserve"> </w:t>
      </w:r>
      <w:r w:rsidR="00015AFD" w:rsidRPr="00425573">
        <w:rPr>
          <w:rFonts w:ascii="Book Antiqua" w:hAnsi="Book Antiqua"/>
          <w:lang w:val="en-US"/>
        </w:rPr>
        <w:t>PD</w:t>
      </w:r>
      <w:r w:rsidR="00BE4355" w:rsidRPr="00425573">
        <w:rPr>
          <w:rFonts w:ascii="Book Antiqua" w:hAnsi="Book Antiqua"/>
          <w:lang w:val="en-US"/>
        </w:rPr>
        <w:t>.</w:t>
      </w:r>
      <w:r w:rsidR="00DB13AF" w:rsidRPr="00425573">
        <w:rPr>
          <w:rFonts w:ascii="Book Antiqua" w:hAnsi="Book Antiqua"/>
          <w:lang w:val="en-US"/>
        </w:rPr>
        <w:t xml:space="preserve"> </w:t>
      </w:r>
      <w:r w:rsidR="00015AFD" w:rsidRPr="00425573">
        <w:rPr>
          <w:rFonts w:ascii="Book Antiqua" w:hAnsi="Book Antiqua"/>
          <w:lang w:val="en-US"/>
        </w:rPr>
        <w:t>T</w:t>
      </w:r>
      <w:r w:rsidR="00BE4355" w:rsidRPr="00425573">
        <w:rPr>
          <w:rFonts w:ascii="Book Antiqua" w:hAnsi="Book Antiqua"/>
          <w:lang w:val="en-US"/>
        </w:rPr>
        <w:t>he possible</w:t>
      </w:r>
      <w:r w:rsidR="005E7420" w:rsidRPr="00425573">
        <w:rPr>
          <w:rFonts w:ascii="Book Antiqua" w:hAnsi="Book Antiqua"/>
          <w:lang w:val="en-US"/>
        </w:rPr>
        <w:t xml:space="preserve"> link between</w:t>
      </w:r>
      <w:r w:rsidR="00DB13AF" w:rsidRPr="00425573">
        <w:rPr>
          <w:rFonts w:ascii="Book Antiqua" w:hAnsi="Book Antiqua"/>
          <w:lang w:val="en-US"/>
        </w:rPr>
        <w:t xml:space="preserve"> </w:t>
      </w:r>
      <w:r w:rsidR="00D01CB4" w:rsidRPr="00425573">
        <w:rPr>
          <w:rFonts w:ascii="Book Antiqua" w:hAnsi="Book Antiqua"/>
          <w:lang w:val="en-US"/>
        </w:rPr>
        <w:t>T2D-</w:t>
      </w:r>
      <w:r w:rsidR="00180208" w:rsidRPr="00425573">
        <w:rPr>
          <w:rFonts w:ascii="Book Antiqua" w:hAnsi="Book Antiqua"/>
          <w:lang w:val="en-US"/>
        </w:rPr>
        <w:t xml:space="preserve">associated </w:t>
      </w:r>
      <w:r w:rsidR="00121684" w:rsidRPr="00425573">
        <w:rPr>
          <w:rFonts w:ascii="Book Antiqua" w:hAnsi="Book Antiqua"/>
          <w:lang w:val="en-US"/>
        </w:rPr>
        <w:t>genetic loci and AD/</w:t>
      </w:r>
      <w:r w:rsidR="005E7420" w:rsidRPr="00425573">
        <w:rPr>
          <w:rFonts w:ascii="Book Antiqua" w:hAnsi="Book Antiqua"/>
          <w:lang w:val="en-US"/>
        </w:rPr>
        <w:t>PD</w:t>
      </w:r>
      <w:r w:rsidR="00015AFD" w:rsidRPr="00425573">
        <w:rPr>
          <w:rFonts w:ascii="Book Antiqua" w:hAnsi="Book Antiqua"/>
          <w:lang w:val="en-US"/>
        </w:rPr>
        <w:t xml:space="preserve"> has been investigated in a study involving</w:t>
      </w:r>
      <w:r w:rsidR="00AE3DB0" w:rsidRPr="00425573">
        <w:rPr>
          <w:rFonts w:ascii="Book Antiqua" w:hAnsi="Book Antiqua"/>
          <w:lang w:val="en-US"/>
        </w:rPr>
        <w:t xml:space="preserve"> 500 PD and 400 AD patients of Asian ancestry</w:t>
      </w:r>
      <w:r w:rsidR="00015AFD" w:rsidRPr="00425573">
        <w:rPr>
          <w:rFonts w:ascii="Book Antiqua" w:hAnsi="Book Antiqua"/>
          <w:lang w:val="en-US"/>
        </w:rPr>
        <w:t>. The authors reported</w:t>
      </w:r>
      <w:r w:rsidR="00BE4355" w:rsidRPr="00425573">
        <w:rPr>
          <w:rFonts w:ascii="Book Antiqua" w:hAnsi="Book Antiqua"/>
          <w:lang w:val="en-US"/>
        </w:rPr>
        <w:t xml:space="preserve"> </w:t>
      </w:r>
      <w:r w:rsidR="00C43D13" w:rsidRPr="00425573">
        <w:rPr>
          <w:rFonts w:ascii="Book Antiqua" w:hAnsi="Book Antiqua"/>
          <w:lang w:val="en-US"/>
        </w:rPr>
        <w:t>four</w:t>
      </w:r>
      <w:r w:rsidR="00206DE4" w:rsidRPr="00425573">
        <w:rPr>
          <w:rFonts w:ascii="Book Antiqua" w:hAnsi="Book Antiqua"/>
          <w:lang w:val="en-US"/>
        </w:rPr>
        <w:t xml:space="preserve"> </w:t>
      </w:r>
      <w:r w:rsidR="005E7420" w:rsidRPr="00425573">
        <w:rPr>
          <w:rFonts w:ascii="Book Antiqua" w:hAnsi="Book Antiqua"/>
          <w:lang w:val="en-US"/>
        </w:rPr>
        <w:t xml:space="preserve">SNPs </w:t>
      </w:r>
      <w:r w:rsidR="00BE4355" w:rsidRPr="00425573">
        <w:rPr>
          <w:rFonts w:ascii="Book Antiqua" w:hAnsi="Book Antiqua"/>
          <w:lang w:val="en-US"/>
        </w:rPr>
        <w:t xml:space="preserve">located in </w:t>
      </w:r>
      <w:r w:rsidR="00BE4355" w:rsidRPr="00425573">
        <w:rPr>
          <w:rFonts w:ascii="Book Antiqua" w:hAnsi="Book Antiqua"/>
          <w:i/>
          <w:lang w:val="en-US"/>
        </w:rPr>
        <w:t>CDC123</w:t>
      </w:r>
      <w:r w:rsidR="00BE4355" w:rsidRPr="00425573">
        <w:rPr>
          <w:rFonts w:ascii="Book Antiqua" w:hAnsi="Book Antiqua"/>
          <w:lang w:val="en-US"/>
        </w:rPr>
        <w:t xml:space="preserve"> and </w:t>
      </w:r>
      <w:r w:rsidR="00BE4355" w:rsidRPr="00425573">
        <w:rPr>
          <w:rFonts w:ascii="Book Antiqua" w:hAnsi="Book Antiqua"/>
          <w:i/>
          <w:lang w:val="en-US"/>
        </w:rPr>
        <w:t xml:space="preserve">CDKN2B </w:t>
      </w:r>
      <w:r w:rsidR="00BE4355" w:rsidRPr="00425573">
        <w:rPr>
          <w:rFonts w:ascii="Book Antiqua" w:hAnsi="Book Antiqua"/>
          <w:lang w:val="en-US"/>
        </w:rPr>
        <w:t xml:space="preserve">genes </w:t>
      </w:r>
      <w:r w:rsidR="00015AFD" w:rsidRPr="00425573">
        <w:rPr>
          <w:rFonts w:ascii="Book Antiqua" w:hAnsi="Book Antiqua"/>
          <w:lang w:val="en-US"/>
        </w:rPr>
        <w:t>mutually associated with T2D and</w:t>
      </w:r>
      <w:r w:rsidR="00BE4355" w:rsidRPr="00425573">
        <w:rPr>
          <w:rFonts w:ascii="Book Antiqua" w:hAnsi="Book Antiqua"/>
          <w:lang w:val="en-US"/>
        </w:rPr>
        <w:t xml:space="preserve"> </w:t>
      </w:r>
      <w:r w:rsidR="00015AFD" w:rsidRPr="00425573">
        <w:rPr>
          <w:rFonts w:ascii="Book Antiqua" w:hAnsi="Book Antiqua"/>
          <w:lang w:val="en-US"/>
        </w:rPr>
        <w:t>PD</w:t>
      </w:r>
      <w:r w:rsidR="00BE4355" w:rsidRPr="00425573">
        <w:rPr>
          <w:rFonts w:ascii="Book Antiqua" w:hAnsi="Book Antiqua"/>
          <w:lang w:val="en-US"/>
        </w:rPr>
        <w:t>.</w:t>
      </w:r>
      <w:r w:rsidR="00300D1B" w:rsidRPr="00425573">
        <w:rPr>
          <w:rFonts w:ascii="Book Antiqua" w:hAnsi="Book Antiqua"/>
          <w:lang w:val="en-US"/>
        </w:rPr>
        <w:t xml:space="preserve"> </w:t>
      </w:r>
      <w:r w:rsidR="00BE4355" w:rsidRPr="00425573">
        <w:rPr>
          <w:rFonts w:ascii="Book Antiqua" w:hAnsi="Book Antiqua"/>
          <w:lang w:val="en-US"/>
        </w:rPr>
        <w:t xml:space="preserve">However, </w:t>
      </w:r>
      <w:r w:rsidR="00586946" w:rsidRPr="00425573">
        <w:rPr>
          <w:rFonts w:ascii="Book Antiqua" w:hAnsi="Book Antiqua"/>
          <w:lang w:val="en-US"/>
        </w:rPr>
        <w:t>this association</w:t>
      </w:r>
      <w:r w:rsidR="00EE3CC9" w:rsidRPr="00425573">
        <w:rPr>
          <w:rFonts w:ascii="Book Antiqua" w:hAnsi="Book Antiqua"/>
          <w:lang w:val="en-US"/>
        </w:rPr>
        <w:t xml:space="preserve"> </w:t>
      </w:r>
      <w:r w:rsidR="00586946" w:rsidRPr="00425573">
        <w:rPr>
          <w:rFonts w:ascii="Book Antiqua" w:hAnsi="Book Antiqua"/>
          <w:lang w:val="en-US"/>
        </w:rPr>
        <w:t>was</w:t>
      </w:r>
      <w:r w:rsidR="006837E6" w:rsidRPr="00425573">
        <w:rPr>
          <w:rFonts w:ascii="Book Antiqua" w:hAnsi="Book Antiqua"/>
          <w:lang w:val="en-US"/>
        </w:rPr>
        <w:t xml:space="preserve"> not confirmed after</w:t>
      </w:r>
      <w:r w:rsidR="000600A4" w:rsidRPr="00425573">
        <w:rPr>
          <w:rFonts w:ascii="Book Antiqua" w:hAnsi="Book Antiqua"/>
          <w:lang w:val="en-US"/>
        </w:rPr>
        <w:t xml:space="preserve"> correction for multiple testing</w:t>
      </w:r>
      <w:r w:rsidR="009019BE"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{"citationID":"2xgPqHzF","properties":{"formattedCitation":"\\super [49]\\nosupersub{}","plainCitation":"[49]","noteIndex":0},"citationItems":[{"id":152,"uris":["http://zotero.org/groups/2394923/items/NEK66VT3"],"uri":["http://zotero.org/groups/2394923/items/NEK66VT3"],"itemData":{"id":152,"type":"article-journal","abstract":"BACKGROUND: Insulin and insulin-like growth factor contribute to normal brain function. Recent experimental and clinical studies showed that type 2 diabetes mellitus (T2DM) and Parkinson's disease (PD) or Alzheimer's disease (AD) share several dysregulated pathways.\nOBJECTIVE: We aimed to investigate whether genome-wide significant loci of T2DM are associated with the risk of PD and AD as well as the severity of cognitive impairment.\nMETHODS: Study subjects were 500 PD patients, 400 AD patients, and 500 unrelated controls. We selected 32 genetic variants from 11 genes (CDC123, CDKAL1, CDKN2B, FTO, GLIS3, HHEX, IGF2BP2, KCNJ11, KCNQ1, SLC30A8, and TCF7L2) and intergenic regions based on results of recent genome-wide association studies (GWAS) in T2DM. These variants were reported to be T2DM-susceptibility loci and have been replicated in other independent studies. All association analyses were performed using logistic regression models, adjusting for age and sex.\nRESULTS: KCNQ1 SNP rs163182 showed the strongest association with AD, but it was not significant after Bonferroni correction (OR = 1.30, 95% CI = 1.07-1.59, Pcorrected = 0.32). In PD patients, CDC123 SNP rs11257655 showed modest association with MMSE score &lt;26, and CDKN2B SNPs (rs2383208, rs10965250, and rs10811661) showed modest association with MoCA score &lt;26, which were not significant after Bonferroni correction. Other genetic variants had no association with the risk of PD or AD and the severity of cognitive impairment.\nCONCLUSIONS: Our results suggest that genome-wide significant loci of T2DM play no major role in the risk and cognitive impairment of PD and AD.","container-title":"Parkinsonism &amp; Related Disorders","DOI":"10.1016/j.parkreldis.2015.10.010","ISSN":"1873-5126","issue":"12","journalAbbreviation":"Parkinsonism Relat. Disord.","language":"eng","note":"PMID: 26499758","page":"1435-1440","source":"PubMed","title":"Association of type 2 diabetes GWAS loci and the risk of Parkinson's and Alzheimer's diseases","volume":"21","author":[{"family":"Chung","given":"Sun Ju"},{"family":"Kim","given":"Mi-Jung"},{"family":"Kim","given":"Juyeon"},{"family":"Ryu","given":"Ho-Sung"},{"family":"Kim","given":"Young Jin"},{"family":"Kim","given":"Seong Yoon"},{"family":"Lee","given":"Jae-Hong"}],"issued":{"date-parts":[["2015",12]]}}}],"schema":"https://github.com/citation-style-language/schema/raw/master/csl-citation.json"} </w:instrText>
      </w:r>
      <w:r w:rsidR="009019BE" w:rsidRPr="00425573">
        <w:rPr>
          <w:rFonts w:ascii="Book Antiqua" w:hAnsi="Book Antiqua"/>
          <w:lang w:val="en-US"/>
        </w:rPr>
        <w:fldChar w:fldCharType="separate"/>
      </w:r>
      <w:r w:rsidR="00D47A11" w:rsidRPr="00425573">
        <w:rPr>
          <w:rFonts w:ascii="Book Antiqua" w:hAnsi="Book Antiqua"/>
          <w:vertAlign w:val="superscript"/>
        </w:rPr>
        <w:t>[49]</w:t>
      </w:r>
      <w:r w:rsidR="009019BE" w:rsidRPr="00425573">
        <w:rPr>
          <w:rFonts w:ascii="Book Antiqua" w:hAnsi="Book Antiqua"/>
          <w:lang w:val="en-US"/>
        </w:rPr>
        <w:fldChar w:fldCharType="end"/>
      </w:r>
      <w:r w:rsidR="00787283" w:rsidRPr="00425573">
        <w:rPr>
          <w:rFonts w:ascii="Book Antiqua" w:hAnsi="Book Antiqua"/>
          <w:lang w:val="en-US"/>
        </w:rPr>
        <w:t xml:space="preserve"> (Table 1)</w:t>
      </w:r>
      <w:r w:rsidR="00E80DAB" w:rsidRPr="00425573">
        <w:rPr>
          <w:rFonts w:ascii="Book Antiqua" w:hAnsi="Book Antiqua"/>
          <w:lang w:val="en-US"/>
        </w:rPr>
        <w:t>.</w:t>
      </w:r>
      <w:r w:rsidR="00300D1B" w:rsidRPr="00425573">
        <w:rPr>
          <w:rFonts w:ascii="Book Antiqua" w:hAnsi="Book Antiqua"/>
          <w:lang w:val="en-US"/>
        </w:rPr>
        <w:t xml:space="preserve"> </w:t>
      </w:r>
      <w:r w:rsidR="005A14BA" w:rsidRPr="00425573">
        <w:rPr>
          <w:rFonts w:ascii="Book Antiqua" w:hAnsi="Book Antiqua"/>
          <w:i/>
          <w:lang w:val="en-US"/>
        </w:rPr>
        <w:t>CDC123</w:t>
      </w:r>
      <w:r w:rsidR="005A14BA" w:rsidRPr="00425573">
        <w:rPr>
          <w:rFonts w:ascii="Book Antiqua" w:hAnsi="Book Antiqua"/>
          <w:lang w:val="en-US"/>
        </w:rPr>
        <w:t xml:space="preserve"> and </w:t>
      </w:r>
      <w:r w:rsidR="005A14BA" w:rsidRPr="00425573">
        <w:rPr>
          <w:rFonts w:ascii="Book Antiqua" w:hAnsi="Book Antiqua"/>
          <w:i/>
          <w:lang w:val="en-US"/>
        </w:rPr>
        <w:t>CDKN2B</w:t>
      </w:r>
      <w:r w:rsidR="005A14BA" w:rsidRPr="00425573">
        <w:rPr>
          <w:rFonts w:ascii="Book Antiqua" w:hAnsi="Book Antiqua"/>
          <w:lang w:val="en-US"/>
        </w:rPr>
        <w:t xml:space="preserve"> </w:t>
      </w:r>
      <w:r w:rsidR="009B79FD" w:rsidRPr="00425573">
        <w:rPr>
          <w:rFonts w:ascii="Book Antiqua" w:hAnsi="Book Antiqua"/>
          <w:lang w:val="en-US"/>
        </w:rPr>
        <w:t xml:space="preserve">exert </w:t>
      </w:r>
      <w:r w:rsidR="009972E2" w:rsidRPr="00425573">
        <w:rPr>
          <w:rFonts w:ascii="Book Antiqua" w:hAnsi="Book Antiqua"/>
          <w:lang w:val="en-US"/>
        </w:rPr>
        <w:t xml:space="preserve">a role </w:t>
      </w:r>
      <w:r w:rsidR="009B79FD" w:rsidRPr="00425573">
        <w:rPr>
          <w:rFonts w:ascii="Book Antiqua" w:hAnsi="Book Antiqua"/>
          <w:lang w:val="en-US"/>
        </w:rPr>
        <w:t xml:space="preserve">in </w:t>
      </w:r>
      <w:r w:rsidR="00E65B66" w:rsidRPr="00425573">
        <w:rPr>
          <w:rFonts w:ascii="Book Antiqua" w:hAnsi="Book Antiqua"/>
          <w:lang w:val="en-US"/>
        </w:rPr>
        <w:t>cell cycle regulation</w:t>
      </w:r>
      <w:r w:rsidR="00C85F14" w:rsidRPr="00425573">
        <w:rPr>
          <w:rFonts w:ascii="Book Antiqua" w:hAnsi="Book Antiqua"/>
          <w:lang w:val="en-US"/>
        </w:rPr>
        <w:t xml:space="preserve">, </w:t>
      </w:r>
      <w:r w:rsidR="00C43D13" w:rsidRPr="00425573">
        <w:rPr>
          <w:rFonts w:ascii="Book Antiqua" w:hAnsi="Book Antiqua"/>
          <w:lang w:val="en-US"/>
        </w:rPr>
        <w:t xml:space="preserve">and their </w:t>
      </w:r>
      <w:r w:rsidR="00C85F14" w:rsidRPr="00425573">
        <w:rPr>
          <w:rFonts w:ascii="Book Antiqua" w:hAnsi="Book Antiqua"/>
          <w:lang w:val="en-US"/>
        </w:rPr>
        <w:t>dysfunction leads t</w:t>
      </w:r>
      <w:r w:rsidR="009524FC" w:rsidRPr="00425573">
        <w:rPr>
          <w:rFonts w:ascii="Book Antiqua" w:hAnsi="Book Antiqua"/>
          <w:lang w:val="en-US"/>
        </w:rPr>
        <w:t>o alterations in cell homeostasi</w:t>
      </w:r>
      <w:r w:rsidR="00C85F14" w:rsidRPr="00425573">
        <w:rPr>
          <w:rFonts w:ascii="Book Antiqua" w:hAnsi="Book Antiqua"/>
          <w:lang w:val="en-US"/>
        </w:rPr>
        <w:t xml:space="preserve">s, </w:t>
      </w:r>
      <w:r w:rsidR="007E7C1D" w:rsidRPr="00425573">
        <w:rPr>
          <w:rFonts w:ascii="Book Antiqua" w:hAnsi="Book Antiqua"/>
          <w:lang w:val="en-US"/>
        </w:rPr>
        <w:t>suggesting that the genetic</w:t>
      </w:r>
      <w:r w:rsidR="00BC0BF0" w:rsidRPr="00425573">
        <w:rPr>
          <w:rFonts w:ascii="Book Antiqua" w:hAnsi="Book Antiqua"/>
          <w:lang w:val="en-US"/>
        </w:rPr>
        <w:t xml:space="preserve"> association</w:t>
      </w:r>
      <w:r w:rsidR="00C85F14" w:rsidRPr="00425573">
        <w:rPr>
          <w:rFonts w:ascii="Book Antiqua" w:hAnsi="Book Antiqua"/>
          <w:lang w:val="en-US"/>
        </w:rPr>
        <w:t xml:space="preserve"> with T2D and PD should be further investigated</w:t>
      </w:r>
      <w:r w:rsidR="00BC0BF0" w:rsidRPr="00425573">
        <w:rPr>
          <w:rFonts w:ascii="Book Antiqua" w:hAnsi="Book Antiqua"/>
          <w:lang w:val="en-US"/>
        </w:rPr>
        <w:t xml:space="preserve"> </w:t>
      </w:r>
      <w:r w:rsidR="009B79FD" w:rsidRPr="00425573">
        <w:rPr>
          <w:rFonts w:ascii="Book Antiqua" w:hAnsi="Book Antiqua"/>
          <w:lang w:val="en-US"/>
        </w:rPr>
        <w:t xml:space="preserve">in </w:t>
      </w:r>
      <w:r w:rsidR="00B642D0" w:rsidRPr="00425573">
        <w:rPr>
          <w:rFonts w:ascii="Book Antiqua" w:hAnsi="Book Antiqua"/>
          <w:lang w:val="en-US"/>
        </w:rPr>
        <w:t>larger cohorts</w:t>
      </w:r>
      <w:r w:rsidR="008A1E19" w:rsidRPr="00425573">
        <w:rPr>
          <w:rFonts w:ascii="Book Antiqua" w:hAnsi="Book Antiqua"/>
          <w:lang w:val="en-US"/>
        </w:rPr>
        <w:t xml:space="preserve"> and different populations</w:t>
      </w:r>
      <w:r w:rsidR="00B642D0" w:rsidRPr="00425573">
        <w:rPr>
          <w:rFonts w:ascii="Book Antiqua" w:hAnsi="Book Antiqua"/>
          <w:lang w:val="en-US"/>
        </w:rPr>
        <w:t>.</w:t>
      </w:r>
      <w:r w:rsidR="006215D2" w:rsidRPr="00425573">
        <w:rPr>
          <w:rFonts w:ascii="Book Antiqua" w:hAnsi="Book Antiqua"/>
          <w:lang w:val="en-US"/>
        </w:rPr>
        <w:t xml:space="preserve"> Furthermore, </w:t>
      </w:r>
      <w:r w:rsidR="00C43D13" w:rsidRPr="00425573">
        <w:rPr>
          <w:rFonts w:ascii="Book Antiqua" w:hAnsi="Book Antiqua"/>
          <w:lang w:val="en-US"/>
        </w:rPr>
        <w:t>four</w:t>
      </w:r>
      <w:r w:rsidR="006215D2" w:rsidRPr="00425573">
        <w:rPr>
          <w:rFonts w:ascii="Book Antiqua" w:hAnsi="Book Antiqua"/>
          <w:lang w:val="en-US"/>
        </w:rPr>
        <w:t xml:space="preserve"> different genes, namely </w:t>
      </w:r>
      <w:r w:rsidR="006215D2" w:rsidRPr="00425573">
        <w:rPr>
          <w:rFonts w:ascii="Book Antiqua" w:hAnsi="Book Antiqua"/>
          <w:i/>
          <w:lang w:val="en-US"/>
        </w:rPr>
        <w:t>KANSL1</w:t>
      </w:r>
      <w:r w:rsidR="006215D2" w:rsidRPr="00425573">
        <w:rPr>
          <w:rFonts w:ascii="Book Antiqua" w:hAnsi="Book Antiqua"/>
          <w:lang w:val="en-US"/>
        </w:rPr>
        <w:t xml:space="preserve">, </w:t>
      </w:r>
      <w:r w:rsidR="006215D2" w:rsidRPr="00425573">
        <w:rPr>
          <w:rFonts w:ascii="Book Antiqua" w:hAnsi="Book Antiqua"/>
          <w:i/>
          <w:lang w:val="en-US"/>
        </w:rPr>
        <w:t>CXCR4</w:t>
      </w:r>
      <w:r w:rsidR="006215D2" w:rsidRPr="00425573">
        <w:rPr>
          <w:rFonts w:ascii="Book Antiqua" w:hAnsi="Book Antiqua"/>
          <w:lang w:val="en-US"/>
        </w:rPr>
        <w:t xml:space="preserve">, </w:t>
      </w:r>
      <w:r w:rsidR="00533B6E" w:rsidRPr="00425573">
        <w:rPr>
          <w:rFonts w:ascii="Book Antiqua" w:hAnsi="Book Antiqua"/>
          <w:i/>
          <w:lang w:val="en-US"/>
        </w:rPr>
        <w:t>MAP3K14</w:t>
      </w:r>
      <w:r w:rsidR="00C43D13" w:rsidRPr="00425573">
        <w:rPr>
          <w:rFonts w:ascii="Book Antiqua" w:hAnsi="Book Antiqua"/>
          <w:lang w:val="en-US"/>
        </w:rPr>
        <w:t xml:space="preserve"> and</w:t>
      </w:r>
      <w:r w:rsidR="00533B6E" w:rsidRPr="00425573">
        <w:rPr>
          <w:rFonts w:ascii="Book Antiqua" w:hAnsi="Book Antiqua"/>
          <w:lang w:val="en-US"/>
        </w:rPr>
        <w:t xml:space="preserve"> </w:t>
      </w:r>
      <w:r w:rsidR="00533B6E" w:rsidRPr="00425573">
        <w:rPr>
          <w:rFonts w:ascii="Book Antiqua" w:hAnsi="Book Antiqua"/>
          <w:i/>
          <w:lang w:val="en-US"/>
        </w:rPr>
        <w:t>CRHR1</w:t>
      </w:r>
      <w:r w:rsidR="00533B6E" w:rsidRPr="00425573">
        <w:rPr>
          <w:rFonts w:ascii="Book Antiqua" w:hAnsi="Book Antiqua"/>
          <w:lang w:val="en-US"/>
        </w:rPr>
        <w:t xml:space="preserve">, </w:t>
      </w:r>
      <w:r w:rsidR="00021083" w:rsidRPr="00425573">
        <w:rPr>
          <w:rFonts w:ascii="Book Antiqua" w:hAnsi="Book Antiqua"/>
          <w:lang w:val="en-US"/>
        </w:rPr>
        <w:t xml:space="preserve">were found to be shared between PD and </w:t>
      </w:r>
      <w:r w:rsidR="00C43D13" w:rsidRPr="00425573">
        <w:rPr>
          <w:rFonts w:ascii="Book Antiqua" w:hAnsi="Book Antiqua"/>
          <w:lang w:val="en-US"/>
        </w:rPr>
        <w:t>t</w:t>
      </w:r>
      <w:r w:rsidR="00021083" w:rsidRPr="00425573">
        <w:rPr>
          <w:rFonts w:ascii="Book Antiqua" w:hAnsi="Book Antiqua"/>
          <w:lang w:val="en-US"/>
        </w:rPr>
        <w:t xml:space="preserve">ype 1 </w:t>
      </w:r>
      <w:r w:rsidR="00C43D13" w:rsidRPr="00425573">
        <w:rPr>
          <w:rFonts w:ascii="Book Antiqua" w:hAnsi="Book Antiqua"/>
          <w:lang w:val="en-US"/>
        </w:rPr>
        <w:t>d</w:t>
      </w:r>
      <w:r w:rsidR="00021083" w:rsidRPr="00425573">
        <w:rPr>
          <w:rFonts w:ascii="Book Antiqua" w:hAnsi="Book Antiqua"/>
          <w:lang w:val="en-US"/>
        </w:rPr>
        <w:t>iabetes in a study aim</w:t>
      </w:r>
      <w:r w:rsidR="00C43D13" w:rsidRPr="00425573">
        <w:rPr>
          <w:rFonts w:ascii="Book Antiqua" w:hAnsi="Book Antiqua"/>
          <w:lang w:val="en-US"/>
        </w:rPr>
        <w:t>ing</w:t>
      </w:r>
      <w:r w:rsidR="00CB62A0" w:rsidRPr="00425573">
        <w:rPr>
          <w:rFonts w:ascii="Book Antiqua" w:hAnsi="Book Antiqua"/>
          <w:lang w:val="en-US"/>
        </w:rPr>
        <w:t xml:space="preserve"> to evaluate the </w:t>
      </w:r>
      <w:r w:rsidR="00015AFD" w:rsidRPr="00425573">
        <w:rPr>
          <w:rFonts w:ascii="Book Antiqua" w:hAnsi="Book Antiqua"/>
          <w:lang w:val="en-US"/>
        </w:rPr>
        <w:t>common</w:t>
      </w:r>
      <w:r w:rsidR="00021083" w:rsidRPr="00425573">
        <w:rPr>
          <w:rFonts w:ascii="Book Antiqua" w:hAnsi="Book Antiqua"/>
          <w:lang w:val="en-US"/>
        </w:rPr>
        <w:t xml:space="preserve"> risk factors </w:t>
      </w:r>
      <w:r w:rsidR="00015AFD" w:rsidRPr="00425573">
        <w:rPr>
          <w:rFonts w:ascii="Book Antiqua" w:hAnsi="Book Antiqua"/>
          <w:lang w:val="en-US"/>
        </w:rPr>
        <w:t>between</w:t>
      </w:r>
      <w:r w:rsidR="00021083" w:rsidRPr="00425573">
        <w:rPr>
          <w:rFonts w:ascii="Book Antiqua" w:hAnsi="Book Antiqua"/>
          <w:lang w:val="en-US"/>
        </w:rPr>
        <w:t xml:space="preserve"> PD and autoimmune disorders</w:t>
      </w:r>
      <w:r w:rsidR="009019BE"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{"citationID":"Iwqo4fka","properties":{"formattedCitation":"\\super [50]\\nosupersub{}","plainCitation":"[50]","noteIndex":0},"citationItems":[{"id":196,"uris":["http://zotero.org/groups/2394923/items/6AS5I76I"],"uri":["http://zotero.org/groups/2394923/items/6AS5I76I"],"itemData":{"id":196,"type":"article-journal","abstract":"Importance: Recent genome-wide association studies (GWAS) and pathway analyses supported long-standing observations of an association between immune-mediated diseases and Parkinson disease (PD). The post-GWAS era provides an opportunity for cross-phenotype analyses between different complex phenotypes.\nObjectives: To test the hypothesis that there are common genetic risk variants conveying risk of both PD and autoimmune diseases (ie, pleiotropy) and to identify new shared genetic variants and their pathways by applying a novel statistical framework in a genome-wide approach.\nDesign, Setting, and Participants: Using the conjunction false discovery rate method, this study analyzed GWAS data from a selection of archetypal autoimmune diseases among 138</w:instrText>
      </w:r>
      <w:r w:rsidR="00D47A11" w:rsidRPr="00425573">
        <w:rPr>
          <w:rFonts w:ascii="Times New Roman" w:hAnsi="Times New Roman" w:cs="Times New Roman"/>
          <w:lang w:val="en-US"/>
        </w:rPr>
        <w:instrText> </w:instrText>
      </w:r>
      <w:r w:rsidR="00D47A11" w:rsidRPr="00425573">
        <w:rPr>
          <w:rFonts w:ascii="Book Antiqua" w:hAnsi="Book Antiqua"/>
          <w:lang w:val="en-US"/>
        </w:rPr>
        <w:instrText xml:space="preserve">511 individuals of European ancestry and systemically investigated pleiotropy between PD and type 1 diabetes, Crohn disease, ulcerative colitis, rheumatoid arthritis, celiac disease, psoriasis, and multiple sclerosis. NeuroX data (6927 PD cases and 6108 controls) were used for replication. The study investigated the biological correlation between the top loci through protein-protein interaction and changes in the gene expression and methylation levels. The dates of the analysis were June 10, 2015, to March 4, 2017.\nMain Outcomes and Measures: The primary outcome was a list of novel loci and their pathways involved in PD and autoimmune diseases.\nResults: Genome-wide conjunctional analysis identified 17 novel loci at false discovery rate less than 0.05 with overlap between PD and autoimmune diseases, including known PD loci adjacent to GAK, HLA-DRB5, LRRK2, and MAPT for rheumatoid arthritis, ulcerative colitis and Crohn disease. Replication confirmed the involvement of HLA, LRRK2, MAPT, TRIM10, and SETD1A in PD. Among the novel genes discovered, WNT3, KANSL1, CRHR1, BOLA2, and GUCY1A3 are within a protein-protein interaction network with known PD genes. A subset of novel loci was significantly associated with changes in methylation or expression levels of adjacent genes.\nConclusions and Relevance: The study findings provide novel mechanistic insights into PD and autoimmune diseases and identify a common genetic pathway between these phenotypes. The results may have implications for future therapeutic trials involving anti-inflammatory agents.","container-title":"JAMA neurology","DOI":"10.1001/jamaneurol.2017.0469","ISSN":"2168-6157","issue":"7","journalAbbreviation":"JAMA Neurol","language":"eng","note":"PMID: 28586827\nPMCID: PMC5710535","page":"780-792","source":"PubMed","title":"Genome-wide Pleiotropy Between Parkinson Disease and Autoimmune Diseases","volume":"74","author":[{"family":"Witoelar","given":"Aree"},{"family":"Jansen","given":"Iris E."},{"family":"Wang","given":"Yunpeng"},{"family":"Desikan","given":"Rahul S."},{"family":"Gibbs","given":"J. Raphael"},{"family":"Blauwendraat","given":"Cornelis"},{"family":"Thompson","given":"Wesley K."},{"family":"Hernandez","given":"Dena G."},{"family":"Djurovic","given":"Srdjan"},{"family":"Schork","given":"Andrew J."},{"family":"Bettella","given":"Francesco"},{"family":"Ellinghaus","given":"David"},{"family":"Franke","given":"Andre"},{"family":"Lie","given":"Benedicte A."},{"family":"McEvoy","given":"Linda K."},{"family":"Karlsen","given":"Tom H."},{"family":"Lesage","given":"Suzanne"},{"family":"Morris","given":"Huw R."},{"family":"Brice","given":"Alexis"},{"family":"Wood","given":"Nicholas W."},{"family":"Heutink","given":"Peter"},{"family":"Hardy","given":"John"},{"family":"Singleton","given":"Andrew B."},{"family":"Dale","given":"Anders M."},{"family":"Gasser","given":"Thomas"},{"family":"Andreassen","given":"Ole A."},{"family":"Sharma","given":"Manu"},{"literal":"International Parkinson’s Disease Genomics Consortium (IPDGC), North American Brain Expression Consortium (NABEC), and United Kingdom Brain Expression Consortium (UKBEC) Investigators"}],"issued":{"date-parts":[["2017"]],"season":"01"}}}],"schema":"https://github.com/citation-style-language/schema/raw/master/csl-citation.json"} </w:instrText>
      </w:r>
      <w:r w:rsidR="009019BE" w:rsidRPr="00425573">
        <w:rPr>
          <w:rFonts w:ascii="Book Antiqua" w:hAnsi="Book Antiqua"/>
          <w:lang w:val="en-US"/>
        </w:rPr>
        <w:fldChar w:fldCharType="separate"/>
      </w:r>
      <w:r w:rsidR="00D47A11" w:rsidRPr="00425573">
        <w:rPr>
          <w:rFonts w:ascii="Book Antiqua" w:hAnsi="Book Antiqua"/>
          <w:vertAlign w:val="superscript"/>
        </w:rPr>
        <w:t>[50]</w:t>
      </w:r>
      <w:r w:rsidR="009019BE" w:rsidRPr="00425573">
        <w:rPr>
          <w:rFonts w:ascii="Book Antiqua" w:hAnsi="Book Antiqua"/>
          <w:lang w:val="en-US"/>
        </w:rPr>
        <w:fldChar w:fldCharType="end"/>
      </w:r>
      <w:r w:rsidR="00787283" w:rsidRPr="00425573">
        <w:rPr>
          <w:rFonts w:ascii="Book Antiqua" w:hAnsi="Book Antiqua"/>
          <w:lang w:val="en-US"/>
        </w:rPr>
        <w:t xml:space="preserve"> (Table 1).</w:t>
      </w:r>
      <w:r w:rsidR="006215D2" w:rsidRPr="00425573">
        <w:rPr>
          <w:rFonts w:ascii="Book Antiqua" w:hAnsi="Book Antiqua"/>
          <w:lang w:val="en-US"/>
        </w:rPr>
        <w:t xml:space="preserve"> Intriguingly, </w:t>
      </w:r>
      <w:r w:rsidR="00B95ADB" w:rsidRPr="00425573">
        <w:rPr>
          <w:rFonts w:ascii="Book Antiqua" w:hAnsi="Book Antiqua"/>
          <w:i/>
          <w:lang w:val="en-US"/>
        </w:rPr>
        <w:t>CXCR4</w:t>
      </w:r>
      <w:r w:rsidR="00B95ADB" w:rsidRPr="00425573">
        <w:rPr>
          <w:rFonts w:ascii="Book Antiqua" w:hAnsi="Book Antiqua"/>
          <w:lang w:val="en-US"/>
        </w:rPr>
        <w:t xml:space="preserve"> and </w:t>
      </w:r>
      <w:r w:rsidR="00D81932" w:rsidRPr="00425573">
        <w:rPr>
          <w:rFonts w:ascii="Book Antiqua" w:hAnsi="Book Antiqua"/>
          <w:i/>
          <w:lang w:val="en-US"/>
        </w:rPr>
        <w:t>MAP3K14</w:t>
      </w:r>
      <w:r w:rsidR="00D81932" w:rsidRPr="00425573">
        <w:rPr>
          <w:rFonts w:ascii="Book Antiqua" w:hAnsi="Book Antiqua"/>
          <w:lang w:val="en-US"/>
        </w:rPr>
        <w:t xml:space="preserve"> </w:t>
      </w:r>
      <w:r w:rsidR="00D51EEB" w:rsidRPr="00425573">
        <w:rPr>
          <w:rFonts w:ascii="Book Antiqua" w:hAnsi="Book Antiqua"/>
          <w:lang w:val="en-US"/>
        </w:rPr>
        <w:t>are involved</w:t>
      </w:r>
      <w:r w:rsidR="004E47E5" w:rsidRPr="00425573">
        <w:rPr>
          <w:rFonts w:ascii="Book Antiqua" w:hAnsi="Book Antiqua"/>
          <w:lang w:val="en-US"/>
        </w:rPr>
        <w:t xml:space="preserve"> in </w:t>
      </w:r>
      <w:r w:rsidR="00CB62A0" w:rsidRPr="00425573">
        <w:rPr>
          <w:rFonts w:ascii="Book Antiqua" w:hAnsi="Book Antiqua"/>
          <w:lang w:val="en-US"/>
        </w:rPr>
        <w:t xml:space="preserve">the regulation of </w:t>
      </w:r>
      <w:r w:rsidR="001625E9" w:rsidRPr="00425573">
        <w:rPr>
          <w:rFonts w:ascii="Book Antiqua" w:hAnsi="Book Antiqua"/>
          <w:lang w:val="en-US"/>
        </w:rPr>
        <w:t>neuronal inflammatory responses</w:t>
      </w:r>
      <w:r w:rsidR="005A14BA" w:rsidRPr="00425573">
        <w:rPr>
          <w:rFonts w:ascii="Book Antiqua" w:hAnsi="Book Antiqua"/>
          <w:lang w:val="en-US"/>
        </w:rPr>
        <w:t>.</w:t>
      </w:r>
      <w:r w:rsidR="006D17E3" w:rsidRPr="00425573">
        <w:rPr>
          <w:rFonts w:ascii="Book Antiqua" w:hAnsi="Book Antiqua"/>
          <w:lang w:val="en-US"/>
        </w:rPr>
        <w:t xml:space="preserve"> </w:t>
      </w:r>
      <w:r w:rsidR="005A14BA" w:rsidRPr="00425573">
        <w:rPr>
          <w:rFonts w:ascii="Book Antiqua" w:hAnsi="Book Antiqua"/>
          <w:lang w:val="en-US"/>
        </w:rPr>
        <w:t>I</w:t>
      </w:r>
      <w:r w:rsidR="00291FF9" w:rsidRPr="00425573">
        <w:rPr>
          <w:rFonts w:ascii="Book Antiqua" w:hAnsi="Book Antiqua"/>
          <w:lang w:val="en-US"/>
        </w:rPr>
        <w:t>n particular</w:t>
      </w:r>
      <w:r w:rsidR="00967F8F" w:rsidRPr="00425573">
        <w:rPr>
          <w:rFonts w:ascii="Book Antiqua" w:hAnsi="Book Antiqua"/>
          <w:lang w:val="en-US"/>
        </w:rPr>
        <w:t xml:space="preserve">, </w:t>
      </w:r>
      <w:r w:rsidR="00967F8F" w:rsidRPr="00425573">
        <w:rPr>
          <w:rFonts w:ascii="Book Antiqua" w:hAnsi="Book Antiqua"/>
          <w:i/>
          <w:lang w:val="en-US"/>
        </w:rPr>
        <w:t>CXCR4</w:t>
      </w:r>
      <w:r w:rsidR="00967F8F" w:rsidRPr="00425573">
        <w:rPr>
          <w:rFonts w:ascii="Book Antiqua" w:hAnsi="Book Antiqua"/>
          <w:lang w:val="en-US"/>
        </w:rPr>
        <w:t xml:space="preserve"> </w:t>
      </w:r>
      <w:r w:rsidR="00291FF9" w:rsidRPr="00425573">
        <w:rPr>
          <w:rFonts w:ascii="Book Antiqua" w:hAnsi="Book Antiqua"/>
          <w:lang w:val="en-US"/>
        </w:rPr>
        <w:t xml:space="preserve">is involved in microglia recruitment, neuronal guidance and neurodevelopmental </w:t>
      </w:r>
      <w:r w:rsidR="009019BE" w:rsidRPr="00425573">
        <w:rPr>
          <w:rFonts w:ascii="Book Antiqua" w:hAnsi="Book Antiqua"/>
          <w:lang w:val="en-US"/>
        </w:rPr>
        <w:t>processes</w:t>
      </w:r>
      <w:r w:rsidR="009019BE"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{"citationID":"ovr2vS1l","properties":{"formattedCitation":"\\super [51]\\nosupersub{}","plainCitation":"[51]","noteIndex":0},"citationItems":[{"id":192,"uris":["http://zotero.org/groups/2394923/items/HN9QFNHF"],"uri":["http://zotero.org/groups/2394923/items/HN9QFNHF"],"itemData":{"id":192,"type":"article-journal","abstract":"Neurodegenerative diseases likely share common underlying pathobiology. Although prior work has identified susceptibility loci associated with various dementias, few, if any, studies have systematically evaluated shared genetic risk across several neurodegenerative diseases. Using genome-wide association data from large studies (total n</w:instrText>
      </w:r>
      <w:r w:rsidR="00D47A11" w:rsidRPr="00425573">
        <w:rPr>
          <w:rFonts w:ascii="MS Gothic" w:hAnsi="MS Gothic" w:cs="MS Gothic"/>
          <w:lang w:val="en-US"/>
        </w:rPr>
        <w:instrText> </w:instrText>
      </w:r>
      <w:r w:rsidR="00D47A11" w:rsidRPr="00425573">
        <w:rPr>
          <w:rFonts w:ascii="Book Antiqua" w:hAnsi="Book Antiqua"/>
          <w:lang w:val="en-US"/>
        </w:rPr>
        <w:instrText>=</w:instrText>
      </w:r>
      <w:r w:rsidR="00D47A11" w:rsidRPr="00425573">
        <w:rPr>
          <w:rFonts w:ascii="MS Gothic" w:hAnsi="MS Gothic" w:cs="MS Gothic"/>
          <w:lang w:val="en-US"/>
        </w:rPr>
        <w:instrText> </w:instrText>
      </w:r>
      <w:r w:rsidR="00D47A11" w:rsidRPr="00425573">
        <w:rPr>
          <w:rFonts w:ascii="Book Antiqua" w:hAnsi="Book Antiqua"/>
          <w:lang w:val="en-US"/>
        </w:rPr>
        <w:instrText xml:space="preserve">82,337 cases and controls), we utilized a previously validated approach to identify genetic overlap and reveal common pathways between progressive supranuclear palsy (PSP), frontotemporal dementia (FTD), Parkinson's disease (PD) and Alzheimer's disease (AD). In addition to the MAPT H1 haplotype, we identified a variant near the chemokine receptor CXCR4 that was jointly associated with increased risk for PSP and PD. Using bioinformatics tools, we found strong physical interactions between CXCR4 and four microglia related genes, namely CXCL12, TLR2, RALB, and CCR5. Evaluating gene expression from post-mortem brain tissue, we found that expression of CXCR4 and microglial genes functionally related to CXCR4 was dysregulated across a number of neurodegenerative diseases. Furthermore, in a mouse model of tauopathy, expression of CXCR4 and functionally associated genes was significantly altered in regions of the mouse brain that accumulate neurofibrillary tangles most robustly. Beyond MAPT, we show dysregulation of CXCR4 expression in PSP, PD, and FTD brains, and mouse models of tau pathology. Our multi-modal findings suggest that abnormal signaling across a 'network' of microglial genes may contribute to neurodegeneration and may have potential implications for clinical trials targeting immune dysfunction in patients with neurodegenerative diseases.","container-title":"Translational Psychiatry","DOI":"10.1038/s41398-017-0049-7","ISSN":"2158-3188","issue":"1","journalAbbreviation":"Transl Psychiatry","language":"eng","note":"PMID: 29636460\nPMCID: PMC5893558","page":"73","source":"PubMed","title":"CXCR4 involvement in neurodegenerative diseases","volume":"8","author":[{"family":"Bonham","given":"Luke W."},{"family":"Karch","given":"Celeste M."},{"family":"Fan","given":"Chun C."},{"family":"Tan","given":"Chin"},{"family":"Geier","given":"Ethan G."},{"family":"Wang","given":"Yunpeng"},{"family":"Wen","given":"Natalie"},{"family":"Broce","given":"Iris J."},{"family":"Li","given":"Yi"},{"family":"Barkovich","given":"Matthew J."},{"family":"Ferrari","given":"Raffaele"},{"family":"Hardy","given":"John"},{"family":"Momeni","given":"Parastoo"},{"family":"Höglinger","given":"Günter"},{"family":"Müller","given":"Ulrich"},{"family":"Hess","given":"Christopher P."},{"family":"Sugrue","given":"Leo P."},{"family":"Dillon","given":"William P."},{"family":"Schellenberg","given":"Gerard D."},{"family":"Miller","given":"Bruce L."},{"family":"Andreassen","given":"Ole A."},{"family":"Dale","given":"Anders M."},{"family":"Barkovich","given":"A. James"},{"family":"Yokoyama","given":"Jennifer S."},{"family":"Desikan","given":"Rahul S."},{"literal":"International FTD-Genomics Consortium (IFGC)"},{"literal":"International Parkinson’s Disease Genetics Consortium (IPDGC)"},{"literal":"International Genomics of Alzheimer’s Project (IGAP)"}],"issued":{"date-parts":[["2018"]],"season":"11"}}}],"schema":"https://github.com/citation-style-language/schema/raw/master/csl-citation.json"} </w:instrText>
      </w:r>
      <w:r w:rsidR="009019BE" w:rsidRPr="00425573">
        <w:rPr>
          <w:rFonts w:ascii="Book Antiqua" w:hAnsi="Book Antiqua"/>
          <w:lang w:val="en-US"/>
        </w:rPr>
        <w:fldChar w:fldCharType="separate"/>
      </w:r>
      <w:r w:rsidR="00D47A11" w:rsidRPr="00425573">
        <w:rPr>
          <w:rFonts w:ascii="Book Antiqua" w:hAnsi="Book Antiqua"/>
          <w:vertAlign w:val="superscript"/>
        </w:rPr>
        <w:t>[51]</w:t>
      </w:r>
      <w:r w:rsidR="009019BE" w:rsidRPr="00425573">
        <w:rPr>
          <w:rFonts w:ascii="Book Antiqua" w:hAnsi="Book Antiqua"/>
          <w:lang w:val="en-US"/>
        </w:rPr>
        <w:fldChar w:fldCharType="end"/>
      </w:r>
      <w:r w:rsidR="00133118" w:rsidRPr="00425573">
        <w:rPr>
          <w:rFonts w:ascii="Book Antiqua" w:hAnsi="Book Antiqua"/>
          <w:lang w:val="en-US"/>
        </w:rPr>
        <w:t xml:space="preserve">, whereas </w:t>
      </w:r>
      <w:r w:rsidR="00133118" w:rsidRPr="00425573">
        <w:rPr>
          <w:rFonts w:ascii="Book Antiqua" w:hAnsi="Book Antiqua"/>
          <w:i/>
          <w:lang w:val="en-US"/>
        </w:rPr>
        <w:t>MAP3K14</w:t>
      </w:r>
      <w:r w:rsidR="00A03921" w:rsidRPr="00425573">
        <w:rPr>
          <w:rFonts w:ascii="Book Antiqua" w:hAnsi="Book Antiqua"/>
          <w:lang w:val="en-US"/>
        </w:rPr>
        <w:t xml:space="preserve"> mediates NF</w:t>
      </w:r>
      <w:r w:rsidR="005A14BA" w:rsidRPr="00425573">
        <w:rPr>
          <w:rFonts w:ascii="Book Antiqua" w:hAnsi="Book Antiqua" w:cs="Lucida Grande"/>
          <w:lang w:val="en-US"/>
        </w:rPr>
        <w:t></w:t>
      </w:r>
      <w:r w:rsidR="00133118" w:rsidRPr="00425573">
        <w:rPr>
          <w:rFonts w:ascii="Book Antiqua" w:hAnsi="Book Antiqua"/>
          <w:lang w:val="en-US"/>
        </w:rPr>
        <w:t xml:space="preserve">B </w:t>
      </w:r>
      <w:r w:rsidR="00015AFD" w:rsidRPr="00425573">
        <w:rPr>
          <w:rFonts w:ascii="Book Antiqua" w:hAnsi="Book Antiqua"/>
          <w:lang w:val="en-US"/>
        </w:rPr>
        <w:t>signaling (involved in immunological cytotoxicity)</w:t>
      </w:r>
      <w:r w:rsidR="00133118" w:rsidRPr="00425573">
        <w:rPr>
          <w:rFonts w:ascii="Book Antiqua" w:hAnsi="Book Antiqua"/>
          <w:lang w:val="en-US"/>
        </w:rPr>
        <w:t xml:space="preserve"> in brain </w:t>
      </w:r>
      <w:r w:rsidR="00015AFD" w:rsidRPr="00425573">
        <w:rPr>
          <w:rFonts w:ascii="Book Antiqua" w:hAnsi="Book Antiqua"/>
          <w:lang w:val="en-US"/>
        </w:rPr>
        <w:t>neurons</w:t>
      </w:r>
      <w:r w:rsidR="009019BE"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{"citationID":"vA73lQm7","properties":{"formattedCitation":"\\super [52]\\nosupersub{}","plainCitation":"[52]","noteIndex":0},"citationItems":[{"id":191,"uris":["http://zotero.org/groups/2394923/items/43XTAXY5"],"uri":["http://zotero.org/groups/2394923/items/43XTAXY5"],"itemData":{"id":191,"type":"article-journal","abstract":"The control of NFκB in CNS neurons appears to differ from that in other cell types. Studies have reported induction of NFκB in neuronal cultures and immunostaining in vivo, but others have consistently detected little or no transcriptional activation by NFκB in brain neurons. To test if neurons lack some component of the signal transduction system for NFκB activation, we transfected cortical neurons with several members of this signaling system along with a luciferase-based NFκB-reporter plasmid; RelA was cotransfected in some conditions. No component of the NFκB pathway was permissive for endogenous NFκB activity, and none stimulated the activity of exogenous RelA. Surprisingly, however, the latter was inhibited by cotransfection of NFκB-inducing kinase (NIK). Fluorescence imaging of RelA indicated that co-expression of NIK sequestered RelA in the cytoplasm, similar to the effect of IκBα. NIK-knockout mice showed elevated expression of an NFκB-reporter construct in neurons in vivo. Cortical neurons cultured from NIK-knockout mice showed elevated expression of an NFκB-reporter transgene. Consistent with data from other cell types, a C-terminal fragment of NIK suppressed RelA activity in astrocytes as well as neurons. Therefore, the inhibitory ability of the NIK C-terminus was unbiased with regard to cell type. However, inhibition of NFκB by full-length NIK is a novel outcome that appears to be specific to CNS neurons. This has implications for unique aspects of transcription in the CNS, perhaps relevant to aspects of development, neuroplasticity, and neuroinflammation. Full-length NIK was found to inhibit (down arrow) transcriptional activation of NFκB in neurons, while it elevated (up arrow) activity in astrocytes. Deletion constructs corresponding to the N-terminus or C-terminus also inhibited NFκB in neurons, while only the C-terminus did so in astrocytes. One possible explanation is that the inhibition in neurons occurs via two different mechanisms, including the potential for a neuron-specific protein (e.g., one of the 14-3-3 class) to create a novel complex in neurons, whereas the C-terminus may interact directly with NFκB. [Structure of NIK is based on Liu J., Sudom A., Min X., Cao Z., Gao X., Ayres M., Lee F., Cao P., Johnstone S., Plotnikova O., Walker N., Chen G., and Wang Z. (2012) Structure of the nuclear factor κB-inducing kinase (NIK) kinase domain reveals a constitutively active conformation. J Biol Chem. 287, 27326-27334); N-terminal lobe is oriented at top].","container-title":"Journal of Neurochemistry","DOI":"10.1111/jnc.13526","ISSN":"1471-4159","issue":"2","journalAbbreviation":"J. Neurochem.","language":"eng","note":"PMID: 26778773\nPMCID: PMC5115916","page":"154-163","source":"PubMed","title":"NFκB-inducing kinase inhibits NFκB activity specifically in neurons of the CNS","volume":"137","author":[{"family":"Mao","given":"Xianrong"},{"family":"Phanavanh","given":"Bounleut"},{"family":"Hamdan","given":"Hamdan"},{"family":"Moerman-Herzog","given":"Andréa M."},{"family":"Barger","given":"Steven W."}],"issued":{"date-parts":[["2016",4]]}}}],"schema":"https://github.com/citation-style-language/schema/raw/master/csl-citation.json"} </w:instrText>
      </w:r>
      <w:r w:rsidR="009019BE" w:rsidRPr="00425573">
        <w:rPr>
          <w:rFonts w:ascii="Book Antiqua" w:hAnsi="Book Antiqua"/>
          <w:lang w:val="en-US"/>
        </w:rPr>
        <w:fldChar w:fldCharType="separate"/>
      </w:r>
      <w:r w:rsidR="00E80BAA" w:rsidRPr="00425573">
        <w:rPr>
          <w:rFonts w:ascii="Book Antiqua" w:hAnsi="Book Antiqua"/>
          <w:vertAlign w:val="superscript"/>
        </w:rPr>
        <w:t>[52]</w:t>
      </w:r>
      <w:r w:rsidR="009019BE" w:rsidRPr="00425573">
        <w:rPr>
          <w:rFonts w:ascii="Book Antiqua" w:hAnsi="Book Antiqua"/>
          <w:lang w:val="en-US"/>
        </w:rPr>
        <w:fldChar w:fldCharType="end"/>
      </w:r>
      <w:r w:rsidR="009019BE" w:rsidRPr="00425573">
        <w:rPr>
          <w:rFonts w:ascii="Book Antiqua" w:hAnsi="Book Antiqua"/>
          <w:lang w:val="en-US"/>
        </w:rPr>
        <w:t xml:space="preserve">. </w:t>
      </w:r>
      <w:r w:rsidR="009D5442" w:rsidRPr="00425573">
        <w:rPr>
          <w:rFonts w:ascii="Book Antiqua" w:hAnsi="Book Antiqua"/>
          <w:lang w:val="en-US"/>
        </w:rPr>
        <w:t xml:space="preserve">Moreover, </w:t>
      </w:r>
      <w:r w:rsidR="00C43D13" w:rsidRPr="00425573">
        <w:rPr>
          <w:rFonts w:ascii="Book Antiqua" w:hAnsi="Book Antiqua"/>
          <w:lang w:val="en-US"/>
        </w:rPr>
        <w:t xml:space="preserve">the </w:t>
      </w:r>
      <w:r w:rsidR="009D5442" w:rsidRPr="00425573">
        <w:rPr>
          <w:rFonts w:ascii="Book Antiqua" w:hAnsi="Book Antiqua"/>
          <w:lang w:val="en-US"/>
        </w:rPr>
        <w:t xml:space="preserve">CXCR4 protein has been found </w:t>
      </w:r>
      <w:r w:rsidR="00C43D13" w:rsidRPr="00425573">
        <w:rPr>
          <w:rFonts w:ascii="Book Antiqua" w:hAnsi="Book Antiqua"/>
          <w:lang w:val="en-US"/>
        </w:rPr>
        <w:t xml:space="preserve">to be </w:t>
      </w:r>
      <w:r w:rsidR="009D5442" w:rsidRPr="00425573">
        <w:rPr>
          <w:rFonts w:ascii="Book Antiqua" w:hAnsi="Book Antiqua"/>
          <w:lang w:val="en-US"/>
        </w:rPr>
        <w:t xml:space="preserve">overexpressed in a rodent model of </w:t>
      </w:r>
      <w:r w:rsidR="00C43D13" w:rsidRPr="00425573">
        <w:rPr>
          <w:rFonts w:ascii="Book Antiqua" w:hAnsi="Book Antiqua"/>
          <w:lang w:val="en-US"/>
        </w:rPr>
        <w:t>d</w:t>
      </w:r>
      <w:r w:rsidR="009D5442" w:rsidRPr="00425573">
        <w:rPr>
          <w:rFonts w:ascii="Book Antiqua" w:hAnsi="Book Antiqua"/>
          <w:lang w:val="en-US"/>
        </w:rPr>
        <w:t xml:space="preserve">iabetic </w:t>
      </w:r>
      <w:r w:rsidR="00C43D13" w:rsidRPr="00425573">
        <w:rPr>
          <w:rFonts w:ascii="Book Antiqua" w:hAnsi="Book Antiqua"/>
          <w:lang w:val="en-US"/>
        </w:rPr>
        <w:t>n</w:t>
      </w:r>
      <w:r w:rsidR="009D5442" w:rsidRPr="00425573">
        <w:rPr>
          <w:rFonts w:ascii="Book Antiqua" w:hAnsi="Book Antiqua"/>
          <w:lang w:val="en-US"/>
        </w:rPr>
        <w:t xml:space="preserve">europathic </w:t>
      </w:r>
      <w:r w:rsidR="00C43D13" w:rsidRPr="00425573">
        <w:rPr>
          <w:rFonts w:ascii="Book Antiqua" w:hAnsi="Book Antiqua"/>
          <w:lang w:val="en-US"/>
        </w:rPr>
        <w:t>p</w:t>
      </w:r>
      <w:r w:rsidR="009D5442" w:rsidRPr="00425573">
        <w:rPr>
          <w:rFonts w:ascii="Book Antiqua" w:hAnsi="Book Antiqua"/>
          <w:lang w:val="en-US"/>
        </w:rPr>
        <w:t>ain</w:t>
      </w:r>
      <w:r w:rsidR="00600A3C"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{"citationID":"R6XL5nDq","properties":{"formattedCitation":"\\super [53]\\nosupersub{}","plainCitation":"[53]","noteIndex":0},"citationItems":[{"id":193,"uris":["http://zotero.org/groups/2394923/items/FT49IC57"],"uri":["http://zotero.org/groups/2394923/items/FT49IC57"],"itemData":{"id":193,"type":"article-journal","abstract":"Diabetic neuropathic pain (DNP) is a common and serious complication of diabetic patients. The pathogenesis of DNP is largely unclear. The proinflammation proteins, CXCR4, and TNF-α play critical roles in the development of pain, while their relative roles in the development of DNP and especially its progression is unknown. We proposed that establishment of diabetic pain models in rodents and evaluating the stability of behavioral tests are necessary approaches to better understand the mechanism of DNP. In this study, Von Frey and Hargreaves Apparatus was used to analyze the behavioral changes of mechanical allodynia and heat hyperalgesia in streptozotocin-induced diabetic rats at different phases of diabetes. Moreover, CXCR4 and TNF-α of spinal cord dorsal and dorsal root ganglia (DRG) were detected by western blotting and immunostaining over time. The values of paw withdrawal threshold (PWT) and paw withdrawal latencies (PWL) were reduced as early as 1 week in diabetic rats and persistently maintained at lower levels during the progression of diabetes as compared to control rats that were concomitant with significant increases of both CXCR4 and TNF-α protein expressions in the DRG at 2 weeks and 5 weeks (the end of the experiments) of diabetes. By contrast, CXCR4 and TNF-α in the spinal cord dorsal horn did not significantly increase at 2 weeks of diabetes while both were significantly upregulated at 5 weeks of diabetes. The results indicate that central sensitization of spinal cord dorsal may result from persistent peripheral sensitization and suggest a potential reference for further treatment of DNP.","container-title":"Mediators of Inflammation","DOI":"10.1155/2019/4856156","ISSN":"1466-1861","journalAbbreviation":"Mediators Inflamm.","language":"eng","note":"PMID: 31001066\nPMCID: PMC6437743","page":"4856156","source":"PubMed","title":"Progressive Increase of Inflammatory CXCR4 and TNF-Alpha in the Dorsal Root Ganglia and Spinal Cord Maintains Peripheral and Central Sensitization to Diabetic Neuropathic Pain in Rats","volume":"2019","author":[{"family":"Zhu","given":"Dan"},{"family":"Fan","given":"Tingting"},{"family":"Huo","given":"Xinyue"},{"family":"Cui","given":"Jian"},{"family":"Cheung","given":"Chi Wai"},{"family":"Xia","given":"Zhengyuan"}],"issued":{"date-parts":[["2019"]]}}}],"schema":"https://github.com/citation-style-language/schema/raw/master/csl-citation.json"} </w:instrText>
      </w:r>
      <w:r w:rsidR="00600A3C" w:rsidRPr="00425573">
        <w:rPr>
          <w:rFonts w:ascii="Book Antiqua" w:hAnsi="Book Antiqua"/>
          <w:lang w:val="en-US"/>
        </w:rPr>
        <w:fldChar w:fldCharType="separate"/>
      </w:r>
      <w:r w:rsidR="00E80BAA" w:rsidRPr="00425573">
        <w:rPr>
          <w:rFonts w:ascii="Book Antiqua" w:hAnsi="Book Antiqua"/>
          <w:vertAlign w:val="superscript"/>
        </w:rPr>
        <w:t>[53]</w:t>
      </w:r>
      <w:r w:rsidR="00600A3C" w:rsidRPr="00425573">
        <w:rPr>
          <w:rFonts w:ascii="Book Antiqua" w:hAnsi="Book Antiqua"/>
          <w:lang w:val="en-US"/>
        </w:rPr>
        <w:fldChar w:fldCharType="end"/>
      </w:r>
      <w:r w:rsidR="009D5442" w:rsidRPr="00425573">
        <w:rPr>
          <w:rFonts w:ascii="Book Antiqua" w:hAnsi="Book Antiqua"/>
          <w:lang w:val="en-US"/>
        </w:rPr>
        <w:t xml:space="preserve">. </w:t>
      </w:r>
      <w:r w:rsidR="000740ED" w:rsidRPr="00425573">
        <w:rPr>
          <w:rFonts w:ascii="Book Antiqua" w:hAnsi="Book Antiqua"/>
          <w:i/>
          <w:lang w:val="en-US"/>
        </w:rPr>
        <w:t>KANSL1</w:t>
      </w:r>
      <w:r w:rsidR="00EE569C" w:rsidRPr="00425573">
        <w:rPr>
          <w:rFonts w:ascii="Book Antiqua" w:hAnsi="Book Antiqua"/>
          <w:lang w:val="en-US"/>
        </w:rPr>
        <w:t xml:space="preserve"> has been found </w:t>
      </w:r>
      <w:r w:rsidR="00C43D13" w:rsidRPr="00425573">
        <w:rPr>
          <w:rFonts w:ascii="Book Antiqua" w:hAnsi="Book Antiqua"/>
          <w:lang w:val="en-US"/>
        </w:rPr>
        <w:t xml:space="preserve">to be </w:t>
      </w:r>
      <w:r w:rsidR="00EE569C" w:rsidRPr="00425573">
        <w:rPr>
          <w:rFonts w:ascii="Book Antiqua" w:hAnsi="Book Antiqua"/>
          <w:lang w:val="en-US"/>
        </w:rPr>
        <w:t xml:space="preserve">associated with AD, </w:t>
      </w:r>
      <w:r w:rsidR="00D903CE" w:rsidRPr="00425573">
        <w:rPr>
          <w:rFonts w:ascii="Book Antiqua" w:hAnsi="Book Antiqua"/>
          <w:lang w:val="en-US"/>
        </w:rPr>
        <w:t xml:space="preserve">thus </w:t>
      </w:r>
      <w:r w:rsidR="00F80AB7" w:rsidRPr="00425573">
        <w:rPr>
          <w:rFonts w:ascii="Book Antiqua" w:hAnsi="Book Antiqua"/>
          <w:lang w:val="en-US"/>
        </w:rPr>
        <w:t xml:space="preserve">suggesting that the encoded </w:t>
      </w:r>
      <w:r w:rsidR="009D5442" w:rsidRPr="00425573">
        <w:rPr>
          <w:rFonts w:ascii="Book Antiqua" w:hAnsi="Book Antiqua"/>
          <w:lang w:val="en-US"/>
        </w:rPr>
        <w:t>protein</w:t>
      </w:r>
      <w:r w:rsidR="00D903CE" w:rsidRPr="00425573">
        <w:rPr>
          <w:rFonts w:ascii="Book Antiqua" w:hAnsi="Book Antiqua"/>
          <w:lang w:val="en-US"/>
        </w:rPr>
        <w:t xml:space="preserve"> </w:t>
      </w:r>
      <w:r w:rsidR="00F80AB7" w:rsidRPr="00425573">
        <w:rPr>
          <w:rFonts w:ascii="Book Antiqua" w:hAnsi="Book Antiqua"/>
          <w:lang w:val="en-US"/>
        </w:rPr>
        <w:t xml:space="preserve">may </w:t>
      </w:r>
      <w:r w:rsidR="005A14BA" w:rsidRPr="00425573">
        <w:rPr>
          <w:rFonts w:ascii="Book Antiqua" w:hAnsi="Book Antiqua"/>
          <w:lang w:val="en-US"/>
        </w:rPr>
        <w:t xml:space="preserve">take part </w:t>
      </w:r>
      <w:r w:rsidR="00F80AB7" w:rsidRPr="00425573">
        <w:rPr>
          <w:rFonts w:ascii="Book Antiqua" w:hAnsi="Book Antiqua"/>
          <w:lang w:val="en-US"/>
        </w:rPr>
        <w:t>in neuronal development.</w:t>
      </w:r>
      <w:r w:rsidR="009D3FAF" w:rsidRPr="00425573">
        <w:rPr>
          <w:rFonts w:ascii="Book Antiqua" w:hAnsi="Book Antiqua"/>
          <w:lang w:val="en-US"/>
        </w:rPr>
        <w:t xml:space="preserve"> Indeed, KANSL1, as part of the NLS1 complex which regulates histone acetylation, </w:t>
      </w:r>
      <w:r w:rsidR="00D903CE" w:rsidRPr="00425573">
        <w:rPr>
          <w:rFonts w:ascii="Book Antiqua" w:hAnsi="Book Antiqua"/>
          <w:lang w:val="en-US"/>
        </w:rPr>
        <w:t>is mainly involved in the epigenetic regulation of chromatin</w:t>
      </w:r>
      <w:r w:rsidR="0018163B"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{"citationID":"RX00tktd","properties":{"formattedCitation":"\\super [54]\\nosupersub{}","plainCitation":"[54]","noteIndex":0},"citationItems":[{"id":184,"uris":["http://zotero.org/groups/2394923/items/CAM45GGQ"],"uri":["http://zotero.org/groups/2394923/items/CAM45GGQ"],"itemData":{"id":184,"type":"article-journal","abstract":"We show that haploinsufficiency of KANSL1 is sufficient to cause the 17q21.31 microdeletion syndrome, a multisystem disorder characterized by intellectual disability, hypotonia and distinctive facial features. The KANSL1 protein is an evolutionarily conserved regulator of the chromatin modifier KAT8, which influences gene expression through histone H4 lysine 16 (H4K16) acetylation. RNA sequencing studies in cell lines derived from affected individuals and the presence of learning deficits in Drosophila melanogaster mutants suggest a role for KANSL1 in neuronal processes.","container-title":"Nature Genetics","DOI":"10.1038/ng.2262","ISSN":"1546-1718","issue":"6","journalAbbreviation":"Nat. Genet.","language":"eng","note":"PMID: 22544363","page":"639-641","source":"PubMed","title":"Mutations in the chromatin modifier gene KANSL1 cause the 17q21.31 microdeletion syndrome","volume":"44","author":[{"family":"Koolen","given":"David A."},{"family":"Kramer","given":"Jamie M."},{"family":"Neveling","given":"Kornelia"},{"family":"Nillesen","given":"Willy M."},{"family":"Moore-Barton","given":"Heather L."},{"family":"Elmslie","given":"Frances V."},{"family":"Toutain","given":"Annick"},{"family":"Amiel","given":"Jeanne"},{"family":"Malan","given":"Valérie"},{"family":"Tsai","given":"Anne Chun-Hui"},{"family":"Cheung","given":"Sau Wai"},{"family":"Gilissen","given":"Christian"},{"family":"Verwiel","given":"Eugene T. P."},{"family":"Martens","given":"Sarah"},{"family":"Feuth","given":"Ton"},{"family":"Bongers","given":"Ernie M. H. F."},{"family":"Vries","given":"Petra","non-dropping-particle":"de"},{"family":"Scheffer","given":"Hans"},{"family":"Vissers","given":"Lisenka E. L. M."},{"family":"Brouwer","given":"Arjan P. M.","non-dropping-particle":"de"},{"family":"Brunner","given":"Han G."},{"family":"Veltman","given":"Joris A."},{"family":"Schenck","given":"Annette"},{"family":"Yntema","given":"Helger G."},{"family":"Vries","given":"Bert B. A.","non-dropping-particle":"de"}],"issued":{"date-parts":[["2012",4,29]]}}}],"schema":"https://github.com/citation-style-language/schema/raw/master/csl-citation.json"} </w:instrText>
      </w:r>
      <w:r w:rsidR="0018163B" w:rsidRPr="00425573">
        <w:rPr>
          <w:rFonts w:ascii="Book Antiqua" w:hAnsi="Book Antiqua"/>
          <w:lang w:val="en-US"/>
        </w:rPr>
        <w:fldChar w:fldCharType="separate"/>
      </w:r>
      <w:r w:rsidR="00E80BAA" w:rsidRPr="00425573">
        <w:rPr>
          <w:rFonts w:ascii="Book Antiqua" w:hAnsi="Book Antiqua"/>
          <w:vertAlign w:val="superscript"/>
        </w:rPr>
        <w:t>[54]</w:t>
      </w:r>
      <w:r w:rsidR="0018163B" w:rsidRPr="00425573">
        <w:rPr>
          <w:rFonts w:ascii="Book Antiqua" w:hAnsi="Book Antiqua"/>
          <w:lang w:val="en-US"/>
        </w:rPr>
        <w:fldChar w:fldCharType="end"/>
      </w:r>
      <w:r w:rsidR="009D3FAF" w:rsidRPr="00425573">
        <w:rPr>
          <w:rFonts w:ascii="Book Antiqua" w:hAnsi="Book Antiqua"/>
          <w:lang w:val="en-US"/>
        </w:rPr>
        <w:t xml:space="preserve">. </w:t>
      </w:r>
      <w:r w:rsidR="00F80AB7" w:rsidRPr="00425573">
        <w:rPr>
          <w:rFonts w:ascii="Book Antiqua" w:hAnsi="Book Antiqua"/>
          <w:lang w:val="en-US"/>
        </w:rPr>
        <w:t xml:space="preserve">Interestingly, </w:t>
      </w:r>
      <w:r w:rsidR="008B2DC2" w:rsidRPr="00425573">
        <w:rPr>
          <w:rFonts w:ascii="Book Antiqua" w:hAnsi="Book Antiqua"/>
          <w:lang w:val="en-US"/>
        </w:rPr>
        <w:t xml:space="preserve">mutations within </w:t>
      </w:r>
      <w:r w:rsidR="00F80AB7" w:rsidRPr="00425573">
        <w:rPr>
          <w:rFonts w:ascii="Book Antiqua" w:hAnsi="Book Antiqua"/>
          <w:i/>
          <w:lang w:val="en-US"/>
        </w:rPr>
        <w:t>KANSL1</w:t>
      </w:r>
      <w:r w:rsidR="00F80AB7" w:rsidRPr="00425573">
        <w:rPr>
          <w:rFonts w:ascii="Book Antiqua" w:hAnsi="Book Antiqua"/>
          <w:lang w:val="en-US"/>
        </w:rPr>
        <w:t xml:space="preserve"> are able to cause intellectual disability and developmental delay</w:t>
      </w:r>
      <w:r w:rsidR="009019BE"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{"citationID":"Me5VhvSX","properties":{"formattedCitation":"\\super [54,55]\\nosupersub{}","plainCitation":"[54,55]","noteIndex":0},"citationItems":[{"id":184,"uris":["http://zotero.org/groups/2394923/items/CAM45GGQ"],"uri":["http://zotero.org/groups/2394923/items/CAM45GGQ"],"itemData":{"id":184,"type":"article-journal","abstract":"We show that haploinsufficiency of KANSL1 is sufficient to cause the 17q21.31 microdeletion syndrome, a multisystem disorder characterized by intellectual disability, hypotonia and distinctive facial features. The KANSL1 protein is an evolutionarily conserved regulator of the chromatin modifier KAT8, which influences gene expression through histone H4 lysine 16 (H4K16) acetylation. RNA sequencing studies in cell lines derived from affected individuals and the presence of learning deficits in Drosophila melanogaster mutants suggest a role for KANSL1 in neuronal processes.","container-title":"Nature Genetics","DOI":"10.1038/ng.2262","ISSN":"1546-1718","issue":"6","journalAbbreviation":"Nat. Genet.","language":"eng","note":"PMID: 22544363","page":"639-641","source":"PubMed","title":"Mutations in the chromatin modifier gene KANSL1 cause the 17q21.31 microdeletion syndrome","volume":"44","author":[{"family":"Koolen","given":"David A."},{"family":"Kramer","given":"Jamie M."},{"family":"Neveling","given":"Kornelia"},{"family":"Nillesen","given":"Willy M."},{"family":"Moore-Barton","given":"Heather L."},{"family":"Elmslie","given":"Frances V."},{"family":"Toutain","given":"Annick"},{"family":"Amiel","given":"Jeanne"},{"family":"Malan","given":"Valérie"},{"family":"Tsai","given":"Anne Chun-Hui"},{"family":"Cheung","given":"Sau Wai"},{"family":"Gilissen","given":"Christian"},{"family":"Verwiel","given":"Eugene T. P."},{"family":"Martens","given":"Sarah"},{"family":"Feuth","given":"Ton"},{"family":"Bongers","given":"Ernie M. H. F."},{"family":"Vries","given":"Petra","non-dropping-particle":"de"},{"family":"Scheffer","given":"Hans"},{"family":"Vissers","given":"Lisenka E. L. M."},{"family":"Brouwer","given":"Arjan P. M.","non-dropping-particle":"de"},{"family":"Brunner","given":"Han G."},{"family":"Veltman","given":"Joris A."},{"family":"Schenck","given":"Annette"},{"family":"Yntema","given":"Helger G."},{"family":"Vries","given":"Bert B. A.","non-dropping-particle":"de"}],"issued":{"date-parts":[["2012",4,29]]}}},{"id":189,"uris":["http://zotero.org/groups/2394923/items/648EM9DJ"],"uri":["http://zotero.org/groups/2394923/items/648EM9DJ"],"itemData":{"id":189,"type":"article-journal","abstract":"APOE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the most significant genetic risk factor for Alzheimer disease (AD), may mask effects of other loci. We re-analyzed genome-wide association study (GWAS) data from the International Genomics of Alzheimer's Project (IGAP) Consortium in APOE </w:instrText>
      </w:r>
      <w:r w:rsidR="00E80BAA" w:rsidRPr="00425573">
        <w:rPr>
          <w:rFonts w:ascii="MS Gothic" w:hAnsi="MS Gothic" w:cs="MS Gothic"/>
          <w:lang w:val="en-US"/>
        </w:rPr>
        <w:instrText>ɛ</w:instrText>
      </w:r>
      <w:r w:rsidR="00E80BAA" w:rsidRPr="00425573">
        <w:rPr>
          <w:rFonts w:ascii="Book Antiqua" w:hAnsi="Book Antiqua"/>
          <w:lang w:val="en-US"/>
        </w:rPr>
        <w:instrText>4+ (10</w:instrText>
      </w:r>
      <w:r w:rsidR="00E80BAA" w:rsidRPr="00425573">
        <w:rPr>
          <w:rFonts w:ascii="MS Gothic" w:hAnsi="MS Gothic" w:cs="MS Gothic"/>
          <w:lang w:val="en-US"/>
        </w:rPr>
        <w:instrText> </w:instrText>
      </w:r>
      <w:r w:rsidR="00E80BAA" w:rsidRPr="00425573">
        <w:rPr>
          <w:rFonts w:ascii="Book Antiqua" w:hAnsi="Book Antiqua"/>
          <w:lang w:val="en-US"/>
        </w:rPr>
        <w:instrText xml:space="preserve">352 cases and 9207 controls) and APOE </w:instrText>
      </w:r>
      <w:r w:rsidR="00E80BAA" w:rsidRPr="00425573">
        <w:rPr>
          <w:rFonts w:ascii="MS Gothic" w:hAnsi="MS Gothic" w:cs="MS Gothic"/>
          <w:lang w:val="en-US"/>
        </w:rPr>
        <w:instrText>ɛ</w:instrText>
      </w:r>
      <w:r w:rsidR="00E80BAA" w:rsidRPr="00425573">
        <w:rPr>
          <w:rFonts w:ascii="Book Antiqua" w:hAnsi="Book Antiqua"/>
          <w:lang w:val="en-US"/>
        </w:rPr>
        <w:instrText>4- (7184 cases and 26</w:instrText>
      </w:r>
      <w:r w:rsidR="00E80BAA" w:rsidRPr="00425573">
        <w:rPr>
          <w:rFonts w:ascii="MS Gothic" w:hAnsi="MS Gothic" w:cs="MS Gothic"/>
          <w:lang w:val="en-US"/>
        </w:rPr>
        <w:instrText> </w:instrText>
      </w:r>
      <w:r w:rsidR="00E80BAA" w:rsidRPr="00425573">
        <w:rPr>
          <w:rFonts w:ascii="Book Antiqua" w:hAnsi="Book Antiqua"/>
          <w:lang w:val="en-US"/>
        </w:rPr>
        <w:instrText xml:space="preserve">968 controls) subgroups as well as in the total sample testing for interaction between a single-nucleotide polymorphism (SNP) and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status. Suggestive associations (P&lt;1 × 10(-4)) in stage 1 were evaluated in an independent sample (stage 2) containing 4203 subjects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1250 cases and 536 controls;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718 cases and 1699 controls). Among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subjects, novel genome-wide significant (GWS) association was observed with 17 SNPs (all between KANSL1 and LRRC37A on chromosome 17 near MAPT) in a meta-analysis of the stage 1 and stage 2 data sets (best SNP, rs2732703, P=5·8 × 10(-9)). Conditional analysis revealed that rs2732703 accounted for association signals in the entire 100-kilobase region that includes MAPT. Except for previously identified AD loci showing stronger association in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subjects (CR1 and CLU) or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subjects (MS4A6A/MS4A4A/MS4A6E), no other SNPs were significantly associated with AD in a specific APOE genotype subgroup. In addition, the finding in the stage 1 sample that AD risk is significantly influenced by the interaction of APOE with rs1595014 in TMEM106B (P=1·6 × 10(-7)) is noteworthy, because TMEM106B variants have previously been associated with risk of frontotemporal dementia. Expression quantitative trait locus analysis revealed that rs113986870, one of the GWS SNPs near rs2732703, is significantly associated with four KANSL1 probes that target transcription of the first translated exon and an untranslated exon in hippocampus (P </w:instrText>
      </w:r>
      <w:r w:rsidR="00E80BAA" w:rsidRPr="00425573">
        <w:rPr>
          <w:rFonts w:ascii="Cambria Math" w:hAnsi="Cambria Math" w:cs="Cambria Math"/>
          <w:lang w:val="en-US"/>
        </w:rPr>
        <w:instrText>⩽</w:instrText>
      </w:r>
      <w:r w:rsidR="00E80BAA" w:rsidRPr="00425573">
        <w:rPr>
          <w:rFonts w:ascii="Book Antiqua" w:hAnsi="Book Antiqua"/>
          <w:lang w:val="en-US"/>
        </w:rPr>
        <w:instrText xml:space="preserve"> 1.3 × 10(-8)), frontal cortex (P </w:instrText>
      </w:r>
      <w:r w:rsidR="00E80BAA" w:rsidRPr="00425573">
        <w:rPr>
          <w:rFonts w:ascii="Cambria Math" w:hAnsi="Cambria Math" w:cs="Cambria Math"/>
          <w:lang w:val="en-US"/>
        </w:rPr>
        <w:instrText>⩽</w:instrText>
      </w:r>
      <w:r w:rsidR="00E80BAA" w:rsidRPr="00425573">
        <w:rPr>
          <w:rFonts w:ascii="Book Antiqua" w:hAnsi="Book Antiqua"/>
          <w:lang w:val="en-US"/>
        </w:rPr>
        <w:instrText xml:space="preserve"> 1.3 × 10(-9)) and temporal cortex (P</w:instrText>
      </w:r>
      <w:r w:rsidR="00E80BAA" w:rsidRPr="00425573">
        <w:rPr>
          <w:rFonts w:ascii="Cambria Math" w:hAnsi="Cambria Math" w:cs="Cambria Math"/>
          <w:lang w:val="en-US"/>
        </w:rPr>
        <w:instrText>⩽</w:instrText>
      </w:r>
      <w:r w:rsidR="00E80BAA" w:rsidRPr="00425573">
        <w:rPr>
          <w:rFonts w:ascii="Book Antiqua" w:hAnsi="Book Antiqua"/>
          <w:lang w:val="en-US"/>
        </w:rPr>
        <w:instrText xml:space="preserve">1.2 × 10(-11)). Rs113986870 is also strongly associated with a MAPT probe that targets transcription of alternatively spliced exon 3 in frontal cortex (P=9.2 × 10(-6)) and temporal cortex (P=2.6 × 10(-6)). Our APOE-stratified GWAS is the first to show GWS association for AD with SNPs in the chromosome 17q21.31 region. Replication of this finding in independent samples is needed to verify that SNPs in this region have significantly stronger effects on AD risk in persons lacking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compared with persons carrying this allele, and if this is found to hold, further examination of this region and studies aimed at deciphering the mechanism(s) are warranted.","container-title":"Molecular Psychiatry","DOI":"10.1038/mp.2015.23","ISSN":"1476-5578","issue":"1","journalAbbreviation":"Mol. Psychiatry","language":"eng","note":"PMID: 25778476\nPMCID: PMC4573764","page":"108-117","source":"PubMed","title":"A novel Alzheimer disease locus located near the gene encoding tau protein","volume":"21","author":[{"family":"Jun","given":"G."},{"family":"Ibrahim-Verbaas","given":"C. A."},{"family":"Vronskaya","given":"M."},{"family":"Lambert","given":"J.-C."},{"family":"Chung","given":"J."},{"family":"Naj","given":"A. C."},{"family":"Kunkle","given":"B. W."},{"family":"Wang","given":"L.-S."},{"family":"Bis","given":"J. C."},{"family":"Bellenguez","given":"C."},{"family":"Harold","given":"D."},{"family":"Lunetta","given":"K. L."},{"family":"Destefano","given":"A. L."},{"family":"Grenier-Boley","given":"B."},{"family":"Sims","given":"R."},{"family":"Beecham","given":"G. W."},{"family":"Smith","given":"A. V."},{"family":"Chouraki","given":"V."},{"family":"Hamilton-Nelson","given":"K. L."},{"family":"Ikram","given":"M. A."},{"family":"Fievet","given":"N."},{"family":"Denning","given":"N."},{"family":"Martin","given":"E. R."},{"family":"Schmidt","given":"H."},{"family":"Kamatani","given":"Y."},{"family":"Dunstan","given":"M. L."},{"family":"Valladares","given":"O."},{"family":"Laza","given":"A. R."},{"family":"Zelenika","given":"D."},{"family":"Ramirez","given":"A."},{"family":"Foroud","given":"T. M."},{"family":"Choi","given":"S.-H."},{"family":"Boland","given":"A."},{"family":"Becker","given":"T."},{"family":"Kukull","given":"W. A."},{"family":"Lee","given":"S. J.","non-dropping-particle":"van der"},{"family":"Pasquier","given":"F."},{"family":"Cruchaga","given":"C."},{"family":"Beekly","given":"D."},{"family":"Fitzpatrick","given":"A. L."},{"family":"Hanon","given":"O."},{"family":"Gill","given":"M."},{"family":"Barber","given":"R."},{"family":"Gudnason","given":"V."},{"family":"Campion","given":"D."},{"family":"Love","given":"S."},{"family":"Bennett","given":"D. A."},{"family":"Amin","given":"N."},{"family":"Berr","given":"C."},{"family":"Tsolaki","given":"Magda"},{"family":"Buxbaum","given":"J. D."},{"family":"Lopez","given":"O. L."},{"family":"Deramecourt","given":"V."},{"family":"Fox","given":"N. C."},{"family":"Cantwell","given":"L. B."},{"family":"Tárraga","given":"L."},{"family":"Dufouil","given":"C."},{"family":"Hardy","given":"J."},{"family":"Crane","given":"P. K."},{"family":"Eiriksdottir","given":"G."},{"family":"Hannequin","given":"D."},{"family":"Clarke","given":"R."},{"family":"Evans","given":"D."},{"family":"Mosley","given":"T. H."},{"family":"Letenneur","given":"L."},{"family":"Brayne","given":"C."},{"family":"Maier","given":"W."},{"family":"De Jager","given":"P."},{"family":"Emilsson","given":"V."},{"family":"Dartigues","given":"J.-F."},{"family":"Hampel","given":"H."},{"family":"Kamboh","given":"M. I."},{"family":"Bruijn","given":"R. F. a. G.","non-dropping-particle":"de"},{"family":"Tzourio","given":"C."},{"family":"Pastor","given":"P."},{"family":"Larson","given":"E. B."},{"family":"Rotter","given":"J. I."},{"family":"O'Donovan","given":"M. C."},{"family":"Montine","given":"T. J."},{"family":"Nalls","given":"M. A."},{"family":"Mead","given":"S."},{"family":"Reiman","given":"E. M."},{"family":"Jonsson","given":"P. V."},{"family":"Holmes","given":"C."},{"family":"St George-Hyslop","given":"P. H."},{"family":"Boada","given":"M."},{"family":"Passmore","given":"P."},{"family":"Wendland","given":"J. R."},{"family":"Schmidt","given":"R."},{"family":"Morgan","given":"K."},{"family":"Winslow","given":"A. R."},{"family":"Powell","given":"J. F."},{"family":"Carasquillo","given":"M."},{"family":"Younkin","given":"S. G."},{"family":"Jakobsdóttir","given":"J."},{"family":"Kauwe","given":"J. S. K."},{"family":"Wilhelmsen","given":"K. C."},{"family":"Rujescu","given":"D."},{"family":"Nöthen","given":"M. M."},{"family":"Hofman","given":"A."},{"family":"Jones","given":"L."},{"literal":"IGAP Consortium"},{"family":"Haines","given":"J. L."},{"family":"Psaty","given":"B. M."},{"family":"Van Broeckhoven","given":"C."},{"family":"Holmans","given":"P."},{"family":"Launer","given":"L. J."},{"family":"Mayeux","given":"R."},{"family":"Lathrop","given":"M."},{"family":"Goate","given":"A. M."},{"family":"Escott-Price","given":"V."},{"family":"Seshadri","given":"S."},{"family":"Pericak-Vance","given":"M. A."},{"family":"Amouyel","given":"P."},{"family":"Williams","given":"J."},{"family":"Duijn","given":"C. M.","non-dropping-particle":"van"},{"family":"Schellenberg","given":"G. D."},{"family":"Farrer","given":"L. A."}],"issued":{"date-parts":[["2016",1]]}}}],"schema":"https://github.com/citation-style-language/schema/raw/master/csl-citation.json"} </w:instrText>
      </w:r>
      <w:r w:rsidR="009019BE" w:rsidRPr="00425573">
        <w:rPr>
          <w:rFonts w:ascii="Book Antiqua" w:hAnsi="Book Antiqua"/>
          <w:lang w:val="en-US"/>
        </w:rPr>
        <w:fldChar w:fldCharType="separate"/>
      </w:r>
      <w:r w:rsidR="00E80BAA" w:rsidRPr="00425573">
        <w:rPr>
          <w:rFonts w:ascii="Book Antiqua" w:hAnsi="Book Antiqua"/>
          <w:vertAlign w:val="superscript"/>
        </w:rPr>
        <w:t>[54,55]</w:t>
      </w:r>
      <w:r w:rsidR="009019BE" w:rsidRPr="00425573">
        <w:rPr>
          <w:rFonts w:ascii="Book Antiqua" w:hAnsi="Book Antiqua"/>
          <w:lang w:val="en-US"/>
        </w:rPr>
        <w:fldChar w:fldCharType="end"/>
      </w:r>
      <w:r w:rsidR="009019BE" w:rsidRPr="00425573">
        <w:rPr>
          <w:rFonts w:ascii="Book Antiqua" w:hAnsi="Book Antiqua"/>
          <w:lang w:val="en-US"/>
        </w:rPr>
        <w:t>.</w:t>
      </w:r>
      <w:r w:rsidR="00AD4B2B" w:rsidRPr="00425573">
        <w:rPr>
          <w:rFonts w:ascii="Book Antiqua" w:hAnsi="Book Antiqua"/>
          <w:lang w:val="en-US"/>
        </w:rPr>
        <w:t xml:space="preserve"> </w:t>
      </w:r>
      <w:r w:rsidR="00182E12" w:rsidRPr="00425573">
        <w:rPr>
          <w:rFonts w:ascii="Book Antiqua" w:hAnsi="Book Antiqua"/>
          <w:i/>
          <w:lang w:val="en-US"/>
        </w:rPr>
        <w:t>CRHR1</w:t>
      </w:r>
      <w:r w:rsidR="001C5C0C" w:rsidRPr="00425573">
        <w:rPr>
          <w:rFonts w:ascii="Book Antiqua" w:hAnsi="Book Antiqua"/>
          <w:lang w:val="en-US"/>
        </w:rPr>
        <w:t xml:space="preserve"> is known to be involved in the activation of hypo</w:t>
      </w:r>
      <w:r w:rsidR="00414F98" w:rsidRPr="00425573">
        <w:rPr>
          <w:rFonts w:ascii="Book Antiqua" w:hAnsi="Book Antiqua"/>
          <w:lang w:val="en-US"/>
        </w:rPr>
        <w:t xml:space="preserve">thalamic-pituitary-adrenal </w:t>
      </w:r>
      <w:r w:rsidR="001C5C0C" w:rsidRPr="00425573">
        <w:rPr>
          <w:rFonts w:ascii="Book Antiqua" w:hAnsi="Book Antiqua"/>
          <w:lang w:val="en-US"/>
        </w:rPr>
        <w:t>axis</w:t>
      </w:r>
      <w:r w:rsidR="00B95ADB" w:rsidRPr="00425573">
        <w:rPr>
          <w:rFonts w:ascii="Book Antiqua" w:hAnsi="Book Antiqua"/>
          <w:lang w:val="en-US"/>
        </w:rPr>
        <w:t>, leading to secretion of cortisol that</w:t>
      </w:r>
      <w:r w:rsidR="009D5442" w:rsidRPr="00425573">
        <w:rPr>
          <w:rFonts w:ascii="Book Antiqua" w:hAnsi="Book Antiqua"/>
          <w:lang w:val="en-US"/>
        </w:rPr>
        <w:t>,</w:t>
      </w:r>
      <w:r w:rsidR="00B95ADB" w:rsidRPr="00425573">
        <w:rPr>
          <w:rFonts w:ascii="Book Antiqua" w:hAnsi="Book Antiqua"/>
          <w:lang w:val="en-US"/>
        </w:rPr>
        <w:t xml:space="preserve"> in turn</w:t>
      </w:r>
      <w:r w:rsidR="009D5442" w:rsidRPr="00425573">
        <w:rPr>
          <w:rFonts w:ascii="Book Antiqua" w:hAnsi="Book Antiqua"/>
          <w:lang w:val="en-US"/>
        </w:rPr>
        <w:t>,</w:t>
      </w:r>
      <w:r w:rsidR="00B95ADB" w:rsidRPr="00425573">
        <w:rPr>
          <w:rFonts w:ascii="Book Antiqua" w:hAnsi="Book Antiqua"/>
          <w:lang w:val="en-US"/>
        </w:rPr>
        <w:t xml:space="preserve"> causes insulin resistance</w:t>
      </w:r>
      <w:r w:rsidR="008A464A" w:rsidRPr="00425573">
        <w:rPr>
          <w:rFonts w:ascii="Book Antiqua" w:hAnsi="Book Antiqua"/>
          <w:lang w:val="en-US"/>
        </w:rPr>
        <w:t>. Notably, the chronic</w:t>
      </w:r>
      <w:r w:rsidR="00B95ADB" w:rsidRPr="00425573">
        <w:rPr>
          <w:rFonts w:ascii="Book Antiqua" w:hAnsi="Book Antiqua"/>
          <w:lang w:val="en-US"/>
        </w:rPr>
        <w:t xml:space="preserve"> </w:t>
      </w:r>
      <w:r w:rsidR="000740ED" w:rsidRPr="00425573">
        <w:rPr>
          <w:rFonts w:ascii="Book Antiqua" w:hAnsi="Book Antiqua"/>
          <w:lang w:val="en-US"/>
        </w:rPr>
        <w:t>stress</w:t>
      </w:r>
      <w:r w:rsidR="008A464A" w:rsidRPr="00425573">
        <w:rPr>
          <w:rFonts w:ascii="Book Antiqua" w:hAnsi="Book Antiqua"/>
          <w:lang w:val="en-US"/>
        </w:rPr>
        <w:t xml:space="preserve"> activated by th</w:t>
      </w:r>
      <w:r w:rsidR="006D60F7" w:rsidRPr="00425573">
        <w:rPr>
          <w:rFonts w:ascii="Book Antiqua" w:hAnsi="Book Antiqua"/>
          <w:lang w:val="en-US"/>
        </w:rPr>
        <w:t>e adrenal secretion of cortisol</w:t>
      </w:r>
      <w:r w:rsidR="008A464A" w:rsidRPr="00425573">
        <w:rPr>
          <w:rFonts w:ascii="Book Antiqua" w:hAnsi="Book Antiqua"/>
          <w:lang w:val="en-US"/>
        </w:rPr>
        <w:t xml:space="preserve"> </w:t>
      </w:r>
      <w:r w:rsidR="008A464A" w:rsidRPr="00425573">
        <w:rPr>
          <w:rFonts w:ascii="Book Antiqua" w:hAnsi="Book Antiqua"/>
          <w:lang w:val="en-US"/>
        </w:rPr>
        <w:lastRenderedPageBreak/>
        <w:t xml:space="preserve">represents a risk factor for </w:t>
      </w:r>
      <w:r w:rsidR="000740ED" w:rsidRPr="00425573">
        <w:rPr>
          <w:rFonts w:ascii="Book Antiqua" w:hAnsi="Book Antiqua"/>
          <w:lang w:val="en-US"/>
        </w:rPr>
        <w:t>AD</w:t>
      </w:r>
      <w:r w:rsidR="008A464A" w:rsidRPr="00425573">
        <w:rPr>
          <w:rFonts w:ascii="Book Antiqua" w:hAnsi="Book Antiqua"/>
          <w:lang w:val="en-US"/>
        </w:rPr>
        <w:t xml:space="preserve"> onset and progression</w:t>
      </w:r>
      <w:r w:rsidR="009019BE"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{"citationID":"9iw5VBEZ","properties":{"formattedCitation":"\\super [56]\\nosupersub{}","plainCitation":"[56]","noteIndex":0},"citationItems":[{"id":190,"uris":["http://zotero.org/groups/2394923/items/8DDQDXXL"],"uri":["http://zotero.org/groups/2394923/items/8DDQDXXL"],"itemData":{"id":190,"type":"article-journal","abstract":"Depression, type 2 diabetes (T2D), and metabolic syndrome (MetS) are often comorbid. Depression per se increases the risk for T2D by 60%. This risk is not accounted for by the use of antidepressant therapy. Stress causes hyperactivation of the hypothalamic-pituitary-adrenal (HPA) axis, by triggering the hypothalamic corticotropin-releasing hormone (CRH) secretion, which stimulates the anterior pituitary to release the adrenocorticotropin hormone (ACTH), which causes the adrenal secretion of cortisol. Depression is associated with an increased level of cortisol, and CRH and ACTH at inappropriately \"normal\" levels, that is too high compared to their expected lower levels due to cortisol negative feedback. T2D and MetS are also associated with hypercortisolism. High levels of cortisol can impair mood as well as cause hyperglycemia and insulin resistance and other traits typical of T2D and MetS. We hypothesize that HPA axis hyperactivation may be due to variants in the genes of the CRH receptors (CRHR1, CRHR2), corticotropin receptors (or melanocortin receptors, MC1R-MC5R), glucocorticoid receptor (NR3C1), mineralocorticoid receptor (NR3C2), and of the FK506 binding protein 51 (FKBP5), and that these variants may be partially responsible for the clinical association of depression, T2D and MetS. In this review, we will focus on the correlation of stress, HPA axis hyperactivation, and the possible genetic role of the CRHR1, CRHR2, MCR1-5, NR3C1, and NR3C2 receptors and FKBP5 in the susceptibility to the comorbidity of depression, T2D, and MetS. New studies are needed to confirm the hypothesized role of these genes in the clinical association of depression, T2D, and MetS.","container-title":"The Application of Clinical Genetics","DOI":"10.2147/TACG.S39993","ISSN":"1178-704X","journalAbbreviation":"Appl Clin Genet","language":"eng","note":"PMID: 24817815\nPMCID: PMC4012344","page":"43-53","source":"PubMed","title":"Hypothesis of the neuroendocrine cortisol pathway gene role in the comorbidity of depression, type 2 diabetes, and metabolic syndrome","volume":"7","author":[{"family":"Gragnoli","given":"Claudia"}],"issued":{"date-parts":[["2014"]]}}}],"schema":"https://github.com/citation-style-language/schema/raw/master/csl-citation.json"} </w:instrText>
      </w:r>
      <w:r w:rsidR="009019BE" w:rsidRPr="00425573">
        <w:rPr>
          <w:rFonts w:ascii="Book Antiqua" w:hAnsi="Book Antiqua"/>
          <w:lang w:val="en-US"/>
        </w:rPr>
        <w:fldChar w:fldCharType="separate"/>
      </w:r>
      <w:r w:rsidR="00E80BAA" w:rsidRPr="00425573">
        <w:rPr>
          <w:rFonts w:ascii="Book Antiqua" w:hAnsi="Book Antiqua"/>
          <w:vertAlign w:val="superscript"/>
        </w:rPr>
        <w:t>[56]</w:t>
      </w:r>
      <w:r w:rsidR="009019BE" w:rsidRPr="00425573">
        <w:rPr>
          <w:rFonts w:ascii="Book Antiqua" w:hAnsi="Book Antiqua"/>
          <w:lang w:val="en-US"/>
        </w:rPr>
        <w:fldChar w:fldCharType="end"/>
      </w:r>
      <w:r w:rsidR="00461EDE" w:rsidRPr="00425573">
        <w:rPr>
          <w:rFonts w:ascii="Book Antiqua" w:hAnsi="Book Antiqua"/>
          <w:lang w:val="en-US"/>
        </w:rPr>
        <w:t>.</w:t>
      </w:r>
      <w:r w:rsidR="00461886" w:rsidRPr="00425573">
        <w:rPr>
          <w:rFonts w:ascii="Book Antiqua" w:hAnsi="Book Antiqua"/>
          <w:lang w:val="en-US"/>
        </w:rPr>
        <w:t xml:space="preserve"> Given these </w:t>
      </w:r>
      <w:r w:rsidR="00C43D13" w:rsidRPr="00425573">
        <w:rPr>
          <w:rFonts w:ascii="Book Antiqua" w:hAnsi="Book Antiqua"/>
          <w:lang w:val="en-US"/>
        </w:rPr>
        <w:t xml:space="preserve">lines of </w:t>
      </w:r>
      <w:r w:rsidR="00461886" w:rsidRPr="00425573">
        <w:rPr>
          <w:rFonts w:ascii="Book Antiqua" w:hAnsi="Book Antiqua"/>
          <w:lang w:val="en-US"/>
        </w:rPr>
        <w:t>evidence, the association betwe</w:t>
      </w:r>
      <w:r w:rsidR="001C5D88" w:rsidRPr="00425573">
        <w:rPr>
          <w:rFonts w:ascii="Book Antiqua" w:hAnsi="Book Antiqua"/>
          <w:lang w:val="en-US"/>
        </w:rPr>
        <w:t>en this set of genes and</w:t>
      </w:r>
      <w:r w:rsidR="009D5442" w:rsidRPr="00425573">
        <w:rPr>
          <w:rFonts w:ascii="Book Antiqua" w:hAnsi="Book Antiqua"/>
          <w:lang w:val="en-US"/>
        </w:rPr>
        <w:t xml:space="preserve"> their potential involvement in etiopathogenetic pathways leading to</w:t>
      </w:r>
      <w:r w:rsidR="001C5D88" w:rsidRPr="00425573">
        <w:rPr>
          <w:rFonts w:ascii="Book Antiqua" w:hAnsi="Book Antiqua"/>
          <w:lang w:val="en-US"/>
        </w:rPr>
        <w:t xml:space="preserve"> </w:t>
      </w:r>
      <w:r w:rsidR="009D5442" w:rsidRPr="00425573">
        <w:rPr>
          <w:rFonts w:ascii="Book Antiqua" w:hAnsi="Book Antiqua"/>
          <w:lang w:val="en-US"/>
        </w:rPr>
        <w:t>T2D, AD and PD</w:t>
      </w:r>
      <w:r w:rsidR="00461886" w:rsidRPr="00425573">
        <w:rPr>
          <w:rFonts w:ascii="Book Antiqua" w:hAnsi="Book Antiqua"/>
          <w:lang w:val="en-US"/>
        </w:rPr>
        <w:t xml:space="preserve"> should be </w:t>
      </w:r>
      <w:r w:rsidR="009D5442" w:rsidRPr="00425573">
        <w:rPr>
          <w:rFonts w:ascii="Book Antiqua" w:hAnsi="Book Antiqua"/>
          <w:lang w:val="en-US"/>
        </w:rPr>
        <w:t xml:space="preserve">further </w:t>
      </w:r>
      <w:r w:rsidR="00461886" w:rsidRPr="00425573">
        <w:rPr>
          <w:rFonts w:ascii="Book Antiqua" w:hAnsi="Book Antiqua"/>
          <w:lang w:val="en-US"/>
        </w:rPr>
        <w:t>elucidated.</w:t>
      </w:r>
    </w:p>
    <w:p w14:paraId="3F02DF2C" w14:textId="2A42B955" w:rsidR="005E186F" w:rsidRPr="00425573" w:rsidRDefault="00D058A3" w:rsidP="00083E5A">
      <w:pPr>
        <w:snapToGrid w:val="0"/>
        <w:spacing w:line="360" w:lineRule="auto"/>
        <w:ind w:firstLineChars="100" w:firstLine="240"/>
        <w:jc w:val="both"/>
        <w:rPr>
          <w:rFonts w:ascii="Book Antiqua" w:hAnsi="Book Antiqua"/>
          <w:lang w:val="en-US"/>
        </w:rPr>
      </w:pPr>
      <w:r w:rsidRPr="00425573">
        <w:rPr>
          <w:rFonts w:ascii="Book Antiqua" w:hAnsi="Book Antiqua"/>
          <w:lang w:val="en-US"/>
        </w:rPr>
        <w:t>In addition to</w:t>
      </w:r>
      <w:r w:rsidR="00F27195" w:rsidRPr="00425573">
        <w:rPr>
          <w:rFonts w:ascii="Book Antiqua" w:hAnsi="Book Antiqua"/>
          <w:lang w:val="en-US"/>
        </w:rPr>
        <w:t xml:space="preserve"> </w:t>
      </w:r>
      <w:r w:rsidR="00D461BB" w:rsidRPr="00425573">
        <w:rPr>
          <w:rFonts w:ascii="Book Antiqua" w:hAnsi="Book Antiqua"/>
          <w:lang w:val="en-US"/>
        </w:rPr>
        <w:t xml:space="preserve">the identification of </w:t>
      </w:r>
      <w:r w:rsidR="00364A5A" w:rsidRPr="00425573">
        <w:rPr>
          <w:rFonts w:ascii="Book Antiqua" w:hAnsi="Book Antiqua"/>
          <w:lang w:val="en-US"/>
        </w:rPr>
        <w:t>shared</w:t>
      </w:r>
      <w:r w:rsidR="00D461BB" w:rsidRPr="00425573">
        <w:rPr>
          <w:rFonts w:ascii="Book Antiqua" w:hAnsi="Book Antiqua"/>
          <w:lang w:val="en-US"/>
        </w:rPr>
        <w:t xml:space="preserve"> genetic variants, the investigation of </w:t>
      </w:r>
      <w:r w:rsidR="00364A5A" w:rsidRPr="00425573">
        <w:rPr>
          <w:rFonts w:ascii="Book Antiqua" w:hAnsi="Book Antiqua"/>
          <w:lang w:val="en-US"/>
        </w:rPr>
        <w:t>common</w:t>
      </w:r>
      <w:r w:rsidR="00D461BB" w:rsidRPr="00425573">
        <w:rPr>
          <w:rFonts w:ascii="Book Antiqua" w:hAnsi="Book Antiqua"/>
          <w:lang w:val="en-US"/>
        </w:rPr>
        <w:t xml:space="preserve"> gene expression profiles may</w:t>
      </w:r>
      <w:r w:rsidR="005F252E" w:rsidRPr="00425573">
        <w:rPr>
          <w:rFonts w:ascii="Book Antiqua" w:hAnsi="Book Antiqua"/>
          <w:lang w:val="en-US"/>
        </w:rPr>
        <w:t xml:space="preserve"> </w:t>
      </w:r>
      <w:r w:rsidR="00F27195" w:rsidRPr="00425573">
        <w:rPr>
          <w:rFonts w:ascii="Book Antiqua" w:hAnsi="Book Antiqua"/>
          <w:lang w:val="en-US"/>
        </w:rPr>
        <w:t>facilitate the</w:t>
      </w:r>
      <w:r w:rsidR="005F252E" w:rsidRPr="00425573">
        <w:rPr>
          <w:rFonts w:ascii="Book Antiqua" w:hAnsi="Book Antiqua"/>
          <w:lang w:val="en-US"/>
        </w:rPr>
        <w:t xml:space="preserve"> </w:t>
      </w:r>
      <w:r w:rsidR="00F27195" w:rsidRPr="00425573">
        <w:rPr>
          <w:rFonts w:ascii="Book Antiqua" w:hAnsi="Book Antiqua"/>
          <w:lang w:val="en-US"/>
        </w:rPr>
        <w:t xml:space="preserve">discovery </w:t>
      </w:r>
      <w:r w:rsidR="009D53CE" w:rsidRPr="00425573">
        <w:rPr>
          <w:rFonts w:ascii="Book Antiqua" w:hAnsi="Book Antiqua"/>
          <w:lang w:val="en-US"/>
        </w:rPr>
        <w:t xml:space="preserve">and </w:t>
      </w:r>
      <w:r w:rsidR="00F27195" w:rsidRPr="00425573">
        <w:rPr>
          <w:rFonts w:ascii="Book Antiqua" w:hAnsi="Book Antiqua"/>
          <w:lang w:val="en-US"/>
        </w:rPr>
        <w:t>exploration of</w:t>
      </w:r>
      <w:r w:rsidR="005F252E" w:rsidRPr="00425573">
        <w:rPr>
          <w:rFonts w:ascii="Book Antiqua" w:hAnsi="Book Antiqua"/>
          <w:lang w:val="en-US"/>
        </w:rPr>
        <w:t xml:space="preserve"> molecular pathways</w:t>
      </w:r>
      <w:r w:rsidR="002E121A" w:rsidRPr="00425573">
        <w:rPr>
          <w:rFonts w:ascii="Book Antiqua" w:hAnsi="Book Antiqua"/>
          <w:lang w:val="en-US"/>
        </w:rPr>
        <w:t xml:space="preserve"> </w:t>
      </w:r>
      <w:r w:rsidR="00F27195" w:rsidRPr="00425573">
        <w:rPr>
          <w:rFonts w:ascii="Book Antiqua" w:hAnsi="Book Antiqua"/>
          <w:lang w:val="en-US"/>
        </w:rPr>
        <w:t xml:space="preserve">that </w:t>
      </w:r>
      <w:r w:rsidR="002E121A" w:rsidRPr="00425573">
        <w:rPr>
          <w:rFonts w:ascii="Book Antiqua" w:hAnsi="Book Antiqua"/>
          <w:lang w:val="en-US"/>
        </w:rPr>
        <w:t>are</w:t>
      </w:r>
      <w:r w:rsidR="005F252E" w:rsidRPr="00425573">
        <w:rPr>
          <w:rFonts w:ascii="Book Antiqua" w:hAnsi="Book Antiqua"/>
          <w:lang w:val="en-US"/>
        </w:rPr>
        <w:t xml:space="preserve"> </w:t>
      </w:r>
      <w:r w:rsidR="00C04BD4" w:rsidRPr="00425573">
        <w:rPr>
          <w:rFonts w:ascii="Book Antiqua" w:hAnsi="Book Antiqua"/>
          <w:lang w:val="en-US"/>
        </w:rPr>
        <w:t xml:space="preserve">deregulated in </w:t>
      </w:r>
      <w:r w:rsidR="009D5442" w:rsidRPr="00425573">
        <w:rPr>
          <w:rFonts w:ascii="Book Antiqua" w:hAnsi="Book Antiqua"/>
          <w:lang w:val="en-US"/>
        </w:rPr>
        <w:t>T2D, AD and PD</w:t>
      </w:r>
      <w:r w:rsidR="005F252E" w:rsidRPr="00425573">
        <w:rPr>
          <w:rFonts w:ascii="Book Antiqua" w:hAnsi="Book Antiqua"/>
          <w:lang w:val="en-US"/>
        </w:rPr>
        <w:t xml:space="preserve">. </w:t>
      </w:r>
      <w:r w:rsidR="00A9527D" w:rsidRPr="00425573">
        <w:rPr>
          <w:rFonts w:ascii="Book Antiqua" w:hAnsi="Book Antiqua"/>
          <w:lang w:val="en-US"/>
        </w:rPr>
        <w:t>On this subject</w:t>
      </w:r>
      <w:r w:rsidR="005F252E" w:rsidRPr="00425573">
        <w:rPr>
          <w:rFonts w:ascii="Book Antiqua" w:hAnsi="Book Antiqua"/>
          <w:lang w:val="en-US"/>
        </w:rPr>
        <w:t xml:space="preserve">, </w:t>
      </w:r>
      <w:r w:rsidR="0023290A" w:rsidRPr="00425573">
        <w:rPr>
          <w:rFonts w:ascii="Book Antiqua" w:hAnsi="Book Antiqua"/>
          <w:lang w:val="en-US"/>
        </w:rPr>
        <w:t xml:space="preserve">Rahman </w:t>
      </w:r>
      <w:r w:rsidR="0023290A" w:rsidRPr="00425573">
        <w:rPr>
          <w:rFonts w:ascii="Book Antiqua" w:hAnsi="Book Antiqua"/>
          <w:i/>
          <w:iCs/>
          <w:lang w:val="en-US"/>
        </w:rPr>
        <w:t>et al</w:t>
      </w:r>
      <w:r w:rsidR="00F27195"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{"citationID":"K9HrwKNk","properties":{"formattedCitation":"\\super [57]\\nosupersub{}","plainCitation":"[57]","noteIndex":0},"citationItems":[{"id":150,"uris":["http://zotero.org/groups/2394923/items/3H45ABAT"],"uri":["http://zotero.org/groups/2394923/items/3H45ABAT"],"itemData":{"id":150,"type":"article-journal","abstract":"&lt;h3&gt;Abstract&lt;/h3&gt; &lt;p&gt;Neurological Diseases (NDs) are progressive disorder often advances with age and comorbidities of Type 2 diabetes (T2D). Epidemiological, clinical and neuropathological evidence advocate that patients with T2D are at an increased risk of getting NDs. However, it is very little known how T2D affects the risk and severity of NDs.&lt;/p&gt;&lt;p&gt;To tackle these problems, we employed a transcriptional analysis of affected tissues using agnostic approaches to identify overlapping cellular functions. In this study, we examined gene expression microarray human datasets along with control and disease-affected individuals. Differentially expressed genes (DEG) were identified for both T2D and NDs that includes Alzheimer Disease (AD), Parkinson Disease (PD), Amyotrophic Lateral Sclerosis (ALS), Epilepsy Disease (ED), Huntington Disease (HD), Cerebral Palsy (CP) and Multiple Sclerosis Disease (MSD).&lt;/p&gt;&lt;p&gt;We have developed genetic association and diseasome network of T2D and NDs based on the neighborhood-based benchmarking and multilayer network topology approaches. Overlapping DEG sets go through protein-protein interaction for hub protein identification and gene enrichment using pathway analysis and gene ontology methods that enhance our understanding of the fundamental molecular procedure of NDs progression.&lt;/p&gt;&lt;p&gt;Gene expression analysis platforms have been extensively used to investigate altered pathways and to identify potential biomarkers and drug targets. Finally, we validated our identified biomarkers using the gold benchmark datasets which identified the corresponding relationship of T2D and NDs. Therapeutic targets aimed at attenuating identified altered pathway could ameliorate neurological dysfunction in a T2D patient.&lt;/p&gt;","container-title":"bioRxiv","DOI":"10.1101/480400","language":"en","page":"480400","source":"www.biorxiv.org","title":"Genetic effect of type 2 Diabetes to the progression of Neurological Diseases","author":[{"family":"Rahman","given":"Md Habibur"},{"family":"Peng","given":"Silong"},{"family":"Chen","given":"Chen"},{"family":"Lio’","given":"Pietro"},{"family":"Moni","given":"Mohammad Ali"}],"issued":{"date-parts":[["2018",11,29]]}}}],"schema":"https://github.com/citation-style-language/schema/raw/master/csl-citation.json"} </w:instrText>
      </w:r>
      <w:r w:rsidR="00F27195" w:rsidRPr="00425573">
        <w:rPr>
          <w:rFonts w:ascii="Book Antiqua" w:hAnsi="Book Antiqua"/>
          <w:lang w:val="en-US"/>
        </w:rPr>
        <w:fldChar w:fldCharType="separate"/>
      </w:r>
      <w:r w:rsidR="00E80BAA" w:rsidRPr="00425573">
        <w:rPr>
          <w:rFonts w:ascii="Book Antiqua" w:hAnsi="Book Antiqua"/>
          <w:vertAlign w:val="superscript"/>
        </w:rPr>
        <w:t>[57]</w:t>
      </w:r>
      <w:r w:rsidR="00F27195" w:rsidRPr="00425573">
        <w:rPr>
          <w:rFonts w:ascii="Book Antiqua" w:hAnsi="Book Antiqua"/>
          <w:lang w:val="en-US"/>
        </w:rPr>
        <w:fldChar w:fldCharType="end"/>
      </w:r>
      <w:r w:rsidR="0023290A" w:rsidRPr="00425573">
        <w:rPr>
          <w:rFonts w:ascii="Book Antiqua" w:hAnsi="Book Antiqua"/>
          <w:lang w:val="en-US"/>
        </w:rPr>
        <w:t>, 2018</w:t>
      </w:r>
      <w:r w:rsidR="00A9527D" w:rsidRPr="00425573">
        <w:rPr>
          <w:rFonts w:ascii="Book Antiqua" w:hAnsi="Book Antiqua"/>
          <w:lang w:val="en-US"/>
        </w:rPr>
        <w:t xml:space="preserve"> reported intriguing insights</w:t>
      </w:r>
      <w:r w:rsidR="00B77370" w:rsidRPr="00425573">
        <w:rPr>
          <w:rFonts w:ascii="Book Antiqua" w:hAnsi="Book Antiqua"/>
          <w:lang w:val="en-US"/>
        </w:rPr>
        <w:t>, exploiting human gene expression datasets</w:t>
      </w:r>
      <w:r w:rsidR="00102832" w:rsidRPr="00425573">
        <w:rPr>
          <w:rFonts w:ascii="Book Antiqua" w:hAnsi="Book Antiqua"/>
          <w:lang w:val="en-US"/>
        </w:rPr>
        <w:t>.</w:t>
      </w:r>
      <w:r w:rsidR="00A9527D" w:rsidRPr="00425573">
        <w:rPr>
          <w:rFonts w:ascii="Book Antiqua" w:hAnsi="Book Antiqua"/>
          <w:lang w:val="en-US"/>
        </w:rPr>
        <w:t xml:space="preserve"> </w:t>
      </w:r>
      <w:r w:rsidR="00102832" w:rsidRPr="00425573">
        <w:rPr>
          <w:rFonts w:ascii="Book Antiqua" w:hAnsi="Book Antiqua"/>
          <w:lang w:val="en-US"/>
        </w:rPr>
        <w:t>A</w:t>
      </w:r>
      <w:r w:rsidR="00A9527D" w:rsidRPr="00425573">
        <w:rPr>
          <w:rFonts w:ascii="Book Antiqua" w:hAnsi="Book Antiqua"/>
          <w:lang w:val="en-US"/>
        </w:rPr>
        <w:t>mong the significant</w:t>
      </w:r>
      <w:r w:rsidR="001645C6" w:rsidRPr="00425573">
        <w:rPr>
          <w:rFonts w:ascii="Book Antiqua" w:hAnsi="Book Antiqua"/>
          <w:lang w:val="en-US"/>
        </w:rPr>
        <w:t xml:space="preserve"> Gene Ontologies (</w:t>
      </w:r>
      <w:r w:rsidR="004B5FE2" w:rsidRPr="00425573">
        <w:rPr>
          <w:rFonts w:ascii="Book Antiqua" w:hAnsi="Book Antiqua"/>
          <w:lang w:val="en-US"/>
        </w:rPr>
        <w:t xml:space="preserve">known as </w:t>
      </w:r>
      <w:r w:rsidR="001645C6" w:rsidRPr="00425573">
        <w:rPr>
          <w:rFonts w:ascii="Book Antiqua" w:hAnsi="Book Antiqua"/>
          <w:lang w:val="en-US"/>
        </w:rPr>
        <w:t>GO</w:t>
      </w:r>
      <w:r w:rsidR="00CE16CB" w:rsidRPr="00425573">
        <w:rPr>
          <w:rFonts w:ascii="Book Antiqua" w:hAnsi="Book Antiqua"/>
          <w:lang w:val="en-US"/>
        </w:rPr>
        <w:t>s</w:t>
      </w:r>
      <w:r w:rsidR="001645C6" w:rsidRPr="00425573">
        <w:rPr>
          <w:rFonts w:ascii="Book Antiqua" w:hAnsi="Book Antiqua"/>
          <w:lang w:val="en-US"/>
        </w:rPr>
        <w:t xml:space="preserve">) and </w:t>
      </w:r>
      <w:r w:rsidR="004B5FE2" w:rsidRPr="00425573">
        <w:rPr>
          <w:rFonts w:ascii="Book Antiqua" w:hAnsi="Book Antiqua"/>
          <w:lang w:val="en-US"/>
        </w:rPr>
        <w:t xml:space="preserve">Kyoto Encyclopedia Genes and Genomes (known as </w:t>
      </w:r>
      <w:r w:rsidR="001645C6" w:rsidRPr="00425573">
        <w:rPr>
          <w:rFonts w:ascii="Book Antiqua" w:hAnsi="Book Antiqua"/>
          <w:lang w:val="en-US"/>
        </w:rPr>
        <w:t>KEGG</w:t>
      </w:r>
      <w:r w:rsidR="004B5FE2" w:rsidRPr="00425573">
        <w:rPr>
          <w:rFonts w:ascii="Book Antiqua" w:hAnsi="Book Antiqua"/>
          <w:lang w:val="en-US"/>
        </w:rPr>
        <w:t>)</w:t>
      </w:r>
      <w:r w:rsidR="009D5442" w:rsidRPr="00425573">
        <w:rPr>
          <w:rFonts w:ascii="Book Antiqua" w:hAnsi="Book Antiqua"/>
          <w:lang w:val="en-US"/>
        </w:rPr>
        <w:t xml:space="preserve"> pathways shared by T2D and AD</w:t>
      </w:r>
      <w:r w:rsidR="00A9527D" w:rsidRPr="00425573">
        <w:rPr>
          <w:rFonts w:ascii="Book Antiqua" w:hAnsi="Book Antiqua"/>
          <w:lang w:val="en-US"/>
        </w:rPr>
        <w:t xml:space="preserve">, </w:t>
      </w:r>
      <w:r w:rsidR="00102832" w:rsidRPr="00425573">
        <w:rPr>
          <w:rFonts w:ascii="Book Antiqua" w:hAnsi="Book Antiqua"/>
          <w:lang w:val="en-US"/>
        </w:rPr>
        <w:t xml:space="preserve">pathways involved in </w:t>
      </w:r>
      <w:r w:rsidR="00A9527D" w:rsidRPr="00425573">
        <w:rPr>
          <w:rFonts w:ascii="Book Antiqua" w:hAnsi="Book Antiqua"/>
          <w:lang w:val="en-US"/>
        </w:rPr>
        <w:t>gly</w:t>
      </w:r>
      <w:r w:rsidR="007B03BC" w:rsidRPr="00425573">
        <w:rPr>
          <w:rFonts w:ascii="Book Antiqua" w:hAnsi="Book Antiqua"/>
          <w:lang w:val="en-US"/>
        </w:rPr>
        <w:t>cosphingoli</w:t>
      </w:r>
      <w:r w:rsidR="0007117A" w:rsidRPr="00425573">
        <w:rPr>
          <w:rFonts w:ascii="Book Antiqua" w:hAnsi="Book Antiqua"/>
          <w:lang w:val="en-US"/>
        </w:rPr>
        <w:t>pid biosynthesi</w:t>
      </w:r>
      <w:r w:rsidR="0045232D" w:rsidRPr="00425573">
        <w:rPr>
          <w:rFonts w:ascii="Book Antiqua" w:hAnsi="Book Antiqua"/>
          <w:lang w:val="en-US"/>
        </w:rPr>
        <w:t>s, immune/inflammat</w:t>
      </w:r>
      <w:r w:rsidR="00102832" w:rsidRPr="00425573">
        <w:rPr>
          <w:rFonts w:ascii="Book Antiqua" w:hAnsi="Book Antiqua"/>
          <w:lang w:val="en-US"/>
        </w:rPr>
        <w:t>ory response</w:t>
      </w:r>
      <w:r w:rsidR="0045232D" w:rsidRPr="00425573">
        <w:rPr>
          <w:rFonts w:ascii="Book Antiqua" w:hAnsi="Book Antiqua"/>
          <w:lang w:val="en-US"/>
        </w:rPr>
        <w:t>, regulation</w:t>
      </w:r>
      <w:r w:rsidR="009D5442" w:rsidRPr="00425573">
        <w:rPr>
          <w:rFonts w:ascii="Book Antiqua" w:hAnsi="Book Antiqua"/>
          <w:lang w:val="en-US"/>
        </w:rPr>
        <w:t xml:space="preserve"> of neurotransmitter transports, </w:t>
      </w:r>
      <w:r w:rsidR="0045232D" w:rsidRPr="00425573">
        <w:rPr>
          <w:rFonts w:ascii="Book Antiqua" w:hAnsi="Book Antiqua"/>
          <w:lang w:val="en-US"/>
        </w:rPr>
        <w:t>synaptic vesicle formation, lipid metabolism and apoptosis</w:t>
      </w:r>
      <w:r w:rsidR="00A9527D" w:rsidRPr="00425573">
        <w:rPr>
          <w:rFonts w:ascii="Book Antiqua" w:hAnsi="Book Antiqua"/>
          <w:lang w:val="en-US"/>
        </w:rPr>
        <w:t xml:space="preserve"> have been identified</w:t>
      </w:r>
      <w:r w:rsidR="008210CF" w:rsidRPr="00425573">
        <w:rPr>
          <w:rFonts w:ascii="Book Antiqua" w:hAnsi="Book Antiqua"/>
          <w:lang w:val="en-US"/>
        </w:rPr>
        <w:t xml:space="preserve">. </w:t>
      </w:r>
      <w:r w:rsidR="009D5442" w:rsidRPr="00425573">
        <w:rPr>
          <w:rFonts w:ascii="Book Antiqua" w:hAnsi="Book Antiqua"/>
          <w:lang w:val="en-US"/>
        </w:rPr>
        <w:t xml:space="preserve">T2D and </w:t>
      </w:r>
      <w:r w:rsidR="00521F8C" w:rsidRPr="00425573">
        <w:rPr>
          <w:rFonts w:ascii="Book Antiqua" w:hAnsi="Book Antiqua"/>
          <w:lang w:val="en-US"/>
        </w:rPr>
        <w:t xml:space="preserve">PD </w:t>
      </w:r>
      <w:r w:rsidR="00EA5084" w:rsidRPr="00425573">
        <w:rPr>
          <w:rFonts w:ascii="Book Antiqua" w:hAnsi="Book Antiqua"/>
          <w:lang w:val="en-US"/>
        </w:rPr>
        <w:t>share genes involved in immune-related networks</w:t>
      </w:r>
      <w:r w:rsidR="002E121A" w:rsidRPr="00425573">
        <w:rPr>
          <w:rFonts w:ascii="Book Antiqua" w:hAnsi="Book Antiqua"/>
          <w:lang w:val="en-US"/>
        </w:rPr>
        <w:t>,</w:t>
      </w:r>
      <w:r w:rsidR="00647B0D" w:rsidRPr="00425573">
        <w:rPr>
          <w:rFonts w:ascii="Book Antiqua" w:hAnsi="Book Antiqua"/>
          <w:lang w:val="en-US"/>
        </w:rPr>
        <w:t xml:space="preserve"> </w:t>
      </w:r>
      <w:r w:rsidR="00EA5084" w:rsidRPr="00425573">
        <w:rPr>
          <w:rFonts w:ascii="Book Antiqua" w:hAnsi="Book Antiqua"/>
          <w:lang w:val="en-US"/>
        </w:rPr>
        <w:t xml:space="preserve">cell adhesion, </w:t>
      </w:r>
      <w:r w:rsidR="002E121A" w:rsidRPr="00425573">
        <w:rPr>
          <w:rFonts w:ascii="Book Antiqua" w:hAnsi="Book Antiqua"/>
          <w:lang w:val="en-US"/>
        </w:rPr>
        <w:t>mitochondrial</w:t>
      </w:r>
      <w:r w:rsidR="00186527" w:rsidRPr="00425573">
        <w:rPr>
          <w:rFonts w:ascii="Book Antiqua" w:hAnsi="Book Antiqua"/>
          <w:lang w:val="en-US"/>
        </w:rPr>
        <w:t xml:space="preserve"> </w:t>
      </w:r>
      <w:r w:rsidR="009D5442" w:rsidRPr="00425573">
        <w:rPr>
          <w:rFonts w:ascii="Book Antiqua" w:hAnsi="Book Antiqua"/>
          <w:lang w:val="en-US"/>
        </w:rPr>
        <w:t>activity</w:t>
      </w:r>
      <w:r w:rsidR="00186527" w:rsidRPr="00425573">
        <w:rPr>
          <w:rFonts w:ascii="Book Antiqua" w:hAnsi="Book Antiqua"/>
          <w:lang w:val="en-US"/>
        </w:rPr>
        <w:t>, connecti</w:t>
      </w:r>
      <w:r w:rsidR="009D5442" w:rsidRPr="00425573">
        <w:rPr>
          <w:rFonts w:ascii="Book Antiqua" w:hAnsi="Book Antiqua"/>
          <w:lang w:val="en-US"/>
        </w:rPr>
        <w:t>ve tissue/</w:t>
      </w:r>
      <w:r w:rsidR="00186527" w:rsidRPr="00425573">
        <w:rPr>
          <w:rFonts w:ascii="Book Antiqua" w:hAnsi="Book Antiqua"/>
          <w:lang w:val="en-US"/>
        </w:rPr>
        <w:t>extracellular matrix organization</w:t>
      </w:r>
      <w:r w:rsidR="004B5FE2" w:rsidRPr="00425573">
        <w:rPr>
          <w:rFonts w:ascii="Book Antiqua" w:hAnsi="Book Antiqua"/>
          <w:lang w:val="en-US"/>
        </w:rPr>
        <w:t>,</w:t>
      </w:r>
      <w:r w:rsidR="00186527" w:rsidRPr="00425573">
        <w:rPr>
          <w:rFonts w:ascii="Book Antiqua" w:hAnsi="Book Antiqua"/>
          <w:lang w:val="en-US"/>
        </w:rPr>
        <w:t xml:space="preserve"> </w:t>
      </w:r>
      <w:r w:rsidR="00F27195" w:rsidRPr="00425573">
        <w:rPr>
          <w:rFonts w:ascii="Book Antiqua" w:hAnsi="Book Antiqua"/>
          <w:lang w:val="en-US"/>
        </w:rPr>
        <w:t xml:space="preserve">and </w:t>
      </w:r>
      <w:r w:rsidR="00186527" w:rsidRPr="00425573">
        <w:rPr>
          <w:rFonts w:ascii="Book Antiqua" w:hAnsi="Book Antiqua"/>
          <w:lang w:val="en-US"/>
        </w:rPr>
        <w:t>synaptic maturation</w:t>
      </w:r>
      <w:r w:rsidR="008210CF" w:rsidRPr="00425573">
        <w:rPr>
          <w:rFonts w:ascii="Book Antiqua" w:hAnsi="Book Antiqua"/>
          <w:lang w:val="en-US"/>
        </w:rPr>
        <w:t xml:space="preserve">. </w:t>
      </w:r>
      <w:r w:rsidR="009D5442" w:rsidRPr="00425573">
        <w:rPr>
          <w:rFonts w:ascii="Book Antiqua" w:hAnsi="Book Antiqua"/>
          <w:lang w:val="en-US"/>
        </w:rPr>
        <w:t>Indeed</w:t>
      </w:r>
      <w:r w:rsidR="00EB672F" w:rsidRPr="00425573">
        <w:rPr>
          <w:rFonts w:ascii="Book Antiqua" w:hAnsi="Book Antiqua"/>
          <w:lang w:val="en-US"/>
        </w:rPr>
        <w:t xml:space="preserve">, </w:t>
      </w:r>
      <w:r w:rsidR="000D5DB2" w:rsidRPr="00425573">
        <w:rPr>
          <w:rFonts w:ascii="Book Antiqua" w:hAnsi="Book Antiqua"/>
          <w:lang w:val="en-US"/>
        </w:rPr>
        <w:t>neuroinflammation may represent a</w:t>
      </w:r>
      <w:r w:rsidR="00102832" w:rsidRPr="00425573">
        <w:rPr>
          <w:rFonts w:ascii="Book Antiqua" w:hAnsi="Book Antiqua"/>
          <w:lang w:val="en-US"/>
        </w:rPr>
        <w:t xml:space="preserve"> </w:t>
      </w:r>
      <w:r w:rsidR="009D5442" w:rsidRPr="00425573">
        <w:rPr>
          <w:rFonts w:ascii="Book Antiqua" w:hAnsi="Book Antiqua"/>
          <w:lang w:val="en-US"/>
        </w:rPr>
        <w:t>common hallmark among T2D, AD and PD</w:t>
      </w:r>
      <w:r w:rsidR="000D5DB2" w:rsidRPr="00425573">
        <w:rPr>
          <w:rFonts w:ascii="Book Antiqua" w:hAnsi="Book Antiqua"/>
          <w:lang w:val="en-US"/>
        </w:rPr>
        <w:t xml:space="preserve">, given </w:t>
      </w:r>
      <w:r w:rsidR="009D5442" w:rsidRPr="00425573">
        <w:rPr>
          <w:rFonts w:ascii="Book Antiqua" w:hAnsi="Book Antiqua"/>
          <w:lang w:val="en-US"/>
        </w:rPr>
        <w:t xml:space="preserve">that </w:t>
      </w:r>
      <w:r w:rsidR="000D5DB2" w:rsidRPr="00425573">
        <w:rPr>
          <w:rFonts w:ascii="Book Antiqua" w:hAnsi="Book Antiqua"/>
          <w:lang w:val="en-US"/>
        </w:rPr>
        <w:t xml:space="preserve">most of the shared genes are </w:t>
      </w:r>
      <w:r w:rsidR="002E121A" w:rsidRPr="00425573">
        <w:rPr>
          <w:rFonts w:ascii="Book Antiqua" w:hAnsi="Book Antiqua"/>
          <w:lang w:val="en-US"/>
        </w:rPr>
        <w:t xml:space="preserve">implicated </w:t>
      </w:r>
      <w:r w:rsidR="00EB672F" w:rsidRPr="00425573">
        <w:rPr>
          <w:rFonts w:ascii="Book Antiqua" w:hAnsi="Book Antiqua"/>
          <w:lang w:val="en-US"/>
        </w:rPr>
        <w:t>in the regulation of inflammatory networks</w:t>
      </w:r>
      <w:r w:rsidR="0060104B" w:rsidRPr="00425573">
        <w:rPr>
          <w:rFonts w:ascii="Book Antiqua" w:hAnsi="Book Antiqua"/>
          <w:lang w:val="en-US"/>
        </w:rPr>
        <w:t>.</w:t>
      </w:r>
      <w:r w:rsidR="00700947" w:rsidRPr="00425573">
        <w:rPr>
          <w:rFonts w:ascii="Book Antiqua" w:hAnsi="Book Antiqua"/>
          <w:lang w:val="en-US"/>
        </w:rPr>
        <w:t xml:space="preserve"> Interestingly</w:t>
      </w:r>
      <w:r w:rsidR="009D3298" w:rsidRPr="00425573">
        <w:rPr>
          <w:rFonts w:ascii="Book Antiqua" w:hAnsi="Book Antiqua"/>
          <w:lang w:val="en-US"/>
        </w:rPr>
        <w:t xml:space="preserve">, </w:t>
      </w:r>
      <w:r w:rsidR="004F571C" w:rsidRPr="00425573">
        <w:rPr>
          <w:rFonts w:ascii="Book Antiqua" w:hAnsi="Book Antiqua"/>
          <w:lang w:val="en-US"/>
        </w:rPr>
        <w:t xml:space="preserve">Santiago </w:t>
      </w:r>
      <w:r w:rsidR="004F571C" w:rsidRPr="00425573">
        <w:rPr>
          <w:rFonts w:ascii="Book Antiqua" w:hAnsi="Book Antiqua"/>
          <w:i/>
          <w:iCs/>
          <w:lang w:val="en-US"/>
        </w:rPr>
        <w:t>et al</w:t>
      </w:r>
      <w:r w:rsidR="00F27195"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{"citationID":"MTyWe5MG","properties":{"formattedCitation":"\\super [58]\\nosupersub{}","plainCitation":"[58]","noteIndex":0},"citationItems":[{"id":197,"uris":["http://zotero.org/groups/2394923/items/IV9INNJC"],"uri":["http://zotero.org/groups/2394923/items/IV9INNJC"],"itemData":{"id":197,"type":"article-journal","abstract":"BACKGROUND: Shared dysregulated pathways may contribute to Parkinson's disease and type 2 diabetes, chronic diseases that afflict millions of people worldwide. Despite the evidence provided by epidemiological and gene profiling studies, the molecular and functional networks implicated in both diseases, have not been fully explored. In this study, we used an integrated network approach to investigate the extent to which Parkinson's disease and type 2 diabetes are linked at the molecular level.\nMETHODS AND FINDINGS: Using a random walk algorithm within the human functional linkage network we identified a molecular cluster of 478 neighboring genes closely associated with confirmed Parkinson's disease and type 2 diabetes genes. Biological and functional analysis identified the protein serine-threonine kinase activity, MAPK cascade, activation of the immune response, and insulin receptor and lipid signaling as convergent pathways. Integration of results from microarrays studies identified a blood signature comprising seven genes whose expression is dysregulated in Parkinson's disease and type 2 diabetes. Among this group of genes, is the amyloid precursor protein (APP), previously associated with neurodegeneration and insulin regulation. Quantification of RNA from whole blood of 192 samples from two independent clinical trials, the Harvard Biomarker Study (HBS) and the Prognostic Biomarker Study (PROBE), revealed that expression of APP is significantly upregulated in Parkinson's disease patients compared to healthy controls. Assessment of biomarker performance revealed that expression of APP could distinguish Parkinson's disease from healthy individuals with a diagnostic accuracy of 80% in both cohorts of patients.\nCONCLUSIONS: These results provide the first evidence that Parkinson's disease and diabetes are strongly linked at the molecular level and that shared molecular networks provide an additional source for identifying highly sensitive biomarkers. Further, these results suggest for the first time that increased expression of APP in blood may modulate the neurodegenerative phenotype in type 2 diabetes patients.","container-title":"PloS One","DOI":"10.1371/journal.pone.0083940","ISSN":"1932-6203","issue":"12","journalAbbreviation":"PLoS ONE","language":"eng","note":"PMID: 24376773\nPMCID: PMC3869818","page":"e83940","source":"PubMed","title":"Integrative network analysis unveils convergent molecular pathways in Parkinson's disease and diabetes","volume":"8","author":[{"family":"Santiago","given":"Jose A."},{"family":"Potashkin","given":"Judith A."}],"issued":{"date-parts":[["2013"]]}}}],"schema":"https://github.com/citation-style-language/schema/raw/master/csl-citation.json"} </w:instrText>
      </w:r>
      <w:r w:rsidR="00F27195" w:rsidRPr="00425573">
        <w:rPr>
          <w:rFonts w:ascii="Book Antiqua" w:hAnsi="Book Antiqua"/>
          <w:lang w:val="en-US"/>
        </w:rPr>
        <w:fldChar w:fldCharType="separate"/>
      </w:r>
      <w:r w:rsidR="00E80BAA" w:rsidRPr="00425573">
        <w:rPr>
          <w:rFonts w:ascii="Book Antiqua" w:hAnsi="Book Antiqua"/>
          <w:vertAlign w:val="superscript"/>
        </w:rPr>
        <w:t>[58]</w:t>
      </w:r>
      <w:r w:rsidR="00F27195" w:rsidRPr="00425573">
        <w:rPr>
          <w:rFonts w:ascii="Book Antiqua" w:hAnsi="Book Antiqua"/>
          <w:lang w:val="en-US"/>
        </w:rPr>
        <w:fldChar w:fldCharType="end"/>
      </w:r>
      <w:r w:rsidR="004F571C" w:rsidRPr="00425573">
        <w:rPr>
          <w:rFonts w:ascii="Book Antiqua" w:hAnsi="Book Antiqua"/>
          <w:lang w:val="en-US"/>
        </w:rPr>
        <w:t xml:space="preserve">, 2013 found that </w:t>
      </w:r>
      <w:r w:rsidR="004F571C" w:rsidRPr="00425573">
        <w:rPr>
          <w:rFonts w:ascii="Book Antiqua" w:hAnsi="Book Antiqua"/>
          <w:i/>
          <w:lang w:val="en-US"/>
        </w:rPr>
        <w:t>APP</w:t>
      </w:r>
      <w:r w:rsidR="004F571C" w:rsidRPr="00425573">
        <w:rPr>
          <w:rFonts w:ascii="Book Antiqua" w:hAnsi="Book Antiqua"/>
          <w:lang w:val="en-US"/>
        </w:rPr>
        <w:t xml:space="preserve"> mRNA </w:t>
      </w:r>
      <w:r w:rsidR="000D5DB2" w:rsidRPr="00425573">
        <w:rPr>
          <w:rFonts w:ascii="Book Antiqua" w:hAnsi="Book Antiqua"/>
          <w:lang w:val="en-US"/>
        </w:rPr>
        <w:t xml:space="preserve">was </w:t>
      </w:r>
      <w:r w:rsidR="004F571C" w:rsidRPr="00425573">
        <w:rPr>
          <w:rFonts w:ascii="Book Antiqua" w:hAnsi="Book Antiqua"/>
          <w:lang w:val="en-US"/>
        </w:rPr>
        <w:t>overexpressed in the whole blood of both</w:t>
      </w:r>
      <w:r w:rsidR="009D5442" w:rsidRPr="00425573">
        <w:rPr>
          <w:rFonts w:ascii="Book Antiqua" w:hAnsi="Book Antiqua"/>
          <w:lang w:val="en-US"/>
        </w:rPr>
        <w:t xml:space="preserve"> T2D and</w:t>
      </w:r>
      <w:r w:rsidR="004F571C" w:rsidRPr="00425573">
        <w:rPr>
          <w:rFonts w:ascii="Book Antiqua" w:hAnsi="Book Antiqua"/>
          <w:lang w:val="en-US"/>
        </w:rPr>
        <w:t xml:space="preserve"> </w:t>
      </w:r>
      <w:r w:rsidR="009D5442" w:rsidRPr="00425573">
        <w:rPr>
          <w:rFonts w:ascii="Book Antiqua" w:hAnsi="Book Antiqua"/>
          <w:lang w:val="en-US"/>
        </w:rPr>
        <w:t>PD</w:t>
      </w:r>
      <w:r w:rsidR="004F571C" w:rsidRPr="00425573">
        <w:rPr>
          <w:rFonts w:ascii="Book Antiqua" w:hAnsi="Book Antiqua"/>
          <w:lang w:val="en-US"/>
        </w:rPr>
        <w:t xml:space="preserve"> patients</w:t>
      </w:r>
      <w:r w:rsidR="00253EB4" w:rsidRPr="00425573">
        <w:rPr>
          <w:rFonts w:ascii="Book Antiqua" w:hAnsi="Book Antiqua"/>
          <w:lang w:val="en-US"/>
        </w:rPr>
        <w:t>.</w:t>
      </w:r>
      <w:r w:rsidR="00D767B4" w:rsidRPr="00425573">
        <w:rPr>
          <w:rFonts w:ascii="Book Antiqua" w:hAnsi="Book Antiqua"/>
          <w:lang w:val="en-US"/>
        </w:rPr>
        <w:t xml:space="preserve"> </w:t>
      </w:r>
      <w:r w:rsidR="005E186F" w:rsidRPr="00425573">
        <w:rPr>
          <w:rFonts w:ascii="Book Antiqua" w:hAnsi="Book Antiqua"/>
          <w:lang w:val="en-US"/>
        </w:rPr>
        <w:t xml:space="preserve">Therefore, </w:t>
      </w:r>
      <w:r w:rsidR="005E186F" w:rsidRPr="00425573">
        <w:rPr>
          <w:rFonts w:ascii="Book Antiqua" w:hAnsi="Book Antiqua" w:cs="Times New Roman"/>
          <w:color w:val="000000" w:themeColor="text1"/>
          <w:lang w:val="en-US"/>
        </w:rPr>
        <w:t>the knowledge of</w:t>
      </w:r>
      <w:r w:rsidR="00066C6F" w:rsidRPr="00425573">
        <w:rPr>
          <w:rFonts w:ascii="Book Antiqua" w:hAnsi="Book Antiqua" w:cs="Times New Roman"/>
          <w:color w:val="000000" w:themeColor="text1"/>
          <w:lang w:val="en-US"/>
        </w:rPr>
        <w:t xml:space="preserve"> shared</w:t>
      </w:r>
      <w:r w:rsidR="005E186F" w:rsidRPr="00425573">
        <w:rPr>
          <w:rFonts w:ascii="Book Antiqua" w:hAnsi="Book Antiqua" w:cs="Times New Roman"/>
          <w:color w:val="000000" w:themeColor="text1"/>
          <w:lang w:val="en-US"/>
        </w:rPr>
        <w:t xml:space="preserve"> </w:t>
      </w:r>
      <w:r w:rsidR="00B93B47" w:rsidRPr="00425573">
        <w:rPr>
          <w:rFonts w:ascii="Book Antiqua" w:hAnsi="Book Antiqua" w:cs="Times New Roman"/>
          <w:color w:val="000000" w:themeColor="text1"/>
          <w:lang w:val="en-US"/>
        </w:rPr>
        <w:t xml:space="preserve">genetic </w:t>
      </w:r>
      <w:r w:rsidR="00283E45" w:rsidRPr="00425573">
        <w:rPr>
          <w:rFonts w:ascii="Book Antiqua" w:hAnsi="Book Antiqua" w:cs="Times New Roman"/>
          <w:color w:val="000000" w:themeColor="text1"/>
          <w:lang w:val="en-US"/>
        </w:rPr>
        <w:t>factors</w:t>
      </w:r>
      <w:r w:rsidR="00C75E64" w:rsidRPr="00425573">
        <w:rPr>
          <w:rFonts w:ascii="Book Antiqua" w:hAnsi="Book Antiqua" w:cs="Times New Roman"/>
          <w:color w:val="000000" w:themeColor="text1"/>
          <w:lang w:val="en-US"/>
        </w:rPr>
        <w:t xml:space="preserve"> and gene expression profile</w:t>
      </w:r>
      <w:r w:rsidR="005D6A46" w:rsidRPr="00425573">
        <w:rPr>
          <w:rFonts w:ascii="Book Antiqua" w:hAnsi="Book Antiqua" w:cs="Times New Roman"/>
          <w:color w:val="000000" w:themeColor="text1"/>
          <w:lang w:val="en-US"/>
        </w:rPr>
        <w:t>s</w:t>
      </w:r>
      <w:r w:rsidR="00283E45" w:rsidRPr="00425573">
        <w:rPr>
          <w:rFonts w:ascii="Book Antiqua" w:hAnsi="Book Antiqua" w:cs="Times New Roman"/>
          <w:color w:val="000000" w:themeColor="text1"/>
          <w:lang w:val="en-US"/>
        </w:rPr>
        <w:t xml:space="preserve"> </w:t>
      </w:r>
      <w:r w:rsidR="00B93B47" w:rsidRPr="00425573">
        <w:rPr>
          <w:rFonts w:ascii="Book Antiqua" w:hAnsi="Book Antiqua" w:cs="Times New Roman"/>
          <w:color w:val="000000" w:themeColor="text1"/>
          <w:lang w:val="en-US"/>
        </w:rPr>
        <w:t xml:space="preserve">may </w:t>
      </w:r>
      <w:r w:rsidR="009F560E" w:rsidRPr="00425573">
        <w:rPr>
          <w:rFonts w:ascii="Book Antiqua" w:hAnsi="Book Antiqua" w:cs="Times New Roman"/>
          <w:color w:val="000000" w:themeColor="text1"/>
          <w:lang w:val="en-US"/>
        </w:rPr>
        <w:t xml:space="preserve">help </w:t>
      </w:r>
      <w:r w:rsidR="005E186F" w:rsidRPr="00425573">
        <w:rPr>
          <w:rFonts w:ascii="Book Antiqua" w:hAnsi="Book Antiqua" w:cs="Times New Roman"/>
          <w:color w:val="000000" w:themeColor="text1"/>
          <w:lang w:val="en-US"/>
        </w:rPr>
        <w:t>to</w:t>
      </w:r>
      <w:r w:rsidR="00066C6F" w:rsidRPr="00425573">
        <w:rPr>
          <w:rFonts w:ascii="Book Antiqua" w:hAnsi="Book Antiqua" w:cs="Times New Roman"/>
          <w:color w:val="000000" w:themeColor="text1"/>
          <w:lang w:val="en-US"/>
        </w:rPr>
        <w:t xml:space="preserve"> further</w:t>
      </w:r>
      <w:r w:rsidR="005E186F" w:rsidRPr="00425573">
        <w:rPr>
          <w:rFonts w:ascii="Book Antiqua" w:hAnsi="Book Antiqua" w:cs="Times New Roman"/>
          <w:color w:val="000000" w:themeColor="text1"/>
          <w:lang w:val="en-US"/>
        </w:rPr>
        <w:t xml:space="preserve"> </w:t>
      </w:r>
      <w:r w:rsidR="009F560E" w:rsidRPr="00425573">
        <w:rPr>
          <w:rFonts w:ascii="Book Antiqua" w:hAnsi="Book Antiqua" w:cs="Times New Roman"/>
          <w:color w:val="000000" w:themeColor="text1"/>
          <w:lang w:val="en-US"/>
        </w:rPr>
        <w:t xml:space="preserve">dissect the </w:t>
      </w:r>
      <w:r w:rsidR="00DA5663" w:rsidRPr="00425573">
        <w:rPr>
          <w:rFonts w:ascii="Book Antiqua" w:hAnsi="Book Antiqua" w:cs="Times New Roman"/>
          <w:color w:val="000000" w:themeColor="text1"/>
          <w:lang w:val="en-US"/>
        </w:rPr>
        <w:t xml:space="preserve">molecular </w:t>
      </w:r>
      <w:r w:rsidR="009D5442" w:rsidRPr="00425573">
        <w:rPr>
          <w:rFonts w:ascii="Book Antiqua" w:hAnsi="Book Antiqua" w:cs="Times New Roman"/>
          <w:color w:val="000000" w:themeColor="text1"/>
          <w:lang w:val="en-US"/>
        </w:rPr>
        <w:t>network</w:t>
      </w:r>
      <w:r w:rsidR="00066C6F" w:rsidRPr="00425573">
        <w:rPr>
          <w:rFonts w:ascii="Book Antiqua" w:hAnsi="Book Antiqua" w:cs="Times New Roman"/>
          <w:color w:val="000000" w:themeColor="text1"/>
          <w:lang w:val="en-US"/>
        </w:rPr>
        <w:t xml:space="preserve"> </w:t>
      </w:r>
      <w:r w:rsidR="009D5442" w:rsidRPr="00425573">
        <w:rPr>
          <w:rFonts w:ascii="Book Antiqua" w:hAnsi="Book Antiqua" w:cs="Times New Roman"/>
          <w:color w:val="000000" w:themeColor="text1"/>
          <w:lang w:val="en-US"/>
        </w:rPr>
        <w:t xml:space="preserve">characterizing and linking T2D, AD and </w:t>
      </w:r>
      <w:r w:rsidR="000D5DB2" w:rsidRPr="00425573">
        <w:rPr>
          <w:rFonts w:ascii="Book Antiqua" w:hAnsi="Book Antiqua" w:cs="Times New Roman"/>
          <w:color w:val="000000" w:themeColor="text1"/>
          <w:lang w:val="en-US"/>
        </w:rPr>
        <w:t>PD</w:t>
      </w:r>
      <w:r w:rsidR="00647B0D" w:rsidRPr="00425573">
        <w:rPr>
          <w:rFonts w:ascii="Book Antiqua" w:hAnsi="Book Antiqua" w:cs="Times New Roman"/>
          <w:color w:val="000000" w:themeColor="text1"/>
          <w:lang w:val="en-US"/>
        </w:rPr>
        <w:t xml:space="preserve"> </w:t>
      </w:r>
      <w:r w:rsidR="005358A3" w:rsidRPr="00425573">
        <w:rPr>
          <w:rFonts w:ascii="Book Antiqua" w:hAnsi="Book Antiqua" w:cs="Times New Roman"/>
          <w:color w:val="000000" w:themeColor="text1"/>
          <w:lang w:val="en-US"/>
        </w:rPr>
        <w:t xml:space="preserve">(Figure </w:t>
      </w:r>
      <w:r w:rsidR="00B92F8D" w:rsidRPr="00425573">
        <w:rPr>
          <w:rFonts w:ascii="Book Antiqua" w:hAnsi="Book Antiqua" w:cs="Times New Roman"/>
          <w:color w:val="000000" w:themeColor="text1"/>
          <w:lang w:val="en-US"/>
        </w:rPr>
        <w:t>1)</w:t>
      </w:r>
      <w:r w:rsidR="000D5DB2" w:rsidRPr="00425573">
        <w:rPr>
          <w:rFonts w:ascii="Book Antiqua" w:hAnsi="Book Antiqua" w:cs="Times New Roman"/>
          <w:color w:val="000000" w:themeColor="text1"/>
          <w:lang w:val="en-US"/>
        </w:rPr>
        <w:t>.</w:t>
      </w:r>
    </w:p>
    <w:p w14:paraId="05E6CC62" w14:textId="77777777" w:rsidR="007C73DF" w:rsidRPr="00425573" w:rsidRDefault="007C73DF" w:rsidP="00CC10A4">
      <w:pPr>
        <w:snapToGrid w:val="0"/>
        <w:spacing w:line="360" w:lineRule="auto"/>
        <w:jc w:val="both"/>
        <w:rPr>
          <w:rFonts w:ascii="Book Antiqua" w:hAnsi="Book Antiqua" w:cs="Times New Roman"/>
          <w:color w:val="000000" w:themeColor="text1"/>
          <w:lang w:val="en-US"/>
        </w:rPr>
      </w:pPr>
    </w:p>
    <w:p w14:paraId="023B80E1" w14:textId="1861741E" w:rsidR="007C73DF" w:rsidRPr="00425573" w:rsidRDefault="00A11C90" w:rsidP="00CC10A4">
      <w:pPr>
        <w:snapToGrid w:val="0"/>
        <w:spacing w:line="360" w:lineRule="auto"/>
        <w:jc w:val="both"/>
        <w:outlineLvl w:val="0"/>
        <w:rPr>
          <w:rFonts w:ascii="Book Antiqua" w:hAnsi="Book Antiqua" w:cs="Times New Roman"/>
          <w:b/>
          <w:color w:val="000000" w:themeColor="text1"/>
          <w:u w:val="single"/>
          <w:lang w:val="en-US"/>
        </w:rPr>
      </w:pPr>
      <w:r w:rsidRPr="00425573">
        <w:rPr>
          <w:rFonts w:ascii="Book Antiqua" w:hAnsi="Book Antiqua" w:cs="Times New Roman"/>
          <w:b/>
          <w:color w:val="000000" w:themeColor="text1"/>
          <w:u w:val="single"/>
          <w:lang w:val="en-US"/>
        </w:rPr>
        <w:t>INSIGHTS INTO COMMON EPIGENETIC BACKGROUND</w:t>
      </w:r>
      <w:r w:rsidR="00F27195" w:rsidRPr="00425573">
        <w:rPr>
          <w:rFonts w:ascii="Book Antiqua" w:hAnsi="Book Antiqua" w:cs="Times New Roman"/>
          <w:b/>
          <w:color w:val="000000" w:themeColor="text1"/>
          <w:u w:val="single"/>
          <w:lang w:val="en-US"/>
        </w:rPr>
        <w:t>(S)</w:t>
      </w:r>
      <w:r w:rsidRPr="00425573">
        <w:rPr>
          <w:rFonts w:ascii="Book Antiqua" w:hAnsi="Book Antiqua" w:cs="Times New Roman"/>
          <w:b/>
          <w:color w:val="000000" w:themeColor="text1"/>
          <w:u w:val="single"/>
          <w:lang w:val="en-US"/>
        </w:rPr>
        <w:t xml:space="preserve"> OF T2D, AD AND PD</w:t>
      </w:r>
    </w:p>
    <w:p w14:paraId="1BF6894B" w14:textId="1A4EDA54" w:rsidR="00C1254C" w:rsidRPr="00425573" w:rsidRDefault="001D375C" w:rsidP="00CC10A4">
      <w:pPr>
        <w:snapToGrid w:val="0"/>
        <w:spacing w:line="360" w:lineRule="auto"/>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 xml:space="preserve">The human genome is able to dynamically interact with </w:t>
      </w:r>
      <w:r w:rsidR="00F27195" w:rsidRPr="00425573">
        <w:rPr>
          <w:rFonts w:ascii="Book Antiqua" w:hAnsi="Book Antiqua" w:cs="Times New Roman"/>
          <w:color w:val="000000" w:themeColor="text1"/>
          <w:lang w:val="en-US"/>
        </w:rPr>
        <w:t xml:space="preserve">the </w:t>
      </w:r>
      <w:r w:rsidRPr="00425573">
        <w:rPr>
          <w:rFonts w:ascii="Book Antiqua" w:hAnsi="Book Antiqua" w:cs="Times New Roman"/>
          <w:color w:val="000000" w:themeColor="text1"/>
          <w:lang w:val="en-US"/>
        </w:rPr>
        <w:t>environment through</w:t>
      </w:r>
      <w:r w:rsidR="009F48E6" w:rsidRPr="00425573">
        <w:rPr>
          <w:rFonts w:ascii="Book Antiqua" w:hAnsi="Book Antiqua" w:cs="Times New Roman"/>
          <w:color w:val="000000" w:themeColor="text1"/>
          <w:lang w:val="en-US"/>
        </w:rPr>
        <w:t xml:space="preserve"> e</w:t>
      </w:r>
      <w:r w:rsidR="00BE6909" w:rsidRPr="00425573">
        <w:rPr>
          <w:rFonts w:ascii="Book Antiqua" w:hAnsi="Book Antiqua" w:cs="Times New Roman"/>
          <w:color w:val="000000" w:themeColor="text1"/>
          <w:lang w:val="en-US"/>
        </w:rPr>
        <w:t xml:space="preserve">pigenetic </w:t>
      </w:r>
      <w:r w:rsidR="000D5DB2" w:rsidRPr="00425573">
        <w:rPr>
          <w:rFonts w:ascii="Book Antiqua" w:hAnsi="Book Antiqua" w:cs="Times New Roman"/>
          <w:color w:val="000000" w:themeColor="text1"/>
          <w:lang w:val="en-US"/>
        </w:rPr>
        <w:t>modifications</w:t>
      </w:r>
      <w:r w:rsidRPr="00425573">
        <w:rPr>
          <w:rFonts w:ascii="Book Antiqua" w:hAnsi="Book Antiqua" w:cs="Times New Roman"/>
          <w:color w:val="000000" w:themeColor="text1"/>
          <w:lang w:val="en-US"/>
        </w:rPr>
        <w:t>, which altogether</w:t>
      </w:r>
      <w:r w:rsidR="000D5DB2" w:rsidRPr="00425573">
        <w:rPr>
          <w:rFonts w:ascii="Book Antiqua" w:hAnsi="Book Antiqua" w:cs="Times New Roman"/>
          <w:color w:val="000000" w:themeColor="text1"/>
          <w:lang w:val="en-US"/>
        </w:rPr>
        <w:t xml:space="preserve"> create</w:t>
      </w:r>
      <w:r w:rsidR="00DE1BBC"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the</w:t>
      </w:r>
      <w:r w:rsidR="00DE1BBC" w:rsidRPr="00425573">
        <w:rPr>
          <w:rFonts w:ascii="Book Antiqua" w:hAnsi="Book Antiqua" w:cs="Times New Roman"/>
          <w:color w:val="000000" w:themeColor="text1"/>
          <w:lang w:val="en-US"/>
        </w:rPr>
        <w:t xml:space="preserve"> complex</w:t>
      </w:r>
      <w:r w:rsidR="00C559CE" w:rsidRPr="00425573">
        <w:rPr>
          <w:rFonts w:ascii="Book Antiqua" w:hAnsi="Book Antiqua" w:cs="Times New Roman"/>
          <w:color w:val="000000" w:themeColor="text1"/>
          <w:lang w:val="en-US"/>
        </w:rPr>
        <w:t xml:space="preserve"> machinery</w:t>
      </w:r>
      <w:r w:rsidRPr="00425573">
        <w:rPr>
          <w:rFonts w:ascii="Book Antiqua" w:hAnsi="Book Antiqua" w:cs="Times New Roman"/>
          <w:color w:val="000000" w:themeColor="text1"/>
          <w:lang w:val="en-US"/>
        </w:rPr>
        <w:t xml:space="preserve"> designated to</w:t>
      </w:r>
      <w:r w:rsidR="00C559CE" w:rsidRPr="00425573">
        <w:rPr>
          <w:rFonts w:ascii="Book Antiqua" w:hAnsi="Book Antiqua" w:cs="Times New Roman"/>
          <w:color w:val="000000" w:themeColor="text1"/>
          <w:lang w:val="en-US"/>
        </w:rPr>
        <w:t xml:space="preserve"> regulate lifetime and aging processes.</w:t>
      </w:r>
      <w:r w:rsidR="00433DE6" w:rsidRPr="00425573">
        <w:rPr>
          <w:rFonts w:ascii="Book Antiqua" w:hAnsi="Book Antiqua" w:cs="Times New Roman"/>
          <w:color w:val="000000" w:themeColor="text1"/>
          <w:lang w:val="en-US"/>
        </w:rPr>
        <w:t xml:space="preserve"> </w:t>
      </w:r>
      <w:r w:rsidR="00C559CE" w:rsidRPr="00425573">
        <w:rPr>
          <w:rFonts w:ascii="Book Antiqua" w:hAnsi="Book Antiqua" w:cs="Times New Roman"/>
          <w:color w:val="000000" w:themeColor="text1"/>
          <w:lang w:val="en-US"/>
        </w:rPr>
        <w:t xml:space="preserve">In </w:t>
      </w:r>
      <w:r w:rsidRPr="00425573">
        <w:rPr>
          <w:rFonts w:ascii="Book Antiqua" w:hAnsi="Book Antiqua" w:cs="Times New Roman"/>
          <w:color w:val="000000" w:themeColor="text1"/>
          <w:lang w:val="en-US"/>
        </w:rPr>
        <w:t>fact</w:t>
      </w:r>
      <w:r w:rsidR="00C559CE" w:rsidRPr="00425573">
        <w:rPr>
          <w:rFonts w:ascii="Book Antiqua" w:hAnsi="Book Antiqua" w:cs="Times New Roman"/>
          <w:color w:val="000000" w:themeColor="text1"/>
          <w:lang w:val="en-US"/>
        </w:rPr>
        <w:t>, e</w:t>
      </w:r>
      <w:r w:rsidRPr="00425573">
        <w:rPr>
          <w:rFonts w:ascii="Book Antiqua" w:hAnsi="Book Antiqua" w:cs="Times New Roman"/>
          <w:color w:val="000000" w:themeColor="text1"/>
          <w:lang w:val="en-US"/>
        </w:rPr>
        <w:t>pigenetics</w:t>
      </w:r>
      <w:r w:rsidR="00C559CE"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modulate</w:t>
      </w:r>
      <w:r w:rsidR="00F32C5C" w:rsidRPr="00425573">
        <w:rPr>
          <w:rFonts w:ascii="Book Antiqua" w:hAnsi="Book Antiqua" w:cs="Times New Roman"/>
          <w:color w:val="000000" w:themeColor="text1"/>
          <w:lang w:val="en-US"/>
        </w:rPr>
        <w:t xml:space="preserve"> gene expression</w:t>
      </w:r>
      <w:r w:rsidR="00C559CE" w:rsidRPr="00425573">
        <w:rPr>
          <w:rFonts w:ascii="Book Antiqua" w:hAnsi="Book Antiqua" w:cs="Times New Roman"/>
          <w:color w:val="000000" w:themeColor="text1"/>
          <w:lang w:val="en-US"/>
        </w:rPr>
        <w:t xml:space="preserve"> without altering the DNA sequence. This is possible </w:t>
      </w:r>
      <w:r w:rsidRPr="00425573">
        <w:rPr>
          <w:rFonts w:ascii="Book Antiqua" w:hAnsi="Book Antiqua" w:cs="Times New Roman"/>
          <w:color w:val="000000" w:themeColor="text1"/>
          <w:lang w:val="en-US"/>
        </w:rPr>
        <w:t>by means of</w:t>
      </w:r>
      <w:r w:rsidR="00C559CE" w:rsidRPr="00425573">
        <w:rPr>
          <w:rFonts w:ascii="Book Antiqua" w:hAnsi="Book Antiqua" w:cs="Times New Roman"/>
          <w:color w:val="000000" w:themeColor="text1"/>
          <w:lang w:val="en-US"/>
        </w:rPr>
        <w:t xml:space="preserve"> different</w:t>
      </w:r>
      <w:r w:rsidRPr="00425573">
        <w:rPr>
          <w:rFonts w:ascii="Book Antiqua" w:hAnsi="Book Antiqua" w:cs="Times New Roman"/>
          <w:color w:val="000000" w:themeColor="text1"/>
          <w:lang w:val="en-US"/>
        </w:rPr>
        <w:t xml:space="preserve"> kinds of</w:t>
      </w:r>
      <w:r w:rsidR="00C559CE" w:rsidRPr="00425573">
        <w:rPr>
          <w:rFonts w:ascii="Book Antiqua" w:hAnsi="Book Antiqua" w:cs="Times New Roman"/>
          <w:color w:val="000000" w:themeColor="text1"/>
          <w:lang w:val="en-US"/>
        </w:rPr>
        <w:t xml:space="preserve"> </w:t>
      </w:r>
      <w:r w:rsidR="00F301FA" w:rsidRPr="00425573">
        <w:rPr>
          <w:rFonts w:ascii="Book Antiqua" w:hAnsi="Book Antiqua" w:cs="Times New Roman"/>
          <w:color w:val="000000" w:themeColor="text1"/>
          <w:lang w:val="en-US"/>
        </w:rPr>
        <w:t>epigenetic modifications, including DNA methylation and histone modifications (which might affect gene transcription), and noncoding (nc)RNAs (which might change gene expression at the post-transcriptional level)</w:t>
      </w:r>
      <w:r w:rsidR="0052604C"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{"citationID":"krW3z8jj","properties":{"formattedCitation":"\\super [59]\\nosupersub{}","plainCitation":"[59]","noteIndex":0},"citationItems":[{"id":250,"uris":["http://zotero.org/groups/2394923/items/HWLYF8CL"],"uri":["http://zotero.org/groups/2394923/items/HWLYF8CL"],"itemData":{"id":250,"type":"article-journal","container-title":"Neural Regeneration Research","DOI":"10.4103/1673-5374.228719","ISSN":"1673-5374","issue":"3","journalAbbreviation":"Neural Regen Res","note":"PMID: 29623921\nPMCID: PMC5900499","page":"417-418","source":"PubMed Central","title":"Metabolism, neurodegeneration and epigenetics: emerging role of Sirtuins","title-short":"Metabolism, neurodegeneration and epigenetics","volume":"13","author":[{"family":"Silberman","given":"Dafne M."}],"issued":{"date-parts":[["2018",3]]}}}],"schema":"https://github.com/citation-style-language/schema/raw/master/csl-citation.json"} </w:instrText>
      </w:r>
      <w:r w:rsidR="0052604C"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[59]</w:t>
      </w:r>
      <w:r w:rsidR="0052604C" w:rsidRPr="00425573">
        <w:rPr>
          <w:rFonts w:ascii="Book Antiqua" w:hAnsi="Book Antiqua" w:cs="Times New Roman"/>
          <w:color w:val="000000" w:themeColor="text1"/>
          <w:lang w:val="en-US"/>
        </w:rPr>
        <w:fldChar w:fldCharType="end"/>
      </w:r>
      <w:r w:rsidR="0052604C" w:rsidRPr="00425573">
        <w:rPr>
          <w:rFonts w:ascii="Book Antiqua" w:hAnsi="Book Antiqua" w:cs="Times New Roman"/>
          <w:color w:val="000000" w:themeColor="text1"/>
          <w:lang w:val="en-US"/>
        </w:rPr>
        <w:t>.</w:t>
      </w:r>
      <w:r w:rsidR="000D5DB2" w:rsidRPr="00425573">
        <w:rPr>
          <w:rFonts w:ascii="Book Antiqua" w:hAnsi="Book Antiqua" w:cs="Times New Roman"/>
          <w:color w:val="000000" w:themeColor="text1"/>
          <w:lang w:val="en-US"/>
        </w:rPr>
        <w:t xml:space="preserve"> </w:t>
      </w:r>
      <w:r w:rsidR="00C559CE" w:rsidRPr="00425573">
        <w:rPr>
          <w:rFonts w:ascii="Book Antiqua" w:hAnsi="Book Antiqua" w:cs="Times New Roman"/>
          <w:color w:val="000000" w:themeColor="text1"/>
          <w:lang w:val="en-US"/>
        </w:rPr>
        <w:t xml:space="preserve">Given the </w:t>
      </w:r>
      <w:r w:rsidR="00C559CE" w:rsidRPr="00425573">
        <w:rPr>
          <w:rFonts w:ascii="Book Antiqua" w:hAnsi="Book Antiqua" w:cs="Times New Roman"/>
          <w:color w:val="000000" w:themeColor="text1"/>
          <w:lang w:val="en-US"/>
        </w:rPr>
        <w:lastRenderedPageBreak/>
        <w:t xml:space="preserve">crucial role </w:t>
      </w:r>
      <w:r w:rsidRPr="00425573">
        <w:rPr>
          <w:rFonts w:ascii="Book Antiqua" w:hAnsi="Book Antiqua" w:cs="Times New Roman"/>
          <w:color w:val="000000" w:themeColor="text1"/>
          <w:lang w:val="en-US"/>
        </w:rPr>
        <w:t xml:space="preserve">of epigenetics </w:t>
      </w:r>
      <w:r w:rsidR="00C559CE" w:rsidRPr="00425573">
        <w:rPr>
          <w:rFonts w:ascii="Book Antiqua" w:hAnsi="Book Antiqua" w:cs="Times New Roman"/>
          <w:color w:val="000000" w:themeColor="text1"/>
          <w:lang w:val="en-US"/>
        </w:rPr>
        <w:t>in the modulation of gene expression</w:t>
      </w:r>
      <w:r w:rsidR="002240E5"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its</w:t>
      </w:r>
      <w:r w:rsidR="00C559CE"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 xml:space="preserve">alteration </w:t>
      </w:r>
      <w:r w:rsidR="00C559CE" w:rsidRPr="00425573">
        <w:rPr>
          <w:rFonts w:ascii="Book Antiqua" w:hAnsi="Book Antiqua" w:cs="Times New Roman"/>
          <w:color w:val="000000" w:themeColor="text1"/>
          <w:lang w:val="en-US"/>
        </w:rPr>
        <w:t>can</w:t>
      </w:r>
      <w:r w:rsidR="00300D1B" w:rsidRPr="00425573">
        <w:rPr>
          <w:rFonts w:ascii="Book Antiqua" w:hAnsi="Book Antiqua" w:cs="Times New Roman"/>
          <w:color w:val="000000" w:themeColor="text1"/>
          <w:lang w:val="en-US"/>
        </w:rPr>
        <w:t xml:space="preserve"> </w:t>
      </w:r>
      <w:r w:rsidR="002240E5" w:rsidRPr="00425573">
        <w:rPr>
          <w:rFonts w:ascii="Book Antiqua" w:hAnsi="Book Antiqua" w:cs="Times New Roman"/>
          <w:color w:val="000000" w:themeColor="text1"/>
          <w:lang w:val="en-US"/>
        </w:rPr>
        <w:t xml:space="preserve">contribute to pathogenesis </w:t>
      </w:r>
      <w:r w:rsidR="00C559CE" w:rsidRPr="00425573">
        <w:rPr>
          <w:rFonts w:ascii="Book Antiqua" w:hAnsi="Book Antiqua" w:cs="Times New Roman"/>
          <w:color w:val="000000" w:themeColor="text1"/>
          <w:lang w:val="en-US"/>
        </w:rPr>
        <w:t xml:space="preserve">and progression </w:t>
      </w:r>
      <w:r w:rsidR="002240E5" w:rsidRPr="00425573">
        <w:rPr>
          <w:rFonts w:ascii="Book Antiqua" w:hAnsi="Book Antiqua" w:cs="Times New Roman"/>
          <w:color w:val="000000" w:themeColor="text1"/>
          <w:lang w:val="en-US"/>
        </w:rPr>
        <w:t xml:space="preserve">of several age-related diseases, including </w:t>
      </w:r>
      <w:r w:rsidR="000D5DB2" w:rsidRPr="00425573">
        <w:rPr>
          <w:rFonts w:ascii="Book Antiqua" w:hAnsi="Book Antiqua" w:cs="Times New Roman"/>
          <w:color w:val="000000" w:themeColor="text1"/>
          <w:lang w:val="en-US"/>
        </w:rPr>
        <w:t xml:space="preserve">metabolic, </w:t>
      </w:r>
      <w:r w:rsidR="002240E5" w:rsidRPr="00425573">
        <w:rPr>
          <w:rFonts w:ascii="Book Antiqua" w:hAnsi="Book Antiqua" w:cs="Times New Roman"/>
          <w:color w:val="000000" w:themeColor="text1"/>
          <w:lang w:val="en-US"/>
        </w:rPr>
        <w:t>neurodegenerati</w:t>
      </w:r>
      <w:r w:rsidR="00C559CE" w:rsidRPr="00425573">
        <w:rPr>
          <w:rFonts w:ascii="Book Antiqua" w:hAnsi="Book Antiqua" w:cs="Times New Roman"/>
          <w:color w:val="000000" w:themeColor="text1"/>
          <w:lang w:val="en-US"/>
        </w:rPr>
        <w:t>ve</w:t>
      </w:r>
      <w:r w:rsidR="000D5DB2" w:rsidRPr="00425573">
        <w:rPr>
          <w:rFonts w:ascii="Book Antiqua" w:hAnsi="Book Antiqua" w:cs="Times New Roman"/>
          <w:color w:val="000000" w:themeColor="text1"/>
          <w:lang w:val="en-US"/>
        </w:rPr>
        <w:t xml:space="preserve"> and movement</w:t>
      </w:r>
      <w:r w:rsidR="002240E5" w:rsidRPr="00425573">
        <w:rPr>
          <w:rFonts w:ascii="Book Antiqua" w:hAnsi="Book Antiqua" w:cs="Times New Roman"/>
          <w:color w:val="000000" w:themeColor="text1"/>
          <w:lang w:val="en-US"/>
        </w:rPr>
        <w:t xml:space="preserve"> disorders</w:t>
      </w:r>
      <w:r w:rsidR="007E4B26"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{"citationID":"ipfuedXo","properties":{"formattedCitation":"\\super [17,60]\\nosupersub{}","plainCitation":"[17,60]","noteIndex":0},"citationItems":[{"id":74,"uris":["http://zotero.org/groups/2394923/items/XQZV35JX"],"uri":["http://zotero.org/groups/2394923/items/XQZV35JX"],"itemData":{"id":74,"type":"article-journal","abstract":"One of the main challenges for healthcare systems is the increasing prevalence of neurodegenerative pathologies together with the rapidly aging populations. The enormous progresses made in the ﬁeld of biomedical research and informatics have been crucial for improving the knowledge of how genes, epigenetic modiﬁcations,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qualiﬁed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beneﬁt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ﬁnd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life.","container-title":"Frontiers in Neurology","DOI":"10.3389/fneur.2018.00701","ISSN":"1664-2295","journalAbbreviation":"Front. Neurol.","language":"en","page":"701","source":"DOI.org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id":354,"uris":["http://zotero.org/groups/2394923/items/8GMXDQTF"],"uri":["http://zotero.org/groups/2394923/items/8GMXDQTF"],"itemData":{"id":354,"type":"article-journal","abstract":"Environmental factors (e.g., malnutrition and physical inactivity) contribute largely to metabolic disorders including obesity, type 2 diabetes, cardiometabolic disease and nonalcoholic fatty liver diseases. The abnormalities in metabolic activity and pathways have been increasingly associated with altered DNA methylation, histone modification and noncoding RNAs, whereas lifestyle interventions targeting diet and physical activity can reverse the epigenetic and metabolic changes. Here we review recent evidence primarily from human studies that links DNA methylation reprogramming to metabolic derangements or improvements, with a focus on cross-tissue (e.g., the liver, skeletal muscle, pancreas, adipose tissue and blood samples) epigenetic markers, mechanistic mediators of the epigenetic reprogramming, and the potential of using epigenetic traits to predict disease risk and intervention response. The challenges in epigenetic studies addressing the mechanisms of metabolic diseases and future directions are also discussed and prospected.","container-title":"The Journal of Nutritional Biochemistry","DOI":"10.1016/j.jnutbio.2017.10.004","ISSN":"1873-4847","journalAbbreviation":"J. Nutr. Biochem.","language":"eng","note":"PMID: 29154162\nPMCID: PMC5866737","page":"1-10","source":"PubMed","title":"Epigenetic reprogramming in metabolic disorders: nutritional factors and beyond","title-short":"Epigenetic reprogramming in metabolic disorders","volume":"54","author":[{"family":"Cheng","given":"Zhiyong"},{"family":"Zheng","given":"Louise"},{"family":"Almeida","given":"Fabio A."}],"issued":{"date-parts":[["2018"]]}}}],"schema":"https://github.com/citation-style-language/schema/raw/master/csl-citation.json"} </w:instrText>
      </w:r>
      <w:r w:rsidR="007E4B26"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[17,60]</w:t>
      </w:r>
      <w:r w:rsidR="007E4B26" w:rsidRPr="00425573">
        <w:rPr>
          <w:rFonts w:ascii="Book Antiqua" w:hAnsi="Book Antiqua" w:cs="Times New Roman"/>
          <w:color w:val="000000" w:themeColor="text1"/>
          <w:lang w:val="en-US"/>
        </w:rPr>
        <w:fldChar w:fldCharType="end"/>
      </w:r>
      <w:r w:rsidR="007E4B26" w:rsidRPr="00425573">
        <w:rPr>
          <w:rFonts w:ascii="Book Antiqua" w:hAnsi="Book Antiqua" w:cs="Times New Roman"/>
          <w:color w:val="000000" w:themeColor="text1"/>
          <w:lang w:val="en-US"/>
        </w:rPr>
        <w:t>.</w:t>
      </w:r>
      <w:r w:rsidR="004D1742" w:rsidRPr="00425573">
        <w:rPr>
          <w:rFonts w:ascii="Book Antiqua" w:hAnsi="Book Antiqua" w:cs="Times New Roman"/>
          <w:color w:val="000000" w:themeColor="text1"/>
          <w:lang w:val="en-US"/>
        </w:rPr>
        <w:t xml:space="preserve"> The existence of a shared epigenetic background among T2D and neurodegenerative diseases deserves to be investigated. As a matter of fact,</w:t>
      </w:r>
      <w:r w:rsidR="002240E5" w:rsidRPr="00425573">
        <w:rPr>
          <w:rFonts w:ascii="Book Antiqua" w:hAnsi="Book Antiqua" w:cs="Times New Roman"/>
          <w:color w:val="000000" w:themeColor="text1"/>
          <w:lang w:val="en-US"/>
        </w:rPr>
        <w:t xml:space="preserve"> </w:t>
      </w:r>
      <w:r w:rsidR="004D1742" w:rsidRPr="00425573">
        <w:rPr>
          <w:rFonts w:ascii="Book Antiqua" w:hAnsi="Book Antiqua" w:cs="Times New Roman"/>
          <w:color w:val="000000" w:themeColor="text1"/>
          <w:lang w:val="en-US"/>
        </w:rPr>
        <w:t>t</w:t>
      </w:r>
      <w:r w:rsidR="008226B2" w:rsidRPr="00425573">
        <w:rPr>
          <w:rFonts w:ascii="Book Antiqua" w:hAnsi="Book Antiqua" w:cs="Times New Roman"/>
          <w:color w:val="000000" w:themeColor="text1"/>
          <w:lang w:val="en-US"/>
        </w:rPr>
        <w:t>he gene expression signatures shared among T2D and AD/PD</w:t>
      </w:r>
      <w:r w:rsidR="008226B2"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{"citationID":"qXdcrjQG","properties":{"formattedCitation":"\\super [57,58]\\nosupersub{}","plainCitation":"[57,58]","noteIndex":0},"citationItems":[{"id":150,"uris":["http://zotero.org/groups/2394923/items/3H45ABAT"],"uri":["http://zotero.org/groups/2394923/items/3H45ABAT"],"itemData":{"id":150,"type":"article-journal","abstract":"&lt;h3&gt;Abstract&lt;/h3&gt; &lt;p&gt;Neurological Diseases (NDs) are progressive disorder often advances with age and comorbidities of Type 2 diabetes (T2D). Epidemiological, clinical and neuropathological evidence advocate that patients with T2D are at an increased risk of getting NDs. However, it is very little known how T2D affects the risk and severity of NDs.&lt;/p&gt;&lt;p&gt;To tackle these problems, we employed a transcriptional analysis of affected tissues using agnostic approaches to identify overlapping cellular functions. In this study, we examined gene expression microarray human datasets along with control and disease-affected individuals. Differentially expressed genes (DEG) were identified for both T2D and NDs that includes Alzheimer Disease (AD), Parkinson Disease (PD), Amyotrophic Lateral Sclerosis (ALS), Epilepsy Disease (ED), Huntington Disease (HD), Cerebral Palsy (CP) and Multiple Sclerosis Disease (MSD).&lt;/p&gt;&lt;p&gt;We have developed genetic association and diseasome network of T2D and NDs based on the neighborhood-based benchmarking and multilayer network topology approaches. Overlapping DEG sets go through protein-protein interaction for hub protein identification and gene enrichment using pathway analysis and gene ontology methods that enhance our understanding of the fundamental molecular procedure of NDs progression.&lt;/p&gt;&lt;p&gt;Gene expression analysis platforms have been extensively used to investigate altered pathways and to identify potential biomarkers and drug targets. Finally, we validated our identified biomarkers using the gold benchmark datasets which identified the corresponding relationship of T2D and NDs. Therapeutic targets aimed at attenuating identified altered pathway could ameliorate neurological dysfunction in a T2D patient.&lt;/p&gt;","container-title":"bioRxiv","DOI":"10.1101/480400","language":"en","page":"480400","source":"www.biorxiv.org","title":"Genetic effect of type 2 Diabetes to the progression of Neurological Diseases","author":[{"family":"Rahman","given":"Md Habibur"},{"family":"Peng","given":"Silong"},{"family":"Chen","given":"Chen"},{"family":"Lio’","given":"Pietro"},{"family":"Moni","given":"Mohammad Ali"}],"issued":{"date-parts":[["2018",11,29]]}}},{"id":197,"uris":["http://zotero.org/groups/2394923/items/IV9INNJC"],"uri":["http://zotero.org/groups/2394923/items/IV9INNJC"],"itemData":{"id":197,"type":"article-journal","abstract":"BACKGROUND: Shared dysregulated pathways may contribute to Parkinson's disease and type 2 diabetes, chronic diseases that afflict millions of people worldwide. Despite the evidence provided by epidemiological and gene profiling studies, the molecular and functional networks implicated in both diseases, have not been fully explored. In this study, we used an integrated network approach to investigate the extent to which Parkinson's disease and type 2 diabetes are linked at the molecular level.\nMETHODS AND FINDINGS: Using a random walk algorithm within the human functional linkage network we identified a molecular cluster of 478 neighboring genes closely associated with confirmed Parkinson's disease and type 2 diabetes genes. Biological and functional analysis identified the protein serine-threonine kinase activity, MAPK cascade, activation of the immune response, and insulin receptor and lipid signaling as convergent pathways. Integration of results from microarrays studies identified a blood signature comprising seven genes whose expression is dysregulated in Parkinson's disease and type 2 diabetes. Among this group of genes, is the amyloid precursor protein (APP), previously associated with neurodegeneration and insulin regulation. Quantification of RNA from whole blood of 192 samples from two independent clinical trials, the Harvard Biomarker Study (HBS) and the Prognostic Biomarker Study (PROBE), revealed that expression of APP is significantly upregulated in Parkinson's disease patients compared to healthy controls. Assessment of biomarker performance revealed that expression of APP could distinguish Parkinson's disease from healthy individuals with a diagnostic accuracy of 80% in both cohorts of patients.\nCONCLUSIONS: These results provide the first evidence that Parkinson's disease and diabetes are strongly linked at the molecular level and that shared molecular networks provide an additional source for identifying highly sensitive biomarkers. Further, these results suggest for the first time that increased expression of APP in blood may modulate the neurodegenerative phenotype in type 2 diabetes patients.","container-title":"PloS One","DOI":"10.1371/journal.pone.0083940","ISSN":"1932-6203","issue":"12","journalAbbreviation":"PLoS ONE","language":"eng","note":"PMID: 24376773\nPMCID: PMC3869818","page":"e83940","source":"PubMed","title":"Integrative network analysis unveils convergent molecular pathways in Parkinson's disease and diabetes","volume":"8","author":[{"family":"Santiago","given":"Jose A."},{"family":"Potashkin","given":"Judith A."}],"issued":{"date-parts":[["2013"]]}}}],"schema":"https://github.com/citation-style-language/schema/raw/master/csl-citation.json"} </w:instrText>
      </w:r>
      <w:r w:rsidR="008226B2"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[57,58]</w:t>
      </w:r>
      <w:r w:rsidR="008226B2" w:rsidRPr="00425573">
        <w:rPr>
          <w:rFonts w:ascii="Book Antiqua" w:hAnsi="Book Antiqua" w:cs="Times New Roman"/>
          <w:color w:val="000000" w:themeColor="text1"/>
          <w:lang w:val="en-US"/>
        </w:rPr>
        <w:fldChar w:fldCharType="end"/>
      </w:r>
      <w:r w:rsidR="008226B2" w:rsidRPr="00425573">
        <w:rPr>
          <w:rFonts w:ascii="Book Antiqua" w:hAnsi="Book Antiqua" w:cs="Times New Roman"/>
          <w:color w:val="000000" w:themeColor="text1"/>
          <w:lang w:val="en-US"/>
        </w:rPr>
        <w:t xml:space="preserve"> may also be related to the presence of common epigenetic alterations</w:t>
      </w:r>
      <w:r w:rsidR="008226B2"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{"citationID":"fZi7OmQh","properties":{"formattedCitation":"\\super [61]\\nosupersub{}","plainCitation":"[61]","noteIndex":0},"citationItems":[{"id":277,"uris":["http://zotero.org/groups/2394923/items/4C3MT4BX"],"uri":["http://zotero.org/groups/2394923/items/4C3MT4BX"],"itemData":{"id":277,"type":"article-journal","abstract":"In the next 10 years, one billion people are estimated to suffer from disabling consequences of metabolic disorders, making them the number one noncommunicable disease on a global scale by 2030. Lots of risk factors such as dietary intake, lack of exercise and other life style behaviors are considered to play a role in the development of metabolic disorders. Despite the efforts that have been undertaken to unravel their potential causes, the underlying molecular mechanisms remain elusive. Evidence suggests that the pathogenesis involves changes on chromatin and chromatin-modifying enzymes, which can contribute to a persistent dysregulated metabolic phenotype. Indeed, a rising number of studies links epigenetic alterations with the diagnosis and prognosis of metabolic disorders. A prerequisite for exploiting these findings for pharmacological intervention is a detailed understanding of how differential epigenetic modifications control cell metabolism. In this mini review, we summarize the recent advances in uncovering the interplay between epigenetics and metabolic pathways on a cellular level and highlight potential new avenues for alternative treatment strategies.","container-title":"Frontiers in Genetics","DOI":"10.3389/fgene.2018.00361","ISSN":"1664-8021","journalAbbreviation":"Front Genet","note":"PMID: 30279699\nPMCID: PMC6153363","source":"PubMed Central","title":"Epigenetics and Metabolism in Health and Disease","URL":"https://www.ncbi.nlm.nih.gov/pmc/articles/PMC6153363/","volume":"9","author":[{"family":"Tzika","given":"Evangelia"},{"family":"Dreker","given":"Tobias"},{"family":"Imhof","given":"Axel"}],"accessed":{"date-parts":[["2019",11,12]]},"issued":{"date-parts":[["2018",9,18]]}}}],"schema":"https://github.com/citation-style-language/schema/raw/master/csl-citation.json"} </w:instrText>
      </w:r>
      <w:r w:rsidR="008226B2"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[61]</w:t>
      </w:r>
      <w:r w:rsidR="008226B2" w:rsidRPr="00425573">
        <w:rPr>
          <w:rFonts w:ascii="Book Antiqua" w:hAnsi="Book Antiqua" w:cs="Times New Roman"/>
          <w:color w:val="000000" w:themeColor="text1"/>
          <w:lang w:val="en-US"/>
        </w:rPr>
        <w:fldChar w:fldCharType="end"/>
      </w:r>
      <w:r w:rsidR="008226B2" w:rsidRPr="00425573">
        <w:rPr>
          <w:rFonts w:ascii="Book Antiqua" w:hAnsi="Book Antiqua" w:cs="Times New Roman"/>
          <w:color w:val="000000" w:themeColor="text1"/>
          <w:lang w:val="en-US"/>
        </w:rPr>
        <w:t>. On this subject,</w:t>
      </w:r>
      <w:r w:rsidR="007A156A" w:rsidRPr="00425573">
        <w:rPr>
          <w:rFonts w:ascii="Book Antiqua" w:hAnsi="Book Antiqua" w:cs="Times New Roman"/>
          <w:color w:val="000000" w:themeColor="text1"/>
          <w:lang w:val="en-US"/>
        </w:rPr>
        <w:t xml:space="preserve"> there are intriguing hypotheses that could be evaluated. For instance, </w:t>
      </w:r>
      <w:r w:rsidR="008226B2" w:rsidRPr="00425573">
        <w:rPr>
          <w:rFonts w:ascii="Book Antiqua" w:hAnsi="Book Antiqua" w:cs="Times New Roman"/>
          <w:color w:val="000000" w:themeColor="text1"/>
          <w:lang w:val="en-US"/>
        </w:rPr>
        <w:t xml:space="preserve">the </w:t>
      </w:r>
      <w:r w:rsidR="002271F1" w:rsidRPr="00425573">
        <w:rPr>
          <w:rFonts w:ascii="Book Antiqua" w:hAnsi="Book Antiqua" w:cs="Times New Roman"/>
          <w:color w:val="000000" w:themeColor="text1"/>
          <w:lang w:val="en-US"/>
        </w:rPr>
        <w:t>analysis</w:t>
      </w:r>
      <w:r w:rsidR="008226B2" w:rsidRPr="00425573">
        <w:rPr>
          <w:rFonts w:ascii="Book Antiqua" w:hAnsi="Book Antiqua" w:cs="Times New Roman"/>
          <w:color w:val="000000" w:themeColor="text1"/>
          <w:lang w:val="en-US"/>
        </w:rPr>
        <w:t xml:space="preserve"> of long-range chromatin contacts among regulatory regions and their target genes will provide insights into how epigenetic background</w:t>
      </w:r>
      <w:r w:rsidR="00F27195" w:rsidRPr="00425573">
        <w:rPr>
          <w:rFonts w:ascii="Book Antiqua" w:hAnsi="Book Antiqua" w:cs="Times New Roman"/>
          <w:color w:val="000000" w:themeColor="text1"/>
          <w:lang w:val="en-US"/>
        </w:rPr>
        <w:t>(s)</w:t>
      </w:r>
      <w:r w:rsidR="008226B2" w:rsidRPr="00425573">
        <w:rPr>
          <w:rFonts w:ascii="Book Antiqua" w:hAnsi="Book Antiqua" w:cs="Times New Roman"/>
          <w:color w:val="000000" w:themeColor="text1"/>
          <w:lang w:val="en-US"/>
        </w:rPr>
        <w:t xml:space="preserve"> may modify chromatin conformation</w:t>
      </w:r>
      <w:r w:rsidR="008226B2"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{"citationID":"NiLIDHac","properties":{"formattedCitation":"\\super [62]\\nosupersub{}","plainCitation":"[62]","noteIndex":0},"citationItems":[{"id":312,"uris":["http://zotero.org/groups/2394923/items/JF7MN7NI"],"uri":["http://zotero.org/groups/2394923/items/JF7MN7NI"],"itemData":{"id":312,"type":"article-journal","abstract":"In higher eukaryotes, the three-dimensional (3D) organization of the genome is intimately related to numerous key biological functions including gene expression, DNA repair and DNA replication regulations. Alteration of this 3D organization is detrimental to the organism and can give rise to a broad range of diseases such as cancers. Here, we review recent advances in the field. We first describe how the genome is packed in 3D to form chromosome territories, compartments and domains. We also give an overview of the recent techniques that allow to map the genome in 3D up to the kilobase resolution. We then discuss potential mechanisms by which genome misfolding can affect proper gene expression by distal enhancers, and how the 3D genome influences the formation of genomic rearrangements.","container-title":"Seminars in Cell &amp; Developmental Biology","DOI":"10.1016/j.semcdb.2018.07.002","ISSN":"1096-3634","journalAbbreviation":"Semin. Cell Dev. Biol.","language":"eng","note":"PMID: 30030142","page":"128-137","source":"PubMed","title":"The 3D genome: From fundamental principles to disease and cancer","title-short":"The 3D genome","volume":"90","author":[{"family":"Umlauf","given":"David"},{"family":"Mourad","given":"Raphaël"}],"issued":{"date-parts":[["2019",6]]}}}],"schema":"https://github.com/citation-style-language/schema/raw/master/csl-citation.json"} </w:instrText>
      </w:r>
      <w:r w:rsidR="008226B2"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[62]</w:t>
      </w:r>
      <w:r w:rsidR="008226B2" w:rsidRPr="00425573">
        <w:rPr>
          <w:rFonts w:ascii="Book Antiqua" w:hAnsi="Book Antiqua" w:cs="Times New Roman"/>
          <w:color w:val="000000" w:themeColor="text1"/>
          <w:lang w:val="en-US"/>
        </w:rPr>
        <w:fldChar w:fldCharType="end"/>
      </w:r>
      <w:r w:rsidR="008226B2" w:rsidRPr="00425573">
        <w:rPr>
          <w:rFonts w:ascii="Book Antiqua" w:hAnsi="Book Antiqua" w:cs="Times New Roman"/>
          <w:color w:val="000000" w:themeColor="text1"/>
          <w:lang w:val="en-US"/>
        </w:rPr>
        <w:t xml:space="preserve"> and thus gene expression profiles in the context of T2D, AD and PD. Moreover</w:t>
      </w:r>
      <w:r w:rsidR="008C17F1" w:rsidRPr="00425573">
        <w:rPr>
          <w:rFonts w:ascii="Book Antiqua" w:hAnsi="Book Antiqua" w:cs="Times New Roman"/>
          <w:color w:val="000000" w:themeColor="text1"/>
          <w:lang w:val="en-US"/>
        </w:rPr>
        <w:t xml:space="preserve">, </w:t>
      </w:r>
      <w:r w:rsidR="00637FCC" w:rsidRPr="00425573">
        <w:rPr>
          <w:rFonts w:ascii="Book Antiqua" w:hAnsi="Book Antiqua" w:cs="Times New Roman"/>
          <w:color w:val="000000" w:themeColor="text1"/>
          <w:lang w:val="en-US"/>
        </w:rPr>
        <w:t xml:space="preserve">an interaction between </w:t>
      </w:r>
      <w:r w:rsidR="00006284" w:rsidRPr="00425573">
        <w:rPr>
          <w:rFonts w:ascii="Book Antiqua" w:hAnsi="Book Antiqua" w:cs="Times New Roman"/>
          <w:color w:val="000000" w:themeColor="text1"/>
          <w:lang w:val="en-US"/>
        </w:rPr>
        <w:t>micro</w:t>
      </w:r>
      <w:r w:rsidR="003317BE" w:rsidRPr="00425573">
        <w:rPr>
          <w:rFonts w:ascii="Book Antiqua" w:hAnsi="Book Antiqua" w:cs="Times New Roman"/>
          <w:color w:val="000000" w:themeColor="text1"/>
          <w:lang w:val="en-US"/>
        </w:rPr>
        <w:t xml:space="preserve"> (mi)</w:t>
      </w:r>
      <w:r w:rsidR="00006284" w:rsidRPr="00425573">
        <w:rPr>
          <w:rFonts w:ascii="Book Antiqua" w:hAnsi="Book Antiqua" w:cs="Times New Roman"/>
          <w:color w:val="000000" w:themeColor="text1"/>
          <w:lang w:val="en-US"/>
        </w:rPr>
        <w:t xml:space="preserve">RNA-661 </w:t>
      </w:r>
      <w:r w:rsidR="00637FCC" w:rsidRPr="00425573">
        <w:rPr>
          <w:rFonts w:ascii="Book Antiqua" w:hAnsi="Book Antiqua" w:cs="Times New Roman"/>
          <w:color w:val="000000" w:themeColor="text1"/>
          <w:lang w:val="en-US"/>
        </w:rPr>
        <w:t xml:space="preserve">and </w:t>
      </w:r>
      <w:r w:rsidR="00637FCC" w:rsidRPr="00425573">
        <w:rPr>
          <w:rFonts w:ascii="Book Antiqua" w:hAnsi="Book Antiqua" w:cs="Times New Roman"/>
          <w:i/>
          <w:color w:val="000000" w:themeColor="text1"/>
          <w:lang w:val="en-US"/>
        </w:rPr>
        <w:t>BACE1</w:t>
      </w:r>
      <w:r w:rsidR="00637FCC" w:rsidRPr="00425573">
        <w:rPr>
          <w:rFonts w:ascii="Book Antiqua" w:hAnsi="Book Antiqua" w:cs="Times New Roman"/>
          <w:color w:val="000000" w:themeColor="text1"/>
          <w:lang w:val="en-US"/>
        </w:rPr>
        <w:t xml:space="preserve"> mRNA was found to</w:t>
      </w:r>
      <w:r w:rsidR="007C0627" w:rsidRPr="00425573">
        <w:rPr>
          <w:rFonts w:ascii="Book Antiqua" w:hAnsi="Book Antiqua" w:cs="Times New Roman"/>
          <w:color w:val="000000" w:themeColor="text1"/>
          <w:lang w:val="en-US"/>
        </w:rPr>
        <w:t xml:space="preserve"> </w:t>
      </w:r>
      <w:r w:rsidR="00637FCC" w:rsidRPr="00425573">
        <w:rPr>
          <w:rFonts w:ascii="Book Antiqua" w:hAnsi="Book Antiqua" w:cs="Times New Roman"/>
          <w:color w:val="000000" w:themeColor="text1"/>
          <w:lang w:val="en-US"/>
        </w:rPr>
        <w:t>cause a reduced expression of the resultant protein in pancreatic islets</w:t>
      </w:r>
      <w:r w:rsidR="00020196" w:rsidRPr="00425573">
        <w:rPr>
          <w:rFonts w:ascii="Book Antiqua" w:hAnsi="Book Antiqua" w:cs="Times New Roman"/>
          <w:color w:val="000000" w:themeColor="text1"/>
          <w:lang w:val="en-US"/>
        </w:rPr>
        <w:t xml:space="preserve"> and contribute, thereby,</w:t>
      </w:r>
      <w:r w:rsidR="004E6041" w:rsidRPr="00425573">
        <w:rPr>
          <w:rFonts w:ascii="Book Antiqua" w:hAnsi="Book Antiqua" w:cs="Times New Roman"/>
          <w:color w:val="000000" w:themeColor="text1"/>
          <w:lang w:val="en-US"/>
        </w:rPr>
        <w:t xml:space="preserve"> to</w:t>
      </w:r>
      <w:r w:rsidR="0040577F" w:rsidRPr="00425573">
        <w:rPr>
          <w:rFonts w:ascii="Book Antiqua" w:hAnsi="Book Antiqua" w:cs="Times New Roman"/>
          <w:color w:val="000000" w:themeColor="text1"/>
          <w:lang w:val="en-US"/>
        </w:rPr>
        <w:t xml:space="preserve"> the</w:t>
      </w:r>
      <w:r w:rsidR="004E6041" w:rsidRPr="00425573">
        <w:rPr>
          <w:rFonts w:ascii="Book Antiqua" w:hAnsi="Book Antiqua" w:cs="Times New Roman"/>
          <w:color w:val="000000" w:themeColor="text1"/>
          <w:lang w:val="en-US"/>
        </w:rPr>
        <w:t xml:space="preserve"> </w:t>
      </w:r>
      <w:r w:rsidR="00020196" w:rsidRPr="00425573">
        <w:rPr>
          <w:rFonts w:ascii="Book Antiqua" w:hAnsi="Book Antiqua" w:cs="Times New Roman"/>
          <w:color w:val="000000" w:themeColor="text1"/>
          <w:lang w:val="en-US"/>
        </w:rPr>
        <w:t>development</w:t>
      </w:r>
      <w:r w:rsidR="004E6041" w:rsidRPr="00425573">
        <w:rPr>
          <w:rFonts w:ascii="Book Antiqua" w:hAnsi="Book Antiqua" w:cs="Times New Roman"/>
          <w:color w:val="000000" w:themeColor="text1"/>
          <w:lang w:val="en-US"/>
        </w:rPr>
        <w:t xml:space="preserve"> of T2D</w:t>
      </w:r>
      <w:r w:rsidR="0052604C"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{"citationID":"j2UGEFdX","properties":{"formattedCitation":"\\super [63]\\nosupersub{}","plainCitation":"[63]","noteIndex":0},"citationItems":[{"id":282,"uris":["http://zotero.org/groups/2394923/items/GZACSLWD"],"uri":["http://zotero.org/groups/2394923/items/GZACSLWD"],"itemData":{"id":282,"type":"article-journal","abstract":"Objective Beta-site amyloid precursor protein cleaving enzyme (BACE1) is highly expressed in pancreatic β-cells. The BACE1 gene is located in a region associated with a high diabetes risk in PIMA Indians. Design and Methods INS-1E cells were used to study the impact of siRNA-mediated BACE1 knockdown and glucose metabolism was characterized in Bace1–/– mice. BACE1 gene was sequenced in DNA samples from 48 subjects and 13 representative single nucleotide polymorphisms (SNPs) were then genotyped for association studies in 1,527 Caucasians. Results Reduction of Bace1 expression results in a significant decrease in insulin mRNA expression in INS-1E cells. Bace1–/– mice display significantly lower body weight, lower plasma insulin concentrations, but normal glucose tolerance and insulin sensitivity. In a case-control study including 538 healthy controls and 989 patients with type 2 diabetes (T2D), one SNP (rs535860) was significantly associated with T2D (P &lt; 3.5 × 10−5, adjusted for age, sex, and BMI). Conclusions Reduced Bace1 expression causes impaired insulin expression in pancreatic β-cells of Bace1–/– mice, suggesting that BACE1 plays a role in the regulation of insulin biogenesis. The functionally relevant rs535860 SNP may decrease BACE1 expression by creating a new miR-661 binding site and could therefore contribute to T2D development.","container-title":"Obesity","DOI":"10.1002/oby.20482","ISSN":"1930-739X","issue":"12","language":"en","page":"E626-E633","source":"Wiley Online Library","title":"Genetic and biochemical evidence for a functional role of BACE1 in the regulation of insulin mRNA expression","volume":"21","author":[{"family":"Hoffmeister","given":"Albrecht"},{"family":"Tuennemann","given":"Jan"},{"family":"Sommerer","given":"Ines"},{"family":"Mössner","given":"Joachim"},{"family":"Rittger","given":"Andrea"},{"family":"Schleinitz","given":"Dorit"},{"family":"Kratzsch","given":"Jürgen"},{"family":"Rosendahl","given":"Jonas"},{"family":"Klöting","given":"Nora"},{"family":"Stahl","given":"Tobias"},{"family":"Roßner","given":"Steffen"},{"family":"Paroni","given":"Federico"},{"family":"Maedler","given":"Kathrin"},{"family":"Kovacs","given":"Peter"},{"family":"Blüher","given":"Matthias"}],"issued":{"date-parts":[["2013"]]}}}],"schema":"https://github.com/citation-style-language/schema/raw/master/csl-citation.json"} </w:instrText>
      </w:r>
      <w:r w:rsidR="0052604C"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[63]</w:t>
      </w:r>
      <w:r w:rsidR="0052604C" w:rsidRPr="00425573">
        <w:rPr>
          <w:rFonts w:ascii="Book Antiqua" w:hAnsi="Book Antiqua" w:cs="Times New Roman"/>
          <w:color w:val="000000" w:themeColor="text1"/>
          <w:lang w:val="en-US"/>
        </w:rPr>
        <w:fldChar w:fldCharType="end"/>
      </w:r>
      <w:r w:rsidR="0052604C" w:rsidRPr="00425573">
        <w:rPr>
          <w:rFonts w:ascii="Book Antiqua" w:hAnsi="Book Antiqua" w:cs="Times New Roman"/>
          <w:color w:val="000000" w:themeColor="text1"/>
          <w:lang w:val="en-US"/>
        </w:rPr>
        <w:t>.</w:t>
      </w:r>
      <w:r w:rsidR="00637FCC" w:rsidRPr="00425573">
        <w:rPr>
          <w:rFonts w:ascii="Book Antiqua" w:hAnsi="Book Antiqua" w:cs="Times New Roman"/>
          <w:color w:val="000000" w:themeColor="text1"/>
          <w:lang w:val="en-US"/>
        </w:rPr>
        <w:t xml:space="preserve"> Of note, </w:t>
      </w:r>
      <w:r w:rsidR="00637FCC" w:rsidRPr="00425573">
        <w:rPr>
          <w:rFonts w:ascii="Book Antiqua" w:hAnsi="Book Antiqua" w:cs="Times New Roman"/>
          <w:i/>
          <w:color w:val="000000" w:themeColor="text1"/>
          <w:lang w:val="en-US"/>
        </w:rPr>
        <w:t>BACE1</w:t>
      </w:r>
      <w:r w:rsidR="007C0627" w:rsidRPr="00425573">
        <w:rPr>
          <w:rFonts w:ascii="Book Antiqua" w:hAnsi="Book Antiqua" w:cs="Times New Roman"/>
          <w:color w:val="000000" w:themeColor="text1"/>
          <w:lang w:val="en-US"/>
        </w:rPr>
        <w:t xml:space="preserve"> is involved </w:t>
      </w:r>
      <w:r w:rsidR="004E6041" w:rsidRPr="00425573">
        <w:rPr>
          <w:rFonts w:ascii="Book Antiqua" w:hAnsi="Book Antiqua" w:cs="Times New Roman"/>
          <w:color w:val="000000" w:themeColor="text1"/>
          <w:lang w:val="en-US"/>
        </w:rPr>
        <w:t>not only in the regulation of insulin biogenesis but also in the</w:t>
      </w:r>
      <w:r w:rsidR="00F27195" w:rsidRPr="00425573">
        <w:rPr>
          <w:rFonts w:ascii="Book Antiqua" w:hAnsi="Book Antiqua" w:cs="Times New Roman"/>
          <w:color w:val="000000" w:themeColor="text1"/>
          <w:lang w:val="en-US"/>
        </w:rPr>
        <w:t xml:space="preserve"> formation of</w:t>
      </w:r>
      <w:r w:rsidR="004E6041" w:rsidRPr="00425573">
        <w:rPr>
          <w:rFonts w:ascii="Book Antiqua" w:hAnsi="Book Antiqua" w:cs="Times New Roman"/>
          <w:color w:val="000000" w:themeColor="text1"/>
          <w:lang w:val="en-US"/>
        </w:rPr>
        <w:t xml:space="preserve"> </w:t>
      </w:r>
      <w:r w:rsidR="00C3474F" w:rsidRPr="00425573">
        <w:rPr>
          <w:rFonts w:ascii="Book Antiqua" w:hAnsi="Book Antiqua" w:cs="Times New Roman"/>
          <w:color w:val="000000" w:themeColor="text1"/>
          <w:lang w:val="en-US"/>
        </w:rPr>
        <w:t>A</w:t>
      </w:r>
      <w:r w:rsidR="00344601" w:rsidRPr="00425573">
        <w:rPr>
          <w:rFonts w:ascii="Book Antiqua" w:hAnsi="Book Antiqua" w:cs="Times New Roman"/>
          <w:color w:val="000000" w:themeColor="text1"/>
          <w:lang w:val="en-US"/>
        </w:rPr>
        <w:t>β</w:t>
      </w:r>
      <w:r w:rsidR="00F27195" w:rsidRPr="00425573">
        <w:rPr>
          <w:rFonts w:ascii="Book Antiqua" w:hAnsi="Book Antiqua" w:cs="Times New Roman"/>
          <w:color w:val="000000" w:themeColor="text1"/>
          <w:lang w:val="en-US"/>
        </w:rPr>
        <w:t xml:space="preserve"> </w:t>
      </w:r>
      <w:r w:rsidR="00020196" w:rsidRPr="00425573">
        <w:rPr>
          <w:rFonts w:ascii="Book Antiqua" w:hAnsi="Book Antiqua" w:cs="Times New Roman"/>
          <w:color w:val="000000" w:themeColor="text1"/>
          <w:lang w:val="en-US"/>
        </w:rPr>
        <w:t>so that it</w:t>
      </w:r>
      <w:r w:rsidR="003D3903" w:rsidRPr="00425573">
        <w:rPr>
          <w:rFonts w:ascii="Book Antiqua" w:hAnsi="Book Antiqua" w:cs="Times New Roman"/>
          <w:color w:val="000000" w:themeColor="text1"/>
          <w:lang w:val="en-US"/>
        </w:rPr>
        <w:t xml:space="preserve"> could be also investigated in </w:t>
      </w:r>
      <w:r w:rsidR="00020196" w:rsidRPr="00425573">
        <w:rPr>
          <w:rFonts w:ascii="Book Antiqua" w:hAnsi="Book Antiqua" w:cs="Times New Roman"/>
          <w:color w:val="000000" w:themeColor="text1"/>
          <w:lang w:val="en-US"/>
        </w:rPr>
        <w:t>the etiopathogenesis of AD</w:t>
      </w:r>
      <w:r w:rsidR="00AD141C"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{"citationID":"CxaUpToA","properties":{"formattedCitation":"\\super [64]\\nosupersub{}","plainCitation":"[64]","noteIndex":0},"citationItems":[{"id":357,"uris":["http://zotero.org/groups/2394923/items/9CCSCTSA"],"uri":["http://zotero.org/groups/2394923/items/9CCSCTSA"],"itemData":{"id":357,"type":"article-journal","abstract":"Alzheimer's disease (AD) is a fatal progressive neurodegenerative disorder characterized by increasing loss in memory, cognition, and function of daily living. Among the many pathologic events observed in the progression of AD, changes in amyloid β peptide (Aβ) metabolism proceed fastest, and precede clinical symptoms. BACE1 (β-secretase 1) catalyzes the initial cleavage of the amyloid precursor protein to generate Aβ. Therefore inhibition of BACE1 activity could block one of the earliest pathologic events in AD. However, therapeutic BACE1 inhibition to block Aβ production may need to be balanced with possible effects that might result from diminished physiologic functions BACE1, in particular processing of substrates involved in neuronal function of the brain and periphery. Potentials for beneficial or consequential effects resulting from pharmacologic inhibition of BACE1 are reviewed in context of ongoing clinical trials testing the effect of BACE1 candidate inhibitor drugs in AD populations.","container-title":"Molecules (Basel, Switzerland)","DOI":"10.3390/molecules22101723","ISSN":"1420-3049","issue":"10","journalAbbreviation":"Molecules","language":"eng","note":"PMID: 29027981\nPMCID: PMC6151801","source":"PubMed","title":"BACE1 Function and Inhibition: Implications of Intervention in the Amyloid Pathway of Alzheimer's Disease Pathology","title-short":"BACE1 Function and Inhibition","volume":"22","author":[{"family":"Koelsch","given":"Gerald"}],"issued":{"date-parts":[["2017",10,13]]}}}],"schema":"https://github.com/citation-style-language/schema/raw/master/csl-citation.json"} </w:instrText>
      </w:r>
      <w:r w:rsidR="00AD141C"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[64]</w:t>
      </w:r>
      <w:r w:rsidR="00AD141C" w:rsidRPr="00425573">
        <w:rPr>
          <w:rFonts w:ascii="Book Antiqua" w:hAnsi="Book Antiqua" w:cs="Times New Roman"/>
          <w:color w:val="000000" w:themeColor="text1"/>
          <w:lang w:val="en-US"/>
        </w:rPr>
        <w:fldChar w:fldCharType="end"/>
      </w:r>
      <w:r w:rsidR="004E6041" w:rsidRPr="00425573">
        <w:rPr>
          <w:rFonts w:ascii="Book Antiqua" w:hAnsi="Book Antiqua" w:cs="Times New Roman"/>
          <w:color w:val="000000" w:themeColor="text1"/>
          <w:lang w:val="en-US"/>
        </w:rPr>
        <w:t xml:space="preserve">. </w:t>
      </w:r>
    </w:p>
    <w:p w14:paraId="4FEEC13A" w14:textId="58DC8651" w:rsidR="00CD5C9E" w:rsidRPr="00425573" w:rsidRDefault="005809BC"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 xml:space="preserve">Furthermore, </w:t>
      </w:r>
      <w:r w:rsidR="00F27195" w:rsidRPr="00425573">
        <w:rPr>
          <w:rFonts w:ascii="Book Antiqua" w:hAnsi="Book Antiqua" w:cs="Times New Roman"/>
          <w:color w:val="000000" w:themeColor="text1"/>
          <w:lang w:val="en-US"/>
        </w:rPr>
        <w:t>s</w:t>
      </w:r>
      <w:r w:rsidR="004766FE" w:rsidRPr="00425573">
        <w:rPr>
          <w:rFonts w:ascii="Book Antiqua" w:hAnsi="Book Antiqua" w:cs="Times New Roman"/>
          <w:color w:val="000000" w:themeColor="text1"/>
          <w:lang w:val="en-US"/>
        </w:rPr>
        <w:t xml:space="preserve">irtuins </w:t>
      </w:r>
      <w:r w:rsidR="008C17F1" w:rsidRPr="00425573">
        <w:rPr>
          <w:rFonts w:ascii="Book Antiqua" w:hAnsi="Book Antiqua" w:cs="Times New Roman"/>
          <w:color w:val="000000" w:themeColor="text1"/>
          <w:lang w:val="en-US"/>
        </w:rPr>
        <w:t xml:space="preserve">are </w:t>
      </w:r>
      <w:r w:rsidR="004766FE" w:rsidRPr="00425573">
        <w:rPr>
          <w:rFonts w:ascii="Book Antiqua" w:hAnsi="Book Antiqua" w:cs="Times New Roman"/>
          <w:color w:val="000000" w:themeColor="text1"/>
          <w:lang w:val="en-US"/>
        </w:rPr>
        <w:t>a family of histone deacetylases</w:t>
      </w:r>
      <w:r w:rsidR="008C17F1" w:rsidRPr="00425573">
        <w:rPr>
          <w:rFonts w:ascii="Book Antiqua" w:hAnsi="Book Antiqua" w:cs="Times New Roman"/>
          <w:color w:val="000000" w:themeColor="text1"/>
          <w:lang w:val="en-US"/>
        </w:rPr>
        <w:t>, playing</w:t>
      </w:r>
      <w:r w:rsidR="00300D1B" w:rsidRPr="00425573">
        <w:rPr>
          <w:rFonts w:ascii="Book Antiqua" w:hAnsi="Book Antiqua" w:cs="Times New Roman"/>
          <w:color w:val="000000" w:themeColor="text1"/>
          <w:lang w:val="en-US"/>
        </w:rPr>
        <w:t xml:space="preserve"> </w:t>
      </w:r>
      <w:r w:rsidR="008C17F1" w:rsidRPr="00425573">
        <w:rPr>
          <w:rFonts w:ascii="Book Antiqua" w:hAnsi="Book Antiqua" w:cs="Times New Roman"/>
          <w:color w:val="000000" w:themeColor="text1"/>
          <w:lang w:val="en-US"/>
        </w:rPr>
        <w:t>critical roles in the physiology of metabolism, central nervous system</w:t>
      </w:r>
      <w:r w:rsidR="00F27195" w:rsidRPr="00425573">
        <w:rPr>
          <w:rFonts w:ascii="Book Antiqua" w:hAnsi="Book Antiqua" w:cs="Times New Roman"/>
          <w:color w:val="000000" w:themeColor="text1"/>
          <w:lang w:val="en-US"/>
        </w:rPr>
        <w:t>,</w:t>
      </w:r>
      <w:r w:rsidR="008C17F1" w:rsidRPr="00425573">
        <w:rPr>
          <w:rFonts w:ascii="Book Antiqua" w:hAnsi="Book Antiqua" w:cs="Times New Roman"/>
          <w:color w:val="000000" w:themeColor="text1"/>
          <w:lang w:val="en-US"/>
        </w:rPr>
        <w:t xml:space="preserve"> and immune system. In fact, these epigenetic modifiers </w:t>
      </w:r>
      <w:r w:rsidR="0040221D" w:rsidRPr="00425573">
        <w:rPr>
          <w:rFonts w:ascii="Book Antiqua" w:hAnsi="Book Antiqua" w:cs="Times New Roman"/>
          <w:color w:val="000000" w:themeColor="text1"/>
          <w:lang w:val="en-US"/>
        </w:rPr>
        <w:t xml:space="preserve">are </w:t>
      </w:r>
      <w:r w:rsidR="002907E9" w:rsidRPr="00425573">
        <w:rPr>
          <w:rFonts w:ascii="Book Antiqua" w:hAnsi="Book Antiqua" w:cs="Times New Roman"/>
          <w:color w:val="000000" w:themeColor="text1"/>
          <w:lang w:val="en-US"/>
        </w:rPr>
        <w:t xml:space="preserve">involved in a </w:t>
      </w:r>
      <w:r w:rsidR="00CD423F" w:rsidRPr="00425573">
        <w:rPr>
          <w:rFonts w:ascii="Book Antiqua" w:hAnsi="Book Antiqua" w:cs="Times New Roman"/>
          <w:color w:val="000000" w:themeColor="text1"/>
          <w:lang w:val="en-US"/>
        </w:rPr>
        <w:t>variety</w:t>
      </w:r>
      <w:r w:rsidR="002907E9" w:rsidRPr="00425573">
        <w:rPr>
          <w:rFonts w:ascii="Book Antiqua" w:hAnsi="Book Antiqua" w:cs="Times New Roman"/>
          <w:color w:val="000000" w:themeColor="text1"/>
          <w:lang w:val="en-US"/>
        </w:rPr>
        <w:t xml:space="preserve"> of molecular </w:t>
      </w:r>
      <w:r w:rsidR="0040221D" w:rsidRPr="00425573">
        <w:rPr>
          <w:rFonts w:ascii="Book Antiqua" w:hAnsi="Book Antiqua" w:cs="Times New Roman"/>
          <w:color w:val="000000" w:themeColor="text1"/>
          <w:lang w:val="en-US"/>
        </w:rPr>
        <w:t xml:space="preserve">pathways </w:t>
      </w:r>
      <w:r w:rsidR="002907E9" w:rsidRPr="00425573">
        <w:rPr>
          <w:rFonts w:ascii="Book Antiqua" w:hAnsi="Book Antiqua" w:cs="Times New Roman"/>
          <w:color w:val="000000" w:themeColor="text1"/>
          <w:lang w:val="en-US"/>
        </w:rPr>
        <w:t xml:space="preserve">underlying different </w:t>
      </w:r>
      <w:r w:rsidR="0040221D" w:rsidRPr="00425573">
        <w:rPr>
          <w:rFonts w:ascii="Book Antiqua" w:hAnsi="Book Antiqua" w:cs="Times New Roman"/>
          <w:color w:val="000000" w:themeColor="text1"/>
          <w:lang w:val="en-US"/>
        </w:rPr>
        <w:t xml:space="preserve">complex </w:t>
      </w:r>
      <w:r w:rsidR="002907E9" w:rsidRPr="00425573">
        <w:rPr>
          <w:rFonts w:ascii="Book Antiqua" w:hAnsi="Book Antiqua" w:cs="Times New Roman"/>
          <w:color w:val="000000" w:themeColor="text1"/>
          <w:lang w:val="en-US"/>
        </w:rPr>
        <w:t>diseases</w:t>
      </w:r>
      <w:r w:rsidR="0040221D" w:rsidRPr="00425573">
        <w:rPr>
          <w:rFonts w:ascii="Book Antiqua" w:hAnsi="Book Antiqua" w:cs="Times New Roman"/>
          <w:color w:val="000000" w:themeColor="text1"/>
          <w:lang w:val="en-US"/>
        </w:rPr>
        <w:t xml:space="preserve"> (</w:t>
      </w:r>
      <w:r w:rsidR="002907E9" w:rsidRPr="00425573">
        <w:rPr>
          <w:rFonts w:ascii="Book Antiqua" w:hAnsi="Book Antiqua" w:cs="Times New Roman"/>
          <w:color w:val="000000" w:themeColor="text1"/>
          <w:lang w:val="en-US"/>
        </w:rPr>
        <w:t>cancer,</w:t>
      </w:r>
      <w:r w:rsidR="003F485C" w:rsidRPr="00425573">
        <w:rPr>
          <w:rFonts w:ascii="Book Antiqua" w:hAnsi="Book Antiqua" w:cs="Times New Roman"/>
          <w:color w:val="000000" w:themeColor="text1"/>
          <w:lang w:val="en-US"/>
        </w:rPr>
        <w:t xml:space="preserve"> diabetes</w:t>
      </w:r>
      <w:r w:rsidR="00142E6B" w:rsidRPr="00425573">
        <w:rPr>
          <w:rFonts w:ascii="Book Antiqua" w:hAnsi="Book Antiqua" w:cs="Times New Roman"/>
          <w:color w:val="000000" w:themeColor="text1"/>
          <w:lang w:val="en-US"/>
        </w:rPr>
        <w:t>,</w:t>
      </w:r>
      <w:r w:rsidR="003F485C" w:rsidRPr="00425573">
        <w:rPr>
          <w:rFonts w:ascii="Book Antiqua" w:hAnsi="Book Antiqua" w:cs="Times New Roman"/>
          <w:color w:val="000000" w:themeColor="text1"/>
          <w:lang w:val="en-US"/>
        </w:rPr>
        <w:t xml:space="preserve"> and neurodegenerati</w:t>
      </w:r>
      <w:r w:rsidR="0040221D" w:rsidRPr="00425573">
        <w:rPr>
          <w:rFonts w:ascii="Book Antiqua" w:hAnsi="Book Antiqua" w:cs="Times New Roman"/>
          <w:color w:val="000000" w:themeColor="text1"/>
          <w:lang w:val="en-US"/>
        </w:rPr>
        <w:t>ve disorders)</w:t>
      </w:r>
      <w:r w:rsidR="00BA018B"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{"citationID":"6wia2cui","properties":{"formattedCitation":"\\super [65]\\nosupersub{}","plainCitation":"[65]","noteIndex":0},"citationItems":[{"id":348,"uris":["http://zotero.org/groups/2394923/items/DQ47VB9P"],"uri":["http://zotero.org/groups/2394923/items/DQ47VB9P"],"itemData":{"id":348,"type":"article-journal","abstract":"Sirtuins or Sir2 family of proteins are a class of NAD(+) dependent protein deacetylases which are evolutionarily conserved from bacteria to humans. Some sirtuins also exhibit mono-ADP ribosyl transferase, demalonylation and desuccinylation activities. Originally identified in the yeast, these proteins regulate key cellular processes like cell cycle, apoptosis, metabolic regulation and inflammation. Humans encode seven sirtuin isoforms SIRT1-SIRT7 with varying intracellular distribution. Apart from their classic role as histone deacetylases regulating transcription, a number of cytoplasmic and mitochondrial targets of sirtuins have also been identified. Sirtuins have been implicated in longevity and accumulating evidence indicate their role in a spectrum of diseases like cancer, diabetes, obesity and neurodegenerative diseases. A number of studies have reported profound changes in SIRT1 expression and activity linked to mitochondrial functional alterations following hypoxic-ischemic conditions and following reoxygenation injury. The SIRT1 mediated deacetylation of targets such as PGC-1α, FOXO3, p53 and NF-κb has profound effect on mitochondrial function, apoptosis and inflammation. These biological processes and functions are critical in life-span determination and outcome following injury. Aging is reported to be characterized by declining SIRT1 activity, and its increased expression or activation demonstrated prolonged life-span in lower forms of animals. A pseudohypoxic state due to declining NAD(+) has also been implicated in aging. In this review we provide an overview of studies on the role of sirtuins in aging and injury.","container-title":"Biochimica Et Biophysica Acta","DOI":"10.1016/j.bbadis.2015.08.017","ISSN":"0006-3002","issue":"11","journalAbbreviation":"Biochim. Biophys. Acta","language":"eng","note":"PMID: 26303641\nPMCID: PMC4682052","page":"2442-2455","source":"PubMed","title":"Sirtuin regulation in aging and injury","volume":"1852","author":[{"family":"Poulose","given":"Ninu"},{"family":"Raju","given":"Raghavan"}],"issued":{"date-parts":[["2015",11]]}}}],"schema":"https://github.com/citation-style-language/schema/raw/master/csl-citation.json"} </w:instrText>
      </w:r>
      <w:r w:rsidR="00BA018B"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[65]</w:t>
      </w:r>
      <w:r w:rsidR="00BA018B" w:rsidRPr="00425573">
        <w:rPr>
          <w:rFonts w:ascii="Book Antiqua" w:hAnsi="Book Antiqua" w:cs="Times New Roman"/>
          <w:color w:val="000000" w:themeColor="text1"/>
          <w:lang w:val="en-US"/>
        </w:rPr>
        <w:fldChar w:fldCharType="end"/>
      </w:r>
      <w:r w:rsidR="00BA018B" w:rsidRPr="00425573">
        <w:rPr>
          <w:rFonts w:ascii="Book Antiqua" w:hAnsi="Book Antiqua" w:cs="Times New Roman"/>
          <w:color w:val="000000" w:themeColor="text1"/>
          <w:lang w:val="en-US"/>
        </w:rPr>
        <w:t>.</w:t>
      </w:r>
      <w:r w:rsidR="009D1312" w:rsidRPr="00425573">
        <w:rPr>
          <w:rFonts w:ascii="Book Antiqua" w:hAnsi="Book Antiqua" w:cs="Times New Roman"/>
          <w:color w:val="000000" w:themeColor="text1"/>
          <w:lang w:val="en-US"/>
        </w:rPr>
        <w:t xml:space="preserve"> </w:t>
      </w:r>
      <w:r w:rsidR="00712DB3" w:rsidRPr="00425573">
        <w:rPr>
          <w:rFonts w:ascii="Book Antiqua" w:hAnsi="Book Antiqua" w:cs="Times New Roman"/>
          <w:color w:val="000000" w:themeColor="text1"/>
          <w:lang w:val="en-US"/>
        </w:rPr>
        <w:t>Given the</w:t>
      </w:r>
      <w:r w:rsidR="00AC0A83" w:rsidRPr="00425573">
        <w:rPr>
          <w:rFonts w:ascii="Book Antiqua" w:hAnsi="Book Antiqua" w:cs="Times New Roman"/>
          <w:color w:val="000000" w:themeColor="text1"/>
          <w:lang w:val="en-US"/>
        </w:rPr>
        <w:t>ir role</w:t>
      </w:r>
      <w:r w:rsidR="00C16803" w:rsidRPr="00425573">
        <w:rPr>
          <w:rFonts w:ascii="Book Antiqua" w:hAnsi="Book Antiqua" w:cs="Times New Roman"/>
          <w:color w:val="000000" w:themeColor="text1"/>
          <w:lang w:val="en-US"/>
        </w:rPr>
        <w:t xml:space="preserve">, </w:t>
      </w:r>
      <w:r w:rsidR="00F27195" w:rsidRPr="00425573">
        <w:rPr>
          <w:rFonts w:ascii="Book Antiqua" w:hAnsi="Book Antiqua" w:cs="Times New Roman"/>
          <w:color w:val="000000" w:themeColor="text1"/>
          <w:lang w:val="en-US"/>
        </w:rPr>
        <w:t>s</w:t>
      </w:r>
      <w:r w:rsidR="00C16803" w:rsidRPr="00425573">
        <w:rPr>
          <w:rFonts w:ascii="Book Antiqua" w:hAnsi="Book Antiqua" w:cs="Times New Roman"/>
          <w:color w:val="000000" w:themeColor="text1"/>
          <w:lang w:val="en-US"/>
        </w:rPr>
        <w:t>irtuins</w:t>
      </w:r>
      <w:r w:rsidR="00EA0D55" w:rsidRPr="00425573">
        <w:rPr>
          <w:rFonts w:ascii="Book Antiqua" w:hAnsi="Book Antiqua" w:cs="Times New Roman"/>
          <w:color w:val="000000" w:themeColor="text1"/>
          <w:lang w:val="en-US"/>
        </w:rPr>
        <w:t xml:space="preserve"> may be addressed as </w:t>
      </w:r>
      <w:r w:rsidR="00020196" w:rsidRPr="00425573">
        <w:rPr>
          <w:rFonts w:ascii="Book Antiqua" w:hAnsi="Book Antiqua" w:cs="Times New Roman"/>
          <w:color w:val="000000" w:themeColor="text1"/>
          <w:lang w:val="en-US"/>
        </w:rPr>
        <w:t>potential therapeutic</w:t>
      </w:r>
      <w:r w:rsidR="00C16803" w:rsidRPr="00425573">
        <w:rPr>
          <w:rFonts w:ascii="Book Antiqua" w:hAnsi="Book Antiqua" w:cs="Times New Roman"/>
          <w:color w:val="000000" w:themeColor="text1"/>
          <w:lang w:val="en-US"/>
        </w:rPr>
        <w:t xml:space="preserve"> targets </w:t>
      </w:r>
      <w:r w:rsidR="00020196" w:rsidRPr="00425573">
        <w:rPr>
          <w:rFonts w:ascii="Book Antiqua" w:hAnsi="Book Antiqua" w:cs="Times New Roman"/>
          <w:color w:val="000000" w:themeColor="text1"/>
          <w:lang w:val="en-US"/>
        </w:rPr>
        <w:t xml:space="preserve">able </w:t>
      </w:r>
      <w:r w:rsidR="007A486B" w:rsidRPr="00425573">
        <w:rPr>
          <w:rFonts w:ascii="Book Antiqua" w:hAnsi="Book Antiqua" w:cs="Times New Roman"/>
          <w:color w:val="000000" w:themeColor="text1"/>
          <w:lang w:val="en-US"/>
        </w:rPr>
        <w:t xml:space="preserve">to counteract the </w:t>
      </w:r>
      <w:r w:rsidR="00020196" w:rsidRPr="00425573">
        <w:rPr>
          <w:rFonts w:ascii="Book Antiqua" w:hAnsi="Book Antiqua" w:cs="Times New Roman"/>
          <w:color w:val="000000" w:themeColor="text1"/>
          <w:lang w:val="en-US"/>
        </w:rPr>
        <w:t>progression of T2D, AD and PD through their epigenetic activity</w:t>
      </w:r>
      <w:r w:rsidR="00020196"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{"citationID":"HtiaC0z3","properties":{"formattedCitation":"\\super [66]\\nosupersub{}","plainCitation":"[66]","noteIndex":0},"citationItems":[{"id":290,"uris":["http://zotero.org/groups/2394923/items/YYXXWUP6"],"uri":["http://zotero.org/groups/2394923/items/YYXXWUP6"],"itemData":{"id":290,"type":"article-journal","abstract":"Multiple Sclerosis (MS) is a challenging and disabling condition particularly in the secondary progressive (SP) phase of this disease. The available treatments cannot ameliorate or stop disease progression in this phase, and there is an urgent need to focus on effective therapies and the molecular pathways involved SPMS. Given the significant impact of neurodegeneration, autoimmunity and metabolic alterations in MS, focusing on the molecules that target these different pathways could help in finding new treatments. Sirtuins (SIRTs) are NAD+ dependent epigenetic and metabolic regulators, which have critical roles in the physiology of central nervous system, immune system and metabolism. Based on these facts, SIRTs are crucial candidates of therapeutic targets in MS and collecting the information related to MS disease for each SIRT individually is noteworthy and highlights the lack of investigation in each part. In this review we summarized the role of different sirtuins as key regulator in neurodegeneration, autoimmunity and metabolism pathways. We also clarify the rationale behind selecting SIRTs as therapeutic targets in MS disease by collecting the researches showing alteration of these proteins in human samples of MS patients and animal model of MS, and also the improvement of modeled animals after SIRT-directed treatments.","container-title":"Multiple Sclerosis and Related Disorders","DOI":"10.1016/j.msard.2019.06.004","ISSN":"2211-0356","journalAbbreviation":"Mult Scler Relat Disord","language":"eng","note":"PMID: 31228716","page":"47-58","source":"PubMed","title":"Sirtuins in Multiple Sclerosis: The crossroad of neurodegeneration, autoimmunity and metabolism","title-short":"Sirtuins in Multiple Sclerosis","volume":"34","author":[{"family":"Foolad","given":"Forough"},{"family":"Khodagholi","given":"Fariba"},{"family":"Javan","given":"Mohammad"}],"issued":{"date-parts":[["2019",9]]}}}],"schema":"https://github.com/citation-style-language/schema/raw/master/csl-citation.json"} </w:instrText>
      </w:r>
      <w:r w:rsidR="00020196"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[66]</w:t>
      </w:r>
      <w:r w:rsidR="00020196" w:rsidRPr="00425573">
        <w:rPr>
          <w:rFonts w:ascii="Book Antiqua" w:hAnsi="Book Antiqua" w:cs="Times New Roman"/>
          <w:color w:val="000000" w:themeColor="text1"/>
          <w:lang w:val="en-US"/>
        </w:rPr>
        <w:fldChar w:fldCharType="end"/>
      </w:r>
      <w:r w:rsidR="0052604C" w:rsidRPr="00425573">
        <w:rPr>
          <w:rFonts w:ascii="Book Antiqua" w:hAnsi="Book Antiqua" w:cs="Times New Roman"/>
          <w:color w:val="000000" w:themeColor="text1"/>
          <w:lang w:val="en-US"/>
        </w:rPr>
        <w:t>.</w:t>
      </w:r>
    </w:p>
    <w:p w14:paraId="2DBF8584" w14:textId="5F440672" w:rsidR="00EE1EE2" w:rsidRPr="00425573" w:rsidRDefault="008226B2"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T</w:t>
      </w:r>
      <w:r w:rsidR="00AC6542" w:rsidRPr="00425573">
        <w:rPr>
          <w:rFonts w:ascii="Book Antiqua" w:hAnsi="Book Antiqua" w:cs="Times New Roman"/>
          <w:color w:val="000000" w:themeColor="text1"/>
          <w:lang w:val="en-US"/>
        </w:rPr>
        <w:t xml:space="preserve">he study of DNA methylation </w:t>
      </w:r>
      <w:r w:rsidR="0040221D" w:rsidRPr="00425573">
        <w:rPr>
          <w:rFonts w:ascii="Book Antiqua" w:hAnsi="Book Antiqua" w:cs="Times New Roman"/>
          <w:color w:val="000000" w:themeColor="text1"/>
          <w:lang w:val="en-US"/>
        </w:rPr>
        <w:t>affecting</w:t>
      </w:r>
      <w:r w:rsidR="005809BC" w:rsidRPr="00425573">
        <w:rPr>
          <w:rFonts w:ascii="Book Antiqua" w:hAnsi="Book Antiqua" w:cs="Times New Roman"/>
          <w:color w:val="000000" w:themeColor="text1"/>
          <w:lang w:val="en-US"/>
        </w:rPr>
        <w:t xml:space="preserve"> </w:t>
      </w:r>
      <w:r w:rsidR="00AC0A83" w:rsidRPr="00425573">
        <w:rPr>
          <w:rFonts w:ascii="Book Antiqua" w:hAnsi="Book Antiqua" w:cs="Times New Roman"/>
          <w:color w:val="000000" w:themeColor="text1"/>
          <w:lang w:val="en-US"/>
        </w:rPr>
        <w:t>mitochondrial</w:t>
      </w:r>
      <w:r w:rsidR="00AC6542" w:rsidRPr="00425573">
        <w:rPr>
          <w:rFonts w:ascii="Book Antiqua" w:hAnsi="Book Antiqua" w:cs="Times New Roman"/>
          <w:color w:val="000000" w:themeColor="text1"/>
          <w:lang w:val="en-US"/>
        </w:rPr>
        <w:t xml:space="preserve"> genes could unveil interesting </w:t>
      </w:r>
      <w:r w:rsidR="00B55094" w:rsidRPr="00425573">
        <w:rPr>
          <w:rFonts w:ascii="Book Antiqua" w:hAnsi="Book Antiqua" w:cs="Times New Roman"/>
          <w:color w:val="000000" w:themeColor="text1"/>
          <w:lang w:val="en-US"/>
        </w:rPr>
        <w:t>insights into the pathogenesis</w:t>
      </w:r>
      <w:r w:rsidR="00AC0A83" w:rsidRPr="00425573">
        <w:rPr>
          <w:rFonts w:ascii="Book Antiqua" w:hAnsi="Book Antiqua" w:cs="Times New Roman"/>
          <w:color w:val="000000" w:themeColor="text1"/>
          <w:lang w:val="en-US"/>
        </w:rPr>
        <w:t xml:space="preserve"> of</w:t>
      </w:r>
      <w:r w:rsidR="0040221D" w:rsidRPr="00425573">
        <w:rPr>
          <w:rFonts w:ascii="Book Antiqua" w:hAnsi="Book Antiqua" w:cs="Times New Roman"/>
          <w:color w:val="000000" w:themeColor="text1"/>
          <w:lang w:val="en-US"/>
        </w:rPr>
        <w:t xml:space="preserve"> T2D, AD and PD</w:t>
      </w:r>
      <w:r w:rsidR="00AC0A83" w:rsidRPr="00425573">
        <w:rPr>
          <w:rFonts w:ascii="Book Antiqua" w:hAnsi="Book Antiqua" w:cs="Times New Roman"/>
          <w:color w:val="000000" w:themeColor="text1"/>
          <w:lang w:val="en-US"/>
        </w:rPr>
        <w:t xml:space="preserve">. </w:t>
      </w:r>
      <w:r w:rsidR="0040221D" w:rsidRPr="00425573">
        <w:rPr>
          <w:rFonts w:ascii="Book Antiqua" w:hAnsi="Book Antiqua" w:cs="Times New Roman"/>
          <w:color w:val="000000" w:themeColor="text1"/>
          <w:lang w:val="en-US"/>
        </w:rPr>
        <w:t>In fact</w:t>
      </w:r>
      <w:r w:rsidR="00B55094" w:rsidRPr="00425573">
        <w:rPr>
          <w:rFonts w:ascii="Book Antiqua" w:hAnsi="Book Antiqua" w:cs="Times New Roman"/>
          <w:color w:val="000000" w:themeColor="text1"/>
          <w:lang w:val="en-US"/>
        </w:rPr>
        <w:t>,</w:t>
      </w:r>
      <w:r w:rsidR="0040221D" w:rsidRPr="00425573">
        <w:rPr>
          <w:rFonts w:ascii="Book Antiqua" w:hAnsi="Book Antiqua" w:cs="Times New Roman"/>
          <w:color w:val="000000" w:themeColor="text1"/>
          <w:lang w:val="en-US"/>
        </w:rPr>
        <w:t xml:space="preserve"> alteration of</w:t>
      </w:r>
      <w:r w:rsidR="00300D1B" w:rsidRPr="00425573">
        <w:rPr>
          <w:rFonts w:ascii="Book Antiqua" w:hAnsi="Book Antiqua" w:cs="Times New Roman"/>
          <w:color w:val="000000" w:themeColor="text1"/>
          <w:lang w:val="en-US"/>
        </w:rPr>
        <w:t xml:space="preserve"> </w:t>
      </w:r>
      <w:r w:rsidR="0040221D" w:rsidRPr="00425573">
        <w:rPr>
          <w:rFonts w:ascii="Book Antiqua" w:hAnsi="Book Antiqua" w:cs="Times New Roman"/>
          <w:color w:val="000000" w:themeColor="text1"/>
          <w:lang w:val="en-US"/>
        </w:rPr>
        <w:t xml:space="preserve">DNA methylation status has been supposed to </w:t>
      </w:r>
      <w:r w:rsidR="00020196" w:rsidRPr="00425573">
        <w:rPr>
          <w:rFonts w:ascii="Book Antiqua" w:hAnsi="Book Antiqua" w:cs="Times New Roman"/>
          <w:color w:val="000000" w:themeColor="text1"/>
          <w:lang w:val="en-US"/>
        </w:rPr>
        <w:t xml:space="preserve">be </w:t>
      </w:r>
      <w:r w:rsidR="0040221D" w:rsidRPr="00425573">
        <w:rPr>
          <w:rFonts w:ascii="Book Antiqua" w:hAnsi="Book Antiqua" w:cs="Times New Roman"/>
          <w:color w:val="000000" w:themeColor="text1"/>
          <w:lang w:val="en-US"/>
        </w:rPr>
        <w:t>responsible f</w:t>
      </w:r>
      <w:r w:rsidR="00F27195" w:rsidRPr="00425573">
        <w:rPr>
          <w:rFonts w:ascii="Book Antiqua" w:hAnsi="Book Antiqua" w:cs="Times New Roman"/>
          <w:color w:val="000000" w:themeColor="text1"/>
          <w:lang w:val="en-US"/>
        </w:rPr>
        <w:t>or</w:t>
      </w:r>
      <w:r w:rsidR="0040221D" w:rsidRPr="00425573">
        <w:rPr>
          <w:rFonts w:ascii="Book Antiqua" w:hAnsi="Book Antiqua" w:cs="Times New Roman"/>
          <w:color w:val="000000" w:themeColor="text1"/>
          <w:lang w:val="en-US"/>
        </w:rPr>
        <w:t xml:space="preserve"> the reduction of</w:t>
      </w:r>
      <w:r w:rsidR="00C76C4B" w:rsidRPr="00425573">
        <w:rPr>
          <w:rFonts w:ascii="Book Antiqua" w:hAnsi="Book Antiqua" w:cs="Times New Roman"/>
          <w:color w:val="000000" w:themeColor="text1"/>
          <w:lang w:val="en-US"/>
        </w:rPr>
        <w:t xml:space="preserve"> </w:t>
      </w:r>
      <w:r w:rsidR="00B55094" w:rsidRPr="00425573">
        <w:rPr>
          <w:rFonts w:ascii="Book Antiqua" w:hAnsi="Book Antiqua" w:cs="Times New Roman"/>
          <w:color w:val="000000" w:themeColor="text1"/>
          <w:lang w:val="en-US"/>
        </w:rPr>
        <w:t>complex I and IV subunits</w:t>
      </w:r>
      <w:r w:rsidR="00C76C4B" w:rsidRPr="00425573">
        <w:rPr>
          <w:rFonts w:ascii="Book Antiqua" w:hAnsi="Book Antiqua" w:cs="Times New Roman"/>
          <w:color w:val="000000" w:themeColor="text1"/>
          <w:lang w:val="en-US"/>
        </w:rPr>
        <w:t xml:space="preserve"> </w:t>
      </w:r>
      <w:r w:rsidR="00AC0A83" w:rsidRPr="00425573">
        <w:rPr>
          <w:rFonts w:ascii="Book Antiqua" w:hAnsi="Book Antiqua" w:cs="Times New Roman"/>
          <w:color w:val="000000" w:themeColor="text1"/>
          <w:lang w:val="en-US"/>
        </w:rPr>
        <w:t xml:space="preserve">in </w:t>
      </w:r>
      <w:r w:rsidR="00B55094" w:rsidRPr="00425573">
        <w:rPr>
          <w:rFonts w:ascii="Book Antiqua" w:hAnsi="Book Antiqua" w:cs="Times New Roman"/>
          <w:color w:val="000000" w:themeColor="text1"/>
          <w:lang w:val="en-US"/>
        </w:rPr>
        <w:t>AD and PD human brain samples</w:t>
      </w:r>
      <w:r w:rsidR="0076082E"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{"citationID":"bBrBfoCN","properties":{"formattedCitation":"\\super [67]\\nosupersub{}","plainCitation":"[67]","noteIndex":0},"citationItems":[{"id":288,"uris":["http://zotero.org/groups/2394923/items/JTBI95E6"],"uri":["http://zotero.org/groups/2394923/items/JTBI95E6"],"itemData":{"id":288,"type":"article-journal","abstract":"Mitochondrial dysfunction is linked with the etiopathogenesis of Alzheimer disease and Parkinson disease. Mitochondria are intracellular organelles essential for cell viability and are characterized by the presence of the mitochondrial (mt)DNA. DNA methylation is a well-known epigenetic mechanism that regulates nuclear gene transcription. However, mtDNA methylation is not the subject of the same research attention. The present study shows the presence of mitochondrial 5-methylcytosine in CpG and non-CpG sites in the entorhinal cortex and substantia nigra of control human postmortem brains, using the 454 GS FLX Titanium pyrosequencer. Moreover, increased mitochondrial 5-methylcytosine levels are found in the D-loop region of mtDNA in the entorhinal cortex in brain samples with Alzheimer disease-related pathology (stages I to II and stages III to IV of Braak and Braak; n = 8) with respect to control cases. Interestingly, this region shows a dynamic pattern in the content of mitochondrial 5-methylcytosine in amyloid precursor protein/presenilin 1 mice along with Alzheimer disease pathology progression (3, 6, and 12 months of age). Finally, a loss of mitochondrial 5-methylcytosine levels in the D-loop region is found in the substantia nigra in Parkinson disease (n = 10) with respect to control cases. In summary, the present findings suggest mtDNA epigenetic modulation in human brain is vulnerable to neurodegenerative disease states.","container-title":"The American Journal of Pathology","DOI":"10.1016/j.ajpath.2015.10.004","ISSN":"1525-2191","issue":"2","journalAbbreviation":"Am. J. Pathol.","language":"eng","note":"PMID: 26776077","page":"385-397","source":"PubMed","title":"Altered Mitochondrial DNA Methylation Pattern in Alzheimer Disease-Related Pathology and in Parkinson Disease","volume":"186","author":[{"family":"Blanch","given":"Marta"},{"family":"Mosquera","given":"Jose Luis"},{"family":"Ansoleaga","given":"Belén"},{"family":"Ferrer","given":"Isidre"},{"family":"Barrachina","given":"Marta"}],"issued":{"date-parts":[["2016",2]]}}}],"schema":"https://github.com/citation-style-language/schema/raw/master/csl-citation.json"}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[67]</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 xml:space="preserve">. </w:t>
      </w:r>
      <w:r w:rsidR="00B4194B" w:rsidRPr="00425573">
        <w:rPr>
          <w:rFonts w:ascii="Book Antiqua" w:hAnsi="Book Antiqua" w:cs="Times New Roman"/>
          <w:color w:val="000000" w:themeColor="text1"/>
          <w:lang w:val="en-US"/>
        </w:rPr>
        <w:t xml:space="preserve">Moreover, it has been demonstrated that the alteration of miR-181a/b levels impacts </w:t>
      </w:r>
      <w:r w:rsidR="00AC0A83" w:rsidRPr="00425573">
        <w:rPr>
          <w:rFonts w:ascii="Book Antiqua" w:hAnsi="Book Antiqua" w:cs="Times New Roman"/>
          <w:color w:val="000000" w:themeColor="text1"/>
          <w:lang w:val="en-US"/>
        </w:rPr>
        <w:t>mitochondrial</w:t>
      </w:r>
      <w:r w:rsidR="00B4194B" w:rsidRPr="00425573">
        <w:rPr>
          <w:rFonts w:ascii="Book Antiqua" w:hAnsi="Book Antiqua" w:cs="Times New Roman"/>
          <w:color w:val="000000" w:themeColor="text1"/>
          <w:lang w:val="en-US"/>
        </w:rPr>
        <w:t xml:space="preserve"> biogenesis and turnover</w:t>
      </w:r>
      <w:r w:rsidR="00FE3CA6" w:rsidRPr="00425573">
        <w:rPr>
          <w:rFonts w:ascii="Book Antiqua" w:hAnsi="Book Antiqua" w:cs="Times New Roman"/>
          <w:color w:val="000000" w:themeColor="text1"/>
          <w:lang w:val="en-US"/>
        </w:rPr>
        <w:t xml:space="preserve"> in </w:t>
      </w:r>
      <w:r w:rsidR="00B01F52" w:rsidRPr="00425573">
        <w:rPr>
          <w:rFonts w:ascii="Book Antiqua" w:hAnsi="Book Antiqua" w:cs="Times New Roman"/>
          <w:color w:val="000000" w:themeColor="text1"/>
          <w:lang w:val="en-US"/>
        </w:rPr>
        <w:t>the brain</w:t>
      </w:r>
      <w:r w:rsidR="00B4194B" w:rsidRPr="00425573">
        <w:rPr>
          <w:rFonts w:ascii="Book Antiqua" w:hAnsi="Book Antiqua" w:cs="Times New Roman"/>
          <w:color w:val="000000" w:themeColor="text1"/>
          <w:lang w:val="en-US"/>
        </w:rPr>
        <w:t xml:space="preserve">, </w:t>
      </w:r>
      <w:r w:rsidR="00AC0A83" w:rsidRPr="00425573">
        <w:rPr>
          <w:rFonts w:ascii="Book Antiqua" w:hAnsi="Book Antiqua" w:cs="Times New Roman"/>
          <w:color w:val="000000" w:themeColor="text1"/>
          <w:lang w:val="en-US"/>
        </w:rPr>
        <w:t>through the</w:t>
      </w:r>
      <w:r w:rsidR="00B4194B" w:rsidRPr="00425573">
        <w:rPr>
          <w:rFonts w:ascii="Book Antiqua" w:hAnsi="Book Antiqua" w:cs="Times New Roman"/>
          <w:color w:val="000000" w:themeColor="text1"/>
          <w:lang w:val="en-US"/>
        </w:rPr>
        <w:t xml:space="preserve"> modulati</w:t>
      </w:r>
      <w:r w:rsidR="00AC0A83" w:rsidRPr="00425573">
        <w:rPr>
          <w:rFonts w:ascii="Book Antiqua" w:hAnsi="Book Antiqua" w:cs="Times New Roman"/>
          <w:color w:val="000000" w:themeColor="text1"/>
          <w:lang w:val="en-US"/>
        </w:rPr>
        <w:t>on of</w:t>
      </w:r>
      <w:r w:rsidR="00B4194B" w:rsidRPr="00425573">
        <w:rPr>
          <w:rFonts w:ascii="Book Antiqua" w:hAnsi="Book Antiqua" w:cs="Times New Roman"/>
          <w:color w:val="000000" w:themeColor="text1"/>
          <w:lang w:val="en-US"/>
        </w:rPr>
        <w:t xml:space="preserve"> autophagy and mitophagy-related pathways</w:t>
      </w:r>
      <w:r w:rsidR="0076082E"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{"citationID":"l9lev6oT","properties":{"formattedCitation":"\\super [68]\\nosupersub{}","plainCitation":"[68]","noteIndex":0},"citationItems":[{"id":302,"uris":["http://zotero.org/groups/2394923/items/XE94ANJD"],"uri":["http://zotero.org/groups/2394923/items/XE94ANJD"],"itemData":{"id":302,"type":"article-journal","abstract":"Mitochondrial diseases (MDs) are a heterogeneous group of devastating and often fatal disorders due to defective oxidative phosphorylation. Despite the recent advances in mitochondrial medicine, effective therapies are still not available for these conditions. Here, we demonstrate that the microRNAs miR-181a and miR-181b (miR-181a/b) regulate key genes involved in mitochondrial biogenesis and function and that downregulation of these miRNAs enhances mitochondrial turnover in the retina through the coordinated activation of mitochondrial biogenesis and mitophagy. We thus tested the effect of miR-181a/b inactivation in different animal models of MDs, such as microphthalmia with linear skin lesions and Leber's hereditary optic neuropathy. We found that miR-181a/b downregulation strongly protects retinal neurons from cell death and significantly ameliorates the disease phenotype in all tested models. Altogether, our results demonstrate that miR-181a/b regulate mitochondrial homeostasis and that these miRNAs may be effective gene-independent therapeutic targets for MDs characterized by neuronal degeneration.","container-title":"EMBO molecular medicine","DOI":"10.15252/emmm.201708734","ISSN":"1757-4684","issue":"5","journalAbbreviation":"EMBO Mol Med","language":"eng","note":"PMID: 30979712\nPMCID: PMC6505685","source":"PubMed","title":"miR-181a/b downregulation exerts a protective action on mitochondrial disease models","volume":"11","author":[{"family":"Indrieri","given":"Alessia"},{"family":"Carrella","given":"Sabrina"},{"family":"Romano","given":"Alessia"},{"family":"Spaziano","given":"Alessandra"},{"family":"Marrocco","given":"Elena"},{"family":"Fernandez-Vizarra","given":"Erika"},{"family":"Barbato","given":"Sara"},{"family":"Pizzo","given":"Mariateresa"},{"family":"Ezhova","given":"Yulia"},{"family":"Golia","given":"Francesca M."},{"family":"Ciampi","given":"Ludovica"},{"family":"Tammaro","given":"Roberta"},{"family":"Henao-Mejia","given":"Jorge"},{"family":"Williams","given":"Adam"},{"family":"Flavell","given":"Richard A."},{"family":"De Leonibus","given":"Elvira"},{"family":"Zeviani","given":"Massimo"},{"family":"Surace","given":"Enrico M."},{"family":"Banfi","given":"Sandro"},{"family":"Franco","given":"Brunella"}],"issued":{"date-parts":[["2019",5]]}}}],"schema":"https://github.com/citation-style-language/schema/raw/master/csl-citation.json"}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[68]</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 xml:space="preserve">. </w:t>
      </w:r>
      <w:r w:rsidR="00020196" w:rsidRPr="00425573">
        <w:rPr>
          <w:rFonts w:ascii="Book Antiqua" w:hAnsi="Book Antiqua" w:cs="Times New Roman"/>
          <w:color w:val="000000" w:themeColor="text1"/>
          <w:lang w:val="en-US"/>
        </w:rPr>
        <w:t xml:space="preserve">These miRNAs </w:t>
      </w:r>
      <w:r w:rsidR="00FE3CA6" w:rsidRPr="00425573">
        <w:rPr>
          <w:rFonts w:ascii="Book Antiqua" w:hAnsi="Book Antiqua" w:cs="Times New Roman"/>
          <w:color w:val="000000" w:themeColor="text1"/>
          <w:lang w:val="en-US"/>
        </w:rPr>
        <w:t>could be</w:t>
      </w:r>
      <w:r w:rsidR="003317BE" w:rsidRPr="00425573">
        <w:rPr>
          <w:rFonts w:ascii="Book Antiqua" w:hAnsi="Book Antiqua" w:cs="Times New Roman"/>
          <w:color w:val="000000" w:themeColor="text1"/>
          <w:lang w:val="en-US"/>
        </w:rPr>
        <w:t>,</w:t>
      </w:r>
      <w:r w:rsidR="00020196" w:rsidRPr="00425573">
        <w:rPr>
          <w:rFonts w:ascii="Book Antiqua" w:hAnsi="Book Antiqua" w:cs="Times New Roman"/>
          <w:color w:val="000000" w:themeColor="text1"/>
          <w:lang w:val="en-US"/>
        </w:rPr>
        <w:t xml:space="preserve"> therefore</w:t>
      </w:r>
      <w:r w:rsidR="003317BE" w:rsidRPr="00425573">
        <w:rPr>
          <w:rFonts w:ascii="Book Antiqua" w:hAnsi="Book Antiqua" w:cs="Times New Roman"/>
          <w:color w:val="000000" w:themeColor="text1"/>
          <w:lang w:val="en-US"/>
        </w:rPr>
        <w:t>,</w:t>
      </w:r>
      <w:r w:rsidR="00FE3CA6" w:rsidRPr="00425573">
        <w:rPr>
          <w:rFonts w:ascii="Book Antiqua" w:hAnsi="Book Antiqua" w:cs="Times New Roman"/>
          <w:color w:val="000000" w:themeColor="text1"/>
          <w:lang w:val="en-US"/>
        </w:rPr>
        <w:t xml:space="preserve"> investigated for their potential role in </w:t>
      </w:r>
      <w:r w:rsidR="00F24412" w:rsidRPr="00425573">
        <w:rPr>
          <w:rFonts w:ascii="Book Antiqua" w:hAnsi="Book Antiqua" w:cs="Times New Roman"/>
          <w:color w:val="000000" w:themeColor="text1"/>
          <w:lang w:val="en-US"/>
        </w:rPr>
        <w:t xml:space="preserve">the </w:t>
      </w:r>
      <w:r w:rsidR="00915FD3" w:rsidRPr="00425573">
        <w:rPr>
          <w:rFonts w:ascii="Book Antiqua" w:hAnsi="Book Antiqua" w:cs="Times New Roman"/>
          <w:color w:val="000000" w:themeColor="text1"/>
          <w:lang w:val="en-US"/>
        </w:rPr>
        <w:t xml:space="preserve">common </w:t>
      </w:r>
      <w:r w:rsidR="00F24412" w:rsidRPr="00425573">
        <w:rPr>
          <w:rFonts w:ascii="Book Antiqua" w:hAnsi="Book Antiqua" w:cs="Times New Roman"/>
          <w:color w:val="000000" w:themeColor="text1"/>
          <w:lang w:val="en-US"/>
        </w:rPr>
        <w:t xml:space="preserve">pathogenetic processes </w:t>
      </w:r>
      <w:r w:rsidR="00915FD3" w:rsidRPr="00425573">
        <w:rPr>
          <w:rFonts w:ascii="Book Antiqua" w:hAnsi="Book Antiqua" w:cs="Times New Roman"/>
          <w:color w:val="000000" w:themeColor="text1"/>
          <w:lang w:val="en-US"/>
        </w:rPr>
        <w:t xml:space="preserve">leading to </w:t>
      </w:r>
      <w:r w:rsidR="0040221D" w:rsidRPr="00425573">
        <w:rPr>
          <w:rFonts w:ascii="Book Antiqua" w:hAnsi="Book Antiqua" w:cs="Times New Roman"/>
          <w:color w:val="000000" w:themeColor="text1"/>
          <w:lang w:val="en-US"/>
        </w:rPr>
        <w:t xml:space="preserve">T2D and </w:t>
      </w:r>
      <w:r w:rsidR="005314CC" w:rsidRPr="00425573">
        <w:rPr>
          <w:rFonts w:ascii="Book Antiqua" w:hAnsi="Book Antiqua" w:cs="Times New Roman"/>
          <w:color w:val="000000" w:themeColor="text1"/>
          <w:lang w:val="en-US"/>
        </w:rPr>
        <w:lastRenderedPageBreak/>
        <w:t>AD/PD</w:t>
      </w:r>
      <w:r w:rsidR="00F24412" w:rsidRPr="00425573">
        <w:rPr>
          <w:rFonts w:ascii="Book Antiqua" w:hAnsi="Book Antiqua" w:cs="Times New Roman"/>
          <w:color w:val="000000" w:themeColor="text1"/>
          <w:lang w:val="en-US"/>
        </w:rPr>
        <w:t>.</w:t>
      </w:r>
      <w:r w:rsidR="003679BC" w:rsidRPr="00425573">
        <w:rPr>
          <w:rFonts w:ascii="Book Antiqua" w:hAnsi="Book Antiqua" w:cs="Times New Roman"/>
          <w:color w:val="000000" w:themeColor="text1"/>
          <w:lang w:val="en-US"/>
        </w:rPr>
        <w:t xml:space="preserve"> </w:t>
      </w:r>
      <w:r w:rsidR="00EE2BC5" w:rsidRPr="00425573">
        <w:rPr>
          <w:rFonts w:ascii="Book Antiqua" w:hAnsi="Book Antiqua" w:cs="Times New Roman"/>
          <w:color w:val="000000" w:themeColor="text1"/>
          <w:lang w:val="en-US"/>
        </w:rPr>
        <w:t>Furthermore,</w:t>
      </w:r>
      <w:r w:rsidR="00300D1B" w:rsidRPr="00425573">
        <w:rPr>
          <w:rFonts w:ascii="Book Antiqua" w:hAnsi="Book Antiqua" w:cs="Times New Roman"/>
          <w:color w:val="000000" w:themeColor="text1"/>
          <w:lang w:val="en-US"/>
        </w:rPr>
        <w:t xml:space="preserve"> </w:t>
      </w:r>
      <w:r w:rsidR="00915FD3" w:rsidRPr="00425573">
        <w:rPr>
          <w:rFonts w:ascii="Book Antiqua" w:hAnsi="Book Antiqua" w:cs="Times New Roman"/>
          <w:color w:val="000000" w:themeColor="text1"/>
          <w:lang w:val="en-US"/>
        </w:rPr>
        <w:t xml:space="preserve">the </w:t>
      </w:r>
      <w:r w:rsidR="00020196" w:rsidRPr="00425573">
        <w:rPr>
          <w:rFonts w:ascii="Book Antiqua" w:hAnsi="Book Antiqua" w:cs="Times New Roman"/>
          <w:color w:val="000000" w:themeColor="text1"/>
          <w:lang w:val="en-US"/>
        </w:rPr>
        <w:t>study</w:t>
      </w:r>
      <w:r w:rsidR="00915FD3" w:rsidRPr="00425573">
        <w:rPr>
          <w:rFonts w:ascii="Book Antiqua" w:hAnsi="Book Antiqua" w:cs="Times New Roman"/>
          <w:color w:val="000000" w:themeColor="text1"/>
          <w:lang w:val="en-US"/>
        </w:rPr>
        <w:t xml:space="preserve"> of</w:t>
      </w:r>
      <w:r w:rsidR="003842BB" w:rsidRPr="00425573">
        <w:rPr>
          <w:rFonts w:ascii="Book Antiqua" w:hAnsi="Book Antiqua" w:cs="Times New Roman"/>
          <w:color w:val="000000" w:themeColor="text1"/>
          <w:lang w:val="en-US"/>
        </w:rPr>
        <w:t xml:space="preserve"> other</w:t>
      </w:r>
      <w:r w:rsidR="00B97AF6" w:rsidRPr="00425573">
        <w:rPr>
          <w:rFonts w:ascii="Book Antiqua" w:hAnsi="Book Antiqua" w:cs="Times New Roman"/>
          <w:color w:val="000000" w:themeColor="text1"/>
          <w:lang w:val="en-US"/>
        </w:rPr>
        <w:t xml:space="preserve"> miRNAs and </w:t>
      </w:r>
      <w:r w:rsidR="00142E6B" w:rsidRPr="00425573">
        <w:rPr>
          <w:rFonts w:ascii="Book Antiqua" w:hAnsi="Book Antiqua" w:cs="Times New Roman"/>
          <w:color w:val="000000" w:themeColor="text1"/>
          <w:lang w:val="en-US"/>
        </w:rPr>
        <w:t>nc</w:t>
      </w:r>
      <w:r w:rsidR="00020196" w:rsidRPr="00425573">
        <w:rPr>
          <w:rFonts w:ascii="Book Antiqua" w:hAnsi="Book Antiqua" w:cs="Times New Roman"/>
          <w:color w:val="000000" w:themeColor="text1"/>
          <w:lang w:val="en-US"/>
        </w:rPr>
        <w:t xml:space="preserve">RNAs related to </w:t>
      </w:r>
      <w:r w:rsidR="00915FD3" w:rsidRPr="00425573">
        <w:rPr>
          <w:rFonts w:ascii="Book Antiqua" w:hAnsi="Book Antiqua" w:cs="Times New Roman"/>
          <w:color w:val="000000" w:themeColor="text1"/>
          <w:lang w:val="en-US"/>
        </w:rPr>
        <w:t>these disorders</w:t>
      </w:r>
      <w:r w:rsidR="00E47849" w:rsidRPr="00425573">
        <w:rPr>
          <w:rFonts w:ascii="Book Antiqua" w:hAnsi="Book Antiqua" w:cs="Times New Roman"/>
          <w:color w:val="000000" w:themeColor="text1"/>
          <w:lang w:val="en-US"/>
        </w:rPr>
        <w:t xml:space="preserve"> could </w:t>
      </w:r>
      <w:r w:rsidR="003842BB" w:rsidRPr="00425573">
        <w:rPr>
          <w:rFonts w:ascii="Book Antiqua" w:hAnsi="Book Antiqua" w:cs="Times New Roman"/>
          <w:color w:val="000000" w:themeColor="text1"/>
          <w:lang w:val="en-US"/>
        </w:rPr>
        <w:t>be helpful for design</w:t>
      </w:r>
      <w:r w:rsidR="00915FD3" w:rsidRPr="00425573">
        <w:rPr>
          <w:rFonts w:ascii="Book Antiqua" w:hAnsi="Book Antiqua" w:cs="Times New Roman"/>
          <w:color w:val="000000" w:themeColor="text1"/>
          <w:lang w:val="en-US"/>
        </w:rPr>
        <w:t>ing</w:t>
      </w:r>
      <w:r w:rsidR="00300D1B" w:rsidRPr="00425573">
        <w:rPr>
          <w:rFonts w:ascii="Book Antiqua" w:hAnsi="Book Antiqua" w:cs="Times New Roman"/>
          <w:color w:val="000000" w:themeColor="text1"/>
          <w:lang w:val="en-US"/>
        </w:rPr>
        <w:t xml:space="preserve"> </w:t>
      </w:r>
      <w:r w:rsidR="00E47849" w:rsidRPr="00425573">
        <w:rPr>
          <w:rFonts w:ascii="Book Antiqua" w:hAnsi="Book Antiqua" w:cs="Times New Roman"/>
          <w:color w:val="000000" w:themeColor="text1"/>
          <w:lang w:val="en-US"/>
        </w:rPr>
        <w:t xml:space="preserve">innovative </w:t>
      </w:r>
      <w:r w:rsidR="006006BA" w:rsidRPr="00425573">
        <w:rPr>
          <w:rFonts w:ascii="Book Antiqua" w:hAnsi="Book Antiqua" w:cs="Times New Roman"/>
          <w:color w:val="000000" w:themeColor="text1"/>
          <w:lang w:val="en-US"/>
        </w:rPr>
        <w:t>class of drugs (</w:t>
      </w:r>
      <w:r w:rsidR="00E47849" w:rsidRPr="00425573">
        <w:rPr>
          <w:rFonts w:ascii="Book Antiqua" w:hAnsi="Book Antiqua" w:cs="Times New Roman"/>
          <w:color w:val="000000" w:themeColor="text1"/>
          <w:lang w:val="en-US"/>
        </w:rPr>
        <w:t>epidrugs</w:t>
      </w:r>
      <w:r w:rsidR="006006BA" w:rsidRPr="00425573">
        <w:rPr>
          <w:rFonts w:ascii="Book Antiqua" w:hAnsi="Book Antiqua" w:cs="Times New Roman"/>
          <w:color w:val="000000" w:themeColor="text1"/>
          <w:lang w:val="en-US"/>
        </w:rPr>
        <w:t>)</w:t>
      </w:r>
      <w:r w:rsidR="003842BB" w:rsidRPr="00425573">
        <w:rPr>
          <w:rFonts w:ascii="Book Antiqua" w:hAnsi="Book Antiqua" w:cs="Times New Roman"/>
          <w:color w:val="000000" w:themeColor="text1"/>
          <w:lang w:val="en-US"/>
        </w:rPr>
        <w:t>.</w:t>
      </w:r>
    </w:p>
    <w:p w14:paraId="238AF622" w14:textId="77777777" w:rsidR="00892BC5" w:rsidRPr="00425573" w:rsidRDefault="00892BC5" w:rsidP="00CC10A4">
      <w:pPr>
        <w:snapToGrid w:val="0"/>
        <w:spacing w:line="360" w:lineRule="auto"/>
        <w:jc w:val="both"/>
        <w:rPr>
          <w:rFonts w:ascii="Book Antiqua" w:hAnsi="Book Antiqua" w:cs="Times New Roman"/>
          <w:color w:val="000000" w:themeColor="text1"/>
          <w:lang w:val="en-US"/>
        </w:rPr>
      </w:pPr>
    </w:p>
    <w:p w14:paraId="1B628CB6" w14:textId="77D69CBD" w:rsidR="00E25941" w:rsidRPr="00425573" w:rsidRDefault="00A11C90" w:rsidP="00CC10A4">
      <w:pPr>
        <w:snapToGrid w:val="0"/>
        <w:spacing w:line="360" w:lineRule="auto"/>
        <w:jc w:val="both"/>
        <w:outlineLvl w:val="0"/>
        <w:rPr>
          <w:rFonts w:ascii="Book Antiqua" w:hAnsi="Book Antiqua" w:cs="Times New Roman"/>
          <w:b/>
          <w:color w:val="000000" w:themeColor="text1"/>
          <w:u w:val="single"/>
          <w:lang w:val="en-US"/>
        </w:rPr>
      </w:pPr>
      <w:r w:rsidRPr="00425573">
        <w:rPr>
          <w:rFonts w:ascii="Book Antiqua" w:hAnsi="Book Antiqua" w:cs="Times New Roman"/>
          <w:b/>
          <w:color w:val="000000" w:themeColor="text1"/>
          <w:u w:val="single"/>
          <w:lang w:val="en-US"/>
        </w:rPr>
        <w:t>CONCLUSION</w:t>
      </w:r>
    </w:p>
    <w:p w14:paraId="0A3E3E6F" w14:textId="4D2D1B3D" w:rsidR="00C41B80" w:rsidRPr="00425573" w:rsidRDefault="007E3AFE" w:rsidP="00CC10A4">
      <w:pPr>
        <w:snapToGrid w:val="0"/>
        <w:spacing w:line="360" w:lineRule="auto"/>
        <w:jc w:val="both"/>
        <w:rPr>
          <w:rFonts w:ascii="Book Antiqua" w:hAnsi="Book Antiqua"/>
          <w:lang w:val="en-US"/>
        </w:rPr>
      </w:pPr>
      <w:r w:rsidRPr="00425573">
        <w:rPr>
          <w:rFonts w:ascii="Book Antiqua" w:hAnsi="Book Antiqua" w:cs="Times New Roman"/>
          <w:color w:val="000000" w:themeColor="text1"/>
          <w:lang w:val="en-US"/>
        </w:rPr>
        <w:t>A growing body of evidence suggests</w:t>
      </w:r>
      <w:r w:rsidR="00915FD3" w:rsidRPr="00425573">
        <w:rPr>
          <w:rFonts w:ascii="Book Antiqua" w:hAnsi="Book Antiqua" w:cs="Times New Roman"/>
          <w:color w:val="000000" w:themeColor="text1"/>
          <w:lang w:val="en-US"/>
        </w:rPr>
        <w:t xml:space="preserve"> the existence of multilevel networks of pathogenetic pathways</w:t>
      </w:r>
      <w:r w:rsidRPr="00425573">
        <w:rPr>
          <w:rFonts w:ascii="Book Antiqua" w:hAnsi="Book Antiqua" w:cs="Times New Roman"/>
          <w:color w:val="000000" w:themeColor="text1"/>
          <w:lang w:val="en-US"/>
        </w:rPr>
        <w:t xml:space="preserve"> </w:t>
      </w:r>
      <w:r w:rsidR="00915FD3" w:rsidRPr="00425573">
        <w:rPr>
          <w:rFonts w:ascii="Book Antiqua" w:hAnsi="Book Antiqua" w:cs="Times New Roman"/>
          <w:color w:val="000000" w:themeColor="text1"/>
          <w:lang w:val="en-US"/>
        </w:rPr>
        <w:t xml:space="preserve">which mutually </w:t>
      </w:r>
      <w:r w:rsidR="008226B2" w:rsidRPr="00425573">
        <w:rPr>
          <w:rFonts w:ascii="Book Antiqua" w:hAnsi="Book Antiqua" w:cs="Times New Roman"/>
          <w:color w:val="000000" w:themeColor="text1"/>
          <w:lang w:val="en-US"/>
        </w:rPr>
        <w:t>contribute to</w:t>
      </w:r>
      <w:r w:rsidR="00915FD3" w:rsidRPr="00425573">
        <w:rPr>
          <w:rFonts w:ascii="Book Antiqua" w:hAnsi="Book Antiqua" w:cs="Times New Roman"/>
          <w:color w:val="000000" w:themeColor="text1"/>
          <w:lang w:val="en-US"/>
        </w:rPr>
        <w:t xml:space="preserve"> the onset and progression of</w:t>
      </w:r>
      <w:r w:rsidRPr="00425573">
        <w:rPr>
          <w:rFonts w:ascii="Book Antiqua" w:hAnsi="Book Antiqua" w:cs="Times New Roman"/>
          <w:color w:val="000000" w:themeColor="text1"/>
          <w:lang w:val="en-US"/>
        </w:rPr>
        <w:t xml:space="preserve"> metabolic</w:t>
      </w:r>
      <w:r w:rsidR="008226B2" w:rsidRPr="00425573">
        <w:rPr>
          <w:rFonts w:ascii="Book Antiqua" w:hAnsi="Book Antiqua" w:cs="Times New Roman"/>
          <w:color w:val="000000" w:themeColor="text1"/>
          <w:lang w:val="en-US"/>
        </w:rPr>
        <w:t xml:space="preserve">, </w:t>
      </w:r>
      <w:r w:rsidR="00915FD3" w:rsidRPr="00425573">
        <w:rPr>
          <w:rFonts w:ascii="Book Antiqua" w:hAnsi="Book Antiqua" w:cs="Times New Roman"/>
          <w:color w:val="000000" w:themeColor="text1"/>
          <w:lang w:val="en-US"/>
        </w:rPr>
        <w:t>neurodegenerative</w:t>
      </w:r>
      <w:r w:rsidR="00892BC5" w:rsidRPr="00425573">
        <w:rPr>
          <w:rFonts w:ascii="Book Antiqua" w:hAnsi="Book Antiqua" w:cs="Times New Roman"/>
          <w:color w:val="000000" w:themeColor="text1"/>
          <w:lang w:val="en-US"/>
        </w:rPr>
        <w:t xml:space="preserve"> and movement</w:t>
      </w:r>
      <w:r w:rsidRPr="00425573">
        <w:rPr>
          <w:rFonts w:ascii="Book Antiqua" w:hAnsi="Book Antiqua" w:cs="Times New Roman"/>
          <w:color w:val="000000" w:themeColor="text1"/>
          <w:lang w:val="en-US"/>
        </w:rPr>
        <w:t xml:space="preserve"> disorders.</w:t>
      </w:r>
      <w:r w:rsidR="004265D6" w:rsidRPr="00425573">
        <w:rPr>
          <w:rFonts w:ascii="Book Antiqua" w:hAnsi="Book Antiqua" w:cs="Times New Roman"/>
          <w:color w:val="000000" w:themeColor="text1"/>
          <w:lang w:val="en-US"/>
        </w:rPr>
        <w:t xml:space="preserve"> However, </w:t>
      </w:r>
      <w:r w:rsidR="00055032" w:rsidRPr="00425573">
        <w:rPr>
          <w:rFonts w:ascii="Book Antiqua" w:hAnsi="Book Antiqua" w:cs="Times New Roman"/>
          <w:color w:val="000000" w:themeColor="text1"/>
          <w:lang w:val="en-US"/>
        </w:rPr>
        <w:t xml:space="preserve">few </w:t>
      </w:r>
      <w:r w:rsidR="00341475" w:rsidRPr="00425573">
        <w:rPr>
          <w:rFonts w:ascii="Book Antiqua" w:hAnsi="Book Antiqua" w:cs="Times New Roman"/>
          <w:color w:val="000000" w:themeColor="text1"/>
          <w:lang w:val="en-US"/>
        </w:rPr>
        <w:t xml:space="preserve">shared </w:t>
      </w:r>
      <w:r w:rsidR="004265D6" w:rsidRPr="00425573">
        <w:rPr>
          <w:rFonts w:ascii="Book Antiqua" w:hAnsi="Book Antiqua" w:cs="Times New Roman"/>
          <w:color w:val="000000" w:themeColor="text1"/>
          <w:lang w:val="en-US"/>
        </w:rPr>
        <w:t>genetic</w:t>
      </w:r>
      <w:r w:rsidR="00341475" w:rsidRPr="00425573">
        <w:rPr>
          <w:rFonts w:ascii="Book Antiqua" w:hAnsi="Book Antiqua" w:cs="Times New Roman"/>
          <w:color w:val="000000" w:themeColor="text1"/>
          <w:lang w:val="en-US"/>
        </w:rPr>
        <w:t xml:space="preserve"> contributors</w:t>
      </w:r>
      <w:r w:rsidR="00055032" w:rsidRPr="00425573">
        <w:rPr>
          <w:rFonts w:ascii="Book Antiqua" w:hAnsi="Book Antiqua" w:cs="Times New Roman"/>
          <w:color w:val="000000" w:themeColor="text1"/>
          <w:lang w:val="en-US"/>
        </w:rPr>
        <w:t xml:space="preserve"> have been well characterized and a common epigenetic landscape needs to be explored. Of note, i</w:t>
      </w:r>
      <w:r w:rsidR="00D3006D" w:rsidRPr="00425573">
        <w:rPr>
          <w:rFonts w:ascii="Book Antiqua" w:hAnsi="Book Antiqua" w:cs="Times New Roman"/>
          <w:color w:val="000000" w:themeColor="text1"/>
          <w:lang w:val="en-US"/>
        </w:rPr>
        <w:t xml:space="preserve">n </w:t>
      </w:r>
      <w:r w:rsidR="00FA7971" w:rsidRPr="00425573">
        <w:rPr>
          <w:rFonts w:ascii="Book Antiqua" w:hAnsi="Book Antiqua" w:cs="Times New Roman"/>
          <w:color w:val="000000" w:themeColor="text1"/>
          <w:lang w:val="en-US"/>
        </w:rPr>
        <w:t>T2D</w:t>
      </w:r>
      <w:r w:rsidR="008226B2" w:rsidRPr="00425573">
        <w:rPr>
          <w:rFonts w:ascii="Book Antiqua" w:hAnsi="Book Antiqua" w:cs="Times New Roman"/>
          <w:color w:val="000000" w:themeColor="text1"/>
          <w:lang w:val="en-US"/>
        </w:rPr>
        <w:t>,</w:t>
      </w:r>
      <w:r w:rsidR="00E07EDA" w:rsidRPr="00425573">
        <w:rPr>
          <w:rFonts w:ascii="Book Antiqua" w:hAnsi="Book Antiqua" w:cs="Times New Roman"/>
          <w:color w:val="000000" w:themeColor="text1"/>
          <w:lang w:val="en-US"/>
        </w:rPr>
        <w:t xml:space="preserve"> </w:t>
      </w:r>
      <w:r w:rsidR="00682700" w:rsidRPr="00425573">
        <w:rPr>
          <w:rFonts w:ascii="Book Antiqua" w:hAnsi="Book Antiqua" w:cs="Times New Roman"/>
          <w:color w:val="000000" w:themeColor="text1"/>
          <w:lang w:val="en-US"/>
        </w:rPr>
        <w:t>an impairment of</w:t>
      </w:r>
      <w:r w:rsidR="0015698B" w:rsidRPr="00425573">
        <w:rPr>
          <w:rFonts w:ascii="Book Antiqua" w:hAnsi="Book Antiqua" w:cs="Times New Roman"/>
          <w:color w:val="000000" w:themeColor="text1"/>
          <w:lang w:val="en-US"/>
        </w:rPr>
        <w:t xml:space="preserve"> glucose metabolism</w:t>
      </w:r>
      <w:r w:rsidR="00682700" w:rsidRPr="00425573">
        <w:rPr>
          <w:rFonts w:ascii="Book Antiqua" w:hAnsi="Book Antiqua" w:cs="Times New Roman"/>
          <w:color w:val="000000" w:themeColor="text1"/>
          <w:lang w:val="en-US"/>
        </w:rPr>
        <w:t xml:space="preserve"> </w:t>
      </w:r>
      <w:r w:rsidR="00623BB1" w:rsidRPr="00425573">
        <w:rPr>
          <w:rFonts w:ascii="Book Antiqua" w:hAnsi="Book Antiqua" w:cs="Times New Roman"/>
          <w:color w:val="000000" w:themeColor="text1"/>
          <w:lang w:val="en-US"/>
        </w:rPr>
        <w:t xml:space="preserve">in brain </w:t>
      </w:r>
      <w:r w:rsidR="00682700" w:rsidRPr="00425573">
        <w:rPr>
          <w:rFonts w:ascii="Book Antiqua" w:hAnsi="Book Antiqua" w:cs="Times New Roman"/>
          <w:color w:val="000000" w:themeColor="text1"/>
          <w:lang w:val="en-US"/>
        </w:rPr>
        <w:t>generates oxidative stress, lead</w:t>
      </w:r>
      <w:r w:rsidR="008226B2" w:rsidRPr="00425573">
        <w:rPr>
          <w:rFonts w:ascii="Book Antiqua" w:hAnsi="Book Antiqua" w:cs="Times New Roman"/>
          <w:color w:val="000000" w:themeColor="text1"/>
          <w:lang w:val="en-US"/>
        </w:rPr>
        <w:t>ing</w:t>
      </w:r>
      <w:r w:rsidR="00C64691" w:rsidRPr="00425573">
        <w:rPr>
          <w:rFonts w:ascii="Book Antiqua" w:hAnsi="Book Antiqua" w:cs="Times New Roman"/>
          <w:color w:val="000000" w:themeColor="text1"/>
          <w:lang w:val="en-US"/>
        </w:rPr>
        <w:t xml:space="preserve"> to</w:t>
      </w:r>
      <w:r w:rsidR="00491B39" w:rsidRPr="00425573">
        <w:rPr>
          <w:rFonts w:ascii="Book Antiqua" w:hAnsi="Book Antiqua" w:cs="Times New Roman"/>
          <w:color w:val="000000" w:themeColor="text1"/>
          <w:lang w:val="en-US"/>
        </w:rPr>
        <w:t xml:space="preserve"> the alteration of autophagy</w:t>
      </w:r>
      <w:r w:rsidR="00682700" w:rsidRPr="00425573">
        <w:rPr>
          <w:rFonts w:ascii="Book Antiqua" w:hAnsi="Book Antiqua" w:cs="Times New Roman"/>
          <w:color w:val="000000" w:themeColor="text1"/>
          <w:lang w:val="en-US"/>
        </w:rPr>
        <w:t>-related</w:t>
      </w:r>
      <w:r w:rsidR="00491B39" w:rsidRPr="00425573">
        <w:rPr>
          <w:rFonts w:ascii="Book Antiqua" w:hAnsi="Book Antiqua" w:cs="Times New Roman"/>
          <w:color w:val="000000" w:themeColor="text1"/>
          <w:lang w:val="en-US"/>
        </w:rPr>
        <w:t xml:space="preserve"> pathway</w:t>
      </w:r>
      <w:r w:rsidR="00E26633" w:rsidRPr="00425573">
        <w:rPr>
          <w:rFonts w:ascii="Book Antiqua" w:hAnsi="Book Antiqua" w:cs="Times New Roman"/>
          <w:color w:val="000000" w:themeColor="text1"/>
          <w:lang w:val="en-US"/>
        </w:rPr>
        <w:t xml:space="preserve">s, </w:t>
      </w:r>
      <w:r w:rsidR="00491B39" w:rsidRPr="00425573">
        <w:rPr>
          <w:rFonts w:ascii="Book Antiqua" w:hAnsi="Book Antiqua" w:cs="Times New Roman"/>
          <w:color w:val="000000" w:themeColor="text1"/>
          <w:lang w:val="en-US"/>
        </w:rPr>
        <w:t>mitochondrial dysfunction</w:t>
      </w:r>
      <w:r w:rsidR="008226B2" w:rsidRPr="00425573">
        <w:rPr>
          <w:rFonts w:ascii="Book Antiqua" w:hAnsi="Book Antiqua" w:cs="Times New Roman"/>
          <w:color w:val="000000" w:themeColor="text1"/>
          <w:lang w:val="en-US"/>
        </w:rPr>
        <w:t xml:space="preserve">, </w:t>
      </w:r>
      <w:r w:rsidR="00E71A49" w:rsidRPr="00425573">
        <w:rPr>
          <w:rFonts w:ascii="Book Antiqua" w:hAnsi="Book Antiqua" w:cs="Times New Roman"/>
          <w:color w:val="000000" w:themeColor="text1"/>
          <w:lang w:val="en-US"/>
        </w:rPr>
        <w:t>increased neuronal apoptosis</w:t>
      </w:r>
      <w:r w:rsidR="008226B2" w:rsidRPr="00425573">
        <w:rPr>
          <w:rFonts w:ascii="Book Antiqua" w:hAnsi="Book Antiqua" w:cs="Times New Roman"/>
          <w:color w:val="000000" w:themeColor="text1"/>
          <w:lang w:val="en-US"/>
        </w:rPr>
        <w:t xml:space="preserve"> and, eventually,</w:t>
      </w:r>
      <w:r w:rsidR="00E71A49" w:rsidRPr="00425573">
        <w:rPr>
          <w:rFonts w:ascii="Book Antiqua" w:hAnsi="Book Antiqua" w:cs="Times New Roman"/>
          <w:color w:val="000000" w:themeColor="text1"/>
          <w:lang w:val="en-US"/>
        </w:rPr>
        <w:t xml:space="preserve"> depletion of syn</w:t>
      </w:r>
      <w:r w:rsidR="00F527BF" w:rsidRPr="00425573">
        <w:rPr>
          <w:rFonts w:ascii="Book Antiqua" w:hAnsi="Book Antiqua" w:cs="Times New Roman"/>
          <w:color w:val="000000" w:themeColor="text1"/>
          <w:lang w:val="en-US"/>
        </w:rPr>
        <w:t>apsis</w:t>
      </w:r>
      <w:r w:rsidR="0076082E" w:rsidRPr="00425573">
        <w:rPr>
          <w:rFonts w:ascii="Book Antiqua" w:hAnsi="Book Antiqua" w:cs="Times New Roman"/>
          <w:color w:val="000000" w:themeColor="text1"/>
          <w:lang w:val="en-US"/>
        </w:rPr>
        <w:fldChar w:fldCharType="begin"/>
      </w:r>
      <w:r w:rsidR="00C04A01" w:rsidRPr="00425573">
        <w:rPr>
          <w:rFonts w:ascii="Book Antiqua" w:hAnsi="Book Antiqua" w:cs="Times New Roman"/>
          <w:color w:val="000000" w:themeColor="text1"/>
          <w:lang w:val="en-US"/>
        </w:rPr>
        <w:instrText xml:space="preserve"> ADDIN ZOTERO_ITEM CSL_CITATION {"citationID":"RzdqWQVG","properties":{"formattedCitation":"\\super [7]\\nosupersub{}","plainCitation":"[7]","noteIndex":0},"citationItems":[{"id":9,"uris":["http://zotero.org/groups/2394923/items/S2DK92PF"],"uri":["http://zotero.org/groups/2394923/items/S2DK92PF"],"itemData":{"id":9,"type":"article-journal","abstract":"Alzheimer’s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C04A01" w:rsidRPr="00425573">
        <w:rPr>
          <w:rFonts w:ascii="Book Antiqua" w:hAnsi="Book Antiqua" w:cs="Times New Roman"/>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C04A01" w:rsidRPr="00425573">
        <w:rPr>
          <w:rFonts w:ascii="Book Antiqua" w:hAnsi="Book Antiqua" w:cs="Times New Roman"/>
          <w:color w:val="000000" w:themeColor="text1"/>
          <w:lang w:val="en-US"/>
        </w:rPr>
        <w:instrText> and tau pathologies and elucidated the pathophysiological traits of synaptic dysfunction, inflammation and autophagic impairments that are common to both diseases and indirectly impact A</w:instrText>
      </w:r>
      <w:r w:rsidR="00C04A01" w:rsidRPr="00425573">
        <w:rPr>
          <w:rFonts w:ascii="Book Antiqua" w:hAnsi="Book Antiqua" w:cs="Times New Roman"/>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871974" w:rsidRPr="00425573">
        <w:rPr>
          <w:rFonts w:ascii="Book Antiqua" w:hAnsi="Book Antiqua"/>
          <w:vertAlign w:val="superscript"/>
          <w:lang w:val="en-US"/>
        </w:rPr>
        <w:t>[7]</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 xml:space="preserve">. </w:t>
      </w:r>
      <w:r w:rsidR="005D7A3C" w:rsidRPr="00425573">
        <w:rPr>
          <w:rFonts w:ascii="Book Antiqua" w:hAnsi="Book Antiqua" w:cs="Times New Roman"/>
          <w:color w:val="000000" w:themeColor="text1"/>
          <w:lang w:val="en-US"/>
        </w:rPr>
        <w:t>Overall, these alterations</w:t>
      </w:r>
      <w:r w:rsidR="006E62BA" w:rsidRPr="00425573">
        <w:rPr>
          <w:rFonts w:ascii="Book Antiqua" w:hAnsi="Book Antiqua" w:cs="Times New Roman"/>
          <w:color w:val="000000" w:themeColor="text1"/>
          <w:lang w:val="en-US"/>
        </w:rPr>
        <w:t xml:space="preserve"> contribute to</w:t>
      </w:r>
      <w:r w:rsidR="004E296A" w:rsidRPr="00425573">
        <w:rPr>
          <w:rFonts w:ascii="Book Antiqua" w:hAnsi="Book Antiqua" w:cs="Times New Roman"/>
          <w:color w:val="000000" w:themeColor="text1"/>
          <w:lang w:val="en-US"/>
        </w:rPr>
        <w:t xml:space="preserve"> </w:t>
      </w:r>
      <w:r w:rsidR="003226DE" w:rsidRPr="00425573">
        <w:rPr>
          <w:rFonts w:ascii="Book Antiqua" w:hAnsi="Book Antiqua" w:cs="Times New Roman"/>
          <w:color w:val="000000" w:themeColor="text1"/>
          <w:lang w:val="en-US"/>
        </w:rPr>
        <w:t xml:space="preserve">the formation of </w:t>
      </w:r>
      <w:r w:rsidR="004E296A" w:rsidRPr="00425573">
        <w:rPr>
          <w:rFonts w:ascii="Book Antiqua" w:hAnsi="Book Antiqua" w:cs="Times New Roman"/>
          <w:color w:val="000000" w:themeColor="text1"/>
          <w:lang w:val="en-US"/>
        </w:rPr>
        <w:t>amyloid plaques and neurofibrillary tangles</w:t>
      </w:r>
      <w:r w:rsidR="005D7A3C" w:rsidRPr="00425573">
        <w:rPr>
          <w:rFonts w:ascii="Book Antiqua" w:hAnsi="Book Antiqua" w:cs="Times New Roman"/>
          <w:color w:val="000000" w:themeColor="text1"/>
          <w:lang w:val="en-US"/>
        </w:rPr>
        <w:t xml:space="preserve"> </w:t>
      </w:r>
      <w:r w:rsidR="004E296A" w:rsidRPr="00425573">
        <w:rPr>
          <w:rFonts w:ascii="Book Antiqua" w:hAnsi="Book Antiqua" w:cs="Times New Roman"/>
          <w:color w:val="000000" w:themeColor="text1"/>
          <w:lang w:val="en-US"/>
        </w:rPr>
        <w:t>in AD</w:t>
      </w:r>
      <w:r w:rsidR="00865DCD" w:rsidRPr="00425573">
        <w:rPr>
          <w:rFonts w:ascii="Book Antiqua" w:hAnsi="Book Antiqua" w:cs="Times New Roman"/>
          <w:color w:val="000000" w:themeColor="text1"/>
          <w:lang w:val="en-US"/>
        </w:rPr>
        <w:t xml:space="preserve"> and</w:t>
      </w:r>
      <w:r w:rsidR="004719DE" w:rsidRPr="00425573">
        <w:rPr>
          <w:rFonts w:ascii="Book Antiqua" w:hAnsi="Book Antiqua" w:cs="Times New Roman"/>
          <w:color w:val="000000" w:themeColor="text1"/>
          <w:lang w:val="en-US"/>
        </w:rPr>
        <w:t xml:space="preserve"> </w:t>
      </w:r>
      <w:r w:rsidR="008226B2" w:rsidRPr="00425573">
        <w:rPr>
          <w:rFonts w:ascii="Book Antiqua" w:hAnsi="Book Antiqua" w:cs="Times New Roman"/>
          <w:color w:val="000000" w:themeColor="text1"/>
          <w:lang w:val="en-US"/>
        </w:rPr>
        <w:t>to</w:t>
      </w:r>
      <w:r w:rsidR="004E296A" w:rsidRPr="00425573">
        <w:rPr>
          <w:rFonts w:ascii="Book Antiqua" w:hAnsi="Book Antiqua" w:cs="Times New Roman"/>
          <w:color w:val="000000" w:themeColor="text1"/>
          <w:lang w:val="en-US"/>
        </w:rPr>
        <w:t xml:space="preserve"> </w:t>
      </w:r>
      <w:r w:rsidR="005D7A3C" w:rsidRPr="00425573">
        <w:rPr>
          <w:rFonts w:ascii="Book Antiqua" w:hAnsi="Book Antiqua" w:cs="Times New Roman"/>
          <w:color w:val="000000" w:themeColor="text1"/>
          <w:lang w:val="en-US"/>
        </w:rPr>
        <w:t>t</w:t>
      </w:r>
      <w:r w:rsidR="00A0305B" w:rsidRPr="00425573">
        <w:rPr>
          <w:rFonts w:ascii="Book Antiqua" w:hAnsi="Book Antiqua" w:cs="Times New Roman"/>
          <w:color w:val="000000" w:themeColor="text1"/>
          <w:lang w:val="en-US"/>
        </w:rPr>
        <w:t>he</w:t>
      </w:r>
      <w:r w:rsidR="00AD30E1" w:rsidRPr="00425573">
        <w:rPr>
          <w:rFonts w:ascii="Book Antiqua" w:hAnsi="Book Antiqua" w:cs="Times New Roman"/>
          <w:color w:val="000000" w:themeColor="text1"/>
          <w:lang w:val="en-US"/>
        </w:rPr>
        <w:t xml:space="preserve"> deterioration of dopaminergic neurons</w:t>
      </w:r>
      <w:r w:rsidR="005D7A3C" w:rsidRPr="00425573">
        <w:rPr>
          <w:rFonts w:ascii="Book Antiqua" w:hAnsi="Book Antiqua" w:cs="Times New Roman"/>
          <w:color w:val="000000" w:themeColor="text1"/>
          <w:lang w:val="en-US"/>
        </w:rPr>
        <w:t xml:space="preserve"> in different brain regions</w:t>
      </w:r>
      <w:r w:rsidR="008226B2" w:rsidRPr="00425573">
        <w:rPr>
          <w:rFonts w:ascii="Book Antiqua" w:hAnsi="Book Antiqua" w:cs="Times New Roman"/>
          <w:color w:val="000000" w:themeColor="text1"/>
          <w:lang w:val="en-US"/>
        </w:rPr>
        <w:t xml:space="preserve"> in</w:t>
      </w:r>
      <w:r w:rsidR="00625996" w:rsidRPr="00425573">
        <w:rPr>
          <w:rFonts w:ascii="Book Antiqua" w:hAnsi="Book Antiqua" w:cs="Times New Roman"/>
          <w:color w:val="000000" w:themeColor="text1"/>
          <w:lang w:val="en-US"/>
        </w:rPr>
        <w:t xml:space="preserve"> PD</w:t>
      </w:r>
      <w:r w:rsidR="0076082E" w:rsidRPr="00425573">
        <w:rPr>
          <w:rFonts w:ascii="Book Antiqua" w:hAnsi="Book Antiqua" w:cs="Times New Roman"/>
          <w:color w:val="000000" w:themeColor="text1"/>
          <w:lang w:val="en-US"/>
        </w:rPr>
        <w:fldChar w:fldCharType="begin"/>
      </w:r>
      <w:r w:rsidR="00C04A01" w:rsidRPr="00425573">
        <w:rPr>
          <w:rFonts w:ascii="Book Antiqua" w:hAnsi="Book Antiqua" w:cs="Times New Roman"/>
          <w:color w:val="000000" w:themeColor="text1"/>
          <w:lang w:val="en-US"/>
        </w:rPr>
        <w:instrText xml:space="preserve"> ADDIN ZOTERO_ITEM CSL_CITATION {"citationID":"110g6xBM","properties":{"formattedCitation":"\\super [1]\\nosupersub{}","plainCitation":"[1]","noteIndex":0},"citationItems":[{"id":50,"uris":["http://zotero.org/groups/2394923/items/ZYE26X5I"],"uri":["http://zotero.org/groups/2394923/items/ZYE26X5I"],"itemData":{"id":50,"type":"article-journal","abstract":"The advances in medicine, together with lifestyle modifications, led to a rising life expectancy. Unfortunately, however, aging is accompanied by an alarming boost of age-associated chronic pathologies, including neurodegenerative and metabolic diseases. Interestingly, a non-negligible interplay between alterations of glucose homeostasis and brain dysfunction has clearly emerged. In particular, epidemiological studies have pointed out a possible association between Type 2 Diabetes (T2D) and Parkinson's Disease (PD). Insulin resistance, one of the major hallmark for etiology of T2D, has a detrimental influence on PD, negatively affecting PD phenotype, accelerating its progression and worsening cognitive impairment. This review aims to provide an exhaustive analysis of the most recent evidences supporting the key role of insulin resistance in PD pathogenesis. It will focus on the relevance of insulin in the brain, working as pro-survival neurotrophic factor and as a master regulator of neuronal mitochondrial function and oxidative stress. Insulin action as a modulator of dopamine signaling and of alpha-synuclein degradation will be described in details, too. The intriguing idea that shared deregulated pathogenic pathways represent a link between PD and insulin resistance has clinical and therapeutic implications. Thus, ongoing studies about the promising healing potential of common antidiabetic drugs such as metformin, exenatide, DPP IV inhibitors, thiazolidinediones and bromocriptine, will be summarized and the rationale for their use to decelerate neurodegeneration will be critically assessed.","container-title":"Frontiers in Neuroscience","DOI":"10.3389/fnins.2019.00868","ISSN":"1662-4548","journalAbbreviation":"Front Neurosci","language":"eng","note":"PMID: 31474827\nPMCID: PMC6706784","page":"868","source":"PubMed","title":"The Relevance of Insulin Action in the Dopaminergic System","volume":"13","author":[{"family":"Fiory","given":"Francesca"},{"family":"Perruolo","given":"Giuseppe"},{"family":"Cimmino","given":"Ilaria"},{"family":"Cabaro","given":"Serena"},{"family":"Pignalosa","given":"Francesca Chiara"},{"family":"Miele","given":"Claudia"},{"family":"Beguinot","given":"Francesco"},{"family":"Formisano","given":"Pietro"},{"family":"Oriente","given":"Francesco"}],"issued":{"date-parts":[["2019"]]}}}],"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5B4F75" w:rsidRPr="00425573">
        <w:rPr>
          <w:rFonts w:ascii="Book Antiqua" w:hAnsi="Book Antiqua" w:cs="Times New Roman"/>
          <w:vertAlign w:val="superscript"/>
          <w:lang w:val="en-US"/>
        </w:rPr>
        <w:t>[1]</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w:t>
      </w:r>
      <w:r w:rsidR="004E296A" w:rsidRPr="00425573">
        <w:rPr>
          <w:rFonts w:ascii="Book Antiqua" w:hAnsi="Book Antiqua" w:cs="Times New Roman"/>
          <w:color w:val="000000" w:themeColor="text1"/>
          <w:lang w:val="en-US"/>
        </w:rPr>
        <w:t xml:space="preserve"> </w:t>
      </w:r>
      <w:r w:rsidR="006C190E" w:rsidRPr="00425573">
        <w:rPr>
          <w:rFonts w:ascii="Book Antiqua" w:hAnsi="Book Antiqua" w:cs="Times New Roman"/>
          <w:color w:val="000000" w:themeColor="text1"/>
          <w:lang w:val="en-US"/>
        </w:rPr>
        <w:t>As mentioned, d</w:t>
      </w:r>
      <w:r w:rsidR="00D875B9" w:rsidRPr="00425573">
        <w:rPr>
          <w:rFonts w:ascii="Book Antiqua" w:hAnsi="Book Antiqua" w:cs="Times New Roman"/>
          <w:color w:val="000000" w:themeColor="text1"/>
          <w:lang w:val="en-US"/>
        </w:rPr>
        <w:t xml:space="preserve">espite a plethora of </w:t>
      </w:r>
      <w:r w:rsidR="008226B2" w:rsidRPr="00425573">
        <w:rPr>
          <w:rFonts w:ascii="Book Antiqua" w:hAnsi="Book Antiqua" w:cs="Times New Roman"/>
          <w:color w:val="000000" w:themeColor="text1"/>
          <w:lang w:val="en-US"/>
        </w:rPr>
        <w:t>data highlight</w:t>
      </w:r>
      <w:r w:rsidR="003226DE" w:rsidRPr="00425573">
        <w:rPr>
          <w:rFonts w:ascii="Book Antiqua" w:hAnsi="Book Antiqua" w:cs="Times New Roman"/>
          <w:color w:val="000000" w:themeColor="text1"/>
          <w:lang w:val="en-US"/>
        </w:rPr>
        <w:t>ing</w:t>
      </w:r>
      <w:r w:rsidR="008226B2" w:rsidRPr="00425573">
        <w:rPr>
          <w:rFonts w:ascii="Book Antiqua" w:hAnsi="Book Antiqua" w:cs="Times New Roman"/>
          <w:color w:val="000000" w:themeColor="text1"/>
          <w:lang w:val="en-US"/>
        </w:rPr>
        <w:t xml:space="preserve"> a possible overlapping of disease mechanisms involved in T2D, AD and PD</w:t>
      </w:r>
      <w:r w:rsidR="007C1AA1" w:rsidRPr="00425573">
        <w:rPr>
          <w:rFonts w:ascii="Book Antiqua" w:hAnsi="Book Antiqua" w:cs="Times New Roman"/>
          <w:color w:val="000000" w:themeColor="text1"/>
          <w:lang w:val="en-US"/>
        </w:rPr>
        <w:t>,</w:t>
      </w:r>
      <w:r w:rsidR="008226B2" w:rsidRPr="00425573">
        <w:rPr>
          <w:rFonts w:ascii="Book Antiqua" w:hAnsi="Book Antiqua" w:cs="Times New Roman"/>
          <w:color w:val="000000" w:themeColor="text1"/>
          <w:lang w:val="en-US"/>
        </w:rPr>
        <w:t xml:space="preserve"> the critical </w:t>
      </w:r>
      <w:r w:rsidR="00623BB1" w:rsidRPr="00425573">
        <w:rPr>
          <w:rFonts w:ascii="Book Antiqua" w:hAnsi="Book Antiqua" w:cs="Times New Roman"/>
          <w:color w:val="000000" w:themeColor="text1"/>
          <w:lang w:val="en-US"/>
        </w:rPr>
        <w:t xml:space="preserve">molecular and genetic </w:t>
      </w:r>
      <w:r w:rsidR="008226B2" w:rsidRPr="00425573">
        <w:rPr>
          <w:rFonts w:ascii="Book Antiqua" w:hAnsi="Book Antiqua" w:cs="Times New Roman"/>
          <w:color w:val="000000" w:themeColor="text1"/>
          <w:lang w:val="en-US"/>
        </w:rPr>
        <w:t xml:space="preserve">features </w:t>
      </w:r>
      <w:r w:rsidR="003226DE" w:rsidRPr="00425573">
        <w:rPr>
          <w:rFonts w:ascii="Book Antiqua" w:hAnsi="Book Antiqua" w:cs="Times New Roman"/>
          <w:color w:val="000000" w:themeColor="text1"/>
          <w:lang w:val="en-US"/>
        </w:rPr>
        <w:t xml:space="preserve">remain </w:t>
      </w:r>
      <w:r w:rsidR="007C1AA1" w:rsidRPr="00425573">
        <w:rPr>
          <w:rFonts w:ascii="Book Antiqua" w:hAnsi="Book Antiqua" w:cs="Times New Roman"/>
          <w:color w:val="000000" w:themeColor="text1"/>
          <w:lang w:val="en-US"/>
        </w:rPr>
        <w:t>to be clarified</w:t>
      </w:r>
      <w:r w:rsidR="00623BB1" w:rsidRPr="00425573">
        <w:rPr>
          <w:rFonts w:ascii="Book Antiqua" w:hAnsi="Book Antiqua" w:cs="Times New Roman"/>
          <w:color w:val="000000" w:themeColor="text1"/>
          <w:lang w:val="en-US"/>
        </w:rPr>
        <w:t>.</w:t>
      </w:r>
      <w:r w:rsidR="00300D1B" w:rsidRPr="00425573">
        <w:rPr>
          <w:rFonts w:ascii="Book Antiqua" w:hAnsi="Book Antiqua" w:cs="Times New Roman"/>
          <w:color w:val="000000" w:themeColor="text1"/>
          <w:lang w:val="en-US"/>
        </w:rPr>
        <w:t xml:space="preserve"> </w:t>
      </w:r>
      <w:r w:rsidR="006314BB" w:rsidRPr="00425573">
        <w:rPr>
          <w:rFonts w:ascii="Book Antiqua" w:hAnsi="Book Antiqua" w:cs="Times New Roman"/>
          <w:color w:val="000000" w:themeColor="text1"/>
          <w:lang w:val="en-US"/>
        </w:rPr>
        <w:t>The</w:t>
      </w:r>
      <w:r w:rsidR="006314BB" w:rsidRPr="00425573">
        <w:rPr>
          <w:rFonts w:ascii="Book Antiqua" w:hAnsi="Book Antiqua"/>
          <w:lang w:val="en-US"/>
        </w:rPr>
        <w:t xml:space="preserve"> genetic </w:t>
      </w:r>
      <w:r w:rsidR="007C1AA1" w:rsidRPr="00425573">
        <w:rPr>
          <w:rFonts w:ascii="Book Antiqua" w:hAnsi="Book Antiqua"/>
          <w:lang w:val="en-US"/>
        </w:rPr>
        <w:t>polymorphisms</w:t>
      </w:r>
      <w:r w:rsidR="00B51301" w:rsidRPr="00425573">
        <w:rPr>
          <w:rFonts w:ascii="Book Antiqua" w:hAnsi="Book Antiqua"/>
          <w:lang w:val="en-US"/>
        </w:rPr>
        <w:t xml:space="preserve"> (Table 1)</w:t>
      </w:r>
      <w:r w:rsidR="006314BB" w:rsidRPr="00425573">
        <w:rPr>
          <w:rFonts w:ascii="Book Antiqua" w:hAnsi="Book Antiqua"/>
          <w:lang w:val="en-US"/>
        </w:rPr>
        <w:t xml:space="preserve"> </w:t>
      </w:r>
      <w:r w:rsidR="007C1AA1" w:rsidRPr="00425573">
        <w:rPr>
          <w:rFonts w:ascii="Book Antiqua" w:hAnsi="Book Antiqua"/>
          <w:lang w:val="en-US"/>
        </w:rPr>
        <w:t xml:space="preserve">shared with </w:t>
      </w:r>
      <w:r w:rsidR="007C1AA1" w:rsidRPr="00425573">
        <w:rPr>
          <w:rFonts w:ascii="Book Antiqua" w:hAnsi="Book Antiqua" w:cs="Times New Roman"/>
          <w:color w:val="000000" w:themeColor="text1"/>
          <w:lang w:val="en-US"/>
        </w:rPr>
        <w:t>T2D, AD and PD</w:t>
      </w:r>
      <w:r w:rsidR="007C1AA1" w:rsidRPr="00425573">
        <w:rPr>
          <w:rFonts w:ascii="Book Antiqua" w:hAnsi="Book Antiqua"/>
          <w:lang w:val="en-US"/>
        </w:rPr>
        <w:t xml:space="preserve"> </w:t>
      </w:r>
      <w:r w:rsidR="00FA14F7" w:rsidRPr="00425573">
        <w:rPr>
          <w:rFonts w:ascii="Book Antiqua" w:hAnsi="Book Antiqua"/>
          <w:lang w:val="en-US"/>
        </w:rPr>
        <w:t xml:space="preserve">are </w:t>
      </w:r>
      <w:r w:rsidR="006314BB" w:rsidRPr="00425573">
        <w:rPr>
          <w:rFonts w:ascii="Book Antiqua" w:hAnsi="Book Antiqua"/>
          <w:lang w:val="en-US"/>
        </w:rPr>
        <w:t xml:space="preserve">located within </w:t>
      </w:r>
      <w:r w:rsidR="00623BB1" w:rsidRPr="00425573">
        <w:rPr>
          <w:rFonts w:ascii="Book Antiqua" w:hAnsi="Book Antiqua"/>
          <w:lang w:val="en-US"/>
        </w:rPr>
        <w:t xml:space="preserve">genes </w:t>
      </w:r>
      <w:r w:rsidR="00FA14F7" w:rsidRPr="00425573">
        <w:rPr>
          <w:rFonts w:ascii="Book Antiqua" w:hAnsi="Book Antiqua"/>
          <w:lang w:val="en-US"/>
        </w:rPr>
        <w:t xml:space="preserve">involved </w:t>
      </w:r>
      <w:r w:rsidR="00B51301" w:rsidRPr="00425573">
        <w:rPr>
          <w:rFonts w:ascii="Book Antiqua" w:hAnsi="Book Antiqua"/>
          <w:lang w:val="en-US"/>
        </w:rPr>
        <w:t xml:space="preserve">not only </w:t>
      </w:r>
      <w:r w:rsidR="00FA14F7" w:rsidRPr="00425573">
        <w:rPr>
          <w:rFonts w:ascii="Book Antiqua" w:hAnsi="Book Antiqua"/>
          <w:lang w:val="en-US"/>
        </w:rPr>
        <w:t xml:space="preserve">in brain insulin </w:t>
      </w:r>
      <w:r w:rsidR="00B51301" w:rsidRPr="00425573">
        <w:rPr>
          <w:rFonts w:ascii="Book Antiqua" w:hAnsi="Book Antiqua"/>
          <w:lang w:val="en-US"/>
        </w:rPr>
        <w:t>signa</w:t>
      </w:r>
      <w:r w:rsidR="00710852" w:rsidRPr="00425573">
        <w:rPr>
          <w:rFonts w:ascii="Book Antiqua" w:hAnsi="Book Antiqua"/>
          <w:lang w:val="en-US"/>
        </w:rPr>
        <w:t>l</w:t>
      </w:r>
      <w:r w:rsidR="00B51301" w:rsidRPr="00425573">
        <w:rPr>
          <w:rFonts w:ascii="Book Antiqua" w:hAnsi="Book Antiqua"/>
          <w:lang w:val="en-US"/>
        </w:rPr>
        <w:t>ing</w:t>
      </w:r>
      <w:r w:rsidR="00FA14F7" w:rsidRPr="00425573">
        <w:rPr>
          <w:rFonts w:ascii="Book Antiqua" w:hAnsi="Book Antiqua"/>
          <w:lang w:val="en-US"/>
        </w:rPr>
        <w:t xml:space="preserve"> </w:t>
      </w:r>
      <w:r w:rsidR="00B51301" w:rsidRPr="00425573">
        <w:rPr>
          <w:rFonts w:ascii="Book Antiqua" w:hAnsi="Book Antiqua"/>
          <w:lang w:val="en-US"/>
        </w:rPr>
        <w:t xml:space="preserve">but also in </w:t>
      </w:r>
      <w:r w:rsidR="00FA14F7" w:rsidRPr="00425573">
        <w:rPr>
          <w:rFonts w:ascii="Book Antiqua" w:hAnsi="Book Antiqua"/>
          <w:lang w:val="en-US"/>
        </w:rPr>
        <w:t>neuroinflammation</w:t>
      </w:r>
      <w:r w:rsidR="00B51301" w:rsidRPr="00425573">
        <w:rPr>
          <w:rFonts w:ascii="Book Antiqua" w:hAnsi="Book Antiqua"/>
          <w:lang w:val="en-US"/>
        </w:rPr>
        <w:t xml:space="preserve">-related </w:t>
      </w:r>
      <w:r w:rsidR="007C1AA1" w:rsidRPr="00425573">
        <w:rPr>
          <w:rFonts w:ascii="Book Antiqua" w:hAnsi="Book Antiqua"/>
          <w:lang w:val="en-US"/>
        </w:rPr>
        <w:t>pathways</w:t>
      </w:r>
      <w:r w:rsidR="00E17493" w:rsidRPr="0002400A">
        <w:rPr>
          <w:rFonts w:ascii="Book Antiqua" w:hAnsi="Book Antiqua" w:cs="Times New Roman"/>
          <w:color w:val="000000" w:themeColor="text1"/>
          <w:vertAlign w:val="superscript"/>
          <w:lang w:val="en-US"/>
        </w:rPr>
        <w:t>[34-52]</w:t>
      </w:r>
      <w:r w:rsidR="00B51301" w:rsidRPr="0002400A">
        <w:rPr>
          <w:rFonts w:ascii="Book Antiqua" w:hAnsi="Book Antiqua"/>
          <w:lang w:val="en-US"/>
        </w:rPr>
        <w:t>.</w:t>
      </w:r>
      <w:r w:rsidR="00F03257" w:rsidRPr="0002400A">
        <w:rPr>
          <w:rFonts w:ascii="Book Antiqua" w:hAnsi="Book Antiqua"/>
          <w:lang w:val="en-US"/>
        </w:rPr>
        <w:t xml:space="preserve"> </w:t>
      </w:r>
      <w:r w:rsidR="004778C9" w:rsidRPr="00425573">
        <w:rPr>
          <w:rFonts w:ascii="Book Antiqua" w:hAnsi="Book Antiqua"/>
          <w:lang w:val="en-US"/>
        </w:rPr>
        <w:t>This evidence</w:t>
      </w:r>
      <w:r w:rsidR="00F91DA9" w:rsidRPr="00425573">
        <w:rPr>
          <w:rFonts w:ascii="Book Antiqua" w:hAnsi="Book Antiqua"/>
          <w:lang w:val="en-US"/>
        </w:rPr>
        <w:t xml:space="preserve"> is</w:t>
      </w:r>
      <w:r w:rsidR="004778C9" w:rsidRPr="00425573">
        <w:rPr>
          <w:rFonts w:ascii="Book Antiqua" w:hAnsi="Book Antiqua"/>
          <w:lang w:val="en-US"/>
        </w:rPr>
        <w:t xml:space="preserve"> also</w:t>
      </w:r>
      <w:r w:rsidR="00F91DA9" w:rsidRPr="00425573">
        <w:rPr>
          <w:rFonts w:ascii="Book Antiqua" w:hAnsi="Book Antiqua"/>
          <w:lang w:val="en-US"/>
        </w:rPr>
        <w:t xml:space="preserve"> corroborated by the</w:t>
      </w:r>
      <w:r w:rsidR="005B148C" w:rsidRPr="00425573">
        <w:rPr>
          <w:rFonts w:ascii="Book Antiqua" w:hAnsi="Book Antiqua"/>
          <w:lang w:val="en-US"/>
        </w:rPr>
        <w:t xml:space="preserve"> expression</w:t>
      </w:r>
      <w:r w:rsidR="00855087" w:rsidRPr="00425573">
        <w:rPr>
          <w:rFonts w:ascii="Book Antiqua" w:hAnsi="Book Antiqua"/>
          <w:lang w:val="en-US"/>
        </w:rPr>
        <w:t xml:space="preserve"> data </w:t>
      </w:r>
      <w:r w:rsidR="007C1AA1" w:rsidRPr="00425573">
        <w:rPr>
          <w:rFonts w:ascii="Book Antiqua" w:hAnsi="Book Antiqua"/>
          <w:lang w:val="en-US"/>
        </w:rPr>
        <w:t>obtained by the investigation of</w:t>
      </w:r>
      <w:r w:rsidR="008B221A" w:rsidRPr="00425573">
        <w:rPr>
          <w:rFonts w:ascii="Book Antiqua" w:hAnsi="Book Antiqua"/>
          <w:lang w:val="en-US"/>
        </w:rPr>
        <w:t xml:space="preserve"> human </w:t>
      </w:r>
      <w:r w:rsidR="007C1AA1" w:rsidRPr="00425573">
        <w:rPr>
          <w:rFonts w:ascii="Book Antiqua" w:hAnsi="Book Antiqua"/>
          <w:lang w:val="en-US"/>
        </w:rPr>
        <w:t>patients and animal model</w:t>
      </w:r>
      <w:r w:rsidR="003226DE" w:rsidRPr="00425573">
        <w:rPr>
          <w:rFonts w:ascii="Book Antiqua" w:hAnsi="Book Antiqua"/>
          <w:lang w:val="en-US"/>
        </w:rPr>
        <w:t>s</w:t>
      </w:r>
      <w:r w:rsidR="008B221A" w:rsidRPr="00425573">
        <w:rPr>
          <w:rFonts w:ascii="Book Antiqua" w:hAnsi="Book Antiqua"/>
          <w:lang w:val="en-US"/>
        </w:rPr>
        <w:t xml:space="preserve"> </w:t>
      </w:r>
      <w:r w:rsidR="007C1AA1" w:rsidRPr="00425573">
        <w:rPr>
          <w:rFonts w:ascii="Book Antiqua" w:hAnsi="Book Antiqua"/>
          <w:lang w:val="en-US"/>
        </w:rPr>
        <w:t>presenting these pathologies</w:t>
      </w:r>
      <w:r w:rsidR="001312C0"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{"citationID":"fYAFq9li","properties":{"formattedCitation":"\\super [57]\\nosupersub{}","plainCitation":"[57]","noteIndex":0},"citationItems":[{"id":150,"uris":["http://zotero.org/groups/2394923/items/3H45ABAT"],"uri":["http://zotero.org/groups/2394923/items/3H45ABAT"],"itemData":{"id":150,"type":"article-journal","abstract":"&lt;h3&gt;Abstract&lt;/h3&gt; &lt;p&gt;Neurological Diseases (NDs) are progressive disorder often advances with age and comorbidities of Type 2 diabetes (T2D). Epidemiological, clinical and neuropathological evidence advocate that patients with T2D are at an increased risk of getting NDs. However, it is very little known how T2D affects the risk and severity of NDs.&lt;/p&gt;&lt;p&gt;To tackle these problems, we employed a transcriptional analysis of affected tissues using agnostic approaches to identify overlapping cellular functions. In this study, we examined gene expression microarray human datasets along with control and disease-affected individuals. Differentially expressed genes (DEG) were identified for both T2D and NDs that includes Alzheimer Disease (AD), Parkinson Disease (PD), Amyotrophic Lateral Sclerosis (ALS), Epilepsy Disease (ED), Huntington Disease (HD), Cerebral Palsy (CP) and Multiple Sclerosis Disease (MSD).&lt;/p&gt;&lt;p&gt;We have developed genetic association and diseasome network of T2D and NDs based on the neighborhood-based benchmarking and multilayer network topology approaches. Overlapping DEG sets go through protein-protein interaction for hub protein identification and gene enrichment using pathway analysis and gene ontology methods that enhance our understanding of the fundamental molecular procedure of NDs progression.&lt;/p&gt;&lt;p&gt;Gene expression analysis platforms have been extensively used to investigate altered pathways and to identify potential biomarkers and drug targets. Finally, we validated our identified biomarkers using the gold benchmark datasets which identified the corresponding relationship of T2D and NDs. Therapeutic targets aimed at attenuating identified altered pathway could ameliorate neurological dysfunction in a T2D patient.&lt;/p&gt;","container-title":"bioRxiv","DOI":"10.1101/480400","language":"en","page":"480400","source":"www.biorxiv.org","title":"Genetic effect of type 2 Diabetes to the progression of Neurological Diseases","author":[{"family":"Rahman","given":"Md Habibur"},{"family":"Peng","given":"Silong"},{"family":"Chen","given":"Chen"},{"family":"Lio’","given":"Pietro"},{"family":"Moni","given":"Mohammad Ali"}],"issued":{"date-parts":[["2018",11,29]]}}}],"schema":"https://github.com/citation-style-language/schema/raw/master/csl-citation.json"} </w:instrText>
      </w:r>
      <w:r w:rsidR="001312C0" w:rsidRPr="00425573">
        <w:rPr>
          <w:rFonts w:ascii="Book Antiqua" w:hAnsi="Book Antiqua"/>
          <w:lang w:val="en-US"/>
        </w:rPr>
        <w:fldChar w:fldCharType="separate"/>
      </w:r>
      <w:r w:rsidR="00E80BAA" w:rsidRPr="00425573">
        <w:rPr>
          <w:rFonts w:ascii="Book Antiqua" w:hAnsi="Book Antiqua"/>
          <w:vertAlign w:val="superscript"/>
        </w:rPr>
        <w:t>[57]</w:t>
      </w:r>
      <w:r w:rsidR="001312C0" w:rsidRPr="00425573">
        <w:rPr>
          <w:rFonts w:ascii="Book Antiqua" w:hAnsi="Book Antiqua"/>
          <w:lang w:val="en-US"/>
        </w:rPr>
        <w:fldChar w:fldCharType="end"/>
      </w:r>
      <w:r w:rsidR="007C1AA1" w:rsidRPr="00425573">
        <w:rPr>
          <w:rFonts w:ascii="Book Antiqua" w:hAnsi="Book Antiqua"/>
          <w:lang w:val="en-US"/>
        </w:rPr>
        <w:t>.</w:t>
      </w:r>
    </w:p>
    <w:p w14:paraId="5E78EE91" w14:textId="0A5B5AFE" w:rsidR="005068A7" w:rsidRPr="00425573" w:rsidRDefault="006F0A34" w:rsidP="00083E5A">
      <w:pPr>
        <w:snapToGrid w:val="0"/>
        <w:spacing w:line="360" w:lineRule="auto"/>
        <w:ind w:firstLineChars="100" w:firstLine="240"/>
        <w:jc w:val="both"/>
        <w:rPr>
          <w:rFonts w:ascii="Book Antiqua" w:hAnsi="Book Antiqua"/>
          <w:color w:val="000000" w:themeColor="text1"/>
          <w:lang w:val="en-US"/>
        </w:rPr>
      </w:pPr>
      <w:r w:rsidRPr="00425573">
        <w:rPr>
          <w:rFonts w:ascii="Book Antiqua" w:hAnsi="Book Antiqua"/>
          <w:color w:val="000000" w:themeColor="text1"/>
          <w:lang w:val="en-US"/>
        </w:rPr>
        <w:t>U</w:t>
      </w:r>
      <w:r w:rsidR="00214094" w:rsidRPr="00425573">
        <w:rPr>
          <w:rFonts w:ascii="Book Antiqua" w:hAnsi="Book Antiqua"/>
          <w:color w:val="000000" w:themeColor="text1"/>
          <w:lang w:val="en-US"/>
        </w:rPr>
        <w:t>nderstanding the</w:t>
      </w:r>
      <w:r w:rsidR="00196913" w:rsidRPr="00425573">
        <w:rPr>
          <w:rFonts w:ascii="Book Antiqua" w:hAnsi="Book Antiqua"/>
          <w:color w:val="000000" w:themeColor="text1"/>
          <w:lang w:val="en-US"/>
        </w:rPr>
        <w:t xml:space="preserve"> contribution</w:t>
      </w:r>
      <w:r w:rsidR="00214094" w:rsidRPr="00425573">
        <w:rPr>
          <w:rFonts w:ascii="Book Antiqua" w:hAnsi="Book Antiqua"/>
          <w:color w:val="000000" w:themeColor="text1"/>
          <w:lang w:val="en-US"/>
        </w:rPr>
        <w:t xml:space="preserve"> of </w:t>
      </w:r>
      <w:r w:rsidR="00196913" w:rsidRPr="00425573">
        <w:rPr>
          <w:rFonts w:ascii="Book Antiqua" w:hAnsi="Book Antiqua"/>
          <w:color w:val="000000" w:themeColor="text1"/>
          <w:lang w:val="en-US"/>
        </w:rPr>
        <w:t>genetic</w:t>
      </w:r>
      <w:r w:rsidR="0027028A" w:rsidRPr="00425573">
        <w:rPr>
          <w:rFonts w:ascii="Book Antiqua" w:hAnsi="Book Antiqua"/>
          <w:color w:val="000000" w:themeColor="text1"/>
          <w:lang w:val="en-US"/>
        </w:rPr>
        <w:t>s</w:t>
      </w:r>
      <w:r w:rsidR="00196913" w:rsidRPr="00425573">
        <w:rPr>
          <w:rFonts w:ascii="Book Antiqua" w:hAnsi="Book Antiqua"/>
          <w:color w:val="000000" w:themeColor="text1"/>
          <w:lang w:val="en-US"/>
        </w:rPr>
        <w:t>, epigenetic</w:t>
      </w:r>
      <w:r w:rsidR="0027028A" w:rsidRPr="00425573">
        <w:rPr>
          <w:rFonts w:ascii="Book Antiqua" w:hAnsi="Book Antiqua"/>
          <w:color w:val="000000" w:themeColor="text1"/>
          <w:lang w:val="en-US"/>
        </w:rPr>
        <w:t>s</w:t>
      </w:r>
      <w:r w:rsidR="00196913" w:rsidRPr="00425573">
        <w:rPr>
          <w:rFonts w:ascii="Book Antiqua" w:hAnsi="Book Antiqua"/>
          <w:color w:val="000000" w:themeColor="text1"/>
          <w:lang w:val="en-US"/>
        </w:rPr>
        <w:t xml:space="preserve"> and environment </w:t>
      </w:r>
      <w:r w:rsidR="00EA16F8" w:rsidRPr="00425573">
        <w:rPr>
          <w:rFonts w:ascii="Book Antiqua" w:hAnsi="Book Antiqua"/>
          <w:color w:val="000000" w:themeColor="text1"/>
          <w:lang w:val="en-US"/>
        </w:rPr>
        <w:t xml:space="preserve">in </w:t>
      </w:r>
      <w:r w:rsidR="00196913" w:rsidRPr="00425573">
        <w:rPr>
          <w:rFonts w:ascii="Book Antiqua" w:hAnsi="Book Antiqua"/>
          <w:color w:val="000000" w:themeColor="text1"/>
          <w:lang w:val="en-US"/>
        </w:rPr>
        <w:t xml:space="preserve">determining </w:t>
      </w:r>
      <w:r w:rsidR="00EA16F8" w:rsidRPr="00425573">
        <w:rPr>
          <w:rFonts w:ascii="Book Antiqua" w:hAnsi="Book Antiqua"/>
          <w:color w:val="000000" w:themeColor="text1"/>
          <w:lang w:val="en-US"/>
        </w:rPr>
        <w:t>the</w:t>
      </w:r>
      <w:r w:rsidR="00214094" w:rsidRPr="00425573">
        <w:rPr>
          <w:rFonts w:ascii="Book Antiqua" w:hAnsi="Book Antiqua"/>
          <w:color w:val="000000" w:themeColor="text1"/>
          <w:lang w:val="en-US"/>
        </w:rPr>
        <w:t xml:space="preserve"> </w:t>
      </w:r>
      <w:r w:rsidR="00EA16F8" w:rsidRPr="00425573">
        <w:rPr>
          <w:rFonts w:ascii="Book Antiqua" w:hAnsi="Book Antiqua"/>
          <w:color w:val="000000" w:themeColor="text1"/>
          <w:lang w:val="en-US"/>
        </w:rPr>
        <w:t>susceptibility, on</w:t>
      </w:r>
      <w:r w:rsidR="00214094" w:rsidRPr="00425573">
        <w:rPr>
          <w:rFonts w:ascii="Book Antiqua" w:hAnsi="Book Antiqua"/>
          <w:color w:val="000000" w:themeColor="text1"/>
          <w:lang w:val="en-US"/>
        </w:rPr>
        <w:t xml:space="preserve">set and progression of </w:t>
      </w:r>
      <w:r w:rsidR="00A47BFB" w:rsidRPr="00425573">
        <w:rPr>
          <w:rFonts w:ascii="Book Antiqua" w:hAnsi="Book Antiqua"/>
          <w:color w:val="000000" w:themeColor="text1"/>
          <w:lang w:val="en-US"/>
        </w:rPr>
        <w:t>T2D, AD and PD</w:t>
      </w:r>
      <w:r w:rsidR="004D45F0" w:rsidRPr="00425573">
        <w:rPr>
          <w:rFonts w:ascii="Book Antiqua" w:hAnsi="Book Antiqua"/>
          <w:color w:val="000000" w:themeColor="text1"/>
          <w:lang w:val="en-US"/>
        </w:rPr>
        <w:t xml:space="preserve"> </w:t>
      </w:r>
      <w:r w:rsidR="00196913" w:rsidRPr="00425573">
        <w:rPr>
          <w:rFonts w:ascii="Book Antiqua" w:hAnsi="Book Antiqua"/>
          <w:color w:val="000000" w:themeColor="text1"/>
          <w:lang w:val="en-US"/>
        </w:rPr>
        <w:t>will be crucial</w:t>
      </w:r>
      <w:r w:rsidR="00A47BFB" w:rsidRPr="00425573">
        <w:rPr>
          <w:rFonts w:ascii="Book Antiqua" w:hAnsi="Book Antiqua"/>
          <w:color w:val="000000" w:themeColor="text1"/>
          <w:lang w:val="en-US"/>
        </w:rPr>
        <w:t xml:space="preserve"> to </w:t>
      </w:r>
      <w:r w:rsidR="00196913" w:rsidRPr="00425573">
        <w:rPr>
          <w:rFonts w:ascii="Book Antiqua" w:hAnsi="Book Antiqua"/>
          <w:color w:val="000000" w:themeColor="text1"/>
          <w:lang w:val="en-US"/>
        </w:rPr>
        <w:t xml:space="preserve">achieve </w:t>
      </w:r>
      <w:r w:rsidR="00A47BFB" w:rsidRPr="00425573">
        <w:rPr>
          <w:rFonts w:ascii="Book Antiqua" w:hAnsi="Book Antiqua"/>
          <w:color w:val="000000" w:themeColor="text1"/>
          <w:lang w:val="en-US"/>
        </w:rPr>
        <w:t>a deeper knowledge of metabolic</w:t>
      </w:r>
      <w:r w:rsidR="00892BC5" w:rsidRPr="00425573">
        <w:rPr>
          <w:rFonts w:ascii="Book Antiqua" w:hAnsi="Book Antiqua"/>
          <w:color w:val="000000" w:themeColor="text1"/>
          <w:lang w:val="en-US"/>
        </w:rPr>
        <w:t>,</w:t>
      </w:r>
      <w:r w:rsidR="00196913" w:rsidRPr="00425573">
        <w:rPr>
          <w:rFonts w:ascii="Book Antiqua" w:hAnsi="Book Antiqua"/>
          <w:color w:val="000000" w:themeColor="text1"/>
          <w:lang w:val="en-US"/>
        </w:rPr>
        <w:t xml:space="preserve"> neurodegenerative</w:t>
      </w:r>
      <w:r w:rsidR="00892BC5" w:rsidRPr="00425573">
        <w:rPr>
          <w:rFonts w:ascii="Book Antiqua" w:hAnsi="Book Antiqua"/>
          <w:color w:val="000000" w:themeColor="text1"/>
          <w:lang w:val="en-US"/>
        </w:rPr>
        <w:t xml:space="preserve"> and movement</w:t>
      </w:r>
      <w:r w:rsidR="00196913" w:rsidRPr="00425573">
        <w:rPr>
          <w:rFonts w:ascii="Book Antiqua" w:hAnsi="Book Antiqua"/>
          <w:color w:val="000000" w:themeColor="text1"/>
          <w:lang w:val="en-US"/>
        </w:rPr>
        <w:t xml:space="preserve"> </w:t>
      </w:r>
      <w:r w:rsidR="009D5A8D" w:rsidRPr="00425573">
        <w:rPr>
          <w:rFonts w:ascii="Book Antiqua" w:hAnsi="Book Antiqua"/>
          <w:color w:val="000000" w:themeColor="text1"/>
          <w:lang w:val="en-US"/>
        </w:rPr>
        <w:t>disorders</w:t>
      </w:r>
      <w:r w:rsidR="003427E5" w:rsidRPr="00425573">
        <w:rPr>
          <w:rFonts w:ascii="Book Antiqua" w:hAnsi="Book Antiqua"/>
          <w:color w:val="000000" w:themeColor="text1"/>
          <w:lang w:val="en-US"/>
        </w:rPr>
        <w:t>.</w:t>
      </w:r>
      <w:r w:rsidR="00671569" w:rsidRPr="00425573">
        <w:rPr>
          <w:rFonts w:ascii="Book Antiqua" w:hAnsi="Book Antiqua"/>
          <w:color w:val="000000" w:themeColor="text1"/>
          <w:lang w:val="en-US"/>
        </w:rPr>
        <w:t xml:space="preserve"> On this subject,</w:t>
      </w:r>
      <w:r w:rsidR="003336A8" w:rsidRPr="00425573">
        <w:rPr>
          <w:rFonts w:ascii="Book Antiqua" w:hAnsi="Book Antiqua"/>
          <w:color w:val="000000" w:themeColor="text1"/>
          <w:lang w:val="en-US"/>
        </w:rPr>
        <w:t xml:space="preserve"> </w:t>
      </w:r>
      <w:r w:rsidR="00B42325" w:rsidRPr="00425573">
        <w:rPr>
          <w:rFonts w:ascii="Book Antiqua" w:hAnsi="Book Antiqua"/>
          <w:color w:val="000000" w:themeColor="text1"/>
          <w:lang w:val="en-US"/>
        </w:rPr>
        <w:t>the enhancement of social and cognitive activities in the high-income countries seems to strengthen the resilience against neurodegeneration, leading to a stable or reduced incidence of dementia in these regions</w:t>
      </w:r>
      <w:r w:rsidR="00C04A01"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{"citationID":"1zaE7n3Q","properties":{"formattedCitation":"\\super [69,70]\\nosupersub{}","plainCitation":"[69,70]","noteIndex":0},"citationItems":[{"id":462,"uris":["http://zotero.org/groups/2394923/items/ADCWV2IT"],"uri":["http://zotero.org/groups/2394923/items/ADCWV2IT"],"itemData":{"id":462,"type":"article-journal","abstract":"Similar to other complex disorders, the etiology of Alzheimer disease is multifactorial and characterized by an interplay of biological and environmental risk and protective factors. Potentially modifiable risk factors have emerged from epidemiological research and strategies to prevent neurodegeneration and dementia are currently being tested, including multimodal interventions aiming to reduce several risk factors at once. The concept of reserve was developed based on the observation that certain individual characteristics, such as life experiences, lifestyles, and neurobiological parameters, are associated with a higher resilience against neurodegeneration and its symptoms. Coordinated research is required to maximize the use of available human and financial resources to better understand the underlying neurobiological mechanisms of reserve and to translate research findings into effective public health interventions.","container-title":"Dialogues in Clinical Neuroscience","ISSN":"1958-5969","issue":"1","journalAbbreviation":"Dialogues Clin Neurosci","language":"eng","note":"PMID: 31607780\nPMCID: PMC6780359","page":"53-60","source":"PubMed","title":"Dementia prevention and reserve against neurodegenerative disease","volume":"21","author":[{"family":"Perneczky","given":"Robert"}],"issued":{"date-parts":[["2019"]]}}},{"id":485,"uris":["http://zotero.org/groups/2394923/items/FUVRTKLR"],"uri":["http://zotero.org/groups/2394923/items/FUVRTKLR"],"itemData":{"id":485,"type":"article-journal","abstract":"INTRODUCTION: A global dementia epidemic is projected for the year 2050 with an ever-rising number of individuals living with the syndrome worldwide. However, increasingly, studies are emerging from high-income countries (HIC) that show a positive trend towards a possible decrease in dementia occurrence. Therefore, we aim to systematically summarise evidence regarding secular trends in the incidence of dementia in HIC.\nMETHODS AND ANALYSIS: We will conduct a systematic review of the literature on secular trends in dementia incidence in HIC according to the recommendations of the Preferred Reporting Items for Systematic Reviews and Meta-Analysis (PRISMA) and the Meta-analysis of Observational Studies in Epidemiology (MOOSE) statements. To do so, we will search the databases MEDLINE (PubMed interface), EMBASE (Ovid interface) and Web of Science (Web of Science interface), as well as the grey literature on unpublished studies. To be eligible, studies must have been published in English or German since 1990 and provide sufficient information on prespecified eligibility criteria regarding outcome measurement and methodological approach. Study selection, data extraction and risk of bias assessment will be performed independently by 2 reviewers. Disagreement will be resolved by discussion and/or the involvement of a third researcher. Data abstraction will include study and participant characteristics, outcomes and methodological aspects. Results will be described and discussed regarding methodology. Depending on the number of studies found and the heterogeneity between the studies, we plan to combine outcome data through meta-analysis in order to get pooled incidence measures.\nETHICS AND DISSEMINATION: No primary data will be collected; thus, ethical approval is not required. The results will be disseminated through a peer-reviewed publication and conference presentations.\nPROSPERO REGISTRATION NUMBER: CRD42016043232.","container-title":"BMJ open","DOI":"10.1136/bmjopen-2016-013630","ISSN":"2044-6055","issue":"4","journalAbbreviation":"BMJ Open","language":"eng","note":"PMID: 28389488\nPMCID: PMC5558865","page":"e013630","source":"PubMed","title":"Secular trends in the incidence of dementia in high-income countries: a protocol of a systematic review and a planned meta-analysis","title-short":"Secular trends in the incidence of dementia in high-income countries","volume":"7","author":[{"family":"Roehr","given":"Susanne"},{"family":"Pabst","given":"Alexander"},{"family":"Luck","given":"Tobias"},{"family":"Riedel-Heller","given":"Steffi G."}],"issued":{"date-parts":[["2017"]],"season":"07"}}}],"schema":"https://github.com/citation-style-language/schema/raw/master/csl-citation.json"} </w:instrText>
      </w:r>
      <w:r w:rsidR="00C04A01"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[69,70]</w:t>
      </w:r>
      <w:r w:rsidR="00C04A01" w:rsidRPr="00425573">
        <w:rPr>
          <w:rFonts w:ascii="Book Antiqua" w:hAnsi="Book Antiqua"/>
          <w:color w:val="000000" w:themeColor="text1"/>
          <w:lang w:val="en-US"/>
        </w:rPr>
        <w:fldChar w:fldCharType="end"/>
      </w:r>
      <w:r w:rsidR="00B42325" w:rsidRPr="00425573">
        <w:rPr>
          <w:rFonts w:ascii="Book Antiqua" w:hAnsi="Book Antiqua"/>
          <w:color w:val="000000" w:themeColor="text1"/>
          <w:lang w:val="en-US"/>
        </w:rPr>
        <w:t xml:space="preserve">. On the other hand, T2D prevalence is </w:t>
      </w:r>
      <w:r w:rsidR="005068A7" w:rsidRPr="00425573">
        <w:rPr>
          <w:rFonts w:ascii="Book Antiqua" w:hAnsi="Book Antiqua"/>
          <w:color w:val="000000" w:themeColor="text1"/>
          <w:lang w:val="en-US"/>
        </w:rPr>
        <w:t xml:space="preserve">also </w:t>
      </w:r>
      <w:r w:rsidR="00B42325" w:rsidRPr="00425573">
        <w:rPr>
          <w:rFonts w:ascii="Book Antiqua" w:hAnsi="Book Antiqua"/>
          <w:color w:val="000000" w:themeColor="text1"/>
          <w:lang w:val="en-US"/>
        </w:rPr>
        <w:t xml:space="preserve">rising </w:t>
      </w:r>
      <w:r w:rsidR="00456E38" w:rsidRPr="00425573">
        <w:rPr>
          <w:rFonts w:ascii="Book Antiqua" w:hAnsi="Book Antiqua"/>
          <w:color w:val="000000" w:themeColor="text1"/>
          <w:lang w:val="en-US"/>
        </w:rPr>
        <w:t>in the more developed areas</w:t>
      </w:r>
      <w:r w:rsidR="007C4442"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{"citationID":"mf55ppFv","properties":{"formattedCitation":"\\super [71]\\nosupersub{}","plainCitation":"[71]","noteIndex":0},"citationItems":[{"id":457,"uris":["http://zotero.org/groups/2394923/items/BG8MLU8T"],"uri":["http://zotero.org/groups/2394923/items/BG8MLU8T"],"itemData":{"id":457,"type":"article-journal","abstract":"Remarkable progress has been made in some aspects of diabetes care over the last 15 years, but there have also been a rising number of challenges that differ between high and low-income countries. In high-income countries, a substantial increase in the use of preventative drugs for cardiovascular disease has lowered vascular complications and improved diabetes survival. More recently, new classes of diabetes drugs have emerged that can variably lower cardiovascular outcomes, new-onset heart failure and slow renal decline, thereby meaningfully increasing the diabetes armoury that should help patients to live even longer lives and with fewer complications. At the other end of the disease spectrum, we can now better prevent diabetes in people who are at elevated risk of developing it, whereas other new research has shown that diabetes remission is possible when lifestyle changes are made in the early years after diagnosis. The downside is that more people than ever before have type 2 diabetes, so despite such progress in high-income countries, the absolute burden of disease is rising. Furthermore, it is rising even faster in low and middle-income countries, where rising adiposity is driving a tidal wave of new diabetes cases; yet, healthcare systems are less able to cope, lacking sufficient drugs, trained personnel and integrated care systems. Thus, despite advances, the future challenges from rising diabetes rates worldwide are daunting.","container-title":"BMC Medicine","DOI":"10.1186/s12916-019-1281-1","ISSN":"1741-7015","issue":"1","journalAbbreviation":"BMC Med","language":"en","page":"46","source":"DOI.org (Crossref)","title":"Advances in the clinical management of type 2 diabetes: a brief history of the past 15 years and challenges for the future","title-short":"Advances in the clinical management of type 2 diabetes","volume":"17","author":[{"family":"Sattar","given":"Naveed"}],"issued":{"date-parts":[["2019",12]]}}}],"schema":"https://github.com/citation-style-language/schema/raw/master/csl-citation.json"} </w:instrText>
      </w:r>
      <w:r w:rsidR="007C4442"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[71]</w:t>
      </w:r>
      <w:r w:rsidR="007C4442" w:rsidRPr="00425573">
        <w:rPr>
          <w:rFonts w:ascii="Book Antiqua" w:hAnsi="Book Antiqua"/>
          <w:color w:val="000000" w:themeColor="text1"/>
          <w:lang w:val="en-US"/>
        </w:rPr>
        <w:fldChar w:fldCharType="end"/>
      </w:r>
      <w:r w:rsidR="000E532E" w:rsidRPr="00425573">
        <w:rPr>
          <w:rFonts w:ascii="Book Antiqua" w:hAnsi="Book Antiqua"/>
          <w:color w:val="000000" w:themeColor="text1"/>
          <w:lang w:val="en-US"/>
        </w:rPr>
        <w:t>.</w:t>
      </w:r>
      <w:r w:rsidR="00456E38" w:rsidRPr="00425573">
        <w:rPr>
          <w:rFonts w:ascii="Book Antiqua" w:hAnsi="Book Antiqua"/>
          <w:color w:val="000000" w:themeColor="text1"/>
          <w:lang w:val="en-US"/>
        </w:rPr>
        <w:t xml:space="preserve"> </w:t>
      </w:r>
      <w:r w:rsidR="00C86F62" w:rsidRPr="00425573">
        <w:rPr>
          <w:rFonts w:ascii="Book Antiqua" w:hAnsi="Book Antiqua"/>
          <w:color w:val="000000" w:themeColor="text1"/>
          <w:lang w:val="en-US"/>
        </w:rPr>
        <w:t>Given this data and considering that T2D is</w:t>
      </w:r>
      <w:r w:rsidR="0048195C" w:rsidRPr="00425573">
        <w:rPr>
          <w:rFonts w:ascii="Book Antiqua" w:hAnsi="Book Antiqua"/>
          <w:color w:val="000000" w:themeColor="text1"/>
          <w:lang w:val="en-US"/>
        </w:rPr>
        <w:t xml:space="preserve"> </w:t>
      </w:r>
      <w:r w:rsidR="00C86F62" w:rsidRPr="00425573">
        <w:rPr>
          <w:rFonts w:ascii="Book Antiqua" w:hAnsi="Book Antiqua"/>
          <w:color w:val="000000" w:themeColor="text1"/>
          <w:lang w:val="en-US"/>
        </w:rPr>
        <w:t xml:space="preserve">regarded </w:t>
      </w:r>
      <w:r w:rsidR="005068A7" w:rsidRPr="00425573">
        <w:rPr>
          <w:rFonts w:ascii="Book Antiqua" w:hAnsi="Book Antiqua"/>
          <w:color w:val="000000" w:themeColor="text1"/>
          <w:lang w:val="en-US"/>
        </w:rPr>
        <w:t xml:space="preserve">overall </w:t>
      </w:r>
      <w:r w:rsidR="00C86F62" w:rsidRPr="00425573">
        <w:rPr>
          <w:rFonts w:ascii="Book Antiqua" w:hAnsi="Book Antiqua"/>
          <w:color w:val="000000" w:themeColor="text1"/>
          <w:lang w:val="en-US"/>
        </w:rPr>
        <w:t xml:space="preserve">as a risk factor for </w:t>
      </w:r>
      <w:r w:rsidR="00626266" w:rsidRPr="00425573">
        <w:rPr>
          <w:rFonts w:ascii="Book Antiqua" w:hAnsi="Book Antiqua"/>
          <w:color w:val="000000" w:themeColor="text1"/>
          <w:lang w:val="en-US"/>
        </w:rPr>
        <w:t>dementia</w:t>
      </w:r>
      <w:r w:rsidR="00626266"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{"citationID":"K5L4gbQ6","properties":{"formattedCitation":"\\super [72]\\nosupersub{}","plainCitation":"[72]","noteIndex":0},"citationItems":[{"id":460,"uris":["http://zotero.org/groups/2394923/items/MNM3AZGJ"],"uri":["http://zotero.org/groups/2394923/items/MNM3AZGJ"],"itemData":{"id":460,"type":"article-journal","abstract":"Objective To study longitudinal relationships between type 2 diabetes mellitus (T2DM), cortical thickness, and cognitive function in older people with normal cognition, mild cognitive impairment, and Alzheimer disease (AD).\nMethods The sample was derived from the Alzheimer’s Disease Neuroimaging Initiative cohort who underwent brain MRI and cognitive tests annually for 5 years. Presence of T2DM was based on fasting blood glucose ≥7.0mml/L or the use of glucose-lowering agents. We used latent growth curve modeling to explore longitudinal relationships between T2DM, cortical thickness, and cognitive function, adjusting for relevant covariates and testing for interactions.\nResults There were 124 people with T2DM (mean age 75.5 years, SD 6.2) and 693 without T2DM (mean age 75.1 years, SD 6.9) with at least 1 MRI available. AD and lower cortical thickness at study entry was associated with a lower chance of having a MRI available at each follow-up phase (all p &lt; 0.001). T2DM was associated with lower baseline cortical thickness (p = 0.01). We found no direct e</w:instrText>
      </w:r>
      <w:r w:rsidR="00E80BAA" w:rsidRPr="00425573">
        <w:rPr>
          <w:rFonts w:ascii="Cambria" w:hAnsi="Cambria" w:cs="Cambria"/>
          <w:color w:val="000000" w:themeColor="text1"/>
          <w:lang w:val="en-US"/>
        </w:rPr>
        <w:instrText>ﬀ</w:instrText>
      </w:r>
      <w:r w:rsidR="00E80BAA" w:rsidRPr="00425573">
        <w:rPr>
          <w:rFonts w:ascii="Book Antiqua" w:hAnsi="Book Antiqua"/>
          <w:color w:val="000000" w:themeColor="text1"/>
          <w:lang w:val="en-US"/>
        </w:rPr>
        <w:instrText xml:space="preserve">ect of T2DM on decline in cortical thickness or cognitive function, but there was an indirect pathway linking T2DM and cognitive decline via baseline cortical thickness (β = </w:instrText>
      </w:r>
      <w:r w:rsidR="00E80BAA" w:rsidRPr="00425573">
        <w:rPr>
          <w:rFonts w:ascii="Book Antiqua" w:hAnsi="Book Antiqua" w:cs="Times New Roman"/>
          <w:color w:val="000000" w:themeColor="text1"/>
          <w:lang w:val="en-US"/>
        </w:rPr>
        <w:instrText>−</w:instrText>
      </w:r>
      <w:r w:rsidR="00E80BAA" w:rsidRPr="00425573">
        <w:rPr>
          <w:rFonts w:ascii="Book Antiqua" w:hAnsi="Book Antiqua"/>
          <w:color w:val="000000" w:themeColor="text1"/>
          <w:lang w:val="en-US"/>
        </w:rPr>
        <w:instrText>0.17, p = 0.022). There was an interaction between T2DM and education whereby the negative e</w:instrText>
      </w:r>
      <w:r w:rsidR="00E80BAA" w:rsidRPr="00425573">
        <w:rPr>
          <w:rFonts w:ascii="Cambria" w:hAnsi="Cambria" w:cs="Cambria"/>
          <w:color w:val="000000" w:themeColor="text1"/>
          <w:lang w:val="en-US"/>
        </w:rPr>
        <w:instrText>ﬀ</w:instrText>
      </w:r>
      <w:r w:rsidR="00E80BAA" w:rsidRPr="00425573">
        <w:rPr>
          <w:rFonts w:ascii="Book Antiqua" w:hAnsi="Book Antiqua"/>
          <w:color w:val="000000" w:themeColor="text1"/>
          <w:lang w:val="en-US"/>
        </w:rPr>
        <w:instrText>ect of T2DM on baseline cortical thickness was reduced in those with greater education (β = 0.34, p = 0.037). These associations changed minimally when adjusted for baseline cognitive diagnosis.\nConclusions In an older cohort with low cerebrovascular disease burden, T2DM contributes to cognitive decline via neurodegeneration. Prior brain and cognitive reserve may protect against this e</w:instrText>
      </w:r>
      <w:r w:rsidR="00E80BAA" w:rsidRPr="00425573">
        <w:rPr>
          <w:rFonts w:ascii="Cambria" w:hAnsi="Cambria" w:cs="Cambria"/>
          <w:color w:val="000000" w:themeColor="text1"/>
          <w:lang w:val="en-US"/>
        </w:rPr>
        <w:instrText>ﬀ</w:instrText>
      </w:r>
      <w:r w:rsidR="00E80BAA" w:rsidRPr="00425573">
        <w:rPr>
          <w:rFonts w:ascii="Book Antiqua" w:hAnsi="Book Antiqua"/>
          <w:color w:val="000000" w:themeColor="text1"/>
          <w:lang w:val="en-US"/>
        </w:rPr>
        <w:instrText xml:space="preserve">ect.","container-title":"Neurology","DOI":"10.1212/WNL.0000000000006955","ISSN":"0028-3878, 1526-632X","issue":"8","journalAbbreviation":"Neurology","language":"en","page":"e823-e830","source":"DOI.org (Crossref)","title":"Type 2 diabetes mellitus, brain atrophy, and cognitive decline","volume":"92","author":[{"family":"Moran","given":"Chris"},{"family":"Beare","given":"Richard"},{"family":"Wang","given":"Wei"},{"family":"Callisaya","given":"Michele"},{"family":"Srikanth","given":"Velandai"},{"literal":"for the Alzheimer's Disease Neuroimaging Initiative (ADNI)"}],"issued":{"date-parts":[["2019",2,19]]}}}],"schema":"https://github.com/citation-style-language/schema/raw/master/csl-citation.json"} </w:instrText>
      </w:r>
      <w:r w:rsidR="00626266"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[72]</w:t>
      </w:r>
      <w:r w:rsidR="00626266" w:rsidRPr="00425573">
        <w:rPr>
          <w:rFonts w:ascii="Book Antiqua" w:hAnsi="Book Antiqua"/>
          <w:color w:val="000000" w:themeColor="text1"/>
          <w:lang w:val="en-US"/>
        </w:rPr>
        <w:fldChar w:fldCharType="end"/>
      </w:r>
      <w:r w:rsidR="00C86F62" w:rsidRPr="00425573">
        <w:rPr>
          <w:rFonts w:ascii="Book Antiqua" w:hAnsi="Book Antiqua"/>
          <w:color w:val="000000" w:themeColor="text1"/>
          <w:lang w:val="en-US"/>
        </w:rPr>
        <w:t xml:space="preserve">, </w:t>
      </w:r>
      <w:r w:rsidR="0074740E" w:rsidRPr="00425573">
        <w:rPr>
          <w:rFonts w:ascii="Book Antiqua" w:hAnsi="Book Antiqua"/>
          <w:color w:val="000000" w:themeColor="text1"/>
          <w:lang w:val="en-US"/>
        </w:rPr>
        <w:t>the contribution of T2D to the development of neurodegeneration needs to be monitored. Moreover, these</w:t>
      </w:r>
      <w:r w:rsidR="000E532E" w:rsidRPr="00425573">
        <w:rPr>
          <w:rFonts w:ascii="Book Antiqua" w:hAnsi="Book Antiqua"/>
          <w:color w:val="000000" w:themeColor="text1"/>
          <w:lang w:val="en-US"/>
        </w:rPr>
        <w:t xml:space="preserve"> </w:t>
      </w:r>
      <w:r w:rsidR="005068A7" w:rsidRPr="00425573">
        <w:rPr>
          <w:rFonts w:ascii="Book Antiqua" w:hAnsi="Book Antiqua"/>
          <w:color w:val="000000" w:themeColor="text1"/>
          <w:lang w:val="en-US"/>
        </w:rPr>
        <w:t xml:space="preserve">lines of </w:t>
      </w:r>
      <w:r w:rsidR="000E532E" w:rsidRPr="00425573">
        <w:rPr>
          <w:rFonts w:ascii="Book Antiqua" w:hAnsi="Book Antiqua"/>
          <w:color w:val="000000" w:themeColor="text1"/>
          <w:lang w:val="en-US"/>
        </w:rPr>
        <w:t xml:space="preserve">evidence </w:t>
      </w:r>
      <w:r w:rsidR="001B70D3" w:rsidRPr="00425573">
        <w:rPr>
          <w:rFonts w:ascii="Book Antiqua" w:hAnsi="Book Antiqua"/>
          <w:color w:val="000000" w:themeColor="text1"/>
          <w:lang w:val="en-US"/>
        </w:rPr>
        <w:t>encourage t</w:t>
      </w:r>
      <w:r w:rsidR="005068A7" w:rsidRPr="00425573">
        <w:rPr>
          <w:rFonts w:ascii="Book Antiqua" w:hAnsi="Book Antiqua"/>
          <w:color w:val="000000" w:themeColor="text1"/>
          <w:lang w:val="en-US"/>
        </w:rPr>
        <w:t>he</w:t>
      </w:r>
      <w:r w:rsidR="001B70D3" w:rsidRPr="00425573">
        <w:rPr>
          <w:rFonts w:ascii="Book Antiqua" w:hAnsi="Book Antiqua"/>
          <w:color w:val="000000" w:themeColor="text1"/>
          <w:lang w:val="en-US"/>
        </w:rPr>
        <w:t xml:space="preserve"> further </w:t>
      </w:r>
      <w:r w:rsidR="005068A7" w:rsidRPr="00425573">
        <w:rPr>
          <w:rFonts w:ascii="Book Antiqua" w:hAnsi="Book Antiqua"/>
          <w:color w:val="000000" w:themeColor="text1"/>
          <w:lang w:val="en-US"/>
        </w:rPr>
        <w:t>exploration of</w:t>
      </w:r>
      <w:r w:rsidR="001B70D3" w:rsidRPr="00425573">
        <w:rPr>
          <w:rFonts w:ascii="Book Antiqua" w:hAnsi="Book Antiqua"/>
          <w:color w:val="000000" w:themeColor="text1"/>
          <w:lang w:val="en-US"/>
        </w:rPr>
        <w:t xml:space="preserve"> </w:t>
      </w:r>
      <w:r w:rsidR="000E532E" w:rsidRPr="00425573">
        <w:rPr>
          <w:rFonts w:ascii="Book Antiqua" w:hAnsi="Book Antiqua"/>
          <w:color w:val="000000" w:themeColor="text1"/>
          <w:lang w:val="en-US"/>
        </w:rPr>
        <w:t xml:space="preserve">gene-environment interactions </w:t>
      </w:r>
      <w:r w:rsidR="006D4667" w:rsidRPr="00425573">
        <w:rPr>
          <w:rFonts w:ascii="Book Antiqua" w:hAnsi="Book Antiqua"/>
          <w:color w:val="000000" w:themeColor="text1"/>
          <w:lang w:val="en-US"/>
        </w:rPr>
        <w:t xml:space="preserve">in order </w:t>
      </w:r>
      <w:r w:rsidR="000E532E" w:rsidRPr="00425573">
        <w:rPr>
          <w:rFonts w:ascii="Book Antiqua" w:hAnsi="Book Antiqua"/>
          <w:color w:val="000000" w:themeColor="text1"/>
          <w:lang w:val="en-US"/>
        </w:rPr>
        <w:t xml:space="preserve">to understand the similarities </w:t>
      </w:r>
      <w:r w:rsidR="000E532E" w:rsidRPr="00425573">
        <w:rPr>
          <w:rFonts w:ascii="Book Antiqua" w:hAnsi="Book Antiqua"/>
          <w:color w:val="000000" w:themeColor="text1"/>
          <w:lang w:val="en-US"/>
        </w:rPr>
        <w:lastRenderedPageBreak/>
        <w:t>and the differences in the etiopathogenesis underlying AD, PD and T2D</w:t>
      </w:r>
      <w:r w:rsidR="00B42325" w:rsidRPr="00425573">
        <w:rPr>
          <w:rFonts w:ascii="Book Antiqua" w:hAnsi="Book Antiqua"/>
          <w:color w:val="000000" w:themeColor="text1"/>
          <w:lang w:val="en-US"/>
        </w:rPr>
        <w:t xml:space="preserve">. </w:t>
      </w:r>
      <w:r w:rsidR="00441051" w:rsidRPr="00425573">
        <w:rPr>
          <w:rFonts w:ascii="Book Antiqua" w:hAnsi="Book Antiqua"/>
          <w:color w:val="000000" w:themeColor="text1"/>
          <w:lang w:val="en-US"/>
        </w:rPr>
        <w:t>Indeed</w:t>
      </w:r>
      <w:r w:rsidR="00214094" w:rsidRPr="00425573">
        <w:rPr>
          <w:rFonts w:ascii="Book Antiqua" w:hAnsi="Book Antiqua"/>
          <w:color w:val="000000" w:themeColor="text1"/>
          <w:lang w:val="en-US"/>
        </w:rPr>
        <w:t xml:space="preserve">, more comprehensive and higher resolution </w:t>
      </w:r>
      <w:r w:rsidR="00C80C11" w:rsidRPr="00425573">
        <w:rPr>
          <w:rFonts w:ascii="Book Antiqua" w:hAnsi="Book Antiqua"/>
          <w:color w:val="000000" w:themeColor="text1"/>
          <w:lang w:val="en-US"/>
        </w:rPr>
        <w:t>(</w:t>
      </w:r>
      <w:r w:rsidR="00214094" w:rsidRPr="00425573">
        <w:rPr>
          <w:rFonts w:ascii="Book Antiqua" w:hAnsi="Book Antiqua"/>
          <w:color w:val="000000" w:themeColor="text1"/>
          <w:lang w:val="en-US"/>
        </w:rPr>
        <w:t>epi</w:t>
      </w:r>
      <w:r w:rsidR="00C80C11" w:rsidRPr="00425573">
        <w:rPr>
          <w:rFonts w:ascii="Book Antiqua" w:hAnsi="Book Antiqua"/>
          <w:color w:val="000000" w:themeColor="text1"/>
          <w:lang w:val="en-US"/>
        </w:rPr>
        <w:t>)</w:t>
      </w:r>
      <w:r w:rsidR="00214094" w:rsidRPr="00425573">
        <w:rPr>
          <w:rFonts w:ascii="Book Antiqua" w:hAnsi="Book Antiqua"/>
          <w:color w:val="000000" w:themeColor="text1"/>
          <w:lang w:val="en-US"/>
        </w:rPr>
        <w:t>g</w:t>
      </w:r>
      <w:r w:rsidR="00441051" w:rsidRPr="00425573">
        <w:rPr>
          <w:rFonts w:ascii="Book Antiqua" w:hAnsi="Book Antiqua"/>
          <w:color w:val="000000" w:themeColor="text1"/>
          <w:lang w:val="en-US"/>
        </w:rPr>
        <w:t>enomic studies</w:t>
      </w:r>
      <w:r w:rsidR="00505FA2" w:rsidRPr="00425573">
        <w:rPr>
          <w:rFonts w:ascii="Book Antiqua" w:hAnsi="Book Antiqua"/>
          <w:color w:val="000000" w:themeColor="text1"/>
          <w:lang w:val="en-US"/>
        </w:rPr>
        <w:t xml:space="preserve"> </w:t>
      </w:r>
      <w:r w:rsidR="007C1AA1" w:rsidRPr="00425573">
        <w:rPr>
          <w:rFonts w:ascii="Book Antiqua" w:hAnsi="Book Antiqua"/>
          <w:color w:val="000000" w:themeColor="text1"/>
          <w:lang w:val="en-US"/>
        </w:rPr>
        <w:t xml:space="preserve">should be implemented in order to </w:t>
      </w:r>
      <w:r w:rsidR="001B436D" w:rsidRPr="00425573">
        <w:rPr>
          <w:rFonts w:ascii="Book Antiqua" w:hAnsi="Book Antiqua"/>
          <w:color w:val="000000" w:themeColor="text1"/>
          <w:lang w:val="en-US"/>
        </w:rPr>
        <w:t>collect</w:t>
      </w:r>
      <w:r w:rsidR="00505FA2" w:rsidRPr="00425573">
        <w:rPr>
          <w:rFonts w:ascii="Book Antiqua" w:hAnsi="Book Antiqua"/>
          <w:color w:val="000000" w:themeColor="text1"/>
          <w:lang w:val="en-US"/>
        </w:rPr>
        <w:t xml:space="preserve"> information on</w:t>
      </w:r>
      <w:r w:rsidR="00C80C11" w:rsidRPr="00425573">
        <w:rPr>
          <w:rFonts w:ascii="Book Antiqua" w:hAnsi="Book Antiqua"/>
          <w:color w:val="000000" w:themeColor="text1"/>
          <w:lang w:val="en-US"/>
        </w:rPr>
        <w:t xml:space="preserve"> gen</w:t>
      </w:r>
      <w:r w:rsidR="007C1AA1" w:rsidRPr="00425573">
        <w:rPr>
          <w:rFonts w:ascii="Book Antiqua" w:hAnsi="Book Antiqua"/>
          <w:color w:val="000000" w:themeColor="text1"/>
          <w:lang w:val="en-US"/>
        </w:rPr>
        <w:t>ome architecture</w:t>
      </w:r>
      <w:r w:rsidR="00C80C11" w:rsidRPr="00425573">
        <w:rPr>
          <w:rFonts w:ascii="Book Antiqua" w:hAnsi="Book Antiqua"/>
          <w:color w:val="000000" w:themeColor="text1"/>
          <w:lang w:val="en-US"/>
        </w:rPr>
        <w:t>,</w:t>
      </w:r>
      <w:r w:rsidR="00505FA2" w:rsidRPr="00425573">
        <w:rPr>
          <w:rFonts w:ascii="Book Antiqua" w:hAnsi="Book Antiqua"/>
          <w:color w:val="000000" w:themeColor="text1"/>
          <w:lang w:val="en-US"/>
        </w:rPr>
        <w:t xml:space="preserve"> DNA methylation, histone modifications, </w:t>
      </w:r>
      <w:r w:rsidR="00142E6B" w:rsidRPr="00425573">
        <w:rPr>
          <w:rFonts w:ascii="Book Antiqua" w:hAnsi="Book Antiqua"/>
          <w:color w:val="000000" w:themeColor="text1"/>
          <w:lang w:val="en-US"/>
        </w:rPr>
        <w:t>nc</w:t>
      </w:r>
      <w:r w:rsidR="00505FA2" w:rsidRPr="00425573">
        <w:rPr>
          <w:rFonts w:ascii="Book Antiqua" w:hAnsi="Book Antiqua"/>
          <w:color w:val="000000" w:themeColor="text1"/>
          <w:lang w:val="en-US"/>
        </w:rPr>
        <w:t xml:space="preserve">RNAs and </w:t>
      </w:r>
      <w:r w:rsidR="005068A7" w:rsidRPr="00425573">
        <w:rPr>
          <w:rFonts w:ascii="Book Antiqua" w:hAnsi="Book Antiqua"/>
          <w:color w:val="000000" w:themeColor="text1"/>
          <w:lang w:val="en-US"/>
        </w:rPr>
        <w:t>three-dimensional</w:t>
      </w:r>
      <w:r w:rsidR="00505FA2" w:rsidRPr="00425573">
        <w:rPr>
          <w:rFonts w:ascii="Book Antiqua" w:hAnsi="Book Antiqua"/>
          <w:color w:val="000000" w:themeColor="text1"/>
          <w:lang w:val="en-US"/>
        </w:rPr>
        <w:t xml:space="preserve"> genome organization</w:t>
      </w:r>
      <w:r w:rsidR="00214094" w:rsidRPr="00425573">
        <w:rPr>
          <w:rFonts w:ascii="Book Antiqua" w:hAnsi="Book Antiqua"/>
          <w:color w:val="000000" w:themeColor="text1"/>
          <w:lang w:val="en-US"/>
        </w:rPr>
        <w:t xml:space="preserve">. </w:t>
      </w:r>
      <w:r w:rsidR="007C1AA1" w:rsidRPr="00425573">
        <w:rPr>
          <w:rFonts w:ascii="Book Antiqua" w:hAnsi="Book Antiqua"/>
          <w:color w:val="000000" w:themeColor="text1"/>
          <w:lang w:val="en-US"/>
        </w:rPr>
        <w:t xml:space="preserve">These large-scale data should be exploited to </w:t>
      </w:r>
      <w:r w:rsidR="001B436D" w:rsidRPr="00425573">
        <w:rPr>
          <w:rFonts w:ascii="Book Antiqua" w:hAnsi="Book Antiqua"/>
          <w:color w:val="000000" w:themeColor="text1"/>
          <w:lang w:val="en-US"/>
        </w:rPr>
        <w:t>integrate</w:t>
      </w:r>
      <w:r w:rsidR="007C1AA1" w:rsidRPr="00425573">
        <w:rPr>
          <w:rFonts w:ascii="Book Antiqua" w:hAnsi="Book Antiqua"/>
          <w:color w:val="000000" w:themeColor="text1"/>
          <w:lang w:val="en-US"/>
        </w:rPr>
        <w:t xml:space="preserve"> genomic,</w:t>
      </w:r>
      <w:r w:rsidR="00EC1DD7" w:rsidRPr="00425573">
        <w:rPr>
          <w:rFonts w:ascii="Book Antiqua" w:hAnsi="Book Antiqua"/>
          <w:color w:val="000000" w:themeColor="text1"/>
          <w:lang w:val="en-US"/>
        </w:rPr>
        <w:t xml:space="preserve"> </w:t>
      </w:r>
      <w:r w:rsidR="007C1AA1" w:rsidRPr="00425573">
        <w:rPr>
          <w:rFonts w:ascii="Book Antiqua" w:hAnsi="Book Antiqua"/>
          <w:color w:val="000000" w:themeColor="text1"/>
          <w:lang w:val="en-US"/>
        </w:rPr>
        <w:t xml:space="preserve">epigenomic, </w:t>
      </w:r>
      <w:r w:rsidR="00214094" w:rsidRPr="00425573">
        <w:rPr>
          <w:rFonts w:ascii="Book Antiqua" w:hAnsi="Book Antiqua"/>
          <w:color w:val="000000" w:themeColor="text1"/>
          <w:lang w:val="en-US"/>
        </w:rPr>
        <w:t>transc</w:t>
      </w:r>
      <w:r w:rsidR="00AD7C3D" w:rsidRPr="00425573">
        <w:rPr>
          <w:rFonts w:ascii="Book Antiqua" w:hAnsi="Book Antiqua"/>
          <w:color w:val="000000" w:themeColor="text1"/>
          <w:lang w:val="en-US"/>
        </w:rPr>
        <w:t>riptomic, metabolomic</w:t>
      </w:r>
      <w:r w:rsidR="005068A7" w:rsidRPr="00425573">
        <w:rPr>
          <w:rFonts w:ascii="Book Antiqua" w:hAnsi="Book Antiqua"/>
          <w:color w:val="000000" w:themeColor="text1"/>
          <w:lang w:val="en-US"/>
        </w:rPr>
        <w:t xml:space="preserve"> and</w:t>
      </w:r>
      <w:r w:rsidR="009A0068" w:rsidRPr="00425573">
        <w:rPr>
          <w:rFonts w:ascii="Book Antiqua" w:hAnsi="Book Antiqua"/>
          <w:color w:val="000000" w:themeColor="text1"/>
          <w:lang w:val="en-US"/>
        </w:rPr>
        <w:t xml:space="preserve"> </w:t>
      </w:r>
      <w:r w:rsidR="00214094" w:rsidRPr="00425573">
        <w:rPr>
          <w:rFonts w:ascii="Book Antiqua" w:hAnsi="Book Antiqua"/>
          <w:color w:val="000000" w:themeColor="text1"/>
          <w:lang w:val="en-US"/>
        </w:rPr>
        <w:t xml:space="preserve">proteomic </w:t>
      </w:r>
      <w:r w:rsidR="001B436D" w:rsidRPr="00425573">
        <w:rPr>
          <w:rFonts w:ascii="Book Antiqua" w:hAnsi="Book Antiqua"/>
          <w:color w:val="000000" w:themeColor="text1"/>
          <w:lang w:val="en-US"/>
        </w:rPr>
        <w:t>information</w:t>
      </w:r>
      <w:r w:rsidR="009A0068" w:rsidRPr="00425573">
        <w:rPr>
          <w:rFonts w:ascii="Book Antiqua" w:hAnsi="Book Antiqua"/>
          <w:color w:val="000000" w:themeColor="text1"/>
          <w:lang w:val="en-US"/>
        </w:rPr>
        <w:t xml:space="preserve"> </w:t>
      </w:r>
      <w:r w:rsidR="001B436D" w:rsidRPr="00425573">
        <w:rPr>
          <w:rFonts w:ascii="Book Antiqua" w:hAnsi="Book Antiqua"/>
          <w:color w:val="000000" w:themeColor="text1"/>
          <w:lang w:val="en-US"/>
        </w:rPr>
        <w:t>with</w:t>
      </w:r>
      <w:r w:rsidR="007C1AA1" w:rsidRPr="00425573">
        <w:rPr>
          <w:rFonts w:ascii="Book Antiqua" w:hAnsi="Book Antiqua"/>
          <w:color w:val="000000" w:themeColor="text1"/>
          <w:lang w:val="en-US"/>
        </w:rPr>
        <w:t xml:space="preserve"> the </w:t>
      </w:r>
      <w:r w:rsidR="009A0068" w:rsidRPr="00425573">
        <w:rPr>
          <w:rFonts w:ascii="Book Antiqua" w:hAnsi="Book Antiqua"/>
          <w:color w:val="000000" w:themeColor="text1"/>
          <w:lang w:val="en-US"/>
        </w:rPr>
        <w:t xml:space="preserve">clinical </w:t>
      </w:r>
      <w:r w:rsidR="007C1AA1" w:rsidRPr="00425573">
        <w:rPr>
          <w:rFonts w:ascii="Book Antiqua" w:hAnsi="Book Antiqua"/>
          <w:color w:val="000000" w:themeColor="text1"/>
          <w:lang w:val="en-US"/>
        </w:rPr>
        <w:t>phenotype</w:t>
      </w:r>
      <w:r w:rsidR="001B436D" w:rsidRPr="00425573">
        <w:rPr>
          <w:rFonts w:ascii="Book Antiqua" w:hAnsi="Book Antiqua"/>
          <w:color w:val="000000" w:themeColor="text1"/>
          <w:lang w:val="en-US"/>
        </w:rPr>
        <w:t xml:space="preserve"> and draw</w:t>
      </w:r>
      <w:r w:rsidR="00330DFE" w:rsidRPr="00425573">
        <w:rPr>
          <w:rFonts w:ascii="Book Antiqua" w:hAnsi="Book Antiqua"/>
          <w:color w:val="000000" w:themeColor="text1"/>
          <w:lang w:val="en-US"/>
        </w:rPr>
        <w:t xml:space="preserve"> the network of interactions which build up a “disease-interactome”</w:t>
      </w:r>
      <w:r w:rsidR="00657CBB" w:rsidRPr="00425573">
        <w:rPr>
          <w:rFonts w:ascii="Book Antiqua" w:hAnsi="Book Antiqua"/>
          <w:color w:val="000000" w:themeColor="text1"/>
          <w:lang w:val="en-US"/>
        </w:rPr>
        <w:t>.</w:t>
      </w:r>
      <w:r w:rsidR="00C76BB8" w:rsidRPr="00425573">
        <w:rPr>
          <w:rFonts w:ascii="Book Antiqua" w:hAnsi="Book Antiqua"/>
          <w:color w:val="000000" w:themeColor="text1"/>
          <w:lang w:val="en-US"/>
        </w:rPr>
        <w:t xml:space="preserve"> </w:t>
      </w:r>
    </w:p>
    <w:p w14:paraId="629F05BF" w14:textId="42B1AE84" w:rsidR="00336749" w:rsidRPr="00425573" w:rsidRDefault="00D11CE3" w:rsidP="00083E5A">
      <w:pPr>
        <w:snapToGrid w:val="0"/>
        <w:spacing w:line="360" w:lineRule="auto"/>
        <w:ind w:firstLineChars="100" w:firstLine="240"/>
        <w:jc w:val="both"/>
        <w:rPr>
          <w:rFonts w:ascii="Book Antiqua" w:hAnsi="Book Antiqua"/>
          <w:color w:val="000000" w:themeColor="text1"/>
          <w:lang w:val="en-US"/>
        </w:rPr>
      </w:pPr>
      <w:r w:rsidRPr="00425573">
        <w:rPr>
          <w:rFonts w:ascii="Book Antiqua" w:hAnsi="Book Antiqua"/>
          <w:color w:val="000000" w:themeColor="text1"/>
          <w:lang w:val="en-US"/>
        </w:rPr>
        <w:t>Indeed</w:t>
      </w:r>
      <w:r w:rsidR="00C76BB8" w:rsidRPr="00425573">
        <w:rPr>
          <w:rFonts w:ascii="Book Antiqua" w:hAnsi="Book Antiqua"/>
          <w:color w:val="000000" w:themeColor="text1"/>
          <w:lang w:val="en-US"/>
        </w:rPr>
        <w:t>, the</w:t>
      </w:r>
      <w:r w:rsidR="00F425F1" w:rsidRPr="00425573">
        <w:rPr>
          <w:rFonts w:ascii="Book Antiqua" w:hAnsi="Book Antiqua"/>
          <w:color w:val="000000" w:themeColor="text1"/>
          <w:lang w:val="en-US"/>
        </w:rPr>
        <w:t xml:space="preserve"> </w:t>
      </w:r>
      <w:r w:rsidR="007C2234" w:rsidRPr="00425573">
        <w:rPr>
          <w:rFonts w:ascii="Book Antiqua" w:hAnsi="Book Antiqua"/>
          <w:color w:val="000000" w:themeColor="text1"/>
          <w:lang w:val="en-US"/>
        </w:rPr>
        <w:t>fine knowledge</w:t>
      </w:r>
      <w:r w:rsidR="00F425F1" w:rsidRPr="00425573">
        <w:rPr>
          <w:rFonts w:ascii="Book Antiqua" w:hAnsi="Book Antiqua"/>
          <w:color w:val="000000" w:themeColor="text1"/>
          <w:lang w:val="en-US"/>
        </w:rPr>
        <w:t xml:space="preserve"> of the </w:t>
      </w:r>
      <w:r w:rsidR="00330DFE" w:rsidRPr="00425573">
        <w:rPr>
          <w:rFonts w:ascii="Book Antiqua" w:hAnsi="Book Antiqua"/>
          <w:color w:val="000000" w:themeColor="text1"/>
          <w:lang w:val="en-US"/>
        </w:rPr>
        <w:t>disease</w:t>
      </w:r>
      <w:r w:rsidR="00F425F1" w:rsidRPr="00425573">
        <w:rPr>
          <w:rFonts w:ascii="Book Antiqua" w:hAnsi="Book Antiqua"/>
          <w:color w:val="000000" w:themeColor="text1"/>
          <w:lang w:val="en-US"/>
        </w:rPr>
        <w:t xml:space="preserve"> interactome </w:t>
      </w:r>
      <w:r w:rsidR="00330DFE" w:rsidRPr="00425573">
        <w:rPr>
          <w:rFonts w:ascii="Book Antiqua" w:hAnsi="Book Antiqua"/>
          <w:color w:val="000000" w:themeColor="text1"/>
          <w:lang w:val="en-US"/>
        </w:rPr>
        <w:t>could highlight the</w:t>
      </w:r>
      <w:r w:rsidR="007C2234" w:rsidRPr="00425573">
        <w:rPr>
          <w:rFonts w:ascii="Book Antiqua" w:hAnsi="Book Antiqua"/>
          <w:color w:val="000000" w:themeColor="text1"/>
          <w:lang w:val="en-US"/>
        </w:rPr>
        <w:t xml:space="preserve"> </w:t>
      </w:r>
      <w:r w:rsidR="00472D90" w:rsidRPr="00425573">
        <w:rPr>
          <w:rFonts w:ascii="Book Antiqua" w:hAnsi="Book Antiqua"/>
          <w:color w:val="000000" w:themeColor="text1"/>
          <w:lang w:val="en-US"/>
        </w:rPr>
        <w:t>molecular relationships</w:t>
      </w:r>
      <w:r w:rsidR="00330DFE" w:rsidRPr="00425573">
        <w:rPr>
          <w:rFonts w:ascii="Book Antiqua" w:hAnsi="Book Antiqua"/>
          <w:color w:val="000000" w:themeColor="text1"/>
          <w:lang w:val="en-US"/>
        </w:rPr>
        <w:t xml:space="preserve"> existing</w:t>
      </w:r>
      <w:r w:rsidR="00472D90" w:rsidRPr="00425573">
        <w:rPr>
          <w:rFonts w:ascii="Book Antiqua" w:hAnsi="Book Antiqua"/>
          <w:color w:val="000000" w:themeColor="text1"/>
          <w:lang w:val="en-US"/>
        </w:rPr>
        <w:t xml:space="preserve"> </w:t>
      </w:r>
      <w:r w:rsidR="007C2234" w:rsidRPr="00425573">
        <w:rPr>
          <w:rFonts w:ascii="Book Antiqua" w:hAnsi="Book Antiqua"/>
          <w:color w:val="000000" w:themeColor="text1"/>
          <w:lang w:val="en-US"/>
        </w:rPr>
        <w:t xml:space="preserve">among </w:t>
      </w:r>
      <w:r w:rsidR="001B436D" w:rsidRPr="00425573">
        <w:rPr>
          <w:rFonts w:ascii="Book Antiqua" w:hAnsi="Book Antiqua"/>
          <w:color w:val="000000" w:themeColor="text1"/>
          <w:lang w:val="en-US"/>
        </w:rPr>
        <w:t>T2D, AD, PD which, thereby, could be exploited to treat these conditions through a network medicine approach</w:t>
      </w:r>
      <w:r w:rsidR="003A06A1" w:rsidRPr="00425573">
        <w:rPr>
          <w:rFonts w:ascii="Book Antiqua" w:hAnsi="Book Antiqua"/>
          <w:color w:val="000000" w:themeColor="text1"/>
          <w:lang w:val="en-US"/>
        </w:rPr>
        <w:t>, able to integrate all these interactions to under</w:t>
      </w:r>
      <w:r w:rsidR="006F0A99" w:rsidRPr="00425573">
        <w:rPr>
          <w:rFonts w:ascii="Book Antiqua" w:hAnsi="Book Antiqua"/>
          <w:color w:val="000000" w:themeColor="text1"/>
          <w:lang w:val="en-US"/>
        </w:rPr>
        <w:t>stand the molecular and cellular</w:t>
      </w:r>
      <w:r w:rsidR="003A06A1" w:rsidRPr="00425573">
        <w:rPr>
          <w:rFonts w:ascii="Book Antiqua" w:hAnsi="Book Antiqua"/>
          <w:color w:val="000000" w:themeColor="text1"/>
          <w:lang w:val="en-US"/>
        </w:rPr>
        <w:t xml:space="preserve"> </w:t>
      </w:r>
      <w:r w:rsidR="00B17B67" w:rsidRPr="00425573">
        <w:rPr>
          <w:rFonts w:ascii="Book Antiqua" w:hAnsi="Book Antiqua"/>
          <w:color w:val="000000" w:themeColor="text1"/>
          <w:lang w:val="en-US"/>
        </w:rPr>
        <w:t>perturba</w:t>
      </w:r>
      <w:r w:rsidR="003A06A1" w:rsidRPr="00425573">
        <w:rPr>
          <w:rFonts w:ascii="Book Antiqua" w:hAnsi="Book Antiqua"/>
          <w:color w:val="000000" w:themeColor="text1"/>
          <w:lang w:val="en-US"/>
        </w:rPr>
        <w:t>tions underlying diseases</w:t>
      </w:r>
      <w:r w:rsidR="00B17B67" w:rsidRPr="00425573">
        <w:rPr>
          <w:rFonts w:ascii="Book Antiqua" w:hAnsi="Book Antiqua"/>
          <w:color w:val="000000" w:themeColor="text1"/>
          <w:lang w:val="en-US"/>
        </w:rPr>
        <w:t>, providing insights and targets for the accurate diagnosis and treatment</w:t>
      </w:r>
      <w:r w:rsidR="00C17762"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{"citationID":"LVI1sMZQ","properties":{"formattedCitation":"\\super [73]\\nosupersub{}","plainCitation":"[73]","noteIndex":0},"citationItems":[{"id":364,"uris":["http://zotero.org/groups/2394923/items/ZHW2B7KX"],"uri":["http://zotero.org/groups/2394923/items/ZHW2B7KX"],"itemData":{"id":364,"type":"article-journal","abstract":"Given the functional interdependencies between the molecular components in a human cell, a disease is rarely a consequence of an abnormality in a single gene, but reflects the perturbations of the complex intracellular and intercellular network that links tissue and organ systems. The emerging tools of network medicine offer a platform to explore systematically not only the molecular complexity of a particular disease, leading to the identification of disease modules and pathways, but also the molecular relationships among apparently distinct (patho)phenotypes. Advances in this direction are essential for identifying new disease genes, for uncovering the biological significance of disease-associated mutations identified by genome-wide association studies and full-genome sequencing, and for identifying drug targets and biomarkers for complex diseases.","container-title":"Nature Reviews. Genetics","DOI":"10.1038/nrg2918","ISSN":"1471-0064","issue":"1","journalAbbreviation":"Nat. Rev. Genet.","language":"eng","note":"PMID: 21164525\nPMCID: PMC3140052","page":"56-68","source":"PubMed","title":"Network medicine: a network-based approach to human disease","title-short":"Network medicine","volume":"12","author":[{"family":"Barabási","given":"Albert-László"},{"family":"Gulbahce","given":"Natali"},{"family":"Loscalzo","given":"Joseph"}],"issued":{"date-parts":[["2011",1]]}}}],"schema":"https://github.com/citation-style-language/schema/raw/master/csl-citation.json"} </w:instrText>
      </w:r>
      <w:r w:rsidR="00C17762"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[73]</w:t>
      </w:r>
      <w:r w:rsidR="00C17762" w:rsidRPr="00425573">
        <w:rPr>
          <w:rFonts w:ascii="Book Antiqua" w:hAnsi="Book Antiqua"/>
          <w:color w:val="000000" w:themeColor="text1"/>
          <w:lang w:val="en-US"/>
        </w:rPr>
        <w:fldChar w:fldCharType="end"/>
      </w:r>
      <w:r w:rsidR="003A06A1" w:rsidRPr="00425573">
        <w:rPr>
          <w:rFonts w:ascii="Book Antiqua" w:hAnsi="Book Antiqua"/>
          <w:color w:val="000000" w:themeColor="text1"/>
          <w:lang w:val="en-US"/>
        </w:rPr>
        <w:t xml:space="preserve">. </w:t>
      </w:r>
      <w:r w:rsidR="00330DFE" w:rsidRPr="00425573">
        <w:rPr>
          <w:rFonts w:ascii="Book Antiqua" w:hAnsi="Book Antiqua"/>
          <w:color w:val="000000" w:themeColor="text1"/>
          <w:lang w:val="en-US"/>
        </w:rPr>
        <w:t>By this way, the patient could benefit f</w:t>
      </w:r>
      <w:r w:rsidR="005068A7" w:rsidRPr="00425573">
        <w:rPr>
          <w:rFonts w:ascii="Book Antiqua" w:hAnsi="Book Antiqua"/>
          <w:color w:val="000000" w:themeColor="text1"/>
          <w:lang w:val="en-US"/>
        </w:rPr>
        <w:t>rom</w:t>
      </w:r>
      <w:r w:rsidR="00330DFE" w:rsidRPr="00425573">
        <w:rPr>
          <w:rFonts w:ascii="Book Antiqua" w:hAnsi="Book Antiqua"/>
          <w:color w:val="000000" w:themeColor="text1"/>
          <w:lang w:val="en-US"/>
        </w:rPr>
        <w:t xml:space="preserve"> a healthcare approach based on a </w:t>
      </w:r>
      <w:r w:rsidR="0086559B" w:rsidRPr="00425573">
        <w:rPr>
          <w:rFonts w:ascii="Book Antiqua" w:hAnsi="Book Antiqua"/>
          <w:color w:val="000000" w:themeColor="text1"/>
          <w:lang w:val="en-US"/>
        </w:rPr>
        <w:t>multilevel characterization</w:t>
      </w:r>
      <w:r w:rsidR="00330DFE" w:rsidRPr="00425573">
        <w:rPr>
          <w:rFonts w:ascii="Book Antiqua" w:hAnsi="Book Antiqua"/>
          <w:color w:val="000000" w:themeColor="text1"/>
          <w:lang w:val="en-US"/>
        </w:rPr>
        <w:t xml:space="preserve"> of his condition, derived not only by clinical and molecular testing but also by </w:t>
      </w:r>
      <w:r w:rsidR="00872EE1" w:rsidRPr="00425573">
        <w:rPr>
          <w:rFonts w:ascii="Book Antiqua" w:hAnsi="Book Antiqua"/>
          <w:color w:val="000000" w:themeColor="text1"/>
          <w:lang w:val="en-US"/>
        </w:rPr>
        <w:t>his</w:t>
      </w:r>
      <w:r w:rsidR="00330DFE" w:rsidRPr="00425573">
        <w:rPr>
          <w:rFonts w:ascii="Book Antiqua" w:hAnsi="Book Antiqua"/>
          <w:color w:val="000000" w:themeColor="text1"/>
          <w:lang w:val="en-US"/>
        </w:rPr>
        <w:t xml:space="preserve"> </w:t>
      </w:r>
      <w:r w:rsidR="00872EE1" w:rsidRPr="00425573">
        <w:rPr>
          <w:rFonts w:ascii="Book Antiqua" w:hAnsi="Book Antiqua"/>
          <w:color w:val="000000" w:themeColor="text1"/>
          <w:lang w:val="en-US"/>
        </w:rPr>
        <w:t>environmental and social background</w:t>
      </w:r>
      <w:r w:rsidR="005068A7" w:rsidRPr="00425573">
        <w:rPr>
          <w:rFonts w:ascii="Book Antiqua" w:hAnsi="Book Antiqua"/>
          <w:color w:val="000000" w:themeColor="text1"/>
          <w:lang w:val="en-US"/>
        </w:rPr>
        <w:t>s</w:t>
      </w:r>
      <w:r w:rsidR="00872EE1" w:rsidRPr="00425573">
        <w:rPr>
          <w:rFonts w:ascii="Book Antiqua" w:hAnsi="Book Antiqua"/>
          <w:color w:val="000000" w:themeColor="text1"/>
          <w:lang w:val="en-US"/>
        </w:rPr>
        <w:t>.</w:t>
      </w:r>
      <w:r w:rsidR="00C80C11" w:rsidRPr="00425573">
        <w:rPr>
          <w:rFonts w:ascii="Book Antiqua" w:hAnsi="Book Antiqua"/>
          <w:color w:val="000000" w:themeColor="text1"/>
          <w:lang w:val="en-US"/>
        </w:rPr>
        <w:t xml:space="preserve"> </w:t>
      </w:r>
    </w:p>
    <w:p w14:paraId="09AC54B8" w14:textId="77777777" w:rsidR="00336749" w:rsidRPr="00425573" w:rsidRDefault="00336749" w:rsidP="00CC10A4">
      <w:pPr>
        <w:snapToGrid w:val="0"/>
        <w:spacing w:line="360" w:lineRule="auto"/>
        <w:jc w:val="both"/>
        <w:rPr>
          <w:rFonts w:ascii="Book Antiqua" w:hAnsi="Book Antiqua"/>
          <w:color w:val="000000" w:themeColor="text1"/>
          <w:lang w:val="en-US"/>
        </w:rPr>
      </w:pPr>
    </w:p>
    <w:p w14:paraId="11E1F9F7" w14:textId="106D8C06" w:rsidR="0023437D" w:rsidRPr="00425573" w:rsidRDefault="0023437D" w:rsidP="00CC10A4">
      <w:pPr>
        <w:snapToGrid w:val="0"/>
        <w:spacing w:line="360" w:lineRule="auto"/>
        <w:jc w:val="both"/>
        <w:rPr>
          <w:rFonts w:ascii="Book Antiqua" w:hAnsi="Book Antiqua"/>
          <w:color w:val="000000" w:themeColor="text1"/>
          <w:lang w:val="en-US"/>
        </w:rPr>
      </w:pPr>
      <w:r w:rsidRPr="00425573">
        <w:rPr>
          <w:rFonts w:ascii="Book Antiqua" w:hAnsi="Book Antiqua"/>
          <w:b/>
          <w:color w:val="000000" w:themeColor="text1"/>
          <w:lang w:val="en-US"/>
        </w:rPr>
        <w:t>REFERENCES</w:t>
      </w:r>
    </w:p>
    <w:p w14:paraId="2EAD9544"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 </w:t>
      </w:r>
      <w:r w:rsidRPr="00A61C87">
        <w:rPr>
          <w:rFonts w:ascii="Book Antiqua" w:eastAsia="SimSun" w:hAnsi="Book Antiqua" w:cs="Times New Roman"/>
          <w:b/>
          <w:kern w:val="2"/>
          <w:lang w:val="en-US" w:eastAsia="zh-CN"/>
        </w:rPr>
        <w:t>Fiory F</w:t>
      </w:r>
      <w:r w:rsidRPr="00A61C87">
        <w:rPr>
          <w:rFonts w:ascii="Book Antiqua" w:eastAsia="SimSun" w:hAnsi="Book Antiqua" w:cs="Times New Roman"/>
          <w:kern w:val="2"/>
          <w:lang w:val="en-US" w:eastAsia="zh-CN"/>
        </w:rPr>
        <w:t xml:space="preserve">, Perruolo G, Cimmino I, Cabaro S, Pignalosa FC, Miele C, Beguinot F, Formisano P, Oriente F. The Relevance of Insulin Action in the Dopaminergic System. </w:t>
      </w:r>
      <w:r w:rsidRPr="00A61C87">
        <w:rPr>
          <w:rFonts w:ascii="Book Antiqua" w:eastAsia="SimSun" w:hAnsi="Book Antiqua" w:cs="Times New Roman"/>
          <w:i/>
          <w:kern w:val="2"/>
          <w:lang w:val="en-US" w:eastAsia="zh-CN"/>
        </w:rPr>
        <w:t>Front Neurosci</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13</w:t>
      </w:r>
      <w:r w:rsidRPr="00A61C87">
        <w:rPr>
          <w:rFonts w:ascii="Book Antiqua" w:eastAsia="SimSun" w:hAnsi="Book Antiqua" w:cs="Times New Roman"/>
          <w:kern w:val="2"/>
          <w:lang w:val="en-US" w:eastAsia="zh-CN"/>
        </w:rPr>
        <w:t>: 868 [PMID: 31474827 DOI: 10.3389/fnins.2019.00868]</w:t>
      </w:r>
    </w:p>
    <w:p w14:paraId="544416F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 </w:t>
      </w:r>
      <w:r w:rsidRPr="00A61C87">
        <w:rPr>
          <w:rFonts w:ascii="Book Antiqua" w:eastAsia="SimSun" w:hAnsi="Book Antiqua" w:cs="Times New Roman"/>
          <w:b/>
          <w:kern w:val="2"/>
          <w:lang w:val="en-US" w:eastAsia="zh-CN"/>
        </w:rPr>
        <w:t>Chen L</w:t>
      </w:r>
      <w:r w:rsidRPr="00A61C87">
        <w:rPr>
          <w:rFonts w:ascii="Book Antiqua" w:eastAsia="SimSun" w:hAnsi="Book Antiqua" w:cs="Times New Roman"/>
          <w:kern w:val="2"/>
          <w:lang w:val="en-US" w:eastAsia="zh-CN"/>
        </w:rPr>
        <w:t xml:space="preserve">, Magliano DJ, Zimmet PZ. The worldwide epidemiology of type 2 diabetes mellitus--present and future perspectives. </w:t>
      </w:r>
      <w:r w:rsidRPr="00A61C87">
        <w:rPr>
          <w:rFonts w:ascii="Book Antiqua" w:eastAsia="SimSun" w:hAnsi="Book Antiqua" w:cs="Times New Roman"/>
          <w:i/>
          <w:kern w:val="2"/>
          <w:lang w:val="en-US" w:eastAsia="zh-CN"/>
        </w:rPr>
        <w:t>Nat Rev Endocrinol</w:t>
      </w:r>
      <w:r w:rsidRPr="00A61C87">
        <w:rPr>
          <w:rFonts w:ascii="Book Antiqua" w:eastAsia="SimSun" w:hAnsi="Book Antiqua" w:cs="Times New Roman"/>
          <w:kern w:val="2"/>
          <w:lang w:val="en-US" w:eastAsia="zh-CN"/>
        </w:rPr>
        <w:t xml:space="preserve"> 2011; </w:t>
      </w:r>
      <w:r w:rsidRPr="00A61C87">
        <w:rPr>
          <w:rFonts w:ascii="Book Antiqua" w:eastAsia="SimSun" w:hAnsi="Book Antiqua" w:cs="Times New Roman"/>
          <w:b/>
          <w:kern w:val="2"/>
          <w:lang w:val="en-US" w:eastAsia="zh-CN"/>
        </w:rPr>
        <w:t>8</w:t>
      </w:r>
      <w:r w:rsidRPr="00A61C87">
        <w:rPr>
          <w:rFonts w:ascii="Book Antiqua" w:eastAsia="SimSun" w:hAnsi="Book Antiqua" w:cs="Times New Roman"/>
          <w:kern w:val="2"/>
          <w:lang w:val="en-US" w:eastAsia="zh-CN"/>
        </w:rPr>
        <w:t>: 228-236 [PMID: 22064493 DOI: 10.1038/nrendo.2011.183]</w:t>
      </w:r>
    </w:p>
    <w:p w14:paraId="5330C8BB"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 </w:t>
      </w:r>
      <w:r w:rsidRPr="00A61C87">
        <w:rPr>
          <w:rFonts w:ascii="Book Antiqua" w:eastAsia="SimSun" w:hAnsi="Book Antiqua" w:cs="Times New Roman"/>
          <w:b/>
          <w:kern w:val="2"/>
          <w:lang w:val="en-US" w:eastAsia="zh-CN"/>
        </w:rPr>
        <w:t>Bullard KM</w:t>
      </w:r>
      <w:r w:rsidRPr="00A61C87">
        <w:rPr>
          <w:rFonts w:ascii="Book Antiqua" w:eastAsia="SimSun" w:hAnsi="Book Antiqua" w:cs="Times New Roman"/>
          <w:kern w:val="2"/>
          <w:lang w:val="en-US" w:eastAsia="zh-CN"/>
        </w:rPr>
        <w:t xml:space="preserve">, Cowie CC, Lessem SE, Saydah SH, Menke A, Geiss LS, Orchard TJ, Rolka DB, Imperatore G. Prevalence of Diagnosed Diabetes in Adults by Diabetes Type - United States, 2016. </w:t>
      </w:r>
      <w:r w:rsidRPr="00A61C87">
        <w:rPr>
          <w:rFonts w:ascii="Book Antiqua" w:eastAsia="SimSun" w:hAnsi="Book Antiqua" w:cs="Times New Roman"/>
          <w:i/>
          <w:kern w:val="2"/>
          <w:lang w:val="en-US" w:eastAsia="zh-CN"/>
        </w:rPr>
        <w:t>MMWR Morb Mortal Wkly Rep</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67</w:t>
      </w:r>
      <w:r w:rsidRPr="00A61C87">
        <w:rPr>
          <w:rFonts w:ascii="Book Antiqua" w:eastAsia="SimSun" w:hAnsi="Book Antiqua" w:cs="Times New Roman"/>
          <w:kern w:val="2"/>
          <w:lang w:val="en-US" w:eastAsia="zh-CN"/>
        </w:rPr>
        <w:t>: 359-361 [PMID: 29596402 DOI: 10.15585/mmwr.mm6712a2]</w:t>
      </w:r>
    </w:p>
    <w:p w14:paraId="11919C15"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 </w:t>
      </w:r>
      <w:r w:rsidRPr="00A61C87">
        <w:rPr>
          <w:rFonts w:ascii="Book Antiqua" w:eastAsia="SimSun" w:hAnsi="Book Antiqua" w:cs="Times New Roman"/>
          <w:b/>
          <w:kern w:val="2"/>
          <w:lang w:val="en-US" w:eastAsia="zh-CN"/>
        </w:rPr>
        <w:t>Jeong SU</w:t>
      </w:r>
      <w:r w:rsidRPr="00A61C87">
        <w:rPr>
          <w:rFonts w:ascii="Book Antiqua" w:eastAsia="SimSun" w:hAnsi="Book Antiqua" w:cs="Times New Roman"/>
          <w:kern w:val="2"/>
          <w:lang w:val="en-US" w:eastAsia="zh-CN"/>
        </w:rPr>
        <w:t xml:space="preserve">, Kang DG, Lee DH, Lee KW, Lim DM, Kim BJ, Park KY, Chin HJ, Koh G. Clinical Characteristics of Type 2 Diabetes Patients according to Family History of Diabetes. </w:t>
      </w:r>
      <w:r w:rsidRPr="00A61C87">
        <w:rPr>
          <w:rFonts w:ascii="Book Antiqua" w:eastAsia="SimSun" w:hAnsi="Book Antiqua" w:cs="Times New Roman"/>
          <w:i/>
          <w:kern w:val="2"/>
          <w:lang w:val="en-US" w:eastAsia="zh-CN"/>
        </w:rPr>
        <w:t>Korean Diabetes J</w:t>
      </w:r>
      <w:r w:rsidRPr="00A61C87">
        <w:rPr>
          <w:rFonts w:ascii="Book Antiqua" w:eastAsia="SimSun" w:hAnsi="Book Antiqua" w:cs="Times New Roman"/>
          <w:kern w:val="2"/>
          <w:lang w:val="en-US" w:eastAsia="zh-CN"/>
        </w:rPr>
        <w:t xml:space="preserve"> 2010; </w:t>
      </w:r>
      <w:r w:rsidRPr="00A61C87">
        <w:rPr>
          <w:rFonts w:ascii="Book Antiqua" w:eastAsia="SimSun" w:hAnsi="Book Antiqua" w:cs="Times New Roman"/>
          <w:b/>
          <w:kern w:val="2"/>
          <w:lang w:val="en-US" w:eastAsia="zh-CN"/>
        </w:rPr>
        <w:t>34</w:t>
      </w:r>
      <w:r w:rsidRPr="00A61C87">
        <w:rPr>
          <w:rFonts w:ascii="Book Antiqua" w:eastAsia="SimSun" w:hAnsi="Book Antiqua" w:cs="Times New Roman"/>
          <w:kern w:val="2"/>
          <w:lang w:val="en-US" w:eastAsia="zh-CN"/>
        </w:rPr>
        <w:t>: 222-228 [PMID: 20835339 DOI: 10.4093/kdj.2010.34.4.222]</w:t>
      </w:r>
    </w:p>
    <w:p w14:paraId="1A1D858F"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lastRenderedPageBreak/>
        <w:t xml:space="preserve">5 </w:t>
      </w:r>
      <w:r w:rsidRPr="00A61C87">
        <w:rPr>
          <w:rFonts w:ascii="Book Antiqua" w:eastAsia="SimSun" w:hAnsi="Book Antiqua" w:cs="Times New Roman"/>
          <w:b/>
          <w:kern w:val="2"/>
          <w:lang w:val="en-US" w:eastAsia="zh-CN"/>
        </w:rPr>
        <w:t>Erkkinen MG</w:t>
      </w:r>
      <w:r w:rsidRPr="00A61C87">
        <w:rPr>
          <w:rFonts w:ascii="Book Antiqua" w:eastAsia="SimSun" w:hAnsi="Book Antiqua" w:cs="Times New Roman"/>
          <w:kern w:val="2"/>
          <w:lang w:val="en-US" w:eastAsia="zh-CN"/>
        </w:rPr>
        <w:t xml:space="preserve">, Kim MO, Geschwind MD. Clinical Neurology and Epidemiology of the Major Neurodegenerative Diseases. </w:t>
      </w:r>
      <w:r w:rsidRPr="00A61C87">
        <w:rPr>
          <w:rFonts w:ascii="Book Antiqua" w:eastAsia="SimSun" w:hAnsi="Book Antiqua" w:cs="Times New Roman"/>
          <w:i/>
          <w:kern w:val="2"/>
          <w:lang w:val="en-US" w:eastAsia="zh-CN"/>
        </w:rPr>
        <w:t>Cold Spring Harb Perspect Biol</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10</w:t>
      </w:r>
      <w:r w:rsidRPr="00A61C87">
        <w:rPr>
          <w:rFonts w:ascii="Book Antiqua" w:eastAsia="SimSun" w:hAnsi="Book Antiqua" w:cs="Times New Roman"/>
          <w:kern w:val="2"/>
          <w:lang w:val="en-US" w:eastAsia="zh-CN"/>
        </w:rPr>
        <w:t>:  [PMID: 28716886 DOI: 10.1101/cshperspect.a033118]</w:t>
      </w:r>
    </w:p>
    <w:p w14:paraId="79996DB4"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 </w:t>
      </w:r>
      <w:r w:rsidRPr="00A61C87">
        <w:rPr>
          <w:rFonts w:ascii="Book Antiqua" w:eastAsia="SimSun" w:hAnsi="Book Antiqua" w:cs="Times New Roman"/>
          <w:b/>
          <w:kern w:val="2"/>
          <w:lang w:val="en-US" w:eastAsia="zh-CN"/>
        </w:rPr>
        <w:t>Pierce AL</w:t>
      </w:r>
      <w:r w:rsidRPr="00A61C87">
        <w:rPr>
          <w:rFonts w:ascii="Book Antiqua" w:eastAsia="SimSun" w:hAnsi="Book Antiqua" w:cs="Times New Roman"/>
          <w:kern w:val="2"/>
          <w:lang w:val="en-US" w:eastAsia="zh-CN"/>
        </w:rPr>
        <w:t xml:space="preserve">, Bullain SS, Kawas CH. Late-Onset Alzheimer Disease. </w:t>
      </w:r>
      <w:r w:rsidRPr="00A61C87">
        <w:rPr>
          <w:rFonts w:ascii="Book Antiqua" w:eastAsia="SimSun" w:hAnsi="Book Antiqua" w:cs="Times New Roman"/>
          <w:i/>
          <w:kern w:val="2"/>
          <w:lang w:val="en-US" w:eastAsia="zh-CN"/>
        </w:rPr>
        <w:t>Neurol Clin</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35</w:t>
      </w:r>
      <w:r w:rsidRPr="00A61C87">
        <w:rPr>
          <w:rFonts w:ascii="Book Antiqua" w:eastAsia="SimSun" w:hAnsi="Book Antiqua" w:cs="Times New Roman"/>
          <w:kern w:val="2"/>
          <w:lang w:val="en-US" w:eastAsia="zh-CN"/>
        </w:rPr>
        <w:t>: 283-293 [PMID: 28410660 DOI: 10.1016/j.ncl.2017.01.006]</w:t>
      </w:r>
    </w:p>
    <w:p w14:paraId="0E12796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7 </w:t>
      </w:r>
      <w:r w:rsidRPr="00A61C87">
        <w:rPr>
          <w:rFonts w:ascii="Book Antiqua" w:eastAsia="SimSun" w:hAnsi="Book Antiqua" w:cs="Times New Roman"/>
          <w:b/>
          <w:kern w:val="2"/>
          <w:lang w:val="en-US" w:eastAsia="zh-CN"/>
        </w:rPr>
        <w:t>Chatterjee S</w:t>
      </w:r>
      <w:r w:rsidRPr="00A61C87">
        <w:rPr>
          <w:rFonts w:ascii="Book Antiqua" w:eastAsia="SimSun" w:hAnsi="Book Antiqua" w:cs="Times New Roman"/>
          <w:kern w:val="2"/>
          <w:lang w:val="en-US" w:eastAsia="zh-CN"/>
        </w:rPr>
        <w:t xml:space="preserve">, Mudher A. Alzheimer's Disease and Type 2 Diabetes: A Critical Assessment of the Shared Pathological Traits. </w:t>
      </w:r>
      <w:r w:rsidRPr="00A61C87">
        <w:rPr>
          <w:rFonts w:ascii="Book Antiqua" w:eastAsia="SimSun" w:hAnsi="Book Antiqua" w:cs="Times New Roman"/>
          <w:i/>
          <w:kern w:val="2"/>
          <w:lang w:val="en-US" w:eastAsia="zh-CN"/>
        </w:rPr>
        <w:t>Front Neurosci</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12</w:t>
      </w:r>
      <w:r w:rsidRPr="00A61C87">
        <w:rPr>
          <w:rFonts w:ascii="Book Antiqua" w:eastAsia="SimSun" w:hAnsi="Book Antiqua" w:cs="Times New Roman"/>
          <w:kern w:val="2"/>
          <w:lang w:val="en-US" w:eastAsia="zh-CN"/>
        </w:rPr>
        <w:t>: 383 [PMID: 29950970 DOI: 10.3389/fnins.2018.00383]</w:t>
      </w:r>
    </w:p>
    <w:p w14:paraId="75C8CE6B"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8 </w:t>
      </w:r>
      <w:r w:rsidRPr="00A61C87">
        <w:rPr>
          <w:rFonts w:ascii="Book Antiqua" w:eastAsia="SimSun" w:hAnsi="Book Antiqua" w:cs="Times New Roman"/>
          <w:b/>
          <w:kern w:val="2"/>
          <w:lang w:val="en-US" w:eastAsia="zh-CN"/>
        </w:rPr>
        <w:t>Lanoiselée HM</w:t>
      </w:r>
      <w:r w:rsidRPr="00A61C87">
        <w:rPr>
          <w:rFonts w:ascii="Book Antiqua" w:eastAsia="SimSun" w:hAnsi="Book Antiqua" w:cs="Times New Roman"/>
          <w:kern w:val="2"/>
          <w:lang w:val="en-US" w:eastAsia="zh-CN"/>
        </w:rPr>
        <w:t xml:space="preserve">, Nicolas G, Wallon D, Rovelet-Lecrux A, Lacour M, Rousseau S, Richard AC, Pasquier F, Rollin-Sillaire A, Martinaud O, Quillard-Muraine M, de la Sayette V, Boutoleau-Bretonniere C, Etcharry-Bouyx F, Chauviré V, Sarazin M, le Ber I, Epelbaum S, Jonveaux T, Rouaud O, Ceccaldi M, Félician O, Godefroy O, Formaglio M, Croisile B, Auriacombe S, Chamard L, Vincent JL, Sauvée M, Marelli-Tosi C, Gabelle A, Ozsancak C, Pariente J, Paquet C, Hannequin D, Campion D; collaborators of the CNR-MAJ project. APP, PSEN1, and PSEN2 mutations in early-onset Alzheimer disease: A genetic screening study of familial and sporadic cases. </w:t>
      </w:r>
      <w:r w:rsidRPr="00A61C87">
        <w:rPr>
          <w:rFonts w:ascii="Book Antiqua" w:eastAsia="SimSun" w:hAnsi="Book Antiqua" w:cs="Times New Roman"/>
          <w:i/>
          <w:kern w:val="2"/>
          <w:lang w:val="en-US" w:eastAsia="zh-CN"/>
        </w:rPr>
        <w:t>PLoS Med</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14</w:t>
      </w:r>
      <w:r w:rsidRPr="00A61C87">
        <w:rPr>
          <w:rFonts w:ascii="Book Antiqua" w:eastAsia="SimSun" w:hAnsi="Book Antiqua" w:cs="Times New Roman"/>
          <w:kern w:val="2"/>
          <w:lang w:val="en-US" w:eastAsia="zh-CN"/>
        </w:rPr>
        <w:t>: e1002270 [PMID: 28350801 DOI: 10.1371/journal.pmed.1002270]</w:t>
      </w:r>
    </w:p>
    <w:p w14:paraId="33A3C2D4"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9 </w:t>
      </w:r>
      <w:r w:rsidRPr="00A61C87">
        <w:rPr>
          <w:rFonts w:ascii="Book Antiqua" w:eastAsia="SimSun" w:hAnsi="Book Antiqua" w:cs="Times New Roman"/>
          <w:b/>
          <w:kern w:val="2"/>
          <w:lang w:val="en-US" w:eastAsia="zh-CN"/>
        </w:rPr>
        <w:t>Condello C</w:t>
      </w:r>
      <w:r w:rsidRPr="00A61C87">
        <w:rPr>
          <w:rFonts w:ascii="Book Antiqua" w:eastAsia="SimSun" w:hAnsi="Book Antiqua" w:cs="Times New Roman"/>
          <w:kern w:val="2"/>
          <w:lang w:val="en-US" w:eastAsia="zh-CN"/>
        </w:rPr>
        <w:t xml:space="preserve">, Stöehr J. Aβ propagation and strains: Implications for the phenotypic diversity in Alzheimer's disease. </w:t>
      </w:r>
      <w:r w:rsidRPr="00A61C87">
        <w:rPr>
          <w:rFonts w:ascii="Book Antiqua" w:eastAsia="SimSun" w:hAnsi="Book Antiqua" w:cs="Times New Roman"/>
          <w:i/>
          <w:kern w:val="2"/>
          <w:lang w:val="en-US" w:eastAsia="zh-CN"/>
        </w:rPr>
        <w:t>Neurobiol Dis</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109</w:t>
      </w:r>
      <w:r w:rsidRPr="00A61C87">
        <w:rPr>
          <w:rFonts w:ascii="Book Antiqua" w:eastAsia="SimSun" w:hAnsi="Book Antiqua" w:cs="Times New Roman"/>
          <w:kern w:val="2"/>
          <w:lang w:val="en-US" w:eastAsia="zh-CN"/>
        </w:rPr>
        <w:t>: 191-200 [PMID: 28359847 DOI: 10.1016/j.nbd.2017.03.014]</w:t>
      </w:r>
    </w:p>
    <w:p w14:paraId="2C75FE7B"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10 </w:t>
      </w:r>
      <w:r w:rsidRPr="00A61C87">
        <w:rPr>
          <w:rFonts w:ascii="Book Antiqua" w:eastAsia="SimSun" w:hAnsi="Book Antiqua" w:cs="Times New Roman"/>
          <w:b/>
          <w:kern w:val="2"/>
          <w:lang w:val="en-US" w:eastAsia="zh-CN"/>
        </w:rPr>
        <w:t>Naj AC</w:t>
      </w:r>
      <w:r w:rsidRPr="00A61C87">
        <w:rPr>
          <w:rFonts w:ascii="Book Antiqua" w:eastAsia="SimSun" w:hAnsi="Book Antiqua" w:cs="Times New Roman"/>
          <w:kern w:val="2"/>
          <w:lang w:val="en-US" w:eastAsia="zh-CN"/>
        </w:rPr>
        <w:t xml:space="preserve">, Schellenberg GD; Alzheimer's Disease Genetics Consortium (ADGC). Genomic variants, genes, and pathways of Alzheimer's disease: An overview. </w:t>
      </w:r>
      <w:r w:rsidRPr="00A61C87">
        <w:rPr>
          <w:rFonts w:ascii="Book Antiqua" w:eastAsia="SimSun" w:hAnsi="Book Antiqua" w:cs="Times New Roman"/>
          <w:i/>
          <w:kern w:val="2"/>
          <w:lang w:val="en-US" w:eastAsia="zh-CN"/>
        </w:rPr>
        <w:t>Am J Med Genet B Neuropsychiatr Genet</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174</w:t>
      </w:r>
      <w:r w:rsidRPr="00A61C87">
        <w:rPr>
          <w:rFonts w:ascii="Book Antiqua" w:eastAsia="SimSun" w:hAnsi="Book Antiqua" w:cs="Times New Roman"/>
          <w:kern w:val="2"/>
          <w:lang w:val="en-US" w:eastAsia="zh-CN"/>
        </w:rPr>
        <w:t>: 5-26 [PMID: 27943641 DOI: 10.1002/ajmg.b.32499]</w:t>
      </w:r>
    </w:p>
    <w:p w14:paraId="45B088C1"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11 </w:t>
      </w:r>
      <w:r w:rsidRPr="00A61C87">
        <w:rPr>
          <w:rFonts w:ascii="Book Antiqua" w:eastAsia="SimSun" w:hAnsi="Book Antiqua" w:cs="Times New Roman"/>
          <w:b/>
          <w:kern w:val="2"/>
          <w:lang w:val="en-US" w:eastAsia="zh-CN"/>
        </w:rPr>
        <w:t>Cimler R</w:t>
      </w:r>
      <w:r w:rsidRPr="00A61C87">
        <w:rPr>
          <w:rFonts w:ascii="Book Antiqua" w:eastAsia="SimSun" w:hAnsi="Book Antiqua" w:cs="Times New Roman"/>
          <w:kern w:val="2"/>
          <w:lang w:val="en-US" w:eastAsia="zh-CN"/>
        </w:rPr>
        <w:t xml:space="preserve">, Maresova P, Kuhnova J, Kuca K. Predictions of Alzheimer's disease treatment and care costs in European countries. </w:t>
      </w:r>
      <w:r w:rsidRPr="00A61C87">
        <w:rPr>
          <w:rFonts w:ascii="Book Antiqua" w:eastAsia="SimSun" w:hAnsi="Book Antiqua" w:cs="Times New Roman"/>
          <w:i/>
          <w:kern w:val="2"/>
          <w:lang w:val="en-US" w:eastAsia="zh-CN"/>
        </w:rPr>
        <w:t>PLoS One</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14</w:t>
      </w:r>
      <w:r w:rsidRPr="00A61C87">
        <w:rPr>
          <w:rFonts w:ascii="Book Antiqua" w:eastAsia="SimSun" w:hAnsi="Book Antiqua" w:cs="Times New Roman"/>
          <w:kern w:val="2"/>
          <w:lang w:val="en-US" w:eastAsia="zh-CN"/>
        </w:rPr>
        <w:t>: e0210958 [PMID: 30682120 DOI: 10.1371/journal.pone.0210958]</w:t>
      </w:r>
    </w:p>
    <w:p w14:paraId="207B265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12 </w:t>
      </w:r>
      <w:r w:rsidRPr="00A61C87">
        <w:rPr>
          <w:rFonts w:ascii="Book Antiqua" w:eastAsia="SimSun" w:hAnsi="Book Antiqua" w:cs="Times New Roman"/>
          <w:b/>
          <w:kern w:val="2"/>
          <w:lang w:val="en-US" w:eastAsia="zh-CN"/>
        </w:rPr>
        <w:t>Bloom BS</w:t>
      </w:r>
      <w:r w:rsidRPr="00A61C87">
        <w:rPr>
          <w:rFonts w:ascii="Book Antiqua" w:eastAsia="SimSun" w:hAnsi="Book Antiqua" w:cs="Times New Roman"/>
          <w:kern w:val="2"/>
          <w:lang w:val="en-US" w:eastAsia="zh-CN"/>
        </w:rPr>
        <w:t xml:space="preserve">, de Pouvourville N, Straus WL. Cost of illness of Alzheimer's disease: how useful are current estimates? </w:t>
      </w:r>
      <w:r w:rsidRPr="00A61C87">
        <w:rPr>
          <w:rFonts w:ascii="Book Antiqua" w:eastAsia="SimSun" w:hAnsi="Book Antiqua" w:cs="Times New Roman"/>
          <w:i/>
          <w:kern w:val="2"/>
          <w:lang w:val="en-US" w:eastAsia="zh-CN"/>
        </w:rPr>
        <w:t>Gerontologist</w:t>
      </w:r>
      <w:r w:rsidRPr="00A61C87">
        <w:rPr>
          <w:rFonts w:ascii="Book Antiqua" w:eastAsia="SimSun" w:hAnsi="Book Antiqua" w:cs="Times New Roman"/>
          <w:kern w:val="2"/>
          <w:lang w:val="en-US" w:eastAsia="zh-CN"/>
        </w:rPr>
        <w:t xml:space="preserve"> 2003; </w:t>
      </w:r>
      <w:r w:rsidRPr="00A61C87">
        <w:rPr>
          <w:rFonts w:ascii="Book Antiqua" w:eastAsia="SimSun" w:hAnsi="Book Antiqua" w:cs="Times New Roman"/>
          <w:b/>
          <w:kern w:val="2"/>
          <w:lang w:val="en-US" w:eastAsia="zh-CN"/>
        </w:rPr>
        <w:t>43</w:t>
      </w:r>
      <w:r w:rsidRPr="00A61C87">
        <w:rPr>
          <w:rFonts w:ascii="Book Antiqua" w:eastAsia="SimSun" w:hAnsi="Book Antiqua" w:cs="Times New Roman"/>
          <w:kern w:val="2"/>
          <w:lang w:val="en-US" w:eastAsia="zh-CN"/>
        </w:rPr>
        <w:t>: 158-164 [PMID: 12677073 DOI: 10.1093/geront/43.2.158]</w:t>
      </w:r>
    </w:p>
    <w:p w14:paraId="2F798881"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13 </w:t>
      </w:r>
      <w:r w:rsidRPr="00A61C87">
        <w:rPr>
          <w:rFonts w:ascii="Book Antiqua" w:eastAsia="SimSun" w:hAnsi="Book Antiqua" w:cs="Times New Roman"/>
          <w:b/>
          <w:kern w:val="2"/>
          <w:lang w:val="en-US" w:eastAsia="zh-CN"/>
        </w:rPr>
        <w:t>Tysnes OB</w:t>
      </w:r>
      <w:r w:rsidRPr="00A61C87">
        <w:rPr>
          <w:rFonts w:ascii="Book Antiqua" w:eastAsia="SimSun" w:hAnsi="Book Antiqua" w:cs="Times New Roman"/>
          <w:kern w:val="2"/>
          <w:lang w:val="en-US" w:eastAsia="zh-CN"/>
        </w:rPr>
        <w:t xml:space="preserve">, Storstein A. Epidemiology of Parkinson's disease. </w:t>
      </w:r>
      <w:r w:rsidRPr="00A61C87">
        <w:rPr>
          <w:rFonts w:ascii="Book Antiqua" w:eastAsia="SimSun" w:hAnsi="Book Antiqua" w:cs="Times New Roman"/>
          <w:i/>
          <w:kern w:val="2"/>
          <w:lang w:val="en-US" w:eastAsia="zh-CN"/>
        </w:rPr>
        <w:t>J Neural Transm (Vienna)</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124</w:t>
      </w:r>
      <w:r w:rsidRPr="00A61C87">
        <w:rPr>
          <w:rFonts w:ascii="Book Antiqua" w:eastAsia="SimSun" w:hAnsi="Book Antiqua" w:cs="Times New Roman"/>
          <w:kern w:val="2"/>
          <w:lang w:val="en-US" w:eastAsia="zh-CN"/>
        </w:rPr>
        <w:t>: 901-905 [PMID: 28150045 DOI: 10.1007/s00702-017-1686-y]</w:t>
      </w:r>
    </w:p>
    <w:p w14:paraId="6476949A"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lastRenderedPageBreak/>
        <w:t xml:space="preserve">14 </w:t>
      </w:r>
      <w:r w:rsidRPr="00A61C87">
        <w:rPr>
          <w:rFonts w:ascii="Book Antiqua" w:eastAsia="SimSun" w:hAnsi="Book Antiqua" w:cs="Times New Roman"/>
          <w:b/>
          <w:kern w:val="2"/>
          <w:lang w:val="en-US" w:eastAsia="zh-CN"/>
        </w:rPr>
        <w:t>Reeve A</w:t>
      </w:r>
      <w:r w:rsidRPr="00A61C87">
        <w:rPr>
          <w:rFonts w:ascii="Book Antiqua" w:eastAsia="SimSun" w:hAnsi="Book Antiqua" w:cs="Times New Roman"/>
          <w:kern w:val="2"/>
          <w:lang w:val="en-US" w:eastAsia="zh-CN"/>
        </w:rPr>
        <w:t xml:space="preserve">, Simcox E, Turnbull D. Ageing and Parkinson's disease: why is advancing age the biggest risk factor? </w:t>
      </w:r>
      <w:r w:rsidRPr="00A61C87">
        <w:rPr>
          <w:rFonts w:ascii="Book Antiqua" w:eastAsia="SimSun" w:hAnsi="Book Antiqua" w:cs="Times New Roman"/>
          <w:i/>
          <w:kern w:val="2"/>
          <w:lang w:val="en-US" w:eastAsia="zh-CN"/>
        </w:rPr>
        <w:t>Ageing Res Rev</w:t>
      </w:r>
      <w:r w:rsidRPr="00A61C87">
        <w:rPr>
          <w:rFonts w:ascii="Book Antiqua" w:eastAsia="SimSun" w:hAnsi="Book Antiqua" w:cs="Times New Roman"/>
          <w:kern w:val="2"/>
          <w:lang w:val="en-US" w:eastAsia="zh-CN"/>
        </w:rPr>
        <w:t xml:space="preserve"> 2014; </w:t>
      </w:r>
      <w:r w:rsidRPr="00A61C87">
        <w:rPr>
          <w:rFonts w:ascii="Book Antiqua" w:eastAsia="SimSun" w:hAnsi="Book Antiqua" w:cs="Times New Roman"/>
          <w:b/>
          <w:kern w:val="2"/>
          <w:lang w:val="en-US" w:eastAsia="zh-CN"/>
        </w:rPr>
        <w:t>14</w:t>
      </w:r>
      <w:r w:rsidRPr="00A61C87">
        <w:rPr>
          <w:rFonts w:ascii="Book Antiqua" w:eastAsia="SimSun" w:hAnsi="Book Antiqua" w:cs="Times New Roman"/>
          <w:kern w:val="2"/>
          <w:lang w:val="en-US" w:eastAsia="zh-CN"/>
        </w:rPr>
        <w:t>: 19-30 [PMID: 24503004 DOI: 10.1016/j.arr.2014.01.004]</w:t>
      </w:r>
    </w:p>
    <w:p w14:paraId="342FCCAF"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15 </w:t>
      </w:r>
      <w:r w:rsidRPr="00A61C87">
        <w:rPr>
          <w:rFonts w:ascii="Book Antiqua" w:eastAsia="SimSun" w:hAnsi="Book Antiqua" w:cs="Times New Roman"/>
          <w:b/>
          <w:kern w:val="2"/>
          <w:lang w:val="en-US" w:eastAsia="zh-CN"/>
        </w:rPr>
        <w:t>Verma M</w:t>
      </w:r>
      <w:r w:rsidRPr="00A61C87">
        <w:rPr>
          <w:rFonts w:ascii="Book Antiqua" w:eastAsia="SimSun" w:hAnsi="Book Antiqua" w:cs="Times New Roman"/>
          <w:kern w:val="2"/>
          <w:lang w:val="en-US" w:eastAsia="zh-CN"/>
        </w:rPr>
        <w:t xml:space="preserve">, Steer EK, Chu CT. ERKed by LRRK2: a cell biological perspective on hereditary and sporadic Parkinson's disease. </w:t>
      </w:r>
      <w:r w:rsidRPr="00A61C87">
        <w:rPr>
          <w:rFonts w:ascii="Book Antiqua" w:eastAsia="SimSun" w:hAnsi="Book Antiqua" w:cs="Times New Roman"/>
          <w:i/>
          <w:kern w:val="2"/>
          <w:lang w:val="en-US" w:eastAsia="zh-CN"/>
        </w:rPr>
        <w:t>Biochim Biophys Acta</w:t>
      </w:r>
      <w:r w:rsidRPr="00A61C87">
        <w:rPr>
          <w:rFonts w:ascii="Book Antiqua" w:eastAsia="SimSun" w:hAnsi="Book Antiqua" w:cs="Times New Roman"/>
          <w:kern w:val="2"/>
          <w:lang w:val="en-US" w:eastAsia="zh-CN"/>
        </w:rPr>
        <w:t xml:space="preserve"> 2014; </w:t>
      </w:r>
      <w:r w:rsidRPr="00A61C87">
        <w:rPr>
          <w:rFonts w:ascii="Book Antiqua" w:eastAsia="SimSun" w:hAnsi="Book Antiqua" w:cs="Times New Roman"/>
          <w:b/>
          <w:kern w:val="2"/>
          <w:lang w:val="en-US" w:eastAsia="zh-CN"/>
        </w:rPr>
        <w:t>1842</w:t>
      </w:r>
      <w:r w:rsidRPr="00A61C87">
        <w:rPr>
          <w:rFonts w:ascii="Book Antiqua" w:eastAsia="SimSun" w:hAnsi="Book Antiqua" w:cs="Times New Roman"/>
          <w:kern w:val="2"/>
          <w:lang w:val="en-US" w:eastAsia="zh-CN"/>
        </w:rPr>
        <w:t>: 1273-1281 [PMID: 24225420 DOI: 10.1016/j.bbadis.2013.11.005]</w:t>
      </w:r>
    </w:p>
    <w:p w14:paraId="28CC2F44"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16 </w:t>
      </w:r>
      <w:r w:rsidRPr="00A61C87">
        <w:rPr>
          <w:rFonts w:ascii="Book Antiqua" w:eastAsia="SimSun" w:hAnsi="Book Antiqua" w:cs="Times New Roman"/>
          <w:b/>
          <w:kern w:val="2"/>
          <w:lang w:val="en-US" w:eastAsia="zh-CN"/>
        </w:rPr>
        <w:t>Shapira AL</w:t>
      </w:r>
      <w:r w:rsidRPr="00A61C87">
        <w:rPr>
          <w:rFonts w:ascii="Book Antiqua" w:eastAsia="SimSun" w:hAnsi="Book Antiqua" w:cs="Times New Roman"/>
          <w:kern w:val="2"/>
          <w:lang w:val="en-US" w:eastAsia="zh-CN"/>
        </w:rPr>
        <w:t xml:space="preserve">, Handzel R, Korczyn AD. The Lived Experience of Parkinson's Disease: A Content Analysis of Parkinson's Patients' Blogs. </w:t>
      </w:r>
      <w:r w:rsidRPr="00A61C87">
        <w:rPr>
          <w:rFonts w:ascii="Book Antiqua" w:eastAsia="SimSun" w:hAnsi="Book Antiqua" w:cs="Times New Roman"/>
          <w:i/>
          <w:kern w:val="2"/>
          <w:lang w:val="en-US" w:eastAsia="zh-CN"/>
        </w:rPr>
        <w:t>Isr Med Assoc J</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19</w:t>
      </w:r>
      <w:r w:rsidRPr="00A61C87">
        <w:rPr>
          <w:rFonts w:ascii="Book Antiqua" w:eastAsia="SimSun" w:hAnsi="Book Antiqua" w:cs="Times New Roman"/>
          <w:kern w:val="2"/>
          <w:lang w:val="en-US" w:eastAsia="zh-CN"/>
        </w:rPr>
        <w:t>: 685-690 [PMID: 29185282]</w:t>
      </w:r>
    </w:p>
    <w:p w14:paraId="3C3E077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17 </w:t>
      </w:r>
      <w:r w:rsidRPr="00A61C87">
        <w:rPr>
          <w:rFonts w:ascii="Book Antiqua" w:eastAsia="SimSun" w:hAnsi="Book Antiqua" w:cs="Times New Roman"/>
          <w:b/>
          <w:kern w:val="2"/>
          <w:lang w:val="en-US" w:eastAsia="zh-CN"/>
        </w:rPr>
        <w:t>Strafella C</w:t>
      </w:r>
      <w:r w:rsidRPr="00A61C87">
        <w:rPr>
          <w:rFonts w:ascii="Book Antiqua" w:eastAsia="SimSun" w:hAnsi="Book Antiqua" w:cs="Times New Roman"/>
          <w:kern w:val="2"/>
          <w:lang w:val="en-US" w:eastAsia="zh-CN"/>
        </w:rPr>
        <w:t xml:space="preserve">, Caputo V, Galota MR, Zampatti S, Marella G, Mauriello S, Cascella R, Giardina E. Application of Precision Medicine in Neurodegenerative Diseases. </w:t>
      </w:r>
      <w:r w:rsidRPr="00A61C87">
        <w:rPr>
          <w:rFonts w:ascii="Book Antiqua" w:eastAsia="SimSun" w:hAnsi="Book Antiqua" w:cs="Times New Roman"/>
          <w:i/>
          <w:kern w:val="2"/>
          <w:lang w:val="en-US" w:eastAsia="zh-CN"/>
        </w:rPr>
        <w:t>Front Neurol</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9</w:t>
      </w:r>
      <w:r w:rsidRPr="00A61C87">
        <w:rPr>
          <w:rFonts w:ascii="Book Antiqua" w:eastAsia="SimSun" w:hAnsi="Book Antiqua" w:cs="Times New Roman"/>
          <w:kern w:val="2"/>
          <w:lang w:val="en-US" w:eastAsia="zh-CN"/>
        </w:rPr>
        <w:t>: 701 [PMID: 30190701 DOI: 10.3389/fneur.2018.00701]</w:t>
      </w:r>
    </w:p>
    <w:p w14:paraId="32B03552"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18 </w:t>
      </w:r>
      <w:r w:rsidRPr="00A61C87">
        <w:rPr>
          <w:rFonts w:ascii="Book Antiqua" w:eastAsia="SimSun" w:hAnsi="Book Antiqua" w:cs="Times New Roman"/>
          <w:b/>
          <w:kern w:val="2"/>
          <w:lang w:val="en-US" w:eastAsia="zh-CN"/>
        </w:rPr>
        <w:t>Kumar B</w:t>
      </w:r>
      <w:r w:rsidRPr="00A61C87">
        <w:rPr>
          <w:rFonts w:ascii="Book Antiqua" w:eastAsia="SimSun" w:hAnsi="Book Antiqua" w:cs="Times New Roman"/>
          <w:kern w:val="2"/>
          <w:lang w:val="en-US" w:eastAsia="zh-CN"/>
        </w:rPr>
        <w:t xml:space="preserve">, Sharma D. Recent Patent Advances for Neurodegenerative Disorders and its Treatment. </w:t>
      </w:r>
      <w:r w:rsidRPr="00A61C87">
        <w:rPr>
          <w:rFonts w:ascii="Book Antiqua" w:eastAsia="SimSun" w:hAnsi="Book Antiqua" w:cs="Times New Roman"/>
          <w:i/>
          <w:kern w:val="2"/>
          <w:lang w:val="en-US" w:eastAsia="zh-CN"/>
        </w:rPr>
        <w:t>Recent Pat Drug Deliv Formul</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11</w:t>
      </w:r>
      <w:r w:rsidRPr="00A61C87">
        <w:rPr>
          <w:rFonts w:ascii="Book Antiqua" w:eastAsia="SimSun" w:hAnsi="Book Antiqua" w:cs="Times New Roman"/>
          <w:kern w:val="2"/>
          <w:lang w:val="en-US" w:eastAsia="zh-CN"/>
        </w:rPr>
        <w:t>: 158-172 [PMID: 29032765 DOI: 10.2174/1872211311666171010123958]</w:t>
      </w:r>
    </w:p>
    <w:p w14:paraId="2CFA5844"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19 </w:t>
      </w:r>
      <w:r w:rsidRPr="00A61C87">
        <w:rPr>
          <w:rFonts w:ascii="Book Antiqua" w:eastAsia="SimSun" w:hAnsi="Book Antiqua" w:cs="Times New Roman"/>
          <w:b/>
          <w:kern w:val="2"/>
          <w:lang w:val="en-US" w:eastAsia="zh-CN"/>
        </w:rPr>
        <w:t>Bharadwaj P</w:t>
      </w:r>
      <w:r w:rsidRPr="00A61C87">
        <w:rPr>
          <w:rFonts w:ascii="Book Antiqua" w:eastAsia="SimSun" w:hAnsi="Book Antiqua" w:cs="Times New Roman"/>
          <w:kern w:val="2"/>
          <w:lang w:val="en-US" w:eastAsia="zh-CN"/>
        </w:rPr>
        <w:t xml:space="preserve">, Wijesekara N, Liyanapathirana M, Newsholme P, Ittner L, Fraser P, Verdile G. The Link between Type 2 Diabetes and Neurodegeneration: Roles for Amyloid-β, Amylin, and Tau Proteins. </w:t>
      </w:r>
      <w:r w:rsidRPr="00A61C87">
        <w:rPr>
          <w:rFonts w:ascii="Book Antiqua" w:eastAsia="SimSun" w:hAnsi="Book Antiqua" w:cs="Times New Roman"/>
          <w:i/>
          <w:kern w:val="2"/>
          <w:lang w:val="en-US" w:eastAsia="zh-CN"/>
        </w:rPr>
        <w:t>J Alzheimers Dis</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59</w:t>
      </w:r>
      <w:r w:rsidRPr="00A61C87">
        <w:rPr>
          <w:rFonts w:ascii="Book Antiqua" w:eastAsia="SimSun" w:hAnsi="Book Antiqua" w:cs="Times New Roman"/>
          <w:kern w:val="2"/>
          <w:lang w:val="en-US" w:eastAsia="zh-CN"/>
        </w:rPr>
        <w:t>: 421-432 [PMID: 28269785 DOI: 10.3233/JAD-161192]</w:t>
      </w:r>
    </w:p>
    <w:p w14:paraId="1B18FB8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20 </w:t>
      </w:r>
      <w:r w:rsidRPr="00A61C87">
        <w:rPr>
          <w:rFonts w:ascii="Book Antiqua" w:eastAsia="SimSun" w:hAnsi="Book Antiqua" w:cs="Times New Roman"/>
          <w:b/>
          <w:kern w:val="2"/>
          <w:lang w:val="en-US" w:eastAsia="zh-CN"/>
        </w:rPr>
        <w:t>Ahmed RM</w:t>
      </w:r>
      <w:r w:rsidRPr="00A61C87">
        <w:rPr>
          <w:rFonts w:ascii="Book Antiqua" w:eastAsia="SimSun" w:hAnsi="Book Antiqua" w:cs="Times New Roman"/>
          <w:kern w:val="2"/>
          <w:lang w:val="en-US" w:eastAsia="zh-CN"/>
        </w:rPr>
        <w:t xml:space="preserve">, Devenney EM, Irish M, Ittner A, Naismith S, Ittner LM, Rohrer JD, Halliday GM, Eisen A, Hodges JR, Kiernan MC. Neuronal network disintegration: common pathways linking neurodegenerative diseases. </w:t>
      </w:r>
      <w:r w:rsidRPr="00A61C87">
        <w:rPr>
          <w:rFonts w:ascii="Book Antiqua" w:eastAsia="SimSun" w:hAnsi="Book Antiqua" w:cs="Times New Roman"/>
          <w:i/>
          <w:kern w:val="2"/>
          <w:lang w:val="en-US" w:eastAsia="zh-CN"/>
        </w:rPr>
        <w:t>J Neurol Neurosurg Psychiatry</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87</w:t>
      </w:r>
      <w:r w:rsidRPr="00A61C87">
        <w:rPr>
          <w:rFonts w:ascii="Book Antiqua" w:eastAsia="SimSun" w:hAnsi="Book Antiqua" w:cs="Times New Roman"/>
          <w:kern w:val="2"/>
          <w:lang w:val="en-US" w:eastAsia="zh-CN"/>
        </w:rPr>
        <w:t>: 1234-1241 [PMID: 27172939 DOI: 10.1136/jnnp-2014-308350]</w:t>
      </w:r>
    </w:p>
    <w:p w14:paraId="28752C54"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21 </w:t>
      </w:r>
      <w:r w:rsidRPr="00A61C87">
        <w:rPr>
          <w:rFonts w:ascii="Book Antiqua" w:eastAsia="SimSun" w:hAnsi="Book Antiqua" w:cs="Times New Roman"/>
          <w:b/>
          <w:kern w:val="2"/>
          <w:lang w:val="en-US" w:eastAsia="zh-CN"/>
        </w:rPr>
        <w:t>Grillo CA</w:t>
      </w:r>
      <w:r w:rsidRPr="00A61C87">
        <w:rPr>
          <w:rFonts w:ascii="Book Antiqua" w:eastAsia="SimSun" w:hAnsi="Book Antiqua" w:cs="Times New Roman"/>
          <w:kern w:val="2"/>
          <w:lang w:val="en-US" w:eastAsia="zh-CN"/>
        </w:rPr>
        <w:t xml:space="preserve">, Woodruff JL, Macht VA, Reagan LP. Insulin resistance and hippocampal dysfunction: Disentangling peripheral and brain causes from consequences. </w:t>
      </w:r>
      <w:r w:rsidRPr="00A61C87">
        <w:rPr>
          <w:rFonts w:ascii="Book Antiqua" w:eastAsia="SimSun" w:hAnsi="Book Antiqua" w:cs="Times New Roman"/>
          <w:i/>
          <w:kern w:val="2"/>
          <w:lang w:val="en-US" w:eastAsia="zh-CN"/>
        </w:rPr>
        <w:t>Exp Neurol</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318</w:t>
      </w:r>
      <w:r w:rsidRPr="00A61C87">
        <w:rPr>
          <w:rFonts w:ascii="Book Antiqua" w:eastAsia="SimSun" w:hAnsi="Book Antiqua" w:cs="Times New Roman"/>
          <w:kern w:val="2"/>
          <w:lang w:val="en-US" w:eastAsia="zh-CN"/>
        </w:rPr>
        <w:t>: 71-77 [PMID: 31028829 DOI: 10.1016/j.expneurol.2019.04.012]</w:t>
      </w:r>
    </w:p>
    <w:p w14:paraId="3232494A"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22 </w:t>
      </w:r>
      <w:r w:rsidRPr="00A61C87">
        <w:rPr>
          <w:rFonts w:ascii="Book Antiqua" w:eastAsia="SimSun" w:hAnsi="Book Antiqua" w:cs="Times New Roman"/>
          <w:b/>
          <w:kern w:val="2"/>
          <w:lang w:val="en-US" w:eastAsia="zh-CN"/>
        </w:rPr>
        <w:t>Pagano G</w:t>
      </w:r>
      <w:r w:rsidRPr="00A61C87">
        <w:rPr>
          <w:rFonts w:ascii="Book Antiqua" w:eastAsia="SimSun" w:hAnsi="Book Antiqua" w:cs="Times New Roman"/>
          <w:kern w:val="2"/>
          <w:lang w:val="en-US" w:eastAsia="zh-CN"/>
        </w:rPr>
        <w:t xml:space="preserve">, Polychronis S, Wilson H, Giordano B, Ferrara N, Niccolini F, Politis M. Diabetes mellitus and Parkinson disease. </w:t>
      </w:r>
      <w:r w:rsidRPr="00A61C87">
        <w:rPr>
          <w:rFonts w:ascii="Book Antiqua" w:eastAsia="SimSun" w:hAnsi="Book Antiqua" w:cs="Times New Roman"/>
          <w:i/>
          <w:kern w:val="2"/>
          <w:lang w:val="en-US" w:eastAsia="zh-CN"/>
        </w:rPr>
        <w:t>Neurology</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90</w:t>
      </w:r>
      <w:r w:rsidRPr="00A61C87">
        <w:rPr>
          <w:rFonts w:ascii="Book Antiqua" w:eastAsia="SimSun" w:hAnsi="Book Antiqua" w:cs="Times New Roman"/>
          <w:kern w:val="2"/>
          <w:lang w:val="en-US" w:eastAsia="zh-CN"/>
        </w:rPr>
        <w:t>: e1654-e1662 [PMID: 29626177 DOI: 10.1212/WNL.0000000000005475]</w:t>
      </w:r>
    </w:p>
    <w:p w14:paraId="4E326D41"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23 </w:t>
      </w:r>
      <w:r w:rsidRPr="00A61C87">
        <w:rPr>
          <w:rFonts w:ascii="Book Antiqua" w:eastAsia="SimSun" w:hAnsi="Book Antiqua" w:cs="Times New Roman"/>
          <w:b/>
          <w:kern w:val="2"/>
          <w:lang w:val="en-US" w:eastAsia="zh-CN"/>
        </w:rPr>
        <w:t>Biosa A</w:t>
      </w:r>
      <w:r w:rsidRPr="00A61C87">
        <w:rPr>
          <w:rFonts w:ascii="Book Antiqua" w:eastAsia="SimSun" w:hAnsi="Book Antiqua" w:cs="Times New Roman"/>
          <w:kern w:val="2"/>
          <w:lang w:val="en-US" w:eastAsia="zh-CN"/>
        </w:rPr>
        <w:t xml:space="preserve">, Outeiro TF, Bubacco L, Bisaglia M. Diabetes Mellitus as a Risk Factor for Parkinson's Disease: a Molecular Point of View. </w:t>
      </w:r>
      <w:r w:rsidRPr="00A61C87">
        <w:rPr>
          <w:rFonts w:ascii="Book Antiqua" w:eastAsia="SimSun" w:hAnsi="Book Antiqua" w:cs="Times New Roman"/>
          <w:i/>
          <w:kern w:val="2"/>
          <w:lang w:val="en-US" w:eastAsia="zh-CN"/>
        </w:rPr>
        <w:t>Mol Neurobiol</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55</w:t>
      </w:r>
      <w:r w:rsidRPr="00A61C87">
        <w:rPr>
          <w:rFonts w:ascii="Book Antiqua" w:eastAsia="SimSun" w:hAnsi="Book Antiqua" w:cs="Times New Roman"/>
          <w:kern w:val="2"/>
          <w:lang w:val="en-US" w:eastAsia="zh-CN"/>
        </w:rPr>
        <w:t xml:space="preserve">: 8754-8763 </w:t>
      </w:r>
      <w:r w:rsidRPr="00A61C87">
        <w:rPr>
          <w:rFonts w:ascii="Book Antiqua" w:eastAsia="SimSun" w:hAnsi="Book Antiqua" w:cs="Times New Roman"/>
          <w:kern w:val="2"/>
          <w:lang w:val="en-US" w:eastAsia="zh-CN"/>
        </w:rPr>
        <w:lastRenderedPageBreak/>
        <w:t>[PMID: 29594935 DOI: 10.1007/s12035-018-1025-9]</w:t>
      </w:r>
    </w:p>
    <w:p w14:paraId="7F963A7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24 </w:t>
      </w:r>
      <w:r w:rsidRPr="00A61C87">
        <w:rPr>
          <w:rFonts w:ascii="Book Antiqua" w:eastAsia="SimSun" w:hAnsi="Book Antiqua" w:cs="Times New Roman"/>
          <w:b/>
          <w:kern w:val="2"/>
          <w:lang w:val="en-US" w:eastAsia="zh-CN"/>
        </w:rPr>
        <w:t>Athauda D</w:t>
      </w:r>
      <w:r w:rsidRPr="00A61C87">
        <w:rPr>
          <w:rFonts w:ascii="Book Antiqua" w:eastAsia="SimSun" w:hAnsi="Book Antiqua" w:cs="Times New Roman"/>
          <w:kern w:val="2"/>
          <w:lang w:val="en-US" w:eastAsia="zh-CN"/>
        </w:rPr>
        <w:t xml:space="preserve">, Foltynie T. Insulin resistance and Parkinson's disease: A new target for disease modification? </w:t>
      </w:r>
      <w:r w:rsidRPr="00A61C87">
        <w:rPr>
          <w:rFonts w:ascii="Book Antiqua" w:eastAsia="SimSun" w:hAnsi="Book Antiqua" w:cs="Times New Roman"/>
          <w:i/>
          <w:kern w:val="2"/>
          <w:lang w:val="en-US" w:eastAsia="zh-CN"/>
        </w:rPr>
        <w:t>Prog Neurobiol</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145-146</w:t>
      </w:r>
      <w:r w:rsidRPr="00A61C87">
        <w:rPr>
          <w:rFonts w:ascii="Book Antiqua" w:eastAsia="SimSun" w:hAnsi="Book Antiqua" w:cs="Times New Roman"/>
          <w:kern w:val="2"/>
          <w:lang w:val="en-US" w:eastAsia="zh-CN"/>
        </w:rPr>
        <w:t>: 98-120 [PMID: 27713036 DOI: 10.1016/j.pneurobio.2016.10.001]</w:t>
      </w:r>
    </w:p>
    <w:p w14:paraId="414ED27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25 </w:t>
      </w:r>
      <w:r w:rsidRPr="00A61C87">
        <w:rPr>
          <w:rFonts w:ascii="Book Antiqua" w:eastAsia="SimSun" w:hAnsi="Book Antiqua" w:cs="Times New Roman"/>
          <w:b/>
          <w:kern w:val="2"/>
          <w:lang w:val="en-US" w:eastAsia="zh-CN"/>
        </w:rPr>
        <w:t>Ashraghi MR</w:t>
      </w:r>
      <w:r w:rsidRPr="00A61C87">
        <w:rPr>
          <w:rFonts w:ascii="Book Antiqua" w:eastAsia="SimSun" w:hAnsi="Book Antiqua" w:cs="Times New Roman"/>
          <w:kern w:val="2"/>
          <w:lang w:val="en-US" w:eastAsia="zh-CN"/>
        </w:rPr>
        <w:t xml:space="preserve">, Pagano G, Polychronis S, Niccolini F, Politis M. Parkinson's Disease, Diabetes and Cognitive Impairment. </w:t>
      </w:r>
      <w:r w:rsidRPr="00A61C87">
        <w:rPr>
          <w:rFonts w:ascii="Book Antiqua" w:eastAsia="SimSun" w:hAnsi="Book Antiqua" w:cs="Times New Roman"/>
          <w:i/>
          <w:kern w:val="2"/>
          <w:lang w:val="en-US" w:eastAsia="zh-CN"/>
        </w:rPr>
        <w:t>Recent Pat Endocr Metab Immune Drug Discov</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10</w:t>
      </w:r>
      <w:r w:rsidRPr="00A61C87">
        <w:rPr>
          <w:rFonts w:ascii="Book Antiqua" w:eastAsia="SimSun" w:hAnsi="Book Antiqua" w:cs="Times New Roman"/>
          <w:kern w:val="2"/>
          <w:lang w:val="en-US" w:eastAsia="zh-CN"/>
        </w:rPr>
        <w:t>: 11-21 [PMID: 27396477]</w:t>
      </w:r>
    </w:p>
    <w:p w14:paraId="07EDA94E"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26 </w:t>
      </w:r>
      <w:r w:rsidRPr="00A61C87">
        <w:rPr>
          <w:rFonts w:ascii="Book Antiqua" w:eastAsia="SimSun" w:hAnsi="Book Antiqua" w:cs="Times New Roman"/>
          <w:b/>
          <w:kern w:val="2"/>
          <w:lang w:val="en-US" w:eastAsia="zh-CN"/>
        </w:rPr>
        <w:t>Umeno A</w:t>
      </w:r>
      <w:r w:rsidRPr="00A61C87">
        <w:rPr>
          <w:rFonts w:ascii="Book Antiqua" w:eastAsia="SimSun" w:hAnsi="Book Antiqua" w:cs="Times New Roman"/>
          <w:kern w:val="2"/>
          <w:lang w:val="en-US" w:eastAsia="zh-CN"/>
        </w:rPr>
        <w:t xml:space="preserve">, Biju V, Yoshida Y. In vivo ROS production and use of oxidative stress-derived biomarkers to detect the onset of diseases such as Alzheimer's disease, Parkinson's disease, and diabetes. </w:t>
      </w:r>
      <w:r w:rsidRPr="00A61C87">
        <w:rPr>
          <w:rFonts w:ascii="Book Antiqua" w:eastAsia="SimSun" w:hAnsi="Book Antiqua" w:cs="Times New Roman"/>
          <w:i/>
          <w:kern w:val="2"/>
          <w:lang w:val="en-US" w:eastAsia="zh-CN"/>
        </w:rPr>
        <w:t>Free Radic Res</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51</w:t>
      </w:r>
      <w:r w:rsidRPr="00A61C87">
        <w:rPr>
          <w:rFonts w:ascii="Book Antiqua" w:eastAsia="SimSun" w:hAnsi="Book Antiqua" w:cs="Times New Roman"/>
          <w:kern w:val="2"/>
          <w:lang w:val="en-US" w:eastAsia="zh-CN"/>
        </w:rPr>
        <w:t>: 413-427 [PMID: 28372523 DOI: 10.1080/10715762.2017.1315114]</w:t>
      </w:r>
    </w:p>
    <w:p w14:paraId="4384C909"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27 </w:t>
      </w:r>
      <w:r w:rsidRPr="00A61C87">
        <w:rPr>
          <w:rFonts w:ascii="Book Antiqua" w:eastAsia="SimSun" w:hAnsi="Book Antiqua" w:cs="Times New Roman"/>
          <w:b/>
          <w:kern w:val="2"/>
          <w:lang w:val="en-US" w:eastAsia="zh-CN"/>
        </w:rPr>
        <w:t>De Pablo-Fernandez E</w:t>
      </w:r>
      <w:r w:rsidRPr="00A61C87">
        <w:rPr>
          <w:rFonts w:ascii="Book Antiqua" w:eastAsia="SimSun" w:hAnsi="Book Antiqua" w:cs="Times New Roman"/>
          <w:kern w:val="2"/>
          <w:lang w:val="en-US" w:eastAsia="zh-CN"/>
        </w:rPr>
        <w:t xml:space="preserve">, Sierra-Hidalgo F, Benito-León J, Bermejo-Pareja F. Association between Parkinson's disease and diabetes: Data from NEDICES study. </w:t>
      </w:r>
      <w:r w:rsidRPr="00A61C87">
        <w:rPr>
          <w:rFonts w:ascii="Book Antiqua" w:eastAsia="SimSun" w:hAnsi="Book Antiqua" w:cs="Times New Roman"/>
          <w:i/>
          <w:kern w:val="2"/>
          <w:lang w:val="en-US" w:eastAsia="zh-CN"/>
        </w:rPr>
        <w:t>Acta Neurol Scand</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136</w:t>
      </w:r>
      <w:r w:rsidRPr="00A61C87">
        <w:rPr>
          <w:rFonts w:ascii="Book Antiqua" w:eastAsia="SimSun" w:hAnsi="Book Antiqua" w:cs="Times New Roman"/>
          <w:kern w:val="2"/>
          <w:lang w:val="en-US" w:eastAsia="zh-CN"/>
        </w:rPr>
        <w:t>: 732-736 [PMID: 28653373 DOI: 10.1111/ane.12793]</w:t>
      </w:r>
    </w:p>
    <w:p w14:paraId="582144D8"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28 </w:t>
      </w:r>
      <w:r w:rsidRPr="00A61C87">
        <w:rPr>
          <w:rFonts w:ascii="Book Antiqua" w:eastAsia="SimSun" w:hAnsi="Book Antiqua" w:cs="Times New Roman"/>
          <w:b/>
          <w:kern w:val="2"/>
          <w:lang w:val="en-US" w:eastAsia="zh-CN"/>
        </w:rPr>
        <w:t>de Matos AM</w:t>
      </w:r>
      <w:r w:rsidRPr="00A61C87">
        <w:rPr>
          <w:rFonts w:ascii="Book Antiqua" w:eastAsia="SimSun" w:hAnsi="Book Antiqua" w:cs="Times New Roman"/>
          <w:kern w:val="2"/>
          <w:lang w:val="en-US" w:eastAsia="zh-CN"/>
        </w:rPr>
        <w:t xml:space="preserve">, de Macedo MP, Rauter AP. Bridging Type 2 Diabetes and Alzheimer's Disease: Assembling the Puzzle Pieces in the Quest for the Molecules With Therapeutic and Preventive Potential. </w:t>
      </w:r>
      <w:r w:rsidRPr="00A61C87">
        <w:rPr>
          <w:rFonts w:ascii="Book Antiqua" w:eastAsia="SimSun" w:hAnsi="Book Antiqua" w:cs="Times New Roman"/>
          <w:i/>
          <w:kern w:val="2"/>
          <w:lang w:val="en-US" w:eastAsia="zh-CN"/>
        </w:rPr>
        <w:t>Med Res Rev</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38</w:t>
      </w:r>
      <w:r w:rsidRPr="00A61C87">
        <w:rPr>
          <w:rFonts w:ascii="Book Antiqua" w:eastAsia="SimSun" w:hAnsi="Book Antiqua" w:cs="Times New Roman"/>
          <w:kern w:val="2"/>
          <w:lang w:val="en-US" w:eastAsia="zh-CN"/>
        </w:rPr>
        <w:t>: 261-324 [PMID: 28422298 DOI: 10.1002/med.21440]</w:t>
      </w:r>
    </w:p>
    <w:p w14:paraId="0F5B05D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29 </w:t>
      </w:r>
      <w:r w:rsidRPr="00A61C87">
        <w:rPr>
          <w:rFonts w:ascii="Book Antiqua" w:eastAsia="SimSun" w:hAnsi="Book Antiqua" w:cs="Times New Roman"/>
          <w:b/>
          <w:kern w:val="2"/>
          <w:lang w:val="en-US" w:eastAsia="zh-CN"/>
        </w:rPr>
        <w:t>McKenzie JA</w:t>
      </w:r>
      <w:r w:rsidRPr="00A61C87">
        <w:rPr>
          <w:rFonts w:ascii="Book Antiqua" w:eastAsia="SimSun" w:hAnsi="Book Antiqua" w:cs="Times New Roman"/>
          <w:kern w:val="2"/>
          <w:lang w:val="en-US" w:eastAsia="zh-CN"/>
        </w:rPr>
        <w:t xml:space="preserve">, Spielman LJ, Pointer CB, Lowry JR, Bajwa E, Lee CW, Klegeris A. Neuroinflammation as a Common Mechanism Associated with the Modifiable Risk Factors for Alzheimer's and Parkinson's Diseases. </w:t>
      </w:r>
      <w:r w:rsidRPr="00A61C87">
        <w:rPr>
          <w:rFonts w:ascii="Book Antiqua" w:eastAsia="SimSun" w:hAnsi="Book Antiqua" w:cs="Times New Roman"/>
          <w:i/>
          <w:kern w:val="2"/>
          <w:lang w:val="en-US" w:eastAsia="zh-CN"/>
        </w:rPr>
        <w:t>Curr Aging Sci</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10</w:t>
      </w:r>
      <w:r w:rsidRPr="00A61C87">
        <w:rPr>
          <w:rFonts w:ascii="Book Antiqua" w:eastAsia="SimSun" w:hAnsi="Book Antiqua" w:cs="Times New Roman"/>
          <w:kern w:val="2"/>
          <w:lang w:val="en-US" w:eastAsia="zh-CN"/>
        </w:rPr>
        <w:t>: 158-176 [PMID: 28302047 DOI: 10.2174/1874609810666170315113244]</w:t>
      </w:r>
    </w:p>
    <w:p w14:paraId="31FC9846"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30 </w:t>
      </w:r>
      <w:r w:rsidRPr="00A61C87">
        <w:rPr>
          <w:rFonts w:ascii="Book Antiqua" w:eastAsia="SimSun" w:hAnsi="Book Antiqua" w:cs="Times New Roman"/>
          <w:b/>
          <w:kern w:val="2"/>
          <w:lang w:val="en-US" w:eastAsia="zh-CN"/>
        </w:rPr>
        <w:t>Wang Q</w:t>
      </w:r>
      <w:r w:rsidRPr="00A61C87">
        <w:rPr>
          <w:rFonts w:ascii="Book Antiqua" w:eastAsia="SimSun" w:hAnsi="Book Antiqua" w:cs="Times New Roman"/>
          <w:kern w:val="2"/>
          <w:lang w:val="en-US" w:eastAsia="zh-CN"/>
        </w:rPr>
        <w:t xml:space="preserve">, Li WX, Dai SX, Guo YC, Han FF, Zheng JJ, Li GH, Huang JF. Meta-Analysis of Parkinson's Disease and Alzheimer's Disease Revealed Commonly Impaired Pathways and Dysregulation of NRF2-Dependent Genes. </w:t>
      </w:r>
      <w:r w:rsidRPr="00A61C87">
        <w:rPr>
          <w:rFonts w:ascii="Book Antiqua" w:eastAsia="SimSun" w:hAnsi="Book Antiqua" w:cs="Times New Roman"/>
          <w:i/>
          <w:kern w:val="2"/>
          <w:lang w:val="en-US" w:eastAsia="zh-CN"/>
        </w:rPr>
        <w:t>J Alzheimers Dis</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56</w:t>
      </w:r>
      <w:r w:rsidRPr="00A61C87">
        <w:rPr>
          <w:rFonts w:ascii="Book Antiqua" w:eastAsia="SimSun" w:hAnsi="Book Antiqua" w:cs="Times New Roman"/>
          <w:kern w:val="2"/>
          <w:lang w:val="en-US" w:eastAsia="zh-CN"/>
        </w:rPr>
        <w:t>: 1525-1539 [PMID: 28222515 DOI: 10.3233/JAD-161032]</w:t>
      </w:r>
    </w:p>
    <w:p w14:paraId="426A769E"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31 </w:t>
      </w:r>
      <w:r w:rsidRPr="00A61C87">
        <w:rPr>
          <w:rFonts w:ascii="Book Antiqua" w:eastAsia="SimSun" w:hAnsi="Book Antiqua" w:cs="Times New Roman"/>
          <w:b/>
          <w:kern w:val="2"/>
          <w:lang w:val="en-US" w:eastAsia="zh-CN"/>
        </w:rPr>
        <w:t>Nolan CJ</w:t>
      </w:r>
      <w:r w:rsidRPr="00A61C87">
        <w:rPr>
          <w:rFonts w:ascii="Book Antiqua" w:eastAsia="SimSun" w:hAnsi="Book Antiqua" w:cs="Times New Roman"/>
          <w:kern w:val="2"/>
          <w:lang w:val="en-US" w:eastAsia="zh-CN"/>
        </w:rPr>
        <w:t xml:space="preserve">, Damm P, Prentki M. Type 2 diabetes across generations: from pathophysiology to prevention and management. </w:t>
      </w:r>
      <w:r w:rsidRPr="00A61C87">
        <w:rPr>
          <w:rFonts w:ascii="Book Antiqua" w:eastAsia="SimSun" w:hAnsi="Book Antiqua" w:cs="Times New Roman"/>
          <w:i/>
          <w:kern w:val="2"/>
          <w:lang w:val="en-US" w:eastAsia="zh-CN"/>
        </w:rPr>
        <w:t>Lancet</w:t>
      </w:r>
      <w:r w:rsidRPr="00A61C87">
        <w:rPr>
          <w:rFonts w:ascii="Book Antiqua" w:eastAsia="SimSun" w:hAnsi="Book Antiqua" w:cs="Times New Roman"/>
          <w:kern w:val="2"/>
          <w:lang w:val="en-US" w:eastAsia="zh-CN"/>
        </w:rPr>
        <w:t xml:space="preserve"> 2011; </w:t>
      </w:r>
      <w:r w:rsidRPr="00A61C87">
        <w:rPr>
          <w:rFonts w:ascii="Book Antiqua" w:eastAsia="SimSun" w:hAnsi="Book Antiqua" w:cs="Times New Roman"/>
          <w:b/>
          <w:kern w:val="2"/>
          <w:lang w:val="en-US" w:eastAsia="zh-CN"/>
        </w:rPr>
        <w:t>378</w:t>
      </w:r>
      <w:r w:rsidRPr="00A61C87">
        <w:rPr>
          <w:rFonts w:ascii="Book Antiqua" w:eastAsia="SimSun" w:hAnsi="Book Antiqua" w:cs="Times New Roman"/>
          <w:kern w:val="2"/>
          <w:lang w:val="en-US" w:eastAsia="zh-CN"/>
        </w:rPr>
        <w:t>: 169-181 [PMID: 21705072 DOI: 10.1016/S0140-6736(11)60614-4]</w:t>
      </w:r>
    </w:p>
    <w:p w14:paraId="0955664A"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32 </w:t>
      </w:r>
      <w:r w:rsidRPr="00A61C87">
        <w:rPr>
          <w:rFonts w:ascii="Book Antiqua" w:eastAsia="SimSun" w:hAnsi="Book Antiqua" w:cs="Times New Roman"/>
          <w:b/>
          <w:kern w:val="2"/>
          <w:lang w:val="en-US" w:eastAsia="zh-CN"/>
        </w:rPr>
        <w:t>Giri M</w:t>
      </w:r>
      <w:r w:rsidRPr="00A61C87">
        <w:rPr>
          <w:rFonts w:ascii="Book Antiqua" w:eastAsia="SimSun" w:hAnsi="Book Antiqua" w:cs="Times New Roman"/>
          <w:kern w:val="2"/>
          <w:lang w:val="en-US" w:eastAsia="zh-CN"/>
        </w:rPr>
        <w:t xml:space="preserve">, Zhang M, Lü Y. Genes associated with Alzheimer's disease: an overview and current status. </w:t>
      </w:r>
      <w:r w:rsidRPr="00A61C87">
        <w:rPr>
          <w:rFonts w:ascii="Book Antiqua" w:eastAsia="SimSun" w:hAnsi="Book Antiqua" w:cs="Times New Roman"/>
          <w:i/>
          <w:kern w:val="2"/>
          <w:lang w:val="en-US" w:eastAsia="zh-CN"/>
        </w:rPr>
        <w:t>Clin Interv Aging</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11</w:t>
      </w:r>
      <w:r w:rsidRPr="00A61C87">
        <w:rPr>
          <w:rFonts w:ascii="Book Antiqua" w:eastAsia="SimSun" w:hAnsi="Book Antiqua" w:cs="Times New Roman"/>
          <w:kern w:val="2"/>
          <w:lang w:val="en-US" w:eastAsia="zh-CN"/>
        </w:rPr>
        <w:t>: 665-681 [PMID: 27274215 DOI: 10.2147/CIA.S105769]</w:t>
      </w:r>
    </w:p>
    <w:p w14:paraId="2C41E506"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lastRenderedPageBreak/>
        <w:t xml:space="preserve">33 </w:t>
      </w:r>
      <w:r w:rsidRPr="00A61C87">
        <w:rPr>
          <w:rFonts w:ascii="Book Antiqua" w:eastAsia="SimSun" w:hAnsi="Book Antiqua" w:cs="Times New Roman"/>
          <w:b/>
          <w:kern w:val="2"/>
          <w:lang w:val="en-US" w:eastAsia="zh-CN"/>
        </w:rPr>
        <w:t>Green H</w:t>
      </w:r>
      <w:r w:rsidRPr="00A61C87">
        <w:rPr>
          <w:rFonts w:ascii="Book Antiqua" w:eastAsia="SimSun" w:hAnsi="Book Antiqua" w:cs="Times New Roman"/>
          <w:kern w:val="2"/>
          <w:lang w:val="en-US" w:eastAsia="zh-CN"/>
        </w:rPr>
        <w:t xml:space="preserve">, Tsitsi P, Markaki I, Aarsland D, Svenningsson P. Novel Treatment Opportunities Against Cognitive Impairment in Parkinson's Disease with an Emphasis on Diabetes-Related Pathways. </w:t>
      </w:r>
      <w:r w:rsidRPr="00A61C87">
        <w:rPr>
          <w:rFonts w:ascii="Book Antiqua" w:eastAsia="SimSun" w:hAnsi="Book Antiqua" w:cs="Times New Roman"/>
          <w:i/>
          <w:kern w:val="2"/>
          <w:lang w:val="en-US" w:eastAsia="zh-CN"/>
        </w:rPr>
        <w:t>CNS Drugs</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33</w:t>
      </w:r>
      <w:r w:rsidRPr="00A61C87">
        <w:rPr>
          <w:rFonts w:ascii="Book Antiqua" w:eastAsia="SimSun" w:hAnsi="Book Antiqua" w:cs="Times New Roman"/>
          <w:kern w:val="2"/>
          <w:lang w:val="en-US" w:eastAsia="zh-CN"/>
        </w:rPr>
        <w:t>: 143-160 [PMID: 30687888 DOI: 10.1007/s40263-018-0601-x]</w:t>
      </w:r>
    </w:p>
    <w:p w14:paraId="76FBDD3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34 </w:t>
      </w:r>
      <w:r w:rsidRPr="00A61C87">
        <w:rPr>
          <w:rFonts w:ascii="Book Antiqua" w:eastAsia="SimSun" w:hAnsi="Book Antiqua" w:cs="Times New Roman"/>
          <w:b/>
          <w:kern w:val="2"/>
          <w:lang w:val="en-US" w:eastAsia="zh-CN"/>
        </w:rPr>
        <w:t>International Parkinson Disease Genomics Consortium.</w:t>
      </w:r>
      <w:r w:rsidRPr="00A61C87">
        <w:rPr>
          <w:rFonts w:ascii="Book Antiqua" w:eastAsia="SimSun" w:hAnsi="Book Antiqua" w:cs="Times New Roman"/>
          <w:kern w:val="2"/>
          <w:lang w:val="en-US" w:eastAsia="zh-CN"/>
        </w:rPr>
        <w:t xml:space="preserve">, Nalls MA, Plagnol V, Hernandez DG, Sharma M, Sheerin UM, Saad M, Simón-Sánchez J, Schulte C, Lesage S, Sveinbjörnsdóttir S, Stefánsson K, Martinez M, Hardy J, Heutink P, Brice A, Gasser T, Singleton AB, Wood NW. Imputation of sequence variants for identification of genetic risks for Parkinson's disease: a meta-analysis of genome-wide association studies. </w:t>
      </w:r>
      <w:r w:rsidRPr="00A61C87">
        <w:rPr>
          <w:rFonts w:ascii="Book Antiqua" w:eastAsia="SimSun" w:hAnsi="Book Antiqua" w:cs="Times New Roman"/>
          <w:i/>
          <w:kern w:val="2"/>
          <w:lang w:val="en-US" w:eastAsia="zh-CN"/>
        </w:rPr>
        <w:t>Lancet</w:t>
      </w:r>
      <w:r w:rsidRPr="00A61C87">
        <w:rPr>
          <w:rFonts w:ascii="Book Antiqua" w:eastAsia="SimSun" w:hAnsi="Book Antiqua" w:cs="Times New Roman"/>
          <w:kern w:val="2"/>
          <w:lang w:val="en-US" w:eastAsia="zh-CN"/>
        </w:rPr>
        <w:t xml:space="preserve"> 2011; </w:t>
      </w:r>
      <w:r w:rsidRPr="00A61C87">
        <w:rPr>
          <w:rFonts w:ascii="Book Antiqua" w:eastAsia="SimSun" w:hAnsi="Book Antiqua" w:cs="Times New Roman"/>
          <w:b/>
          <w:kern w:val="2"/>
          <w:lang w:val="en-US" w:eastAsia="zh-CN"/>
        </w:rPr>
        <w:t>377</w:t>
      </w:r>
      <w:r w:rsidRPr="00A61C87">
        <w:rPr>
          <w:rFonts w:ascii="Book Antiqua" w:eastAsia="SimSun" w:hAnsi="Book Antiqua" w:cs="Times New Roman"/>
          <w:kern w:val="2"/>
          <w:lang w:val="en-US" w:eastAsia="zh-CN"/>
        </w:rPr>
        <w:t>: 641-649 [PMID: 21292315 DOI: 10.1016/S0140-6736(10)62345-8]</w:t>
      </w:r>
    </w:p>
    <w:p w14:paraId="376340A2"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35 </w:t>
      </w:r>
      <w:r w:rsidRPr="00A61C87">
        <w:rPr>
          <w:rFonts w:ascii="Book Antiqua" w:eastAsia="SimSun" w:hAnsi="Book Antiqua" w:cs="Times New Roman"/>
          <w:b/>
          <w:kern w:val="2"/>
          <w:lang w:val="en-US" w:eastAsia="zh-CN"/>
        </w:rPr>
        <w:t>Nicolas G</w:t>
      </w:r>
      <w:r w:rsidRPr="00A61C87">
        <w:rPr>
          <w:rFonts w:ascii="Book Antiqua" w:eastAsia="SimSun" w:hAnsi="Book Antiqua" w:cs="Times New Roman"/>
          <w:kern w:val="2"/>
          <w:lang w:val="en-US" w:eastAsia="zh-CN"/>
        </w:rPr>
        <w:t xml:space="preserve">, Charbonnier C, Campion D. From Common to Rare Variants: The Genetic Component of Alzheimer Disease. </w:t>
      </w:r>
      <w:r w:rsidRPr="00A61C87">
        <w:rPr>
          <w:rFonts w:ascii="Book Antiqua" w:eastAsia="SimSun" w:hAnsi="Book Antiqua" w:cs="Times New Roman"/>
          <w:i/>
          <w:kern w:val="2"/>
          <w:lang w:val="en-US" w:eastAsia="zh-CN"/>
        </w:rPr>
        <w:t>Hum Hered</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81</w:t>
      </w:r>
      <w:r w:rsidRPr="00A61C87">
        <w:rPr>
          <w:rFonts w:ascii="Book Antiqua" w:eastAsia="SimSun" w:hAnsi="Book Antiqua" w:cs="Times New Roman"/>
          <w:kern w:val="2"/>
          <w:lang w:val="en-US" w:eastAsia="zh-CN"/>
        </w:rPr>
        <w:t>: 129-141 [PMID: 28002825 DOI: 10.1159/000452256]</w:t>
      </w:r>
    </w:p>
    <w:p w14:paraId="75B347D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36 </w:t>
      </w:r>
      <w:r w:rsidRPr="00A61C87">
        <w:rPr>
          <w:rFonts w:ascii="Book Antiqua" w:eastAsia="SimSun" w:hAnsi="Book Antiqua" w:cs="Times New Roman"/>
          <w:b/>
          <w:kern w:val="2"/>
          <w:lang w:val="en-US" w:eastAsia="zh-CN"/>
        </w:rPr>
        <w:t>Hao K</w:t>
      </w:r>
      <w:r w:rsidRPr="00A61C87">
        <w:rPr>
          <w:rFonts w:ascii="Book Antiqua" w:eastAsia="SimSun" w:hAnsi="Book Antiqua" w:cs="Times New Roman"/>
          <w:kern w:val="2"/>
          <w:lang w:val="en-US" w:eastAsia="zh-CN"/>
        </w:rPr>
        <w:t xml:space="preserve">, Di Narzo AF, Ho L, Luo W, Li S, Chen R, Li T, Dubner L, Pasinetti GM. Shared genetic etiology underlying Alzheimer's disease and type 2 diabetes. </w:t>
      </w:r>
      <w:r w:rsidRPr="00A61C87">
        <w:rPr>
          <w:rFonts w:ascii="Book Antiqua" w:eastAsia="SimSun" w:hAnsi="Book Antiqua" w:cs="Times New Roman"/>
          <w:i/>
          <w:kern w:val="2"/>
          <w:lang w:val="en-US" w:eastAsia="zh-CN"/>
        </w:rPr>
        <w:t>Mol Aspects Med</w:t>
      </w:r>
      <w:r w:rsidRPr="00A61C87">
        <w:rPr>
          <w:rFonts w:ascii="Book Antiqua" w:eastAsia="SimSun" w:hAnsi="Book Antiqua" w:cs="Times New Roman"/>
          <w:kern w:val="2"/>
          <w:lang w:val="en-US" w:eastAsia="zh-CN"/>
        </w:rPr>
        <w:t xml:space="preserve"> 2015; </w:t>
      </w:r>
      <w:r w:rsidRPr="00A61C87">
        <w:rPr>
          <w:rFonts w:ascii="Book Antiqua" w:eastAsia="SimSun" w:hAnsi="Book Antiqua" w:cs="Times New Roman"/>
          <w:b/>
          <w:kern w:val="2"/>
          <w:lang w:val="en-US" w:eastAsia="zh-CN"/>
        </w:rPr>
        <w:t>43-44</w:t>
      </w:r>
      <w:r w:rsidRPr="00A61C87">
        <w:rPr>
          <w:rFonts w:ascii="Book Antiqua" w:eastAsia="SimSun" w:hAnsi="Book Antiqua" w:cs="Times New Roman"/>
          <w:kern w:val="2"/>
          <w:lang w:val="en-US" w:eastAsia="zh-CN"/>
        </w:rPr>
        <w:t>: 66-76 [PMID: 26116273 DOI: 10.1016/j.mam.2015.06.006]</w:t>
      </w:r>
    </w:p>
    <w:p w14:paraId="79D6E2E8"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37 </w:t>
      </w:r>
      <w:r w:rsidRPr="00A61C87">
        <w:rPr>
          <w:rFonts w:ascii="Book Antiqua" w:eastAsia="SimSun" w:hAnsi="Book Antiqua" w:cs="Times New Roman"/>
          <w:b/>
          <w:kern w:val="2"/>
          <w:lang w:val="en-US" w:eastAsia="zh-CN"/>
        </w:rPr>
        <w:t>Bae CS</w:t>
      </w:r>
      <w:r w:rsidRPr="00A61C87">
        <w:rPr>
          <w:rFonts w:ascii="Book Antiqua" w:eastAsia="SimSun" w:hAnsi="Book Antiqua" w:cs="Times New Roman"/>
          <w:kern w:val="2"/>
          <w:lang w:val="en-US" w:eastAsia="zh-CN"/>
        </w:rPr>
        <w:t xml:space="preserve">, Song J. The Role of Glucagon-Like Peptide 1 (GLP1) in Type 3 Diabetes: GLP-1 Controls Insulin Resistance, Neuroinflammation and Neurogenesis in the Brain. </w:t>
      </w:r>
      <w:r w:rsidRPr="00A61C87">
        <w:rPr>
          <w:rFonts w:ascii="Book Antiqua" w:eastAsia="SimSun" w:hAnsi="Book Antiqua" w:cs="Times New Roman"/>
          <w:i/>
          <w:kern w:val="2"/>
          <w:lang w:val="en-US" w:eastAsia="zh-CN"/>
        </w:rPr>
        <w:t>Int J Mol Sci</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18</w:t>
      </w:r>
      <w:r w:rsidRPr="00A61C87">
        <w:rPr>
          <w:rFonts w:ascii="Book Antiqua" w:eastAsia="SimSun" w:hAnsi="Book Antiqua" w:cs="Times New Roman"/>
          <w:kern w:val="2"/>
          <w:lang w:val="en-US" w:eastAsia="zh-CN"/>
        </w:rPr>
        <w:t>:  [PMID: 29165354 DOI: 10.3390/ijms18112493]</w:t>
      </w:r>
    </w:p>
    <w:p w14:paraId="43CBD14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38 </w:t>
      </w:r>
      <w:r w:rsidRPr="00A61C87">
        <w:rPr>
          <w:rFonts w:ascii="Book Antiqua" w:eastAsia="SimSun" w:hAnsi="Book Antiqua" w:cs="Times New Roman"/>
          <w:b/>
          <w:kern w:val="2"/>
          <w:lang w:val="en-US" w:eastAsia="zh-CN"/>
        </w:rPr>
        <w:t>Pugazhenthi S</w:t>
      </w:r>
      <w:r w:rsidRPr="00A61C87">
        <w:rPr>
          <w:rFonts w:ascii="Book Antiqua" w:eastAsia="SimSun" w:hAnsi="Book Antiqua" w:cs="Times New Roman"/>
          <w:kern w:val="2"/>
          <w:lang w:val="en-US" w:eastAsia="zh-CN"/>
        </w:rPr>
        <w:t xml:space="preserve">, Qin L, Reddy PH. Common neurodegenerative pathways in obesity, diabetes, and Alzheimer's disease. </w:t>
      </w:r>
      <w:r w:rsidRPr="00A61C87">
        <w:rPr>
          <w:rFonts w:ascii="Book Antiqua" w:eastAsia="SimSun" w:hAnsi="Book Antiqua" w:cs="Times New Roman"/>
          <w:i/>
          <w:kern w:val="2"/>
          <w:lang w:val="en-US" w:eastAsia="zh-CN"/>
        </w:rPr>
        <w:t>Biochim Biophys Acta Mol Basis Dis</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1863</w:t>
      </w:r>
      <w:r w:rsidRPr="00A61C87">
        <w:rPr>
          <w:rFonts w:ascii="Book Antiqua" w:eastAsia="SimSun" w:hAnsi="Book Antiqua" w:cs="Times New Roman"/>
          <w:kern w:val="2"/>
          <w:lang w:val="en-US" w:eastAsia="zh-CN"/>
        </w:rPr>
        <w:t>: 1037-1045 [PMID: 27156888 DOI: 10.1016/j.bbadis.2016.04.017]</w:t>
      </w:r>
    </w:p>
    <w:p w14:paraId="7D29238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39 </w:t>
      </w:r>
      <w:r w:rsidRPr="00A61C87">
        <w:rPr>
          <w:rFonts w:ascii="Book Antiqua" w:eastAsia="SimSun" w:hAnsi="Book Antiqua" w:cs="Times New Roman"/>
          <w:b/>
          <w:kern w:val="2"/>
          <w:lang w:val="en-US" w:eastAsia="zh-CN"/>
        </w:rPr>
        <w:t>Xu WL</w:t>
      </w:r>
      <w:r w:rsidRPr="00A61C87">
        <w:rPr>
          <w:rFonts w:ascii="Book Antiqua" w:eastAsia="SimSun" w:hAnsi="Book Antiqua" w:cs="Times New Roman"/>
          <w:kern w:val="2"/>
          <w:lang w:val="en-US" w:eastAsia="zh-CN"/>
        </w:rPr>
        <w:t xml:space="preserve">, Pedersen NL, Keller L, Kalpouzos G, Wang HX, Graff C, Winblad B, Bäckman L, Fratiglioni L. HHEX_23 AA Genotype Exacerbates Effect of Diabetes on Dementia and Alzheimer Disease: A Population-Based Longitudinal Study. </w:t>
      </w:r>
      <w:r w:rsidRPr="00A61C87">
        <w:rPr>
          <w:rFonts w:ascii="Book Antiqua" w:eastAsia="SimSun" w:hAnsi="Book Antiqua" w:cs="Times New Roman"/>
          <w:i/>
          <w:kern w:val="2"/>
          <w:lang w:val="en-US" w:eastAsia="zh-CN"/>
        </w:rPr>
        <w:t>PLoS Med</w:t>
      </w:r>
      <w:r w:rsidRPr="00A61C87">
        <w:rPr>
          <w:rFonts w:ascii="Book Antiqua" w:eastAsia="SimSun" w:hAnsi="Book Antiqua" w:cs="Times New Roman"/>
          <w:kern w:val="2"/>
          <w:lang w:val="en-US" w:eastAsia="zh-CN"/>
        </w:rPr>
        <w:t xml:space="preserve"> 2015; </w:t>
      </w:r>
      <w:r w:rsidRPr="00A61C87">
        <w:rPr>
          <w:rFonts w:ascii="Book Antiqua" w:eastAsia="SimSun" w:hAnsi="Book Antiqua" w:cs="Times New Roman"/>
          <w:b/>
          <w:kern w:val="2"/>
          <w:lang w:val="en-US" w:eastAsia="zh-CN"/>
        </w:rPr>
        <w:t>12</w:t>
      </w:r>
      <w:r w:rsidRPr="00A61C87">
        <w:rPr>
          <w:rFonts w:ascii="Book Antiqua" w:eastAsia="SimSun" w:hAnsi="Book Antiqua" w:cs="Times New Roman"/>
          <w:kern w:val="2"/>
          <w:lang w:val="en-US" w:eastAsia="zh-CN"/>
        </w:rPr>
        <w:t>: e1001853 [PMID: 26173052 DOI: 10.1371/journal.pmed.1001853]</w:t>
      </w:r>
    </w:p>
    <w:p w14:paraId="2E45DB59"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40 </w:t>
      </w:r>
      <w:r w:rsidRPr="00A61C87">
        <w:rPr>
          <w:rFonts w:ascii="Book Antiqua" w:eastAsia="SimSun" w:hAnsi="Book Antiqua" w:cs="Times New Roman"/>
          <w:b/>
          <w:kern w:val="2"/>
          <w:lang w:val="en-US" w:eastAsia="zh-CN"/>
        </w:rPr>
        <w:t>McFall GP</w:t>
      </w:r>
      <w:r w:rsidRPr="00A61C87">
        <w:rPr>
          <w:rFonts w:ascii="Book Antiqua" w:eastAsia="SimSun" w:hAnsi="Book Antiqua" w:cs="Times New Roman"/>
          <w:kern w:val="2"/>
          <w:lang w:val="en-US" w:eastAsia="zh-CN"/>
        </w:rPr>
        <w:t xml:space="preserve">, Wiebe SA, Vergote D, Westaway D, Jhamandas J, Dixon RA. IDE (rs6583817) polymorphism and type 2 diabetes differentially modify executive function in older adults. </w:t>
      </w:r>
      <w:r w:rsidRPr="00A61C87">
        <w:rPr>
          <w:rFonts w:ascii="Book Antiqua" w:eastAsia="SimSun" w:hAnsi="Book Antiqua" w:cs="Times New Roman"/>
          <w:i/>
          <w:kern w:val="2"/>
          <w:lang w:val="en-US" w:eastAsia="zh-CN"/>
        </w:rPr>
        <w:t>Neurobiol Aging</w:t>
      </w:r>
      <w:r w:rsidRPr="00A61C87">
        <w:rPr>
          <w:rFonts w:ascii="Book Antiqua" w:eastAsia="SimSun" w:hAnsi="Book Antiqua" w:cs="Times New Roman"/>
          <w:kern w:val="2"/>
          <w:lang w:val="en-US" w:eastAsia="zh-CN"/>
        </w:rPr>
        <w:t xml:space="preserve"> 2013; </w:t>
      </w:r>
      <w:r w:rsidRPr="00A61C87">
        <w:rPr>
          <w:rFonts w:ascii="Book Antiqua" w:eastAsia="SimSun" w:hAnsi="Book Antiqua" w:cs="Times New Roman"/>
          <w:b/>
          <w:kern w:val="2"/>
          <w:lang w:val="en-US" w:eastAsia="zh-CN"/>
        </w:rPr>
        <w:t>34</w:t>
      </w:r>
      <w:r w:rsidRPr="00A61C87">
        <w:rPr>
          <w:rFonts w:ascii="Book Antiqua" w:eastAsia="SimSun" w:hAnsi="Book Antiqua" w:cs="Times New Roman"/>
          <w:kern w:val="2"/>
          <w:lang w:val="en-US" w:eastAsia="zh-CN"/>
        </w:rPr>
        <w:t>: 2208-2216 [PMID: 23597493 DOI: 10.1016/j.neurobiolaging.2013.03.010]</w:t>
      </w:r>
    </w:p>
    <w:p w14:paraId="48FCBA6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41 </w:t>
      </w:r>
      <w:r w:rsidRPr="00A61C87">
        <w:rPr>
          <w:rFonts w:ascii="Book Antiqua" w:eastAsia="SimSun" w:hAnsi="Book Antiqua" w:cs="Times New Roman"/>
          <w:b/>
          <w:kern w:val="2"/>
          <w:lang w:val="en-US" w:eastAsia="zh-CN"/>
        </w:rPr>
        <w:t>Carrasquillo MM</w:t>
      </w:r>
      <w:r w:rsidRPr="00A61C87">
        <w:rPr>
          <w:rFonts w:ascii="Book Antiqua" w:eastAsia="SimSun" w:hAnsi="Book Antiqua" w:cs="Times New Roman"/>
          <w:kern w:val="2"/>
          <w:lang w:val="en-US" w:eastAsia="zh-CN"/>
        </w:rPr>
        <w:t xml:space="preserve">, Belbin O, Zou F, Allen M, Ertekin-Taner N, Ansari M, Wilcox </w:t>
      </w:r>
      <w:r w:rsidRPr="00A61C87">
        <w:rPr>
          <w:rFonts w:ascii="Book Antiqua" w:eastAsia="SimSun" w:hAnsi="Book Antiqua" w:cs="Times New Roman"/>
          <w:kern w:val="2"/>
          <w:lang w:val="en-US" w:eastAsia="zh-CN"/>
        </w:rPr>
        <w:lastRenderedPageBreak/>
        <w:t xml:space="preserve">SL, Kashino MR, Ma L, Younkin LH, Younkin SG, Younkin CS, Dincman TA, Howard ME, Howell CC, Stanton CM, Watson CM, Crump M, Vitart V, Hayward C, Hastie ND, Rudan I, Campbell H, Polasek O, Brown K, Passmore P, Craig D, McGuinness B, Todd S, Kehoe PG, Mann DM, Smith AD, Beaumont H, Warden D, Holmes C, Heun R, Kölsch H, Kalsheker N, Pankratz VS, Dickson DW, Graff-Radford NR, Petersen RC, Wright AF, Younkin SG, Morgan K. Concordant association of insulin degrading enzyme gene (IDE) variants with IDE mRNA, Abeta, and Alzheimer's disease. </w:t>
      </w:r>
      <w:r w:rsidRPr="00A61C87">
        <w:rPr>
          <w:rFonts w:ascii="Book Antiqua" w:eastAsia="SimSun" w:hAnsi="Book Antiqua" w:cs="Times New Roman"/>
          <w:i/>
          <w:kern w:val="2"/>
          <w:lang w:val="en-US" w:eastAsia="zh-CN"/>
        </w:rPr>
        <w:t>PLoS One</w:t>
      </w:r>
      <w:r w:rsidRPr="00A61C87">
        <w:rPr>
          <w:rFonts w:ascii="Book Antiqua" w:eastAsia="SimSun" w:hAnsi="Book Antiqua" w:cs="Times New Roman"/>
          <w:kern w:val="2"/>
          <w:lang w:val="en-US" w:eastAsia="zh-CN"/>
        </w:rPr>
        <w:t xml:space="preserve"> 2010; </w:t>
      </w:r>
      <w:r w:rsidRPr="00A61C87">
        <w:rPr>
          <w:rFonts w:ascii="Book Antiqua" w:eastAsia="SimSun" w:hAnsi="Book Antiqua" w:cs="Times New Roman"/>
          <w:b/>
          <w:kern w:val="2"/>
          <w:lang w:val="en-US" w:eastAsia="zh-CN"/>
        </w:rPr>
        <w:t>5</w:t>
      </w:r>
      <w:r w:rsidRPr="00A61C87">
        <w:rPr>
          <w:rFonts w:ascii="Book Antiqua" w:eastAsia="SimSun" w:hAnsi="Book Antiqua" w:cs="Times New Roman"/>
          <w:kern w:val="2"/>
          <w:lang w:val="en-US" w:eastAsia="zh-CN"/>
        </w:rPr>
        <w:t>: e8764 [PMID: 20098734 DOI: 10.1371/journal.pone.0008764]</w:t>
      </w:r>
    </w:p>
    <w:p w14:paraId="2286D4EF"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42 </w:t>
      </w:r>
      <w:r w:rsidRPr="00A61C87">
        <w:rPr>
          <w:rFonts w:ascii="Book Antiqua" w:eastAsia="SimSun" w:hAnsi="Book Antiqua" w:cs="Times New Roman"/>
          <w:b/>
          <w:kern w:val="2"/>
          <w:lang w:val="en-US" w:eastAsia="zh-CN"/>
        </w:rPr>
        <w:t>Gao L</w:t>
      </w:r>
      <w:r w:rsidRPr="00A61C87">
        <w:rPr>
          <w:rFonts w:ascii="Book Antiqua" w:eastAsia="SimSun" w:hAnsi="Book Antiqua" w:cs="Times New Roman"/>
          <w:kern w:val="2"/>
          <w:lang w:val="en-US" w:eastAsia="zh-CN"/>
        </w:rPr>
        <w:t xml:space="preserve">, Cui Z, Shen L, Ji HF. Shared Genetic Etiology between Type 2 Diabetes and Alzheimer's Disease Identified by Bioinformatics Analysis. </w:t>
      </w:r>
      <w:r w:rsidRPr="00A61C87">
        <w:rPr>
          <w:rFonts w:ascii="Book Antiqua" w:eastAsia="SimSun" w:hAnsi="Book Antiqua" w:cs="Times New Roman"/>
          <w:i/>
          <w:kern w:val="2"/>
          <w:lang w:val="en-US" w:eastAsia="zh-CN"/>
        </w:rPr>
        <w:t>J Alzheimers Dis</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50</w:t>
      </w:r>
      <w:r w:rsidRPr="00A61C87">
        <w:rPr>
          <w:rFonts w:ascii="Book Antiqua" w:eastAsia="SimSun" w:hAnsi="Book Antiqua" w:cs="Times New Roman"/>
          <w:kern w:val="2"/>
          <w:lang w:val="en-US" w:eastAsia="zh-CN"/>
        </w:rPr>
        <w:t>: 13-17 [PMID: 26639962 DOI: 10.3233/JAD-150580]</w:t>
      </w:r>
    </w:p>
    <w:p w14:paraId="29A3A96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43 </w:t>
      </w:r>
      <w:r w:rsidRPr="00A61C87">
        <w:rPr>
          <w:rFonts w:ascii="Book Antiqua" w:eastAsia="SimSun" w:hAnsi="Book Antiqua" w:cs="Times New Roman"/>
          <w:b/>
          <w:kern w:val="2"/>
          <w:lang w:val="en-US" w:eastAsia="zh-CN"/>
        </w:rPr>
        <w:t>Wang XF</w:t>
      </w:r>
      <w:r w:rsidRPr="00A61C87">
        <w:rPr>
          <w:rFonts w:ascii="Book Antiqua" w:eastAsia="SimSun" w:hAnsi="Book Antiqua" w:cs="Times New Roman"/>
          <w:kern w:val="2"/>
          <w:lang w:val="en-US" w:eastAsia="zh-CN"/>
        </w:rPr>
        <w:t xml:space="preserve">, Lin X, Li DY, Zhou R, Greenbaum J, Chen YC, Zeng CP, Peng LP, Wu KH, Ao ZX, Lu JM, Guo YF, Shen J, Deng HW. Linking Alzheimer's disease and type 2 diabetes: Novel shared susceptibility genes detected by cFDR approach. </w:t>
      </w:r>
      <w:r w:rsidRPr="00A61C87">
        <w:rPr>
          <w:rFonts w:ascii="Book Antiqua" w:eastAsia="SimSun" w:hAnsi="Book Antiqua" w:cs="Times New Roman"/>
          <w:i/>
          <w:kern w:val="2"/>
          <w:lang w:val="en-US" w:eastAsia="zh-CN"/>
        </w:rPr>
        <w:t>J Neurol Sci</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380</w:t>
      </w:r>
      <w:r w:rsidRPr="00A61C87">
        <w:rPr>
          <w:rFonts w:ascii="Book Antiqua" w:eastAsia="SimSun" w:hAnsi="Book Antiqua" w:cs="Times New Roman"/>
          <w:kern w:val="2"/>
          <w:lang w:val="en-US" w:eastAsia="zh-CN"/>
        </w:rPr>
        <w:t>: 262-272 [PMID: 28870582 DOI: 10.1016/j.jns.2017.07.044]</w:t>
      </w:r>
    </w:p>
    <w:p w14:paraId="06A74A7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44 </w:t>
      </w:r>
      <w:r w:rsidRPr="00A61C87">
        <w:rPr>
          <w:rFonts w:ascii="Book Antiqua" w:eastAsia="SimSun" w:hAnsi="Book Antiqua" w:cs="Times New Roman"/>
          <w:b/>
          <w:kern w:val="2"/>
          <w:lang w:val="en-US" w:eastAsia="zh-CN"/>
        </w:rPr>
        <w:t>SanGiovanni JP</w:t>
      </w:r>
      <w:r w:rsidRPr="00A61C87">
        <w:rPr>
          <w:rFonts w:ascii="Book Antiqua" w:eastAsia="SimSun" w:hAnsi="Book Antiqua" w:cs="Times New Roman"/>
          <w:kern w:val="2"/>
          <w:lang w:val="en-US" w:eastAsia="zh-CN"/>
        </w:rPr>
        <w:t xml:space="preserve">, SanGiovanni PM, Sapieha P, De Guire V. miRNAs, single nucleotide polymorphisms (SNPs) and age-related macular degeneration (AMD). </w:t>
      </w:r>
      <w:r w:rsidRPr="00A61C87">
        <w:rPr>
          <w:rFonts w:ascii="Book Antiqua" w:eastAsia="SimSun" w:hAnsi="Book Antiqua" w:cs="Times New Roman"/>
          <w:i/>
          <w:kern w:val="2"/>
          <w:lang w:val="en-US" w:eastAsia="zh-CN"/>
        </w:rPr>
        <w:t>Clin Chem Lab Med</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55</w:t>
      </w:r>
      <w:r w:rsidRPr="00A61C87">
        <w:rPr>
          <w:rFonts w:ascii="Book Antiqua" w:eastAsia="SimSun" w:hAnsi="Book Antiqua" w:cs="Times New Roman"/>
          <w:kern w:val="2"/>
          <w:lang w:val="en-US" w:eastAsia="zh-CN"/>
        </w:rPr>
        <w:t>: 763-775 [PMID: 28343170 DOI: 10.1515/cclm-2016-0898]</w:t>
      </w:r>
    </w:p>
    <w:p w14:paraId="5AE13E01"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45 </w:t>
      </w:r>
      <w:r w:rsidRPr="00A61C87">
        <w:rPr>
          <w:rFonts w:ascii="Book Antiqua" w:eastAsia="SimSun" w:hAnsi="Book Antiqua" w:cs="Times New Roman"/>
          <w:b/>
          <w:kern w:val="2"/>
          <w:lang w:val="en-US" w:eastAsia="zh-CN"/>
        </w:rPr>
        <w:t>Wang G</w:t>
      </w:r>
      <w:r w:rsidRPr="00A61C87">
        <w:rPr>
          <w:rFonts w:ascii="Book Antiqua" w:eastAsia="SimSun" w:hAnsi="Book Antiqua" w:cs="Times New Roman"/>
          <w:kern w:val="2"/>
          <w:lang w:val="en-US" w:eastAsia="zh-CN"/>
        </w:rPr>
        <w:t xml:space="preserve">. Chromosome 10q26 locus and age-related macular degeneration: a progress update. </w:t>
      </w:r>
      <w:r w:rsidRPr="00A61C87">
        <w:rPr>
          <w:rFonts w:ascii="Book Antiqua" w:eastAsia="SimSun" w:hAnsi="Book Antiqua" w:cs="Times New Roman"/>
          <w:i/>
          <w:kern w:val="2"/>
          <w:lang w:val="en-US" w:eastAsia="zh-CN"/>
        </w:rPr>
        <w:t>Exp Eye Res</w:t>
      </w:r>
      <w:r w:rsidRPr="00A61C87">
        <w:rPr>
          <w:rFonts w:ascii="Book Antiqua" w:eastAsia="SimSun" w:hAnsi="Book Antiqua" w:cs="Times New Roman"/>
          <w:kern w:val="2"/>
          <w:lang w:val="en-US" w:eastAsia="zh-CN"/>
        </w:rPr>
        <w:t xml:space="preserve"> 2014; </w:t>
      </w:r>
      <w:r w:rsidRPr="00A61C87">
        <w:rPr>
          <w:rFonts w:ascii="Book Antiqua" w:eastAsia="SimSun" w:hAnsi="Book Antiqua" w:cs="Times New Roman"/>
          <w:b/>
          <w:kern w:val="2"/>
          <w:lang w:val="en-US" w:eastAsia="zh-CN"/>
        </w:rPr>
        <w:t>119</w:t>
      </w:r>
      <w:r w:rsidRPr="00A61C87">
        <w:rPr>
          <w:rFonts w:ascii="Book Antiqua" w:eastAsia="SimSun" w:hAnsi="Book Antiqua" w:cs="Times New Roman"/>
          <w:kern w:val="2"/>
          <w:lang w:val="en-US" w:eastAsia="zh-CN"/>
        </w:rPr>
        <w:t>: 1-7 [PMID: 24291204 DOI: 10.1016/j.exer.2013.11.009]</w:t>
      </w:r>
    </w:p>
    <w:p w14:paraId="0E1486BB"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46 </w:t>
      </w:r>
      <w:r w:rsidRPr="00A61C87">
        <w:rPr>
          <w:rFonts w:ascii="Book Antiqua" w:eastAsia="SimSun" w:hAnsi="Book Antiqua" w:cs="Times New Roman"/>
          <w:b/>
          <w:kern w:val="2"/>
          <w:lang w:val="en-US" w:eastAsia="zh-CN"/>
        </w:rPr>
        <w:t>Ricci F</w:t>
      </w:r>
      <w:r w:rsidRPr="00A61C87">
        <w:rPr>
          <w:rFonts w:ascii="Book Antiqua" w:eastAsia="SimSun" w:hAnsi="Book Antiqua" w:cs="Times New Roman"/>
          <w:kern w:val="2"/>
          <w:lang w:val="en-US" w:eastAsia="zh-CN"/>
        </w:rPr>
        <w:t xml:space="preserve">, Zampatti S, D'Abbruzzi F, Missiroli F, Martone C, Lepre T, Pietrangeli I, Sinibaldi C, Peconi C, Novelli G, Giardina E. Typing of ARMS2 and CFH in age-related macular degeneration: case-control study and assessment of frequency in the Italian population. </w:t>
      </w:r>
      <w:r w:rsidRPr="00A61C87">
        <w:rPr>
          <w:rFonts w:ascii="Book Antiqua" w:eastAsia="SimSun" w:hAnsi="Book Antiqua" w:cs="Times New Roman"/>
          <w:i/>
          <w:kern w:val="2"/>
          <w:lang w:val="en-US" w:eastAsia="zh-CN"/>
        </w:rPr>
        <w:t>Arch Ophthalmol</w:t>
      </w:r>
      <w:r w:rsidRPr="00A61C87">
        <w:rPr>
          <w:rFonts w:ascii="Book Antiqua" w:eastAsia="SimSun" w:hAnsi="Book Antiqua" w:cs="Times New Roman"/>
          <w:kern w:val="2"/>
          <w:lang w:val="en-US" w:eastAsia="zh-CN"/>
        </w:rPr>
        <w:t xml:space="preserve"> 2009; </w:t>
      </w:r>
      <w:r w:rsidRPr="00A61C87">
        <w:rPr>
          <w:rFonts w:ascii="Book Antiqua" w:eastAsia="SimSun" w:hAnsi="Book Antiqua" w:cs="Times New Roman"/>
          <w:b/>
          <w:kern w:val="2"/>
          <w:lang w:val="en-US" w:eastAsia="zh-CN"/>
        </w:rPr>
        <w:t>127</w:t>
      </w:r>
      <w:r w:rsidRPr="00A61C87">
        <w:rPr>
          <w:rFonts w:ascii="Book Antiqua" w:eastAsia="SimSun" w:hAnsi="Book Antiqua" w:cs="Times New Roman"/>
          <w:kern w:val="2"/>
          <w:lang w:val="en-US" w:eastAsia="zh-CN"/>
        </w:rPr>
        <w:t>: 1368-1372 [PMID: 19822855 DOI: 10.1001/archophthalmol.2009.237]</w:t>
      </w:r>
    </w:p>
    <w:p w14:paraId="448169A8"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47 </w:t>
      </w:r>
      <w:r w:rsidRPr="00A61C87">
        <w:rPr>
          <w:rFonts w:ascii="Book Antiqua" w:eastAsia="SimSun" w:hAnsi="Book Antiqua" w:cs="Times New Roman"/>
          <w:b/>
          <w:kern w:val="2"/>
          <w:lang w:val="en-US" w:eastAsia="zh-CN"/>
        </w:rPr>
        <w:t>Cascella R</w:t>
      </w:r>
      <w:r w:rsidRPr="00A61C87">
        <w:rPr>
          <w:rFonts w:ascii="Book Antiqua" w:eastAsia="SimSun" w:hAnsi="Book Antiqua" w:cs="Times New Roman"/>
          <w:kern w:val="2"/>
          <w:lang w:val="en-US" w:eastAsia="zh-CN"/>
        </w:rPr>
        <w:t xml:space="preserve">, Strafella C, Longo G, Ragazzo M, Manzo L, De Felici C, Errichiello V, Caputo V, Viola F, Eandi CM, Staurenghi G, Cusumano A, Mauriello S, Marsella LT, Ciccacci C, Borgiani P, Sangiuolo F, Novelli G, Ricci F, Giardina E. Uncovering genetic and non-genetic biomarkers specific for exudative age-related macular degeneration: significant association of twelve variants. </w:t>
      </w:r>
      <w:r w:rsidRPr="00A61C87">
        <w:rPr>
          <w:rFonts w:ascii="Book Antiqua" w:eastAsia="SimSun" w:hAnsi="Book Antiqua" w:cs="Times New Roman"/>
          <w:i/>
          <w:kern w:val="2"/>
          <w:lang w:val="en-US" w:eastAsia="zh-CN"/>
        </w:rPr>
        <w:t>Oncotarget</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9</w:t>
      </w:r>
      <w:r w:rsidRPr="00A61C87">
        <w:rPr>
          <w:rFonts w:ascii="Book Antiqua" w:eastAsia="SimSun" w:hAnsi="Book Antiqua" w:cs="Times New Roman"/>
          <w:kern w:val="2"/>
          <w:lang w:val="en-US" w:eastAsia="zh-CN"/>
        </w:rPr>
        <w:t xml:space="preserve">: 7812-7821 </w:t>
      </w:r>
      <w:r w:rsidRPr="00A61C87">
        <w:rPr>
          <w:rFonts w:ascii="Book Antiqua" w:eastAsia="SimSun" w:hAnsi="Book Antiqua" w:cs="Times New Roman"/>
          <w:kern w:val="2"/>
          <w:lang w:val="en-US" w:eastAsia="zh-CN"/>
        </w:rPr>
        <w:lastRenderedPageBreak/>
        <w:t>[PMID: 29487693 DOI: 10.18632/oncotarget.23241]</w:t>
      </w:r>
    </w:p>
    <w:p w14:paraId="33BF34F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48 </w:t>
      </w:r>
      <w:r w:rsidRPr="00A61C87">
        <w:rPr>
          <w:rFonts w:ascii="Book Antiqua" w:eastAsia="SimSun" w:hAnsi="Book Antiqua" w:cs="Times New Roman"/>
          <w:b/>
          <w:kern w:val="2"/>
          <w:lang w:val="en-US" w:eastAsia="zh-CN"/>
        </w:rPr>
        <w:t>Cascella R</w:t>
      </w:r>
      <w:r w:rsidRPr="00A61C87">
        <w:rPr>
          <w:rFonts w:ascii="Book Antiqua" w:eastAsia="SimSun" w:hAnsi="Book Antiqua" w:cs="Times New Roman"/>
          <w:kern w:val="2"/>
          <w:lang w:val="en-US" w:eastAsia="zh-CN"/>
        </w:rPr>
        <w:t xml:space="preserve">, Strafella C, Caputo V, Errichiello V, Zampatti S, Milano F, Potenza S, Mauriello S, Novelli G, Ricci F, Cusumano A, Giardina E. Towards the application of precision medicine in Age-Related Macular Degeneration. </w:t>
      </w:r>
      <w:r w:rsidRPr="00A61C87">
        <w:rPr>
          <w:rFonts w:ascii="Book Antiqua" w:eastAsia="SimSun" w:hAnsi="Book Antiqua" w:cs="Times New Roman"/>
          <w:i/>
          <w:kern w:val="2"/>
          <w:lang w:val="en-US" w:eastAsia="zh-CN"/>
        </w:rPr>
        <w:t>Prog Retin Eye Res</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63</w:t>
      </w:r>
      <w:r w:rsidRPr="00A61C87">
        <w:rPr>
          <w:rFonts w:ascii="Book Antiqua" w:eastAsia="SimSun" w:hAnsi="Book Antiqua" w:cs="Times New Roman"/>
          <w:kern w:val="2"/>
          <w:lang w:val="en-US" w:eastAsia="zh-CN"/>
        </w:rPr>
        <w:t>: 132-146 [PMID: 29197628 DOI: 10.1016/j.preteyeres.2017.11.004]</w:t>
      </w:r>
    </w:p>
    <w:p w14:paraId="495EAC09"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49 </w:t>
      </w:r>
      <w:r w:rsidRPr="00A61C87">
        <w:rPr>
          <w:rFonts w:ascii="Book Antiqua" w:eastAsia="SimSun" w:hAnsi="Book Antiqua" w:cs="Times New Roman"/>
          <w:b/>
          <w:kern w:val="2"/>
          <w:lang w:val="en-US" w:eastAsia="zh-CN"/>
        </w:rPr>
        <w:t>Chung SJ</w:t>
      </w:r>
      <w:r w:rsidRPr="00A61C87">
        <w:rPr>
          <w:rFonts w:ascii="Book Antiqua" w:eastAsia="SimSun" w:hAnsi="Book Antiqua" w:cs="Times New Roman"/>
          <w:kern w:val="2"/>
          <w:lang w:val="en-US" w:eastAsia="zh-CN"/>
        </w:rPr>
        <w:t xml:space="preserve">, Kim MJ, Kim J, Ryu HS, Kim YJ, Kim SY, Lee JH. Association of type 2 diabetes GWAS loci and the risk of Parkinson's and Alzheimer's diseases. </w:t>
      </w:r>
      <w:r w:rsidRPr="00A61C87">
        <w:rPr>
          <w:rFonts w:ascii="Book Antiqua" w:eastAsia="SimSun" w:hAnsi="Book Antiqua" w:cs="Times New Roman"/>
          <w:i/>
          <w:kern w:val="2"/>
          <w:lang w:val="en-US" w:eastAsia="zh-CN"/>
        </w:rPr>
        <w:t>Parkinsonism Relat Disord</w:t>
      </w:r>
      <w:r w:rsidRPr="00A61C87">
        <w:rPr>
          <w:rFonts w:ascii="Book Antiqua" w:eastAsia="SimSun" w:hAnsi="Book Antiqua" w:cs="Times New Roman"/>
          <w:kern w:val="2"/>
          <w:lang w:val="en-US" w:eastAsia="zh-CN"/>
        </w:rPr>
        <w:t xml:space="preserve"> 2015; </w:t>
      </w:r>
      <w:r w:rsidRPr="00A61C87">
        <w:rPr>
          <w:rFonts w:ascii="Book Antiqua" w:eastAsia="SimSun" w:hAnsi="Book Antiqua" w:cs="Times New Roman"/>
          <w:b/>
          <w:kern w:val="2"/>
          <w:lang w:val="en-US" w:eastAsia="zh-CN"/>
        </w:rPr>
        <w:t>21</w:t>
      </w:r>
      <w:r w:rsidRPr="00A61C87">
        <w:rPr>
          <w:rFonts w:ascii="Book Antiqua" w:eastAsia="SimSun" w:hAnsi="Book Antiqua" w:cs="Times New Roman"/>
          <w:kern w:val="2"/>
          <w:lang w:val="en-US" w:eastAsia="zh-CN"/>
        </w:rPr>
        <w:t>: 1435-1440 [PMID: 26499758 DOI: 10.1016/j.parkreldis.2015.10.010]</w:t>
      </w:r>
    </w:p>
    <w:p w14:paraId="4FFAAEB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50 </w:t>
      </w:r>
      <w:r w:rsidRPr="00A61C87">
        <w:rPr>
          <w:rFonts w:ascii="Book Antiqua" w:eastAsia="SimSun" w:hAnsi="Book Antiqua" w:cs="Times New Roman"/>
          <w:b/>
          <w:kern w:val="2"/>
          <w:lang w:val="en-US" w:eastAsia="zh-CN"/>
        </w:rPr>
        <w:t>Witoelar A</w:t>
      </w:r>
      <w:r w:rsidRPr="00A61C87">
        <w:rPr>
          <w:rFonts w:ascii="Book Antiqua" w:eastAsia="SimSun" w:hAnsi="Book Antiqua" w:cs="Times New Roman"/>
          <w:kern w:val="2"/>
          <w:lang w:val="en-US" w:eastAsia="zh-CN"/>
        </w:rPr>
        <w:t xml:space="preserve">, Jansen IE, Wang Y, Desikan RS, Gibbs JR, Blauwendraat C, Thompson WK, Hernandez DG, Djurovic S, Schork AJ, Bettella F, Ellinghaus D, Franke A, Lie BA, McEvoy LK, Karlsen TH, Lesage S, Morris HR, Brice A, Wood NW, Heutink P, Hardy J, Singleton AB, Dale AM, Gasser T, Andreassen OA, Sharma M; International Parkinson’s Disease Genomics Consortium (IPDGC), North American Brain Expression Consortium (NABEC), and United Kingdom Brain Expression Consortium (UKBEC) Investigators. Genome-wide Pleiotropy Between Parkinson Disease and Autoimmune Diseases. </w:t>
      </w:r>
      <w:r w:rsidRPr="00A61C87">
        <w:rPr>
          <w:rFonts w:ascii="Book Antiqua" w:eastAsia="SimSun" w:hAnsi="Book Antiqua" w:cs="Times New Roman"/>
          <w:i/>
          <w:kern w:val="2"/>
          <w:lang w:val="en-US" w:eastAsia="zh-CN"/>
        </w:rPr>
        <w:t>JAMA Neurol</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74</w:t>
      </w:r>
      <w:r w:rsidRPr="00A61C87">
        <w:rPr>
          <w:rFonts w:ascii="Book Antiqua" w:eastAsia="SimSun" w:hAnsi="Book Antiqua" w:cs="Times New Roman"/>
          <w:kern w:val="2"/>
          <w:lang w:val="en-US" w:eastAsia="zh-CN"/>
        </w:rPr>
        <w:t>: 780-792 [PMID: 28586827 DOI: 10.1001/jamaneurol.2017.0469]</w:t>
      </w:r>
    </w:p>
    <w:p w14:paraId="5F0E377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51 </w:t>
      </w:r>
      <w:r w:rsidRPr="00A61C87">
        <w:rPr>
          <w:rFonts w:ascii="Book Antiqua" w:eastAsia="SimSun" w:hAnsi="Book Antiqua" w:cs="Times New Roman"/>
          <w:b/>
          <w:kern w:val="2"/>
          <w:lang w:val="en-US" w:eastAsia="zh-CN"/>
        </w:rPr>
        <w:t>Bonham LW</w:t>
      </w:r>
      <w:r w:rsidRPr="00A61C87">
        <w:rPr>
          <w:rFonts w:ascii="Book Antiqua" w:eastAsia="SimSun" w:hAnsi="Book Antiqua" w:cs="Times New Roman"/>
          <w:kern w:val="2"/>
          <w:lang w:val="en-US" w:eastAsia="zh-CN"/>
        </w:rPr>
        <w:t xml:space="preserve">, Karch CM, Fan CC, Tan C, Geier EG, Wang Y, Wen N, Broce IJ, Li Y, Barkovich MJ, Ferrari R, Hardy J, Momeni P, Höglinger G, Müller U, Hess CP, Sugrue LP, Dillon WP, Schellenberg GD, Miller BL, Andreassen OA, Dale AM, Barkovich AJ, Yokoyama JS, Desikan RS; International FTD-Genomics Consortium (IFGC); International Parkinson’s Disease Genetics Consortium (IPDGC); International Genomics of Alzheimer’s Project (IGAP). CXCR4 involvement in neurodegenerative diseases. </w:t>
      </w:r>
      <w:r w:rsidRPr="00A61C87">
        <w:rPr>
          <w:rFonts w:ascii="Book Antiqua" w:eastAsia="SimSun" w:hAnsi="Book Antiqua" w:cs="Times New Roman"/>
          <w:i/>
          <w:kern w:val="2"/>
          <w:lang w:val="en-US" w:eastAsia="zh-CN"/>
        </w:rPr>
        <w:t>Transl Psychiatry</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8</w:t>
      </w:r>
      <w:r w:rsidRPr="00A61C87">
        <w:rPr>
          <w:rFonts w:ascii="Book Antiqua" w:eastAsia="SimSun" w:hAnsi="Book Antiqua" w:cs="Times New Roman"/>
          <w:kern w:val="2"/>
          <w:lang w:val="en-US" w:eastAsia="zh-CN"/>
        </w:rPr>
        <w:t>: 73 [PMID: 29636460 DOI: 10.1038/s41398-017-0049-7]</w:t>
      </w:r>
    </w:p>
    <w:p w14:paraId="3F73A468"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52 </w:t>
      </w:r>
      <w:r w:rsidRPr="00A61C87">
        <w:rPr>
          <w:rFonts w:ascii="Book Antiqua" w:eastAsia="SimSun" w:hAnsi="Book Antiqua" w:cs="Times New Roman"/>
          <w:b/>
          <w:kern w:val="2"/>
          <w:lang w:val="en-US" w:eastAsia="zh-CN"/>
        </w:rPr>
        <w:t>Mao X</w:t>
      </w:r>
      <w:r w:rsidRPr="00A61C87">
        <w:rPr>
          <w:rFonts w:ascii="Book Antiqua" w:eastAsia="SimSun" w:hAnsi="Book Antiqua" w:cs="Times New Roman"/>
          <w:kern w:val="2"/>
          <w:lang w:val="en-US" w:eastAsia="zh-CN"/>
        </w:rPr>
        <w:t xml:space="preserve">, Phanavanh B, Hamdan H, Moerman-Herzog AM, Barger SW. NFκB-inducing kinase inhibits NFκB activity specifically in neurons of the CNS. </w:t>
      </w:r>
      <w:r w:rsidRPr="00A61C87">
        <w:rPr>
          <w:rFonts w:ascii="Book Antiqua" w:eastAsia="SimSun" w:hAnsi="Book Antiqua" w:cs="Times New Roman"/>
          <w:i/>
          <w:kern w:val="2"/>
          <w:lang w:val="en-US" w:eastAsia="zh-CN"/>
        </w:rPr>
        <w:t>J Neurochem</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137</w:t>
      </w:r>
      <w:r w:rsidRPr="00A61C87">
        <w:rPr>
          <w:rFonts w:ascii="Book Antiqua" w:eastAsia="SimSun" w:hAnsi="Book Antiqua" w:cs="Times New Roman"/>
          <w:kern w:val="2"/>
          <w:lang w:val="en-US" w:eastAsia="zh-CN"/>
        </w:rPr>
        <w:t>: 154-163 [PMID: 26778773 DOI: 10.1111/jnc.13526]</w:t>
      </w:r>
    </w:p>
    <w:p w14:paraId="5276F622"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53 </w:t>
      </w:r>
      <w:r w:rsidRPr="00A61C87">
        <w:rPr>
          <w:rFonts w:ascii="Book Antiqua" w:eastAsia="SimSun" w:hAnsi="Book Antiqua" w:cs="Times New Roman"/>
          <w:b/>
          <w:kern w:val="2"/>
          <w:lang w:val="en-US" w:eastAsia="zh-CN"/>
        </w:rPr>
        <w:t>Zhu D</w:t>
      </w:r>
      <w:r w:rsidRPr="00A61C87">
        <w:rPr>
          <w:rFonts w:ascii="Book Antiqua" w:eastAsia="SimSun" w:hAnsi="Book Antiqua" w:cs="Times New Roman"/>
          <w:kern w:val="2"/>
          <w:lang w:val="en-US" w:eastAsia="zh-CN"/>
        </w:rPr>
        <w:t xml:space="preserve">, Fan T, Huo X, Cui J, Cheung CW, Xia Z. Progressive Increase of Inflammatory CXCR4 and TNF-Alpha in the Dorsal Root Ganglia and Spinal Cord Maintains Peripheral and Central Sensitization to Diabetic Neuropathic Pain in Rats. </w:t>
      </w:r>
      <w:r w:rsidRPr="00A61C87">
        <w:rPr>
          <w:rFonts w:ascii="Book Antiqua" w:eastAsia="SimSun" w:hAnsi="Book Antiqua" w:cs="Times New Roman"/>
          <w:i/>
          <w:kern w:val="2"/>
          <w:lang w:val="en-US" w:eastAsia="zh-CN"/>
        </w:rPr>
        <w:lastRenderedPageBreak/>
        <w:t>Mediators Inflamm</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2019</w:t>
      </w:r>
      <w:r w:rsidRPr="00A61C87">
        <w:rPr>
          <w:rFonts w:ascii="Book Antiqua" w:eastAsia="SimSun" w:hAnsi="Book Antiqua" w:cs="Times New Roman"/>
          <w:kern w:val="2"/>
          <w:lang w:val="en-US" w:eastAsia="zh-CN"/>
        </w:rPr>
        <w:t>: 4856156 [PMID: 31001066 DOI: 10.1155/2019/4856156]</w:t>
      </w:r>
    </w:p>
    <w:p w14:paraId="38CD53B7"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54 </w:t>
      </w:r>
      <w:r w:rsidRPr="00A61C87">
        <w:rPr>
          <w:rFonts w:ascii="Book Antiqua" w:eastAsia="SimSun" w:hAnsi="Book Antiqua" w:cs="Times New Roman"/>
          <w:b/>
          <w:kern w:val="2"/>
          <w:lang w:val="en-US" w:eastAsia="zh-CN"/>
        </w:rPr>
        <w:t>Koolen DA</w:t>
      </w:r>
      <w:r w:rsidRPr="00A61C87">
        <w:rPr>
          <w:rFonts w:ascii="Book Antiqua" w:eastAsia="SimSun" w:hAnsi="Book Antiqua" w:cs="Times New Roman"/>
          <w:kern w:val="2"/>
          <w:lang w:val="en-US" w:eastAsia="zh-CN"/>
        </w:rPr>
        <w:t xml:space="preserve">, Kramer JM, Neveling K, Nillesen WM, Moore-Barton HL, Elmslie FV, Toutain A, Amiel J, Malan V, Tsai AC, Cheung SW, Gilissen C, Verwiel ET, Martens S, Feuth T, Bongers EM, de Vries P, Scheffer H, Vissers LE, de Brouwer AP, Brunner HG, Veltman JA, Schenck A, Yntema HG, de Vries BB. Mutations in the chromatin modifier gene KANSL1 cause the 17q21.31 microdeletion syndrome. </w:t>
      </w:r>
      <w:r w:rsidRPr="00A61C87">
        <w:rPr>
          <w:rFonts w:ascii="Book Antiqua" w:eastAsia="SimSun" w:hAnsi="Book Antiqua" w:cs="Times New Roman"/>
          <w:i/>
          <w:kern w:val="2"/>
          <w:lang w:val="en-US" w:eastAsia="zh-CN"/>
        </w:rPr>
        <w:t>Nat Genet</w:t>
      </w:r>
      <w:r w:rsidRPr="00A61C87">
        <w:rPr>
          <w:rFonts w:ascii="Book Antiqua" w:eastAsia="SimSun" w:hAnsi="Book Antiqua" w:cs="Times New Roman"/>
          <w:kern w:val="2"/>
          <w:lang w:val="en-US" w:eastAsia="zh-CN"/>
        </w:rPr>
        <w:t xml:space="preserve"> 2012; </w:t>
      </w:r>
      <w:r w:rsidRPr="00A61C87">
        <w:rPr>
          <w:rFonts w:ascii="Book Antiqua" w:eastAsia="SimSun" w:hAnsi="Book Antiqua" w:cs="Times New Roman"/>
          <w:b/>
          <w:kern w:val="2"/>
          <w:lang w:val="en-US" w:eastAsia="zh-CN"/>
        </w:rPr>
        <w:t>44</w:t>
      </w:r>
      <w:r w:rsidRPr="00A61C87">
        <w:rPr>
          <w:rFonts w:ascii="Book Antiqua" w:eastAsia="SimSun" w:hAnsi="Book Antiqua" w:cs="Times New Roman"/>
          <w:kern w:val="2"/>
          <w:lang w:val="en-US" w:eastAsia="zh-CN"/>
        </w:rPr>
        <w:t>: 639-641 [PMID: 22544363 DOI: 10.1038/ng.2262]</w:t>
      </w:r>
    </w:p>
    <w:p w14:paraId="38115365"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55 </w:t>
      </w:r>
      <w:r w:rsidRPr="00A61C87">
        <w:rPr>
          <w:rFonts w:ascii="Book Antiqua" w:eastAsia="SimSun" w:hAnsi="Book Antiqua" w:cs="Times New Roman"/>
          <w:b/>
          <w:kern w:val="2"/>
          <w:lang w:val="en-US" w:eastAsia="zh-CN"/>
        </w:rPr>
        <w:t>Jun G</w:t>
      </w:r>
      <w:r w:rsidRPr="00A61C87">
        <w:rPr>
          <w:rFonts w:ascii="Book Antiqua" w:eastAsia="SimSun" w:hAnsi="Book Antiqua" w:cs="Times New Roman"/>
          <w:kern w:val="2"/>
          <w:lang w:val="en-US" w:eastAsia="zh-CN"/>
        </w:rPr>
        <w:t xml:space="preserve">,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Letenneur L, Brayne C, Maier W, De Jager P, Emilsson V, Dartigues JF, Hampel H, Kamboh MI, de Bruijn RF, Tzourio C, Pastor P, Larson EB, Rotter JI, O'Donovan MC, Montine TJ, Nalls MA, Mead S, Reiman EM, Jonsson PV, Holmes C, St George-Hyslop PH, Boada M, Passmore P, Wendland JR, Schmidt R, Morgan K, Winslow AR, Powell JF, Carasquillo M, Younkin SG, Jakobsdóttir J, Kauwe JS, Wilhelmsen KC, Rujescu D, Nöthen MM, Hofman A, Jones L; IGAP Consortium, Haines JL, Psaty BM, Van Broeckhoven C, Holmans P, Launer LJ, Mayeux R, Lathrop M, Goate AM, Escott-Price V, Seshadri S, Pericak-Vance MA, Amouyel P, Williams J, van Duijn CM, Schellenberg GD, Farrer LA. A novel Alzheimer disease locus located near the gene encoding tau protein. </w:t>
      </w:r>
      <w:r w:rsidRPr="00A61C87">
        <w:rPr>
          <w:rFonts w:ascii="Book Antiqua" w:eastAsia="SimSun" w:hAnsi="Book Antiqua" w:cs="Times New Roman"/>
          <w:i/>
          <w:kern w:val="2"/>
          <w:lang w:val="en-US" w:eastAsia="zh-CN"/>
        </w:rPr>
        <w:t>Mol Psychiatry</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21</w:t>
      </w:r>
      <w:r w:rsidRPr="00A61C87">
        <w:rPr>
          <w:rFonts w:ascii="Book Antiqua" w:eastAsia="SimSun" w:hAnsi="Book Antiqua" w:cs="Times New Roman"/>
          <w:kern w:val="2"/>
          <w:lang w:val="en-US" w:eastAsia="zh-CN"/>
        </w:rPr>
        <w:t>: 108-117 [PMID: 25778476 DOI: 10.1038/mp.2015.23]</w:t>
      </w:r>
    </w:p>
    <w:p w14:paraId="0BB92136"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56 </w:t>
      </w:r>
      <w:r w:rsidRPr="00A61C87">
        <w:rPr>
          <w:rFonts w:ascii="Book Antiqua" w:eastAsia="SimSun" w:hAnsi="Book Antiqua" w:cs="Times New Roman"/>
          <w:b/>
          <w:kern w:val="2"/>
          <w:lang w:val="en-US" w:eastAsia="zh-CN"/>
        </w:rPr>
        <w:t>Gragnoli C</w:t>
      </w:r>
      <w:r w:rsidRPr="00A61C87">
        <w:rPr>
          <w:rFonts w:ascii="Book Antiqua" w:eastAsia="SimSun" w:hAnsi="Book Antiqua" w:cs="Times New Roman"/>
          <w:kern w:val="2"/>
          <w:lang w:val="en-US" w:eastAsia="zh-CN"/>
        </w:rPr>
        <w:t xml:space="preserve">. Hypothesis of the neuroendocrine cortisol pathway gene role in the comorbidity of depression, type 2 diabetes, and metabolic syndrome. </w:t>
      </w:r>
      <w:r w:rsidRPr="00A61C87">
        <w:rPr>
          <w:rFonts w:ascii="Book Antiqua" w:eastAsia="SimSun" w:hAnsi="Book Antiqua" w:cs="Times New Roman"/>
          <w:i/>
          <w:kern w:val="2"/>
          <w:lang w:val="en-US" w:eastAsia="zh-CN"/>
        </w:rPr>
        <w:t>Appl Clin Genet</w:t>
      </w:r>
      <w:r w:rsidRPr="00A61C87">
        <w:rPr>
          <w:rFonts w:ascii="Book Antiqua" w:eastAsia="SimSun" w:hAnsi="Book Antiqua" w:cs="Times New Roman"/>
          <w:kern w:val="2"/>
          <w:lang w:val="en-US" w:eastAsia="zh-CN"/>
        </w:rPr>
        <w:t xml:space="preserve"> 2014; </w:t>
      </w:r>
      <w:r w:rsidRPr="00A61C87">
        <w:rPr>
          <w:rFonts w:ascii="Book Antiqua" w:eastAsia="SimSun" w:hAnsi="Book Antiqua" w:cs="Times New Roman"/>
          <w:b/>
          <w:kern w:val="2"/>
          <w:lang w:val="en-US" w:eastAsia="zh-CN"/>
        </w:rPr>
        <w:t>7</w:t>
      </w:r>
      <w:r w:rsidRPr="00A61C87">
        <w:rPr>
          <w:rFonts w:ascii="Book Antiqua" w:eastAsia="SimSun" w:hAnsi="Book Antiqua" w:cs="Times New Roman"/>
          <w:kern w:val="2"/>
          <w:lang w:val="en-US" w:eastAsia="zh-CN"/>
        </w:rPr>
        <w:t>: 43-53 [PMID: 24817815 DOI: 10.2147/TACG.S39993]</w:t>
      </w:r>
    </w:p>
    <w:p w14:paraId="583BCE16"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57 </w:t>
      </w:r>
      <w:r w:rsidRPr="00A61C87">
        <w:rPr>
          <w:rFonts w:ascii="Book Antiqua" w:eastAsia="SimSun" w:hAnsi="Book Antiqua" w:cs="Times New Roman"/>
          <w:b/>
          <w:kern w:val="2"/>
          <w:lang w:val="en-US" w:eastAsia="zh-CN"/>
        </w:rPr>
        <w:t>Rahman MH,</w:t>
      </w:r>
      <w:r w:rsidRPr="00A61C87">
        <w:rPr>
          <w:rFonts w:ascii="Book Antiqua" w:eastAsia="SimSun" w:hAnsi="Book Antiqua" w:cs="Times New Roman"/>
          <w:kern w:val="2"/>
          <w:lang w:val="en-US" w:eastAsia="zh-CN"/>
        </w:rPr>
        <w:t xml:space="preserve"> Peng S, Chen C, Lio’ P, Moni MA. Genetic effect of type 2 Diabetes to the progression of Neurological Diseases. </w:t>
      </w:r>
      <w:r w:rsidRPr="00A61C87">
        <w:rPr>
          <w:rFonts w:ascii="Book Antiqua" w:eastAsia="SimSun" w:hAnsi="Book Antiqua" w:cs="Times New Roman"/>
          <w:i/>
          <w:kern w:val="2"/>
          <w:lang w:val="en-US" w:eastAsia="zh-CN"/>
        </w:rPr>
        <w:t>bioRxiv</w:t>
      </w:r>
      <w:r w:rsidRPr="00A61C87">
        <w:rPr>
          <w:rFonts w:ascii="Book Antiqua" w:eastAsia="SimSun" w:hAnsi="Book Antiqua" w:cs="Times New Roman"/>
          <w:kern w:val="2"/>
          <w:lang w:val="en-US" w:eastAsia="zh-CN"/>
        </w:rPr>
        <w:t xml:space="preserve"> 2018; 480400 [DOI: </w:t>
      </w:r>
      <w:r w:rsidRPr="00A61C87">
        <w:rPr>
          <w:rFonts w:ascii="Book Antiqua" w:eastAsia="SimSun" w:hAnsi="Book Antiqua" w:cs="Times New Roman"/>
          <w:kern w:val="2"/>
          <w:lang w:val="en-US" w:eastAsia="zh-CN"/>
        </w:rPr>
        <w:lastRenderedPageBreak/>
        <w:t>10.1101/480400]</w:t>
      </w:r>
    </w:p>
    <w:p w14:paraId="095E080C"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58 </w:t>
      </w:r>
      <w:r w:rsidRPr="00A61C87">
        <w:rPr>
          <w:rFonts w:ascii="Book Antiqua" w:eastAsia="SimSun" w:hAnsi="Book Antiqua" w:cs="Times New Roman"/>
          <w:b/>
          <w:kern w:val="2"/>
          <w:lang w:val="en-US" w:eastAsia="zh-CN"/>
        </w:rPr>
        <w:t>Santiago JA</w:t>
      </w:r>
      <w:r w:rsidRPr="00A61C87">
        <w:rPr>
          <w:rFonts w:ascii="Book Antiqua" w:eastAsia="SimSun" w:hAnsi="Book Antiqua" w:cs="Times New Roman"/>
          <w:kern w:val="2"/>
          <w:lang w:val="en-US" w:eastAsia="zh-CN"/>
        </w:rPr>
        <w:t xml:space="preserve">, Potashkin JA. Integrative network analysis unveils convergent molecular pathways in Parkinson's disease and diabetes. </w:t>
      </w:r>
      <w:r w:rsidRPr="00A61C87">
        <w:rPr>
          <w:rFonts w:ascii="Book Antiqua" w:eastAsia="SimSun" w:hAnsi="Book Antiqua" w:cs="Times New Roman"/>
          <w:i/>
          <w:kern w:val="2"/>
          <w:lang w:val="en-US" w:eastAsia="zh-CN"/>
        </w:rPr>
        <w:t>PLoS One</w:t>
      </w:r>
      <w:r w:rsidRPr="00A61C87">
        <w:rPr>
          <w:rFonts w:ascii="Book Antiqua" w:eastAsia="SimSun" w:hAnsi="Book Antiqua" w:cs="Times New Roman"/>
          <w:kern w:val="2"/>
          <w:lang w:val="en-US" w:eastAsia="zh-CN"/>
        </w:rPr>
        <w:t xml:space="preserve"> 2013; </w:t>
      </w:r>
      <w:r w:rsidRPr="00A61C87">
        <w:rPr>
          <w:rFonts w:ascii="Book Antiqua" w:eastAsia="SimSun" w:hAnsi="Book Antiqua" w:cs="Times New Roman"/>
          <w:b/>
          <w:kern w:val="2"/>
          <w:lang w:val="en-US" w:eastAsia="zh-CN"/>
        </w:rPr>
        <w:t>8</w:t>
      </w:r>
      <w:r w:rsidRPr="00A61C87">
        <w:rPr>
          <w:rFonts w:ascii="Book Antiqua" w:eastAsia="SimSun" w:hAnsi="Book Antiqua" w:cs="Times New Roman"/>
          <w:kern w:val="2"/>
          <w:lang w:val="en-US" w:eastAsia="zh-CN"/>
        </w:rPr>
        <w:t>: e83940 [PMID: 24376773 DOI: 10.1371/journal.pone.0083940]</w:t>
      </w:r>
    </w:p>
    <w:p w14:paraId="776776F8"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59 </w:t>
      </w:r>
      <w:r w:rsidRPr="00A61C87">
        <w:rPr>
          <w:rFonts w:ascii="Book Antiqua" w:eastAsia="SimSun" w:hAnsi="Book Antiqua" w:cs="Times New Roman"/>
          <w:b/>
          <w:kern w:val="2"/>
          <w:lang w:val="en-US" w:eastAsia="zh-CN"/>
        </w:rPr>
        <w:t>Silberman DM</w:t>
      </w:r>
      <w:r w:rsidRPr="00A61C87">
        <w:rPr>
          <w:rFonts w:ascii="Book Antiqua" w:eastAsia="SimSun" w:hAnsi="Book Antiqua" w:cs="Times New Roman"/>
          <w:kern w:val="2"/>
          <w:lang w:val="en-US" w:eastAsia="zh-CN"/>
        </w:rPr>
        <w:t xml:space="preserve">. Metabolism, neurodegeneration and epigenetics: Emerging role of Sirtuins. </w:t>
      </w:r>
      <w:r w:rsidRPr="00A61C87">
        <w:rPr>
          <w:rFonts w:ascii="Book Antiqua" w:eastAsia="SimSun" w:hAnsi="Book Antiqua" w:cs="Times New Roman"/>
          <w:i/>
          <w:kern w:val="2"/>
          <w:lang w:val="en-US" w:eastAsia="zh-CN"/>
        </w:rPr>
        <w:t>Neural Regen Res</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13</w:t>
      </w:r>
      <w:r w:rsidRPr="00A61C87">
        <w:rPr>
          <w:rFonts w:ascii="Book Antiqua" w:eastAsia="SimSun" w:hAnsi="Book Antiqua" w:cs="Times New Roman"/>
          <w:kern w:val="2"/>
          <w:lang w:val="en-US" w:eastAsia="zh-CN"/>
        </w:rPr>
        <w:t>: 417-418 [PMID: 29623921 DOI: 10.4103/1673-5374.228719]</w:t>
      </w:r>
    </w:p>
    <w:p w14:paraId="574BF44A"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60 </w:t>
      </w:r>
      <w:r w:rsidRPr="00A61C87">
        <w:rPr>
          <w:rFonts w:ascii="Book Antiqua" w:eastAsia="SimSun" w:hAnsi="Book Antiqua" w:cs="Times New Roman"/>
          <w:b/>
          <w:kern w:val="2"/>
          <w:lang w:val="en-US" w:eastAsia="zh-CN"/>
        </w:rPr>
        <w:t>Cheng Z</w:t>
      </w:r>
      <w:r w:rsidRPr="00A61C87">
        <w:rPr>
          <w:rFonts w:ascii="Book Antiqua" w:eastAsia="SimSun" w:hAnsi="Book Antiqua" w:cs="Times New Roman"/>
          <w:kern w:val="2"/>
          <w:lang w:val="en-US" w:eastAsia="zh-CN"/>
        </w:rPr>
        <w:t xml:space="preserve">, Zheng L, Almeida FA. Epigenetic reprogramming in metabolic disorders: nutritional factors and beyond. </w:t>
      </w:r>
      <w:r w:rsidRPr="00A61C87">
        <w:rPr>
          <w:rFonts w:ascii="Book Antiqua" w:eastAsia="SimSun" w:hAnsi="Book Antiqua" w:cs="Times New Roman"/>
          <w:i/>
          <w:kern w:val="2"/>
          <w:lang w:val="en-US" w:eastAsia="zh-CN"/>
        </w:rPr>
        <w:t>J Nutr Biochem</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54</w:t>
      </w:r>
      <w:r w:rsidRPr="00A61C87">
        <w:rPr>
          <w:rFonts w:ascii="Book Antiqua" w:eastAsia="SimSun" w:hAnsi="Book Antiqua" w:cs="Times New Roman"/>
          <w:kern w:val="2"/>
          <w:lang w:val="en-US" w:eastAsia="zh-CN"/>
        </w:rPr>
        <w:t>: 1-10 [PMID: 29154162 DOI: 10.1016/j.jnutbio.2017.10.004]</w:t>
      </w:r>
    </w:p>
    <w:p w14:paraId="17E79FD0"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61 </w:t>
      </w:r>
      <w:r w:rsidRPr="00A61C87">
        <w:rPr>
          <w:rFonts w:ascii="Book Antiqua" w:eastAsia="SimSun" w:hAnsi="Book Antiqua" w:cs="Times New Roman"/>
          <w:b/>
          <w:kern w:val="2"/>
          <w:lang w:val="en-US" w:eastAsia="zh-CN"/>
        </w:rPr>
        <w:t>Tzika E</w:t>
      </w:r>
      <w:r w:rsidRPr="00A61C87">
        <w:rPr>
          <w:rFonts w:ascii="Book Antiqua" w:eastAsia="SimSun" w:hAnsi="Book Antiqua" w:cs="Times New Roman"/>
          <w:kern w:val="2"/>
          <w:lang w:val="en-US" w:eastAsia="zh-CN"/>
        </w:rPr>
        <w:t xml:space="preserve">, Dreker T, Imhof A. Epigenetics and Metabolism in Health and Disease. </w:t>
      </w:r>
      <w:r w:rsidRPr="00A61C87">
        <w:rPr>
          <w:rFonts w:ascii="Book Antiqua" w:eastAsia="SimSun" w:hAnsi="Book Antiqua" w:cs="Times New Roman"/>
          <w:i/>
          <w:kern w:val="2"/>
          <w:lang w:val="en-US" w:eastAsia="zh-CN"/>
        </w:rPr>
        <w:t>Front Genet</w:t>
      </w:r>
      <w:r w:rsidRPr="00A61C87">
        <w:rPr>
          <w:rFonts w:ascii="Book Antiqua" w:eastAsia="SimSun" w:hAnsi="Book Antiqua" w:cs="Times New Roman"/>
          <w:kern w:val="2"/>
          <w:lang w:val="en-US" w:eastAsia="zh-CN"/>
        </w:rPr>
        <w:t xml:space="preserve"> 2018; </w:t>
      </w:r>
      <w:r w:rsidRPr="00A61C87">
        <w:rPr>
          <w:rFonts w:ascii="Book Antiqua" w:eastAsia="SimSun" w:hAnsi="Book Antiqua" w:cs="Times New Roman"/>
          <w:b/>
          <w:kern w:val="2"/>
          <w:lang w:val="en-US" w:eastAsia="zh-CN"/>
        </w:rPr>
        <w:t>9</w:t>
      </w:r>
      <w:r w:rsidRPr="00A61C87">
        <w:rPr>
          <w:rFonts w:ascii="Book Antiqua" w:eastAsia="SimSun" w:hAnsi="Book Antiqua" w:cs="Times New Roman"/>
          <w:kern w:val="2"/>
          <w:lang w:val="en-US" w:eastAsia="zh-CN"/>
        </w:rPr>
        <w:t>: 361 [PMID: 30279699 DOI: 10.3389/fgene.2018.00361]</w:t>
      </w:r>
    </w:p>
    <w:p w14:paraId="2BEABBB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62 </w:t>
      </w:r>
      <w:r w:rsidRPr="00A61C87">
        <w:rPr>
          <w:rFonts w:ascii="Book Antiqua" w:eastAsia="SimSun" w:hAnsi="Book Antiqua" w:cs="Times New Roman"/>
          <w:b/>
          <w:kern w:val="2"/>
          <w:lang w:val="en-US" w:eastAsia="zh-CN"/>
        </w:rPr>
        <w:t>Umlauf D</w:t>
      </w:r>
      <w:r w:rsidRPr="00A61C87">
        <w:rPr>
          <w:rFonts w:ascii="Book Antiqua" w:eastAsia="SimSun" w:hAnsi="Book Antiqua" w:cs="Times New Roman"/>
          <w:kern w:val="2"/>
          <w:lang w:val="en-US" w:eastAsia="zh-CN"/>
        </w:rPr>
        <w:t xml:space="preserve">, Mourad R. The 3D genome: From fundamental principles to disease and cancer. </w:t>
      </w:r>
      <w:r w:rsidRPr="00A61C87">
        <w:rPr>
          <w:rFonts w:ascii="Book Antiqua" w:eastAsia="SimSun" w:hAnsi="Book Antiqua" w:cs="Times New Roman"/>
          <w:i/>
          <w:kern w:val="2"/>
          <w:lang w:val="en-US" w:eastAsia="zh-CN"/>
        </w:rPr>
        <w:t>Semin Cell Dev Biol</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90</w:t>
      </w:r>
      <w:r w:rsidRPr="00A61C87">
        <w:rPr>
          <w:rFonts w:ascii="Book Antiqua" w:eastAsia="SimSun" w:hAnsi="Book Antiqua" w:cs="Times New Roman"/>
          <w:kern w:val="2"/>
          <w:lang w:val="en-US" w:eastAsia="zh-CN"/>
        </w:rPr>
        <w:t>: 128-137 [PMID: 30030142 DOI: 10.1016/j.semcdb.2018.07.002]</w:t>
      </w:r>
    </w:p>
    <w:p w14:paraId="67311EF2"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63 </w:t>
      </w:r>
      <w:r w:rsidRPr="00A61C87">
        <w:rPr>
          <w:rFonts w:ascii="Book Antiqua" w:eastAsia="SimSun" w:hAnsi="Book Antiqua" w:cs="Times New Roman"/>
          <w:b/>
          <w:kern w:val="2"/>
          <w:lang w:val="en-US" w:eastAsia="zh-CN"/>
        </w:rPr>
        <w:t>Hoffmeister A</w:t>
      </w:r>
      <w:r w:rsidRPr="00A61C87">
        <w:rPr>
          <w:rFonts w:ascii="Book Antiqua" w:eastAsia="SimSun" w:hAnsi="Book Antiqua" w:cs="Times New Roman"/>
          <w:kern w:val="2"/>
          <w:lang w:val="en-US" w:eastAsia="zh-CN"/>
        </w:rPr>
        <w:t xml:space="preserve">, Tuennemann J, Sommerer I, Mössner J, Rittger A, Schleinitz D, Kratzsch J, Rosendahl J, Klöting N, Stahl T, Rossner S, Paroni F, Maedler K, Kovacs P, Blüher M. Genetic and biochemical evidence for a functional role of BACE1 in the regulation of insulin mRNA expression. </w:t>
      </w:r>
      <w:r w:rsidRPr="00A61C87">
        <w:rPr>
          <w:rFonts w:ascii="Book Antiqua" w:eastAsia="SimSun" w:hAnsi="Book Antiqua" w:cs="Times New Roman"/>
          <w:i/>
          <w:kern w:val="2"/>
          <w:lang w:val="en-US" w:eastAsia="zh-CN"/>
        </w:rPr>
        <w:t>Obesity (Silver Spring)</w:t>
      </w:r>
      <w:r w:rsidRPr="00A61C87">
        <w:rPr>
          <w:rFonts w:ascii="Book Antiqua" w:eastAsia="SimSun" w:hAnsi="Book Antiqua" w:cs="Times New Roman"/>
          <w:kern w:val="2"/>
          <w:lang w:val="en-US" w:eastAsia="zh-CN"/>
        </w:rPr>
        <w:t xml:space="preserve"> 2013; </w:t>
      </w:r>
      <w:r w:rsidRPr="00A61C87">
        <w:rPr>
          <w:rFonts w:ascii="Book Antiqua" w:eastAsia="SimSun" w:hAnsi="Book Antiqua" w:cs="Times New Roman"/>
          <w:b/>
          <w:kern w:val="2"/>
          <w:lang w:val="en-US" w:eastAsia="zh-CN"/>
        </w:rPr>
        <w:t>21</w:t>
      </w:r>
      <w:r w:rsidRPr="00A61C87">
        <w:rPr>
          <w:rFonts w:ascii="Book Antiqua" w:eastAsia="SimSun" w:hAnsi="Book Antiqua" w:cs="Times New Roman"/>
          <w:kern w:val="2"/>
          <w:lang w:val="en-US" w:eastAsia="zh-CN"/>
        </w:rPr>
        <w:t>: E626-E633 [PMID: 23596049 DOI: 10.1002/oby.20482]</w:t>
      </w:r>
    </w:p>
    <w:p w14:paraId="627D0939"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64 </w:t>
      </w:r>
      <w:r w:rsidRPr="00A61C87">
        <w:rPr>
          <w:rFonts w:ascii="Book Antiqua" w:eastAsia="SimSun" w:hAnsi="Book Antiqua" w:cs="Times New Roman"/>
          <w:b/>
          <w:kern w:val="2"/>
          <w:lang w:val="en-US" w:eastAsia="zh-CN"/>
        </w:rPr>
        <w:t>Koelsch G</w:t>
      </w:r>
      <w:r w:rsidRPr="00A61C87">
        <w:rPr>
          <w:rFonts w:ascii="Book Antiqua" w:eastAsia="SimSun" w:hAnsi="Book Antiqua" w:cs="Times New Roman"/>
          <w:kern w:val="2"/>
          <w:lang w:val="en-US" w:eastAsia="zh-CN"/>
        </w:rPr>
        <w:t xml:space="preserve">. BACE1 Function and Inhibition: Implications of Intervention in the Amyloid Pathway of Alzheimer's Disease Pathology. </w:t>
      </w:r>
      <w:r w:rsidRPr="00A61C87">
        <w:rPr>
          <w:rFonts w:ascii="Book Antiqua" w:eastAsia="SimSun" w:hAnsi="Book Antiqua" w:cs="Times New Roman"/>
          <w:i/>
          <w:kern w:val="2"/>
          <w:lang w:val="en-US" w:eastAsia="zh-CN"/>
        </w:rPr>
        <w:t>Molecules</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22</w:t>
      </w:r>
      <w:r w:rsidRPr="00A61C87">
        <w:rPr>
          <w:rFonts w:ascii="Book Antiqua" w:eastAsia="SimSun" w:hAnsi="Book Antiqua" w:cs="Times New Roman"/>
          <w:kern w:val="2"/>
          <w:lang w:val="en-US" w:eastAsia="zh-CN"/>
        </w:rPr>
        <w:t>:  [PMID: 29027981 DOI: 10.3390/molecules22101723]</w:t>
      </w:r>
    </w:p>
    <w:p w14:paraId="71D7AB57"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65 </w:t>
      </w:r>
      <w:r w:rsidRPr="00A61C87">
        <w:rPr>
          <w:rFonts w:ascii="Book Antiqua" w:eastAsia="SimSun" w:hAnsi="Book Antiqua" w:cs="Times New Roman"/>
          <w:b/>
          <w:kern w:val="2"/>
          <w:lang w:val="en-US" w:eastAsia="zh-CN"/>
        </w:rPr>
        <w:t>Poulose N</w:t>
      </w:r>
      <w:r w:rsidRPr="00A61C87">
        <w:rPr>
          <w:rFonts w:ascii="Book Antiqua" w:eastAsia="SimSun" w:hAnsi="Book Antiqua" w:cs="Times New Roman"/>
          <w:kern w:val="2"/>
          <w:lang w:val="en-US" w:eastAsia="zh-CN"/>
        </w:rPr>
        <w:t xml:space="preserve">, Raju R. Sirtuin regulation in aging and injury. </w:t>
      </w:r>
      <w:r w:rsidRPr="00A61C87">
        <w:rPr>
          <w:rFonts w:ascii="Book Antiqua" w:eastAsia="SimSun" w:hAnsi="Book Antiqua" w:cs="Times New Roman"/>
          <w:i/>
          <w:kern w:val="2"/>
          <w:lang w:val="en-US" w:eastAsia="zh-CN"/>
        </w:rPr>
        <w:t>Biochim Biophys Acta</w:t>
      </w:r>
      <w:r w:rsidRPr="00A61C87">
        <w:rPr>
          <w:rFonts w:ascii="Book Antiqua" w:eastAsia="SimSun" w:hAnsi="Book Antiqua" w:cs="Times New Roman"/>
          <w:kern w:val="2"/>
          <w:lang w:val="en-US" w:eastAsia="zh-CN"/>
        </w:rPr>
        <w:t xml:space="preserve"> 2015; </w:t>
      </w:r>
      <w:r w:rsidRPr="00A61C87">
        <w:rPr>
          <w:rFonts w:ascii="Book Antiqua" w:eastAsia="SimSun" w:hAnsi="Book Antiqua" w:cs="Times New Roman"/>
          <w:b/>
          <w:kern w:val="2"/>
          <w:lang w:val="en-US" w:eastAsia="zh-CN"/>
        </w:rPr>
        <w:t>1852</w:t>
      </w:r>
      <w:r w:rsidRPr="00A61C87">
        <w:rPr>
          <w:rFonts w:ascii="Book Antiqua" w:eastAsia="SimSun" w:hAnsi="Book Antiqua" w:cs="Times New Roman"/>
          <w:kern w:val="2"/>
          <w:lang w:val="en-US" w:eastAsia="zh-CN"/>
        </w:rPr>
        <w:t>: 2442-2455 [PMID: 26303641 DOI: 10.1016/j.bbadis.2015.08.017]</w:t>
      </w:r>
    </w:p>
    <w:p w14:paraId="79D52E6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66 </w:t>
      </w:r>
      <w:r w:rsidRPr="00A61C87">
        <w:rPr>
          <w:rFonts w:ascii="Book Antiqua" w:eastAsia="SimSun" w:hAnsi="Book Antiqua" w:cs="Times New Roman"/>
          <w:b/>
          <w:kern w:val="2"/>
          <w:lang w:val="en-US" w:eastAsia="zh-CN"/>
        </w:rPr>
        <w:t>Foolad F</w:t>
      </w:r>
      <w:r w:rsidRPr="00A61C87">
        <w:rPr>
          <w:rFonts w:ascii="Book Antiqua" w:eastAsia="SimSun" w:hAnsi="Book Antiqua" w:cs="Times New Roman"/>
          <w:kern w:val="2"/>
          <w:lang w:val="en-US" w:eastAsia="zh-CN"/>
        </w:rPr>
        <w:t xml:space="preserve">, Khodagholi F, Javan M. Sirtuins in Multiple Sclerosis: The crossroad of neurodegeneration, autoimmunity and metabolism. </w:t>
      </w:r>
      <w:r w:rsidRPr="00A61C87">
        <w:rPr>
          <w:rFonts w:ascii="Book Antiqua" w:eastAsia="SimSun" w:hAnsi="Book Antiqua" w:cs="Times New Roman"/>
          <w:i/>
          <w:kern w:val="2"/>
          <w:lang w:val="en-US" w:eastAsia="zh-CN"/>
        </w:rPr>
        <w:t>Mult Scler Relat Disord</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34</w:t>
      </w:r>
      <w:r w:rsidRPr="00A61C87">
        <w:rPr>
          <w:rFonts w:ascii="Book Antiqua" w:eastAsia="SimSun" w:hAnsi="Book Antiqua" w:cs="Times New Roman"/>
          <w:kern w:val="2"/>
          <w:lang w:val="en-US" w:eastAsia="zh-CN"/>
        </w:rPr>
        <w:t>: 47-58 [PMID: 31228716 DOI: 10.1016/j.msard.2019.06.004]</w:t>
      </w:r>
    </w:p>
    <w:p w14:paraId="0262F553"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67 </w:t>
      </w:r>
      <w:r w:rsidRPr="00A61C87">
        <w:rPr>
          <w:rFonts w:ascii="Book Antiqua" w:eastAsia="SimSun" w:hAnsi="Book Antiqua" w:cs="Times New Roman"/>
          <w:b/>
          <w:kern w:val="2"/>
          <w:lang w:val="en-US" w:eastAsia="zh-CN"/>
        </w:rPr>
        <w:t>Blanch M</w:t>
      </w:r>
      <w:r w:rsidRPr="00A61C87">
        <w:rPr>
          <w:rFonts w:ascii="Book Antiqua" w:eastAsia="SimSun" w:hAnsi="Book Antiqua" w:cs="Times New Roman"/>
          <w:kern w:val="2"/>
          <w:lang w:val="en-US" w:eastAsia="zh-CN"/>
        </w:rPr>
        <w:t xml:space="preserve">, Mosquera JL, Ansoleaga B, Ferrer I, Barrachina M. Altered Mitochondrial DNA Methylation Pattern in Alzheimer Disease-Related Pathology and in Parkinson Disease. </w:t>
      </w:r>
      <w:r w:rsidRPr="00A61C87">
        <w:rPr>
          <w:rFonts w:ascii="Book Antiqua" w:eastAsia="SimSun" w:hAnsi="Book Antiqua" w:cs="Times New Roman"/>
          <w:i/>
          <w:kern w:val="2"/>
          <w:lang w:val="en-US" w:eastAsia="zh-CN"/>
        </w:rPr>
        <w:t>Am J Pathol</w:t>
      </w:r>
      <w:r w:rsidRPr="00A61C87">
        <w:rPr>
          <w:rFonts w:ascii="Book Antiqua" w:eastAsia="SimSun" w:hAnsi="Book Antiqua" w:cs="Times New Roman"/>
          <w:kern w:val="2"/>
          <w:lang w:val="en-US" w:eastAsia="zh-CN"/>
        </w:rPr>
        <w:t xml:space="preserve"> 2016; </w:t>
      </w:r>
      <w:r w:rsidRPr="00A61C87">
        <w:rPr>
          <w:rFonts w:ascii="Book Antiqua" w:eastAsia="SimSun" w:hAnsi="Book Antiqua" w:cs="Times New Roman"/>
          <w:b/>
          <w:kern w:val="2"/>
          <w:lang w:val="en-US" w:eastAsia="zh-CN"/>
        </w:rPr>
        <w:t>186</w:t>
      </w:r>
      <w:r w:rsidRPr="00A61C87">
        <w:rPr>
          <w:rFonts w:ascii="Book Antiqua" w:eastAsia="SimSun" w:hAnsi="Book Antiqua" w:cs="Times New Roman"/>
          <w:kern w:val="2"/>
          <w:lang w:val="en-US" w:eastAsia="zh-CN"/>
        </w:rPr>
        <w:t>: 385-397 [PMID: 26776077 DOI: 10.1016/j.ajpath.2015.10.004]</w:t>
      </w:r>
    </w:p>
    <w:p w14:paraId="296A3005"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lastRenderedPageBreak/>
        <w:t xml:space="preserve">68 </w:t>
      </w:r>
      <w:r w:rsidRPr="00A61C87">
        <w:rPr>
          <w:rFonts w:ascii="Book Antiqua" w:eastAsia="SimSun" w:hAnsi="Book Antiqua" w:cs="Times New Roman"/>
          <w:b/>
          <w:kern w:val="2"/>
          <w:lang w:val="en-US" w:eastAsia="zh-CN"/>
        </w:rPr>
        <w:t>Indrieri A</w:t>
      </w:r>
      <w:r w:rsidRPr="00A61C87">
        <w:rPr>
          <w:rFonts w:ascii="Book Antiqua" w:eastAsia="SimSun" w:hAnsi="Book Antiqua" w:cs="Times New Roman"/>
          <w:kern w:val="2"/>
          <w:lang w:val="en-US" w:eastAsia="zh-CN"/>
        </w:rPr>
        <w:t xml:space="preserve">, Carrella S, Romano A, Spaziano A, Marrocco E, Fernandez-Vizarra E, Barbato S, Pizzo M, Ezhova Y, Golia FM, Ciampi L, Tammaro R, Henao-Mejia J, Williams A, Flavell RA, De Leonibus E, Zeviani M, Surace EM, Banfi S, Franco B. miR-181a/b downregulation exerts a protective action on mitochondrial disease models. </w:t>
      </w:r>
      <w:r w:rsidRPr="00A61C87">
        <w:rPr>
          <w:rFonts w:ascii="Book Antiqua" w:eastAsia="SimSun" w:hAnsi="Book Antiqua" w:cs="Times New Roman"/>
          <w:i/>
          <w:kern w:val="2"/>
          <w:lang w:val="en-US" w:eastAsia="zh-CN"/>
        </w:rPr>
        <w:t>EMBO Mol Med</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11</w:t>
      </w:r>
      <w:r w:rsidRPr="00A61C87">
        <w:rPr>
          <w:rFonts w:ascii="Book Antiqua" w:eastAsia="SimSun" w:hAnsi="Book Antiqua" w:cs="Times New Roman"/>
          <w:kern w:val="2"/>
          <w:lang w:val="en-US" w:eastAsia="zh-CN"/>
        </w:rPr>
        <w:t>:  [PMID: 30979712 DOI: 10.15252/emmm.201708734]</w:t>
      </w:r>
    </w:p>
    <w:p w14:paraId="69C0F281"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69 </w:t>
      </w:r>
      <w:r w:rsidRPr="00A61C87">
        <w:rPr>
          <w:rFonts w:ascii="Book Antiqua" w:eastAsia="SimSun" w:hAnsi="Book Antiqua" w:cs="Times New Roman"/>
          <w:b/>
          <w:kern w:val="2"/>
          <w:lang w:val="en-US" w:eastAsia="zh-CN"/>
        </w:rPr>
        <w:t>Perneczky R</w:t>
      </w:r>
      <w:r w:rsidRPr="00A61C87">
        <w:rPr>
          <w:rFonts w:ascii="Book Antiqua" w:eastAsia="SimSun" w:hAnsi="Book Antiqua" w:cs="Times New Roman"/>
          <w:kern w:val="2"/>
          <w:lang w:val="en-US" w:eastAsia="zh-CN"/>
        </w:rPr>
        <w:t xml:space="preserve">. Dementia prevention and reserve against neurodegenerative disease. </w:t>
      </w:r>
      <w:r w:rsidRPr="00A61C87">
        <w:rPr>
          <w:rFonts w:ascii="Book Antiqua" w:eastAsia="SimSun" w:hAnsi="Book Antiqua" w:cs="Times New Roman"/>
          <w:i/>
          <w:kern w:val="2"/>
          <w:lang w:val="en-US" w:eastAsia="zh-CN"/>
        </w:rPr>
        <w:t>Dialogues Clin Neurosci</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21</w:t>
      </w:r>
      <w:r w:rsidRPr="00A61C87">
        <w:rPr>
          <w:rFonts w:ascii="Book Antiqua" w:eastAsia="SimSun" w:hAnsi="Book Antiqua" w:cs="Times New Roman"/>
          <w:kern w:val="2"/>
          <w:lang w:val="en-US" w:eastAsia="zh-CN"/>
        </w:rPr>
        <w:t>: 53-60 [PMID: 31607780]</w:t>
      </w:r>
    </w:p>
    <w:p w14:paraId="2A2422AB"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70 </w:t>
      </w:r>
      <w:r w:rsidRPr="00A61C87">
        <w:rPr>
          <w:rFonts w:ascii="Book Antiqua" w:eastAsia="SimSun" w:hAnsi="Book Antiqua" w:cs="Times New Roman"/>
          <w:b/>
          <w:kern w:val="2"/>
          <w:lang w:val="en-US" w:eastAsia="zh-CN"/>
        </w:rPr>
        <w:t>Roehr S</w:t>
      </w:r>
      <w:r w:rsidRPr="00A61C87">
        <w:rPr>
          <w:rFonts w:ascii="Book Antiqua" w:eastAsia="SimSun" w:hAnsi="Book Antiqua" w:cs="Times New Roman"/>
          <w:kern w:val="2"/>
          <w:lang w:val="en-US" w:eastAsia="zh-CN"/>
        </w:rPr>
        <w:t xml:space="preserve">, Pabst A, Luck T, Riedel-Heller SG. Secular trends in the incidence of dementia in high-income countries: a protocol of a systematic review and a planned meta-analysis. </w:t>
      </w:r>
      <w:r w:rsidRPr="00A61C87">
        <w:rPr>
          <w:rFonts w:ascii="Book Antiqua" w:eastAsia="SimSun" w:hAnsi="Book Antiqua" w:cs="Times New Roman"/>
          <w:i/>
          <w:kern w:val="2"/>
          <w:lang w:val="en-US" w:eastAsia="zh-CN"/>
        </w:rPr>
        <w:t>BMJ Open</w:t>
      </w:r>
      <w:r w:rsidRPr="00A61C87">
        <w:rPr>
          <w:rFonts w:ascii="Book Antiqua" w:eastAsia="SimSun" w:hAnsi="Book Antiqua" w:cs="Times New Roman"/>
          <w:kern w:val="2"/>
          <w:lang w:val="en-US" w:eastAsia="zh-CN"/>
        </w:rPr>
        <w:t xml:space="preserve"> 2017; </w:t>
      </w:r>
      <w:r w:rsidRPr="00A61C87">
        <w:rPr>
          <w:rFonts w:ascii="Book Antiqua" w:eastAsia="SimSun" w:hAnsi="Book Antiqua" w:cs="Times New Roman"/>
          <w:b/>
          <w:kern w:val="2"/>
          <w:lang w:val="en-US" w:eastAsia="zh-CN"/>
        </w:rPr>
        <w:t>7</w:t>
      </w:r>
      <w:r w:rsidRPr="00A61C87">
        <w:rPr>
          <w:rFonts w:ascii="Book Antiqua" w:eastAsia="SimSun" w:hAnsi="Book Antiqua" w:cs="Times New Roman"/>
          <w:kern w:val="2"/>
          <w:lang w:val="en-US" w:eastAsia="zh-CN"/>
        </w:rPr>
        <w:t>: e013630 [PMID: 28389488 DOI: 10.1136/bmjopen-2016-013630]</w:t>
      </w:r>
    </w:p>
    <w:p w14:paraId="4752D1DD"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71 </w:t>
      </w:r>
      <w:r w:rsidRPr="00A61C87">
        <w:rPr>
          <w:rFonts w:ascii="Book Antiqua" w:eastAsia="SimSun" w:hAnsi="Book Antiqua" w:cs="Times New Roman"/>
          <w:b/>
          <w:kern w:val="2"/>
          <w:lang w:val="en-US" w:eastAsia="zh-CN"/>
        </w:rPr>
        <w:t>Sattar N</w:t>
      </w:r>
      <w:r w:rsidRPr="00A61C87">
        <w:rPr>
          <w:rFonts w:ascii="Book Antiqua" w:eastAsia="SimSun" w:hAnsi="Book Antiqua" w:cs="Times New Roman"/>
          <w:kern w:val="2"/>
          <w:lang w:val="en-US" w:eastAsia="zh-CN"/>
        </w:rPr>
        <w:t xml:space="preserve">. Advances in the clinical management of type 2 diabetes: a brief history of the past 15 years and challenges for the future. </w:t>
      </w:r>
      <w:r w:rsidRPr="00A61C87">
        <w:rPr>
          <w:rFonts w:ascii="Book Antiqua" w:eastAsia="SimSun" w:hAnsi="Book Antiqua" w:cs="Times New Roman"/>
          <w:i/>
          <w:kern w:val="2"/>
          <w:lang w:val="en-US" w:eastAsia="zh-CN"/>
        </w:rPr>
        <w:t>BMC Med</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17</w:t>
      </w:r>
      <w:r w:rsidRPr="00A61C87">
        <w:rPr>
          <w:rFonts w:ascii="Book Antiqua" w:eastAsia="SimSun" w:hAnsi="Book Antiqua" w:cs="Times New Roman"/>
          <w:kern w:val="2"/>
          <w:lang w:val="en-US" w:eastAsia="zh-CN"/>
        </w:rPr>
        <w:t>: 46 [PMID: 30803451 DOI: 10.1186/s12916-019-1281-1]</w:t>
      </w:r>
    </w:p>
    <w:p w14:paraId="4F49D9A9" w14:textId="77777777" w:rsidR="00A61C87" w:rsidRPr="00A61C87" w:rsidRDefault="00A61C87" w:rsidP="00A61C87">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72 </w:t>
      </w:r>
      <w:r w:rsidRPr="00A61C87">
        <w:rPr>
          <w:rFonts w:ascii="Book Antiqua" w:eastAsia="SimSun" w:hAnsi="Book Antiqua" w:cs="Times New Roman"/>
          <w:b/>
          <w:kern w:val="2"/>
          <w:lang w:val="en-US" w:eastAsia="zh-CN"/>
        </w:rPr>
        <w:t>Moran C</w:t>
      </w:r>
      <w:r w:rsidRPr="00A61C87">
        <w:rPr>
          <w:rFonts w:ascii="Book Antiqua" w:eastAsia="SimSun" w:hAnsi="Book Antiqua" w:cs="Times New Roman"/>
          <w:kern w:val="2"/>
          <w:lang w:val="en-US" w:eastAsia="zh-CN"/>
        </w:rPr>
        <w:t xml:space="preserve">, Beare R, Wang W, Callisaya M, Srikanth V; Alzheimer's Disease Neuroimaging Initiative (ADNI). Type 2 diabetes mellitus, brain atrophy, and cognitive decline. </w:t>
      </w:r>
      <w:r w:rsidRPr="00A61C87">
        <w:rPr>
          <w:rFonts w:ascii="Book Antiqua" w:eastAsia="SimSun" w:hAnsi="Book Antiqua" w:cs="Times New Roman"/>
          <w:i/>
          <w:kern w:val="2"/>
          <w:lang w:val="en-US" w:eastAsia="zh-CN"/>
        </w:rPr>
        <w:t>Neurology</w:t>
      </w:r>
      <w:r w:rsidRPr="00A61C87">
        <w:rPr>
          <w:rFonts w:ascii="Book Antiqua" w:eastAsia="SimSun" w:hAnsi="Book Antiqua" w:cs="Times New Roman"/>
          <w:kern w:val="2"/>
          <w:lang w:val="en-US" w:eastAsia="zh-CN"/>
        </w:rPr>
        <w:t xml:space="preserve"> 2019; </w:t>
      </w:r>
      <w:r w:rsidRPr="00A61C87">
        <w:rPr>
          <w:rFonts w:ascii="Book Antiqua" w:eastAsia="SimSun" w:hAnsi="Book Antiqua" w:cs="Times New Roman"/>
          <w:b/>
          <w:kern w:val="2"/>
          <w:lang w:val="en-US" w:eastAsia="zh-CN"/>
        </w:rPr>
        <w:t>92</w:t>
      </w:r>
      <w:r w:rsidRPr="00A61C87">
        <w:rPr>
          <w:rFonts w:ascii="Book Antiqua" w:eastAsia="SimSun" w:hAnsi="Book Antiqua" w:cs="Times New Roman"/>
          <w:kern w:val="2"/>
          <w:lang w:val="en-US" w:eastAsia="zh-CN"/>
        </w:rPr>
        <w:t>: e823-e830 [PMID: 30674592 DOI: 10.1212/WNL.0000000000006955]</w:t>
      </w:r>
    </w:p>
    <w:p w14:paraId="5A0F3950" w14:textId="271F516B" w:rsidR="00336749" w:rsidRPr="004116DF" w:rsidRDefault="00A61C87" w:rsidP="004116DF">
      <w:pPr>
        <w:widowControl w:val="0"/>
        <w:snapToGrid w:val="0"/>
        <w:spacing w:line="360" w:lineRule="auto"/>
        <w:jc w:val="both"/>
        <w:rPr>
          <w:rFonts w:ascii="Book Antiqua" w:eastAsia="SimSun" w:hAnsi="Book Antiqua" w:cs="Times New Roman"/>
          <w:kern w:val="2"/>
          <w:lang w:val="en-US" w:eastAsia="zh-CN"/>
        </w:rPr>
      </w:pPr>
      <w:r w:rsidRPr="00A61C87">
        <w:rPr>
          <w:rFonts w:ascii="Book Antiqua" w:eastAsia="SimSun" w:hAnsi="Book Antiqua" w:cs="Times New Roman"/>
          <w:kern w:val="2"/>
          <w:lang w:val="en-US" w:eastAsia="zh-CN"/>
        </w:rPr>
        <w:t xml:space="preserve">73 </w:t>
      </w:r>
      <w:r w:rsidRPr="00A61C87">
        <w:rPr>
          <w:rFonts w:ascii="Book Antiqua" w:eastAsia="SimSun" w:hAnsi="Book Antiqua" w:cs="Times New Roman"/>
          <w:b/>
          <w:kern w:val="2"/>
          <w:lang w:val="en-US" w:eastAsia="zh-CN"/>
        </w:rPr>
        <w:t>Barabási AL</w:t>
      </w:r>
      <w:r w:rsidRPr="00A61C87">
        <w:rPr>
          <w:rFonts w:ascii="Book Antiqua" w:eastAsia="SimSun" w:hAnsi="Book Antiqua" w:cs="Times New Roman"/>
          <w:kern w:val="2"/>
          <w:lang w:val="en-US" w:eastAsia="zh-CN"/>
        </w:rPr>
        <w:t xml:space="preserve">, Gulbahce N, Loscalzo J. Network medicine: a network-based approach to human disease. </w:t>
      </w:r>
      <w:r w:rsidRPr="00A61C87">
        <w:rPr>
          <w:rFonts w:ascii="Book Antiqua" w:eastAsia="SimSun" w:hAnsi="Book Antiqua" w:cs="Times New Roman"/>
          <w:i/>
          <w:kern w:val="2"/>
          <w:lang w:val="en-US" w:eastAsia="zh-CN"/>
        </w:rPr>
        <w:t>Nat Rev Genet</w:t>
      </w:r>
      <w:r w:rsidRPr="00A61C87">
        <w:rPr>
          <w:rFonts w:ascii="Book Antiqua" w:eastAsia="SimSun" w:hAnsi="Book Antiqua" w:cs="Times New Roman"/>
          <w:kern w:val="2"/>
          <w:lang w:val="en-US" w:eastAsia="zh-CN"/>
        </w:rPr>
        <w:t xml:space="preserve"> 2011; </w:t>
      </w:r>
      <w:r w:rsidRPr="00A61C87">
        <w:rPr>
          <w:rFonts w:ascii="Book Antiqua" w:eastAsia="SimSun" w:hAnsi="Book Antiqua" w:cs="Times New Roman"/>
          <w:b/>
          <w:kern w:val="2"/>
          <w:lang w:val="en-US" w:eastAsia="zh-CN"/>
        </w:rPr>
        <w:t>12</w:t>
      </w:r>
      <w:r w:rsidRPr="00A61C87">
        <w:rPr>
          <w:rFonts w:ascii="Book Antiqua" w:eastAsia="SimSun" w:hAnsi="Book Antiqua" w:cs="Times New Roman"/>
          <w:kern w:val="2"/>
          <w:lang w:val="en-US" w:eastAsia="zh-CN"/>
        </w:rPr>
        <w:t>: 56-68 [PMID: 21164525 DOI: 10.1038/nrg2918]</w:t>
      </w:r>
    </w:p>
    <w:p w14:paraId="1DE7E93D" w14:textId="77777777" w:rsidR="00B2158D" w:rsidRPr="00425573" w:rsidRDefault="00B2158D" w:rsidP="00CC10A4">
      <w:pPr>
        <w:snapToGrid w:val="0"/>
        <w:spacing w:line="360" w:lineRule="auto"/>
        <w:rPr>
          <w:rFonts w:ascii="Book Antiqua" w:eastAsia="Arial Unicode MS" w:hAnsi="Book Antiqua" w:cs="Arial Unicode MS"/>
          <w:b/>
          <w:bCs/>
          <w:color w:val="333333"/>
          <w:u w:color="333333"/>
          <w:bdr w:val="nil"/>
          <w:shd w:val="clear" w:color="auto" w:fill="FFFFFF"/>
          <w:lang w:val="en-US" w:eastAsia="pt-BR"/>
        </w:rPr>
      </w:pPr>
      <w:r w:rsidRPr="00425573">
        <w:rPr>
          <w:rFonts w:ascii="Book Antiqua" w:hAnsi="Book Antiqua"/>
          <w:b/>
          <w:bCs/>
          <w:color w:val="333333"/>
          <w:u w:color="333333"/>
          <w:shd w:val="clear" w:color="auto" w:fill="FFFFFF"/>
          <w:lang w:val="en-US"/>
        </w:rPr>
        <w:br w:type="page"/>
      </w:r>
    </w:p>
    <w:p w14:paraId="67E5027E" w14:textId="77777777" w:rsidR="00B2158D" w:rsidRPr="00425573" w:rsidRDefault="00B2158D" w:rsidP="00CC10A4">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b/>
          <w:bCs/>
          <w:color w:val="333333"/>
          <w:sz w:val="24"/>
          <w:szCs w:val="24"/>
          <w:u w:color="333333"/>
          <w:shd w:val="clear" w:color="auto" w:fill="FFFFFF"/>
        </w:rPr>
      </w:pPr>
      <w:r w:rsidRPr="00425573">
        <w:rPr>
          <w:rFonts w:ascii="Book Antiqua" w:hAnsi="Book Antiqua"/>
          <w:b/>
          <w:bCs/>
          <w:color w:val="333333"/>
          <w:sz w:val="24"/>
          <w:szCs w:val="24"/>
          <w:u w:color="333333"/>
          <w:shd w:val="clear" w:color="auto" w:fill="FFFFFF"/>
        </w:rPr>
        <w:lastRenderedPageBreak/>
        <w:t>Footnotes</w:t>
      </w:r>
    </w:p>
    <w:p w14:paraId="6E0FC4CF" w14:textId="6BE2690D" w:rsidR="00432D83" w:rsidRPr="00425573" w:rsidRDefault="00432D83" w:rsidP="00CC10A4">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333333"/>
          <w:sz w:val="24"/>
          <w:szCs w:val="24"/>
          <w:u w:color="333333"/>
          <w:shd w:val="clear" w:color="auto" w:fill="FFFFFF"/>
        </w:rPr>
      </w:pPr>
      <w:r w:rsidRPr="00425573">
        <w:rPr>
          <w:rFonts w:ascii="Book Antiqua" w:hAnsi="Book Antiqua"/>
          <w:b/>
          <w:bCs/>
          <w:color w:val="333333"/>
          <w:sz w:val="24"/>
          <w:szCs w:val="24"/>
          <w:u w:color="333333"/>
          <w:shd w:val="clear" w:color="auto" w:fill="FFFFFF"/>
        </w:rPr>
        <w:t>Conflict-of-interest statement:</w:t>
      </w:r>
      <w:r w:rsidRPr="00425573">
        <w:rPr>
          <w:rFonts w:ascii="Book Antiqua" w:hAnsi="Book Antiqua"/>
          <w:color w:val="333333"/>
          <w:sz w:val="24"/>
          <w:szCs w:val="24"/>
          <w:u w:color="333333"/>
          <w:shd w:val="clear" w:color="auto" w:fill="FFFFFF"/>
        </w:rPr>
        <w:t xml:space="preserve"> The authors declare no conflicts of interest.</w:t>
      </w:r>
    </w:p>
    <w:p w14:paraId="6DFE3281" w14:textId="66B8E6DB" w:rsidR="00432D83" w:rsidRPr="00425573" w:rsidRDefault="00432D83" w:rsidP="00CC10A4">
      <w:pPr>
        <w:snapToGrid w:val="0"/>
        <w:spacing w:line="360" w:lineRule="auto"/>
        <w:jc w:val="both"/>
        <w:rPr>
          <w:rFonts w:ascii="Book Antiqua" w:eastAsia="SimSun" w:hAnsi="Book Antiqua" w:cs="Arial"/>
          <w:b/>
          <w:lang w:val="en-US"/>
        </w:rPr>
      </w:pPr>
    </w:p>
    <w:p w14:paraId="617D259A" w14:textId="77777777" w:rsidR="00A439DE" w:rsidRPr="00A439DE" w:rsidRDefault="00A439DE" w:rsidP="00A439DE">
      <w:pPr>
        <w:widowControl w:val="0"/>
        <w:adjustRightInd w:val="0"/>
        <w:snapToGrid w:val="0"/>
        <w:spacing w:line="360" w:lineRule="auto"/>
        <w:jc w:val="both"/>
        <w:rPr>
          <w:rFonts w:ascii="Book Antiqua" w:eastAsia="SimSun" w:hAnsi="Book Antiqua" w:cs="Times New Roman"/>
          <w:kern w:val="2"/>
          <w:lang w:val="en-US" w:eastAsia="zh-CN"/>
        </w:rPr>
      </w:pPr>
      <w:r w:rsidRPr="00A439DE">
        <w:rPr>
          <w:rFonts w:ascii="Book Antiqua" w:eastAsia="SimSun" w:hAnsi="Book Antiqua" w:cs="Times New Roman"/>
          <w:b/>
          <w:color w:val="000000"/>
          <w:kern w:val="2"/>
          <w:lang w:val="en-US" w:eastAsia="zh-CN"/>
        </w:rPr>
        <w:t>Open-Access:</w:t>
      </w:r>
      <w:r w:rsidRPr="00A439DE">
        <w:rPr>
          <w:rFonts w:ascii="Book Antiqua" w:eastAsia="SimSun" w:hAnsi="Book Antiqua" w:cs="Times New Roman"/>
          <w:color w:val="000000"/>
          <w:kern w:val="2"/>
          <w:lang w:val="en-US" w:eastAsia="zh-CN"/>
        </w:rPr>
        <w:t xml:space="preserve"> This article is an open-access </w:t>
      </w:r>
      <w:r w:rsidRPr="00A439DE">
        <w:rPr>
          <w:rFonts w:ascii="Book Antiqua" w:eastAsia="SimSun" w:hAnsi="Book Antiqua" w:cs="Times New Roman"/>
          <w:kern w:val="2"/>
          <w:lang w:val="en-US" w:eastAsia="zh-CN"/>
        </w:rPr>
        <w:t xml:space="preserve">article that was selected </w:t>
      </w:r>
      <w:r w:rsidRPr="00A439DE">
        <w:rPr>
          <w:rFonts w:ascii="Book Antiqua" w:eastAsia="SimSun" w:hAnsi="Book Antiqua" w:cs="Times New Roman"/>
          <w:color w:val="000000"/>
          <w:kern w:val="2"/>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7D3FB1" w14:textId="77777777" w:rsidR="00B2158D" w:rsidRPr="00425573" w:rsidRDefault="00B2158D" w:rsidP="00CC10A4">
      <w:pPr>
        <w:snapToGrid w:val="0"/>
        <w:spacing w:line="360" w:lineRule="auto"/>
        <w:jc w:val="both"/>
        <w:rPr>
          <w:rFonts w:ascii="Book Antiqua" w:eastAsia="SimSun" w:hAnsi="Book Antiqua" w:cs="Arial"/>
          <w:b/>
          <w:lang w:val="en-US"/>
        </w:rPr>
      </w:pPr>
    </w:p>
    <w:p w14:paraId="4BE48210" w14:textId="43310716" w:rsidR="00432D83" w:rsidRPr="00425573" w:rsidRDefault="00432D83" w:rsidP="00CC10A4">
      <w:pPr>
        <w:snapToGrid w:val="0"/>
        <w:spacing w:line="360" w:lineRule="auto"/>
        <w:jc w:val="both"/>
        <w:rPr>
          <w:rFonts w:ascii="Book Antiqua" w:hAnsi="Book Antiqua" w:cs="Arial"/>
          <w:color w:val="222222"/>
          <w:shd w:val="clear" w:color="auto" w:fill="FFFFFF"/>
          <w:lang w:val="en-US"/>
        </w:rPr>
      </w:pPr>
      <w:r w:rsidRPr="00425573">
        <w:rPr>
          <w:rFonts w:ascii="Book Antiqua" w:eastAsia="SimSun" w:hAnsi="Book Antiqua" w:cs="Arial"/>
          <w:b/>
          <w:lang w:val="en-US"/>
        </w:rPr>
        <w:t>Manuscript source:</w:t>
      </w:r>
      <w:r w:rsidRPr="00425573">
        <w:rPr>
          <w:rFonts w:ascii="Book Antiqua" w:eastAsia="SimSun" w:hAnsi="Book Antiqua" w:cs="Arial"/>
          <w:lang w:val="en-US"/>
        </w:rPr>
        <w:t> </w:t>
      </w:r>
      <w:r w:rsidR="00D058A3" w:rsidRPr="00425573">
        <w:rPr>
          <w:rFonts w:ascii="Book Antiqua" w:hAnsi="Book Antiqua" w:cs="Arial"/>
          <w:color w:val="222222"/>
          <w:shd w:val="clear" w:color="auto" w:fill="FFFFFF"/>
          <w:lang w:val="en-US"/>
        </w:rPr>
        <w:t>Invited</w:t>
      </w:r>
      <w:r w:rsidRPr="00425573">
        <w:rPr>
          <w:rFonts w:ascii="Book Antiqua" w:hAnsi="Book Antiqua" w:cs="Arial"/>
          <w:color w:val="222222"/>
          <w:shd w:val="clear" w:color="auto" w:fill="FFFFFF"/>
          <w:lang w:val="en-US"/>
        </w:rPr>
        <w:t xml:space="preserve"> manuscript </w:t>
      </w:r>
    </w:p>
    <w:p w14:paraId="3F329745" w14:textId="77777777" w:rsidR="00D058A3" w:rsidRPr="00425573" w:rsidRDefault="00D058A3" w:rsidP="00CC10A4">
      <w:pPr>
        <w:widowControl w:val="0"/>
        <w:adjustRightInd w:val="0"/>
        <w:snapToGrid w:val="0"/>
        <w:spacing w:line="360" w:lineRule="auto"/>
        <w:jc w:val="both"/>
        <w:rPr>
          <w:rFonts w:ascii="Book Antiqua" w:hAnsi="Book Antiqua"/>
          <w:bCs/>
          <w:kern w:val="2"/>
          <w:lang w:val="en-US" w:eastAsia="zh-CN"/>
        </w:rPr>
      </w:pPr>
    </w:p>
    <w:p w14:paraId="345F5CFD" w14:textId="77777777" w:rsidR="00A439DE" w:rsidRPr="00A439DE" w:rsidRDefault="00A439DE" w:rsidP="00A439DE">
      <w:pPr>
        <w:adjustRightInd w:val="0"/>
        <w:snapToGrid w:val="0"/>
        <w:spacing w:line="360" w:lineRule="auto"/>
        <w:jc w:val="both"/>
        <w:rPr>
          <w:rFonts w:ascii="Book Antiqua" w:eastAsia="SimSun" w:hAnsi="Book Antiqua" w:cs="Times New Roman"/>
          <w:b/>
          <w:lang w:val="en-US" w:eastAsia="zh-CN"/>
        </w:rPr>
      </w:pPr>
      <w:r w:rsidRPr="00A439DE">
        <w:rPr>
          <w:rFonts w:ascii="Book Antiqua" w:eastAsia="SimSun" w:hAnsi="Book Antiqua" w:cs="Times New Roman"/>
          <w:b/>
          <w:lang w:val="en-US" w:eastAsia="en-US"/>
        </w:rPr>
        <w:t>Peer-review started:</w:t>
      </w:r>
      <w:r w:rsidRPr="00A439DE">
        <w:rPr>
          <w:rFonts w:ascii="Book Antiqua" w:eastAsia="SimSun" w:hAnsi="Book Antiqua" w:cs="Times New Roman"/>
          <w:b/>
          <w:lang w:val="en-US" w:eastAsia="zh-CN"/>
        </w:rPr>
        <w:t xml:space="preserve"> </w:t>
      </w:r>
      <w:r w:rsidRPr="00A439DE">
        <w:rPr>
          <w:rFonts w:ascii="Book Antiqua" w:eastAsia="SimSun" w:hAnsi="Book Antiqua" w:cs="Times New Roman"/>
          <w:lang w:val="en-US" w:eastAsia="zh-CN"/>
        </w:rPr>
        <w:t>December 11, 2019</w:t>
      </w:r>
    </w:p>
    <w:p w14:paraId="497F12D4" w14:textId="77777777" w:rsidR="00A439DE" w:rsidRPr="00A439DE" w:rsidRDefault="00A439DE" w:rsidP="00A439DE">
      <w:pPr>
        <w:adjustRightInd w:val="0"/>
        <w:snapToGrid w:val="0"/>
        <w:spacing w:line="360" w:lineRule="auto"/>
        <w:jc w:val="both"/>
        <w:rPr>
          <w:rFonts w:ascii="Book Antiqua" w:eastAsia="SimSun" w:hAnsi="Book Antiqua" w:cs="Times New Roman"/>
          <w:b/>
          <w:lang w:val="en-US" w:eastAsia="zh-CN"/>
        </w:rPr>
      </w:pPr>
      <w:r w:rsidRPr="00A439DE">
        <w:rPr>
          <w:rFonts w:ascii="Book Antiqua" w:eastAsia="SimSun" w:hAnsi="Book Antiqua" w:cs="Times New Roman"/>
          <w:b/>
          <w:lang w:val="en-US" w:eastAsia="en-US"/>
        </w:rPr>
        <w:t>First decision:</w:t>
      </w:r>
      <w:r w:rsidRPr="00A439DE">
        <w:rPr>
          <w:rFonts w:ascii="Book Antiqua" w:eastAsia="SimSun" w:hAnsi="Book Antiqua" w:cs="Times New Roman"/>
          <w:b/>
          <w:lang w:val="en-US" w:eastAsia="zh-CN"/>
        </w:rPr>
        <w:t xml:space="preserve"> </w:t>
      </w:r>
      <w:r w:rsidRPr="00A439DE">
        <w:rPr>
          <w:rFonts w:ascii="Book Antiqua" w:eastAsia="SimSun" w:hAnsi="Book Antiqua" w:cs="Times New Roman"/>
          <w:lang w:val="en-US" w:eastAsia="zh-CN"/>
        </w:rPr>
        <w:t>January 13, 2020</w:t>
      </w:r>
    </w:p>
    <w:p w14:paraId="2B0227D8" w14:textId="77777777" w:rsidR="00A439DE" w:rsidRPr="00A439DE" w:rsidRDefault="00A439DE" w:rsidP="00A439DE">
      <w:pPr>
        <w:adjustRightInd w:val="0"/>
        <w:snapToGrid w:val="0"/>
        <w:spacing w:line="360" w:lineRule="auto"/>
        <w:rPr>
          <w:rFonts w:ascii="Book Antiqua" w:eastAsia="SimSun" w:hAnsi="Book Antiqua" w:cs="Times New Roman"/>
          <w:b/>
          <w:lang w:val="en-US" w:eastAsia="zh-CN"/>
        </w:rPr>
      </w:pPr>
      <w:r w:rsidRPr="00A439DE">
        <w:rPr>
          <w:rFonts w:ascii="Book Antiqua" w:eastAsia="SimSun" w:hAnsi="Book Antiqua" w:cs="Times New Roman"/>
          <w:b/>
          <w:lang w:val="en-US" w:eastAsia="en-US"/>
        </w:rPr>
        <w:t>Article in press:</w:t>
      </w:r>
    </w:p>
    <w:p w14:paraId="14B466C3" w14:textId="77777777" w:rsidR="00B2158D" w:rsidRPr="00425573" w:rsidRDefault="00B2158D" w:rsidP="00CC10A4">
      <w:pPr>
        <w:snapToGrid w:val="0"/>
        <w:spacing w:line="360" w:lineRule="auto"/>
        <w:rPr>
          <w:rFonts w:ascii="Book Antiqua" w:eastAsia="SimSun" w:hAnsi="Book Antiqua"/>
          <w:color w:val="000000"/>
          <w:lang w:val="en-US" w:eastAsia="zh-CN"/>
        </w:rPr>
      </w:pPr>
    </w:p>
    <w:p w14:paraId="67D6FC09" w14:textId="7D6B7724" w:rsidR="00B2158D" w:rsidRPr="00425573" w:rsidRDefault="00B2158D" w:rsidP="00CC10A4">
      <w:pPr>
        <w:widowControl w:val="0"/>
        <w:adjustRightInd w:val="0"/>
        <w:snapToGrid w:val="0"/>
        <w:spacing w:line="360" w:lineRule="auto"/>
        <w:jc w:val="both"/>
        <w:rPr>
          <w:rFonts w:ascii="Book Antiqua" w:eastAsia="Microsoft YaHei" w:hAnsi="Book Antiqua" w:cs="SimSun"/>
          <w:lang w:val="en-US" w:eastAsia="zh-CN"/>
        </w:rPr>
      </w:pPr>
      <w:r w:rsidRPr="00425573">
        <w:rPr>
          <w:rFonts w:ascii="Book Antiqua" w:hAnsi="Book Antiqua" w:cs="SimSun"/>
          <w:b/>
          <w:lang w:val="en-US" w:eastAsia="zh-CN"/>
        </w:rPr>
        <w:t xml:space="preserve">Specialty type: </w:t>
      </w:r>
      <w:r w:rsidR="00A439DE" w:rsidRPr="00425573">
        <w:rPr>
          <w:rFonts w:ascii="Book Antiqua" w:eastAsia="Microsoft YaHei" w:hAnsi="Book Antiqua" w:cs="SimSun"/>
        </w:rPr>
        <w:t>Endocrinology and metabolism</w:t>
      </w:r>
    </w:p>
    <w:p w14:paraId="3D8FE420" w14:textId="0FA55F38" w:rsidR="00B2158D" w:rsidRPr="00425573" w:rsidRDefault="00B2158D" w:rsidP="00CC10A4">
      <w:pPr>
        <w:widowControl w:val="0"/>
        <w:adjustRightInd w:val="0"/>
        <w:snapToGrid w:val="0"/>
        <w:spacing w:line="360" w:lineRule="auto"/>
        <w:jc w:val="both"/>
        <w:rPr>
          <w:rFonts w:ascii="Book Antiqua" w:hAnsi="Book Antiqua" w:cs="SimSun"/>
          <w:lang w:val="en-US" w:eastAsia="zh-CN"/>
        </w:rPr>
      </w:pPr>
      <w:r w:rsidRPr="00425573">
        <w:rPr>
          <w:rFonts w:ascii="Book Antiqua" w:hAnsi="Book Antiqua" w:cs="SimSun"/>
          <w:b/>
          <w:lang w:val="en-US" w:eastAsia="zh-CN"/>
        </w:rPr>
        <w:t xml:space="preserve">Country of origin: </w:t>
      </w:r>
      <w:r w:rsidRPr="00425573">
        <w:rPr>
          <w:rFonts w:ascii="Book Antiqua" w:eastAsia="SimSun" w:hAnsi="Book Antiqua"/>
          <w:lang w:val="en-US" w:eastAsia="es-ES_tradnl"/>
        </w:rPr>
        <w:t>Italy</w:t>
      </w:r>
    </w:p>
    <w:p w14:paraId="542F66F5" w14:textId="77777777" w:rsidR="00B2158D" w:rsidRPr="00425573" w:rsidRDefault="00B2158D" w:rsidP="00CC10A4">
      <w:pPr>
        <w:widowControl w:val="0"/>
        <w:adjustRightInd w:val="0"/>
        <w:snapToGrid w:val="0"/>
        <w:spacing w:line="360" w:lineRule="auto"/>
        <w:jc w:val="both"/>
        <w:rPr>
          <w:rFonts w:ascii="Book Antiqua" w:hAnsi="Book Antiqua" w:cs="SimSun"/>
          <w:b/>
          <w:lang w:val="en-US" w:eastAsia="zh-CN"/>
        </w:rPr>
      </w:pPr>
      <w:r w:rsidRPr="00425573">
        <w:rPr>
          <w:rFonts w:ascii="Book Antiqua" w:hAnsi="Book Antiqua" w:cs="SimSun"/>
          <w:b/>
          <w:lang w:val="en-US" w:eastAsia="zh-CN"/>
        </w:rPr>
        <w:t>Peer-review report classification</w:t>
      </w:r>
    </w:p>
    <w:p w14:paraId="398D9BD9" w14:textId="1EC6A8E6" w:rsidR="00B2158D" w:rsidRPr="00425573" w:rsidRDefault="00B2158D" w:rsidP="00CC10A4">
      <w:pPr>
        <w:widowControl w:val="0"/>
        <w:adjustRightInd w:val="0"/>
        <w:snapToGrid w:val="0"/>
        <w:spacing w:line="360" w:lineRule="auto"/>
        <w:jc w:val="both"/>
        <w:rPr>
          <w:rFonts w:ascii="Book Antiqua" w:hAnsi="Book Antiqua" w:cs="SimSun"/>
          <w:lang w:val="en-US" w:eastAsia="zh-CN"/>
        </w:rPr>
      </w:pPr>
      <w:r w:rsidRPr="00425573">
        <w:rPr>
          <w:rFonts w:ascii="Book Antiqua" w:hAnsi="Book Antiqua" w:cs="SimSun"/>
          <w:lang w:val="en-US" w:eastAsia="zh-CN"/>
        </w:rPr>
        <w:t xml:space="preserve">Grade A (Excellent): </w:t>
      </w:r>
      <w:r w:rsidR="00A439DE" w:rsidRPr="00425573">
        <w:rPr>
          <w:rFonts w:ascii="Book Antiqua" w:hAnsi="Book Antiqua" w:cs="SimSun"/>
          <w:lang w:val="en-US" w:eastAsia="zh-CN"/>
        </w:rPr>
        <w:t>0</w:t>
      </w:r>
    </w:p>
    <w:p w14:paraId="08A09B51" w14:textId="464A4D1B" w:rsidR="00B2158D" w:rsidRPr="00425573" w:rsidRDefault="00B2158D" w:rsidP="00CC10A4">
      <w:pPr>
        <w:widowControl w:val="0"/>
        <w:adjustRightInd w:val="0"/>
        <w:snapToGrid w:val="0"/>
        <w:spacing w:line="360" w:lineRule="auto"/>
        <w:jc w:val="both"/>
        <w:rPr>
          <w:rFonts w:ascii="Book Antiqua" w:eastAsia="SimSun" w:hAnsi="Book Antiqua" w:cs="SimSun"/>
          <w:lang w:val="en-US" w:eastAsia="zh-CN"/>
        </w:rPr>
      </w:pPr>
      <w:r w:rsidRPr="00425573">
        <w:rPr>
          <w:rFonts w:ascii="Book Antiqua" w:hAnsi="Book Antiqua" w:cs="SimSun"/>
          <w:lang w:val="en-US" w:eastAsia="zh-CN"/>
        </w:rPr>
        <w:t xml:space="preserve">Grade B (Very good): </w:t>
      </w:r>
      <w:r w:rsidR="00A439DE" w:rsidRPr="00425573">
        <w:rPr>
          <w:rFonts w:ascii="Book Antiqua" w:hAnsi="Book Antiqua" w:cs="SimSun"/>
          <w:lang w:val="en-US" w:eastAsia="zh-CN"/>
        </w:rPr>
        <w:t>0</w:t>
      </w:r>
    </w:p>
    <w:p w14:paraId="147330D8" w14:textId="0514F4A5" w:rsidR="00B2158D" w:rsidRPr="00425573" w:rsidRDefault="00B2158D" w:rsidP="00CC10A4">
      <w:pPr>
        <w:widowControl w:val="0"/>
        <w:adjustRightInd w:val="0"/>
        <w:snapToGrid w:val="0"/>
        <w:spacing w:line="360" w:lineRule="auto"/>
        <w:jc w:val="both"/>
        <w:rPr>
          <w:rFonts w:ascii="Book Antiqua" w:hAnsi="Book Antiqua" w:cs="SimSun"/>
          <w:lang w:val="en-US" w:eastAsia="zh-CN"/>
        </w:rPr>
      </w:pPr>
      <w:r w:rsidRPr="00425573">
        <w:rPr>
          <w:rFonts w:ascii="Book Antiqua" w:hAnsi="Book Antiqua" w:cs="SimSun"/>
          <w:lang w:val="en-US" w:eastAsia="zh-CN"/>
        </w:rPr>
        <w:t xml:space="preserve">Grade C (Good): </w:t>
      </w:r>
      <w:r w:rsidR="00A439DE" w:rsidRPr="00425573">
        <w:rPr>
          <w:rFonts w:ascii="Book Antiqua" w:hAnsi="Book Antiqua" w:cs="SimSun"/>
          <w:lang w:val="en-US" w:eastAsia="zh-CN"/>
        </w:rPr>
        <w:t>C, C</w:t>
      </w:r>
    </w:p>
    <w:p w14:paraId="22258DB6" w14:textId="0FFA06DB" w:rsidR="00B2158D" w:rsidRPr="00425573" w:rsidRDefault="00B2158D" w:rsidP="00CC10A4">
      <w:pPr>
        <w:widowControl w:val="0"/>
        <w:adjustRightInd w:val="0"/>
        <w:snapToGrid w:val="0"/>
        <w:spacing w:line="360" w:lineRule="auto"/>
        <w:jc w:val="both"/>
        <w:rPr>
          <w:rFonts w:ascii="Book Antiqua" w:hAnsi="Book Antiqua" w:cs="SimSun"/>
          <w:lang w:val="en-US" w:eastAsia="zh-CN"/>
        </w:rPr>
      </w:pPr>
      <w:r w:rsidRPr="00425573">
        <w:rPr>
          <w:rFonts w:ascii="Book Antiqua" w:hAnsi="Book Antiqua" w:cs="SimSun"/>
          <w:lang w:val="en-US" w:eastAsia="zh-CN"/>
        </w:rPr>
        <w:t xml:space="preserve">Grade D (Fair): </w:t>
      </w:r>
      <w:r w:rsidR="00A439DE" w:rsidRPr="00425573">
        <w:rPr>
          <w:rFonts w:ascii="Book Antiqua" w:hAnsi="Book Antiqua" w:cs="SimSun"/>
          <w:lang w:val="en-US" w:eastAsia="zh-CN"/>
        </w:rPr>
        <w:t>0</w:t>
      </w:r>
    </w:p>
    <w:p w14:paraId="15BA3E49" w14:textId="05E5B9C8" w:rsidR="00B2158D" w:rsidRPr="00425573" w:rsidRDefault="00B2158D" w:rsidP="00CC10A4">
      <w:pPr>
        <w:widowControl w:val="0"/>
        <w:adjustRightInd w:val="0"/>
        <w:snapToGrid w:val="0"/>
        <w:spacing w:line="360" w:lineRule="auto"/>
        <w:jc w:val="both"/>
        <w:rPr>
          <w:rFonts w:ascii="Book Antiqua" w:eastAsia="DengXian" w:hAnsi="Book Antiqua"/>
          <w:kern w:val="2"/>
          <w:lang w:val="en-US" w:eastAsia="zh-CN"/>
        </w:rPr>
      </w:pPr>
      <w:r w:rsidRPr="00425573">
        <w:rPr>
          <w:rFonts w:ascii="Book Antiqua" w:hAnsi="Book Antiqua" w:cs="SimSun"/>
          <w:lang w:val="en-US" w:eastAsia="zh-CN"/>
        </w:rPr>
        <w:t xml:space="preserve">Grade E (Poor): </w:t>
      </w:r>
      <w:r w:rsidR="00A439DE" w:rsidRPr="00425573">
        <w:rPr>
          <w:rFonts w:ascii="Book Antiqua" w:hAnsi="Book Antiqua" w:cs="SimSun"/>
          <w:lang w:val="en-US" w:eastAsia="zh-CN"/>
        </w:rPr>
        <w:t>0</w:t>
      </w:r>
    </w:p>
    <w:p w14:paraId="24F42EB8" w14:textId="77777777" w:rsidR="00B2158D" w:rsidRPr="00425573" w:rsidRDefault="00B2158D" w:rsidP="00CC10A4">
      <w:pPr>
        <w:snapToGrid w:val="0"/>
        <w:spacing w:line="360" w:lineRule="auto"/>
        <w:rPr>
          <w:rFonts w:ascii="Book Antiqua" w:eastAsia="SimSun" w:hAnsi="Book Antiqua"/>
          <w:b/>
          <w:lang w:val="en-US" w:eastAsia="zh-CN"/>
        </w:rPr>
      </w:pPr>
    </w:p>
    <w:p w14:paraId="46B10529" w14:textId="420DF785" w:rsidR="00B2158D" w:rsidRPr="00425573" w:rsidRDefault="00B2158D" w:rsidP="00CC10A4">
      <w:pPr>
        <w:snapToGrid w:val="0"/>
        <w:spacing w:line="360" w:lineRule="auto"/>
        <w:rPr>
          <w:rFonts w:ascii="Book Antiqua" w:eastAsia="SimSun" w:hAnsi="Book Antiqua"/>
          <w:b/>
          <w:lang w:val="en-US" w:eastAsia="zh-CN"/>
        </w:rPr>
      </w:pPr>
      <w:r w:rsidRPr="00425573">
        <w:rPr>
          <w:rFonts w:ascii="Book Antiqua" w:hAnsi="Book Antiqua"/>
          <w:b/>
          <w:lang w:val="en-US"/>
        </w:rPr>
        <w:t>P- Reviewer:</w:t>
      </w:r>
      <w:r w:rsidRPr="00425573">
        <w:rPr>
          <w:rFonts w:ascii="Book Antiqua" w:eastAsia="SimSun" w:hAnsi="Book Antiqua"/>
          <w:b/>
          <w:lang w:val="en-US" w:eastAsia="zh-CN"/>
        </w:rPr>
        <w:t xml:space="preserve">  </w:t>
      </w:r>
      <w:r w:rsidR="0043304E" w:rsidRPr="00425573">
        <w:rPr>
          <w:rFonts w:ascii="Book Antiqua" w:eastAsia="SimSun" w:hAnsi="Book Antiqua"/>
          <w:lang w:val="en-US" w:eastAsia="zh-CN"/>
        </w:rPr>
        <w:t>Gillberg L, Qi X</w:t>
      </w:r>
      <w:r w:rsidR="0043304E" w:rsidRPr="00425573">
        <w:rPr>
          <w:rFonts w:ascii="Book Antiqua" w:eastAsia="SimSun" w:hAnsi="Book Antiqua"/>
          <w:b/>
          <w:lang w:val="en-US" w:eastAsia="zh-CN"/>
        </w:rPr>
        <w:t xml:space="preserve"> </w:t>
      </w:r>
      <w:r w:rsidRPr="00425573">
        <w:rPr>
          <w:rFonts w:ascii="Book Antiqua" w:hAnsi="Book Antiqua"/>
          <w:b/>
          <w:lang w:val="en-US"/>
        </w:rPr>
        <w:t>S- Editor:</w:t>
      </w:r>
      <w:r w:rsidRPr="00425573">
        <w:rPr>
          <w:rFonts w:ascii="Book Antiqua" w:eastAsia="SimSun" w:hAnsi="Book Antiqua"/>
          <w:lang w:val="en-US" w:eastAsia="zh-CN"/>
        </w:rPr>
        <w:t xml:space="preserve"> </w:t>
      </w:r>
      <w:r w:rsidRPr="00425573">
        <w:rPr>
          <w:rFonts w:ascii="Book Antiqua" w:hAnsi="Book Antiqua"/>
          <w:b/>
          <w:lang w:val="en-US"/>
        </w:rPr>
        <w:t xml:space="preserve"> </w:t>
      </w:r>
      <w:r w:rsidR="003D15B8" w:rsidRPr="00425573">
        <w:rPr>
          <w:rFonts w:ascii="Book Antiqua" w:hAnsi="Book Antiqua"/>
          <w:lang w:val="en-US"/>
        </w:rPr>
        <w:t>Gong ZM</w:t>
      </w:r>
      <w:r w:rsidR="003D15B8" w:rsidRPr="00425573">
        <w:rPr>
          <w:rFonts w:ascii="Book Antiqua" w:hAnsi="Book Antiqua"/>
          <w:b/>
          <w:lang w:val="en-US"/>
        </w:rPr>
        <w:t xml:space="preserve"> </w:t>
      </w:r>
      <w:r w:rsidRPr="00425573">
        <w:rPr>
          <w:rFonts w:ascii="Book Antiqua" w:hAnsi="Book Antiqua"/>
          <w:b/>
          <w:lang w:val="en-US"/>
        </w:rPr>
        <w:t>L- Editor:</w:t>
      </w:r>
      <w:r w:rsidRPr="00425573">
        <w:rPr>
          <w:rFonts w:ascii="Book Antiqua" w:hAnsi="Book Antiqua"/>
          <w:lang w:val="en-US"/>
        </w:rPr>
        <w:t xml:space="preserve">  </w:t>
      </w:r>
      <w:r w:rsidRPr="00425573">
        <w:rPr>
          <w:rFonts w:ascii="Book Antiqua" w:hAnsi="Book Antiqua"/>
          <w:b/>
          <w:lang w:val="en-US"/>
        </w:rPr>
        <w:t>E- Editor:</w:t>
      </w:r>
    </w:p>
    <w:p w14:paraId="101FD834" w14:textId="77777777" w:rsidR="00B2158D" w:rsidRPr="00425573" w:rsidRDefault="00B2158D" w:rsidP="00CC10A4">
      <w:pPr>
        <w:snapToGrid w:val="0"/>
        <w:spacing w:line="360" w:lineRule="auto"/>
        <w:rPr>
          <w:rFonts w:ascii="Book Antiqua" w:eastAsia="SimSun" w:hAnsi="Book Antiqua"/>
          <w:b/>
          <w:lang w:val="en-US" w:eastAsia="zh-CN"/>
        </w:rPr>
      </w:pPr>
    </w:p>
    <w:p w14:paraId="07A03A24" w14:textId="77777777" w:rsidR="00B2158D" w:rsidRPr="00425573" w:rsidRDefault="00B2158D" w:rsidP="00CC10A4">
      <w:pPr>
        <w:snapToGrid w:val="0"/>
        <w:spacing w:line="360" w:lineRule="auto"/>
        <w:rPr>
          <w:rFonts w:ascii="Book Antiqua" w:hAnsi="Book Antiqua"/>
          <w:b/>
          <w:lang w:val="en-US"/>
        </w:rPr>
      </w:pPr>
      <w:r w:rsidRPr="00425573">
        <w:rPr>
          <w:rFonts w:ascii="Book Antiqua" w:hAnsi="Book Antiqua"/>
          <w:b/>
          <w:lang w:val="en-US"/>
        </w:rPr>
        <w:br w:type="page"/>
      </w:r>
    </w:p>
    <w:p w14:paraId="4C21E065" w14:textId="77777777" w:rsidR="002334D3" w:rsidRPr="002334D3" w:rsidRDefault="002334D3" w:rsidP="002334D3">
      <w:pPr>
        <w:widowControl w:val="0"/>
        <w:adjustRightInd w:val="0"/>
        <w:snapToGrid w:val="0"/>
        <w:spacing w:line="360" w:lineRule="auto"/>
        <w:jc w:val="both"/>
        <w:rPr>
          <w:rFonts w:ascii="Book Antiqua" w:eastAsia="SimSun" w:hAnsi="Book Antiqua" w:cs="Times New Roman"/>
          <w:b/>
          <w:kern w:val="2"/>
          <w:lang w:val="en-US" w:eastAsia="zh-CN"/>
        </w:rPr>
      </w:pPr>
      <w:r w:rsidRPr="002334D3">
        <w:rPr>
          <w:rFonts w:ascii="Book Antiqua" w:eastAsia="SimSun" w:hAnsi="Book Antiqua" w:cs="Times New Roman"/>
          <w:b/>
          <w:kern w:val="2"/>
          <w:lang w:val="en-US" w:eastAsia="zh-CN"/>
        </w:rPr>
        <w:lastRenderedPageBreak/>
        <w:t>Figure Legends</w:t>
      </w:r>
    </w:p>
    <w:p w14:paraId="168AB51A" w14:textId="283E5E2B" w:rsidR="00033F1A" w:rsidRDefault="00033F1A" w:rsidP="00CC10A4">
      <w:pPr>
        <w:snapToGrid w:val="0"/>
        <w:spacing w:line="360" w:lineRule="auto"/>
        <w:jc w:val="both"/>
        <w:rPr>
          <w:rFonts w:ascii="Book Antiqua" w:hAnsi="Book Antiqua"/>
          <w:b/>
          <w:bCs/>
          <w:color w:val="000000" w:themeColor="text1"/>
          <w:lang w:val="en-US"/>
        </w:rPr>
      </w:pPr>
      <w:r>
        <w:rPr>
          <w:noProof/>
          <w:lang w:val="en-US" w:eastAsia="zh-CN"/>
        </w:rPr>
        <w:drawing>
          <wp:inline distT="0" distB="0" distL="0" distR="0" wp14:anchorId="7BAF6E62" wp14:editId="24071689">
            <wp:extent cx="3807010" cy="36576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2933" cy="3663291"/>
                    </a:xfrm>
                    <a:prstGeom prst="rect">
                      <a:avLst/>
                    </a:prstGeom>
                  </pic:spPr>
                </pic:pic>
              </a:graphicData>
            </a:graphic>
          </wp:inline>
        </w:drawing>
      </w:r>
    </w:p>
    <w:p w14:paraId="14F23AAE" w14:textId="13ED5686" w:rsidR="00791323" w:rsidRPr="00425573" w:rsidRDefault="00791323" w:rsidP="00CC10A4">
      <w:pPr>
        <w:snapToGrid w:val="0"/>
        <w:spacing w:line="360" w:lineRule="auto"/>
        <w:jc w:val="both"/>
        <w:rPr>
          <w:rFonts w:ascii="Book Antiqua" w:eastAsia="Times New Roman" w:hAnsi="Book Antiqua" w:cs="Times New Roman"/>
          <w:lang w:val="en-US" w:eastAsia="en-US"/>
        </w:rPr>
      </w:pPr>
      <w:r w:rsidRPr="00425573">
        <w:rPr>
          <w:rFonts w:ascii="Book Antiqua" w:hAnsi="Book Antiqua"/>
          <w:b/>
          <w:bCs/>
          <w:color w:val="000000" w:themeColor="text1"/>
          <w:lang w:val="en-US"/>
        </w:rPr>
        <w:t xml:space="preserve">Figure 1 Known interaction networks among the potentially shared genes. </w:t>
      </w:r>
      <w:r w:rsidRPr="00425573">
        <w:rPr>
          <w:rFonts w:ascii="Book Antiqua" w:hAnsi="Book Antiqua"/>
          <w:color w:val="000000" w:themeColor="text1"/>
          <w:lang w:val="en-US"/>
        </w:rPr>
        <w:t>Network showing the known molecular interactions (String</w:t>
      </w:r>
      <w:r w:rsidR="00244274" w:rsidRPr="00425573">
        <w:rPr>
          <w:rFonts w:ascii="Book Antiqua" w:hAnsi="Book Antiqua"/>
          <w:color w:val="000000" w:themeColor="text1"/>
          <w:lang w:val="en-US"/>
        </w:rPr>
        <w:t xml:space="preserve">; </w:t>
      </w:r>
      <w:hyperlink r:id="rId8" w:history="1">
        <w:r w:rsidR="00244274" w:rsidRPr="00425573">
          <w:rPr>
            <w:rFonts w:ascii="Book Antiqua" w:eastAsia="Times New Roman" w:hAnsi="Book Antiqua" w:cs="Times New Roman"/>
            <w:color w:val="0000FF"/>
            <w:u w:val="single"/>
            <w:lang w:val="en-US" w:eastAsia="en-US"/>
          </w:rPr>
          <w:t>https://string-db.org/</w:t>
        </w:r>
      </w:hyperlink>
      <w:r w:rsidRPr="00425573">
        <w:rPr>
          <w:rFonts w:ascii="Book Antiqua" w:hAnsi="Book Antiqua"/>
          <w:color w:val="000000" w:themeColor="text1"/>
          <w:lang w:val="en-US"/>
        </w:rPr>
        <w:t>).</w:t>
      </w:r>
      <w:r w:rsidR="0060788D" w:rsidRPr="00425573">
        <w:rPr>
          <w:rFonts w:ascii="Book Antiqua" w:hAnsi="Book Antiqua"/>
          <w:color w:val="000000" w:themeColor="text1"/>
          <w:lang w:val="en-US"/>
        </w:rPr>
        <w:t xml:space="preserve"> The </w:t>
      </w:r>
      <w:r w:rsidR="007A2BFE" w:rsidRPr="00425573">
        <w:rPr>
          <w:rFonts w:ascii="Book Antiqua" w:hAnsi="Book Antiqua"/>
          <w:color w:val="000000" w:themeColor="text1"/>
          <w:lang w:val="en-US"/>
        </w:rPr>
        <w:t xml:space="preserve">reported </w:t>
      </w:r>
      <w:r w:rsidR="0060788D" w:rsidRPr="00425573">
        <w:rPr>
          <w:rFonts w:ascii="Book Antiqua" w:hAnsi="Book Antiqua"/>
          <w:color w:val="000000" w:themeColor="text1"/>
          <w:lang w:val="en-US"/>
        </w:rPr>
        <w:t>genes have been selected from the genetic studies discussed in the manuscript</w:t>
      </w:r>
      <w:r w:rsidR="00D76A63" w:rsidRPr="00425573">
        <w:rPr>
          <w:rFonts w:ascii="Book Antiqua" w:hAnsi="Book Antiqua"/>
          <w:color w:val="000000" w:themeColor="text1"/>
          <w:lang w:val="en-US"/>
        </w:rPr>
        <w:t>.</w:t>
      </w:r>
      <w:r w:rsidR="00FC20FC" w:rsidRPr="00425573">
        <w:rPr>
          <w:rFonts w:ascii="Book Antiqua" w:hAnsi="Book Antiqua"/>
          <w:color w:val="000000" w:themeColor="text1"/>
          <w:lang w:val="en-US"/>
        </w:rPr>
        <w:t xml:space="preserve"> The existence of few known molecular interactions</w:t>
      </w:r>
      <w:r w:rsidR="00F556AF" w:rsidRPr="00425573">
        <w:rPr>
          <w:rFonts w:ascii="Book Antiqua" w:hAnsi="Book Antiqua"/>
          <w:color w:val="000000" w:themeColor="text1"/>
          <w:lang w:val="en-US"/>
        </w:rPr>
        <w:t xml:space="preserve"> among them</w:t>
      </w:r>
      <w:r w:rsidR="00FC20FC" w:rsidRPr="00425573">
        <w:rPr>
          <w:rFonts w:ascii="Book Antiqua" w:hAnsi="Book Antiqua"/>
          <w:color w:val="000000" w:themeColor="text1"/>
          <w:lang w:val="en-US"/>
        </w:rPr>
        <w:t xml:space="preserve"> highlight</w:t>
      </w:r>
      <w:r w:rsidR="0003277A" w:rsidRPr="00425573">
        <w:rPr>
          <w:rFonts w:ascii="Book Antiqua" w:hAnsi="Book Antiqua"/>
          <w:color w:val="000000" w:themeColor="text1"/>
          <w:lang w:val="en-US"/>
        </w:rPr>
        <w:t>s</w:t>
      </w:r>
      <w:r w:rsidR="00F556AF" w:rsidRPr="00425573">
        <w:rPr>
          <w:rFonts w:ascii="Book Antiqua" w:hAnsi="Book Antiqua"/>
          <w:color w:val="000000" w:themeColor="text1"/>
          <w:lang w:val="en-US"/>
        </w:rPr>
        <w:t xml:space="preserve"> the need of </w:t>
      </w:r>
      <w:r w:rsidR="00FC20FC" w:rsidRPr="00425573">
        <w:rPr>
          <w:rFonts w:ascii="Book Antiqua" w:hAnsi="Book Antiqua"/>
          <w:color w:val="000000" w:themeColor="text1"/>
          <w:lang w:val="en-US"/>
        </w:rPr>
        <w:t>further investig</w:t>
      </w:r>
      <w:r w:rsidR="00F556AF" w:rsidRPr="00425573">
        <w:rPr>
          <w:rFonts w:ascii="Book Antiqua" w:hAnsi="Book Antiqua"/>
          <w:color w:val="000000" w:themeColor="text1"/>
          <w:lang w:val="en-US"/>
        </w:rPr>
        <w:t>ations in order</w:t>
      </w:r>
      <w:r w:rsidR="007B284F" w:rsidRPr="00425573">
        <w:rPr>
          <w:rFonts w:ascii="Book Antiqua" w:hAnsi="Book Antiqua"/>
          <w:color w:val="000000" w:themeColor="text1"/>
          <w:lang w:val="en-US"/>
        </w:rPr>
        <w:t xml:space="preserve"> to better </w:t>
      </w:r>
      <w:r w:rsidR="0003277A" w:rsidRPr="00425573">
        <w:rPr>
          <w:rFonts w:ascii="Book Antiqua" w:hAnsi="Book Antiqua"/>
          <w:color w:val="000000" w:themeColor="text1"/>
          <w:lang w:val="en-US"/>
        </w:rPr>
        <w:t>understand the shared etiopathogenesis.</w:t>
      </w:r>
    </w:p>
    <w:p w14:paraId="29C21026" w14:textId="0A991A29" w:rsidR="00791323" w:rsidRPr="00425573" w:rsidRDefault="00791323" w:rsidP="00CC10A4">
      <w:pPr>
        <w:snapToGrid w:val="0"/>
        <w:spacing w:line="360" w:lineRule="auto"/>
        <w:jc w:val="both"/>
        <w:rPr>
          <w:rFonts w:ascii="Book Antiqua" w:hAnsi="Book Antiqua"/>
          <w:color w:val="000000" w:themeColor="text1"/>
          <w:lang w:val="en-US"/>
        </w:rPr>
      </w:pPr>
    </w:p>
    <w:p w14:paraId="3FAC7509" w14:textId="77777777" w:rsidR="00B2158D" w:rsidRPr="00425573" w:rsidRDefault="00B2158D" w:rsidP="00CC10A4">
      <w:pPr>
        <w:snapToGrid w:val="0"/>
        <w:spacing w:line="360" w:lineRule="auto"/>
        <w:rPr>
          <w:rFonts w:ascii="Book Antiqua" w:hAnsi="Book Antiqua" w:cs="Times New Roman"/>
          <w:b/>
          <w:color w:val="000000" w:themeColor="text1"/>
          <w:lang w:val="en-US"/>
        </w:rPr>
      </w:pPr>
      <w:r w:rsidRPr="00425573">
        <w:rPr>
          <w:rFonts w:ascii="Book Antiqua" w:hAnsi="Book Antiqua" w:cs="Times New Roman"/>
          <w:b/>
          <w:color w:val="000000" w:themeColor="text1"/>
          <w:lang w:val="en-US"/>
        </w:rPr>
        <w:br w:type="page"/>
      </w:r>
    </w:p>
    <w:p w14:paraId="38EAF684" w14:textId="77777777" w:rsidR="00E52278" w:rsidRPr="00425573" w:rsidRDefault="00E52278" w:rsidP="00CC10A4">
      <w:pPr>
        <w:snapToGrid w:val="0"/>
        <w:spacing w:line="360" w:lineRule="auto"/>
        <w:jc w:val="both"/>
        <w:rPr>
          <w:rFonts w:ascii="Book Antiqua" w:hAnsi="Book Antiqua" w:cs="Times New Roman"/>
          <w:b/>
          <w:color w:val="000000" w:themeColor="text1"/>
          <w:lang w:val="en-US"/>
        </w:rPr>
        <w:sectPr w:rsidR="00E52278" w:rsidRPr="00425573" w:rsidSect="0084664E">
          <w:footerReference w:type="even" r:id="rId9"/>
          <w:footerReference w:type="default" r:id="rId10"/>
          <w:pgSz w:w="11900" w:h="16840"/>
          <w:pgMar w:top="1440" w:right="1440" w:bottom="1440" w:left="1440" w:header="706" w:footer="706" w:gutter="0"/>
          <w:cols w:space="708"/>
          <w:docGrid w:linePitch="360"/>
        </w:sectPr>
      </w:pPr>
    </w:p>
    <w:p w14:paraId="7EDADFA0" w14:textId="548A36A6" w:rsidR="00B2158D" w:rsidRPr="00425573" w:rsidRDefault="00463F1F" w:rsidP="00CC10A4">
      <w:pPr>
        <w:snapToGrid w:val="0"/>
        <w:spacing w:line="360" w:lineRule="auto"/>
        <w:jc w:val="both"/>
        <w:rPr>
          <w:rFonts w:ascii="Book Antiqua" w:hAnsi="Book Antiqua" w:cs="Times New Roman"/>
          <w:b/>
          <w:color w:val="000000" w:themeColor="text1"/>
          <w:lang w:val="en-US"/>
        </w:rPr>
      </w:pPr>
      <w:r w:rsidRPr="00425573">
        <w:rPr>
          <w:rFonts w:ascii="Book Antiqua" w:hAnsi="Book Antiqua" w:cs="Times New Roman"/>
          <w:b/>
          <w:color w:val="000000" w:themeColor="text1"/>
          <w:lang w:val="en-US"/>
        </w:rPr>
        <w:lastRenderedPageBreak/>
        <w:t>Table 1 Subset of genetic variants and genes</w:t>
      </w:r>
      <w:r w:rsidR="00B2158D" w:rsidRPr="00425573">
        <w:rPr>
          <w:rFonts w:ascii="Book Antiqua" w:hAnsi="Book Antiqua" w:cs="Times New Roman"/>
          <w:b/>
          <w:color w:val="000000" w:themeColor="text1"/>
          <w:lang w:val="en-US"/>
        </w:rPr>
        <w:t xml:space="preserve"> </w:t>
      </w:r>
      <w:r w:rsidR="00FE6035" w:rsidRPr="00425573">
        <w:rPr>
          <w:rFonts w:ascii="Book Antiqua" w:hAnsi="Book Antiqua" w:cs="Times New Roman"/>
          <w:b/>
          <w:color w:val="000000" w:themeColor="text1"/>
          <w:lang w:val="en-US"/>
        </w:rPr>
        <w:t xml:space="preserve">found to be </w:t>
      </w:r>
      <w:r w:rsidR="00B2158D" w:rsidRPr="00425573">
        <w:rPr>
          <w:rFonts w:ascii="Book Antiqua" w:hAnsi="Book Antiqua" w:cs="Times New Roman"/>
          <w:b/>
          <w:color w:val="000000" w:themeColor="text1"/>
          <w:lang w:val="en-US"/>
        </w:rPr>
        <w:t xml:space="preserve">associated with </w:t>
      </w:r>
      <w:r w:rsidR="0054377B" w:rsidRPr="00425573">
        <w:rPr>
          <w:rFonts w:ascii="Book Antiqua" w:hAnsi="Book Antiqua" w:cs="Times New Roman"/>
          <w:b/>
          <w:color w:val="000000" w:themeColor="text1"/>
          <w:lang w:val="en-US"/>
        </w:rPr>
        <w:t>type 2 diabetes</w:t>
      </w:r>
      <w:r w:rsidR="00B2158D" w:rsidRPr="00425573">
        <w:rPr>
          <w:rFonts w:ascii="Book Antiqua" w:hAnsi="Book Antiqua" w:cs="Times New Roman"/>
          <w:b/>
          <w:color w:val="000000" w:themeColor="text1"/>
          <w:lang w:val="en-US"/>
        </w:rPr>
        <w:t>, A</w:t>
      </w:r>
      <w:r w:rsidR="0054377B" w:rsidRPr="00425573">
        <w:rPr>
          <w:rFonts w:ascii="Book Antiqua" w:hAnsi="Book Antiqua" w:cs="Times New Roman"/>
          <w:b/>
          <w:color w:val="000000" w:themeColor="text1"/>
          <w:lang w:val="en-US"/>
        </w:rPr>
        <w:t>lzheimer’s disease and</w:t>
      </w:r>
      <w:r w:rsidR="00B2158D" w:rsidRPr="00425573">
        <w:rPr>
          <w:rFonts w:ascii="Book Antiqua" w:hAnsi="Book Antiqua" w:cs="Times New Roman"/>
          <w:b/>
          <w:color w:val="000000" w:themeColor="text1"/>
          <w:lang w:val="en-US"/>
        </w:rPr>
        <w:t xml:space="preserve"> P</w:t>
      </w:r>
      <w:r w:rsidR="0054377B" w:rsidRPr="00425573">
        <w:rPr>
          <w:rFonts w:ascii="Book Antiqua" w:hAnsi="Book Antiqua" w:cs="Times New Roman"/>
          <w:b/>
          <w:color w:val="000000" w:themeColor="text1"/>
          <w:lang w:val="en-US"/>
        </w:rPr>
        <w:t xml:space="preserve">arkinson’s </w:t>
      </w:r>
      <w:r w:rsidR="0033071E" w:rsidRPr="00425573">
        <w:rPr>
          <w:rFonts w:ascii="Book Antiqua" w:hAnsi="Book Antiqua" w:cs="Times New Roman"/>
          <w:b/>
          <w:color w:val="000000" w:themeColor="text1"/>
          <w:lang w:val="en-US"/>
        </w:rPr>
        <w:t>d</w:t>
      </w:r>
      <w:r w:rsidR="0054377B" w:rsidRPr="00425573">
        <w:rPr>
          <w:rFonts w:ascii="Book Antiqua" w:hAnsi="Book Antiqua" w:cs="Times New Roman"/>
          <w:b/>
          <w:color w:val="000000" w:themeColor="text1"/>
          <w:lang w:val="en-US"/>
        </w:rPr>
        <w:t>isease</w:t>
      </w:r>
      <w:r w:rsidR="0033071E" w:rsidRPr="00425573">
        <w:rPr>
          <w:rFonts w:ascii="Book Antiqua" w:hAnsi="Book Antiqua" w:cs="Times New Roman"/>
          <w:b/>
          <w:color w:val="000000" w:themeColor="text1"/>
          <w:lang w:val="en-US"/>
        </w:rPr>
        <w:t>,</w:t>
      </w:r>
      <w:r w:rsidR="0054377B" w:rsidRPr="00425573">
        <w:rPr>
          <w:rFonts w:ascii="Book Antiqua" w:hAnsi="Book Antiqua" w:cs="Times New Roman"/>
          <w:b/>
          <w:color w:val="000000" w:themeColor="text1"/>
          <w:lang w:val="en-US"/>
        </w:rPr>
        <w:t xml:space="preserve"> as</w:t>
      </w:r>
      <w:r w:rsidR="00B2158D" w:rsidRPr="00425573">
        <w:rPr>
          <w:rFonts w:ascii="Book Antiqua" w:hAnsi="Book Antiqua" w:cs="Times New Roman"/>
          <w:b/>
          <w:color w:val="000000" w:themeColor="text1"/>
          <w:lang w:val="en-US"/>
        </w:rPr>
        <w:t xml:space="preserve"> </w:t>
      </w:r>
      <w:r w:rsidR="0033071E" w:rsidRPr="00425573">
        <w:rPr>
          <w:rFonts w:ascii="Book Antiqua" w:hAnsi="Book Antiqua" w:cs="Times New Roman"/>
          <w:b/>
          <w:color w:val="000000" w:themeColor="text1"/>
          <w:lang w:val="en-US"/>
        </w:rPr>
        <w:t>well as those</w:t>
      </w:r>
      <w:r w:rsidR="00B2158D" w:rsidRPr="00425573">
        <w:rPr>
          <w:rFonts w:ascii="Book Antiqua" w:hAnsi="Book Antiqua" w:cs="Times New Roman"/>
          <w:b/>
          <w:color w:val="000000" w:themeColor="text1"/>
          <w:lang w:val="en-US"/>
        </w:rPr>
        <w:t xml:space="preserve"> associated with </w:t>
      </w:r>
      <w:r w:rsidR="0033071E" w:rsidRPr="00425573">
        <w:rPr>
          <w:rFonts w:ascii="Book Antiqua" w:hAnsi="Book Antiqua" w:cs="Times New Roman"/>
          <w:b/>
          <w:color w:val="000000" w:themeColor="text1"/>
          <w:lang w:val="en-US"/>
        </w:rPr>
        <w:t xml:space="preserve">type 1 diabetes </w:t>
      </w:r>
      <w:r w:rsidR="00B2158D" w:rsidRPr="00425573">
        <w:rPr>
          <w:rFonts w:ascii="Book Antiqua" w:hAnsi="Book Antiqua" w:cs="Times New Roman"/>
          <w:b/>
          <w:color w:val="000000" w:themeColor="text1"/>
          <w:lang w:val="en-US"/>
        </w:rPr>
        <w:t xml:space="preserve">and </w:t>
      </w:r>
      <w:r w:rsidR="0033071E" w:rsidRPr="00425573">
        <w:rPr>
          <w:rFonts w:ascii="Book Antiqua" w:hAnsi="Book Antiqua" w:cs="Times New Roman"/>
          <w:b/>
          <w:color w:val="000000" w:themeColor="text1"/>
          <w:lang w:val="en-US"/>
        </w:rPr>
        <w:t>Parkinson’s disease</w:t>
      </w:r>
      <w:r w:rsidR="00724A73" w:rsidRPr="007E0FA0">
        <w:rPr>
          <w:rFonts w:ascii="Book Antiqua" w:hAnsi="Book Antiqua" w:cs="Times New Roman"/>
          <w:b/>
          <w:color w:val="000000" w:themeColor="text1"/>
          <w:lang w:val="en-US"/>
        </w:rPr>
        <w:fldChar w:fldCharType="begin"/>
      </w:r>
      <w:r w:rsidR="00E80BAA" w:rsidRPr="007E0FA0">
        <w:rPr>
          <w:rFonts w:ascii="Book Antiqua" w:hAnsi="Book Antiqua" w:cs="Times New Roman"/>
          <w:b/>
          <w:color w:val="000000" w:themeColor="text1"/>
          <w:lang w:val="en-US"/>
        </w:rPr>
        <w:instrText xml:space="preserve"> ADDIN ZOTERO_ITEM CSL_CITATION {"citationID":"hSfTmZ2W","properties":{"formattedCitation":"\\super [36,39,41\\uc0\\u8211{}43,49,50]\\nosupersub{}","plainCitation":"[36,39,41–43,49,50]","noteIndex":0},"citationItems":[{"id":242,"uris":["http://zotero.org/groups/2394923/items/WBQQWLEV"],"uri":["http://zotero.org/groups/2394923/items/WBQQWLEV"],"itemData":{"id":242,"type":"article-journal","abstract":"BACKGROUND: The insulin-degrading enzyme gene (IDE) is a strong functional and positional candidate for late onset Alzheimer's disease (LOAD).\nMETHODOLOGY/PRINCIPAL FINDINGS: We examined conserved regions of IDE and its 10 kb flanks in 269 AD cases and 252 controls thereby identifying 17 putative functional polymorphisms. These variants formed eleven haplotypes that were tagged with ten variants. Four of these showed significant association with IDE transcript levels in samples from 194 LOAD cerebella. The strongest, rs6583817, which has not previously been reported, showed unequivocal association (p = 1.5x10(-8), fold-increase = 2.12,); the eleven haplotypes were also significantly associated with transcript levels (global p = 0.003). Using an in vitro dual luciferase reporter assay, we found that rs6583817 increases reporter gene expression in Be(2)-C (p = 0.006) and HepG2 (p = 0.02) cell lines. Furthermore, using data from a recent genome-wide association study of two Croatian isolated populations (n = 1,879), we identified a proxy for rs6583817 that associated significantly with decreased plasma Abeta40 levels (ss = -0.124, p = 0.011) and total measured plasma Abeta levels (b = -0.130, p = 0.009). Finally, rs6583817 was associated with decreased risk of LOAD in 3,891 AD cases and 3,605 controls. (OR = 0.87, p = 0.03), and the eleven IDE haplotypes (global p = 0.02) also showed significant association.\nCONCLUSIONS: Thus, a previously unreported variant unequivocally associated with increased IDE expression was also associated with reduced plasma Abeta40 and decreased LOAD susceptibility. Genetic association between LOAD and IDE has been difficult to replicate. Our findings suggest that targeted testing of expression SNPs (eSNPs) strongly associated with altered transcript levels in autopsy brain samples may be a powerful way to identify genetic associations with LOAD that would otherwise be difficult to detect.","container-title":"PloS One","DOI":"10.1371/journal.pone.0008764","ISSN":"1932-6203","issue":"1","journalAbbreviation":"PLoS ONE","language":"eng","note":"PMID: 20098734\nPMCID: PMC2808243","page":"e8764","source":"PubMed","title":"Concordant association of insulin degrading enzyme gene (IDE) variants with IDE mRNA, Abeta, and Alzheimer's disease","volume":"5","author":[{"family":"Carrasquillo","given":"Minerva M."},{"family":"Belbin","given":"Olivia"},{"family":"Zou","given":"Fanggeng"},{"family":"Allen","given":"Mariet"},{"family":"Ertekin-Taner","given":"Nilufer"},{"family":"Ansari","given":"Morad"},{"family":"Wilcox","given":"Samantha L."},{"family":"Kashino","given":"Mariah R."},{"family":"Ma","given":"Li"},{"family":"Younkin","given":"Linda H."},{"family":"Younkin","given":"Samuel G."},{"family":"Younkin","given":"Curtis S."},{"family":"Dincman","given":"Toros A."},{"family":"Howard","given":"Melissa E."},{"family":"Howell","given":"Chanley C."},{"family":"Stanton","given":"Chloe M."},{"family":"Watson","given":"Christopher M."},{"family":"Crump","given":"Michael"},{"family":"Vitart","given":"Veronique"},{"family":"Hayward","given":"Caroline"},{"family":"Hastie","given":"Nicholas D."},{"family":"Rudan","given":"Igor"},{"family":"Campbell","given":"Harry"},{"family":"Polasek","given":"Ozren"},{"family":"Brown","given":"Kristelle"},{"family":"Passmore","given":"Peter"},{"family":"Craig","given":"David"},{"family":"McGuinness","given":"Bernadette"},{"family":"Todd","given":"Stephen"},{"family":"Kehoe","given":"Patrick G."},{"family":"Mann","given":"David M."},{"family":"Smith","given":"A. David"},{"family":"Beaumont","given":"Helen"},{"family":"Warden","given":"Donald"},{"family":"Holmes","given":"Clive"},{"family":"Heun","given":"Reinhard"},{"family":"Kölsch","given":"Heike"},{"family":"Kalsheker","given":"Noor"},{"family":"Pankratz","given":"V. Shane"},{"family":"Dickson","given":"Dennis W."},{"family":"Graff-Radford","given":"Neill R."},{"family":"Petersen","given":"Ronald C."},{"family":"Wright","given":"Alan F."},{"family":"Younkin","given":"Steven G."},{"family":"Morgan","given":"Kevin"}],"issued":{"date-parts":[["2010",1,19]]}}},{"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E80BAA" w:rsidRPr="007E0FA0">
        <w:rPr>
          <w:rFonts w:ascii="MS Gothic" w:hAnsi="MS Gothic" w:cs="MS Gothic"/>
          <w:b/>
          <w:color w:val="000000" w:themeColor="text1"/>
          <w:lang w:val="en-US"/>
        </w:rPr>
        <w:instrText> </w:instrText>
      </w:r>
      <w:r w:rsidR="00E80BAA" w:rsidRPr="007E0FA0">
        <w:rPr>
          <w:rFonts w:ascii="Book Antiqua" w:hAnsi="Book Antiqua" w:cs="Times New Roman"/>
          <w:b/>
          <w:color w:val="000000" w:themeColor="text1"/>
          <w:lang w:val="en-US"/>
        </w:rPr>
        <w:instrText>≤0.01, an overlap significantly larger than random chance (overlapping p-value</w:instrText>
      </w:r>
      <w:r w:rsidR="00E80BAA" w:rsidRPr="007E0FA0">
        <w:rPr>
          <w:rFonts w:ascii="MS Gothic" w:hAnsi="MS Gothic" w:cs="MS Gothic"/>
          <w:b/>
          <w:color w:val="000000" w:themeColor="text1"/>
          <w:lang w:val="en-US"/>
        </w:rPr>
        <w:instrText> </w:instrText>
      </w:r>
      <w:r w:rsidR="00E80BAA" w:rsidRPr="007E0FA0">
        <w:rPr>
          <w:rFonts w:ascii="Book Antiqua" w:hAnsi="Book Antiqua" w:cs="Times New Roman"/>
          <w:b/>
          <w:color w:val="000000" w:themeColor="text1"/>
          <w:lang w:val="en-US"/>
        </w:rPr>
        <w:instrText>of</w:instrText>
      </w:r>
      <w:r w:rsidR="00E80BAA" w:rsidRPr="007E0FA0">
        <w:rPr>
          <w:rFonts w:ascii="MS Gothic" w:hAnsi="MS Gothic" w:cs="MS Gothic"/>
          <w:b/>
          <w:color w:val="000000" w:themeColor="text1"/>
          <w:lang w:val="en-US"/>
        </w:rPr>
        <w:instrText> </w:instrText>
      </w:r>
      <w:r w:rsidR="00E80BAA" w:rsidRPr="007E0FA0">
        <w:rPr>
          <w:rFonts w:ascii="Book Antiqua" w:hAnsi="Book Antiqua" w:cs="Times New Roman"/>
          <w:b/>
          <w:color w:val="000000" w:themeColor="text1"/>
          <w:lang w:val="en-US"/>
        </w:rPr>
        <w:instrText>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Maria"}],"issued":{"date-parts":[["2015",10]]}}},{"id":137,"uris":["http://zotero.org/groups/2394923/items/AGE6GTTY"],"uri":["http://zotero.org/groups/2394923/items/AGE6GTTY"],"itemData":{"id":137,"type":"article-journal","abstract":"Type 2 diabetes (T2D) and Alzheimer’s disease (AD) are two major health issues, and increasing evidence in recent years supports the close connection between these two diseases. The present study aimed to explore the shared genetic etiology underlying T2D and AD based on the available genome wide association studies (GWAS) data collected through August 2014. We performed bioinformatics analyses based on GWAS data of T2D and AD on single nucleotide polymorphisms (SNPs), gene, and pathway levels, respectively. Six SNPs (rs111789331, rs12721046, rs12721051, rs4420638, rs56131196, and rs66626994) were identiﬁed for the ﬁrst time to be shared genetic factors between T2D and AD. Further functional enrichment analysis found lipid metabolism related pathways to be common between these two disorders. The ﬁndings may have important implications for future mechanistic and interventional studies for T2D and AD.","container-title":"Journal of Alzheimer's Disease","DOI":"10.3233/JAD-150580","ISSN":"13872877, 18758908","issue":"1","journalAbbreviation":"JAD","language":"en","page":"13-17","source":"DOI.org (Crossref)","title":"Shared Genetic Etiology between Type 2 Diabetes and Alzheimer’s Disease Identified by Bioinformatics Analysis","volume":"50","author":[{"family":"Gao","given":"Lei"},{"family":"Cui","given":"Zhen"},{"family":"Shen","given":"Liang"},{"family":"Ji","given":"Hong-Fang"}],"issued":{"date-parts":[["2015",11,28]]}}},{"id":152,"uris":["http://zotero.org/groups/2394923/items/NEK66VT3"],"uri":["http://zotero.org/groups/2394923/items/NEK66VT3"],"itemData":{"id":152,"type":"article-journal","abstract":"BACKGROUND: Insulin and insulin-like growth factor contribute to normal brain function. Recent experimental and clinical studies showed that type 2 diabetes mellitus (T2DM) and Parkinson's disease (PD) or Alzheimer's disease (AD) share several dysregulated pathways.\nOBJECTIVE: We aimed to investigate whether genome-wide significant loci of T2DM are associated with the risk of PD and AD as well as the severity of cognitive impairment.\nMETHODS: Study subjects were 500 PD patients, 400 AD patients, and 500 unrelated controls. We selected 32 genetic variants from 11 genes (CDC123, CDKAL1, CDKN2B, FTO, GLIS3, HHEX, IGF2BP2, KCNJ11, KCNQ1, SLC30A8, and TCF7L2) and intergenic regions based on results of recent genome-wide association studies (GWAS) in T2DM. These variants were reported to be T2DM-susceptibility loci and have been replicated in other independent studies. All association analyses were performed using logistic regression models, adjusting for age and sex.\nRESULTS: KCNQ1 SNP rs163182 showed the strongest association with AD, but it was not significant after Bonferroni correction (OR = 1.30, 95% CI = 1.07-1.59, Pcorrected = 0.32). In PD patients, CDC123 SNP rs11257655 showed modest association with MMSE score &lt;26, and CDKN2B SNPs (rs2383208, rs10965250, and rs10811661) showed modest association with MoCA score &lt;26, which were not significant after Bonferroni correction. Other genetic variants had no association with the risk of PD or AD and the severity of cognitive impairment.\nCONCLUSIONS: Our results suggest that genome-wide significant loci of T2DM play no major role in the risk and cognitive impairment of PD and AD.","container-title":"Parkinsonism &amp; Related Disorders","DOI":"10.1016/j.parkreldis.2015.10.010","ISSN":"1873-5126","issue":"12","journalAbbreviation":"Parkinsonism Relat. Disord.","language":"eng","note":"PMID: 26499758","page":"1435-1440","source":"PubMed","title":"Association of type 2 diabetes GWAS loci and the risk of Parkinson's and Alzheimer's diseases","volume":"21","author":[{"family":"Chung","given":"Sun Ju"},{"family":"Kim","given":"Mi-Jung"},{"family":"Kim","given":"Juyeon"},{"family":"Ryu","given":"Ho-Sung"},{"family":"Kim","given":"Young Jin"},{"family":"Kim","given":"Seong Yoon"},{"family":"Lee","given":"Jae-Hong"}],"issued":{"date-parts":[["2015",12]]}}},{"id":196,"uris":["http://zotero.org/groups/2394923/items/6AS5I76I"],"uri":["http://zotero.org/groups/2394923/items/6AS5I76I"],"itemData":{"id":196,"type":"article-journal","abstract":"Importance: Recent genome-wide association studies (GWAS) and pathway analyses supported long-standing observations of an association between immune-mediated diseases and Parkinson disease (PD). The post-GWAS era provides an opportunity for cross-phenotype analyses between different complex phenotypes.\nObjectives: To test the hypothesis that there are common genetic risk variants conveying risk of both PD and autoimmune diseases (ie, pleiotropy) and to identify new shared genetic variants and their pathways by applying a novel statistical framework in a genome-wide approach.\nDesign, Setting, and Participants: Using the conjunction false discovery rate method, this study analyzed GWAS data from a selection of archetypal autoimmune diseases among 138</w:instrText>
      </w:r>
      <w:r w:rsidR="00E80BAA" w:rsidRPr="007E0FA0">
        <w:rPr>
          <w:rFonts w:ascii="Times New Roman" w:hAnsi="Times New Roman" w:cs="Times New Roman"/>
          <w:b/>
          <w:color w:val="000000" w:themeColor="text1"/>
          <w:lang w:val="en-US"/>
        </w:rPr>
        <w:instrText> </w:instrText>
      </w:r>
      <w:r w:rsidR="00E80BAA" w:rsidRPr="007E0FA0">
        <w:rPr>
          <w:rFonts w:ascii="Book Antiqua" w:hAnsi="Book Antiqua" w:cs="Times New Roman"/>
          <w:b/>
          <w:color w:val="000000" w:themeColor="text1"/>
          <w:lang w:val="en-US"/>
        </w:rPr>
        <w:instrText xml:space="preserve">511 individuals of European ancestry and systemically investigated pleiotropy between PD and type 1 diabetes, Crohn disease, ulcerative colitis, rheumatoid arthritis, celiac disease, psoriasis, and multiple sclerosis. NeuroX data (6927 PD cases and 6108 controls) were used for replication. The study investigated the biological correlation between the top loci through protein-protein interaction and changes in the gene expression and methylation levels. The dates of the analysis were June 10, 2015, to March 4, 2017.\nMain Outcomes and Measures: The primary outcome was a list of novel loci and their pathways involved in PD and autoimmune diseases.\nResults: Genome-wide conjunctional analysis identified 17 novel loci at false discovery rate less than 0.05 with overlap between PD and autoimmune diseases, including known PD loci adjacent to GAK, HLA-DRB5, LRRK2, and MAPT for rheumatoid arthritis, ulcerative colitis and Crohn disease. Replication confirmed the involvement of HLA, LRRK2, MAPT, TRIM10, and SETD1A in PD. Among the novel genes discovered, WNT3, KANSL1, CRHR1, BOLA2, and GUCY1A3 are within a protein-protein interaction network with known PD genes. A subset of novel loci was significantly associated with changes in methylation or expression levels of adjacent genes.\nConclusions and Relevance: The study findings provide novel mechanistic insights into PD and autoimmune diseases and identify a common genetic pathway between these phenotypes. The results may have implications for future therapeutic trials involving anti-inflammatory agents.","container-title":"JAMA neurology","DOI":"10.1001/jamaneurol.2017.0469","ISSN":"2168-6157","issue":"7","journalAbbreviation":"JAMA Neurol","language":"eng","note":"PMID: 28586827\nPMCID: PMC5710535","page":"780-792","source":"PubMed","title":"Genome-wide Pleiotropy Between Parkinson Disease and Autoimmune Diseases","volume":"74","author":[{"family":"Witoelar","given":"Aree"},{"family":"Jansen","given":"Iris E."},{"family":"Wang","given":"Yunpeng"},{"family":"Desikan","given":"Rahul S."},{"family":"Gibbs","given":"J. Raphael"},{"family":"Blauwendraat","given":"Cornelis"},{"family":"Thompson","given":"Wesley K."},{"family":"Hernandez","given":"Dena G."},{"family":"Djurovic","given":"Srdjan"},{"family":"Schork","given":"Andrew J."},{"family":"Bettella","given":"Francesco"},{"family":"Ellinghaus","given":"David"},{"family":"Franke","given":"Andre"},{"family":"Lie","given":"Benedicte A."},{"family":"McEvoy","given":"Linda K."},{"family":"Karlsen","given":"Tom H."},{"family":"Lesage","given":"Suzanne"},{"family":"Morris","given":"Huw R."},{"family":"Brice","given":"Alexis"},{"family":"Wood","given":"Nicholas W."},{"family":"Heutink","given":"Peter"},{"family":"Hardy","given":"John"},{"family":"Singleton","given":"Andrew B."},{"family":"Dale","given":"Anders M."},{"family":"Gasser","given":"Thomas"},{"family":"Andreassen","given":"Ole A."},{"family":"Sharma","given":"Manu"},{"literal":"International Parkinson’s Disease Genomics Consortium (IPDGC), North American Brain Expression Consortium (NABEC), and United Kingdom Brain Expression Consortium (UKBEC) Investigators"}],"issued":{"date-parts":[["2017"]],"season":"01"}}}],"schema":"https://github.com/citation-style-language/schema/raw/master/csl-citation.json"} </w:instrText>
      </w:r>
      <w:r w:rsidR="00724A73" w:rsidRPr="007E0FA0">
        <w:rPr>
          <w:rFonts w:ascii="Book Antiqua" w:hAnsi="Book Antiqua" w:cs="Times New Roman"/>
          <w:b/>
          <w:color w:val="000000" w:themeColor="text1"/>
          <w:lang w:val="en-US"/>
        </w:rPr>
        <w:fldChar w:fldCharType="separate"/>
      </w:r>
      <w:r w:rsidR="00E80BAA" w:rsidRPr="007E0FA0">
        <w:rPr>
          <w:rFonts w:ascii="Book Antiqua" w:hAnsi="Book Antiqua"/>
          <w:b/>
          <w:color w:val="000000"/>
          <w:vertAlign w:val="superscript"/>
        </w:rPr>
        <w:t>[36,39,41–43,49,50]</w:t>
      </w:r>
      <w:r w:rsidR="00724A73" w:rsidRPr="007E0FA0">
        <w:rPr>
          <w:rFonts w:ascii="Book Antiqua" w:hAnsi="Book Antiqua" w:cs="Times New Roman"/>
          <w:b/>
          <w:color w:val="000000" w:themeColor="text1"/>
          <w:lang w:val="en-US"/>
        </w:rPr>
        <w:fldChar w:fldCharType="end"/>
      </w:r>
      <w:r w:rsidR="001B7A33" w:rsidRPr="007E0FA0">
        <w:rPr>
          <w:rFonts w:ascii="Book Antiqua" w:hAnsi="Book Antiqua" w:cs="Times New Roman"/>
          <w:b/>
          <w:color w:val="000000" w:themeColor="text1"/>
          <w:lang w:val="en-US"/>
        </w:rPr>
        <w:t>;</w:t>
      </w:r>
      <w:r w:rsidR="001B7A33" w:rsidRPr="00425573">
        <w:rPr>
          <w:rFonts w:ascii="Book Antiqua" w:hAnsi="Book Antiqua" w:cs="Times New Roman"/>
          <w:b/>
          <w:color w:val="000000" w:themeColor="text1"/>
          <w:lang w:val="en-US"/>
        </w:rPr>
        <w:t xml:space="preserve"> </w:t>
      </w:r>
      <w:r w:rsidR="002C6D72" w:rsidRPr="00425573">
        <w:rPr>
          <w:rFonts w:ascii="Book Antiqua" w:hAnsi="Book Antiqua" w:cs="Times New Roman"/>
          <w:b/>
          <w:color w:val="000000" w:themeColor="text1"/>
          <w:lang w:val="en-US"/>
        </w:rPr>
        <w:t>Biological functions have been obtained</w:t>
      </w:r>
      <w:r w:rsidR="00467162" w:rsidRPr="00425573">
        <w:rPr>
          <w:rFonts w:ascii="Book Antiqua" w:hAnsi="Book Antiqua" w:cs="Times New Roman"/>
          <w:b/>
          <w:color w:val="000000" w:themeColor="text1"/>
          <w:lang w:val="en-US"/>
        </w:rPr>
        <w:t xml:space="preserve"> </w:t>
      </w:r>
      <w:r w:rsidR="001522A1" w:rsidRPr="00425573">
        <w:rPr>
          <w:rFonts w:ascii="Book Antiqua" w:hAnsi="Book Antiqua" w:cs="Times New Roman"/>
          <w:b/>
          <w:color w:val="000000" w:themeColor="text1"/>
          <w:lang w:val="en-US"/>
        </w:rPr>
        <w:t>from literature data</w:t>
      </w:r>
      <w:r w:rsidR="00C42E17" w:rsidRPr="007E0FA0">
        <w:rPr>
          <w:rFonts w:ascii="Book Antiqua" w:hAnsi="Book Antiqua" w:cs="Times New Roman"/>
          <w:b/>
          <w:color w:val="000000" w:themeColor="text1"/>
          <w:lang w:val="en-US"/>
        </w:rPr>
        <w:fldChar w:fldCharType="begin"/>
      </w:r>
      <w:r w:rsidR="00C42E17" w:rsidRPr="007E0FA0">
        <w:rPr>
          <w:rFonts w:ascii="Book Antiqua" w:hAnsi="Book Antiqua" w:cs="Times New Roman"/>
          <w:b/>
          <w:color w:val="000000" w:themeColor="text1"/>
          <w:lang w:val="en-US"/>
        </w:rPr>
        <w:instrText xml:space="preserve"> ADDIN ZOTERO_ITEM CSL_CITATION {"citationID":"K7fbNUBX","properties":{"formattedCitation":"\\super [7,22,39,49,51\\uc0\\u8211{}56]\\nosupersub{}","plainCitation":"[7,22,39,49,51–56]","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C42E17" w:rsidRPr="007E0FA0">
        <w:rPr>
          <w:rFonts w:ascii="Book Antiqua" w:hAnsi="Book Antiqua" w:cs="Times New Roman"/>
          <w:b/>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C42E17" w:rsidRPr="007E0FA0">
        <w:rPr>
          <w:rFonts w:ascii="Book Antiqua" w:hAnsi="Book Antiqua" w:cs="Times New Roman"/>
          <w:b/>
          <w:color w:val="000000" w:themeColor="text1"/>
          <w:lang w:val="en-US"/>
        </w:rPr>
        <w:instrText> and tau pathologies and elucidated the pathophysiological traits of synaptic dysfunction, inflammation and autophagic impairments that are common to both diseases and indirectly impact A</w:instrText>
      </w:r>
      <w:r w:rsidR="00C42E17" w:rsidRPr="007E0FA0">
        <w:rPr>
          <w:rFonts w:ascii="Book Antiqua" w:hAnsi="Book Antiqua" w:cs="Times New Roman"/>
          <w:b/>
          <w:color w:val="000000" w:themeColor="text1"/>
          <w:lang w:val="en-US"/>
        </w:rPr>
        <w:instrText>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45,"uris":["http://zotero.org/groups/2394923/items/V3G9CGWF"],"uri":["http://zotero.org/groups/2394923/items/V3G9CGWF"],"itemData":{"id":45,"type":"article-journal","abstract":"OBJECTIVE: To investigate whether diabetes mellitus is associated with Parkinson-like pathology in people without Parkinson disease and to evaluate the effect of diabetes mellitus on markers of Parkinson pathology and clinical progression in drug-naive patients with early-stage Parkinson disease.\nMETHODS: We compared 25 patients with Parkinson disease and diabetes mellitus to 25 without diabetes mellitus, and 14 patients with diabetes mellitus and no Parkinson disease to 14 healthy controls (people with no diabetes mellitus or Parkinson disease). The clinical diagnosis of diabetes mellitus was confirmed by 2 consecutive fasting measurements of serum glucose levels &gt;126 mL/dL. Over a 36-month follow-up period, we then investigated in the population with Parkinson disease whether the presence of diabetes mellitus was associated with faster motor progression or cognitive decline.\nRESULTS: The presence of diabetes mellitus was associated with higher motor scores (p &lt; 0.01), lower striatal dopamine transporter binding (p &lt; 0.05), and higher tau CSF levels (p &lt; 0.05) in patients with Parkinson disease. In patients with diabetes but without Parkinson disease, the presence of diabetes mellitus was associated with lower striatal dopamine transporter binding (p &lt; 0.05) and higher tau (p &lt; 0.05) and α-synuclein (p &lt; 0.05) CSF levels compared to healthy controls. At the Cox survival analysis in the population of patients with Parkinson disease, the presence of diabetes mellitus was associated with faster motor progression (hazard ratio = 4.521, 95% confidence interval = 1.468-13.926; p &lt; 0.01) and cognitive decline (hazard ratio = 9.314, 95% confidence interval = 1.164-74.519; p &lt; 0.05).\nCONCLUSIONS: Diabetes mellitus may predispose toward a Parkinson-like pathology, and when present in patients with Parkinson disease, can induce a more aggressive phenotype.","container-title":"Neurology","DOI":"10.1212/WNL.0000000000005475","ISSN":"1526-632X","issue":"19","journalAbbreviation":"Neurology","language":"eng","note":"PMID: 29626177","page":"e1654-e1662","source":"PubMed","title":"Diabetes mellitus and Parkinson disease","volume":"90","author":[{"family":"Pagano","given":"Gennaro"},{"family":"Polychronis","given":"Sotirios"},{"family":"Wilson","given":"Heather"},{"family":"Giordano","given":"Beniamino"},{"family":"Ferrara","given":"Nicola"},{"family":"Niccolini","given":"Flavia"},{"family":"Politis","given":"Marios"}],"issued":{"date-parts":[["2018"]],"season":"08"}}},{"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id":152,"uris":["http://zotero.org/groups/2394923/items/NEK66VT3"],"uri":["http://zotero.org/groups/2394923/items/NEK66VT3"],"itemData":{"id":152,"type":"article-journal","abstract":"BACKGROUND: Insulin and insulin-like growth factor contribute to normal brain function. Recent experimental and clinical studies showed that type 2 diabetes mellitus (T2DM) and Parkinson's disease (PD) or Alzheimer's disease (AD) share several dysregulated pathways.\nOBJECTIVE: We aimed to investigate whether genome-wide significant loci of T2DM are associated with the risk of PD and AD as well as the severity of cognitive impairment.\nMETHODS: Study subjects were 500 PD patients, 400 AD patients, and 500 unrelated controls. We selected 32 genetic variants from 11 genes (CDC123, CDKAL1, CDKN2B, FTO, GLIS3, HHEX, IGF2BP2, KCNJ11, KCNQ1, SLC30A8, and TCF7L2) and intergenic regions based on results of recent genome-wide association studies (GWAS) in T2DM. These variants were reported to be T2DM-susceptibility loci and have been replicated in other independent studies. All association analyses were performed using logistic regression models, adjusting for age and sex.\nRESULTS: KCNQ1 SNP rs163182 showed the strongest association with AD, but it was not significant after Bonferroni correction (OR = 1.30, 95% CI = 1.07-1.59, Pcorrected = 0.32). In PD patients, CDC123 SNP rs11257655 showed modest association with MMSE score &lt;26, and CDKN2B SNPs (rs2383208, rs10965250, and rs10811661) showed modest association with MoCA score &lt;26, which were not significant after Bonferroni correction. Other genetic variants had no association with the risk of PD or AD and the severity of cognitive impairment.\nCONCLUSIONS: Our results suggest that genome-wide significant loci of T2DM play no major role in the risk and cognitive impairment of PD and AD.","container-title":"Parkinsonism &amp; Related Disorders","DOI":"10.1016/j.parkreldis.2015.10.010","ISSN":"1873-5126","issue":"12","journalAbbreviation":"Parkinsonism Relat. Disord.","language":"eng","note":"PMID: 26499758","page":"1435-1440","source":"PubMed","title":"Association of type 2 diabetes GWAS loci and the risk of Parkinson's and Alzheimer's diseases","volume":"21","author":[{"family":"Chung","given":"Sun Ju"},{"family":"Kim","given":"Mi-Jung"},{"family":"Kim","given":"Juyeon"},{"family":"Ryu","given":"Ho-Sung"},{"family":"Kim","given":"Young Jin"},{"family":"Kim","given":"Seong Yoon"},{"family":"Lee","given":"Jae-Hong"}],"issued":{"date-parts":[["2015",12]]}}},{"id":192,"uris":["http://zotero.org/groups/2394923/items/HN9QFNHF"],"uri":["http://zotero.org/groups/2394923/items/HN9QFNHF"],"itemData":{"id":192,"type":"article-journal","abstract":"Neurodegenerative diseases likely share common underlying pathobiology. Although prior work has identified susceptibility loci associated with various dementias, few, if any, studies have systematically evaluated shared genetic risk across several neurodegenerative diseases. Using genome-wide association data from large studies (total n</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 xml:space="preserve">82,337 cases and controls), we utilized a previously validated approach to identify genetic overlap and reveal common pathways between progressive supranuclear palsy (PSP), frontotemporal dementia (FTD), Parkinson's disease (PD) and Alzheimer's disease (AD). In addition to the MAPT H1 haplotype, we identified a variant near the chemokine receptor CXCR4 that was jointly associated with increased risk for PSP and PD. Using bioinformatics tools, we found strong physical interactions between CXCR4 and four microglia related genes, namely CXCL12, TLR2, RALB, and CCR5. Evaluating gene expression from post-mortem brain tissue, we found that expression of CXCR4 and microglial genes functionally related to CXCR4 was dysregulated across a number of neurodegenerative diseases. Furthermore, in a mouse model of tauopathy, expression of CXCR4 and functionally associated genes was significantly altered in regions of the mouse brain that accumulate neurofibrillary tangles most robustly. Beyond MAPT, we show dysregulation of CXCR4 expression in PSP, PD, and FTD brains, and mouse models of tau pathology. Our multi-modal findings suggest that abnormal signaling across a 'network' of microglial genes may contribute to neurodegeneration and may have potential implications for clinical trials targeting immune dysfunction in patients with neurodegenerative diseases.","container-title":"Translational Psychiatry","DOI":"10.1038/s41398-017-0049-7","ISSN":"2158-3188","issue":"1","journalAbbreviation":"Transl Psychiatry","language":"eng","note":"PMID: 29636460\nPMCID: PMC5893558","page":"73","source":"PubMed","title":"CXCR4 involvement in neurodegenerative diseases","volume":"8","author":[{"family":"Bonham","given":"Luke W."},{"family":"Karch","given":"Celeste M."},{"family":"Fan","given":"Chun C."},{"family":"Tan","given":"Chin"},{"family":"Geier","given":"Ethan G."},{"family":"Wang","given":"Yunpeng"},{"family":"Wen","given":"Natalie"},{"family":"Broce","given":"Iris J."},{"family":"Li","given":"Yi"},{"family":"Barkovich","given":"Matthew J."},{"family":"Ferrari","given":"Raffaele"},{"family":"Hardy","given":"John"},{"family":"Momeni","given":"Parastoo"},{"family":"Höglinger","given":"Günter"},{"family":"Müller","given":"Ulrich"},{"family":"Hess","given":"Christopher P."},{"family":"Sugrue","given":"Leo P."},{"family":"Dillon","given":"William P."},{"family":"Schellenberg","given":"Gerard D."},{"family":"Miller","given":"Bruce L."},{"family":"Andreassen","given":"Ole A."},{"family":"Dale","given":"Anders M."},{"family":"Barkovich","given":"A. James"},{"family":"Yokoyama","given":"Jennifer S."},{"family":"Desikan","given":"Rahul S."},{"literal":"International FTD-Genomics Consortium (IFGC)"},{"literal":"International Parkinson’s Disease Genetics Consortium (IPDGC)"},{"literal":"International Genomics of Alzheimer’s Project (IGAP)"}],"issued":{"date-parts":[["2018"]],"season":"11"}}},{"id":191,"uris":["http://zotero.org/groups/2394923/items/43XTAXY5"],"uri":["http://zotero.org/groups/2394923/items/43XTAXY5"],"itemData":{"id":191,"type":"article-journal","abstract":"The control of NFκB in CNS neurons appears to differ from that in other cell types. Studies have reported induction of NFκB in neuronal cultures and immunostaining in vivo, but others have consistently detected little or no transcriptional activation by NFκB in brain neurons. To test if neurons lack some component of the signal transduction system for NFκB activation, we transfected cortical neurons with several members of this signaling system along with a luciferase-based NFκB-reporter plasmid; RelA was cotransfected in some conditions. No component of the NFκB pathway was permissive for endogenous NFκB activity, and none stimulated the activity of exogenous RelA. Surprisingly, however, the latter was inhibited by cotransfection of NFκB-inducing kinase (NIK). Fluorescence imaging of RelA indicated that co-expression of NIK sequestered RelA in the cytoplasm, similar to the effect of IκBα. NIK-knockout mice showed elevated expression of an NFκB-reporter construct in neurons in vivo. Cortical neurons cultured from NIK-knockout mice showed elevated expression of an NFκB-reporter transgene. Consistent with data from other cell types, a C-terminal fragment of NIK suppressed RelA activity in astrocytes as well as neurons. Therefore, the inhibitory ability of the NIK C-terminus was unbiased with regard to cell type. However, inhibition of NFκB by full-length NIK is a novel outcome that appears to be specific to CNS neurons. This has implications for unique aspects of transcription in the CNS, perhaps relevant to aspects of development, neuroplasticity, and neuroinflammation. Full-length NIK was found to inhibit (down arrow) transcriptional activation of NFκB in neurons, while it elevated (up arrow) activity in astrocytes. Deletion constructs corresponding to the N-terminus or C-terminus also inhibited NFκB in neurons, while only the C-terminus did so in astrocytes. One possible explanation is that the inhibition in neurons occurs via two different mechanisms, including the potential for a neuron-specific protein (e.g., one of the 14-3-3 class) to create a novel complex in neurons, whereas the C-terminus may interact directly with NFκB. [Structure of NIK is based on Liu J., Sudom A., Min X., Cao Z., Gao X., Ayres M., Lee F., Cao P., Johnstone S., Plotnikova O., Walker N., Chen G., and Wang Z. (2012) Structure of the nuclear factor κB-inducing kinase (NIK) kinase domain reveals a constitutively active conformation. J Biol Chem. 287, 27326-27334); N-terminal lobe is oriented at top].","container-title":"Journal of Neurochemistry","DOI":"10.1111/jnc.13526","ISSN":"1471-4159","issue":"2","journalAbbreviation":"J. Neurochem.","language":"eng","note":"PMID: 26778773\nPMCID: PMC5115916","page":"154-163","source":"PubMed","title":"NFκB-inducing kinase inhibits NFκB activity specifically in neurons of the CNS","volume":"137","author":[{"family":"Mao","given":"Xianrong"},{"family":"Phanavanh","given":"Bounleut"},{"family":"Hamdan","given":"Hamdan"},{"family":"Moerman-Herzog","given":"Andréa M."},{"family":"Barger","given":"Steven W."}],"issued":{"date-parts":[["2016",4]]}}},{"id":193,"uris":["http://zotero.org/groups/2394923/items/FT49IC57"],"uri":["http://zotero.org/groups/2394923/items/FT49IC57"],"itemData":{"id":193,"type":"article-journal","abstract":"Diabetic neuropathic pain (DNP) is a common and serious complication of diabetic patients. The pathogenesis of DNP is largely unclear. The proinflammation proteins, CXCR4, and TNF-α play critical roles in the development of pain, while their relative roles in the development of DNP and especially its progression is unknown. We proposed that establishment of diabetic pain models in rodents and evaluating the stability of behavioral tests are necessary approaches to better understand the mechanism of DNP. In this study, Von Frey and Hargreaves Apparatus was used to analyze the behavioral changes of mechanical allodynia and heat hyperalgesia in streptozotocin-induced diabetic rats at different phases of diabetes. Moreover, CXCR4 and TNF-α of spinal cord dorsal and dorsal root ganglia (DRG) were detected by western blotting and immunostaining over time. The values of paw withdrawal threshold (PWT) and paw withdrawal latencies (PWL) were reduced as early as 1 week in diabetic rats and persistently maintained at lower levels during the progression of diabetes as compared to control rats that were concomitant with significant increases of both CXCR4 and TNF-α protein expressions in the DRG at 2 weeks and 5 weeks (the end of the experiments) of diabetes. By contrast, CXCR4 and TNF-α in the spinal cord dorsal horn did not significantly increase at 2 weeks of diabetes while both were significantly upregulated at 5 weeks of diabetes. The results indicate that central sensitization of spinal cord dorsal may result from persistent peripheral sensitization and suggest a potential reference for further treatment of DNP.","container-title":"Mediators of Inflammation","DOI":"10.1155/2019/4856156","ISSN":"1466-1861","journalAbbreviation":"Mediators Inflamm.","language":"eng","note":"PMID: 31001066\nPMCID: PMC6437743","page":"4856156","source":"PubMed","title":"Progressive Increase of Inflammatory CXCR4 and TNF-Alpha in the Dorsal Root Ganglia and Spinal Cord Maintains Peripheral and Central Sensitization to Diabetic Neuropathic Pain in Rats","volume":"2019","author":[{"family":"Zhu","given":"Dan"},{"family":"Fan","given":"Tingting"},{"family":"Huo","given":"Xinyue"},{"family":"Cui","given":"Jian"},{"family":"Cheung","given":"Chi Wai"},{"family":"Xia","given":"Zhengyuan"}],"issued":{"date-parts":[["2019"]]}}},{"id":184,"uris":["http://zotero.org/groups/2394923/items/CAM45GGQ"],"uri":["http://zotero.org/groups/2394923/items/CAM45GGQ"],"itemData":{"id":184,"type":"article-journal","abstract":"We show that haploinsufficiency of KANSL1 is sufficient to cause the 17q21.31 microdeletion syndrome, a multisystem disorder characterized by intellectual disability, hypotonia and distinctive facial features. The KANSL1 protein is an evolutionarily conserved regulator of the chromatin modifier KAT8, which influences gene expression through histone H4 lysine 16 (H4K16) acetylation. RNA sequencing studies in cell lines derived from affected individuals and the presence of learning deficits in Drosophila melanogaster mutants suggest a role for KANSL1 in neuronal processes.","container-title":"Nature Genetics","DOI":"10.1038/ng.2262","ISSN":"1546-1718","issue":"6","journalAbbreviation":"Nat. Genet.","language":"eng","note":"PMID: 22544363","page":"639-641","source":"PubMed","title":"Mutations in the chromatin modifier gene KANSL1 cause the 17q21.31 microdeletion syndrome","volume":"44","author":[{"family":"Koolen","given":"David A."},{"family":"Kramer","given":"Jamie M."},{"family":"Neveling","given":"Kornelia"},{"family":"Nillesen","given":"Willy M."},{"family":"Moore-Barton","given":"Heather L."},{"family":"Elmslie","given":"Frances V."},{"family":"Toutain","given":"Annick"},{"family":"Amiel","given":"Jeanne"},{"family":"Malan","given":"Valérie"},{"family":"Tsai","given":"Anne Chun-Hui"},{"family":"Cheung","given":"Sau Wai"},{"family":"Gilissen","given":"Christian"},{"family":"Verwiel","given":"Eugene T. P."},{"family":"Martens","given":"Sarah"},{"family":"Feuth","given":"Ton"},{"family":"Bongers","given":"Ernie M. H. F."},{"family":"Vries","given":"Petra","non-dropping-particle":"de"},{"family":"Scheffer","given":"Hans"},{"family":"Vissers","given":"Lisenka E. L. M."},{"family":"Brouwer","given":"Arjan P. M.","non-dropping-particle":"de"},{"family":"Brunner","given":"Han G."},{"family":"Veltman","given":"Joris A."},{"family":"Schenck","given":"Annette"},{"family":"Yntema","given":"Helger G."},{"family":"Vries","given":"Bert B. A.","non-dropping-particle":"de"}],"issued":{"date-parts":[["2012",4,29]]}}},{"id":189,"uris":["http://zotero.org/groups/2394923/items/648EM9DJ"],"uri":["http://zotero.org/groups/2394923/items/648EM9DJ"],"itemData":{"id":189,"type":"article-journal","abstract":"APOE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the most significant genetic risk factor for Alzheimer disease (AD), may mask effects of other loci. We re-analyzed genome-wide association study (GWAS) data from the International Genomics of Alzheimer's Project (IGAP) Consortium in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4+ (10</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 xml:space="preserve">352 cases and 9207 controls) and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4- (7184 cases and 26</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 xml:space="preserve">968 controls) subgroups as well as in the total sample testing for interaction between a single-nucleotide polymorphism (SNP) and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status. Suggestive associations (P&lt;1 × 10(-4)) in stage 1 were evaluated in an independent sample (stage 2) containing 4203 subjects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1250 cases and 536 controls;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718 cases and 1699 controls). Among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subjects, novel genome-wide significant (GWS) association was observed with 17 SNPs (all between KANSL1 and LRRC37A on chromosome 17 near MAPT) in a meta-analysis of the stage 1 and stage 2 data sets (best SNP, rs2732703, P=5·8 × 10(-9)). Conditional analysis revealed that rs2732703 accounted for association signals in the entire 100-kilobase region that includes MAPT. Except for previously identified AD loci showing stronger association in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subjects (CR1 and CLU) or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subjects (MS4A6A/MS4A4A/MS4A6E), no other SNPs were significantly associated with AD in a specific APOE genotype subgroup. In addition, the finding in the stage 1 sample that AD risk is significantly influenced by the interaction of APOE with rs1595014 in TMEM106B (P=1·6 × 10(-7)) is noteworthy, because TMEM106B variants have previously been associated with risk of frontotemporal dementia. Expression quantitative trait locus analysis revealed that rs113986870, one of the GWS SNPs near rs2732703, is significantly associated with four KANSL1 probes that target transcription of the first translated exon and an untranslated exon in hippocampus (P </w:instrText>
      </w:r>
      <w:r w:rsidR="00C42E17" w:rsidRPr="007E0FA0">
        <w:rPr>
          <w:rFonts w:ascii="Cambria Math" w:hAnsi="Cambria Math" w:cs="Cambria Math"/>
          <w:b/>
          <w:color w:val="000000" w:themeColor="text1"/>
          <w:lang w:val="en-US"/>
        </w:rPr>
        <w:instrText>⩽</w:instrText>
      </w:r>
      <w:r w:rsidR="00C42E17" w:rsidRPr="007E0FA0">
        <w:rPr>
          <w:rFonts w:ascii="Book Antiqua" w:hAnsi="Book Antiqua" w:cs="Times New Roman"/>
          <w:b/>
          <w:color w:val="000000" w:themeColor="text1"/>
          <w:lang w:val="en-US"/>
        </w:rPr>
        <w:instrText xml:space="preserve"> 1.3 × 10(-8)), frontal cortex (P </w:instrText>
      </w:r>
      <w:r w:rsidR="00C42E17" w:rsidRPr="007E0FA0">
        <w:rPr>
          <w:rFonts w:ascii="Cambria Math" w:hAnsi="Cambria Math" w:cs="Cambria Math"/>
          <w:b/>
          <w:color w:val="000000" w:themeColor="text1"/>
          <w:lang w:val="en-US"/>
        </w:rPr>
        <w:instrText>⩽</w:instrText>
      </w:r>
      <w:r w:rsidR="00C42E17" w:rsidRPr="007E0FA0">
        <w:rPr>
          <w:rFonts w:ascii="Book Antiqua" w:hAnsi="Book Antiqua" w:cs="Times New Roman"/>
          <w:b/>
          <w:color w:val="000000" w:themeColor="text1"/>
          <w:lang w:val="en-US"/>
        </w:rPr>
        <w:instrText xml:space="preserve"> 1.3 × 10(-9)) and temporal cortex (P</w:instrText>
      </w:r>
      <w:r w:rsidR="00C42E17" w:rsidRPr="007E0FA0">
        <w:rPr>
          <w:rFonts w:ascii="Cambria Math" w:hAnsi="Cambria Math" w:cs="Cambria Math"/>
          <w:b/>
          <w:color w:val="000000" w:themeColor="text1"/>
          <w:lang w:val="en-US"/>
        </w:rPr>
        <w:instrText>⩽</w:instrText>
      </w:r>
      <w:r w:rsidR="00C42E17" w:rsidRPr="007E0FA0">
        <w:rPr>
          <w:rFonts w:ascii="Book Antiqua" w:hAnsi="Book Antiqua" w:cs="Times New Roman"/>
          <w:b/>
          <w:color w:val="000000" w:themeColor="text1"/>
          <w:lang w:val="en-US"/>
        </w:rPr>
        <w:instrText xml:space="preserve">1.2 × 10(-11)). Rs113986870 is also strongly associated with a MAPT probe that targets transcription of alternatively spliced exon 3 in frontal cortex (P=9.2 × 10(-6)) and temporal cortex (P=2.6 × 10(-6)). Our APOE-stratified GWAS is the first to show GWS association for AD with SNPs in the chromosome 17q21.31 region. Replication of this finding in independent samples is needed to verify that SNPs in this region have significantly stronger effects on AD risk in persons lacking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compared with persons carrying this allele, and if this is found to hold, further examination of this region and studies aimed at deciphering the mechanism(s) are warranted.","container-title":"Molecular Psychiatry","DOI":"10.1038/mp.2015.23","ISSN":"1476-5578","issue":"1","journalAbbreviation":"Mol. Psychiatry","language":"eng","note":"PMID: 25778476\nPMCID: PMC4573764","page":"108-117","source":"PubMed","title":"A novel Alzheimer disease locus located near the gene encoding tau protein","volume":"21","author":[{"family":"Jun","given":"G."},{"family":"Ibrahim-Verbaas","given":"C. A."},{"family":"Vronskaya","given":"M."},{"family":"Lambert","given":"J.-C."},{"family":"Chung","given":"J."},{"family":"Naj","given":"A. C."},{"family":"Kunkle","given":"B. W."},{"family":"Wang","given":"L.-S."},{"family":"Bis","given":"J. C."},{"family":"Bellenguez","given":"C."},{"family":"Harold","given":"D."},{"family":"Lunetta","given":"K. L."},{"family":"Destefano","given":"A. L."},{"family":"Grenier-Boley","given":"B."},{"family":"Sims","given":"R."},{"family":"Beecham","given":"G. W."},{"family":"Smith","given":"A. V."},{"family":"Chouraki","given":"V."},{"family":"Hamilton-Nelson","given":"K. L."},{"family":"Ikram","given":"M. A."},{"family":"Fievet","given":"N."},{"family":"Denning","given":"N."},{"family":"Martin","given":"E. R."},{"family":"Schmidt","given":"H."},{"family":"Kamatani","given":"Y."},{"family":"Dunstan","given":"M. L."},{"family":"Valladares","given":"O."},{"family":"Laza","given":"A. R."},{"family":"Zelenika","given":"D."},{"family":"Ramirez","given":"A."},{"family":"Foroud","given":"T. M."},{"family":"Choi","given":"S.-H."},{"family":"Boland","given":"A."},{"family":"Becker","given":"T."},{"family":"Kukull","given":"W. A."},{"family":"Lee","given":"S. J.","non-dropping-particle":"van der"},{"family":"Pasquier","given":"F."},{"family":"Cruchaga","given":"C."},{"family":"Beekly","given":"D."},{"family":"Fitzpatrick","given":"A. L."},{"family":"Hanon","given":"O."},{"family":"Gill","given":"M."},{"family":"Barber","given":"R."},{"family":"Gudnason","given":"V."},{"family":"Campion","given":"D."},{"family":"Love","given":"S."},{"family":"Bennett","given":"D. A."},{"family":"Amin","given":"N."},{"family":"Berr","given":"C."},{"family":"Tsolaki","given":"Magda"},{"family":"Buxbaum","given":"J. D."},{"family":"Lopez","given":"O. L."},{"family":"Deramecourt","given":"V."},{"family":"Fox","given":"N. C."},{"family":"Cantwell","given":"L. B."},{"family":"Tárraga","given":"L."},{"family":"Dufouil","given":"C."},{"family":"Hardy","given":"J."},{"family":"Crane","given":"P. K."},{"family":"Eiriksdottir","given":"G."},{"family":"Hannequin","given":"D."},{"family":"Clarke","given":"R."},{"family":"Evans","given":"D."},{"family":"Mosley","given":"T. H."},{"family":"Letenneur","given":"L."},{"family":"Brayne","given":"C."},{"family":"Maier","given":"W."},{"family":"De Jager","given":"P."},{"family":"Emilsson","given":"V."},{"family":"Dartigues","given":"J.-F."},{"family":"Hampel","given":"H."},{"family":"Kamboh","given":"M. I."},{"family":"Bruijn","given":"R. F. a. G.","non-dropping-particle":"de"},{"family":"Tzourio","given":"C."},{"family":"Pastor","given":"P."},{"family":"Larson","given":"E. B."},{"family":"Rotter","given":"J. I."},{"family":"O'Donovan","given":"M. C."},{"family":"Montine","given":"T. J."},{"family":"Nalls","given":"M. A."},{"family":"Mead","given":"S."},{"family":"Reiman","given":"E. M."},{"family":"Jonsson","given":"P. V."},{"family":"Holmes","given":"C."},{"family":"St George-Hyslop","given":"P. H."},{"family":"Boada","given":"M."},{"family":"Passmore","given":"P."},{"family":"Wendland","given":"J. R."},{"family":"Schmidt","given":"R."},{"family":"Morgan","given":"K."},{"family":"Winslow","given":"A. R."},{"family":"Powell","given":"J. F."},{"family":"Carasquillo","given":"M."},{"family":"Younkin","given":"S. G."},{"family":"Jakobsdóttir","given":"J."},{"family":"Kauwe","given":"J. S. K."},{"family":"Wilhelmsen","given":"K. C."},{"family":"Rujescu","given":"D."},{"family":"Nöthen","given":"M. M."},{"family":"Hofman","given":"A."},{"family":"Jones","given":"L."},{"literal":"IGAP Consortium"},{"family":"Haines","given":"J. L."},{"family":"Psaty","given":"B. M."},{"family":"Van Broeckhoven","given":"C."},{"family":"Holmans","given":"P."},{"family":"Launer","given":"L. J."},{"family":"Mayeux","given":"R."},{"family":"Lathrop","given":"M."},{"family":"Goate","given":"A. M."},{"family":"Escott-Price","given":"V."},{"family":"Seshadri","given":"S."},{"family":"Pericak-Vance","given":"M. A."},{"family":"Amouyel","given":"P."},{"family":"Williams","given":"J."},{"family":"Duijn","given":"C. M.","non-dropping-particle":"van"},{"family":"Schellenberg","given":"G. D."},{"family":"Farrer","given":"L. A."}],"issued":{"date-parts":[["2016",1]]}}},{"id":190,"uris":["http://zotero.org/groups/2394923/items/8DDQDXXL"],"uri":["http://zotero.org/groups/2394923/items/8DDQDXXL"],"itemData":{"id":190,"type":"article-journal","abstract":"Depression, type 2 diabetes (T2D), and metabolic syndrome (MetS) are often comorbid. Depression per se increases the risk for T2D by 60%. This risk is not accounted for by the use of antidepressant therapy. Stress causes hyperactivation of the hypothalamic-pituitary-adrenal (HPA) axis, by triggering the hypothalamic corticotropin-releasing hormone (CRH) secretion, which stimulates the anterior pituitary to release the adrenocorticotropin hormone (ACTH), which causes the adrenal secretion of cortisol. Depression is associated with an increased level of cortisol, and CRH and ACTH at inappropriately \"normal\" levels, that is too high compared to their expected lower levels due to cortisol negative feedback. T2D and MetS are also associated with hypercortisolism. High levels of cortisol can impair mood as well as cause hyperglycemia and insulin resistance and other traits typical of T2D and MetS. We hypothesize that HPA axis hyperactivation may be due to variants in the genes of the CRH receptors (CRHR1, CRHR2), corticotropin receptors (or melanocortin receptors, MC1R-MC5R), glucocorticoid receptor (NR3C1), mineralocorticoid receptor (NR3C2), and of the FK506 binding protein 51 (FKBP5), and that these variants may be partially responsible for the clinical association of depression, T2D and MetS. In this review, we will focus on the correlation of stress, HPA axis hyperactivation, and the possible genetic role of the CRHR1, CRHR2, MCR1-5, NR3C1, and NR3C2 receptors and FKBP5 in the susceptibility to the comorbidity of depression, T2D, and MetS. New studies are needed to confirm the hypothesized role of these genes in the clinical association of depression, T2D, and MetS.","container-title":"The Application of Clinical Genetics","DOI":"10.2147/TACG.S39993","ISSN":"1178-704X","journalAbbreviation":"Appl Clin Genet","language":"eng","note":"PMID: 24817815\nPMCID: PMC4012344","page":"43-53","source":"PubMed","title":"Hypothesis of the neuroendocrine cortisol pathway gene role in the comorbidity of depression, type 2 diabetes, and metabolic syndrome","volume":"7","author":[{"family":"Gragnoli","given":"Claudia"}],"issued":{"date-parts":[["2014"]]}}}],"schema":"https://github.com/citation-style-language/schema/raw/master/csl-citation.json"} </w:instrText>
      </w:r>
      <w:r w:rsidR="00C42E17" w:rsidRPr="007E0FA0">
        <w:rPr>
          <w:rFonts w:ascii="Book Antiqua" w:hAnsi="Book Antiqua" w:cs="Times New Roman"/>
          <w:b/>
          <w:color w:val="000000" w:themeColor="text1"/>
          <w:lang w:val="en-US"/>
        </w:rPr>
        <w:fldChar w:fldCharType="separate"/>
      </w:r>
      <w:r w:rsidR="00C42E17" w:rsidRPr="007E0FA0">
        <w:rPr>
          <w:rFonts w:ascii="Book Antiqua" w:hAnsi="Book Antiqua"/>
          <w:b/>
          <w:color w:val="000000"/>
          <w:vertAlign w:val="superscript"/>
        </w:rPr>
        <w:t>[7,22,39,49,51–56]</w:t>
      </w:r>
      <w:r w:rsidR="00C42E17" w:rsidRPr="007E0FA0">
        <w:rPr>
          <w:rFonts w:ascii="Book Antiqua" w:hAnsi="Book Antiqua" w:cs="Times New Roman"/>
          <w:b/>
          <w:color w:val="000000" w:themeColor="text1"/>
          <w:lang w:val="en-US"/>
        </w:rPr>
        <w:fldChar w:fldCharType="end"/>
      </w:r>
      <w:r w:rsidR="00B41863" w:rsidRPr="007E0FA0">
        <w:rPr>
          <w:rFonts w:ascii="Book Antiqua" w:hAnsi="Book Antiqua" w:cs="Times New Roman"/>
          <w:b/>
          <w:color w:val="000000" w:themeColor="text1"/>
          <w:lang w:val="en-US"/>
        </w:rPr>
        <w:t xml:space="preserve"> </w:t>
      </w:r>
      <w:r w:rsidR="00B41863" w:rsidRPr="00425573">
        <w:rPr>
          <w:rFonts w:ascii="Book Antiqua" w:hAnsi="Book Antiqua" w:cs="Times New Roman"/>
          <w:b/>
          <w:color w:val="000000" w:themeColor="text1"/>
          <w:lang w:val="en-US"/>
        </w:rPr>
        <w:t>and GeneCar</w:t>
      </w:r>
      <w:r w:rsidR="00270B8B" w:rsidRPr="00425573">
        <w:rPr>
          <w:rFonts w:ascii="Book Antiqua" w:hAnsi="Book Antiqua" w:cs="Times New Roman"/>
          <w:b/>
          <w:color w:val="000000" w:themeColor="text1"/>
          <w:lang w:val="en-US"/>
        </w:rPr>
        <w:t>ds (https://www.genecards.org)</w:t>
      </w:r>
    </w:p>
    <w:tbl>
      <w:tblPr>
        <w:tblStyle w:val="MediumGrid1"/>
        <w:tblW w:w="140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133"/>
        <w:gridCol w:w="1347"/>
        <w:gridCol w:w="1346"/>
        <w:gridCol w:w="3154"/>
        <w:gridCol w:w="1524"/>
      </w:tblGrid>
      <w:tr w:rsidR="001B7A33" w:rsidRPr="00425573" w14:paraId="08532684" w14:textId="77777777" w:rsidTr="00C62E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auto"/>
            <w:noWrap/>
            <w:vAlign w:val="center"/>
            <w:hideMark/>
          </w:tcPr>
          <w:p w14:paraId="077F017D" w14:textId="59A38182" w:rsidR="00B2158D" w:rsidRPr="00425573" w:rsidRDefault="00B2158D" w:rsidP="00CC10A4">
            <w:pPr>
              <w:snapToGrid w:val="0"/>
              <w:spacing w:line="360" w:lineRule="auto"/>
              <w:rPr>
                <w:rFonts w:ascii="Book Antiqua" w:eastAsia="Times New Roman" w:hAnsi="Book Antiqua" w:cs="Times New Roman"/>
                <w:lang w:val="en-US"/>
              </w:rPr>
            </w:pPr>
            <w:r w:rsidRPr="00425573">
              <w:rPr>
                <w:rFonts w:ascii="Book Antiqua" w:eastAsia="Times New Roman" w:hAnsi="Book Antiqua" w:cs="Times New Roman"/>
                <w:lang w:val="en-US"/>
              </w:rPr>
              <w:t xml:space="preserve">Gene </w:t>
            </w:r>
            <w:r w:rsidR="00E05305" w:rsidRPr="00425573">
              <w:rPr>
                <w:rFonts w:ascii="Book Antiqua" w:eastAsia="Times New Roman" w:hAnsi="Book Antiqua" w:cs="Times New Roman"/>
                <w:lang w:val="en-US"/>
              </w:rPr>
              <w:t>s</w:t>
            </w:r>
            <w:r w:rsidRPr="00425573">
              <w:rPr>
                <w:rFonts w:ascii="Book Antiqua" w:eastAsia="Times New Roman" w:hAnsi="Book Antiqua" w:cs="Times New Roman"/>
                <w:lang w:val="en-US"/>
              </w:rPr>
              <w:t>ymbol</w:t>
            </w:r>
          </w:p>
        </w:tc>
        <w:tc>
          <w:tcPr>
            <w:tcW w:w="5133" w:type="dxa"/>
            <w:tcBorders>
              <w:top w:val="single" w:sz="4" w:space="0" w:color="auto"/>
              <w:bottom w:val="single" w:sz="4" w:space="0" w:color="auto"/>
            </w:tcBorders>
            <w:shd w:val="clear" w:color="auto" w:fill="auto"/>
            <w:noWrap/>
            <w:vAlign w:val="center"/>
            <w:hideMark/>
          </w:tcPr>
          <w:p w14:paraId="2E68CE5C" w14:textId="3C325930"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Gene </w:t>
            </w:r>
            <w:r w:rsidR="00E05305" w:rsidRPr="00425573">
              <w:rPr>
                <w:rFonts w:ascii="Book Antiqua" w:eastAsia="Times New Roman" w:hAnsi="Book Antiqua" w:cs="Times New Roman"/>
                <w:lang w:val="en-US"/>
              </w:rPr>
              <w:t>n</w:t>
            </w:r>
            <w:r w:rsidRPr="00425573">
              <w:rPr>
                <w:rFonts w:ascii="Book Antiqua" w:eastAsia="Times New Roman" w:hAnsi="Book Antiqua" w:cs="Times New Roman"/>
                <w:lang w:val="en-US"/>
              </w:rPr>
              <w:t>ame</w:t>
            </w:r>
          </w:p>
        </w:tc>
        <w:tc>
          <w:tcPr>
            <w:tcW w:w="1347" w:type="dxa"/>
            <w:tcBorders>
              <w:top w:val="single" w:sz="4" w:space="0" w:color="auto"/>
              <w:bottom w:val="single" w:sz="4" w:space="0" w:color="auto"/>
            </w:tcBorders>
            <w:shd w:val="clear" w:color="auto" w:fill="auto"/>
            <w:noWrap/>
            <w:vAlign w:val="center"/>
            <w:hideMark/>
          </w:tcPr>
          <w:p w14:paraId="05C170DF" w14:textId="3DE85932"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Genomic </w:t>
            </w:r>
            <w:r w:rsidR="00E05305" w:rsidRPr="00425573">
              <w:rPr>
                <w:rFonts w:ascii="Book Antiqua" w:eastAsia="Times New Roman" w:hAnsi="Book Antiqua" w:cs="Times New Roman"/>
                <w:lang w:val="en-US"/>
              </w:rPr>
              <w:t>l</w:t>
            </w:r>
            <w:r w:rsidRPr="00425573">
              <w:rPr>
                <w:rFonts w:ascii="Book Antiqua" w:eastAsia="Times New Roman" w:hAnsi="Book Antiqua" w:cs="Times New Roman"/>
                <w:lang w:val="en-US"/>
              </w:rPr>
              <w:t>ocation</w:t>
            </w:r>
          </w:p>
        </w:tc>
        <w:tc>
          <w:tcPr>
            <w:tcW w:w="1346" w:type="dxa"/>
            <w:tcBorders>
              <w:top w:val="single" w:sz="4" w:space="0" w:color="auto"/>
              <w:bottom w:val="single" w:sz="4" w:space="0" w:color="auto"/>
            </w:tcBorders>
            <w:shd w:val="clear" w:color="auto" w:fill="auto"/>
            <w:vAlign w:val="center"/>
          </w:tcPr>
          <w:p w14:paraId="6913DF7E" w14:textId="77777777"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SNP</w:t>
            </w:r>
          </w:p>
        </w:tc>
        <w:tc>
          <w:tcPr>
            <w:tcW w:w="3154" w:type="dxa"/>
            <w:tcBorders>
              <w:top w:val="single" w:sz="4" w:space="0" w:color="auto"/>
              <w:bottom w:val="single" w:sz="4" w:space="0" w:color="auto"/>
            </w:tcBorders>
            <w:shd w:val="clear" w:color="auto" w:fill="auto"/>
            <w:noWrap/>
            <w:vAlign w:val="center"/>
            <w:hideMark/>
          </w:tcPr>
          <w:p w14:paraId="3A71E5BA" w14:textId="18FD0653"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Biological </w:t>
            </w:r>
            <w:r w:rsidR="00E05305" w:rsidRPr="00425573">
              <w:rPr>
                <w:rFonts w:ascii="Book Antiqua" w:eastAsia="Times New Roman" w:hAnsi="Book Antiqua" w:cs="Times New Roman"/>
                <w:lang w:val="en-US"/>
              </w:rPr>
              <w:t>f</w:t>
            </w:r>
            <w:r w:rsidRPr="00425573">
              <w:rPr>
                <w:rFonts w:ascii="Book Antiqua" w:eastAsia="Times New Roman" w:hAnsi="Book Antiqua" w:cs="Times New Roman"/>
                <w:lang w:val="en-US"/>
              </w:rPr>
              <w:t>unction</w:t>
            </w:r>
          </w:p>
        </w:tc>
        <w:tc>
          <w:tcPr>
            <w:tcW w:w="1524" w:type="dxa"/>
            <w:tcBorders>
              <w:top w:val="single" w:sz="4" w:space="0" w:color="auto"/>
              <w:bottom w:val="single" w:sz="4" w:space="0" w:color="auto"/>
            </w:tcBorders>
            <w:shd w:val="clear" w:color="auto" w:fill="auto"/>
            <w:noWrap/>
            <w:vAlign w:val="center"/>
            <w:hideMark/>
          </w:tcPr>
          <w:p w14:paraId="56940A12" w14:textId="4FBA2B4F" w:rsidR="00B2158D" w:rsidRPr="00425573" w:rsidRDefault="00B2158D" w:rsidP="00CC10A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Potential </w:t>
            </w:r>
            <w:r w:rsidR="00E05305" w:rsidRPr="00425573">
              <w:rPr>
                <w:rFonts w:ascii="Book Antiqua" w:eastAsia="Times New Roman" w:hAnsi="Book Antiqua" w:cs="Times New Roman"/>
                <w:lang w:val="en-US"/>
              </w:rPr>
              <w:t>a</w:t>
            </w:r>
            <w:r w:rsidRPr="00425573">
              <w:rPr>
                <w:rFonts w:ascii="Book Antiqua" w:eastAsia="Times New Roman" w:hAnsi="Book Antiqua" w:cs="Times New Roman"/>
                <w:lang w:val="en-US"/>
              </w:rPr>
              <w:t xml:space="preserve">ssociated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iseases</w:t>
            </w:r>
          </w:p>
        </w:tc>
      </w:tr>
      <w:tr w:rsidR="001B7A33" w:rsidRPr="00425573" w14:paraId="2424FD70"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auto"/>
            <w:noWrap/>
            <w:vAlign w:val="center"/>
            <w:hideMark/>
          </w:tcPr>
          <w:p w14:paraId="78F93E7C"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IDE</w:t>
            </w:r>
          </w:p>
        </w:tc>
        <w:tc>
          <w:tcPr>
            <w:tcW w:w="5133" w:type="dxa"/>
            <w:tcBorders>
              <w:top w:val="single" w:sz="4" w:space="0" w:color="auto"/>
            </w:tcBorders>
            <w:shd w:val="clear" w:color="auto" w:fill="auto"/>
            <w:noWrap/>
            <w:vAlign w:val="center"/>
            <w:hideMark/>
          </w:tcPr>
          <w:p w14:paraId="0CDF2585" w14:textId="2AB5FE65"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Insulin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egrading </w:t>
            </w:r>
            <w:r w:rsidR="00E05305" w:rsidRPr="00425573">
              <w:rPr>
                <w:rFonts w:ascii="Book Antiqua" w:eastAsia="Times New Roman" w:hAnsi="Book Antiqua" w:cs="Times New Roman"/>
                <w:lang w:val="en-US"/>
              </w:rPr>
              <w:t>e</w:t>
            </w:r>
            <w:r w:rsidRPr="00425573">
              <w:rPr>
                <w:rFonts w:ascii="Book Antiqua" w:eastAsia="Times New Roman" w:hAnsi="Book Antiqua" w:cs="Times New Roman"/>
                <w:lang w:val="en-US"/>
              </w:rPr>
              <w:t>nzyme</w:t>
            </w:r>
          </w:p>
        </w:tc>
        <w:tc>
          <w:tcPr>
            <w:tcW w:w="1347" w:type="dxa"/>
            <w:vMerge w:val="restart"/>
            <w:tcBorders>
              <w:top w:val="single" w:sz="4" w:space="0" w:color="auto"/>
            </w:tcBorders>
            <w:shd w:val="clear" w:color="auto" w:fill="auto"/>
            <w:noWrap/>
            <w:vAlign w:val="center"/>
            <w:hideMark/>
          </w:tcPr>
          <w:p w14:paraId="67AF0634"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10q23.33</w:t>
            </w:r>
          </w:p>
        </w:tc>
        <w:tc>
          <w:tcPr>
            <w:tcW w:w="1346" w:type="dxa"/>
            <w:tcBorders>
              <w:top w:val="single" w:sz="4" w:space="0" w:color="auto"/>
            </w:tcBorders>
            <w:shd w:val="clear" w:color="auto" w:fill="auto"/>
            <w:vAlign w:val="center"/>
          </w:tcPr>
          <w:p w14:paraId="408DDD25"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rs6583817</w:t>
            </w:r>
          </w:p>
        </w:tc>
        <w:tc>
          <w:tcPr>
            <w:tcW w:w="3154" w:type="dxa"/>
            <w:tcBorders>
              <w:top w:val="single" w:sz="4" w:space="0" w:color="auto"/>
            </w:tcBorders>
            <w:shd w:val="clear" w:color="auto" w:fill="auto"/>
            <w:noWrap/>
            <w:vAlign w:val="center"/>
            <w:hideMark/>
          </w:tcPr>
          <w:p w14:paraId="1D69AFA2"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Insulin clearance</w:t>
            </w:r>
          </w:p>
        </w:tc>
        <w:tc>
          <w:tcPr>
            <w:tcW w:w="1524" w:type="dxa"/>
            <w:vMerge w:val="restart"/>
            <w:tcBorders>
              <w:top w:val="single" w:sz="4" w:space="0" w:color="auto"/>
            </w:tcBorders>
            <w:shd w:val="clear" w:color="auto" w:fill="auto"/>
            <w:noWrap/>
            <w:vAlign w:val="center"/>
            <w:hideMark/>
          </w:tcPr>
          <w:p w14:paraId="7A838F7F" w14:textId="43A435F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T2D/AD</w:t>
            </w:r>
          </w:p>
        </w:tc>
      </w:tr>
      <w:tr w:rsidR="001B7A33" w:rsidRPr="00425573" w14:paraId="2B1C774B"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3A1B86BB"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IDE/</w:t>
            </w:r>
          </w:p>
          <w:p w14:paraId="4D0C93FE"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HHEX</w:t>
            </w:r>
          </w:p>
        </w:tc>
        <w:tc>
          <w:tcPr>
            <w:tcW w:w="5133" w:type="dxa"/>
            <w:shd w:val="clear" w:color="auto" w:fill="auto"/>
            <w:noWrap/>
            <w:vAlign w:val="center"/>
            <w:hideMark/>
          </w:tcPr>
          <w:p w14:paraId="76964BDD" w14:textId="07BF2644"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Insulin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egrading </w:t>
            </w:r>
            <w:r w:rsidR="00E05305" w:rsidRPr="00425573">
              <w:rPr>
                <w:rFonts w:ascii="Book Antiqua" w:eastAsia="Times New Roman" w:hAnsi="Book Antiqua" w:cs="Times New Roman"/>
                <w:lang w:val="en-US"/>
              </w:rPr>
              <w:t>e</w:t>
            </w:r>
            <w:r w:rsidRPr="00425573">
              <w:rPr>
                <w:rFonts w:ascii="Book Antiqua" w:eastAsia="Times New Roman" w:hAnsi="Book Antiqua" w:cs="Times New Roman"/>
                <w:lang w:val="en-US"/>
              </w:rPr>
              <w:t>nzyme/</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ematopoietically </w:t>
            </w:r>
            <w:r w:rsidR="002F1ECA" w:rsidRPr="00425573">
              <w:rPr>
                <w:rFonts w:ascii="Book Antiqua" w:eastAsia="Times New Roman" w:hAnsi="Book Antiqua" w:cs="Times New Roman"/>
                <w:lang w:val="en-US"/>
              </w:rPr>
              <w:t>e</w:t>
            </w:r>
            <w:r w:rsidRPr="00425573">
              <w:rPr>
                <w:rFonts w:ascii="Book Antiqua" w:eastAsia="Times New Roman" w:hAnsi="Book Antiqua" w:cs="Times New Roman"/>
                <w:lang w:val="en-US"/>
              </w:rPr>
              <w:t xml:space="preserve">xpressed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omeobox</w:t>
            </w:r>
          </w:p>
        </w:tc>
        <w:tc>
          <w:tcPr>
            <w:tcW w:w="1347" w:type="dxa"/>
            <w:vMerge/>
            <w:shd w:val="clear" w:color="auto" w:fill="auto"/>
            <w:vAlign w:val="center"/>
            <w:hideMark/>
          </w:tcPr>
          <w:p w14:paraId="7EE9604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5A1EB14C"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rs1544210</w:t>
            </w:r>
          </w:p>
        </w:tc>
        <w:tc>
          <w:tcPr>
            <w:tcW w:w="3154" w:type="dxa"/>
            <w:shd w:val="clear" w:color="auto" w:fill="auto"/>
            <w:noWrap/>
            <w:vAlign w:val="center"/>
            <w:hideMark/>
          </w:tcPr>
          <w:p w14:paraId="66848B0C" w14:textId="644B984E"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Insulin clearance/</w:t>
            </w:r>
            <w:r w:rsidR="00E05305" w:rsidRPr="00425573">
              <w:rPr>
                <w:rFonts w:ascii="Book Antiqua" w:eastAsia="Times New Roman" w:hAnsi="Book Antiqua" w:cs="Times New Roman"/>
                <w:lang w:val="en-US"/>
              </w:rPr>
              <w:t>t</w:t>
            </w:r>
            <w:r w:rsidRPr="00425573">
              <w:rPr>
                <w:rFonts w:ascii="Book Antiqua" w:eastAsia="Times New Roman" w:hAnsi="Book Antiqua" w:cs="Times New Roman"/>
                <w:lang w:val="en-US"/>
              </w:rPr>
              <w:t>ranscriptional repression</w:t>
            </w:r>
          </w:p>
        </w:tc>
        <w:tc>
          <w:tcPr>
            <w:tcW w:w="1524" w:type="dxa"/>
            <w:vMerge/>
            <w:shd w:val="clear" w:color="auto" w:fill="auto"/>
            <w:vAlign w:val="center"/>
            <w:hideMark/>
          </w:tcPr>
          <w:p w14:paraId="05D72E6B"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78BA71FF" w14:textId="77777777" w:rsidTr="00C62E7B">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7E194977"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TP53INP1</w:t>
            </w:r>
          </w:p>
        </w:tc>
        <w:tc>
          <w:tcPr>
            <w:tcW w:w="5133" w:type="dxa"/>
            <w:shd w:val="clear" w:color="auto" w:fill="auto"/>
            <w:noWrap/>
            <w:vAlign w:val="center"/>
            <w:hideMark/>
          </w:tcPr>
          <w:p w14:paraId="2B24568A" w14:textId="030757E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Tumor </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 xml:space="preserve">rotein P53 </w:t>
            </w:r>
            <w:r w:rsidR="00E05305" w:rsidRPr="00425573">
              <w:rPr>
                <w:rFonts w:ascii="Book Antiqua" w:eastAsia="Times New Roman" w:hAnsi="Book Antiqua" w:cs="Times New Roman"/>
                <w:lang w:val="en-US"/>
              </w:rPr>
              <w:t>i</w:t>
            </w:r>
            <w:r w:rsidRPr="00425573">
              <w:rPr>
                <w:rFonts w:ascii="Book Antiqua" w:eastAsia="Times New Roman" w:hAnsi="Book Antiqua" w:cs="Times New Roman"/>
                <w:lang w:val="en-US"/>
              </w:rPr>
              <w:t xml:space="preserve">nducible </w:t>
            </w:r>
            <w:r w:rsidR="00E05305" w:rsidRPr="00425573">
              <w:rPr>
                <w:rFonts w:ascii="Book Antiqua" w:eastAsia="Times New Roman" w:hAnsi="Book Antiqua" w:cs="Times New Roman"/>
                <w:lang w:val="en-US"/>
              </w:rPr>
              <w:t>n</w:t>
            </w:r>
            <w:r w:rsidRPr="00425573">
              <w:rPr>
                <w:rFonts w:ascii="Book Antiqua" w:eastAsia="Times New Roman" w:hAnsi="Book Antiqua" w:cs="Times New Roman"/>
                <w:lang w:val="en-US"/>
              </w:rPr>
              <w:t xml:space="preserve">uclear </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rotein 1</w:t>
            </w:r>
          </w:p>
        </w:tc>
        <w:tc>
          <w:tcPr>
            <w:tcW w:w="1347" w:type="dxa"/>
            <w:vMerge w:val="restart"/>
            <w:shd w:val="clear" w:color="auto" w:fill="auto"/>
            <w:noWrap/>
            <w:vAlign w:val="center"/>
            <w:hideMark/>
          </w:tcPr>
          <w:p w14:paraId="2C18ACC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8q22.1</w:t>
            </w:r>
          </w:p>
        </w:tc>
        <w:tc>
          <w:tcPr>
            <w:tcW w:w="1346" w:type="dxa"/>
            <w:shd w:val="clear" w:color="auto" w:fill="auto"/>
            <w:vAlign w:val="center"/>
          </w:tcPr>
          <w:p w14:paraId="49A9DE95"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rs896854</w:t>
            </w:r>
          </w:p>
        </w:tc>
        <w:tc>
          <w:tcPr>
            <w:tcW w:w="3154" w:type="dxa"/>
            <w:shd w:val="clear" w:color="auto" w:fill="auto"/>
            <w:noWrap/>
            <w:vAlign w:val="center"/>
            <w:hideMark/>
          </w:tcPr>
          <w:p w14:paraId="14CCD71E"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Cell stress response, autophagy activation, cell cycle regulation</w:t>
            </w:r>
          </w:p>
        </w:tc>
        <w:tc>
          <w:tcPr>
            <w:tcW w:w="1524" w:type="dxa"/>
            <w:vMerge/>
            <w:shd w:val="clear" w:color="auto" w:fill="auto"/>
            <w:vAlign w:val="center"/>
            <w:hideMark/>
          </w:tcPr>
          <w:p w14:paraId="11655D56"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4B437837"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23B447F6" w14:textId="77777777" w:rsidR="00B2158D" w:rsidRPr="008B7D97" w:rsidRDefault="00B2158D" w:rsidP="00CC10A4">
            <w:pPr>
              <w:snapToGrid w:val="0"/>
              <w:spacing w:line="360" w:lineRule="auto"/>
              <w:rPr>
                <w:rFonts w:ascii="Book Antiqua" w:eastAsia="Times New Roman" w:hAnsi="Book Antiqua" w:cs="Times New Roman"/>
                <w:b w:val="0"/>
                <w:bCs w:val="0"/>
                <w:i/>
                <w:lang w:val="en-US"/>
              </w:rPr>
            </w:pPr>
            <w:r w:rsidRPr="008B7D97">
              <w:rPr>
                <w:rFonts w:ascii="Book Antiqua" w:eastAsia="Times New Roman" w:hAnsi="Book Antiqua" w:cs="Times New Roman"/>
                <w:b w:val="0"/>
                <w:i/>
                <w:lang w:val="en-US"/>
              </w:rPr>
              <w:t>TP53INP1/</w:t>
            </w:r>
          </w:p>
          <w:p w14:paraId="563979D0" w14:textId="77777777" w:rsidR="00B2158D" w:rsidRPr="008B7D97" w:rsidRDefault="00B2158D" w:rsidP="00CC10A4">
            <w:pPr>
              <w:snapToGrid w:val="0"/>
              <w:spacing w:line="360" w:lineRule="auto"/>
              <w:rPr>
                <w:rFonts w:ascii="Book Antiqua" w:eastAsia="Times New Roman" w:hAnsi="Book Antiqua" w:cs="Times New Roman"/>
                <w:b w:val="0"/>
                <w:bCs w:val="0"/>
                <w:i/>
                <w:lang w:val="en-US"/>
              </w:rPr>
            </w:pPr>
            <w:r w:rsidRPr="008B7D97">
              <w:rPr>
                <w:rFonts w:ascii="Book Antiqua" w:eastAsia="Times New Roman" w:hAnsi="Book Antiqua" w:cs="Times New Roman"/>
                <w:b w:val="0"/>
                <w:i/>
                <w:lang w:val="en-US"/>
              </w:rPr>
              <w:t>NDUFAF6</w:t>
            </w:r>
          </w:p>
        </w:tc>
        <w:tc>
          <w:tcPr>
            <w:tcW w:w="5133" w:type="dxa"/>
            <w:vMerge w:val="restart"/>
            <w:shd w:val="clear" w:color="auto" w:fill="auto"/>
            <w:noWrap/>
            <w:vAlign w:val="center"/>
            <w:hideMark/>
          </w:tcPr>
          <w:p w14:paraId="76030B68" w14:textId="17DEA8F9" w:rsidR="00B2158D" w:rsidRPr="008B7D97"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8B7D97">
              <w:rPr>
                <w:rFonts w:ascii="Book Antiqua" w:eastAsia="Times New Roman" w:hAnsi="Book Antiqua" w:cs="Times New Roman"/>
                <w:lang w:val="en-US"/>
              </w:rPr>
              <w:t xml:space="preserve">Tumor </w:t>
            </w:r>
            <w:r w:rsidR="00E05305" w:rsidRPr="008B7D97">
              <w:rPr>
                <w:rFonts w:ascii="Book Antiqua" w:eastAsia="Times New Roman" w:hAnsi="Book Antiqua" w:cs="Times New Roman"/>
                <w:lang w:val="en-US"/>
              </w:rPr>
              <w:t>p</w:t>
            </w:r>
            <w:r w:rsidRPr="008B7D97">
              <w:rPr>
                <w:rFonts w:ascii="Book Antiqua" w:eastAsia="Times New Roman" w:hAnsi="Book Antiqua" w:cs="Times New Roman"/>
                <w:lang w:val="en-US"/>
              </w:rPr>
              <w:t xml:space="preserve">rotein P53 </w:t>
            </w:r>
            <w:r w:rsidR="00E05305" w:rsidRPr="008B7D97">
              <w:rPr>
                <w:rFonts w:ascii="Book Antiqua" w:eastAsia="Times New Roman" w:hAnsi="Book Antiqua" w:cs="Times New Roman"/>
                <w:lang w:val="en-US"/>
              </w:rPr>
              <w:t>i</w:t>
            </w:r>
            <w:r w:rsidRPr="008B7D97">
              <w:rPr>
                <w:rFonts w:ascii="Book Antiqua" w:eastAsia="Times New Roman" w:hAnsi="Book Antiqua" w:cs="Times New Roman"/>
                <w:lang w:val="en-US"/>
              </w:rPr>
              <w:t xml:space="preserve">nducible </w:t>
            </w:r>
            <w:r w:rsidR="00E05305" w:rsidRPr="008B7D97">
              <w:rPr>
                <w:rFonts w:ascii="Book Antiqua" w:eastAsia="Times New Roman" w:hAnsi="Book Antiqua" w:cs="Times New Roman"/>
                <w:lang w:val="en-US"/>
              </w:rPr>
              <w:t>n</w:t>
            </w:r>
            <w:r w:rsidRPr="008B7D97">
              <w:rPr>
                <w:rFonts w:ascii="Book Antiqua" w:eastAsia="Times New Roman" w:hAnsi="Book Antiqua" w:cs="Times New Roman"/>
                <w:lang w:val="en-US"/>
              </w:rPr>
              <w:t xml:space="preserve">uclear </w:t>
            </w:r>
            <w:r w:rsidR="00E05305" w:rsidRPr="008B7D97">
              <w:rPr>
                <w:rFonts w:ascii="Book Antiqua" w:eastAsia="Times New Roman" w:hAnsi="Book Antiqua" w:cs="Times New Roman"/>
                <w:lang w:val="en-US"/>
              </w:rPr>
              <w:t>p</w:t>
            </w:r>
            <w:r w:rsidRPr="008B7D97">
              <w:rPr>
                <w:rFonts w:ascii="Book Antiqua" w:eastAsia="Times New Roman" w:hAnsi="Book Antiqua" w:cs="Times New Roman"/>
                <w:lang w:val="en-US"/>
              </w:rPr>
              <w:t xml:space="preserve">rotein 1/NADH:Ubiquinone </w:t>
            </w:r>
            <w:r w:rsidR="00E05305" w:rsidRPr="008B7D97">
              <w:rPr>
                <w:rFonts w:ascii="Book Antiqua" w:eastAsia="Times New Roman" w:hAnsi="Book Antiqua" w:cs="Times New Roman"/>
                <w:lang w:val="en-US"/>
              </w:rPr>
              <w:t>o</w:t>
            </w:r>
            <w:r w:rsidRPr="008B7D97">
              <w:rPr>
                <w:rFonts w:ascii="Book Antiqua" w:eastAsia="Times New Roman" w:hAnsi="Book Antiqua" w:cs="Times New Roman"/>
                <w:lang w:val="en-US"/>
              </w:rPr>
              <w:t xml:space="preserve">xidoreductase </w:t>
            </w:r>
            <w:r w:rsidR="00E05305" w:rsidRPr="008B7D97">
              <w:rPr>
                <w:rFonts w:ascii="Book Antiqua" w:eastAsia="Times New Roman" w:hAnsi="Book Antiqua" w:cs="Times New Roman"/>
                <w:lang w:val="en-US"/>
              </w:rPr>
              <w:t>c</w:t>
            </w:r>
            <w:r w:rsidRPr="008B7D97">
              <w:rPr>
                <w:rFonts w:ascii="Book Antiqua" w:eastAsia="Times New Roman" w:hAnsi="Book Antiqua" w:cs="Times New Roman"/>
                <w:lang w:val="en-US"/>
              </w:rPr>
              <w:t xml:space="preserve">omplex </w:t>
            </w:r>
            <w:r w:rsidR="00E05305" w:rsidRPr="008B7D97">
              <w:rPr>
                <w:rFonts w:ascii="Book Antiqua" w:eastAsia="Times New Roman" w:hAnsi="Book Antiqua" w:cs="Times New Roman"/>
                <w:lang w:val="en-US"/>
              </w:rPr>
              <w:t>a</w:t>
            </w:r>
            <w:r w:rsidRPr="008B7D97">
              <w:rPr>
                <w:rFonts w:ascii="Book Antiqua" w:eastAsia="Times New Roman" w:hAnsi="Book Antiqua" w:cs="Times New Roman"/>
                <w:lang w:val="en-US"/>
              </w:rPr>
              <w:t xml:space="preserve">ssembly </w:t>
            </w:r>
            <w:r w:rsidR="00E05305" w:rsidRPr="008B7D97">
              <w:rPr>
                <w:rFonts w:ascii="Book Antiqua" w:eastAsia="Times New Roman" w:hAnsi="Book Antiqua" w:cs="Times New Roman"/>
                <w:lang w:val="en-US"/>
              </w:rPr>
              <w:t>f</w:t>
            </w:r>
            <w:r w:rsidRPr="008B7D97">
              <w:rPr>
                <w:rFonts w:ascii="Book Antiqua" w:eastAsia="Times New Roman" w:hAnsi="Book Antiqua" w:cs="Times New Roman"/>
                <w:lang w:val="en-US"/>
              </w:rPr>
              <w:t>actor 6</w:t>
            </w:r>
          </w:p>
        </w:tc>
        <w:tc>
          <w:tcPr>
            <w:tcW w:w="1347" w:type="dxa"/>
            <w:vMerge/>
            <w:shd w:val="clear" w:color="auto" w:fill="auto"/>
            <w:vAlign w:val="center"/>
            <w:hideMark/>
          </w:tcPr>
          <w:p w14:paraId="6DD995BB"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4F521800"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rs6982393</w:t>
            </w:r>
          </w:p>
        </w:tc>
        <w:tc>
          <w:tcPr>
            <w:tcW w:w="3154" w:type="dxa"/>
            <w:vMerge w:val="restart"/>
            <w:shd w:val="clear" w:color="auto" w:fill="auto"/>
            <w:noWrap/>
            <w:vAlign w:val="center"/>
            <w:hideMark/>
          </w:tcPr>
          <w:p w14:paraId="1B6F9597" w14:textId="54051B98"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Cell stress response, autophagy activation, cell cycle regulation Mitochondrial function</w:t>
            </w:r>
          </w:p>
        </w:tc>
        <w:tc>
          <w:tcPr>
            <w:tcW w:w="1524" w:type="dxa"/>
            <w:vMerge/>
            <w:shd w:val="clear" w:color="auto" w:fill="auto"/>
            <w:vAlign w:val="center"/>
            <w:hideMark/>
          </w:tcPr>
          <w:p w14:paraId="22CA705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5E3BF9F2"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7667B6E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03E1F0AE"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0DDAEE7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22FA5DD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rs4734295</w:t>
            </w:r>
          </w:p>
        </w:tc>
        <w:tc>
          <w:tcPr>
            <w:tcW w:w="3154" w:type="dxa"/>
            <w:vMerge/>
            <w:shd w:val="clear" w:color="auto" w:fill="auto"/>
            <w:vAlign w:val="center"/>
            <w:hideMark/>
          </w:tcPr>
          <w:p w14:paraId="79EEAD1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547316BC"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664F73BC"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3DF095FA"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NDUFAF6</w:t>
            </w:r>
          </w:p>
        </w:tc>
        <w:tc>
          <w:tcPr>
            <w:tcW w:w="5133" w:type="dxa"/>
            <w:shd w:val="clear" w:color="auto" w:fill="auto"/>
            <w:noWrap/>
            <w:vAlign w:val="center"/>
            <w:hideMark/>
          </w:tcPr>
          <w:p w14:paraId="51B66239" w14:textId="37E2754A"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NADH:Ubiquinone </w:t>
            </w:r>
            <w:r w:rsidR="00E05305" w:rsidRPr="00425573">
              <w:rPr>
                <w:rFonts w:ascii="Book Antiqua" w:eastAsia="Times New Roman" w:hAnsi="Book Antiqua" w:cs="Times New Roman"/>
                <w:lang w:val="en-US"/>
              </w:rPr>
              <w:t>o</w:t>
            </w:r>
            <w:r w:rsidRPr="00425573">
              <w:rPr>
                <w:rFonts w:ascii="Book Antiqua" w:eastAsia="Times New Roman" w:hAnsi="Book Antiqua" w:cs="Times New Roman"/>
                <w:lang w:val="en-US"/>
              </w:rPr>
              <w:t xml:space="preserve">xidoreductase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 xml:space="preserve">omplex </w:t>
            </w:r>
            <w:r w:rsidR="00E05305" w:rsidRPr="00425573">
              <w:rPr>
                <w:rFonts w:ascii="Book Antiqua" w:eastAsia="Times New Roman" w:hAnsi="Book Antiqua" w:cs="Times New Roman"/>
                <w:lang w:val="en-US"/>
              </w:rPr>
              <w:t>a</w:t>
            </w:r>
            <w:r w:rsidRPr="00425573">
              <w:rPr>
                <w:rFonts w:ascii="Book Antiqua" w:eastAsia="Times New Roman" w:hAnsi="Book Antiqua" w:cs="Times New Roman"/>
                <w:lang w:val="en-US"/>
              </w:rPr>
              <w:t xml:space="preserve">ssembly </w:t>
            </w:r>
            <w:r w:rsidR="00142E6B" w:rsidRPr="00425573">
              <w:rPr>
                <w:rFonts w:ascii="Book Antiqua" w:eastAsia="Times New Roman" w:hAnsi="Book Antiqua" w:cs="Times New Roman"/>
                <w:lang w:val="en-US"/>
              </w:rPr>
              <w:t>f</w:t>
            </w:r>
            <w:r w:rsidRPr="00425573">
              <w:rPr>
                <w:rFonts w:ascii="Book Antiqua" w:eastAsia="Times New Roman" w:hAnsi="Book Antiqua" w:cs="Times New Roman"/>
                <w:lang w:val="en-US"/>
              </w:rPr>
              <w:t>actor 6</w:t>
            </w:r>
          </w:p>
        </w:tc>
        <w:tc>
          <w:tcPr>
            <w:tcW w:w="1347" w:type="dxa"/>
            <w:vMerge/>
            <w:shd w:val="clear" w:color="auto" w:fill="auto"/>
            <w:vAlign w:val="center"/>
            <w:hideMark/>
          </w:tcPr>
          <w:p w14:paraId="5CE30CB5"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0D6B5A18"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rs7812465</w:t>
            </w:r>
          </w:p>
        </w:tc>
        <w:tc>
          <w:tcPr>
            <w:tcW w:w="3154" w:type="dxa"/>
            <w:vMerge w:val="restart"/>
            <w:shd w:val="clear" w:color="auto" w:fill="auto"/>
            <w:noWrap/>
            <w:vAlign w:val="center"/>
            <w:hideMark/>
          </w:tcPr>
          <w:p w14:paraId="6A6BF22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Mitochondrial function</w:t>
            </w:r>
          </w:p>
        </w:tc>
        <w:tc>
          <w:tcPr>
            <w:tcW w:w="1524" w:type="dxa"/>
            <w:vMerge/>
            <w:shd w:val="clear" w:color="auto" w:fill="auto"/>
            <w:vAlign w:val="center"/>
            <w:hideMark/>
          </w:tcPr>
          <w:p w14:paraId="4A34CAA8"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6A318A8C"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1117D1E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TOMM40</w:t>
            </w:r>
          </w:p>
        </w:tc>
        <w:tc>
          <w:tcPr>
            <w:tcW w:w="5133" w:type="dxa"/>
            <w:shd w:val="clear" w:color="auto" w:fill="auto"/>
            <w:noWrap/>
            <w:vAlign w:val="center"/>
            <w:hideMark/>
          </w:tcPr>
          <w:p w14:paraId="59DD811C" w14:textId="0DA976C8"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Translocase </w:t>
            </w:r>
            <w:r w:rsidR="00E05305" w:rsidRPr="00425573">
              <w:rPr>
                <w:rFonts w:ascii="Book Antiqua" w:eastAsia="Times New Roman" w:hAnsi="Book Antiqua" w:cs="Times New Roman"/>
                <w:lang w:val="en-US"/>
              </w:rPr>
              <w:t>o</w:t>
            </w:r>
            <w:r w:rsidRPr="00425573">
              <w:rPr>
                <w:rFonts w:ascii="Book Antiqua" w:eastAsia="Times New Roman" w:hAnsi="Book Antiqua" w:cs="Times New Roman"/>
                <w:lang w:val="en-US"/>
              </w:rPr>
              <w:t xml:space="preserve">f </w:t>
            </w:r>
            <w:r w:rsidR="00E05305" w:rsidRPr="00425573">
              <w:rPr>
                <w:rFonts w:ascii="Book Antiqua" w:eastAsia="Times New Roman" w:hAnsi="Book Antiqua" w:cs="Times New Roman"/>
                <w:lang w:val="en-US"/>
              </w:rPr>
              <w:t>o</w:t>
            </w:r>
            <w:r w:rsidRPr="00425573">
              <w:rPr>
                <w:rFonts w:ascii="Book Antiqua" w:eastAsia="Times New Roman" w:hAnsi="Book Antiqua" w:cs="Times New Roman"/>
                <w:lang w:val="en-US"/>
              </w:rPr>
              <w:t xml:space="preserve">uter </w:t>
            </w:r>
            <w:r w:rsidR="00E05305" w:rsidRPr="00425573">
              <w:rPr>
                <w:rFonts w:ascii="Book Antiqua" w:eastAsia="Times New Roman" w:hAnsi="Book Antiqua" w:cs="Times New Roman"/>
                <w:lang w:val="en-US"/>
              </w:rPr>
              <w:t>m</w:t>
            </w:r>
            <w:r w:rsidRPr="00425573">
              <w:rPr>
                <w:rFonts w:ascii="Book Antiqua" w:eastAsia="Times New Roman" w:hAnsi="Book Antiqua" w:cs="Times New Roman"/>
                <w:lang w:val="en-US"/>
              </w:rPr>
              <w:t xml:space="preserve">itochondrial </w:t>
            </w:r>
            <w:r w:rsidR="00E05305" w:rsidRPr="00425573">
              <w:rPr>
                <w:rFonts w:ascii="Book Antiqua" w:eastAsia="Times New Roman" w:hAnsi="Book Antiqua" w:cs="Times New Roman"/>
                <w:lang w:val="en-US"/>
              </w:rPr>
              <w:t>m</w:t>
            </w:r>
            <w:r w:rsidRPr="00425573">
              <w:rPr>
                <w:rFonts w:ascii="Book Antiqua" w:eastAsia="Times New Roman" w:hAnsi="Book Antiqua" w:cs="Times New Roman"/>
                <w:lang w:val="en-US"/>
              </w:rPr>
              <w:t xml:space="preserve">embrane </w:t>
            </w:r>
            <w:r w:rsidRPr="00425573">
              <w:rPr>
                <w:rFonts w:ascii="Book Antiqua" w:eastAsia="Times New Roman" w:hAnsi="Book Antiqua" w:cs="Times New Roman"/>
                <w:lang w:val="en-US"/>
              </w:rPr>
              <w:lastRenderedPageBreak/>
              <w:t>40</w:t>
            </w:r>
          </w:p>
        </w:tc>
        <w:tc>
          <w:tcPr>
            <w:tcW w:w="1347" w:type="dxa"/>
            <w:shd w:val="clear" w:color="auto" w:fill="auto"/>
            <w:noWrap/>
            <w:vAlign w:val="center"/>
            <w:hideMark/>
          </w:tcPr>
          <w:p w14:paraId="21AEED5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lastRenderedPageBreak/>
              <w:t>19q13.32</w:t>
            </w:r>
          </w:p>
        </w:tc>
        <w:tc>
          <w:tcPr>
            <w:tcW w:w="1346" w:type="dxa"/>
            <w:shd w:val="clear" w:color="auto" w:fill="auto"/>
            <w:vAlign w:val="center"/>
          </w:tcPr>
          <w:p w14:paraId="4ED4A24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rs2075650</w:t>
            </w:r>
          </w:p>
        </w:tc>
        <w:tc>
          <w:tcPr>
            <w:tcW w:w="3154" w:type="dxa"/>
            <w:vMerge/>
            <w:shd w:val="clear" w:color="auto" w:fill="auto"/>
            <w:vAlign w:val="center"/>
            <w:hideMark/>
          </w:tcPr>
          <w:p w14:paraId="4E61B4E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15654C6C"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1AB0D8F2"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99D095C"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BTBD16/</w:t>
            </w:r>
          </w:p>
          <w:p w14:paraId="687CC27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PLEKHA1</w:t>
            </w:r>
          </w:p>
        </w:tc>
        <w:tc>
          <w:tcPr>
            <w:tcW w:w="5133" w:type="dxa"/>
            <w:shd w:val="clear" w:color="auto" w:fill="auto"/>
            <w:noWrap/>
            <w:vAlign w:val="center"/>
            <w:hideMark/>
          </w:tcPr>
          <w:p w14:paraId="153E6532" w14:textId="05895770"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BTB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omain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ontaining 16/</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 xml:space="preserve">leckstrin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omology </w:t>
            </w:r>
            <w:r w:rsidR="002F1ECA"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omain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ontaining A1</w:t>
            </w:r>
          </w:p>
        </w:tc>
        <w:tc>
          <w:tcPr>
            <w:tcW w:w="1347" w:type="dxa"/>
            <w:vMerge w:val="restart"/>
            <w:shd w:val="clear" w:color="auto" w:fill="auto"/>
            <w:vAlign w:val="center"/>
            <w:hideMark/>
          </w:tcPr>
          <w:p w14:paraId="15BCE797"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10q26.13</w:t>
            </w:r>
          </w:p>
        </w:tc>
        <w:tc>
          <w:tcPr>
            <w:tcW w:w="1346" w:type="dxa"/>
            <w:shd w:val="clear" w:color="auto" w:fill="auto"/>
            <w:vAlign w:val="center"/>
          </w:tcPr>
          <w:p w14:paraId="0B0D36B8"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rs10510109</w:t>
            </w:r>
          </w:p>
        </w:tc>
        <w:tc>
          <w:tcPr>
            <w:tcW w:w="3154" w:type="dxa"/>
            <w:shd w:val="clear" w:color="auto" w:fill="auto"/>
            <w:noWrap/>
            <w:vAlign w:val="center"/>
            <w:hideMark/>
          </w:tcPr>
          <w:p w14:paraId="14F8E06D" w14:textId="21027F3A"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Apoptosis regulation/</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lasma membrane function</w:t>
            </w:r>
          </w:p>
        </w:tc>
        <w:tc>
          <w:tcPr>
            <w:tcW w:w="1524" w:type="dxa"/>
            <w:vMerge/>
            <w:shd w:val="clear" w:color="auto" w:fill="auto"/>
            <w:vAlign w:val="center"/>
            <w:hideMark/>
          </w:tcPr>
          <w:p w14:paraId="2AC6763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402F9879"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D7F76A9"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PLEKHA1</w:t>
            </w:r>
          </w:p>
        </w:tc>
        <w:tc>
          <w:tcPr>
            <w:tcW w:w="5133" w:type="dxa"/>
            <w:shd w:val="clear" w:color="auto" w:fill="auto"/>
            <w:noWrap/>
            <w:vAlign w:val="center"/>
            <w:hideMark/>
          </w:tcPr>
          <w:p w14:paraId="6DF7F474" w14:textId="3FCD6AA1"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Pleckstrin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omology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omain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ontaining A1</w:t>
            </w:r>
          </w:p>
        </w:tc>
        <w:tc>
          <w:tcPr>
            <w:tcW w:w="1347" w:type="dxa"/>
            <w:vMerge/>
            <w:shd w:val="clear" w:color="auto" w:fill="auto"/>
            <w:vAlign w:val="center"/>
            <w:hideMark/>
          </w:tcPr>
          <w:p w14:paraId="5C69F5C8" w14:textId="77777777" w:rsidR="00B2158D" w:rsidRPr="00425573" w:rsidRDefault="00B2158D" w:rsidP="00CC10A4">
            <w:pPr>
              <w:numPr>
                <w:ilvl w:val="0"/>
                <w:numId w:val="1"/>
              </w:numPr>
              <w:snapToGrid w:val="0"/>
              <w:spacing w:line="360" w:lineRule="auto"/>
              <w:ind w:left="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6806EC5F"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rs2421016</w:t>
            </w:r>
          </w:p>
        </w:tc>
        <w:tc>
          <w:tcPr>
            <w:tcW w:w="3154" w:type="dxa"/>
            <w:shd w:val="clear" w:color="auto" w:fill="auto"/>
            <w:noWrap/>
            <w:vAlign w:val="center"/>
            <w:hideMark/>
          </w:tcPr>
          <w:p w14:paraId="6CA6D5DF"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Plasma membrane function</w:t>
            </w:r>
          </w:p>
        </w:tc>
        <w:tc>
          <w:tcPr>
            <w:tcW w:w="1524" w:type="dxa"/>
            <w:vMerge/>
            <w:shd w:val="clear" w:color="auto" w:fill="auto"/>
            <w:vAlign w:val="center"/>
            <w:hideMark/>
          </w:tcPr>
          <w:p w14:paraId="5767B24A"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261E5748"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7CF940C1"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PVRL2</w:t>
            </w:r>
          </w:p>
        </w:tc>
        <w:tc>
          <w:tcPr>
            <w:tcW w:w="5133" w:type="dxa"/>
            <w:shd w:val="clear" w:color="auto" w:fill="auto"/>
            <w:noWrap/>
            <w:vAlign w:val="center"/>
            <w:hideMark/>
          </w:tcPr>
          <w:p w14:paraId="01363469" w14:textId="07EBC7C1"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Poliovirus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eceptor-</w:t>
            </w:r>
            <w:r w:rsidR="00E05305" w:rsidRPr="00425573">
              <w:rPr>
                <w:rFonts w:ascii="Book Antiqua" w:eastAsia="Times New Roman" w:hAnsi="Book Antiqua" w:cs="Times New Roman"/>
                <w:lang w:val="en-US"/>
              </w:rPr>
              <w:t>l</w:t>
            </w:r>
            <w:r w:rsidRPr="00425573">
              <w:rPr>
                <w:rFonts w:ascii="Book Antiqua" w:eastAsia="Times New Roman" w:hAnsi="Book Antiqua" w:cs="Times New Roman"/>
                <w:lang w:val="en-US"/>
              </w:rPr>
              <w:t>ike 2</w:t>
            </w:r>
          </w:p>
        </w:tc>
        <w:tc>
          <w:tcPr>
            <w:tcW w:w="1347" w:type="dxa"/>
            <w:vMerge w:val="restart"/>
            <w:shd w:val="clear" w:color="auto" w:fill="auto"/>
            <w:vAlign w:val="center"/>
            <w:hideMark/>
          </w:tcPr>
          <w:p w14:paraId="17856335"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19q13.32</w:t>
            </w:r>
          </w:p>
        </w:tc>
        <w:tc>
          <w:tcPr>
            <w:tcW w:w="1346" w:type="dxa"/>
            <w:shd w:val="clear" w:color="auto" w:fill="auto"/>
            <w:vAlign w:val="center"/>
          </w:tcPr>
          <w:p w14:paraId="733BB188"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rs6859</w:t>
            </w:r>
          </w:p>
        </w:tc>
        <w:tc>
          <w:tcPr>
            <w:tcW w:w="3154" w:type="dxa"/>
            <w:shd w:val="clear" w:color="auto" w:fill="auto"/>
            <w:noWrap/>
            <w:vAlign w:val="center"/>
            <w:hideMark/>
          </w:tcPr>
          <w:p w14:paraId="5416AC79" w14:textId="437A3038"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Cell junctions, </w:t>
            </w:r>
            <w:r w:rsidR="00E05305" w:rsidRPr="00425573">
              <w:rPr>
                <w:rFonts w:ascii="Book Antiqua" w:eastAsia="Times New Roman" w:hAnsi="Book Antiqua" w:cs="Times New Roman"/>
                <w:lang w:val="en-US"/>
              </w:rPr>
              <w:t>i</w:t>
            </w:r>
            <w:r w:rsidRPr="00425573">
              <w:rPr>
                <w:rFonts w:ascii="Book Antiqua" w:eastAsia="Times New Roman" w:hAnsi="Book Antiqua" w:cs="Times New Roman"/>
                <w:lang w:val="en-US"/>
              </w:rPr>
              <w:t>nflammation</w:t>
            </w:r>
          </w:p>
        </w:tc>
        <w:tc>
          <w:tcPr>
            <w:tcW w:w="1524" w:type="dxa"/>
            <w:vMerge/>
            <w:shd w:val="clear" w:color="auto" w:fill="auto"/>
            <w:vAlign w:val="center"/>
            <w:hideMark/>
          </w:tcPr>
          <w:p w14:paraId="04E37C25"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5A66FABB"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750735B4"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APOC1</w:t>
            </w:r>
          </w:p>
        </w:tc>
        <w:tc>
          <w:tcPr>
            <w:tcW w:w="5133" w:type="dxa"/>
            <w:vMerge w:val="restart"/>
            <w:shd w:val="clear" w:color="auto" w:fill="auto"/>
            <w:noWrap/>
            <w:vAlign w:val="center"/>
            <w:hideMark/>
          </w:tcPr>
          <w:p w14:paraId="30A41E59"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Apolipoprotein C1</w:t>
            </w:r>
          </w:p>
        </w:tc>
        <w:tc>
          <w:tcPr>
            <w:tcW w:w="1347" w:type="dxa"/>
            <w:vMerge/>
            <w:shd w:val="clear" w:color="auto" w:fill="auto"/>
            <w:noWrap/>
            <w:vAlign w:val="center"/>
            <w:hideMark/>
          </w:tcPr>
          <w:p w14:paraId="232CFBC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0FC4952F"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rs111789331</w:t>
            </w:r>
          </w:p>
        </w:tc>
        <w:tc>
          <w:tcPr>
            <w:tcW w:w="3154" w:type="dxa"/>
            <w:vMerge w:val="restart"/>
            <w:shd w:val="clear" w:color="auto" w:fill="auto"/>
            <w:noWrap/>
            <w:vAlign w:val="center"/>
            <w:hideMark/>
          </w:tcPr>
          <w:p w14:paraId="039BD7E9"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Lipid metabolism</w:t>
            </w:r>
          </w:p>
        </w:tc>
        <w:tc>
          <w:tcPr>
            <w:tcW w:w="1524" w:type="dxa"/>
            <w:vMerge/>
            <w:shd w:val="clear" w:color="auto" w:fill="auto"/>
            <w:vAlign w:val="center"/>
            <w:hideMark/>
          </w:tcPr>
          <w:p w14:paraId="0CB6C317"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5E31BC08"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3BADCCAC"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1591BC2D"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12ECCE16"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21AADD43" w14:textId="77777777" w:rsidR="00B2158D" w:rsidRPr="00816738"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rs12721046</w:t>
            </w:r>
          </w:p>
        </w:tc>
        <w:tc>
          <w:tcPr>
            <w:tcW w:w="3154" w:type="dxa"/>
            <w:vMerge/>
            <w:shd w:val="clear" w:color="auto" w:fill="auto"/>
            <w:vAlign w:val="center"/>
            <w:hideMark/>
          </w:tcPr>
          <w:p w14:paraId="32F720D1" w14:textId="77777777" w:rsidR="00B2158D" w:rsidRPr="00816738"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4DB2C4B9"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4BBE39E5"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35075C0B"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7662E35D"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4AB97107"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4731F854"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rs12721051</w:t>
            </w:r>
          </w:p>
        </w:tc>
        <w:tc>
          <w:tcPr>
            <w:tcW w:w="3154" w:type="dxa"/>
            <w:vMerge/>
            <w:shd w:val="clear" w:color="auto" w:fill="auto"/>
            <w:vAlign w:val="center"/>
            <w:hideMark/>
          </w:tcPr>
          <w:p w14:paraId="63107FBC"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0B014B9B"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1725D089"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5BBFF60F"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6E4F7E8E"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7AB6F70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582EF77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rs4420638</w:t>
            </w:r>
          </w:p>
        </w:tc>
        <w:tc>
          <w:tcPr>
            <w:tcW w:w="3154" w:type="dxa"/>
            <w:vMerge/>
            <w:shd w:val="clear" w:color="auto" w:fill="auto"/>
            <w:vAlign w:val="center"/>
            <w:hideMark/>
          </w:tcPr>
          <w:p w14:paraId="1CD7A3A9"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17AE5CAB"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777FC493"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20BDC507"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2B3C6C4B"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48134F6A"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27DA6B01"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rs56131196</w:t>
            </w:r>
          </w:p>
        </w:tc>
        <w:tc>
          <w:tcPr>
            <w:tcW w:w="3154" w:type="dxa"/>
            <w:vMerge/>
            <w:shd w:val="clear" w:color="auto" w:fill="auto"/>
            <w:vAlign w:val="center"/>
            <w:hideMark/>
          </w:tcPr>
          <w:p w14:paraId="0147C282"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38FDB118"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0DF67BCD"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7BA5456B"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0E650A3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5544B81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48563BD7"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rs66626994</w:t>
            </w:r>
          </w:p>
        </w:tc>
        <w:tc>
          <w:tcPr>
            <w:tcW w:w="3154" w:type="dxa"/>
            <w:vMerge/>
            <w:shd w:val="clear" w:color="auto" w:fill="auto"/>
            <w:vAlign w:val="center"/>
            <w:hideMark/>
          </w:tcPr>
          <w:p w14:paraId="2F4294E0"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2856333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226F7160"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43F82643"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DNM3</w:t>
            </w:r>
          </w:p>
        </w:tc>
        <w:tc>
          <w:tcPr>
            <w:tcW w:w="5133" w:type="dxa"/>
            <w:vMerge w:val="restart"/>
            <w:shd w:val="clear" w:color="auto" w:fill="auto"/>
            <w:noWrap/>
            <w:vAlign w:val="center"/>
            <w:hideMark/>
          </w:tcPr>
          <w:p w14:paraId="21E0BA6C"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Dynamin 3</w:t>
            </w:r>
          </w:p>
        </w:tc>
        <w:tc>
          <w:tcPr>
            <w:tcW w:w="1347" w:type="dxa"/>
            <w:vMerge w:val="restart"/>
            <w:shd w:val="clear" w:color="auto" w:fill="auto"/>
            <w:noWrap/>
            <w:vAlign w:val="center"/>
            <w:hideMark/>
          </w:tcPr>
          <w:p w14:paraId="455C9228"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1q24.3</w:t>
            </w:r>
          </w:p>
        </w:tc>
        <w:tc>
          <w:tcPr>
            <w:tcW w:w="1346" w:type="dxa"/>
            <w:shd w:val="clear" w:color="auto" w:fill="auto"/>
            <w:vAlign w:val="center"/>
          </w:tcPr>
          <w:p w14:paraId="0B5FE8F8"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rs4504922</w:t>
            </w:r>
          </w:p>
        </w:tc>
        <w:tc>
          <w:tcPr>
            <w:tcW w:w="3154" w:type="dxa"/>
            <w:vMerge w:val="restart"/>
            <w:shd w:val="clear" w:color="auto" w:fill="auto"/>
            <w:noWrap/>
            <w:vAlign w:val="center"/>
            <w:hideMark/>
          </w:tcPr>
          <w:p w14:paraId="79791CCD" w14:textId="54B5728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 xml:space="preserve">Vesicle transport, </w:t>
            </w:r>
            <w:r w:rsidR="00E05305" w:rsidRPr="00464ECD">
              <w:rPr>
                <w:rFonts w:ascii="Book Antiqua" w:eastAsia="Times New Roman" w:hAnsi="Book Antiqua" w:cs="Times New Roman"/>
                <w:lang w:val="en-US"/>
              </w:rPr>
              <w:t>p</w:t>
            </w:r>
            <w:r w:rsidRPr="00464ECD">
              <w:rPr>
                <w:rFonts w:ascii="Book Antiqua" w:eastAsia="Times New Roman" w:hAnsi="Book Antiqua" w:cs="Times New Roman"/>
                <w:lang w:val="en-US"/>
              </w:rPr>
              <w:t>hagoc</w:t>
            </w:r>
            <w:r w:rsidR="00E05305" w:rsidRPr="00464ECD">
              <w:rPr>
                <w:rFonts w:ascii="Book Antiqua" w:eastAsia="Times New Roman" w:hAnsi="Book Antiqua" w:cs="Times New Roman"/>
                <w:lang w:val="en-US"/>
              </w:rPr>
              <w:t>y</w:t>
            </w:r>
            <w:r w:rsidRPr="00464ECD">
              <w:rPr>
                <w:rFonts w:ascii="Book Antiqua" w:eastAsia="Times New Roman" w:hAnsi="Book Antiqua" w:cs="Times New Roman"/>
                <w:lang w:val="en-US"/>
              </w:rPr>
              <w:t>tos</w:t>
            </w:r>
            <w:r w:rsidR="00E05305" w:rsidRPr="00464ECD">
              <w:rPr>
                <w:rFonts w:ascii="Book Antiqua" w:eastAsia="Times New Roman" w:hAnsi="Book Antiqua" w:cs="Times New Roman"/>
                <w:lang w:val="en-US"/>
              </w:rPr>
              <w:t>i</w:t>
            </w:r>
            <w:r w:rsidRPr="00464ECD">
              <w:rPr>
                <w:rFonts w:ascii="Book Antiqua" w:eastAsia="Times New Roman" w:hAnsi="Book Antiqua" w:cs="Times New Roman"/>
                <w:lang w:val="en-US"/>
              </w:rPr>
              <w:t>s</w:t>
            </w:r>
          </w:p>
        </w:tc>
        <w:tc>
          <w:tcPr>
            <w:tcW w:w="1524" w:type="dxa"/>
            <w:vMerge/>
            <w:shd w:val="clear" w:color="auto" w:fill="auto"/>
            <w:vAlign w:val="center"/>
            <w:hideMark/>
          </w:tcPr>
          <w:p w14:paraId="3652D2D8"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20F59644"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285D3F9A"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1C5DB49D"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51E6B15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1A2D58CE"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rs7539972</w:t>
            </w:r>
          </w:p>
        </w:tc>
        <w:tc>
          <w:tcPr>
            <w:tcW w:w="3154" w:type="dxa"/>
            <w:vMerge/>
            <w:shd w:val="clear" w:color="auto" w:fill="auto"/>
            <w:vAlign w:val="center"/>
            <w:hideMark/>
          </w:tcPr>
          <w:p w14:paraId="58B48B49"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21504F0E"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034B1020"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89281CD"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lastRenderedPageBreak/>
              <w:t>ADCY5</w:t>
            </w:r>
          </w:p>
        </w:tc>
        <w:tc>
          <w:tcPr>
            <w:tcW w:w="5133" w:type="dxa"/>
            <w:shd w:val="clear" w:color="auto" w:fill="auto"/>
            <w:noWrap/>
            <w:vAlign w:val="center"/>
            <w:hideMark/>
          </w:tcPr>
          <w:p w14:paraId="778A59CE" w14:textId="72809301"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Adenylate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yclase 5</w:t>
            </w:r>
          </w:p>
        </w:tc>
        <w:tc>
          <w:tcPr>
            <w:tcW w:w="1347" w:type="dxa"/>
            <w:shd w:val="clear" w:color="auto" w:fill="auto"/>
            <w:noWrap/>
            <w:vAlign w:val="center"/>
            <w:hideMark/>
          </w:tcPr>
          <w:p w14:paraId="11A426DB"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3q21.1</w:t>
            </w:r>
          </w:p>
        </w:tc>
        <w:tc>
          <w:tcPr>
            <w:tcW w:w="1346" w:type="dxa"/>
            <w:shd w:val="clear" w:color="auto" w:fill="auto"/>
            <w:vAlign w:val="center"/>
          </w:tcPr>
          <w:p w14:paraId="61734C24"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rs2877709</w:t>
            </w:r>
          </w:p>
        </w:tc>
        <w:tc>
          <w:tcPr>
            <w:tcW w:w="3154" w:type="dxa"/>
            <w:shd w:val="clear" w:color="auto" w:fill="auto"/>
            <w:noWrap/>
            <w:vAlign w:val="center"/>
            <w:hideMark/>
          </w:tcPr>
          <w:p w14:paraId="1F3CDDD7" w14:textId="4FF77E95"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Chemokine signaling, </w:t>
            </w:r>
            <w:r w:rsidR="00E05305" w:rsidRPr="00425573">
              <w:rPr>
                <w:rFonts w:ascii="Book Antiqua" w:eastAsia="Times New Roman" w:hAnsi="Book Antiqua" w:cs="Times New Roman"/>
                <w:lang w:val="en-US"/>
              </w:rPr>
              <w:t>i</w:t>
            </w:r>
            <w:r w:rsidRPr="00425573">
              <w:rPr>
                <w:rFonts w:ascii="Book Antiqua" w:eastAsia="Times New Roman" w:hAnsi="Book Antiqua" w:cs="Times New Roman"/>
                <w:lang w:val="en-US"/>
              </w:rPr>
              <w:t>nsulin secretion</w:t>
            </w:r>
          </w:p>
        </w:tc>
        <w:tc>
          <w:tcPr>
            <w:tcW w:w="1524" w:type="dxa"/>
            <w:vMerge/>
            <w:shd w:val="clear" w:color="auto" w:fill="auto"/>
            <w:vAlign w:val="center"/>
            <w:hideMark/>
          </w:tcPr>
          <w:p w14:paraId="7D1755FF"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5DBE9F94"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71B65218"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CDC123</w:t>
            </w:r>
          </w:p>
        </w:tc>
        <w:tc>
          <w:tcPr>
            <w:tcW w:w="5133" w:type="dxa"/>
            <w:shd w:val="clear" w:color="auto" w:fill="auto"/>
            <w:noWrap/>
            <w:vAlign w:val="center"/>
            <w:hideMark/>
          </w:tcPr>
          <w:p w14:paraId="7A7864F1" w14:textId="7DC4FBD3"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 xml:space="preserve">Cell </w:t>
            </w:r>
            <w:r w:rsidR="00E05305" w:rsidRPr="00464ECD">
              <w:rPr>
                <w:rFonts w:ascii="Book Antiqua" w:eastAsia="Times New Roman" w:hAnsi="Book Antiqua" w:cs="Times New Roman"/>
                <w:lang w:val="en-US"/>
              </w:rPr>
              <w:t>d</w:t>
            </w:r>
            <w:r w:rsidRPr="00464ECD">
              <w:rPr>
                <w:rFonts w:ascii="Book Antiqua" w:eastAsia="Times New Roman" w:hAnsi="Book Antiqua" w:cs="Times New Roman"/>
                <w:lang w:val="en-US"/>
              </w:rPr>
              <w:t xml:space="preserve">ivision </w:t>
            </w:r>
            <w:r w:rsidR="00E05305" w:rsidRPr="00464ECD">
              <w:rPr>
                <w:rFonts w:ascii="Book Antiqua" w:eastAsia="Times New Roman" w:hAnsi="Book Antiqua" w:cs="Times New Roman"/>
                <w:lang w:val="en-US"/>
              </w:rPr>
              <w:t>c</w:t>
            </w:r>
            <w:r w:rsidRPr="00464ECD">
              <w:rPr>
                <w:rFonts w:ascii="Book Antiqua" w:eastAsia="Times New Roman" w:hAnsi="Book Antiqua" w:cs="Times New Roman"/>
                <w:lang w:val="en-US"/>
              </w:rPr>
              <w:t>ycle 123</w:t>
            </w:r>
          </w:p>
        </w:tc>
        <w:tc>
          <w:tcPr>
            <w:tcW w:w="1347" w:type="dxa"/>
            <w:shd w:val="clear" w:color="auto" w:fill="auto"/>
            <w:noWrap/>
            <w:vAlign w:val="center"/>
            <w:hideMark/>
          </w:tcPr>
          <w:p w14:paraId="77C57CFD" w14:textId="77777777"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10p14-p13</w:t>
            </w:r>
          </w:p>
        </w:tc>
        <w:tc>
          <w:tcPr>
            <w:tcW w:w="1346" w:type="dxa"/>
            <w:shd w:val="clear" w:color="auto" w:fill="auto"/>
            <w:vAlign w:val="center"/>
          </w:tcPr>
          <w:p w14:paraId="6E58F775" w14:textId="77777777"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rs11257655</w:t>
            </w:r>
          </w:p>
        </w:tc>
        <w:tc>
          <w:tcPr>
            <w:tcW w:w="3154" w:type="dxa"/>
            <w:vMerge w:val="restart"/>
            <w:shd w:val="clear" w:color="auto" w:fill="auto"/>
            <w:noWrap/>
            <w:vAlign w:val="center"/>
            <w:hideMark/>
          </w:tcPr>
          <w:p w14:paraId="661A45F4" w14:textId="77777777"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Cell cycle regulation</w:t>
            </w:r>
          </w:p>
        </w:tc>
        <w:tc>
          <w:tcPr>
            <w:tcW w:w="1524" w:type="dxa"/>
            <w:vMerge w:val="restart"/>
            <w:shd w:val="clear" w:color="auto" w:fill="auto"/>
            <w:noWrap/>
            <w:vAlign w:val="center"/>
            <w:hideMark/>
          </w:tcPr>
          <w:p w14:paraId="18FA84A0" w14:textId="79238F52"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T2D/PD</w:t>
            </w:r>
          </w:p>
        </w:tc>
      </w:tr>
      <w:tr w:rsidR="001B7A33" w:rsidRPr="00425573" w14:paraId="780C66DA"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74FCC61B" w14:textId="77777777" w:rsidR="00B2158D" w:rsidRPr="00816738" w:rsidRDefault="00B2158D" w:rsidP="00CC10A4">
            <w:pPr>
              <w:snapToGrid w:val="0"/>
              <w:spacing w:line="360" w:lineRule="auto"/>
              <w:rPr>
                <w:rFonts w:ascii="Book Antiqua" w:eastAsia="Times New Roman" w:hAnsi="Book Antiqua" w:cs="Times New Roman"/>
                <w:b w:val="0"/>
                <w:bCs w:val="0"/>
                <w:i/>
                <w:lang w:val="en-US"/>
              </w:rPr>
            </w:pPr>
            <w:r w:rsidRPr="00816738">
              <w:rPr>
                <w:rFonts w:ascii="Book Antiqua" w:eastAsia="Times New Roman" w:hAnsi="Book Antiqua" w:cs="Times New Roman"/>
                <w:b w:val="0"/>
                <w:i/>
                <w:lang w:val="en-US"/>
              </w:rPr>
              <w:t>CDKN2B</w:t>
            </w:r>
          </w:p>
        </w:tc>
        <w:tc>
          <w:tcPr>
            <w:tcW w:w="5133" w:type="dxa"/>
            <w:vMerge w:val="restart"/>
            <w:shd w:val="clear" w:color="auto" w:fill="auto"/>
            <w:noWrap/>
            <w:vAlign w:val="center"/>
            <w:hideMark/>
          </w:tcPr>
          <w:p w14:paraId="2048F5BE" w14:textId="779484BF"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 xml:space="preserve">Cyclin </w:t>
            </w:r>
            <w:r w:rsidR="00E05305" w:rsidRPr="00464ECD">
              <w:rPr>
                <w:rFonts w:ascii="Book Antiqua" w:eastAsia="Times New Roman" w:hAnsi="Book Antiqua" w:cs="Times New Roman"/>
                <w:lang w:val="en-US"/>
              </w:rPr>
              <w:t>d</w:t>
            </w:r>
            <w:r w:rsidRPr="00464ECD">
              <w:rPr>
                <w:rFonts w:ascii="Book Antiqua" w:eastAsia="Times New Roman" w:hAnsi="Book Antiqua" w:cs="Times New Roman"/>
                <w:lang w:val="en-US"/>
              </w:rPr>
              <w:t xml:space="preserve">ependent </w:t>
            </w:r>
            <w:r w:rsidR="00E05305" w:rsidRPr="00464ECD">
              <w:rPr>
                <w:rFonts w:ascii="Book Antiqua" w:eastAsia="Times New Roman" w:hAnsi="Book Antiqua" w:cs="Times New Roman"/>
                <w:lang w:val="en-US"/>
              </w:rPr>
              <w:t>k</w:t>
            </w:r>
            <w:r w:rsidRPr="00464ECD">
              <w:rPr>
                <w:rFonts w:ascii="Book Antiqua" w:eastAsia="Times New Roman" w:hAnsi="Book Antiqua" w:cs="Times New Roman"/>
                <w:lang w:val="en-US"/>
              </w:rPr>
              <w:t xml:space="preserve">inase </w:t>
            </w:r>
            <w:r w:rsidR="00E05305" w:rsidRPr="00464ECD">
              <w:rPr>
                <w:rFonts w:ascii="Book Antiqua" w:eastAsia="Times New Roman" w:hAnsi="Book Antiqua" w:cs="Times New Roman"/>
                <w:lang w:val="en-US"/>
              </w:rPr>
              <w:t>i</w:t>
            </w:r>
            <w:r w:rsidRPr="00464ECD">
              <w:rPr>
                <w:rFonts w:ascii="Book Antiqua" w:eastAsia="Times New Roman" w:hAnsi="Book Antiqua" w:cs="Times New Roman"/>
                <w:lang w:val="en-US"/>
              </w:rPr>
              <w:t>nhibitor 2B</w:t>
            </w:r>
          </w:p>
        </w:tc>
        <w:tc>
          <w:tcPr>
            <w:tcW w:w="1347" w:type="dxa"/>
            <w:vMerge w:val="restart"/>
            <w:shd w:val="clear" w:color="auto" w:fill="auto"/>
            <w:noWrap/>
            <w:vAlign w:val="center"/>
            <w:hideMark/>
          </w:tcPr>
          <w:p w14:paraId="2A083E49"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9p21.3</w:t>
            </w:r>
          </w:p>
        </w:tc>
        <w:tc>
          <w:tcPr>
            <w:tcW w:w="1346" w:type="dxa"/>
            <w:shd w:val="clear" w:color="auto" w:fill="auto"/>
            <w:vAlign w:val="center"/>
          </w:tcPr>
          <w:p w14:paraId="194A3C35"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rs2383208</w:t>
            </w:r>
          </w:p>
        </w:tc>
        <w:tc>
          <w:tcPr>
            <w:tcW w:w="3154" w:type="dxa"/>
            <w:vMerge/>
            <w:shd w:val="clear" w:color="auto" w:fill="auto"/>
            <w:vAlign w:val="center"/>
            <w:hideMark/>
          </w:tcPr>
          <w:p w14:paraId="4FF46DE2"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6F284C84"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538C10FB"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0ED29FA0"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41427C4A"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2EA7017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57EF2EBB"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rs10965250</w:t>
            </w:r>
          </w:p>
        </w:tc>
        <w:tc>
          <w:tcPr>
            <w:tcW w:w="3154" w:type="dxa"/>
            <w:vMerge/>
            <w:shd w:val="clear" w:color="auto" w:fill="auto"/>
            <w:vAlign w:val="center"/>
            <w:hideMark/>
          </w:tcPr>
          <w:p w14:paraId="0DE09E3E"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7D236FFC"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71E8A841"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3F743F88"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69B60FC8"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0888618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7311FA70"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rs10811661</w:t>
            </w:r>
          </w:p>
        </w:tc>
        <w:tc>
          <w:tcPr>
            <w:tcW w:w="3154" w:type="dxa"/>
            <w:vMerge/>
            <w:shd w:val="clear" w:color="auto" w:fill="auto"/>
            <w:vAlign w:val="center"/>
            <w:hideMark/>
          </w:tcPr>
          <w:p w14:paraId="13C193B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044BFAFF"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4CC0D111"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58BB87B"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KANSL1</w:t>
            </w:r>
          </w:p>
        </w:tc>
        <w:tc>
          <w:tcPr>
            <w:tcW w:w="5133" w:type="dxa"/>
            <w:shd w:val="clear" w:color="auto" w:fill="auto"/>
            <w:noWrap/>
            <w:vAlign w:val="center"/>
            <w:hideMark/>
          </w:tcPr>
          <w:p w14:paraId="5C310BB1" w14:textId="1C612981"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KAT8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 xml:space="preserve">egulatory NSL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 xml:space="preserve">omplex </w:t>
            </w:r>
            <w:r w:rsidR="00E05305" w:rsidRPr="00425573">
              <w:rPr>
                <w:rFonts w:ascii="Book Antiqua" w:eastAsia="Times New Roman" w:hAnsi="Book Antiqua" w:cs="Times New Roman"/>
                <w:lang w:val="en-US"/>
              </w:rPr>
              <w:t>s</w:t>
            </w:r>
            <w:r w:rsidRPr="00425573">
              <w:rPr>
                <w:rFonts w:ascii="Book Antiqua" w:eastAsia="Times New Roman" w:hAnsi="Book Antiqua" w:cs="Times New Roman"/>
                <w:lang w:val="en-US"/>
              </w:rPr>
              <w:t>ubunit 1</w:t>
            </w:r>
          </w:p>
        </w:tc>
        <w:tc>
          <w:tcPr>
            <w:tcW w:w="1347" w:type="dxa"/>
            <w:shd w:val="clear" w:color="auto" w:fill="auto"/>
            <w:noWrap/>
            <w:vAlign w:val="center"/>
            <w:hideMark/>
          </w:tcPr>
          <w:p w14:paraId="609A6A4D"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17q21.31</w:t>
            </w:r>
          </w:p>
        </w:tc>
        <w:tc>
          <w:tcPr>
            <w:tcW w:w="1346" w:type="dxa"/>
            <w:shd w:val="clear" w:color="auto" w:fill="auto"/>
            <w:vAlign w:val="center"/>
          </w:tcPr>
          <w:p w14:paraId="1EED067C"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rs17661428</w:t>
            </w:r>
          </w:p>
        </w:tc>
        <w:tc>
          <w:tcPr>
            <w:tcW w:w="3154" w:type="dxa"/>
            <w:shd w:val="clear" w:color="auto" w:fill="auto"/>
            <w:noWrap/>
            <w:vAlign w:val="center"/>
            <w:hideMark/>
          </w:tcPr>
          <w:p w14:paraId="061E75DA"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Transcriptional activation</w:t>
            </w:r>
          </w:p>
        </w:tc>
        <w:tc>
          <w:tcPr>
            <w:tcW w:w="1524" w:type="dxa"/>
            <w:vMerge w:val="restart"/>
            <w:shd w:val="clear" w:color="auto" w:fill="auto"/>
            <w:noWrap/>
            <w:vAlign w:val="center"/>
            <w:hideMark/>
          </w:tcPr>
          <w:p w14:paraId="599BE584" w14:textId="405DE920"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T1D/PD</w:t>
            </w:r>
          </w:p>
        </w:tc>
      </w:tr>
      <w:tr w:rsidR="001B7A33" w:rsidRPr="00425573" w14:paraId="50E593D3"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1C216A65"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CXCR4</w:t>
            </w:r>
          </w:p>
        </w:tc>
        <w:tc>
          <w:tcPr>
            <w:tcW w:w="5133" w:type="dxa"/>
            <w:shd w:val="clear" w:color="auto" w:fill="auto"/>
            <w:noWrap/>
            <w:vAlign w:val="center"/>
            <w:hideMark/>
          </w:tcPr>
          <w:p w14:paraId="48FB69C6" w14:textId="53AEB1B4"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C-X-C </w:t>
            </w:r>
            <w:r w:rsidR="00E05305" w:rsidRPr="00425573">
              <w:rPr>
                <w:rFonts w:ascii="Book Antiqua" w:eastAsia="Times New Roman" w:hAnsi="Book Antiqua" w:cs="Times New Roman"/>
                <w:lang w:val="en-US"/>
              </w:rPr>
              <w:t>m</w:t>
            </w:r>
            <w:r w:rsidRPr="00425573">
              <w:rPr>
                <w:rFonts w:ascii="Book Antiqua" w:eastAsia="Times New Roman" w:hAnsi="Book Antiqua" w:cs="Times New Roman"/>
                <w:lang w:val="en-US"/>
              </w:rPr>
              <w:t xml:space="preserve">otif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 xml:space="preserve">hemokine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eceptor 4</w:t>
            </w:r>
          </w:p>
        </w:tc>
        <w:tc>
          <w:tcPr>
            <w:tcW w:w="1347" w:type="dxa"/>
            <w:shd w:val="clear" w:color="auto" w:fill="auto"/>
            <w:noWrap/>
            <w:vAlign w:val="center"/>
            <w:hideMark/>
          </w:tcPr>
          <w:p w14:paraId="7015BCE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2q22.1</w:t>
            </w:r>
          </w:p>
        </w:tc>
        <w:tc>
          <w:tcPr>
            <w:tcW w:w="1346" w:type="dxa"/>
            <w:shd w:val="clear" w:color="auto" w:fill="auto"/>
            <w:vAlign w:val="center"/>
          </w:tcPr>
          <w:p w14:paraId="0CFCB9F2"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rs2011946</w:t>
            </w:r>
          </w:p>
        </w:tc>
        <w:tc>
          <w:tcPr>
            <w:tcW w:w="3154" w:type="dxa"/>
            <w:vMerge w:val="restart"/>
            <w:shd w:val="clear" w:color="auto" w:fill="auto"/>
            <w:noWrap/>
            <w:vAlign w:val="center"/>
            <w:hideMark/>
          </w:tcPr>
          <w:p w14:paraId="56762C17"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Inflammation, neuronal development</w:t>
            </w:r>
          </w:p>
        </w:tc>
        <w:tc>
          <w:tcPr>
            <w:tcW w:w="1524" w:type="dxa"/>
            <w:vMerge/>
            <w:shd w:val="clear" w:color="auto" w:fill="auto"/>
            <w:vAlign w:val="center"/>
            <w:hideMark/>
          </w:tcPr>
          <w:p w14:paraId="0E864A85"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780A2FAD"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1264F8B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MAP3K14</w:t>
            </w:r>
          </w:p>
        </w:tc>
        <w:tc>
          <w:tcPr>
            <w:tcW w:w="5133" w:type="dxa"/>
            <w:shd w:val="clear" w:color="auto" w:fill="auto"/>
            <w:noWrap/>
            <w:vAlign w:val="center"/>
            <w:hideMark/>
          </w:tcPr>
          <w:p w14:paraId="46A76ADD" w14:textId="5D6C68C2"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Mitogen-</w:t>
            </w:r>
            <w:r w:rsidR="00E05305" w:rsidRPr="00425573">
              <w:rPr>
                <w:rFonts w:ascii="Book Antiqua" w:eastAsia="Times New Roman" w:hAnsi="Book Antiqua" w:cs="Times New Roman"/>
                <w:lang w:val="en-US"/>
              </w:rPr>
              <w:t>a</w:t>
            </w:r>
            <w:r w:rsidRPr="00425573">
              <w:rPr>
                <w:rFonts w:ascii="Book Antiqua" w:eastAsia="Times New Roman" w:hAnsi="Book Antiqua" w:cs="Times New Roman"/>
                <w:lang w:val="en-US"/>
              </w:rPr>
              <w:t xml:space="preserve">ctivated </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 xml:space="preserve">rotein </w:t>
            </w:r>
            <w:r w:rsidR="00E05305" w:rsidRPr="00425573">
              <w:rPr>
                <w:rFonts w:ascii="Book Antiqua" w:eastAsia="Times New Roman" w:hAnsi="Book Antiqua" w:cs="Times New Roman"/>
                <w:lang w:val="en-US"/>
              </w:rPr>
              <w:t>k</w:t>
            </w:r>
            <w:r w:rsidRPr="00425573">
              <w:rPr>
                <w:rFonts w:ascii="Book Antiqua" w:eastAsia="Times New Roman" w:hAnsi="Book Antiqua" w:cs="Times New Roman"/>
                <w:lang w:val="en-US"/>
              </w:rPr>
              <w:t xml:space="preserve">inase </w:t>
            </w:r>
            <w:r w:rsidR="00E05305" w:rsidRPr="00425573">
              <w:rPr>
                <w:rFonts w:ascii="Book Antiqua" w:eastAsia="Times New Roman" w:hAnsi="Book Antiqua" w:cs="Times New Roman"/>
                <w:lang w:val="en-US"/>
              </w:rPr>
              <w:t>k</w:t>
            </w:r>
            <w:r w:rsidRPr="00425573">
              <w:rPr>
                <w:rFonts w:ascii="Book Antiqua" w:eastAsia="Times New Roman" w:hAnsi="Book Antiqua" w:cs="Times New Roman"/>
                <w:lang w:val="en-US"/>
              </w:rPr>
              <w:t xml:space="preserve">inase </w:t>
            </w:r>
            <w:r w:rsidR="00E05305" w:rsidRPr="00425573">
              <w:rPr>
                <w:rFonts w:ascii="Book Antiqua" w:eastAsia="Times New Roman" w:hAnsi="Book Antiqua" w:cs="Times New Roman"/>
                <w:lang w:val="en-US"/>
              </w:rPr>
              <w:t>k</w:t>
            </w:r>
            <w:r w:rsidRPr="00425573">
              <w:rPr>
                <w:rFonts w:ascii="Book Antiqua" w:eastAsia="Times New Roman" w:hAnsi="Book Antiqua" w:cs="Times New Roman"/>
                <w:lang w:val="en-US"/>
              </w:rPr>
              <w:t>inase 14</w:t>
            </w:r>
          </w:p>
        </w:tc>
        <w:tc>
          <w:tcPr>
            <w:tcW w:w="1347" w:type="dxa"/>
            <w:vMerge w:val="restart"/>
            <w:shd w:val="clear" w:color="auto" w:fill="auto"/>
            <w:noWrap/>
            <w:vAlign w:val="center"/>
            <w:hideMark/>
          </w:tcPr>
          <w:p w14:paraId="1FBB71F6"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17q21.31</w:t>
            </w:r>
          </w:p>
        </w:tc>
        <w:tc>
          <w:tcPr>
            <w:tcW w:w="1346" w:type="dxa"/>
            <w:shd w:val="clear" w:color="auto" w:fill="auto"/>
            <w:vAlign w:val="center"/>
          </w:tcPr>
          <w:p w14:paraId="750F9D64"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rs2867316</w:t>
            </w:r>
          </w:p>
        </w:tc>
        <w:tc>
          <w:tcPr>
            <w:tcW w:w="3154" w:type="dxa"/>
            <w:vMerge/>
            <w:shd w:val="clear" w:color="auto" w:fill="auto"/>
            <w:vAlign w:val="center"/>
            <w:hideMark/>
          </w:tcPr>
          <w:p w14:paraId="7315F9EA"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2D21782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43C72D34"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shd w:val="clear" w:color="auto" w:fill="auto"/>
            <w:noWrap/>
            <w:vAlign w:val="center"/>
            <w:hideMark/>
          </w:tcPr>
          <w:p w14:paraId="39D3E7B3"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CRHR1</w:t>
            </w:r>
          </w:p>
        </w:tc>
        <w:tc>
          <w:tcPr>
            <w:tcW w:w="5133" w:type="dxa"/>
            <w:tcBorders>
              <w:bottom w:val="single" w:sz="4" w:space="0" w:color="auto"/>
            </w:tcBorders>
            <w:shd w:val="clear" w:color="auto" w:fill="auto"/>
            <w:noWrap/>
            <w:vAlign w:val="center"/>
            <w:hideMark/>
          </w:tcPr>
          <w:p w14:paraId="116C8E94" w14:textId="6F69FED0"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Corticotropin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 xml:space="preserve">eleasing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ormone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eceptor 1</w:t>
            </w:r>
          </w:p>
        </w:tc>
        <w:tc>
          <w:tcPr>
            <w:tcW w:w="1347" w:type="dxa"/>
            <w:vMerge/>
            <w:tcBorders>
              <w:bottom w:val="single" w:sz="4" w:space="0" w:color="auto"/>
            </w:tcBorders>
            <w:shd w:val="clear" w:color="auto" w:fill="auto"/>
            <w:vAlign w:val="center"/>
            <w:hideMark/>
          </w:tcPr>
          <w:p w14:paraId="0CA6815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tcBorders>
              <w:bottom w:val="single" w:sz="4" w:space="0" w:color="auto"/>
            </w:tcBorders>
            <w:shd w:val="clear" w:color="auto" w:fill="auto"/>
            <w:vAlign w:val="center"/>
          </w:tcPr>
          <w:p w14:paraId="6ABD65B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rs393152</w:t>
            </w:r>
          </w:p>
        </w:tc>
        <w:tc>
          <w:tcPr>
            <w:tcW w:w="3154" w:type="dxa"/>
            <w:tcBorders>
              <w:bottom w:val="single" w:sz="4" w:space="0" w:color="auto"/>
            </w:tcBorders>
            <w:shd w:val="clear" w:color="auto" w:fill="auto"/>
            <w:noWrap/>
            <w:vAlign w:val="center"/>
            <w:hideMark/>
          </w:tcPr>
          <w:p w14:paraId="7EF4C9CA"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Hormonal signaling, stress and immune response</w:t>
            </w:r>
          </w:p>
        </w:tc>
        <w:tc>
          <w:tcPr>
            <w:tcW w:w="1524" w:type="dxa"/>
            <w:vMerge/>
            <w:tcBorders>
              <w:bottom w:val="single" w:sz="4" w:space="0" w:color="auto"/>
            </w:tcBorders>
            <w:shd w:val="clear" w:color="auto" w:fill="auto"/>
            <w:vAlign w:val="center"/>
            <w:hideMark/>
          </w:tcPr>
          <w:p w14:paraId="0FEE4B30"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bl>
    <w:p w14:paraId="2E8D53F6" w14:textId="074A0B75" w:rsidR="00B2158D" w:rsidRPr="00CC10A4" w:rsidRDefault="00B2158D" w:rsidP="00CC10A4">
      <w:pPr>
        <w:snapToGrid w:val="0"/>
        <w:spacing w:line="360" w:lineRule="auto"/>
        <w:jc w:val="both"/>
        <w:rPr>
          <w:rFonts w:ascii="Book Antiqua" w:hAnsi="Book Antiqua"/>
          <w:color w:val="000000" w:themeColor="text1"/>
          <w:lang w:val="en-US"/>
        </w:rPr>
      </w:pPr>
      <w:r w:rsidRPr="00425573">
        <w:rPr>
          <w:rFonts w:ascii="Book Antiqua" w:hAnsi="Book Antiqua"/>
          <w:color w:val="000000" w:themeColor="text1"/>
          <w:lang w:val="en-US"/>
        </w:rPr>
        <w:t xml:space="preserve">AD: Alzheimer’s </w:t>
      </w:r>
      <w:r w:rsidR="00E95DE3" w:rsidRPr="00425573">
        <w:rPr>
          <w:rFonts w:ascii="Book Antiqua" w:hAnsi="Book Antiqua"/>
          <w:color w:val="000000" w:themeColor="text1"/>
          <w:lang w:val="en-US"/>
        </w:rPr>
        <w:t>d</w:t>
      </w:r>
      <w:r w:rsidRPr="00425573">
        <w:rPr>
          <w:rFonts w:ascii="Book Antiqua" w:hAnsi="Book Antiqua"/>
          <w:color w:val="000000" w:themeColor="text1"/>
          <w:lang w:val="en-US"/>
        </w:rPr>
        <w:t xml:space="preserve">isease; PD: Parkinson’s </w:t>
      </w:r>
      <w:r w:rsidR="00E95DE3" w:rsidRPr="00425573">
        <w:rPr>
          <w:rFonts w:ascii="Book Antiqua" w:hAnsi="Book Antiqua"/>
          <w:color w:val="000000" w:themeColor="text1"/>
          <w:lang w:val="en-US"/>
        </w:rPr>
        <w:t>d</w:t>
      </w:r>
      <w:r w:rsidRPr="00425573">
        <w:rPr>
          <w:rFonts w:ascii="Book Antiqua" w:hAnsi="Book Antiqua"/>
          <w:color w:val="000000" w:themeColor="text1"/>
          <w:lang w:val="en-US"/>
        </w:rPr>
        <w:t xml:space="preserve">isease; T1D: Type 1 </w:t>
      </w:r>
      <w:r w:rsidR="00E95DE3" w:rsidRPr="00425573">
        <w:rPr>
          <w:rFonts w:ascii="Book Antiqua" w:hAnsi="Book Antiqua"/>
          <w:color w:val="000000" w:themeColor="text1"/>
          <w:lang w:val="en-US"/>
        </w:rPr>
        <w:t>d</w:t>
      </w:r>
      <w:r w:rsidRPr="00425573">
        <w:rPr>
          <w:rFonts w:ascii="Book Antiqua" w:hAnsi="Book Antiqua"/>
          <w:color w:val="000000" w:themeColor="text1"/>
          <w:lang w:val="en-US"/>
        </w:rPr>
        <w:t>iabetes</w:t>
      </w:r>
      <w:r w:rsidR="00E95DE3" w:rsidRPr="00425573">
        <w:rPr>
          <w:rFonts w:ascii="Book Antiqua" w:hAnsi="Book Antiqua"/>
          <w:color w:val="000000" w:themeColor="text1"/>
          <w:lang w:val="en-US"/>
        </w:rPr>
        <w:t>; T2D: Type 2 diabetes</w:t>
      </w:r>
      <w:r w:rsidR="00976A9D">
        <w:rPr>
          <w:rFonts w:ascii="Book Antiqua" w:hAnsi="Book Antiqua"/>
          <w:color w:val="000000" w:themeColor="text1"/>
          <w:lang w:val="en-US"/>
        </w:rPr>
        <w:t xml:space="preserve">; </w:t>
      </w:r>
      <w:r w:rsidR="00976A9D" w:rsidRPr="00425573">
        <w:rPr>
          <w:rFonts w:ascii="Book Antiqua" w:eastAsia="Times New Roman" w:hAnsi="Book Antiqua" w:cs="Times New Roman"/>
          <w:lang w:val="en-US"/>
        </w:rPr>
        <w:t>SNP</w:t>
      </w:r>
      <w:r w:rsidR="00976A9D">
        <w:rPr>
          <w:rFonts w:ascii="Book Antiqua" w:eastAsia="Times New Roman" w:hAnsi="Book Antiqua" w:cs="Times New Roman"/>
          <w:lang w:val="en-US"/>
        </w:rPr>
        <w:t xml:space="preserve">: </w:t>
      </w:r>
      <w:r w:rsidR="00976A9D" w:rsidRPr="00976A9D">
        <w:rPr>
          <w:rFonts w:ascii="Book Antiqua" w:eastAsia="Times New Roman" w:hAnsi="Book Antiqua" w:cs="Times New Roman"/>
          <w:caps/>
          <w:lang w:val="en-US"/>
        </w:rPr>
        <w:t>s</w:t>
      </w:r>
      <w:r w:rsidR="00976A9D" w:rsidRPr="00976A9D">
        <w:rPr>
          <w:rFonts w:ascii="Book Antiqua" w:eastAsia="Times New Roman" w:hAnsi="Book Antiqua" w:cs="Times New Roman"/>
          <w:lang w:val="en-US"/>
        </w:rPr>
        <w:t>ingle nucleotide polymorphism</w:t>
      </w:r>
      <w:r w:rsidR="00976A9D">
        <w:rPr>
          <w:rFonts w:ascii="Book Antiqua" w:eastAsia="Times New Roman" w:hAnsi="Book Antiqua" w:cs="Times New Roman"/>
          <w:lang w:val="en-US"/>
        </w:rPr>
        <w:t>.</w:t>
      </w:r>
    </w:p>
    <w:sectPr w:rsidR="00B2158D" w:rsidRPr="00CC10A4" w:rsidSect="00E52278">
      <w:pgSz w:w="16819" w:h="1189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3679" w14:textId="77777777" w:rsidR="00022B3A" w:rsidRDefault="00022B3A" w:rsidP="00432D83">
      <w:r>
        <w:separator/>
      </w:r>
    </w:p>
  </w:endnote>
  <w:endnote w:type="continuationSeparator" w:id="0">
    <w:p w14:paraId="03CFA2CD" w14:textId="77777777" w:rsidR="00022B3A" w:rsidRDefault="00022B3A" w:rsidP="0043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8421042"/>
      <w:docPartObj>
        <w:docPartGallery w:val="Page Numbers (Bottom of Page)"/>
        <w:docPartUnique/>
      </w:docPartObj>
    </w:sdtPr>
    <w:sdtEndPr>
      <w:rPr>
        <w:rStyle w:val="PageNumber"/>
      </w:rPr>
    </w:sdtEndPr>
    <w:sdtContent>
      <w:p w14:paraId="529CD62C" w14:textId="26A2D220" w:rsidR="0002400A" w:rsidRDefault="0002400A" w:rsidP="007C2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CA043" w14:textId="77777777" w:rsidR="0002400A" w:rsidRDefault="0002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848641"/>
      <w:docPartObj>
        <w:docPartGallery w:val="Page Numbers (Bottom of Page)"/>
        <w:docPartUnique/>
      </w:docPartObj>
    </w:sdtPr>
    <w:sdtEndPr>
      <w:rPr>
        <w:rStyle w:val="PageNumber"/>
        <w:rFonts w:ascii="Book Antiqua" w:hAnsi="Book Antiqua"/>
        <w:sz w:val="20"/>
        <w:szCs w:val="20"/>
      </w:rPr>
    </w:sdtEndPr>
    <w:sdtContent>
      <w:p w14:paraId="5C9BD467" w14:textId="4A752F26" w:rsidR="0002400A" w:rsidRPr="005102BC" w:rsidRDefault="0002400A" w:rsidP="007C291A">
        <w:pPr>
          <w:pStyle w:val="Footer"/>
          <w:framePr w:wrap="none" w:vAnchor="text" w:hAnchor="margin" w:xAlign="center" w:y="1"/>
          <w:rPr>
            <w:rStyle w:val="PageNumber"/>
            <w:rFonts w:ascii="Book Antiqua" w:hAnsi="Book Antiqua"/>
            <w:sz w:val="20"/>
            <w:szCs w:val="20"/>
          </w:rPr>
        </w:pPr>
        <w:r w:rsidRPr="005102BC">
          <w:rPr>
            <w:rStyle w:val="PageNumber"/>
            <w:rFonts w:ascii="Book Antiqua" w:hAnsi="Book Antiqua"/>
            <w:sz w:val="20"/>
            <w:szCs w:val="20"/>
          </w:rPr>
          <w:fldChar w:fldCharType="begin"/>
        </w:r>
        <w:r w:rsidRPr="005102BC">
          <w:rPr>
            <w:rStyle w:val="PageNumber"/>
            <w:rFonts w:ascii="Book Antiqua" w:hAnsi="Book Antiqua"/>
            <w:sz w:val="20"/>
            <w:szCs w:val="20"/>
          </w:rPr>
          <w:instrText xml:space="preserve"> PAGE </w:instrText>
        </w:r>
        <w:r w:rsidRPr="005102BC">
          <w:rPr>
            <w:rStyle w:val="PageNumber"/>
            <w:rFonts w:ascii="Book Antiqua" w:hAnsi="Book Antiqua"/>
            <w:sz w:val="20"/>
            <w:szCs w:val="20"/>
          </w:rPr>
          <w:fldChar w:fldCharType="separate"/>
        </w:r>
        <w:r w:rsidR="00976AD6">
          <w:rPr>
            <w:rStyle w:val="PageNumber"/>
            <w:rFonts w:ascii="Book Antiqua" w:hAnsi="Book Antiqua"/>
            <w:noProof/>
            <w:sz w:val="20"/>
            <w:szCs w:val="20"/>
          </w:rPr>
          <w:t>27</w:t>
        </w:r>
        <w:r w:rsidRPr="005102BC">
          <w:rPr>
            <w:rStyle w:val="PageNumber"/>
            <w:rFonts w:ascii="Book Antiqua" w:hAnsi="Book Antiqua"/>
            <w:sz w:val="20"/>
            <w:szCs w:val="20"/>
          </w:rPr>
          <w:fldChar w:fldCharType="end"/>
        </w:r>
      </w:p>
    </w:sdtContent>
  </w:sdt>
  <w:p w14:paraId="4F46724D" w14:textId="77777777" w:rsidR="0002400A" w:rsidRPr="005102BC" w:rsidRDefault="0002400A">
    <w:pPr>
      <w:pStyle w:val="Footer"/>
      <w:rPr>
        <w:rFonts w:ascii="Book Antiqua" w:hAnsi="Book Antiqu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CFB2" w14:textId="77777777" w:rsidR="00022B3A" w:rsidRDefault="00022B3A" w:rsidP="00432D83">
      <w:r>
        <w:separator/>
      </w:r>
    </w:p>
  </w:footnote>
  <w:footnote w:type="continuationSeparator" w:id="0">
    <w:p w14:paraId="3818CC6C" w14:textId="77777777" w:rsidR="00022B3A" w:rsidRDefault="00022B3A" w:rsidP="0043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6023A"/>
    <w:multiLevelType w:val="multilevel"/>
    <w:tmpl w:val="33D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F684C"/>
    <w:multiLevelType w:val="multilevel"/>
    <w:tmpl w:val="DEE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B6"/>
    <w:rsid w:val="00004399"/>
    <w:rsid w:val="00005EA0"/>
    <w:rsid w:val="00006284"/>
    <w:rsid w:val="00006613"/>
    <w:rsid w:val="000067D7"/>
    <w:rsid w:val="00007422"/>
    <w:rsid w:val="000078B4"/>
    <w:rsid w:val="00011783"/>
    <w:rsid w:val="00011C00"/>
    <w:rsid w:val="00013E9B"/>
    <w:rsid w:val="00015AFD"/>
    <w:rsid w:val="00016B34"/>
    <w:rsid w:val="00020196"/>
    <w:rsid w:val="00021083"/>
    <w:rsid w:val="00022B3A"/>
    <w:rsid w:val="0002400A"/>
    <w:rsid w:val="000250E1"/>
    <w:rsid w:val="00026C3F"/>
    <w:rsid w:val="00026FCF"/>
    <w:rsid w:val="00030098"/>
    <w:rsid w:val="0003277A"/>
    <w:rsid w:val="00033F1A"/>
    <w:rsid w:val="0003527A"/>
    <w:rsid w:val="00041042"/>
    <w:rsid w:val="00042C76"/>
    <w:rsid w:val="000444E2"/>
    <w:rsid w:val="0004601D"/>
    <w:rsid w:val="00047B89"/>
    <w:rsid w:val="0005184A"/>
    <w:rsid w:val="0005297B"/>
    <w:rsid w:val="00055032"/>
    <w:rsid w:val="000600A4"/>
    <w:rsid w:val="00062679"/>
    <w:rsid w:val="000653B0"/>
    <w:rsid w:val="00066772"/>
    <w:rsid w:val="00066C6F"/>
    <w:rsid w:val="00070D59"/>
    <w:rsid w:val="0007117A"/>
    <w:rsid w:val="000740ED"/>
    <w:rsid w:val="00074E02"/>
    <w:rsid w:val="00075F82"/>
    <w:rsid w:val="00075FC3"/>
    <w:rsid w:val="000772CD"/>
    <w:rsid w:val="000772D1"/>
    <w:rsid w:val="00081D9C"/>
    <w:rsid w:val="000824BE"/>
    <w:rsid w:val="00083E5A"/>
    <w:rsid w:val="00090244"/>
    <w:rsid w:val="00094805"/>
    <w:rsid w:val="000961E6"/>
    <w:rsid w:val="000975F3"/>
    <w:rsid w:val="000A069B"/>
    <w:rsid w:val="000A18A2"/>
    <w:rsid w:val="000A1C15"/>
    <w:rsid w:val="000B07E2"/>
    <w:rsid w:val="000B21F8"/>
    <w:rsid w:val="000B2243"/>
    <w:rsid w:val="000B2ACA"/>
    <w:rsid w:val="000B4B64"/>
    <w:rsid w:val="000B4FA6"/>
    <w:rsid w:val="000B5E00"/>
    <w:rsid w:val="000B5E79"/>
    <w:rsid w:val="000B6FBD"/>
    <w:rsid w:val="000B7D72"/>
    <w:rsid w:val="000C1828"/>
    <w:rsid w:val="000C577B"/>
    <w:rsid w:val="000C67AC"/>
    <w:rsid w:val="000C7F44"/>
    <w:rsid w:val="000D0962"/>
    <w:rsid w:val="000D2151"/>
    <w:rsid w:val="000D304C"/>
    <w:rsid w:val="000D4050"/>
    <w:rsid w:val="000D40F4"/>
    <w:rsid w:val="000D5DB2"/>
    <w:rsid w:val="000D6809"/>
    <w:rsid w:val="000D749B"/>
    <w:rsid w:val="000E3A3F"/>
    <w:rsid w:val="000E532E"/>
    <w:rsid w:val="000F0C0E"/>
    <w:rsid w:val="000F1764"/>
    <w:rsid w:val="000F461C"/>
    <w:rsid w:val="000F5B47"/>
    <w:rsid w:val="000F6078"/>
    <w:rsid w:val="000F7F51"/>
    <w:rsid w:val="00102832"/>
    <w:rsid w:val="001047CA"/>
    <w:rsid w:val="00105C2E"/>
    <w:rsid w:val="00107565"/>
    <w:rsid w:val="001106CE"/>
    <w:rsid w:val="00110DAC"/>
    <w:rsid w:val="00112898"/>
    <w:rsid w:val="00112BCD"/>
    <w:rsid w:val="00114C0F"/>
    <w:rsid w:val="00115086"/>
    <w:rsid w:val="00116BF7"/>
    <w:rsid w:val="0012089E"/>
    <w:rsid w:val="00121684"/>
    <w:rsid w:val="001217A6"/>
    <w:rsid w:val="001312C0"/>
    <w:rsid w:val="00133118"/>
    <w:rsid w:val="00133902"/>
    <w:rsid w:val="00136842"/>
    <w:rsid w:val="00136B98"/>
    <w:rsid w:val="00137D76"/>
    <w:rsid w:val="00142E6B"/>
    <w:rsid w:val="00143AAE"/>
    <w:rsid w:val="00144491"/>
    <w:rsid w:val="0014695A"/>
    <w:rsid w:val="00150506"/>
    <w:rsid w:val="00151520"/>
    <w:rsid w:val="001522A1"/>
    <w:rsid w:val="001547F7"/>
    <w:rsid w:val="0015565C"/>
    <w:rsid w:val="0015698B"/>
    <w:rsid w:val="00157E49"/>
    <w:rsid w:val="001603F8"/>
    <w:rsid w:val="0016215A"/>
    <w:rsid w:val="001625E9"/>
    <w:rsid w:val="001645C6"/>
    <w:rsid w:val="00164E68"/>
    <w:rsid w:val="00165C3C"/>
    <w:rsid w:val="00166404"/>
    <w:rsid w:val="001725FC"/>
    <w:rsid w:val="00180208"/>
    <w:rsid w:val="001802B8"/>
    <w:rsid w:val="0018163B"/>
    <w:rsid w:val="00182E12"/>
    <w:rsid w:val="00182EE8"/>
    <w:rsid w:val="00186527"/>
    <w:rsid w:val="00192559"/>
    <w:rsid w:val="00192DA0"/>
    <w:rsid w:val="001932C3"/>
    <w:rsid w:val="001933E4"/>
    <w:rsid w:val="00193436"/>
    <w:rsid w:val="00193B5C"/>
    <w:rsid w:val="00194001"/>
    <w:rsid w:val="001946D8"/>
    <w:rsid w:val="001952CF"/>
    <w:rsid w:val="00195C70"/>
    <w:rsid w:val="00196913"/>
    <w:rsid w:val="001A11A1"/>
    <w:rsid w:val="001A514A"/>
    <w:rsid w:val="001B436D"/>
    <w:rsid w:val="001B63BA"/>
    <w:rsid w:val="001B673B"/>
    <w:rsid w:val="001B70D3"/>
    <w:rsid w:val="001B74F0"/>
    <w:rsid w:val="001B7A33"/>
    <w:rsid w:val="001B7CAB"/>
    <w:rsid w:val="001C5C0C"/>
    <w:rsid w:val="001C5D88"/>
    <w:rsid w:val="001D154F"/>
    <w:rsid w:val="001D1CC7"/>
    <w:rsid w:val="001D2664"/>
    <w:rsid w:val="001D3719"/>
    <w:rsid w:val="001D375C"/>
    <w:rsid w:val="001D386B"/>
    <w:rsid w:val="001D50E4"/>
    <w:rsid w:val="001D5D44"/>
    <w:rsid w:val="001D66FC"/>
    <w:rsid w:val="001E3ADC"/>
    <w:rsid w:val="001E4B73"/>
    <w:rsid w:val="001F055D"/>
    <w:rsid w:val="001F1D3D"/>
    <w:rsid w:val="001F3922"/>
    <w:rsid w:val="001F4EAD"/>
    <w:rsid w:val="001F5EEF"/>
    <w:rsid w:val="00200218"/>
    <w:rsid w:val="00200D1C"/>
    <w:rsid w:val="00206704"/>
    <w:rsid w:val="00206DE4"/>
    <w:rsid w:val="00211FD6"/>
    <w:rsid w:val="00214094"/>
    <w:rsid w:val="00214BA0"/>
    <w:rsid w:val="002178B7"/>
    <w:rsid w:val="002216E9"/>
    <w:rsid w:val="002240E5"/>
    <w:rsid w:val="002256F0"/>
    <w:rsid w:val="00225BBF"/>
    <w:rsid w:val="002271F1"/>
    <w:rsid w:val="00232772"/>
    <w:rsid w:val="0023290A"/>
    <w:rsid w:val="002334D3"/>
    <w:rsid w:val="0023437D"/>
    <w:rsid w:val="00235734"/>
    <w:rsid w:val="002371FE"/>
    <w:rsid w:val="00237354"/>
    <w:rsid w:val="002400F1"/>
    <w:rsid w:val="00244274"/>
    <w:rsid w:val="00245A7E"/>
    <w:rsid w:val="00247874"/>
    <w:rsid w:val="0025212A"/>
    <w:rsid w:val="00253EB4"/>
    <w:rsid w:val="0025415F"/>
    <w:rsid w:val="002575EC"/>
    <w:rsid w:val="002576E7"/>
    <w:rsid w:val="00257A56"/>
    <w:rsid w:val="00262737"/>
    <w:rsid w:val="00264051"/>
    <w:rsid w:val="002653C2"/>
    <w:rsid w:val="002659D8"/>
    <w:rsid w:val="0026612B"/>
    <w:rsid w:val="0027028A"/>
    <w:rsid w:val="0027072E"/>
    <w:rsid w:val="00270B8B"/>
    <w:rsid w:val="0027149D"/>
    <w:rsid w:val="0027281A"/>
    <w:rsid w:val="002773FA"/>
    <w:rsid w:val="0027751C"/>
    <w:rsid w:val="00277B56"/>
    <w:rsid w:val="0028040C"/>
    <w:rsid w:val="002838E2"/>
    <w:rsid w:val="00283E45"/>
    <w:rsid w:val="0028408A"/>
    <w:rsid w:val="002845AD"/>
    <w:rsid w:val="00285BE6"/>
    <w:rsid w:val="0028717C"/>
    <w:rsid w:val="002907E9"/>
    <w:rsid w:val="002918EC"/>
    <w:rsid w:val="00291FF9"/>
    <w:rsid w:val="002923EC"/>
    <w:rsid w:val="002934FB"/>
    <w:rsid w:val="00294A33"/>
    <w:rsid w:val="00295F5C"/>
    <w:rsid w:val="00296D1C"/>
    <w:rsid w:val="002A444D"/>
    <w:rsid w:val="002A498B"/>
    <w:rsid w:val="002A4D6D"/>
    <w:rsid w:val="002A7BB2"/>
    <w:rsid w:val="002B0AA0"/>
    <w:rsid w:val="002B60AA"/>
    <w:rsid w:val="002B681C"/>
    <w:rsid w:val="002C2AA8"/>
    <w:rsid w:val="002C6D72"/>
    <w:rsid w:val="002D1880"/>
    <w:rsid w:val="002E121A"/>
    <w:rsid w:val="002E3893"/>
    <w:rsid w:val="002E5263"/>
    <w:rsid w:val="002E5D45"/>
    <w:rsid w:val="002F0A05"/>
    <w:rsid w:val="002F1323"/>
    <w:rsid w:val="002F1ECA"/>
    <w:rsid w:val="002F5097"/>
    <w:rsid w:val="002F5CCF"/>
    <w:rsid w:val="00300013"/>
    <w:rsid w:val="00300D1B"/>
    <w:rsid w:val="003037A7"/>
    <w:rsid w:val="00305E0D"/>
    <w:rsid w:val="00306AF0"/>
    <w:rsid w:val="003108B3"/>
    <w:rsid w:val="0031584D"/>
    <w:rsid w:val="00316F19"/>
    <w:rsid w:val="003201F7"/>
    <w:rsid w:val="003219B8"/>
    <w:rsid w:val="003226DE"/>
    <w:rsid w:val="0033071E"/>
    <w:rsid w:val="00330DFE"/>
    <w:rsid w:val="003317BE"/>
    <w:rsid w:val="003336A8"/>
    <w:rsid w:val="00334CE3"/>
    <w:rsid w:val="0033618E"/>
    <w:rsid w:val="00336749"/>
    <w:rsid w:val="003408B1"/>
    <w:rsid w:val="00341475"/>
    <w:rsid w:val="003427E5"/>
    <w:rsid w:val="0034408C"/>
    <w:rsid w:val="00344601"/>
    <w:rsid w:val="0035183B"/>
    <w:rsid w:val="00353777"/>
    <w:rsid w:val="0035484C"/>
    <w:rsid w:val="00356B81"/>
    <w:rsid w:val="00357049"/>
    <w:rsid w:val="00357BF6"/>
    <w:rsid w:val="003616D0"/>
    <w:rsid w:val="00362696"/>
    <w:rsid w:val="00364A5A"/>
    <w:rsid w:val="003678AB"/>
    <w:rsid w:val="003679BC"/>
    <w:rsid w:val="003709A1"/>
    <w:rsid w:val="003722CD"/>
    <w:rsid w:val="00372496"/>
    <w:rsid w:val="00372AA7"/>
    <w:rsid w:val="003767DE"/>
    <w:rsid w:val="00380F5B"/>
    <w:rsid w:val="00383780"/>
    <w:rsid w:val="003841E7"/>
    <w:rsid w:val="003842BB"/>
    <w:rsid w:val="00390382"/>
    <w:rsid w:val="00390BF9"/>
    <w:rsid w:val="00390F1C"/>
    <w:rsid w:val="00391DE9"/>
    <w:rsid w:val="0039291E"/>
    <w:rsid w:val="00393906"/>
    <w:rsid w:val="00394DA6"/>
    <w:rsid w:val="00397B29"/>
    <w:rsid w:val="003A06A1"/>
    <w:rsid w:val="003A0B35"/>
    <w:rsid w:val="003A1F92"/>
    <w:rsid w:val="003A2320"/>
    <w:rsid w:val="003A5C5C"/>
    <w:rsid w:val="003B0847"/>
    <w:rsid w:val="003B0D99"/>
    <w:rsid w:val="003B16F2"/>
    <w:rsid w:val="003B2875"/>
    <w:rsid w:val="003B2E7A"/>
    <w:rsid w:val="003B3F5C"/>
    <w:rsid w:val="003B5566"/>
    <w:rsid w:val="003C664D"/>
    <w:rsid w:val="003C7436"/>
    <w:rsid w:val="003D15B8"/>
    <w:rsid w:val="003D2801"/>
    <w:rsid w:val="003D3903"/>
    <w:rsid w:val="003E0468"/>
    <w:rsid w:val="003E0E74"/>
    <w:rsid w:val="003E1641"/>
    <w:rsid w:val="003E2644"/>
    <w:rsid w:val="003E3CD4"/>
    <w:rsid w:val="003E53EE"/>
    <w:rsid w:val="003E5D46"/>
    <w:rsid w:val="003E6434"/>
    <w:rsid w:val="003F0DC6"/>
    <w:rsid w:val="003F391F"/>
    <w:rsid w:val="003F3D39"/>
    <w:rsid w:val="003F485C"/>
    <w:rsid w:val="003F4CF9"/>
    <w:rsid w:val="003F5C11"/>
    <w:rsid w:val="003F7D2A"/>
    <w:rsid w:val="0040221D"/>
    <w:rsid w:val="0040291D"/>
    <w:rsid w:val="00403B29"/>
    <w:rsid w:val="0040452E"/>
    <w:rsid w:val="00404886"/>
    <w:rsid w:val="0040577F"/>
    <w:rsid w:val="004061DB"/>
    <w:rsid w:val="00410C3E"/>
    <w:rsid w:val="004116DF"/>
    <w:rsid w:val="00412D51"/>
    <w:rsid w:val="00414695"/>
    <w:rsid w:val="00414F98"/>
    <w:rsid w:val="00416DB7"/>
    <w:rsid w:val="00422F5D"/>
    <w:rsid w:val="0042328B"/>
    <w:rsid w:val="00424092"/>
    <w:rsid w:val="00425573"/>
    <w:rsid w:val="00425E28"/>
    <w:rsid w:val="004265D6"/>
    <w:rsid w:val="004302B6"/>
    <w:rsid w:val="00432D83"/>
    <w:rsid w:val="0043304E"/>
    <w:rsid w:val="00433DE6"/>
    <w:rsid w:val="004349C0"/>
    <w:rsid w:val="0043557D"/>
    <w:rsid w:val="00435EB1"/>
    <w:rsid w:val="00441051"/>
    <w:rsid w:val="00446A33"/>
    <w:rsid w:val="004477CE"/>
    <w:rsid w:val="004478D5"/>
    <w:rsid w:val="0045232D"/>
    <w:rsid w:val="00452993"/>
    <w:rsid w:val="00452FAE"/>
    <w:rsid w:val="00453E75"/>
    <w:rsid w:val="00455787"/>
    <w:rsid w:val="00455FE2"/>
    <w:rsid w:val="0045619E"/>
    <w:rsid w:val="00456410"/>
    <w:rsid w:val="00456CE0"/>
    <w:rsid w:val="00456E38"/>
    <w:rsid w:val="004600AE"/>
    <w:rsid w:val="0046174A"/>
    <w:rsid w:val="00461886"/>
    <w:rsid w:val="00461EDE"/>
    <w:rsid w:val="00462213"/>
    <w:rsid w:val="0046382D"/>
    <w:rsid w:val="00463C1B"/>
    <w:rsid w:val="00463F1F"/>
    <w:rsid w:val="00464ECD"/>
    <w:rsid w:val="0046537D"/>
    <w:rsid w:val="00467162"/>
    <w:rsid w:val="0047059D"/>
    <w:rsid w:val="004719DE"/>
    <w:rsid w:val="00472D90"/>
    <w:rsid w:val="00472DCD"/>
    <w:rsid w:val="004736FE"/>
    <w:rsid w:val="004759FB"/>
    <w:rsid w:val="004764CB"/>
    <w:rsid w:val="004766FE"/>
    <w:rsid w:val="004778C9"/>
    <w:rsid w:val="0048195C"/>
    <w:rsid w:val="00484CAF"/>
    <w:rsid w:val="00491B39"/>
    <w:rsid w:val="0049288C"/>
    <w:rsid w:val="00494740"/>
    <w:rsid w:val="00495B4D"/>
    <w:rsid w:val="004975AC"/>
    <w:rsid w:val="00497C36"/>
    <w:rsid w:val="00497CE2"/>
    <w:rsid w:val="004A288C"/>
    <w:rsid w:val="004A44E3"/>
    <w:rsid w:val="004B0D92"/>
    <w:rsid w:val="004B25E6"/>
    <w:rsid w:val="004B5139"/>
    <w:rsid w:val="004B56BC"/>
    <w:rsid w:val="004B5FE2"/>
    <w:rsid w:val="004B61E3"/>
    <w:rsid w:val="004C11E0"/>
    <w:rsid w:val="004C2B0C"/>
    <w:rsid w:val="004C30BA"/>
    <w:rsid w:val="004C496C"/>
    <w:rsid w:val="004C50D4"/>
    <w:rsid w:val="004C6C6C"/>
    <w:rsid w:val="004D0224"/>
    <w:rsid w:val="004D1742"/>
    <w:rsid w:val="004D1908"/>
    <w:rsid w:val="004D1DE3"/>
    <w:rsid w:val="004D3215"/>
    <w:rsid w:val="004D45F0"/>
    <w:rsid w:val="004D617C"/>
    <w:rsid w:val="004E11FA"/>
    <w:rsid w:val="004E296A"/>
    <w:rsid w:val="004E2B4E"/>
    <w:rsid w:val="004E47E5"/>
    <w:rsid w:val="004E5DCF"/>
    <w:rsid w:val="004E6041"/>
    <w:rsid w:val="004E6109"/>
    <w:rsid w:val="004E6AF0"/>
    <w:rsid w:val="004E758B"/>
    <w:rsid w:val="004E7CC6"/>
    <w:rsid w:val="004F204E"/>
    <w:rsid w:val="004F228E"/>
    <w:rsid w:val="004F3623"/>
    <w:rsid w:val="004F3EBA"/>
    <w:rsid w:val="004F571C"/>
    <w:rsid w:val="004F67A9"/>
    <w:rsid w:val="004F781C"/>
    <w:rsid w:val="00502D5C"/>
    <w:rsid w:val="00504D97"/>
    <w:rsid w:val="0050565F"/>
    <w:rsid w:val="00505673"/>
    <w:rsid w:val="00505FA2"/>
    <w:rsid w:val="005068A7"/>
    <w:rsid w:val="00506C43"/>
    <w:rsid w:val="005079DC"/>
    <w:rsid w:val="005102BC"/>
    <w:rsid w:val="005119B3"/>
    <w:rsid w:val="00511DBF"/>
    <w:rsid w:val="00512995"/>
    <w:rsid w:val="0051335A"/>
    <w:rsid w:val="00516E27"/>
    <w:rsid w:val="00520CE1"/>
    <w:rsid w:val="005219F3"/>
    <w:rsid w:val="00521F8C"/>
    <w:rsid w:val="00522EDB"/>
    <w:rsid w:val="0052604C"/>
    <w:rsid w:val="005314CC"/>
    <w:rsid w:val="00533B6E"/>
    <w:rsid w:val="005358A3"/>
    <w:rsid w:val="00540824"/>
    <w:rsid w:val="0054303A"/>
    <w:rsid w:val="0054377B"/>
    <w:rsid w:val="00550AF8"/>
    <w:rsid w:val="00555284"/>
    <w:rsid w:val="005573F2"/>
    <w:rsid w:val="00557EBA"/>
    <w:rsid w:val="005617BE"/>
    <w:rsid w:val="005632C6"/>
    <w:rsid w:val="00566D8A"/>
    <w:rsid w:val="0057004A"/>
    <w:rsid w:val="005703D4"/>
    <w:rsid w:val="0057094E"/>
    <w:rsid w:val="00571300"/>
    <w:rsid w:val="00574315"/>
    <w:rsid w:val="00575231"/>
    <w:rsid w:val="005806EC"/>
    <w:rsid w:val="005809BC"/>
    <w:rsid w:val="00580D70"/>
    <w:rsid w:val="0058168C"/>
    <w:rsid w:val="0058206C"/>
    <w:rsid w:val="00583E1F"/>
    <w:rsid w:val="00584A5F"/>
    <w:rsid w:val="0058610B"/>
    <w:rsid w:val="00586946"/>
    <w:rsid w:val="005900BE"/>
    <w:rsid w:val="00591B7D"/>
    <w:rsid w:val="00597ADC"/>
    <w:rsid w:val="005A14BA"/>
    <w:rsid w:val="005A3F10"/>
    <w:rsid w:val="005A58FF"/>
    <w:rsid w:val="005A6248"/>
    <w:rsid w:val="005B0269"/>
    <w:rsid w:val="005B0D9E"/>
    <w:rsid w:val="005B148C"/>
    <w:rsid w:val="005B171D"/>
    <w:rsid w:val="005B20E1"/>
    <w:rsid w:val="005B4F75"/>
    <w:rsid w:val="005B5581"/>
    <w:rsid w:val="005C0820"/>
    <w:rsid w:val="005C548B"/>
    <w:rsid w:val="005C5972"/>
    <w:rsid w:val="005C59AA"/>
    <w:rsid w:val="005C6583"/>
    <w:rsid w:val="005C75F3"/>
    <w:rsid w:val="005D6A46"/>
    <w:rsid w:val="005D73A3"/>
    <w:rsid w:val="005D7A3C"/>
    <w:rsid w:val="005E09B8"/>
    <w:rsid w:val="005E186F"/>
    <w:rsid w:val="005E3833"/>
    <w:rsid w:val="005E492A"/>
    <w:rsid w:val="005E672B"/>
    <w:rsid w:val="005E7420"/>
    <w:rsid w:val="005E7AD6"/>
    <w:rsid w:val="005F252E"/>
    <w:rsid w:val="005F4AEF"/>
    <w:rsid w:val="005F6EB6"/>
    <w:rsid w:val="005F7829"/>
    <w:rsid w:val="006006BA"/>
    <w:rsid w:val="00600A3C"/>
    <w:rsid w:val="00600E43"/>
    <w:rsid w:val="0060104B"/>
    <w:rsid w:val="00601242"/>
    <w:rsid w:val="006019A6"/>
    <w:rsid w:val="006034F3"/>
    <w:rsid w:val="00603FC8"/>
    <w:rsid w:val="00604F54"/>
    <w:rsid w:val="006059C8"/>
    <w:rsid w:val="0060788D"/>
    <w:rsid w:val="00611F68"/>
    <w:rsid w:val="00614BE8"/>
    <w:rsid w:val="00616ED5"/>
    <w:rsid w:val="00616FE6"/>
    <w:rsid w:val="006215D2"/>
    <w:rsid w:val="00623BB1"/>
    <w:rsid w:val="006248C2"/>
    <w:rsid w:val="00624B85"/>
    <w:rsid w:val="00625996"/>
    <w:rsid w:val="00626266"/>
    <w:rsid w:val="006314BB"/>
    <w:rsid w:val="006332C0"/>
    <w:rsid w:val="0063393F"/>
    <w:rsid w:val="00637FCC"/>
    <w:rsid w:val="00640258"/>
    <w:rsid w:val="0064122D"/>
    <w:rsid w:val="006419BA"/>
    <w:rsid w:val="00642B48"/>
    <w:rsid w:val="00643BA6"/>
    <w:rsid w:val="006446A9"/>
    <w:rsid w:val="006460C9"/>
    <w:rsid w:val="006471A2"/>
    <w:rsid w:val="00647B0D"/>
    <w:rsid w:val="00651B5B"/>
    <w:rsid w:val="00653C13"/>
    <w:rsid w:val="00657CBB"/>
    <w:rsid w:val="0066395E"/>
    <w:rsid w:val="00666DD7"/>
    <w:rsid w:val="006679E2"/>
    <w:rsid w:val="006706CB"/>
    <w:rsid w:val="0067103C"/>
    <w:rsid w:val="00671569"/>
    <w:rsid w:val="00671A4B"/>
    <w:rsid w:val="0067286C"/>
    <w:rsid w:val="0067388A"/>
    <w:rsid w:val="00675855"/>
    <w:rsid w:val="00681202"/>
    <w:rsid w:val="006822E1"/>
    <w:rsid w:val="00682700"/>
    <w:rsid w:val="00683349"/>
    <w:rsid w:val="006833FC"/>
    <w:rsid w:val="006837E6"/>
    <w:rsid w:val="00686FF2"/>
    <w:rsid w:val="006874DE"/>
    <w:rsid w:val="006911CA"/>
    <w:rsid w:val="006933C2"/>
    <w:rsid w:val="00693F5B"/>
    <w:rsid w:val="006953FB"/>
    <w:rsid w:val="006A0586"/>
    <w:rsid w:val="006A2549"/>
    <w:rsid w:val="006A2F02"/>
    <w:rsid w:val="006A32A4"/>
    <w:rsid w:val="006A5642"/>
    <w:rsid w:val="006B35C8"/>
    <w:rsid w:val="006B489D"/>
    <w:rsid w:val="006B4E30"/>
    <w:rsid w:val="006B6E4D"/>
    <w:rsid w:val="006C0035"/>
    <w:rsid w:val="006C0FE2"/>
    <w:rsid w:val="006C190E"/>
    <w:rsid w:val="006C23A0"/>
    <w:rsid w:val="006C52FF"/>
    <w:rsid w:val="006D064D"/>
    <w:rsid w:val="006D1635"/>
    <w:rsid w:val="006D17E3"/>
    <w:rsid w:val="006D218E"/>
    <w:rsid w:val="006D412C"/>
    <w:rsid w:val="006D4667"/>
    <w:rsid w:val="006D60F7"/>
    <w:rsid w:val="006D6826"/>
    <w:rsid w:val="006D78B3"/>
    <w:rsid w:val="006E62BA"/>
    <w:rsid w:val="006E6548"/>
    <w:rsid w:val="006F0A34"/>
    <w:rsid w:val="006F0A99"/>
    <w:rsid w:val="006F2069"/>
    <w:rsid w:val="006F5FE2"/>
    <w:rsid w:val="006F762B"/>
    <w:rsid w:val="00700947"/>
    <w:rsid w:val="00702037"/>
    <w:rsid w:val="007026AB"/>
    <w:rsid w:val="00704555"/>
    <w:rsid w:val="00705D82"/>
    <w:rsid w:val="0070652A"/>
    <w:rsid w:val="00710852"/>
    <w:rsid w:val="00712DB3"/>
    <w:rsid w:val="00713847"/>
    <w:rsid w:val="00715388"/>
    <w:rsid w:val="0071582C"/>
    <w:rsid w:val="00715F9F"/>
    <w:rsid w:val="007162EE"/>
    <w:rsid w:val="00717DDA"/>
    <w:rsid w:val="007240DF"/>
    <w:rsid w:val="00724A73"/>
    <w:rsid w:val="0072595E"/>
    <w:rsid w:val="00725D55"/>
    <w:rsid w:val="007279D9"/>
    <w:rsid w:val="00730EC7"/>
    <w:rsid w:val="00731180"/>
    <w:rsid w:val="00731C49"/>
    <w:rsid w:val="00732B27"/>
    <w:rsid w:val="00733036"/>
    <w:rsid w:val="00737BED"/>
    <w:rsid w:val="007402C1"/>
    <w:rsid w:val="0074051F"/>
    <w:rsid w:val="007406F5"/>
    <w:rsid w:val="00742B22"/>
    <w:rsid w:val="007431E4"/>
    <w:rsid w:val="0074740E"/>
    <w:rsid w:val="007518DF"/>
    <w:rsid w:val="0075194E"/>
    <w:rsid w:val="00752AA0"/>
    <w:rsid w:val="00755558"/>
    <w:rsid w:val="00755EBD"/>
    <w:rsid w:val="0076043F"/>
    <w:rsid w:val="0076082E"/>
    <w:rsid w:val="00772186"/>
    <w:rsid w:val="0078106B"/>
    <w:rsid w:val="00782366"/>
    <w:rsid w:val="0078247D"/>
    <w:rsid w:val="00782930"/>
    <w:rsid w:val="00787283"/>
    <w:rsid w:val="00787833"/>
    <w:rsid w:val="00791323"/>
    <w:rsid w:val="00792E08"/>
    <w:rsid w:val="0079698C"/>
    <w:rsid w:val="00797D6F"/>
    <w:rsid w:val="007A156A"/>
    <w:rsid w:val="007A2BFE"/>
    <w:rsid w:val="007A3043"/>
    <w:rsid w:val="007A3AB3"/>
    <w:rsid w:val="007A486B"/>
    <w:rsid w:val="007A54B6"/>
    <w:rsid w:val="007A6D16"/>
    <w:rsid w:val="007B03BC"/>
    <w:rsid w:val="007B0C4C"/>
    <w:rsid w:val="007B284F"/>
    <w:rsid w:val="007B2D6B"/>
    <w:rsid w:val="007B5B89"/>
    <w:rsid w:val="007C0627"/>
    <w:rsid w:val="007C1AA1"/>
    <w:rsid w:val="007C2234"/>
    <w:rsid w:val="007C291A"/>
    <w:rsid w:val="007C3636"/>
    <w:rsid w:val="007C4442"/>
    <w:rsid w:val="007C5117"/>
    <w:rsid w:val="007C5B46"/>
    <w:rsid w:val="007C73DF"/>
    <w:rsid w:val="007D1C11"/>
    <w:rsid w:val="007D247C"/>
    <w:rsid w:val="007D3117"/>
    <w:rsid w:val="007D3389"/>
    <w:rsid w:val="007D620B"/>
    <w:rsid w:val="007E04FB"/>
    <w:rsid w:val="007E0FA0"/>
    <w:rsid w:val="007E19BB"/>
    <w:rsid w:val="007E2C7B"/>
    <w:rsid w:val="007E3AFE"/>
    <w:rsid w:val="007E3D85"/>
    <w:rsid w:val="007E47CC"/>
    <w:rsid w:val="007E4B26"/>
    <w:rsid w:val="007E5E85"/>
    <w:rsid w:val="007E6889"/>
    <w:rsid w:val="007E74DA"/>
    <w:rsid w:val="007E768B"/>
    <w:rsid w:val="007E7C1D"/>
    <w:rsid w:val="007F0E72"/>
    <w:rsid w:val="007F4E3E"/>
    <w:rsid w:val="007F525B"/>
    <w:rsid w:val="007F535B"/>
    <w:rsid w:val="00801D8B"/>
    <w:rsid w:val="00801E96"/>
    <w:rsid w:val="00802E0F"/>
    <w:rsid w:val="00804200"/>
    <w:rsid w:val="00812813"/>
    <w:rsid w:val="00816738"/>
    <w:rsid w:val="008176FA"/>
    <w:rsid w:val="00820AE8"/>
    <w:rsid w:val="008210CF"/>
    <w:rsid w:val="008226B2"/>
    <w:rsid w:val="008233C4"/>
    <w:rsid w:val="008250C4"/>
    <w:rsid w:val="00827026"/>
    <w:rsid w:val="00830F74"/>
    <w:rsid w:val="00831757"/>
    <w:rsid w:val="0083521B"/>
    <w:rsid w:val="008421F8"/>
    <w:rsid w:val="00842ACD"/>
    <w:rsid w:val="0084664E"/>
    <w:rsid w:val="00847765"/>
    <w:rsid w:val="008504F5"/>
    <w:rsid w:val="00852667"/>
    <w:rsid w:val="0085316B"/>
    <w:rsid w:val="00855087"/>
    <w:rsid w:val="008567E4"/>
    <w:rsid w:val="00860627"/>
    <w:rsid w:val="00861899"/>
    <w:rsid w:val="0086559B"/>
    <w:rsid w:val="00865DCD"/>
    <w:rsid w:val="00866553"/>
    <w:rsid w:val="008704BB"/>
    <w:rsid w:val="00871974"/>
    <w:rsid w:val="00872EE1"/>
    <w:rsid w:val="00874DAA"/>
    <w:rsid w:val="00874DC1"/>
    <w:rsid w:val="0087558D"/>
    <w:rsid w:val="008763CC"/>
    <w:rsid w:val="00876DBC"/>
    <w:rsid w:val="00876FB8"/>
    <w:rsid w:val="00881810"/>
    <w:rsid w:val="0088350A"/>
    <w:rsid w:val="00883989"/>
    <w:rsid w:val="008844D0"/>
    <w:rsid w:val="0088473C"/>
    <w:rsid w:val="0088552E"/>
    <w:rsid w:val="008869FA"/>
    <w:rsid w:val="0088770B"/>
    <w:rsid w:val="00887864"/>
    <w:rsid w:val="008907F2"/>
    <w:rsid w:val="00892BC5"/>
    <w:rsid w:val="00892D81"/>
    <w:rsid w:val="008941D0"/>
    <w:rsid w:val="00897641"/>
    <w:rsid w:val="008A1E19"/>
    <w:rsid w:val="008A223E"/>
    <w:rsid w:val="008A28A5"/>
    <w:rsid w:val="008A3BC4"/>
    <w:rsid w:val="008A464A"/>
    <w:rsid w:val="008B221A"/>
    <w:rsid w:val="008B2DC2"/>
    <w:rsid w:val="008B42F2"/>
    <w:rsid w:val="008B4AFE"/>
    <w:rsid w:val="008B69DE"/>
    <w:rsid w:val="008B7D97"/>
    <w:rsid w:val="008C17F1"/>
    <w:rsid w:val="008C2DD0"/>
    <w:rsid w:val="008C491A"/>
    <w:rsid w:val="008C5E01"/>
    <w:rsid w:val="008D52DD"/>
    <w:rsid w:val="008E64F0"/>
    <w:rsid w:val="008E766D"/>
    <w:rsid w:val="008F0BBA"/>
    <w:rsid w:val="008F2E21"/>
    <w:rsid w:val="008F76D7"/>
    <w:rsid w:val="008F77EC"/>
    <w:rsid w:val="008F7CB6"/>
    <w:rsid w:val="008F7FA2"/>
    <w:rsid w:val="009019BE"/>
    <w:rsid w:val="00902BF5"/>
    <w:rsid w:val="00904091"/>
    <w:rsid w:val="00912EF7"/>
    <w:rsid w:val="00915FD3"/>
    <w:rsid w:val="009167C4"/>
    <w:rsid w:val="00916CCD"/>
    <w:rsid w:val="00917339"/>
    <w:rsid w:val="00920901"/>
    <w:rsid w:val="0092588B"/>
    <w:rsid w:val="00925F94"/>
    <w:rsid w:val="0092718C"/>
    <w:rsid w:val="00934393"/>
    <w:rsid w:val="00936DE4"/>
    <w:rsid w:val="00937CF8"/>
    <w:rsid w:val="0094131A"/>
    <w:rsid w:val="00941B39"/>
    <w:rsid w:val="009425F9"/>
    <w:rsid w:val="009465D4"/>
    <w:rsid w:val="00951DED"/>
    <w:rsid w:val="00951EFA"/>
    <w:rsid w:val="009524FC"/>
    <w:rsid w:val="00954803"/>
    <w:rsid w:val="00954F39"/>
    <w:rsid w:val="00956B36"/>
    <w:rsid w:val="00957A8D"/>
    <w:rsid w:val="009611D9"/>
    <w:rsid w:val="00961B06"/>
    <w:rsid w:val="009621FE"/>
    <w:rsid w:val="009624B9"/>
    <w:rsid w:val="009631BD"/>
    <w:rsid w:val="009638C5"/>
    <w:rsid w:val="00967F8F"/>
    <w:rsid w:val="00970B3D"/>
    <w:rsid w:val="00972CC3"/>
    <w:rsid w:val="00972EF2"/>
    <w:rsid w:val="00975570"/>
    <w:rsid w:val="009755D3"/>
    <w:rsid w:val="00976230"/>
    <w:rsid w:val="00976A9D"/>
    <w:rsid w:val="00976AD6"/>
    <w:rsid w:val="00982AC8"/>
    <w:rsid w:val="00983D11"/>
    <w:rsid w:val="009842D0"/>
    <w:rsid w:val="0098465F"/>
    <w:rsid w:val="00984949"/>
    <w:rsid w:val="00985BB4"/>
    <w:rsid w:val="00986652"/>
    <w:rsid w:val="00991D40"/>
    <w:rsid w:val="00992029"/>
    <w:rsid w:val="00992D72"/>
    <w:rsid w:val="009949F0"/>
    <w:rsid w:val="009972E2"/>
    <w:rsid w:val="009A0068"/>
    <w:rsid w:val="009A0F89"/>
    <w:rsid w:val="009A1120"/>
    <w:rsid w:val="009A32A4"/>
    <w:rsid w:val="009B19D0"/>
    <w:rsid w:val="009B311A"/>
    <w:rsid w:val="009B384A"/>
    <w:rsid w:val="009B3F63"/>
    <w:rsid w:val="009B431F"/>
    <w:rsid w:val="009B5D7E"/>
    <w:rsid w:val="009B79FD"/>
    <w:rsid w:val="009C0D96"/>
    <w:rsid w:val="009C2579"/>
    <w:rsid w:val="009C28EF"/>
    <w:rsid w:val="009C2A89"/>
    <w:rsid w:val="009C356B"/>
    <w:rsid w:val="009C5C9E"/>
    <w:rsid w:val="009D0BCE"/>
    <w:rsid w:val="009D1312"/>
    <w:rsid w:val="009D19BE"/>
    <w:rsid w:val="009D3298"/>
    <w:rsid w:val="009D3FAF"/>
    <w:rsid w:val="009D53CE"/>
    <w:rsid w:val="009D5442"/>
    <w:rsid w:val="009D5A8D"/>
    <w:rsid w:val="009E3B83"/>
    <w:rsid w:val="009E4C8A"/>
    <w:rsid w:val="009E5E62"/>
    <w:rsid w:val="009E7E6C"/>
    <w:rsid w:val="009F02F8"/>
    <w:rsid w:val="009F2747"/>
    <w:rsid w:val="009F48E6"/>
    <w:rsid w:val="009F560E"/>
    <w:rsid w:val="009F5BB8"/>
    <w:rsid w:val="009F67FD"/>
    <w:rsid w:val="00A0305B"/>
    <w:rsid w:val="00A03921"/>
    <w:rsid w:val="00A04492"/>
    <w:rsid w:val="00A06BC6"/>
    <w:rsid w:val="00A0780B"/>
    <w:rsid w:val="00A11C90"/>
    <w:rsid w:val="00A12DDE"/>
    <w:rsid w:val="00A12E9C"/>
    <w:rsid w:val="00A13CB0"/>
    <w:rsid w:val="00A16E4E"/>
    <w:rsid w:val="00A20B14"/>
    <w:rsid w:val="00A21928"/>
    <w:rsid w:val="00A2300C"/>
    <w:rsid w:val="00A248AF"/>
    <w:rsid w:val="00A303D5"/>
    <w:rsid w:val="00A30DD2"/>
    <w:rsid w:val="00A30F2C"/>
    <w:rsid w:val="00A31687"/>
    <w:rsid w:val="00A34DA4"/>
    <w:rsid w:val="00A35899"/>
    <w:rsid w:val="00A35E34"/>
    <w:rsid w:val="00A35ED5"/>
    <w:rsid w:val="00A36753"/>
    <w:rsid w:val="00A37B50"/>
    <w:rsid w:val="00A401F4"/>
    <w:rsid w:val="00A40D54"/>
    <w:rsid w:val="00A439DE"/>
    <w:rsid w:val="00A4411E"/>
    <w:rsid w:val="00A45B24"/>
    <w:rsid w:val="00A47BFB"/>
    <w:rsid w:val="00A54E43"/>
    <w:rsid w:val="00A561B5"/>
    <w:rsid w:val="00A56A26"/>
    <w:rsid w:val="00A61C87"/>
    <w:rsid w:val="00A65B2F"/>
    <w:rsid w:val="00A67A6F"/>
    <w:rsid w:val="00A7017E"/>
    <w:rsid w:val="00A7697C"/>
    <w:rsid w:val="00A772A1"/>
    <w:rsid w:val="00A80942"/>
    <w:rsid w:val="00A829D1"/>
    <w:rsid w:val="00A8785D"/>
    <w:rsid w:val="00A92190"/>
    <w:rsid w:val="00A9382C"/>
    <w:rsid w:val="00A944A3"/>
    <w:rsid w:val="00A9527D"/>
    <w:rsid w:val="00AA09F8"/>
    <w:rsid w:val="00AA2D8D"/>
    <w:rsid w:val="00AA314C"/>
    <w:rsid w:val="00AA38B4"/>
    <w:rsid w:val="00AA7557"/>
    <w:rsid w:val="00AB0DE6"/>
    <w:rsid w:val="00AB4F5D"/>
    <w:rsid w:val="00AB63C4"/>
    <w:rsid w:val="00AB76B2"/>
    <w:rsid w:val="00AC0A83"/>
    <w:rsid w:val="00AC470C"/>
    <w:rsid w:val="00AC4B59"/>
    <w:rsid w:val="00AC4F94"/>
    <w:rsid w:val="00AC53D4"/>
    <w:rsid w:val="00AC6542"/>
    <w:rsid w:val="00AC79B1"/>
    <w:rsid w:val="00AD141C"/>
    <w:rsid w:val="00AD1474"/>
    <w:rsid w:val="00AD2912"/>
    <w:rsid w:val="00AD2BF3"/>
    <w:rsid w:val="00AD30E1"/>
    <w:rsid w:val="00AD34CD"/>
    <w:rsid w:val="00AD34E4"/>
    <w:rsid w:val="00AD4B2B"/>
    <w:rsid w:val="00AD7C3D"/>
    <w:rsid w:val="00AE062B"/>
    <w:rsid w:val="00AE136F"/>
    <w:rsid w:val="00AE2166"/>
    <w:rsid w:val="00AE27AA"/>
    <w:rsid w:val="00AE29F3"/>
    <w:rsid w:val="00AE39E7"/>
    <w:rsid w:val="00AE3DB0"/>
    <w:rsid w:val="00AE4E2C"/>
    <w:rsid w:val="00AF0D1B"/>
    <w:rsid w:val="00AF48B9"/>
    <w:rsid w:val="00B00E03"/>
    <w:rsid w:val="00B01F2B"/>
    <w:rsid w:val="00B01F52"/>
    <w:rsid w:val="00B03E11"/>
    <w:rsid w:val="00B06AF3"/>
    <w:rsid w:val="00B076D0"/>
    <w:rsid w:val="00B1573F"/>
    <w:rsid w:val="00B17B67"/>
    <w:rsid w:val="00B20436"/>
    <w:rsid w:val="00B2158D"/>
    <w:rsid w:val="00B2257F"/>
    <w:rsid w:val="00B23292"/>
    <w:rsid w:val="00B23CFC"/>
    <w:rsid w:val="00B23D18"/>
    <w:rsid w:val="00B2476C"/>
    <w:rsid w:val="00B2660A"/>
    <w:rsid w:val="00B27058"/>
    <w:rsid w:val="00B304D8"/>
    <w:rsid w:val="00B343AA"/>
    <w:rsid w:val="00B37296"/>
    <w:rsid w:val="00B40D28"/>
    <w:rsid w:val="00B40E99"/>
    <w:rsid w:val="00B41863"/>
    <w:rsid w:val="00B4194B"/>
    <w:rsid w:val="00B42325"/>
    <w:rsid w:val="00B42B93"/>
    <w:rsid w:val="00B43E57"/>
    <w:rsid w:val="00B47411"/>
    <w:rsid w:val="00B51301"/>
    <w:rsid w:val="00B5193E"/>
    <w:rsid w:val="00B53D61"/>
    <w:rsid w:val="00B55094"/>
    <w:rsid w:val="00B55D4A"/>
    <w:rsid w:val="00B573A2"/>
    <w:rsid w:val="00B573EF"/>
    <w:rsid w:val="00B5748A"/>
    <w:rsid w:val="00B612C8"/>
    <w:rsid w:val="00B6402F"/>
    <w:rsid w:val="00B642D0"/>
    <w:rsid w:val="00B67AF3"/>
    <w:rsid w:val="00B71D59"/>
    <w:rsid w:val="00B730EA"/>
    <w:rsid w:val="00B73170"/>
    <w:rsid w:val="00B73766"/>
    <w:rsid w:val="00B738A1"/>
    <w:rsid w:val="00B74331"/>
    <w:rsid w:val="00B74CE5"/>
    <w:rsid w:val="00B759AE"/>
    <w:rsid w:val="00B7697E"/>
    <w:rsid w:val="00B77370"/>
    <w:rsid w:val="00B84787"/>
    <w:rsid w:val="00B87231"/>
    <w:rsid w:val="00B87F30"/>
    <w:rsid w:val="00B9056D"/>
    <w:rsid w:val="00B926E3"/>
    <w:rsid w:val="00B92F8D"/>
    <w:rsid w:val="00B93B47"/>
    <w:rsid w:val="00B95ADB"/>
    <w:rsid w:val="00B96A36"/>
    <w:rsid w:val="00B96AB4"/>
    <w:rsid w:val="00B97AF6"/>
    <w:rsid w:val="00BA018B"/>
    <w:rsid w:val="00BA2301"/>
    <w:rsid w:val="00BA306B"/>
    <w:rsid w:val="00BA5A73"/>
    <w:rsid w:val="00BA721A"/>
    <w:rsid w:val="00BB3983"/>
    <w:rsid w:val="00BB3ACF"/>
    <w:rsid w:val="00BB3AF7"/>
    <w:rsid w:val="00BB65DD"/>
    <w:rsid w:val="00BC0BF0"/>
    <w:rsid w:val="00BC1DF5"/>
    <w:rsid w:val="00BC4A6F"/>
    <w:rsid w:val="00BC7829"/>
    <w:rsid w:val="00BD0068"/>
    <w:rsid w:val="00BD0364"/>
    <w:rsid w:val="00BD0F26"/>
    <w:rsid w:val="00BD1273"/>
    <w:rsid w:val="00BD42E4"/>
    <w:rsid w:val="00BD5B10"/>
    <w:rsid w:val="00BD6A22"/>
    <w:rsid w:val="00BE1FCC"/>
    <w:rsid w:val="00BE4355"/>
    <w:rsid w:val="00BE4FF2"/>
    <w:rsid w:val="00BE550B"/>
    <w:rsid w:val="00BE6909"/>
    <w:rsid w:val="00BF73F3"/>
    <w:rsid w:val="00C01175"/>
    <w:rsid w:val="00C04A01"/>
    <w:rsid w:val="00C04BD0"/>
    <w:rsid w:val="00C04BD4"/>
    <w:rsid w:val="00C05E72"/>
    <w:rsid w:val="00C1254C"/>
    <w:rsid w:val="00C13EF3"/>
    <w:rsid w:val="00C14D31"/>
    <w:rsid w:val="00C156F4"/>
    <w:rsid w:val="00C16803"/>
    <w:rsid w:val="00C17762"/>
    <w:rsid w:val="00C20644"/>
    <w:rsid w:val="00C20AD1"/>
    <w:rsid w:val="00C2559E"/>
    <w:rsid w:val="00C303FA"/>
    <w:rsid w:val="00C30A38"/>
    <w:rsid w:val="00C3474F"/>
    <w:rsid w:val="00C36992"/>
    <w:rsid w:val="00C41B80"/>
    <w:rsid w:val="00C41E2A"/>
    <w:rsid w:val="00C4242F"/>
    <w:rsid w:val="00C42E17"/>
    <w:rsid w:val="00C4389F"/>
    <w:rsid w:val="00C43D13"/>
    <w:rsid w:val="00C45EDF"/>
    <w:rsid w:val="00C529FE"/>
    <w:rsid w:val="00C535EF"/>
    <w:rsid w:val="00C54FC0"/>
    <w:rsid w:val="00C559CE"/>
    <w:rsid w:val="00C62E7B"/>
    <w:rsid w:val="00C64691"/>
    <w:rsid w:val="00C74234"/>
    <w:rsid w:val="00C75D78"/>
    <w:rsid w:val="00C75E64"/>
    <w:rsid w:val="00C76BB8"/>
    <w:rsid w:val="00C76C4B"/>
    <w:rsid w:val="00C77EDE"/>
    <w:rsid w:val="00C808C1"/>
    <w:rsid w:val="00C80C11"/>
    <w:rsid w:val="00C811E6"/>
    <w:rsid w:val="00C852D2"/>
    <w:rsid w:val="00C85F14"/>
    <w:rsid w:val="00C8640F"/>
    <w:rsid w:val="00C86F62"/>
    <w:rsid w:val="00C9279C"/>
    <w:rsid w:val="00C95063"/>
    <w:rsid w:val="00C9768B"/>
    <w:rsid w:val="00CA0621"/>
    <w:rsid w:val="00CA24C5"/>
    <w:rsid w:val="00CA2EB8"/>
    <w:rsid w:val="00CA460E"/>
    <w:rsid w:val="00CA605C"/>
    <w:rsid w:val="00CA65FD"/>
    <w:rsid w:val="00CA6E31"/>
    <w:rsid w:val="00CB06E6"/>
    <w:rsid w:val="00CB1144"/>
    <w:rsid w:val="00CB14F7"/>
    <w:rsid w:val="00CB1948"/>
    <w:rsid w:val="00CB1FAD"/>
    <w:rsid w:val="00CB62A0"/>
    <w:rsid w:val="00CC10A4"/>
    <w:rsid w:val="00CC177F"/>
    <w:rsid w:val="00CC1F44"/>
    <w:rsid w:val="00CC325D"/>
    <w:rsid w:val="00CD2757"/>
    <w:rsid w:val="00CD3092"/>
    <w:rsid w:val="00CD395F"/>
    <w:rsid w:val="00CD423F"/>
    <w:rsid w:val="00CD58C0"/>
    <w:rsid w:val="00CD5C9E"/>
    <w:rsid w:val="00CE0809"/>
    <w:rsid w:val="00CE14A7"/>
    <w:rsid w:val="00CE16CB"/>
    <w:rsid w:val="00CE2F3A"/>
    <w:rsid w:val="00CE6558"/>
    <w:rsid w:val="00CF2C15"/>
    <w:rsid w:val="00CF40C6"/>
    <w:rsid w:val="00CF60E5"/>
    <w:rsid w:val="00CF63E0"/>
    <w:rsid w:val="00CF6A8E"/>
    <w:rsid w:val="00CF7A45"/>
    <w:rsid w:val="00CF7A75"/>
    <w:rsid w:val="00CF7D65"/>
    <w:rsid w:val="00D01CB4"/>
    <w:rsid w:val="00D05421"/>
    <w:rsid w:val="00D058A3"/>
    <w:rsid w:val="00D1008C"/>
    <w:rsid w:val="00D10924"/>
    <w:rsid w:val="00D10FA4"/>
    <w:rsid w:val="00D11CE3"/>
    <w:rsid w:val="00D1214A"/>
    <w:rsid w:val="00D123BF"/>
    <w:rsid w:val="00D15578"/>
    <w:rsid w:val="00D15FC5"/>
    <w:rsid w:val="00D20EF1"/>
    <w:rsid w:val="00D23A5C"/>
    <w:rsid w:val="00D24B73"/>
    <w:rsid w:val="00D261B3"/>
    <w:rsid w:val="00D263C1"/>
    <w:rsid w:val="00D27B38"/>
    <w:rsid w:val="00D3006D"/>
    <w:rsid w:val="00D336DB"/>
    <w:rsid w:val="00D34697"/>
    <w:rsid w:val="00D34D6B"/>
    <w:rsid w:val="00D452BE"/>
    <w:rsid w:val="00D461BB"/>
    <w:rsid w:val="00D467B6"/>
    <w:rsid w:val="00D46A3E"/>
    <w:rsid w:val="00D47A11"/>
    <w:rsid w:val="00D47FA8"/>
    <w:rsid w:val="00D51EEB"/>
    <w:rsid w:val="00D53C9D"/>
    <w:rsid w:val="00D568D5"/>
    <w:rsid w:val="00D60905"/>
    <w:rsid w:val="00D62DD9"/>
    <w:rsid w:val="00D62E2D"/>
    <w:rsid w:val="00D63357"/>
    <w:rsid w:val="00D6636A"/>
    <w:rsid w:val="00D671D9"/>
    <w:rsid w:val="00D727A4"/>
    <w:rsid w:val="00D72C4D"/>
    <w:rsid w:val="00D742D0"/>
    <w:rsid w:val="00D767B4"/>
    <w:rsid w:val="00D76A63"/>
    <w:rsid w:val="00D76F36"/>
    <w:rsid w:val="00D81527"/>
    <w:rsid w:val="00D81932"/>
    <w:rsid w:val="00D854F4"/>
    <w:rsid w:val="00D85AB7"/>
    <w:rsid w:val="00D875B9"/>
    <w:rsid w:val="00D87D0B"/>
    <w:rsid w:val="00D903CE"/>
    <w:rsid w:val="00D906E8"/>
    <w:rsid w:val="00D908FE"/>
    <w:rsid w:val="00D90A45"/>
    <w:rsid w:val="00D91B72"/>
    <w:rsid w:val="00D91D30"/>
    <w:rsid w:val="00D92382"/>
    <w:rsid w:val="00D92F02"/>
    <w:rsid w:val="00D949F2"/>
    <w:rsid w:val="00D958D6"/>
    <w:rsid w:val="00D9763F"/>
    <w:rsid w:val="00DA2F76"/>
    <w:rsid w:val="00DA32F4"/>
    <w:rsid w:val="00DA3490"/>
    <w:rsid w:val="00DA3C07"/>
    <w:rsid w:val="00DA4DE1"/>
    <w:rsid w:val="00DA5663"/>
    <w:rsid w:val="00DA5C2D"/>
    <w:rsid w:val="00DB091D"/>
    <w:rsid w:val="00DB13AF"/>
    <w:rsid w:val="00DB1CFC"/>
    <w:rsid w:val="00DB6256"/>
    <w:rsid w:val="00DB757D"/>
    <w:rsid w:val="00DC055C"/>
    <w:rsid w:val="00DC0BB7"/>
    <w:rsid w:val="00DC310F"/>
    <w:rsid w:val="00DC388D"/>
    <w:rsid w:val="00DC565A"/>
    <w:rsid w:val="00DC7D51"/>
    <w:rsid w:val="00DD1700"/>
    <w:rsid w:val="00DD4674"/>
    <w:rsid w:val="00DE1BBC"/>
    <w:rsid w:val="00DE5EF6"/>
    <w:rsid w:val="00DF4E0E"/>
    <w:rsid w:val="00DF6F1E"/>
    <w:rsid w:val="00E0366C"/>
    <w:rsid w:val="00E04FBB"/>
    <w:rsid w:val="00E05305"/>
    <w:rsid w:val="00E07EDA"/>
    <w:rsid w:val="00E10AAB"/>
    <w:rsid w:val="00E12360"/>
    <w:rsid w:val="00E13BAF"/>
    <w:rsid w:val="00E15602"/>
    <w:rsid w:val="00E17493"/>
    <w:rsid w:val="00E17EB3"/>
    <w:rsid w:val="00E22EA2"/>
    <w:rsid w:val="00E23961"/>
    <w:rsid w:val="00E25941"/>
    <w:rsid w:val="00E26633"/>
    <w:rsid w:val="00E308F9"/>
    <w:rsid w:val="00E32F73"/>
    <w:rsid w:val="00E34356"/>
    <w:rsid w:val="00E36AC0"/>
    <w:rsid w:val="00E37339"/>
    <w:rsid w:val="00E40BA3"/>
    <w:rsid w:val="00E41531"/>
    <w:rsid w:val="00E42C23"/>
    <w:rsid w:val="00E42C2F"/>
    <w:rsid w:val="00E430DE"/>
    <w:rsid w:val="00E44721"/>
    <w:rsid w:val="00E47295"/>
    <w:rsid w:val="00E47849"/>
    <w:rsid w:val="00E52278"/>
    <w:rsid w:val="00E5272D"/>
    <w:rsid w:val="00E560FB"/>
    <w:rsid w:val="00E56D95"/>
    <w:rsid w:val="00E573ED"/>
    <w:rsid w:val="00E61670"/>
    <w:rsid w:val="00E65B66"/>
    <w:rsid w:val="00E65E89"/>
    <w:rsid w:val="00E66396"/>
    <w:rsid w:val="00E7055E"/>
    <w:rsid w:val="00E71A49"/>
    <w:rsid w:val="00E72707"/>
    <w:rsid w:val="00E74EB2"/>
    <w:rsid w:val="00E75385"/>
    <w:rsid w:val="00E76B79"/>
    <w:rsid w:val="00E8006A"/>
    <w:rsid w:val="00E80BAA"/>
    <w:rsid w:val="00E80DAB"/>
    <w:rsid w:val="00E81C6B"/>
    <w:rsid w:val="00E91C48"/>
    <w:rsid w:val="00E91EAD"/>
    <w:rsid w:val="00E9354D"/>
    <w:rsid w:val="00E95793"/>
    <w:rsid w:val="00E95DE3"/>
    <w:rsid w:val="00EA0264"/>
    <w:rsid w:val="00EA07B8"/>
    <w:rsid w:val="00EA0D55"/>
    <w:rsid w:val="00EA16F8"/>
    <w:rsid w:val="00EA5084"/>
    <w:rsid w:val="00EA7A31"/>
    <w:rsid w:val="00EB05CD"/>
    <w:rsid w:val="00EB1FE6"/>
    <w:rsid w:val="00EB3007"/>
    <w:rsid w:val="00EB3B9F"/>
    <w:rsid w:val="00EB672F"/>
    <w:rsid w:val="00EC1DD7"/>
    <w:rsid w:val="00EC2883"/>
    <w:rsid w:val="00EC59E5"/>
    <w:rsid w:val="00ED1167"/>
    <w:rsid w:val="00ED3AAF"/>
    <w:rsid w:val="00ED3DA0"/>
    <w:rsid w:val="00ED579C"/>
    <w:rsid w:val="00ED76F7"/>
    <w:rsid w:val="00EE1EE2"/>
    <w:rsid w:val="00EE2BC5"/>
    <w:rsid w:val="00EE3CC9"/>
    <w:rsid w:val="00EE569C"/>
    <w:rsid w:val="00EE59B7"/>
    <w:rsid w:val="00EE79A6"/>
    <w:rsid w:val="00EE7B34"/>
    <w:rsid w:val="00EF47C3"/>
    <w:rsid w:val="00EF4B7B"/>
    <w:rsid w:val="00EF5260"/>
    <w:rsid w:val="00EF547F"/>
    <w:rsid w:val="00EF6E39"/>
    <w:rsid w:val="00F01453"/>
    <w:rsid w:val="00F01CC7"/>
    <w:rsid w:val="00F02101"/>
    <w:rsid w:val="00F027D4"/>
    <w:rsid w:val="00F03257"/>
    <w:rsid w:val="00F053F4"/>
    <w:rsid w:val="00F05789"/>
    <w:rsid w:val="00F05B80"/>
    <w:rsid w:val="00F068CF"/>
    <w:rsid w:val="00F1140B"/>
    <w:rsid w:val="00F12A3C"/>
    <w:rsid w:val="00F13FB7"/>
    <w:rsid w:val="00F14B27"/>
    <w:rsid w:val="00F15503"/>
    <w:rsid w:val="00F24412"/>
    <w:rsid w:val="00F26D4E"/>
    <w:rsid w:val="00F27195"/>
    <w:rsid w:val="00F301FA"/>
    <w:rsid w:val="00F30436"/>
    <w:rsid w:val="00F30691"/>
    <w:rsid w:val="00F31412"/>
    <w:rsid w:val="00F32C5C"/>
    <w:rsid w:val="00F33CE5"/>
    <w:rsid w:val="00F343B4"/>
    <w:rsid w:val="00F348BC"/>
    <w:rsid w:val="00F37281"/>
    <w:rsid w:val="00F376D5"/>
    <w:rsid w:val="00F41A33"/>
    <w:rsid w:val="00F425F1"/>
    <w:rsid w:val="00F42819"/>
    <w:rsid w:val="00F4556A"/>
    <w:rsid w:val="00F4560F"/>
    <w:rsid w:val="00F51526"/>
    <w:rsid w:val="00F527BF"/>
    <w:rsid w:val="00F54511"/>
    <w:rsid w:val="00F556AF"/>
    <w:rsid w:val="00F55F28"/>
    <w:rsid w:val="00F561BE"/>
    <w:rsid w:val="00F616D3"/>
    <w:rsid w:val="00F62A3B"/>
    <w:rsid w:val="00F641E3"/>
    <w:rsid w:val="00F6420E"/>
    <w:rsid w:val="00F66458"/>
    <w:rsid w:val="00F679F0"/>
    <w:rsid w:val="00F703A7"/>
    <w:rsid w:val="00F712ED"/>
    <w:rsid w:val="00F71497"/>
    <w:rsid w:val="00F73E63"/>
    <w:rsid w:val="00F80AB7"/>
    <w:rsid w:val="00F83126"/>
    <w:rsid w:val="00F91DA9"/>
    <w:rsid w:val="00F92C6F"/>
    <w:rsid w:val="00F9454E"/>
    <w:rsid w:val="00FA08F8"/>
    <w:rsid w:val="00FA14F7"/>
    <w:rsid w:val="00FA166E"/>
    <w:rsid w:val="00FA3498"/>
    <w:rsid w:val="00FA61A4"/>
    <w:rsid w:val="00FA7777"/>
    <w:rsid w:val="00FA7971"/>
    <w:rsid w:val="00FB0165"/>
    <w:rsid w:val="00FB0748"/>
    <w:rsid w:val="00FB1616"/>
    <w:rsid w:val="00FB37AB"/>
    <w:rsid w:val="00FB43EC"/>
    <w:rsid w:val="00FB4962"/>
    <w:rsid w:val="00FB5FDB"/>
    <w:rsid w:val="00FC1CE5"/>
    <w:rsid w:val="00FC20FC"/>
    <w:rsid w:val="00FC52CE"/>
    <w:rsid w:val="00FD2C77"/>
    <w:rsid w:val="00FD6A18"/>
    <w:rsid w:val="00FD6F54"/>
    <w:rsid w:val="00FE19C8"/>
    <w:rsid w:val="00FE1BC0"/>
    <w:rsid w:val="00FE3CA6"/>
    <w:rsid w:val="00FE3D8C"/>
    <w:rsid w:val="00FE6035"/>
    <w:rsid w:val="00FE625C"/>
    <w:rsid w:val="00FF3AB4"/>
    <w:rsid w:val="00FF4B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93DC9"/>
  <w14:defaultImageDpi w14:val="300"/>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m-font">
    <w:name w:val="mim-font"/>
    <w:basedOn w:val="DefaultParagraphFont"/>
    <w:rsid w:val="00075FC3"/>
  </w:style>
  <w:style w:type="table" w:styleId="LightShading">
    <w:name w:val="Light Shading"/>
    <w:basedOn w:val="TableNormal"/>
    <w:uiPriority w:val="60"/>
    <w:rsid w:val="00A219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219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A219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ibliography">
    <w:name w:val="Bibliography"/>
    <w:basedOn w:val="Normal"/>
    <w:next w:val="Normal"/>
    <w:uiPriority w:val="37"/>
    <w:unhideWhenUsed/>
    <w:rsid w:val="00AD1474"/>
    <w:pPr>
      <w:tabs>
        <w:tab w:val="left" w:pos="504"/>
      </w:tabs>
      <w:spacing w:after="240"/>
      <w:ind w:left="504" w:hanging="504"/>
    </w:pPr>
  </w:style>
  <w:style w:type="character" w:styleId="CommentReference">
    <w:name w:val="annotation reference"/>
    <w:basedOn w:val="DefaultParagraphFont"/>
    <w:unhideWhenUsed/>
    <w:rsid w:val="00026FCF"/>
    <w:rPr>
      <w:sz w:val="16"/>
      <w:szCs w:val="16"/>
    </w:rPr>
  </w:style>
  <w:style w:type="paragraph" w:styleId="CommentText">
    <w:name w:val="annotation text"/>
    <w:basedOn w:val="Normal"/>
    <w:link w:val="CommentTextChar"/>
    <w:unhideWhenUsed/>
    <w:qFormat/>
    <w:rsid w:val="00026FCF"/>
    <w:rPr>
      <w:sz w:val="20"/>
      <w:szCs w:val="20"/>
    </w:rPr>
  </w:style>
  <w:style w:type="character" w:customStyle="1" w:styleId="CommentTextChar">
    <w:name w:val="Comment Text Char"/>
    <w:basedOn w:val="DefaultParagraphFont"/>
    <w:link w:val="CommentText"/>
    <w:qFormat/>
    <w:rsid w:val="00026FCF"/>
    <w:rPr>
      <w:sz w:val="20"/>
      <w:szCs w:val="20"/>
    </w:rPr>
  </w:style>
  <w:style w:type="paragraph" w:styleId="CommentSubject">
    <w:name w:val="annotation subject"/>
    <w:basedOn w:val="CommentText"/>
    <w:next w:val="CommentText"/>
    <w:link w:val="CommentSubjectChar"/>
    <w:uiPriority w:val="99"/>
    <w:semiHidden/>
    <w:unhideWhenUsed/>
    <w:rsid w:val="00026FCF"/>
    <w:rPr>
      <w:b/>
      <w:bCs/>
    </w:rPr>
  </w:style>
  <w:style w:type="character" w:customStyle="1" w:styleId="CommentSubjectChar">
    <w:name w:val="Comment Subject Char"/>
    <w:basedOn w:val="CommentTextChar"/>
    <w:link w:val="CommentSubject"/>
    <w:uiPriority w:val="99"/>
    <w:semiHidden/>
    <w:rsid w:val="00026FCF"/>
    <w:rPr>
      <w:b/>
      <w:bCs/>
      <w:sz w:val="20"/>
      <w:szCs w:val="20"/>
    </w:rPr>
  </w:style>
  <w:style w:type="paragraph" w:styleId="BalloonText">
    <w:name w:val="Balloon Text"/>
    <w:basedOn w:val="Normal"/>
    <w:link w:val="BalloonTextChar"/>
    <w:uiPriority w:val="99"/>
    <w:semiHidden/>
    <w:unhideWhenUsed/>
    <w:rsid w:val="00026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CF"/>
    <w:rPr>
      <w:rFonts w:ascii="Segoe UI" w:hAnsi="Segoe UI" w:cs="Segoe UI"/>
      <w:sz w:val="18"/>
      <w:szCs w:val="18"/>
    </w:rPr>
  </w:style>
  <w:style w:type="paragraph" w:styleId="Revision">
    <w:name w:val="Revision"/>
    <w:hidden/>
    <w:uiPriority w:val="99"/>
    <w:semiHidden/>
    <w:rsid w:val="00934393"/>
  </w:style>
  <w:style w:type="paragraph" w:customStyle="1" w:styleId="PadroB">
    <w:name w:val="Padrão B"/>
    <w:rsid w:val="007E04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paragraph" w:styleId="Footer">
    <w:name w:val="footer"/>
    <w:basedOn w:val="Normal"/>
    <w:link w:val="FooterChar"/>
    <w:uiPriority w:val="99"/>
    <w:unhideWhenUsed/>
    <w:rsid w:val="00432D83"/>
    <w:pPr>
      <w:tabs>
        <w:tab w:val="center" w:pos="4680"/>
        <w:tab w:val="right" w:pos="9360"/>
      </w:tabs>
    </w:pPr>
  </w:style>
  <w:style w:type="character" w:customStyle="1" w:styleId="FooterChar">
    <w:name w:val="Footer Char"/>
    <w:basedOn w:val="DefaultParagraphFont"/>
    <w:link w:val="Footer"/>
    <w:uiPriority w:val="99"/>
    <w:rsid w:val="00432D83"/>
  </w:style>
  <w:style w:type="character" w:styleId="PageNumber">
    <w:name w:val="page number"/>
    <w:basedOn w:val="DefaultParagraphFont"/>
    <w:uiPriority w:val="99"/>
    <w:semiHidden/>
    <w:unhideWhenUsed/>
    <w:rsid w:val="00432D83"/>
  </w:style>
  <w:style w:type="paragraph" w:styleId="Header">
    <w:name w:val="header"/>
    <w:basedOn w:val="Normal"/>
    <w:link w:val="HeaderChar"/>
    <w:uiPriority w:val="99"/>
    <w:unhideWhenUsed/>
    <w:rsid w:val="00432D83"/>
    <w:pPr>
      <w:tabs>
        <w:tab w:val="center" w:pos="4680"/>
        <w:tab w:val="right" w:pos="9360"/>
      </w:tabs>
    </w:pPr>
  </w:style>
  <w:style w:type="character" w:customStyle="1" w:styleId="HeaderChar">
    <w:name w:val="Header Char"/>
    <w:basedOn w:val="DefaultParagraphFont"/>
    <w:link w:val="Header"/>
    <w:uiPriority w:val="99"/>
    <w:rsid w:val="00432D83"/>
  </w:style>
  <w:style w:type="character" w:styleId="Emphasis">
    <w:name w:val="Emphasis"/>
    <w:basedOn w:val="DefaultParagraphFont"/>
    <w:uiPriority w:val="20"/>
    <w:qFormat/>
    <w:rsid w:val="00244274"/>
    <w:rPr>
      <w:i/>
      <w:iCs/>
    </w:rPr>
  </w:style>
  <w:style w:type="character" w:styleId="Hyperlink">
    <w:name w:val="Hyperlink"/>
    <w:basedOn w:val="DefaultParagraphFont"/>
    <w:uiPriority w:val="99"/>
    <w:unhideWhenUsed/>
    <w:rsid w:val="00244274"/>
    <w:rPr>
      <w:color w:val="0000FF"/>
      <w:u w:val="single"/>
    </w:rPr>
  </w:style>
  <w:style w:type="paragraph" w:customStyle="1" w:styleId="12ptBold">
    <w:name w:val="12pt+Bold"/>
    <w:basedOn w:val="Normal"/>
    <w:qFormat/>
    <w:rsid w:val="0012089E"/>
    <w:pPr>
      <w:widowControl w:val="0"/>
      <w:spacing w:line="360" w:lineRule="auto"/>
      <w:jc w:val="both"/>
    </w:pPr>
    <w:rPr>
      <w:rFonts w:ascii="Book Antiqua" w:hAnsi="Book Antiqua"/>
      <w:b/>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014">
      <w:bodyDiv w:val="1"/>
      <w:marLeft w:val="0"/>
      <w:marRight w:val="0"/>
      <w:marTop w:val="0"/>
      <w:marBottom w:val="0"/>
      <w:divBdr>
        <w:top w:val="none" w:sz="0" w:space="0" w:color="auto"/>
        <w:left w:val="none" w:sz="0" w:space="0" w:color="auto"/>
        <w:bottom w:val="none" w:sz="0" w:space="0" w:color="auto"/>
        <w:right w:val="none" w:sz="0" w:space="0" w:color="auto"/>
      </w:divBdr>
    </w:div>
    <w:div w:id="40249087">
      <w:bodyDiv w:val="1"/>
      <w:marLeft w:val="0"/>
      <w:marRight w:val="0"/>
      <w:marTop w:val="0"/>
      <w:marBottom w:val="0"/>
      <w:divBdr>
        <w:top w:val="none" w:sz="0" w:space="0" w:color="auto"/>
        <w:left w:val="none" w:sz="0" w:space="0" w:color="auto"/>
        <w:bottom w:val="none" w:sz="0" w:space="0" w:color="auto"/>
        <w:right w:val="none" w:sz="0" w:space="0" w:color="auto"/>
      </w:divBdr>
    </w:div>
    <w:div w:id="101730071">
      <w:bodyDiv w:val="1"/>
      <w:marLeft w:val="0"/>
      <w:marRight w:val="0"/>
      <w:marTop w:val="0"/>
      <w:marBottom w:val="0"/>
      <w:divBdr>
        <w:top w:val="none" w:sz="0" w:space="0" w:color="auto"/>
        <w:left w:val="none" w:sz="0" w:space="0" w:color="auto"/>
        <w:bottom w:val="none" w:sz="0" w:space="0" w:color="auto"/>
        <w:right w:val="none" w:sz="0" w:space="0" w:color="auto"/>
      </w:divBdr>
      <w:divsChild>
        <w:div w:id="148801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8860">
      <w:bodyDiv w:val="1"/>
      <w:marLeft w:val="0"/>
      <w:marRight w:val="0"/>
      <w:marTop w:val="0"/>
      <w:marBottom w:val="0"/>
      <w:divBdr>
        <w:top w:val="none" w:sz="0" w:space="0" w:color="auto"/>
        <w:left w:val="none" w:sz="0" w:space="0" w:color="auto"/>
        <w:bottom w:val="none" w:sz="0" w:space="0" w:color="auto"/>
        <w:right w:val="none" w:sz="0" w:space="0" w:color="auto"/>
      </w:divBdr>
    </w:div>
    <w:div w:id="105807110">
      <w:bodyDiv w:val="1"/>
      <w:marLeft w:val="0"/>
      <w:marRight w:val="0"/>
      <w:marTop w:val="0"/>
      <w:marBottom w:val="0"/>
      <w:divBdr>
        <w:top w:val="none" w:sz="0" w:space="0" w:color="auto"/>
        <w:left w:val="none" w:sz="0" w:space="0" w:color="auto"/>
        <w:bottom w:val="none" w:sz="0" w:space="0" w:color="auto"/>
        <w:right w:val="none" w:sz="0" w:space="0" w:color="auto"/>
      </w:divBdr>
    </w:div>
    <w:div w:id="114300516">
      <w:bodyDiv w:val="1"/>
      <w:marLeft w:val="0"/>
      <w:marRight w:val="0"/>
      <w:marTop w:val="0"/>
      <w:marBottom w:val="0"/>
      <w:divBdr>
        <w:top w:val="none" w:sz="0" w:space="0" w:color="auto"/>
        <w:left w:val="none" w:sz="0" w:space="0" w:color="auto"/>
        <w:bottom w:val="none" w:sz="0" w:space="0" w:color="auto"/>
        <w:right w:val="none" w:sz="0" w:space="0" w:color="auto"/>
      </w:divBdr>
    </w:div>
    <w:div w:id="117381061">
      <w:bodyDiv w:val="1"/>
      <w:marLeft w:val="0"/>
      <w:marRight w:val="0"/>
      <w:marTop w:val="0"/>
      <w:marBottom w:val="0"/>
      <w:divBdr>
        <w:top w:val="none" w:sz="0" w:space="0" w:color="auto"/>
        <w:left w:val="none" w:sz="0" w:space="0" w:color="auto"/>
        <w:bottom w:val="none" w:sz="0" w:space="0" w:color="auto"/>
        <w:right w:val="none" w:sz="0" w:space="0" w:color="auto"/>
      </w:divBdr>
    </w:div>
    <w:div w:id="140121160">
      <w:bodyDiv w:val="1"/>
      <w:marLeft w:val="0"/>
      <w:marRight w:val="0"/>
      <w:marTop w:val="0"/>
      <w:marBottom w:val="0"/>
      <w:divBdr>
        <w:top w:val="none" w:sz="0" w:space="0" w:color="auto"/>
        <w:left w:val="none" w:sz="0" w:space="0" w:color="auto"/>
        <w:bottom w:val="none" w:sz="0" w:space="0" w:color="auto"/>
        <w:right w:val="none" w:sz="0" w:space="0" w:color="auto"/>
      </w:divBdr>
    </w:div>
    <w:div w:id="155196433">
      <w:bodyDiv w:val="1"/>
      <w:marLeft w:val="0"/>
      <w:marRight w:val="0"/>
      <w:marTop w:val="0"/>
      <w:marBottom w:val="0"/>
      <w:divBdr>
        <w:top w:val="none" w:sz="0" w:space="0" w:color="auto"/>
        <w:left w:val="none" w:sz="0" w:space="0" w:color="auto"/>
        <w:bottom w:val="none" w:sz="0" w:space="0" w:color="auto"/>
        <w:right w:val="none" w:sz="0" w:space="0" w:color="auto"/>
      </w:divBdr>
    </w:div>
    <w:div w:id="156117137">
      <w:bodyDiv w:val="1"/>
      <w:marLeft w:val="0"/>
      <w:marRight w:val="0"/>
      <w:marTop w:val="0"/>
      <w:marBottom w:val="0"/>
      <w:divBdr>
        <w:top w:val="none" w:sz="0" w:space="0" w:color="auto"/>
        <w:left w:val="none" w:sz="0" w:space="0" w:color="auto"/>
        <w:bottom w:val="none" w:sz="0" w:space="0" w:color="auto"/>
        <w:right w:val="none" w:sz="0" w:space="0" w:color="auto"/>
      </w:divBdr>
    </w:div>
    <w:div w:id="227232857">
      <w:bodyDiv w:val="1"/>
      <w:marLeft w:val="0"/>
      <w:marRight w:val="0"/>
      <w:marTop w:val="0"/>
      <w:marBottom w:val="0"/>
      <w:divBdr>
        <w:top w:val="none" w:sz="0" w:space="0" w:color="auto"/>
        <w:left w:val="none" w:sz="0" w:space="0" w:color="auto"/>
        <w:bottom w:val="none" w:sz="0" w:space="0" w:color="auto"/>
        <w:right w:val="none" w:sz="0" w:space="0" w:color="auto"/>
      </w:divBdr>
    </w:div>
    <w:div w:id="270090239">
      <w:bodyDiv w:val="1"/>
      <w:marLeft w:val="0"/>
      <w:marRight w:val="0"/>
      <w:marTop w:val="0"/>
      <w:marBottom w:val="0"/>
      <w:divBdr>
        <w:top w:val="none" w:sz="0" w:space="0" w:color="auto"/>
        <w:left w:val="none" w:sz="0" w:space="0" w:color="auto"/>
        <w:bottom w:val="none" w:sz="0" w:space="0" w:color="auto"/>
        <w:right w:val="none" w:sz="0" w:space="0" w:color="auto"/>
      </w:divBdr>
    </w:div>
    <w:div w:id="306127583">
      <w:bodyDiv w:val="1"/>
      <w:marLeft w:val="0"/>
      <w:marRight w:val="0"/>
      <w:marTop w:val="0"/>
      <w:marBottom w:val="0"/>
      <w:divBdr>
        <w:top w:val="none" w:sz="0" w:space="0" w:color="auto"/>
        <w:left w:val="none" w:sz="0" w:space="0" w:color="auto"/>
        <w:bottom w:val="none" w:sz="0" w:space="0" w:color="auto"/>
        <w:right w:val="none" w:sz="0" w:space="0" w:color="auto"/>
      </w:divBdr>
    </w:div>
    <w:div w:id="318660218">
      <w:bodyDiv w:val="1"/>
      <w:marLeft w:val="0"/>
      <w:marRight w:val="0"/>
      <w:marTop w:val="0"/>
      <w:marBottom w:val="0"/>
      <w:divBdr>
        <w:top w:val="none" w:sz="0" w:space="0" w:color="auto"/>
        <w:left w:val="none" w:sz="0" w:space="0" w:color="auto"/>
        <w:bottom w:val="none" w:sz="0" w:space="0" w:color="auto"/>
        <w:right w:val="none" w:sz="0" w:space="0" w:color="auto"/>
      </w:divBdr>
    </w:div>
    <w:div w:id="323775375">
      <w:bodyDiv w:val="1"/>
      <w:marLeft w:val="0"/>
      <w:marRight w:val="0"/>
      <w:marTop w:val="0"/>
      <w:marBottom w:val="0"/>
      <w:divBdr>
        <w:top w:val="none" w:sz="0" w:space="0" w:color="auto"/>
        <w:left w:val="none" w:sz="0" w:space="0" w:color="auto"/>
        <w:bottom w:val="none" w:sz="0" w:space="0" w:color="auto"/>
        <w:right w:val="none" w:sz="0" w:space="0" w:color="auto"/>
      </w:divBdr>
    </w:div>
    <w:div w:id="334457837">
      <w:bodyDiv w:val="1"/>
      <w:marLeft w:val="0"/>
      <w:marRight w:val="0"/>
      <w:marTop w:val="0"/>
      <w:marBottom w:val="0"/>
      <w:divBdr>
        <w:top w:val="none" w:sz="0" w:space="0" w:color="auto"/>
        <w:left w:val="none" w:sz="0" w:space="0" w:color="auto"/>
        <w:bottom w:val="none" w:sz="0" w:space="0" w:color="auto"/>
        <w:right w:val="none" w:sz="0" w:space="0" w:color="auto"/>
      </w:divBdr>
    </w:div>
    <w:div w:id="379672680">
      <w:bodyDiv w:val="1"/>
      <w:marLeft w:val="0"/>
      <w:marRight w:val="0"/>
      <w:marTop w:val="0"/>
      <w:marBottom w:val="0"/>
      <w:divBdr>
        <w:top w:val="none" w:sz="0" w:space="0" w:color="auto"/>
        <w:left w:val="none" w:sz="0" w:space="0" w:color="auto"/>
        <w:bottom w:val="none" w:sz="0" w:space="0" w:color="auto"/>
        <w:right w:val="none" w:sz="0" w:space="0" w:color="auto"/>
      </w:divBdr>
    </w:div>
    <w:div w:id="556891915">
      <w:bodyDiv w:val="1"/>
      <w:marLeft w:val="0"/>
      <w:marRight w:val="0"/>
      <w:marTop w:val="0"/>
      <w:marBottom w:val="0"/>
      <w:divBdr>
        <w:top w:val="none" w:sz="0" w:space="0" w:color="auto"/>
        <w:left w:val="none" w:sz="0" w:space="0" w:color="auto"/>
        <w:bottom w:val="none" w:sz="0" w:space="0" w:color="auto"/>
        <w:right w:val="none" w:sz="0" w:space="0" w:color="auto"/>
      </w:divBdr>
    </w:div>
    <w:div w:id="592978228">
      <w:bodyDiv w:val="1"/>
      <w:marLeft w:val="0"/>
      <w:marRight w:val="0"/>
      <w:marTop w:val="0"/>
      <w:marBottom w:val="0"/>
      <w:divBdr>
        <w:top w:val="none" w:sz="0" w:space="0" w:color="auto"/>
        <w:left w:val="none" w:sz="0" w:space="0" w:color="auto"/>
        <w:bottom w:val="none" w:sz="0" w:space="0" w:color="auto"/>
        <w:right w:val="none" w:sz="0" w:space="0" w:color="auto"/>
      </w:divBdr>
    </w:div>
    <w:div w:id="727925575">
      <w:bodyDiv w:val="1"/>
      <w:marLeft w:val="0"/>
      <w:marRight w:val="0"/>
      <w:marTop w:val="0"/>
      <w:marBottom w:val="0"/>
      <w:divBdr>
        <w:top w:val="none" w:sz="0" w:space="0" w:color="auto"/>
        <w:left w:val="none" w:sz="0" w:space="0" w:color="auto"/>
        <w:bottom w:val="none" w:sz="0" w:space="0" w:color="auto"/>
        <w:right w:val="none" w:sz="0" w:space="0" w:color="auto"/>
      </w:divBdr>
    </w:div>
    <w:div w:id="852039198">
      <w:bodyDiv w:val="1"/>
      <w:marLeft w:val="0"/>
      <w:marRight w:val="0"/>
      <w:marTop w:val="0"/>
      <w:marBottom w:val="0"/>
      <w:divBdr>
        <w:top w:val="none" w:sz="0" w:space="0" w:color="auto"/>
        <w:left w:val="none" w:sz="0" w:space="0" w:color="auto"/>
        <w:bottom w:val="none" w:sz="0" w:space="0" w:color="auto"/>
        <w:right w:val="none" w:sz="0" w:space="0" w:color="auto"/>
      </w:divBdr>
      <w:divsChild>
        <w:div w:id="3363356">
          <w:marLeft w:val="0"/>
          <w:marRight w:val="0"/>
          <w:marTop w:val="0"/>
          <w:marBottom w:val="0"/>
          <w:divBdr>
            <w:top w:val="none" w:sz="0" w:space="0" w:color="auto"/>
            <w:left w:val="none" w:sz="0" w:space="0" w:color="auto"/>
            <w:bottom w:val="none" w:sz="0" w:space="0" w:color="auto"/>
            <w:right w:val="none" w:sz="0" w:space="0" w:color="auto"/>
          </w:divBdr>
        </w:div>
        <w:div w:id="392701937">
          <w:marLeft w:val="0"/>
          <w:marRight w:val="0"/>
          <w:marTop w:val="0"/>
          <w:marBottom w:val="0"/>
          <w:divBdr>
            <w:top w:val="none" w:sz="0" w:space="0" w:color="auto"/>
            <w:left w:val="none" w:sz="0" w:space="0" w:color="auto"/>
            <w:bottom w:val="none" w:sz="0" w:space="0" w:color="auto"/>
            <w:right w:val="none" w:sz="0" w:space="0" w:color="auto"/>
          </w:divBdr>
        </w:div>
        <w:div w:id="1772430174">
          <w:marLeft w:val="0"/>
          <w:marRight w:val="0"/>
          <w:marTop w:val="0"/>
          <w:marBottom w:val="0"/>
          <w:divBdr>
            <w:top w:val="none" w:sz="0" w:space="0" w:color="auto"/>
            <w:left w:val="none" w:sz="0" w:space="0" w:color="auto"/>
            <w:bottom w:val="none" w:sz="0" w:space="0" w:color="auto"/>
            <w:right w:val="none" w:sz="0" w:space="0" w:color="auto"/>
          </w:divBdr>
        </w:div>
        <w:div w:id="1916471637">
          <w:marLeft w:val="0"/>
          <w:marRight w:val="0"/>
          <w:marTop w:val="0"/>
          <w:marBottom w:val="0"/>
          <w:divBdr>
            <w:top w:val="none" w:sz="0" w:space="0" w:color="auto"/>
            <w:left w:val="none" w:sz="0" w:space="0" w:color="auto"/>
            <w:bottom w:val="none" w:sz="0" w:space="0" w:color="auto"/>
            <w:right w:val="none" w:sz="0" w:space="0" w:color="auto"/>
          </w:divBdr>
        </w:div>
        <w:div w:id="237058837">
          <w:marLeft w:val="0"/>
          <w:marRight w:val="0"/>
          <w:marTop w:val="0"/>
          <w:marBottom w:val="0"/>
          <w:divBdr>
            <w:top w:val="none" w:sz="0" w:space="0" w:color="auto"/>
            <w:left w:val="none" w:sz="0" w:space="0" w:color="auto"/>
            <w:bottom w:val="none" w:sz="0" w:space="0" w:color="auto"/>
            <w:right w:val="none" w:sz="0" w:space="0" w:color="auto"/>
          </w:divBdr>
        </w:div>
        <w:div w:id="1010569676">
          <w:marLeft w:val="0"/>
          <w:marRight w:val="0"/>
          <w:marTop w:val="0"/>
          <w:marBottom w:val="0"/>
          <w:divBdr>
            <w:top w:val="none" w:sz="0" w:space="0" w:color="auto"/>
            <w:left w:val="none" w:sz="0" w:space="0" w:color="auto"/>
            <w:bottom w:val="none" w:sz="0" w:space="0" w:color="auto"/>
            <w:right w:val="none" w:sz="0" w:space="0" w:color="auto"/>
          </w:divBdr>
        </w:div>
        <w:div w:id="1507206955">
          <w:marLeft w:val="0"/>
          <w:marRight w:val="0"/>
          <w:marTop w:val="0"/>
          <w:marBottom w:val="0"/>
          <w:divBdr>
            <w:top w:val="none" w:sz="0" w:space="0" w:color="auto"/>
            <w:left w:val="none" w:sz="0" w:space="0" w:color="auto"/>
            <w:bottom w:val="none" w:sz="0" w:space="0" w:color="auto"/>
            <w:right w:val="none" w:sz="0" w:space="0" w:color="auto"/>
          </w:divBdr>
        </w:div>
        <w:div w:id="733819190">
          <w:marLeft w:val="0"/>
          <w:marRight w:val="0"/>
          <w:marTop w:val="0"/>
          <w:marBottom w:val="0"/>
          <w:divBdr>
            <w:top w:val="none" w:sz="0" w:space="0" w:color="auto"/>
            <w:left w:val="none" w:sz="0" w:space="0" w:color="auto"/>
            <w:bottom w:val="none" w:sz="0" w:space="0" w:color="auto"/>
            <w:right w:val="none" w:sz="0" w:space="0" w:color="auto"/>
          </w:divBdr>
        </w:div>
        <w:div w:id="82189259">
          <w:marLeft w:val="0"/>
          <w:marRight w:val="0"/>
          <w:marTop w:val="0"/>
          <w:marBottom w:val="0"/>
          <w:divBdr>
            <w:top w:val="none" w:sz="0" w:space="0" w:color="auto"/>
            <w:left w:val="none" w:sz="0" w:space="0" w:color="auto"/>
            <w:bottom w:val="none" w:sz="0" w:space="0" w:color="auto"/>
            <w:right w:val="none" w:sz="0" w:space="0" w:color="auto"/>
          </w:divBdr>
        </w:div>
        <w:div w:id="1151023072">
          <w:marLeft w:val="0"/>
          <w:marRight w:val="0"/>
          <w:marTop w:val="0"/>
          <w:marBottom w:val="0"/>
          <w:divBdr>
            <w:top w:val="none" w:sz="0" w:space="0" w:color="auto"/>
            <w:left w:val="none" w:sz="0" w:space="0" w:color="auto"/>
            <w:bottom w:val="none" w:sz="0" w:space="0" w:color="auto"/>
            <w:right w:val="none" w:sz="0" w:space="0" w:color="auto"/>
          </w:divBdr>
        </w:div>
        <w:div w:id="903030852">
          <w:marLeft w:val="0"/>
          <w:marRight w:val="0"/>
          <w:marTop w:val="0"/>
          <w:marBottom w:val="0"/>
          <w:divBdr>
            <w:top w:val="none" w:sz="0" w:space="0" w:color="auto"/>
            <w:left w:val="none" w:sz="0" w:space="0" w:color="auto"/>
            <w:bottom w:val="none" w:sz="0" w:space="0" w:color="auto"/>
            <w:right w:val="none" w:sz="0" w:space="0" w:color="auto"/>
          </w:divBdr>
        </w:div>
        <w:div w:id="1433555161">
          <w:marLeft w:val="0"/>
          <w:marRight w:val="0"/>
          <w:marTop w:val="0"/>
          <w:marBottom w:val="0"/>
          <w:divBdr>
            <w:top w:val="none" w:sz="0" w:space="0" w:color="auto"/>
            <w:left w:val="none" w:sz="0" w:space="0" w:color="auto"/>
            <w:bottom w:val="none" w:sz="0" w:space="0" w:color="auto"/>
            <w:right w:val="none" w:sz="0" w:space="0" w:color="auto"/>
          </w:divBdr>
        </w:div>
      </w:divsChild>
    </w:div>
    <w:div w:id="860976619">
      <w:bodyDiv w:val="1"/>
      <w:marLeft w:val="0"/>
      <w:marRight w:val="0"/>
      <w:marTop w:val="0"/>
      <w:marBottom w:val="0"/>
      <w:divBdr>
        <w:top w:val="none" w:sz="0" w:space="0" w:color="auto"/>
        <w:left w:val="none" w:sz="0" w:space="0" w:color="auto"/>
        <w:bottom w:val="none" w:sz="0" w:space="0" w:color="auto"/>
        <w:right w:val="none" w:sz="0" w:space="0" w:color="auto"/>
      </w:divBdr>
    </w:div>
    <w:div w:id="870188863">
      <w:bodyDiv w:val="1"/>
      <w:marLeft w:val="0"/>
      <w:marRight w:val="0"/>
      <w:marTop w:val="0"/>
      <w:marBottom w:val="0"/>
      <w:divBdr>
        <w:top w:val="none" w:sz="0" w:space="0" w:color="auto"/>
        <w:left w:val="none" w:sz="0" w:space="0" w:color="auto"/>
        <w:bottom w:val="none" w:sz="0" w:space="0" w:color="auto"/>
        <w:right w:val="none" w:sz="0" w:space="0" w:color="auto"/>
      </w:divBdr>
    </w:div>
    <w:div w:id="899362517">
      <w:bodyDiv w:val="1"/>
      <w:marLeft w:val="0"/>
      <w:marRight w:val="0"/>
      <w:marTop w:val="0"/>
      <w:marBottom w:val="0"/>
      <w:divBdr>
        <w:top w:val="none" w:sz="0" w:space="0" w:color="auto"/>
        <w:left w:val="none" w:sz="0" w:space="0" w:color="auto"/>
        <w:bottom w:val="none" w:sz="0" w:space="0" w:color="auto"/>
        <w:right w:val="none" w:sz="0" w:space="0" w:color="auto"/>
      </w:divBdr>
    </w:div>
    <w:div w:id="93894651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92">
          <w:marLeft w:val="0"/>
          <w:marRight w:val="0"/>
          <w:marTop w:val="0"/>
          <w:marBottom w:val="0"/>
          <w:divBdr>
            <w:top w:val="none" w:sz="0" w:space="0" w:color="auto"/>
            <w:left w:val="none" w:sz="0" w:space="0" w:color="auto"/>
            <w:bottom w:val="none" w:sz="0" w:space="0" w:color="auto"/>
            <w:right w:val="none" w:sz="0" w:space="0" w:color="auto"/>
          </w:divBdr>
          <w:divsChild>
            <w:div w:id="76561751">
              <w:marLeft w:val="0"/>
              <w:marRight w:val="0"/>
              <w:marTop w:val="0"/>
              <w:marBottom w:val="0"/>
              <w:divBdr>
                <w:top w:val="none" w:sz="0" w:space="0" w:color="auto"/>
                <w:left w:val="none" w:sz="0" w:space="0" w:color="auto"/>
                <w:bottom w:val="none" w:sz="0" w:space="0" w:color="auto"/>
                <w:right w:val="none" w:sz="0" w:space="0" w:color="auto"/>
              </w:divBdr>
              <w:divsChild>
                <w:div w:id="2143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2975">
      <w:bodyDiv w:val="1"/>
      <w:marLeft w:val="0"/>
      <w:marRight w:val="0"/>
      <w:marTop w:val="0"/>
      <w:marBottom w:val="0"/>
      <w:divBdr>
        <w:top w:val="none" w:sz="0" w:space="0" w:color="auto"/>
        <w:left w:val="none" w:sz="0" w:space="0" w:color="auto"/>
        <w:bottom w:val="none" w:sz="0" w:space="0" w:color="auto"/>
        <w:right w:val="none" w:sz="0" w:space="0" w:color="auto"/>
      </w:divBdr>
    </w:div>
    <w:div w:id="953486133">
      <w:bodyDiv w:val="1"/>
      <w:marLeft w:val="0"/>
      <w:marRight w:val="0"/>
      <w:marTop w:val="0"/>
      <w:marBottom w:val="0"/>
      <w:divBdr>
        <w:top w:val="none" w:sz="0" w:space="0" w:color="auto"/>
        <w:left w:val="none" w:sz="0" w:space="0" w:color="auto"/>
        <w:bottom w:val="none" w:sz="0" w:space="0" w:color="auto"/>
        <w:right w:val="none" w:sz="0" w:space="0" w:color="auto"/>
      </w:divBdr>
    </w:div>
    <w:div w:id="1034042722">
      <w:bodyDiv w:val="1"/>
      <w:marLeft w:val="0"/>
      <w:marRight w:val="0"/>
      <w:marTop w:val="0"/>
      <w:marBottom w:val="0"/>
      <w:divBdr>
        <w:top w:val="none" w:sz="0" w:space="0" w:color="auto"/>
        <w:left w:val="none" w:sz="0" w:space="0" w:color="auto"/>
        <w:bottom w:val="none" w:sz="0" w:space="0" w:color="auto"/>
        <w:right w:val="none" w:sz="0" w:space="0" w:color="auto"/>
      </w:divBdr>
      <w:divsChild>
        <w:div w:id="1440952301">
          <w:marLeft w:val="0"/>
          <w:marRight w:val="0"/>
          <w:marTop w:val="0"/>
          <w:marBottom w:val="0"/>
          <w:divBdr>
            <w:top w:val="none" w:sz="0" w:space="0" w:color="auto"/>
            <w:left w:val="none" w:sz="0" w:space="0" w:color="auto"/>
            <w:bottom w:val="none" w:sz="0" w:space="0" w:color="auto"/>
            <w:right w:val="none" w:sz="0" w:space="0" w:color="auto"/>
          </w:divBdr>
          <w:divsChild>
            <w:div w:id="2100253711">
              <w:marLeft w:val="0"/>
              <w:marRight w:val="0"/>
              <w:marTop w:val="0"/>
              <w:marBottom w:val="0"/>
              <w:divBdr>
                <w:top w:val="none" w:sz="0" w:space="0" w:color="auto"/>
                <w:left w:val="none" w:sz="0" w:space="0" w:color="auto"/>
                <w:bottom w:val="none" w:sz="0" w:space="0" w:color="auto"/>
                <w:right w:val="none" w:sz="0" w:space="0" w:color="auto"/>
              </w:divBdr>
              <w:divsChild>
                <w:div w:id="1908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0194">
      <w:bodyDiv w:val="1"/>
      <w:marLeft w:val="0"/>
      <w:marRight w:val="0"/>
      <w:marTop w:val="0"/>
      <w:marBottom w:val="0"/>
      <w:divBdr>
        <w:top w:val="none" w:sz="0" w:space="0" w:color="auto"/>
        <w:left w:val="none" w:sz="0" w:space="0" w:color="auto"/>
        <w:bottom w:val="none" w:sz="0" w:space="0" w:color="auto"/>
        <w:right w:val="none" w:sz="0" w:space="0" w:color="auto"/>
      </w:divBdr>
    </w:div>
    <w:div w:id="1107850566">
      <w:bodyDiv w:val="1"/>
      <w:marLeft w:val="0"/>
      <w:marRight w:val="0"/>
      <w:marTop w:val="0"/>
      <w:marBottom w:val="0"/>
      <w:divBdr>
        <w:top w:val="none" w:sz="0" w:space="0" w:color="auto"/>
        <w:left w:val="none" w:sz="0" w:space="0" w:color="auto"/>
        <w:bottom w:val="none" w:sz="0" w:space="0" w:color="auto"/>
        <w:right w:val="none" w:sz="0" w:space="0" w:color="auto"/>
      </w:divBdr>
    </w:div>
    <w:div w:id="1155880644">
      <w:bodyDiv w:val="1"/>
      <w:marLeft w:val="0"/>
      <w:marRight w:val="0"/>
      <w:marTop w:val="0"/>
      <w:marBottom w:val="0"/>
      <w:divBdr>
        <w:top w:val="none" w:sz="0" w:space="0" w:color="auto"/>
        <w:left w:val="none" w:sz="0" w:space="0" w:color="auto"/>
        <w:bottom w:val="none" w:sz="0" w:space="0" w:color="auto"/>
        <w:right w:val="none" w:sz="0" w:space="0" w:color="auto"/>
      </w:divBdr>
    </w:div>
    <w:div w:id="1175531071">
      <w:bodyDiv w:val="1"/>
      <w:marLeft w:val="0"/>
      <w:marRight w:val="0"/>
      <w:marTop w:val="0"/>
      <w:marBottom w:val="0"/>
      <w:divBdr>
        <w:top w:val="none" w:sz="0" w:space="0" w:color="auto"/>
        <w:left w:val="none" w:sz="0" w:space="0" w:color="auto"/>
        <w:bottom w:val="none" w:sz="0" w:space="0" w:color="auto"/>
        <w:right w:val="none" w:sz="0" w:space="0" w:color="auto"/>
      </w:divBdr>
      <w:divsChild>
        <w:div w:id="85380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6">
      <w:bodyDiv w:val="1"/>
      <w:marLeft w:val="0"/>
      <w:marRight w:val="0"/>
      <w:marTop w:val="0"/>
      <w:marBottom w:val="0"/>
      <w:divBdr>
        <w:top w:val="none" w:sz="0" w:space="0" w:color="auto"/>
        <w:left w:val="none" w:sz="0" w:space="0" w:color="auto"/>
        <w:bottom w:val="none" w:sz="0" w:space="0" w:color="auto"/>
        <w:right w:val="none" w:sz="0" w:space="0" w:color="auto"/>
      </w:divBdr>
    </w:div>
    <w:div w:id="1218976218">
      <w:bodyDiv w:val="1"/>
      <w:marLeft w:val="0"/>
      <w:marRight w:val="0"/>
      <w:marTop w:val="0"/>
      <w:marBottom w:val="0"/>
      <w:divBdr>
        <w:top w:val="none" w:sz="0" w:space="0" w:color="auto"/>
        <w:left w:val="none" w:sz="0" w:space="0" w:color="auto"/>
        <w:bottom w:val="none" w:sz="0" w:space="0" w:color="auto"/>
        <w:right w:val="none" w:sz="0" w:space="0" w:color="auto"/>
      </w:divBdr>
    </w:div>
    <w:div w:id="1442216799">
      <w:bodyDiv w:val="1"/>
      <w:marLeft w:val="0"/>
      <w:marRight w:val="0"/>
      <w:marTop w:val="0"/>
      <w:marBottom w:val="0"/>
      <w:divBdr>
        <w:top w:val="none" w:sz="0" w:space="0" w:color="auto"/>
        <w:left w:val="none" w:sz="0" w:space="0" w:color="auto"/>
        <w:bottom w:val="none" w:sz="0" w:space="0" w:color="auto"/>
        <w:right w:val="none" w:sz="0" w:space="0" w:color="auto"/>
      </w:divBdr>
    </w:div>
    <w:div w:id="1466006771">
      <w:bodyDiv w:val="1"/>
      <w:marLeft w:val="0"/>
      <w:marRight w:val="0"/>
      <w:marTop w:val="0"/>
      <w:marBottom w:val="0"/>
      <w:divBdr>
        <w:top w:val="none" w:sz="0" w:space="0" w:color="auto"/>
        <w:left w:val="none" w:sz="0" w:space="0" w:color="auto"/>
        <w:bottom w:val="none" w:sz="0" w:space="0" w:color="auto"/>
        <w:right w:val="none" w:sz="0" w:space="0" w:color="auto"/>
      </w:divBdr>
    </w:div>
    <w:div w:id="1537696344">
      <w:bodyDiv w:val="1"/>
      <w:marLeft w:val="0"/>
      <w:marRight w:val="0"/>
      <w:marTop w:val="0"/>
      <w:marBottom w:val="0"/>
      <w:divBdr>
        <w:top w:val="none" w:sz="0" w:space="0" w:color="auto"/>
        <w:left w:val="none" w:sz="0" w:space="0" w:color="auto"/>
        <w:bottom w:val="none" w:sz="0" w:space="0" w:color="auto"/>
        <w:right w:val="none" w:sz="0" w:space="0" w:color="auto"/>
      </w:divBdr>
    </w:div>
    <w:div w:id="1600793599">
      <w:bodyDiv w:val="1"/>
      <w:marLeft w:val="0"/>
      <w:marRight w:val="0"/>
      <w:marTop w:val="0"/>
      <w:marBottom w:val="0"/>
      <w:divBdr>
        <w:top w:val="none" w:sz="0" w:space="0" w:color="auto"/>
        <w:left w:val="none" w:sz="0" w:space="0" w:color="auto"/>
        <w:bottom w:val="none" w:sz="0" w:space="0" w:color="auto"/>
        <w:right w:val="none" w:sz="0" w:space="0" w:color="auto"/>
      </w:divBdr>
    </w:div>
    <w:div w:id="1661228825">
      <w:bodyDiv w:val="1"/>
      <w:marLeft w:val="0"/>
      <w:marRight w:val="0"/>
      <w:marTop w:val="0"/>
      <w:marBottom w:val="0"/>
      <w:divBdr>
        <w:top w:val="none" w:sz="0" w:space="0" w:color="auto"/>
        <w:left w:val="none" w:sz="0" w:space="0" w:color="auto"/>
        <w:bottom w:val="none" w:sz="0" w:space="0" w:color="auto"/>
        <w:right w:val="none" w:sz="0" w:space="0" w:color="auto"/>
      </w:divBdr>
    </w:div>
    <w:div w:id="1692685861">
      <w:bodyDiv w:val="1"/>
      <w:marLeft w:val="0"/>
      <w:marRight w:val="0"/>
      <w:marTop w:val="0"/>
      <w:marBottom w:val="0"/>
      <w:divBdr>
        <w:top w:val="none" w:sz="0" w:space="0" w:color="auto"/>
        <w:left w:val="none" w:sz="0" w:space="0" w:color="auto"/>
        <w:bottom w:val="none" w:sz="0" w:space="0" w:color="auto"/>
        <w:right w:val="none" w:sz="0" w:space="0" w:color="auto"/>
      </w:divBdr>
    </w:div>
    <w:div w:id="1725640629">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
    <w:div w:id="1825316534">
      <w:bodyDiv w:val="1"/>
      <w:marLeft w:val="0"/>
      <w:marRight w:val="0"/>
      <w:marTop w:val="0"/>
      <w:marBottom w:val="0"/>
      <w:divBdr>
        <w:top w:val="none" w:sz="0" w:space="0" w:color="auto"/>
        <w:left w:val="none" w:sz="0" w:space="0" w:color="auto"/>
        <w:bottom w:val="none" w:sz="0" w:space="0" w:color="auto"/>
        <w:right w:val="none" w:sz="0" w:space="0" w:color="auto"/>
      </w:divBdr>
    </w:div>
    <w:div w:id="1831406190">
      <w:bodyDiv w:val="1"/>
      <w:marLeft w:val="0"/>
      <w:marRight w:val="0"/>
      <w:marTop w:val="0"/>
      <w:marBottom w:val="0"/>
      <w:divBdr>
        <w:top w:val="none" w:sz="0" w:space="0" w:color="auto"/>
        <w:left w:val="none" w:sz="0" w:space="0" w:color="auto"/>
        <w:bottom w:val="none" w:sz="0" w:space="0" w:color="auto"/>
        <w:right w:val="none" w:sz="0" w:space="0" w:color="auto"/>
      </w:divBdr>
    </w:div>
    <w:div w:id="1868790421">
      <w:bodyDiv w:val="1"/>
      <w:marLeft w:val="0"/>
      <w:marRight w:val="0"/>
      <w:marTop w:val="0"/>
      <w:marBottom w:val="0"/>
      <w:divBdr>
        <w:top w:val="none" w:sz="0" w:space="0" w:color="auto"/>
        <w:left w:val="none" w:sz="0" w:space="0" w:color="auto"/>
        <w:bottom w:val="none" w:sz="0" w:space="0" w:color="auto"/>
        <w:right w:val="none" w:sz="0" w:space="0" w:color="auto"/>
      </w:divBdr>
      <w:divsChild>
        <w:div w:id="487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2611">
      <w:bodyDiv w:val="1"/>
      <w:marLeft w:val="0"/>
      <w:marRight w:val="0"/>
      <w:marTop w:val="0"/>
      <w:marBottom w:val="0"/>
      <w:divBdr>
        <w:top w:val="none" w:sz="0" w:space="0" w:color="auto"/>
        <w:left w:val="none" w:sz="0" w:space="0" w:color="auto"/>
        <w:bottom w:val="none" w:sz="0" w:space="0" w:color="auto"/>
        <w:right w:val="none" w:sz="0" w:space="0" w:color="auto"/>
      </w:divBdr>
    </w:div>
    <w:div w:id="1912697130">
      <w:bodyDiv w:val="1"/>
      <w:marLeft w:val="0"/>
      <w:marRight w:val="0"/>
      <w:marTop w:val="0"/>
      <w:marBottom w:val="0"/>
      <w:divBdr>
        <w:top w:val="none" w:sz="0" w:space="0" w:color="auto"/>
        <w:left w:val="none" w:sz="0" w:space="0" w:color="auto"/>
        <w:bottom w:val="none" w:sz="0" w:space="0" w:color="auto"/>
        <w:right w:val="none" w:sz="0" w:space="0" w:color="auto"/>
      </w:divBdr>
    </w:div>
    <w:div w:id="1938246822">
      <w:bodyDiv w:val="1"/>
      <w:marLeft w:val="0"/>
      <w:marRight w:val="0"/>
      <w:marTop w:val="0"/>
      <w:marBottom w:val="0"/>
      <w:divBdr>
        <w:top w:val="none" w:sz="0" w:space="0" w:color="auto"/>
        <w:left w:val="none" w:sz="0" w:space="0" w:color="auto"/>
        <w:bottom w:val="none" w:sz="0" w:space="0" w:color="auto"/>
        <w:right w:val="none" w:sz="0" w:space="0" w:color="auto"/>
      </w:divBdr>
    </w:div>
    <w:div w:id="2117290032">
      <w:bodyDiv w:val="1"/>
      <w:marLeft w:val="0"/>
      <w:marRight w:val="0"/>
      <w:marTop w:val="0"/>
      <w:marBottom w:val="0"/>
      <w:divBdr>
        <w:top w:val="none" w:sz="0" w:space="0" w:color="auto"/>
        <w:left w:val="none" w:sz="0" w:space="0" w:color="auto"/>
        <w:bottom w:val="none" w:sz="0" w:space="0" w:color="auto"/>
        <w:right w:val="none" w:sz="0" w:space="0" w:color="auto"/>
      </w:divBdr>
    </w:div>
    <w:div w:id="2135325151">
      <w:bodyDiv w:val="1"/>
      <w:marLeft w:val="0"/>
      <w:marRight w:val="0"/>
      <w:marTop w:val="0"/>
      <w:marBottom w:val="0"/>
      <w:divBdr>
        <w:top w:val="none" w:sz="0" w:space="0" w:color="auto"/>
        <w:left w:val="none" w:sz="0" w:space="0" w:color="auto"/>
        <w:bottom w:val="none" w:sz="0" w:space="0" w:color="auto"/>
        <w:right w:val="none" w:sz="0" w:space="0" w:color="auto"/>
      </w:divBdr>
      <w:divsChild>
        <w:div w:id="279654053">
          <w:marLeft w:val="0"/>
          <w:marRight w:val="0"/>
          <w:marTop w:val="0"/>
          <w:marBottom w:val="0"/>
          <w:divBdr>
            <w:top w:val="none" w:sz="0" w:space="0" w:color="auto"/>
            <w:left w:val="none" w:sz="0" w:space="0" w:color="auto"/>
            <w:bottom w:val="none" w:sz="0" w:space="0" w:color="auto"/>
            <w:right w:val="none" w:sz="0" w:space="0" w:color="auto"/>
          </w:divBdr>
          <w:divsChild>
            <w:div w:id="322399013">
              <w:marLeft w:val="0"/>
              <w:marRight w:val="0"/>
              <w:marTop w:val="0"/>
              <w:marBottom w:val="0"/>
              <w:divBdr>
                <w:top w:val="none" w:sz="0" w:space="0" w:color="auto"/>
                <w:left w:val="none" w:sz="0" w:space="0" w:color="auto"/>
                <w:bottom w:val="none" w:sz="0" w:space="0" w:color="auto"/>
                <w:right w:val="none" w:sz="0" w:space="0" w:color="auto"/>
              </w:divBdr>
              <w:divsChild>
                <w:div w:id="16282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ng-d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52354</Words>
  <Characters>298418</Characters>
  <Application>Microsoft Office Word</Application>
  <DocSecurity>0</DocSecurity>
  <Lines>2486</Lines>
  <Paragraphs>700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dc:description/>
  <cp:lastModifiedBy>Na Ma</cp:lastModifiedBy>
  <cp:revision>2</cp:revision>
  <dcterms:created xsi:type="dcterms:W3CDTF">2020-03-22T18:58:00Z</dcterms:created>
  <dcterms:modified xsi:type="dcterms:W3CDTF">2020-03-22T18:58:00Z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id="y9mcIehh"/&gt;&lt;style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