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4BCB3" w14:textId="3EEFA46F" w:rsidR="006256C3" w:rsidRPr="00260584" w:rsidRDefault="007A4B29" w:rsidP="00260584">
      <w:pPr>
        <w:pStyle w:val="1"/>
        <w:adjustRightInd w:val="0"/>
        <w:snapToGrid w:val="0"/>
        <w:spacing w:line="360" w:lineRule="auto"/>
        <w:jc w:val="both"/>
        <w:rPr>
          <w:rFonts w:ascii="Book Antiqua" w:hAnsi="Book Antiqua" w:cs="Times New Roman"/>
          <w:b/>
          <w:color w:val="auto"/>
          <w:sz w:val="24"/>
          <w:szCs w:val="24"/>
          <w:highlight w:val="white"/>
          <w:u w:val="single"/>
          <w:lang w:val="en-US" w:eastAsia="zh-CN"/>
        </w:rPr>
      </w:pPr>
      <w:bookmarkStart w:id="0" w:name="OLE_LINK718"/>
      <w:bookmarkStart w:id="1" w:name="OLE_LINK719"/>
      <w:bookmarkStart w:id="2" w:name="OLE_LINK707"/>
      <w:bookmarkStart w:id="3" w:name="OLE_LINK708"/>
      <w:bookmarkStart w:id="4" w:name="OLE_LINK709"/>
      <w:bookmarkStart w:id="5" w:name="OLE_LINK737"/>
      <w:bookmarkStart w:id="6" w:name="OLE_LINK840"/>
      <w:bookmarkStart w:id="7" w:name="OLE_LINK866"/>
      <w:bookmarkStart w:id="8" w:name="OLE_LINK887"/>
      <w:bookmarkStart w:id="9" w:name="OLE_LINK923"/>
      <w:bookmarkStart w:id="10" w:name="OLE_LINK970"/>
      <w:bookmarkStart w:id="11" w:name="OLE_LINK987"/>
      <w:bookmarkStart w:id="12" w:name="OLE_LINK1024"/>
      <w:bookmarkStart w:id="13" w:name="OLE_LINK246"/>
      <w:bookmarkStart w:id="14" w:name="OLE_LINK636"/>
      <w:bookmarkStart w:id="15" w:name="OLE_LINK654"/>
      <w:bookmarkStart w:id="16" w:name="OLE_LINK849"/>
      <w:bookmarkStart w:id="17" w:name="OLE_LINK939"/>
      <w:bookmarkStart w:id="18" w:name="OLE_LINK1000"/>
      <w:bookmarkStart w:id="19" w:name="OLE_LINK1039"/>
      <w:bookmarkStart w:id="20" w:name="OLE_LINK1050"/>
      <w:bookmarkStart w:id="21" w:name="OLE_LINK1071"/>
      <w:bookmarkStart w:id="22" w:name="OLE_LINK255"/>
      <w:bookmarkStart w:id="23" w:name="OLE_LINK578"/>
      <w:r w:rsidRPr="00260584">
        <w:rPr>
          <w:rFonts w:ascii="Book Antiqua" w:hAnsi="Book Antiqua"/>
          <w:b/>
          <w:color w:val="222222"/>
          <w:sz w:val="24"/>
          <w:szCs w:val="24"/>
          <w:shd w:val="clear" w:color="auto" w:fill="FFFFFF"/>
        </w:rPr>
        <w:t xml:space="preserve">Name of Journal: </w:t>
      </w:r>
      <w:r w:rsidR="006256C3" w:rsidRPr="00260584">
        <w:rPr>
          <w:rFonts w:ascii="Book Antiqua" w:hAnsi="Book Antiqua" w:cs="Times New Roman"/>
          <w:bCs/>
          <w:i/>
          <w:iCs/>
          <w:color w:val="auto"/>
          <w:sz w:val="24"/>
          <w:szCs w:val="24"/>
          <w:highlight w:val="white"/>
          <w:lang w:val="en-US" w:eastAsia="zh-CN"/>
        </w:rPr>
        <w:t xml:space="preserve">World Journal of </w:t>
      </w:r>
      <w:bookmarkEnd w:id="0"/>
      <w:bookmarkEnd w:id="1"/>
      <w:r w:rsidR="009B1B1D" w:rsidRPr="00260584">
        <w:rPr>
          <w:rFonts w:ascii="Book Antiqua" w:hAnsi="Book Antiqua" w:cs="Times New Roman"/>
          <w:bCs/>
          <w:i/>
          <w:iCs/>
          <w:color w:val="auto"/>
          <w:sz w:val="24"/>
          <w:szCs w:val="24"/>
          <w:highlight w:val="white"/>
          <w:lang w:val="en-US" w:eastAsia="zh-CN"/>
        </w:rPr>
        <w:t>Clinical Oncology</w:t>
      </w:r>
    </w:p>
    <w:p w14:paraId="4AEE5ECF" w14:textId="0BC8E734" w:rsidR="007A4B29" w:rsidRPr="00260584" w:rsidRDefault="007A4B29" w:rsidP="00260584">
      <w:pPr>
        <w:adjustRightInd w:val="0"/>
        <w:snapToGrid w:val="0"/>
        <w:spacing w:after="0" w:line="360" w:lineRule="auto"/>
        <w:jc w:val="both"/>
        <w:rPr>
          <w:rFonts w:ascii="Book Antiqua" w:hAnsi="Book Antiqua" w:cs="Arial"/>
          <w:b/>
          <w:color w:val="222222"/>
          <w:sz w:val="24"/>
          <w:szCs w:val="24"/>
          <w:shd w:val="clear" w:color="auto" w:fill="FFFFFF"/>
          <w:lang w:eastAsia="zh-CN"/>
        </w:rPr>
      </w:pPr>
      <w:bookmarkStart w:id="24" w:name="OLE_LINK499"/>
      <w:bookmarkStart w:id="25" w:name="OLE_LINK437"/>
      <w:bookmarkStart w:id="26" w:name="OLE_LINK514"/>
      <w:bookmarkStart w:id="27" w:name="OLE_LINK515"/>
      <w:bookmarkStart w:id="28" w:name="OLE_LINK13"/>
      <w:bookmarkStart w:id="29" w:name="OLE_LINK351"/>
      <w:bookmarkStart w:id="30" w:name="OLE_LINK425"/>
      <w:r w:rsidRPr="00260584">
        <w:rPr>
          <w:rFonts w:ascii="Book Antiqua" w:hAnsi="Book Antiqua" w:cs="Arial"/>
          <w:b/>
          <w:color w:val="222222"/>
          <w:sz w:val="24"/>
          <w:szCs w:val="24"/>
          <w:shd w:val="clear" w:color="auto" w:fill="FFFFFF"/>
        </w:rPr>
        <w:t xml:space="preserve">Manuscript NO: </w:t>
      </w:r>
      <w:r w:rsidRPr="00260584">
        <w:rPr>
          <w:rFonts w:ascii="Book Antiqua" w:hAnsi="Book Antiqua" w:cs="Arial"/>
          <w:bCs/>
          <w:color w:val="222222"/>
          <w:sz w:val="24"/>
          <w:szCs w:val="24"/>
          <w:shd w:val="clear" w:color="auto" w:fill="FFFFFF"/>
        </w:rPr>
        <w:t>54431</w:t>
      </w:r>
    </w:p>
    <w:p w14:paraId="296F6411" w14:textId="14B4E9F8" w:rsidR="00011EBB" w:rsidRPr="00260584" w:rsidRDefault="00011EBB" w:rsidP="00260584">
      <w:pPr>
        <w:adjustRightInd w:val="0"/>
        <w:snapToGrid w:val="0"/>
        <w:spacing w:after="0" w:line="360" w:lineRule="auto"/>
        <w:jc w:val="both"/>
        <w:rPr>
          <w:rFonts w:ascii="Book Antiqua" w:eastAsia="YouYuan" w:hAnsi="Book Antiqua"/>
          <w:sz w:val="24"/>
          <w:szCs w:val="24"/>
          <w:lang w:eastAsia="zh-CN"/>
        </w:rPr>
      </w:pPr>
      <w:bookmarkStart w:id="31" w:name="OLE_LINK3"/>
      <w:bookmarkStart w:id="32" w:name="OLE_LINK4"/>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sidRPr="00260584">
        <w:rPr>
          <w:rFonts w:ascii="Book Antiqua" w:hAnsi="Book Antiqua"/>
          <w:b/>
          <w:color w:val="000000"/>
          <w:sz w:val="24"/>
          <w:szCs w:val="24"/>
          <w:shd w:val="clear" w:color="auto" w:fill="FFFFFF"/>
        </w:rPr>
        <w:t>Manuscript Type</w:t>
      </w:r>
      <w:r w:rsidRPr="00260584">
        <w:rPr>
          <w:rFonts w:ascii="Book Antiqua" w:hAnsi="Book Antiqua"/>
          <w:b/>
          <w:color w:val="000000"/>
          <w:sz w:val="24"/>
          <w:szCs w:val="24"/>
        </w:rPr>
        <w:t>:</w:t>
      </w:r>
      <w:bookmarkEnd w:id="31"/>
      <w:bookmarkEnd w:id="32"/>
      <w:r w:rsidRPr="00260584">
        <w:rPr>
          <w:rFonts w:ascii="Book Antiqua" w:hAnsi="Book Antiqua" w:cs="Arial"/>
          <w:b/>
          <w:color w:val="222222"/>
          <w:sz w:val="24"/>
          <w:szCs w:val="24"/>
          <w:shd w:val="clear" w:color="auto" w:fill="FFFFFF"/>
          <w:lang w:eastAsia="zh-CN"/>
        </w:rPr>
        <w:t xml:space="preserve"> </w:t>
      </w:r>
      <w:r w:rsidRPr="00260584">
        <w:rPr>
          <w:rFonts w:ascii="Book Antiqua" w:hAnsi="Book Antiqua"/>
          <w:sz w:val="24"/>
          <w:szCs w:val="24"/>
        </w:rPr>
        <w:t>ORIGINAL ARTICLE</w:t>
      </w:r>
    </w:p>
    <w:p w14:paraId="7B807887" w14:textId="77777777" w:rsidR="00260584" w:rsidRPr="00260584" w:rsidRDefault="00260584" w:rsidP="00260584">
      <w:pPr>
        <w:adjustRightInd w:val="0"/>
        <w:snapToGrid w:val="0"/>
        <w:spacing w:after="0" w:line="360" w:lineRule="auto"/>
        <w:jc w:val="both"/>
        <w:rPr>
          <w:rFonts w:ascii="Book Antiqua" w:eastAsia="YouYuan" w:hAnsi="Book Antiqua"/>
          <w:sz w:val="24"/>
          <w:szCs w:val="24"/>
          <w:lang w:eastAsia="zh-CN"/>
        </w:rPr>
      </w:pPr>
    </w:p>
    <w:p w14:paraId="315E9BF8" w14:textId="77777777" w:rsidR="00011EBB" w:rsidRPr="00260584" w:rsidRDefault="00011EBB" w:rsidP="00260584">
      <w:pPr>
        <w:adjustRightInd w:val="0"/>
        <w:snapToGrid w:val="0"/>
        <w:spacing w:after="0" w:line="360" w:lineRule="auto"/>
        <w:jc w:val="both"/>
        <w:rPr>
          <w:rFonts w:ascii="Book Antiqua" w:eastAsia="YouYuan" w:hAnsi="Book Antiqua"/>
          <w:b/>
          <w:i/>
          <w:sz w:val="24"/>
          <w:szCs w:val="24"/>
        </w:rPr>
      </w:pPr>
      <w:r w:rsidRPr="00260584">
        <w:rPr>
          <w:rFonts w:ascii="Book Antiqua" w:eastAsia="YouYuan" w:hAnsi="Book Antiqua"/>
          <w:b/>
          <w:i/>
          <w:sz w:val="24"/>
          <w:szCs w:val="24"/>
        </w:rPr>
        <w:t>Retrospective Study</w:t>
      </w:r>
    </w:p>
    <w:p w14:paraId="0A83C67A" w14:textId="3C6D9ED4" w:rsidR="00E56499" w:rsidRPr="00260584" w:rsidRDefault="00DC0812" w:rsidP="00260584">
      <w:pPr>
        <w:adjustRightInd w:val="0"/>
        <w:snapToGrid w:val="0"/>
        <w:spacing w:after="0" w:line="360" w:lineRule="auto"/>
        <w:jc w:val="both"/>
        <w:rPr>
          <w:rFonts w:ascii="Book Antiqua" w:hAnsi="Book Antiqua" w:cs="Times New Roman"/>
          <w:b/>
          <w:bCs/>
          <w:sz w:val="24"/>
          <w:szCs w:val="24"/>
        </w:rPr>
      </w:pPr>
      <w:bookmarkStart w:id="33" w:name="OLE_LINK12"/>
      <w:bookmarkStart w:id="34" w:name="OLE_LINK14"/>
      <w:r w:rsidRPr="00260584">
        <w:rPr>
          <w:rFonts w:ascii="Book Antiqua" w:hAnsi="Book Antiqua" w:cs="Times New Roman"/>
          <w:b/>
          <w:bCs/>
          <w:sz w:val="24"/>
          <w:szCs w:val="24"/>
        </w:rPr>
        <w:t xml:space="preserve">Effectiveness of a novel, fixed dose combination of </w:t>
      </w:r>
      <w:proofErr w:type="spellStart"/>
      <w:r w:rsidRPr="00260584">
        <w:rPr>
          <w:rFonts w:ascii="Book Antiqua" w:hAnsi="Book Antiqua" w:cs="Times New Roman"/>
          <w:b/>
          <w:bCs/>
          <w:sz w:val="24"/>
          <w:szCs w:val="24"/>
        </w:rPr>
        <w:t>netupitant</w:t>
      </w:r>
      <w:proofErr w:type="spellEnd"/>
      <w:r w:rsidRPr="00260584">
        <w:rPr>
          <w:rFonts w:ascii="Book Antiqua" w:hAnsi="Book Antiqua" w:cs="Times New Roman"/>
          <w:b/>
          <w:bCs/>
          <w:sz w:val="24"/>
          <w:szCs w:val="24"/>
        </w:rPr>
        <w:t xml:space="preserve"> and palonosetron in prevention of chemotherapy induced nausea and vomiting: A real-life study from India</w:t>
      </w:r>
    </w:p>
    <w:bookmarkEnd w:id="33"/>
    <w:bookmarkEnd w:id="34"/>
    <w:p w14:paraId="1472871D" w14:textId="77777777" w:rsidR="006256C3" w:rsidRPr="00260584" w:rsidRDefault="006256C3" w:rsidP="00260584">
      <w:pPr>
        <w:adjustRightInd w:val="0"/>
        <w:snapToGrid w:val="0"/>
        <w:spacing w:after="0" w:line="360" w:lineRule="auto"/>
        <w:jc w:val="both"/>
        <w:rPr>
          <w:rFonts w:ascii="Book Antiqua" w:hAnsi="Book Antiqua" w:cs="Times New Roman"/>
          <w:b/>
          <w:bCs/>
          <w:sz w:val="24"/>
          <w:szCs w:val="24"/>
        </w:rPr>
      </w:pPr>
    </w:p>
    <w:p w14:paraId="2A9DED53" w14:textId="72CDA692" w:rsidR="006256C3" w:rsidRPr="00260584" w:rsidRDefault="00A94C4F" w:rsidP="00260584">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35" w:name="OLE_LINK478"/>
      <w:bookmarkStart w:id="36" w:name="OLE_LINK481"/>
      <w:r w:rsidRPr="00260584">
        <w:rPr>
          <w:rFonts w:ascii="Book Antiqua" w:hAnsi="Book Antiqua" w:cs="Times New Roman"/>
          <w:color w:val="auto"/>
          <w:sz w:val="24"/>
          <w:szCs w:val="24"/>
          <w:highlight w:val="white"/>
          <w:lang w:val="en-US" w:eastAsia="zh-CN"/>
        </w:rPr>
        <w:t xml:space="preserve">Vaswani </w:t>
      </w:r>
      <w:r w:rsidR="007A4B29" w:rsidRPr="00260584">
        <w:rPr>
          <w:rFonts w:ascii="Book Antiqua" w:hAnsi="Book Antiqua" w:cs="Times New Roman"/>
          <w:color w:val="auto"/>
          <w:sz w:val="24"/>
          <w:szCs w:val="24"/>
          <w:highlight w:val="white"/>
          <w:lang w:val="en-US" w:eastAsia="zh-CN"/>
        </w:rPr>
        <w:t xml:space="preserve">B </w:t>
      </w:r>
      <w:r w:rsidRPr="00260584">
        <w:rPr>
          <w:rFonts w:ascii="Book Antiqua" w:hAnsi="Book Antiqua" w:cs="Times New Roman"/>
          <w:i/>
          <w:iCs/>
          <w:color w:val="auto"/>
          <w:sz w:val="24"/>
          <w:szCs w:val="24"/>
          <w:highlight w:val="white"/>
          <w:lang w:val="en-US" w:eastAsia="zh-CN"/>
        </w:rPr>
        <w:t>et</w:t>
      </w:r>
      <w:r w:rsidR="007A4B29" w:rsidRPr="00260584">
        <w:rPr>
          <w:rFonts w:ascii="Book Antiqua" w:hAnsi="Book Antiqua" w:cs="Times New Roman"/>
          <w:i/>
          <w:iCs/>
          <w:color w:val="auto"/>
          <w:sz w:val="24"/>
          <w:szCs w:val="24"/>
          <w:highlight w:val="white"/>
          <w:lang w:val="en-US" w:eastAsia="zh-CN"/>
        </w:rPr>
        <w:t xml:space="preserve"> </w:t>
      </w:r>
      <w:r w:rsidRPr="00260584">
        <w:rPr>
          <w:rFonts w:ascii="Book Antiqua" w:hAnsi="Book Antiqua" w:cs="Times New Roman"/>
          <w:i/>
          <w:iCs/>
          <w:color w:val="auto"/>
          <w:sz w:val="24"/>
          <w:szCs w:val="24"/>
          <w:highlight w:val="white"/>
          <w:lang w:val="en-US" w:eastAsia="zh-CN"/>
        </w:rPr>
        <w:t>al</w:t>
      </w:r>
      <w:r w:rsidRPr="00260584">
        <w:rPr>
          <w:rFonts w:ascii="Book Antiqua" w:hAnsi="Book Antiqua" w:cs="Times New Roman"/>
          <w:color w:val="auto"/>
          <w:sz w:val="24"/>
          <w:szCs w:val="24"/>
          <w:highlight w:val="white"/>
          <w:lang w:val="en-US" w:eastAsia="zh-CN"/>
        </w:rPr>
        <w:t xml:space="preserve">. </w:t>
      </w:r>
      <w:r w:rsidR="00336312" w:rsidRPr="00260584">
        <w:rPr>
          <w:rFonts w:ascii="Book Antiqua" w:hAnsi="Book Antiqua" w:cs="Times New Roman"/>
          <w:color w:val="auto"/>
          <w:sz w:val="24"/>
          <w:szCs w:val="24"/>
          <w:highlight w:val="white"/>
          <w:lang w:val="en-US" w:eastAsia="zh-CN"/>
        </w:rPr>
        <w:t xml:space="preserve">Effectiveness of </w:t>
      </w:r>
      <w:r w:rsidR="002724B5" w:rsidRPr="00260584">
        <w:rPr>
          <w:rFonts w:ascii="Book Antiqua" w:hAnsi="Book Antiqua" w:cs="Times New Roman"/>
          <w:color w:val="auto"/>
          <w:sz w:val="24"/>
          <w:szCs w:val="24"/>
          <w:highlight w:val="white"/>
          <w:lang w:val="en-US" w:eastAsia="zh-CN"/>
        </w:rPr>
        <w:t>NEPA in Indian patients</w:t>
      </w:r>
    </w:p>
    <w:bookmarkEnd w:id="35"/>
    <w:bookmarkEnd w:id="36"/>
    <w:p w14:paraId="07A64E2A" w14:textId="77777777" w:rsidR="006256C3" w:rsidRPr="00260584" w:rsidRDefault="006256C3" w:rsidP="00260584">
      <w:pPr>
        <w:pStyle w:val="1"/>
        <w:adjustRightInd w:val="0"/>
        <w:snapToGrid w:val="0"/>
        <w:spacing w:line="360" w:lineRule="auto"/>
        <w:jc w:val="both"/>
        <w:rPr>
          <w:rFonts w:ascii="Book Antiqua" w:hAnsi="Book Antiqua" w:cs="Times New Roman"/>
          <w:b/>
          <w:color w:val="auto"/>
          <w:sz w:val="24"/>
          <w:szCs w:val="24"/>
          <w:highlight w:val="white"/>
          <w:lang w:eastAsia="zh-CN"/>
        </w:rPr>
      </w:pPr>
    </w:p>
    <w:p w14:paraId="12115FE7" w14:textId="43F49B49" w:rsidR="006256C3" w:rsidRPr="00260584" w:rsidRDefault="002724B5" w:rsidP="00260584">
      <w:pPr>
        <w:pStyle w:val="1"/>
        <w:adjustRightInd w:val="0"/>
        <w:snapToGrid w:val="0"/>
        <w:spacing w:line="360" w:lineRule="auto"/>
        <w:jc w:val="both"/>
        <w:rPr>
          <w:rFonts w:ascii="Book Antiqua" w:hAnsi="Book Antiqua" w:cs="Times New Roman"/>
          <w:b/>
          <w:color w:val="auto"/>
          <w:sz w:val="24"/>
          <w:szCs w:val="24"/>
          <w:highlight w:val="white"/>
          <w:lang w:eastAsia="zh-CN"/>
        </w:rPr>
      </w:pPr>
      <w:bookmarkStart w:id="37" w:name="OLE_LINK164"/>
      <w:bookmarkStart w:id="38" w:name="OLE_LINK166"/>
      <w:bookmarkStart w:id="39" w:name="OLE_LINK93"/>
      <w:bookmarkStart w:id="40" w:name="OLE_LINK94"/>
      <w:bookmarkStart w:id="41" w:name="OLE_LINK312"/>
      <w:bookmarkStart w:id="42" w:name="OLE_LINK314"/>
      <w:bookmarkStart w:id="43" w:name="OLE_LINK335"/>
      <w:r w:rsidRPr="00260584">
        <w:rPr>
          <w:rFonts w:ascii="Book Antiqua" w:hAnsi="Book Antiqua" w:cs="Times New Roman"/>
          <w:color w:val="auto"/>
          <w:sz w:val="24"/>
          <w:szCs w:val="24"/>
          <w:highlight w:val="white"/>
          <w:lang w:eastAsia="zh-CN"/>
        </w:rPr>
        <w:t>Bharat Vaswani ,</w:t>
      </w:r>
      <w:r w:rsidR="002A5BD4">
        <w:rPr>
          <w:rFonts w:ascii="Book Antiqua" w:hAnsi="Book Antiqua" w:cs="Times New Roman"/>
          <w:color w:val="auto"/>
          <w:sz w:val="24"/>
          <w:szCs w:val="24"/>
          <w:highlight w:val="white"/>
          <w:lang w:eastAsia="zh-CN"/>
        </w:rPr>
        <w:t xml:space="preserve"> Sagar Bhagat , Saiprasad Patil</w:t>
      </w:r>
      <w:r w:rsidRPr="00260584">
        <w:rPr>
          <w:rFonts w:ascii="Book Antiqua" w:hAnsi="Book Antiqua" w:cs="Times New Roman"/>
          <w:color w:val="auto"/>
          <w:sz w:val="24"/>
          <w:szCs w:val="24"/>
          <w:highlight w:val="white"/>
          <w:lang w:eastAsia="zh-CN"/>
        </w:rPr>
        <w:t>, Hanmant Barkate</w:t>
      </w:r>
      <w:bookmarkStart w:id="44" w:name="OLE_LINK415"/>
      <w:bookmarkStart w:id="45" w:name="OLE_LINK418"/>
    </w:p>
    <w:p w14:paraId="3F98CEB3" w14:textId="77777777" w:rsidR="006256C3" w:rsidRPr="00260584" w:rsidRDefault="006256C3" w:rsidP="00260584">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46" w:name="OLE_LINK619"/>
      <w:bookmarkStart w:id="47" w:name="OLE_LINK620"/>
      <w:bookmarkEnd w:id="37"/>
      <w:bookmarkEnd w:id="38"/>
      <w:bookmarkEnd w:id="39"/>
      <w:bookmarkEnd w:id="40"/>
    </w:p>
    <w:p w14:paraId="731D580E" w14:textId="348ECD92" w:rsidR="002724B5" w:rsidRPr="00260584" w:rsidRDefault="00626BD2" w:rsidP="00260584">
      <w:pPr>
        <w:pStyle w:val="1"/>
        <w:adjustRightInd w:val="0"/>
        <w:snapToGrid w:val="0"/>
        <w:spacing w:line="360" w:lineRule="auto"/>
        <w:jc w:val="both"/>
        <w:rPr>
          <w:rFonts w:ascii="Book Antiqua" w:hAnsi="Book Antiqua" w:cs="Times New Roman"/>
          <w:color w:val="auto"/>
          <w:sz w:val="24"/>
          <w:szCs w:val="24"/>
          <w:highlight w:val="white"/>
          <w:lang w:val="en-US" w:eastAsia="zh-CN"/>
        </w:rPr>
      </w:pPr>
      <w:bookmarkStart w:id="48" w:name="OLE_LINK138"/>
      <w:bookmarkStart w:id="49" w:name="OLE_LINK139"/>
      <w:bookmarkStart w:id="50" w:name="OLE_LINK1003"/>
      <w:bookmarkStart w:id="51" w:name="OLE_LINK1004"/>
      <w:bookmarkStart w:id="52" w:name="OLE_LINK841"/>
      <w:bookmarkStart w:id="53" w:name="OLE_LINK842"/>
      <w:bookmarkStart w:id="54" w:name="OLE_LINK467"/>
      <w:bookmarkStart w:id="55" w:name="OLE_LINK468"/>
      <w:bookmarkStart w:id="56" w:name="OLE_LINK117"/>
      <w:bookmarkStart w:id="57" w:name="OLE_LINK34"/>
      <w:bookmarkStart w:id="58" w:name="OLE_LINK35"/>
      <w:bookmarkStart w:id="59" w:name="OLE_LINK211"/>
      <w:bookmarkStart w:id="60" w:name="OLE_LINK268"/>
      <w:bookmarkStart w:id="61" w:name="OLE_LINK397"/>
      <w:bookmarkStart w:id="62" w:name="OLE_LINK769"/>
      <w:bookmarkStart w:id="63" w:name="OLE_LINK799"/>
      <w:r w:rsidRPr="00260584">
        <w:rPr>
          <w:rFonts w:ascii="Book Antiqua" w:hAnsi="Book Antiqua" w:cs="Times New Roman"/>
          <w:b/>
          <w:bCs/>
          <w:color w:val="auto"/>
          <w:sz w:val="24"/>
          <w:szCs w:val="24"/>
          <w:highlight w:val="white"/>
          <w:lang w:eastAsia="zh-CN"/>
        </w:rPr>
        <w:t xml:space="preserve">Bharat Vaswani, </w:t>
      </w:r>
      <w:r w:rsidR="002724B5" w:rsidRPr="00260584">
        <w:rPr>
          <w:rFonts w:ascii="Book Antiqua" w:hAnsi="Book Antiqua" w:cs="Times New Roman"/>
          <w:color w:val="auto"/>
          <w:sz w:val="24"/>
          <w:szCs w:val="24"/>
          <w:highlight w:val="white"/>
          <w:lang w:val="en-US" w:eastAsia="zh-CN"/>
        </w:rPr>
        <w:t>Medical Oncology, Yashoda Cancer Instit</w:t>
      </w:r>
      <w:r w:rsidR="00011EBB" w:rsidRPr="00260584">
        <w:rPr>
          <w:rFonts w:ascii="Book Antiqua" w:hAnsi="Book Antiqua" w:cs="Times New Roman"/>
          <w:color w:val="auto"/>
          <w:sz w:val="24"/>
          <w:szCs w:val="24"/>
          <w:highlight w:val="white"/>
          <w:lang w:val="en-US" w:eastAsia="zh-CN"/>
        </w:rPr>
        <w:t xml:space="preserve">ute, </w:t>
      </w:r>
      <w:proofErr w:type="spellStart"/>
      <w:r w:rsidR="00011EBB" w:rsidRPr="00260584">
        <w:rPr>
          <w:rFonts w:ascii="Book Antiqua" w:hAnsi="Book Antiqua" w:cs="Times New Roman"/>
          <w:color w:val="auto"/>
          <w:sz w:val="24"/>
          <w:szCs w:val="24"/>
          <w:highlight w:val="white"/>
          <w:lang w:val="en-US" w:eastAsia="zh-CN"/>
        </w:rPr>
        <w:t>Secunderabad</w:t>
      </w:r>
      <w:proofErr w:type="spellEnd"/>
      <w:r w:rsidR="00011EBB" w:rsidRPr="00260584">
        <w:rPr>
          <w:rFonts w:ascii="Book Antiqua" w:hAnsi="Book Antiqua" w:cs="Times New Roman"/>
          <w:color w:val="auto"/>
          <w:sz w:val="24"/>
          <w:szCs w:val="24"/>
          <w:highlight w:val="white"/>
          <w:lang w:val="en-US" w:eastAsia="zh-CN"/>
        </w:rPr>
        <w:t xml:space="preserve"> 500003, India</w:t>
      </w:r>
    </w:p>
    <w:p w14:paraId="5BFEC11A" w14:textId="77777777" w:rsidR="003B5697" w:rsidRPr="00260584" w:rsidRDefault="003B5697" w:rsidP="00260584">
      <w:pPr>
        <w:pStyle w:val="1"/>
        <w:adjustRightInd w:val="0"/>
        <w:snapToGrid w:val="0"/>
        <w:spacing w:line="360" w:lineRule="auto"/>
        <w:jc w:val="both"/>
        <w:rPr>
          <w:rFonts w:ascii="Book Antiqua" w:hAnsi="Book Antiqua" w:cs="Times New Roman"/>
          <w:color w:val="auto"/>
          <w:sz w:val="24"/>
          <w:szCs w:val="24"/>
          <w:highlight w:val="white"/>
          <w:lang w:val="en-US" w:eastAsia="zh-CN"/>
        </w:rPr>
      </w:pPr>
    </w:p>
    <w:p w14:paraId="47C80048" w14:textId="41B51DDC" w:rsidR="002724B5" w:rsidRPr="00260584" w:rsidRDefault="00626BD2" w:rsidP="00260584">
      <w:pPr>
        <w:pStyle w:val="1"/>
        <w:adjustRightInd w:val="0"/>
        <w:snapToGrid w:val="0"/>
        <w:spacing w:line="360" w:lineRule="auto"/>
        <w:jc w:val="both"/>
        <w:rPr>
          <w:rFonts w:ascii="Book Antiqua" w:hAnsi="Book Antiqua" w:cs="Times New Roman"/>
          <w:color w:val="auto"/>
          <w:sz w:val="24"/>
          <w:szCs w:val="24"/>
          <w:highlight w:val="white"/>
          <w:lang w:val="en-US" w:eastAsia="zh-CN"/>
        </w:rPr>
      </w:pPr>
      <w:proofErr w:type="spellStart"/>
      <w:r w:rsidRPr="00260584">
        <w:rPr>
          <w:rFonts w:ascii="Book Antiqua" w:hAnsi="Book Antiqua" w:cs="Times New Roman"/>
          <w:b/>
          <w:bCs/>
          <w:color w:val="auto"/>
          <w:sz w:val="24"/>
          <w:szCs w:val="24"/>
          <w:highlight w:val="white"/>
          <w:lang w:val="en-US" w:eastAsia="zh-CN"/>
        </w:rPr>
        <w:t>Sagar</w:t>
      </w:r>
      <w:proofErr w:type="spellEnd"/>
      <w:r w:rsidRPr="00260584">
        <w:rPr>
          <w:rFonts w:ascii="Book Antiqua" w:hAnsi="Book Antiqua" w:cs="Times New Roman"/>
          <w:b/>
          <w:bCs/>
          <w:color w:val="auto"/>
          <w:sz w:val="24"/>
          <w:szCs w:val="24"/>
          <w:highlight w:val="white"/>
          <w:lang w:val="en-US" w:eastAsia="zh-CN"/>
        </w:rPr>
        <w:t xml:space="preserve"> Bhagat,</w:t>
      </w:r>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Saiprasad</w:t>
      </w:r>
      <w:proofErr w:type="spellEnd"/>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Patil</w:t>
      </w:r>
      <w:proofErr w:type="spellEnd"/>
      <w:r w:rsidR="003B5697" w:rsidRPr="00260584">
        <w:rPr>
          <w:rFonts w:ascii="Book Antiqua" w:hAnsi="Book Antiqua" w:cs="Times New Roman"/>
          <w:color w:val="auto"/>
          <w:sz w:val="24"/>
          <w:szCs w:val="24"/>
          <w:highlight w:val="white"/>
          <w:lang w:val="en-US" w:eastAsia="zh-CN"/>
        </w:rPr>
        <w:t>,</w:t>
      </w:r>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Hanmant</w:t>
      </w:r>
      <w:proofErr w:type="spellEnd"/>
      <w:r w:rsidR="003B5697" w:rsidRPr="00260584">
        <w:rPr>
          <w:rFonts w:ascii="Book Antiqua" w:hAnsi="Book Antiqua" w:cs="Times New Roman"/>
          <w:b/>
          <w:bCs/>
          <w:color w:val="auto"/>
          <w:sz w:val="24"/>
          <w:szCs w:val="24"/>
          <w:highlight w:val="white"/>
          <w:lang w:val="en-US" w:eastAsia="zh-CN"/>
        </w:rPr>
        <w:t xml:space="preserve"> </w:t>
      </w:r>
      <w:proofErr w:type="spellStart"/>
      <w:r w:rsidR="003B5697" w:rsidRPr="00260584">
        <w:rPr>
          <w:rFonts w:ascii="Book Antiqua" w:hAnsi="Book Antiqua" w:cs="Times New Roman"/>
          <w:b/>
          <w:bCs/>
          <w:color w:val="auto"/>
          <w:sz w:val="24"/>
          <w:szCs w:val="24"/>
          <w:highlight w:val="white"/>
          <w:lang w:val="en-US" w:eastAsia="zh-CN"/>
        </w:rPr>
        <w:t>Barkate</w:t>
      </w:r>
      <w:proofErr w:type="spellEnd"/>
      <w:r w:rsidR="003B5697" w:rsidRPr="00260584">
        <w:rPr>
          <w:rFonts w:ascii="Book Antiqua" w:hAnsi="Book Antiqua" w:cs="Times New Roman"/>
          <w:b/>
          <w:bCs/>
          <w:color w:val="auto"/>
          <w:sz w:val="24"/>
          <w:szCs w:val="24"/>
          <w:highlight w:val="white"/>
          <w:lang w:val="en-US" w:eastAsia="zh-CN"/>
        </w:rPr>
        <w:t>,</w:t>
      </w:r>
      <w:bookmarkStart w:id="64" w:name="OLE_LINK1"/>
      <w:bookmarkStart w:id="65" w:name="OLE_LINK2"/>
      <w:r w:rsidR="003B5697" w:rsidRPr="00260584">
        <w:rPr>
          <w:rFonts w:ascii="Book Antiqua" w:hAnsi="Book Antiqua" w:cs="Times New Roman"/>
          <w:b/>
          <w:bCs/>
          <w:color w:val="auto"/>
          <w:sz w:val="24"/>
          <w:szCs w:val="24"/>
          <w:highlight w:val="white"/>
          <w:lang w:val="en-US" w:eastAsia="zh-CN"/>
        </w:rPr>
        <w:t xml:space="preserve"> </w:t>
      </w:r>
      <w:r w:rsidR="002724B5" w:rsidRPr="00260584">
        <w:rPr>
          <w:rFonts w:ascii="Book Antiqua" w:hAnsi="Book Antiqua" w:cs="Times New Roman"/>
          <w:color w:val="auto"/>
          <w:sz w:val="24"/>
          <w:szCs w:val="24"/>
          <w:highlight w:val="white"/>
          <w:lang w:val="en-US" w:eastAsia="zh-CN"/>
        </w:rPr>
        <w:t>Medical Services</w:t>
      </w:r>
      <w:bookmarkEnd w:id="64"/>
      <w:bookmarkEnd w:id="65"/>
      <w:r w:rsidR="002724B5" w:rsidRPr="00260584">
        <w:rPr>
          <w:rFonts w:ascii="Book Antiqua" w:hAnsi="Book Antiqua" w:cs="Times New Roman"/>
          <w:color w:val="auto"/>
          <w:sz w:val="24"/>
          <w:szCs w:val="24"/>
          <w:highlight w:val="white"/>
          <w:lang w:val="en-US" w:eastAsia="zh-CN"/>
        </w:rPr>
        <w:t>, Glenmark Pharmaceutica</w:t>
      </w:r>
      <w:r w:rsidR="00011EBB" w:rsidRPr="00260584">
        <w:rPr>
          <w:rFonts w:ascii="Book Antiqua" w:hAnsi="Book Antiqua" w:cs="Times New Roman"/>
          <w:color w:val="auto"/>
          <w:sz w:val="24"/>
          <w:szCs w:val="24"/>
          <w:highlight w:val="white"/>
          <w:lang w:val="en-US" w:eastAsia="zh-CN"/>
        </w:rPr>
        <w:t>l limited, Mumbai 400099, India</w:t>
      </w:r>
    </w:p>
    <w:p w14:paraId="7D1CE59E" w14:textId="77777777" w:rsidR="006256C3" w:rsidRPr="00260584" w:rsidRDefault="006256C3" w:rsidP="00260584">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66" w:name="OLE_LINK121"/>
      <w:bookmarkStart w:id="67" w:name="OLE_LINK269"/>
      <w:bookmarkStart w:id="68" w:name="OLE_LINK585"/>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14:paraId="58A1CA5E" w14:textId="6F35A13D" w:rsidR="006256C3" w:rsidRPr="00260584" w:rsidRDefault="006256C3" w:rsidP="00260584">
      <w:pPr>
        <w:pStyle w:val="1"/>
        <w:adjustRightInd w:val="0"/>
        <w:snapToGrid w:val="0"/>
        <w:spacing w:line="360" w:lineRule="auto"/>
        <w:jc w:val="both"/>
        <w:rPr>
          <w:rFonts w:ascii="Book Antiqua" w:hAnsi="Book Antiqua" w:cs="Times New Roman"/>
          <w:b/>
          <w:color w:val="auto"/>
          <w:sz w:val="24"/>
          <w:szCs w:val="24"/>
          <w:highlight w:val="white"/>
          <w:lang w:val="en-US" w:eastAsia="zh-CN"/>
        </w:rPr>
      </w:pPr>
      <w:bookmarkStart w:id="69" w:name="OLE_LINK188"/>
      <w:bookmarkStart w:id="70" w:name="OLE_LINK189"/>
      <w:bookmarkStart w:id="71" w:name="OLE_LINK806"/>
      <w:bookmarkStart w:id="72" w:name="OLE_LINK106"/>
      <w:bookmarkStart w:id="73" w:name="OLE_LINK107"/>
      <w:bookmarkStart w:id="74" w:name="OLE_LINK187"/>
      <w:bookmarkStart w:id="75" w:name="OLE_LINK402"/>
      <w:bookmarkStart w:id="76" w:name="OLE_LINK174"/>
      <w:r w:rsidRPr="00260584">
        <w:rPr>
          <w:rFonts w:ascii="Book Antiqua" w:hAnsi="Book Antiqua" w:cs="Times New Roman"/>
          <w:b/>
          <w:color w:val="auto"/>
          <w:sz w:val="24"/>
          <w:szCs w:val="24"/>
          <w:highlight w:val="white"/>
          <w:lang w:val="en-US" w:eastAsia="zh-CN"/>
        </w:rPr>
        <w:t xml:space="preserve">Author contributions: </w:t>
      </w:r>
      <w:r w:rsidR="00975682" w:rsidRPr="00260584">
        <w:rPr>
          <w:rFonts w:ascii="Book Antiqua" w:hAnsi="Book Antiqua" w:cs="Times New Roman"/>
          <w:color w:val="auto"/>
          <w:sz w:val="24"/>
          <w:szCs w:val="24"/>
          <w:highlight w:val="white"/>
          <w:lang w:val="en-US" w:eastAsia="zh-CN"/>
        </w:rPr>
        <w:t>Vaswani B and Bhagat S designed the research; Vaswani B performed the research; Bhagat S,</w:t>
      </w:r>
      <w:r w:rsidR="00D3292A" w:rsidRPr="00260584">
        <w:rPr>
          <w:rFonts w:ascii="Book Antiqua" w:hAnsi="Book Antiqua" w:cs="Times New Roman"/>
          <w:color w:val="auto"/>
          <w:sz w:val="24"/>
          <w:szCs w:val="24"/>
          <w:highlight w:val="white"/>
          <w:lang w:val="en-US" w:eastAsia="zh-CN"/>
        </w:rPr>
        <w:t xml:space="preserve"> </w:t>
      </w:r>
      <w:proofErr w:type="spellStart"/>
      <w:r w:rsidR="00975682" w:rsidRPr="00260584">
        <w:rPr>
          <w:rFonts w:ascii="Book Antiqua" w:hAnsi="Book Antiqua" w:cs="Times New Roman"/>
          <w:color w:val="auto"/>
          <w:sz w:val="24"/>
          <w:szCs w:val="24"/>
          <w:highlight w:val="white"/>
          <w:lang w:val="en-US" w:eastAsia="zh-CN"/>
        </w:rPr>
        <w:t>Patil</w:t>
      </w:r>
      <w:proofErr w:type="spellEnd"/>
      <w:r w:rsidR="00975682" w:rsidRPr="00260584">
        <w:rPr>
          <w:rFonts w:ascii="Book Antiqua" w:hAnsi="Book Antiqua" w:cs="Times New Roman"/>
          <w:color w:val="auto"/>
          <w:sz w:val="24"/>
          <w:szCs w:val="24"/>
          <w:highlight w:val="white"/>
          <w:lang w:val="en-US" w:eastAsia="zh-CN"/>
        </w:rPr>
        <w:t xml:space="preserve"> S and </w:t>
      </w:r>
      <w:proofErr w:type="spellStart"/>
      <w:r w:rsidR="00975682" w:rsidRPr="00260584">
        <w:rPr>
          <w:rFonts w:ascii="Book Antiqua" w:hAnsi="Book Antiqua" w:cs="Times New Roman"/>
          <w:color w:val="auto"/>
          <w:sz w:val="24"/>
          <w:szCs w:val="24"/>
          <w:highlight w:val="white"/>
          <w:lang w:val="en-US" w:eastAsia="zh-CN"/>
        </w:rPr>
        <w:t>Barkate</w:t>
      </w:r>
      <w:proofErr w:type="spellEnd"/>
      <w:r w:rsidR="00975682" w:rsidRPr="00260584">
        <w:rPr>
          <w:rFonts w:ascii="Book Antiqua" w:hAnsi="Book Antiqua" w:cs="Times New Roman"/>
          <w:color w:val="auto"/>
          <w:sz w:val="24"/>
          <w:szCs w:val="24"/>
          <w:highlight w:val="white"/>
          <w:lang w:val="en-US" w:eastAsia="zh-CN"/>
        </w:rPr>
        <w:t xml:space="preserve"> H </w:t>
      </w:r>
      <w:proofErr w:type="spellStart"/>
      <w:r w:rsidR="00975682" w:rsidRPr="00260584">
        <w:rPr>
          <w:rFonts w:ascii="Book Antiqua" w:hAnsi="Book Antiqua" w:cs="Times New Roman"/>
          <w:color w:val="auto"/>
          <w:sz w:val="24"/>
          <w:szCs w:val="24"/>
          <w:highlight w:val="white"/>
          <w:lang w:val="en-US" w:eastAsia="zh-CN"/>
        </w:rPr>
        <w:t>analysed</w:t>
      </w:r>
      <w:proofErr w:type="spellEnd"/>
      <w:r w:rsidR="00975682" w:rsidRPr="00260584">
        <w:rPr>
          <w:rFonts w:ascii="Book Antiqua" w:hAnsi="Book Antiqua" w:cs="Times New Roman"/>
          <w:color w:val="auto"/>
          <w:sz w:val="24"/>
          <w:szCs w:val="24"/>
          <w:highlight w:val="white"/>
          <w:lang w:val="en-US" w:eastAsia="zh-CN"/>
        </w:rPr>
        <w:t xml:space="preserve"> the data;</w:t>
      </w:r>
      <w:r w:rsidR="00D3292A" w:rsidRPr="00260584">
        <w:rPr>
          <w:rFonts w:ascii="Book Antiqua" w:hAnsi="Book Antiqua" w:cs="Times New Roman"/>
          <w:color w:val="auto"/>
          <w:sz w:val="24"/>
          <w:szCs w:val="24"/>
          <w:highlight w:val="white"/>
          <w:lang w:val="en-US" w:eastAsia="zh-CN"/>
        </w:rPr>
        <w:t xml:space="preserve"> </w:t>
      </w:r>
      <w:r w:rsidR="00975682" w:rsidRPr="00260584">
        <w:rPr>
          <w:rFonts w:ascii="Book Antiqua" w:hAnsi="Book Antiqua" w:cs="Times New Roman"/>
          <w:color w:val="auto"/>
          <w:sz w:val="24"/>
          <w:szCs w:val="24"/>
          <w:highlight w:val="white"/>
          <w:lang w:val="en-US" w:eastAsia="zh-CN"/>
        </w:rPr>
        <w:t xml:space="preserve">Bhagat S, </w:t>
      </w:r>
      <w:proofErr w:type="spellStart"/>
      <w:r w:rsidR="00975682" w:rsidRPr="00260584">
        <w:rPr>
          <w:rFonts w:ascii="Book Antiqua" w:hAnsi="Book Antiqua" w:cs="Times New Roman"/>
          <w:color w:val="auto"/>
          <w:sz w:val="24"/>
          <w:szCs w:val="24"/>
          <w:highlight w:val="white"/>
          <w:lang w:val="en-US" w:eastAsia="zh-CN"/>
        </w:rPr>
        <w:t>Patil</w:t>
      </w:r>
      <w:proofErr w:type="spellEnd"/>
      <w:r w:rsidR="00975682" w:rsidRPr="00260584">
        <w:rPr>
          <w:rFonts w:ascii="Book Antiqua" w:hAnsi="Book Antiqua" w:cs="Times New Roman"/>
          <w:color w:val="auto"/>
          <w:sz w:val="24"/>
          <w:szCs w:val="24"/>
          <w:highlight w:val="white"/>
          <w:lang w:val="en-US" w:eastAsia="zh-CN"/>
        </w:rPr>
        <w:t xml:space="preserve"> S and </w:t>
      </w:r>
      <w:proofErr w:type="spellStart"/>
      <w:r w:rsidR="00975682" w:rsidRPr="00260584">
        <w:rPr>
          <w:rFonts w:ascii="Book Antiqua" w:hAnsi="Book Antiqua" w:cs="Times New Roman"/>
          <w:color w:val="auto"/>
          <w:sz w:val="24"/>
          <w:szCs w:val="24"/>
          <w:highlight w:val="white"/>
          <w:lang w:val="en-US" w:eastAsia="zh-CN"/>
        </w:rPr>
        <w:t>Barkate</w:t>
      </w:r>
      <w:proofErr w:type="spellEnd"/>
      <w:r w:rsidR="00975682" w:rsidRPr="00260584">
        <w:rPr>
          <w:rFonts w:ascii="Book Antiqua" w:hAnsi="Book Antiqua" w:cs="Times New Roman"/>
          <w:color w:val="auto"/>
          <w:sz w:val="24"/>
          <w:szCs w:val="24"/>
          <w:highlight w:val="white"/>
          <w:lang w:val="en-US" w:eastAsia="zh-CN"/>
        </w:rPr>
        <w:t xml:space="preserve"> H wrote the paper</w:t>
      </w:r>
      <w:r w:rsidR="00975682" w:rsidRPr="00260584">
        <w:rPr>
          <w:rFonts w:ascii="Book Antiqua" w:hAnsi="Book Antiqua" w:cs="Times New Roman"/>
          <w:b/>
          <w:color w:val="auto"/>
          <w:sz w:val="24"/>
          <w:szCs w:val="24"/>
          <w:highlight w:val="white"/>
          <w:lang w:val="en-US" w:eastAsia="zh-CN"/>
        </w:rPr>
        <w:t>.</w:t>
      </w:r>
    </w:p>
    <w:p w14:paraId="4D54DB35" w14:textId="285143C4" w:rsidR="00A105B0" w:rsidRPr="00260584" w:rsidRDefault="00A105B0" w:rsidP="00260584">
      <w:pPr>
        <w:pStyle w:val="1"/>
        <w:adjustRightInd w:val="0"/>
        <w:snapToGrid w:val="0"/>
        <w:spacing w:line="360" w:lineRule="auto"/>
        <w:jc w:val="both"/>
        <w:rPr>
          <w:rFonts w:ascii="Book Antiqua" w:hAnsi="Book Antiqua" w:cs="Times New Roman"/>
          <w:b/>
          <w:color w:val="auto"/>
          <w:sz w:val="24"/>
          <w:szCs w:val="24"/>
          <w:highlight w:val="white"/>
          <w:lang w:val="en-US" w:eastAsia="zh-CN"/>
        </w:rPr>
      </w:pPr>
    </w:p>
    <w:p w14:paraId="477D3A57" w14:textId="56C05DE4" w:rsidR="00A105B0" w:rsidRPr="00260584" w:rsidRDefault="00A105B0" w:rsidP="00260584">
      <w:pPr>
        <w:adjustRightInd w:val="0"/>
        <w:snapToGrid w:val="0"/>
        <w:spacing w:after="0" w:line="360" w:lineRule="auto"/>
        <w:jc w:val="both"/>
        <w:rPr>
          <w:rFonts w:ascii="Book Antiqua" w:hAnsi="Book Antiqua" w:cs="Times New Roman"/>
          <w:b/>
          <w:bCs/>
          <w:sz w:val="24"/>
          <w:szCs w:val="24"/>
          <w:lang w:val="de-DE"/>
        </w:rPr>
      </w:pPr>
      <w:bookmarkStart w:id="77" w:name="OLE_LINK501"/>
      <w:bookmarkStart w:id="78" w:name="OLE_LINK651"/>
      <w:bookmarkStart w:id="79" w:name="OLE_LINK652"/>
      <w:bookmarkStart w:id="80" w:name="OLE_LINK343"/>
      <w:bookmarkStart w:id="81" w:name="OLE_LINK344"/>
      <w:bookmarkStart w:id="82" w:name="OLE_LINK772"/>
      <w:bookmarkStart w:id="83" w:name="OLE_LINK773"/>
      <w:bookmarkStart w:id="84" w:name="OLE_LINK204"/>
      <w:bookmarkStart w:id="85" w:name="OLE_LINK71"/>
      <w:bookmarkStart w:id="86" w:name="OLE_LINK336"/>
      <w:bookmarkStart w:id="87" w:name="OLE_LINK551"/>
      <w:r w:rsidRPr="00260584">
        <w:rPr>
          <w:rFonts w:ascii="Book Antiqua" w:hAnsi="Book Antiqua" w:cs="Times New Roman"/>
          <w:b/>
          <w:bCs/>
          <w:sz w:val="24"/>
          <w:szCs w:val="24"/>
          <w:highlight w:val="white"/>
        </w:rPr>
        <w:t>Corresponding author:</w:t>
      </w:r>
      <w:bookmarkEnd w:id="77"/>
      <w:r w:rsidRPr="00260584">
        <w:rPr>
          <w:rFonts w:ascii="Book Antiqua" w:hAnsi="Book Antiqua" w:cs="Times New Roman"/>
          <w:b/>
          <w:bCs/>
          <w:sz w:val="24"/>
          <w:szCs w:val="24"/>
          <w:lang w:eastAsia="zh-CN"/>
        </w:rPr>
        <w:t xml:space="preserve"> </w:t>
      </w:r>
      <w:proofErr w:type="spellStart"/>
      <w:r w:rsidRPr="00260584">
        <w:rPr>
          <w:rFonts w:ascii="Book Antiqua" w:hAnsi="Book Antiqua" w:cs="Times New Roman"/>
          <w:b/>
          <w:bCs/>
          <w:sz w:val="24"/>
          <w:szCs w:val="24"/>
        </w:rPr>
        <w:t>Sagar</w:t>
      </w:r>
      <w:proofErr w:type="spellEnd"/>
      <w:r w:rsidRPr="00260584">
        <w:rPr>
          <w:rFonts w:ascii="Book Antiqua" w:hAnsi="Book Antiqua" w:cs="Times New Roman"/>
          <w:b/>
          <w:bCs/>
          <w:sz w:val="24"/>
          <w:szCs w:val="24"/>
        </w:rPr>
        <w:t xml:space="preserve"> Bhagat, MD</w:t>
      </w:r>
      <w:r w:rsidRPr="00260584">
        <w:rPr>
          <w:rFonts w:ascii="Book Antiqua" w:hAnsi="Book Antiqua" w:cs="Times New Roman"/>
          <w:b/>
          <w:bCs/>
          <w:sz w:val="24"/>
          <w:szCs w:val="24"/>
          <w:lang w:eastAsia="zh-CN"/>
        </w:rPr>
        <w:t xml:space="preserve">, </w:t>
      </w:r>
      <w:r w:rsidR="00011EBB" w:rsidRPr="00260584">
        <w:rPr>
          <w:rFonts w:ascii="Book Antiqua" w:hAnsi="Book Antiqua" w:cs="Times New Roman"/>
          <w:b/>
          <w:bCs/>
          <w:sz w:val="24"/>
          <w:szCs w:val="24"/>
          <w:lang w:eastAsia="zh-CN"/>
        </w:rPr>
        <w:t xml:space="preserve">Doctor, </w:t>
      </w:r>
      <w:r w:rsidRPr="00260584">
        <w:rPr>
          <w:rFonts w:ascii="Book Antiqua" w:hAnsi="Book Antiqua" w:cs="Times New Roman"/>
          <w:sz w:val="24"/>
          <w:szCs w:val="24"/>
          <w:highlight w:val="white"/>
          <w:lang w:val="en-US" w:eastAsia="zh-CN"/>
        </w:rPr>
        <w:t>Medical Services</w:t>
      </w:r>
      <w:r w:rsidRPr="00260584">
        <w:rPr>
          <w:rFonts w:ascii="Book Antiqua" w:hAnsi="Book Antiqua" w:cs="Times New Roman"/>
          <w:sz w:val="24"/>
          <w:szCs w:val="24"/>
          <w:lang w:val="en-US" w:eastAsia="zh-CN"/>
        </w:rPr>
        <w:t>,</w:t>
      </w:r>
      <w:r w:rsidRPr="00260584">
        <w:rPr>
          <w:rFonts w:ascii="Book Antiqua" w:hAnsi="Book Antiqua" w:cs="Times New Roman"/>
          <w:sz w:val="24"/>
          <w:szCs w:val="24"/>
        </w:rPr>
        <w:t xml:space="preserve"> Glenmark Pharmaceutical limited, </w:t>
      </w:r>
      <w:bookmarkStart w:id="88" w:name="OLE_LINK5"/>
      <w:bookmarkStart w:id="89" w:name="OLE_LINK11"/>
      <w:r w:rsidRPr="00260584">
        <w:rPr>
          <w:rFonts w:ascii="Book Antiqua" w:hAnsi="Book Antiqua" w:cs="Times New Roman"/>
          <w:sz w:val="24"/>
          <w:szCs w:val="24"/>
        </w:rPr>
        <w:t xml:space="preserve">B D Sawant </w:t>
      </w:r>
      <w:r w:rsidRPr="002A5BD4">
        <w:rPr>
          <w:rFonts w:ascii="Book Antiqua" w:hAnsi="Book Antiqua" w:cs="Times New Roman"/>
          <w:caps/>
          <w:sz w:val="24"/>
          <w:szCs w:val="24"/>
        </w:rPr>
        <w:t>r</w:t>
      </w:r>
      <w:r w:rsidRPr="00260584">
        <w:rPr>
          <w:rFonts w:ascii="Book Antiqua" w:hAnsi="Book Antiqua" w:cs="Times New Roman"/>
          <w:sz w:val="24"/>
          <w:szCs w:val="24"/>
        </w:rPr>
        <w:t>oad, Andheri East, Mumbai</w:t>
      </w:r>
      <w:bookmarkEnd w:id="88"/>
      <w:bookmarkEnd w:id="89"/>
      <w:r w:rsidRPr="00260584">
        <w:rPr>
          <w:rFonts w:ascii="Book Antiqua" w:hAnsi="Book Antiqua" w:cs="Times New Roman"/>
          <w:sz w:val="24"/>
          <w:szCs w:val="24"/>
        </w:rPr>
        <w:t xml:space="preserve">, Maharashtra 400099, India. </w:t>
      </w:r>
      <w:hyperlink r:id="rId8" w:history="1">
        <w:r w:rsidRPr="00260584">
          <w:rPr>
            <w:rStyle w:val="Hyperlink"/>
            <w:rFonts w:ascii="Book Antiqua" w:hAnsi="Book Antiqua" w:cs="Times New Roman"/>
            <w:sz w:val="24"/>
            <w:szCs w:val="24"/>
            <w:lang w:val="de-DE"/>
          </w:rPr>
          <w:t>sagar.bhagat@glenmarkpharma.com</w:t>
        </w:r>
      </w:hyperlink>
    </w:p>
    <w:bookmarkEnd w:id="78"/>
    <w:bookmarkEnd w:id="79"/>
    <w:bookmarkEnd w:id="80"/>
    <w:bookmarkEnd w:id="81"/>
    <w:bookmarkEnd w:id="82"/>
    <w:bookmarkEnd w:id="83"/>
    <w:bookmarkEnd w:id="84"/>
    <w:bookmarkEnd w:id="85"/>
    <w:bookmarkEnd w:id="86"/>
    <w:bookmarkEnd w:id="87"/>
    <w:p w14:paraId="31D797F3" w14:textId="77777777"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p>
    <w:p w14:paraId="36ED251D" w14:textId="1A675BCB"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t xml:space="preserve">Received: </w:t>
      </w:r>
      <w:r w:rsidRPr="00260584">
        <w:rPr>
          <w:rFonts w:ascii="Book Antiqua" w:eastAsia="MS PMincho" w:hAnsi="Book Antiqua"/>
          <w:color w:val="000000" w:themeColor="text1"/>
          <w:kern w:val="2"/>
          <w:sz w:val="24"/>
          <w:szCs w:val="24"/>
          <w:lang w:val="en-US" w:eastAsia="ja-JP"/>
        </w:rPr>
        <w:t xml:space="preserve">February 17, 2020 </w:t>
      </w:r>
    </w:p>
    <w:p w14:paraId="42B58939" w14:textId="6CF6E3BA"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t xml:space="preserve">Revised: </w:t>
      </w:r>
      <w:r w:rsidRPr="00260584">
        <w:rPr>
          <w:rFonts w:ascii="Book Antiqua" w:eastAsia="MS PMincho" w:hAnsi="Book Antiqua"/>
          <w:color w:val="000000" w:themeColor="text1"/>
          <w:kern w:val="2"/>
          <w:sz w:val="24"/>
          <w:szCs w:val="24"/>
          <w:lang w:val="en-US" w:eastAsia="ja-JP"/>
        </w:rPr>
        <w:t>April 9, 2020</w:t>
      </w:r>
    </w:p>
    <w:p w14:paraId="495E38AE" w14:textId="50F8F724"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t xml:space="preserve">Accepted: </w:t>
      </w:r>
      <w:r w:rsidR="00CB4EB0" w:rsidRPr="00CB4EB0">
        <w:rPr>
          <w:rFonts w:ascii="Book Antiqua" w:eastAsia="MS PMincho" w:hAnsi="Book Antiqua"/>
          <w:bCs/>
          <w:color w:val="000000" w:themeColor="text1"/>
          <w:kern w:val="2"/>
          <w:sz w:val="24"/>
          <w:szCs w:val="24"/>
          <w:lang w:val="en-US" w:eastAsia="ja-JP"/>
        </w:rPr>
        <w:t>July 26, 2020</w:t>
      </w:r>
    </w:p>
    <w:p w14:paraId="3EB15768" w14:textId="77777777" w:rsidR="00A105B0" w:rsidRPr="00260584" w:rsidRDefault="00A105B0" w:rsidP="00260584">
      <w:pPr>
        <w:adjustRightInd w:val="0"/>
        <w:snapToGrid w:val="0"/>
        <w:spacing w:after="0" w:line="360" w:lineRule="auto"/>
        <w:jc w:val="both"/>
        <w:rPr>
          <w:rFonts w:ascii="Book Antiqua" w:eastAsia="MS PMincho" w:hAnsi="Book Antiqua"/>
          <w:b/>
          <w:bCs/>
          <w:color w:val="000000" w:themeColor="text1"/>
          <w:kern w:val="2"/>
          <w:sz w:val="24"/>
          <w:szCs w:val="24"/>
          <w:lang w:val="en-US" w:eastAsia="ja-JP"/>
        </w:rPr>
      </w:pPr>
      <w:r w:rsidRPr="00260584">
        <w:rPr>
          <w:rFonts w:ascii="Book Antiqua" w:eastAsia="MS PMincho" w:hAnsi="Book Antiqua"/>
          <w:b/>
          <w:bCs/>
          <w:color w:val="000000" w:themeColor="text1"/>
          <w:kern w:val="2"/>
          <w:sz w:val="24"/>
          <w:szCs w:val="24"/>
          <w:lang w:val="en-US" w:eastAsia="ja-JP"/>
        </w:rPr>
        <w:lastRenderedPageBreak/>
        <w:t>Published online:</w:t>
      </w:r>
    </w:p>
    <w:p w14:paraId="66D4D844" w14:textId="77777777"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p>
    <w:p w14:paraId="4F9D55FA" w14:textId="028FEF1D" w:rsidR="00A105B0" w:rsidRPr="00260584" w:rsidRDefault="00A105B0" w:rsidP="00260584">
      <w:pPr>
        <w:adjustRightInd w:val="0"/>
        <w:snapToGrid w:val="0"/>
        <w:spacing w:after="0" w:line="360" w:lineRule="auto"/>
        <w:jc w:val="both"/>
        <w:rPr>
          <w:rFonts w:ascii="Book Antiqua" w:hAnsi="Book Antiqua" w:cs="Times New Roman"/>
          <w:b/>
          <w:bCs/>
          <w:sz w:val="24"/>
          <w:szCs w:val="24"/>
        </w:rPr>
      </w:pPr>
      <w:r w:rsidRPr="00260584">
        <w:rPr>
          <w:rFonts w:ascii="Book Antiqua" w:hAnsi="Book Antiqua" w:cs="Times New Roman"/>
          <w:b/>
          <w:bCs/>
          <w:sz w:val="24"/>
          <w:szCs w:val="24"/>
        </w:rPr>
        <w:br w:type="page"/>
      </w:r>
    </w:p>
    <w:p w14:paraId="2BBAA26D" w14:textId="77777777" w:rsidR="00884382" w:rsidRPr="00260584" w:rsidRDefault="00884382" w:rsidP="00260584">
      <w:pPr>
        <w:widowControl w:val="0"/>
        <w:adjustRightInd w:val="0"/>
        <w:snapToGrid w:val="0"/>
        <w:spacing w:after="0" w:line="360" w:lineRule="auto"/>
        <w:jc w:val="both"/>
        <w:rPr>
          <w:rFonts w:ascii="Book Antiqua" w:hAnsi="Book Antiqua"/>
          <w:b/>
          <w:sz w:val="24"/>
          <w:szCs w:val="24"/>
          <w:lang w:eastAsia="zh-CN"/>
        </w:rPr>
      </w:pPr>
      <w:bookmarkStart w:id="90" w:name="_Hlk45800918"/>
      <w:bookmarkEnd w:id="66"/>
      <w:bookmarkEnd w:id="67"/>
      <w:bookmarkEnd w:id="68"/>
      <w:bookmarkEnd w:id="69"/>
      <w:bookmarkEnd w:id="70"/>
      <w:bookmarkEnd w:id="71"/>
      <w:bookmarkEnd w:id="72"/>
      <w:bookmarkEnd w:id="73"/>
      <w:bookmarkEnd w:id="74"/>
      <w:bookmarkEnd w:id="75"/>
      <w:bookmarkEnd w:id="76"/>
      <w:r w:rsidRPr="00260584">
        <w:rPr>
          <w:rFonts w:ascii="Book Antiqua" w:hAnsi="Book Antiqua"/>
          <w:b/>
          <w:sz w:val="24"/>
          <w:szCs w:val="24"/>
        </w:rPr>
        <w:lastRenderedPageBreak/>
        <w:t>Abstract</w:t>
      </w:r>
    </w:p>
    <w:p w14:paraId="31F5FF2C" w14:textId="77777777" w:rsidR="00884382" w:rsidRPr="00260584" w:rsidRDefault="00884382" w:rsidP="00260584">
      <w:pPr>
        <w:widowControl w:val="0"/>
        <w:adjustRightInd w:val="0"/>
        <w:snapToGrid w:val="0"/>
        <w:spacing w:after="0" w:line="360" w:lineRule="auto"/>
        <w:jc w:val="both"/>
        <w:rPr>
          <w:rFonts w:ascii="Book Antiqua" w:hAnsi="Book Antiqua"/>
          <w:sz w:val="24"/>
          <w:szCs w:val="24"/>
          <w:lang w:eastAsia="zh-CN"/>
        </w:rPr>
      </w:pPr>
      <w:r w:rsidRPr="00260584">
        <w:rPr>
          <w:rFonts w:ascii="Book Antiqua" w:hAnsi="Book Antiqua"/>
          <w:sz w:val="24"/>
          <w:szCs w:val="24"/>
        </w:rPr>
        <w:t>BACKGROUND</w:t>
      </w:r>
    </w:p>
    <w:bookmarkEnd w:id="90"/>
    <w:p w14:paraId="5C012CEE" w14:textId="456A333D" w:rsidR="00884382" w:rsidRPr="00260584" w:rsidRDefault="00806E62" w:rsidP="00260584">
      <w:pPr>
        <w:widowControl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A new, oral fixed dose combination of highly selective </w:t>
      </w:r>
      <w:r w:rsidR="00884382" w:rsidRPr="00260584">
        <w:rPr>
          <w:rFonts w:ascii="Book Antiqua" w:hAnsi="Book Antiqua" w:cs="Times New Roman"/>
          <w:sz w:val="24"/>
          <w:szCs w:val="24"/>
        </w:rPr>
        <w:t>neurokinin-1</w:t>
      </w:r>
      <w:r w:rsidRPr="00260584">
        <w:rPr>
          <w:rFonts w:ascii="Book Antiqua" w:hAnsi="Book Antiqua" w:cs="Times New Roman"/>
          <w:sz w:val="24"/>
          <w:szCs w:val="24"/>
        </w:rPr>
        <w:t xml:space="preserve"> receptor antagonist, </w:t>
      </w:r>
      <w:proofErr w:type="spellStart"/>
      <w:r w:rsidRPr="00260584">
        <w:rPr>
          <w:rFonts w:ascii="Book Antiqua" w:hAnsi="Book Antiqua" w:cs="Times New Roman"/>
          <w:sz w:val="24"/>
          <w:szCs w:val="24"/>
        </w:rPr>
        <w:t>netupitant</w:t>
      </w:r>
      <w:proofErr w:type="spellEnd"/>
      <w:r w:rsidRPr="00260584">
        <w:rPr>
          <w:rFonts w:ascii="Book Antiqua" w:hAnsi="Book Antiqua" w:cs="Times New Roman"/>
          <w:sz w:val="24"/>
          <w:szCs w:val="24"/>
        </w:rPr>
        <w:t xml:space="preserve"> with 5HT3 receptor antagonist, </w:t>
      </w:r>
      <w:proofErr w:type="spellStart"/>
      <w:r w:rsidR="00F35534" w:rsidRPr="00260584">
        <w:rPr>
          <w:rFonts w:ascii="Book Antiqua" w:hAnsi="Book Antiqua" w:cs="Times New Roman"/>
          <w:sz w:val="24"/>
          <w:szCs w:val="24"/>
        </w:rPr>
        <w:t>netupitant</w:t>
      </w:r>
      <w:proofErr w:type="spellEnd"/>
      <w:r w:rsidR="00F35534" w:rsidRPr="00260584">
        <w:rPr>
          <w:rFonts w:ascii="Book Antiqua" w:hAnsi="Book Antiqua" w:cs="Times New Roman"/>
          <w:sz w:val="24"/>
          <w:szCs w:val="24"/>
        </w:rPr>
        <w:t xml:space="preserve"> and palonosetron</w:t>
      </w:r>
      <w:r w:rsidRPr="00260584">
        <w:rPr>
          <w:rFonts w:ascii="Book Antiqua" w:hAnsi="Book Antiqua" w:cs="Times New Roman"/>
          <w:sz w:val="24"/>
          <w:szCs w:val="24"/>
        </w:rPr>
        <w:t xml:space="preserve"> (NEPA) was approved in India for prevention of chemotherapy induced nausea and vomiting (CINV). </w:t>
      </w:r>
    </w:p>
    <w:p w14:paraId="163C7DE2" w14:textId="77777777" w:rsidR="00011EBB" w:rsidRPr="00260584" w:rsidRDefault="00011EBB" w:rsidP="00260584">
      <w:pPr>
        <w:widowControl w:val="0"/>
        <w:adjustRightInd w:val="0"/>
        <w:snapToGrid w:val="0"/>
        <w:spacing w:after="0" w:line="360" w:lineRule="auto"/>
        <w:jc w:val="both"/>
        <w:rPr>
          <w:rFonts w:ascii="Book Antiqua" w:hAnsi="Book Antiqua" w:cs="Times New Roman"/>
          <w:sz w:val="24"/>
          <w:szCs w:val="24"/>
        </w:rPr>
      </w:pPr>
    </w:p>
    <w:p w14:paraId="4A61EEEA" w14:textId="77777777" w:rsidR="00884382" w:rsidRPr="00260584" w:rsidRDefault="00884382"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AIM</w:t>
      </w:r>
    </w:p>
    <w:p w14:paraId="7BF8472E" w14:textId="2A1772C2" w:rsidR="00806E62" w:rsidRPr="00260584" w:rsidRDefault="00884382"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To </w:t>
      </w:r>
      <w:r w:rsidR="00806E62" w:rsidRPr="00260584">
        <w:rPr>
          <w:rFonts w:ascii="Book Antiqua" w:hAnsi="Book Antiqua" w:cs="Times New Roman"/>
          <w:sz w:val="24"/>
          <w:szCs w:val="24"/>
        </w:rPr>
        <w:t>assess effectiveness of NEPA in real-world scenario.</w:t>
      </w:r>
    </w:p>
    <w:p w14:paraId="609A3798" w14:textId="77777777" w:rsidR="00884382" w:rsidRPr="00260584" w:rsidRDefault="00884382" w:rsidP="00260584">
      <w:pPr>
        <w:adjustRightInd w:val="0"/>
        <w:snapToGrid w:val="0"/>
        <w:spacing w:after="0" w:line="360" w:lineRule="auto"/>
        <w:jc w:val="both"/>
        <w:rPr>
          <w:rFonts w:ascii="Book Antiqua" w:hAnsi="Book Antiqua"/>
          <w:color w:val="0000FF"/>
          <w:sz w:val="24"/>
          <w:szCs w:val="24"/>
          <w:lang w:eastAsia="zh-CN"/>
        </w:rPr>
      </w:pPr>
    </w:p>
    <w:p w14:paraId="7F54480D" w14:textId="77777777" w:rsidR="00E3258B" w:rsidRPr="00260584" w:rsidRDefault="00E3258B"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METHODS</w:t>
      </w:r>
    </w:p>
    <w:p w14:paraId="2836EB91" w14:textId="4450B4B4" w:rsidR="00806E62" w:rsidRPr="00260584" w:rsidRDefault="00806E62"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We retrospectively assessed the </w:t>
      </w:r>
      <w:r w:rsidR="00CF5C65" w:rsidRPr="00260584">
        <w:rPr>
          <w:rFonts w:ascii="Book Antiqua" w:hAnsi="Book Antiqua" w:cs="Times New Roman"/>
          <w:sz w:val="24"/>
          <w:szCs w:val="24"/>
        </w:rPr>
        <w:t>medical records and patient dairies</w:t>
      </w:r>
      <w:r w:rsidRPr="00260584">
        <w:rPr>
          <w:rFonts w:ascii="Book Antiqua" w:hAnsi="Book Antiqua" w:cs="Times New Roman"/>
          <w:sz w:val="24"/>
          <w:szCs w:val="24"/>
        </w:rPr>
        <w:t xml:space="preserve"> </w:t>
      </w:r>
      <w:r w:rsidR="00316DA3" w:rsidRPr="00260584">
        <w:rPr>
          <w:rFonts w:ascii="Book Antiqua" w:hAnsi="Book Antiqua" w:cs="Times New Roman"/>
          <w:sz w:val="24"/>
          <w:szCs w:val="24"/>
        </w:rPr>
        <w:t xml:space="preserve">of adult </w:t>
      </w:r>
      <w:r w:rsidRPr="00260584">
        <w:rPr>
          <w:rFonts w:ascii="Book Antiqua" w:hAnsi="Book Antiqua" w:cs="Times New Roman"/>
          <w:sz w:val="24"/>
          <w:szCs w:val="24"/>
        </w:rPr>
        <w:t>patients</w:t>
      </w:r>
      <w:r w:rsidR="00A47015" w:rsidRPr="00260584">
        <w:rPr>
          <w:rFonts w:ascii="Book Antiqua" w:hAnsi="Book Antiqua" w:cs="Times New Roman"/>
          <w:sz w:val="24"/>
          <w:szCs w:val="24"/>
        </w:rPr>
        <w:t xml:space="preserve"> </w:t>
      </w:r>
      <w:r w:rsidR="00316DA3" w:rsidRPr="00260584">
        <w:rPr>
          <w:rFonts w:ascii="Book Antiqua" w:hAnsi="Book Antiqua" w:cs="Times New Roman"/>
          <w:sz w:val="24"/>
          <w:szCs w:val="24"/>
        </w:rPr>
        <w:t xml:space="preserve">who received </w:t>
      </w:r>
      <w:r w:rsidR="00A47015" w:rsidRPr="00260584">
        <w:rPr>
          <w:rFonts w:ascii="Book Antiqua" w:hAnsi="Book Antiqua" w:cs="Times New Roman"/>
          <w:sz w:val="24"/>
          <w:szCs w:val="24"/>
        </w:rPr>
        <w:t>highly emetogenic or moderately emetogenic chemotherapy (HEC/MEC)</w:t>
      </w:r>
      <w:r w:rsidRPr="00260584">
        <w:rPr>
          <w:rFonts w:ascii="Book Antiqua" w:hAnsi="Book Antiqua" w:cs="Times New Roman"/>
          <w:sz w:val="24"/>
          <w:szCs w:val="24"/>
        </w:rPr>
        <w:t xml:space="preserve"> </w:t>
      </w:r>
      <w:r w:rsidR="00A47015" w:rsidRPr="00260584">
        <w:rPr>
          <w:rFonts w:ascii="Book Antiqua" w:hAnsi="Book Antiqua" w:cs="Times New Roman"/>
          <w:sz w:val="24"/>
          <w:szCs w:val="24"/>
        </w:rPr>
        <w:t xml:space="preserve">and </w:t>
      </w:r>
      <w:r w:rsidRPr="00260584">
        <w:rPr>
          <w:rFonts w:ascii="Book Antiqua" w:hAnsi="Book Antiqua" w:cs="Times New Roman"/>
          <w:sz w:val="24"/>
          <w:szCs w:val="24"/>
        </w:rPr>
        <w:t>treated with NEPA</w:t>
      </w:r>
      <w:r w:rsidR="00CD6AEB" w:rsidRPr="00260584">
        <w:rPr>
          <w:rFonts w:ascii="Book Antiqua" w:hAnsi="Book Antiqua" w:cs="Times New Roman"/>
          <w:sz w:val="24"/>
          <w:szCs w:val="24"/>
        </w:rPr>
        <w:t xml:space="preserve"> (</w:t>
      </w:r>
      <w:proofErr w:type="spellStart"/>
      <w:r w:rsidR="00CD6AEB" w:rsidRPr="00260584">
        <w:rPr>
          <w:rFonts w:ascii="Book Antiqua" w:hAnsi="Book Antiqua" w:cs="Times New Roman"/>
          <w:sz w:val="24"/>
          <w:szCs w:val="24"/>
        </w:rPr>
        <w:t>Netupitant</w:t>
      </w:r>
      <w:proofErr w:type="spellEnd"/>
      <w:r w:rsidR="00CD6AEB" w:rsidRPr="00260584">
        <w:rPr>
          <w:rFonts w:ascii="Book Antiqua" w:hAnsi="Book Antiqua" w:cs="Times New Roman"/>
          <w:sz w:val="24"/>
          <w:szCs w:val="24"/>
        </w:rPr>
        <w:t xml:space="preserve"> 300</w:t>
      </w:r>
      <w:r w:rsidR="00D020DD" w:rsidRPr="00260584">
        <w:rPr>
          <w:rFonts w:ascii="Book Antiqua" w:hAnsi="Book Antiqua" w:cs="Times New Roman"/>
          <w:sz w:val="24"/>
          <w:szCs w:val="24"/>
        </w:rPr>
        <w:t xml:space="preserve"> </w:t>
      </w:r>
      <w:r w:rsidR="00CD6AEB" w:rsidRPr="00260584">
        <w:rPr>
          <w:rFonts w:ascii="Book Antiqua" w:hAnsi="Book Antiqua" w:cs="Times New Roman"/>
          <w:sz w:val="24"/>
          <w:szCs w:val="24"/>
        </w:rPr>
        <w:t xml:space="preserve">mg + </w:t>
      </w:r>
      <w:proofErr w:type="spellStart"/>
      <w:r w:rsidR="00CD6AEB" w:rsidRPr="00260584">
        <w:rPr>
          <w:rFonts w:ascii="Book Antiqua" w:hAnsi="Book Antiqua" w:cs="Times New Roman"/>
          <w:sz w:val="24"/>
          <w:szCs w:val="24"/>
        </w:rPr>
        <w:t>Palanosetron</w:t>
      </w:r>
      <w:proofErr w:type="spellEnd"/>
      <w:r w:rsidR="00CD6AEB" w:rsidRPr="00260584">
        <w:rPr>
          <w:rFonts w:ascii="Book Antiqua" w:hAnsi="Book Antiqua" w:cs="Times New Roman"/>
          <w:sz w:val="24"/>
          <w:szCs w:val="24"/>
        </w:rPr>
        <w:t xml:space="preserve"> 0.50</w:t>
      </w:r>
      <w:r w:rsidR="0004770C" w:rsidRPr="00260584">
        <w:rPr>
          <w:rFonts w:ascii="Book Antiqua" w:hAnsi="Book Antiqua" w:cs="Times New Roman"/>
          <w:sz w:val="24"/>
          <w:szCs w:val="24"/>
        </w:rPr>
        <w:t xml:space="preserve"> </w:t>
      </w:r>
      <w:r w:rsidR="00CD6AEB" w:rsidRPr="00260584">
        <w:rPr>
          <w:rFonts w:ascii="Book Antiqua" w:hAnsi="Book Antiqua" w:cs="Times New Roman"/>
          <w:sz w:val="24"/>
          <w:szCs w:val="24"/>
        </w:rPr>
        <w:t>mg)</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for prevention </w:t>
      </w:r>
      <w:r w:rsidR="006423D5" w:rsidRPr="00260584">
        <w:rPr>
          <w:rFonts w:ascii="Book Antiqua" w:hAnsi="Book Antiqua" w:cs="Times New Roman"/>
          <w:sz w:val="24"/>
          <w:szCs w:val="24"/>
        </w:rPr>
        <w:t>of CINV.</w:t>
      </w:r>
      <w:r w:rsidR="00DB68F3" w:rsidRPr="00260584">
        <w:rPr>
          <w:rFonts w:ascii="Book Antiqua" w:hAnsi="Book Antiqua" w:cs="Times New Roman"/>
          <w:sz w:val="24"/>
          <w:szCs w:val="24"/>
        </w:rPr>
        <w:t xml:space="preserve"> Complete response (CR) was </w:t>
      </w:r>
      <w:r w:rsidR="007D24CD" w:rsidRPr="00260584">
        <w:rPr>
          <w:rFonts w:ascii="Book Antiqua" w:hAnsi="Book Antiqua" w:cs="Times New Roman"/>
          <w:sz w:val="24"/>
          <w:szCs w:val="24"/>
        </w:rPr>
        <w:t>defined as no emesis or no requirement of rescue medication in overall phase (0 to 5 d), acute phase (0-24 h) and delayed phase (2 to 5 d).</w:t>
      </w:r>
    </w:p>
    <w:p w14:paraId="4214A45A" w14:textId="77777777" w:rsidR="00943C2D" w:rsidRPr="00260584" w:rsidRDefault="00943C2D" w:rsidP="00260584">
      <w:pPr>
        <w:adjustRightInd w:val="0"/>
        <w:snapToGrid w:val="0"/>
        <w:spacing w:after="0" w:line="360" w:lineRule="auto"/>
        <w:jc w:val="both"/>
        <w:rPr>
          <w:rFonts w:ascii="Book Antiqua" w:hAnsi="Book Antiqua"/>
          <w:color w:val="000000"/>
          <w:sz w:val="24"/>
          <w:szCs w:val="24"/>
        </w:rPr>
      </w:pPr>
    </w:p>
    <w:p w14:paraId="248458AA" w14:textId="61602FBF" w:rsidR="00943C2D" w:rsidRPr="00260584" w:rsidRDefault="00943C2D" w:rsidP="00260584">
      <w:pPr>
        <w:adjustRightInd w:val="0"/>
        <w:snapToGrid w:val="0"/>
        <w:spacing w:after="0" w:line="360" w:lineRule="auto"/>
        <w:jc w:val="both"/>
        <w:rPr>
          <w:rFonts w:ascii="Book Antiqua" w:hAnsi="Book Antiqua"/>
          <w:color w:val="0000FF"/>
          <w:sz w:val="24"/>
          <w:szCs w:val="24"/>
          <w:lang w:val="en" w:eastAsia="zh-CN"/>
        </w:rPr>
      </w:pPr>
      <w:r w:rsidRPr="00260584">
        <w:rPr>
          <w:rFonts w:ascii="Book Antiqua" w:hAnsi="Book Antiqua"/>
          <w:color w:val="000000"/>
          <w:sz w:val="24"/>
          <w:szCs w:val="24"/>
        </w:rPr>
        <w:t>RESULTS</w:t>
      </w:r>
    </w:p>
    <w:p w14:paraId="186E49BC" w14:textId="662C2396" w:rsidR="007D24CD" w:rsidRPr="00260584" w:rsidRDefault="007D24CD"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hAnsi="Book Antiqua" w:cs="Times New Roman"/>
          <w:sz w:val="24"/>
          <w:szCs w:val="24"/>
        </w:rPr>
        <w:t xml:space="preserve">In 403 patients included in the analysis, mean age was </w:t>
      </w:r>
      <w:r w:rsidRPr="00260584">
        <w:rPr>
          <w:rFonts w:ascii="Book Antiqua" w:eastAsia="Times New Roman" w:hAnsi="Book Antiqua" w:cs="Times New Roman"/>
          <w:sz w:val="24"/>
          <w:szCs w:val="24"/>
          <w:lang w:eastAsia="en-IN"/>
        </w:rPr>
        <w:t xml:space="preserve">56.24 ± 11.11 years and 55.09% were females. Breast </w:t>
      </w:r>
      <w:r w:rsidR="00E10520" w:rsidRPr="00260584">
        <w:rPr>
          <w:rFonts w:ascii="Book Antiqua" w:eastAsia="Times New Roman" w:hAnsi="Book Antiqua" w:cs="Times New Roman"/>
          <w:sz w:val="24"/>
          <w:szCs w:val="24"/>
          <w:lang w:eastAsia="en-IN"/>
        </w:rPr>
        <w:t xml:space="preserve">cancer (25.06%) was most common malignancy encountered. HEC and MEC were administered in 54.6% and 45.4% patients respectively. CR in overall phase was 93.79% whereas it was 98.01% in acute CINV and 93.79% in delayed CINV. </w:t>
      </w:r>
      <w:r w:rsidR="00D522D2" w:rsidRPr="00260584">
        <w:rPr>
          <w:rFonts w:ascii="Book Antiqua" w:eastAsia="Times New Roman" w:hAnsi="Book Antiqua" w:cs="Times New Roman"/>
          <w:sz w:val="24"/>
          <w:szCs w:val="24"/>
          <w:lang w:eastAsia="en-IN"/>
        </w:rPr>
        <w:t>Overall CR in HEC and MEC groups was 93.63% and 93.98%</w:t>
      </w:r>
      <w:r w:rsidR="00F65810" w:rsidRPr="00260584">
        <w:rPr>
          <w:rFonts w:ascii="Book Antiqua" w:eastAsia="Times New Roman" w:hAnsi="Book Antiqua" w:cs="Times New Roman"/>
          <w:sz w:val="24"/>
          <w:szCs w:val="24"/>
          <w:lang w:eastAsia="en-IN"/>
        </w:rPr>
        <w:t xml:space="preserve"> respectively</w:t>
      </w:r>
      <w:r w:rsidR="00D522D2" w:rsidRPr="00260584">
        <w:rPr>
          <w:rFonts w:ascii="Book Antiqua" w:eastAsia="Times New Roman" w:hAnsi="Book Antiqua" w:cs="Times New Roman"/>
          <w:sz w:val="24"/>
          <w:szCs w:val="24"/>
          <w:lang w:eastAsia="en-IN"/>
        </w:rPr>
        <w:t xml:space="preserve">. </w:t>
      </w:r>
      <w:r w:rsidR="00F65810" w:rsidRPr="00260584">
        <w:rPr>
          <w:rFonts w:ascii="Book Antiqua" w:eastAsia="Times New Roman" w:hAnsi="Book Antiqua" w:cs="Times New Roman"/>
          <w:sz w:val="24"/>
          <w:szCs w:val="24"/>
          <w:lang w:eastAsia="en-IN"/>
        </w:rPr>
        <w:t>CR was more than 90% in different chemotherapy cycles except in group of patients of</w:t>
      </w:r>
      <w:r w:rsidR="0097002A" w:rsidRPr="00260584">
        <w:rPr>
          <w:rFonts w:ascii="Book Antiqua" w:eastAsia="Times New Roman" w:hAnsi="Book Antiqua" w:cs="Times New Roman"/>
          <w:sz w:val="24"/>
          <w:szCs w:val="24"/>
          <w:lang w:eastAsia="en-IN"/>
        </w:rPr>
        <w:t xml:space="preserve"> cycle 4</w:t>
      </w:r>
      <w:r w:rsidR="00D3292A" w:rsidRPr="00260584">
        <w:rPr>
          <w:rFonts w:ascii="Book Antiqua" w:eastAsia="Times New Roman" w:hAnsi="Book Antiqua" w:cs="Times New Roman"/>
          <w:sz w:val="24"/>
          <w:szCs w:val="24"/>
          <w:lang w:eastAsia="en-IN"/>
        </w:rPr>
        <w:t xml:space="preserve"> </w:t>
      </w:r>
      <w:r w:rsidR="00F65810" w:rsidRPr="00260584">
        <w:rPr>
          <w:rFonts w:ascii="Book Antiqua" w:eastAsia="Times New Roman" w:hAnsi="Book Antiqua" w:cs="Times New Roman"/>
          <w:sz w:val="24"/>
          <w:szCs w:val="24"/>
          <w:lang w:eastAsia="en-IN"/>
        </w:rPr>
        <w:t xml:space="preserve">where CR was 88.88%. </w:t>
      </w:r>
    </w:p>
    <w:p w14:paraId="6D9D1567" w14:textId="77777777" w:rsidR="00943C2D"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p>
    <w:p w14:paraId="1FEC2A07" w14:textId="77777777" w:rsidR="00943C2D" w:rsidRPr="00260584" w:rsidRDefault="00943C2D" w:rsidP="00260584">
      <w:pPr>
        <w:adjustRightInd w:val="0"/>
        <w:snapToGrid w:val="0"/>
        <w:spacing w:after="0" w:line="360" w:lineRule="auto"/>
        <w:jc w:val="both"/>
        <w:rPr>
          <w:rFonts w:ascii="Book Antiqua" w:hAnsi="Book Antiqua"/>
          <w:sz w:val="24"/>
          <w:szCs w:val="24"/>
          <w:lang w:val="en" w:eastAsia="zh-CN"/>
        </w:rPr>
      </w:pPr>
      <w:r w:rsidRPr="00260584">
        <w:rPr>
          <w:rFonts w:ascii="Book Antiqua" w:hAnsi="Book Antiqua"/>
          <w:color w:val="000000"/>
          <w:sz w:val="24"/>
          <w:szCs w:val="24"/>
        </w:rPr>
        <w:t>CONCLUSION</w:t>
      </w:r>
      <w:r w:rsidRPr="00260584">
        <w:rPr>
          <w:rFonts w:ascii="Book Antiqua" w:hAnsi="Book Antiqua"/>
          <w:sz w:val="24"/>
          <w:szCs w:val="24"/>
          <w:lang w:val="en"/>
        </w:rPr>
        <w:t xml:space="preserve"> </w:t>
      </w:r>
    </w:p>
    <w:p w14:paraId="78AD1969" w14:textId="67D8151A" w:rsidR="00782B7B" w:rsidRPr="00260584" w:rsidRDefault="00782B7B"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eastAsia="Times New Roman" w:hAnsi="Book Antiqua" w:cs="Times New Roman"/>
          <w:sz w:val="24"/>
          <w:szCs w:val="24"/>
          <w:lang w:eastAsia="en-IN"/>
        </w:rPr>
        <w:lastRenderedPageBreak/>
        <w:t xml:space="preserve">NEPA is a novel combination that is effective in preventing CINV in up to 93% cases treated with </w:t>
      </w:r>
      <w:r w:rsidR="00E3258B" w:rsidRPr="00260584">
        <w:rPr>
          <w:rFonts w:ascii="Book Antiqua" w:hAnsi="Book Antiqua" w:cs="Times New Roman"/>
          <w:sz w:val="24"/>
          <w:szCs w:val="24"/>
        </w:rPr>
        <w:t>highly emetogenic or moderately emetogenic chemotherapy</w:t>
      </w:r>
      <w:r w:rsidRPr="00260584">
        <w:rPr>
          <w:rFonts w:ascii="Book Antiqua" w:eastAsia="Times New Roman" w:hAnsi="Book Antiqua" w:cs="Times New Roman"/>
          <w:sz w:val="24"/>
          <w:szCs w:val="24"/>
          <w:lang w:eastAsia="en-IN"/>
        </w:rPr>
        <w:t xml:space="preserve">. This </w:t>
      </w:r>
      <w:r w:rsidR="00FB67AC" w:rsidRPr="00260584">
        <w:rPr>
          <w:rFonts w:ascii="Book Antiqua" w:eastAsia="Times New Roman" w:hAnsi="Book Antiqua" w:cs="Times New Roman"/>
          <w:sz w:val="24"/>
          <w:szCs w:val="24"/>
          <w:lang w:eastAsia="en-IN"/>
        </w:rPr>
        <w:t xml:space="preserve">study brings </w:t>
      </w:r>
      <w:r w:rsidR="00F37AE9" w:rsidRPr="00260584">
        <w:rPr>
          <w:rFonts w:ascii="Book Antiqua" w:eastAsia="Times New Roman" w:hAnsi="Book Antiqua" w:cs="Times New Roman"/>
          <w:sz w:val="24"/>
          <w:szCs w:val="24"/>
          <w:lang w:eastAsia="en-IN"/>
        </w:rPr>
        <w:t xml:space="preserve">the </w:t>
      </w:r>
      <w:r w:rsidRPr="00260584">
        <w:rPr>
          <w:rFonts w:ascii="Book Antiqua" w:eastAsia="Times New Roman" w:hAnsi="Book Antiqua" w:cs="Times New Roman"/>
          <w:sz w:val="24"/>
          <w:szCs w:val="24"/>
          <w:lang w:eastAsia="en-IN"/>
        </w:rPr>
        <w:t>first real</w:t>
      </w:r>
      <w:r w:rsidR="00F37AE9" w:rsidRPr="00260584">
        <w:rPr>
          <w:rFonts w:ascii="Book Antiqua" w:eastAsia="Times New Roman" w:hAnsi="Book Antiqua" w:cs="Times New Roman"/>
          <w:sz w:val="24"/>
          <w:szCs w:val="24"/>
          <w:lang w:eastAsia="en-IN"/>
        </w:rPr>
        <w:t xml:space="preserve">-life </w:t>
      </w:r>
      <w:r w:rsidRPr="00260584">
        <w:rPr>
          <w:rFonts w:ascii="Book Antiqua" w:eastAsia="Times New Roman" w:hAnsi="Book Antiqua" w:cs="Times New Roman"/>
          <w:sz w:val="24"/>
          <w:szCs w:val="24"/>
          <w:lang w:eastAsia="en-IN"/>
        </w:rPr>
        <w:t xml:space="preserve">evidence of its effectiveness in India population. </w:t>
      </w:r>
    </w:p>
    <w:p w14:paraId="67AE690D" w14:textId="77777777" w:rsidR="00943C2D"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p>
    <w:p w14:paraId="597EDE63" w14:textId="3AA5DDC0" w:rsidR="00D52672" w:rsidRPr="00260584" w:rsidRDefault="00943C2D" w:rsidP="00260584">
      <w:pPr>
        <w:adjustRightInd w:val="0"/>
        <w:snapToGrid w:val="0"/>
        <w:spacing w:after="0" w:line="360" w:lineRule="auto"/>
        <w:jc w:val="both"/>
        <w:rPr>
          <w:rFonts w:ascii="Book Antiqua" w:eastAsia="Times New Roman" w:hAnsi="Book Antiqua" w:cs="Times New Roman"/>
          <w:sz w:val="24"/>
          <w:szCs w:val="24"/>
          <w:lang w:eastAsia="en-IN"/>
        </w:rPr>
      </w:pPr>
      <w:r w:rsidRPr="00260584">
        <w:rPr>
          <w:rFonts w:ascii="Book Antiqua" w:hAnsi="Book Antiqua"/>
          <w:b/>
          <w:sz w:val="24"/>
          <w:szCs w:val="24"/>
        </w:rPr>
        <w:t>Key words:</w:t>
      </w:r>
      <w:r w:rsidRPr="00260584">
        <w:rPr>
          <w:rFonts w:ascii="Book Antiqua" w:hAnsi="Book Antiqua"/>
          <w:sz w:val="24"/>
          <w:szCs w:val="24"/>
        </w:rPr>
        <w:t xml:space="preserve"> </w:t>
      </w:r>
      <w:r w:rsidR="00D52672" w:rsidRPr="00260584">
        <w:rPr>
          <w:rFonts w:ascii="Book Antiqua" w:eastAsia="Times New Roman" w:hAnsi="Book Antiqua" w:cs="Times New Roman"/>
          <w:sz w:val="24"/>
          <w:szCs w:val="24"/>
          <w:lang w:eastAsia="en-IN"/>
        </w:rPr>
        <w:t>Chemotherapy induced nausea vomiting</w:t>
      </w:r>
      <w:r w:rsidRPr="00260584">
        <w:rPr>
          <w:rFonts w:ascii="Book Antiqua" w:eastAsia="Times New Roman" w:hAnsi="Book Antiqua" w:cs="Times New Roman"/>
          <w:sz w:val="24"/>
          <w:szCs w:val="24"/>
          <w:lang w:eastAsia="en-IN"/>
        </w:rPr>
        <w:t>;</w:t>
      </w:r>
      <w:r w:rsidR="00D52672" w:rsidRPr="00260584">
        <w:rPr>
          <w:rFonts w:ascii="Book Antiqua" w:eastAsia="Times New Roman" w:hAnsi="Book Antiqua" w:cs="Times New Roman"/>
          <w:sz w:val="24"/>
          <w:szCs w:val="24"/>
          <w:lang w:eastAsia="en-IN"/>
        </w:rPr>
        <w:t xml:space="preserve"> </w:t>
      </w:r>
      <w:proofErr w:type="spellStart"/>
      <w:r w:rsidR="00D52672" w:rsidRPr="00260584">
        <w:rPr>
          <w:rFonts w:ascii="Book Antiqua" w:eastAsia="Times New Roman" w:hAnsi="Book Antiqua" w:cs="Times New Roman"/>
          <w:sz w:val="24"/>
          <w:szCs w:val="24"/>
          <w:lang w:eastAsia="en-IN"/>
        </w:rPr>
        <w:t>Netupitant</w:t>
      </w:r>
      <w:proofErr w:type="spellEnd"/>
      <w:r w:rsidRPr="00260584">
        <w:rPr>
          <w:rFonts w:ascii="Book Antiqua" w:eastAsia="Times New Roman" w:hAnsi="Book Antiqua" w:cs="Times New Roman"/>
          <w:sz w:val="24"/>
          <w:szCs w:val="24"/>
          <w:lang w:eastAsia="en-IN"/>
        </w:rPr>
        <w:t>;</w:t>
      </w:r>
      <w:r w:rsidR="00D52672" w:rsidRPr="00260584">
        <w:rPr>
          <w:rFonts w:ascii="Book Antiqua" w:eastAsia="Times New Roman" w:hAnsi="Book Antiqua" w:cs="Times New Roman"/>
          <w:sz w:val="24"/>
          <w:szCs w:val="24"/>
          <w:lang w:eastAsia="en-IN"/>
        </w:rPr>
        <w:t xml:space="preserve"> Palonosetron</w:t>
      </w:r>
      <w:r w:rsidRPr="00260584">
        <w:rPr>
          <w:rFonts w:ascii="Book Antiqua" w:eastAsia="Times New Roman" w:hAnsi="Book Antiqua" w:cs="Times New Roman"/>
          <w:sz w:val="24"/>
          <w:szCs w:val="24"/>
          <w:lang w:eastAsia="en-IN"/>
        </w:rPr>
        <w:t xml:space="preserve">; </w:t>
      </w:r>
      <w:r w:rsidR="00D52672" w:rsidRPr="00260584">
        <w:rPr>
          <w:rFonts w:ascii="Book Antiqua" w:eastAsia="Times New Roman" w:hAnsi="Book Antiqua" w:cs="Times New Roman"/>
          <w:sz w:val="24"/>
          <w:szCs w:val="24"/>
          <w:lang w:eastAsia="en-IN"/>
        </w:rPr>
        <w:t>Cancer</w:t>
      </w:r>
      <w:r w:rsidRPr="00260584">
        <w:rPr>
          <w:rFonts w:ascii="Book Antiqua" w:eastAsia="Times New Roman" w:hAnsi="Book Antiqua" w:cs="Times New Roman"/>
          <w:sz w:val="24"/>
          <w:szCs w:val="24"/>
          <w:lang w:eastAsia="en-IN"/>
        </w:rPr>
        <w:t xml:space="preserve">; </w:t>
      </w:r>
      <w:r w:rsidR="00D52672" w:rsidRPr="00260584">
        <w:rPr>
          <w:rFonts w:ascii="Book Antiqua" w:eastAsia="Times New Roman" w:hAnsi="Book Antiqua" w:cs="Times New Roman"/>
          <w:sz w:val="24"/>
          <w:szCs w:val="24"/>
          <w:lang w:eastAsia="en-IN"/>
        </w:rPr>
        <w:t>Chemotherapy</w:t>
      </w:r>
    </w:p>
    <w:p w14:paraId="0838E260" w14:textId="09512544" w:rsidR="00240DBC" w:rsidRPr="00260584" w:rsidRDefault="00240DBC" w:rsidP="00260584">
      <w:pPr>
        <w:adjustRightInd w:val="0"/>
        <w:snapToGrid w:val="0"/>
        <w:spacing w:after="0" w:line="360" w:lineRule="auto"/>
        <w:jc w:val="both"/>
        <w:rPr>
          <w:rFonts w:ascii="Book Antiqua" w:eastAsia="Times New Roman" w:hAnsi="Book Antiqua" w:cs="Times New Roman"/>
          <w:sz w:val="24"/>
          <w:szCs w:val="24"/>
          <w:lang w:eastAsia="en-IN"/>
        </w:rPr>
      </w:pPr>
    </w:p>
    <w:p w14:paraId="553CCD5A" w14:textId="77777777" w:rsidR="00240DBC" w:rsidRPr="00260584" w:rsidRDefault="00240DBC" w:rsidP="00260584">
      <w:pPr>
        <w:adjustRightInd w:val="0"/>
        <w:snapToGrid w:val="0"/>
        <w:spacing w:after="0" w:line="360" w:lineRule="auto"/>
        <w:jc w:val="both"/>
        <w:rPr>
          <w:rFonts w:ascii="Book Antiqua" w:hAnsi="Book Antiqua"/>
          <w:sz w:val="24"/>
          <w:szCs w:val="24"/>
        </w:rPr>
      </w:pPr>
      <w:bookmarkStart w:id="91" w:name="OLE_LINK15"/>
      <w:bookmarkStart w:id="92" w:name="OLE_LINK16"/>
      <w:r w:rsidRPr="00260584">
        <w:rPr>
          <w:rFonts w:ascii="Book Antiqua" w:hAnsi="Book Antiqua" w:cs="Times New Roman"/>
          <w:sz w:val="24"/>
          <w:szCs w:val="24"/>
          <w:highlight w:val="white"/>
          <w:lang w:val="en-US" w:eastAsia="zh-CN"/>
        </w:rPr>
        <w:t>Vaswani B</w:t>
      </w:r>
      <w:r w:rsidRPr="00260584">
        <w:rPr>
          <w:rFonts w:ascii="Book Antiqua" w:hAnsi="Book Antiqua"/>
          <w:sz w:val="24"/>
          <w:szCs w:val="24"/>
          <w:lang w:eastAsia="zh-CN"/>
        </w:rPr>
        <w:t xml:space="preserve">, </w:t>
      </w:r>
      <w:r w:rsidRPr="00260584">
        <w:rPr>
          <w:rFonts w:ascii="Book Antiqua" w:hAnsi="Book Antiqua" w:cs="Times New Roman"/>
          <w:sz w:val="24"/>
          <w:szCs w:val="24"/>
          <w:highlight w:val="white"/>
          <w:lang w:val="en-US" w:eastAsia="zh-CN"/>
        </w:rPr>
        <w:t>Bhagat S</w:t>
      </w:r>
      <w:r w:rsidRPr="00260584">
        <w:rPr>
          <w:rFonts w:ascii="Book Antiqua" w:hAnsi="Book Antiqua"/>
          <w:sz w:val="24"/>
          <w:szCs w:val="24"/>
          <w:lang w:eastAsia="zh-CN"/>
        </w:rPr>
        <w:t xml:space="preserve">, </w:t>
      </w:r>
      <w:proofErr w:type="spellStart"/>
      <w:r w:rsidRPr="00260584">
        <w:rPr>
          <w:rFonts w:ascii="Book Antiqua" w:hAnsi="Book Antiqua" w:cs="Times New Roman"/>
          <w:sz w:val="24"/>
          <w:szCs w:val="24"/>
          <w:highlight w:val="white"/>
          <w:lang w:val="en-US" w:eastAsia="zh-CN"/>
        </w:rPr>
        <w:t>Patil</w:t>
      </w:r>
      <w:proofErr w:type="spellEnd"/>
      <w:r w:rsidRPr="00260584">
        <w:rPr>
          <w:rFonts w:ascii="Book Antiqua" w:hAnsi="Book Antiqua" w:cs="Times New Roman"/>
          <w:sz w:val="24"/>
          <w:szCs w:val="24"/>
          <w:highlight w:val="white"/>
          <w:lang w:val="en-US" w:eastAsia="zh-CN"/>
        </w:rPr>
        <w:t xml:space="preserve"> S</w:t>
      </w:r>
      <w:r w:rsidRPr="00260584">
        <w:rPr>
          <w:rFonts w:ascii="Book Antiqua" w:hAnsi="Book Antiqua"/>
          <w:sz w:val="24"/>
          <w:szCs w:val="24"/>
          <w:lang w:eastAsia="zh-CN"/>
        </w:rPr>
        <w:t xml:space="preserve">, </w:t>
      </w:r>
      <w:proofErr w:type="spellStart"/>
      <w:r w:rsidRPr="00260584">
        <w:rPr>
          <w:rFonts w:ascii="Book Antiqua" w:hAnsi="Book Antiqua" w:cs="Times New Roman"/>
          <w:sz w:val="24"/>
          <w:szCs w:val="24"/>
          <w:highlight w:val="white"/>
          <w:lang w:val="en-US" w:eastAsia="zh-CN"/>
        </w:rPr>
        <w:t>Barkate</w:t>
      </w:r>
      <w:proofErr w:type="spellEnd"/>
      <w:r w:rsidRPr="00260584">
        <w:rPr>
          <w:rFonts w:ascii="Book Antiqua" w:hAnsi="Book Antiqua" w:cs="Times New Roman"/>
          <w:sz w:val="24"/>
          <w:szCs w:val="24"/>
          <w:highlight w:val="white"/>
          <w:lang w:val="en-US" w:eastAsia="zh-CN"/>
        </w:rPr>
        <w:t xml:space="preserve"> H</w:t>
      </w:r>
      <w:r w:rsidRPr="00260584">
        <w:rPr>
          <w:rFonts w:ascii="Book Antiqua" w:hAnsi="Book Antiqua" w:cs="Times New Roman"/>
          <w:sz w:val="24"/>
          <w:szCs w:val="24"/>
          <w:lang w:val="en-US" w:eastAsia="zh-CN"/>
        </w:rPr>
        <w:t xml:space="preserve">. </w:t>
      </w:r>
      <w:r w:rsidRPr="00260584">
        <w:rPr>
          <w:rFonts w:ascii="Book Antiqua" w:hAnsi="Book Antiqua" w:cs="Times New Roman"/>
          <w:sz w:val="24"/>
          <w:szCs w:val="24"/>
        </w:rPr>
        <w:t xml:space="preserve">Effectiveness of a novel, fixed dose combination of </w:t>
      </w:r>
      <w:proofErr w:type="spellStart"/>
      <w:r w:rsidRPr="00260584">
        <w:rPr>
          <w:rFonts w:ascii="Book Antiqua" w:hAnsi="Book Antiqua" w:cs="Times New Roman"/>
          <w:sz w:val="24"/>
          <w:szCs w:val="24"/>
        </w:rPr>
        <w:t>netupitant</w:t>
      </w:r>
      <w:proofErr w:type="spellEnd"/>
      <w:r w:rsidRPr="00260584">
        <w:rPr>
          <w:rFonts w:ascii="Book Antiqua" w:hAnsi="Book Antiqua" w:cs="Times New Roman"/>
          <w:sz w:val="24"/>
          <w:szCs w:val="24"/>
        </w:rPr>
        <w:t xml:space="preserve"> and palonosetron in prevention of chemotherapy induced nausea and vomiting: A real-life study from India. </w:t>
      </w:r>
      <w:r w:rsidRPr="00260584">
        <w:rPr>
          <w:rFonts w:ascii="Book Antiqua" w:hAnsi="Book Antiqua"/>
          <w:i/>
          <w:iCs/>
          <w:sz w:val="24"/>
          <w:szCs w:val="24"/>
        </w:rPr>
        <w:t>World J Clin Oncol</w:t>
      </w:r>
      <w:r w:rsidRPr="00260584">
        <w:rPr>
          <w:rFonts w:ascii="Book Antiqua" w:hAnsi="Book Antiqua"/>
          <w:sz w:val="24"/>
          <w:szCs w:val="24"/>
        </w:rPr>
        <w:t xml:space="preserve"> 2020; In press</w:t>
      </w:r>
    </w:p>
    <w:bookmarkEnd w:id="91"/>
    <w:bookmarkEnd w:id="92"/>
    <w:p w14:paraId="779A3479" w14:textId="77777777" w:rsidR="00240DBC" w:rsidRPr="00260584" w:rsidRDefault="00240DBC" w:rsidP="00260584">
      <w:pPr>
        <w:adjustRightInd w:val="0"/>
        <w:snapToGrid w:val="0"/>
        <w:spacing w:after="0" w:line="360" w:lineRule="auto"/>
        <w:jc w:val="both"/>
        <w:rPr>
          <w:rFonts w:ascii="Book Antiqua" w:eastAsia="Times New Roman" w:hAnsi="Book Antiqua" w:cs="Times New Roman"/>
          <w:b/>
          <w:bCs/>
          <w:sz w:val="24"/>
          <w:szCs w:val="24"/>
          <w:lang w:eastAsia="en-IN"/>
        </w:rPr>
      </w:pPr>
    </w:p>
    <w:p w14:paraId="366AD93A" w14:textId="2CDEE273" w:rsidR="00D020DD" w:rsidRPr="00260584" w:rsidRDefault="006256C3"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sz w:val="24"/>
          <w:szCs w:val="24"/>
          <w:highlight w:val="white"/>
          <w:lang w:val="en-US" w:eastAsia="zh-CN"/>
        </w:rPr>
        <w:t>Core tip:</w:t>
      </w:r>
      <w:r w:rsidR="00210771" w:rsidRPr="00260584">
        <w:rPr>
          <w:rFonts w:ascii="Book Antiqua" w:hAnsi="Book Antiqua" w:cs="Times New Roman"/>
          <w:b/>
          <w:sz w:val="24"/>
          <w:szCs w:val="24"/>
          <w:highlight w:val="white"/>
          <w:lang w:val="en-US" w:eastAsia="zh-CN"/>
        </w:rPr>
        <w:t xml:space="preserve"> </w:t>
      </w:r>
      <w:bookmarkStart w:id="93" w:name="OLE_LINK17"/>
      <w:r w:rsidR="00C6030C" w:rsidRPr="00260584">
        <w:rPr>
          <w:rFonts w:ascii="Book Antiqua" w:hAnsi="Book Antiqua" w:cs="Times New Roman"/>
          <w:bCs/>
          <w:sz w:val="24"/>
          <w:szCs w:val="24"/>
        </w:rPr>
        <w:t>A</w:t>
      </w:r>
      <w:r w:rsidR="00C6030C" w:rsidRPr="00260584">
        <w:rPr>
          <w:rFonts w:ascii="Book Antiqua" w:hAnsi="Book Antiqua" w:cs="Times New Roman"/>
          <w:sz w:val="24"/>
          <w:szCs w:val="24"/>
        </w:rPr>
        <w:t xml:space="preserve"> fixed-dose combination of </w:t>
      </w:r>
      <w:proofErr w:type="spellStart"/>
      <w:r w:rsidR="00C6030C" w:rsidRPr="00260584">
        <w:rPr>
          <w:rFonts w:ascii="Book Antiqua" w:hAnsi="Book Antiqua" w:cs="Times New Roman"/>
          <w:sz w:val="24"/>
          <w:szCs w:val="24"/>
        </w:rPr>
        <w:t>Netupitant</w:t>
      </w:r>
      <w:proofErr w:type="spellEnd"/>
      <w:r w:rsidR="00011EBB" w:rsidRPr="00260584">
        <w:rPr>
          <w:rFonts w:ascii="Book Antiqua" w:hAnsi="Book Antiqua" w:cs="Times New Roman"/>
          <w:sz w:val="24"/>
          <w:szCs w:val="24"/>
        </w:rPr>
        <w:t xml:space="preserve"> </w:t>
      </w:r>
      <w:r w:rsidR="00C6030C" w:rsidRPr="00260584">
        <w:rPr>
          <w:rFonts w:ascii="Book Antiqua" w:hAnsi="Book Antiqua" w:cs="Times New Roman"/>
          <w:sz w:val="24"/>
          <w:szCs w:val="24"/>
        </w:rPr>
        <w:t>(300</w:t>
      </w:r>
      <w:r w:rsidR="00D020DD" w:rsidRPr="00260584">
        <w:rPr>
          <w:rFonts w:ascii="Book Antiqua" w:hAnsi="Book Antiqua" w:cs="Times New Roman"/>
          <w:sz w:val="24"/>
          <w:szCs w:val="24"/>
        </w:rPr>
        <w:t xml:space="preserve"> </w:t>
      </w:r>
      <w:r w:rsidR="00C6030C" w:rsidRPr="00260584">
        <w:rPr>
          <w:rFonts w:ascii="Book Antiqua" w:hAnsi="Book Antiqua" w:cs="Times New Roman"/>
          <w:sz w:val="24"/>
          <w:szCs w:val="24"/>
        </w:rPr>
        <w:t>mg) and Palonosetron</w:t>
      </w:r>
      <w:r w:rsidR="00011EBB" w:rsidRPr="00260584">
        <w:rPr>
          <w:rFonts w:ascii="Book Antiqua" w:hAnsi="Book Antiqua" w:cs="Times New Roman"/>
          <w:sz w:val="24"/>
          <w:szCs w:val="24"/>
        </w:rPr>
        <w:t xml:space="preserve"> </w:t>
      </w:r>
      <w:r w:rsidR="00A92909" w:rsidRPr="00260584">
        <w:rPr>
          <w:rFonts w:ascii="Book Antiqua" w:hAnsi="Book Antiqua" w:cs="Times New Roman"/>
          <w:sz w:val="24"/>
          <w:szCs w:val="24"/>
        </w:rPr>
        <w:t>(0.50</w:t>
      </w:r>
      <w:r w:rsidR="00D020DD" w:rsidRPr="00260584">
        <w:rPr>
          <w:rFonts w:ascii="Book Antiqua" w:hAnsi="Book Antiqua" w:cs="Times New Roman"/>
          <w:sz w:val="24"/>
          <w:szCs w:val="24"/>
        </w:rPr>
        <w:t xml:space="preserve"> </w:t>
      </w:r>
      <w:bookmarkStart w:id="94" w:name="OLE_LINK6"/>
      <w:bookmarkStart w:id="95" w:name="OLE_LINK7"/>
      <w:r w:rsidR="00A92909" w:rsidRPr="00260584">
        <w:rPr>
          <w:rFonts w:ascii="Book Antiqua" w:hAnsi="Book Antiqua" w:cs="Times New Roman"/>
          <w:sz w:val="24"/>
          <w:szCs w:val="24"/>
        </w:rPr>
        <w:t>mg</w:t>
      </w:r>
      <w:bookmarkEnd w:id="94"/>
      <w:bookmarkEnd w:id="95"/>
      <w:r w:rsidR="00A92909" w:rsidRPr="00260584">
        <w:rPr>
          <w:rFonts w:ascii="Book Antiqua" w:hAnsi="Book Antiqua" w:cs="Times New Roman"/>
          <w:sz w:val="24"/>
          <w:szCs w:val="24"/>
        </w:rPr>
        <w:t>)</w:t>
      </w:r>
      <w:r w:rsidR="00C6030C" w:rsidRPr="00260584">
        <w:rPr>
          <w:rFonts w:ascii="Book Antiqua" w:hAnsi="Book Antiqua" w:cs="Times New Roman"/>
          <w:sz w:val="24"/>
          <w:szCs w:val="24"/>
        </w:rPr>
        <w:t xml:space="preserve"> indicated for the prevention of acute and delayed </w:t>
      </w:r>
      <w:r w:rsidR="00210771" w:rsidRPr="00260584">
        <w:rPr>
          <w:rFonts w:ascii="Book Antiqua" w:hAnsi="Book Antiqua" w:cs="Times New Roman"/>
          <w:sz w:val="24"/>
          <w:szCs w:val="24"/>
        </w:rPr>
        <w:t xml:space="preserve">phase of </w:t>
      </w:r>
      <w:r w:rsidR="00C6030C" w:rsidRPr="00260584">
        <w:rPr>
          <w:rFonts w:ascii="Book Antiqua" w:hAnsi="Book Antiqua" w:cs="Times New Roman"/>
          <w:sz w:val="24"/>
          <w:szCs w:val="24"/>
        </w:rPr>
        <w:t>nausea</w:t>
      </w:r>
      <w:r w:rsidR="00D020DD" w:rsidRPr="00260584">
        <w:rPr>
          <w:rFonts w:ascii="Book Antiqua" w:hAnsi="Book Antiqua" w:cs="Times New Roman"/>
          <w:sz w:val="24"/>
          <w:szCs w:val="24"/>
        </w:rPr>
        <w:t>-</w:t>
      </w:r>
      <w:r w:rsidR="00C6030C" w:rsidRPr="00260584">
        <w:rPr>
          <w:rFonts w:ascii="Book Antiqua" w:hAnsi="Book Antiqua" w:cs="Times New Roman"/>
          <w:sz w:val="24"/>
          <w:szCs w:val="24"/>
        </w:rPr>
        <w:t>vomiting in patients on highly and moderately emetogenic chemotherapeutic regimen was</w:t>
      </w:r>
      <w:r w:rsidR="00D3292A" w:rsidRPr="00260584">
        <w:rPr>
          <w:rFonts w:ascii="Book Antiqua" w:hAnsi="Book Antiqua" w:cs="Times New Roman"/>
          <w:sz w:val="24"/>
          <w:szCs w:val="24"/>
        </w:rPr>
        <w:t xml:space="preserve"> </w:t>
      </w:r>
      <w:r w:rsidR="008C0124" w:rsidRPr="00260584">
        <w:rPr>
          <w:rFonts w:ascii="Book Antiqua" w:hAnsi="Book Antiqua" w:cs="Times New Roman"/>
          <w:sz w:val="24"/>
          <w:szCs w:val="24"/>
        </w:rPr>
        <w:t xml:space="preserve">recently </w:t>
      </w:r>
      <w:r w:rsidR="00C6030C" w:rsidRPr="00260584">
        <w:rPr>
          <w:rFonts w:ascii="Book Antiqua" w:hAnsi="Book Antiqua" w:cs="Times New Roman"/>
          <w:sz w:val="24"/>
          <w:szCs w:val="24"/>
        </w:rPr>
        <w:t xml:space="preserve">approved in India. There was no data on the effectiveness </w:t>
      </w:r>
      <w:r w:rsidR="008C0124" w:rsidRPr="00260584">
        <w:rPr>
          <w:rFonts w:ascii="Book Antiqua" w:hAnsi="Book Antiqua" w:cs="Times New Roman"/>
          <w:sz w:val="24"/>
          <w:szCs w:val="24"/>
        </w:rPr>
        <w:t xml:space="preserve">of this </w:t>
      </w:r>
      <w:r w:rsidR="00C22E1D" w:rsidRPr="00260584">
        <w:rPr>
          <w:rFonts w:ascii="Book Antiqua" w:hAnsi="Book Antiqua" w:cs="Times New Roman"/>
          <w:sz w:val="24"/>
          <w:szCs w:val="24"/>
        </w:rPr>
        <w:t>fixed dose combination</w:t>
      </w:r>
      <w:r w:rsidR="008C0124" w:rsidRPr="00260584">
        <w:rPr>
          <w:rFonts w:ascii="Book Antiqua" w:hAnsi="Book Antiqua" w:cs="Times New Roman"/>
          <w:sz w:val="24"/>
          <w:szCs w:val="24"/>
        </w:rPr>
        <w:t xml:space="preserve"> </w:t>
      </w:r>
      <w:r w:rsidR="00C6030C" w:rsidRPr="00260584">
        <w:rPr>
          <w:rFonts w:ascii="Book Antiqua" w:hAnsi="Book Antiqua" w:cs="Times New Roman"/>
          <w:sz w:val="24"/>
          <w:szCs w:val="24"/>
        </w:rPr>
        <w:t>in India</w:t>
      </w:r>
      <w:r w:rsidR="00043A16" w:rsidRPr="00260584">
        <w:rPr>
          <w:rFonts w:ascii="Book Antiqua" w:hAnsi="Book Antiqua" w:cs="Times New Roman"/>
          <w:sz w:val="24"/>
          <w:szCs w:val="24"/>
        </w:rPr>
        <w:t>n</w:t>
      </w:r>
      <w:r w:rsidR="00C6030C" w:rsidRPr="00260584">
        <w:rPr>
          <w:rFonts w:ascii="Book Antiqua" w:hAnsi="Book Antiqua" w:cs="Times New Roman"/>
          <w:sz w:val="24"/>
          <w:szCs w:val="24"/>
        </w:rPr>
        <w:t xml:space="preserve"> patients in real world </w:t>
      </w:r>
      <w:proofErr w:type="spellStart"/>
      <w:r w:rsidR="00C6030C" w:rsidRPr="00260584">
        <w:rPr>
          <w:rFonts w:ascii="Book Antiqua" w:hAnsi="Book Antiqua" w:cs="Times New Roman"/>
          <w:sz w:val="24"/>
          <w:szCs w:val="24"/>
        </w:rPr>
        <w:t>setting,the</w:t>
      </w:r>
      <w:proofErr w:type="spellEnd"/>
      <w:r w:rsidR="00C6030C" w:rsidRPr="00260584">
        <w:rPr>
          <w:rFonts w:ascii="Book Antiqua" w:hAnsi="Book Antiqua" w:cs="Times New Roman"/>
          <w:sz w:val="24"/>
          <w:szCs w:val="24"/>
        </w:rPr>
        <w:t xml:space="preserve"> pervious data available was part of regulatory trial conducted in controlled environment, which may not give the real picture of the usage of the molecule in clinical setting. So to look for the effectiveness of the molecule in real world setting this study was conducted</w:t>
      </w:r>
      <w:r w:rsidR="00043A16" w:rsidRPr="00260584">
        <w:rPr>
          <w:rFonts w:ascii="Book Antiqua" w:hAnsi="Book Antiqua" w:cs="Times New Roman"/>
          <w:sz w:val="24"/>
          <w:szCs w:val="24"/>
        </w:rPr>
        <w:t xml:space="preserve"> among</w:t>
      </w:r>
      <w:r w:rsidR="00210771" w:rsidRPr="00260584">
        <w:rPr>
          <w:rFonts w:ascii="Book Antiqua" w:hAnsi="Book Antiqua" w:cs="Times New Roman"/>
          <w:sz w:val="24"/>
          <w:szCs w:val="24"/>
        </w:rPr>
        <w:t>.</w:t>
      </w:r>
    </w:p>
    <w:bookmarkEnd w:id="93"/>
    <w:p w14:paraId="3833AC0A" w14:textId="77777777" w:rsidR="00D020DD" w:rsidRPr="00260584" w:rsidRDefault="00D020DD"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br w:type="page"/>
      </w:r>
    </w:p>
    <w:p w14:paraId="283914EB" w14:textId="77777777" w:rsidR="00D020DD" w:rsidRPr="00260584" w:rsidRDefault="00D020DD"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lastRenderedPageBreak/>
        <w:t>INTRODUCTION</w:t>
      </w:r>
    </w:p>
    <w:p w14:paraId="4A5F9145" w14:textId="7DA2183C" w:rsidR="001D4D65" w:rsidRPr="00260584" w:rsidRDefault="003C6888"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cs="Times New Roman"/>
          <w:sz w:val="24"/>
          <w:szCs w:val="24"/>
        </w:rPr>
        <w:t>C</w:t>
      </w:r>
      <w:r w:rsidR="008A303F" w:rsidRPr="00260584">
        <w:rPr>
          <w:rFonts w:ascii="Book Antiqua" w:hAnsi="Book Antiqua" w:cs="Times New Roman"/>
          <w:sz w:val="24"/>
          <w:szCs w:val="24"/>
        </w:rPr>
        <w:t xml:space="preserve">hemotherapy induced nausea and vomiting (CINV) </w:t>
      </w:r>
      <w:r w:rsidR="00A52752" w:rsidRPr="00260584">
        <w:rPr>
          <w:rFonts w:ascii="Book Antiqua" w:hAnsi="Book Antiqua" w:cs="Times New Roman"/>
          <w:sz w:val="24"/>
          <w:szCs w:val="24"/>
        </w:rPr>
        <w:t>is one</w:t>
      </w:r>
      <w:r w:rsidR="008A303F" w:rsidRPr="00260584">
        <w:rPr>
          <w:rFonts w:ascii="Book Antiqua" w:hAnsi="Book Antiqua" w:cs="Times New Roman"/>
          <w:sz w:val="24"/>
          <w:szCs w:val="24"/>
        </w:rPr>
        <w:t xml:space="preserve"> of </w:t>
      </w:r>
      <w:r w:rsidR="00C55755" w:rsidRPr="00260584">
        <w:rPr>
          <w:rFonts w:ascii="Book Antiqua" w:hAnsi="Book Antiqua" w:cs="Times New Roman"/>
          <w:sz w:val="24"/>
          <w:szCs w:val="24"/>
        </w:rPr>
        <w:t xml:space="preserve">the </w:t>
      </w:r>
      <w:r w:rsidR="00B840EB" w:rsidRPr="00260584">
        <w:rPr>
          <w:rFonts w:ascii="Book Antiqua" w:hAnsi="Book Antiqua" w:cs="Times New Roman"/>
          <w:sz w:val="24"/>
          <w:szCs w:val="24"/>
        </w:rPr>
        <w:t xml:space="preserve">most feared adverse </w:t>
      </w:r>
      <w:r w:rsidR="00A52752" w:rsidRPr="00260584">
        <w:rPr>
          <w:rFonts w:ascii="Book Antiqua" w:hAnsi="Book Antiqua" w:cs="Times New Roman"/>
          <w:sz w:val="24"/>
          <w:szCs w:val="24"/>
        </w:rPr>
        <w:t>events</w:t>
      </w:r>
      <w:r w:rsidR="00B840EB" w:rsidRPr="00260584">
        <w:rPr>
          <w:rFonts w:ascii="Book Antiqua" w:hAnsi="Book Antiqua" w:cs="Times New Roman"/>
          <w:sz w:val="24"/>
          <w:szCs w:val="24"/>
        </w:rPr>
        <w:t xml:space="preserve"> in </w:t>
      </w:r>
      <w:r w:rsidR="00B21A95" w:rsidRPr="00260584">
        <w:rPr>
          <w:rFonts w:ascii="Book Antiqua" w:hAnsi="Book Antiqua" w:cs="Times New Roman"/>
          <w:sz w:val="24"/>
          <w:szCs w:val="24"/>
        </w:rPr>
        <w:t>various cancer</w:t>
      </w:r>
      <w:r w:rsidR="00165591" w:rsidRPr="00260584">
        <w:rPr>
          <w:rFonts w:ascii="Book Antiqua" w:hAnsi="Book Antiqua" w:cs="Times New Roman"/>
          <w:sz w:val="24"/>
          <w:szCs w:val="24"/>
        </w:rPr>
        <w:t xml:space="preserve"> </w:t>
      </w:r>
      <w:r w:rsidR="00B840EB" w:rsidRPr="00260584">
        <w:rPr>
          <w:rFonts w:ascii="Book Antiqua" w:hAnsi="Book Antiqua" w:cs="Times New Roman"/>
          <w:sz w:val="24"/>
          <w:szCs w:val="24"/>
        </w:rPr>
        <w:t>chemotherapy regimens</w:t>
      </w:r>
      <w:r w:rsidR="00A84AC9" w:rsidRPr="00260584">
        <w:rPr>
          <w:rFonts w:ascii="Book Antiqua" w:hAnsi="Book Antiqua" w:cs="Times New Roman"/>
          <w:sz w:val="24"/>
          <w:szCs w:val="24"/>
          <w:vertAlign w:val="superscript"/>
        </w:rPr>
        <w:t>[1]</w:t>
      </w:r>
      <w:r w:rsidR="007E7EB3" w:rsidRPr="00260584">
        <w:rPr>
          <w:rFonts w:ascii="Book Antiqua" w:hAnsi="Book Antiqua" w:cs="Times New Roman"/>
          <w:sz w:val="24"/>
          <w:szCs w:val="24"/>
        </w:rPr>
        <w:t>.</w:t>
      </w:r>
      <w:r w:rsidR="00DC6F58" w:rsidRPr="00260584">
        <w:rPr>
          <w:rFonts w:ascii="Book Antiqua" w:hAnsi="Book Antiqua" w:cs="Times New Roman"/>
          <w:sz w:val="24"/>
          <w:szCs w:val="24"/>
        </w:rPr>
        <w:t xml:space="preserve"> </w:t>
      </w:r>
      <w:r w:rsidR="00F53D7E" w:rsidRPr="00260584">
        <w:rPr>
          <w:rFonts w:ascii="Book Antiqua" w:hAnsi="Book Antiqua" w:cs="Times New Roman"/>
          <w:sz w:val="24"/>
          <w:szCs w:val="24"/>
        </w:rPr>
        <w:t>Evidence suggests that the i</w:t>
      </w:r>
      <w:r w:rsidR="00AE001A" w:rsidRPr="00260584">
        <w:rPr>
          <w:rFonts w:ascii="Book Antiqua" w:hAnsi="Book Antiqua" w:cs="Times New Roman"/>
          <w:sz w:val="24"/>
          <w:szCs w:val="24"/>
        </w:rPr>
        <w:t xml:space="preserve">ncidence </w:t>
      </w:r>
      <w:r w:rsidR="007E7EB3" w:rsidRPr="00260584">
        <w:rPr>
          <w:rFonts w:ascii="Book Antiqua" w:hAnsi="Book Antiqua" w:cs="Times New Roman"/>
          <w:sz w:val="24"/>
          <w:szCs w:val="24"/>
        </w:rPr>
        <w:t xml:space="preserve">of </w:t>
      </w:r>
      <w:r w:rsidRPr="00260584">
        <w:rPr>
          <w:rFonts w:ascii="Book Antiqua" w:hAnsi="Book Antiqua" w:cs="Times New Roman"/>
          <w:sz w:val="24"/>
          <w:szCs w:val="24"/>
        </w:rPr>
        <w:t>a</w:t>
      </w:r>
      <w:r w:rsidR="0036206C" w:rsidRPr="00260584">
        <w:rPr>
          <w:rFonts w:ascii="Book Antiqua" w:hAnsi="Book Antiqua" w:cs="Times New Roman"/>
          <w:sz w:val="24"/>
          <w:szCs w:val="24"/>
        </w:rPr>
        <w:t>cute CINV varies from 30%</w:t>
      </w:r>
      <w:r w:rsidR="00F53D7E" w:rsidRPr="00260584">
        <w:rPr>
          <w:rFonts w:ascii="Book Antiqua" w:hAnsi="Book Antiqua" w:cs="Times New Roman"/>
          <w:sz w:val="24"/>
          <w:szCs w:val="24"/>
        </w:rPr>
        <w:t xml:space="preserve"> to </w:t>
      </w:r>
      <w:r w:rsidR="0036206C" w:rsidRPr="00260584">
        <w:rPr>
          <w:rFonts w:ascii="Book Antiqua" w:hAnsi="Book Antiqua" w:cs="Times New Roman"/>
          <w:sz w:val="24"/>
          <w:szCs w:val="24"/>
        </w:rPr>
        <w:t>90%</w:t>
      </w:r>
      <w:r w:rsidR="00AE001A" w:rsidRPr="00260584">
        <w:rPr>
          <w:rFonts w:ascii="Book Antiqua" w:hAnsi="Book Antiqua" w:cs="Times New Roman"/>
          <w:sz w:val="24"/>
          <w:szCs w:val="24"/>
        </w:rPr>
        <w:t xml:space="preserve"> and</w:t>
      </w:r>
      <w:r w:rsidR="007E7EB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that of </w:t>
      </w:r>
      <w:r w:rsidR="007E7EB3" w:rsidRPr="00260584">
        <w:rPr>
          <w:rFonts w:ascii="Book Antiqua" w:hAnsi="Book Antiqua" w:cs="Times New Roman"/>
          <w:sz w:val="24"/>
          <w:szCs w:val="24"/>
        </w:rPr>
        <w:t xml:space="preserve">delayed </w:t>
      </w:r>
      <w:r w:rsidRPr="00260584">
        <w:rPr>
          <w:rFonts w:ascii="Book Antiqua" w:hAnsi="Book Antiqua" w:cs="Times New Roman"/>
          <w:sz w:val="24"/>
          <w:szCs w:val="24"/>
        </w:rPr>
        <w:t xml:space="preserve">CINV is </w:t>
      </w:r>
      <w:r w:rsidR="007E7EB3" w:rsidRPr="00260584">
        <w:rPr>
          <w:rFonts w:ascii="Book Antiqua" w:hAnsi="Book Antiqua" w:cs="Times New Roman"/>
          <w:sz w:val="24"/>
          <w:szCs w:val="24"/>
        </w:rPr>
        <w:t xml:space="preserve">reported </w:t>
      </w:r>
      <w:r w:rsidRPr="00260584">
        <w:rPr>
          <w:rFonts w:ascii="Book Antiqua" w:hAnsi="Book Antiqua" w:cs="Times New Roman"/>
          <w:sz w:val="24"/>
          <w:szCs w:val="24"/>
        </w:rPr>
        <w:t xml:space="preserve">to be </w:t>
      </w:r>
      <w:r w:rsidR="007E7EB3" w:rsidRPr="00260584">
        <w:rPr>
          <w:rFonts w:ascii="Book Antiqua" w:hAnsi="Book Antiqua" w:cs="Times New Roman"/>
          <w:sz w:val="24"/>
          <w:szCs w:val="24"/>
        </w:rPr>
        <w:t>28</w:t>
      </w:r>
      <w:r w:rsidR="00011EBB" w:rsidRPr="00260584">
        <w:rPr>
          <w:rFonts w:ascii="Book Antiqua" w:hAnsi="Book Antiqua" w:cs="Times New Roman"/>
          <w:sz w:val="24"/>
          <w:szCs w:val="24"/>
        </w:rPr>
        <w:t>%</w:t>
      </w:r>
      <w:r w:rsidR="007E7EB3" w:rsidRPr="00260584">
        <w:rPr>
          <w:rFonts w:ascii="Book Antiqua" w:hAnsi="Book Antiqua" w:cs="Times New Roman"/>
          <w:sz w:val="24"/>
          <w:szCs w:val="24"/>
        </w:rPr>
        <w:t>-50%</w:t>
      </w:r>
      <w:r w:rsidR="0036206C" w:rsidRPr="00260584">
        <w:rPr>
          <w:rFonts w:ascii="Book Antiqua" w:hAnsi="Book Antiqua" w:cs="Times New Roman"/>
          <w:sz w:val="24"/>
          <w:szCs w:val="24"/>
          <w:vertAlign w:val="superscript"/>
        </w:rPr>
        <w:t>[</w:t>
      </w:r>
      <w:r w:rsidR="005070B2" w:rsidRPr="00260584">
        <w:rPr>
          <w:rFonts w:ascii="Book Antiqua" w:hAnsi="Book Antiqua" w:cs="Times New Roman"/>
          <w:sz w:val="24"/>
          <w:szCs w:val="24"/>
          <w:vertAlign w:val="superscript"/>
        </w:rPr>
        <w:t>2</w:t>
      </w:r>
      <w:r w:rsidRPr="00260584">
        <w:rPr>
          <w:rFonts w:ascii="Book Antiqua" w:hAnsi="Book Antiqua" w:cs="Times New Roman"/>
          <w:sz w:val="24"/>
          <w:szCs w:val="24"/>
          <w:vertAlign w:val="superscript"/>
        </w:rPr>
        <w:t>-</w:t>
      </w:r>
      <w:r w:rsidR="005070B2" w:rsidRPr="00260584">
        <w:rPr>
          <w:rFonts w:ascii="Book Antiqua" w:hAnsi="Book Antiqua" w:cs="Times New Roman"/>
          <w:sz w:val="24"/>
          <w:szCs w:val="24"/>
          <w:vertAlign w:val="superscript"/>
        </w:rPr>
        <w:t>4</w:t>
      </w:r>
      <w:r w:rsidR="0036206C" w:rsidRPr="00260584">
        <w:rPr>
          <w:rFonts w:ascii="Book Antiqua" w:hAnsi="Book Antiqua" w:cs="Times New Roman"/>
          <w:sz w:val="24"/>
          <w:szCs w:val="24"/>
          <w:vertAlign w:val="superscript"/>
        </w:rPr>
        <w:t>]</w:t>
      </w:r>
      <w:r w:rsidR="0036206C" w:rsidRPr="00260584">
        <w:rPr>
          <w:rFonts w:ascii="Book Antiqua" w:hAnsi="Book Antiqua" w:cs="Times New Roman"/>
          <w:sz w:val="24"/>
          <w:szCs w:val="24"/>
        </w:rPr>
        <w:t>.</w:t>
      </w:r>
      <w:r w:rsidR="002D27E5" w:rsidRPr="00260584">
        <w:rPr>
          <w:rFonts w:ascii="Book Antiqua" w:hAnsi="Book Antiqua" w:cs="Times New Roman"/>
          <w:sz w:val="24"/>
          <w:szCs w:val="24"/>
        </w:rPr>
        <w:t xml:space="preserve"> </w:t>
      </w:r>
      <w:r w:rsidR="001D4D65" w:rsidRPr="00260584">
        <w:rPr>
          <w:rFonts w:ascii="Book Antiqua" w:hAnsi="Book Antiqua" w:cs="Times New Roman"/>
          <w:sz w:val="24"/>
          <w:szCs w:val="24"/>
        </w:rPr>
        <w:t>R</w:t>
      </w:r>
      <w:r w:rsidR="001D7D73" w:rsidRPr="00260584">
        <w:rPr>
          <w:rFonts w:ascii="Book Antiqua" w:hAnsi="Book Antiqua" w:cs="Times New Roman"/>
          <w:sz w:val="24"/>
          <w:szCs w:val="24"/>
        </w:rPr>
        <w:t xml:space="preserve">ates of </w:t>
      </w:r>
      <w:r w:rsidR="00D25795" w:rsidRPr="00260584">
        <w:rPr>
          <w:rFonts w:ascii="Book Antiqua" w:hAnsi="Book Antiqua" w:cs="Times New Roman"/>
          <w:sz w:val="24"/>
          <w:szCs w:val="24"/>
        </w:rPr>
        <w:t>nausea</w:t>
      </w:r>
      <w:r w:rsidR="003B1898" w:rsidRPr="00260584">
        <w:rPr>
          <w:rFonts w:ascii="Book Antiqua" w:hAnsi="Book Antiqua" w:cs="Times New Roman"/>
          <w:sz w:val="24"/>
          <w:szCs w:val="24"/>
        </w:rPr>
        <w:t xml:space="preserve"> (28.8% to 53.5%)</w:t>
      </w:r>
      <w:r w:rsidR="00D25795" w:rsidRPr="00260584">
        <w:rPr>
          <w:rFonts w:ascii="Book Antiqua" w:hAnsi="Book Antiqua" w:cs="Times New Roman"/>
          <w:sz w:val="24"/>
          <w:szCs w:val="24"/>
        </w:rPr>
        <w:t xml:space="preserve"> and vomiting </w:t>
      </w:r>
      <w:r w:rsidR="003B1898" w:rsidRPr="00260584">
        <w:rPr>
          <w:rFonts w:ascii="Book Antiqua" w:hAnsi="Book Antiqua" w:cs="Times New Roman"/>
          <w:sz w:val="24"/>
          <w:szCs w:val="24"/>
        </w:rPr>
        <w:t>(9.4% to 19.2%)</w:t>
      </w:r>
      <w:r w:rsidR="00D3292A" w:rsidRPr="00260584">
        <w:rPr>
          <w:rFonts w:ascii="Book Antiqua" w:hAnsi="Book Antiqua" w:cs="Times New Roman"/>
          <w:sz w:val="24"/>
          <w:szCs w:val="24"/>
        </w:rPr>
        <w:t xml:space="preserve"> </w:t>
      </w:r>
      <w:r w:rsidR="0097002A" w:rsidRPr="00260584">
        <w:rPr>
          <w:rFonts w:ascii="Book Antiqua" w:hAnsi="Book Antiqua" w:cs="Times New Roman"/>
          <w:sz w:val="24"/>
          <w:szCs w:val="24"/>
        </w:rPr>
        <w:t xml:space="preserve">in the overall phase </w:t>
      </w:r>
      <w:r w:rsidR="001D4D65" w:rsidRPr="00260584">
        <w:rPr>
          <w:rFonts w:ascii="Book Antiqua" w:hAnsi="Book Antiqua" w:cs="Times New Roman"/>
          <w:sz w:val="24"/>
          <w:szCs w:val="24"/>
        </w:rPr>
        <w:t xml:space="preserve">reported from Asia </w:t>
      </w:r>
      <w:proofErr w:type="spellStart"/>
      <w:r w:rsidR="001D4D65" w:rsidRPr="00260584">
        <w:rPr>
          <w:rFonts w:ascii="Book Antiqua" w:hAnsi="Book Antiqua" w:cs="Times New Roman"/>
          <w:sz w:val="24"/>
          <w:szCs w:val="24"/>
        </w:rPr>
        <w:t>Paicifc</w:t>
      </w:r>
      <w:proofErr w:type="spellEnd"/>
      <w:r w:rsidR="001D4D65" w:rsidRPr="00260584">
        <w:rPr>
          <w:rFonts w:ascii="Book Antiqua" w:hAnsi="Book Antiqua" w:cs="Times New Roman"/>
          <w:sz w:val="24"/>
          <w:szCs w:val="24"/>
        </w:rPr>
        <w:t xml:space="preserve"> region after first cycle of </w:t>
      </w:r>
      <w:r w:rsidR="003B1898" w:rsidRPr="00260584">
        <w:rPr>
          <w:rFonts w:ascii="Book Antiqua" w:hAnsi="Book Antiqua" w:cs="Times New Roman"/>
          <w:sz w:val="24"/>
          <w:szCs w:val="24"/>
        </w:rPr>
        <w:t xml:space="preserve">chemotherapy </w:t>
      </w:r>
      <w:r w:rsidR="001D4D65" w:rsidRPr="00260584">
        <w:rPr>
          <w:rFonts w:ascii="Book Antiqua" w:hAnsi="Book Antiqua" w:cs="Times New Roman"/>
          <w:sz w:val="24"/>
          <w:szCs w:val="24"/>
        </w:rPr>
        <w:t>were varied</w:t>
      </w:r>
      <w:r w:rsidR="005070B2" w:rsidRPr="00260584">
        <w:rPr>
          <w:rFonts w:ascii="Book Antiqua" w:hAnsi="Book Antiqua" w:cs="Times New Roman"/>
          <w:sz w:val="24"/>
          <w:szCs w:val="24"/>
          <w:vertAlign w:val="superscript"/>
        </w:rPr>
        <w:t>[5]</w:t>
      </w:r>
      <w:r w:rsidR="001D4D65" w:rsidRPr="00260584">
        <w:rPr>
          <w:rFonts w:ascii="Book Antiqua" w:hAnsi="Book Antiqua" w:cs="Times New Roman"/>
          <w:sz w:val="24"/>
          <w:szCs w:val="24"/>
        </w:rPr>
        <w:t>.</w:t>
      </w:r>
      <w:r w:rsidR="00C6030C" w:rsidRPr="00260584">
        <w:rPr>
          <w:rFonts w:ascii="Book Antiqua" w:hAnsi="Book Antiqua" w:cs="Times New Roman"/>
          <w:sz w:val="24"/>
          <w:szCs w:val="24"/>
        </w:rPr>
        <w:t xml:space="preserve"> </w:t>
      </w:r>
      <w:r w:rsidR="00F53D7E" w:rsidRPr="00260584">
        <w:rPr>
          <w:rFonts w:ascii="Book Antiqua" w:hAnsi="Book Antiqua" w:cs="Times New Roman"/>
          <w:sz w:val="24"/>
          <w:szCs w:val="24"/>
        </w:rPr>
        <w:t>A study from North India observed the CINV prevalence of 25.5%</w:t>
      </w:r>
      <w:r w:rsidR="005070B2" w:rsidRPr="00260584">
        <w:rPr>
          <w:rFonts w:ascii="Book Antiqua" w:hAnsi="Book Antiqua" w:cs="Times New Roman"/>
          <w:sz w:val="24"/>
          <w:szCs w:val="24"/>
          <w:vertAlign w:val="superscript"/>
        </w:rPr>
        <w:t>[6]</w:t>
      </w:r>
      <w:r w:rsidR="001D4D65" w:rsidRPr="00260584">
        <w:rPr>
          <w:rFonts w:ascii="Book Antiqua" w:hAnsi="Book Antiqua" w:cs="Times New Roman"/>
          <w:sz w:val="24"/>
          <w:szCs w:val="24"/>
        </w:rPr>
        <w:t>.</w:t>
      </w:r>
      <w:r w:rsidR="005070B2" w:rsidRPr="00260584">
        <w:rPr>
          <w:rFonts w:ascii="Book Antiqua" w:hAnsi="Book Antiqua" w:cs="Times New Roman"/>
          <w:sz w:val="24"/>
          <w:szCs w:val="24"/>
        </w:rPr>
        <w:t xml:space="preserve"> </w:t>
      </w:r>
      <w:r w:rsidR="007B202D" w:rsidRPr="00260584">
        <w:rPr>
          <w:rFonts w:ascii="Book Antiqua" w:hAnsi="Book Antiqua" w:cs="Times New Roman"/>
          <w:sz w:val="24"/>
          <w:szCs w:val="24"/>
        </w:rPr>
        <w:t>Th</w:t>
      </w:r>
      <w:r w:rsidR="00A77C33" w:rsidRPr="00260584">
        <w:rPr>
          <w:rFonts w:ascii="Book Antiqua" w:hAnsi="Book Antiqua" w:cs="Times New Roman"/>
          <w:sz w:val="24"/>
          <w:szCs w:val="24"/>
        </w:rPr>
        <w:t>ese data</w:t>
      </w:r>
      <w:r w:rsidR="007B202D" w:rsidRPr="00260584">
        <w:rPr>
          <w:rFonts w:ascii="Book Antiqua" w:hAnsi="Book Antiqua" w:cs="Times New Roman"/>
          <w:sz w:val="24"/>
          <w:szCs w:val="24"/>
        </w:rPr>
        <w:t xml:space="preserve"> </w:t>
      </w:r>
      <w:r w:rsidR="00DF2E6B" w:rsidRPr="00260584">
        <w:rPr>
          <w:rFonts w:ascii="Book Antiqua" w:hAnsi="Book Antiqua" w:cs="Times New Roman"/>
          <w:sz w:val="24"/>
          <w:szCs w:val="24"/>
        </w:rPr>
        <w:t xml:space="preserve">suggest </w:t>
      </w:r>
      <w:r w:rsidR="007B202D" w:rsidRPr="00260584">
        <w:rPr>
          <w:rFonts w:ascii="Book Antiqua" w:hAnsi="Book Antiqua" w:cs="Times New Roman"/>
          <w:sz w:val="24"/>
          <w:szCs w:val="24"/>
        </w:rPr>
        <w:t xml:space="preserve">that CINV may affect </w:t>
      </w:r>
      <w:proofErr w:type="spellStart"/>
      <w:r w:rsidR="007B202D" w:rsidRPr="00260584">
        <w:rPr>
          <w:rFonts w:ascii="Book Antiqua" w:hAnsi="Book Antiqua" w:cs="Times New Roman"/>
          <w:sz w:val="24"/>
          <w:szCs w:val="24"/>
        </w:rPr>
        <w:t>upto</w:t>
      </w:r>
      <w:proofErr w:type="spellEnd"/>
      <w:r w:rsidR="007B202D" w:rsidRPr="00260584">
        <w:rPr>
          <w:rFonts w:ascii="Book Antiqua" w:hAnsi="Book Antiqua" w:cs="Times New Roman"/>
          <w:sz w:val="24"/>
          <w:szCs w:val="24"/>
        </w:rPr>
        <w:t xml:space="preserve"> half of all the patients receiving </w:t>
      </w:r>
      <w:r w:rsidR="00987797" w:rsidRPr="00260584">
        <w:rPr>
          <w:rFonts w:ascii="Book Antiqua" w:hAnsi="Book Antiqua" w:cs="Times New Roman"/>
          <w:sz w:val="24"/>
          <w:szCs w:val="24"/>
        </w:rPr>
        <w:t xml:space="preserve">highly-emetogenic or moderately-emetogenic </w:t>
      </w:r>
      <w:r w:rsidR="007B202D" w:rsidRPr="00260584">
        <w:rPr>
          <w:rFonts w:ascii="Book Antiqua" w:hAnsi="Book Antiqua" w:cs="Times New Roman"/>
          <w:sz w:val="24"/>
          <w:szCs w:val="24"/>
        </w:rPr>
        <w:t>chemotherapies</w:t>
      </w:r>
      <w:r w:rsidR="00987797" w:rsidRPr="00260584">
        <w:rPr>
          <w:rFonts w:ascii="Book Antiqua" w:hAnsi="Book Antiqua" w:cs="Times New Roman"/>
          <w:sz w:val="24"/>
          <w:szCs w:val="24"/>
        </w:rPr>
        <w:t xml:space="preserve"> (HEC/MEC)</w:t>
      </w:r>
      <w:r w:rsidR="007B202D" w:rsidRPr="00260584">
        <w:rPr>
          <w:rFonts w:ascii="Book Antiqua" w:hAnsi="Book Antiqua" w:cs="Times New Roman"/>
          <w:sz w:val="24"/>
          <w:szCs w:val="24"/>
        </w:rPr>
        <w:t>.</w:t>
      </w:r>
    </w:p>
    <w:p w14:paraId="59C48A01" w14:textId="0CDAE79E" w:rsidR="005A46B2" w:rsidRPr="00260584" w:rsidRDefault="00110209"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proofErr w:type="spellStart"/>
      <w:r w:rsidRPr="00260584">
        <w:rPr>
          <w:rFonts w:ascii="Book Antiqua" w:hAnsi="Book Antiqua" w:cs="Times New Roman"/>
          <w:sz w:val="24"/>
          <w:szCs w:val="24"/>
        </w:rPr>
        <w:t>Pathomechanistically</w:t>
      </w:r>
      <w:proofErr w:type="spellEnd"/>
      <w:r w:rsidRPr="00260584">
        <w:rPr>
          <w:rFonts w:ascii="Book Antiqua" w:hAnsi="Book Antiqua" w:cs="Times New Roman"/>
          <w:sz w:val="24"/>
          <w:szCs w:val="24"/>
        </w:rPr>
        <w:t xml:space="preserve">, </w:t>
      </w:r>
      <w:r w:rsidR="00201213" w:rsidRPr="00260584">
        <w:rPr>
          <w:rFonts w:ascii="Book Antiqua" w:hAnsi="Book Antiqua" w:cs="Times New Roman"/>
          <w:sz w:val="24"/>
          <w:szCs w:val="24"/>
        </w:rPr>
        <w:t xml:space="preserve">serotonin </w:t>
      </w:r>
      <w:r w:rsidRPr="00260584">
        <w:rPr>
          <w:rFonts w:ascii="Book Antiqua" w:hAnsi="Book Antiqua" w:cs="Times New Roman"/>
          <w:sz w:val="24"/>
          <w:szCs w:val="24"/>
        </w:rPr>
        <w:t>and s</w:t>
      </w:r>
      <w:r w:rsidR="009D4DBC" w:rsidRPr="00260584">
        <w:rPr>
          <w:rFonts w:ascii="Book Antiqua" w:hAnsi="Book Antiqua" w:cs="Times New Roman"/>
          <w:sz w:val="24"/>
          <w:szCs w:val="24"/>
        </w:rPr>
        <w:t>ubstance P</w:t>
      </w:r>
      <w:r w:rsidRPr="00260584">
        <w:rPr>
          <w:rFonts w:ascii="Book Antiqua" w:hAnsi="Book Antiqua" w:cs="Times New Roman"/>
          <w:sz w:val="24"/>
          <w:szCs w:val="24"/>
        </w:rPr>
        <w:t xml:space="preserve"> are major </w:t>
      </w:r>
      <w:r w:rsidR="00A52752" w:rsidRPr="00260584">
        <w:rPr>
          <w:rFonts w:ascii="Book Antiqua" w:hAnsi="Book Antiqua" w:cs="Times New Roman"/>
          <w:sz w:val="24"/>
          <w:szCs w:val="24"/>
        </w:rPr>
        <w:t>neurotransmitter</w:t>
      </w:r>
      <w:r w:rsidRPr="00260584">
        <w:rPr>
          <w:rFonts w:ascii="Book Antiqua" w:hAnsi="Book Antiqua" w:cs="Times New Roman"/>
          <w:sz w:val="24"/>
          <w:szCs w:val="24"/>
        </w:rPr>
        <w:t>s</w:t>
      </w:r>
      <w:r w:rsidR="004A5889" w:rsidRPr="00260584">
        <w:rPr>
          <w:rFonts w:ascii="Book Antiqua" w:hAnsi="Book Antiqua" w:cs="Times New Roman"/>
          <w:sz w:val="24"/>
          <w:szCs w:val="24"/>
        </w:rPr>
        <w:t xml:space="preserve"> involved in </w:t>
      </w:r>
      <w:r w:rsidRPr="00260584">
        <w:rPr>
          <w:rFonts w:ascii="Book Antiqua" w:hAnsi="Book Antiqua" w:cs="Times New Roman"/>
          <w:sz w:val="24"/>
          <w:szCs w:val="24"/>
        </w:rPr>
        <w:t xml:space="preserve">acute and </w:t>
      </w:r>
      <w:r w:rsidR="009D4DBC" w:rsidRPr="00260584">
        <w:rPr>
          <w:rFonts w:ascii="Book Antiqua" w:hAnsi="Book Antiqua" w:cs="Times New Roman"/>
          <w:sz w:val="24"/>
          <w:szCs w:val="24"/>
        </w:rPr>
        <w:t>delayed CINV</w:t>
      </w:r>
      <w:r w:rsidRPr="00260584">
        <w:rPr>
          <w:rFonts w:ascii="Book Antiqua" w:hAnsi="Book Antiqua" w:cs="Times New Roman"/>
          <w:sz w:val="24"/>
          <w:szCs w:val="24"/>
        </w:rPr>
        <w:t>.</w:t>
      </w:r>
      <w:r w:rsidR="0097002A" w:rsidRPr="00260584">
        <w:rPr>
          <w:rFonts w:ascii="Book Antiqua" w:hAnsi="Book Antiqua" w:cs="Times New Roman"/>
          <w:sz w:val="24"/>
          <w:szCs w:val="24"/>
        </w:rPr>
        <w:t xml:space="preserve"> Serotonin binds to 5HT3</w:t>
      </w:r>
      <w:r w:rsidR="00D3292A" w:rsidRPr="00260584">
        <w:rPr>
          <w:rFonts w:ascii="Book Antiqua" w:hAnsi="Book Antiqua" w:cs="Times New Roman"/>
          <w:sz w:val="24"/>
          <w:szCs w:val="24"/>
        </w:rPr>
        <w:t xml:space="preserve"> </w:t>
      </w:r>
      <w:r w:rsidR="0097002A" w:rsidRPr="00260584">
        <w:rPr>
          <w:rFonts w:ascii="Book Antiqua" w:hAnsi="Book Antiqua" w:cs="Times New Roman"/>
          <w:sz w:val="24"/>
          <w:szCs w:val="24"/>
        </w:rPr>
        <w:t>receptor present mainly in the gastrointestinal tract and</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Substance P </w:t>
      </w:r>
      <w:r w:rsidR="009D4DBC" w:rsidRPr="00260584">
        <w:rPr>
          <w:rFonts w:ascii="Book Antiqua" w:hAnsi="Book Antiqua" w:cs="Times New Roman"/>
          <w:sz w:val="24"/>
          <w:szCs w:val="24"/>
        </w:rPr>
        <w:t>bind</w:t>
      </w:r>
      <w:r w:rsidRPr="00260584">
        <w:rPr>
          <w:rFonts w:ascii="Book Antiqua" w:hAnsi="Book Antiqua" w:cs="Times New Roman"/>
          <w:sz w:val="24"/>
          <w:szCs w:val="24"/>
        </w:rPr>
        <w:t>s</w:t>
      </w:r>
      <w:r w:rsidR="009D4DBC" w:rsidRPr="00260584">
        <w:rPr>
          <w:rFonts w:ascii="Book Antiqua" w:hAnsi="Book Antiqua" w:cs="Times New Roman"/>
          <w:sz w:val="24"/>
          <w:szCs w:val="24"/>
        </w:rPr>
        <w:t xml:space="preserve"> with neurokinin-1 (NK1) receptor</w:t>
      </w:r>
      <w:r w:rsidR="004A5889" w:rsidRPr="00260584">
        <w:rPr>
          <w:rFonts w:ascii="Book Antiqua" w:hAnsi="Book Antiqua" w:cs="Times New Roman"/>
          <w:sz w:val="24"/>
          <w:szCs w:val="24"/>
        </w:rPr>
        <w:t>s</w:t>
      </w:r>
      <w:r w:rsidR="009D4DBC" w:rsidRPr="00260584">
        <w:rPr>
          <w:rFonts w:ascii="Book Antiqua" w:hAnsi="Book Antiqua" w:cs="Times New Roman"/>
          <w:sz w:val="24"/>
          <w:szCs w:val="24"/>
        </w:rPr>
        <w:t xml:space="preserve"> in </w:t>
      </w:r>
      <w:r w:rsidR="004A5889" w:rsidRPr="00260584">
        <w:rPr>
          <w:rFonts w:ascii="Book Antiqua" w:hAnsi="Book Antiqua" w:cs="Times New Roman"/>
          <w:sz w:val="24"/>
          <w:szCs w:val="24"/>
        </w:rPr>
        <w:t xml:space="preserve">the </w:t>
      </w:r>
      <w:r w:rsidRPr="00260584">
        <w:rPr>
          <w:rFonts w:ascii="Book Antiqua" w:hAnsi="Book Antiqua" w:cs="Times New Roman"/>
          <w:sz w:val="24"/>
          <w:szCs w:val="24"/>
        </w:rPr>
        <w:t xml:space="preserve">nucleus </w:t>
      </w:r>
      <w:proofErr w:type="spellStart"/>
      <w:r w:rsidRPr="00260584">
        <w:rPr>
          <w:rFonts w:ascii="Book Antiqua" w:hAnsi="Book Antiqua" w:cs="Times New Roman"/>
          <w:sz w:val="24"/>
          <w:szCs w:val="24"/>
        </w:rPr>
        <w:t>tractus</w:t>
      </w:r>
      <w:proofErr w:type="spellEnd"/>
      <w:r w:rsidRPr="00260584">
        <w:rPr>
          <w:rFonts w:ascii="Book Antiqua" w:hAnsi="Book Antiqua" w:cs="Times New Roman"/>
          <w:sz w:val="24"/>
          <w:szCs w:val="24"/>
        </w:rPr>
        <w:t xml:space="preserve"> solitarius and induces vomiting</w:t>
      </w:r>
      <w:r w:rsidR="004A5889" w:rsidRPr="00260584">
        <w:rPr>
          <w:rFonts w:ascii="Book Antiqua" w:hAnsi="Book Antiqua" w:cs="Times New Roman"/>
          <w:sz w:val="24"/>
          <w:szCs w:val="24"/>
        </w:rPr>
        <w:t xml:space="preserve">. </w:t>
      </w:r>
      <w:r w:rsidR="0060473B" w:rsidRPr="00260584">
        <w:rPr>
          <w:rFonts w:ascii="Book Antiqua" w:hAnsi="Book Antiqua" w:cs="Times New Roman"/>
          <w:sz w:val="24"/>
          <w:szCs w:val="24"/>
        </w:rPr>
        <w:t xml:space="preserve">Therefore, targeting </w:t>
      </w:r>
      <w:r w:rsidR="00A52752" w:rsidRPr="00260584">
        <w:rPr>
          <w:rFonts w:ascii="Book Antiqua" w:hAnsi="Book Antiqua" w:cs="Times New Roman"/>
          <w:sz w:val="24"/>
          <w:szCs w:val="24"/>
        </w:rPr>
        <w:t>serotonergic</w:t>
      </w:r>
      <w:r w:rsidR="0060473B" w:rsidRPr="00260584">
        <w:rPr>
          <w:rFonts w:ascii="Book Antiqua" w:hAnsi="Book Antiqua" w:cs="Times New Roman"/>
          <w:sz w:val="24"/>
          <w:szCs w:val="24"/>
        </w:rPr>
        <w:t xml:space="preserve"> and neurokinin pathways are helpful </w:t>
      </w:r>
      <w:r w:rsidR="004A5889" w:rsidRPr="00260584">
        <w:rPr>
          <w:rFonts w:ascii="Book Antiqua" w:hAnsi="Book Antiqua" w:cs="Times New Roman"/>
          <w:sz w:val="24"/>
          <w:szCs w:val="24"/>
        </w:rPr>
        <w:t xml:space="preserve">in prevention of </w:t>
      </w:r>
      <w:r w:rsidR="0060473B" w:rsidRPr="00260584">
        <w:rPr>
          <w:rFonts w:ascii="Book Antiqua" w:hAnsi="Book Antiqua" w:cs="Times New Roman"/>
          <w:sz w:val="24"/>
          <w:szCs w:val="24"/>
        </w:rPr>
        <w:t>CINV</w:t>
      </w:r>
      <w:r w:rsidR="00C652A8" w:rsidRPr="00260584">
        <w:rPr>
          <w:rFonts w:ascii="Book Antiqua" w:hAnsi="Book Antiqua" w:cs="Times New Roman"/>
          <w:sz w:val="24"/>
          <w:szCs w:val="24"/>
          <w:vertAlign w:val="superscript"/>
        </w:rPr>
        <w:t>[</w:t>
      </w:r>
      <w:r w:rsidR="005070B2" w:rsidRPr="00260584">
        <w:rPr>
          <w:rFonts w:ascii="Book Antiqua" w:hAnsi="Book Antiqua" w:cs="Times New Roman"/>
          <w:sz w:val="24"/>
          <w:szCs w:val="24"/>
          <w:vertAlign w:val="superscript"/>
        </w:rPr>
        <w:t>7</w:t>
      </w:r>
      <w:r w:rsidR="00C652A8" w:rsidRPr="00260584">
        <w:rPr>
          <w:rFonts w:ascii="Book Antiqua" w:hAnsi="Book Antiqua" w:cs="Times New Roman"/>
          <w:sz w:val="24"/>
          <w:szCs w:val="24"/>
          <w:vertAlign w:val="superscript"/>
        </w:rPr>
        <w:t>]</w:t>
      </w:r>
      <w:r w:rsidR="00C652A8" w:rsidRPr="00260584">
        <w:rPr>
          <w:rFonts w:ascii="Book Antiqua" w:hAnsi="Book Antiqua" w:cs="Times New Roman"/>
          <w:sz w:val="24"/>
          <w:szCs w:val="24"/>
        </w:rPr>
        <w:t>.</w:t>
      </w:r>
      <w:r w:rsidR="00B70E45" w:rsidRPr="00260584">
        <w:rPr>
          <w:rFonts w:ascii="Book Antiqua" w:hAnsi="Book Antiqua" w:cs="Times New Roman"/>
          <w:sz w:val="24"/>
          <w:szCs w:val="24"/>
        </w:rPr>
        <w:t xml:space="preserve"> </w:t>
      </w:r>
      <w:r w:rsidR="007309F0" w:rsidRPr="00260584">
        <w:rPr>
          <w:rFonts w:ascii="Book Antiqua" w:hAnsi="Book Antiqua" w:cs="Times New Roman"/>
          <w:sz w:val="24"/>
          <w:szCs w:val="24"/>
        </w:rPr>
        <w:t>The European Society of Medical Oncology</w:t>
      </w:r>
      <w:r w:rsidR="00D020DD" w:rsidRPr="00260584">
        <w:rPr>
          <w:rFonts w:ascii="Book Antiqua" w:hAnsi="Book Antiqua" w:cs="Times New Roman"/>
          <w:sz w:val="24"/>
          <w:szCs w:val="24"/>
        </w:rPr>
        <w:t xml:space="preserve"> </w:t>
      </w:r>
      <w:r w:rsidR="007309F0" w:rsidRPr="00260584">
        <w:rPr>
          <w:rFonts w:ascii="Book Antiqua" w:hAnsi="Book Antiqua" w:cs="Times New Roman"/>
          <w:sz w:val="24"/>
          <w:szCs w:val="24"/>
        </w:rPr>
        <w:t>and the Multinational Association of Supportive Care in Cancer</w:t>
      </w:r>
      <w:r w:rsidR="00D020DD" w:rsidRPr="00260584">
        <w:rPr>
          <w:rFonts w:ascii="Book Antiqua" w:hAnsi="Book Antiqua" w:cs="Times New Roman"/>
          <w:sz w:val="24"/>
          <w:szCs w:val="24"/>
        </w:rPr>
        <w:t xml:space="preserve"> </w:t>
      </w:r>
      <w:r w:rsidR="0060473B" w:rsidRPr="00260584">
        <w:rPr>
          <w:rFonts w:ascii="Book Antiqua" w:hAnsi="Book Antiqua" w:cs="Times New Roman"/>
          <w:sz w:val="24"/>
          <w:szCs w:val="24"/>
        </w:rPr>
        <w:t xml:space="preserve">guidelines recommend </w:t>
      </w:r>
      <w:r w:rsidR="004139B3" w:rsidRPr="00260584">
        <w:rPr>
          <w:rFonts w:ascii="Book Antiqua" w:hAnsi="Book Antiqua" w:cs="Times New Roman"/>
          <w:sz w:val="24"/>
          <w:szCs w:val="24"/>
        </w:rPr>
        <w:t xml:space="preserve">5HT3 receptor antagonist, dexamethasone and </w:t>
      </w:r>
      <w:r w:rsidR="007309F0" w:rsidRPr="00260584">
        <w:rPr>
          <w:rFonts w:ascii="Book Antiqua" w:hAnsi="Book Antiqua" w:cs="Times New Roman"/>
          <w:sz w:val="24"/>
          <w:szCs w:val="24"/>
        </w:rPr>
        <w:t>NK1 receptor antagonist</w:t>
      </w:r>
      <w:r w:rsidR="00D020DD" w:rsidRPr="00260584">
        <w:rPr>
          <w:rFonts w:ascii="Book Antiqua" w:hAnsi="Book Antiqua" w:cs="Times New Roman"/>
          <w:sz w:val="24"/>
          <w:szCs w:val="24"/>
        </w:rPr>
        <w:t xml:space="preserve"> </w:t>
      </w:r>
      <w:r w:rsidR="004139B3" w:rsidRPr="00260584">
        <w:rPr>
          <w:rFonts w:ascii="Book Antiqua" w:hAnsi="Book Antiqua" w:cs="Times New Roman"/>
          <w:sz w:val="24"/>
          <w:szCs w:val="24"/>
        </w:rPr>
        <w:t>in acute CINV, whereas later two are advised in delayed CINV</w:t>
      </w:r>
      <w:r w:rsidR="004139B3" w:rsidRPr="00260584">
        <w:rPr>
          <w:rFonts w:ascii="Book Antiqua" w:hAnsi="Book Antiqua" w:cs="Times New Roman"/>
          <w:sz w:val="24"/>
          <w:szCs w:val="24"/>
          <w:vertAlign w:val="superscript"/>
        </w:rPr>
        <w:t>[</w:t>
      </w:r>
      <w:r w:rsidR="0023278C" w:rsidRPr="00260584">
        <w:rPr>
          <w:rFonts w:ascii="Book Antiqua" w:hAnsi="Book Antiqua" w:cs="Times New Roman"/>
          <w:sz w:val="24"/>
          <w:szCs w:val="24"/>
          <w:vertAlign w:val="superscript"/>
        </w:rPr>
        <w:t>8</w:t>
      </w:r>
      <w:r w:rsidR="004139B3" w:rsidRPr="00260584">
        <w:rPr>
          <w:rFonts w:ascii="Book Antiqua" w:hAnsi="Book Antiqua" w:cs="Times New Roman"/>
          <w:sz w:val="24"/>
          <w:szCs w:val="24"/>
          <w:vertAlign w:val="superscript"/>
        </w:rPr>
        <w:t>]</w:t>
      </w:r>
      <w:r w:rsidR="004139B3" w:rsidRPr="00260584">
        <w:rPr>
          <w:rFonts w:ascii="Book Antiqua" w:hAnsi="Book Antiqua" w:cs="Times New Roman"/>
          <w:sz w:val="24"/>
          <w:szCs w:val="24"/>
        </w:rPr>
        <w:t>.</w:t>
      </w:r>
      <w:r w:rsidR="00690D91" w:rsidRPr="00260584">
        <w:rPr>
          <w:rFonts w:ascii="Book Antiqua" w:hAnsi="Book Antiqua" w:cs="Times New Roman"/>
          <w:sz w:val="24"/>
          <w:szCs w:val="24"/>
        </w:rPr>
        <w:t xml:space="preserve"> </w:t>
      </w:r>
      <w:r w:rsidR="00B70E45" w:rsidRPr="00260584">
        <w:rPr>
          <w:rFonts w:ascii="Book Antiqua" w:hAnsi="Book Antiqua" w:cs="Times New Roman"/>
          <w:sz w:val="24"/>
          <w:szCs w:val="24"/>
        </w:rPr>
        <w:t>Recently, a</w:t>
      </w:r>
      <w:r w:rsidR="0011636C" w:rsidRPr="00260584">
        <w:rPr>
          <w:rFonts w:ascii="Book Antiqua" w:hAnsi="Book Antiqua" w:cs="Times New Roman"/>
          <w:sz w:val="24"/>
          <w:szCs w:val="24"/>
        </w:rPr>
        <w:t xml:space="preserve"> new</w:t>
      </w:r>
      <w:r w:rsidR="00693CD0" w:rsidRPr="00260584">
        <w:rPr>
          <w:rFonts w:ascii="Book Antiqua" w:hAnsi="Book Antiqua" w:cs="Times New Roman"/>
          <w:sz w:val="24"/>
          <w:szCs w:val="24"/>
        </w:rPr>
        <w:t>,</w:t>
      </w:r>
      <w:r w:rsidR="00606A0B" w:rsidRPr="00260584">
        <w:rPr>
          <w:rFonts w:ascii="Book Antiqua" w:hAnsi="Book Antiqua" w:cs="Times New Roman"/>
          <w:sz w:val="24"/>
          <w:szCs w:val="24"/>
        </w:rPr>
        <w:t xml:space="preserve"> </w:t>
      </w:r>
      <w:r w:rsidR="0011636C" w:rsidRPr="00260584">
        <w:rPr>
          <w:rFonts w:ascii="Book Antiqua" w:hAnsi="Book Antiqua" w:cs="Times New Roman"/>
          <w:sz w:val="24"/>
          <w:szCs w:val="24"/>
        </w:rPr>
        <w:t>oral fixed dose combination</w:t>
      </w:r>
      <w:r w:rsidR="0097002A" w:rsidRPr="00260584">
        <w:rPr>
          <w:rFonts w:ascii="Book Antiqua" w:hAnsi="Book Antiqua" w:cs="Times New Roman"/>
          <w:sz w:val="24"/>
          <w:szCs w:val="24"/>
        </w:rPr>
        <w:t xml:space="preserve"> (FDC)</w:t>
      </w:r>
      <w:r w:rsidR="0011636C" w:rsidRPr="00260584">
        <w:rPr>
          <w:rFonts w:ascii="Book Antiqua" w:hAnsi="Book Antiqua" w:cs="Times New Roman"/>
          <w:sz w:val="24"/>
          <w:szCs w:val="24"/>
        </w:rPr>
        <w:t xml:space="preserve"> of </w:t>
      </w:r>
      <w:proofErr w:type="spellStart"/>
      <w:r w:rsidR="00413CFF" w:rsidRPr="00260584">
        <w:rPr>
          <w:rFonts w:ascii="Book Antiqua" w:hAnsi="Book Antiqua" w:cs="Times New Roman"/>
          <w:sz w:val="24"/>
          <w:szCs w:val="24"/>
        </w:rPr>
        <w:t>netupitant</w:t>
      </w:r>
      <w:proofErr w:type="spellEnd"/>
      <w:r w:rsidR="00413CFF" w:rsidRPr="00260584">
        <w:rPr>
          <w:rFonts w:ascii="Book Antiqua" w:hAnsi="Book Antiqua" w:cs="Times New Roman"/>
          <w:sz w:val="24"/>
          <w:szCs w:val="24"/>
        </w:rPr>
        <w:t xml:space="preserve"> </w:t>
      </w:r>
      <w:r w:rsidR="00693CD0" w:rsidRPr="00260584">
        <w:rPr>
          <w:rFonts w:ascii="Book Antiqua" w:hAnsi="Book Antiqua" w:cs="Times New Roman"/>
          <w:sz w:val="24"/>
          <w:szCs w:val="24"/>
        </w:rPr>
        <w:t>(</w:t>
      </w:r>
      <w:r w:rsidR="00D17D0B" w:rsidRPr="00260584">
        <w:rPr>
          <w:rFonts w:ascii="Book Antiqua" w:hAnsi="Book Antiqua" w:cs="Times New Roman"/>
          <w:sz w:val="24"/>
          <w:szCs w:val="24"/>
        </w:rPr>
        <w:t>highly selective NK1</w:t>
      </w:r>
      <w:r w:rsidR="00D020DD" w:rsidRPr="00260584">
        <w:rPr>
          <w:rFonts w:ascii="Book Antiqua" w:hAnsi="Book Antiqua" w:cs="Times New Roman"/>
          <w:sz w:val="24"/>
          <w:szCs w:val="24"/>
        </w:rPr>
        <w:t xml:space="preserve"> receptor antagonist</w:t>
      </w:r>
      <w:r w:rsidR="00D17D0B" w:rsidRPr="00260584">
        <w:rPr>
          <w:rFonts w:ascii="Book Antiqua" w:hAnsi="Book Antiqua" w:cs="Times New Roman"/>
          <w:sz w:val="24"/>
          <w:szCs w:val="24"/>
        </w:rPr>
        <w:t xml:space="preserve">, </w:t>
      </w:r>
      <w:r w:rsidR="00413CFF" w:rsidRPr="00260584">
        <w:rPr>
          <w:rFonts w:ascii="Book Antiqua" w:hAnsi="Book Antiqua" w:cs="Times New Roman"/>
          <w:sz w:val="24"/>
          <w:szCs w:val="24"/>
        </w:rPr>
        <w:t xml:space="preserve">300 mg) </w:t>
      </w:r>
      <w:r w:rsidR="0011636C" w:rsidRPr="00260584">
        <w:rPr>
          <w:rFonts w:ascii="Book Antiqua" w:hAnsi="Book Antiqua" w:cs="Times New Roman"/>
          <w:sz w:val="24"/>
          <w:szCs w:val="24"/>
        </w:rPr>
        <w:t>with</w:t>
      </w:r>
      <w:r w:rsidR="00413CFF" w:rsidRPr="00260584">
        <w:rPr>
          <w:rFonts w:ascii="Book Antiqua" w:hAnsi="Book Antiqua" w:cs="Times New Roman"/>
          <w:sz w:val="24"/>
          <w:szCs w:val="24"/>
        </w:rPr>
        <w:t xml:space="preserve"> </w:t>
      </w:r>
      <w:proofErr w:type="spellStart"/>
      <w:r w:rsidR="00F35534" w:rsidRPr="00260584">
        <w:rPr>
          <w:rFonts w:ascii="Book Antiqua" w:hAnsi="Book Antiqua" w:cs="Times New Roman"/>
          <w:sz w:val="24"/>
          <w:szCs w:val="24"/>
        </w:rPr>
        <w:t>Netupitant</w:t>
      </w:r>
      <w:proofErr w:type="spellEnd"/>
      <w:r w:rsidR="00F35534" w:rsidRPr="00260584">
        <w:rPr>
          <w:rFonts w:ascii="Book Antiqua" w:hAnsi="Book Antiqua" w:cs="Times New Roman"/>
          <w:sz w:val="24"/>
          <w:szCs w:val="24"/>
        </w:rPr>
        <w:t xml:space="preserve"> and palonosetron </w:t>
      </w:r>
      <w:r w:rsidR="00693CD0" w:rsidRPr="00260584">
        <w:rPr>
          <w:rFonts w:ascii="Book Antiqua" w:hAnsi="Book Antiqua" w:cs="Times New Roman"/>
          <w:sz w:val="24"/>
          <w:szCs w:val="24"/>
        </w:rPr>
        <w:t>(</w:t>
      </w:r>
      <w:r w:rsidR="00D17D0B" w:rsidRPr="00260584">
        <w:rPr>
          <w:rFonts w:ascii="Book Antiqua" w:hAnsi="Book Antiqua" w:cs="Times New Roman"/>
          <w:sz w:val="24"/>
          <w:szCs w:val="24"/>
        </w:rPr>
        <w:t>5HT3</w:t>
      </w:r>
      <w:r w:rsidR="00D020DD" w:rsidRPr="00260584">
        <w:rPr>
          <w:rFonts w:ascii="Book Antiqua" w:hAnsi="Book Antiqua" w:cs="Times New Roman"/>
          <w:sz w:val="24"/>
          <w:szCs w:val="24"/>
        </w:rPr>
        <w:t xml:space="preserve"> receptor antagonist</w:t>
      </w:r>
      <w:r w:rsidR="00D17D0B" w:rsidRPr="00260584">
        <w:rPr>
          <w:rFonts w:ascii="Book Antiqua" w:hAnsi="Book Antiqua" w:cs="Times New Roman"/>
          <w:sz w:val="24"/>
          <w:szCs w:val="24"/>
        </w:rPr>
        <w:t xml:space="preserve">, </w:t>
      </w:r>
      <w:r w:rsidR="00413CFF" w:rsidRPr="00260584">
        <w:rPr>
          <w:rFonts w:ascii="Book Antiqua" w:hAnsi="Book Antiqua" w:cs="Times New Roman"/>
          <w:sz w:val="24"/>
          <w:szCs w:val="24"/>
        </w:rPr>
        <w:t>0.5</w:t>
      </w:r>
      <w:r w:rsidR="0004770C" w:rsidRPr="00260584">
        <w:rPr>
          <w:rFonts w:ascii="Book Antiqua" w:hAnsi="Book Antiqua" w:cs="Times New Roman"/>
          <w:sz w:val="24"/>
          <w:szCs w:val="24"/>
        </w:rPr>
        <w:t xml:space="preserve"> </w:t>
      </w:r>
      <w:r w:rsidR="00413CFF" w:rsidRPr="00260584">
        <w:rPr>
          <w:rFonts w:ascii="Book Antiqua" w:hAnsi="Book Antiqua" w:cs="Times New Roman"/>
          <w:sz w:val="24"/>
          <w:szCs w:val="24"/>
        </w:rPr>
        <w:t xml:space="preserve">mg) </w:t>
      </w:r>
      <w:r w:rsidR="00843266" w:rsidRPr="00260584">
        <w:rPr>
          <w:rFonts w:ascii="Book Antiqua" w:hAnsi="Book Antiqua" w:cs="Times New Roman"/>
          <w:sz w:val="24"/>
          <w:szCs w:val="24"/>
        </w:rPr>
        <w:t xml:space="preserve">(NEPA) </w:t>
      </w:r>
      <w:r w:rsidR="00B70E45" w:rsidRPr="00260584">
        <w:rPr>
          <w:rFonts w:ascii="Book Antiqua" w:hAnsi="Book Antiqua" w:cs="Times New Roman"/>
          <w:sz w:val="24"/>
          <w:szCs w:val="24"/>
        </w:rPr>
        <w:t>was approved</w:t>
      </w:r>
      <w:r w:rsidR="008A5E78" w:rsidRPr="00260584">
        <w:rPr>
          <w:rFonts w:ascii="Book Antiqua" w:hAnsi="Book Antiqua" w:cs="Times New Roman"/>
          <w:sz w:val="24"/>
          <w:szCs w:val="24"/>
        </w:rPr>
        <w:t xml:space="preserve"> </w:t>
      </w:r>
      <w:r w:rsidR="00B70E45" w:rsidRPr="00260584">
        <w:rPr>
          <w:rFonts w:ascii="Book Antiqua" w:hAnsi="Book Antiqua" w:cs="Times New Roman"/>
          <w:sz w:val="24"/>
          <w:szCs w:val="24"/>
        </w:rPr>
        <w:t>in India</w:t>
      </w:r>
      <w:r w:rsidR="00C652A8" w:rsidRPr="00260584">
        <w:rPr>
          <w:rFonts w:ascii="Book Antiqua" w:hAnsi="Book Antiqua" w:cs="Times New Roman"/>
          <w:sz w:val="24"/>
          <w:szCs w:val="24"/>
          <w:vertAlign w:val="superscript"/>
        </w:rPr>
        <w:t>[</w:t>
      </w:r>
      <w:r w:rsidR="00690D91" w:rsidRPr="00260584">
        <w:rPr>
          <w:rFonts w:ascii="Book Antiqua" w:hAnsi="Book Antiqua" w:cs="Times New Roman"/>
          <w:sz w:val="24"/>
          <w:szCs w:val="24"/>
          <w:vertAlign w:val="superscript"/>
        </w:rPr>
        <w:t>9</w:t>
      </w:r>
      <w:r w:rsidR="00C652A8" w:rsidRPr="00260584">
        <w:rPr>
          <w:rFonts w:ascii="Book Antiqua" w:hAnsi="Book Antiqua" w:cs="Times New Roman"/>
          <w:sz w:val="24"/>
          <w:szCs w:val="24"/>
          <w:vertAlign w:val="superscript"/>
        </w:rPr>
        <w:t>]</w:t>
      </w:r>
      <w:r w:rsidR="00C652A8" w:rsidRPr="00260584">
        <w:rPr>
          <w:rFonts w:ascii="Book Antiqua" w:hAnsi="Book Antiqua" w:cs="Times New Roman"/>
          <w:sz w:val="24"/>
          <w:szCs w:val="24"/>
        </w:rPr>
        <w:t>.</w:t>
      </w:r>
      <w:r w:rsidR="00B70E45" w:rsidRPr="00260584">
        <w:rPr>
          <w:rFonts w:ascii="Book Antiqua" w:hAnsi="Book Antiqua" w:cs="Times New Roman"/>
          <w:sz w:val="24"/>
          <w:szCs w:val="24"/>
        </w:rPr>
        <w:t xml:space="preserve"> </w:t>
      </w:r>
      <w:r w:rsidR="00690D91" w:rsidRPr="00260584">
        <w:rPr>
          <w:rFonts w:ascii="Book Antiqua" w:hAnsi="Book Antiqua" w:cs="Times New Roman"/>
          <w:sz w:val="24"/>
          <w:szCs w:val="24"/>
        </w:rPr>
        <w:t>NEPA</w:t>
      </w:r>
      <w:r w:rsidR="0004770C" w:rsidRPr="00260584">
        <w:rPr>
          <w:rFonts w:ascii="Book Antiqua" w:hAnsi="Book Antiqua" w:cs="Times New Roman"/>
          <w:sz w:val="24"/>
          <w:szCs w:val="24"/>
        </w:rPr>
        <w:t xml:space="preserve"> +</w:t>
      </w:r>
      <w:r w:rsidR="002231B4" w:rsidRPr="00260584">
        <w:rPr>
          <w:rFonts w:ascii="Book Antiqua" w:hAnsi="Book Antiqua" w:cs="Times New Roman"/>
          <w:sz w:val="24"/>
          <w:szCs w:val="24"/>
        </w:rPr>
        <w:t xml:space="preserve"> DEX</w:t>
      </w:r>
      <w:r w:rsidR="00B70E45" w:rsidRPr="00260584">
        <w:rPr>
          <w:rFonts w:ascii="Book Antiqua" w:hAnsi="Book Antiqua" w:cs="Times New Roman"/>
          <w:sz w:val="24"/>
          <w:szCs w:val="24"/>
        </w:rPr>
        <w:t xml:space="preserve"> has </w:t>
      </w:r>
      <w:r w:rsidR="00CF2B32" w:rsidRPr="00260584">
        <w:rPr>
          <w:rFonts w:ascii="Book Antiqua" w:hAnsi="Book Antiqua" w:cs="Times New Roman"/>
          <w:sz w:val="24"/>
          <w:szCs w:val="24"/>
        </w:rPr>
        <w:t xml:space="preserve">been found to be </w:t>
      </w:r>
      <w:r w:rsidR="0011636C" w:rsidRPr="00260584">
        <w:rPr>
          <w:rFonts w:ascii="Book Antiqua" w:hAnsi="Book Antiqua" w:cs="Times New Roman"/>
          <w:sz w:val="24"/>
          <w:szCs w:val="24"/>
        </w:rPr>
        <w:t>clinically superior</w:t>
      </w:r>
      <w:r w:rsidR="00CF2B32" w:rsidRPr="00260584">
        <w:rPr>
          <w:rFonts w:ascii="Book Antiqua" w:hAnsi="Book Antiqua" w:cs="Times New Roman"/>
          <w:sz w:val="24"/>
          <w:szCs w:val="24"/>
        </w:rPr>
        <w:t xml:space="preserve"> to monotherapy </w:t>
      </w:r>
      <w:r w:rsidR="00690D91" w:rsidRPr="00260584">
        <w:rPr>
          <w:rFonts w:ascii="Book Antiqua" w:hAnsi="Book Antiqua" w:cs="Times New Roman"/>
          <w:sz w:val="24"/>
          <w:szCs w:val="24"/>
        </w:rPr>
        <w:t>of palonosetron</w:t>
      </w:r>
      <w:r w:rsidR="0004770C" w:rsidRPr="00260584">
        <w:rPr>
          <w:rFonts w:ascii="Book Antiqua" w:hAnsi="Book Antiqua" w:cs="Times New Roman"/>
          <w:sz w:val="24"/>
          <w:szCs w:val="24"/>
        </w:rPr>
        <w:t xml:space="preserve"> </w:t>
      </w:r>
      <w:r w:rsidR="002231B4" w:rsidRPr="00260584">
        <w:rPr>
          <w:rFonts w:ascii="Book Antiqua" w:hAnsi="Book Antiqua" w:cs="Times New Roman"/>
          <w:sz w:val="24"/>
          <w:szCs w:val="24"/>
        </w:rPr>
        <w:t xml:space="preserve">+ DEX </w:t>
      </w:r>
      <w:r w:rsidR="00CF2B32" w:rsidRPr="00260584">
        <w:rPr>
          <w:rFonts w:ascii="Book Antiqua" w:hAnsi="Book Antiqua" w:cs="Times New Roman"/>
          <w:sz w:val="24"/>
          <w:szCs w:val="24"/>
        </w:rPr>
        <w:t>in preventing both acute and delayed CINV</w:t>
      </w:r>
      <w:r w:rsidR="002079AA" w:rsidRPr="00260584">
        <w:rPr>
          <w:rFonts w:ascii="Book Antiqua" w:hAnsi="Book Antiqua" w:cs="Times New Roman"/>
          <w:sz w:val="24"/>
          <w:szCs w:val="24"/>
          <w:vertAlign w:val="superscript"/>
        </w:rPr>
        <w:t>[</w:t>
      </w:r>
      <w:r w:rsidR="00690D91" w:rsidRPr="00260584">
        <w:rPr>
          <w:rFonts w:ascii="Book Antiqua" w:hAnsi="Book Antiqua" w:cs="Times New Roman"/>
          <w:sz w:val="24"/>
          <w:szCs w:val="24"/>
          <w:vertAlign w:val="superscript"/>
        </w:rPr>
        <w:t>10</w:t>
      </w:r>
      <w:r w:rsidR="00A92909" w:rsidRPr="00260584">
        <w:rPr>
          <w:rFonts w:ascii="Book Antiqua" w:hAnsi="Book Antiqua" w:cs="Times New Roman"/>
          <w:sz w:val="24"/>
          <w:szCs w:val="24"/>
          <w:vertAlign w:val="superscript"/>
        </w:rPr>
        <w:t>,</w:t>
      </w:r>
      <w:r w:rsidR="00690D91" w:rsidRPr="00260584">
        <w:rPr>
          <w:rFonts w:ascii="Book Antiqua" w:hAnsi="Book Antiqua" w:cs="Times New Roman"/>
          <w:sz w:val="24"/>
          <w:szCs w:val="24"/>
          <w:vertAlign w:val="superscript"/>
        </w:rPr>
        <w:t>11</w:t>
      </w:r>
      <w:r w:rsidR="002079AA" w:rsidRPr="00260584">
        <w:rPr>
          <w:rFonts w:ascii="Book Antiqua" w:hAnsi="Book Antiqua" w:cs="Times New Roman"/>
          <w:sz w:val="24"/>
          <w:szCs w:val="24"/>
          <w:vertAlign w:val="superscript"/>
        </w:rPr>
        <w:t>]</w:t>
      </w:r>
      <w:r w:rsidR="00CF2B32" w:rsidRPr="00260584">
        <w:rPr>
          <w:rFonts w:ascii="Book Antiqua" w:hAnsi="Book Antiqua" w:cs="Times New Roman"/>
          <w:sz w:val="24"/>
          <w:szCs w:val="24"/>
        </w:rPr>
        <w:t>.</w:t>
      </w:r>
      <w:r w:rsidR="0011636C" w:rsidRPr="00260584">
        <w:rPr>
          <w:rFonts w:ascii="Book Antiqua" w:hAnsi="Book Antiqua" w:cs="Times New Roman"/>
          <w:sz w:val="24"/>
          <w:szCs w:val="24"/>
        </w:rPr>
        <w:t xml:space="preserve"> </w:t>
      </w:r>
      <w:r w:rsidR="00B70E45" w:rsidRPr="00260584">
        <w:rPr>
          <w:rFonts w:ascii="Book Antiqua" w:hAnsi="Book Antiqua" w:cs="Times New Roman"/>
          <w:sz w:val="24"/>
          <w:szCs w:val="24"/>
        </w:rPr>
        <w:t xml:space="preserve">Being a recent and novel FDC </w:t>
      </w:r>
      <w:r w:rsidR="002231B4" w:rsidRPr="00260584">
        <w:rPr>
          <w:rFonts w:ascii="Book Antiqua" w:hAnsi="Book Antiqua" w:cs="Times New Roman"/>
          <w:sz w:val="24"/>
          <w:szCs w:val="24"/>
        </w:rPr>
        <w:t xml:space="preserve">antiemetic </w:t>
      </w:r>
      <w:r w:rsidR="00B70E45" w:rsidRPr="00260584">
        <w:rPr>
          <w:rFonts w:ascii="Book Antiqua" w:hAnsi="Book Antiqua" w:cs="Times New Roman"/>
          <w:sz w:val="24"/>
          <w:szCs w:val="24"/>
        </w:rPr>
        <w:t xml:space="preserve">with limited </w:t>
      </w:r>
      <w:r w:rsidR="00155590" w:rsidRPr="00260584">
        <w:rPr>
          <w:rFonts w:ascii="Book Antiqua" w:hAnsi="Book Antiqua" w:cs="Times New Roman"/>
          <w:sz w:val="24"/>
          <w:szCs w:val="24"/>
        </w:rPr>
        <w:t>evidence in Indian setting</w:t>
      </w:r>
      <w:r w:rsidR="00B70E45" w:rsidRPr="00260584">
        <w:rPr>
          <w:rFonts w:ascii="Book Antiqua" w:hAnsi="Book Antiqua" w:cs="Times New Roman"/>
          <w:sz w:val="24"/>
          <w:szCs w:val="24"/>
        </w:rPr>
        <w:t>, there is need to further understand its efficacy and safety.</w:t>
      </w:r>
      <w:r w:rsidR="00603291" w:rsidRPr="00260584">
        <w:rPr>
          <w:rFonts w:ascii="Book Antiqua" w:hAnsi="Book Antiqua" w:cs="Times New Roman"/>
          <w:sz w:val="24"/>
          <w:szCs w:val="24"/>
        </w:rPr>
        <w:t xml:space="preserve"> Hence,</w:t>
      </w:r>
      <w:r w:rsidR="00B70E45" w:rsidRPr="00260584">
        <w:rPr>
          <w:rFonts w:ascii="Book Antiqua" w:hAnsi="Book Antiqua" w:cs="Times New Roman"/>
          <w:sz w:val="24"/>
          <w:szCs w:val="24"/>
        </w:rPr>
        <w:t xml:space="preserve"> </w:t>
      </w:r>
      <w:r w:rsidR="00155590" w:rsidRPr="00260584">
        <w:rPr>
          <w:rFonts w:ascii="Book Antiqua" w:hAnsi="Book Antiqua" w:cs="Times New Roman"/>
          <w:sz w:val="24"/>
          <w:szCs w:val="24"/>
        </w:rPr>
        <w:t xml:space="preserve">we planned this observational study to determine efficacy </w:t>
      </w:r>
      <w:r w:rsidR="00690D91" w:rsidRPr="00260584">
        <w:rPr>
          <w:rFonts w:ascii="Book Antiqua" w:hAnsi="Book Antiqua" w:cs="Times New Roman"/>
          <w:sz w:val="24"/>
          <w:szCs w:val="24"/>
        </w:rPr>
        <w:t xml:space="preserve">of NEPA </w:t>
      </w:r>
      <w:r w:rsidR="00155590" w:rsidRPr="00260584">
        <w:rPr>
          <w:rFonts w:ascii="Book Antiqua" w:hAnsi="Book Antiqua" w:cs="Times New Roman"/>
          <w:sz w:val="24"/>
          <w:szCs w:val="24"/>
        </w:rPr>
        <w:t xml:space="preserve">in </w:t>
      </w:r>
      <w:r w:rsidR="00A67FC0" w:rsidRPr="00260584">
        <w:rPr>
          <w:rFonts w:ascii="Book Antiqua" w:hAnsi="Book Antiqua" w:cs="Times New Roman"/>
          <w:sz w:val="24"/>
          <w:szCs w:val="24"/>
        </w:rPr>
        <w:t>prevention of</w:t>
      </w:r>
      <w:r w:rsidR="00CE786F" w:rsidRPr="00260584">
        <w:rPr>
          <w:rFonts w:ascii="Book Antiqua" w:hAnsi="Book Antiqua" w:cs="Times New Roman"/>
          <w:sz w:val="24"/>
          <w:szCs w:val="24"/>
        </w:rPr>
        <w:t xml:space="preserve"> CINV.</w:t>
      </w:r>
    </w:p>
    <w:p w14:paraId="0A0BE110" w14:textId="77777777" w:rsidR="0004770C" w:rsidRPr="00260584" w:rsidRDefault="0004770C" w:rsidP="00260584">
      <w:pPr>
        <w:autoSpaceDE w:val="0"/>
        <w:autoSpaceDN w:val="0"/>
        <w:adjustRightInd w:val="0"/>
        <w:snapToGrid w:val="0"/>
        <w:spacing w:after="0" w:line="360" w:lineRule="auto"/>
        <w:jc w:val="both"/>
        <w:rPr>
          <w:rFonts w:ascii="Book Antiqua" w:hAnsi="Book Antiqua" w:cs="Times New Roman"/>
          <w:sz w:val="24"/>
          <w:szCs w:val="24"/>
        </w:rPr>
      </w:pPr>
    </w:p>
    <w:p w14:paraId="195EF159" w14:textId="77777777" w:rsidR="0004770C" w:rsidRPr="00260584" w:rsidRDefault="0004770C"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MATERIALS AND METHODS</w:t>
      </w:r>
    </w:p>
    <w:p w14:paraId="6814FB85" w14:textId="07BA545D" w:rsidR="0004770C" w:rsidRPr="00260584" w:rsidRDefault="0004770C"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Study design</w:t>
      </w:r>
    </w:p>
    <w:p w14:paraId="34CD4C72"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lastRenderedPageBreak/>
        <w:t xml:space="preserve">This single-centre, retrospective study was conducted in patients treated with HEC/MEC. </w:t>
      </w:r>
    </w:p>
    <w:p w14:paraId="1243241E" w14:textId="77777777" w:rsidR="0004770C" w:rsidRPr="00260584" w:rsidRDefault="0004770C" w:rsidP="00260584">
      <w:pPr>
        <w:adjustRightInd w:val="0"/>
        <w:snapToGrid w:val="0"/>
        <w:spacing w:after="0" w:line="360" w:lineRule="auto"/>
        <w:jc w:val="both"/>
        <w:rPr>
          <w:rFonts w:ascii="Book Antiqua" w:hAnsi="Book Antiqua"/>
          <w:b/>
          <w:i/>
          <w:sz w:val="24"/>
          <w:szCs w:val="24"/>
        </w:rPr>
      </w:pPr>
    </w:p>
    <w:p w14:paraId="674DCA0B" w14:textId="42FA7812" w:rsidR="007740AC" w:rsidRPr="00260584" w:rsidRDefault="007740A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i/>
          <w:iCs/>
          <w:sz w:val="24"/>
          <w:szCs w:val="24"/>
        </w:rPr>
        <w:t>Ethics</w:t>
      </w:r>
    </w:p>
    <w:p w14:paraId="2E4CF2B2" w14:textId="0C8CE8FA" w:rsidR="007740AC" w:rsidRPr="00260584" w:rsidRDefault="007740A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Study was initiated after </w:t>
      </w:r>
      <w:r w:rsidR="009C74AE" w:rsidRPr="00260584">
        <w:rPr>
          <w:rFonts w:ascii="Book Antiqua" w:hAnsi="Book Antiqua" w:cs="Times New Roman"/>
          <w:sz w:val="24"/>
          <w:szCs w:val="24"/>
        </w:rPr>
        <w:t xml:space="preserve">the </w:t>
      </w:r>
      <w:r w:rsidRPr="00260584">
        <w:rPr>
          <w:rFonts w:ascii="Book Antiqua" w:hAnsi="Book Antiqua" w:cs="Times New Roman"/>
          <w:sz w:val="24"/>
          <w:szCs w:val="24"/>
        </w:rPr>
        <w:t xml:space="preserve">approval from </w:t>
      </w:r>
      <w:r w:rsidR="00D66A62" w:rsidRPr="00260584">
        <w:rPr>
          <w:rFonts w:ascii="Book Antiqua" w:hAnsi="Book Antiqua" w:cs="Times New Roman"/>
          <w:sz w:val="24"/>
          <w:szCs w:val="24"/>
        </w:rPr>
        <w:t xml:space="preserve">independent </w:t>
      </w:r>
      <w:r w:rsidRPr="00260584">
        <w:rPr>
          <w:rFonts w:ascii="Book Antiqua" w:hAnsi="Book Antiqua" w:cs="Times New Roman"/>
          <w:sz w:val="24"/>
          <w:szCs w:val="24"/>
        </w:rPr>
        <w:t>ethics committee</w:t>
      </w:r>
      <w:r w:rsidR="00BE515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and </w:t>
      </w:r>
      <w:r w:rsidR="00BE5153" w:rsidRPr="00260584">
        <w:rPr>
          <w:rFonts w:ascii="Book Antiqua" w:hAnsi="Book Antiqua" w:cs="Times New Roman"/>
          <w:sz w:val="24"/>
          <w:szCs w:val="24"/>
        </w:rPr>
        <w:t xml:space="preserve">was </w:t>
      </w:r>
      <w:r w:rsidRPr="00260584">
        <w:rPr>
          <w:rFonts w:ascii="Book Antiqua" w:hAnsi="Book Antiqua" w:cs="Times New Roman"/>
          <w:sz w:val="24"/>
          <w:szCs w:val="24"/>
        </w:rPr>
        <w:t xml:space="preserve">conducted </w:t>
      </w:r>
      <w:r w:rsidR="00A67FC0" w:rsidRPr="00260584">
        <w:rPr>
          <w:rFonts w:ascii="Book Antiqua" w:hAnsi="Book Antiqua" w:cs="Times New Roman"/>
          <w:sz w:val="24"/>
          <w:szCs w:val="24"/>
        </w:rPr>
        <w:t>according</w:t>
      </w:r>
      <w:r w:rsidR="00B923E0" w:rsidRPr="00260584">
        <w:rPr>
          <w:rFonts w:ascii="Book Antiqua" w:hAnsi="Book Antiqua" w:cs="Times New Roman"/>
          <w:sz w:val="24"/>
          <w:szCs w:val="24"/>
        </w:rPr>
        <w:t xml:space="preserve"> to good clinical practice and </w:t>
      </w:r>
      <w:r w:rsidRPr="00260584">
        <w:rPr>
          <w:rFonts w:ascii="Book Antiqua" w:hAnsi="Book Antiqua" w:cs="Times New Roman"/>
          <w:sz w:val="24"/>
          <w:szCs w:val="24"/>
        </w:rPr>
        <w:t xml:space="preserve">applicable regulatory guidelines. </w:t>
      </w:r>
    </w:p>
    <w:p w14:paraId="14D270BA"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p>
    <w:p w14:paraId="59076351" w14:textId="1AD104C4" w:rsidR="00C42700" w:rsidRPr="00260584" w:rsidRDefault="00C42700"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Setting</w:t>
      </w:r>
    </w:p>
    <w:p w14:paraId="0B79ED4D" w14:textId="683B41FF" w:rsidR="007740AC" w:rsidRPr="00260584" w:rsidRDefault="00C42700"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This study was conducted </w:t>
      </w:r>
      <w:r w:rsidR="00150F67" w:rsidRPr="00260584">
        <w:rPr>
          <w:rFonts w:ascii="Book Antiqua" w:hAnsi="Book Antiqua" w:cs="Times New Roman"/>
          <w:sz w:val="24"/>
          <w:szCs w:val="24"/>
        </w:rPr>
        <w:t xml:space="preserve">in </w:t>
      </w:r>
      <w:r w:rsidRPr="00260584">
        <w:rPr>
          <w:rFonts w:ascii="Book Antiqua" w:hAnsi="Book Antiqua" w:cs="Times New Roman"/>
          <w:sz w:val="24"/>
          <w:szCs w:val="24"/>
        </w:rPr>
        <w:t xml:space="preserve">tertiary care centre </w:t>
      </w:r>
      <w:r w:rsidR="00B923E0" w:rsidRPr="00260584">
        <w:rPr>
          <w:rFonts w:ascii="Book Antiqua" w:hAnsi="Book Antiqua" w:cs="Times New Roman"/>
          <w:sz w:val="24"/>
          <w:szCs w:val="24"/>
        </w:rPr>
        <w:t xml:space="preserve">in </w:t>
      </w:r>
      <w:r w:rsidR="00532B06" w:rsidRPr="00260584">
        <w:rPr>
          <w:rFonts w:ascii="Book Antiqua" w:hAnsi="Book Antiqua" w:cs="Times New Roman"/>
          <w:sz w:val="24"/>
          <w:szCs w:val="24"/>
        </w:rPr>
        <w:t>Hyderabad</w:t>
      </w:r>
      <w:r w:rsidR="005D14E2" w:rsidRPr="00260584">
        <w:rPr>
          <w:rFonts w:ascii="Book Antiqua" w:hAnsi="Book Antiqua" w:cs="Times New Roman"/>
          <w:sz w:val="24"/>
          <w:szCs w:val="24"/>
        </w:rPr>
        <w:t>,</w:t>
      </w:r>
      <w:r w:rsidR="006B0A66" w:rsidRPr="00260584">
        <w:rPr>
          <w:rFonts w:ascii="Book Antiqua" w:hAnsi="Book Antiqua" w:cs="Times New Roman"/>
          <w:sz w:val="24"/>
          <w:szCs w:val="24"/>
        </w:rPr>
        <w:t xml:space="preserve"> </w:t>
      </w:r>
      <w:r w:rsidR="00B923E0" w:rsidRPr="00260584">
        <w:rPr>
          <w:rFonts w:ascii="Book Antiqua" w:hAnsi="Book Antiqua" w:cs="Times New Roman"/>
          <w:sz w:val="24"/>
          <w:szCs w:val="24"/>
        </w:rPr>
        <w:t>India</w:t>
      </w:r>
      <w:r w:rsidRPr="00260584">
        <w:rPr>
          <w:rFonts w:ascii="Book Antiqua" w:hAnsi="Book Antiqua" w:cs="Times New Roman"/>
          <w:sz w:val="24"/>
          <w:szCs w:val="24"/>
        </w:rPr>
        <w:t xml:space="preserve">. </w:t>
      </w:r>
      <w:r w:rsidR="00B923E0" w:rsidRPr="00260584">
        <w:rPr>
          <w:rFonts w:ascii="Book Antiqua" w:hAnsi="Book Antiqua" w:cs="Times New Roman"/>
          <w:sz w:val="24"/>
          <w:szCs w:val="24"/>
        </w:rPr>
        <w:t>This c</w:t>
      </w:r>
      <w:r w:rsidRPr="00260584">
        <w:rPr>
          <w:rFonts w:ascii="Book Antiqua" w:hAnsi="Book Antiqua" w:cs="Times New Roman"/>
          <w:sz w:val="24"/>
          <w:szCs w:val="24"/>
        </w:rPr>
        <w:t>entre provides super</w:t>
      </w:r>
      <w:r w:rsidR="00B923E0" w:rsidRPr="00260584">
        <w:rPr>
          <w:rFonts w:ascii="Book Antiqua" w:hAnsi="Book Antiqua" w:cs="Times New Roman"/>
          <w:sz w:val="24"/>
          <w:szCs w:val="24"/>
        </w:rPr>
        <w:t>-</w:t>
      </w:r>
      <w:r w:rsidRPr="00260584">
        <w:rPr>
          <w:rFonts w:ascii="Book Antiqua" w:hAnsi="Book Antiqua" w:cs="Times New Roman"/>
          <w:sz w:val="24"/>
          <w:szCs w:val="24"/>
        </w:rPr>
        <w:t>specialty services in management of various malignancies. It caters to</w:t>
      </w:r>
      <w:r w:rsidR="004B6D4A" w:rsidRPr="00260584">
        <w:rPr>
          <w:rFonts w:ascii="Book Antiqua" w:hAnsi="Book Antiqua" w:cs="Times New Roman"/>
          <w:sz w:val="24"/>
          <w:szCs w:val="24"/>
        </w:rPr>
        <w:t xml:space="preserve"> </w:t>
      </w:r>
      <w:r w:rsidRPr="00260584">
        <w:rPr>
          <w:rFonts w:ascii="Book Antiqua" w:hAnsi="Book Antiqua" w:cs="Times New Roman"/>
          <w:sz w:val="24"/>
          <w:szCs w:val="24"/>
        </w:rPr>
        <w:t>the urban, semi urban and rural population.</w:t>
      </w:r>
    </w:p>
    <w:p w14:paraId="445FB6D8" w14:textId="77777777" w:rsidR="0004770C" w:rsidRPr="00260584" w:rsidRDefault="0004770C" w:rsidP="00260584">
      <w:pPr>
        <w:adjustRightInd w:val="0"/>
        <w:snapToGrid w:val="0"/>
        <w:spacing w:after="0" w:line="360" w:lineRule="auto"/>
        <w:jc w:val="both"/>
        <w:rPr>
          <w:rFonts w:ascii="Book Antiqua" w:hAnsi="Book Antiqua" w:cs="Times New Roman"/>
          <w:sz w:val="24"/>
          <w:szCs w:val="24"/>
        </w:rPr>
      </w:pPr>
    </w:p>
    <w:p w14:paraId="27B6FE13" w14:textId="15EBA7B1" w:rsidR="007740AC" w:rsidRPr="00260584" w:rsidRDefault="007740AC"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Participants</w:t>
      </w:r>
    </w:p>
    <w:p w14:paraId="323DD8E6" w14:textId="43D6CE60" w:rsidR="005E4B41" w:rsidRPr="00260584" w:rsidRDefault="00D307A1"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Adults </w:t>
      </w:r>
      <w:r w:rsidR="007740AC" w:rsidRPr="00260584">
        <w:rPr>
          <w:rFonts w:ascii="Book Antiqua" w:hAnsi="Book Antiqua" w:cs="Times New Roman"/>
          <w:sz w:val="24"/>
          <w:szCs w:val="24"/>
        </w:rPr>
        <w:t xml:space="preserve">aged </w:t>
      </w:r>
      <w:r w:rsidR="00897ABC" w:rsidRPr="00260584">
        <w:rPr>
          <w:rFonts w:ascii="Book Antiqua" w:hAnsi="Book Antiqua" w:cs="Times New Roman"/>
          <w:sz w:val="24"/>
          <w:szCs w:val="24"/>
        </w:rPr>
        <w:t>&gt;</w:t>
      </w:r>
      <w:r w:rsidR="0004770C" w:rsidRPr="00260584">
        <w:rPr>
          <w:rFonts w:ascii="Book Antiqua" w:hAnsi="Book Antiqua" w:cs="Times New Roman"/>
          <w:sz w:val="24"/>
          <w:szCs w:val="24"/>
        </w:rPr>
        <w:t xml:space="preserve"> </w:t>
      </w:r>
      <w:r w:rsidR="00897ABC" w:rsidRPr="00260584">
        <w:rPr>
          <w:rFonts w:ascii="Book Antiqua" w:hAnsi="Book Antiqua" w:cs="Times New Roman"/>
          <w:sz w:val="24"/>
          <w:szCs w:val="24"/>
        </w:rPr>
        <w:t xml:space="preserve">18 years </w:t>
      </w:r>
      <w:r w:rsidR="00C857B3" w:rsidRPr="00260584">
        <w:rPr>
          <w:rFonts w:ascii="Book Antiqua" w:hAnsi="Book Antiqua" w:cs="Times New Roman"/>
          <w:sz w:val="24"/>
          <w:szCs w:val="24"/>
        </w:rPr>
        <w:t xml:space="preserve">of either sex </w:t>
      </w:r>
      <w:r w:rsidR="007740AC" w:rsidRPr="00260584">
        <w:rPr>
          <w:rFonts w:ascii="Book Antiqua" w:hAnsi="Book Antiqua" w:cs="Times New Roman"/>
          <w:sz w:val="24"/>
          <w:szCs w:val="24"/>
        </w:rPr>
        <w:t xml:space="preserve">who were </w:t>
      </w:r>
      <w:r w:rsidR="00275E51" w:rsidRPr="00260584">
        <w:rPr>
          <w:rFonts w:ascii="Book Antiqua" w:hAnsi="Book Antiqua" w:cs="Times New Roman"/>
          <w:sz w:val="24"/>
          <w:szCs w:val="24"/>
        </w:rPr>
        <w:t>treated with</w:t>
      </w:r>
      <w:r w:rsidR="007740AC" w:rsidRPr="00260584">
        <w:rPr>
          <w:rFonts w:ascii="Book Antiqua" w:hAnsi="Book Antiqua" w:cs="Times New Roman"/>
          <w:sz w:val="24"/>
          <w:szCs w:val="24"/>
        </w:rPr>
        <w:t xml:space="preserve"> </w:t>
      </w:r>
      <w:r w:rsidR="00275E51" w:rsidRPr="00260584">
        <w:rPr>
          <w:rFonts w:ascii="Book Antiqua" w:hAnsi="Book Antiqua" w:cs="Times New Roman"/>
          <w:sz w:val="24"/>
          <w:szCs w:val="24"/>
        </w:rPr>
        <w:t>HEC/MEC</w:t>
      </w:r>
      <w:r w:rsidRPr="00260584">
        <w:rPr>
          <w:rFonts w:ascii="Book Antiqua" w:hAnsi="Book Antiqua" w:cs="Times New Roman"/>
          <w:sz w:val="24"/>
          <w:szCs w:val="24"/>
        </w:rPr>
        <w:t xml:space="preserve"> </w:t>
      </w:r>
      <w:r w:rsidR="009D0BAC" w:rsidRPr="00260584">
        <w:rPr>
          <w:rFonts w:ascii="Book Antiqua" w:hAnsi="Book Antiqua" w:cs="Times New Roman"/>
          <w:sz w:val="24"/>
          <w:szCs w:val="24"/>
        </w:rPr>
        <w:t>and prescribed NEPA</w:t>
      </w:r>
      <w:r w:rsidR="00D3292A" w:rsidRPr="00260584">
        <w:rPr>
          <w:rFonts w:ascii="Book Antiqua" w:hAnsi="Book Antiqua" w:cs="Times New Roman"/>
          <w:sz w:val="24"/>
          <w:szCs w:val="24"/>
        </w:rPr>
        <w:t xml:space="preserve"> </w:t>
      </w:r>
      <w:r w:rsidRPr="00260584">
        <w:rPr>
          <w:rFonts w:ascii="Book Antiqua" w:hAnsi="Book Antiqua" w:cs="Times New Roman"/>
          <w:sz w:val="24"/>
          <w:szCs w:val="24"/>
        </w:rPr>
        <w:t>irrespective of the number of chemotherapy cycles</w:t>
      </w:r>
      <w:r w:rsidR="009D0BAC" w:rsidRPr="00260584">
        <w:rPr>
          <w:rFonts w:ascii="Book Antiqua" w:hAnsi="Book Antiqua" w:cs="Times New Roman"/>
          <w:sz w:val="24"/>
          <w:szCs w:val="24"/>
        </w:rPr>
        <w:t xml:space="preserve"> f</w:t>
      </w:r>
      <w:r w:rsidR="002E6454" w:rsidRPr="00260584">
        <w:rPr>
          <w:rFonts w:ascii="Book Antiqua" w:hAnsi="Book Antiqua" w:cs="Times New Roman"/>
          <w:sz w:val="24"/>
          <w:szCs w:val="24"/>
        </w:rPr>
        <w:t>r</w:t>
      </w:r>
      <w:r w:rsidR="009D0BAC" w:rsidRPr="00260584">
        <w:rPr>
          <w:rFonts w:ascii="Book Antiqua" w:hAnsi="Book Antiqua" w:cs="Times New Roman"/>
          <w:sz w:val="24"/>
          <w:szCs w:val="24"/>
        </w:rPr>
        <w:t>om</w:t>
      </w:r>
      <w:r w:rsidR="00D3292A" w:rsidRPr="00260584">
        <w:rPr>
          <w:rFonts w:ascii="Book Antiqua" w:hAnsi="Book Antiqua" w:cs="Times New Roman"/>
          <w:sz w:val="24"/>
          <w:szCs w:val="24"/>
        </w:rPr>
        <w:t xml:space="preserve"> </w:t>
      </w:r>
      <w:r w:rsidR="00FF41D3" w:rsidRPr="00260584">
        <w:rPr>
          <w:rFonts w:ascii="Book Antiqua" w:hAnsi="Book Antiqua" w:cs="Times New Roman"/>
          <w:sz w:val="24"/>
          <w:szCs w:val="24"/>
        </w:rPr>
        <w:t xml:space="preserve">June 2019 to December 2019 </w:t>
      </w:r>
      <w:r w:rsidR="007740AC" w:rsidRPr="00260584">
        <w:rPr>
          <w:rFonts w:ascii="Book Antiqua" w:hAnsi="Book Antiqua" w:cs="Times New Roman"/>
          <w:sz w:val="24"/>
          <w:szCs w:val="24"/>
        </w:rPr>
        <w:t xml:space="preserve">were </w:t>
      </w:r>
      <w:r w:rsidR="00275E51" w:rsidRPr="00260584">
        <w:rPr>
          <w:rFonts w:ascii="Book Antiqua" w:hAnsi="Book Antiqua" w:cs="Times New Roman"/>
          <w:sz w:val="24"/>
          <w:szCs w:val="24"/>
        </w:rPr>
        <w:t>identified from the patient datab</w:t>
      </w:r>
      <w:r w:rsidR="001366D0" w:rsidRPr="00260584">
        <w:rPr>
          <w:rFonts w:ascii="Book Antiqua" w:hAnsi="Book Antiqua" w:cs="Times New Roman"/>
          <w:sz w:val="24"/>
          <w:szCs w:val="24"/>
        </w:rPr>
        <w:t>a</w:t>
      </w:r>
      <w:r w:rsidR="00275E51" w:rsidRPr="00260584">
        <w:rPr>
          <w:rFonts w:ascii="Book Antiqua" w:hAnsi="Book Antiqua" w:cs="Times New Roman"/>
          <w:sz w:val="24"/>
          <w:szCs w:val="24"/>
        </w:rPr>
        <w:t>se at our centre</w:t>
      </w:r>
      <w:r w:rsidR="00B045AC" w:rsidRPr="00260584">
        <w:rPr>
          <w:rFonts w:ascii="Book Antiqua" w:hAnsi="Book Antiqua" w:cs="Times New Roman"/>
          <w:sz w:val="24"/>
          <w:szCs w:val="24"/>
        </w:rPr>
        <w:t>.</w:t>
      </w:r>
      <w:r w:rsidR="007740AC" w:rsidRPr="00260584">
        <w:rPr>
          <w:rFonts w:ascii="Book Antiqua" w:hAnsi="Book Antiqua" w:cs="Times New Roman"/>
          <w:sz w:val="24"/>
          <w:szCs w:val="24"/>
        </w:rPr>
        <w:t xml:space="preserve"> </w:t>
      </w:r>
      <w:r w:rsidR="004F18EE" w:rsidRPr="00260584">
        <w:rPr>
          <w:rFonts w:ascii="Book Antiqua" w:hAnsi="Book Antiqua" w:cs="Times New Roman"/>
          <w:sz w:val="24"/>
          <w:szCs w:val="24"/>
        </w:rPr>
        <w:t>Any patient treated with low-emetogenic chemotherapy or those who received chemotherapy with minimal emetogenic potential were excluded.</w:t>
      </w:r>
      <w:r w:rsidR="00BC5EA8" w:rsidRPr="00260584">
        <w:rPr>
          <w:rFonts w:ascii="Book Antiqua" w:hAnsi="Book Antiqua" w:cs="Times New Roman"/>
          <w:sz w:val="24"/>
          <w:szCs w:val="24"/>
        </w:rPr>
        <w:t xml:space="preserve"> </w:t>
      </w:r>
    </w:p>
    <w:p w14:paraId="0A062E6D" w14:textId="77777777" w:rsidR="0004770C" w:rsidRPr="00260584" w:rsidRDefault="0004770C" w:rsidP="00260584">
      <w:pPr>
        <w:adjustRightInd w:val="0"/>
        <w:snapToGrid w:val="0"/>
        <w:spacing w:after="0" w:line="360" w:lineRule="auto"/>
        <w:jc w:val="both"/>
        <w:rPr>
          <w:rFonts w:ascii="Book Antiqua" w:hAnsi="Book Antiqua" w:cs="Times New Roman"/>
          <w:b/>
          <w:bCs/>
          <w:i/>
          <w:iCs/>
          <w:sz w:val="24"/>
          <w:szCs w:val="24"/>
        </w:rPr>
      </w:pPr>
    </w:p>
    <w:p w14:paraId="09B6B9AA" w14:textId="3B641854" w:rsidR="009C48CA" w:rsidRPr="00260584" w:rsidRDefault="00BC5EA8" w:rsidP="00260584">
      <w:pPr>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T</w:t>
      </w:r>
      <w:r w:rsidR="00B045AC" w:rsidRPr="00260584">
        <w:rPr>
          <w:rFonts w:ascii="Book Antiqua" w:hAnsi="Book Antiqua" w:cs="Times New Roman"/>
          <w:b/>
          <w:bCs/>
          <w:i/>
          <w:iCs/>
          <w:sz w:val="24"/>
          <w:szCs w:val="24"/>
        </w:rPr>
        <w:t>reatment schedule</w:t>
      </w:r>
      <w:r w:rsidRPr="00260584">
        <w:rPr>
          <w:rFonts w:ascii="Book Antiqua" w:hAnsi="Book Antiqua" w:cs="Times New Roman"/>
          <w:b/>
          <w:bCs/>
          <w:i/>
          <w:iCs/>
          <w:sz w:val="24"/>
          <w:szCs w:val="24"/>
        </w:rPr>
        <w:t xml:space="preserve"> in participants</w:t>
      </w:r>
    </w:p>
    <w:p w14:paraId="1707BCF0" w14:textId="3CD6EBFF" w:rsidR="00F97AA1" w:rsidRPr="00260584" w:rsidRDefault="001B043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After identifying the patients from the datab</w:t>
      </w:r>
      <w:r w:rsidR="009B3866" w:rsidRPr="00260584">
        <w:rPr>
          <w:rFonts w:ascii="Book Antiqua" w:hAnsi="Book Antiqua" w:cs="Times New Roman"/>
          <w:sz w:val="24"/>
          <w:szCs w:val="24"/>
        </w:rPr>
        <w:t>a</w:t>
      </w:r>
      <w:r w:rsidRPr="00260584">
        <w:rPr>
          <w:rFonts w:ascii="Book Antiqua" w:hAnsi="Book Antiqua" w:cs="Times New Roman"/>
          <w:sz w:val="24"/>
          <w:szCs w:val="24"/>
        </w:rPr>
        <w:t>se, their</w:t>
      </w:r>
      <w:r w:rsidR="004620CC" w:rsidRPr="00260584">
        <w:rPr>
          <w:rFonts w:ascii="Book Antiqua" w:hAnsi="Book Antiqua" w:cs="Times New Roman"/>
          <w:sz w:val="24"/>
          <w:szCs w:val="24"/>
        </w:rPr>
        <w:t xml:space="preserve"> demographic and baseline data </w:t>
      </w:r>
      <w:r w:rsidR="00915B6A" w:rsidRPr="00260584">
        <w:rPr>
          <w:rFonts w:ascii="Book Antiqua" w:hAnsi="Book Antiqua" w:cs="Times New Roman"/>
          <w:sz w:val="24"/>
          <w:szCs w:val="24"/>
        </w:rPr>
        <w:t xml:space="preserve">mentioned in medical records </w:t>
      </w:r>
      <w:r w:rsidR="004620CC" w:rsidRPr="00260584">
        <w:rPr>
          <w:rFonts w:ascii="Book Antiqua" w:hAnsi="Book Antiqua" w:cs="Times New Roman"/>
          <w:sz w:val="24"/>
          <w:szCs w:val="24"/>
        </w:rPr>
        <w:t xml:space="preserve">was captured in </w:t>
      </w:r>
      <w:r w:rsidR="00A67FC0" w:rsidRPr="00260584">
        <w:rPr>
          <w:rFonts w:ascii="Book Antiqua" w:hAnsi="Book Antiqua" w:cs="Times New Roman"/>
          <w:sz w:val="24"/>
          <w:szCs w:val="24"/>
        </w:rPr>
        <w:t>structured</w:t>
      </w:r>
      <w:r w:rsidR="004620CC" w:rsidRPr="00260584">
        <w:rPr>
          <w:rFonts w:ascii="Book Antiqua" w:hAnsi="Book Antiqua" w:cs="Times New Roman"/>
          <w:sz w:val="24"/>
          <w:szCs w:val="24"/>
        </w:rPr>
        <w:t xml:space="preserve"> case record form. Demographic data included age, gender, and clinical data on type of </w:t>
      </w:r>
      <w:r w:rsidR="00A67FC0" w:rsidRPr="00260584">
        <w:rPr>
          <w:rFonts w:ascii="Book Antiqua" w:hAnsi="Book Antiqua" w:cs="Times New Roman"/>
          <w:sz w:val="24"/>
          <w:szCs w:val="24"/>
        </w:rPr>
        <w:t>chemotherapy</w:t>
      </w:r>
      <w:r w:rsidR="004620CC" w:rsidRPr="00260584">
        <w:rPr>
          <w:rFonts w:ascii="Book Antiqua" w:hAnsi="Book Antiqua" w:cs="Times New Roman"/>
          <w:sz w:val="24"/>
          <w:szCs w:val="24"/>
        </w:rPr>
        <w:t xml:space="preserve">, current number of </w:t>
      </w:r>
      <w:r w:rsidR="00A67FC0" w:rsidRPr="00260584">
        <w:rPr>
          <w:rFonts w:ascii="Book Antiqua" w:hAnsi="Book Antiqua" w:cs="Times New Roman"/>
          <w:sz w:val="24"/>
          <w:szCs w:val="24"/>
        </w:rPr>
        <w:t>cycles</w:t>
      </w:r>
      <w:r w:rsidR="004620CC" w:rsidRPr="00260584">
        <w:rPr>
          <w:rFonts w:ascii="Book Antiqua" w:hAnsi="Book Antiqua" w:cs="Times New Roman"/>
          <w:sz w:val="24"/>
          <w:szCs w:val="24"/>
        </w:rPr>
        <w:t xml:space="preserve">, </w:t>
      </w:r>
      <w:r w:rsidR="004620CC" w:rsidRPr="00260584">
        <w:rPr>
          <w:rFonts w:ascii="Book Antiqua" w:hAnsi="Book Antiqua" w:cs="Times New Roman"/>
          <w:i/>
          <w:iCs/>
          <w:sz w:val="24"/>
          <w:szCs w:val="24"/>
        </w:rPr>
        <w:t>etc</w:t>
      </w:r>
      <w:r w:rsidR="004620CC" w:rsidRPr="00260584">
        <w:rPr>
          <w:rFonts w:ascii="Book Antiqua" w:hAnsi="Book Antiqua" w:cs="Times New Roman"/>
          <w:sz w:val="24"/>
          <w:szCs w:val="24"/>
        </w:rPr>
        <w:t xml:space="preserve">. were noted. </w:t>
      </w:r>
      <w:r w:rsidR="00D9449F" w:rsidRPr="00260584">
        <w:rPr>
          <w:rFonts w:ascii="Book Antiqua" w:hAnsi="Book Antiqua" w:cs="Times New Roman"/>
          <w:sz w:val="24"/>
          <w:szCs w:val="24"/>
        </w:rPr>
        <w:t xml:space="preserve">As a standard practice, the given treatment schedule </w:t>
      </w:r>
      <w:r w:rsidR="00F97AA1" w:rsidRPr="00260584">
        <w:rPr>
          <w:rFonts w:ascii="Book Antiqua" w:hAnsi="Book Antiqua" w:cs="Times New Roman"/>
          <w:sz w:val="24"/>
          <w:szCs w:val="24"/>
        </w:rPr>
        <w:t xml:space="preserve">was followed </w:t>
      </w:r>
      <w:r w:rsidR="00D9449F" w:rsidRPr="00260584">
        <w:rPr>
          <w:rFonts w:ascii="Book Antiqua" w:hAnsi="Book Antiqua" w:cs="Times New Roman"/>
          <w:sz w:val="24"/>
          <w:szCs w:val="24"/>
        </w:rPr>
        <w:t xml:space="preserve">in all patients </w:t>
      </w:r>
      <w:r w:rsidR="00F97AA1" w:rsidRPr="00260584">
        <w:rPr>
          <w:rFonts w:ascii="Book Antiqua" w:hAnsi="Book Antiqua" w:cs="Times New Roman"/>
          <w:sz w:val="24"/>
          <w:szCs w:val="24"/>
        </w:rPr>
        <w:t xml:space="preserve">for prevention of CINV. </w:t>
      </w:r>
    </w:p>
    <w:p w14:paraId="2EA06123" w14:textId="68DC6CF4" w:rsidR="007E1F0F" w:rsidRPr="00260584" w:rsidRDefault="004620CC"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Before initiating </w:t>
      </w:r>
      <w:r w:rsidR="00F123FD" w:rsidRPr="00260584">
        <w:rPr>
          <w:rFonts w:ascii="Book Antiqua" w:hAnsi="Book Antiqua" w:cs="Times New Roman"/>
          <w:sz w:val="24"/>
          <w:szCs w:val="24"/>
        </w:rPr>
        <w:t xml:space="preserve">chemotherapy, all patients </w:t>
      </w:r>
      <w:r w:rsidR="00CD6AEB" w:rsidRPr="00260584">
        <w:rPr>
          <w:rFonts w:ascii="Book Antiqua" w:hAnsi="Book Antiqua" w:cs="Times New Roman"/>
          <w:sz w:val="24"/>
          <w:szCs w:val="24"/>
        </w:rPr>
        <w:t xml:space="preserve">were treated with </w:t>
      </w:r>
      <w:r w:rsidR="00CD6AEB" w:rsidRPr="00260584">
        <w:rPr>
          <w:rFonts w:ascii="Book Antiqua" w:hAnsi="Book Antiqua"/>
          <w:bCs/>
          <w:sz w:val="24"/>
          <w:szCs w:val="24"/>
        </w:rPr>
        <w:t xml:space="preserve">a single oral capsule of </w:t>
      </w:r>
      <w:proofErr w:type="spellStart"/>
      <w:r w:rsidR="00CD6AEB" w:rsidRPr="00260584">
        <w:rPr>
          <w:rFonts w:ascii="Book Antiqua" w:hAnsi="Book Antiqua"/>
          <w:bCs/>
          <w:sz w:val="24"/>
          <w:szCs w:val="24"/>
        </w:rPr>
        <w:t>netupitant</w:t>
      </w:r>
      <w:proofErr w:type="spellEnd"/>
      <w:r w:rsidR="00CD6AEB" w:rsidRPr="00260584">
        <w:rPr>
          <w:rFonts w:ascii="Book Antiqua" w:hAnsi="Book Antiqua"/>
          <w:bCs/>
          <w:sz w:val="24"/>
          <w:szCs w:val="24"/>
        </w:rPr>
        <w:t xml:space="preserve"> 300 mg and palonosetron hydrochloride 0.5</w:t>
      </w:r>
      <w:r w:rsidR="0004770C" w:rsidRPr="00260584">
        <w:rPr>
          <w:rFonts w:ascii="Book Antiqua" w:hAnsi="Book Antiqua"/>
          <w:bCs/>
          <w:sz w:val="24"/>
          <w:szCs w:val="24"/>
        </w:rPr>
        <w:t xml:space="preserve"> </w:t>
      </w:r>
      <w:r w:rsidR="00CD6AEB" w:rsidRPr="00260584">
        <w:rPr>
          <w:rFonts w:ascii="Book Antiqua" w:hAnsi="Book Antiqua"/>
          <w:bCs/>
          <w:sz w:val="24"/>
          <w:szCs w:val="24"/>
        </w:rPr>
        <w:t>mg</w:t>
      </w:r>
      <w:r w:rsidR="00CD6AEB" w:rsidRPr="00260584">
        <w:rPr>
          <w:rFonts w:ascii="Book Antiqua" w:hAnsi="Book Antiqua" w:cs="Times New Roman"/>
          <w:sz w:val="24"/>
          <w:szCs w:val="24"/>
        </w:rPr>
        <w:t xml:space="preserve">. </w:t>
      </w:r>
      <w:r w:rsidR="00A67FC0" w:rsidRPr="00260584">
        <w:rPr>
          <w:rFonts w:ascii="Book Antiqua" w:hAnsi="Book Antiqua" w:cs="Times New Roman"/>
          <w:sz w:val="24"/>
          <w:szCs w:val="24"/>
        </w:rPr>
        <w:t>After</w:t>
      </w:r>
      <w:r w:rsidR="00DC74B3" w:rsidRPr="00260584">
        <w:rPr>
          <w:rFonts w:ascii="Book Antiqua" w:hAnsi="Book Antiqua" w:cs="Times New Roman"/>
          <w:sz w:val="24"/>
          <w:szCs w:val="24"/>
        </w:rPr>
        <w:t xml:space="preserve"> 60 min, chemotherapy was initiated. </w:t>
      </w:r>
      <w:r w:rsidR="00A67FC0" w:rsidRPr="00260584">
        <w:rPr>
          <w:rFonts w:ascii="Book Antiqua" w:hAnsi="Book Antiqua" w:cs="Times New Roman"/>
          <w:sz w:val="24"/>
          <w:szCs w:val="24"/>
        </w:rPr>
        <w:t>Dexamethasone</w:t>
      </w:r>
      <w:r w:rsidR="00690EAD" w:rsidRPr="00260584">
        <w:rPr>
          <w:rFonts w:ascii="Book Antiqua" w:hAnsi="Book Antiqua" w:cs="Times New Roman"/>
          <w:sz w:val="24"/>
          <w:szCs w:val="24"/>
        </w:rPr>
        <w:t xml:space="preserve"> (12</w:t>
      </w:r>
      <w:r w:rsidR="0004770C" w:rsidRPr="00260584">
        <w:rPr>
          <w:rFonts w:ascii="Book Antiqua" w:hAnsi="Book Antiqua" w:cs="Times New Roman"/>
          <w:sz w:val="24"/>
          <w:szCs w:val="24"/>
        </w:rPr>
        <w:t xml:space="preserve"> </w:t>
      </w:r>
      <w:r w:rsidR="00690EAD" w:rsidRPr="00260584">
        <w:rPr>
          <w:rFonts w:ascii="Book Antiqua" w:hAnsi="Book Antiqua" w:cs="Times New Roman"/>
          <w:sz w:val="24"/>
          <w:szCs w:val="24"/>
        </w:rPr>
        <w:t xml:space="preserve">mg </w:t>
      </w:r>
      <w:r w:rsidR="00324542" w:rsidRPr="00260584">
        <w:rPr>
          <w:rFonts w:ascii="Book Antiqua" w:hAnsi="Book Antiqua" w:cs="Times New Roman"/>
          <w:sz w:val="24"/>
          <w:szCs w:val="24"/>
        </w:rPr>
        <w:t>intravenous</w:t>
      </w:r>
      <w:r w:rsidR="00690EAD" w:rsidRPr="00260584">
        <w:rPr>
          <w:rFonts w:ascii="Book Antiqua" w:hAnsi="Book Antiqua" w:cs="Times New Roman"/>
          <w:sz w:val="24"/>
          <w:szCs w:val="24"/>
        </w:rPr>
        <w:t xml:space="preserve"> once)</w:t>
      </w:r>
      <w:r w:rsidR="00B84060" w:rsidRPr="00260584">
        <w:rPr>
          <w:rFonts w:ascii="Book Antiqua" w:hAnsi="Book Antiqua" w:cs="Times New Roman"/>
          <w:sz w:val="24"/>
          <w:szCs w:val="24"/>
        </w:rPr>
        <w:t xml:space="preserve"> </w:t>
      </w:r>
      <w:r w:rsidR="007F305A" w:rsidRPr="00260584">
        <w:rPr>
          <w:rFonts w:ascii="Book Antiqua" w:hAnsi="Book Antiqua" w:cs="Times New Roman"/>
          <w:sz w:val="24"/>
          <w:szCs w:val="24"/>
        </w:rPr>
        <w:t xml:space="preserve">was concomitantly administered </w:t>
      </w:r>
      <w:r w:rsidR="007709D7" w:rsidRPr="00260584">
        <w:rPr>
          <w:rFonts w:ascii="Book Antiqua" w:hAnsi="Book Antiqua" w:cs="Times New Roman"/>
          <w:sz w:val="24"/>
          <w:szCs w:val="24"/>
        </w:rPr>
        <w:t xml:space="preserve">intravenously </w:t>
      </w:r>
      <w:r w:rsidR="007F305A" w:rsidRPr="00260584">
        <w:rPr>
          <w:rFonts w:ascii="Book Antiqua" w:hAnsi="Book Antiqua" w:cs="Times New Roman"/>
          <w:sz w:val="24"/>
          <w:szCs w:val="24"/>
        </w:rPr>
        <w:t>in all patients.</w:t>
      </w:r>
      <w:r w:rsidR="00F116C4" w:rsidRPr="00260584">
        <w:rPr>
          <w:rFonts w:ascii="Book Antiqua" w:hAnsi="Book Antiqua" w:cs="Times New Roman"/>
          <w:sz w:val="24"/>
          <w:szCs w:val="24"/>
        </w:rPr>
        <w:t xml:space="preserve"> Data on nausea and </w:t>
      </w:r>
      <w:r w:rsidR="00F116C4" w:rsidRPr="00260584">
        <w:rPr>
          <w:rFonts w:ascii="Book Antiqua" w:hAnsi="Book Antiqua" w:cs="Times New Roman"/>
          <w:sz w:val="24"/>
          <w:szCs w:val="24"/>
        </w:rPr>
        <w:lastRenderedPageBreak/>
        <w:t>vomiting was captured by patients in patient diaries which were available with their medical records. From these diaries, events of nausea and vomiting were identified during first 24 h and over day</w:t>
      </w:r>
      <w:r w:rsidR="001366D0" w:rsidRPr="00260584">
        <w:rPr>
          <w:rFonts w:ascii="Book Antiqua" w:hAnsi="Book Antiqua" w:cs="Times New Roman"/>
          <w:sz w:val="24"/>
          <w:szCs w:val="24"/>
        </w:rPr>
        <w:t xml:space="preserve"> 1</w:t>
      </w:r>
      <w:r w:rsidR="00F116C4" w:rsidRPr="00260584">
        <w:rPr>
          <w:rFonts w:ascii="Book Antiqua" w:hAnsi="Book Antiqua" w:cs="Times New Roman"/>
          <w:sz w:val="24"/>
          <w:szCs w:val="24"/>
        </w:rPr>
        <w:t xml:space="preserve"> to day 5.</w:t>
      </w:r>
      <w:r w:rsidR="007F305A" w:rsidRPr="00260584">
        <w:rPr>
          <w:rFonts w:ascii="Book Antiqua" w:hAnsi="Book Antiqua" w:cs="Times New Roman"/>
          <w:sz w:val="24"/>
          <w:szCs w:val="24"/>
        </w:rPr>
        <w:t xml:space="preserve"> </w:t>
      </w:r>
      <w:r w:rsidR="00F116C4" w:rsidRPr="00260584">
        <w:rPr>
          <w:rFonts w:ascii="Book Antiqua" w:hAnsi="Book Antiqua" w:cs="Times New Roman"/>
          <w:sz w:val="24"/>
          <w:szCs w:val="24"/>
        </w:rPr>
        <w:t>Events that occurred within first 24 h were considered as acute CINV and those between day 2 and</w:t>
      </w:r>
      <w:r w:rsidR="006D2ECA" w:rsidRPr="00260584">
        <w:rPr>
          <w:rFonts w:ascii="Book Antiqua" w:hAnsi="Book Antiqua" w:cs="Times New Roman"/>
          <w:sz w:val="24"/>
          <w:szCs w:val="24"/>
        </w:rPr>
        <w:t xml:space="preserve"> day</w:t>
      </w:r>
      <w:r w:rsidR="00F116C4" w:rsidRPr="00260584">
        <w:rPr>
          <w:rFonts w:ascii="Book Antiqua" w:hAnsi="Book Antiqua" w:cs="Times New Roman"/>
          <w:sz w:val="24"/>
          <w:szCs w:val="24"/>
        </w:rPr>
        <w:t xml:space="preserve"> 5 </w:t>
      </w:r>
      <w:r w:rsidR="00011EBB" w:rsidRPr="00260584">
        <w:rPr>
          <w:rFonts w:ascii="Book Antiqua" w:hAnsi="Book Antiqua" w:cs="Times New Roman"/>
          <w:sz w:val="24"/>
          <w:szCs w:val="24"/>
        </w:rPr>
        <w:t>were considered as delayed CINV ( Figure 1).</w:t>
      </w:r>
    </w:p>
    <w:p w14:paraId="01F8B08E" w14:textId="77777777" w:rsidR="006D2ECA" w:rsidRPr="00260584" w:rsidRDefault="006D2ECA" w:rsidP="00260584">
      <w:pPr>
        <w:autoSpaceDE w:val="0"/>
        <w:autoSpaceDN w:val="0"/>
        <w:adjustRightInd w:val="0"/>
        <w:snapToGrid w:val="0"/>
        <w:spacing w:after="0" w:line="360" w:lineRule="auto"/>
        <w:jc w:val="both"/>
        <w:rPr>
          <w:rFonts w:ascii="Book Antiqua" w:hAnsi="Book Antiqua" w:cs="Times New Roman"/>
          <w:b/>
          <w:bCs/>
          <w:i/>
          <w:iCs/>
          <w:sz w:val="24"/>
          <w:szCs w:val="24"/>
        </w:rPr>
      </w:pPr>
    </w:p>
    <w:p w14:paraId="59BB47FE" w14:textId="352C5D01" w:rsidR="007740AC" w:rsidRPr="00260584" w:rsidRDefault="007740AC" w:rsidP="00260584">
      <w:pPr>
        <w:autoSpaceDE w:val="0"/>
        <w:autoSpaceDN w:val="0"/>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 xml:space="preserve">Outcome measurement </w:t>
      </w:r>
    </w:p>
    <w:p w14:paraId="00C5B1AC" w14:textId="42654F99" w:rsidR="009B46FD" w:rsidRPr="00260584" w:rsidRDefault="00111244"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The main outcome assessed was complete </w:t>
      </w:r>
      <w:r w:rsidR="00A67FC0" w:rsidRPr="00260584">
        <w:rPr>
          <w:rFonts w:ascii="Book Antiqua" w:hAnsi="Book Antiqua" w:cs="Times New Roman"/>
          <w:sz w:val="24"/>
          <w:szCs w:val="24"/>
        </w:rPr>
        <w:t>repose</w:t>
      </w:r>
      <w:r w:rsidRPr="00260584">
        <w:rPr>
          <w:rFonts w:ascii="Book Antiqua" w:hAnsi="Book Antiqua" w:cs="Times New Roman"/>
          <w:sz w:val="24"/>
          <w:szCs w:val="24"/>
        </w:rPr>
        <w:t xml:space="preserve"> (</w:t>
      </w:r>
      <w:bookmarkStart w:id="96" w:name="OLE_LINK8"/>
      <w:bookmarkStart w:id="97" w:name="OLE_LINK9"/>
      <w:r w:rsidR="002B0EAE" w:rsidRPr="00260584">
        <w:rPr>
          <w:rFonts w:ascii="Book Antiqua" w:hAnsi="Book Antiqua" w:cs="Times New Roman"/>
          <w:sz w:val="24"/>
          <w:szCs w:val="24"/>
        </w:rPr>
        <w:t>CR</w:t>
      </w:r>
      <w:bookmarkEnd w:id="96"/>
      <w:bookmarkEnd w:id="97"/>
      <w:r w:rsidRPr="00260584">
        <w:rPr>
          <w:rFonts w:ascii="Book Antiqua" w:hAnsi="Book Antiqua" w:cs="Times New Roman"/>
          <w:sz w:val="24"/>
          <w:szCs w:val="24"/>
        </w:rPr>
        <w:t>)</w:t>
      </w:r>
      <w:r w:rsidR="00843266" w:rsidRPr="00260584">
        <w:rPr>
          <w:rFonts w:ascii="Book Antiqua" w:hAnsi="Book Antiqua" w:cs="Times New Roman"/>
          <w:sz w:val="24"/>
          <w:szCs w:val="24"/>
        </w:rPr>
        <w:t xml:space="preserve"> to NEPA</w:t>
      </w:r>
      <w:r w:rsidRPr="00260584">
        <w:rPr>
          <w:rFonts w:ascii="Book Antiqua" w:hAnsi="Book Antiqua" w:cs="Times New Roman"/>
          <w:sz w:val="24"/>
          <w:szCs w:val="24"/>
        </w:rPr>
        <w:t xml:space="preserve">. </w:t>
      </w:r>
      <w:r w:rsidR="00BD3EFC" w:rsidRPr="00260584">
        <w:rPr>
          <w:rFonts w:ascii="Book Antiqua" w:hAnsi="Book Antiqua" w:cs="Times New Roman"/>
          <w:sz w:val="24"/>
          <w:szCs w:val="24"/>
        </w:rPr>
        <w:t xml:space="preserve">CR </w:t>
      </w:r>
      <w:r w:rsidRPr="00260584">
        <w:rPr>
          <w:rFonts w:ascii="Book Antiqua" w:hAnsi="Book Antiqua" w:cs="Times New Roman"/>
          <w:sz w:val="24"/>
          <w:szCs w:val="24"/>
        </w:rPr>
        <w:t xml:space="preserve">was defined </w:t>
      </w:r>
      <w:r w:rsidR="00BE39FB" w:rsidRPr="00260584">
        <w:rPr>
          <w:rFonts w:ascii="Book Antiqua" w:hAnsi="Book Antiqua" w:cs="Times New Roman"/>
          <w:sz w:val="24"/>
          <w:szCs w:val="24"/>
        </w:rPr>
        <w:t>as</w:t>
      </w:r>
      <w:r w:rsidRPr="00260584">
        <w:rPr>
          <w:rFonts w:ascii="Book Antiqua" w:hAnsi="Book Antiqua" w:cs="Times New Roman"/>
          <w:sz w:val="24"/>
          <w:szCs w:val="24"/>
        </w:rPr>
        <w:t xml:space="preserve"> </w:t>
      </w:r>
      <w:r w:rsidR="00BD3EFC" w:rsidRPr="00260584">
        <w:rPr>
          <w:rFonts w:ascii="Book Antiqua" w:hAnsi="Book Antiqua" w:cs="Times New Roman"/>
          <w:sz w:val="24"/>
          <w:szCs w:val="24"/>
        </w:rPr>
        <w:t>no emesis</w:t>
      </w:r>
      <w:r w:rsidRPr="00260584">
        <w:rPr>
          <w:rFonts w:ascii="Book Antiqua" w:hAnsi="Book Antiqua" w:cs="Times New Roman"/>
          <w:sz w:val="24"/>
          <w:szCs w:val="24"/>
        </w:rPr>
        <w:t xml:space="preserve"> or</w:t>
      </w:r>
      <w:r w:rsidR="00843266" w:rsidRPr="00260584">
        <w:rPr>
          <w:rFonts w:ascii="Book Antiqua" w:hAnsi="Book Antiqua" w:cs="Times New Roman"/>
          <w:sz w:val="24"/>
          <w:szCs w:val="24"/>
        </w:rPr>
        <w:t xml:space="preserve"> </w:t>
      </w:r>
      <w:r w:rsidR="00BD3EFC" w:rsidRPr="00260584">
        <w:rPr>
          <w:rFonts w:ascii="Book Antiqua" w:hAnsi="Book Antiqua" w:cs="Times New Roman"/>
          <w:sz w:val="24"/>
          <w:szCs w:val="24"/>
        </w:rPr>
        <w:t xml:space="preserve">no </w:t>
      </w:r>
      <w:r w:rsidRPr="00260584">
        <w:rPr>
          <w:rFonts w:ascii="Book Antiqua" w:hAnsi="Book Antiqua" w:cs="Times New Roman"/>
          <w:sz w:val="24"/>
          <w:szCs w:val="24"/>
        </w:rPr>
        <w:t xml:space="preserve">requirement of </w:t>
      </w:r>
      <w:r w:rsidR="00BD3EFC" w:rsidRPr="00260584">
        <w:rPr>
          <w:rFonts w:ascii="Book Antiqua" w:hAnsi="Book Antiqua" w:cs="Times New Roman"/>
          <w:sz w:val="24"/>
          <w:szCs w:val="24"/>
        </w:rPr>
        <w:t>rescue medication</w:t>
      </w:r>
      <w:r w:rsidRPr="00260584">
        <w:rPr>
          <w:rFonts w:ascii="Book Antiqua" w:hAnsi="Book Antiqua" w:cs="Times New Roman"/>
          <w:sz w:val="24"/>
          <w:szCs w:val="24"/>
        </w:rPr>
        <w:t>. CR was determined in acute phase</w:t>
      </w:r>
      <w:r w:rsidR="00BD3EFC" w:rsidRPr="00260584">
        <w:rPr>
          <w:rFonts w:ascii="Book Antiqua" w:hAnsi="Book Antiqua" w:cs="Times New Roman"/>
          <w:sz w:val="24"/>
          <w:szCs w:val="24"/>
        </w:rPr>
        <w:t xml:space="preserve"> </w:t>
      </w:r>
      <w:r w:rsidRPr="00260584">
        <w:rPr>
          <w:rFonts w:ascii="Book Antiqua" w:hAnsi="Book Antiqua" w:cs="Times New Roman"/>
          <w:sz w:val="24"/>
          <w:szCs w:val="24"/>
        </w:rPr>
        <w:t>(</w:t>
      </w:r>
      <w:r w:rsidR="00BD3EFC" w:rsidRPr="00260584">
        <w:rPr>
          <w:rFonts w:ascii="Book Antiqua" w:hAnsi="Book Antiqua" w:cs="Times New Roman"/>
          <w:sz w:val="24"/>
          <w:szCs w:val="24"/>
        </w:rPr>
        <w:t>0-24 h</w:t>
      </w:r>
      <w:r w:rsidRPr="00260584">
        <w:rPr>
          <w:rFonts w:ascii="Book Antiqua" w:hAnsi="Book Antiqua" w:cs="Times New Roman"/>
          <w:sz w:val="24"/>
          <w:szCs w:val="24"/>
        </w:rPr>
        <w:t>)</w:t>
      </w:r>
      <w:r w:rsidR="00BD3EFC" w:rsidRPr="00260584">
        <w:rPr>
          <w:rFonts w:ascii="Book Antiqua" w:hAnsi="Book Antiqua" w:cs="Times New Roman"/>
          <w:sz w:val="24"/>
          <w:szCs w:val="24"/>
        </w:rPr>
        <w:t xml:space="preserve">, </w:t>
      </w:r>
      <w:r w:rsidRPr="00260584">
        <w:rPr>
          <w:rFonts w:ascii="Book Antiqua" w:hAnsi="Book Antiqua" w:cs="Times New Roman"/>
          <w:sz w:val="24"/>
          <w:szCs w:val="24"/>
        </w:rPr>
        <w:t>delayed phase (</w:t>
      </w:r>
      <w:r w:rsidR="00BD3EFC" w:rsidRPr="00260584">
        <w:rPr>
          <w:rFonts w:ascii="Book Antiqua" w:hAnsi="Book Antiqua" w:cs="Times New Roman"/>
          <w:sz w:val="24"/>
          <w:szCs w:val="24"/>
        </w:rPr>
        <w:t>24</w:t>
      </w:r>
      <w:r w:rsidR="006D2ECA" w:rsidRPr="00260584">
        <w:rPr>
          <w:rFonts w:ascii="Book Antiqua" w:hAnsi="Book Antiqua" w:cs="Times New Roman"/>
          <w:sz w:val="24"/>
          <w:szCs w:val="24"/>
        </w:rPr>
        <w:t>-</w:t>
      </w:r>
      <w:r w:rsidR="00BD3EFC" w:rsidRPr="00260584">
        <w:rPr>
          <w:rFonts w:ascii="Book Antiqua" w:hAnsi="Book Antiqua" w:cs="Times New Roman"/>
          <w:sz w:val="24"/>
          <w:szCs w:val="24"/>
        </w:rPr>
        <w:t>120 h</w:t>
      </w:r>
      <w:r w:rsidRPr="00260584">
        <w:rPr>
          <w:rFonts w:ascii="Book Antiqua" w:hAnsi="Book Antiqua" w:cs="Times New Roman"/>
          <w:sz w:val="24"/>
          <w:szCs w:val="24"/>
        </w:rPr>
        <w:t>)</w:t>
      </w:r>
      <w:r w:rsidR="00BD3EFC" w:rsidRPr="00260584">
        <w:rPr>
          <w:rFonts w:ascii="Book Antiqua" w:hAnsi="Book Antiqua" w:cs="Times New Roman"/>
          <w:sz w:val="24"/>
          <w:szCs w:val="24"/>
        </w:rPr>
        <w:t xml:space="preserve"> </w:t>
      </w:r>
      <w:r w:rsidR="000F1495" w:rsidRPr="00260584">
        <w:rPr>
          <w:rFonts w:ascii="Book Antiqua" w:hAnsi="Book Antiqua" w:cs="Times New Roman"/>
          <w:sz w:val="24"/>
          <w:szCs w:val="24"/>
        </w:rPr>
        <w:t xml:space="preserve">and in </w:t>
      </w:r>
      <w:r w:rsidR="00BD3EFC" w:rsidRPr="00260584">
        <w:rPr>
          <w:rFonts w:ascii="Book Antiqua" w:hAnsi="Book Antiqua" w:cs="Times New Roman"/>
          <w:sz w:val="24"/>
          <w:szCs w:val="24"/>
        </w:rPr>
        <w:t>overall phase</w:t>
      </w:r>
      <w:r w:rsidR="000F1495" w:rsidRPr="00260584">
        <w:rPr>
          <w:rFonts w:ascii="Book Antiqua" w:hAnsi="Book Antiqua" w:cs="Times New Roman"/>
          <w:sz w:val="24"/>
          <w:szCs w:val="24"/>
        </w:rPr>
        <w:t xml:space="preserve"> (0-120 h)</w:t>
      </w:r>
      <w:r w:rsidR="00BD3EFC" w:rsidRPr="00260584">
        <w:rPr>
          <w:rFonts w:ascii="Book Antiqua" w:hAnsi="Book Antiqua" w:cs="Times New Roman"/>
          <w:sz w:val="24"/>
          <w:szCs w:val="24"/>
        </w:rPr>
        <w:t>.</w:t>
      </w:r>
      <w:r w:rsidR="00843266" w:rsidRPr="00260584">
        <w:rPr>
          <w:rFonts w:ascii="Book Antiqua" w:hAnsi="Book Antiqua" w:cs="Times New Roman"/>
          <w:sz w:val="24"/>
          <w:szCs w:val="24"/>
        </w:rPr>
        <w:t xml:space="preserve"> Overall CR was primary outcome measure.</w:t>
      </w:r>
      <w:r w:rsidR="00D258FA" w:rsidRPr="00260584">
        <w:rPr>
          <w:rFonts w:ascii="Book Antiqua" w:hAnsi="Book Antiqua" w:cs="Times New Roman"/>
          <w:sz w:val="24"/>
          <w:szCs w:val="24"/>
        </w:rPr>
        <w:t xml:space="preserve"> Effect of study drug was also evaluated by emetogenicity of chemotherapy as high and moderate as well as in by the cycle of chemotherapy.</w:t>
      </w:r>
    </w:p>
    <w:p w14:paraId="43AB690A" w14:textId="21E970E9" w:rsidR="006D2ECA" w:rsidRPr="00260584" w:rsidRDefault="006D2ECA" w:rsidP="00260584">
      <w:pPr>
        <w:autoSpaceDE w:val="0"/>
        <w:autoSpaceDN w:val="0"/>
        <w:adjustRightInd w:val="0"/>
        <w:snapToGrid w:val="0"/>
        <w:spacing w:after="0" w:line="360" w:lineRule="auto"/>
        <w:jc w:val="both"/>
        <w:rPr>
          <w:rFonts w:ascii="Book Antiqua" w:hAnsi="Book Antiqua" w:cs="Times New Roman"/>
          <w:sz w:val="24"/>
          <w:szCs w:val="24"/>
        </w:rPr>
      </w:pPr>
    </w:p>
    <w:p w14:paraId="1EDAF76A" w14:textId="77777777" w:rsidR="006D2ECA" w:rsidRPr="00260584" w:rsidRDefault="006D2ECA"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RESULTS</w:t>
      </w:r>
    </w:p>
    <w:p w14:paraId="48C222AC" w14:textId="181954E8" w:rsidR="009171CE" w:rsidRPr="00260584" w:rsidRDefault="00A67FC0"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cs="Times New Roman"/>
          <w:b/>
          <w:bCs/>
          <w:i/>
          <w:iCs/>
          <w:sz w:val="24"/>
          <w:szCs w:val="24"/>
        </w:rPr>
        <w:t>Baseline</w:t>
      </w:r>
      <w:r w:rsidR="009171CE" w:rsidRPr="00260584">
        <w:rPr>
          <w:rFonts w:ascii="Book Antiqua" w:hAnsi="Book Antiqua" w:cs="Times New Roman"/>
          <w:b/>
          <w:bCs/>
          <w:i/>
          <w:iCs/>
          <w:sz w:val="24"/>
          <w:szCs w:val="24"/>
        </w:rPr>
        <w:t xml:space="preserve"> characteristics</w:t>
      </w:r>
    </w:p>
    <w:p w14:paraId="2DB63D1F" w14:textId="77777777" w:rsidR="000B3B93" w:rsidRPr="00260584" w:rsidRDefault="00723A6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In total, 403 patients </w:t>
      </w:r>
      <w:r w:rsidR="009F116D" w:rsidRPr="00260584">
        <w:rPr>
          <w:rFonts w:ascii="Book Antiqua" w:hAnsi="Book Antiqua" w:cs="Times New Roman"/>
          <w:sz w:val="24"/>
          <w:szCs w:val="24"/>
        </w:rPr>
        <w:t>were identified and analysed</w:t>
      </w:r>
      <w:r w:rsidRPr="00260584">
        <w:rPr>
          <w:rFonts w:ascii="Book Antiqua" w:hAnsi="Book Antiqua" w:cs="Times New Roman"/>
          <w:sz w:val="24"/>
          <w:szCs w:val="24"/>
        </w:rPr>
        <w:t xml:space="preserve">. </w:t>
      </w:r>
      <w:r w:rsidR="0032031C" w:rsidRPr="00260584">
        <w:rPr>
          <w:rFonts w:ascii="Book Antiqua" w:hAnsi="Book Antiqua" w:cs="Times New Roman"/>
          <w:sz w:val="24"/>
          <w:szCs w:val="24"/>
        </w:rPr>
        <w:t xml:space="preserve">Baseline characteristics of the study patients are shown in </w:t>
      </w:r>
      <w:r w:rsidR="006D2ECA" w:rsidRPr="00260584">
        <w:rPr>
          <w:rFonts w:ascii="Book Antiqua" w:hAnsi="Book Antiqua" w:cs="Times New Roman"/>
          <w:sz w:val="24"/>
          <w:szCs w:val="24"/>
        </w:rPr>
        <w:t>(</w:t>
      </w:r>
      <w:r w:rsidR="000B3B93" w:rsidRPr="00260584">
        <w:rPr>
          <w:rFonts w:ascii="Book Antiqua" w:hAnsi="Book Antiqua" w:cs="Times New Roman"/>
          <w:sz w:val="24"/>
          <w:szCs w:val="24"/>
        </w:rPr>
        <w:t>T</w:t>
      </w:r>
      <w:r w:rsidR="0032031C" w:rsidRPr="00260584">
        <w:rPr>
          <w:rFonts w:ascii="Book Antiqua" w:hAnsi="Book Antiqua" w:cs="Times New Roman"/>
          <w:sz w:val="24"/>
          <w:szCs w:val="24"/>
        </w:rPr>
        <w:t>able 1</w:t>
      </w:r>
      <w:r w:rsidR="006D2ECA" w:rsidRPr="00260584">
        <w:rPr>
          <w:rFonts w:ascii="Book Antiqua" w:hAnsi="Book Antiqua" w:cs="Times New Roman"/>
          <w:sz w:val="24"/>
          <w:szCs w:val="24"/>
        </w:rPr>
        <w:t>)</w:t>
      </w:r>
      <w:r w:rsidR="0032031C" w:rsidRPr="00260584">
        <w:rPr>
          <w:rFonts w:ascii="Book Antiqua" w:hAnsi="Book Antiqua" w:cs="Times New Roman"/>
          <w:sz w:val="24"/>
          <w:szCs w:val="24"/>
        </w:rPr>
        <w:t xml:space="preserve">. </w:t>
      </w:r>
      <w:r w:rsidR="00515AFD" w:rsidRPr="00260584">
        <w:rPr>
          <w:rFonts w:ascii="Book Antiqua" w:hAnsi="Book Antiqua" w:cs="Times New Roman"/>
          <w:sz w:val="24"/>
          <w:szCs w:val="24"/>
        </w:rPr>
        <w:t xml:space="preserve">Mean age of the participants was </w:t>
      </w:r>
      <w:r w:rsidR="00515AFD" w:rsidRPr="00260584">
        <w:rPr>
          <w:rFonts w:ascii="Book Antiqua" w:eastAsia="Times New Roman" w:hAnsi="Book Antiqua" w:cs="Times New Roman"/>
          <w:sz w:val="24"/>
          <w:szCs w:val="24"/>
          <w:lang w:eastAsia="en-IN"/>
        </w:rPr>
        <w:t>56.24</w:t>
      </w:r>
      <w:r w:rsidR="000B3B93" w:rsidRPr="00260584">
        <w:rPr>
          <w:rFonts w:ascii="Book Antiqua" w:eastAsia="Times New Roman" w:hAnsi="Book Antiqua" w:cs="Times New Roman"/>
          <w:sz w:val="24"/>
          <w:szCs w:val="24"/>
          <w:lang w:eastAsia="en-IN"/>
        </w:rPr>
        <w:t xml:space="preserve"> </w:t>
      </w:r>
      <w:r w:rsidR="00515AFD" w:rsidRPr="00260584">
        <w:rPr>
          <w:rFonts w:ascii="Book Antiqua" w:eastAsia="Times New Roman" w:hAnsi="Book Antiqua" w:cs="Times New Roman"/>
          <w:sz w:val="24"/>
          <w:szCs w:val="24"/>
          <w:lang w:eastAsia="en-IN"/>
        </w:rPr>
        <w:t>±</w:t>
      </w:r>
      <w:r w:rsidR="000B3B93" w:rsidRPr="00260584">
        <w:rPr>
          <w:rFonts w:ascii="Book Antiqua" w:eastAsia="Times New Roman" w:hAnsi="Book Antiqua" w:cs="Times New Roman"/>
          <w:sz w:val="24"/>
          <w:szCs w:val="24"/>
          <w:lang w:eastAsia="en-IN"/>
        </w:rPr>
        <w:t xml:space="preserve"> </w:t>
      </w:r>
      <w:r w:rsidR="00515AFD" w:rsidRPr="00260584">
        <w:rPr>
          <w:rFonts w:ascii="Book Antiqua" w:eastAsia="Times New Roman" w:hAnsi="Book Antiqua" w:cs="Times New Roman"/>
          <w:sz w:val="24"/>
          <w:szCs w:val="24"/>
          <w:lang w:eastAsia="en-IN"/>
        </w:rPr>
        <w:t>11.11 years with majority being in age group of 51 to 65 years (51.36%). Proportion of females was slightly higher than males (</w:t>
      </w:r>
      <w:r w:rsidR="007E2B24" w:rsidRPr="00260584">
        <w:rPr>
          <w:rFonts w:ascii="Book Antiqua" w:eastAsia="Times New Roman" w:hAnsi="Book Antiqua" w:cs="Times New Roman"/>
          <w:sz w:val="24"/>
          <w:szCs w:val="24"/>
          <w:lang w:eastAsia="en-IN"/>
        </w:rPr>
        <w:t xml:space="preserve">55.09% </w:t>
      </w:r>
      <w:r w:rsidR="007E2B24" w:rsidRPr="00260584">
        <w:rPr>
          <w:rFonts w:ascii="Book Antiqua" w:eastAsia="Times New Roman" w:hAnsi="Book Antiqua" w:cs="Times New Roman"/>
          <w:i/>
          <w:iCs/>
          <w:sz w:val="24"/>
          <w:szCs w:val="24"/>
          <w:lang w:eastAsia="en-IN"/>
        </w:rPr>
        <w:t>vs</w:t>
      </w:r>
      <w:r w:rsidR="007E2B24" w:rsidRPr="00260584">
        <w:rPr>
          <w:rFonts w:ascii="Book Antiqua" w:eastAsia="Times New Roman" w:hAnsi="Book Antiqua" w:cs="Times New Roman"/>
          <w:sz w:val="24"/>
          <w:szCs w:val="24"/>
          <w:lang w:eastAsia="en-IN"/>
        </w:rPr>
        <w:t xml:space="preserve"> 44.91% respectively</w:t>
      </w:r>
      <w:r w:rsidR="00515AFD" w:rsidRPr="00260584">
        <w:rPr>
          <w:rFonts w:ascii="Book Antiqua" w:eastAsia="Times New Roman" w:hAnsi="Book Antiqua" w:cs="Times New Roman"/>
          <w:sz w:val="24"/>
          <w:szCs w:val="24"/>
          <w:lang w:eastAsia="en-IN"/>
        </w:rPr>
        <w:t>)</w:t>
      </w:r>
      <w:r w:rsidR="007E2B24" w:rsidRPr="00260584">
        <w:rPr>
          <w:rFonts w:ascii="Book Antiqua" w:eastAsia="Times New Roman" w:hAnsi="Book Antiqua" w:cs="Times New Roman"/>
          <w:sz w:val="24"/>
          <w:szCs w:val="24"/>
          <w:lang w:eastAsia="en-IN"/>
        </w:rPr>
        <w:t xml:space="preserve">. </w:t>
      </w:r>
      <w:r w:rsidR="000A6294" w:rsidRPr="00260584">
        <w:rPr>
          <w:rFonts w:ascii="Book Antiqua" w:hAnsi="Book Antiqua" w:cs="Times New Roman"/>
          <w:sz w:val="24"/>
          <w:szCs w:val="24"/>
        </w:rPr>
        <w:t xml:space="preserve">Among study participants, most common malignancy </w:t>
      </w:r>
      <w:r w:rsidR="009F116D" w:rsidRPr="00260584">
        <w:rPr>
          <w:rFonts w:ascii="Book Antiqua" w:hAnsi="Book Antiqua" w:cs="Times New Roman"/>
          <w:sz w:val="24"/>
          <w:szCs w:val="24"/>
        </w:rPr>
        <w:t xml:space="preserve">was of </w:t>
      </w:r>
      <w:r w:rsidR="007F2BD8" w:rsidRPr="00260584">
        <w:rPr>
          <w:rFonts w:ascii="Book Antiqua" w:hAnsi="Book Antiqua" w:cs="Times New Roman"/>
          <w:sz w:val="24"/>
          <w:szCs w:val="24"/>
        </w:rPr>
        <w:t xml:space="preserve">breast </w:t>
      </w:r>
      <w:r w:rsidR="000A6294" w:rsidRPr="00260584">
        <w:rPr>
          <w:rFonts w:ascii="Book Antiqua" w:hAnsi="Book Antiqua" w:cs="Times New Roman"/>
          <w:sz w:val="24"/>
          <w:szCs w:val="24"/>
        </w:rPr>
        <w:t>(</w:t>
      </w:r>
      <w:r w:rsidR="0002172B" w:rsidRPr="00260584">
        <w:rPr>
          <w:rFonts w:ascii="Book Antiqua" w:hAnsi="Book Antiqua" w:cs="Times New Roman"/>
          <w:sz w:val="24"/>
          <w:szCs w:val="24"/>
        </w:rPr>
        <w:t>25.06%</w:t>
      </w:r>
      <w:r w:rsidR="000A6294" w:rsidRPr="00260584">
        <w:rPr>
          <w:rFonts w:ascii="Book Antiqua" w:hAnsi="Book Antiqua" w:cs="Times New Roman"/>
          <w:sz w:val="24"/>
          <w:szCs w:val="24"/>
        </w:rPr>
        <w:t xml:space="preserve">) followed by </w:t>
      </w:r>
      <w:r w:rsidR="0002172B" w:rsidRPr="00260584">
        <w:rPr>
          <w:rFonts w:ascii="Book Antiqua" w:hAnsi="Book Antiqua" w:cs="Times New Roman"/>
          <w:sz w:val="24"/>
          <w:szCs w:val="24"/>
        </w:rPr>
        <w:t>colon</w:t>
      </w:r>
      <w:r w:rsidR="009F116D" w:rsidRPr="00260584">
        <w:rPr>
          <w:rFonts w:ascii="Book Antiqua" w:hAnsi="Book Antiqua" w:cs="Times New Roman"/>
          <w:sz w:val="24"/>
          <w:szCs w:val="24"/>
        </w:rPr>
        <w:t xml:space="preserve"> </w:t>
      </w:r>
      <w:r w:rsidR="000A6294" w:rsidRPr="00260584">
        <w:rPr>
          <w:rFonts w:ascii="Book Antiqua" w:hAnsi="Book Antiqua" w:cs="Times New Roman"/>
          <w:sz w:val="24"/>
          <w:szCs w:val="24"/>
        </w:rPr>
        <w:t>(</w:t>
      </w:r>
      <w:r w:rsidR="0002172B" w:rsidRPr="00260584">
        <w:rPr>
          <w:rFonts w:ascii="Book Antiqua" w:hAnsi="Book Antiqua" w:cs="Times New Roman"/>
          <w:sz w:val="24"/>
          <w:szCs w:val="24"/>
        </w:rPr>
        <w:t>15.63%</w:t>
      </w:r>
      <w:r w:rsidR="000A6294" w:rsidRPr="00260584">
        <w:rPr>
          <w:rFonts w:ascii="Book Antiqua" w:hAnsi="Book Antiqua" w:cs="Times New Roman"/>
          <w:sz w:val="24"/>
          <w:szCs w:val="24"/>
        </w:rPr>
        <w:t>)</w:t>
      </w:r>
      <w:r w:rsidR="006C1807" w:rsidRPr="00260584">
        <w:rPr>
          <w:rFonts w:ascii="Book Antiqua" w:hAnsi="Book Antiqua" w:cs="Times New Roman"/>
          <w:sz w:val="24"/>
          <w:szCs w:val="24"/>
        </w:rPr>
        <w:t xml:space="preserve">, oral </w:t>
      </w:r>
      <w:r w:rsidR="000A6294" w:rsidRPr="00260584">
        <w:rPr>
          <w:rFonts w:ascii="Book Antiqua" w:hAnsi="Book Antiqua" w:cs="Times New Roman"/>
          <w:sz w:val="24"/>
          <w:szCs w:val="24"/>
        </w:rPr>
        <w:t>cavity (</w:t>
      </w:r>
      <w:r w:rsidR="006C1807" w:rsidRPr="00260584">
        <w:rPr>
          <w:rFonts w:ascii="Book Antiqua" w:hAnsi="Book Antiqua" w:cs="Times New Roman"/>
          <w:sz w:val="24"/>
          <w:szCs w:val="24"/>
        </w:rPr>
        <w:t>10.66%</w:t>
      </w:r>
      <w:r w:rsidR="000A6294" w:rsidRPr="00260584">
        <w:rPr>
          <w:rFonts w:ascii="Book Antiqua" w:hAnsi="Book Antiqua" w:cs="Times New Roman"/>
          <w:sz w:val="24"/>
          <w:szCs w:val="24"/>
        </w:rPr>
        <w:t>)</w:t>
      </w:r>
      <w:r w:rsidR="006C1807" w:rsidRPr="00260584">
        <w:rPr>
          <w:rFonts w:ascii="Book Antiqua" w:hAnsi="Book Antiqua" w:cs="Times New Roman"/>
          <w:sz w:val="24"/>
          <w:szCs w:val="24"/>
        </w:rPr>
        <w:t xml:space="preserve"> </w:t>
      </w:r>
      <w:r w:rsidR="000A6294" w:rsidRPr="00260584">
        <w:rPr>
          <w:rFonts w:ascii="Book Antiqua" w:hAnsi="Book Antiqua" w:cs="Times New Roman"/>
          <w:sz w:val="24"/>
          <w:szCs w:val="24"/>
        </w:rPr>
        <w:t xml:space="preserve">and others </w:t>
      </w:r>
      <w:r w:rsidR="006C1807" w:rsidRPr="00260584">
        <w:rPr>
          <w:rFonts w:ascii="Book Antiqua" w:hAnsi="Book Antiqua" w:cs="Times New Roman"/>
          <w:sz w:val="24"/>
          <w:szCs w:val="24"/>
        </w:rPr>
        <w:t xml:space="preserve">as shown in </w:t>
      </w:r>
      <w:r w:rsidR="000B3B93" w:rsidRPr="00260584">
        <w:rPr>
          <w:rFonts w:ascii="Book Antiqua" w:hAnsi="Book Antiqua" w:cs="Times New Roman"/>
          <w:sz w:val="24"/>
          <w:szCs w:val="24"/>
        </w:rPr>
        <w:t>(Table 1)</w:t>
      </w:r>
      <w:r w:rsidR="007F2BD8" w:rsidRPr="00260584">
        <w:rPr>
          <w:rFonts w:ascii="Book Antiqua" w:hAnsi="Book Antiqua" w:cs="Times New Roman"/>
          <w:sz w:val="24"/>
          <w:szCs w:val="24"/>
        </w:rPr>
        <w:t xml:space="preserve">. </w:t>
      </w:r>
      <w:r w:rsidR="000A6294" w:rsidRPr="00260584">
        <w:rPr>
          <w:rFonts w:ascii="Book Antiqua" w:hAnsi="Book Antiqua" w:cs="Times New Roman"/>
          <w:sz w:val="24"/>
          <w:szCs w:val="24"/>
        </w:rPr>
        <w:t xml:space="preserve">54.6% patients </w:t>
      </w:r>
      <w:r w:rsidR="00A45E69" w:rsidRPr="00260584">
        <w:rPr>
          <w:rFonts w:ascii="Book Antiqua" w:hAnsi="Book Antiqua" w:cs="Times New Roman"/>
          <w:sz w:val="24"/>
          <w:szCs w:val="24"/>
        </w:rPr>
        <w:t xml:space="preserve">had </w:t>
      </w:r>
      <w:r w:rsidR="000A6294" w:rsidRPr="00260584">
        <w:rPr>
          <w:rFonts w:ascii="Book Antiqua" w:hAnsi="Book Antiqua" w:cs="Times New Roman"/>
          <w:sz w:val="24"/>
          <w:szCs w:val="24"/>
        </w:rPr>
        <w:t xml:space="preserve">received HEC whereas remaining were </w:t>
      </w:r>
      <w:r w:rsidR="00A67FC0" w:rsidRPr="00260584">
        <w:rPr>
          <w:rFonts w:ascii="Book Antiqua" w:hAnsi="Book Antiqua" w:cs="Times New Roman"/>
          <w:sz w:val="24"/>
          <w:szCs w:val="24"/>
        </w:rPr>
        <w:t>treated</w:t>
      </w:r>
      <w:r w:rsidR="000A6294" w:rsidRPr="00260584">
        <w:rPr>
          <w:rFonts w:ascii="Book Antiqua" w:hAnsi="Book Antiqua" w:cs="Times New Roman"/>
          <w:sz w:val="24"/>
          <w:szCs w:val="24"/>
        </w:rPr>
        <w:t xml:space="preserve"> with MEC.</w:t>
      </w:r>
      <w:r w:rsidR="00637FEF" w:rsidRPr="00260584">
        <w:rPr>
          <w:rFonts w:ascii="Book Antiqua" w:hAnsi="Book Antiqua" w:cs="Times New Roman"/>
          <w:sz w:val="24"/>
          <w:szCs w:val="24"/>
        </w:rPr>
        <w:t xml:space="preserve"> </w:t>
      </w:r>
      <w:r w:rsidR="00890BB5" w:rsidRPr="00260584">
        <w:rPr>
          <w:rFonts w:ascii="Book Antiqua" w:hAnsi="Book Antiqua" w:cs="Times New Roman"/>
          <w:sz w:val="24"/>
          <w:szCs w:val="24"/>
        </w:rPr>
        <w:t>Also, p</w:t>
      </w:r>
      <w:r w:rsidR="00637FEF" w:rsidRPr="00260584">
        <w:rPr>
          <w:rFonts w:ascii="Book Antiqua" w:hAnsi="Book Antiqua" w:cs="Times New Roman"/>
          <w:sz w:val="24"/>
          <w:szCs w:val="24"/>
        </w:rPr>
        <w:t xml:space="preserve">atients </w:t>
      </w:r>
      <w:r w:rsidR="00890BB5" w:rsidRPr="00260584">
        <w:rPr>
          <w:rFonts w:ascii="Book Antiqua" w:hAnsi="Book Antiqua" w:cs="Times New Roman"/>
          <w:sz w:val="24"/>
          <w:szCs w:val="24"/>
        </w:rPr>
        <w:t xml:space="preserve">were in different cycles of chemotherapy regimens as shown in </w:t>
      </w:r>
      <w:r w:rsidR="000B3B93" w:rsidRPr="00260584">
        <w:rPr>
          <w:rFonts w:ascii="Book Antiqua" w:hAnsi="Book Antiqua" w:cs="Times New Roman"/>
          <w:sz w:val="24"/>
          <w:szCs w:val="24"/>
        </w:rPr>
        <w:t>(Table 1).</w:t>
      </w:r>
    </w:p>
    <w:p w14:paraId="3DF84FB0" w14:textId="77777777" w:rsidR="000B3B93" w:rsidRPr="00260584" w:rsidRDefault="000B3B93" w:rsidP="00260584">
      <w:pPr>
        <w:autoSpaceDE w:val="0"/>
        <w:autoSpaceDN w:val="0"/>
        <w:adjustRightInd w:val="0"/>
        <w:snapToGrid w:val="0"/>
        <w:spacing w:after="0" w:line="360" w:lineRule="auto"/>
        <w:jc w:val="both"/>
        <w:rPr>
          <w:rFonts w:ascii="Book Antiqua" w:hAnsi="Book Antiqua" w:cs="Times New Roman"/>
          <w:b/>
          <w:bCs/>
          <w:i/>
          <w:iCs/>
          <w:sz w:val="24"/>
          <w:szCs w:val="24"/>
        </w:rPr>
      </w:pPr>
    </w:p>
    <w:p w14:paraId="088CEF9E" w14:textId="71B16839" w:rsidR="00E416EB" w:rsidRPr="00260584" w:rsidRDefault="00E416EB" w:rsidP="00260584">
      <w:pPr>
        <w:autoSpaceDE w:val="0"/>
        <w:autoSpaceDN w:val="0"/>
        <w:adjustRightInd w:val="0"/>
        <w:snapToGrid w:val="0"/>
        <w:spacing w:after="0" w:line="360" w:lineRule="auto"/>
        <w:jc w:val="both"/>
        <w:rPr>
          <w:rFonts w:ascii="Book Antiqua" w:hAnsi="Book Antiqua" w:cs="Times New Roman"/>
          <w:b/>
          <w:bCs/>
          <w:i/>
          <w:iCs/>
          <w:sz w:val="24"/>
          <w:szCs w:val="24"/>
        </w:rPr>
      </w:pPr>
      <w:r w:rsidRPr="00260584">
        <w:rPr>
          <w:rFonts w:ascii="Book Antiqua" w:hAnsi="Book Antiqua" w:cs="Times New Roman"/>
          <w:b/>
          <w:bCs/>
          <w:i/>
          <w:iCs/>
          <w:sz w:val="24"/>
          <w:szCs w:val="24"/>
        </w:rPr>
        <w:t>Outcome assessment</w:t>
      </w:r>
    </w:p>
    <w:p w14:paraId="713BAFFE" w14:textId="3EE236A2" w:rsidR="00696C8D" w:rsidRPr="00260584" w:rsidRDefault="00696C8D" w:rsidP="00260584">
      <w:pPr>
        <w:autoSpaceDE w:val="0"/>
        <w:autoSpaceDN w:val="0"/>
        <w:adjustRightInd w:val="0"/>
        <w:snapToGrid w:val="0"/>
        <w:spacing w:after="0" w:line="360" w:lineRule="auto"/>
        <w:jc w:val="both"/>
        <w:rPr>
          <w:rFonts w:ascii="Book Antiqua" w:hAnsi="Book Antiqua" w:cs="Times New Roman"/>
          <w:b/>
          <w:bCs/>
          <w:sz w:val="24"/>
          <w:szCs w:val="24"/>
        </w:rPr>
      </w:pPr>
      <w:r w:rsidRPr="00260584">
        <w:rPr>
          <w:rFonts w:ascii="Book Antiqua" w:hAnsi="Book Antiqua" w:cs="Times New Roman"/>
          <w:b/>
          <w:bCs/>
          <w:sz w:val="24"/>
          <w:szCs w:val="24"/>
        </w:rPr>
        <w:t>CR in overall population</w:t>
      </w:r>
      <w:r w:rsidR="003B2406" w:rsidRPr="00260584">
        <w:rPr>
          <w:rFonts w:ascii="Book Antiqua" w:hAnsi="Book Antiqua" w:cs="Times New Roman"/>
          <w:b/>
          <w:bCs/>
          <w:sz w:val="24"/>
          <w:szCs w:val="24"/>
        </w:rPr>
        <w:t>:</w:t>
      </w:r>
      <w:r w:rsidR="003B2406" w:rsidRPr="00260584">
        <w:rPr>
          <w:rFonts w:ascii="Book Antiqua" w:hAnsi="Book Antiqua" w:cs="Times New Roman"/>
          <w:b/>
          <w:bCs/>
          <w:sz w:val="24"/>
          <w:szCs w:val="24"/>
          <w:lang w:eastAsia="zh-CN"/>
        </w:rPr>
        <w:t xml:space="preserve"> </w:t>
      </w:r>
      <w:r w:rsidR="00E52B8A" w:rsidRPr="00260584">
        <w:rPr>
          <w:rFonts w:ascii="Book Antiqua" w:hAnsi="Book Antiqua" w:cs="Times New Roman"/>
          <w:sz w:val="24"/>
          <w:szCs w:val="24"/>
        </w:rPr>
        <w:t xml:space="preserve">For overall phase, the CR </w:t>
      </w:r>
      <w:r w:rsidR="00E416EB" w:rsidRPr="00260584">
        <w:rPr>
          <w:rFonts w:ascii="Book Antiqua" w:hAnsi="Book Antiqua" w:cs="Times New Roman"/>
          <w:sz w:val="24"/>
          <w:szCs w:val="24"/>
        </w:rPr>
        <w:t>in our study was 93.79%. CR in acute and delayed p</w:t>
      </w:r>
      <w:r w:rsidR="006A6579" w:rsidRPr="00260584">
        <w:rPr>
          <w:rFonts w:ascii="Book Antiqua" w:hAnsi="Book Antiqua" w:cs="Times New Roman"/>
          <w:sz w:val="24"/>
          <w:szCs w:val="24"/>
        </w:rPr>
        <w:t>ha</w:t>
      </w:r>
      <w:r w:rsidR="00E416EB" w:rsidRPr="00260584">
        <w:rPr>
          <w:rFonts w:ascii="Book Antiqua" w:hAnsi="Book Antiqua" w:cs="Times New Roman"/>
          <w:sz w:val="24"/>
          <w:szCs w:val="24"/>
        </w:rPr>
        <w:t>se CINV was 98.01% and 93.79% respectively (</w:t>
      </w:r>
      <w:r w:rsidR="003B2406" w:rsidRPr="00260584">
        <w:rPr>
          <w:rFonts w:ascii="Book Antiqua" w:hAnsi="Book Antiqua" w:cs="Times New Roman"/>
          <w:sz w:val="24"/>
          <w:szCs w:val="24"/>
        </w:rPr>
        <w:t>T</w:t>
      </w:r>
      <w:r w:rsidR="00E416EB" w:rsidRPr="00260584">
        <w:rPr>
          <w:rFonts w:ascii="Book Antiqua" w:hAnsi="Book Antiqua" w:cs="Times New Roman"/>
          <w:sz w:val="24"/>
          <w:szCs w:val="24"/>
        </w:rPr>
        <w:t xml:space="preserve">able 2). </w:t>
      </w:r>
    </w:p>
    <w:p w14:paraId="719A504F" w14:textId="77777777" w:rsidR="000B3B93" w:rsidRPr="00260584" w:rsidRDefault="000B3B93" w:rsidP="00260584">
      <w:pPr>
        <w:autoSpaceDE w:val="0"/>
        <w:autoSpaceDN w:val="0"/>
        <w:adjustRightInd w:val="0"/>
        <w:snapToGrid w:val="0"/>
        <w:spacing w:after="0" w:line="360" w:lineRule="auto"/>
        <w:jc w:val="both"/>
        <w:rPr>
          <w:rFonts w:ascii="Book Antiqua" w:hAnsi="Book Antiqua" w:cs="Times New Roman"/>
          <w:b/>
          <w:bCs/>
          <w:sz w:val="24"/>
          <w:szCs w:val="24"/>
        </w:rPr>
      </w:pPr>
    </w:p>
    <w:p w14:paraId="19B3D5BA" w14:textId="0F8AEADE" w:rsidR="00E416EB" w:rsidRPr="00260584" w:rsidRDefault="00696C8D"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sz w:val="24"/>
          <w:szCs w:val="24"/>
        </w:rPr>
        <w:lastRenderedPageBreak/>
        <w:t>CR as per emetogenic potential of chemotherapy</w:t>
      </w:r>
      <w:r w:rsidR="003B2406" w:rsidRPr="00260584">
        <w:rPr>
          <w:rFonts w:ascii="Book Antiqua" w:hAnsi="Book Antiqua" w:cs="Times New Roman"/>
          <w:b/>
          <w:bCs/>
          <w:sz w:val="24"/>
          <w:szCs w:val="24"/>
        </w:rPr>
        <w:t>:</w:t>
      </w:r>
      <w:r w:rsidR="003B2406" w:rsidRPr="00260584">
        <w:rPr>
          <w:rFonts w:ascii="Book Antiqua" w:hAnsi="Book Antiqua" w:cs="Times New Roman"/>
          <w:sz w:val="24"/>
          <w:szCs w:val="24"/>
          <w:lang w:eastAsia="zh-CN"/>
        </w:rPr>
        <w:t xml:space="preserve"> </w:t>
      </w:r>
      <w:r w:rsidR="00E416EB" w:rsidRPr="00260584">
        <w:rPr>
          <w:rFonts w:ascii="Book Antiqua" w:hAnsi="Book Antiqua" w:cs="Times New Roman"/>
          <w:sz w:val="24"/>
          <w:szCs w:val="24"/>
        </w:rPr>
        <w:t xml:space="preserve">We further analysed the CR according the chemotherapy regimen. In participants who </w:t>
      </w:r>
      <w:r w:rsidR="00A67FC0" w:rsidRPr="00260584">
        <w:rPr>
          <w:rFonts w:ascii="Book Antiqua" w:hAnsi="Book Antiqua" w:cs="Times New Roman"/>
          <w:sz w:val="24"/>
          <w:szCs w:val="24"/>
        </w:rPr>
        <w:t>received</w:t>
      </w:r>
      <w:r w:rsidR="00E416EB" w:rsidRPr="00260584">
        <w:rPr>
          <w:rFonts w:ascii="Book Antiqua" w:hAnsi="Book Antiqua" w:cs="Times New Roman"/>
          <w:sz w:val="24"/>
          <w:szCs w:val="24"/>
        </w:rPr>
        <w:t xml:space="preserve"> HEC (</w:t>
      </w:r>
      <w:r w:rsidR="00E416EB" w:rsidRPr="00260584">
        <w:rPr>
          <w:rFonts w:ascii="Book Antiqua" w:hAnsi="Book Antiqua" w:cs="Times New Roman"/>
          <w:i/>
          <w:iCs/>
          <w:sz w:val="24"/>
          <w:szCs w:val="24"/>
        </w:rPr>
        <w:t>n</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 xml:space="preserve">220), overall CR was observed in 93.63% whereas 97.27% had CR in acute phase, and 93.63% had CR in delayed phase. Similarly, in patients </w:t>
      </w:r>
      <w:r w:rsidR="00A67FC0" w:rsidRPr="00260584">
        <w:rPr>
          <w:rFonts w:ascii="Book Antiqua" w:hAnsi="Book Antiqua" w:cs="Times New Roman"/>
          <w:sz w:val="24"/>
          <w:szCs w:val="24"/>
        </w:rPr>
        <w:t>receiving</w:t>
      </w:r>
      <w:r w:rsidR="00E416EB" w:rsidRPr="00260584">
        <w:rPr>
          <w:rFonts w:ascii="Book Antiqua" w:hAnsi="Book Antiqua" w:cs="Times New Roman"/>
          <w:sz w:val="24"/>
          <w:szCs w:val="24"/>
        </w:rPr>
        <w:t xml:space="preserve"> MEC (</w:t>
      </w:r>
      <w:r w:rsidR="00E416EB" w:rsidRPr="00260584">
        <w:rPr>
          <w:rFonts w:ascii="Book Antiqua" w:hAnsi="Book Antiqua" w:cs="Times New Roman"/>
          <w:i/>
          <w:iCs/>
          <w:sz w:val="24"/>
          <w:szCs w:val="24"/>
        </w:rPr>
        <w:t>n</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w:t>
      </w:r>
      <w:r w:rsidR="003B2406" w:rsidRPr="00260584">
        <w:rPr>
          <w:rFonts w:ascii="Book Antiqua" w:hAnsi="Book Antiqua" w:cs="Times New Roman"/>
          <w:sz w:val="24"/>
          <w:szCs w:val="24"/>
        </w:rPr>
        <w:t xml:space="preserve"> </w:t>
      </w:r>
      <w:r w:rsidR="00E416EB" w:rsidRPr="00260584">
        <w:rPr>
          <w:rFonts w:ascii="Book Antiqua" w:hAnsi="Book Antiqua" w:cs="Times New Roman"/>
          <w:sz w:val="24"/>
          <w:szCs w:val="24"/>
        </w:rPr>
        <w:t xml:space="preserve">183), overall response was seen in 93.98% whereas CR in acute and delayed CINV was 98.90% and 93.98% </w:t>
      </w:r>
      <w:r w:rsidR="00A67FC0" w:rsidRPr="00260584">
        <w:rPr>
          <w:rFonts w:ascii="Book Antiqua" w:hAnsi="Book Antiqua" w:cs="Times New Roman"/>
          <w:sz w:val="24"/>
          <w:szCs w:val="24"/>
        </w:rPr>
        <w:t>respectively</w:t>
      </w:r>
      <w:r w:rsidR="00E416EB" w:rsidRPr="00260584">
        <w:rPr>
          <w:rFonts w:ascii="Book Antiqua" w:hAnsi="Book Antiqua" w:cs="Times New Roman"/>
          <w:sz w:val="24"/>
          <w:szCs w:val="24"/>
        </w:rPr>
        <w:t xml:space="preserve">. </w:t>
      </w:r>
    </w:p>
    <w:p w14:paraId="67A60A1E" w14:textId="77777777" w:rsidR="003B2406" w:rsidRPr="00260584" w:rsidRDefault="003B2406" w:rsidP="00260584">
      <w:pPr>
        <w:adjustRightInd w:val="0"/>
        <w:snapToGrid w:val="0"/>
        <w:spacing w:after="0" w:line="360" w:lineRule="auto"/>
        <w:jc w:val="both"/>
        <w:rPr>
          <w:rFonts w:ascii="Book Antiqua" w:hAnsi="Book Antiqua" w:cs="Times New Roman"/>
          <w:b/>
          <w:bCs/>
          <w:sz w:val="24"/>
          <w:szCs w:val="24"/>
        </w:rPr>
      </w:pPr>
    </w:p>
    <w:p w14:paraId="5C47DF93" w14:textId="439F450C" w:rsidR="00F72384" w:rsidRPr="00260584" w:rsidRDefault="006C0B36"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bCs/>
          <w:sz w:val="24"/>
          <w:szCs w:val="24"/>
        </w:rPr>
        <w:t>CR as per number of chemotherapy cycles</w:t>
      </w:r>
      <w:r w:rsidR="003B2406" w:rsidRPr="00260584">
        <w:rPr>
          <w:rFonts w:ascii="Book Antiqua" w:hAnsi="Book Antiqua" w:cs="Times New Roman"/>
          <w:b/>
          <w:bCs/>
          <w:sz w:val="24"/>
          <w:szCs w:val="24"/>
        </w:rPr>
        <w:t>:</w:t>
      </w:r>
      <w:r w:rsidR="003B2406" w:rsidRPr="00260584">
        <w:rPr>
          <w:rFonts w:ascii="Book Antiqua" w:hAnsi="Book Antiqua" w:cs="Times New Roman"/>
          <w:b/>
          <w:bCs/>
          <w:sz w:val="24"/>
          <w:szCs w:val="24"/>
          <w:lang w:eastAsia="zh-CN"/>
        </w:rPr>
        <w:t xml:space="preserve"> </w:t>
      </w:r>
      <w:r w:rsidR="00696C8D" w:rsidRPr="00260584">
        <w:rPr>
          <w:rFonts w:ascii="Book Antiqua" w:hAnsi="Book Antiqua" w:cs="Times New Roman"/>
          <w:sz w:val="24"/>
          <w:szCs w:val="24"/>
        </w:rPr>
        <w:t>All the enrolled participants were on various cycles of chemotherapy</w:t>
      </w:r>
      <w:r w:rsidR="006B2659" w:rsidRPr="00260584">
        <w:rPr>
          <w:rFonts w:ascii="Book Antiqua" w:hAnsi="Book Antiqua" w:cs="Times New Roman"/>
          <w:sz w:val="24"/>
          <w:szCs w:val="24"/>
        </w:rPr>
        <w:t xml:space="preserve"> (</w:t>
      </w:r>
      <w:bookmarkStart w:id="98" w:name="OLE_LINK10"/>
      <w:r w:rsidR="003B2406" w:rsidRPr="00260584">
        <w:rPr>
          <w:rFonts w:ascii="Book Antiqua" w:hAnsi="Book Antiqua" w:cs="Times New Roman"/>
          <w:sz w:val="24"/>
          <w:szCs w:val="24"/>
        </w:rPr>
        <w:t>T</w:t>
      </w:r>
      <w:r w:rsidR="006B2659" w:rsidRPr="00260584">
        <w:rPr>
          <w:rFonts w:ascii="Book Antiqua" w:hAnsi="Book Antiqua" w:cs="Times New Roman"/>
          <w:sz w:val="24"/>
          <w:szCs w:val="24"/>
        </w:rPr>
        <w:t>able</w:t>
      </w:r>
      <w:bookmarkEnd w:id="98"/>
      <w:r w:rsidR="00011EBB" w:rsidRPr="00260584">
        <w:rPr>
          <w:rFonts w:ascii="Book Antiqua" w:hAnsi="Book Antiqua" w:cs="Times New Roman"/>
          <w:sz w:val="24"/>
          <w:szCs w:val="24"/>
        </w:rPr>
        <w:t>s</w:t>
      </w:r>
      <w:r w:rsidR="006B2659" w:rsidRPr="00260584">
        <w:rPr>
          <w:rFonts w:ascii="Book Antiqua" w:hAnsi="Book Antiqua" w:cs="Times New Roman"/>
          <w:sz w:val="24"/>
          <w:szCs w:val="24"/>
        </w:rPr>
        <w:t xml:space="preserve"> 1</w:t>
      </w:r>
      <w:r w:rsidR="002A61D6" w:rsidRPr="00260584">
        <w:rPr>
          <w:rFonts w:ascii="Book Antiqua" w:hAnsi="Book Antiqua" w:cs="Times New Roman"/>
          <w:sz w:val="24"/>
          <w:szCs w:val="24"/>
        </w:rPr>
        <w:t xml:space="preserve"> </w:t>
      </w:r>
      <w:r w:rsidR="00011EBB" w:rsidRPr="00260584">
        <w:rPr>
          <w:rFonts w:ascii="Book Antiqua" w:hAnsi="Book Antiqua" w:cs="Times New Roman"/>
          <w:sz w:val="24"/>
          <w:szCs w:val="24"/>
        </w:rPr>
        <w:t xml:space="preserve">and </w:t>
      </w:r>
      <w:r w:rsidR="002A61D6" w:rsidRPr="00260584">
        <w:rPr>
          <w:rFonts w:ascii="Book Antiqua" w:hAnsi="Book Antiqua" w:cs="Times New Roman"/>
          <w:sz w:val="24"/>
          <w:szCs w:val="24"/>
        </w:rPr>
        <w:t>3</w:t>
      </w:r>
      <w:r w:rsidR="006B2659" w:rsidRPr="00260584">
        <w:rPr>
          <w:rFonts w:ascii="Book Antiqua" w:hAnsi="Book Antiqua" w:cs="Times New Roman"/>
          <w:sz w:val="24"/>
          <w:szCs w:val="24"/>
        </w:rPr>
        <w:t>)</w:t>
      </w:r>
      <w:r w:rsidR="00696C8D" w:rsidRPr="00260584">
        <w:rPr>
          <w:rFonts w:ascii="Book Antiqua" w:hAnsi="Book Antiqua" w:cs="Times New Roman"/>
          <w:sz w:val="24"/>
          <w:szCs w:val="24"/>
        </w:rPr>
        <w:t>. Overall CR was 90% or more in all groups of chemotherapy cycles except in the group of patients with 4 cycles in whom overall CR was 83%. Similarly, the CR in acute CINV was over 90% in all chemotherapy cycle groups except patients who had 4 chemotherapy cycles in whom CR in acute CINV was 88.88%. Acute CINV CR was 100% in patients who had 5 chemotherapy cycles. CR in the delayed CINV phase was similar to overall CR in all chemotherapy cycle groups.</w:t>
      </w:r>
    </w:p>
    <w:p w14:paraId="1A05DA1C" w14:textId="77777777" w:rsidR="003B2406" w:rsidRPr="00260584" w:rsidRDefault="003B2406" w:rsidP="00260584">
      <w:pPr>
        <w:adjustRightInd w:val="0"/>
        <w:snapToGrid w:val="0"/>
        <w:spacing w:after="0" w:line="360" w:lineRule="auto"/>
        <w:jc w:val="both"/>
        <w:rPr>
          <w:rFonts w:ascii="Book Antiqua" w:hAnsi="Book Antiqua" w:cs="Times New Roman"/>
          <w:b/>
          <w:bCs/>
          <w:sz w:val="24"/>
          <w:szCs w:val="24"/>
        </w:rPr>
      </w:pPr>
    </w:p>
    <w:p w14:paraId="3F4D609E" w14:textId="77777777" w:rsidR="003B2406" w:rsidRPr="00260584" w:rsidRDefault="003B2406" w:rsidP="00260584">
      <w:pPr>
        <w:adjustRightInd w:val="0"/>
        <w:snapToGrid w:val="0"/>
        <w:spacing w:after="0" w:line="360" w:lineRule="auto"/>
        <w:jc w:val="both"/>
        <w:rPr>
          <w:rFonts w:ascii="Book Antiqua" w:hAnsi="Book Antiqua"/>
          <w:b/>
          <w:sz w:val="24"/>
          <w:szCs w:val="24"/>
          <w:u w:val="single"/>
        </w:rPr>
      </w:pPr>
      <w:r w:rsidRPr="00260584">
        <w:rPr>
          <w:rFonts w:ascii="Book Antiqua" w:hAnsi="Book Antiqua"/>
          <w:b/>
          <w:sz w:val="24"/>
          <w:szCs w:val="24"/>
          <w:u w:val="single"/>
        </w:rPr>
        <w:t>DISCUSSION</w:t>
      </w:r>
    </w:p>
    <w:p w14:paraId="08EB53B1" w14:textId="3A4CCE6B" w:rsidR="00F72384" w:rsidRPr="00260584" w:rsidRDefault="00331E18"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Combination of </w:t>
      </w:r>
      <w:proofErr w:type="spellStart"/>
      <w:r w:rsidRPr="00260584">
        <w:rPr>
          <w:rFonts w:ascii="Book Antiqua" w:hAnsi="Book Antiqua" w:cs="Times New Roman"/>
          <w:sz w:val="24"/>
          <w:szCs w:val="24"/>
        </w:rPr>
        <w:t>netupitant</w:t>
      </w:r>
      <w:proofErr w:type="spellEnd"/>
      <w:r w:rsidRPr="00260584">
        <w:rPr>
          <w:rFonts w:ascii="Book Antiqua" w:hAnsi="Book Antiqua" w:cs="Times New Roman"/>
          <w:sz w:val="24"/>
          <w:szCs w:val="24"/>
        </w:rPr>
        <w:t xml:space="preserve"> and palonosetron is </w:t>
      </w:r>
      <w:r w:rsidR="0071344F" w:rsidRPr="00260584">
        <w:rPr>
          <w:rFonts w:ascii="Book Antiqua" w:hAnsi="Book Antiqua" w:cs="Times New Roman"/>
          <w:sz w:val="24"/>
          <w:szCs w:val="24"/>
        </w:rPr>
        <w:t>first of its own kind FDC</w:t>
      </w:r>
      <w:r w:rsidR="00F71223" w:rsidRPr="00260584">
        <w:rPr>
          <w:rFonts w:ascii="Book Antiqua" w:hAnsi="Book Antiqua" w:cs="Times New Roman"/>
          <w:sz w:val="24"/>
          <w:szCs w:val="24"/>
        </w:rPr>
        <w:t xml:space="preserve"> </w:t>
      </w:r>
      <w:r w:rsidRPr="00260584">
        <w:rPr>
          <w:rFonts w:ascii="Book Antiqua" w:hAnsi="Book Antiqua" w:cs="Times New Roman"/>
          <w:sz w:val="24"/>
          <w:szCs w:val="24"/>
        </w:rPr>
        <w:t xml:space="preserve">for prevention of </w:t>
      </w:r>
      <w:r w:rsidR="0071344F" w:rsidRPr="00260584">
        <w:rPr>
          <w:rFonts w:ascii="Book Antiqua" w:hAnsi="Book Antiqua" w:cs="Times New Roman"/>
          <w:sz w:val="24"/>
          <w:szCs w:val="24"/>
        </w:rPr>
        <w:t>CINV</w:t>
      </w:r>
      <w:r w:rsidRPr="00260584">
        <w:rPr>
          <w:rFonts w:ascii="Book Antiqua" w:hAnsi="Book Antiqua" w:cs="Times New Roman"/>
          <w:sz w:val="24"/>
          <w:szCs w:val="24"/>
        </w:rPr>
        <w:t xml:space="preserve">. In this study, we demonstrated that </w:t>
      </w:r>
      <w:r w:rsidR="0096399E" w:rsidRPr="00260584">
        <w:rPr>
          <w:rFonts w:ascii="Book Antiqua" w:hAnsi="Book Antiqua" w:cs="Times New Roman"/>
          <w:sz w:val="24"/>
          <w:szCs w:val="24"/>
        </w:rPr>
        <w:t>NEPA</w:t>
      </w:r>
      <w:r w:rsidRPr="00260584">
        <w:rPr>
          <w:rFonts w:ascii="Book Antiqua" w:hAnsi="Book Antiqua" w:cs="Times New Roman"/>
          <w:sz w:val="24"/>
          <w:szCs w:val="24"/>
        </w:rPr>
        <w:t xml:space="preserve"> was </w:t>
      </w:r>
      <w:r w:rsidR="0071344F" w:rsidRPr="00260584">
        <w:rPr>
          <w:rFonts w:ascii="Book Antiqua" w:hAnsi="Book Antiqua" w:cs="Times New Roman"/>
          <w:sz w:val="24"/>
          <w:szCs w:val="24"/>
        </w:rPr>
        <w:t xml:space="preserve">effective </w:t>
      </w:r>
      <w:r w:rsidR="00F71223" w:rsidRPr="00260584">
        <w:rPr>
          <w:rFonts w:ascii="Book Antiqua" w:hAnsi="Book Antiqua" w:cs="Times New Roman"/>
          <w:sz w:val="24"/>
          <w:szCs w:val="24"/>
        </w:rPr>
        <w:t xml:space="preserve">in preventing CINV </w:t>
      </w:r>
      <w:r w:rsidRPr="00260584">
        <w:rPr>
          <w:rFonts w:ascii="Book Antiqua" w:hAnsi="Book Antiqua" w:cs="Times New Roman"/>
          <w:sz w:val="24"/>
          <w:szCs w:val="24"/>
        </w:rPr>
        <w:t xml:space="preserve">as shown by CR of 93.79% in overall </w:t>
      </w:r>
      <w:r w:rsidR="00F71223" w:rsidRPr="00260584">
        <w:rPr>
          <w:rFonts w:ascii="Book Antiqua" w:hAnsi="Book Antiqua" w:cs="Times New Roman"/>
          <w:sz w:val="24"/>
          <w:szCs w:val="24"/>
        </w:rPr>
        <w:t>and delayed phase</w:t>
      </w:r>
      <w:r w:rsidRPr="00260584">
        <w:rPr>
          <w:rFonts w:ascii="Book Antiqua" w:hAnsi="Book Antiqua" w:cs="Times New Roman"/>
          <w:sz w:val="24"/>
          <w:szCs w:val="24"/>
        </w:rPr>
        <w:t xml:space="preserve"> </w:t>
      </w:r>
      <w:r w:rsidR="00F71223" w:rsidRPr="00260584">
        <w:rPr>
          <w:rFonts w:ascii="Book Antiqua" w:hAnsi="Book Antiqua" w:cs="Times New Roman"/>
          <w:sz w:val="24"/>
          <w:szCs w:val="24"/>
        </w:rPr>
        <w:t>with CR</w:t>
      </w:r>
      <w:r w:rsidR="0096399E" w:rsidRPr="00260584">
        <w:rPr>
          <w:rFonts w:ascii="Book Antiqua" w:hAnsi="Book Antiqua" w:cs="Times New Roman"/>
          <w:sz w:val="24"/>
          <w:szCs w:val="24"/>
        </w:rPr>
        <w:t xml:space="preserve"> of</w:t>
      </w:r>
      <w:r w:rsidR="00F71223" w:rsidRPr="00260584">
        <w:rPr>
          <w:rFonts w:ascii="Book Antiqua" w:hAnsi="Book Antiqua" w:cs="Times New Roman"/>
          <w:sz w:val="24"/>
          <w:szCs w:val="24"/>
        </w:rPr>
        <w:t xml:space="preserve"> </w:t>
      </w:r>
      <w:r w:rsidR="0071344F" w:rsidRPr="00260584">
        <w:rPr>
          <w:rFonts w:ascii="Book Antiqua" w:hAnsi="Book Antiqua" w:cs="Times New Roman"/>
          <w:sz w:val="24"/>
          <w:szCs w:val="24"/>
        </w:rPr>
        <w:t xml:space="preserve">98.01% in acute phase. </w:t>
      </w:r>
      <w:r w:rsidR="00BE7B76" w:rsidRPr="00260584">
        <w:rPr>
          <w:rFonts w:ascii="Book Antiqua" w:hAnsi="Book Antiqua" w:cs="Times New Roman"/>
          <w:sz w:val="24"/>
          <w:szCs w:val="24"/>
        </w:rPr>
        <w:t xml:space="preserve">Compared to the finding of </w:t>
      </w:r>
      <w:proofErr w:type="spellStart"/>
      <w:r w:rsidR="0071344F" w:rsidRPr="00260584">
        <w:rPr>
          <w:rFonts w:ascii="Book Antiqua" w:hAnsi="Book Antiqua" w:cs="Times New Roman"/>
          <w:sz w:val="24"/>
          <w:szCs w:val="24"/>
        </w:rPr>
        <w:t>Hesketh</w:t>
      </w:r>
      <w:proofErr w:type="spellEnd"/>
      <w:r w:rsidR="00BE7B76" w:rsidRPr="00260584">
        <w:rPr>
          <w:rFonts w:ascii="Book Antiqua" w:hAnsi="Book Antiqua" w:cs="Times New Roman"/>
          <w:sz w:val="24"/>
          <w:szCs w:val="24"/>
        </w:rPr>
        <w:t xml:space="preserve"> </w:t>
      </w:r>
      <w:r w:rsidR="00BE7B76" w:rsidRPr="00260584">
        <w:rPr>
          <w:rFonts w:ascii="Book Antiqua" w:hAnsi="Book Antiqua" w:cs="Times New Roman"/>
          <w:i/>
          <w:iCs/>
          <w:sz w:val="24"/>
          <w:szCs w:val="24"/>
        </w:rPr>
        <w:t>e</w:t>
      </w:r>
      <w:r w:rsidR="0071344F" w:rsidRPr="00260584">
        <w:rPr>
          <w:rFonts w:ascii="Book Antiqua" w:hAnsi="Book Antiqua" w:cs="Times New Roman"/>
          <w:i/>
          <w:iCs/>
          <w:sz w:val="24"/>
          <w:szCs w:val="24"/>
        </w:rPr>
        <w:t>t</w:t>
      </w:r>
      <w:r w:rsidR="00864A8E" w:rsidRPr="00260584">
        <w:rPr>
          <w:rFonts w:ascii="Book Antiqua" w:hAnsi="Book Antiqua" w:cs="Times New Roman"/>
          <w:i/>
          <w:iCs/>
          <w:sz w:val="24"/>
          <w:szCs w:val="24"/>
        </w:rPr>
        <w:t xml:space="preserve"> </w:t>
      </w:r>
      <w:r w:rsidR="0071344F" w:rsidRPr="00260584">
        <w:rPr>
          <w:rFonts w:ascii="Book Antiqua" w:hAnsi="Book Antiqua" w:cs="Times New Roman"/>
          <w:i/>
          <w:iCs/>
          <w:sz w:val="24"/>
          <w:szCs w:val="24"/>
        </w:rPr>
        <w:t>al</w:t>
      </w:r>
      <w:r w:rsidR="00BF2F33" w:rsidRPr="00260584">
        <w:rPr>
          <w:rFonts w:ascii="Book Antiqua" w:hAnsi="Book Antiqua" w:cs="Times New Roman"/>
          <w:sz w:val="24"/>
          <w:szCs w:val="24"/>
          <w:vertAlign w:val="superscript"/>
        </w:rPr>
        <w:t>[10]</w:t>
      </w:r>
      <w:r w:rsidR="00151573" w:rsidRPr="00260584">
        <w:rPr>
          <w:rFonts w:ascii="Book Antiqua" w:hAnsi="Book Antiqua" w:cs="Times New Roman"/>
          <w:sz w:val="24"/>
          <w:szCs w:val="24"/>
        </w:rPr>
        <w:t xml:space="preserve"> </w:t>
      </w:r>
      <w:r w:rsidR="0096399E" w:rsidRPr="00260584">
        <w:rPr>
          <w:rFonts w:ascii="Book Antiqua" w:hAnsi="Book Antiqua" w:cs="Times New Roman"/>
          <w:sz w:val="24"/>
          <w:szCs w:val="24"/>
        </w:rPr>
        <w:t>who observed</w:t>
      </w:r>
      <w:r w:rsidR="004874E0" w:rsidRPr="00260584">
        <w:rPr>
          <w:rFonts w:ascii="Book Antiqua" w:hAnsi="Book Antiqua" w:cs="Times New Roman"/>
          <w:sz w:val="24"/>
          <w:szCs w:val="24"/>
        </w:rPr>
        <w:t xml:space="preserve"> </w:t>
      </w:r>
      <w:r w:rsidR="0071344F" w:rsidRPr="00260584">
        <w:rPr>
          <w:rFonts w:ascii="Book Antiqua" w:hAnsi="Book Antiqua" w:cs="Times New Roman"/>
          <w:sz w:val="24"/>
          <w:szCs w:val="24"/>
        </w:rPr>
        <w:t xml:space="preserve">CR </w:t>
      </w:r>
      <w:r w:rsidR="00864A8E" w:rsidRPr="00260584">
        <w:rPr>
          <w:rFonts w:ascii="Book Antiqua" w:hAnsi="Book Antiqua" w:cs="Times New Roman"/>
          <w:sz w:val="24"/>
          <w:szCs w:val="24"/>
        </w:rPr>
        <w:t xml:space="preserve">in </w:t>
      </w:r>
      <w:r w:rsidR="0071344F" w:rsidRPr="00260584">
        <w:rPr>
          <w:rFonts w:ascii="Book Antiqua" w:hAnsi="Book Antiqua" w:cs="Times New Roman"/>
          <w:sz w:val="24"/>
          <w:szCs w:val="24"/>
        </w:rPr>
        <w:t>89.6%</w:t>
      </w:r>
      <w:r w:rsidR="00864A8E" w:rsidRPr="00260584">
        <w:rPr>
          <w:rFonts w:ascii="Book Antiqua" w:hAnsi="Book Antiqua" w:cs="Times New Roman"/>
          <w:sz w:val="24"/>
          <w:szCs w:val="24"/>
        </w:rPr>
        <w:t xml:space="preserve"> </w:t>
      </w:r>
      <w:r w:rsidR="004874E0" w:rsidRPr="00260584">
        <w:rPr>
          <w:rFonts w:ascii="Book Antiqua" w:hAnsi="Book Antiqua" w:cs="Times New Roman"/>
          <w:sz w:val="24"/>
          <w:szCs w:val="24"/>
        </w:rPr>
        <w:t>patients, CR in our study was substantially higher</w:t>
      </w:r>
      <w:r w:rsidR="0071344F" w:rsidRPr="00260584">
        <w:rPr>
          <w:rFonts w:ascii="Book Antiqua" w:hAnsi="Book Antiqua" w:cs="Times New Roman"/>
          <w:sz w:val="24"/>
          <w:szCs w:val="24"/>
        </w:rPr>
        <w:t xml:space="preserve">. This </w:t>
      </w:r>
      <w:r w:rsidR="00864A8E" w:rsidRPr="00260584">
        <w:rPr>
          <w:rFonts w:ascii="Book Antiqua" w:hAnsi="Book Antiqua" w:cs="Times New Roman"/>
          <w:sz w:val="24"/>
          <w:szCs w:val="24"/>
        </w:rPr>
        <w:t xml:space="preserve">is probably </w:t>
      </w:r>
      <w:r w:rsidR="00EC0C27" w:rsidRPr="00260584">
        <w:rPr>
          <w:rFonts w:ascii="Book Antiqua" w:hAnsi="Book Antiqua" w:cs="Times New Roman"/>
          <w:sz w:val="24"/>
          <w:szCs w:val="24"/>
        </w:rPr>
        <w:t xml:space="preserve">attributable to the </w:t>
      </w:r>
      <w:r w:rsidR="00864A8E" w:rsidRPr="00260584">
        <w:rPr>
          <w:rFonts w:ascii="Book Antiqua" w:hAnsi="Book Antiqua" w:cs="Times New Roman"/>
          <w:sz w:val="24"/>
          <w:szCs w:val="24"/>
        </w:rPr>
        <w:t xml:space="preserve">differences in </w:t>
      </w:r>
      <w:r w:rsidR="009F116D" w:rsidRPr="00260584">
        <w:rPr>
          <w:rFonts w:ascii="Book Antiqua" w:hAnsi="Book Antiqua" w:cs="Times New Roman"/>
          <w:sz w:val="24"/>
          <w:szCs w:val="24"/>
        </w:rPr>
        <w:t>participants in two studies</w:t>
      </w:r>
      <w:r w:rsidR="00A7777D" w:rsidRPr="00260584">
        <w:rPr>
          <w:rFonts w:ascii="Book Antiqua" w:hAnsi="Book Antiqua" w:cs="Times New Roman"/>
          <w:sz w:val="24"/>
          <w:szCs w:val="24"/>
        </w:rPr>
        <w:t xml:space="preserve"> as </w:t>
      </w:r>
      <w:proofErr w:type="spellStart"/>
      <w:r w:rsidR="0071344F" w:rsidRPr="00260584">
        <w:rPr>
          <w:rFonts w:ascii="Book Antiqua" w:hAnsi="Book Antiqua" w:cs="Times New Roman"/>
          <w:sz w:val="24"/>
          <w:szCs w:val="24"/>
        </w:rPr>
        <w:t>Hesketh</w:t>
      </w:r>
      <w:proofErr w:type="spellEnd"/>
      <w:r w:rsidR="00EC0C27" w:rsidRPr="00260584">
        <w:rPr>
          <w:rFonts w:ascii="Book Antiqua" w:hAnsi="Book Antiqua" w:cs="Times New Roman"/>
          <w:i/>
          <w:iCs/>
          <w:sz w:val="24"/>
          <w:szCs w:val="24"/>
        </w:rPr>
        <w:t xml:space="preserve"> </w:t>
      </w:r>
      <w:r w:rsidR="00A67FC0" w:rsidRPr="00260584">
        <w:rPr>
          <w:rFonts w:ascii="Book Antiqua" w:hAnsi="Book Antiqua" w:cs="Times New Roman"/>
          <w:i/>
          <w:iCs/>
          <w:sz w:val="24"/>
          <w:szCs w:val="24"/>
        </w:rPr>
        <w:t>et al</w:t>
      </w:r>
      <w:r w:rsidR="00151573" w:rsidRPr="00260584">
        <w:rPr>
          <w:rFonts w:ascii="Book Antiqua" w:hAnsi="Book Antiqua" w:cs="Times New Roman"/>
          <w:sz w:val="24"/>
          <w:szCs w:val="24"/>
          <w:vertAlign w:val="superscript"/>
        </w:rPr>
        <w:t>[1</w:t>
      </w:r>
      <w:r w:rsidR="00BF2F33" w:rsidRPr="00260584">
        <w:rPr>
          <w:rFonts w:ascii="Book Antiqua" w:hAnsi="Book Antiqua" w:cs="Times New Roman"/>
          <w:sz w:val="24"/>
          <w:szCs w:val="24"/>
          <w:vertAlign w:val="superscript"/>
        </w:rPr>
        <w:t>0]</w:t>
      </w:r>
      <w:r w:rsidR="00151573" w:rsidRPr="00260584">
        <w:rPr>
          <w:rFonts w:ascii="Book Antiqua" w:hAnsi="Book Antiqua" w:cs="Times New Roman"/>
          <w:sz w:val="24"/>
          <w:szCs w:val="24"/>
        </w:rPr>
        <w:t xml:space="preserve"> </w:t>
      </w:r>
      <w:r w:rsidR="008D3CAC" w:rsidRPr="00260584">
        <w:rPr>
          <w:rFonts w:ascii="Book Antiqua" w:hAnsi="Book Antiqua" w:cs="Times New Roman"/>
          <w:sz w:val="24"/>
          <w:szCs w:val="24"/>
        </w:rPr>
        <w:t>i</w:t>
      </w:r>
      <w:r w:rsidR="0071344F" w:rsidRPr="00260584">
        <w:rPr>
          <w:rFonts w:ascii="Book Antiqua" w:hAnsi="Book Antiqua" w:cs="Times New Roman"/>
          <w:sz w:val="24"/>
          <w:szCs w:val="24"/>
        </w:rPr>
        <w:t xml:space="preserve">ncluded </w:t>
      </w:r>
      <w:r w:rsidR="00A67FC0" w:rsidRPr="00260584">
        <w:rPr>
          <w:rFonts w:ascii="Book Antiqua" w:hAnsi="Book Antiqua" w:cs="Times New Roman"/>
          <w:sz w:val="24"/>
          <w:szCs w:val="24"/>
        </w:rPr>
        <w:t>patients</w:t>
      </w:r>
      <w:r w:rsidR="001E66EC" w:rsidRPr="00260584">
        <w:rPr>
          <w:rFonts w:ascii="Book Antiqua" w:hAnsi="Book Antiqua" w:cs="Times New Roman"/>
          <w:sz w:val="24"/>
          <w:szCs w:val="24"/>
        </w:rPr>
        <w:t xml:space="preserve"> </w:t>
      </w:r>
      <w:r w:rsidR="00A7777D" w:rsidRPr="00260584">
        <w:rPr>
          <w:rFonts w:ascii="Book Antiqua" w:hAnsi="Book Antiqua" w:cs="Times New Roman"/>
          <w:sz w:val="24"/>
          <w:szCs w:val="24"/>
        </w:rPr>
        <w:t>receiving HEC only</w:t>
      </w:r>
      <w:r w:rsidR="001E66EC" w:rsidRPr="00260584">
        <w:rPr>
          <w:rFonts w:ascii="Book Antiqua" w:hAnsi="Book Antiqua" w:cs="Times New Roman"/>
          <w:sz w:val="24"/>
          <w:szCs w:val="24"/>
        </w:rPr>
        <w:t>.</w:t>
      </w:r>
      <w:r w:rsidR="0071344F" w:rsidRPr="00260584">
        <w:rPr>
          <w:rFonts w:ascii="Book Antiqua" w:hAnsi="Book Antiqua" w:cs="Times New Roman"/>
          <w:sz w:val="24"/>
          <w:szCs w:val="24"/>
        </w:rPr>
        <w:t xml:space="preserve"> </w:t>
      </w:r>
      <w:proofErr w:type="spellStart"/>
      <w:r w:rsidR="00AA6F17" w:rsidRPr="00260584">
        <w:rPr>
          <w:rFonts w:ascii="Book Antiqua" w:hAnsi="Book Antiqua" w:cs="Times New Roman"/>
          <w:sz w:val="24"/>
          <w:szCs w:val="24"/>
        </w:rPr>
        <w:t>Badalamenti</w:t>
      </w:r>
      <w:proofErr w:type="spellEnd"/>
      <w:r w:rsidR="00AA6F17" w:rsidRPr="00260584">
        <w:rPr>
          <w:rFonts w:ascii="Book Antiqua" w:hAnsi="Book Antiqua" w:cs="Times New Roman"/>
          <w:sz w:val="24"/>
          <w:szCs w:val="24"/>
        </w:rPr>
        <w:t xml:space="preserve"> </w:t>
      </w:r>
      <w:r w:rsidR="00AA6F17" w:rsidRPr="00260584">
        <w:rPr>
          <w:rFonts w:ascii="Book Antiqua" w:hAnsi="Book Antiqua" w:cs="Times New Roman"/>
          <w:i/>
          <w:iCs/>
          <w:sz w:val="24"/>
          <w:szCs w:val="24"/>
        </w:rPr>
        <w:t>et al</w:t>
      </w:r>
      <w:r w:rsidR="003B2406" w:rsidRPr="00260584">
        <w:rPr>
          <w:rFonts w:ascii="Book Antiqua" w:hAnsi="Book Antiqua" w:cs="Times New Roman"/>
          <w:sz w:val="24"/>
          <w:szCs w:val="24"/>
          <w:vertAlign w:val="superscript"/>
        </w:rPr>
        <w:t>[12]</w:t>
      </w:r>
      <w:r w:rsidR="008D3CAC" w:rsidRPr="00260584">
        <w:rPr>
          <w:rFonts w:ascii="Book Antiqua" w:hAnsi="Book Antiqua" w:cs="Times New Roman"/>
          <w:sz w:val="24"/>
          <w:szCs w:val="24"/>
        </w:rPr>
        <w:t xml:space="preserve"> </w:t>
      </w:r>
      <w:r w:rsidR="00CA28D5" w:rsidRPr="00260584">
        <w:rPr>
          <w:rFonts w:ascii="Book Antiqua" w:hAnsi="Book Antiqua" w:cs="Times New Roman"/>
          <w:sz w:val="24"/>
          <w:szCs w:val="24"/>
        </w:rPr>
        <w:t>(2019)</w:t>
      </w:r>
      <w:r w:rsidR="00AA6F17" w:rsidRPr="00260584">
        <w:rPr>
          <w:rFonts w:ascii="Book Antiqua" w:hAnsi="Book Antiqua" w:cs="Times New Roman"/>
          <w:sz w:val="24"/>
          <w:szCs w:val="24"/>
        </w:rPr>
        <w:t xml:space="preserve"> also reported overall CR in first chemotherapy cycle to be 88.9%</w:t>
      </w:r>
      <w:r w:rsidR="0096399E"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2</w:t>
      </w:r>
      <w:r w:rsidR="00151573"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rPr>
        <w:t xml:space="preserve">. </w:t>
      </w:r>
      <w:r w:rsidR="004D48AC" w:rsidRPr="00260584">
        <w:rPr>
          <w:rFonts w:ascii="Book Antiqua" w:hAnsi="Book Antiqua" w:cs="Times New Roman"/>
          <w:sz w:val="24"/>
          <w:szCs w:val="24"/>
        </w:rPr>
        <w:t xml:space="preserve">This indicates overall excellent efficacy of NEPA in preventing </w:t>
      </w:r>
      <w:r w:rsidR="00C14CB0" w:rsidRPr="00260584">
        <w:rPr>
          <w:rFonts w:ascii="Book Antiqua" w:hAnsi="Book Antiqua" w:cs="Times New Roman"/>
          <w:sz w:val="24"/>
          <w:szCs w:val="24"/>
        </w:rPr>
        <w:t>acute and delayed phase</w:t>
      </w:r>
      <w:r w:rsidR="00945C46" w:rsidRPr="00260584">
        <w:rPr>
          <w:rFonts w:ascii="Book Antiqua" w:hAnsi="Book Antiqua" w:cs="Times New Roman"/>
          <w:sz w:val="24"/>
          <w:szCs w:val="24"/>
        </w:rPr>
        <w:t xml:space="preserve"> CINV</w:t>
      </w:r>
      <w:r w:rsidR="004D48AC" w:rsidRPr="00260584">
        <w:rPr>
          <w:rFonts w:ascii="Book Antiqua" w:hAnsi="Book Antiqua" w:cs="Times New Roman"/>
          <w:sz w:val="24"/>
          <w:szCs w:val="24"/>
        </w:rPr>
        <w:t xml:space="preserve">. </w:t>
      </w:r>
      <w:r w:rsidR="00EC350F" w:rsidRPr="00260584">
        <w:rPr>
          <w:rFonts w:ascii="Book Antiqua" w:hAnsi="Book Antiqua" w:cs="Times New Roman"/>
          <w:sz w:val="24"/>
          <w:szCs w:val="24"/>
        </w:rPr>
        <w:t>Th</w:t>
      </w:r>
      <w:r w:rsidR="0096399E" w:rsidRPr="00260584">
        <w:rPr>
          <w:rFonts w:ascii="Book Antiqua" w:hAnsi="Book Antiqua" w:cs="Times New Roman"/>
          <w:sz w:val="24"/>
          <w:szCs w:val="24"/>
        </w:rPr>
        <w:t>e</w:t>
      </w:r>
      <w:r w:rsidR="00EC350F" w:rsidRPr="00260584">
        <w:rPr>
          <w:rFonts w:ascii="Book Antiqua" w:hAnsi="Book Antiqua" w:cs="Times New Roman"/>
          <w:sz w:val="24"/>
          <w:szCs w:val="24"/>
        </w:rPr>
        <w:t xml:space="preserve"> combination has also been found to be more effective than monotherapy with palonosetron. In randomized, double-blind, study involving </w:t>
      </w:r>
      <w:r w:rsidR="00A67FC0" w:rsidRPr="00260584">
        <w:rPr>
          <w:rFonts w:ascii="Book Antiqua" w:hAnsi="Book Antiqua" w:cs="Times New Roman"/>
          <w:sz w:val="24"/>
          <w:szCs w:val="24"/>
        </w:rPr>
        <w:t>patients</w:t>
      </w:r>
      <w:r w:rsidR="00EC350F" w:rsidRPr="00260584">
        <w:rPr>
          <w:rFonts w:ascii="Book Antiqua" w:hAnsi="Book Antiqua" w:cs="Times New Roman"/>
          <w:sz w:val="24"/>
          <w:szCs w:val="24"/>
        </w:rPr>
        <w:t xml:space="preserve"> on MEC, </w:t>
      </w:r>
      <w:proofErr w:type="spellStart"/>
      <w:r w:rsidR="00A67FC0" w:rsidRPr="00260584">
        <w:rPr>
          <w:rFonts w:ascii="Book Antiqua" w:hAnsi="Book Antiqua" w:cs="Times New Roman"/>
          <w:sz w:val="24"/>
          <w:szCs w:val="24"/>
        </w:rPr>
        <w:t>A</w:t>
      </w:r>
      <w:r w:rsidR="00E86EB5" w:rsidRPr="00260584">
        <w:rPr>
          <w:rFonts w:ascii="Book Antiqua" w:hAnsi="Book Antiqua" w:cs="Times New Roman"/>
          <w:sz w:val="24"/>
          <w:szCs w:val="24"/>
        </w:rPr>
        <w:t>a</w:t>
      </w:r>
      <w:r w:rsidR="00A67FC0" w:rsidRPr="00260584">
        <w:rPr>
          <w:rFonts w:ascii="Book Antiqua" w:hAnsi="Book Antiqua" w:cs="Times New Roman"/>
          <w:sz w:val="24"/>
          <w:szCs w:val="24"/>
        </w:rPr>
        <w:t>pro</w:t>
      </w:r>
      <w:proofErr w:type="spellEnd"/>
      <w:r w:rsidR="00EC350F" w:rsidRPr="00260584">
        <w:rPr>
          <w:rFonts w:ascii="Book Antiqua" w:hAnsi="Book Antiqua" w:cs="Times New Roman"/>
          <w:sz w:val="24"/>
          <w:szCs w:val="24"/>
        </w:rPr>
        <w:t xml:space="preserve"> </w:t>
      </w:r>
      <w:r w:rsidR="00EC350F" w:rsidRPr="00260584">
        <w:rPr>
          <w:rFonts w:ascii="Book Antiqua" w:hAnsi="Book Antiqua" w:cs="Times New Roman"/>
          <w:i/>
          <w:iCs/>
          <w:sz w:val="24"/>
          <w:szCs w:val="24"/>
        </w:rPr>
        <w:t>et al</w:t>
      </w:r>
      <w:r w:rsidR="002D02AE" w:rsidRPr="00260584">
        <w:rPr>
          <w:rFonts w:ascii="Book Antiqua" w:hAnsi="Book Antiqua" w:cs="Times New Roman"/>
          <w:sz w:val="24"/>
          <w:szCs w:val="24"/>
          <w:vertAlign w:val="superscript"/>
        </w:rPr>
        <w:t>[13]</w:t>
      </w:r>
      <w:r w:rsidR="00EC350F" w:rsidRPr="00260584">
        <w:rPr>
          <w:rFonts w:ascii="Book Antiqua" w:hAnsi="Book Antiqua" w:cs="Times New Roman"/>
          <w:sz w:val="24"/>
          <w:szCs w:val="24"/>
        </w:rPr>
        <w:t xml:space="preserve"> demonstrated that the CR in overall phase, acute phase and delayed phase was 74.3%, 88.4% and 76.9% in </w:t>
      </w:r>
      <w:r w:rsidR="002246F9" w:rsidRPr="00260584">
        <w:rPr>
          <w:rFonts w:ascii="Book Antiqua" w:hAnsi="Book Antiqua" w:cs="Times New Roman"/>
          <w:sz w:val="24"/>
          <w:szCs w:val="24"/>
        </w:rPr>
        <w:t>NEPA</w:t>
      </w:r>
      <w:r w:rsidR="00EC350F" w:rsidRPr="00260584">
        <w:rPr>
          <w:rFonts w:ascii="Book Antiqua" w:hAnsi="Book Antiqua" w:cs="Times New Roman"/>
          <w:sz w:val="24"/>
          <w:szCs w:val="24"/>
        </w:rPr>
        <w:t xml:space="preserve"> group and 66.6%, 85.0% and 69.5% </w:t>
      </w:r>
      <w:r w:rsidR="00EC350F" w:rsidRPr="00260584">
        <w:rPr>
          <w:rFonts w:ascii="Book Antiqua" w:hAnsi="Book Antiqua" w:cs="Times New Roman"/>
          <w:sz w:val="24"/>
          <w:szCs w:val="24"/>
        </w:rPr>
        <w:lastRenderedPageBreak/>
        <w:t>with palonosetron monotherapy. Dexamethasone was co</w:t>
      </w:r>
      <w:r w:rsidR="00A67FC0" w:rsidRPr="00260584">
        <w:rPr>
          <w:rFonts w:ascii="Book Antiqua" w:hAnsi="Book Antiqua" w:cs="Times New Roman"/>
          <w:sz w:val="24"/>
          <w:szCs w:val="24"/>
        </w:rPr>
        <w:t>-</w:t>
      </w:r>
      <w:r w:rsidR="00EC350F" w:rsidRPr="00260584">
        <w:rPr>
          <w:rFonts w:ascii="Book Antiqua" w:hAnsi="Book Antiqua" w:cs="Times New Roman"/>
          <w:sz w:val="24"/>
          <w:szCs w:val="24"/>
        </w:rPr>
        <w:t>administered in both treatment groups</w:t>
      </w:r>
      <w:r w:rsidR="00EC350F"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3</w:t>
      </w:r>
      <w:r w:rsidR="00EC350F" w:rsidRPr="00260584">
        <w:rPr>
          <w:rFonts w:ascii="Book Antiqua" w:hAnsi="Book Antiqua" w:cs="Times New Roman"/>
          <w:sz w:val="24"/>
          <w:szCs w:val="24"/>
          <w:vertAlign w:val="superscript"/>
        </w:rPr>
        <w:t>]</w:t>
      </w:r>
      <w:r w:rsidR="00073D9E" w:rsidRPr="00260584">
        <w:rPr>
          <w:rFonts w:ascii="Book Antiqua" w:hAnsi="Book Antiqua" w:cs="Times New Roman"/>
          <w:sz w:val="24"/>
          <w:szCs w:val="24"/>
        </w:rPr>
        <w:t>.</w:t>
      </w:r>
      <w:r w:rsidR="001D4CF8" w:rsidRPr="00260584">
        <w:rPr>
          <w:rFonts w:ascii="Book Antiqua" w:hAnsi="Book Antiqua" w:cs="Times New Roman"/>
          <w:sz w:val="24"/>
          <w:szCs w:val="24"/>
        </w:rPr>
        <w:t xml:space="preserve"> </w:t>
      </w:r>
      <w:proofErr w:type="spellStart"/>
      <w:r w:rsidR="008B732E" w:rsidRPr="00260584">
        <w:rPr>
          <w:rFonts w:ascii="Book Antiqua" w:hAnsi="Book Antiqua" w:cs="Times New Roman"/>
          <w:sz w:val="24"/>
          <w:szCs w:val="24"/>
        </w:rPr>
        <w:t>Hesketh</w:t>
      </w:r>
      <w:proofErr w:type="spellEnd"/>
      <w:r w:rsidR="008B732E" w:rsidRPr="00260584">
        <w:rPr>
          <w:rFonts w:ascii="Book Antiqua" w:hAnsi="Book Antiqua" w:cs="Times New Roman"/>
          <w:sz w:val="24"/>
          <w:szCs w:val="24"/>
        </w:rPr>
        <w:t xml:space="preserve"> </w:t>
      </w:r>
      <w:r w:rsidR="008B732E" w:rsidRPr="00260584">
        <w:rPr>
          <w:rFonts w:ascii="Book Antiqua" w:hAnsi="Book Antiqua" w:cs="Times New Roman"/>
          <w:i/>
          <w:iCs/>
          <w:sz w:val="24"/>
          <w:szCs w:val="24"/>
        </w:rPr>
        <w:t>et al</w:t>
      </w:r>
      <w:r w:rsidR="00457F7E" w:rsidRPr="00260584">
        <w:rPr>
          <w:rFonts w:ascii="Book Antiqua" w:hAnsi="Book Antiqua" w:cs="Times New Roman"/>
          <w:sz w:val="24"/>
          <w:szCs w:val="24"/>
          <w:vertAlign w:val="superscript"/>
        </w:rPr>
        <w:t>[10]</w:t>
      </w:r>
      <w:r w:rsidR="008B732E" w:rsidRPr="00260584">
        <w:rPr>
          <w:rFonts w:ascii="Book Antiqua" w:hAnsi="Book Antiqua" w:cs="Times New Roman"/>
          <w:sz w:val="24"/>
          <w:szCs w:val="24"/>
        </w:rPr>
        <w:t xml:space="preserve"> also reported NEPA was superior to palonosetron in preventing CINV in patients receiving HEC</w:t>
      </w:r>
      <w:r w:rsidR="008B732E" w:rsidRPr="00260584">
        <w:rPr>
          <w:rFonts w:ascii="Book Antiqua" w:hAnsi="Book Antiqua" w:cs="Times New Roman"/>
          <w:sz w:val="24"/>
          <w:szCs w:val="24"/>
          <w:vertAlign w:val="superscript"/>
        </w:rPr>
        <w:t>[</w:t>
      </w:r>
      <w:r w:rsidR="00151573"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0</w:t>
      </w:r>
      <w:r w:rsidR="008B732E" w:rsidRPr="00260584">
        <w:rPr>
          <w:rFonts w:ascii="Book Antiqua" w:hAnsi="Book Antiqua" w:cs="Times New Roman"/>
          <w:sz w:val="24"/>
          <w:szCs w:val="24"/>
          <w:vertAlign w:val="superscript"/>
        </w:rPr>
        <w:t>]</w:t>
      </w:r>
      <w:r w:rsidR="008B732E" w:rsidRPr="00260584">
        <w:rPr>
          <w:rFonts w:ascii="Book Antiqua" w:hAnsi="Book Antiqua" w:cs="Times New Roman"/>
          <w:sz w:val="24"/>
          <w:szCs w:val="24"/>
        </w:rPr>
        <w:t xml:space="preserve">. </w:t>
      </w:r>
      <w:r w:rsidR="001D4CF8" w:rsidRPr="00260584">
        <w:rPr>
          <w:rFonts w:ascii="Book Antiqua" w:hAnsi="Book Antiqua" w:cs="Times New Roman"/>
          <w:sz w:val="24"/>
          <w:szCs w:val="24"/>
        </w:rPr>
        <w:t xml:space="preserve">This suggest that </w:t>
      </w:r>
      <w:r w:rsidR="00EE4D59" w:rsidRPr="00260584">
        <w:rPr>
          <w:rFonts w:ascii="Book Antiqua" w:hAnsi="Book Antiqua" w:cs="Times New Roman"/>
          <w:sz w:val="24"/>
          <w:szCs w:val="24"/>
        </w:rPr>
        <w:t>NEPA</w:t>
      </w:r>
      <w:r w:rsidR="001D4CF8" w:rsidRPr="00260584">
        <w:rPr>
          <w:rFonts w:ascii="Book Antiqua" w:hAnsi="Book Antiqua" w:cs="Times New Roman"/>
          <w:sz w:val="24"/>
          <w:szCs w:val="24"/>
        </w:rPr>
        <w:t xml:space="preserve"> is highly </w:t>
      </w:r>
      <w:r w:rsidR="00EE4D59" w:rsidRPr="00260584">
        <w:rPr>
          <w:rFonts w:ascii="Book Antiqua" w:hAnsi="Book Antiqua" w:cs="Times New Roman"/>
          <w:sz w:val="24"/>
          <w:szCs w:val="24"/>
        </w:rPr>
        <w:t xml:space="preserve">effective </w:t>
      </w:r>
      <w:r w:rsidR="001D4CF8" w:rsidRPr="00260584">
        <w:rPr>
          <w:rFonts w:ascii="Book Antiqua" w:hAnsi="Book Antiqua" w:cs="Times New Roman"/>
          <w:sz w:val="24"/>
          <w:szCs w:val="24"/>
        </w:rPr>
        <w:t xml:space="preserve">in </w:t>
      </w:r>
      <w:r w:rsidR="00A67FC0" w:rsidRPr="00260584">
        <w:rPr>
          <w:rFonts w:ascii="Book Antiqua" w:hAnsi="Book Antiqua" w:cs="Times New Roman"/>
          <w:sz w:val="24"/>
          <w:szCs w:val="24"/>
        </w:rPr>
        <w:t>preventing</w:t>
      </w:r>
      <w:r w:rsidR="001D4CF8" w:rsidRPr="00260584">
        <w:rPr>
          <w:rFonts w:ascii="Book Antiqua" w:hAnsi="Book Antiqua" w:cs="Times New Roman"/>
          <w:sz w:val="24"/>
          <w:szCs w:val="24"/>
        </w:rPr>
        <w:t xml:space="preserve"> CINV in any level of emetogenic chemotherapy.</w:t>
      </w:r>
      <w:r w:rsidR="00CC37BA" w:rsidRPr="00260584">
        <w:rPr>
          <w:rFonts w:ascii="Book Antiqua" w:hAnsi="Book Antiqua" w:cs="Times New Roman"/>
          <w:sz w:val="24"/>
          <w:szCs w:val="24"/>
        </w:rPr>
        <w:t xml:space="preserve"> Further, </w:t>
      </w:r>
      <w:r w:rsidR="001D4CF8" w:rsidRPr="00260584">
        <w:rPr>
          <w:rFonts w:ascii="Book Antiqua" w:hAnsi="Book Antiqua" w:cs="Times New Roman"/>
          <w:sz w:val="24"/>
          <w:szCs w:val="24"/>
        </w:rPr>
        <w:t xml:space="preserve">CINV </w:t>
      </w:r>
      <w:r w:rsidR="005B345C" w:rsidRPr="00260584">
        <w:rPr>
          <w:rFonts w:ascii="Book Antiqua" w:hAnsi="Book Antiqua" w:cs="Times New Roman"/>
          <w:sz w:val="24"/>
          <w:szCs w:val="24"/>
        </w:rPr>
        <w:t xml:space="preserve">due to </w:t>
      </w:r>
      <w:r w:rsidR="00F72384" w:rsidRPr="00260584">
        <w:rPr>
          <w:rFonts w:ascii="Book Antiqua" w:hAnsi="Book Antiqua" w:cs="Times New Roman"/>
          <w:sz w:val="24"/>
          <w:szCs w:val="24"/>
        </w:rPr>
        <w:t xml:space="preserve">chemotherapy </w:t>
      </w:r>
      <w:r w:rsidR="001D4CF8" w:rsidRPr="00260584">
        <w:rPr>
          <w:rFonts w:ascii="Book Antiqua" w:hAnsi="Book Antiqua" w:cs="Times New Roman"/>
          <w:sz w:val="24"/>
          <w:szCs w:val="24"/>
        </w:rPr>
        <w:t xml:space="preserve">can lead to </w:t>
      </w:r>
      <w:r w:rsidR="00F72384" w:rsidRPr="00260584">
        <w:rPr>
          <w:rFonts w:ascii="Book Antiqua" w:hAnsi="Book Antiqua" w:cs="Times New Roman"/>
          <w:sz w:val="24"/>
          <w:szCs w:val="24"/>
        </w:rPr>
        <w:t>reduced quality of life, impairment in home and occupational activities,</w:t>
      </w:r>
      <w:r w:rsidR="001D4CF8" w:rsidRPr="00260584">
        <w:rPr>
          <w:rFonts w:ascii="Book Antiqua" w:hAnsi="Book Antiqua" w:cs="Times New Roman"/>
          <w:sz w:val="24"/>
          <w:szCs w:val="24"/>
        </w:rPr>
        <w:t xml:space="preserve"> may add to </w:t>
      </w:r>
      <w:r w:rsidR="00F72384" w:rsidRPr="00260584">
        <w:rPr>
          <w:rFonts w:ascii="Book Antiqua" w:hAnsi="Book Antiqua" w:cs="Times New Roman"/>
          <w:sz w:val="24"/>
          <w:szCs w:val="24"/>
        </w:rPr>
        <w:t>increase</w:t>
      </w:r>
      <w:r w:rsidR="001D4CF8" w:rsidRPr="00260584">
        <w:rPr>
          <w:rFonts w:ascii="Book Antiqua" w:hAnsi="Book Antiqua" w:cs="Times New Roman"/>
          <w:sz w:val="24"/>
          <w:szCs w:val="24"/>
        </w:rPr>
        <w:t>d</w:t>
      </w:r>
      <w:r w:rsidR="00F72384" w:rsidRPr="00260584">
        <w:rPr>
          <w:rFonts w:ascii="Book Antiqua" w:hAnsi="Book Antiqua" w:cs="Times New Roman"/>
          <w:sz w:val="24"/>
          <w:szCs w:val="24"/>
        </w:rPr>
        <w:t xml:space="preserve"> cost </w:t>
      </w:r>
      <w:r w:rsidR="001D4CF8" w:rsidRPr="00260584">
        <w:rPr>
          <w:rFonts w:ascii="Book Antiqua" w:hAnsi="Book Antiqua" w:cs="Times New Roman"/>
          <w:sz w:val="24"/>
          <w:szCs w:val="24"/>
        </w:rPr>
        <w:t xml:space="preserve">and </w:t>
      </w:r>
      <w:r w:rsidR="00F72384" w:rsidRPr="00260584">
        <w:rPr>
          <w:rFonts w:ascii="Book Antiqua" w:hAnsi="Book Antiqua" w:cs="Times New Roman"/>
          <w:sz w:val="24"/>
          <w:szCs w:val="24"/>
        </w:rPr>
        <w:t>cause organ damage</w:t>
      </w:r>
      <w:r w:rsidR="00111A9A" w:rsidRPr="00260584">
        <w:rPr>
          <w:rFonts w:ascii="Book Antiqua" w:hAnsi="Book Antiqua" w:cs="Times New Roman"/>
          <w:sz w:val="24"/>
          <w:szCs w:val="24"/>
        </w:rPr>
        <w:t xml:space="preserve"> </w:t>
      </w:r>
      <w:r w:rsidR="001D4CF8" w:rsidRPr="00260584">
        <w:rPr>
          <w:rFonts w:ascii="Book Antiqua" w:hAnsi="Book Antiqua" w:cs="Times New Roman"/>
          <w:sz w:val="24"/>
          <w:szCs w:val="24"/>
        </w:rPr>
        <w:t xml:space="preserve">in the long run, preventing CINV is one of the primary goals of </w:t>
      </w:r>
      <w:r w:rsidR="00A67FC0" w:rsidRPr="00260584">
        <w:rPr>
          <w:rFonts w:ascii="Book Antiqua" w:hAnsi="Book Antiqua" w:cs="Times New Roman"/>
          <w:sz w:val="24"/>
          <w:szCs w:val="24"/>
        </w:rPr>
        <w:t>therapy</w:t>
      </w:r>
      <w:r w:rsidR="00111A9A" w:rsidRPr="00260584">
        <w:rPr>
          <w:rFonts w:ascii="Book Antiqua" w:hAnsi="Book Antiqua" w:cs="Times New Roman"/>
          <w:sz w:val="24"/>
          <w:szCs w:val="24"/>
          <w:vertAlign w:val="superscript"/>
        </w:rPr>
        <w:t>[</w:t>
      </w:r>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4</w:t>
      </w:r>
      <w:r w:rsidR="00111A9A" w:rsidRPr="00260584">
        <w:rPr>
          <w:rFonts w:ascii="Book Antiqua" w:hAnsi="Book Antiqua" w:cs="Times New Roman"/>
          <w:sz w:val="24"/>
          <w:szCs w:val="24"/>
          <w:vertAlign w:val="superscript"/>
        </w:rPr>
        <w:t>-</w:t>
      </w:r>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7</w:t>
      </w:r>
      <w:r w:rsidR="00111A9A" w:rsidRPr="00260584">
        <w:rPr>
          <w:rFonts w:ascii="Book Antiqua" w:hAnsi="Book Antiqua" w:cs="Times New Roman"/>
          <w:sz w:val="24"/>
          <w:szCs w:val="24"/>
          <w:vertAlign w:val="superscript"/>
        </w:rPr>
        <w:t>]</w:t>
      </w:r>
      <w:r w:rsidR="00073D9E" w:rsidRPr="00260584">
        <w:rPr>
          <w:rFonts w:ascii="Book Antiqua" w:hAnsi="Book Antiqua" w:cs="Times New Roman"/>
          <w:sz w:val="24"/>
          <w:szCs w:val="24"/>
        </w:rPr>
        <w:t>.</w:t>
      </w:r>
      <w:r w:rsidR="00F72384" w:rsidRPr="00260584">
        <w:rPr>
          <w:rFonts w:ascii="Book Antiqua" w:hAnsi="Book Antiqua" w:cs="Times New Roman"/>
          <w:sz w:val="24"/>
          <w:szCs w:val="24"/>
        </w:rPr>
        <w:t xml:space="preserve"> </w:t>
      </w:r>
      <w:r w:rsidR="00601A77" w:rsidRPr="00260584">
        <w:rPr>
          <w:rFonts w:ascii="Book Antiqua" w:hAnsi="Book Antiqua" w:cs="Times New Roman"/>
          <w:sz w:val="24"/>
          <w:szCs w:val="24"/>
        </w:rPr>
        <w:t>Therefore, single oral dose of N</w:t>
      </w:r>
      <w:r w:rsidR="005B7204" w:rsidRPr="00260584">
        <w:rPr>
          <w:rFonts w:ascii="Book Antiqua" w:hAnsi="Book Antiqua" w:cs="Times New Roman"/>
          <w:sz w:val="24"/>
          <w:szCs w:val="24"/>
        </w:rPr>
        <w:t>E</w:t>
      </w:r>
      <w:r w:rsidR="00601A77" w:rsidRPr="00260584">
        <w:rPr>
          <w:rFonts w:ascii="Book Antiqua" w:hAnsi="Book Antiqua" w:cs="Times New Roman"/>
          <w:sz w:val="24"/>
          <w:szCs w:val="24"/>
        </w:rPr>
        <w:t>PA can contribute the improved quality of life of patients receiving chemotherapeutic regimens.</w:t>
      </w:r>
    </w:p>
    <w:p w14:paraId="46F65C81" w14:textId="3266FA31" w:rsidR="00E60A1F" w:rsidRPr="00260584" w:rsidRDefault="00C0484F" w:rsidP="00260584">
      <w:pPr>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We observed persistent CR in </w:t>
      </w:r>
      <w:r w:rsidR="00FC0343" w:rsidRPr="00260584">
        <w:rPr>
          <w:rFonts w:ascii="Book Antiqua" w:hAnsi="Book Antiqua" w:cs="Times New Roman"/>
          <w:sz w:val="24"/>
          <w:szCs w:val="24"/>
        </w:rPr>
        <w:t>patients</w:t>
      </w:r>
      <w:r w:rsidRPr="00260584">
        <w:rPr>
          <w:rFonts w:ascii="Book Antiqua" w:hAnsi="Book Antiqua" w:cs="Times New Roman"/>
          <w:sz w:val="24"/>
          <w:szCs w:val="24"/>
        </w:rPr>
        <w:t xml:space="preserve"> from different number of chemotherapy cycles suggesting that </w:t>
      </w:r>
      <w:r w:rsidR="009A24D6" w:rsidRPr="00260584">
        <w:rPr>
          <w:rFonts w:ascii="Book Antiqua" w:hAnsi="Book Antiqua" w:cs="Times New Roman"/>
          <w:sz w:val="24"/>
          <w:szCs w:val="24"/>
        </w:rPr>
        <w:t>effectiveness of NEPA is not affected in repeated administration or initiating at any chemotherapy cycle</w:t>
      </w:r>
      <w:r w:rsidRPr="00260584">
        <w:rPr>
          <w:rFonts w:ascii="Book Antiqua" w:hAnsi="Book Antiqua" w:cs="Times New Roman"/>
          <w:sz w:val="24"/>
          <w:szCs w:val="24"/>
        </w:rPr>
        <w:t>.</w:t>
      </w:r>
      <w:r w:rsidR="00123722" w:rsidRPr="00260584">
        <w:rPr>
          <w:rFonts w:ascii="Book Antiqua" w:hAnsi="Book Antiqua" w:cs="Times New Roman"/>
          <w:sz w:val="24"/>
          <w:szCs w:val="24"/>
        </w:rPr>
        <w:t xml:space="preserve"> </w:t>
      </w:r>
      <w:r w:rsidR="004F36FB" w:rsidRPr="00260584">
        <w:rPr>
          <w:rFonts w:ascii="Book Antiqua" w:hAnsi="Book Antiqua" w:cs="Times New Roman"/>
          <w:sz w:val="24"/>
          <w:szCs w:val="24"/>
        </w:rPr>
        <w:t xml:space="preserve">The overall CR in first cycle was similar to those who had more than five chemotherapy cycles. Similar finding was observed by </w:t>
      </w:r>
      <w:proofErr w:type="spellStart"/>
      <w:r w:rsidR="004F36FB" w:rsidRPr="00260584">
        <w:rPr>
          <w:rFonts w:ascii="Book Antiqua" w:hAnsi="Book Antiqua" w:cs="Times New Roman"/>
          <w:sz w:val="24"/>
          <w:szCs w:val="24"/>
        </w:rPr>
        <w:t>Gralla</w:t>
      </w:r>
      <w:proofErr w:type="spellEnd"/>
      <w:r w:rsidR="004F36FB" w:rsidRPr="00260584">
        <w:rPr>
          <w:rFonts w:ascii="Book Antiqua" w:hAnsi="Book Antiqua" w:cs="Times New Roman"/>
          <w:sz w:val="24"/>
          <w:szCs w:val="24"/>
        </w:rPr>
        <w:t xml:space="preserve"> </w:t>
      </w:r>
      <w:r w:rsidR="004F36FB" w:rsidRPr="00260584">
        <w:rPr>
          <w:rFonts w:ascii="Book Antiqua" w:hAnsi="Book Antiqua" w:cs="Times New Roman"/>
          <w:i/>
          <w:iCs/>
          <w:sz w:val="24"/>
          <w:szCs w:val="24"/>
        </w:rPr>
        <w:t>et al</w:t>
      </w:r>
      <w:r w:rsidR="00D65770" w:rsidRPr="00260584">
        <w:rPr>
          <w:rFonts w:ascii="Book Antiqua" w:hAnsi="Book Antiqua" w:cs="Times New Roman"/>
          <w:sz w:val="24"/>
          <w:szCs w:val="24"/>
          <w:vertAlign w:val="superscript"/>
        </w:rPr>
        <w:t>[18]</w:t>
      </w:r>
      <w:r w:rsidR="000B2052" w:rsidRPr="00260584">
        <w:rPr>
          <w:rFonts w:ascii="Book Antiqua" w:hAnsi="Book Antiqua" w:cs="Times New Roman"/>
          <w:sz w:val="24"/>
          <w:szCs w:val="24"/>
        </w:rPr>
        <w:t xml:space="preserve"> in evaluation of patients </w:t>
      </w:r>
      <w:r w:rsidR="00FC0343" w:rsidRPr="00260584">
        <w:rPr>
          <w:rFonts w:ascii="Book Antiqua" w:hAnsi="Book Antiqua" w:cs="Times New Roman"/>
          <w:sz w:val="24"/>
          <w:szCs w:val="24"/>
        </w:rPr>
        <w:t>receiving</w:t>
      </w:r>
      <w:r w:rsidR="000B2052" w:rsidRPr="00260584">
        <w:rPr>
          <w:rFonts w:ascii="Book Antiqua" w:hAnsi="Book Antiqua" w:cs="Times New Roman"/>
          <w:sz w:val="24"/>
          <w:szCs w:val="24"/>
        </w:rPr>
        <w:t xml:space="preserve"> HEC or MEC</w:t>
      </w:r>
      <w:r w:rsidR="004F36FB" w:rsidRPr="00260584">
        <w:rPr>
          <w:rFonts w:ascii="Book Antiqua" w:hAnsi="Book Antiqua" w:cs="Times New Roman"/>
          <w:sz w:val="24"/>
          <w:szCs w:val="24"/>
        </w:rPr>
        <w:t xml:space="preserve">. They found consistent overall CR </w:t>
      </w:r>
      <w:r w:rsidR="00E60A1F" w:rsidRPr="00260584">
        <w:rPr>
          <w:rFonts w:ascii="Book Antiqua" w:hAnsi="Book Antiqua" w:cs="Times New Roman"/>
          <w:sz w:val="24"/>
          <w:szCs w:val="24"/>
        </w:rPr>
        <w:t>which was 81%, 86%, 91%, 90%, 92% and 91% in cycles 1, 2, 3, 4, 5, and 6 of chemotherapy</w:t>
      </w:r>
      <w:r w:rsidR="000B2052" w:rsidRPr="00260584">
        <w:rPr>
          <w:rFonts w:ascii="Book Antiqua" w:hAnsi="Book Antiqua" w:cs="Times New Roman"/>
          <w:sz w:val="24"/>
          <w:szCs w:val="24"/>
          <w:vertAlign w:val="superscript"/>
        </w:rPr>
        <w:t>[</w:t>
      </w:r>
      <w:r w:rsidR="00E86EB5" w:rsidRPr="00260584">
        <w:rPr>
          <w:rFonts w:ascii="Book Antiqua" w:hAnsi="Book Antiqua" w:cs="Times New Roman"/>
          <w:sz w:val="24"/>
          <w:szCs w:val="24"/>
          <w:vertAlign w:val="superscript"/>
        </w:rPr>
        <w:t>1</w:t>
      </w:r>
      <w:r w:rsidR="00AC2A97" w:rsidRPr="00260584">
        <w:rPr>
          <w:rFonts w:ascii="Book Antiqua" w:hAnsi="Book Antiqua" w:cs="Times New Roman"/>
          <w:sz w:val="24"/>
          <w:szCs w:val="24"/>
          <w:vertAlign w:val="superscript"/>
        </w:rPr>
        <w:t>8</w:t>
      </w:r>
      <w:r w:rsidR="000B2052" w:rsidRPr="00260584">
        <w:rPr>
          <w:rFonts w:ascii="Book Antiqua" w:hAnsi="Book Antiqua" w:cs="Times New Roman"/>
          <w:sz w:val="24"/>
          <w:szCs w:val="24"/>
          <w:vertAlign w:val="superscript"/>
        </w:rPr>
        <w:t>]</w:t>
      </w:r>
      <w:r w:rsidR="00E60A1F" w:rsidRPr="00260584">
        <w:rPr>
          <w:rFonts w:ascii="Book Antiqua" w:hAnsi="Book Antiqua" w:cs="Times New Roman"/>
          <w:sz w:val="24"/>
          <w:szCs w:val="24"/>
        </w:rPr>
        <w:t xml:space="preserve">. </w:t>
      </w:r>
      <w:r w:rsidR="00FC0343" w:rsidRPr="00260584">
        <w:rPr>
          <w:rFonts w:ascii="Book Antiqua" w:hAnsi="Book Antiqua" w:cs="Times New Roman"/>
          <w:sz w:val="24"/>
          <w:szCs w:val="24"/>
        </w:rPr>
        <w:t>Combined</w:t>
      </w:r>
      <w:r w:rsidR="000B2052" w:rsidRPr="00260584">
        <w:rPr>
          <w:rFonts w:ascii="Book Antiqua" w:hAnsi="Book Antiqua" w:cs="Times New Roman"/>
          <w:sz w:val="24"/>
          <w:szCs w:val="24"/>
        </w:rPr>
        <w:t xml:space="preserve"> with our observation, the evidence is clear that NEPA is highly effective in preventing CINV over multiple cycles of HEC/MEC. This </w:t>
      </w:r>
      <w:r w:rsidR="007745F9" w:rsidRPr="00260584">
        <w:rPr>
          <w:rFonts w:ascii="Book Antiqua" w:hAnsi="Book Antiqua" w:cs="Times New Roman"/>
          <w:sz w:val="24"/>
          <w:szCs w:val="24"/>
        </w:rPr>
        <w:t xml:space="preserve">has important clinical implications as single dose is effective and there is no need of repeat administration or rescue medications. </w:t>
      </w:r>
      <w:r w:rsidR="002C3016" w:rsidRPr="00260584">
        <w:rPr>
          <w:rFonts w:ascii="Book Antiqua" w:hAnsi="Book Antiqua" w:cs="Times New Roman"/>
          <w:sz w:val="24"/>
          <w:szCs w:val="24"/>
        </w:rPr>
        <w:t xml:space="preserve">With improved patient education, </w:t>
      </w:r>
      <w:r w:rsidR="007745F9" w:rsidRPr="00260584">
        <w:rPr>
          <w:rFonts w:ascii="Book Antiqua" w:hAnsi="Book Antiqua" w:cs="Times New Roman"/>
          <w:sz w:val="24"/>
          <w:szCs w:val="24"/>
        </w:rPr>
        <w:t>compliance to chemotherapy regimens</w:t>
      </w:r>
      <w:r w:rsidR="002C3016" w:rsidRPr="00260584">
        <w:rPr>
          <w:rFonts w:ascii="Book Antiqua" w:hAnsi="Book Antiqua" w:cs="Times New Roman"/>
          <w:sz w:val="24"/>
          <w:szCs w:val="24"/>
        </w:rPr>
        <w:t xml:space="preserve"> </w:t>
      </w:r>
      <w:r w:rsidR="00860AF2" w:rsidRPr="00260584">
        <w:rPr>
          <w:rFonts w:ascii="Book Antiqua" w:hAnsi="Book Antiqua" w:cs="Times New Roman"/>
          <w:sz w:val="24"/>
          <w:szCs w:val="24"/>
        </w:rPr>
        <w:t xml:space="preserve">can be </w:t>
      </w:r>
      <w:r w:rsidR="00FC0343" w:rsidRPr="00260584">
        <w:rPr>
          <w:rFonts w:ascii="Book Antiqua" w:hAnsi="Book Antiqua" w:cs="Times New Roman"/>
          <w:sz w:val="24"/>
          <w:szCs w:val="24"/>
        </w:rPr>
        <w:t>improved</w:t>
      </w:r>
      <w:r w:rsidR="00860AF2" w:rsidRPr="00260584">
        <w:rPr>
          <w:rFonts w:ascii="Book Antiqua" w:hAnsi="Book Antiqua" w:cs="Times New Roman"/>
          <w:sz w:val="24"/>
          <w:szCs w:val="24"/>
        </w:rPr>
        <w:t xml:space="preserve"> substantially </w:t>
      </w:r>
      <w:r w:rsidR="002C3016" w:rsidRPr="00260584">
        <w:rPr>
          <w:rFonts w:ascii="Book Antiqua" w:hAnsi="Book Antiqua" w:cs="Times New Roman"/>
          <w:sz w:val="24"/>
          <w:szCs w:val="24"/>
        </w:rPr>
        <w:t>with appropriate intake of antiemetics</w:t>
      </w:r>
      <w:r w:rsidR="002C3016" w:rsidRPr="00260584">
        <w:rPr>
          <w:rFonts w:ascii="Book Antiqua" w:hAnsi="Book Antiqua" w:cs="Times New Roman"/>
          <w:sz w:val="24"/>
          <w:szCs w:val="24"/>
          <w:vertAlign w:val="superscript"/>
        </w:rPr>
        <w:t>[</w:t>
      </w:r>
      <w:r w:rsidR="00AC2A97" w:rsidRPr="00260584">
        <w:rPr>
          <w:rFonts w:ascii="Book Antiqua" w:hAnsi="Book Antiqua" w:cs="Times New Roman"/>
          <w:sz w:val="24"/>
          <w:szCs w:val="24"/>
          <w:vertAlign w:val="superscript"/>
        </w:rPr>
        <w:t>19</w:t>
      </w:r>
      <w:r w:rsidR="002C3016" w:rsidRPr="00260584">
        <w:rPr>
          <w:rFonts w:ascii="Book Antiqua" w:hAnsi="Book Antiqua" w:cs="Times New Roman"/>
          <w:sz w:val="24"/>
          <w:szCs w:val="24"/>
          <w:vertAlign w:val="superscript"/>
        </w:rPr>
        <w:t>]</w:t>
      </w:r>
      <w:r w:rsidR="007745F9" w:rsidRPr="00260584">
        <w:rPr>
          <w:rFonts w:ascii="Book Antiqua" w:hAnsi="Book Antiqua" w:cs="Times New Roman"/>
          <w:sz w:val="24"/>
          <w:szCs w:val="24"/>
        </w:rPr>
        <w:t xml:space="preserve">. </w:t>
      </w:r>
    </w:p>
    <w:p w14:paraId="7447AB55" w14:textId="4263F81C" w:rsidR="004C4F83" w:rsidRPr="00260584" w:rsidRDefault="00F93C85" w:rsidP="00260584">
      <w:pPr>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We observe certain </w:t>
      </w:r>
      <w:r w:rsidR="00067E71" w:rsidRPr="00260584">
        <w:rPr>
          <w:rFonts w:ascii="Book Antiqua" w:hAnsi="Book Antiqua" w:cs="Times New Roman"/>
          <w:sz w:val="24"/>
          <w:szCs w:val="24"/>
        </w:rPr>
        <w:t xml:space="preserve">strengths and </w:t>
      </w:r>
      <w:r w:rsidRPr="00260584">
        <w:rPr>
          <w:rFonts w:ascii="Book Antiqua" w:hAnsi="Book Antiqua" w:cs="Times New Roman"/>
          <w:sz w:val="24"/>
          <w:szCs w:val="24"/>
        </w:rPr>
        <w:t xml:space="preserve">limitations in our study. </w:t>
      </w:r>
      <w:r w:rsidR="00D237F9" w:rsidRPr="00260584">
        <w:rPr>
          <w:rFonts w:ascii="Book Antiqua" w:hAnsi="Book Antiqua" w:cs="Times New Roman"/>
          <w:sz w:val="24"/>
          <w:szCs w:val="24"/>
        </w:rPr>
        <w:t xml:space="preserve">Study has inherent limitations of retrospective design. </w:t>
      </w:r>
      <w:r w:rsidRPr="00260584">
        <w:rPr>
          <w:rFonts w:ascii="Book Antiqua" w:hAnsi="Book Antiqua" w:cs="Times New Roman"/>
          <w:sz w:val="24"/>
          <w:szCs w:val="24"/>
        </w:rPr>
        <w:t xml:space="preserve">We assessed the </w:t>
      </w:r>
      <w:r w:rsidR="00FC0343" w:rsidRPr="00260584">
        <w:rPr>
          <w:rFonts w:ascii="Book Antiqua" w:hAnsi="Book Antiqua" w:cs="Times New Roman"/>
          <w:sz w:val="24"/>
          <w:szCs w:val="24"/>
        </w:rPr>
        <w:t>response</w:t>
      </w:r>
      <w:r w:rsidRPr="00260584">
        <w:rPr>
          <w:rFonts w:ascii="Book Antiqua" w:hAnsi="Book Antiqua" w:cs="Times New Roman"/>
          <w:sz w:val="24"/>
          <w:szCs w:val="24"/>
        </w:rPr>
        <w:t xml:space="preserve"> </w:t>
      </w:r>
      <w:r w:rsidR="007748E2" w:rsidRPr="00260584">
        <w:rPr>
          <w:rFonts w:ascii="Book Antiqua" w:hAnsi="Book Antiqua" w:cs="Times New Roman"/>
          <w:sz w:val="24"/>
          <w:szCs w:val="24"/>
        </w:rPr>
        <w:t xml:space="preserve">acute and delayed phase </w:t>
      </w:r>
      <w:r w:rsidRPr="00260584">
        <w:rPr>
          <w:rFonts w:ascii="Book Antiqua" w:hAnsi="Book Antiqua" w:cs="Times New Roman"/>
          <w:sz w:val="24"/>
          <w:szCs w:val="24"/>
        </w:rPr>
        <w:t xml:space="preserve">but its efficacy in </w:t>
      </w:r>
      <w:r w:rsidR="007748E2" w:rsidRPr="00260584">
        <w:rPr>
          <w:rFonts w:ascii="Book Antiqua" w:hAnsi="Book Antiqua" w:cs="Times New Roman"/>
          <w:sz w:val="24"/>
          <w:szCs w:val="24"/>
        </w:rPr>
        <w:t xml:space="preserve">anticipatory, breakthrough, and refractory </w:t>
      </w:r>
      <w:r w:rsidRPr="00260584">
        <w:rPr>
          <w:rFonts w:ascii="Book Antiqua" w:hAnsi="Book Antiqua" w:cs="Times New Roman"/>
          <w:sz w:val="24"/>
          <w:szCs w:val="24"/>
        </w:rPr>
        <w:t xml:space="preserve">CINV </w:t>
      </w:r>
      <w:r w:rsidR="007748E2" w:rsidRPr="00260584">
        <w:rPr>
          <w:rFonts w:ascii="Book Antiqua" w:hAnsi="Book Antiqua" w:cs="Times New Roman"/>
          <w:sz w:val="24"/>
          <w:szCs w:val="24"/>
        </w:rPr>
        <w:t xml:space="preserve">in Indian population </w:t>
      </w:r>
      <w:r w:rsidRPr="00260584">
        <w:rPr>
          <w:rFonts w:ascii="Book Antiqua" w:hAnsi="Book Antiqua" w:cs="Times New Roman"/>
          <w:sz w:val="24"/>
          <w:szCs w:val="24"/>
        </w:rPr>
        <w:t>require further</w:t>
      </w:r>
      <w:r w:rsidR="00CD4030" w:rsidRPr="00260584">
        <w:rPr>
          <w:rFonts w:ascii="Book Antiqua" w:hAnsi="Book Antiqua" w:cs="Times New Roman"/>
          <w:sz w:val="24"/>
          <w:szCs w:val="24"/>
        </w:rPr>
        <w:t xml:space="preserve"> assessment. </w:t>
      </w:r>
      <w:r w:rsidR="00067E71" w:rsidRPr="00260584">
        <w:rPr>
          <w:rFonts w:ascii="Book Antiqua" w:hAnsi="Book Antiqua" w:cs="Times New Roman"/>
          <w:sz w:val="24"/>
          <w:szCs w:val="24"/>
        </w:rPr>
        <w:t xml:space="preserve">Although efficacy in low emetogenic chemotherapy was not assessed, NEPA is expected to be efficacious in these group of </w:t>
      </w:r>
      <w:r w:rsidR="00FC0343" w:rsidRPr="00260584">
        <w:rPr>
          <w:rFonts w:ascii="Book Antiqua" w:hAnsi="Book Antiqua" w:cs="Times New Roman"/>
          <w:sz w:val="24"/>
          <w:szCs w:val="24"/>
        </w:rPr>
        <w:t>patients</w:t>
      </w:r>
      <w:r w:rsidR="00067E71" w:rsidRPr="00260584">
        <w:rPr>
          <w:rFonts w:ascii="Book Antiqua" w:hAnsi="Book Antiqua" w:cs="Times New Roman"/>
          <w:sz w:val="24"/>
          <w:szCs w:val="24"/>
        </w:rPr>
        <w:t xml:space="preserve"> as it had proved its efficacy in HEC/MEC. </w:t>
      </w:r>
      <w:r w:rsidR="00B271EC" w:rsidRPr="00260584">
        <w:rPr>
          <w:rFonts w:ascii="Book Antiqua" w:hAnsi="Book Antiqua" w:cs="Times New Roman"/>
          <w:sz w:val="24"/>
          <w:szCs w:val="24"/>
        </w:rPr>
        <w:t xml:space="preserve">Further, age and gender difference in efficacy as well as efficacy in different </w:t>
      </w:r>
      <w:r w:rsidR="00FC0343" w:rsidRPr="00260584">
        <w:rPr>
          <w:rFonts w:ascii="Book Antiqua" w:hAnsi="Book Antiqua" w:cs="Times New Roman"/>
          <w:sz w:val="24"/>
          <w:szCs w:val="24"/>
        </w:rPr>
        <w:t>tumours</w:t>
      </w:r>
      <w:r w:rsidR="00B271EC" w:rsidRPr="00260584">
        <w:rPr>
          <w:rFonts w:ascii="Book Antiqua" w:hAnsi="Book Antiqua" w:cs="Times New Roman"/>
          <w:sz w:val="24"/>
          <w:szCs w:val="24"/>
        </w:rPr>
        <w:t xml:space="preserve"> can be assessed to identify population that can get most benefited with use of NEPA.</w:t>
      </w:r>
      <w:r w:rsidR="00744A89" w:rsidRPr="00260584">
        <w:rPr>
          <w:rFonts w:ascii="Book Antiqua" w:hAnsi="Book Antiqua" w:cs="Times New Roman"/>
          <w:sz w:val="24"/>
          <w:szCs w:val="24"/>
        </w:rPr>
        <w:t xml:space="preserve"> Al</w:t>
      </w:r>
      <w:r w:rsidR="00E5106C" w:rsidRPr="00260584">
        <w:rPr>
          <w:rFonts w:ascii="Book Antiqua" w:hAnsi="Book Antiqua" w:cs="Times New Roman"/>
          <w:sz w:val="24"/>
          <w:szCs w:val="24"/>
        </w:rPr>
        <w:t>so</w:t>
      </w:r>
      <w:r w:rsidR="00744A89" w:rsidRPr="00260584">
        <w:rPr>
          <w:rFonts w:ascii="Book Antiqua" w:hAnsi="Book Antiqua" w:cs="Times New Roman"/>
          <w:sz w:val="24"/>
          <w:szCs w:val="24"/>
        </w:rPr>
        <w:t xml:space="preserve">, we did not compare the efficacy with existing therapies which would have provided more </w:t>
      </w:r>
      <w:r w:rsidR="00FC0343" w:rsidRPr="00260584">
        <w:rPr>
          <w:rFonts w:ascii="Book Antiqua" w:hAnsi="Book Antiqua" w:cs="Times New Roman"/>
          <w:sz w:val="24"/>
          <w:szCs w:val="24"/>
        </w:rPr>
        <w:lastRenderedPageBreak/>
        <w:t>insights</w:t>
      </w:r>
      <w:r w:rsidR="00744A89" w:rsidRPr="00260584">
        <w:rPr>
          <w:rFonts w:ascii="Book Antiqua" w:hAnsi="Book Antiqua" w:cs="Times New Roman"/>
          <w:sz w:val="24"/>
          <w:szCs w:val="24"/>
        </w:rPr>
        <w:t xml:space="preserve"> in understanding the benefits with NEPA.</w:t>
      </w:r>
      <w:r w:rsidR="00B271EC" w:rsidRPr="00260584">
        <w:rPr>
          <w:rFonts w:ascii="Book Antiqua" w:hAnsi="Book Antiqua" w:cs="Times New Roman"/>
          <w:sz w:val="24"/>
          <w:szCs w:val="24"/>
        </w:rPr>
        <w:t xml:space="preserve"> </w:t>
      </w:r>
      <w:r w:rsidR="00FC0343" w:rsidRPr="00260584">
        <w:rPr>
          <w:rFonts w:ascii="Book Antiqua" w:hAnsi="Book Antiqua" w:cs="Times New Roman"/>
          <w:sz w:val="24"/>
          <w:szCs w:val="24"/>
        </w:rPr>
        <w:t>Nonetheless</w:t>
      </w:r>
      <w:r w:rsidR="00DB5EA1" w:rsidRPr="00260584">
        <w:rPr>
          <w:rFonts w:ascii="Book Antiqua" w:hAnsi="Book Antiqua" w:cs="Times New Roman"/>
          <w:sz w:val="24"/>
          <w:szCs w:val="24"/>
        </w:rPr>
        <w:t>, our initial experience with NEPA suggests it</w:t>
      </w:r>
      <w:r w:rsidR="00D237F9" w:rsidRPr="00260584">
        <w:rPr>
          <w:rFonts w:ascii="Book Antiqua" w:hAnsi="Book Antiqua" w:cs="Times New Roman"/>
          <w:sz w:val="24"/>
          <w:szCs w:val="24"/>
        </w:rPr>
        <w:t>s</w:t>
      </w:r>
      <w:r w:rsidR="00DB5EA1" w:rsidRPr="00260584">
        <w:rPr>
          <w:rFonts w:ascii="Book Antiqua" w:hAnsi="Book Antiqua" w:cs="Times New Roman"/>
          <w:sz w:val="24"/>
          <w:szCs w:val="24"/>
        </w:rPr>
        <w:t xml:space="preserve"> effective utility in preventing CINV in HEC/MEC.</w:t>
      </w:r>
    </w:p>
    <w:p w14:paraId="109FBBEF" w14:textId="2D25DDF4" w:rsidR="009D4DBC" w:rsidRPr="00260584" w:rsidRDefault="00F130FB" w:rsidP="00260584">
      <w:pPr>
        <w:autoSpaceDE w:val="0"/>
        <w:autoSpaceDN w:val="0"/>
        <w:adjustRightInd w:val="0"/>
        <w:snapToGrid w:val="0"/>
        <w:spacing w:after="0" w:line="360" w:lineRule="auto"/>
        <w:ind w:firstLineChars="100" w:firstLine="240"/>
        <w:jc w:val="both"/>
        <w:rPr>
          <w:rFonts w:ascii="Book Antiqua" w:hAnsi="Book Antiqua" w:cs="Times New Roman"/>
          <w:sz w:val="24"/>
          <w:szCs w:val="24"/>
        </w:rPr>
      </w:pPr>
      <w:r w:rsidRPr="00260584">
        <w:rPr>
          <w:rFonts w:ascii="Book Antiqua" w:hAnsi="Book Antiqua" w:cs="Times New Roman"/>
          <w:sz w:val="24"/>
          <w:szCs w:val="24"/>
        </w:rPr>
        <w:t xml:space="preserve">A novel FDC of </w:t>
      </w:r>
      <w:proofErr w:type="spellStart"/>
      <w:r w:rsidRPr="00260584">
        <w:rPr>
          <w:rFonts w:ascii="Book Antiqua" w:hAnsi="Book Antiqua" w:cs="Times New Roman"/>
          <w:sz w:val="24"/>
          <w:szCs w:val="24"/>
        </w:rPr>
        <w:t>n</w:t>
      </w:r>
      <w:r w:rsidR="001366D0" w:rsidRPr="00260584">
        <w:rPr>
          <w:rFonts w:ascii="Book Antiqua" w:hAnsi="Book Antiqua" w:cs="Times New Roman"/>
          <w:sz w:val="24"/>
          <w:szCs w:val="24"/>
        </w:rPr>
        <w:t>e</w:t>
      </w:r>
      <w:r w:rsidRPr="00260584">
        <w:rPr>
          <w:rFonts w:ascii="Book Antiqua" w:hAnsi="Book Antiqua" w:cs="Times New Roman"/>
          <w:sz w:val="24"/>
          <w:szCs w:val="24"/>
        </w:rPr>
        <w:t>tupitant</w:t>
      </w:r>
      <w:proofErr w:type="spellEnd"/>
      <w:r w:rsidRPr="00260584">
        <w:rPr>
          <w:rFonts w:ascii="Book Antiqua" w:hAnsi="Book Antiqua" w:cs="Times New Roman"/>
          <w:sz w:val="24"/>
          <w:szCs w:val="24"/>
        </w:rPr>
        <w:t xml:space="preserve"> and palonosetron has been approved for prevention of CINV. We observed that this FDC is effective in preventing CINV in patients </w:t>
      </w:r>
      <w:r w:rsidR="00FC0343" w:rsidRPr="00260584">
        <w:rPr>
          <w:rFonts w:ascii="Book Antiqua" w:hAnsi="Book Antiqua" w:cs="Times New Roman"/>
          <w:sz w:val="24"/>
          <w:szCs w:val="24"/>
        </w:rPr>
        <w:t>receiving</w:t>
      </w:r>
      <w:r w:rsidRPr="00260584">
        <w:rPr>
          <w:rFonts w:ascii="Book Antiqua" w:hAnsi="Book Antiqua" w:cs="Times New Roman"/>
          <w:sz w:val="24"/>
          <w:szCs w:val="24"/>
        </w:rPr>
        <w:t xml:space="preserve"> HEC/MEC with complete response rate of 93.79%</w:t>
      </w:r>
      <w:r w:rsidR="002B1B32" w:rsidRPr="00260584">
        <w:rPr>
          <w:rFonts w:ascii="Book Antiqua" w:hAnsi="Book Antiqua" w:cs="Times New Roman"/>
          <w:sz w:val="24"/>
          <w:szCs w:val="24"/>
        </w:rPr>
        <w:t xml:space="preserve"> with near complete response in acute phase of CINV.</w:t>
      </w:r>
      <w:r w:rsidR="004D36DE" w:rsidRPr="00260584">
        <w:rPr>
          <w:rFonts w:ascii="Book Antiqua" w:hAnsi="Book Antiqua" w:cs="Times New Roman"/>
          <w:sz w:val="24"/>
          <w:szCs w:val="24"/>
        </w:rPr>
        <w:t xml:space="preserve"> Also, the </w:t>
      </w:r>
      <w:r w:rsidR="00FC0343" w:rsidRPr="00260584">
        <w:rPr>
          <w:rFonts w:ascii="Book Antiqua" w:hAnsi="Book Antiqua" w:cs="Times New Roman"/>
          <w:sz w:val="24"/>
          <w:szCs w:val="24"/>
        </w:rPr>
        <w:t>response</w:t>
      </w:r>
      <w:r w:rsidR="004D36DE" w:rsidRPr="00260584">
        <w:rPr>
          <w:rFonts w:ascii="Book Antiqua" w:hAnsi="Book Antiqua" w:cs="Times New Roman"/>
          <w:sz w:val="24"/>
          <w:szCs w:val="24"/>
        </w:rPr>
        <w:t xml:space="preserve"> was maintained irrespective of HEC or MEC administration as well as </w:t>
      </w:r>
      <w:r w:rsidR="00FC0343" w:rsidRPr="00260584">
        <w:rPr>
          <w:rFonts w:ascii="Book Antiqua" w:hAnsi="Book Antiqua" w:cs="Times New Roman"/>
          <w:sz w:val="24"/>
          <w:szCs w:val="24"/>
        </w:rPr>
        <w:t>repose</w:t>
      </w:r>
      <w:r w:rsidR="004D36DE" w:rsidRPr="00260584">
        <w:rPr>
          <w:rFonts w:ascii="Book Antiqua" w:hAnsi="Book Antiqua" w:cs="Times New Roman"/>
          <w:sz w:val="24"/>
          <w:szCs w:val="24"/>
        </w:rPr>
        <w:t xml:space="preserve"> was consistent across number of chemotherapy cycles. Thus, in real-world setting, we find that NEPA is effective for preventing CINV over multiple cycles of </w:t>
      </w:r>
      <w:r w:rsidR="00FC0343" w:rsidRPr="00260584">
        <w:rPr>
          <w:rFonts w:ascii="Book Antiqua" w:hAnsi="Book Antiqua" w:cs="Times New Roman"/>
          <w:sz w:val="24"/>
          <w:szCs w:val="24"/>
        </w:rPr>
        <w:t>highly</w:t>
      </w:r>
      <w:r w:rsidR="004D36DE" w:rsidRPr="00260584">
        <w:rPr>
          <w:rFonts w:ascii="Book Antiqua" w:hAnsi="Book Antiqua" w:cs="Times New Roman"/>
          <w:sz w:val="24"/>
          <w:szCs w:val="24"/>
        </w:rPr>
        <w:t xml:space="preserve"> or moderately emetogenic potential chemotherapy regimens. These finding need to be further confirmed in larger, randomized, comparative </w:t>
      </w:r>
      <w:r w:rsidR="009B0D8E" w:rsidRPr="00260584">
        <w:rPr>
          <w:rFonts w:ascii="Book Antiqua" w:hAnsi="Book Antiqua" w:cs="Times New Roman"/>
          <w:sz w:val="24"/>
          <w:szCs w:val="24"/>
        </w:rPr>
        <w:t>studies</w:t>
      </w:r>
      <w:r w:rsidR="004D36DE" w:rsidRPr="00260584">
        <w:rPr>
          <w:rFonts w:ascii="Book Antiqua" w:hAnsi="Book Antiqua" w:cs="Times New Roman"/>
          <w:sz w:val="24"/>
          <w:szCs w:val="24"/>
        </w:rPr>
        <w:t xml:space="preserve">. </w:t>
      </w:r>
    </w:p>
    <w:p w14:paraId="4A981C33" w14:textId="77777777" w:rsidR="00947B6A" w:rsidRPr="00260584" w:rsidRDefault="00947B6A" w:rsidP="00260584">
      <w:pPr>
        <w:adjustRightInd w:val="0"/>
        <w:snapToGrid w:val="0"/>
        <w:spacing w:after="0" w:line="360" w:lineRule="auto"/>
        <w:jc w:val="both"/>
        <w:rPr>
          <w:rFonts w:ascii="Book Antiqua" w:hAnsi="Book Antiqua"/>
          <w:sz w:val="24"/>
          <w:szCs w:val="24"/>
          <w:lang w:eastAsia="zh-CN"/>
        </w:rPr>
      </w:pPr>
    </w:p>
    <w:p w14:paraId="3AFA80CC" w14:textId="0A178F24" w:rsidR="006256C3" w:rsidRPr="00260584" w:rsidRDefault="00947B6A" w:rsidP="00260584">
      <w:pPr>
        <w:adjustRightInd w:val="0"/>
        <w:snapToGrid w:val="0"/>
        <w:spacing w:after="0" w:line="360" w:lineRule="auto"/>
        <w:jc w:val="both"/>
        <w:rPr>
          <w:rFonts w:ascii="Book Antiqua" w:hAnsi="Book Antiqua"/>
          <w:b/>
          <w:color w:val="000000"/>
          <w:sz w:val="24"/>
          <w:szCs w:val="24"/>
          <w:u w:val="single"/>
          <w:lang w:eastAsia="zh-CN"/>
        </w:rPr>
      </w:pPr>
      <w:r w:rsidRPr="00260584">
        <w:rPr>
          <w:rFonts w:ascii="Book Antiqua" w:hAnsi="Book Antiqua"/>
          <w:b/>
          <w:color w:val="000000"/>
          <w:sz w:val="24"/>
          <w:szCs w:val="24"/>
          <w:u w:val="single"/>
        </w:rPr>
        <w:t>ARTICLE HIGHLIGHTS</w:t>
      </w:r>
      <w:r w:rsidR="00D3292A" w:rsidRPr="00260584">
        <w:rPr>
          <w:rFonts w:ascii="Book Antiqua" w:hAnsi="Book Antiqua" w:cs="Segoe UI"/>
          <w:b/>
          <w:caps/>
          <w:sz w:val="24"/>
          <w:szCs w:val="24"/>
          <w:shd w:val="clear" w:color="auto" w:fill="FFFFFF"/>
        </w:rPr>
        <w:t xml:space="preserve"> </w:t>
      </w:r>
    </w:p>
    <w:p w14:paraId="2FA8B587" w14:textId="77777777" w:rsidR="00947B6A" w:rsidRPr="00260584" w:rsidRDefault="00947B6A" w:rsidP="00260584">
      <w:pPr>
        <w:adjustRightInd w:val="0"/>
        <w:snapToGrid w:val="0"/>
        <w:spacing w:after="0" w:line="360" w:lineRule="auto"/>
        <w:jc w:val="both"/>
        <w:rPr>
          <w:rFonts w:ascii="Book Antiqua" w:hAnsi="Book Antiqua"/>
          <w:b/>
          <w:i/>
          <w:color w:val="000000"/>
          <w:sz w:val="24"/>
          <w:szCs w:val="24"/>
        </w:rPr>
      </w:pPr>
      <w:r w:rsidRPr="00260584">
        <w:rPr>
          <w:rFonts w:ascii="Book Antiqua" w:hAnsi="Book Antiqua"/>
          <w:b/>
          <w:i/>
          <w:color w:val="000000"/>
          <w:sz w:val="24"/>
          <w:szCs w:val="24"/>
        </w:rPr>
        <w:t>Research background</w:t>
      </w:r>
    </w:p>
    <w:p w14:paraId="5F6C72F4" w14:textId="77777777" w:rsidR="00947B6A" w:rsidRPr="00260584" w:rsidRDefault="00BB1947"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Chemotherapy induced nausea and vomiting (CINV) is one of the most feared adverse events </w:t>
      </w:r>
      <w:r w:rsidR="005F58B4" w:rsidRPr="00260584">
        <w:rPr>
          <w:rFonts w:ascii="Book Antiqua" w:hAnsi="Book Antiqua" w:cs="Times New Roman"/>
          <w:sz w:val="24"/>
          <w:szCs w:val="24"/>
        </w:rPr>
        <w:t xml:space="preserve">with patient </w:t>
      </w:r>
      <w:proofErr w:type="spellStart"/>
      <w:r w:rsidR="005F58B4" w:rsidRPr="00260584">
        <w:rPr>
          <w:rFonts w:ascii="Book Antiqua" w:hAnsi="Book Antiqua" w:cs="Times New Roman"/>
          <w:sz w:val="24"/>
          <w:szCs w:val="24"/>
        </w:rPr>
        <w:t>receving</w:t>
      </w:r>
      <w:proofErr w:type="spellEnd"/>
      <w:r w:rsidR="005F58B4" w:rsidRPr="00260584">
        <w:rPr>
          <w:rFonts w:ascii="Book Antiqua" w:hAnsi="Book Antiqua" w:cs="Times New Roman"/>
          <w:sz w:val="24"/>
          <w:szCs w:val="24"/>
        </w:rPr>
        <w:t xml:space="preserve"> </w:t>
      </w:r>
      <w:r w:rsidRPr="00260584">
        <w:rPr>
          <w:rFonts w:ascii="Book Antiqua" w:hAnsi="Book Antiqua" w:cs="Times New Roman"/>
          <w:sz w:val="24"/>
          <w:szCs w:val="24"/>
        </w:rPr>
        <w:t>chemotherapy regimens.</w:t>
      </w:r>
      <w:r w:rsidR="00590012" w:rsidRPr="00260584">
        <w:rPr>
          <w:rFonts w:ascii="Book Antiqua" w:hAnsi="Book Antiqua" w:cs="Times New Roman"/>
          <w:sz w:val="24"/>
          <w:szCs w:val="24"/>
        </w:rPr>
        <w:t xml:space="preserve"> </w:t>
      </w:r>
      <w:proofErr w:type="spellStart"/>
      <w:r w:rsidR="00590012" w:rsidRPr="00260584">
        <w:rPr>
          <w:rFonts w:ascii="Book Antiqua" w:hAnsi="Book Antiqua" w:cs="Times New Roman"/>
          <w:sz w:val="24"/>
          <w:szCs w:val="24"/>
        </w:rPr>
        <w:t>Pathomechanistically</w:t>
      </w:r>
      <w:proofErr w:type="spellEnd"/>
      <w:r w:rsidR="00590012" w:rsidRPr="00260584">
        <w:rPr>
          <w:rFonts w:ascii="Book Antiqua" w:hAnsi="Book Antiqua" w:cs="Times New Roman"/>
          <w:sz w:val="24"/>
          <w:szCs w:val="24"/>
        </w:rPr>
        <w:t>, serotonin and substance P are major neurotransmitters involved in acute and delayed CINV</w:t>
      </w:r>
      <w:r w:rsidR="005F58B4" w:rsidRPr="00260584">
        <w:rPr>
          <w:rFonts w:ascii="Book Antiqua" w:hAnsi="Book Antiqua" w:cs="Times New Roman"/>
          <w:sz w:val="24"/>
          <w:szCs w:val="24"/>
        </w:rPr>
        <w:t>, targeting both optimizes CINV control</w:t>
      </w:r>
      <w:r w:rsidR="00590012" w:rsidRPr="00260584">
        <w:rPr>
          <w:rFonts w:ascii="Book Antiqua" w:hAnsi="Book Antiqua" w:cs="Times New Roman"/>
          <w:sz w:val="24"/>
          <w:szCs w:val="24"/>
        </w:rPr>
        <w:t xml:space="preserve">. NEPA, an oral fixed dose combination </w:t>
      </w:r>
      <w:proofErr w:type="spellStart"/>
      <w:r w:rsidR="00590012" w:rsidRPr="00260584">
        <w:rPr>
          <w:rFonts w:ascii="Book Antiqua" w:hAnsi="Book Antiqua" w:cs="Times New Roman"/>
          <w:sz w:val="24"/>
          <w:szCs w:val="24"/>
        </w:rPr>
        <w:t>Netupitant</w:t>
      </w:r>
      <w:proofErr w:type="spellEnd"/>
      <w:r w:rsidR="00590012" w:rsidRPr="00260584">
        <w:rPr>
          <w:rFonts w:ascii="Book Antiqua" w:hAnsi="Book Antiqua" w:cs="Times New Roman"/>
          <w:sz w:val="24"/>
          <w:szCs w:val="24"/>
        </w:rPr>
        <w:t xml:space="preserve"> (300</w:t>
      </w:r>
      <w:r w:rsidR="00947B6A" w:rsidRPr="00260584">
        <w:rPr>
          <w:rFonts w:ascii="Book Antiqua" w:hAnsi="Book Antiqua" w:cs="Times New Roman"/>
          <w:sz w:val="24"/>
          <w:szCs w:val="24"/>
        </w:rPr>
        <w:t xml:space="preserve"> </w:t>
      </w:r>
      <w:r w:rsidR="00590012" w:rsidRPr="00260584">
        <w:rPr>
          <w:rFonts w:ascii="Book Antiqua" w:hAnsi="Book Antiqua" w:cs="Times New Roman"/>
          <w:sz w:val="24"/>
          <w:szCs w:val="24"/>
        </w:rPr>
        <w:t>mg) and Palonosetron (0.50</w:t>
      </w:r>
      <w:r w:rsidR="00947B6A" w:rsidRPr="00260584">
        <w:rPr>
          <w:rFonts w:ascii="Book Antiqua" w:hAnsi="Book Antiqua" w:cs="Times New Roman"/>
          <w:sz w:val="24"/>
          <w:szCs w:val="24"/>
        </w:rPr>
        <w:t xml:space="preserve"> </w:t>
      </w:r>
      <w:r w:rsidR="00590012" w:rsidRPr="00260584">
        <w:rPr>
          <w:rFonts w:ascii="Book Antiqua" w:hAnsi="Book Antiqua" w:cs="Times New Roman"/>
          <w:sz w:val="24"/>
          <w:szCs w:val="24"/>
        </w:rPr>
        <w:t>mg), was recently approved in India for the management of CINV. Hence there was a need to evaluate the effectiveness of NEPA in Indian setting in real world scenario.</w:t>
      </w:r>
    </w:p>
    <w:p w14:paraId="2CBC874B" w14:textId="23BD815E" w:rsidR="006256C3" w:rsidRPr="00260584" w:rsidRDefault="006256C3" w:rsidP="00260584">
      <w:pPr>
        <w:autoSpaceDE w:val="0"/>
        <w:autoSpaceDN w:val="0"/>
        <w:adjustRightInd w:val="0"/>
        <w:snapToGrid w:val="0"/>
        <w:spacing w:after="0" w:line="360" w:lineRule="auto"/>
        <w:jc w:val="both"/>
        <w:rPr>
          <w:rFonts w:ascii="Book Antiqua" w:hAnsi="Book Antiqua"/>
          <w:b/>
          <w:i/>
          <w:sz w:val="24"/>
          <w:szCs w:val="24"/>
        </w:rPr>
      </w:pPr>
    </w:p>
    <w:p w14:paraId="579F150C" w14:textId="77777777"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motivation</w:t>
      </w:r>
    </w:p>
    <w:p w14:paraId="230ACF17" w14:textId="0408CA81" w:rsidR="00590012" w:rsidRPr="00260584" w:rsidRDefault="005F58B4" w:rsidP="00260584">
      <w:pPr>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T</w:t>
      </w:r>
      <w:r w:rsidR="00590012" w:rsidRPr="00260584">
        <w:rPr>
          <w:rFonts w:ascii="Book Antiqua" w:hAnsi="Book Antiqua" w:cs="Times New Roman"/>
          <w:bCs/>
          <w:sz w:val="24"/>
          <w:szCs w:val="24"/>
        </w:rPr>
        <w:t xml:space="preserve">o </w:t>
      </w:r>
      <w:r w:rsidRPr="00260584">
        <w:rPr>
          <w:rFonts w:ascii="Book Antiqua" w:hAnsi="Book Antiqua" w:cs="Times New Roman"/>
          <w:bCs/>
          <w:sz w:val="24"/>
          <w:szCs w:val="24"/>
        </w:rPr>
        <w:t>analyse</w:t>
      </w:r>
      <w:r w:rsidR="00590012" w:rsidRPr="00260584">
        <w:rPr>
          <w:rFonts w:ascii="Book Antiqua" w:hAnsi="Book Antiqua" w:cs="Times New Roman"/>
          <w:bCs/>
          <w:sz w:val="24"/>
          <w:szCs w:val="24"/>
        </w:rPr>
        <w:t xml:space="preserve"> the effectiveness </w:t>
      </w:r>
      <w:r w:rsidRPr="00260584">
        <w:rPr>
          <w:rFonts w:ascii="Book Antiqua" w:hAnsi="Book Antiqua" w:cs="Times New Roman"/>
          <w:bCs/>
          <w:sz w:val="24"/>
          <w:szCs w:val="24"/>
        </w:rPr>
        <w:t xml:space="preserve">of </w:t>
      </w:r>
      <w:r w:rsidR="00590012" w:rsidRPr="00260584">
        <w:rPr>
          <w:rFonts w:ascii="Book Antiqua" w:hAnsi="Book Antiqua" w:cs="Times New Roman"/>
          <w:bCs/>
          <w:sz w:val="24"/>
          <w:szCs w:val="24"/>
        </w:rPr>
        <w:t xml:space="preserve">NEPA </w:t>
      </w:r>
      <w:r w:rsidRPr="00260584">
        <w:rPr>
          <w:rFonts w:ascii="Book Antiqua" w:hAnsi="Book Antiqua" w:cs="Times New Roman"/>
          <w:bCs/>
          <w:sz w:val="24"/>
          <w:szCs w:val="24"/>
        </w:rPr>
        <w:t xml:space="preserve">in prevention of CINV </w:t>
      </w:r>
      <w:r w:rsidR="00590012" w:rsidRPr="00260584">
        <w:rPr>
          <w:rFonts w:ascii="Book Antiqua" w:hAnsi="Book Antiqua" w:cs="Times New Roman"/>
          <w:bCs/>
          <w:sz w:val="24"/>
          <w:szCs w:val="24"/>
        </w:rPr>
        <w:t xml:space="preserve">among </w:t>
      </w:r>
      <w:r w:rsidRPr="00260584">
        <w:rPr>
          <w:rFonts w:ascii="Book Antiqua" w:hAnsi="Book Antiqua" w:cs="Times New Roman"/>
          <w:bCs/>
          <w:sz w:val="24"/>
          <w:szCs w:val="24"/>
        </w:rPr>
        <w:t>I</w:t>
      </w:r>
      <w:r w:rsidR="00590012" w:rsidRPr="00260584">
        <w:rPr>
          <w:rFonts w:ascii="Book Antiqua" w:hAnsi="Book Antiqua" w:cs="Times New Roman"/>
          <w:bCs/>
          <w:sz w:val="24"/>
          <w:szCs w:val="24"/>
        </w:rPr>
        <w:t>ndian patients</w:t>
      </w:r>
      <w:r w:rsidR="008C0124" w:rsidRPr="00260584">
        <w:rPr>
          <w:rFonts w:ascii="Book Antiqua" w:hAnsi="Book Antiqua" w:cs="Times New Roman"/>
          <w:bCs/>
          <w:sz w:val="24"/>
          <w:szCs w:val="24"/>
        </w:rPr>
        <w:t xml:space="preserve"> </w:t>
      </w:r>
      <w:r w:rsidRPr="00260584">
        <w:rPr>
          <w:rFonts w:ascii="Book Antiqua" w:hAnsi="Book Antiqua" w:cs="Times New Roman"/>
          <w:bCs/>
          <w:sz w:val="24"/>
          <w:szCs w:val="24"/>
        </w:rPr>
        <w:t>who have received</w:t>
      </w:r>
      <w:r w:rsidR="008C0124" w:rsidRPr="00260584">
        <w:rPr>
          <w:rFonts w:ascii="Book Antiqua" w:hAnsi="Book Antiqua" w:cs="Times New Roman"/>
          <w:bCs/>
          <w:sz w:val="24"/>
          <w:szCs w:val="24"/>
        </w:rPr>
        <w:t xml:space="preserve"> highly and moderately emetogenic chemotherapy regimen</w:t>
      </w:r>
      <w:r w:rsidRPr="00260584">
        <w:rPr>
          <w:rFonts w:ascii="Book Antiqua" w:hAnsi="Book Antiqua" w:cs="Times New Roman"/>
          <w:bCs/>
          <w:sz w:val="24"/>
          <w:szCs w:val="24"/>
        </w:rPr>
        <w:t>.</w:t>
      </w:r>
    </w:p>
    <w:p w14:paraId="604D75BA" w14:textId="77777777" w:rsidR="00947B6A" w:rsidRPr="00260584" w:rsidRDefault="00947B6A" w:rsidP="00260584">
      <w:pPr>
        <w:adjustRightInd w:val="0"/>
        <w:snapToGrid w:val="0"/>
        <w:spacing w:after="0" w:line="360" w:lineRule="auto"/>
        <w:jc w:val="both"/>
        <w:rPr>
          <w:rFonts w:ascii="Book Antiqua" w:hAnsi="Book Antiqua" w:cs="Times New Roman"/>
          <w:bCs/>
          <w:sz w:val="24"/>
          <w:szCs w:val="24"/>
        </w:rPr>
      </w:pPr>
    </w:p>
    <w:p w14:paraId="067E952D" w14:textId="77777777"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objectives</w:t>
      </w:r>
    </w:p>
    <w:p w14:paraId="242F39BB" w14:textId="1885CA17" w:rsidR="00590012" w:rsidRPr="00260584" w:rsidRDefault="005F58B4" w:rsidP="00260584">
      <w:pPr>
        <w:adjustRightInd w:val="0"/>
        <w:snapToGrid w:val="0"/>
        <w:spacing w:after="0" w:line="360" w:lineRule="auto"/>
        <w:jc w:val="both"/>
        <w:rPr>
          <w:rFonts w:ascii="Book Antiqua" w:hAnsi="Book Antiqua"/>
          <w:sz w:val="24"/>
          <w:szCs w:val="24"/>
        </w:rPr>
      </w:pPr>
      <w:r w:rsidRPr="00260584">
        <w:rPr>
          <w:rFonts w:ascii="Book Antiqua" w:hAnsi="Book Antiqua" w:cs="Times New Roman"/>
          <w:bCs/>
          <w:sz w:val="24"/>
          <w:szCs w:val="24"/>
        </w:rPr>
        <w:lastRenderedPageBreak/>
        <w:t>T</w:t>
      </w:r>
      <w:r w:rsidR="00590012" w:rsidRPr="00260584">
        <w:rPr>
          <w:rFonts w:ascii="Book Antiqua" w:hAnsi="Book Antiqua" w:cs="Times New Roman"/>
          <w:bCs/>
          <w:sz w:val="24"/>
          <w:szCs w:val="24"/>
        </w:rPr>
        <w:t>o elucidate the clinical e</w:t>
      </w:r>
      <w:r w:rsidR="000849D8" w:rsidRPr="00260584">
        <w:rPr>
          <w:rFonts w:ascii="Book Antiqua" w:hAnsi="Book Antiqua" w:cs="Times New Roman"/>
          <w:bCs/>
          <w:sz w:val="24"/>
          <w:szCs w:val="24"/>
        </w:rPr>
        <w:t>ffectiveness of NE</w:t>
      </w:r>
      <w:r w:rsidR="00590012" w:rsidRPr="00260584">
        <w:rPr>
          <w:rFonts w:ascii="Book Antiqua" w:hAnsi="Book Antiqua" w:cs="Times New Roman"/>
          <w:bCs/>
          <w:sz w:val="24"/>
          <w:szCs w:val="24"/>
        </w:rPr>
        <w:t>P</w:t>
      </w:r>
      <w:r w:rsidR="000849D8" w:rsidRPr="00260584">
        <w:rPr>
          <w:rFonts w:ascii="Book Antiqua" w:hAnsi="Book Antiqua" w:cs="Times New Roman"/>
          <w:bCs/>
          <w:sz w:val="24"/>
          <w:szCs w:val="24"/>
        </w:rPr>
        <w:t>A</w:t>
      </w:r>
      <w:r w:rsidR="00590012" w:rsidRPr="00260584">
        <w:rPr>
          <w:rFonts w:ascii="Book Antiqua" w:hAnsi="Book Antiqua" w:cs="Times New Roman"/>
          <w:bCs/>
          <w:sz w:val="24"/>
          <w:szCs w:val="24"/>
        </w:rPr>
        <w:t>, in</w:t>
      </w:r>
      <w:r w:rsidR="008C0124" w:rsidRPr="00260584">
        <w:rPr>
          <w:rFonts w:ascii="Book Antiqua" w:hAnsi="Book Antiqua" w:cs="Times New Roman"/>
          <w:bCs/>
          <w:sz w:val="24"/>
          <w:szCs w:val="24"/>
        </w:rPr>
        <w:t xml:space="preserve"> </w:t>
      </w:r>
      <w:r w:rsidR="00590012" w:rsidRPr="00260584">
        <w:rPr>
          <w:rFonts w:ascii="Book Antiqua" w:hAnsi="Book Antiqua" w:cs="Times New Roman"/>
          <w:bCs/>
          <w:sz w:val="24"/>
          <w:szCs w:val="24"/>
        </w:rPr>
        <w:t>terms of the complete response</w:t>
      </w:r>
      <w:r w:rsidR="008C0124" w:rsidRPr="00260584">
        <w:rPr>
          <w:rFonts w:ascii="Book Antiqua" w:hAnsi="Book Antiqua" w:cs="Times New Roman"/>
          <w:bCs/>
          <w:sz w:val="24"/>
          <w:szCs w:val="24"/>
        </w:rPr>
        <w:t xml:space="preserve"> </w:t>
      </w:r>
      <w:r w:rsidR="00590012" w:rsidRPr="00260584">
        <w:rPr>
          <w:rFonts w:ascii="Book Antiqua" w:hAnsi="Book Antiqua" w:cs="Times New Roman"/>
          <w:bCs/>
          <w:sz w:val="24"/>
          <w:szCs w:val="24"/>
        </w:rPr>
        <w:t>in acute-delayed and overall phase of nausea-vomiting irrespective of the chemotherapy cy</w:t>
      </w:r>
      <w:r w:rsidR="008C0124" w:rsidRPr="00260584">
        <w:rPr>
          <w:rFonts w:ascii="Book Antiqua" w:hAnsi="Book Antiqua" w:cs="Times New Roman"/>
          <w:bCs/>
          <w:sz w:val="24"/>
          <w:szCs w:val="24"/>
        </w:rPr>
        <w:t>c</w:t>
      </w:r>
      <w:r w:rsidR="00590012" w:rsidRPr="00260584">
        <w:rPr>
          <w:rFonts w:ascii="Book Antiqua" w:hAnsi="Book Antiqua" w:cs="Times New Roman"/>
          <w:bCs/>
          <w:sz w:val="24"/>
          <w:szCs w:val="24"/>
        </w:rPr>
        <w:t xml:space="preserve">le. </w:t>
      </w:r>
      <w:r w:rsidRPr="00260584">
        <w:rPr>
          <w:rFonts w:ascii="Book Antiqua" w:hAnsi="Book Antiqua" w:cs="Times New Roman"/>
          <w:bCs/>
          <w:sz w:val="24"/>
          <w:szCs w:val="24"/>
        </w:rPr>
        <w:t>Thereby</w:t>
      </w:r>
      <w:r w:rsidR="00590012" w:rsidRPr="00260584">
        <w:rPr>
          <w:rFonts w:ascii="Book Antiqua" w:hAnsi="Book Antiqua" w:cs="Times New Roman"/>
          <w:bCs/>
          <w:sz w:val="24"/>
          <w:szCs w:val="24"/>
        </w:rPr>
        <w:t xml:space="preserve">, we hope to </w:t>
      </w:r>
      <w:r w:rsidR="00913C5A" w:rsidRPr="00260584">
        <w:rPr>
          <w:rFonts w:ascii="Book Antiqua" w:hAnsi="Book Antiqua" w:cs="Times New Roman"/>
          <w:bCs/>
          <w:sz w:val="24"/>
          <w:szCs w:val="24"/>
        </w:rPr>
        <w:t>generate</w:t>
      </w:r>
      <w:r w:rsidR="00590012" w:rsidRPr="00260584">
        <w:rPr>
          <w:rFonts w:ascii="Book Antiqua" w:hAnsi="Book Antiqua" w:cs="Times New Roman"/>
          <w:bCs/>
          <w:sz w:val="24"/>
          <w:szCs w:val="24"/>
        </w:rPr>
        <w:t xml:space="preserve"> the </w:t>
      </w:r>
      <w:r w:rsidR="00913C5A" w:rsidRPr="00260584">
        <w:rPr>
          <w:rFonts w:ascii="Book Antiqua" w:hAnsi="Book Antiqua" w:cs="Times New Roman"/>
          <w:bCs/>
          <w:sz w:val="24"/>
          <w:szCs w:val="24"/>
        </w:rPr>
        <w:t xml:space="preserve">real world </w:t>
      </w:r>
      <w:proofErr w:type="spellStart"/>
      <w:r w:rsidR="00913C5A" w:rsidRPr="00260584">
        <w:rPr>
          <w:rFonts w:ascii="Book Antiqua" w:hAnsi="Book Antiqua" w:cs="Times New Roman"/>
          <w:bCs/>
          <w:sz w:val="24"/>
          <w:szCs w:val="24"/>
        </w:rPr>
        <w:t>evidnce</w:t>
      </w:r>
      <w:proofErr w:type="spellEnd"/>
      <w:r w:rsidR="00913C5A" w:rsidRPr="00260584">
        <w:rPr>
          <w:rFonts w:ascii="Book Antiqua" w:hAnsi="Book Antiqua" w:cs="Times New Roman"/>
          <w:bCs/>
          <w:sz w:val="24"/>
          <w:szCs w:val="24"/>
        </w:rPr>
        <w:t xml:space="preserve"> on the </w:t>
      </w:r>
      <w:r w:rsidR="00590012" w:rsidRPr="00260584">
        <w:rPr>
          <w:rFonts w:ascii="Book Antiqua" w:hAnsi="Book Antiqua" w:cs="Times New Roman"/>
          <w:bCs/>
          <w:sz w:val="24"/>
          <w:szCs w:val="24"/>
        </w:rPr>
        <w:t>usefulness of NEPA in the management of CINV</w:t>
      </w:r>
      <w:r w:rsidR="00590012" w:rsidRPr="00260584">
        <w:rPr>
          <w:rFonts w:ascii="Book Antiqua" w:hAnsi="Book Antiqua"/>
          <w:sz w:val="24"/>
          <w:szCs w:val="24"/>
        </w:rPr>
        <w:t xml:space="preserve"> </w:t>
      </w:r>
      <w:r w:rsidR="00913C5A" w:rsidRPr="00260584">
        <w:rPr>
          <w:rFonts w:ascii="Book Antiqua" w:hAnsi="Book Antiqua"/>
          <w:sz w:val="24"/>
          <w:szCs w:val="24"/>
        </w:rPr>
        <w:t>patients in India.</w:t>
      </w:r>
    </w:p>
    <w:p w14:paraId="40133DC9" w14:textId="0F5FDE29" w:rsidR="00590012" w:rsidRPr="00260584" w:rsidRDefault="00590012" w:rsidP="00260584">
      <w:pPr>
        <w:autoSpaceDE w:val="0"/>
        <w:autoSpaceDN w:val="0"/>
        <w:adjustRightInd w:val="0"/>
        <w:snapToGrid w:val="0"/>
        <w:spacing w:after="0" w:line="360" w:lineRule="auto"/>
        <w:jc w:val="both"/>
        <w:rPr>
          <w:rFonts w:ascii="Book Antiqua" w:hAnsi="Book Antiqua" w:cs="Times New Roman"/>
          <w:bCs/>
          <w:sz w:val="24"/>
          <w:szCs w:val="24"/>
        </w:rPr>
      </w:pPr>
    </w:p>
    <w:p w14:paraId="0C639A75" w14:textId="6B4200EB" w:rsidR="006256C3" w:rsidRPr="00260584" w:rsidRDefault="006256C3" w:rsidP="00260584">
      <w:pPr>
        <w:autoSpaceDE w:val="0"/>
        <w:autoSpaceDN w:val="0"/>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methods</w:t>
      </w:r>
    </w:p>
    <w:p w14:paraId="642931A6" w14:textId="19538F7A" w:rsidR="006256C3" w:rsidRPr="00260584" w:rsidRDefault="00B63D61" w:rsidP="00260584">
      <w:pPr>
        <w:autoSpaceDE w:val="0"/>
        <w:autoSpaceDN w:val="0"/>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Medical records and patient diaries of adults cancer patients who were treated with </w:t>
      </w:r>
      <w:r w:rsidR="002F19CA" w:rsidRPr="00260584">
        <w:rPr>
          <w:rFonts w:ascii="Book Antiqua" w:hAnsi="Book Antiqua" w:cs="Times New Roman"/>
          <w:sz w:val="24"/>
          <w:szCs w:val="24"/>
        </w:rPr>
        <w:t>highly emetogenic or moderately emetogenic chemotherapy</w:t>
      </w:r>
      <w:r w:rsidR="002F19CA" w:rsidRPr="00260584">
        <w:rPr>
          <w:rFonts w:ascii="Book Antiqua" w:hAnsi="Book Antiqua" w:cs="Times New Roman"/>
          <w:bCs/>
          <w:sz w:val="24"/>
          <w:szCs w:val="24"/>
        </w:rPr>
        <w:t xml:space="preserve"> </w:t>
      </w:r>
      <w:r w:rsidRPr="00260584">
        <w:rPr>
          <w:rFonts w:ascii="Book Antiqua" w:hAnsi="Book Antiqua" w:cs="Times New Roman"/>
          <w:bCs/>
          <w:sz w:val="24"/>
          <w:szCs w:val="24"/>
        </w:rPr>
        <w:t>and received NEPA</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irrespective of the number of chemotherapy cycles from</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June 2019 to December 2019 were </w:t>
      </w:r>
      <w:r w:rsidR="00590012" w:rsidRPr="00260584">
        <w:rPr>
          <w:rFonts w:ascii="Book Antiqua" w:hAnsi="Book Antiqua" w:cs="Times New Roman"/>
          <w:bCs/>
          <w:sz w:val="24"/>
          <w:szCs w:val="24"/>
        </w:rPr>
        <w:t>retrieved</w:t>
      </w:r>
      <w:r w:rsidRPr="00260584">
        <w:rPr>
          <w:rFonts w:ascii="Book Antiqua" w:hAnsi="Book Antiqua" w:cs="Times New Roman"/>
          <w:bCs/>
          <w:sz w:val="24"/>
          <w:szCs w:val="24"/>
        </w:rPr>
        <w:t>. R</w:t>
      </w:r>
      <w:r w:rsidR="00590012" w:rsidRPr="00260584">
        <w:rPr>
          <w:rFonts w:ascii="Book Antiqua" w:hAnsi="Book Antiqua" w:cs="Times New Roman"/>
          <w:bCs/>
          <w:sz w:val="24"/>
          <w:szCs w:val="24"/>
        </w:rPr>
        <w:t>elevant clinical variables such as presence or absence of nausea</w:t>
      </w:r>
      <w:r w:rsidR="002F19CA" w:rsidRPr="00260584">
        <w:rPr>
          <w:rFonts w:ascii="Book Antiqua" w:hAnsi="Book Antiqua" w:cs="Times New Roman"/>
          <w:bCs/>
          <w:sz w:val="24"/>
          <w:szCs w:val="24"/>
        </w:rPr>
        <w:t>-</w:t>
      </w:r>
      <w:r w:rsidR="000849D8" w:rsidRPr="00260584">
        <w:rPr>
          <w:rFonts w:ascii="Book Antiqua" w:hAnsi="Book Antiqua" w:cs="Times New Roman"/>
          <w:bCs/>
          <w:sz w:val="24"/>
          <w:szCs w:val="24"/>
        </w:rPr>
        <w:t>vomiting</w:t>
      </w:r>
      <w:r w:rsidR="00590012" w:rsidRPr="00260584">
        <w:rPr>
          <w:rFonts w:ascii="Book Antiqua" w:hAnsi="Book Antiqua" w:cs="Times New Roman"/>
          <w:bCs/>
          <w:sz w:val="24"/>
          <w:szCs w:val="24"/>
        </w:rPr>
        <w:t xml:space="preserve"> and if present, the severity </w:t>
      </w:r>
      <w:r w:rsidR="000849D8" w:rsidRPr="00260584">
        <w:rPr>
          <w:rFonts w:ascii="Book Antiqua" w:hAnsi="Book Antiqua" w:cs="Times New Roman"/>
          <w:bCs/>
          <w:sz w:val="24"/>
          <w:szCs w:val="24"/>
        </w:rPr>
        <w:t xml:space="preserve">of nausea on visual </w:t>
      </w:r>
      <w:proofErr w:type="spellStart"/>
      <w:r w:rsidR="000849D8" w:rsidRPr="00260584">
        <w:rPr>
          <w:rFonts w:ascii="Book Antiqua" w:hAnsi="Book Antiqua" w:cs="Times New Roman"/>
          <w:bCs/>
          <w:sz w:val="24"/>
          <w:szCs w:val="24"/>
        </w:rPr>
        <w:t>analog</w:t>
      </w:r>
      <w:proofErr w:type="spellEnd"/>
      <w:r w:rsidR="000849D8" w:rsidRPr="00260584">
        <w:rPr>
          <w:rFonts w:ascii="Book Antiqua" w:hAnsi="Book Antiqua" w:cs="Times New Roman"/>
          <w:bCs/>
          <w:sz w:val="24"/>
          <w:szCs w:val="24"/>
        </w:rPr>
        <w:t xml:space="preserve"> scale and cycle wise distribution of the data</w:t>
      </w:r>
      <w:r w:rsidRPr="00260584">
        <w:rPr>
          <w:rFonts w:ascii="Book Antiqua" w:hAnsi="Book Antiqua" w:cs="Times New Roman"/>
          <w:bCs/>
          <w:sz w:val="24"/>
          <w:szCs w:val="24"/>
        </w:rPr>
        <w:t xml:space="preserve"> were captured</w:t>
      </w:r>
      <w:r w:rsidR="000849D8" w:rsidRPr="00260584">
        <w:rPr>
          <w:rFonts w:ascii="Book Antiqua" w:hAnsi="Book Antiqua" w:cs="Times New Roman"/>
          <w:bCs/>
          <w:sz w:val="24"/>
          <w:szCs w:val="24"/>
        </w:rPr>
        <w:t>.</w:t>
      </w:r>
    </w:p>
    <w:p w14:paraId="460AA1D9" w14:textId="77777777" w:rsidR="002F19CA" w:rsidRPr="00260584" w:rsidRDefault="002F19CA" w:rsidP="00260584">
      <w:pPr>
        <w:autoSpaceDE w:val="0"/>
        <w:autoSpaceDN w:val="0"/>
        <w:adjustRightInd w:val="0"/>
        <w:snapToGrid w:val="0"/>
        <w:spacing w:after="0" w:line="360" w:lineRule="auto"/>
        <w:jc w:val="both"/>
        <w:rPr>
          <w:rFonts w:ascii="Book Antiqua" w:hAnsi="Book Antiqua"/>
          <w:b/>
          <w:i/>
          <w:sz w:val="24"/>
          <w:szCs w:val="24"/>
          <w:lang w:val="pl-PL"/>
        </w:rPr>
      </w:pPr>
    </w:p>
    <w:p w14:paraId="1B62A185" w14:textId="5E2A1CBF"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results</w:t>
      </w:r>
    </w:p>
    <w:p w14:paraId="31DB3A97" w14:textId="5601B592" w:rsidR="006256C3" w:rsidRPr="00260584" w:rsidRDefault="000849D8" w:rsidP="00260584">
      <w:pPr>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The study demonstrated that </w:t>
      </w:r>
      <w:r w:rsidR="008C0124" w:rsidRPr="00260584">
        <w:rPr>
          <w:rFonts w:ascii="Book Antiqua" w:hAnsi="Book Antiqua" w:cs="Times New Roman"/>
          <w:bCs/>
          <w:sz w:val="24"/>
          <w:szCs w:val="24"/>
        </w:rPr>
        <w:t>complete response</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in overall phase was 93.79% whereas it was 98.01% in acute CINV and 93.79% in delayed CINV. Overall </w:t>
      </w:r>
      <w:r w:rsidR="008C0124" w:rsidRPr="00260584">
        <w:rPr>
          <w:rFonts w:ascii="Book Antiqua" w:hAnsi="Book Antiqua" w:cs="Times New Roman"/>
          <w:bCs/>
          <w:sz w:val="24"/>
          <w:szCs w:val="24"/>
        </w:rPr>
        <w:t xml:space="preserve">complete response </w:t>
      </w:r>
      <w:r w:rsidRPr="00260584">
        <w:rPr>
          <w:rFonts w:ascii="Book Antiqua" w:hAnsi="Book Antiqua" w:cs="Times New Roman"/>
          <w:bCs/>
          <w:sz w:val="24"/>
          <w:szCs w:val="24"/>
        </w:rPr>
        <w:t xml:space="preserve">in </w:t>
      </w:r>
      <w:r w:rsidR="008C0124" w:rsidRPr="00260584">
        <w:rPr>
          <w:rFonts w:ascii="Book Antiqua" w:hAnsi="Book Antiqua" w:cs="Times New Roman"/>
          <w:bCs/>
          <w:sz w:val="24"/>
          <w:szCs w:val="24"/>
        </w:rPr>
        <w:t xml:space="preserve">highly emetogenic chemotherapy group of patients was 93.63% and in moderately emetogenic group of patients was </w:t>
      </w:r>
      <w:r w:rsidRPr="00260584">
        <w:rPr>
          <w:rFonts w:ascii="Book Antiqua" w:hAnsi="Book Antiqua" w:cs="Times New Roman"/>
          <w:bCs/>
          <w:sz w:val="24"/>
          <w:szCs w:val="24"/>
        </w:rPr>
        <w:t xml:space="preserve">93.98%. </w:t>
      </w:r>
    </w:p>
    <w:p w14:paraId="2D32A281" w14:textId="77777777" w:rsidR="002F19CA" w:rsidRPr="00260584" w:rsidRDefault="002F19CA" w:rsidP="00260584">
      <w:pPr>
        <w:adjustRightInd w:val="0"/>
        <w:snapToGrid w:val="0"/>
        <w:spacing w:after="0" w:line="360" w:lineRule="auto"/>
        <w:jc w:val="both"/>
        <w:rPr>
          <w:rFonts w:ascii="Book Antiqua" w:hAnsi="Book Antiqua"/>
          <w:sz w:val="24"/>
          <w:szCs w:val="24"/>
        </w:rPr>
      </w:pPr>
    </w:p>
    <w:p w14:paraId="42639370" w14:textId="109DC273" w:rsidR="006256C3" w:rsidRPr="00260584" w:rsidRDefault="006256C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conclusions</w:t>
      </w:r>
    </w:p>
    <w:p w14:paraId="52F9338C" w14:textId="45052179" w:rsidR="000849D8" w:rsidRPr="00260584" w:rsidRDefault="000849D8" w:rsidP="00260584">
      <w:pPr>
        <w:adjustRightInd w:val="0"/>
        <w:snapToGrid w:val="0"/>
        <w:spacing w:after="0" w:line="360" w:lineRule="auto"/>
        <w:jc w:val="both"/>
        <w:rPr>
          <w:rFonts w:ascii="Book Antiqua" w:hAnsi="Book Antiqua"/>
          <w:b/>
          <w:sz w:val="24"/>
          <w:szCs w:val="24"/>
        </w:rPr>
      </w:pPr>
      <w:r w:rsidRPr="00260584">
        <w:rPr>
          <w:rFonts w:ascii="Book Antiqua" w:hAnsi="Book Antiqua" w:cs="Times New Roman"/>
          <w:bCs/>
          <w:sz w:val="24"/>
          <w:szCs w:val="24"/>
        </w:rPr>
        <w:t xml:space="preserve">We found that the </w:t>
      </w:r>
      <w:r w:rsidR="008C0124" w:rsidRPr="00260584">
        <w:rPr>
          <w:rFonts w:ascii="Book Antiqua" w:hAnsi="Book Antiqua" w:cs="Times New Roman"/>
          <w:bCs/>
          <w:sz w:val="24"/>
          <w:szCs w:val="24"/>
        </w:rPr>
        <w:t xml:space="preserve">oral </w:t>
      </w:r>
      <w:r w:rsidRPr="00260584">
        <w:rPr>
          <w:rFonts w:ascii="Book Antiqua" w:hAnsi="Book Antiqua" w:cs="Times New Roman"/>
          <w:bCs/>
          <w:sz w:val="24"/>
          <w:szCs w:val="24"/>
        </w:rPr>
        <w:t xml:space="preserve">fixed dose combination of </w:t>
      </w:r>
      <w:proofErr w:type="spellStart"/>
      <w:r w:rsidRPr="00260584">
        <w:rPr>
          <w:rFonts w:ascii="Book Antiqua" w:hAnsi="Book Antiqua" w:cs="Times New Roman"/>
          <w:bCs/>
          <w:sz w:val="24"/>
          <w:szCs w:val="24"/>
        </w:rPr>
        <w:t>netupitant</w:t>
      </w:r>
      <w:proofErr w:type="spellEnd"/>
      <w:r w:rsidRPr="00260584">
        <w:rPr>
          <w:rFonts w:ascii="Book Antiqua" w:hAnsi="Book Antiqua" w:cs="Times New Roman"/>
          <w:bCs/>
          <w:sz w:val="24"/>
          <w:szCs w:val="24"/>
        </w:rPr>
        <w:t xml:space="preserve"> 300 mg and palonosetron hydrochloride 0.5 mg is effective in preventing CINV in patients receiving </w:t>
      </w:r>
      <w:r w:rsidR="008C0124" w:rsidRPr="00260584">
        <w:rPr>
          <w:rFonts w:ascii="Book Antiqua" w:hAnsi="Book Antiqua" w:cs="Times New Roman"/>
          <w:bCs/>
          <w:sz w:val="24"/>
          <w:szCs w:val="24"/>
        </w:rPr>
        <w:t xml:space="preserve">highly or moderately emetogenic chemotherapy </w:t>
      </w:r>
      <w:r w:rsidR="00990CD3" w:rsidRPr="00260584">
        <w:rPr>
          <w:rFonts w:ascii="Book Antiqua" w:hAnsi="Book Antiqua" w:cs="Times New Roman"/>
          <w:bCs/>
          <w:sz w:val="24"/>
          <w:szCs w:val="24"/>
        </w:rPr>
        <w:t xml:space="preserve">regimen in the real world setting. </w:t>
      </w:r>
      <w:r w:rsidRPr="00260584">
        <w:rPr>
          <w:rFonts w:ascii="Book Antiqua" w:hAnsi="Book Antiqua" w:cs="Times New Roman"/>
          <w:bCs/>
          <w:sz w:val="24"/>
          <w:szCs w:val="24"/>
        </w:rPr>
        <w:t>Also, the response was consistent across</w:t>
      </w:r>
      <w:r w:rsidR="00990CD3" w:rsidRPr="00260584">
        <w:rPr>
          <w:rFonts w:ascii="Book Antiqua" w:hAnsi="Book Antiqua" w:cs="Times New Roman"/>
          <w:bCs/>
          <w:sz w:val="24"/>
          <w:szCs w:val="24"/>
        </w:rPr>
        <w:t xml:space="preserve"> number of chemotherapy cycles.</w:t>
      </w:r>
      <w:r w:rsidRPr="00260584">
        <w:rPr>
          <w:rFonts w:ascii="Book Antiqua" w:hAnsi="Book Antiqua"/>
          <w:b/>
          <w:sz w:val="24"/>
          <w:szCs w:val="24"/>
        </w:rPr>
        <w:t xml:space="preserve"> </w:t>
      </w:r>
    </w:p>
    <w:p w14:paraId="70E201A3" w14:textId="77777777" w:rsidR="002F19CA" w:rsidRPr="00260584" w:rsidRDefault="002F19CA" w:rsidP="00260584">
      <w:pPr>
        <w:adjustRightInd w:val="0"/>
        <w:snapToGrid w:val="0"/>
        <w:spacing w:after="0" w:line="360" w:lineRule="auto"/>
        <w:jc w:val="both"/>
        <w:rPr>
          <w:rFonts w:ascii="Book Antiqua" w:hAnsi="Book Antiqua"/>
          <w:b/>
          <w:sz w:val="24"/>
          <w:szCs w:val="24"/>
        </w:rPr>
      </w:pPr>
    </w:p>
    <w:p w14:paraId="245DBD68" w14:textId="70904457" w:rsidR="00990CD3" w:rsidRPr="00260584" w:rsidRDefault="00990CD3" w:rsidP="00260584">
      <w:pPr>
        <w:adjustRightInd w:val="0"/>
        <w:snapToGrid w:val="0"/>
        <w:spacing w:after="0" w:line="360" w:lineRule="auto"/>
        <w:jc w:val="both"/>
        <w:rPr>
          <w:rFonts w:ascii="Book Antiqua" w:hAnsi="Book Antiqua"/>
          <w:b/>
          <w:i/>
          <w:sz w:val="24"/>
          <w:szCs w:val="24"/>
        </w:rPr>
      </w:pPr>
      <w:r w:rsidRPr="00260584">
        <w:rPr>
          <w:rFonts w:ascii="Book Antiqua" w:hAnsi="Book Antiqua"/>
          <w:b/>
          <w:i/>
          <w:sz w:val="24"/>
          <w:szCs w:val="24"/>
        </w:rPr>
        <w:t>Research perspective</w:t>
      </w:r>
      <w:r w:rsidR="00991E98" w:rsidRPr="00260584">
        <w:rPr>
          <w:rFonts w:ascii="Book Antiqua" w:hAnsi="Book Antiqua"/>
          <w:b/>
          <w:i/>
          <w:sz w:val="24"/>
          <w:szCs w:val="24"/>
        </w:rPr>
        <w:t>s</w:t>
      </w:r>
      <w:r w:rsidRPr="00260584">
        <w:rPr>
          <w:rFonts w:ascii="Book Antiqua" w:hAnsi="Book Antiqua"/>
          <w:b/>
          <w:i/>
          <w:sz w:val="24"/>
          <w:szCs w:val="24"/>
        </w:rPr>
        <w:t xml:space="preserve"> </w:t>
      </w:r>
    </w:p>
    <w:p w14:paraId="3049A0FE" w14:textId="76F5F209" w:rsidR="00990CD3" w:rsidRPr="00260584" w:rsidRDefault="00990CD3" w:rsidP="00260584">
      <w:pPr>
        <w:adjustRightInd w:val="0"/>
        <w:snapToGrid w:val="0"/>
        <w:spacing w:after="0" w:line="360" w:lineRule="auto"/>
        <w:jc w:val="both"/>
        <w:rPr>
          <w:rFonts w:ascii="Book Antiqua" w:hAnsi="Book Antiqua" w:cs="Times New Roman"/>
          <w:bCs/>
          <w:sz w:val="24"/>
          <w:szCs w:val="24"/>
        </w:rPr>
      </w:pPr>
      <w:r w:rsidRPr="00260584">
        <w:rPr>
          <w:rFonts w:ascii="Book Antiqua" w:hAnsi="Book Antiqua" w:cs="Times New Roman"/>
          <w:bCs/>
          <w:sz w:val="24"/>
          <w:szCs w:val="24"/>
        </w:rPr>
        <w:t xml:space="preserve">This study demonstrated the clinical effectiveness of NEPA </w:t>
      </w:r>
      <w:r w:rsidR="003E1746" w:rsidRPr="00260584">
        <w:rPr>
          <w:rFonts w:ascii="Book Antiqua" w:hAnsi="Book Antiqua" w:cs="Times New Roman"/>
          <w:bCs/>
          <w:sz w:val="24"/>
          <w:szCs w:val="24"/>
        </w:rPr>
        <w:t>among</w:t>
      </w:r>
      <w:r w:rsidRPr="00260584">
        <w:rPr>
          <w:rFonts w:ascii="Book Antiqua" w:hAnsi="Book Antiqua" w:cs="Times New Roman"/>
          <w:bCs/>
          <w:sz w:val="24"/>
          <w:szCs w:val="24"/>
        </w:rPr>
        <w:t xml:space="preserve"> Indian patients in managing CINV, and serves as an impetus for future research.</w:t>
      </w:r>
    </w:p>
    <w:p w14:paraId="66068D0B" w14:textId="77777777" w:rsidR="00990CD3" w:rsidRPr="00260584" w:rsidRDefault="00990CD3" w:rsidP="00260584">
      <w:pPr>
        <w:adjustRightInd w:val="0"/>
        <w:snapToGrid w:val="0"/>
        <w:spacing w:after="0" w:line="360" w:lineRule="auto"/>
        <w:jc w:val="both"/>
        <w:rPr>
          <w:rFonts w:ascii="Book Antiqua" w:hAnsi="Book Antiqua"/>
          <w:b/>
          <w:sz w:val="24"/>
          <w:szCs w:val="24"/>
        </w:rPr>
      </w:pPr>
    </w:p>
    <w:p w14:paraId="3EAFC4A8" w14:textId="77777777" w:rsidR="00EB07FD" w:rsidRPr="00260584" w:rsidRDefault="00EB07FD"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lastRenderedPageBreak/>
        <w:t>REFERENCES</w:t>
      </w:r>
    </w:p>
    <w:p w14:paraId="244AFF44"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1 </w:t>
      </w:r>
      <w:r w:rsidRPr="00260584">
        <w:rPr>
          <w:rFonts w:ascii="Book Antiqua" w:hAnsi="Book Antiqua"/>
          <w:b/>
          <w:bCs/>
        </w:rPr>
        <w:t>Cohen L</w:t>
      </w:r>
      <w:r w:rsidRPr="00260584">
        <w:rPr>
          <w:rFonts w:ascii="Book Antiqua" w:hAnsi="Book Antiqua"/>
        </w:rPr>
        <w:t>, de Moor CA, Eisenberg P, Ming EE, Hu H. Chemotherapy-induced nausea and vomiting: incidence and impact on patient quality of life at community oncology settings. </w:t>
      </w:r>
      <w:r w:rsidRPr="00260584">
        <w:rPr>
          <w:rFonts w:ascii="Book Antiqua" w:hAnsi="Book Antiqua"/>
          <w:i/>
          <w:iCs/>
        </w:rPr>
        <w:t>Support Care Cancer</w:t>
      </w:r>
      <w:r w:rsidRPr="00260584">
        <w:rPr>
          <w:rFonts w:ascii="Book Antiqua" w:hAnsi="Book Antiqua"/>
        </w:rPr>
        <w:t> 2007; </w:t>
      </w:r>
      <w:r w:rsidRPr="00260584">
        <w:rPr>
          <w:rFonts w:ascii="Book Antiqua" w:hAnsi="Book Antiqua"/>
          <w:b/>
          <w:bCs/>
        </w:rPr>
        <w:t>15</w:t>
      </w:r>
      <w:r w:rsidRPr="00260584">
        <w:rPr>
          <w:rFonts w:ascii="Book Antiqua" w:hAnsi="Book Antiqua"/>
        </w:rPr>
        <w:t>: 497-503 [PMID: 17103197 DOI: 10.1007/s00520-006-0173-z]</w:t>
      </w:r>
    </w:p>
    <w:p w14:paraId="6C2F9DA8"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2 </w:t>
      </w:r>
      <w:r w:rsidRPr="00260584">
        <w:rPr>
          <w:rFonts w:ascii="Book Antiqua" w:hAnsi="Book Antiqua"/>
          <w:b/>
          <w:bCs/>
        </w:rPr>
        <w:t>Gilmore JW</w:t>
      </w:r>
      <w:r w:rsidRPr="00260584">
        <w:rPr>
          <w:rFonts w:ascii="Book Antiqua" w:hAnsi="Book Antiqua"/>
        </w:rPr>
        <w:t xml:space="preserve">, Peacock NW, Gu A, Szabo S, </w:t>
      </w:r>
      <w:proofErr w:type="spellStart"/>
      <w:r w:rsidRPr="00260584">
        <w:rPr>
          <w:rFonts w:ascii="Book Antiqua" w:hAnsi="Book Antiqua"/>
        </w:rPr>
        <w:t>Rammage</w:t>
      </w:r>
      <w:proofErr w:type="spellEnd"/>
      <w:r w:rsidRPr="00260584">
        <w:rPr>
          <w:rFonts w:ascii="Book Antiqua" w:hAnsi="Book Antiqua"/>
        </w:rPr>
        <w:t xml:space="preserve"> M, Sharpe J, </w:t>
      </w:r>
      <w:proofErr w:type="spellStart"/>
      <w:r w:rsidRPr="00260584">
        <w:rPr>
          <w:rFonts w:ascii="Book Antiqua" w:hAnsi="Book Antiqua"/>
        </w:rPr>
        <w:t>Haislip</w:t>
      </w:r>
      <w:proofErr w:type="spellEnd"/>
      <w:r w:rsidRPr="00260584">
        <w:rPr>
          <w:rFonts w:ascii="Book Antiqua" w:hAnsi="Book Antiqua"/>
        </w:rPr>
        <w:t xml:space="preserve"> ST, Perry T, </w:t>
      </w:r>
      <w:proofErr w:type="spellStart"/>
      <w:r w:rsidRPr="00260584">
        <w:rPr>
          <w:rFonts w:ascii="Book Antiqua" w:hAnsi="Book Antiqua"/>
        </w:rPr>
        <w:t>Boozan</w:t>
      </w:r>
      <w:proofErr w:type="spellEnd"/>
      <w:r w:rsidRPr="00260584">
        <w:rPr>
          <w:rFonts w:ascii="Book Antiqua" w:hAnsi="Book Antiqua"/>
        </w:rPr>
        <w:t xml:space="preserve"> TL, Meador K, Cao X, Burke TA. Antiemetic guideline consistency and incidence of chemotherapy-induced nausea and vomiting in US community oncology practice: INSPIRE Study. </w:t>
      </w:r>
      <w:r w:rsidRPr="00260584">
        <w:rPr>
          <w:rFonts w:ascii="Book Antiqua" w:hAnsi="Book Antiqua"/>
          <w:i/>
          <w:iCs/>
        </w:rPr>
        <w:t xml:space="preserve">J Oncol </w:t>
      </w:r>
      <w:proofErr w:type="spellStart"/>
      <w:r w:rsidRPr="00260584">
        <w:rPr>
          <w:rFonts w:ascii="Book Antiqua" w:hAnsi="Book Antiqua"/>
          <w:i/>
          <w:iCs/>
        </w:rPr>
        <w:t>Pract</w:t>
      </w:r>
      <w:proofErr w:type="spellEnd"/>
      <w:r w:rsidRPr="00260584">
        <w:rPr>
          <w:rFonts w:ascii="Book Antiqua" w:hAnsi="Book Antiqua"/>
        </w:rPr>
        <w:t> 2014; </w:t>
      </w:r>
      <w:r w:rsidRPr="00260584">
        <w:rPr>
          <w:rFonts w:ascii="Book Antiqua" w:hAnsi="Book Antiqua"/>
          <w:b/>
          <w:bCs/>
        </w:rPr>
        <w:t>10</w:t>
      </w:r>
      <w:r w:rsidRPr="00260584">
        <w:rPr>
          <w:rFonts w:ascii="Book Antiqua" w:hAnsi="Book Antiqua"/>
        </w:rPr>
        <w:t>: 68-74 [PMID: 24065402 DOI: 10.1200/JOP.2012.000816]</w:t>
      </w:r>
    </w:p>
    <w:p w14:paraId="79C01A95"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3 </w:t>
      </w:r>
      <w:r w:rsidRPr="00260584">
        <w:rPr>
          <w:rFonts w:ascii="Book Antiqua" w:hAnsi="Book Antiqua"/>
          <w:b/>
          <w:bCs/>
        </w:rPr>
        <w:t>Longo F</w:t>
      </w:r>
      <w:r w:rsidRPr="00260584">
        <w:rPr>
          <w:rFonts w:ascii="Book Antiqua" w:hAnsi="Book Antiqua"/>
        </w:rPr>
        <w:t xml:space="preserve">, </w:t>
      </w:r>
      <w:proofErr w:type="spellStart"/>
      <w:r w:rsidRPr="00260584">
        <w:rPr>
          <w:rFonts w:ascii="Book Antiqua" w:hAnsi="Book Antiqua"/>
        </w:rPr>
        <w:t>Mansueto</w:t>
      </w:r>
      <w:proofErr w:type="spellEnd"/>
      <w:r w:rsidRPr="00260584">
        <w:rPr>
          <w:rFonts w:ascii="Book Antiqua" w:hAnsi="Book Antiqua"/>
        </w:rPr>
        <w:t xml:space="preserve"> G, </w:t>
      </w:r>
      <w:proofErr w:type="spellStart"/>
      <w:r w:rsidRPr="00260584">
        <w:rPr>
          <w:rFonts w:ascii="Book Antiqua" w:hAnsi="Book Antiqua"/>
        </w:rPr>
        <w:t>Lapadula</w:t>
      </w:r>
      <w:proofErr w:type="spellEnd"/>
      <w:r w:rsidRPr="00260584">
        <w:rPr>
          <w:rFonts w:ascii="Book Antiqua" w:hAnsi="Book Antiqua"/>
        </w:rPr>
        <w:t xml:space="preserve"> V, </w:t>
      </w:r>
      <w:proofErr w:type="spellStart"/>
      <w:r w:rsidRPr="00260584">
        <w:rPr>
          <w:rFonts w:ascii="Book Antiqua" w:hAnsi="Book Antiqua"/>
        </w:rPr>
        <w:t>Stumbo</w:t>
      </w:r>
      <w:proofErr w:type="spellEnd"/>
      <w:r w:rsidRPr="00260584">
        <w:rPr>
          <w:rFonts w:ascii="Book Antiqua" w:hAnsi="Book Antiqua"/>
        </w:rPr>
        <w:t xml:space="preserve"> L, Del Bene G, </w:t>
      </w:r>
      <w:proofErr w:type="spellStart"/>
      <w:r w:rsidRPr="00260584">
        <w:rPr>
          <w:rFonts w:ascii="Book Antiqua" w:hAnsi="Book Antiqua"/>
        </w:rPr>
        <w:t>Adua</w:t>
      </w:r>
      <w:proofErr w:type="spellEnd"/>
      <w:r w:rsidRPr="00260584">
        <w:rPr>
          <w:rFonts w:ascii="Book Antiqua" w:hAnsi="Book Antiqua"/>
        </w:rPr>
        <w:t xml:space="preserve"> D, De </w:t>
      </w:r>
      <w:proofErr w:type="spellStart"/>
      <w:r w:rsidRPr="00260584">
        <w:rPr>
          <w:rFonts w:ascii="Book Antiqua" w:hAnsi="Book Antiqua"/>
        </w:rPr>
        <w:t>Filippis</w:t>
      </w:r>
      <w:proofErr w:type="spellEnd"/>
      <w:r w:rsidRPr="00260584">
        <w:rPr>
          <w:rFonts w:ascii="Book Antiqua" w:hAnsi="Book Antiqua"/>
        </w:rPr>
        <w:t xml:space="preserve"> L, </w:t>
      </w:r>
      <w:proofErr w:type="spellStart"/>
      <w:r w:rsidRPr="00260584">
        <w:rPr>
          <w:rFonts w:ascii="Book Antiqua" w:hAnsi="Book Antiqua"/>
        </w:rPr>
        <w:t>Bonizzoni</w:t>
      </w:r>
      <w:proofErr w:type="spellEnd"/>
      <w:r w:rsidRPr="00260584">
        <w:rPr>
          <w:rFonts w:ascii="Book Antiqua" w:hAnsi="Book Antiqua"/>
        </w:rPr>
        <w:t xml:space="preserve"> E, </w:t>
      </w:r>
      <w:proofErr w:type="spellStart"/>
      <w:r w:rsidRPr="00260584">
        <w:rPr>
          <w:rFonts w:ascii="Book Antiqua" w:hAnsi="Book Antiqua"/>
        </w:rPr>
        <w:t>Quadrini</w:t>
      </w:r>
      <w:proofErr w:type="spellEnd"/>
      <w:r w:rsidRPr="00260584">
        <w:rPr>
          <w:rFonts w:ascii="Book Antiqua" w:hAnsi="Book Antiqua"/>
        </w:rPr>
        <w:t xml:space="preserve"> S. Combination of </w:t>
      </w:r>
      <w:proofErr w:type="spellStart"/>
      <w:r w:rsidRPr="00260584">
        <w:rPr>
          <w:rFonts w:ascii="Book Antiqua" w:hAnsi="Book Antiqua"/>
        </w:rPr>
        <w:t>aprepitant</w:t>
      </w:r>
      <w:proofErr w:type="spellEnd"/>
      <w:r w:rsidRPr="00260584">
        <w:rPr>
          <w:rFonts w:ascii="Book Antiqua" w:hAnsi="Book Antiqua"/>
        </w:rPr>
        <w:t>, palonosetron and dexamethasone as antiemetic prophylaxis in lung cancer patients receiving multiple cycles of cisplatin-based chemotherapy. </w:t>
      </w:r>
      <w:proofErr w:type="spellStart"/>
      <w:r w:rsidRPr="00260584">
        <w:rPr>
          <w:rFonts w:ascii="Book Antiqua" w:hAnsi="Book Antiqua"/>
          <w:i/>
          <w:iCs/>
        </w:rPr>
        <w:t>Int</w:t>
      </w:r>
      <w:proofErr w:type="spellEnd"/>
      <w:r w:rsidRPr="00260584">
        <w:rPr>
          <w:rFonts w:ascii="Book Antiqua" w:hAnsi="Book Antiqua"/>
          <w:i/>
          <w:iCs/>
        </w:rPr>
        <w:t xml:space="preserve"> J </w:t>
      </w:r>
      <w:proofErr w:type="spellStart"/>
      <w:r w:rsidRPr="00260584">
        <w:rPr>
          <w:rFonts w:ascii="Book Antiqua" w:hAnsi="Book Antiqua"/>
          <w:i/>
          <w:iCs/>
        </w:rPr>
        <w:t>Clin</w:t>
      </w:r>
      <w:proofErr w:type="spellEnd"/>
      <w:r w:rsidRPr="00260584">
        <w:rPr>
          <w:rFonts w:ascii="Book Antiqua" w:hAnsi="Book Antiqua"/>
          <w:i/>
          <w:iCs/>
        </w:rPr>
        <w:t xml:space="preserve"> </w:t>
      </w:r>
      <w:proofErr w:type="spellStart"/>
      <w:r w:rsidRPr="00260584">
        <w:rPr>
          <w:rFonts w:ascii="Book Antiqua" w:hAnsi="Book Antiqua"/>
          <w:i/>
          <w:iCs/>
        </w:rPr>
        <w:t>Pract</w:t>
      </w:r>
      <w:proofErr w:type="spellEnd"/>
      <w:r w:rsidRPr="00260584">
        <w:rPr>
          <w:rFonts w:ascii="Book Antiqua" w:hAnsi="Book Antiqua"/>
        </w:rPr>
        <w:t> 2012; </w:t>
      </w:r>
      <w:r w:rsidRPr="00260584">
        <w:rPr>
          <w:rFonts w:ascii="Book Antiqua" w:hAnsi="Book Antiqua"/>
          <w:b/>
          <w:bCs/>
        </w:rPr>
        <w:t>66</w:t>
      </w:r>
      <w:r w:rsidRPr="00260584">
        <w:rPr>
          <w:rFonts w:ascii="Book Antiqua" w:hAnsi="Book Antiqua"/>
        </w:rPr>
        <w:t>: 753-757 [PMID: 22805267 DOI: 10.1111/j.1742-1241.2012.02969.x]</w:t>
      </w:r>
    </w:p>
    <w:p w14:paraId="59C8BD57"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4 </w:t>
      </w:r>
      <w:r w:rsidRPr="00260584">
        <w:rPr>
          <w:rFonts w:ascii="Book Antiqua" w:hAnsi="Book Antiqua"/>
          <w:b/>
          <w:bCs/>
        </w:rPr>
        <w:t>Grunberg SM</w:t>
      </w:r>
      <w:r w:rsidRPr="00260584">
        <w:rPr>
          <w:rFonts w:ascii="Book Antiqua" w:hAnsi="Book Antiqua"/>
        </w:rPr>
        <w:t xml:space="preserve">, </w:t>
      </w:r>
      <w:proofErr w:type="spellStart"/>
      <w:r w:rsidRPr="00260584">
        <w:rPr>
          <w:rFonts w:ascii="Book Antiqua" w:hAnsi="Book Antiqua"/>
        </w:rPr>
        <w:t>Deuson</w:t>
      </w:r>
      <w:proofErr w:type="spellEnd"/>
      <w:r w:rsidRPr="00260584">
        <w:rPr>
          <w:rFonts w:ascii="Book Antiqua" w:hAnsi="Book Antiqua"/>
        </w:rPr>
        <w:t xml:space="preserve"> RR, </w:t>
      </w:r>
      <w:proofErr w:type="spellStart"/>
      <w:r w:rsidRPr="00260584">
        <w:rPr>
          <w:rFonts w:ascii="Book Antiqua" w:hAnsi="Book Antiqua"/>
        </w:rPr>
        <w:t>Mavros</w:t>
      </w:r>
      <w:proofErr w:type="spellEnd"/>
      <w:r w:rsidRPr="00260584">
        <w:rPr>
          <w:rFonts w:ascii="Book Antiqua" w:hAnsi="Book Antiqua"/>
        </w:rPr>
        <w:t xml:space="preserve"> P, </w:t>
      </w:r>
      <w:proofErr w:type="spellStart"/>
      <w:r w:rsidRPr="00260584">
        <w:rPr>
          <w:rFonts w:ascii="Book Antiqua" w:hAnsi="Book Antiqua"/>
        </w:rPr>
        <w:t>Geling</w:t>
      </w:r>
      <w:proofErr w:type="spellEnd"/>
      <w:r w:rsidRPr="00260584">
        <w:rPr>
          <w:rFonts w:ascii="Book Antiqua" w:hAnsi="Book Antiqua"/>
        </w:rPr>
        <w:t xml:space="preserve"> O, Hansen M, </w:t>
      </w:r>
      <w:proofErr w:type="spellStart"/>
      <w:r w:rsidRPr="00260584">
        <w:rPr>
          <w:rFonts w:ascii="Book Antiqua" w:hAnsi="Book Antiqua"/>
        </w:rPr>
        <w:t>Cruciani</w:t>
      </w:r>
      <w:proofErr w:type="spellEnd"/>
      <w:r w:rsidRPr="00260584">
        <w:rPr>
          <w:rFonts w:ascii="Book Antiqua" w:hAnsi="Book Antiqua"/>
        </w:rPr>
        <w:t xml:space="preserve"> G, Daniele B, De </w:t>
      </w:r>
      <w:proofErr w:type="spellStart"/>
      <w:r w:rsidRPr="00260584">
        <w:rPr>
          <w:rFonts w:ascii="Book Antiqua" w:hAnsi="Book Antiqua"/>
        </w:rPr>
        <w:t>Pouvourville</w:t>
      </w:r>
      <w:proofErr w:type="spellEnd"/>
      <w:r w:rsidRPr="00260584">
        <w:rPr>
          <w:rFonts w:ascii="Book Antiqua" w:hAnsi="Book Antiqua"/>
        </w:rPr>
        <w:t xml:space="preserve"> G, Rubenstein EB, Daugaard G. Incidence of chemotherapy-induced nausea and emesis after modern antiemetics. </w:t>
      </w:r>
      <w:r w:rsidRPr="00260584">
        <w:rPr>
          <w:rFonts w:ascii="Book Antiqua" w:hAnsi="Book Antiqua"/>
          <w:i/>
          <w:iCs/>
        </w:rPr>
        <w:t>Cancer</w:t>
      </w:r>
      <w:r w:rsidRPr="00260584">
        <w:rPr>
          <w:rFonts w:ascii="Book Antiqua" w:hAnsi="Book Antiqua"/>
        </w:rPr>
        <w:t> 2004; </w:t>
      </w:r>
      <w:r w:rsidRPr="00260584">
        <w:rPr>
          <w:rFonts w:ascii="Book Antiqua" w:hAnsi="Book Antiqua"/>
          <w:b/>
          <w:bCs/>
        </w:rPr>
        <w:t>100</w:t>
      </w:r>
      <w:r w:rsidRPr="00260584">
        <w:rPr>
          <w:rFonts w:ascii="Book Antiqua" w:hAnsi="Book Antiqua"/>
        </w:rPr>
        <w:t>: 2261-2268 [PMID: 15139073 DOI: 10.1002/cncr.20230]</w:t>
      </w:r>
    </w:p>
    <w:p w14:paraId="05148C26"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5 </w:t>
      </w:r>
      <w:r w:rsidRPr="00260584">
        <w:rPr>
          <w:rFonts w:ascii="Book Antiqua" w:hAnsi="Book Antiqua"/>
          <w:b/>
          <w:bCs/>
        </w:rPr>
        <w:t>Hsieh RK</w:t>
      </w:r>
      <w:r w:rsidRPr="00260584">
        <w:rPr>
          <w:rFonts w:ascii="Book Antiqua" w:hAnsi="Book Antiqua"/>
        </w:rPr>
        <w:t xml:space="preserve">, Chan A, Kim HK, Yu S, Kim JG, Lee MA, </w:t>
      </w:r>
      <w:proofErr w:type="spellStart"/>
      <w:r w:rsidRPr="00260584">
        <w:rPr>
          <w:rFonts w:ascii="Book Antiqua" w:hAnsi="Book Antiqua"/>
        </w:rPr>
        <w:t>Dalén</w:t>
      </w:r>
      <w:proofErr w:type="spellEnd"/>
      <w:r w:rsidRPr="00260584">
        <w:rPr>
          <w:rFonts w:ascii="Book Antiqua" w:hAnsi="Book Antiqua"/>
        </w:rPr>
        <w:t xml:space="preserve"> J, Jung H, Liu YP, Burke TA, Keefe DM. Baseline patient characteristics, incidence of CINV, and physician perception of CINV incidence following moderately and highly emetogenic chemotherapy in Asia Pacific countries. </w:t>
      </w:r>
      <w:r w:rsidRPr="00260584">
        <w:rPr>
          <w:rFonts w:ascii="Book Antiqua" w:hAnsi="Book Antiqua"/>
          <w:i/>
          <w:iCs/>
        </w:rPr>
        <w:t>Support Care Cancer</w:t>
      </w:r>
      <w:r w:rsidRPr="00260584">
        <w:rPr>
          <w:rFonts w:ascii="Book Antiqua" w:hAnsi="Book Antiqua"/>
        </w:rPr>
        <w:t> 2015; </w:t>
      </w:r>
      <w:r w:rsidRPr="00260584">
        <w:rPr>
          <w:rFonts w:ascii="Book Antiqua" w:hAnsi="Book Antiqua"/>
          <w:b/>
          <w:bCs/>
        </w:rPr>
        <w:t>23</w:t>
      </w:r>
      <w:r w:rsidRPr="00260584">
        <w:rPr>
          <w:rFonts w:ascii="Book Antiqua" w:hAnsi="Book Antiqua"/>
        </w:rPr>
        <w:t>: 263-272 [PMID: 25120009 DOI: 10.1007/s00520-014-2373-2]</w:t>
      </w:r>
    </w:p>
    <w:p w14:paraId="0051439B"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6 </w:t>
      </w:r>
      <w:r w:rsidRPr="00260584">
        <w:rPr>
          <w:rFonts w:ascii="Book Antiqua" w:hAnsi="Book Antiqua"/>
          <w:b/>
          <w:bCs/>
        </w:rPr>
        <w:t>Chopra D</w:t>
      </w:r>
      <w:r w:rsidRPr="00260584">
        <w:rPr>
          <w:rFonts w:ascii="Book Antiqua" w:hAnsi="Book Antiqua"/>
        </w:rPr>
        <w:t xml:space="preserve">, </w:t>
      </w:r>
      <w:proofErr w:type="spellStart"/>
      <w:r w:rsidRPr="00260584">
        <w:rPr>
          <w:rFonts w:ascii="Book Antiqua" w:hAnsi="Book Antiqua"/>
        </w:rPr>
        <w:t>Rehan</w:t>
      </w:r>
      <w:proofErr w:type="spellEnd"/>
      <w:r w:rsidRPr="00260584">
        <w:rPr>
          <w:rFonts w:ascii="Book Antiqua" w:hAnsi="Book Antiqua"/>
        </w:rPr>
        <w:t xml:space="preserve"> HS, Sharma V, Mishra R. Chemotherapy-induced adverse drug reactions in oncology patients: A prospective observational survey. </w:t>
      </w:r>
      <w:r w:rsidRPr="00260584">
        <w:rPr>
          <w:rFonts w:ascii="Book Antiqua" w:hAnsi="Book Antiqua"/>
          <w:i/>
          <w:iCs/>
        </w:rPr>
        <w:t xml:space="preserve">Indian J Med </w:t>
      </w:r>
      <w:proofErr w:type="spellStart"/>
      <w:r w:rsidRPr="00260584">
        <w:rPr>
          <w:rFonts w:ascii="Book Antiqua" w:hAnsi="Book Antiqua"/>
          <w:i/>
          <w:iCs/>
        </w:rPr>
        <w:t>Paediatr</w:t>
      </w:r>
      <w:proofErr w:type="spellEnd"/>
      <w:r w:rsidRPr="00260584">
        <w:rPr>
          <w:rFonts w:ascii="Book Antiqua" w:hAnsi="Book Antiqua"/>
          <w:i/>
          <w:iCs/>
        </w:rPr>
        <w:t xml:space="preserve"> Oncol</w:t>
      </w:r>
      <w:r w:rsidRPr="00260584">
        <w:rPr>
          <w:rFonts w:ascii="Book Antiqua" w:hAnsi="Book Antiqua"/>
        </w:rPr>
        <w:t> 2016; </w:t>
      </w:r>
      <w:r w:rsidRPr="00260584">
        <w:rPr>
          <w:rFonts w:ascii="Book Antiqua" w:hAnsi="Book Antiqua"/>
          <w:b/>
          <w:bCs/>
        </w:rPr>
        <w:t>37</w:t>
      </w:r>
      <w:r w:rsidRPr="00260584">
        <w:rPr>
          <w:rFonts w:ascii="Book Antiqua" w:hAnsi="Book Antiqua"/>
        </w:rPr>
        <w:t>: 42-46 [PMID: 27051157 DOI: 10.4103/0971-5851.177015]</w:t>
      </w:r>
    </w:p>
    <w:p w14:paraId="489B54D2" w14:textId="6EDCEACF" w:rsidR="00B14535" w:rsidRPr="00260584" w:rsidRDefault="00B274D0"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lastRenderedPageBreak/>
        <w:t xml:space="preserve">7 </w:t>
      </w:r>
      <w:r w:rsidR="00B14535" w:rsidRPr="00260584">
        <w:rPr>
          <w:rFonts w:ascii="Book Antiqua" w:hAnsi="Book Antiqua"/>
          <w:b/>
        </w:rPr>
        <w:t>Adel N</w:t>
      </w:r>
      <w:r w:rsidR="00B14535" w:rsidRPr="00260584">
        <w:rPr>
          <w:rFonts w:ascii="Book Antiqua" w:hAnsi="Book Antiqua"/>
        </w:rPr>
        <w:t xml:space="preserve">. Overview of chemotherapy-induced nausea and vomiting and evidence-based therapies. </w:t>
      </w:r>
      <w:r w:rsidR="00B14535" w:rsidRPr="00260584">
        <w:rPr>
          <w:rFonts w:ascii="Book Antiqua" w:hAnsi="Book Antiqua"/>
          <w:i/>
        </w:rPr>
        <w:t>The American Journal of Managed Care</w:t>
      </w:r>
      <w:r w:rsidRPr="00260584">
        <w:rPr>
          <w:rFonts w:ascii="Book Antiqua" w:hAnsi="Book Antiqua"/>
        </w:rPr>
        <w:t xml:space="preserve"> </w:t>
      </w:r>
      <w:r w:rsidR="00B14535" w:rsidRPr="00260584">
        <w:rPr>
          <w:rFonts w:ascii="Book Antiqua" w:hAnsi="Book Antiqua"/>
        </w:rPr>
        <w:t xml:space="preserve">2017; </w:t>
      </w:r>
      <w:r w:rsidR="00B14535" w:rsidRPr="00260584">
        <w:rPr>
          <w:rFonts w:ascii="Book Antiqua" w:hAnsi="Book Antiqua"/>
          <w:b/>
        </w:rPr>
        <w:t>23</w:t>
      </w:r>
      <w:r w:rsidRPr="00260584">
        <w:rPr>
          <w:rFonts w:ascii="Book Antiqua" w:hAnsi="Book Antiqua"/>
        </w:rPr>
        <w:t xml:space="preserve">(14 </w:t>
      </w:r>
      <w:proofErr w:type="spellStart"/>
      <w:r w:rsidRPr="00260584">
        <w:rPr>
          <w:rFonts w:ascii="Book Antiqua" w:hAnsi="Book Antiqua"/>
        </w:rPr>
        <w:t>Suppl</w:t>
      </w:r>
      <w:proofErr w:type="spellEnd"/>
      <w:r w:rsidRPr="00260584">
        <w:rPr>
          <w:rFonts w:ascii="Book Antiqua" w:hAnsi="Book Antiqua"/>
        </w:rPr>
        <w:t>): S259-265</w:t>
      </w:r>
      <w:r w:rsidR="00B14535" w:rsidRPr="00260584">
        <w:rPr>
          <w:rFonts w:ascii="Book Antiqua" w:hAnsi="Book Antiqua"/>
        </w:rPr>
        <w:t xml:space="preserve"> [PMID</w:t>
      </w:r>
      <w:r w:rsidR="00011EBB" w:rsidRPr="00260584">
        <w:rPr>
          <w:rFonts w:ascii="Book Antiqua" w:hAnsi="Book Antiqua"/>
        </w:rPr>
        <w:t>:</w:t>
      </w:r>
      <w:r w:rsidR="00B14535" w:rsidRPr="00260584">
        <w:rPr>
          <w:rFonts w:ascii="Book Antiqua" w:hAnsi="Book Antiqua"/>
        </w:rPr>
        <w:t xml:space="preserve"> 28978206]</w:t>
      </w:r>
    </w:p>
    <w:p w14:paraId="0A11C905"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8 </w:t>
      </w:r>
      <w:proofErr w:type="spellStart"/>
      <w:r w:rsidRPr="00260584">
        <w:rPr>
          <w:rFonts w:ascii="Book Antiqua" w:hAnsi="Book Antiqua"/>
          <w:b/>
          <w:bCs/>
        </w:rPr>
        <w:t>Roila</w:t>
      </w:r>
      <w:proofErr w:type="spellEnd"/>
      <w:r w:rsidRPr="00260584">
        <w:rPr>
          <w:rFonts w:ascii="Book Antiqua" w:hAnsi="Book Antiqua"/>
          <w:b/>
          <w:bCs/>
        </w:rPr>
        <w:t xml:space="preserve"> F</w:t>
      </w:r>
      <w:r w:rsidRPr="00260584">
        <w:rPr>
          <w:rFonts w:ascii="Book Antiqua" w:hAnsi="Book Antiqua"/>
        </w:rPr>
        <w:t xml:space="preserve">, </w:t>
      </w:r>
      <w:proofErr w:type="spellStart"/>
      <w:r w:rsidRPr="00260584">
        <w:rPr>
          <w:rFonts w:ascii="Book Antiqua" w:hAnsi="Book Antiqua"/>
        </w:rPr>
        <w:t>Molassiotis</w:t>
      </w:r>
      <w:proofErr w:type="spellEnd"/>
      <w:r w:rsidRPr="00260584">
        <w:rPr>
          <w:rFonts w:ascii="Book Antiqua" w:hAnsi="Book Antiqua"/>
        </w:rPr>
        <w:t xml:space="preserve"> A, </w:t>
      </w:r>
      <w:proofErr w:type="spellStart"/>
      <w:r w:rsidRPr="00260584">
        <w:rPr>
          <w:rFonts w:ascii="Book Antiqua" w:hAnsi="Book Antiqua"/>
        </w:rPr>
        <w:t>Herrstedt</w:t>
      </w:r>
      <w:proofErr w:type="spellEnd"/>
      <w:r w:rsidRPr="00260584">
        <w:rPr>
          <w:rFonts w:ascii="Book Antiqua" w:hAnsi="Book Antiqua"/>
        </w:rPr>
        <w:t xml:space="preserve"> J, </w:t>
      </w:r>
      <w:proofErr w:type="spellStart"/>
      <w:r w:rsidRPr="00260584">
        <w:rPr>
          <w:rFonts w:ascii="Book Antiqua" w:hAnsi="Book Antiqua"/>
        </w:rPr>
        <w:t>Aapro</w:t>
      </w:r>
      <w:proofErr w:type="spellEnd"/>
      <w:r w:rsidRPr="00260584">
        <w:rPr>
          <w:rFonts w:ascii="Book Antiqua" w:hAnsi="Book Antiqua"/>
        </w:rPr>
        <w:t xml:space="preserve"> M, </w:t>
      </w:r>
      <w:proofErr w:type="spellStart"/>
      <w:r w:rsidRPr="00260584">
        <w:rPr>
          <w:rFonts w:ascii="Book Antiqua" w:hAnsi="Book Antiqua"/>
        </w:rPr>
        <w:t>Gralla</w:t>
      </w:r>
      <w:proofErr w:type="spellEnd"/>
      <w:r w:rsidRPr="00260584">
        <w:rPr>
          <w:rFonts w:ascii="Book Antiqua" w:hAnsi="Book Antiqua"/>
        </w:rPr>
        <w:t xml:space="preserve"> RJ, </w:t>
      </w:r>
      <w:proofErr w:type="spellStart"/>
      <w:r w:rsidRPr="00260584">
        <w:rPr>
          <w:rFonts w:ascii="Book Antiqua" w:hAnsi="Book Antiqua"/>
        </w:rPr>
        <w:t>Bruera</w:t>
      </w:r>
      <w:proofErr w:type="spellEnd"/>
      <w:r w:rsidRPr="00260584">
        <w:rPr>
          <w:rFonts w:ascii="Book Antiqua" w:hAnsi="Book Antiqua"/>
        </w:rPr>
        <w:t xml:space="preserve"> E, Clark-Snow RA, Dupuis LL, Einhorn LH, </w:t>
      </w:r>
      <w:proofErr w:type="spellStart"/>
      <w:r w:rsidRPr="00260584">
        <w:rPr>
          <w:rFonts w:ascii="Book Antiqua" w:hAnsi="Book Antiqua"/>
        </w:rPr>
        <w:t>Feyer</w:t>
      </w:r>
      <w:proofErr w:type="spellEnd"/>
      <w:r w:rsidRPr="00260584">
        <w:rPr>
          <w:rFonts w:ascii="Book Antiqua" w:hAnsi="Book Antiqua"/>
        </w:rPr>
        <w:t xml:space="preserve"> P, </w:t>
      </w:r>
      <w:proofErr w:type="spellStart"/>
      <w:r w:rsidRPr="00260584">
        <w:rPr>
          <w:rFonts w:ascii="Book Antiqua" w:hAnsi="Book Antiqua"/>
        </w:rPr>
        <w:t>Hesketh</w:t>
      </w:r>
      <w:proofErr w:type="spellEnd"/>
      <w:r w:rsidRPr="00260584">
        <w:rPr>
          <w:rFonts w:ascii="Book Antiqua" w:hAnsi="Book Antiqua"/>
        </w:rPr>
        <w:t xml:space="preserve"> PJ, Jordan K, </w:t>
      </w:r>
      <w:proofErr w:type="spellStart"/>
      <w:r w:rsidRPr="00260584">
        <w:rPr>
          <w:rFonts w:ascii="Book Antiqua" w:hAnsi="Book Antiqua"/>
        </w:rPr>
        <w:t>Olver</w:t>
      </w:r>
      <w:proofErr w:type="spellEnd"/>
      <w:r w:rsidRPr="00260584">
        <w:rPr>
          <w:rFonts w:ascii="Book Antiqua" w:hAnsi="Book Antiqua"/>
        </w:rPr>
        <w:t xml:space="preserve"> I, Rapoport BL, Roscoe J, Ruhlmann CH, Walsh D, Warr D, van der </w:t>
      </w:r>
      <w:proofErr w:type="spellStart"/>
      <w:r w:rsidRPr="00260584">
        <w:rPr>
          <w:rFonts w:ascii="Book Antiqua" w:hAnsi="Book Antiqua"/>
        </w:rPr>
        <w:t>Wetering</w:t>
      </w:r>
      <w:proofErr w:type="spellEnd"/>
      <w:r w:rsidRPr="00260584">
        <w:rPr>
          <w:rFonts w:ascii="Book Antiqua" w:hAnsi="Book Antiqua"/>
        </w:rPr>
        <w:t xml:space="preserve"> M; participants of the MASCC/ESMO Consensus Conference Copenhagen 2015. 2016 MASCC and ESMO guideline update for the prevention of chemotherapy- and radiotherapy-induced nausea and vomiting and of nausea and vomiting in advanced cancer patients. </w:t>
      </w:r>
      <w:r w:rsidRPr="00260584">
        <w:rPr>
          <w:rFonts w:ascii="Book Antiqua" w:hAnsi="Book Antiqua"/>
          <w:i/>
          <w:iCs/>
        </w:rPr>
        <w:t>Ann Oncol</w:t>
      </w:r>
      <w:r w:rsidRPr="00260584">
        <w:rPr>
          <w:rFonts w:ascii="Book Antiqua" w:hAnsi="Book Antiqua"/>
        </w:rPr>
        <w:t> 2016; </w:t>
      </w:r>
      <w:r w:rsidRPr="00260584">
        <w:rPr>
          <w:rFonts w:ascii="Book Antiqua" w:hAnsi="Book Antiqua"/>
          <w:b/>
          <w:bCs/>
        </w:rPr>
        <w:t>27</w:t>
      </w:r>
      <w:r w:rsidRPr="00260584">
        <w:rPr>
          <w:rFonts w:ascii="Book Antiqua" w:hAnsi="Book Antiqua"/>
        </w:rPr>
        <w:t>: v119-v133 [PMID: 27664248 DOI: 10.1093/</w:t>
      </w:r>
      <w:proofErr w:type="spellStart"/>
      <w:r w:rsidRPr="00260584">
        <w:rPr>
          <w:rFonts w:ascii="Book Antiqua" w:hAnsi="Book Antiqua"/>
        </w:rPr>
        <w:t>annonc</w:t>
      </w:r>
      <w:proofErr w:type="spellEnd"/>
      <w:r w:rsidRPr="00260584">
        <w:rPr>
          <w:rFonts w:ascii="Book Antiqua" w:hAnsi="Book Antiqua"/>
        </w:rPr>
        <w:t>/mdw270]</w:t>
      </w:r>
    </w:p>
    <w:p w14:paraId="675986AD" w14:textId="0A895636" w:rsidR="00B14535" w:rsidRPr="00260584" w:rsidRDefault="00B274D0"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highlight w:val="yellow"/>
        </w:rPr>
        <w:t xml:space="preserve">9 </w:t>
      </w:r>
      <w:r w:rsidR="00B14535" w:rsidRPr="00260584">
        <w:rPr>
          <w:rFonts w:ascii="Book Antiqua" w:hAnsi="Book Antiqua"/>
          <w:b/>
          <w:highlight w:val="yellow"/>
        </w:rPr>
        <w:t>CDSCO</w:t>
      </w:r>
      <w:r w:rsidR="00B14535" w:rsidRPr="00260584">
        <w:rPr>
          <w:rFonts w:ascii="Book Antiqua" w:hAnsi="Book Antiqua"/>
          <w:highlight w:val="yellow"/>
        </w:rPr>
        <w:t xml:space="preserve">. List of approved drug from 01-01-2015 to 31-01-2015. </w:t>
      </w:r>
      <w:r w:rsidR="00CB4EB0">
        <w:rPr>
          <w:rFonts w:ascii="Book Antiqua" w:hAnsi="Book Antiqua"/>
          <w:highlight w:val="yellow"/>
        </w:rPr>
        <w:t>[a</w:t>
      </w:r>
      <w:r w:rsidR="009F71EB">
        <w:rPr>
          <w:rFonts w:ascii="Book Antiqua" w:hAnsi="Book Antiqua"/>
          <w:highlight w:val="yellow"/>
        </w:rPr>
        <w:t xml:space="preserve">ccessed </w:t>
      </w:r>
      <w:r w:rsidR="00CB4EB0">
        <w:rPr>
          <w:rFonts w:ascii="Book Antiqua" w:hAnsi="Book Antiqua"/>
          <w:highlight w:val="yellow"/>
        </w:rPr>
        <w:t xml:space="preserve">9 December </w:t>
      </w:r>
      <w:r w:rsidR="009F71EB">
        <w:rPr>
          <w:rFonts w:ascii="Book Antiqua" w:hAnsi="Book Antiqua"/>
          <w:highlight w:val="yellow"/>
        </w:rPr>
        <w:t>2019</w:t>
      </w:r>
      <w:r w:rsidR="00CB4EB0">
        <w:rPr>
          <w:rFonts w:ascii="Book Antiqua" w:hAnsi="Book Antiqua"/>
          <w:highlight w:val="yellow"/>
        </w:rPr>
        <w:t>].</w:t>
      </w:r>
      <w:r w:rsidR="009F71EB">
        <w:rPr>
          <w:rFonts w:ascii="Book Antiqua" w:hAnsi="Book Antiqua"/>
        </w:rPr>
        <w:t xml:space="preserve"> </w:t>
      </w:r>
      <w:r w:rsidR="00B14535" w:rsidRPr="00260584">
        <w:rPr>
          <w:rFonts w:ascii="Book Antiqua" w:hAnsi="Book Antiqua"/>
          <w:highlight w:val="yellow"/>
        </w:rPr>
        <w:t xml:space="preserve">Available from </w:t>
      </w:r>
      <w:hyperlink r:id="rId9" w:history="1">
        <w:r w:rsidR="009F71EB" w:rsidRPr="00F56C77">
          <w:rPr>
            <w:rStyle w:val="Hyperlink"/>
            <w:rFonts w:ascii="Book Antiqua" w:hAnsi="Book Antiqua"/>
            <w:highlight w:val="yellow"/>
          </w:rPr>
          <w:t>https://cdsco.gov.in/opencms/resources/UploadCDSCOWeb/2018/UploadApprovalNewDrugs/4_LIST%20OF%20APPROVED%20DRUG%20FROM%2001-01-2015.pdf</w:t>
        </w:r>
      </w:hyperlink>
      <w:r w:rsidR="009F71EB">
        <w:rPr>
          <w:rFonts w:ascii="Book Antiqua" w:hAnsi="Book Antiqua"/>
        </w:rPr>
        <w:t xml:space="preserve"> </w:t>
      </w:r>
    </w:p>
    <w:p w14:paraId="70908E16"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10 </w:t>
      </w:r>
      <w:proofErr w:type="spellStart"/>
      <w:r w:rsidRPr="00260584">
        <w:rPr>
          <w:rFonts w:ascii="Book Antiqua" w:hAnsi="Book Antiqua"/>
          <w:b/>
          <w:bCs/>
        </w:rPr>
        <w:t>Hesketh</w:t>
      </w:r>
      <w:proofErr w:type="spellEnd"/>
      <w:r w:rsidRPr="00260584">
        <w:rPr>
          <w:rFonts w:ascii="Book Antiqua" w:hAnsi="Book Antiqua"/>
          <w:b/>
          <w:bCs/>
        </w:rPr>
        <w:t xml:space="preserve"> PJ</w:t>
      </w:r>
      <w:r w:rsidRPr="00260584">
        <w:rPr>
          <w:rFonts w:ascii="Book Antiqua" w:hAnsi="Book Antiqua"/>
        </w:rPr>
        <w:t xml:space="preserve">, Rossi G, </w:t>
      </w:r>
      <w:proofErr w:type="spellStart"/>
      <w:r w:rsidRPr="00260584">
        <w:rPr>
          <w:rFonts w:ascii="Book Antiqua" w:hAnsi="Book Antiqua"/>
        </w:rPr>
        <w:t>Rizzi</w:t>
      </w:r>
      <w:proofErr w:type="spellEnd"/>
      <w:r w:rsidRPr="00260584">
        <w:rPr>
          <w:rFonts w:ascii="Book Antiqua" w:hAnsi="Book Antiqua"/>
        </w:rPr>
        <w:t xml:space="preserve"> G, Palmas M, </w:t>
      </w:r>
      <w:proofErr w:type="spellStart"/>
      <w:r w:rsidRPr="00260584">
        <w:rPr>
          <w:rFonts w:ascii="Book Antiqua" w:hAnsi="Book Antiqua"/>
        </w:rPr>
        <w:t>Alyasova</w:t>
      </w:r>
      <w:proofErr w:type="spellEnd"/>
      <w:r w:rsidRPr="00260584">
        <w:rPr>
          <w:rFonts w:ascii="Book Antiqua" w:hAnsi="Book Antiqua"/>
        </w:rPr>
        <w:t xml:space="preserve"> A, </w:t>
      </w:r>
      <w:proofErr w:type="spellStart"/>
      <w:r w:rsidRPr="00260584">
        <w:rPr>
          <w:rFonts w:ascii="Book Antiqua" w:hAnsi="Book Antiqua"/>
        </w:rPr>
        <w:t>Bondarenko</w:t>
      </w:r>
      <w:proofErr w:type="spellEnd"/>
      <w:r w:rsidRPr="00260584">
        <w:rPr>
          <w:rFonts w:ascii="Book Antiqua" w:hAnsi="Book Antiqua"/>
        </w:rPr>
        <w:t xml:space="preserve"> I, </w:t>
      </w:r>
      <w:proofErr w:type="spellStart"/>
      <w:r w:rsidRPr="00260584">
        <w:rPr>
          <w:rFonts w:ascii="Book Antiqua" w:hAnsi="Book Antiqua"/>
        </w:rPr>
        <w:t>Lisyanskaya</w:t>
      </w:r>
      <w:proofErr w:type="spellEnd"/>
      <w:r w:rsidRPr="00260584">
        <w:rPr>
          <w:rFonts w:ascii="Book Antiqua" w:hAnsi="Book Antiqua"/>
        </w:rPr>
        <w:t xml:space="preserve"> A, </w:t>
      </w:r>
      <w:proofErr w:type="spellStart"/>
      <w:r w:rsidRPr="00260584">
        <w:rPr>
          <w:rFonts w:ascii="Book Antiqua" w:hAnsi="Book Antiqua"/>
        </w:rPr>
        <w:t>Gralla</w:t>
      </w:r>
      <w:proofErr w:type="spellEnd"/>
      <w:r w:rsidRPr="00260584">
        <w:rPr>
          <w:rFonts w:ascii="Book Antiqua" w:hAnsi="Book Antiqua"/>
        </w:rPr>
        <w:t xml:space="preserve"> RJ. Efficacy and safety of NEPA, an oral combination of </w:t>
      </w:r>
      <w:proofErr w:type="spellStart"/>
      <w:r w:rsidRPr="00260584">
        <w:rPr>
          <w:rFonts w:ascii="Book Antiqua" w:hAnsi="Book Antiqua"/>
        </w:rPr>
        <w:t>netupitant</w:t>
      </w:r>
      <w:proofErr w:type="spellEnd"/>
      <w:r w:rsidRPr="00260584">
        <w:rPr>
          <w:rFonts w:ascii="Book Antiqua" w:hAnsi="Book Antiqua"/>
        </w:rPr>
        <w:t xml:space="preserve"> and palonosetron, for prevention of chemotherapy-induced nausea and vomiting following highly emetogenic chemotherapy: a randomized dose-ranging pivotal study.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1340-1346 [PMID: 24608196 DOI: 10.1093/</w:t>
      </w:r>
      <w:proofErr w:type="spellStart"/>
      <w:r w:rsidRPr="00260584">
        <w:rPr>
          <w:rFonts w:ascii="Book Antiqua" w:hAnsi="Book Antiqua"/>
        </w:rPr>
        <w:t>annonc</w:t>
      </w:r>
      <w:proofErr w:type="spellEnd"/>
      <w:r w:rsidRPr="00260584">
        <w:rPr>
          <w:rFonts w:ascii="Book Antiqua" w:hAnsi="Book Antiqua"/>
        </w:rPr>
        <w:t>/mdu110]</w:t>
      </w:r>
    </w:p>
    <w:p w14:paraId="74A7C9C4"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11 </w:t>
      </w:r>
      <w:proofErr w:type="spellStart"/>
      <w:r w:rsidRPr="00260584">
        <w:rPr>
          <w:rFonts w:ascii="Book Antiqua" w:hAnsi="Book Antiqua"/>
          <w:b/>
          <w:bCs/>
        </w:rPr>
        <w:t>Aapro</w:t>
      </w:r>
      <w:proofErr w:type="spellEnd"/>
      <w:r w:rsidRPr="00260584">
        <w:rPr>
          <w:rFonts w:ascii="Book Antiqua" w:hAnsi="Book Antiqua"/>
          <w:b/>
          <w:bCs/>
        </w:rPr>
        <w:t xml:space="preserve"> MS</w:t>
      </w:r>
      <w:r w:rsidRPr="00260584">
        <w:rPr>
          <w:rFonts w:ascii="Book Antiqua" w:hAnsi="Book Antiqua"/>
        </w:rPr>
        <w:t xml:space="preserve">, Grunberg SM, </w:t>
      </w:r>
      <w:proofErr w:type="spellStart"/>
      <w:r w:rsidRPr="00260584">
        <w:rPr>
          <w:rFonts w:ascii="Book Antiqua" w:hAnsi="Book Antiqua"/>
        </w:rPr>
        <w:t>Manikhas</w:t>
      </w:r>
      <w:proofErr w:type="spellEnd"/>
      <w:r w:rsidRPr="00260584">
        <w:rPr>
          <w:rFonts w:ascii="Book Antiqua" w:hAnsi="Book Antiqua"/>
        </w:rPr>
        <w:t xml:space="preserve"> GM, Olivares G, Suarez T, </w:t>
      </w:r>
      <w:proofErr w:type="spellStart"/>
      <w:r w:rsidRPr="00260584">
        <w:rPr>
          <w:rFonts w:ascii="Book Antiqua" w:hAnsi="Book Antiqua"/>
        </w:rPr>
        <w:t>Tjulandin</w:t>
      </w:r>
      <w:proofErr w:type="spellEnd"/>
      <w:r w:rsidRPr="00260584">
        <w:rPr>
          <w:rFonts w:ascii="Book Antiqua" w:hAnsi="Book Antiqua"/>
        </w:rPr>
        <w:t xml:space="preserve"> SA, </w:t>
      </w:r>
      <w:proofErr w:type="spellStart"/>
      <w:r w:rsidRPr="00260584">
        <w:rPr>
          <w:rFonts w:ascii="Book Antiqua" w:hAnsi="Book Antiqua"/>
        </w:rPr>
        <w:t>Bertoli</w:t>
      </w:r>
      <w:proofErr w:type="spellEnd"/>
      <w:r w:rsidRPr="00260584">
        <w:rPr>
          <w:rFonts w:ascii="Book Antiqua" w:hAnsi="Book Antiqua"/>
        </w:rPr>
        <w:t xml:space="preserve"> LF, </w:t>
      </w:r>
      <w:proofErr w:type="spellStart"/>
      <w:r w:rsidRPr="00260584">
        <w:rPr>
          <w:rFonts w:ascii="Book Antiqua" w:hAnsi="Book Antiqua"/>
        </w:rPr>
        <w:t>Yunus</w:t>
      </w:r>
      <w:proofErr w:type="spellEnd"/>
      <w:r w:rsidRPr="00260584">
        <w:rPr>
          <w:rFonts w:ascii="Book Antiqua" w:hAnsi="Book Antiqua"/>
        </w:rPr>
        <w:t xml:space="preserve"> F, </w:t>
      </w:r>
      <w:proofErr w:type="spellStart"/>
      <w:r w:rsidRPr="00260584">
        <w:rPr>
          <w:rFonts w:ascii="Book Antiqua" w:hAnsi="Book Antiqua"/>
        </w:rPr>
        <w:t>Morrica</w:t>
      </w:r>
      <w:proofErr w:type="spellEnd"/>
      <w:r w:rsidRPr="00260584">
        <w:rPr>
          <w:rFonts w:ascii="Book Antiqua" w:hAnsi="Book Antiqua"/>
        </w:rPr>
        <w:t xml:space="preserve"> B, </w:t>
      </w:r>
      <w:proofErr w:type="spellStart"/>
      <w:r w:rsidRPr="00260584">
        <w:rPr>
          <w:rFonts w:ascii="Book Antiqua" w:hAnsi="Book Antiqua"/>
        </w:rPr>
        <w:t>Lordick</w:t>
      </w:r>
      <w:proofErr w:type="spellEnd"/>
      <w:r w:rsidRPr="00260584">
        <w:rPr>
          <w:rFonts w:ascii="Book Antiqua" w:hAnsi="Book Antiqua"/>
        </w:rPr>
        <w:t xml:space="preserve"> F, </w:t>
      </w:r>
      <w:proofErr w:type="spellStart"/>
      <w:r w:rsidRPr="00260584">
        <w:rPr>
          <w:rFonts w:ascii="Book Antiqua" w:hAnsi="Book Antiqua"/>
        </w:rPr>
        <w:t>Macciocchi</w:t>
      </w:r>
      <w:proofErr w:type="spellEnd"/>
      <w:r w:rsidRPr="00260584">
        <w:rPr>
          <w:rFonts w:ascii="Book Antiqua" w:hAnsi="Book Antiqua"/>
        </w:rPr>
        <w:t xml:space="preserve"> A. A phase III, double-blind, randomized trial of palonosetron compared with ondansetron in preventing chemotherapy-induced nausea and vomiting following highly emetogenic chemotherapy. </w:t>
      </w:r>
      <w:r w:rsidRPr="00260584">
        <w:rPr>
          <w:rFonts w:ascii="Book Antiqua" w:hAnsi="Book Antiqua"/>
          <w:i/>
          <w:iCs/>
        </w:rPr>
        <w:t>Ann Oncol</w:t>
      </w:r>
      <w:r w:rsidRPr="00260584">
        <w:rPr>
          <w:rFonts w:ascii="Book Antiqua" w:hAnsi="Book Antiqua"/>
        </w:rPr>
        <w:t> 2006; </w:t>
      </w:r>
      <w:r w:rsidRPr="00260584">
        <w:rPr>
          <w:rFonts w:ascii="Book Antiqua" w:hAnsi="Book Antiqua"/>
          <w:b/>
          <w:bCs/>
        </w:rPr>
        <w:t>17</w:t>
      </w:r>
      <w:r w:rsidRPr="00260584">
        <w:rPr>
          <w:rFonts w:ascii="Book Antiqua" w:hAnsi="Book Antiqua"/>
        </w:rPr>
        <w:t>: 1441-1449 [PMID: 16766588 DOI: 10.1093/</w:t>
      </w:r>
      <w:proofErr w:type="spellStart"/>
      <w:r w:rsidRPr="00260584">
        <w:rPr>
          <w:rFonts w:ascii="Book Antiqua" w:hAnsi="Book Antiqua"/>
        </w:rPr>
        <w:t>annonc</w:t>
      </w:r>
      <w:proofErr w:type="spellEnd"/>
      <w:r w:rsidRPr="00260584">
        <w:rPr>
          <w:rFonts w:ascii="Book Antiqua" w:hAnsi="Book Antiqua"/>
        </w:rPr>
        <w:t>/mdl137]</w:t>
      </w:r>
    </w:p>
    <w:p w14:paraId="63F45412"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12 </w:t>
      </w:r>
      <w:proofErr w:type="spellStart"/>
      <w:r w:rsidRPr="00260584">
        <w:rPr>
          <w:rFonts w:ascii="Book Antiqua" w:hAnsi="Book Antiqua"/>
          <w:b/>
          <w:bCs/>
        </w:rPr>
        <w:t>Badalamenti</w:t>
      </w:r>
      <w:proofErr w:type="spellEnd"/>
      <w:r w:rsidRPr="00260584">
        <w:rPr>
          <w:rFonts w:ascii="Book Antiqua" w:hAnsi="Book Antiqua"/>
          <w:b/>
          <w:bCs/>
        </w:rPr>
        <w:t xml:space="preserve"> G</w:t>
      </w:r>
      <w:r w:rsidRPr="00260584">
        <w:rPr>
          <w:rFonts w:ascii="Book Antiqua" w:hAnsi="Book Antiqua"/>
        </w:rPr>
        <w:t xml:space="preserve">, </w:t>
      </w:r>
      <w:proofErr w:type="spellStart"/>
      <w:r w:rsidRPr="00260584">
        <w:rPr>
          <w:rFonts w:ascii="Book Antiqua" w:hAnsi="Book Antiqua"/>
        </w:rPr>
        <w:t>Incorvaia</w:t>
      </w:r>
      <w:proofErr w:type="spellEnd"/>
      <w:r w:rsidRPr="00260584">
        <w:rPr>
          <w:rFonts w:ascii="Book Antiqua" w:hAnsi="Book Antiqua"/>
        </w:rPr>
        <w:t xml:space="preserve"> L, Messina C, </w:t>
      </w:r>
      <w:proofErr w:type="spellStart"/>
      <w:r w:rsidRPr="00260584">
        <w:rPr>
          <w:rFonts w:ascii="Book Antiqua" w:hAnsi="Book Antiqua"/>
        </w:rPr>
        <w:t>Musso</w:t>
      </w:r>
      <w:proofErr w:type="spellEnd"/>
      <w:r w:rsidRPr="00260584">
        <w:rPr>
          <w:rFonts w:ascii="Book Antiqua" w:hAnsi="Book Antiqua"/>
        </w:rPr>
        <w:t xml:space="preserve"> E, </w:t>
      </w:r>
      <w:proofErr w:type="spellStart"/>
      <w:r w:rsidRPr="00260584">
        <w:rPr>
          <w:rFonts w:ascii="Book Antiqua" w:hAnsi="Book Antiqua"/>
        </w:rPr>
        <w:t>Casarin</w:t>
      </w:r>
      <w:proofErr w:type="spellEnd"/>
      <w:r w:rsidRPr="00260584">
        <w:rPr>
          <w:rFonts w:ascii="Book Antiqua" w:hAnsi="Book Antiqua"/>
        </w:rPr>
        <w:t xml:space="preserve"> A, Ricciardi MR, De Luca I, Bazan V, Russo A. One shot NEPA plus dexamethasone to prevent </w:t>
      </w:r>
      <w:r w:rsidRPr="00260584">
        <w:rPr>
          <w:rFonts w:ascii="Book Antiqua" w:hAnsi="Book Antiqua"/>
        </w:rPr>
        <w:lastRenderedPageBreak/>
        <w:t>multiple-day chemotherapy in sarcoma patients. </w:t>
      </w:r>
      <w:r w:rsidRPr="00260584">
        <w:rPr>
          <w:rFonts w:ascii="Book Antiqua" w:hAnsi="Book Antiqua"/>
          <w:i/>
          <w:iCs/>
        </w:rPr>
        <w:t>Support Care Cancer</w:t>
      </w:r>
      <w:r w:rsidRPr="00260584">
        <w:rPr>
          <w:rFonts w:ascii="Book Antiqua" w:hAnsi="Book Antiqua"/>
        </w:rPr>
        <w:t> 2019; </w:t>
      </w:r>
      <w:r w:rsidRPr="00260584">
        <w:rPr>
          <w:rFonts w:ascii="Book Antiqua" w:hAnsi="Book Antiqua"/>
          <w:b/>
          <w:bCs/>
        </w:rPr>
        <w:t>27</w:t>
      </w:r>
      <w:r w:rsidRPr="00260584">
        <w:rPr>
          <w:rFonts w:ascii="Book Antiqua" w:hAnsi="Book Antiqua"/>
        </w:rPr>
        <w:t>: 3593-3597 [PMID: 30762142 DOI: 10.1007/s00520-019-4645-3]</w:t>
      </w:r>
    </w:p>
    <w:p w14:paraId="2F4A17B9"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13 </w:t>
      </w:r>
      <w:proofErr w:type="spellStart"/>
      <w:r w:rsidRPr="00260584">
        <w:rPr>
          <w:rFonts w:ascii="Book Antiqua" w:hAnsi="Book Antiqua"/>
          <w:b/>
          <w:bCs/>
        </w:rPr>
        <w:t>Aapro</w:t>
      </w:r>
      <w:proofErr w:type="spellEnd"/>
      <w:r w:rsidRPr="00260584">
        <w:rPr>
          <w:rFonts w:ascii="Book Antiqua" w:hAnsi="Book Antiqua"/>
          <w:b/>
          <w:bCs/>
        </w:rPr>
        <w:t xml:space="preserve"> M</w:t>
      </w:r>
      <w:r w:rsidRPr="00260584">
        <w:rPr>
          <w:rFonts w:ascii="Book Antiqua" w:hAnsi="Book Antiqua"/>
        </w:rPr>
        <w:t xml:space="preserve">, </w:t>
      </w:r>
      <w:proofErr w:type="spellStart"/>
      <w:r w:rsidRPr="00260584">
        <w:rPr>
          <w:rFonts w:ascii="Book Antiqua" w:hAnsi="Book Antiqua"/>
        </w:rPr>
        <w:t>Rugo</w:t>
      </w:r>
      <w:proofErr w:type="spellEnd"/>
      <w:r w:rsidRPr="00260584">
        <w:rPr>
          <w:rFonts w:ascii="Book Antiqua" w:hAnsi="Book Antiqua"/>
        </w:rPr>
        <w:t xml:space="preserve"> H, Rossi G, </w:t>
      </w:r>
      <w:proofErr w:type="spellStart"/>
      <w:r w:rsidRPr="00260584">
        <w:rPr>
          <w:rFonts w:ascii="Book Antiqua" w:hAnsi="Book Antiqua"/>
        </w:rPr>
        <w:t>Rizzi</w:t>
      </w:r>
      <w:proofErr w:type="spellEnd"/>
      <w:r w:rsidRPr="00260584">
        <w:rPr>
          <w:rFonts w:ascii="Book Antiqua" w:hAnsi="Book Antiqua"/>
        </w:rPr>
        <w:t xml:space="preserve"> G, </w:t>
      </w:r>
      <w:proofErr w:type="spellStart"/>
      <w:r w:rsidRPr="00260584">
        <w:rPr>
          <w:rFonts w:ascii="Book Antiqua" w:hAnsi="Book Antiqua"/>
        </w:rPr>
        <w:t>Borroni</w:t>
      </w:r>
      <w:proofErr w:type="spellEnd"/>
      <w:r w:rsidRPr="00260584">
        <w:rPr>
          <w:rFonts w:ascii="Book Antiqua" w:hAnsi="Book Antiqua"/>
        </w:rPr>
        <w:t xml:space="preserve"> ME, </w:t>
      </w:r>
      <w:proofErr w:type="spellStart"/>
      <w:r w:rsidRPr="00260584">
        <w:rPr>
          <w:rFonts w:ascii="Book Antiqua" w:hAnsi="Book Antiqua"/>
        </w:rPr>
        <w:t>Bondarenko</w:t>
      </w:r>
      <w:proofErr w:type="spellEnd"/>
      <w:r w:rsidRPr="00260584">
        <w:rPr>
          <w:rFonts w:ascii="Book Antiqua" w:hAnsi="Book Antiqua"/>
        </w:rPr>
        <w:t xml:space="preserve"> I, </w:t>
      </w:r>
      <w:proofErr w:type="spellStart"/>
      <w:r w:rsidRPr="00260584">
        <w:rPr>
          <w:rFonts w:ascii="Book Antiqua" w:hAnsi="Book Antiqua"/>
        </w:rPr>
        <w:t>Sarosiek</w:t>
      </w:r>
      <w:proofErr w:type="spellEnd"/>
      <w:r w:rsidRPr="00260584">
        <w:rPr>
          <w:rFonts w:ascii="Book Antiqua" w:hAnsi="Book Antiqua"/>
        </w:rPr>
        <w:t xml:space="preserve"> T, </w:t>
      </w:r>
      <w:proofErr w:type="spellStart"/>
      <w:r w:rsidRPr="00260584">
        <w:rPr>
          <w:rFonts w:ascii="Book Antiqua" w:hAnsi="Book Antiqua"/>
        </w:rPr>
        <w:t>Oprean</w:t>
      </w:r>
      <w:proofErr w:type="spellEnd"/>
      <w:r w:rsidRPr="00260584">
        <w:rPr>
          <w:rFonts w:ascii="Book Antiqua" w:hAnsi="Book Antiqua"/>
        </w:rPr>
        <w:t xml:space="preserve"> C, Cardona-Huerta S, </w:t>
      </w:r>
      <w:proofErr w:type="spellStart"/>
      <w:r w:rsidRPr="00260584">
        <w:rPr>
          <w:rFonts w:ascii="Book Antiqua" w:hAnsi="Book Antiqua"/>
        </w:rPr>
        <w:t>Lorusso</w:t>
      </w:r>
      <w:proofErr w:type="spellEnd"/>
      <w:r w:rsidRPr="00260584">
        <w:rPr>
          <w:rFonts w:ascii="Book Antiqua" w:hAnsi="Book Antiqua"/>
        </w:rPr>
        <w:t xml:space="preserve"> V, </w:t>
      </w:r>
      <w:proofErr w:type="spellStart"/>
      <w:r w:rsidRPr="00260584">
        <w:rPr>
          <w:rFonts w:ascii="Book Antiqua" w:hAnsi="Book Antiqua"/>
        </w:rPr>
        <w:t>Karthaus</w:t>
      </w:r>
      <w:proofErr w:type="spellEnd"/>
      <w:r w:rsidRPr="00260584">
        <w:rPr>
          <w:rFonts w:ascii="Book Antiqua" w:hAnsi="Book Antiqua"/>
        </w:rPr>
        <w:t xml:space="preserve"> M, Schwartzberg L, Grunberg S. A randomized phase III study evaluating the efficacy and safety of NEPA, a fixed-dose combination of </w:t>
      </w:r>
      <w:proofErr w:type="spellStart"/>
      <w:r w:rsidRPr="00260584">
        <w:rPr>
          <w:rFonts w:ascii="Book Antiqua" w:hAnsi="Book Antiqua"/>
        </w:rPr>
        <w:t>netupitant</w:t>
      </w:r>
      <w:proofErr w:type="spellEnd"/>
      <w:r w:rsidRPr="00260584">
        <w:rPr>
          <w:rFonts w:ascii="Book Antiqua" w:hAnsi="Book Antiqua"/>
        </w:rPr>
        <w:t xml:space="preserve"> and palonosetron, for prevention of chemotherapy-induced nausea and vomiting following moderately emetogenic chemotherapy.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1328-1333 [PMID: 24603643 DOI: 10.1093/</w:t>
      </w:r>
      <w:proofErr w:type="spellStart"/>
      <w:r w:rsidRPr="00260584">
        <w:rPr>
          <w:rFonts w:ascii="Book Antiqua" w:hAnsi="Book Antiqua"/>
        </w:rPr>
        <w:t>annonc</w:t>
      </w:r>
      <w:proofErr w:type="spellEnd"/>
      <w:r w:rsidRPr="00260584">
        <w:rPr>
          <w:rFonts w:ascii="Book Antiqua" w:hAnsi="Book Antiqua"/>
        </w:rPr>
        <w:t>/mdu101]</w:t>
      </w:r>
    </w:p>
    <w:p w14:paraId="487CDE3C"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14 </w:t>
      </w:r>
      <w:proofErr w:type="spellStart"/>
      <w:r w:rsidRPr="00260584">
        <w:rPr>
          <w:rFonts w:ascii="Book Antiqua" w:hAnsi="Book Antiqua"/>
          <w:b/>
          <w:bCs/>
        </w:rPr>
        <w:t>Hesketh</w:t>
      </w:r>
      <w:proofErr w:type="spellEnd"/>
      <w:r w:rsidRPr="00260584">
        <w:rPr>
          <w:rFonts w:ascii="Book Antiqua" w:hAnsi="Book Antiqua"/>
          <w:b/>
          <w:bCs/>
        </w:rPr>
        <w:t xml:space="preserve"> PJ</w:t>
      </w:r>
      <w:r w:rsidRPr="00260584">
        <w:rPr>
          <w:rFonts w:ascii="Book Antiqua" w:hAnsi="Book Antiqua"/>
        </w:rPr>
        <w:t>. Chemotherapy-induced nausea and vomiting. </w:t>
      </w:r>
      <w:r w:rsidRPr="00260584">
        <w:rPr>
          <w:rFonts w:ascii="Book Antiqua" w:hAnsi="Book Antiqua"/>
          <w:i/>
          <w:iCs/>
        </w:rPr>
        <w:t xml:space="preserve">N </w:t>
      </w:r>
      <w:proofErr w:type="spellStart"/>
      <w:r w:rsidRPr="00260584">
        <w:rPr>
          <w:rFonts w:ascii="Book Antiqua" w:hAnsi="Book Antiqua"/>
          <w:i/>
          <w:iCs/>
        </w:rPr>
        <w:t>Engl</w:t>
      </w:r>
      <w:proofErr w:type="spellEnd"/>
      <w:r w:rsidRPr="00260584">
        <w:rPr>
          <w:rFonts w:ascii="Book Antiqua" w:hAnsi="Book Antiqua"/>
          <w:i/>
          <w:iCs/>
        </w:rPr>
        <w:t xml:space="preserve"> J Med</w:t>
      </w:r>
      <w:r w:rsidRPr="00260584">
        <w:rPr>
          <w:rFonts w:ascii="Book Antiqua" w:hAnsi="Book Antiqua"/>
        </w:rPr>
        <w:t> 2008; </w:t>
      </w:r>
      <w:r w:rsidRPr="00260584">
        <w:rPr>
          <w:rFonts w:ascii="Book Antiqua" w:hAnsi="Book Antiqua"/>
          <w:b/>
          <w:bCs/>
        </w:rPr>
        <w:t>358</w:t>
      </w:r>
      <w:r w:rsidRPr="00260584">
        <w:rPr>
          <w:rFonts w:ascii="Book Antiqua" w:hAnsi="Book Antiqua"/>
        </w:rPr>
        <w:t>: 2482-2494 [PMID: 18525044 DOI: 10.1056/NEJMra0706547]</w:t>
      </w:r>
    </w:p>
    <w:p w14:paraId="79668F51"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15 </w:t>
      </w:r>
      <w:r w:rsidRPr="00260584">
        <w:rPr>
          <w:rFonts w:ascii="Book Antiqua" w:hAnsi="Book Antiqua"/>
          <w:b/>
          <w:bCs/>
        </w:rPr>
        <w:t>Sun CC</w:t>
      </w:r>
      <w:r w:rsidRPr="00260584">
        <w:rPr>
          <w:rFonts w:ascii="Book Antiqua" w:hAnsi="Book Antiqua"/>
        </w:rPr>
        <w:t xml:space="preserve">, </w:t>
      </w:r>
      <w:proofErr w:type="spellStart"/>
      <w:r w:rsidRPr="00260584">
        <w:rPr>
          <w:rFonts w:ascii="Book Antiqua" w:hAnsi="Book Antiqua"/>
        </w:rPr>
        <w:t>Bodurka</w:t>
      </w:r>
      <w:proofErr w:type="spellEnd"/>
      <w:r w:rsidRPr="00260584">
        <w:rPr>
          <w:rFonts w:ascii="Book Antiqua" w:hAnsi="Book Antiqua"/>
        </w:rPr>
        <w:t xml:space="preserve"> DC, Weaver CB, </w:t>
      </w:r>
      <w:proofErr w:type="spellStart"/>
      <w:r w:rsidRPr="00260584">
        <w:rPr>
          <w:rFonts w:ascii="Book Antiqua" w:hAnsi="Book Antiqua"/>
        </w:rPr>
        <w:t>Rasu</w:t>
      </w:r>
      <w:proofErr w:type="spellEnd"/>
      <w:r w:rsidRPr="00260584">
        <w:rPr>
          <w:rFonts w:ascii="Book Antiqua" w:hAnsi="Book Antiqua"/>
        </w:rPr>
        <w:t xml:space="preserve"> R, Wolf JK, Bevers MW, Smith JA, Wharton JT, Rubenstein EB. Rankings and symptom assessments of side effects from chemotherapy: insights from experienced patients with ovarian cancer. </w:t>
      </w:r>
      <w:r w:rsidRPr="00260584">
        <w:rPr>
          <w:rFonts w:ascii="Book Antiqua" w:hAnsi="Book Antiqua"/>
          <w:i/>
          <w:iCs/>
        </w:rPr>
        <w:t>Support Care Cancer</w:t>
      </w:r>
      <w:r w:rsidRPr="00260584">
        <w:rPr>
          <w:rFonts w:ascii="Book Antiqua" w:hAnsi="Book Antiqua"/>
        </w:rPr>
        <w:t> 2005; </w:t>
      </w:r>
      <w:r w:rsidRPr="00260584">
        <w:rPr>
          <w:rFonts w:ascii="Book Antiqua" w:hAnsi="Book Antiqua"/>
          <w:b/>
          <w:bCs/>
        </w:rPr>
        <w:t>13</w:t>
      </w:r>
      <w:r w:rsidRPr="00260584">
        <w:rPr>
          <w:rFonts w:ascii="Book Antiqua" w:hAnsi="Book Antiqua"/>
        </w:rPr>
        <w:t>: 219-227 [PMID: 15538640 DOI: 10.1007/s00520-004-0710-6]</w:t>
      </w:r>
    </w:p>
    <w:p w14:paraId="6E95095D"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16 </w:t>
      </w:r>
      <w:proofErr w:type="spellStart"/>
      <w:r w:rsidRPr="00260584">
        <w:rPr>
          <w:rFonts w:ascii="Book Antiqua" w:hAnsi="Book Antiqua"/>
          <w:b/>
          <w:bCs/>
        </w:rPr>
        <w:t>Hilarius</w:t>
      </w:r>
      <w:proofErr w:type="spellEnd"/>
      <w:r w:rsidRPr="00260584">
        <w:rPr>
          <w:rFonts w:ascii="Book Antiqua" w:hAnsi="Book Antiqua"/>
          <w:b/>
          <w:bCs/>
        </w:rPr>
        <w:t xml:space="preserve"> DL</w:t>
      </w:r>
      <w:r w:rsidRPr="00260584">
        <w:rPr>
          <w:rFonts w:ascii="Book Antiqua" w:hAnsi="Book Antiqua"/>
        </w:rPr>
        <w:t xml:space="preserve">, </w:t>
      </w:r>
      <w:proofErr w:type="spellStart"/>
      <w:r w:rsidRPr="00260584">
        <w:rPr>
          <w:rFonts w:ascii="Book Antiqua" w:hAnsi="Book Antiqua"/>
        </w:rPr>
        <w:t>Kloeg</w:t>
      </w:r>
      <w:proofErr w:type="spellEnd"/>
      <w:r w:rsidRPr="00260584">
        <w:rPr>
          <w:rFonts w:ascii="Book Antiqua" w:hAnsi="Book Antiqua"/>
        </w:rPr>
        <w:t xml:space="preserve"> PH, van der Wall E, van den Heuvel JJ, Gundy CM, Aaronson NK. Chemotherapy-induced nausea and vomiting in daily clinical practice: a community hospital-based study. </w:t>
      </w:r>
      <w:r w:rsidRPr="00260584">
        <w:rPr>
          <w:rFonts w:ascii="Book Antiqua" w:hAnsi="Book Antiqua"/>
          <w:i/>
          <w:iCs/>
        </w:rPr>
        <w:t>Support Care Cancer</w:t>
      </w:r>
      <w:r w:rsidRPr="00260584">
        <w:rPr>
          <w:rFonts w:ascii="Book Antiqua" w:hAnsi="Book Antiqua"/>
        </w:rPr>
        <w:t> 2012; </w:t>
      </w:r>
      <w:r w:rsidRPr="00260584">
        <w:rPr>
          <w:rFonts w:ascii="Book Antiqua" w:hAnsi="Book Antiqua"/>
          <w:b/>
          <w:bCs/>
        </w:rPr>
        <w:t>20</w:t>
      </w:r>
      <w:r w:rsidRPr="00260584">
        <w:rPr>
          <w:rFonts w:ascii="Book Antiqua" w:hAnsi="Book Antiqua"/>
        </w:rPr>
        <w:t>: 107-117 [PMID: 21258948 DOI: 10.1007/s00520-010-1073-9]</w:t>
      </w:r>
    </w:p>
    <w:p w14:paraId="66952733"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17 </w:t>
      </w:r>
      <w:r w:rsidRPr="00260584">
        <w:rPr>
          <w:rFonts w:ascii="Book Antiqua" w:hAnsi="Book Antiqua"/>
          <w:b/>
          <w:bCs/>
        </w:rPr>
        <w:t>Craver C</w:t>
      </w:r>
      <w:r w:rsidRPr="00260584">
        <w:rPr>
          <w:rFonts w:ascii="Book Antiqua" w:hAnsi="Book Antiqua"/>
        </w:rPr>
        <w:t xml:space="preserve">, Gayle J, </w:t>
      </w:r>
      <w:proofErr w:type="spellStart"/>
      <w:r w:rsidRPr="00260584">
        <w:rPr>
          <w:rFonts w:ascii="Book Antiqua" w:hAnsi="Book Antiqua"/>
        </w:rPr>
        <w:t>Balu</w:t>
      </w:r>
      <w:proofErr w:type="spellEnd"/>
      <w:r w:rsidRPr="00260584">
        <w:rPr>
          <w:rFonts w:ascii="Book Antiqua" w:hAnsi="Book Antiqua"/>
        </w:rPr>
        <w:t xml:space="preserve"> S, Buchner D. Clinical and economic burden of chemotherapy-induced nausea and vomiting among patients with cancer in a hospital outpatient setting in the United States. </w:t>
      </w:r>
      <w:r w:rsidRPr="00260584">
        <w:rPr>
          <w:rFonts w:ascii="Book Antiqua" w:hAnsi="Book Antiqua"/>
          <w:i/>
          <w:iCs/>
        </w:rPr>
        <w:t>J Med Econ</w:t>
      </w:r>
      <w:r w:rsidRPr="00260584">
        <w:rPr>
          <w:rFonts w:ascii="Book Antiqua" w:hAnsi="Book Antiqua"/>
        </w:rPr>
        <w:t> 2011; </w:t>
      </w:r>
      <w:r w:rsidRPr="00260584">
        <w:rPr>
          <w:rFonts w:ascii="Book Antiqua" w:hAnsi="Book Antiqua"/>
          <w:b/>
          <w:bCs/>
        </w:rPr>
        <w:t>14</w:t>
      </w:r>
      <w:r w:rsidRPr="00260584">
        <w:rPr>
          <w:rFonts w:ascii="Book Antiqua" w:hAnsi="Book Antiqua"/>
        </w:rPr>
        <w:t>: 87-98 [PMID: 21241160 DOI: 10.3111/13696998.2010.547237]</w:t>
      </w:r>
    </w:p>
    <w:p w14:paraId="030DB775"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t>18 </w:t>
      </w:r>
      <w:proofErr w:type="spellStart"/>
      <w:r w:rsidRPr="00260584">
        <w:rPr>
          <w:rFonts w:ascii="Book Antiqua" w:hAnsi="Book Antiqua"/>
          <w:b/>
          <w:bCs/>
        </w:rPr>
        <w:t>Gralla</w:t>
      </w:r>
      <w:proofErr w:type="spellEnd"/>
      <w:r w:rsidRPr="00260584">
        <w:rPr>
          <w:rFonts w:ascii="Book Antiqua" w:hAnsi="Book Antiqua"/>
          <w:b/>
          <w:bCs/>
        </w:rPr>
        <w:t xml:space="preserve"> RJ</w:t>
      </w:r>
      <w:r w:rsidRPr="00260584">
        <w:rPr>
          <w:rFonts w:ascii="Book Antiqua" w:hAnsi="Book Antiqua"/>
        </w:rPr>
        <w:t xml:space="preserve">, </w:t>
      </w:r>
      <w:proofErr w:type="spellStart"/>
      <w:r w:rsidRPr="00260584">
        <w:rPr>
          <w:rFonts w:ascii="Book Antiqua" w:hAnsi="Book Antiqua"/>
        </w:rPr>
        <w:t>Bosnjak</w:t>
      </w:r>
      <w:proofErr w:type="spellEnd"/>
      <w:r w:rsidRPr="00260584">
        <w:rPr>
          <w:rFonts w:ascii="Book Antiqua" w:hAnsi="Book Antiqua"/>
        </w:rPr>
        <w:t xml:space="preserve"> SM, </w:t>
      </w:r>
      <w:proofErr w:type="spellStart"/>
      <w:r w:rsidRPr="00260584">
        <w:rPr>
          <w:rFonts w:ascii="Book Antiqua" w:hAnsi="Book Antiqua"/>
        </w:rPr>
        <w:t>Hontsa</w:t>
      </w:r>
      <w:proofErr w:type="spellEnd"/>
      <w:r w:rsidRPr="00260584">
        <w:rPr>
          <w:rFonts w:ascii="Book Antiqua" w:hAnsi="Book Antiqua"/>
        </w:rPr>
        <w:t xml:space="preserve"> A, </w:t>
      </w:r>
      <w:proofErr w:type="spellStart"/>
      <w:r w:rsidRPr="00260584">
        <w:rPr>
          <w:rFonts w:ascii="Book Antiqua" w:hAnsi="Book Antiqua"/>
        </w:rPr>
        <w:t>Balser</w:t>
      </w:r>
      <w:proofErr w:type="spellEnd"/>
      <w:r w:rsidRPr="00260584">
        <w:rPr>
          <w:rFonts w:ascii="Book Antiqua" w:hAnsi="Book Antiqua"/>
        </w:rPr>
        <w:t xml:space="preserve"> C, </w:t>
      </w:r>
      <w:proofErr w:type="spellStart"/>
      <w:r w:rsidRPr="00260584">
        <w:rPr>
          <w:rFonts w:ascii="Book Antiqua" w:hAnsi="Book Antiqua"/>
        </w:rPr>
        <w:t>Rizzi</w:t>
      </w:r>
      <w:proofErr w:type="spellEnd"/>
      <w:r w:rsidRPr="00260584">
        <w:rPr>
          <w:rFonts w:ascii="Book Antiqua" w:hAnsi="Book Antiqua"/>
        </w:rPr>
        <w:t xml:space="preserve"> G, Rossi G, </w:t>
      </w:r>
      <w:proofErr w:type="spellStart"/>
      <w:r w:rsidRPr="00260584">
        <w:rPr>
          <w:rFonts w:ascii="Book Antiqua" w:hAnsi="Book Antiqua"/>
        </w:rPr>
        <w:t>Borroni</w:t>
      </w:r>
      <w:proofErr w:type="spellEnd"/>
      <w:r w:rsidRPr="00260584">
        <w:rPr>
          <w:rFonts w:ascii="Book Antiqua" w:hAnsi="Book Antiqua"/>
        </w:rPr>
        <w:t xml:space="preserve"> ME, Jordan K. A phase III study evaluating the safety and efficacy of NEPA, a fixed-dose combination of </w:t>
      </w:r>
      <w:proofErr w:type="spellStart"/>
      <w:r w:rsidRPr="00260584">
        <w:rPr>
          <w:rFonts w:ascii="Book Antiqua" w:hAnsi="Book Antiqua"/>
        </w:rPr>
        <w:t>netupitant</w:t>
      </w:r>
      <w:proofErr w:type="spellEnd"/>
      <w:r w:rsidRPr="00260584">
        <w:rPr>
          <w:rFonts w:ascii="Book Antiqua" w:hAnsi="Book Antiqua"/>
        </w:rPr>
        <w:t xml:space="preserve"> and palonosetron, for prevention of chemotherapy-induced nausea and vomiting over repeated cycles of chemotherapy. </w:t>
      </w:r>
      <w:r w:rsidRPr="00260584">
        <w:rPr>
          <w:rFonts w:ascii="Book Antiqua" w:hAnsi="Book Antiqua"/>
          <w:i/>
          <w:iCs/>
        </w:rPr>
        <w:t>Ann Oncol</w:t>
      </w:r>
      <w:r w:rsidRPr="00260584">
        <w:rPr>
          <w:rFonts w:ascii="Book Antiqua" w:hAnsi="Book Antiqua"/>
        </w:rPr>
        <w:t> 2014; </w:t>
      </w:r>
      <w:r w:rsidRPr="00260584">
        <w:rPr>
          <w:rFonts w:ascii="Book Antiqua" w:hAnsi="Book Antiqua"/>
          <w:b/>
          <w:bCs/>
        </w:rPr>
        <w:t>25</w:t>
      </w:r>
      <w:r w:rsidRPr="00260584">
        <w:rPr>
          <w:rFonts w:ascii="Book Antiqua" w:hAnsi="Book Antiqua"/>
        </w:rPr>
        <w:t>: 1333-1339 [PMID: 24631949 DOI: 10.1093/</w:t>
      </w:r>
      <w:proofErr w:type="spellStart"/>
      <w:r w:rsidRPr="00260584">
        <w:rPr>
          <w:rFonts w:ascii="Book Antiqua" w:hAnsi="Book Antiqua"/>
        </w:rPr>
        <w:t>annonc</w:t>
      </w:r>
      <w:proofErr w:type="spellEnd"/>
      <w:r w:rsidRPr="00260584">
        <w:rPr>
          <w:rFonts w:ascii="Book Antiqua" w:hAnsi="Book Antiqua"/>
        </w:rPr>
        <w:t>/mdu096]</w:t>
      </w:r>
    </w:p>
    <w:p w14:paraId="4043B482" w14:textId="77777777" w:rsidR="00B14535" w:rsidRPr="00260584" w:rsidRDefault="00B14535" w:rsidP="00260584">
      <w:pPr>
        <w:pStyle w:val="NormalWeb"/>
        <w:shd w:val="clear" w:color="auto" w:fill="FFFFFF"/>
        <w:adjustRightInd w:val="0"/>
        <w:snapToGrid w:val="0"/>
        <w:spacing w:before="0" w:beforeAutospacing="0" w:after="0" w:afterAutospacing="0" w:line="360" w:lineRule="auto"/>
        <w:jc w:val="both"/>
        <w:rPr>
          <w:rFonts w:ascii="Book Antiqua" w:hAnsi="Book Antiqua"/>
        </w:rPr>
      </w:pPr>
      <w:r w:rsidRPr="00260584">
        <w:rPr>
          <w:rFonts w:ascii="Book Antiqua" w:hAnsi="Book Antiqua"/>
        </w:rPr>
        <w:lastRenderedPageBreak/>
        <w:t>19 </w:t>
      </w:r>
      <w:r w:rsidRPr="00260584">
        <w:rPr>
          <w:rFonts w:ascii="Book Antiqua" w:hAnsi="Book Antiqua"/>
          <w:b/>
          <w:bCs/>
        </w:rPr>
        <w:t>Hendricks CB</w:t>
      </w:r>
      <w:r w:rsidRPr="00260584">
        <w:rPr>
          <w:rFonts w:ascii="Book Antiqua" w:hAnsi="Book Antiqua"/>
        </w:rPr>
        <w:t>. Improving adherence with oral antiemetic agents in patients with breast cancer receiving chemotherapy. </w:t>
      </w:r>
      <w:r w:rsidRPr="00260584">
        <w:rPr>
          <w:rFonts w:ascii="Book Antiqua" w:hAnsi="Book Antiqua"/>
          <w:i/>
          <w:iCs/>
        </w:rPr>
        <w:t xml:space="preserve">J Oncol </w:t>
      </w:r>
      <w:proofErr w:type="spellStart"/>
      <w:r w:rsidRPr="00260584">
        <w:rPr>
          <w:rFonts w:ascii="Book Antiqua" w:hAnsi="Book Antiqua"/>
          <w:i/>
          <w:iCs/>
        </w:rPr>
        <w:t>Pract</w:t>
      </w:r>
      <w:proofErr w:type="spellEnd"/>
      <w:r w:rsidRPr="00260584">
        <w:rPr>
          <w:rFonts w:ascii="Book Antiqua" w:hAnsi="Book Antiqua"/>
        </w:rPr>
        <w:t> 2015; </w:t>
      </w:r>
      <w:r w:rsidRPr="00260584">
        <w:rPr>
          <w:rFonts w:ascii="Book Antiqua" w:hAnsi="Book Antiqua"/>
          <w:b/>
          <w:bCs/>
        </w:rPr>
        <w:t>11</w:t>
      </w:r>
      <w:r w:rsidRPr="00260584">
        <w:rPr>
          <w:rFonts w:ascii="Book Antiqua" w:hAnsi="Book Antiqua"/>
        </w:rPr>
        <w:t>: 216-218 [PMID: 25873057 DOI: 10.1200/JOP.2015.004234]</w:t>
      </w:r>
    </w:p>
    <w:p w14:paraId="46145CA2" w14:textId="77777777" w:rsidR="00EB07FD" w:rsidRPr="00260584" w:rsidRDefault="00EB07FD" w:rsidP="00260584">
      <w:pPr>
        <w:adjustRightInd w:val="0"/>
        <w:snapToGrid w:val="0"/>
        <w:spacing w:after="0" w:line="360" w:lineRule="auto"/>
        <w:jc w:val="both"/>
        <w:rPr>
          <w:rFonts w:ascii="Book Antiqua" w:hAnsi="Book Antiqua"/>
          <w:sz w:val="24"/>
          <w:szCs w:val="24"/>
        </w:rPr>
      </w:pPr>
      <w:r w:rsidRPr="00260584">
        <w:rPr>
          <w:rFonts w:ascii="Book Antiqua" w:hAnsi="Book Antiqua"/>
          <w:sz w:val="24"/>
          <w:szCs w:val="24"/>
        </w:rPr>
        <w:br w:type="page"/>
      </w:r>
    </w:p>
    <w:p w14:paraId="6DA4D53B" w14:textId="77777777"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lastRenderedPageBreak/>
        <w:t>Footnotes</w:t>
      </w:r>
    </w:p>
    <w:p w14:paraId="679533D7" w14:textId="72DBFE5B"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Institutional review board statement</w:t>
      </w:r>
      <w:r w:rsidRPr="00260584">
        <w:rPr>
          <w:rFonts w:ascii="Book Antiqua" w:hAnsi="Book Antiqua"/>
          <w:b/>
          <w:bCs/>
          <w:iCs/>
          <w:color w:val="000000"/>
          <w:sz w:val="24"/>
          <w:szCs w:val="24"/>
        </w:rPr>
        <w:t xml:space="preserve">: </w:t>
      </w:r>
      <w:r w:rsidRPr="00260584">
        <w:rPr>
          <w:rFonts w:ascii="Book Antiqua" w:hAnsi="Book Antiqua" w:cs="Times New Roman"/>
          <w:bCs/>
          <w:sz w:val="24"/>
          <w:szCs w:val="24"/>
        </w:rPr>
        <w:t>The study was reviewed and approved</w:t>
      </w:r>
      <w:r w:rsidR="00D3292A" w:rsidRPr="00260584">
        <w:rPr>
          <w:rFonts w:ascii="Book Antiqua" w:hAnsi="Book Antiqua" w:cs="Times New Roman"/>
          <w:bCs/>
          <w:sz w:val="24"/>
          <w:szCs w:val="24"/>
        </w:rPr>
        <w:t xml:space="preserve"> </w:t>
      </w:r>
      <w:r w:rsidRPr="00260584">
        <w:rPr>
          <w:rFonts w:ascii="Book Antiqua" w:hAnsi="Book Antiqua" w:cs="Times New Roman"/>
          <w:bCs/>
          <w:sz w:val="24"/>
          <w:szCs w:val="24"/>
        </w:rPr>
        <w:t xml:space="preserve">by the ethics committee at the </w:t>
      </w:r>
      <w:proofErr w:type="spellStart"/>
      <w:r w:rsidRPr="00260584">
        <w:rPr>
          <w:rFonts w:ascii="Book Antiqua" w:hAnsi="Book Antiqua" w:cs="Times New Roman"/>
          <w:bCs/>
          <w:sz w:val="24"/>
          <w:szCs w:val="24"/>
        </w:rPr>
        <w:t>St.Theresa's</w:t>
      </w:r>
      <w:proofErr w:type="spellEnd"/>
      <w:r w:rsidRPr="00260584">
        <w:rPr>
          <w:rFonts w:ascii="Book Antiqua" w:hAnsi="Book Antiqua" w:cs="Times New Roman"/>
          <w:bCs/>
          <w:sz w:val="24"/>
          <w:szCs w:val="24"/>
        </w:rPr>
        <w:t xml:space="preserve"> hospital Library.</w:t>
      </w:r>
    </w:p>
    <w:p w14:paraId="3CF703F2" w14:textId="77777777" w:rsidR="00B274D0" w:rsidRPr="00260584" w:rsidRDefault="00B274D0" w:rsidP="00260584">
      <w:pPr>
        <w:pStyle w:val="1"/>
        <w:adjustRightInd w:val="0"/>
        <w:snapToGrid w:val="0"/>
        <w:spacing w:line="360" w:lineRule="auto"/>
        <w:jc w:val="both"/>
        <w:rPr>
          <w:rFonts w:ascii="Book Antiqua" w:hAnsi="Book Antiqua"/>
          <w:b/>
          <w:sz w:val="24"/>
          <w:szCs w:val="24"/>
        </w:rPr>
      </w:pPr>
    </w:p>
    <w:p w14:paraId="3CDF07F5" w14:textId="77777777" w:rsidR="00EB07FD" w:rsidRPr="00260584" w:rsidRDefault="00EB07FD" w:rsidP="00260584">
      <w:pPr>
        <w:pStyle w:val="1"/>
        <w:adjustRightInd w:val="0"/>
        <w:snapToGrid w:val="0"/>
        <w:spacing w:line="360" w:lineRule="auto"/>
        <w:jc w:val="both"/>
        <w:rPr>
          <w:rFonts w:ascii="Book Antiqua" w:eastAsiaTheme="minorEastAsia" w:hAnsi="Book Antiqua" w:cs="Times New Roman"/>
          <w:bCs/>
          <w:color w:val="auto"/>
          <w:sz w:val="24"/>
          <w:szCs w:val="24"/>
          <w:lang w:val="en-GB" w:eastAsia="en-US"/>
        </w:rPr>
      </w:pPr>
      <w:r w:rsidRPr="00260584">
        <w:rPr>
          <w:rFonts w:ascii="Book Antiqua" w:hAnsi="Book Antiqua"/>
          <w:b/>
          <w:sz w:val="24"/>
          <w:szCs w:val="24"/>
        </w:rPr>
        <w:t>Informed consent statement</w:t>
      </w:r>
      <w:r w:rsidRPr="00260584">
        <w:rPr>
          <w:rFonts w:ascii="Book Antiqua" w:hAnsi="Book Antiqua"/>
          <w:b/>
          <w:bCs/>
          <w:iCs/>
          <w:sz w:val="24"/>
          <w:szCs w:val="24"/>
        </w:rPr>
        <w:t xml:space="preserve">: </w:t>
      </w:r>
      <w:r w:rsidRPr="00260584">
        <w:rPr>
          <w:rFonts w:ascii="Book Antiqua" w:eastAsiaTheme="minorEastAsia" w:hAnsi="Book Antiqua" w:cs="Times New Roman"/>
          <w:bCs/>
          <w:color w:val="auto"/>
          <w:sz w:val="24"/>
          <w:szCs w:val="24"/>
          <w:lang w:val="en-GB" w:eastAsia="en-US"/>
        </w:rPr>
        <w:t>Institutional review board has granted waiver of informed consent based on ethical considerations</w:t>
      </w:r>
    </w:p>
    <w:p w14:paraId="0A1A4117" w14:textId="77777777" w:rsidR="00EB07FD" w:rsidRPr="00260584" w:rsidRDefault="00EB07FD" w:rsidP="00260584">
      <w:pPr>
        <w:adjustRightInd w:val="0"/>
        <w:snapToGrid w:val="0"/>
        <w:spacing w:after="0" w:line="360" w:lineRule="auto"/>
        <w:jc w:val="both"/>
        <w:rPr>
          <w:rFonts w:ascii="Book Antiqua" w:hAnsi="Book Antiqua"/>
          <w:b/>
          <w:sz w:val="24"/>
          <w:szCs w:val="24"/>
        </w:rPr>
      </w:pPr>
    </w:p>
    <w:p w14:paraId="43E7995C" w14:textId="2C606BF4"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Conflict-of-interest statement</w:t>
      </w:r>
      <w:r w:rsidRPr="00260584">
        <w:rPr>
          <w:rFonts w:ascii="Book Antiqua" w:hAnsi="Book Antiqua" w:cs="TimesNewRomanPS-BoldItalicMT"/>
          <w:b/>
          <w:bCs/>
          <w:iCs/>
          <w:color w:val="000000"/>
          <w:sz w:val="24"/>
          <w:szCs w:val="24"/>
        </w:rPr>
        <w:t xml:space="preserve">: </w:t>
      </w:r>
      <w:r w:rsidRPr="00260584">
        <w:rPr>
          <w:rFonts w:ascii="Book Antiqua" w:hAnsi="Book Antiqua" w:cs="TimesNewRomanPS-BoldItalicMT"/>
          <w:bCs/>
          <w:iCs/>
          <w:color w:val="000000"/>
          <w:sz w:val="24"/>
          <w:szCs w:val="24"/>
        </w:rPr>
        <w:t>We have no financial relationships to disclose.</w:t>
      </w:r>
    </w:p>
    <w:p w14:paraId="26F33544" w14:textId="77777777" w:rsidR="00EB07FD" w:rsidRPr="00260584" w:rsidRDefault="00EB07FD" w:rsidP="00260584">
      <w:pPr>
        <w:autoSpaceDE w:val="0"/>
        <w:autoSpaceDN w:val="0"/>
        <w:adjustRightInd w:val="0"/>
        <w:snapToGrid w:val="0"/>
        <w:spacing w:after="0" w:line="360" w:lineRule="auto"/>
        <w:jc w:val="both"/>
        <w:rPr>
          <w:rFonts w:ascii="Book Antiqua" w:hAnsi="Book Antiqua" w:cs="TimesNewRomanPS-BoldItalicMT"/>
          <w:bCs/>
          <w:iCs/>
          <w:color w:val="000000"/>
          <w:sz w:val="24"/>
          <w:szCs w:val="24"/>
        </w:rPr>
      </w:pPr>
    </w:p>
    <w:p w14:paraId="5B4F392F" w14:textId="77777777"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Data sharing statement</w:t>
      </w:r>
      <w:r w:rsidRPr="00260584">
        <w:rPr>
          <w:rFonts w:ascii="Book Antiqua" w:hAnsi="Book Antiqua" w:cs="TimesNewRomanPS-BoldItalicMT"/>
          <w:b/>
          <w:bCs/>
          <w:iCs/>
          <w:color w:val="000000"/>
          <w:sz w:val="24"/>
          <w:szCs w:val="24"/>
        </w:rPr>
        <w:t>:</w:t>
      </w:r>
      <w:r w:rsidRPr="00260584">
        <w:rPr>
          <w:rFonts w:ascii="Book Antiqua" w:hAnsi="Book Antiqua"/>
          <w:b/>
          <w:sz w:val="24"/>
          <w:szCs w:val="24"/>
        </w:rPr>
        <w:t xml:space="preserve"> </w:t>
      </w:r>
      <w:r w:rsidRPr="00260584">
        <w:rPr>
          <w:rFonts w:ascii="Book Antiqua" w:hAnsi="Book Antiqua"/>
          <w:sz w:val="24"/>
          <w:szCs w:val="24"/>
        </w:rPr>
        <w:t>No additional data are available.</w:t>
      </w:r>
    </w:p>
    <w:p w14:paraId="0951A4DB" w14:textId="77777777" w:rsidR="00EB07FD" w:rsidRPr="00260584" w:rsidRDefault="00EB07FD" w:rsidP="00260584">
      <w:pPr>
        <w:adjustRightInd w:val="0"/>
        <w:snapToGrid w:val="0"/>
        <w:spacing w:after="0" w:line="360" w:lineRule="auto"/>
        <w:jc w:val="both"/>
        <w:rPr>
          <w:rFonts w:ascii="Book Antiqua" w:hAnsi="Book Antiqua"/>
          <w:sz w:val="24"/>
          <w:szCs w:val="24"/>
        </w:rPr>
      </w:pPr>
    </w:p>
    <w:p w14:paraId="1C2E24CD" w14:textId="77777777" w:rsidR="00EB07FD" w:rsidRPr="00260584" w:rsidRDefault="00EB07FD" w:rsidP="00260584">
      <w:pPr>
        <w:adjustRightInd w:val="0"/>
        <w:snapToGrid w:val="0"/>
        <w:spacing w:after="0" w:line="360" w:lineRule="auto"/>
        <w:jc w:val="both"/>
        <w:rPr>
          <w:rFonts w:ascii="Book Antiqua" w:hAnsi="Book Antiqua" w:cs="SimSun"/>
          <w:sz w:val="24"/>
          <w:szCs w:val="24"/>
        </w:rPr>
      </w:pPr>
      <w:r w:rsidRPr="00260584">
        <w:rPr>
          <w:rFonts w:ascii="Book Antiqua" w:hAnsi="Book Antiqua"/>
          <w:b/>
          <w:color w:val="000000"/>
          <w:sz w:val="24"/>
          <w:szCs w:val="24"/>
        </w:rPr>
        <w:t>Open-Access:</w:t>
      </w:r>
      <w:r w:rsidRPr="00260584">
        <w:rPr>
          <w:rFonts w:ascii="Book Antiqua" w:hAnsi="Book Antiqua"/>
          <w:color w:val="000000"/>
          <w:sz w:val="24"/>
          <w:szCs w:val="24"/>
        </w:rPr>
        <w:t xml:space="preserve"> This article is an open-access </w:t>
      </w:r>
      <w:r w:rsidRPr="00260584">
        <w:rPr>
          <w:rFonts w:ascii="Book Antiqua" w:hAnsi="Book Antiqua"/>
          <w:sz w:val="24"/>
          <w:szCs w:val="24"/>
        </w:rPr>
        <w:t xml:space="preserve">article that was selected </w:t>
      </w:r>
      <w:r w:rsidRPr="00260584">
        <w:rPr>
          <w:rFonts w:ascii="Book Antiqua" w:hAnsi="Book Antiqua"/>
          <w:color w:val="000000"/>
          <w:sz w:val="24"/>
          <w:szCs w:val="24"/>
        </w:rPr>
        <w:t xml:space="preserve">by an in-house editor and fully peer-reviewed by external reviewers. It is distributed in accordance with the Creative Commons Attribution </w:t>
      </w:r>
      <w:proofErr w:type="spellStart"/>
      <w:r w:rsidRPr="00260584">
        <w:rPr>
          <w:rFonts w:ascii="Book Antiqua" w:hAnsi="Book Antiqua"/>
          <w:color w:val="000000"/>
          <w:sz w:val="24"/>
          <w:szCs w:val="24"/>
        </w:rPr>
        <w:t>NonCommercial</w:t>
      </w:r>
      <w:proofErr w:type="spellEnd"/>
      <w:r w:rsidRPr="00260584">
        <w:rPr>
          <w:rFonts w:ascii="Book Antiqua" w:hAnsi="Book Antiqua"/>
          <w:color w:val="000000"/>
          <w:sz w:val="24"/>
          <w:szCs w:val="24"/>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1468BA3" w14:textId="77777777" w:rsidR="00EB07FD" w:rsidRPr="00260584" w:rsidRDefault="00EB07FD" w:rsidP="00260584">
      <w:pPr>
        <w:adjustRightInd w:val="0"/>
        <w:snapToGrid w:val="0"/>
        <w:spacing w:after="0" w:line="360" w:lineRule="auto"/>
        <w:jc w:val="both"/>
        <w:rPr>
          <w:rFonts w:ascii="Book Antiqua" w:hAnsi="Book Antiqua"/>
          <w:sz w:val="24"/>
          <w:szCs w:val="24"/>
          <w:lang w:eastAsia="zh-CN"/>
        </w:rPr>
      </w:pPr>
    </w:p>
    <w:p w14:paraId="0243A699" w14:textId="2C3FD3D7" w:rsidR="00EB07FD" w:rsidRPr="00260584" w:rsidRDefault="00EB07FD" w:rsidP="00260584">
      <w:pPr>
        <w:adjustRightInd w:val="0"/>
        <w:snapToGrid w:val="0"/>
        <w:spacing w:after="0" w:line="360" w:lineRule="auto"/>
        <w:jc w:val="both"/>
        <w:rPr>
          <w:rFonts w:ascii="Book Antiqua" w:hAnsi="Book Antiqua"/>
          <w:bCs/>
          <w:color w:val="000000"/>
          <w:sz w:val="24"/>
          <w:szCs w:val="24"/>
          <w:lang w:eastAsia="zh-CN"/>
        </w:rPr>
      </w:pPr>
      <w:r w:rsidRPr="00260584">
        <w:rPr>
          <w:rFonts w:ascii="Book Antiqua" w:hAnsi="Book Antiqua"/>
          <w:b/>
          <w:color w:val="000000"/>
          <w:sz w:val="24"/>
          <w:szCs w:val="24"/>
          <w:lang w:eastAsia="pl-PL"/>
        </w:rPr>
        <w:t>Manuscript source:</w:t>
      </w:r>
      <w:r w:rsidRPr="00260584">
        <w:rPr>
          <w:rFonts w:ascii="Book Antiqua" w:hAnsi="Book Antiqua"/>
          <w:b/>
          <w:color w:val="000000"/>
          <w:sz w:val="24"/>
          <w:szCs w:val="24"/>
          <w:lang w:eastAsia="zh-CN"/>
        </w:rPr>
        <w:t xml:space="preserve"> </w:t>
      </w:r>
      <w:r w:rsidRPr="00260584">
        <w:rPr>
          <w:rFonts w:ascii="Book Antiqua" w:hAnsi="Book Antiqua"/>
          <w:color w:val="000000"/>
          <w:sz w:val="24"/>
          <w:szCs w:val="24"/>
          <w:lang w:eastAsia="pl-PL"/>
        </w:rPr>
        <w:t>Unsolicited manuscript</w:t>
      </w:r>
    </w:p>
    <w:p w14:paraId="6B5F21A5" w14:textId="77777777" w:rsidR="00B274D0" w:rsidRPr="00260584" w:rsidRDefault="00B274D0" w:rsidP="00260584">
      <w:pPr>
        <w:pStyle w:val="Heading1"/>
        <w:shd w:val="clear" w:color="auto" w:fill="FFFFFF"/>
        <w:adjustRightInd w:val="0"/>
        <w:snapToGrid w:val="0"/>
        <w:spacing w:before="0" w:beforeAutospacing="0" w:after="0" w:afterAutospacing="0" w:line="360" w:lineRule="auto"/>
        <w:jc w:val="both"/>
        <w:rPr>
          <w:rFonts w:ascii="Book Antiqua" w:eastAsia="MS PMincho" w:hAnsi="Book Antiqua" w:cstheme="minorBidi"/>
          <w:color w:val="000000" w:themeColor="text1"/>
          <w:kern w:val="2"/>
          <w:sz w:val="24"/>
          <w:szCs w:val="24"/>
          <w:lang w:eastAsia="ja-JP"/>
        </w:rPr>
      </w:pPr>
    </w:p>
    <w:p w14:paraId="785AEC22" w14:textId="3B9AA2C4" w:rsidR="00EB07FD" w:rsidRPr="00260584" w:rsidRDefault="00EB07FD" w:rsidP="00260584">
      <w:pPr>
        <w:pStyle w:val="Heading1"/>
        <w:shd w:val="clear" w:color="auto" w:fill="FFFFFF"/>
        <w:adjustRightInd w:val="0"/>
        <w:snapToGrid w:val="0"/>
        <w:spacing w:before="0" w:beforeAutospacing="0" w:after="0" w:afterAutospacing="0" w:line="360" w:lineRule="auto"/>
        <w:jc w:val="both"/>
        <w:rPr>
          <w:rFonts w:ascii="Book Antiqua" w:hAnsi="Book Antiqua" w:cs="Tahoma"/>
          <w:color w:val="333333"/>
          <w:sz w:val="24"/>
          <w:szCs w:val="24"/>
        </w:rPr>
      </w:pPr>
      <w:r w:rsidRPr="00260584">
        <w:rPr>
          <w:rFonts w:ascii="Book Antiqua" w:eastAsia="MS PMincho" w:hAnsi="Book Antiqua" w:cstheme="minorBidi"/>
          <w:color w:val="000000" w:themeColor="text1"/>
          <w:kern w:val="2"/>
          <w:sz w:val="24"/>
          <w:szCs w:val="24"/>
          <w:lang w:eastAsia="ja-JP"/>
        </w:rPr>
        <w:t xml:space="preserve">Peer-review started: </w:t>
      </w:r>
      <w:r w:rsidR="00B52583" w:rsidRPr="00260584">
        <w:rPr>
          <w:rFonts w:ascii="Book Antiqua" w:eastAsia="MS PMincho" w:hAnsi="Book Antiqua" w:cstheme="minorBidi"/>
          <w:b w:val="0"/>
          <w:bCs w:val="0"/>
          <w:color w:val="000000" w:themeColor="text1"/>
          <w:kern w:val="2"/>
          <w:sz w:val="24"/>
          <w:szCs w:val="24"/>
          <w:lang w:eastAsia="ja-JP"/>
        </w:rPr>
        <w:t>February</w:t>
      </w:r>
      <w:r w:rsidR="00B274D0" w:rsidRPr="00260584">
        <w:rPr>
          <w:rFonts w:ascii="Book Antiqua" w:eastAsia="MS PMincho" w:hAnsi="Book Antiqua" w:cstheme="minorBidi"/>
          <w:b w:val="0"/>
          <w:bCs w:val="0"/>
          <w:color w:val="000000" w:themeColor="text1"/>
          <w:kern w:val="2"/>
          <w:sz w:val="24"/>
          <w:szCs w:val="24"/>
          <w:lang w:eastAsia="ja-JP"/>
        </w:rPr>
        <w:t xml:space="preserve"> </w:t>
      </w:r>
      <w:r w:rsidR="00B52583" w:rsidRPr="00260584">
        <w:rPr>
          <w:rFonts w:ascii="Book Antiqua" w:hAnsi="Book Antiqua"/>
          <w:b w:val="0"/>
          <w:bCs w:val="0"/>
          <w:sz w:val="24"/>
          <w:szCs w:val="24"/>
        </w:rPr>
        <w:t>17</w:t>
      </w:r>
      <w:r w:rsidRPr="00260584">
        <w:rPr>
          <w:rFonts w:ascii="Book Antiqua" w:eastAsiaTheme="minorEastAsia" w:hAnsi="Book Antiqua"/>
          <w:b w:val="0"/>
          <w:bCs w:val="0"/>
          <w:sz w:val="24"/>
          <w:szCs w:val="24"/>
        </w:rPr>
        <w:t>,</w:t>
      </w:r>
      <w:r w:rsidR="00B52583" w:rsidRPr="00260584">
        <w:rPr>
          <w:rFonts w:ascii="Book Antiqua" w:eastAsiaTheme="minorEastAsia" w:hAnsi="Book Antiqua"/>
          <w:b w:val="0"/>
          <w:bCs w:val="0"/>
          <w:sz w:val="24"/>
          <w:szCs w:val="24"/>
        </w:rPr>
        <w:t xml:space="preserve"> </w:t>
      </w:r>
      <w:r w:rsidRPr="00260584">
        <w:rPr>
          <w:rFonts w:ascii="Book Antiqua" w:eastAsiaTheme="minorEastAsia" w:hAnsi="Book Antiqua"/>
          <w:b w:val="0"/>
          <w:bCs w:val="0"/>
          <w:sz w:val="24"/>
          <w:szCs w:val="24"/>
        </w:rPr>
        <w:t>20</w:t>
      </w:r>
      <w:r w:rsidR="00B52583" w:rsidRPr="00260584">
        <w:rPr>
          <w:rFonts w:ascii="Book Antiqua" w:hAnsi="Book Antiqua"/>
          <w:b w:val="0"/>
          <w:bCs w:val="0"/>
          <w:sz w:val="24"/>
          <w:szCs w:val="24"/>
        </w:rPr>
        <w:t>20</w:t>
      </w:r>
    </w:p>
    <w:p w14:paraId="5321C92B" w14:textId="480CF553" w:rsidR="00EB07FD" w:rsidRPr="00260584" w:rsidRDefault="00EB07FD"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t>First decision:</w:t>
      </w:r>
      <w:r w:rsidRPr="00260584">
        <w:rPr>
          <w:rFonts w:ascii="Book Antiqua" w:hAnsi="Book Antiqua"/>
          <w:b/>
          <w:sz w:val="24"/>
          <w:szCs w:val="24"/>
          <w:lang w:eastAsia="zh-CN"/>
        </w:rPr>
        <w:t xml:space="preserve"> </w:t>
      </w:r>
      <w:r w:rsidRPr="00260584">
        <w:rPr>
          <w:rFonts w:ascii="Book Antiqua" w:hAnsi="Book Antiqua"/>
          <w:sz w:val="24"/>
          <w:szCs w:val="24"/>
        </w:rPr>
        <w:t>March</w:t>
      </w:r>
      <w:r w:rsidRPr="00260584">
        <w:rPr>
          <w:rFonts w:ascii="Book Antiqua" w:hAnsi="Book Antiqua"/>
          <w:sz w:val="24"/>
          <w:szCs w:val="24"/>
          <w:lang w:eastAsia="zh-CN"/>
        </w:rPr>
        <w:t xml:space="preserve"> </w:t>
      </w:r>
      <w:r w:rsidR="00B52583" w:rsidRPr="00260584">
        <w:rPr>
          <w:rFonts w:ascii="Book Antiqua" w:hAnsi="Book Antiqua"/>
          <w:sz w:val="24"/>
          <w:szCs w:val="24"/>
          <w:lang w:eastAsia="zh-CN"/>
        </w:rPr>
        <w:t>28</w:t>
      </w:r>
      <w:r w:rsidRPr="00260584">
        <w:rPr>
          <w:rFonts w:ascii="Book Antiqua" w:hAnsi="Book Antiqua"/>
          <w:sz w:val="24"/>
          <w:szCs w:val="24"/>
          <w:lang w:eastAsia="zh-CN"/>
        </w:rPr>
        <w:t>, 20</w:t>
      </w:r>
      <w:r w:rsidR="00B52583" w:rsidRPr="00260584">
        <w:rPr>
          <w:rFonts w:ascii="Book Antiqua" w:hAnsi="Book Antiqua"/>
          <w:sz w:val="24"/>
          <w:szCs w:val="24"/>
          <w:lang w:eastAsia="zh-CN"/>
        </w:rPr>
        <w:t>20</w:t>
      </w:r>
    </w:p>
    <w:p w14:paraId="522F47EB" w14:textId="77777777" w:rsidR="00EB07FD" w:rsidRPr="00260584" w:rsidRDefault="00EB07FD" w:rsidP="00260584">
      <w:pPr>
        <w:adjustRightInd w:val="0"/>
        <w:snapToGrid w:val="0"/>
        <w:spacing w:after="0" w:line="360" w:lineRule="auto"/>
        <w:jc w:val="both"/>
        <w:rPr>
          <w:rFonts w:ascii="Book Antiqua" w:hAnsi="Book Antiqua"/>
          <w:b/>
          <w:sz w:val="24"/>
          <w:szCs w:val="24"/>
        </w:rPr>
      </w:pPr>
      <w:r w:rsidRPr="00260584">
        <w:rPr>
          <w:rFonts w:ascii="Book Antiqua" w:hAnsi="Book Antiqua"/>
          <w:b/>
          <w:sz w:val="24"/>
          <w:szCs w:val="24"/>
        </w:rPr>
        <w:t>Article in press:</w:t>
      </w:r>
    </w:p>
    <w:p w14:paraId="7AE6DF47" w14:textId="77777777" w:rsidR="00EB07FD" w:rsidRPr="00260584" w:rsidRDefault="00EB07FD" w:rsidP="00260584">
      <w:pPr>
        <w:adjustRightInd w:val="0"/>
        <w:snapToGrid w:val="0"/>
        <w:spacing w:after="0" w:line="360" w:lineRule="auto"/>
        <w:jc w:val="both"/>
        <w:rPr>
          <w:rFonts w:ascii="Book Antiqua" w:hAnsi="Book Antiqua"/>
          <w:sz w:val="24"/>
          <w:szCs w:val="24"/>
          <w:lang w:eastAsia="zh-CN"/>
        </w:rPr>
      </w:pPr>
    </w:p>
    <w:p w14:paraId="0610AFFE" w14:textId="6AF6DC34" w:rsidR="00EB07FD" w:rsidRPr="00260584" w:rsidRDefault="00EB07FD" w:rsidP="00260584">
      <w:pPr>
        <w:adjustRightInd w:val="0"/>
        <w:snapToGrid w:val="0"/>
        <w:spacing w:after="0" w:line="360" w:lineRule="auto"/>
        <w:jc w:val="both"/>
        <w:rPr>
          <w:rFonts w:ascii="Book Antiqua" w:eastAsia="Microsoft YaHei" w:hAnsi="Book Antiqua" w:cs="SimSun"/>
          <w:sz w:val="24"/>
          <w:szCs w:val="24"/>
          <w:lang w:eastAsia="zh-CN"/>
        </w:rPr>
      </w:pPr>
      <w:r w:rsidRPr="00260584">
        <w:rPr>
          <w:rFonts w:ascii="Book Antiqua" w:hAnsi="Book Antiqua" w:cs="SimSun"/>
          <w:b/>
          <w:sz w:val="24"/>
          <w:szCs w:val="24"/>
          <w:lang w:eastAsia="zh-CN"/>
        </w:rPr>
        <w:t xml:space="preserve">Specialty type: </w:t>
      </w:r>
      <w:r w:rsidR="007B5D09" w:rsidRPr="00260584">
        <w:rPr>
          <w:rFonts w:ascii="Book Antiqua" w:eastAsia="Microsoft YaHei" w:hAnsi="Book Antiqua" w:cs="SimSun"/>
          <w:sz w:val="24"/>
          <w:szCs w:val="24"/>
        </w:rPr>
        <w:t>Oncology</w:t>
      </w:r>
    </w:p>
    <w:p w14:paraId="493C46DD" w14:textId="72276318" w:rsidR="00EB07FD" w:rsidRPr="00260584" w:rsidRDefault="00EB07FD" w:rsidP="00260584">
      <w:pPr>
        <w:adjustRightInd w:val="0"/>
        <w:snapToGrid w:val="0"/>
        <w:spacing w:after="0" w:line="360" w:lineRule="auto"/>
        <w:jc w:val="both"/>
        <w:rPr>
          <w:rFonts w:ascii="Book Antiqua" w:eastAsia="Microsoft YaHei" w:hAnsi="Book Antiqua" w:cs="SimSun"/>
          <w:sz w:val="24"/>
          <w:szCs w:val="24"/>
        </w:rPr>
      </w:pPr>
      <w:r w:rsidRPr="00260584">
        <w:rPr>
          <w:rFonts w:ascii="Book Antiqua" w:hAnsi="Book Antiqua" w:cs="SimSun"/>
          <w:b/>
          <w:sz w:val="24"/>
          <w:szCs w:val="24"/>
          <w:lang w:eastAsia="zh-CN"/>
        </w:rPr>
        <w:t>Country/Territory of origin:</w:t>
      </w:r>
      <w:r w:rsidR="007B5D09" w:rsidRPr="00260584">
        <w:rPr>
          <w:rFonts w:ascii="Book Antiqua" w:hAnsi="Book Antiqua" w:cs="SimSun"/>
          <w:b/>
          <w:sz w:val="24"/>
          <w:szCs w:val="24"/>
          <w:lang w:eastAsia="zh-CN"/>
        </w:rPr>
        <w:t xml:space="preserve"> </w:t>
      </w:r>
      <w:r w:rsidR="007B5D09" w:rsidRPr="00260584">
        <w:rPr>
          <w:rFonts w:ascii="Book Antiqua" w:eastAsia="Microsoft YaHei" w:hAnsi="Book Antiqua" w:cs="SimSun"/>
          <w:sz w:val="24"/>
          <w:szCs w:val="24"/>
        </w:rPr>
        <w:t>India</w:t>
      </w:r>
    </w:p>
    <w:p w14:paraId="287770D7" w14:textId="77777777" w:rsidR="00EB07FD" w:rsidRPr="00260584" w:rsidRDefault="00EB07FD" w:rsidP="00260584">
      <w:pPr>
        <w:adjustRightInd w:val="0"/>
        <w:snapToGrid w:val="0"/>
        <w:spacing w:after="0" w:line="360" w:lineRule="auto"/>
        <w:jc w:val="both"/>
        <w:rPr>
          <w:rFonts w:ascii="Book Antiqua" w:hAnsi="Book Antiqua" w:cs="SimSun"/>
          <w:b/>
          <w:sz w:val="24"/>
          <w:szCs w:val="24"/>
          <w:lang w:eastAsia="zh-CN"/>
        </w:rPr>
      </w:pPr>
      <w:r w:rsidRPr="00260584">
        <w:rPr>
          <w:rFonts w:ascii="Book Antiqua" w:hAnsi="Book Antiqua" w:cs="SimSun"/>
          <w:b/>
          <w:sz w:val="24"/>
          <w:szCs w:val="24"/>
          <w:lang w:eastAsia="zh-CN"/>
        </w:rPr>
        <w:t>Peer-review report’s scientific quality classification</w:t>
      </w:r>
    </w:p>
    <w:p w14:paraId="0930B8CF" w14:textId="5621802C" w:rsidR="00EB07FD" w:rsidRPr="00260584" w:rsidRDefault="00EB07FD" w:rsidP="00260584">
      <w:pPr>
        <w:adjustRightInd w:val="0"/>
        <w:snapToGrid w:val="0"/>
        <w:spacing w:after="0" w:line="360" w:lineRule="auto"/>
        <w:jc w:val="both"/>
        <w:rPr>
          <w:rFonts w:ascii="Book Antiqua" w:hAnsi="Book Antiqua" w:cs="SimSun"/>
          <w:sz w:val="24"/>
          <w:szCs w:val="24"/>
          <w:lang w:eastAsia="zh-CN"/>
        </w:rPr>
      </w:pPr>
      <w:r w:rsidRPr="00260584">
        <w:rPr>
          <w:rFonts w:ascii="Book Antiqua" w:hAnsi="Book Antiqua" w:cs="SimSun"/>
          <w:sz w:val="24"/>
          <w:szCs w:val="24"/>
          <w:lang w:eastAsia="zh-CN"/>
        </w:rPr>
        <w:t xml:space="preserve">Grade A (Excellent): </w:t>
      </w:r>
      <w:r w:rsidR="007B5D09" w:rsidRPr="00260584">
        <w:rPr>
          <w:rFonts w:ascii="Book Antiqua" w:hAnsi="Book Antiqua" w:cs="SimSun"/>
          <w:sz w:val="24"/>
          <w:szCs w:val="24"/>
          <w:lang w:eastAsia="zh-CN"/>
        </w:rPr>
        <w:t>0</w:t>
      </w:r>
    </w:p>
    <w:p w14:paraId="2D2E825D" w14:textId="68C301C9" w:rsidR="00EB07FD" w:rsidRPr="00260584" w:rsidRDefault="00EB07FD" w:rsidP="00260584">
      <w:pPr>
        <w:adjustRightInd w:val="0"/>
        <w:snapToGrid w:val="0"/>
        <w:spacing w:after="0" w:line="360" w:lineRule="auto"/>
        <w:jc w:val="both"/>
        <w:rPr>
          <w:rFonts w:ascii="Book Antiqua" w:hAnsi="Book Antiqua" w:cs="SimSun"/>
          <w:sz w:val="24"/>
          <w:szCs w:val="24"/>
          <w:lang w:eastAsia="zh-CN"/>
        </w:rPr>
      </w:pPr>
      <w:r w:rsidRPr="00260584">
        <w:rPr>
          <w:rFonts w:ascii="Book Antiqua" w:hAnsi="Book Antiqua" w:cs="SimSun"/>
          <w:sz w:val="24"/>
          <w:szCs w:val="24"/>
          <w:lang w:eastAsia="zh-CN"/>
        </w:rPr>
        <w:t>Grade B (Very good): B</w:t>
      </w:r>
      <w:r w:rsidR="007B5D09" w:rsidRPr="00260584">
        <w:rPr>
          <w:rFonts w:ascii="Book Antiqua" w:hAnsi="Book Antiqua" w:cs="SimSun"/>
          <w:sz w:val="24"/>
          <w:szCs w:val="24"/>
          <w:lang w:eastAsia="zh-CN"/>
        </w:rPr>
        <w:t>, B</w:t>
      </w:r>
    </w:p>
    <w:p w14:paraId="6C4C0738" w14:textId="77777777" w:rsidR="00EB07FD" w:rsidRPr="00260584" w:rsidRDefault="00EB07FD" w:rsidP="00260584">
      <w:pPr>
        <w:adjustRightInd w:val="0"/>
        <w:snapToGrid w:val="0"/>
        <w:spacing w:after="0" w:line="360" w:lineRule="auto"/>
        <w:jc w:val="both"/>
        <w:rPr>
          <w:rFonts w:ascii="Book Antiqua" w:hAnsi="Book Antiqua" w:cs="SimSun"/>
          <w:sz w:val="24"/>
          <w:szCs w:val="24"/>
          <w:lang w:eastAsia="zh-CN"/>
        </w:rPr>
      </w:pPr>
      <w:r w:rsidRPr="00260584">
        <w:rPr>
          <w:rFonts w:ascii="Book Antiqua" w:hAnsi="Book Antiqua" w:cs="SimSun"/>
          <w:sz w:val="24"/>
          <w:szCs w:val="24"/>
          <w:lang w:eastAsia="zh-CN"/>
        </w:rPr>
        <w:lastRenderedPageBreak/>
        <w:t>Grade C (Good): C</w:t>
      </w:r>
    </w:p>
    <w:p w14:paraId="3BBDDC97" w14:textId="77777777" w:rsidR="00EB07FD" w:rsidRPr="00260584" w:rsidRDefault="00EB07FD" w:rsidP="00260584">
      <w:pPr>
        <w:adjustRightInd w:val="0"/>
        <w:snapToGrid w:val="0"/>
        <w:spacing w:after="0" w:line="360" w:lineRule="auto"/>
        <w:jc w:val="both"/>
        <w:rPr>
          <w:rFonts w:ascii="Book Antiqua" w:hAnsi="Book Antiqua" w:cs="SimSun"/>
          <w:sz w:val="24"/>
          <w:szCs w:val="24"/>
          <w:lang w:eastAsia="zh-CN"/>
        </w:rPr>
      </w:pPr>
      <w:r w:rsidRPr="00260584">
        <w:rPr>
          <w:rFonts w:ascii="Book Antiqua" w:hAnsi="Book Antiqua" w:cs="SimSun"/>
          <w:sz w:val="24"/>
          <w:szCs w:val="24"/>
          <w:lang w:eastAsia="zh-CN"/>
        </w:rPr>
        <w:t>Grade D (Fair): 0</w:t>
      </w:r>
    </w:p>
    <w:p w14:paraId="7DC46066" w14:textId="77777777" w:rsidR="00EB07FD" w:rsidRPr="00260584" w:rsidRDefault="00EB07FD" w:rsidP="00260584">
      <w:pPr>
        <w:adjustRightInd w:val="0"/>
        <w:snapToGrid w:val="0"/>
        <w:spacing w:after="0" w:line="360" w:lineRule="auto"/>
        <w:jc w:val="both"/>
        <w:rPr>
          <w:rFonts w:ascii="Book Antiqua" w:eastAsia="DengXian" w:hAnsi="Book Antiqua"/>
          <w:sz w:val="24"/>
          <w:szCs w:val="24"/>
          <w:lang w:val="hu-HU" w:eastAsia="zh-CN"/>
        </w:rPr>
      </w:pPr>
      <w:r w:rsidRPr="00260584">
        <w:rPr>
          <w:rFonts w:ascii="Book Antiqua" w:hAnsi="Book Antiqua" w:cs="SimSun"/>
          <w:sz w:val="24"/>
          <w:szCs w:val="24"/>
          <w:lang w:eastAsia="zh-CN"/>
        </w:rPr>
        <w:t>Grade E (Poor): 0</w:t>
      </w:r>
    </w:p>
    <w:p w14:paraId="71B31732" w14:textId="77777777" w:rsidR="00EB07FD" w:rsidRPr="00260584" w:rsidRDefault="00EB07FD" w:rsidP="00260584">
      <w:pPr>
        <w:adjustRightInd w:val="0"/>
        <w:snapToGrid w:val="0"/>
        <w:spacing w:after="0" w:line="360" w:lineRule="auto"/>
        <w:jc w:val="both"/>
        <w:rPr>
          <w:rFonts w:ascii="Book Antiqua" w:hAnsi="Book Antiqua"/>
          <w:b/>
          <w:bCs/>
          <w:sz w:val="24"/>
          <w:szCs w:val="24"/>
          <w:lang w:val="hu-HU" w:eastAsia="zh-CN"/>
        </w:rPr>
      </w:pPr>
    </w:p>
    <w:p w14:paraId="7E8DD9F6" w14:textId="72EF9975" w:rsidR="00EB07FD" w:rsidRPr="00260584" w:rsidRDefault="00EB07FD" w:rsidP="00260584">
      <w:pPr>
        <w:adjustRightInd w:val="0"/>
        <w:snapToGrid w:val="0"/>
        <w:spacing w:after="0" w:line="360" w:lineRule="auto"/>
        <w:jc w:val="both"/>
        <w:rPr>
          <w:rFonts w:ascii="Book Antiqua" w:hAnsi="Book Antiqua"/>
          <w:b/>
          <w:bCs/>
          <w:sz w:val="24"/>
          <w:szCs w:val="24"/>
        </w:rPr>
      </w:pPr>
      <w:r w:rsidRPr="00260584">
        <w:rPr>
          <w:rFonts w:ascii="Book Antiqua" w:hAnsi="Book Antiqua"/>
          <w:b/>
          <w:bCs/>
          <w:sz w:val="24"/>
          <w:szCs w:val="24"/>
        </w:rPr>
        <w:t>P-Reviewer:</w:t>
      </w:r>
      <w:r w:rsidR="00D3292A" w:rsidRPr="00260584">
        <w:rPr>
          <w:rFonts w:ascii="Book Antiqua" w:hAnsi="Book Antiqua"/>
          <w:b/>
          <w:bCs/>
          <w:sz w:val="24"/>
          <w:szCs w:val="24"/>
        </w:rPr>
        <w:t xml:space="preserve"> </w:t>
      </w:r>
      <w:r w:rsidR="00B274D0" w:rsidRPr="00260584">
        <w:rPr>
          <w:rFonts w:ascii="Book Antiqua" w:hAnsi="Book Antiqua"/>
          <w:bCs/>
          <w:sz w:val="24"/>
          <w:szCs w:val="24"/>
          <w:lang w:eastAsia="zh-CN"/>
        </w:rPr>
        <w:t>de Melo FF</w:t>
      </w:r>
      <w:r w:rsidR="00B274D0" w:rsidRPr="00260584">
        <w:rPr>
          <w:rFonts w:ascii="Book Antiqua" w:hAnsi="Book Antiqua"/>
          <w:color w:val="000000"/>
          <w:sz w:val="24"/>
          <w:szCs w:val="24"/>
          <w:shd w:val="clear" w:color="auto" w:fill="FFFFFF"/>
        </w:rPr>
        <w:t xml:space="preserve">, </w:t>
      </w:r>
      <w:r w:rsidR="007B5D09" w:rsidRPr="00260584">
        <w:rPr>
          <w:rFonts w:ascii="Book Antiqua" w:hAnsi="Book Antiqua"/>
          <w:color w:val="000000"/>
          <w:sz w:val="24"/>
          <w:szCs w:val="24"/>
          <w:shd w:val="clear" w:color="auto" w:fill="FFFFFF"/>
        </w:rPr>
        <w:t xml:space="preserve">Hosseini M, </w:t>
      </w:r>
      <w:proofErr w:type="spellStart"/>
      <w:r w:rsidR="007B5D09" w:rsidRPr="00260584">
        <w:rPr>
          <w:rFonts w:ascii="Book Antiqua" w:hAnsi="Book Antiqua"/>
          <w:color w:val="000000"/>
          <w:sz w:val="24"/>
          <w:szCs w:val="24"/>
          <w:shd w:val="clear" w:color="auto" w:fill="FFFFFF"/>
        </w:rPr>
        <w:t>Kok</w:t>
      </w:r>
      <w:proofErr w:type="spellEnd"/>
      <w:r w:rsidR="00B274D0" w:rsidRPr="00260584">
        <w:rPr>
          <w:rFonts w:ascii="Book Antiqua" w:hAnsi="Book Antiqua"/>
          <w:bCs/>
          <w:sz w:val="24"/>
          <w:szCs w:val="24"/>
          <w:lang w:eastAsia="zh-CN"/>
        </w:rPr>
        <w:t xml:space="preserve"> V </w:t>
      </w:r>
      <w:r w:rsidRPr="00260584">
        <w:rPr>
          <w:rFonts w:ascii="Book Antiqua" w:hAnsi="Book Antiqua"/>
          <w:b/>
          <w:bCs/>
          <w:sz w:val="24"/>
          <w:szCs w:val="24"/>
        </w:rPr>
        <w:t>S-Editor:</w:t>
      </w:r>
      <w:r w:rsidRPr="00260584">
        <w:rPr>
          <w:rFonts w:ascii="Book Antiqua" w:hAnsi="Book Antiqua"/>
          <w:sz w:val="24"/>
          <w:szCs w:val="24"/>
        </w:rPr>
        <w:t xml:space="preserve"> </w:t>
      </w:r>
      <w:r w:rsidRPr="00260584">
        <w:rPr>
          <w:rFonts w:ascii="Book Antiqua" w:hAnsi="Book Antiqua"/>
          <w:sz w:val="24"/>
          <w:szCs w:val="24"/>
          <w:lang w:eastAsia="zh-CN"/>
        </w:rPr>
        <w:t>Zhang L</w:t>
      </w:r>
      <w:r w:rsidRPr="00260584">
        <w:rPr>
          <w:rFonts w:ascii="Book Antiqua" w:hAnsi="Book Antiqua"/>
          <w:sz w:val="24"/>
          <w:szCs w:val="24"/>
        </w:rPr>
        <w:t xml:space="preserve"> </w:t>
      </w:r>
      <w:r w:rsidRPr="00260584">
        <w:rPr>
          <w:rFonts w:ascii="Book Antiqua" w:hAnsi="Book Antiqua"/>
          <w:b/>
          <w:bCs/>
          <w:sz w:val="24"/>
          <w:szCs w:val="24"/>
        </w:rPr>
        <w:t>L-Editor:</w:t>
      </w:r>
      <w:r w:rsidR="00D3292A" w:rsidRPr="00260584">
        <w:rPr>
          <w:rFonts w:ascii="Book Antiqua" w:hAnsi="Book Antiqua"/>
          <w:sz w:val="24"/>
          <w:szCs w:val="24"/>
        </w:rPr>
        <w:t xml:space="preserve"> </w:t>
      </w:r>
      <w:r w:rsidRPr="00260584">
        <w:rPr>
          <w:rFonts w:ascii="Book Antiqua" w:hAnsi="Book Antiqua"/>
          <w:b/>
          <w:bCs/>
          <w:sz w:val="24"/>
          <w:szCs w:val="24"/>
        </w:rPr>
        <w:t>E-Editor:</w:t>
      </w:r>
    </w:p>
    <w:p w14:paraId="22EFBBDD" w14:textId="77777777" w:rsidR="00EB07FD" w:rsidRPr="00260584" w:rsidRDefault="00EB07FD" w:rsidP="00260584">
      <w:pPr>
        <w:adjustRightInd w:val="0"/>
        <w:snapToGrid w:val="0"/>
        <w:spacing w:after="0" w:line="360" w:lineRule="auto"/>
        <w:jc w:val="both"/>
        <w:rPr>
          <w:rFonts w:ascii="Book Antiqua" w:hAnsi="Book Antiqua"/>
          <w:noProof/>
          <w:sz w:val="24"/>
          <w:szCs w:val="24"/>
        </w:rPr>
      </w:pPr>
      <w:r w:rsidRPr="00260584">
        <w:rPr>
          <w:rFonts w:ascii="Book Antiqua" w:hAnsi="Book Antiqua"/>
          <w:noProof/>
          <w:sz w:val="24"/>
          <w:szCs w:val="24"/>
        </w:rPr>
        <w:br w:type="page"/>
      </w:r>
    </w:p>
    <w:p w14:paraId="5673C2CD" w14:textId="77777777" w:rsidR="001C0C96" w:rsidRPr="00260584" w:rsidRDefault="001C0C96" w:rsidP="00260584">
      <w:pPr>
        <w:adjustRightInd w:val="0"/>
        <w:snapToGrid w:val="0"/>
        <w:spacing w:after="0" w:line="360" w:lineRule="auto"/>
        <w:jc w:val="both"/>
        <w:rPr>
          <w:rFonts w:ascii="Book Antiqua" w:hAnsi="Book Antiqua"/>
          <w:b/>
          <w:sz w:val="24"/>
          <w:szCs w:val="24"/>
          <w:lang w:eastAsia="zh-CN"/>
        </w:rPr>
      </w:pPr>
      <w:r w:rsidRPr="00260584">
        <w:rPr>
          <w:rFonts w:ascii="Book Antiqua" w:hAnsi="Book Antiqua"/>
          <w:b/>
          <w:sz w:val="24"/>
          <w:szCs w:val="24"/>
        </w:rPr>
        <w:lastRenderedPageBreak/>
        <w:t>Figure Legends</w:t>
      </w:r>
    </w:p>
    <w:p w14:paraId="77723F39" w14:textId="4593DA0B" w:rsidR="00316DA3" w:rsidRPr="00260584" w:rsidRDefault="00B274D0" w:rsidP="00260584">
      <w:pPr>
        <w:adjustRightInd w:val="0"/>
        <w:snapToGrid w:val="0"/>
        <w:spacing w:after="0" w:line="360" w:lineRule="auto"/>
        <w:jc w:val="both"/>
        <w:rPr>
          <w:rFonts w:ascii="Book Antiqua" w:hAnsi="Book Antiqua"/>
          <w:sz w:val="24"/>
          <w:szCs w:val="24"/>
        </w:rPr>
      </w:pPr>
      <w:r w:rsidRPr="00260584">
        <w:rPr>
          <w:rFonts w:ascii="Book Antiqua" w:hAnsi="Book Antiqua"/>
          <w:noProof/>
          <w:sz w:val="24"/>
          <w:szCs w:val="24"/>
          <w:lang w:val="en-US" w:eastAsia="zh-CN"/>
        </w:rPr>
        <w:drawing>
          <wp:inline distT="0" distB="0" distL="0" distR="0" wp14:anchorId="5420B5A8" wp14:editId="7E5D8039">
            <wp:extent cx="5486400" cy="887730"/>
            <wp:effectExtent l="0" t="0" r="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86400" cy="887730"/>
                    </a:xfrm>
                    <a:prstGeom prst="rect">
                      <a:avLst/>
                    </a:prstGeom>
                  </pic:spPr>
                </pic:pic>
              </a:graphicData>
            </a:graphic>
          </wp:inline>
        </w:drawing>
      </w:r>
    </w:p>
    <w:p w14:paraId="1DD2EBE8" w14:textId="5D743F7B" w:rsidR="00F35534" w:rsidRPr="00260584" w:rsidRDefault="00F35534" w:rsidP="00260584">
      <w:pPr>
        <w:adjustRightInd w:val="0"/>
        <w:snapToGrid w:val="0"/>
        <w:spacing w:after="0" w:line="360" w:lineRule="auto"/>
        <w:jc w:val="both"/>
        <w:rPr>
          <w:rFonts w:ascii="Book Antiqua" w:hAnsi="Book Antiqua"/>
          <w:bCs/>
          <w:sz w:val="24"/>
          <w:szCs w:val="24"/>
          <w:lang w:val="en-US"/>
        </w:rPr>
      </w:pPr>
      <w:r w:rsidRPr="00260584">
        <w:rPr>
          <w:rFonts w:ascii="Book Antiqua" w:hAnsi="Book Antiqua"/>
          <w:b/>
          <w:sz w:val="24"/>
          <w:szCs w:val="24"/>
        </w:rPr>
        <w:t>Figure 1 Study flow chart.</w:t>
      </w:r>
      <w:r w:rsidRPr="00260584">
        <w:rPr>
          <w:rFonts w:ascii="Book Antiqua" w:hAnsi="Book Antiqua"/>
          <w:bCs/>
          <w:sz w:val="24"/>
          <w:szCs w:val="24"/>
        </w:rPr>
        <w:t xml:space="preserve"> </w:t>
      </w:r>
      <w:r w:rsidRPr="00260584">
        <w:rPr>
          <w:rFonts w:ascii="Book Antiqua" w:hAnsi="Book Antiqua"/>
          <w:bCs/>
          <w:sz w:val="24"/>
          <w:szCs w:val="24"/>
          <w:lang w:val="en-IN"/>
        </w:rPr>
        <w:t>Study flow: Medical records and patient dairies were evaluated for incidence and severity of nausea-vomiting, time period was form the time chemothe</w:t>
      </w:r>
      <w:r w:rsidR="00B274D0" w:rsidRPr="00260584">
        <w:rPr>
          <w:rFonts w:ascii="Book Antiqua" w:hAnsi="Book Antiqua"/>
          <w:bCs/>
          <w:sz w:val="24"/>
          <w:szCs w:val="24"/>
          <w:lang w:val="en-IN"/>
        </w:rPr>
        <w:t>rapy was administered to 120 h</w:t>
      </w:r>
      <w:bookmarkStart w:id="99" w:name="_GoBack"/>
      <w:bookmarkEnd w:id="99"/>
      <w:r w:rsidRPr="00260584">
        <w:rPr>
          <w:rFonts w:ascii="Book Antiqua" w:hAnsi="Book Antiqua"/>
          <w:bCs/>
          <w:sz w:val="24"/>
          <w:szCs w:val="24"/>
          <w:lang w:val="en-IN"/>
        </w:rPr>
        <w:t xml:space="preserve"> ( day 1 to day 5) to look for complete response in acute, delayed and overall phase.</w:t>
      </w:r>
      <w:r w:rsidRPr="00260584">
        <w:rPr>
          <w:rFonts w:ascii="Book Antiqua" w:hAnsi="Book Antiqua"/>
          <w:sz w:val="24"/>
          <w:szCs w:val="24"/>
        </w:rPr>
        <w:t xml:space="preserve"> NEPA: </w:t>
      </w:r>
      <w:proofErr w:type="spellStart"/>
      <w:r w:rsidRPr="00260584">
        <w:rPr>
          <w:rFonts w:ascii="Book Antiqua" w:hAnsi="Book Antiqua"/>
          <w:bCs/>
          <w:sz w:val="24"/>
          <w:szCs w:val="24"/>
          <w:lang w:val="en-IN"/>
        </w:rPr>
        <w:t>Netupitant</w:t>
      </w:r>
      <w:proofErr w:type="spellEnd"/>
      <w:r w:rsidRPr="00260584">
        <w:rPr>
          <w:rFonts w:ascii="Book Antiqua" w:hAnsi="Book Antiqua"/>
          <w:bCs/>
          <w:sz w:val="24"/>
          <w:szCs w:val="24"/>
          <w:lang w:val="en-IN"/>
        </w:rPr>
        <w:t xml:space="preserve"> and palonosetron.</w:t>
      </w:r>
    </w:p>
    <w:p w14:paraId="30B865B2" w14:textId="3FB0DAE1" w:rsidR="00316DA3" w:rsidRPr="00260584" w:rsidRDefault="00316DA3" w:rsidP="00260584">
      <w:pPr>
        <w:adjustRightInd w:val="0"/>
        <w:snapToGrid w:val="0"/>
        <w:spacing w:after="0" w:line="360" w:lineRule="auto"/>
        <w:jc w:val="both"/>
        <w:rPr>
          <w:rFonts w:ascii="Book Antiqua" w:hAnsi="Book Antiqua"/>
          <w:sz w:val="24"/>
          <w:szCs w:val="24"/>
        </w:rPr>
      </w:pPr>
      <w:r w:rsidRPr="00260584">
        <w:rPr>
          <w:rFonts w:ascii="Book Antiqua" w:hAnsi="Book Antiqua"/>
          <w:sz w:val="24"/>
          <w:szCs w:val="24"/>
        </w:rPr>
        <w:br w:type="page"/>
      </w:r>
    </w:p>
    <w:p w14:paraId="63DF3AE1" w14:textId="4489EDD3" w:rsidR="00252707" w:rsidRPr="00260584" w:rsidRDefault="00316DA3" w:rsidP="00260584">
      <w:pPr>
        <w:adjustRightInd w:val="0"/>
        <w:snapToGrid w:val="0"/>
        <w:spacing w:after="0" w:line="360" w:lineRule="auto"/>
        <w:jc w:val="both"/>
        <w:rPr>
          <w:rFonts w:ascii="Book Antiqua" w:hAnsi="Book Antiqua"/>
          <w:sz w:val="24"/>
          <w:szCs w:val="24"/>
        </w:rPr>
      </w:pPr>
      <w:r w:rsidRPr="00260584">
        <w:rPr>
          <w:rFonts w:ascii="Book Antiqua" w:hAnsi="Book Antiqua" w:cs="Times New Roman"/>
          <w:b/>
          <w:bCs/>
          <w:sz w:val="24"/>
          <w:szCs w:val="24"/>
        </w:rPr>
        <w:lastRenderedPageBreak/>
        <w:t>Table 1</w:t>
      </w:r>
      <w:r w:rsidR="00F35534" w:rsidRPr="00260584">
        <w:rPr>
          <w:rFonts w:ascii="Book Antiqua" w:hAnsi="Book Antiqua" w:cs="Times New Roman"/>
          <w:b/>
          <w:bCs/>
          <w:sz w:val="24"/>
          <w:szCs w:val="24"/>
        </w:rPr>
        <w:t xml:space="preserve"> </w:t>
      </w:r>
      <w:r w:rsidRPr="00260584">
        <w:rPr>
          <w:rFonts w:ascii="Book Antiqua" w:hAnsi="Book Antiqua" w:cs="Times New Roman"/>
          <w:b/>
          <w:bCs/>
          <w:sz w:val="24"/>
          <w:szCs w:val="24"/>
        </w:rPr>
        <w:t>Baseline characteristics of enrolled patients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3"/>
        <w:gridCol w:w="3653"/>
      </w:tblGrid>
      <w:tr w:rsidR="000A7512" w:rsidRPr="00260584" w14:paraId="1E002C8C" w14:textId="77777777" w:rsidTr="00F62713">
        <w:trPr>
          <w:trHeight w:val="285"/>
        </w:trPr>
        <w:tc>
          <w:tcPr>
            <w:tcW w:w="3653" w:type="dxa"/>
            <w:tcBorders>
              <w:top w:val="single" w:sz="4" w:space="0" w:color="auto"/>
              <w:bottom w:val="single" w:sz="4" w:space="0" w:color="auto"/>
            </w:tcBorders>
            <w:vAlign w:val="center"/>
          </w:tcPr>
          <w:p w14:paraId="4966414A"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b/>
                <w:bCs/>
                <w:sz w:val="24"/>
                <w:szCs w:val="24"/>
              </w:rPr>
            </w:pPr>
            <w:bookmarkStart w:id="100" w:name="_Hlk22820699"/>
            <w:r w:rsidRPr="00260584">
              <w:rPr>
                <w:rFonts w:ascii="Book Antiqua" w:hAnsi="Book Antiqua" w:cs="Times New Roman"/>
                <w:b/>
                <w:bCs/>
                <w:sz w:val="24"/>
                <w:szCs w:val="24"/>
              </w:rPr>
              <w:t>Characteristics</w:t>
            </w:r>
          </w:p>
        </w:tc>
        <w:tc>
          <w:tcPr>
            <w:tcW w:w="3653" w:type="dxa"/>
            <w:tcBorders>
              <w:top w:val="single" w:sz="4" w:space="0" w:color="auto"/>
              <w:bottom w:val="single" w:sz="4" w:space="0" w:color="auto"/>
            </w:tcBorders>
            <w:vAlign w:val="center"/>
          </w:tcPr>
          <w:p w14:paraId="72E388B3"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b/>
                <w:bCs/>
                <w:sz w:val="24"/>
                <w:szCs w:val="24"/>
              </w:rPr>
            </w:pPr>
            <w:r w:rsidRPr="00260584">
              <w:rPr>
                <w:rFonts w:ascii="Book Antiqua" w:hAnsi="Book Antiqua" w:cs="Times New Roman"/>
                <w:b/>
                <w:bCs/>
                <w:sz w:val="24"/>
                <w:szCs w:val="24"/>
              </w:rPr>
              <w:t>Observations</w:t>
            </w:r>
          </w:p>
        </w:tc>
      </w:tr>
      <w:tr w:rsidR="000A7512" w:rsidRPr="00260584" w14:paraId="17EE7DE7" w14:textId="77777777" w:rsidTr="00F62713">
        <w:trPr>
          <w:trHeight w:val="285"/>
        </w:trPr>
        <w:tc>
          <w:tcPr>
            <w:tcW w:w="3653" w:type="dxa"/>
            <w:tcBorders>
              <w:top w:val="single" w:sz="4" w:space="0" w:color="auto"/>
            </w:tcBorders>
            <w:vAlign w:val="center"/>
          </w:tcPr>
          <w:p w14:paraId="07B9B188" w14:textId="406D6742"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Age (</w:t>
            </w:r>
            <w:proofErr w:type="spellStart"/>
            <w:r w:rsidRPr="00260584">
              <w:rPr>
                <w:rFonts w:ascii="Book Antiqua" w:hAnsi="Book Antiqua" w:cs="Times New Roman"/>
                <w:sz w:val="24"/>
                <w:szCs w:val="24"/>
              </w:rPr>
              <w:t>y</w:t>
            </w:r>
            <w:r w:rsidR="00F35534" w:rsidRPr="00260584">
              <w:rPr>
                <w:rFonts w:ascii="Book Antiqua" w:hAnsi="Book Antiqua" w:cs="Times New Roman"/>
                <w:sz w:val="24"/>
                <w:szCs w:val="24"/>
              </w:rPr>
              <w:t>r</w:t>
            </w:r>
            <w:proofErr w:type="spellEnd"/>
            <w:r w:rsidRPr="00260584">
              <w:rPr>
                <w:rFonts w:ascii="Book Antiqua" w:hAnsi="Book Antiqua" w:cs="Times New Roman"/>
                <w:sz w:val="24"/>
                <w:szCs w:val="24"/>
              </w:rPr>
              <w:t>)</w:t>
            </w:r>
          </w:p>
        </w:tc>
        <w:tc>
          <w:tcPr>
            <w:tcW w:w="3653" w:type="dxa"/>
            <w:tcBorders>
              <w:top w:val="single" w:sz="4" w:space="0" w:color="auto"/>
            </w:tcBorders>
            <w:vAlign w:val="center"/>
          </w:tcPr>
          <w:p w14:paraId="79DC6A7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0E694F89" w14:textId="77777777" w:rsidTr="00F62713">
        <w:trPr>
          <w:trHeight w:val="285"/>
        </w:trPr>
        <w:tc>
          <w:tcPr>
            <w:tcW w:w="3653" w:type="dxa"/>
            <w:vAlign w:val="center"/>
          </w:tcPr>
          <w:p w14:paraId="3360D2D2" w14:textId="21479618" w:rsidR="00406F6C" w:rsidRPr="00260584" w:rsidRDefault="00B274D0" w:rsidP="00660687">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 xml:space="preserve">mean </w:t>
            </w:r>
            <w:r w:rsidR="00406F6C" w:rsidRPr="00260584">
              <w:rPr>
                <w:rFonts w:ascii="Book Antiqua" w:eastAsia="Times New Roman" w:hAnsi="Book Antiqua" w:cs="Times New Roman"/>
                <w:sz w:val="24"/>
                <w:szCs w:val="24"/>
                <w:lang w:eastAsia="en-IN"/>
              </w:rPr>
              <w:t>±</w:t>
            </w:r>
            <w:r w:rsidR="008605AC" w:rsidRPr="00260584">
              <w:rPr>
                <w:rFonts w:ascii="Book Antiqua" w:eastAsia="Times New Roman" w:hAnsi="Book Antiqua" w:cs="Times New Roman"/>
                <w:sz w:val="24"/>
                <w:szCs w:val="24"/>
                <w:lang w:eastAsia="en-IN"/>
              </w:rPr>
              <w:t xml:space="preserve"> </w:t>
            </w:r>
            <w:r w:rsidR="00660687">
              <w:rPr>
                <w:rFonts w:ascii="Book Antiqua" w:eastAsia="Times New Roman" w:hAnsi="Book Antiqua" w:cs="Times New Roman"/>
                <w:sz w:val="24"/>
                <w:szCs w:val="24"/>
                <w:lang w:eastAsia="en-IN"/>
              </w:rPr>
              <w:t>SD</w:t>
            </w:r>
            <w:r w:rsidR="008605AC" w:rsidRPr="00260584">
              <w:rPr>
                <w:rFonts w:ascii="Book Antiqua" w:eastAsia="Times New Roman" w:hAnsi="Book Antiqua" w:cs="Times New Roman"/>
                <w:sz w:val="24"/>
                <w:szCs w:val="24"/>
                <w:lang w:eastAsia="en-IN"/>
              </w:rPr>
              <w:t xml:space="preserve"> </w:t>
            </w:r>
          </w:p>
        </w:tc>
        <w:tc>
          <w:tcPr>
            <w:tcW w:w="3653" w:type="dxa"/>
            <w:vAlign w:val="center"/>
          </w:tcPr>
          <w:p w14:paraId="24849C34" w14:textId="6220527F"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56.24 ± 11.11</w:t>
            </w:r>
          </w:p>
        </w:tc>
      </w:tr>
      <w:tr w:rsidR="000A7512" w:rsidRPr="00260584" w14:paraId="7EA9E414" w14:textId="77777777" w:rsidTr="00F62713">
        <w:trPr>
          <w:trHeight w:val="285"/>
        </w:trPr>
        <w:tc>
          <w:tcPr>
            <w:tcW w:w="3653" w:type="dxa"/>
            <w:vAlign w:val="center"/>
          </w:tcPr>
          <w:p w14:paraId="791CE9AC"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Age groups</w:t>
            </w:r>
          </w:p>
        </w:tc>
        <w:tc>
          <w:tcPr>
            <w:tcW w:w="3653" w:type="dxa"/>
            <w:vAlign w:val="center"/>
          </w:tcPr>
          <w:p w14:paraId="653D6072" w14:textId="77777777" w:rsidR="00406F6C" w:rsidRPr="00260584" w:rsidRDefault="00406F6C" w:rsidP="00260584">
            <w:pPr>
              <w:autoSpaceDE w:val="0"/>
              <w:autoSpaceDN w:val="0"/>
              <w:adjustRightInd w:val="0"/>
              <w:snapToGrid w:val="0"/>
              <w:spacing w:line="360" w:lineRule="auto"/>
              <w:jc w:val="both"/>
              <w:rPr>
                <w:rFonts w:ascii="Book Antiqua" w:eastAsia="Times New Roman" w:hAnsi="Book Antiqua" w:cs="Times New Roman"/>
                <w:b/>
                <w:bCs/>
                <w:sz w:val="24"/>
                <w:szCs w:val="24"/>
                <w:lang w:eastAsia="en-IN"/>
              </w:rPr>
            </w:pPr>
          </w:p>
        </w:tc>
      </w:tr>
      <w:tr w:rsidR="000A7512" w:rsidRPr="00260584" w14:paraId="6CDB283C" w14:textId="77777777" w:rsidTr="00F62713">
        <w:trPr>
          <w:trHeight w:val="285"/>
        </w:trPr>
        <w:tc>
          <w:tcPr>
            <w:tcW w:w="3653" w:type="dxa"/>
          </w:tcPr>
          <w:p w14:paraId="569FDE55"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 35</w:t>
            </w:r>
          </w:p>
        </w:tc>
        <w:tc>
          <w:tcPr>
            <w:tcW w:w="3653" w:type="dxa"/>
          </w:tcPr>
          <w:p w14:paraId="4E214183"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16 (3.97)</w:t>
            </w:r>
          </w:p>
        </w:tc>
      </w:tr>
      <w:tr w:rsidR="000A7512" w:rsidRPr="00260584" w14:paraId="241DA068" w14:textId="77777777" w:rsidTr="00F62713">
        <w:trPr>
          <w:trHeight w:val="285"/>
        </w:trPr>
        <w:tc>
          <w:tcPr>
            <w:tcW w:w="3653" w:type="dxa"/>
          </w:tcPr>
          <w:p w14:paraId="2EA38A59" w14:textId="7A758C65"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36-50</w:t>
            </w:r>
          </w:p>
        </w:tc>
        <w:tc>
          <w:tcPr>
            <w:tcW w:w="3653" w:type="dxa"/>
          </w:tcPr>
          <w:p w14:paraId="52FF383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97 (24.06)</w:t>
            </w:r>
          </w:p>
        </w:tc>
      </w:tr>
      <w:tr w:rsidR="000A7512" w:rsidRPr="00260584" w14:paraId="22F302F3" w14:textId="77777777" w:rsidTr="00F62713">
        <w:trPr>
          <w:trHeight w:val="285"/>
        </w:trPr>
        <w:tc>
          <w:tcPr>
            <w:tcW w:w="3653" w:type="dxa"/>
          </w:tcPr>
          <w:p w14:paraId="1F9F6F41" w14:textId="00DBAE64"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5</w:t>
            </w:r>
            <w:r w:rsidR="00F35534" w:rsidRPr="00260584">
              <w:rPr>
                <w:rFonts w:ascii="Book Antiqua" w:eastAsia="Times New Roman" w:hAnsi="Book Antiqua" w:cs="Times New Roman"/>
                <w:sz w:val="24"/>
                <w:szCs w:val="24"/>
                <w:lang w:eastAsia="en-IN"/>
              </w:rPr>
              <w:t>1</w:t>
            </w:r>
            <w:r w:rsidRPr="00260584">
              <w:rPr>
                <w:rFonts w:ascii="Book Antiqua" w:eastAsia="Times New Roman" w:hAnsi="Book Antiqua" w:cs="Times New Roman"/>
                <w:sz w:val="24"/>
                <w:szCs w:val="24"/>
                <w:lang w:eastAsia="en-IN"/>
              </w:rPr>
              <w:t>-65</w:t>
            </w:r>
          </w:p>
        </w:tc>
        <w:tc>
          <w:tcPr>
            <w:tcW w:w="3653" w:type="dxa"/>
          </w:tcPr>
          <w:p w14:paraId="427BD04D"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207 (51.36)</w:t>
            </w:r>
          </w:p>
        </w:tc>
      </w:tr>
      <w:tr w:rsidR="000A7512" w:rsidRPr="00260584" w14:paraId="220DC7A0" w14:textId="77777777" w:rsidTr="00F62713">
        <w:trPr>
          <w:trHeight w:val="285"/>
        </w:trPr>
        <w:tc>
          <w:tcPr>
            <w:tcW w:w="3653" w:type="dxa"/>
          </w:tcPr>
          <w:p w14:paraId="5FC4EA1C"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66-80</w:t>
            </w:r>
          </w:p>
        </w:tc>
        <w:tc>
          <w:tcPr>
            <w:tcW w:w="3653" w:type="dxa"/>
          </w:tcPr>
          <w:p w14:paraId="2056191A"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eastAsia="Times New Roman" w:hAnsi="Book Antiqua" w:cs="Times New Roman"/>
                <w:sz w:val="24"/>
                <w:szCs w:val="24"/>
                <w:lang w:eastAsia="en-IN"/>
              </w:rPr>
              <w:t>75 (18.61)</w:t>
            </w:r>
          </w:p>
        </w:tc>
      </w:tr>
      <w:tr w:rsidR="000A7512" w:rsidRPr="00260584" w14:paraId="051576C3" w14:textId="77777777" w:rsidTr="00F62713">
        <w:trPr>
          <w:trHeight w:val="179"/>
        </w:trPr>
        <w:tc>
          <w:tcPr>
            <w:tcW w:w="3653" w:type="dxa"/>
            <w:vAlign w:val="center"/>
          </w:tcPr>
          <w:p w14:paraId="05AFFC0D" w14:textId="0D09B220"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Gender</w:t>
            </w:r>
          </w:p>
        </w:tc>
        <w:tc>
          <w:tcPr>
            <w:tcW w:w="3653" w:type="dxa"/>
            <w:vAlign w:val="center"/>
          </w:tcPr>
          <w:p w14:paraId="4B6537AB"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70E23945" w14:textId="77777777" w:rsidTr="00F62713">
        <w:trPr>
          <w:trHeight w:val="285"/>
        </w:trPr>
        <w:tc>
          <w:tcPr>
            <w:tcW w:w="3653" w:type="dxa"/>
            <w:vAlign w:val="center"/>
          </w:tcPr>
          <w:p w14:paraId="2379CFF0"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Male</w:t>
            </w:r>
          </w:p>
        </w:tc>
        <w:tc>
          <w:tcPr>
            <w:tcW w:w="3653" w:type="dxa"/>
            <w:vAlign w:val="center"/>
          </w:tcPr>
          <w:p w14:paraId="132AED67"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181 (44. 91)</w:t>
            </w:r>
          </w:p>
        </w:tc>
      </w:tr>
      <w:tr w:rsidR="000A7512" w:rsidRPr="00260584" w14:paraId="6FB637D8" w14:textId="77777777" w:rsidTr="00F62713">
        <w:trPr>
          <w:trHeight w:val="285"/>
        </w:trPr>
        <w:tc>
          <w:tcPr>
            <w:tcW w:w="3653" w:type="dxa"/>
            <w:vAlign w:val="center"/>
          </w:tcPr>
          <w:p w14:paraId="31BBF664"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Female</w:t>
            </w:r>
          </w:p>
        </w:tc>
        <w:tc>
          <w:tcPr>
            <w:tcW w:w="3653" w:type="dxa"/>
            <w:vAlign w:val="center"/>
          </w:tcPr>
          <w:p w14:paraId="12E82A94" w14:textId="48031CE3"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222 (55.09)</w:t>
            </w:r>
          </w:p>
        </w:tc>
      </w:tr>
      <w:tr w:rsidR="000A7512" w:rsidRPr="00260584" w14:paraId="4F5B6371" w14:textId="77777777" w:rsidTr="00F62713">
        <w:trPr>
          <w:trHeight w:val="285"/>
        </w:trPr>
        <w:tc>
          <w:tcPr>
            <w:tcW w:w="3653" w:type="dxa"/>
            <w:vAlign w:val="center"/>
          </w:tcPr>
          <w:p w14:paraId="3C894FA2" w14:textId="3A781133" w:rsidR="00406F6C" w:rsidRPr="00260584" w:rsidRDefault="00406F6C" w:rsidP="00260584">
            <w:pPr>
              <w:autoSpaceDE w:val="0"/>
              <w:autoSpaceDN w:val="0"/>
              <w:adjustRightInd w:val="0"/>
              <w:snapToGrid w:val="0"/>
              <w:spacing w:line="360" w:lineRule="auto"/>
              <w:jc w:val="both"/>
              <w:rPr>
                <w:rFonts w:ascii="Book Antiqua" w:hAnsi="Book Antiqua" w:cs="Times New Roman"/>
                <w:bCs/>
                <w:sz w:val="24"/>
                <w:szCs w:val="24"/>
              </w:rPr>
            </w:pPr>
            <w:r w:rsidRPr="00260584">
              <w:rPr>
                <w:rFonts w:ascii="Book Antiqua" w:hAnsi="Book Antiqua" w:cs="Times New Roman"/>
                <w:bCs/>
                <w:sz w:val="24"/>
                <w:szCs w:val="24"/>
              </w:rPr>
              <w:t>Type of cancer</w:t>
            </w:r>
          </w:p>
        </w:tc>
        <w:tc>
          <w:tcPr>
            <w:tcW w:w="3653" w:type="dxa"/>
            <w:vAlign w:val="center"/>
          </w:tcPr>
          <w:p w14:paraId="7AC0BE8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06601B26" w14:textId="77777777" w:rsidTr="00F62713">
        <w:trPr>
          <w:trHeight w:val="285"/>
        </w:trPr>
        <w:tc>
          <w:tcPr>
            <w:tcW w:w="3653" w:type="dxa"/>
            <w:vAlign w:val="center"/>
          </w:tcPr>
          <w:p w14:paraId="0002CAAF" w14:textId="77777777" w:rsidR="00406F6C" w:rsidRPr="00260584" w:rsidRDefault="00406F6C" w:rsidP="00260584">
            <w:pPr>
              <w:autoSpaceDE w:val="0"/>
              <w:autoSpaceDN w:val="0"/>
              <w:adjustRightInd w:val="0"/>
              <w:snapToGrid w:val="0"/>
              <w:spacing w:line="360" w:lineRule="auto"/>
              <w:ind w:firstLineChars="50" w:firstLine="120"/>
              <w:jc w:val="both"/>
              <w:rPr>
                <w:rFonts w:ascii="Book Antiqua" w:hAnsi="Book Antiqua" w:cs="Times New Roman"/>
                <w:b/>
                <w:sz w:val="24"/>
                <w:szCs w:val="24"/>
              </w:rPr>
            </w:pPr>
            <w:r w:rsidRPr="00260584">
              <w:rPr>
                <w:rFonts w:ascii="Book Antiqua" w:hAnsi="Book Antiqua" w:cs="Times New Roman"/>
                <w:sz w:val="24"/>
                <w:szCs w:val="24"/>
              </w:rPr>
              <w:t>Breast</w:t>
            </w:r>
          </w:p>
        </w:tc>
        <w:tc>
          <w:tcPr>
            <w:tcW w:w="3653" w:type="dxa"/>
            <w:vAlign w:val="center"/>
          </w:tcPr>
          <w:p w14:paraId="06264CE2"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101 (25.06)</w:t>
            </w:r>
          </w:p>
        </w:tc>
      </w:tr>
      <w:tr w:rsidR="000A7512" w:rsidRPr="00260584" w14:paraId="76D8CBA9" w14:textId="77777777" w:rsidTr="00F62713">
        <w:trPr>
          <w:trHeight w:val="285"/>
        </w:trPr>
        <w:tc>
          <w:tcPr>
            <w:tcW w:w="3653" w:type="dxa"/>
          </w:tcPr>
          <w:p w14:paraId="2FFE4616"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Colon</w:t>
            </w:r>
          </w:p>
        </w:tc>
        <w:tc>
          <w:tcPr>
            <w:tcW w:w="3653" w:type="dxa"/>
            <w:vAlign w:val="center"/>
          </w:tcPr>
          <w:p w14:paraId="48D38D19" w14:textId="2B38981D"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(15.63)</w:t>
            </w:r>
          </w:p>
        </w:tc>
      </w:tr>
      <w:tr w:rsidR="000A7512" w:rsidRPr="00260584" w14:paraId="17665769" w14:textId="77777777" w:rsidTr="00F62713">
        <w:trPr>
          <w:trHeight w:val="285"/>
        </w:trPr>
        <w:tc>
          <w:tcPr>
            <w:tcW w:w="3653" w:type="dxa"/>
          </w:tcPr>
          <w:p w14:paraId="760A172A"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Oral</w:t>
            </w:r>
          </w:p>
        </w:tc>
        <w:tc>
          <w:tcPr>
            <w:tcW w:w="3653" w:type="dxa"/>
            <w:vAlign w:val="center"/>
          </w:tcPr>
          <w:p w14:paraId="7C27A15D"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43 (10.66)</w:t>
            </w:r>
          </w:p>
        </w:tc>
      </w:tr>
      <w:tr w:rsidR="000A7512" w:rsidRPr="00260584" w14:paraId="39463409" w14:textId="77777777" w:rsidTr="00F62713">
        <w:trPr>
          <w:trHeight w:val="285"/>
        </w:trPr>
        <w:tc>
          <w:tcPr>
            <w:tcW w:w="3653" w:type="dxa"/>
          </w:tcPr>
          <w:p w14:paraId="4C341CE7"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Lung</w:t>
            </w:r>
          </w:p>
        </w:tc>
        <w:tc>
          <w:tcPr>
            <w:tcW w:w="3653" w:type="dxa"/>
            <w:vAlign w:val="center"/>
          </w:tcPr>
          <w:p w14:paraId="0645A7E2"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29 (7.19)</w:t>
            </w:r>
          </w:p>
        </w:tc>
      </w:tr>
      <w:tr w:rsidR="000A7512" w:rsidRPr="00260584" w14:paraId="39E05360" w14:textId="77777777" w:rsidTr="00F62713">
        <w:trPr>
          <w:trHeight w:val="285"/>
        </w:trPr>
        <w:tc>
          <w:tcPr>
            <w:tcW w:w="3653" w:type="dxa"/>
          </w:tcPr>
          <w:p w14:paraId="55471A2E"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Gall bladder</w:t>
            </w:r>
          </w:p>
        </w:tc>
        <w:tc>
          <w:tcPr>
            <w:tcW w:w="3653" w:type="dxa"/>
            <w:vAlign w:val="center"/>
          </w:tcPr>
          <w:p w14:paraId="23C4398B" w14:textId="3530480F"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24 (5.95)</w:t>
            </w:r>
          </w:p>
        </w:tc>
      </w:tr>
      <w:tr w:rsidR="000A7512" w:rsidRPr="00260584" w14:paraId="6E8DA117" w14:textId="77777777" w:rsidTr="00F62713">
        <w:trPr>
          <w:trHeight w:val="285"/>
        </w:trPr>
        <w:tc>
          <w:tcPr>
            <w:tcW w:w="3653" w:type="dxa"/>
          </w:tcPr>
          <w:p w14:paraId="6DEB6775"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Epiglottis</w:t>
            </w:r>
          </w:p>
        </w:tc>
        <w:tc>
          <w:tcPr>
            <w:tcW w:w="3653" w:type="dxa"/>
            <w:vAlign w:val="center"/>
          </w:tcPr>
          <w:p w14:paraId="7AECEEAF" w14:textId="184931C8"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13 (3.2)</w:t>
            </w:r>
          </w:p>
        </w:tc>
      </w:tr>
      <w:tr w:rsidR="000A7512" w:rsidRPr="00260584" w14:paraId="4D260481" w14:textId="77777777" w:rsidTr="00F62713">
        <w:trPr>
          <w:trHeight w:val="285"/>
        </w:trPr>
        <w:tc>
          <w:tcPr>
            <w:tcW w:w="3653" w:type="dxa"/>
          </w:tcPr>
          <w:p w14:paraId="4A69D063"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Cervix</w:t>
            </w:r>
          </w:p>
        </w:tc>
        <w:tc>
          <w:tcPr>
            <w:tcW w:w="3653" w:type="dxa"/>
            <w:vAlign w:val="center"/>
          </w:tcPr>
          <w:p w14:paraId="586C487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12 (2.97)</w:t>
            </w:r>
          </w:p>
        </w:tc>
      </w:tr>
      <w:tr w:rsidR="000A7512" w:rsidRPr="00260584" w14:paraId="1001DEAF" w14:textId="77777777" w:rsidTr="00F62713">
        <w:trPr>
          <w:trHeight w:val="285"/>
        </w:trPr>
        <w:tc>
          <w:tcPr>
            <w:tcW w:w="3653" w:type="dxa"/>
          </w:tcPr>
          <w:p w14:paraId="4687B6EF"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Rectum</w:t>
            </w:r>
          </w:p>
        </w:tc>
        <w:tc>
          <w:tcPr>
            <w:tcW w:w="3653" w:type="dxa"/>
            <w:vAlign w:val="center"/>
          </w:tcPr>
          <w:p w14:paraId="5F81C225"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12 (2.97)</w:t>
            </w:r>
          </w:p>
        </w:tc>
      </w:tr>
      <w:tr w:rsidR="000A7512" w:rsidRPr="00260584" w14:paraId="6A9C5662" w14:textId="77777777" w:rsidTr="00F62713">
        <w:trPr>
          <w:trHeight w:val="285"/>
        </w:trPr>
        <w:tc>
          <w:tcPr>
            <w:tcW w:w="3653" w:type="dxa"/>
          </w:tcPr>
          <w:p w14:paraId="32C89FDD" w14:textId="0E7B3AC9"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Others</w:t>
            </w:r>
            <w:r w:rsidR="008605AC" w:rsidRPr="00260584">
              <w:rPr>
                <w:rFonts w:ascii="Book Antiqua" w:hAnsi="Book Antiqua" w:cs="Times New Roman"/>
                <w:sz w:val="24"/>
                <w:szCs w:val="24"/>
                <w:vertAlign w:val="superscript"/>
              </w:rPr>
              <w:t>1</w:t>
            </w:r>
          </w:p>
        </w:tc>
        <w:tc>
          <w:tcPr>
            <w:tcW w:w="3653" w:type="dxa"/>
            <w:vAlign w:val="center"/>
          </w:tcPr>
          <w:p w14:paraId="55A9B547" w14:textId="4B078053"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106 (26.03)</w:t>
            </w:r>
          </w:p>
        </w:tc>
      </w:tr>
      <w:tr w:rsidR="000A7512" w:rsidRPr="00260584" w14:paraId="492E550A" w14:textId="77777777" w:rsidTr="00F62713">
        <w:trPr>
          <w:trHeight w:val="285"/>
        </w:trPr>
        <w:tc>
          <w:tcPr>
            <w:tcW w:w="3653" w:type="dxa"/>
          </w:tcPr>
          <w:p w14:paraId="0AAAD588"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Chemotherapy</w:t>
            </w:r>
          </w:p>
        </w:tc>
        <w:tc>
          <w:tcPr>
            <w:tcW w:w="3653" w:type="dxa"/>
            <w:vAlign w:val="center"/>
          </w:tcPr>
          <w:p w14:paraId="56CE736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12D4B708" w14:textId="77777777" w:rsidTr="00F62713">
        <w:trPr>
          <w:trHeight w:val="285"/>
        </w:trPr>
        <w:tc>
          <w:tcPr>
            <w:tcW w:w="3653" w:type="dxa"/>
          </w:tcPr>
          <w:p w14:paraId="11814EEE"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Highly emetogenic</w:t>
            </w:r>
          </w:p>
        </w:tc>
        <w:tc>
          <w:tcPr>
            <w:tcW w:w="3653" w:type="dxa"/>
            <w:vAlign w:val="center"/>
          </w:tcPr>
          <w:p w14:paraId="28BDC253" w14:textId="79D2D29B"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220 (54.6)</w:t>
            </w:r>
          </w:p>
        </w:tc>
      </w:tr>
      <w:tr w:rsidR="000A7512" w:rsidRPr="00260584" w14:paraId="253B4C7C" w14:textId="77777777" w:rsidTr="00F62713">
        <w:trPr>
          <w:trHeight w:val="285"/>
        </w:trPr>
        <w:tc>
          <w:tcPr>
            <w:tcW w:w="3653" w:type="dxa"/>
          </w:tcPr>
          <w:p w14:paraId="057E6F53" w14:textId="77777777" w:rsidR="00406F6C" w:rsidRPr="00260584" w:rsidRDefault="00406F6C" w:rsidP="00260584">
            <w:pPr>
              <w:adjustRightInd w:val="0"/>
              <w:snapToGrid w:val="0"/>
              <w:spacing w:line="360" w:lineRule="auto"/>
              <w:ind w:firstLineChars="50" w:firstLine="120"/>
              <w:jc w:val="both"/>
              <w:rPr>
                <w:rFonts w:ascii="Book Antiqua" w:hAnsi="Book Antiqua" w:cs="Times New Roman"/>
                <w:sz w:val="24"/>
                <w:szCs w:val="24"/>
              </w:rPr>
            </w:pPr>
            <w:r w:rsidRPr="00260584">
              <w:rPr>
                <w:rFonts w:ascii="Book Antiqua" w:hAnsi="Book Antiqua" w:cs="Times New Roman"/>
                <w:sz w:val="24"/>
                <w:szCs w:val="24"/>
              </w:rPr>
              <w:t>Moderately emetogenic</w:t>
            </w:r>
          </w:p>
        </w:tc>
        <w:tc>
          <w:tcPr>
            <w:tcW w:w="3653" w:type="dxa"/>
            <w:vAlign w:val="center"/>
          </w:tcPr>
          <w:p w14:paraId="5E816638"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183 (45.4)</w:t>
            </w:r>
          </w:p>
        </w:tc>
      </w:tr>
      <w:tr w:rsidR="000A7512" w:rsidRPr="00260584" w14:paraId="6FC8B167" w14:textId="77777777" w:rsidTr="00F62713">
        <w:trPr>
          <w:trHeight w:val="285"/>
        </w:trPr>
        <w:tc>
          <w:tcPr>
            <w:tcW w:w="3653" w:type="dxa"/>
          </w:tcPr>
          <w:p w14:paraId="6EF1F83A"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Chemotherapy cycles</w:t>
            </w:r>
          </w:p>
        </w:tc>
        <w:tc>
          <w:tcPr>
            <w:tcW w:w="3653" w:type="dxa"/>
            <w:vAlign w:val="center"/>
          </w:tcPr>
          <w:p w14:paraId="53CCB857"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p>
        </w:tc>
      </w:tr>
      <w:tr w:rsidR="000A7512" w:rsidRPr="00260584" w14:paraId="748DF9A7" w14:textId="77777777" w:rsidTr="00F62713">
        <w:trPr>
          <w:trHeight w:val="285"/>
        </w:trPr>
        <w:tc>
          <w:tcPr>
            <w:tcW w:w="3653" w:type="dxa"/>
          </w:tcPr>
          <w:p w14:paraId="014AA76B" w14:textId="1EE0A4AF"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1</w:t>
            </w:r>
          </w:p>
        </w:tc>
        <w:tc>
          <w:tcPr>
            <w:tcW w:w="3653" w:type="dxa"/>
          </w:tcPr>
          <w:p w14:paraId="2805760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(18.61)</w:t>
            </w:r>
          </w:p>
        </w:tc>
      </w:tr>
      <w:tr w:rsidR="000A7512" w:rsidRPr="00260584" w14:paraId="1B542FB5" w14:textId="77777777" w:rsidTr="00F62713">
        <w:trPr>
          <w:trHeight w:val="285"/>
        </w:trPr>
        <w:tc>
          <w:tcPr>
            <w:tcW w:w="3653" w:type="dxa"/>
          </w:tcPr>
          <w:p w14:paraId="05AF84D4" w14:textId="33D29604"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2</w:t>
            </w:r>
          </w:p>
        </w:tc>
        <w:tc>
          <w:tcPr>
            <w:tcW w:w="3653" w:type="dxa"/>
          </w:tcPr>
          <w:p w14:paraId="39876C58"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89 (22.08)</w:t>
            </w:r>
          </w:p>
        </w:tc>
      </w:tr>
      <w:tr w:rsidR="000A7512" w:rsidRPr="00260584" w14:paraId="2608E4D4" w14:textId="77777777" w:rsidTr="00F62713">
        <w:trPr>
          <w:trHeight w:val="285"/>
        </w:trPr>
        <w:tc>
          <w:tcPr>
            <w:tcW w:w="3653" w:type="dxa"/>
          </w:tcPr>
          <w:p w14:paraId="07B6EE07" w14:textId="224DEDC9"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3</w:t>
            </w:r>
          </w:p>
        </w:tc>
        <w:tc>
          <w:tcPr>
            <w:tcW w:w="3653" w:type="dxa"/>
          </w:tcPr>
          <w:p w14:paraId="0FD629A9"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30 (7.44)</w:t>
            </w:r>
          </w:p>
        </w:tc>
      </w:tr>
      <w:tr w:rsidR="000A7512" w:rsidRPr="00260584" w14:paraId="33679BE6" w14:textId="77777777" w:rsidTr="00F62713">
        <w:trPr>
          <w:trHeight w:val="285"/>
        </w:trPr>
        <w:tc>
          <w:tcPr>
            <w:tcW w:w="3653" w:type="dxa"/>
          </w:tcPr>
          <w:p w14:paraId="3E3F67D7" w14:textId="212A1FFB"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lastRenderedPageBreak/>
              <w:t>4</w:t>
            </w:r>
          </w:p>
        </w:tc>
        <w:tc>
          <w:tcPr>
            <w:tcW w:w="3653" w:type="dxa"/>
          </w:tcPr>
          <w:p w14:paraId="217F803E"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90 (22.33)</w:t>
            </w:r>
          </w:p>
        </w:tc>
      </w:tr>
      <w:tr w:rsidR="000A7512" w:rsidRPr="00260584" w14:paraId="2F93B281" w14:textId="77777777" w:rsidTr="00F62713">
        <w:trPr>
          <w:trHeight w:val="285"/>
        </w:trPr>
        <w:tc>
          <w:tcPr>
            <w:tcW w:w="3653" w:type="dxa"/>
          </w:tcPr>
          <w:p w14:paraId="28D48413" w14:textId="3A593403"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5</w:t>
            </w:r>
          </w:p>
        </w:tc>
        <w:tc>
          <w:tcPr>
            <w:tcW w:w="3653" w:type="dxa"/>
          </w:tcPr>
          <w:p w14:paraId="7BDB853F"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 (12.90)</w:t>
            </w:r>
          </w:p>
        </w:tc>
      </w:tr>
      <w:tr w:rsidR="000A7512" w:rsidRPr="00260584" w14:paraId="00EC3DC5" w14:textId="77777777" w:rsidTr="00F62713">
        <w:trPr>
          <w:trHeight w:val="285"/>
        </w:trPr>
        <w:tc>
          <w:tcPr>
            <w:tcW w:w="3653" w:type="dxa"/>
          </w:tcPr>
          <w:p w14:paraId="5033D900" w14:textId="401F14EC" w:rsidR="00406F6C" w:rsidRPr="00260584" w:rsidRDefault="00F560E4" w:rsidP="00260584">
            <w:pPr>
              <w:adjustRightInd w:val="0"/>
              <w:snapToGrid w:val="0"/>
              <w:spacing w:line="360" w:lineRule="auto"/>
              <w:ind w:firstLineChars="50" w:firstLine="120"/>
              <w:jc w:val="both"/>
              <w:rPr>
                <w:rFonts w:ascii="Book Antiqua" w:hAnsi="Book Antiqua" w:cs="Times New Roman"/>
                <w:sz w:val="24"/>
                <w:szCs w:val="24"/>
                <w:highlight w:val="yellow"/>
              </w:rPr>
            </w:pPr>
            <w:r w:rsidRPr="00260584">
              <w:rPr>
                <w:rFonts w:ascii="Book Antiqua" w:hAnsi="Book Antiqua" w:cs="Times New Roman"/>
                <w:sz w:val="24"/>
                <w:szCs w:val="24"/>
              </w:rPr>
              <w:t>&gt;</w:t>
            </w:r>
            <w:r w:rsidR="00F35534" w:rsidRPr="00260584">
              <w:rPr>
                <w:rFonts w:ascii="Book Antiqua" w:hAnsi="Book Antiqua" w:cs="Times New Roman"/>
                <w:sz w:val="24"/>
                <w:szCs w:val="24"/>
              </w:rPr>
              <w:t xml:space="preserve"> </w:t>
            </w:r>
            <w:r w:rsidRPr="00260584">
              <w:rPr>
                <w:rFonts w:ascii="Book Antiqua" w:hAnsi="Book Antiqua" w:cs="Times New Roman"/>
                <w:sz w:val="24"/>
                <w:szCs w:val="24"/>
              </w:rPr>
              <w:t>5</w:t>
            </w:r>
          </w:p>
        </w:tc>
        <w:tc>
          <w:tcPr>
            <w:tcW w:w="3653" w:type="dxa"/>
          </w:tcPr>
          <w:p w14:paraId="7018C28B" w14:textId="77777777" w:rsidR="00406F6C" w:rsidRPr="00260584" w:rsidRDefault="00406F6C" w:rsidP="00260584">
            <w:pPr>
              <w:autoSpaceDE w:val="0"/>
              <w:autoSpaceDN w:val="0"/>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67 (16.62)</w:t>
            </w:r>
          </w:p>
        </w:tc>
      </w:tr>
    </w:tbl>
    <w:p w14:paraId="61DEE2FF" w14:textId="3DC7E195" w:rsidR="00406F6C" w:rsidRPr="00260584" w:rsidRDefault="00406F6C"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 xml:space="preserve">Data presented as </w:t>
      </w:r>
      <w:proofErr w:type="spellStart"/>
      <w:r w:rsidRPr="00260584">
        <w:rPr>
          <w:rFonts w:ascii="Book Antiqua" w:hAnsi="Book Antiqua" w:cs="Times New Roman"/>
          <w:sz w:val="24"/>
          <w:szCs w:val="24"/>
        </w:rPr>
        <w:t>mean±standard</w:t>
      </w:r>
      <w:proofErr w:type="spellEnd"/>
      <w:r w:rsidRPr="00260584">
        <w:rPr>
          <w:rFonts w:ascii="Book Antiqua" w:hAnsi="Book Antiqua" w:cs="Times New Roman"/>
          <w:sz w:val="24"/>
          <w:szCs w:val="24"/>
        </w:rPr>
        <w:t xml:space="preserve"> deviation or frequency (%)</w:t>
      </w:r>
      <w:r w:rsidR="001505E9" w:rsidRPr="00260584">
        <w:rPr>
          <w:rFonts w:ascii="Book Antiqua" w:hAnsi="Book Antiqua" w:cs="Times New Roman"/>
          <w:sz w:val="24"/>
          <w:szCs w:val="24"/>
          <w:lang w:eastAsia="zh-CN"/>
        </w:rPr>
        <w:t xml:space="preserve">; </w:t>
      </w:r>
      <w:r w:rsidR="00530F45" w:rsidRPr="00260584">
        <w:rPr>
          <w:rFonts w:ascii="Book Antiqua" w:hAnsi="Book Antiqua" w:cs="Times New Roman"/>
          <w:bCs/>
          <w:sz w:val="24"/>
          <w:szCs w:val="24"/>
        </w:rPr>
        <w:t xml:space="preserve">Baseline demographic characteristics of patients enrolled in the study, distribution of </w:t>
      </w:r>
      <w:proofErr w:type="spellStart"/>
      <w:r w:rsidR="00530F45" w:rsidRPr="00260584">
        <w:rPr>
          <w:rFonts w:ascii="Book Antiqua" w:hAnsi="Book Antiqua" w:cs="Times New Roman"/>
          <w:bCs/>
          <w:sz w:val="24"/>
          <w:szCs w:val="24"/>
        </w:rPr>
        <w:t>there</w:t>
      </w:r>
      <w:proofErr w:type="spellEnd"/>
      <w:r w:rsidR="00316DA3" w:rsidRPr="00260584">
        <w:rPr>
          <w:rFonts w:ascii="Book Antiqua" w:hAnsi="Book Antiqua" w:cs="Times New Roman"/>
          <w:bCs/>
          <w:sz w:val="24"/>
          <w:szCs w:val="24"/>
        </w:rPr>
        <w:t xml:space="preserve"> </w:t>
      </w:r>
      <w:r w:rsidR="00FB104C" w:rsidRPr="00260584">
        <w:rPr>
          <w:rFonts w:ascii="Book Antiqua" w:hAnsi="Book Antiqua" w:cs="Times New Roman"/>
          <w:bCs/>
          <w:sz w:val="24"/>
          <w:szCs w:val="24"/>
        </w:rPr>
        <w:t>age (</w:t>
      </w:r>
      <w:r w:rsidR="00FB104C" w:rsidRPr="00260584">
        <w:rPr>
          <w:rFonts w:ascii="Book Antiqua" w:hAnsi="Book Antiqua" w:cs="Times New Roman"/>
          <w:sz w:val="24"/>
          <w:szCs w:val="24"/>
        </w:rPr>
        <w:t>mean</w:t>
      </w:r>
      <w:r w:rsidR="00316DA3" w:rsidRPr="00260584">
        <w:rPr>
          <w:rFonts w:ascii="Book Antiqua" w:hAnsi="Book Antiqua" w:cs="Times New Roman"/>
          <w:sz w:val="24"/>
          <w:szCs w:val="24"/>
        </w:rPr>
        <w:t xml:space="preserve"> </w:t>
      </w:r>
      <w:r w:rsidR="00FB104C" w:rsidRPr="00260584">
        <w:rPr>
          <w:rFonts w:ascii="Book Antiqua" w:hAnsi="Book Antiqua" w:cs="Times New Roman"/>
          <w:sz w:val="24"/>
          <w:szCs w:val="24"/>
        </w:rPr>
        <w:t>±</w:t>
      </w:r>
      <w:r w:rsidR="00316DA3" w:rsidRPr="00260584">
        <w:rPr>
          <w:rFonts w:ascii="Book Antiqua" w:hAnsi="Book Antiqua" w:cs="Times New Roman"/>
          <w:sz w:val="24"/>
          <w:szCs w:val="24"/>
        </w:rPr>
        <w:t xml:space="preserve"> </w:t>
      </w:r>
      <w:r w:rsidR="00FB104C" w:rsidRPr="00260584">
        <w:rPr>
          <w:rFonts w:ascii="Book Antiqua" w:hAnsi="Book Antiqua" w:cs="Times New Roman"/>
          <w:sz w:val="24"/>
          <w:szCs w:val="24"/>
        </w:rPr>
        <w:t>standard deviation), gender, type of cancer, type of chemotherapy and the chemotherapy cycle</w:t>
      </w:r>
      <w:r w:rsidR="001505E9" w:rsidRPr="00260584">
        <w:rPr>
          <w:rFonts w:ascii="Book Antiqua" w:hAnsi="Book Antiqua" w:cs="Times New Roman"/>
          <w:sz w:val="24"/>
          <w:szCs w:val="24"/>
        </w:rPr>
        <w:t xml:space="preserve">; </w:t>
      </w:r>
      <w:r w:rsidR="008605AC" w:rsidRPr="00260584">
        <w:rPr>
          <w:rFonts w:ascii="Book Antiqua" w:hAnsi="Book Antiqua" w:cs="Times New Roman"/>
          <w:sz w:val="24"/>
          <w:szCs w:val="24"/>
          <w:vertAlign w:val="superscript"/>
        </w:rPr>
        <w:t>1</w:t>
      </w:r>
      <w:r w:rsidRPr="00260584">
        <w:rPr>
          <w:rFonts w:ascii="Book Antiqua" w:hAnsi="Book Antiqua" w:cs="Times New Roman"/>
          <w:sz w:val="24"/>
          <w:szCs w:val="24"/>
        </w:rPr>
        <w:t xml:space="preserve">Others- </w:t>
      </w:r>
      <w:r w:rsidR="00F55B1A" w:rsidRPr="00260584">
        <w:rPr>
          <w:rFonts w:ascii="Book Antiqua" w:hAnsi="Book Antiqua" w:cs="Times New Roman"/>
          <w:sz w:val="24"/>
          <w:szCs w:val="24"/>
        </w:rPr>
        <w:t>Includes following cancers-</w:t>
      </w:r>
      <w:r w:rsidRPr="00260584">
        <w:rPr>
          <w:rFonts w:ascii="Book Antiqua" w:hAnsi="Book Antiqua" w:cs="Times New Roman"/>
          <w:sz w:val="24"/>
          <w:szCs w:val="24"/>
        </w:rPr>
        <w:t>Endometrial; Larynx, Stomach; B cell lymphoma; Ewing’s Sarcoma; Tonsil; Osteoblastoma; Mediastinal lymphadenopathy; Peri ampullary; Testis; Pyloric antrum; Pyriform fossa; Oropharynx; Ovary; Pancreas.</w:t>
      </w:r>
    </w:p>
    <w:p w14:paraId="190865D0" w14:textId="77777777" w:rsidR="00FB104C" w:rsidRPr="00260584" w:rsidRDefault="00FB104C"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br w:type="page"/>
      </w:r>
    </w:p>
    <w:p w14:paraId="1A0C9C90" w14:textId="59654D53" w:rsidR="00406F6C" w:rsidRPr="00260584" w:rsidRDefault="00530F45" w:rsidP="00260584">
      <w:pPr>
        <w:autoSpaceDE w:val="0"/>
        <w:autoSpaceDN w:val="0"/>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
          <w:sz w:val="24"/>
          <w:szCs w:val="24"/>
        </w:rPr>
        <w:lastRenderedPageBreak/>
        <w:t>Table 2</w:t>
      </w:r>
      <w:r w:rsidR="001505E9" w:rsidRPr="00260584">
        <w:rPr>
          <w:rFonts w:ascii="Book Antiqua" w:hAnsi="Book Antiqua" w:cs="Times New Roman"/>
          <w:b/>
          <w:sz w:val="24"/>
          <w:szCs w:val="24"/>
        </w:rPr>
        <w:t xml:space="preserve"> </w:t>
      </w:r>
      <w:r w:rsidRPr="00260584">
        <w:rPr>
          <w:rFonts w:ascii="Book Antiqua" w:hAnsi="Book Antiqua" w:cs="Times New Roman"/>
          <w:b/>
          <w:sz w:val="24"/>
          <w:szCs w:val="24"/>
        </w:rPr>
        <w:t>Outcome assessments</w:t>
      </w:r>
    </w:p>
    <w:tbl>
      <w:tblPr>
        <w:tblStyle w:val="TableGrid"/>
        <w:tblW w:w="967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1"/>
        <w:gridCol w:w="1522"/>
        <w:gridCol w:w="1743"/>
        <w:gridCol w:w="1967"/>
        <w:gridCol w:w="1970"/>
      </w:tblGrid>
      <w:tr w:rsidR="008C0124" w:rsidRPr="00260584" w14:paraId="751B36E2" w14:textId="77777777" w:rsidTr="001505E9">
        <w:trPr>
          <w:trHeight w:val="1015"/>
        </w:trPr>
        <w:tc>
          <w:tcPr>
            <w:tcW w:w="2689" w:type="dxa"/>
            <w:tcBorders>
              <w:top w:val="single" w:sz="4" w:space="0" w:color="auto"/>
              <w:bottom w:val="single" w:sz="4" w:space="0" w:color="auto"/>
            </w:tcBorders>
          </w:tcPr>
          <w:p w14:paraId="377738CF" w14:textId="77777777"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Population</w:t>
            </w:r>
          </w:p>
        </w:tc>
        <w:tc>
          <w:tcPr>
            <w:tcW w:w="971" w:type="dxa"/>
            <w:tcBorders>
              <w:top w:val="single" w:sz="4" w:space="0" w:color="auto"/>
              <w:bottom w:val="single" w:sz="4" w:space="0" w:color="auto"/>
            </w:tcBorders>
          </w:tcPr>
          <w:p w14:paraId="73CB3922" w14:textId="37FFADED"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Pr="00260584">
              <w:rPr>
                <w:rFonts w:ascii="Book Antiqua" w:hAnsi="Book Antiqua" w:cs="Times New Roman"/>
                <w:b/>
                <w:i/>
                <w:iCs/>
                <w:sz w:val="24"/>
                <w:szCs w:val="24"/>
              </w:rPr>
              <w:t xml:space="preserve"> </w:t>
            </w:r>
          </w:p>
        </w:tc>
        <w:tc>
          <w:tcPr>
            <w:tcW w:w="1809" w:type="dxa"/>
            <w:tcBorders>
              <w:top w:val="single" w:sz="4" w:space="0" w:color="auto"/>
              <w:bottom w:val="single" w:sz="4" w:space="0" w:color="auto"/>
            </w:tcBorders>
          </w:tcPr>
          <w:p w14:paraId="1A2EBAD1" w14:textId="39D1DC5C"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Acute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c>
          <w:tcPr>
            <w:tcW w:w="2100" w:type="dxa"/>
            <w:tcBorders>
              <w:top w:val="single" w:sz="4" w:space="0" w:color="auto"/>
              <w:bottom w:val="single" w:sz="4" w:space="0" w:color="auto"/>
            </w:tcBorders>
          </w:tcPr>
          <w:p w14:paraId="58C5A5F9" w14:textId="5CCBF624"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Delayed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c>
          <w:tcPr>
            <w:tcW w:w="2104" w:type="dxa"/>
            <w:tcBorders>
              <w:top w:val="single" w:sz="4" w:space="0" w:color="auto"/>
              <w:bottom w:val="single" w:sz="4" w:space="0" w:color="auto"/>
            </w:tcBorders>
          </w:tcPr>
          <w:p w14:paraId="2B1C3B49" w14:textId="746EAC9D" w:rsidR="008605AC" w:rsidRPr="00260584" w:rsidRDefault="008605AC"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Overall phase</w:t>
            </w:r>
            <w:r w:rsidR="00B274D0" w:rsidRPr="00260584">
              <w:rPr>
                <w:rFonts w:ascii="Book Antiqua" w:hAnsi="Book Antiqua" w:cs="Times New Roman"/>
                <w:b/>
                <w:sz w:val="24"/>
                <w:szCs w:val="24"/>
              </w:rPr>
              <w:t>,</w:t>
            </w:r>
            <w:r w:rsidR="00B274D0" w:rsidRPr="00260584">
              <w:rPr>
                <w:rFonts w:ascii="Book Antiqua" w:hAnsi="Book Antiqua" w:cs="Times New Roman"/>
                <w:b/>
                <w:sz w:val="24"/>
                <w:szCs w:val="24"/>
                <w:lang w:eastAsia="zh-CN"/>
              </w:rPr>
              <w:t xml:space="preserve"> </w:t>
            </w:r>
            <w:r w:rsidRPr="00260584">
              <w:rPr>
                <w:rFonts w:ascii="Book Antiqua" w:hAnsi="Book Antiqua" w:cs="Times New Roman"/>
                <w:b/>
                <w:sz w:val="24"/>
                <w:szCs w:val="24"/>
              </w:rPr>
              <w:t>N</w:t>
            </w:r>
            <w:r w:rsidR="00336312" w:rsidRPr="00260584">
              <w:rPr>
                <w:rFonts w:ascii="Book Antiqua" w:hAnsi="Book Antiqua" w:cs="Times New Roman"/>
                <w:b/>
                <w:sz w:val="24"/>
                <w:szCs w:val="24"/>
              </w:rPr>
              <w:t>umber</w:t>
            </w:r>
            <w:r w:rsidRPr="00260584">
              <w:rPr>
                <w:rFonts w:ascii="Book Antiqua" w:hAnsi="Book Antiqua" w:cs="Times New Roman"/>
                <w:b/>
                <w:sz w:val="24"/>
                <w:szCs w:val="24"/>
              </w:rPr>
              <w:t xml:space="preserve"> of participants</w:t>
            </w:r>
            <w:r w:rsidR="00D3292A" w:rsidRPr="00260584">
              <w:rPr>
                <w:rFonts w:ascii="Book Antiqua" w:hAnsi="Book Antiqua" w:cs="Times New Roman"/>
                <w:b/>
                <w:sz w:val="24"/>
                <w:szCs w:val="24"/>
              </w:rPr>
              <w:t xml:space="preserve"> </w:t>
            </w:r>
            <w:r w:rsidRPr="00260584">
              <w:rPr>
                <w:rFonts w:ascii="Book Antiqua" w:hAnsi="Book Antiqua" w:cs="Times New Roman"/>
                <w:b/>
                <w:sz w:val="24"/>
                <w:szCs w:val="24"/>
              </w:rPr>
              <w:t>(%)</w:t>
            </w:r>
          </w:p>
        </w:tc>
      </w:tr>
      <w:tr w:rsidR="008C0124" w:rsidRPr="00260584" w14:paraId="7FD67480" w14:textId="77777777" w:rsidTr="001505E9">
        <w:trPr>
          <w:trHeight w:val="514"/>
        </w:trPr>
        <w:tc>
          <w:tcPr>
            <w:tcW w:w="2689" w:type="dxa"/>
            <w:tcBorders>
              <w:top w:val="single" w:sz="4" w:space="0" w:color="auto"/>
            </w:tcBorders>
          </w:tcPr>
          <w:p w14:paraId="3015745D"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Overall</w:t>
            </w:r>
          </w:p>
        </w:tc>
        <w:tc>
          <w:tcPr>
            <w:tcW w:w="971" w:type="dxa"/>
            <w:tcBorders>
              <w:top w:val="single" w:sz="4" w:space="0" w:color="auto"/>
            </w:tcBorders>
          </w:tcPr>
          <w:p w14:paraId="421DDBCB"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403</w:t>
            </w:r>
          </w:p>
        </w:tc>
        <w:tc>
          <w:tcPr>
            <w:tcW w:w="1809" w:type="dxa"/>
            <w:tcBorders>
              <w:top w:val="single" w:sz="4" w:space="0" w:color="auto"/>
            </w:tcBorders>
          </w:tcPr>
          <w:p w14:paraId="0E85C394"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397 (98.01)</w:t>
            </w:r>
          </w:p>
        </w:tc>
        <w:tc>
          <w:tcPr>
            <w:tcW w:w="2100" w:type="dxa"/>
            <w:tcBorders>
              <w:top w:val="single" w:sz="4" w:space="0" w:color="auto"/>
            </w:tcBorders>
          </w:tcPr>
          <w:p w14:paraId="3CACCD86"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378 (93.79)</w:t>
            </w:r>
          </w:p>
        </w:tc>
        <w:tc>
          <w:tcPr>
            <w:tcW w:w="2104" w:type="dxa"/>
            <w:tcBorders>
              <w:top w:val="single" w:sz="4" w:space="0" w:color="auto"/>
            </w:tcBorders>
          </w:tcPr>
          <w:p w14:paraId="4C554F77"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378 (93.79)</w:t>
            </w:r>
          </w:p>
        </w:tc>
      </w:tr>
      <w:tr w:rsidR="008C0124" w:rsidRPr="00260584" w14:paraId="4548B5C8" w14:textId="77777777" w:rsidTr="001505E9">
        <w:trPr>
          <w:trHeight w:val="1015"/>
        </w:trPr>
        <w:tc>
          <w:tcPr>
            <w:tcW w:w="2689" w:type="dxa"/>
          </w:tcPr>
          <w:p w14:paraId="61403E65"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Highly emetogenic chemotherapy</w:t>
            </w:r>
          </w:p>
        </w:tc>
        <w:tc>
          <w:tcPr>
            <w:tcW w:w="971" w:type="dxa"/>
          </w:tcPr>
          <w:p w14:paraId="78A6981B"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220</w:t>
            </w:r>
          </w:p>
        </w:tc>
        <w:tc>
          <w:tcPr>
            <w:tcW w:w="1809" w:type="dxa"/>
          </w:tcPr>
          <w:p w14:paraId="2A2647D5"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214 (97.27)</w:t>
            </w:r>
          </w:p>
        </w:tc>
        <w:tc>
          <w:tcPr>
            <w:tcW w:w="2100" w:type="dxa"/>
          </w:tcPr>
          <w:p w14:paraId="199E9252"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206 (93.63)</w:t>
            </w:r>
          </w:p>
        </w:tc>
        <w:tc>
          <w:tcPr>
            <w:tcW w:w="2104" w:type="dxa"/>
          </w:tcPr>
          <w:p w14:paraId="73600264"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206 (93.63)</w:t>
            </w:r>
          </w:p>
        </w:tc>
      </w:tr>
      <w:tr w:rsidR="008C0124" w:rsidRPr="00260584" w14:paraId="20C086C8" w14:textId="77777777" w:rsidTr="001505E9">
        <w:trPr>
          <w:trHeight w:val="1015"/>
        </w:trPr>
        <w:tc>
          <w:tcPr>
            <w:tcW w:w="2689" w:type="dxa"/>
          </w:tcPr>
          <w:p w14:paraId="11729273"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Moderately emetogenic chemotherapy</w:t>
            </w:r>
          </w:p>
        </w:tc>
        <w:tc>
          <w:tcPr>
            <w:tcW w:w="971" w:type="dxa"/>
          </w:tcPr>
          <w:p w14:paraId="7369029E"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183</w:t>
            </w:r>
          </w:p>
        </w:tc>
        <w:tc>
          <w:tcPr>
            <w:tcW w:w="1809" w:type="dxa"/>
          </w:tcPr>
          <w:p w14:paraId="1E96541F"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181 (98.90)</w:t>
            </w:r>
          </w:p>
        </w:tc>
        <w:tc>
          <w:tcPr>
            <w:tcW w:w="2100" w:type="dxa"/>
          </w:tcPr>
          <w:p w14:paraId="0825F252"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172 (93.98)</w:t>
            </w:r>
          </w:p>
        </w:tc>
        <w:tc>
          <w:tcPr>
            <w:tcW w:w="2104" w:type="dxa"/>
          </w:tcPr>
          <w:p w14:paraId="32CDEB16" w14:textId="77777777" w:rsidR="00406F6C" w:rsidRPr="00260584" w:rsidRDefault="00406F6C"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172 (93.98)</w:t>
            </w:r>
          </w:p>
        </w:tc>
      </w:tr>
    </w:tbl>
    <w:p w14:paraId="494C25C3" w14:textId="54E108A2" w:rsidR="008605AC" w:rsidRPr="00260584" w:rsidRDefault="00530F45"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sz w:val="24"/>
          <w:szCs w:val="24"/>
        </w:rPr>
        <w:t>Complete response rate</w:t>
      </w:r>
      <w:r w:rsidR="00FB104C" w:rsidRPr="00260584">
        <w:rPr>
          <w:rFonts w:ascii="Book Antiqua" w:hAnsi="Book Antiqua" w:cs="Times New Roman"/>
          <w:sz w:val="24"/>
          <w:szCs w:val="24"/>
        </w:rPr>
        <w:t xml:space="preserve"> in ac</w:t>
      </w:r>
      <w:r w:rsidRPr="00260584">
        <w:rPr>
          <w:rFonts w:ascii="Book Antiqua" w:hAnsi="Book Antiqua" w:cs="Times New Roman"/>
          <w:sz w:val="24"/>
          <w:szCs w:val="24"/>
        </w:rPr>
        <w:t>ute delayed and overall phase among</w:t>
      </w:r>
      <w:r w:rsidR="00FB104C" w:rsidRPr="00260584">
        <w:rPr>
          <w:rFonts w:ascii="Book Antiqua" w:hAnsi="Book Antiqua" w:cs="Times New Roman"/>
          <w:sz w:val="24"/>
          <w:szCs w:val="24"/>
        </w:rPr>
        <w:t xml:space="preserve"> patients on </w:t>
      </w:r>
      <w:r w:rsidR="008605AC" w:rsidRPr="00260584">
        <w:rPr>
          <w:rFonts w:ascii="Book Antiqua" w:hAnsi="Book Antiqua" w:cs="Times New Roman"/>
          <w:sz w:val="24"/>
          <w:szCs w:val="24"/>
        </w:rPr>
        <w:t>highly and moderately emetogenic chemotherapy</w:t>
      </w:r>
      <w:r w:rsidR="00FB104C" w:rsidRPr="00260584">
        <w:rPr>
          <w:rFonts w:ascii="Book Antiqua" w:hAnsi="Book Antiqua" w:cs="Times New Roman"/>
          <w:sz w:val="24"/>
          <w:szCs w:val="24"/>
        </w:rPr>
        <w:t xml:space="preserve"> regimen</w:t>
      </w:r>
      <w:r w:rsidR="001505E9" w:rsidRPr="00260584">
        <w:rPr>
          <w:rFonts w:ascii="Book Antiqua" w:hAnsi="Book Antiqua" w:cs="Times New Roman"/>
          <w:sz w:val="24"/>
          <w:szCs w:val="24"/>
        </w:rPr>
        <w:t>.</w:t>
      </w:r>
    </w:p>
    <w:p w14:paraId="6A284794" w14:textId="77777777" w:rsidR="008605AC" w:rsidRPr="00260584" w:rsidRDefault="008605AC" w:rsidP="00260584">
      <w:pPr>
        <w:adjustRightInd w:val="0"/>
        <w:snapToGrid w:val="0"/>
        <w:spacing w:after="0" w:line="360" w:lineRule="auto"/>
        <w:jc w:val="both"/>
        <w:rPr>
          <w:rFonts w:ascii="Book Antiqua" w:hAnsi="Book Antiqua" w:cs="Times New Roman"/>
          <w:b/>
          <w:sz w:val="24"/>
          <w:szCs w:val="24"/>
        </w:rPr>
      </w:pPr>
      <w:r w:rsidRPr="00260584">
        <w:rPr>
          <w:rFonts w:ascii="Book Antiqua" w:hAnsi="Book Antiqua" w:cs="Times New Roman"/>
          <w:b/>
          <w:sz w:val="24"/>
          <w:szCs w:val="24"/>
        </w:rPr>
        <w:br w:type="page"/>
      </w:r>
    </w:p>
    <w:p w14:paraId="6EB1E9C7" w14:textId="12FE6146" w:rsidR="00406F6C" w:rsidRPr="00260584" w:rsidRDefault="00B274D0" w:rsidP="00260584">
      <w:pPr>
        <w:adjustRightInd w:val="0"/>
        <w:snapToGrid w:val="0"/>
        <w:spacing w:after="0" w:line="360" w:lineRule="auto"/>
        <w:jc w:val="both"/>
        <w:rPr>
          <w:rFonts w:ascii="Book Antiqua" w:hAnsi="Book Antiqua" w:cs="Times New Roman"/>
          <w:b/>
          <w:sz w:val="24"/>
          <w:szCs w:val="24"/>
        </w:rPr>
      </w:pPr>
      <w:r w:rsidRPr="00260584">
        <w:rPr>
          <w:rFonts w:ascii="Book Antiqua" w:hAnsi="Book Antiqua" w:cs="Times New Roman"/>
          <w:b/>
          <w:bCs/>
          <w:sz w:val="24"/>
          <w:szCs w:val="24"/>
        </w:rPr>
        <w:lastRenderedPageBreak/>
        <w:t>Table 3</w:t>
      </w:r>
      <w:r w:rsidR="00530F45" w:rsidRPr="00260584">
        <w:rPr>
          <w:rFonts w:ascii="Book Antiqua" w:hAnsi="Book Antiqua" w:cs="Times New Roman"/>
          <w:b/>
          <w:bCs/>
          <w:sz w:val="24"/>
          <w:szCs w:val="24"/>
        </w:rPr>
        <w:t xml:space="preserve"> Complete respo</w:t>
      </w:r>
      <w:r w:rsidRPr="00260584">
        <w:rPr>
          <w:rFonts w:ascii="Book Antiqua" w:hAnsi="Book Antiqua" w:cs="Times New Roman"/>
          <w:b/>
          <w:bCs/>
          <w:sz w:val="24"/>
          <w:szCs w:val="24"/>
        </w:rPr>
        <w:t xml:space="preserve">nse rate among </w:t>
      </w:r>
      <w:proofErr w:type="spellStart"/>
      <w:r w:rsidRPr="00260584">
        <w:rPr>
          <w:rFonts w:ascii="Book Antiqua" w:hAnsi="Book Antiqua" w:cs="Times New Roman"/>
          <w:b/>
          <w:bCs/>
          <w:sz w:val="24"/>
          <w:szCs w:val="24"/>
        </w:rPr>
        <w:t>enroled</w:t>
      </w:r>
      <w:proofErr w:type="spellEnd"/>
      <w:r w:rsidRPr="00260584">
        <w:rPr>
          <w:rFonts w:ascii="Book Antiqua" w:hAnsi="Book Antiqua" w:cs="Times New Roman"/>
          <w:b/>
          <w:bCs/>
          <w:sz w:val="24"/>
          <w:szCs w:val="24"/>
        </w:rPr>
        <w:t xml:space="preserve"> patients</w:t>
      </w:r>
    </w:p>
    <w:tbl>
      <w:tblPr>
        <w:tblStyle w:val="TableGrid"/>
        <w:tblpPr w:leftFromText="180" w:rightFromText="180" w:vertAnchor="text" w:horzAnchor="margin" w:tblpY="57"/>
        <w:tblW w:w="935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4"/>
        <w:gridCol w:w="1673"/>
        <w:gridCol w:w="1843"/>
        <w:gridCol w:w="2126"/>
        <w:gridCol w:w="1985"/>
      </w:tblGrid>
      <w:tr w:rsidR="00A76985" w:rsidRPr="00260584" w14:paraId="1D774D64" w14:textId="77777777" w:rsidTr="001505E9">
        <w:trPr>
          <w:trHeight w:val="217"/>
        </w:trPr>
        <w:tc>
          <w:tcPr>
            <w:tcW w:w="1724" w:type="dxa"/>
            <w:tcBorders>
              <w:top w:val="single" w:sz="4" w:space="0" w:color="auto"/>
              <w:bottom w:val="single" w:sz="4" w:space="0" w:color="auto"/>
            </w:tcBorders>
          </w:tcPr>
          <w:p w14:paraId="418CFFC1" w14:textId="77777777" w:rsidR="00A76985" w:rsidRPr="00260584" w:rsidRDefault="00A76985" w:rsidP="00260584">
            <w:pPr>
              <w:adjustRightInd w:val="0"/>
              <w:snapToGrid w:val="0"/>
              <w:spacing w:line="360" w:lineRule="auto"/>
              <w:jc w:val="both"/>
              <w:rPr>
                <w:rFonts w:ascii="Book Antiqua" w:hAnsi="Book Antiqua" w:cs="Times New Roman"/>
                <w:b/>
                <w:sz w:val="24"/>
                <w:szCs w:val="24"/>
              </w:rPr>
            </w:pPr>
            <w:proofErr w:type="spellStart"/>
            <w:r w:rsidRPr="00260584">
              <w:rPr>
                <w:rFonts w:ascii="Book Antiqua" w:hAnsi="Book Antiqua" w:cs="Times New Roman"/>
                <w:b/>
                <w:sz w:val="24"/>
                <w:szCs w:val="24"/>
              </w:rPr>
              <w:t>Chemothrapy</w:t>
            </w:r>
            <w:proofErr w:type="spellEnd"/>
            <w:r w:rsidRPr="00260584">
              <w:rPr>
                <w:rFonts w:ascii="Book Antiqua" w:hAnsi="Book Antiqua" w:cs="Times New Roman"/>
                <w:b/>
                <w:sz w:val="24"/>
                <w:szCs w:val="24"/>
              </w:rPr>
              <w:t xml:space="preserve"> </w:t>
            </w:r>
          </w:p>
          <w:p w14:paraId="593C5459" w14:textId="57F87283" w:rsidR="00A76985" w:rsidRPr="00260584" w:rsidRDefault="001505E9"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c</w:t>
            </w:r>
            <w:r w:rsidR="00A76985" w:rsidRPr="00260584">
              <w:rPr>
                <w:rFonts w:ascii="Book Antiqua" w:hAnsi="Book Antiqua" w:cs="Times New Roman"/>
                <w:b/>
                <w:sz w:val="24"/>
                <w:szCs w:val="24"/>
              </w:rPr>
              <w:t>ycle</w:t>
            </w:r>
          </w:p>
        </w:tc>
        <w:tc>
          <w:tcPr>
            <w:tcW w:w="1673" w:type="dxa"/>
            <w:tcBorders>
              <w:top w:val="single" w:sz="4" w:space="0" w:color="auto"/>
              <w:bottom w:val="single" w:sz="4" w:space="0" w:color="auto"/>
            </w:tcBorders>
          </w:tcPr>
          <w:p w14:paraId="1C275886" w14:textId="6BCE31A9" w:rsidR="00A76985" w:rsidRPr="00260584" w:rsidRDefault="00A76985"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Number of participants</w:t>
            </w:r>
            <w:r w:rsidRPr="00260584">
              <w:rPr>
                <w:rFonts w:ascii="Book Antiqua" w:hAnsi="Book Antiqua" w:cs="Times New Roman"/>
                <w:b/>
                <w:i/>
                <w:iCs/>
                <w:sz w:val="24"/>
                <w:szCs w:val="24"/>
              </w:rPr>
              <w:t xml:space="preserve"> </w:t>
            </w:r>
          </w:p>
        </w:tc>
        <w:tc>
          <w:tcPr>
            <w:tcW w:w="1843" w:type="dxa"/>
            <w:tcBorders>
              <w:top w:val="single" w:sz="4" w:space="0" w:color="auto"/>
              <w:bottom w:val="single" w:sz="4" w:space="0" w:color="auto"/>
            </w:tcBorders>
          </w:tcPr>
          <w:p w14:paraId="229E8F2C" w14:textId="4DBF5066"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Acute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c>
          <w:tcPr>
            <w:tcW w:w="2126" w:type="dxa"/>
            <w:tcBorders>
              <w:top w:val="single" w:sz="4" w:space="0" w:color="auto"/>
              <w:bottom w:val="single" w:sz="4" w:space="0" w:color="auto"/>
            </w:tcBorders>
          </w:tcPr>
          <w:p w14:paraId="3E11BE01" w14:textId="6927356B"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Delayed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c>
          <w:tcPr>
            <w:tcW w:w="1985" w:type="dxa"/>
            <w:tcBorders>
              <w:top w:val="single" w:sz="4" w:space="0" w:color="auto"/>
              <w:bottom w:val="single" w:sz="4" w:space="0" w:color="auto"/>
            </w:tcBorders>
          </w:tcPr>
          <w:p w14:paraId="736C5149" w14:textId="28394FD3" w:rsidR="00A76985" w:rsidRPr="00260584" w:rsidRDefault="00B274D0" w:rsidP="00260584">
            <w:pPr>
              <w:adjustRightInd w:val="0"/>
              <w:snapToGrid w:val="0"/>
              <w:spacing w:line="360" w:lineRule="auto"/>
              <w:jc w:val="both"/>
              <w:rPr>
                <w:rFonts w:ascii="Book Antiqua" w:hAnsi="Book Antiqua" w:cs="Times New Roman"/>
                <w:b/>
                <w:sz w:val="24"/>
                <w:szCs w:val="24"/>
              </w:rPr>
            </w:pPr>
            <w:r w:rsidRPr="00260584">
              <w:rPr>
                <w:rFonts w:ascii="Book Antiqua" w:hAnsi="Book Antiqua" w:cs="Times New Roman"/>
                <w:b/>
                <w:sz w:val="24"/>
                <w:szCs w:val="24"/>
              </w:rPr>
              <w:t>Overall phase-</w:t>
            </w:r>
            <w:r w:rsidR="001B1A5A" w:rsidRPr="00260584">
              <w:rPr>
                <w:rFonts w:ascii="Book Antiqua" w:hAnsi="Book Antiqua" w:cs="Times New Roman"/>
                <w:b/>
                <w:sz w:val="24"/>
                <w:szCs w:val="24"/>
              </w:rPr>
              <w:t>n</w:t>
            </w:r>
            <w:r w:rsidR="00A76985" w:rsidRPr="00260584">
              <w:rPr>
                <w:rFonts w:ascii="Book Antiqua" w:hAnsi="Book Antiqua" w:cs="Times New Roman"/>
                <w:b/>
                <w:sz w:val="24"/>
                <w:szCs w:val="24"/>
              </w:rPr>
              <w:t>umber of participants</w:t>
            </w:r>
            <w:r w:rsidR="00D3292A" w:rsidRPr="00260584">
              <w:rPr>
                <w:rFonts w:ascii="Book Antiqua" w:hAnsi="Book Antiqua" w:cs="Times New Roman"/>
                <w:b/>
                <w:sz w:val="24"/>
                <w:szCs w:val="24"/>
              </w:rPr>
              <w:t xml:space="preserve"> </w:t>
            </w:r>
            <w:r w:rsidR="00A76985" w:rsidRPr="00260584">
              <w:rPr>
                <w:rFonts w:ascii="Book Antiqua" w:hAnsi="Book Antiqua" w:cs="Times New Roman"/>
                <w:b/>
                <w:sz w:val="24"/>
                <w:szCs w:val="24"/>
              </w:rPr>
              <w:t>(%)</w:t>
            </w:r>
          </w:p>
        </w:tc>
      </w:tr>
      <w:tr w:rsidR="00A76985" w:rsidRPr="00260584" w14:paraId="1E7920A0" w14:textId="77777777" w:rsidTr="001505E9">
        <w:trPr>
          <w:trHeight w:val="205"/>
        </w:trPr>
        <w:tc>
          <w:tcPr>
            <w:tcW w:w="1724" w:type="dxa"/>
            <w:tcBorders>
              <w:top w:val="single" w:sz="4" w:space="0" w:color="auto"/>
            </w:tcBorders>
          </w:tcPr>
          <w:p w14:paraId="04E0B027"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1</w:t>
            </w:r>
          </w:p>
        </w:tc>
        <w:tc>
          <w:tcPr>
            <w:tcW w:w="1673" w:type="dxa"/>
            <w:tcBorders>
              <w:top w:val="single" w:sz="4" w:space="0" w:color="auto"/>
            </w:tcBorders>
          </w:tcPr>
          <w:p w14:paraId="3AD26BD6"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w:t>
            </w:r>
          </w:p>
        </w:tc>
        <w:tc>
          <w:tcPr>
            <w:tcW w:w="1843" w:type="dxa"/>
            <w:tcBorders>
              <w:top w:val="single" w:sz="4" w:space="0" w:color="auto"/>
            </w:tcBorders>
          </w:tcPr>
          <w:p w14:paraId="357FB5E7"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73 (97.33)</w:t>
            </w:r>
          </w:p>
        </w:tc>
        <w:tc>
          <w:tcPr>
            <w:tcW w:w="2126" w:type="dxa"/>
            <w:tcBorders>
              <w:top w:val="single" w:sz="4" w:space="0" w:color="auto"/>
            </w:tcBorders>
          </w:tcPr>
          <w:p w14:paraId="7F722B7E"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68 (90.66)</w:t>
            </w:r>
          </w:p>
        </w:tc>
        <w:tc>
          <w:tcPr>
            <w:tcW w:w="1985" w:type="dxa"/>
            <w:tcBorders>
              <w:top w:val="single" w:sz="4" w:space="0" w:color="auto"/>
            </w:tcBorders>
          </w:tcPr>
          <w:p w14:paraId="59FB730A"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68 (90.66)</w:t>
            </w:r>
          </w:p>
        </w:tc>
      </w:tr>
      <w:tr w:rsidR="00A76985" w:rsidRPr="00260584" w14:paraId="5110045F" w14:textId="77777777" w:rsidTr="001505E9">
        <w:trPr>
          <w:trHeight w:val="217"/>
        </w:trPr>
        <w:tc>
          <w:tcPr>
            <w:tcW w:w="1724" w:type="dxa"/>
          </w:tcPr>
          <w:p w14:paraId="27E5535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w:t>
            </w:r>
          </w:p>
        </w:tc>
        <w:tc>
          <w:tcPr>
            <w:tcW w:w="1673" w:type="dxa"/>
          </w:tcPr>
          <w:p w14:paraId="23BC34A9"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89</w:t>
            </w:r>
          </w:p>
        </w:tc>
        <w:tc>
          <w:tcPr>
            <w:tcW w:w="1843" w:type="dxa"/>
          </w:tcPr>
          <w:p w14:paraId="063D065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88 (98.87)</w:t>
            </w:r>
          </w:p>
        </w:tc>
        <w:tc>
          <w:tcPr>
            <w:tcW w:w="2126" w:type="dxa"/>
          </w:tcPr>
          <w:p w14:paraId="6E2A2F38"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86 (96.22)</w:t>
            </w:r>
          </w:p>
        </w:tc>
        <w:tc>
          <w:tcPr>
            <w:tcW w:w="1985" w:type="dxa"/>
          </w:tcPr>
          <w:p w14:paraId="636266D6"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86 (96.22)</w:t>
            </w:r>
          </w:p>
        </w:tc>
      </w:tr>
      <w:tr w:rsidR="00A76985" w:rsidRPr="00260584" w14:paraId="24D62814" w14:textId="77777777" w:rsidTr="001505E9">
        <w:trPr>
          <w:trHeight w:val="205"/>
        </w:trPr>
        <w:tc>
          <w:tcPr>
            <w:tcW w:w="1724" w:type="dxa"/>
          </w:tcPr>
          <w:p w14:paraId="6E84882D"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w:t>
            </w:r>
          </w:p>
        </w:tc>
        <w:tc>
          <w:tcPr>
            <w:tcW w:w="1673" w:type="dxa"/>
          </w:tcPr>
          <w:p w14:paraId="6D69141D"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30</w:t>
            </w:r>
          </w:p>
        </w:tc>
        <w:tc>
          <w:tcPr>
            <w:tcW w:w="1843" w:type="dxa"/>
          </w:tcPr>
          <w:p w14:paraId="7335A0C8"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28 (93.33)</w:t>
            </w:r>
          </w:p>
        </w:tc>
        <w:tc>
          <w:tcPr>
            <w:tcW w:w="2126" w:type="dxa"/>
          </w:tcPr>
          <w:p w14:paraId="6B66096C"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27 (90.00)</w:t>
            </w:r>
          </w:p>
        </w:tc>
        <w:tc>
          <w:tcPr>
            <w:tcW w:w="1985" w:type="dxa"/>
          </w:tcPr>
          <w:p w14:paraId="44845C4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27 (90.00)</w:t>
            </w:r>
          </w:p>
        </w:tc>
      </w:tr>
      <w:tr w:rsidR="00A76985" w:rsidRPr="00260584" w14:paraId="12198983" w14:textId="77777777" w:rsidTr="001505E9">
        <w:trPr>
          <w:trHeight w:val="217"/>
        </w:trPr>
        <w:tc>
          <w:tcPr>
            <w:tcW w:w="1724" w:type="dxa"/>
          </w:tcPr>
          <w:p w14:paraId="46CC57E3"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4</w:t>
            </w:r>
          </w:p>
        </w:tc>
        <w:tc>
          <w:tcPr>
            <w:tcW w:w="1673" w:type="dxa"/>
          </w:tcPr>
          <w:p w14:paraId="28548A64"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90</w:t>
            </w:r>
          </w:p>
        </w:tc>
        <w:tc>
          <w:tcPr>
            <w:tcW w:w="1843" w:type="dxa"/>
          </w:tcPr>
          <w:p w14:paraId="4E4DD985"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80 (88.88)</w:t>
            </w:r>
          </w:p>
        </w:tc>
        <w:tc>
          <w:tcPr>
            <w:tcW w:w="2126" w:type="dxa"/>
          </w:tcPr>
          <w:p w14:paraId="1B9EB031"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(83.00)</w:t>
            </w:r>
          </w:p>
        </w:tc>
        <w:tc>
          <w:tcPr>
            <w:tcW w:w="1985" w:type="dxa"/>
          </w:tcPr>
          <w:p w14:paraId="31D9F85B"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75 (83.00)</w:t>
            </w:r>
          </w:p>
        </w:tc>
      </w:tr>
      <w:tr w:rsidR="00A76985" w:rsidRPr="00260584" w14:paraId="4BC5AB6E" w14:textId="77777777" w:rsidTr="001505E9">
        <w:trPr>
          <w:trHeight w:val="205"/>
        </w:trPr>
        <w:tc>
          <w:tcPr>
            <w:tcW w:w="1724" w:type="dxa"/>
          </w:tcPr>
          <w:p w14:paraId="78BD20E2"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w:t>
            </w:r>
          </w:p>
        </w:tc>
        <w:tc>
          <w:tcPr>
            <w:tcW w:w="1673" w:type="dxa"/>
          </w:tcPr>
          <w:p w14:paraId="0AA36415"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w:t>
            </w:r>
          </w:p>
        </w:tc>
        <w:tc>
          <w:tcPr>
            <w:tcW w:w="1843" w:type="dxa"/>
          </w:tcPr>
          <w:p w14:paraId="39433559"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52 (100.00)</w:t>
            </w:r>
          </w:p>
        </w:tc>
        <w:tc>
          <w:tcPr>
            <w:tcW w:w="2126" w:type="dxa"/>
          </w:tcPr>
          <w:p w14:paraId="62626841"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51 (98.07)</w:t>
            </w:r>
          </w:p>
        </w:tc>
        <w:tc>
          <w:tcPr>
            <w:tcW w:w="1985" w:type="dxa"/>
          </w:tcPr>
          <w:p w14:paraId="7446660B"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51 (98.07)</w:t>
            </w:r>
          </w:p>
        </w:tc>
      </w:tr>
      <w:tr w:rsidR="00A76985" w:rsidRPr="00260584" w14:paraId="4DF36573" w14:textId="77777777" w:rsidTr="001505E9">
        <w:trPr>
          <w:trHeight w:val="217"/>
        </w:trPr>
        <w:tc>
          <w:tcPr>
            <w:tcW w:w="1724" w:type="dxa"/>
          </w:tcPr>
          <w:p w14:paraId="794E897A" w14:textId="0E1986AB"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&gt;</w:t>
            </w:r>
            <w:r w:rsidR="001505E9" w:rsidRPr="00260584">
              <w:rPr>
                <w:rFonts w:ascii="Book Antiqua" w:hAnsi="Book Antiqua" w:cs="Times New Roman"/>
                <w:sz w:val="24"/>
                <w:szCs w:val="24"/>
              </w:rPr>
              <w:t xml:space="preserve"> </w:t>
            </w:r>
            <w:r w:rsidRPr="00260584">
              <w:rPr>
                <w:rFonts w:ascii="Book Antiqua" w:hAnsi="Book Antiqua" w:cs="Times New Roman"/>
                <w:sz w:val="24"/>
                <w:szCs w:val="24"/>
              </w:rPr>
              <w:t>5</w:t>
            </w:r>
          </w:p>
        </w:tc>
        <w:tc>
          <w:tcPr>
            <w:tcW w:w="1673" w:type="dxa"/>
          </w:tcPr>
          <w:p w14:paraId="54FD0A73"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67</w:t>
            </w:r>
          </w:p>
        </w:tc>
        <w:tc>
          <w:tcPr>
            <w:tcW w:w="1843" w:type="dxa"/>
          </w:tcPr>
          <w:p w14:paraId="0A86C4C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65 (97.01)</w:t>
            </w:r>
          </w:p>
        </w:tc>
        <w:tc>
          <w:tcPr>
            <w:tcW w:w="2126" w:type="dxa"/>
          </w:tcPr>
          <w:p w14:paraId="6F38E34E"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(94.02)</w:t>
            </w:r>
          </w:p>
        </w:tc>
        <w:tc>
          <w:tcPr>
            <w:tcW w:w="1985" w:type="dxa"/>
          </w:tcPr>
          <w:p w14:paraId="74752AAF" w14:textId="77777777" w:rsidR="00A76985" w:rsidRPr="00260584" w:rsidRDefault="00A76985" w:rsidP="00260584">
            <w:pPr>
              <w:adjustRightInd w:val="0"/>
              <w:snapToGrid w:val="0"/>
              <w:spacing w:line="360" w:lineRule="auto"/>
              <w:jc w:val="both"/>
              <w:rPr>
                <w:rFonts w:ascii="Book Antiqua" w:hAnsi="Book Antiqua" w:cs="Times New Roman"/>
                <w:sz w:val="24"/>
                <w:szCs w:val="24"/>
              </w:rPr>
            </w:pPr>
            <w:r w:rsidRPr="00260584">
              <w:rPr>
                <w:rFonts w:ascii="Book Antiqua" w:hAnsi="Book Antiqua" w:cs="Times New Roman"/>
                <w:sz w:val="24"/>
                <w:szCs w:val="24"/>
              </w:rPr>
              <w:t>63 (94.02)</w:t>
            </w:r>
          </w:p>
        </w:tc>
      </w:tr>
    </w:tbl>
    <w:bookmarkEnd w:id="100"/>
    <w:p w14:paraId="17B572A8" w14:textId="421ED4B2" w:rsidR="00FB104C" w:rsidRPr="00260584" w:rsidRDefault="00530F45" w:rsidP="00260584">
      <w:pPr>
        <w:adjustRightInd w:val="0"/>
        <w:snapToGrid w:val="0"/>
        <w:spacing w:after="0" w:line="360" w:lineRule="auto"/>
        <w:jc w:val="both"/>
        <w:rPr>
          <w:rFonts w:ascii="Book Antiqua" w:hAnsi="Book Antiqua" w:cs="Times New Roman"/>
          <w:sz w:val="24"/>
          <w:szCs w:val="24"/>
        </w:rPr>
      </w:pPr>
      <w:r w:rsidRPr="00260584">
        <w:rPr>
          <w:rFonts w:ascii="Book Antiqua" w:hAnsi="Book Antiqua" w:cs="Times New Roman"/>
          <w:bCs/>
          <w:sz w:val="24"/>
          <w:szCs w:val="24"/>
        </w:rPr>
        <w:t xml:space="preserve">Complete response rate </w:t>
      </w:r>
      <w:r w:rsidR="00FB104C" w:rsidRPr="00260584">
        <w:rPr>
          <w:rFonts w:ascii="Book Antiqua" w:hAnsi="Book Antiqua" w:cs="Times New Roman"/>
          <w:bCs/>
          <w:sz w:val="24"/>
          <w:szCs w:val="24"/>
        </w:rPr>
        <w:t>in acute</w:t>
      </w:r>
      <w:r w:rsidR="00336312" w:rsidRPr="00260584">
        <w:rPr>
          <w:rFonts w:ascii="Book Antiqua" w:hAnsi="Book Antiqua" w:cs="Times New Roman"/>
          <w:bCs/>
          <w:sz w:val="24"/>
          <w:szCs w:val="24"/>
        </w:rPr>
        <w:t xml:space="preserve">, </w:t>
      </w:r>
      <w:r w:rsidR="00FB104C" w:rsidRPr="00260584">
        <w:rPr>
          <w:rFonts w:ascii="Book Antiqua" w:hAnsi="Book Antiqua" w:cs="Times New Roman"/>
          <w:bCs/>
          <w:sz w:val="24"/>
          <w:szCs w:val="24"/>
        </w:rPr>
        <w:t xml:space="preserve">delayed and overall phase </w:t>
      </w:r>
      <w:r w:rsidRPr="00260584">
        <w:rPr>
          <w:rFonts w:ascii="Book Antiqua" w:hAnsi="Book Antiqua" w:cs="Times New Roman"/>
          <w:bCs/>
          <w:sz w:val="24"/>
          <w:szCs w:val="24"/>
        </w:rPr>
        <w:t xml:space="preserve">among patients enrolled in </w:t>
      </w:r>
      <w:r w:rsidR="00FB104C" w:rsidRPr="00260584">
        <w:rPr>
          <w:rFonts w:ascii="Book Antiqua" w:hAnsi="Book Antiqua" w:cs="Times New Roman"/>
          <w:bCs/>
          <w:sz w:val="24"/>
          <w:szCs w:val="24"/>
        </w:rPr>
        <w:t>various cycles of chemotherapy</w:t>
      </w:r>
      <w:r w:rsidR="001505E9" w:rsidRPr="00260584">
        <w:rPr>
          <w:rFonts w:ascii="Book Antiqua" w:hAnsi="Book Antiqua" w:cs="Times New Roman"/>
          <w:bCs/>
          <w:sz w:val="24"/>
          <w:szCs w:val="24"/>
        </w:rPr>
        <w:t>.</w:t>
      </w:r>
    </w:p>
    <w:sectPr w:rsidR="00FB104C" w:rsidRPr="00260584" w:rsidSect="00011EBB">
      <w:headerReference w:type="default" r:id="rId11"/>
      <w:footerReference w:type="default" r:id="rId12"/>
      <w:pgSz w:w="12240" w:h="1584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A5E3B" w14:textId="77777777" w:rsidR="001C58C7" w:rsidRDefault="001C58C7" w:rsidP="00637FAC">
      <w:pPr>
        <w:spacing w:after="0" w:line="240" w:lineRule="auto"/>
      </w:pPr>
      <w:r>
        <w:separator/>
      </w:r>
    </w:p>
  </w:endnote>
  <w:endnote w:type="continuationSeparator" w:id="0">
    <w:p w14:paraId="3A7C5176" w14:textId="77777777" w:rsidR="001C58C7" w:rsidRDefault="001C58C7" w:rsidP="00637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PMincho">
    <w:panose1 w:val="02020600040205080304"/>
    <w:charset w:val="80"/>
    <w:family w:val="roman"/>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YouYuan">
    <w:altName w:val="Microsoft YaHei"/>
    <w:panose1 w:val="020B0604020202020204"/>
    <w:charset w:val="86"/>
    <w:family w:val="modern"/>
    <w:pitch w:val="fixed"/>
    <w:sig w:usb0="00000001" w:usb1="080E0000" w:usb2="00000010" w:usb3="00000000" w:csb0="00040000" w:csb1="00000000"/>
  </w:font>
  <w:font w:name="Segoe UI">
    <w:altName w:val="Arial"/>
    <w:panose1 w:val="020B0604020202020204"/>
    <w:charset w:val="00"/>
    <w:family w:val="swiss"/>
    <w:pitch w:val="variable"/>
    <w:sig w:usb0="E4002EFF" w:usb1="C000E47F" w:usb2="00000009" w:usb3="00000000" w:csb0="000001FF" w:csb1="00000000"/>
  </w:font>
  <w:font w:name="TimesNewRomanPS-BoldItalicMT">
    <w:panose1 w:val="02020703060505090304"/>
    <w:charset w:val="00"/>
    <w:family w:val="auto"/>
    <w:pitch w:val="variable"/>
    <w:sig w:usb0="E0000AFF" w:usb1="00007843" w:usb2="00000001" w:usb3="00000000" w:csb0="000001BF" w:csb1="00000000"/>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43897"/>
      <w:docPartObj>
        <w:docPartGallery w:val="Page Numbers (Bottom of Page)"/>
        <w:docPartUnique/>
      </w:docPartObj>
    </w:sdtPr>
    <w:sdtEndPr/>
    <w:sdtContent>
      <w:sdt>
        <w:sdtPr>
          <w:id w:val="-1769616900"/>
          <w:docPartObj>
            <w:docPartGallery w:val="Page Numbers (Top of Page)"/>
            <w:docPartUnique/>
          </w:docPartObj>
        </w:sdtPr>
        <w:sdtEndPr/>
        <w:sdtContent>
          <w:p w14:paraId="4B9DAA2A" w14:textId="64901316" w:rsidR="00260584" w:rsidRDefault="00260584">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1B1A5A">
              <w:rPr>
                <w:b/>
                <w:bCs/>
                <w:noProof/>
              </w:rPr>
              <w:t>20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1B1A5A">
              <w:rPr>
                <w:b/>
                <w:bCs/>
                <w:noProof/>
              </w:rPr>
              <w:t>22</w:t>
            </w:r>
            <w:r>
              <w:rPr>
                <w:b/>
                <w:bCs/>
                <w:sz w:val="24"/>
                <w:szCs w:val="24"/>
              </w:rPr>
              <w:fldChar w:fldCharType="end"/>
            </w:r>
          </w:p>
        </w:sdtContent>
      </w:sdt>
    </w:sdtContent>
  </w:sdt>
  <w:p w14:paraId="38CE646B" w14:textId="77777777" w:rsidR="00160197" w:rsidRDefault="00160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425A7" w14:textId="77777777" w:rsidR="001C58C7" w:rsidRDefault="001C58C7" w:rsidP="00637FAC">
      <w:pPr>
        <w:spacing w:after="0" w:line="240" w:lineRule="auto"/>
      </w:pPr>
      <w:r>
        <w:separator/>
      </w:r>
    </w:p>
  </w:footnote>
  <w:footnote w:type="continuationSeparator" w:id="0">
    <w:p w14:paraId="36B99170" w14:textId="77777777" w:rsidR="001C58C7" w:rsidRDefault="001C58C7" w:rsidP="00637F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A7CA" w14:textId="7DA0965A" w:rsidR="003D1E06" w:rsidRDefault="003D1E06">
    <w:pPr>
      <w:pStyle w:val="Header"/>
      <w:jc w:val="center"/>
    </w:pPr>
  </w:p>
  <w:p w14:paraId="7AECE19A" w14:textId="77777777" w:rsidR="00A11957" w:rsidRDefault="00A119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762490"/>
    <w:multiLevelType w:val="hybridMultilevel"/>
    <w:tmpl w:val="063476AA"/>
    <w:lvl w:ilvl="0" w:tplc="D1DEE184">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626A40C9"/>
    <w:multiLevelType w:val="hybridMultilevel"/>
    <w:tmpl w:val="F56A63A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hideSpellingErrors/>
  <w:hideGrammaticalErrors/>
  <w:proofState w:spelling="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D01"/>
    <w:rsid w:val="000000FD"/>
    <w:rsid w:val="0001084E"/>
    <w:rsid w:val="00011EBB"/>
    <w:rsid w:val="0002172B"/>
    <w:rsid w:val="00043A16"/>
    <w:rsid w:val="0004770C"/>
    <w:rsid w:val="00050908"/>
    <w:rsid w:val="000571CC"/>
    <w:rsid w:val="0005725B"/>
    <w:rsid w:val="00067E71"/>
    <w:rsid w:val="00073270"/>
    <w:rsid w:val="00073D9E"/>
    <w:rsid w:val="0007480C"/>
    <w:rsid w:val="00074E7E"/>
    <w:rsid w:val="00075E91"/>
    <w:rsid w:val="00076547"/>
    <w:rsid w:val="000767B9"/>
    <w:rsid w:val="000849D8"/>
    <w:rsid w:val="000857EF"/>
    <w:rsid w:val="00097A5F"/>
    <w:rsid w:val="000A28E1"/>
    <w:rsid w:val="000A6294"/>
    <w:rsid w:val="000A7512"/>
    <w:rsid w:val="000B2052"/>
    <w:rsid w:val="000B260A"/>
    <w:rsid w:val="000B36DC"/>
    <w:rsid w:val="000B3B41"/>
    <w:rsid w:val="000B3B93"/>
    <w:rsid w:val="000B5FA1"/>
    <w:rsid w:val="000C3A60"/>
    <w:rsid w:val="000C72A6"/>
    <w:rsid w:val="000E0A3D"/>
    <w:rsid w:val="000E66DC"/>
    <w:rsid w:val="000F1495"/>
    <w:rsid w:val="00100AB4"/>
    <w:rsid w:val="001029DF"/>
    <w:rsid w:val="0010566A"/>
    <w:rsid w:val="00110209"/>
    <w:rsid w:val="00111244"/>
    <w:rsid w:val="001113D2"/>
    <w:rsid w:val="00111A9A"/>
    <w:rsid w:val="00112D95"/>
    <w:rsid w:val="00115062"/>
    <w:rsid w:val="0011636C"/>
    <w:rsid w:val="00123722"/>
    <w:rsid w:val="00135B2D"/>
    <w:rsid w:val="001366D0"/>
    <w:rsid w:val="001421C7"/>
    <w:rsid w:val="00144EFB"/>
    <w:rsid w:val="001505E9"/>
    <w:rsid w:val="00150F67"/>
    <w:rsid w:val="00151573"/>
    <w:rsid w:val="00155590"/>
    <w:rsid w:val="00157189"/>
    <w:rsid w:val="00160197"/>
    <w:rsid w:val="0016367F"/>
    <w:rsid w:val="00165591"/>
    <w:rsid w:val="00173235"/>
    <w:rsid w:val="001747ED"/>
    <w:rsid w:val="001840B0"/>
    <w:rsid w:val="001903E9"/>
    <w:rsid w:val="0019216C"/>
    <w:rsid w:val="001927D8"/>
    <w:rsid w:val="001B043D"/>
    <w:rsid w:val="001B0F20"/>
    <w:rsid w:val="001B1A5A"/>
    <w:rsid w:val="001B33DB"/>
    <w:rsid w:val="001C0C96"/>
    <w:rsid w:val="001C38DF"/>
    <w:rsid w:val="001C58C7"/>
    <w:rsid w:val="001C5F8B"/>
    <w:rsid w:val="001D201A"/>
    <w:rsid w:val="001D4CF8"/>
    <w:rsid w:val="001D4D65"/>
    <w:rsid w:val="001D61EF"/>
    <w:rsid w:val="001D7D73"/>
    <w:rsid w:val="001E66EC"/>
    <w:rsid w:val="001E7F6A"/>
    <w:rsid w:val="001F0F57"/>
    <w:rsid w:val="00201213"/>
    <w:rsid w:val="00202162"/>
    <w:rsid w:val="002079AA"/>
    <w:rsid w:val="00210771"/>
    <w:rsid w:val="002151B0"/>
    <w:rsid w:val="0021544A"/>
    <w:rsid w:val="002231B4"/>
    <w:rsid w:val="002246F9"/>
    <w:rsid w:val="0023278C"/>
    <w:rsid w:val="002331F3"/>
    <w:rsid w:val="00234380"/>
    <w:rsid w:val="00240A46"/>
    <w:rsid w:val="00240DBC"/>
    <w:rsid w:val="00243A22"/>
    <w:rsid w:val="00251C06"/>
    <w:rsid w:val="00252707"/>
    <w:rsid w:val="00253A9E"/>
    <w:rsid w:val="00260584"/>
    <w:rsid w:val="0026612A"/>
    <w:rsid w:val="00270D7F"/>
    <w:rsid w:val="002724B5"/>
    <w:rsid w:val="00275E51"/>
    <w:rsid w:val="00287536"/>
    <w:rsid w:val="002A5944"/>
    <w:rsid w:val="002A5BD4"/>
    <w:rsid w:val="002A61D6"/>
    <w:rsid w:val="002B0EAE"/>
    <w:rsid w:val="002B1B32"/>
    <w:rsid w:val="002C3016"/>
    <w:rsid w:val="002C4C6E"/>
    <w:rsid w:val="002D02AE"/>
    <w:rsid w:val="002D27B0"/>
    <w:rsid w:val="002D27E5"/>
    <w:rsid w:val="002D7823"/>
    <w:rsid w:val="002E045C"/>
    <w:rsid w:val="002E6454"/>
    <w:rsid w:val="002F19CA"/>
    <w:rsid w:val="002F799A"/>
    <w:rsid w:val="00311EC2"/>
    <w:rsid w:val="00315AFF"/>
    <w:rsid w:val="003168A3"/>
    <w:rsid w:val="00316DA3"/>
    <w:rsid w:val="003171E8"/>
    <w:rsid w:val="0032031C"/>
    <w:rsid w:val="00324542"/>
    <w:rsid w:val="00324AD6"/>
    <w:rsid w:val="00331988"/>
    <w:rsid w:val="00331E18"/>
    <w:rsid w:val="00336312"/>
    <w:rsid w:val="00341FCA"/>
    <w:rsid w:val="00345A40"/>
    <w:rsid w:val="003468A7"/>
    <w:rsid w:val="00350804"/>
    <w:rsid w:val="0036206C"/>
    <w:rsid w:val="00371CC4"/>
    <w:rsid w:val="00372422"/>
    <w:rsid w:val="003770F8"/>
    <w:rsid w:val="003827F2"/>
    <w:rsid w:val="003A1F4C"/>
    <w:rsid w:val="003A74D6"/>
    <w:rsid w:val="003B1898"/>
    <w:rsid w:val="003B2406"/>
    <w:rsid w:val="003B41D7"/>
    <w:rsid w:val="003B5697"/>
    <w:rsid w:val="003C5D01"/>
    <w:rsid w:val="003C6888"/>
    <w:rsid w:val="003D1E06"/>
    <w:rsid w:val="003D58D6"/>
    <w:rsid w:val="003E0353"/>
    <w:rsid w:val="003E1746"/>
    <w:rsid w:val="00405DD4"/>
    <w:rsid w:val="00406F6C"/>
    <w:rsid w:val="004139B3"/>
    <w:rsid w:val="00413CFF"/>
    <w:rsid w:val="0041442C"/>
    <w:rsid w:val="00422FB6"/>
    <w:rsid w:val="0042460C"/>
    <w:rsid w:val="00425A5A"/>
    <w:rsid w:val="00437B53"/>
    <w:rsid w:val="00437C7B"/>
    <w:rsid w:val="00441D84"/>
    <w:rsid w:val="00441FC1"/>
    <w:rsid w:val="00457901"/>
    <w:rsid w:val="00457F7E"/>
    <w:rsid w:val="00460F5A"/>
    <w:rsid w:val="004619D1"/>
    <w:rsid w:val="004620CC"/>
    <w:rsid w:val="00465E1B"/>
    <w:rsid w:val="00470AD1"/>
    <w:rsid w:val="004738E2"/>
    <w:rsid w:val="0047502F"/>
    <w:rsid w:val="0048016D"/>
    <w:rsid w:val="004874E0"/>
    <w:rsid w:val="004A2260"/>
    <w:rsid w:val="004A3E4E"/>
    <w:rsid w:val="004A5889"/>
    <w:rsid w:val="004B6D4A"/>
    <w:rsid w:val="004C0F46"/>
    <w:rsid w:val="004C2EC2"/>
    <w:rsid w:val="004C4EEF"/>
    <w:rsid w:val="004C4F83"/>
    <w:rsid w:val="004D1B71"/>
    <w:rsid w:val="004D36DE"/>
    <w:rsid w:val="004D48AC"/>
    <w:rsid w:val="004E6617"/>
    <w:rsid w:val="004E6C8F"/>
    <w:rsid w:val="004F18EE"/>
    <w:rsid w:val="004F36FB"/>
    <w:rsid w:val="0050373A"/>
    <w:rsid w:val="00506CDD"/>
    <w:rsid w:val="005070B2"/>
    <w:rsid w:val="00514BB1"/>
    <w:rsid w:val="00515AFD"/>
    <w:rsid w:val="00530F45"/>
    <w:rsid w:val="00532B06"/>
    <w:rsid w:val="00537E80"/>
    <w:rsid w:val="00550403"/>
    <w:rsid w:val="00552B3F"/>
    <w:rsid w:val="005621A6"/>
    <w:rsid w:val="00566436"/>
    <w:rsid w:val="00572142"/>
    <w:rsid w:val="00572BF6"/>
    <w:rsid w:val="005736A4"/>
    <w:rsid w:val="00581C5D"/>
    <w:rsid w:val="0058506C"/>
    <w:rsid w:val="00585E89"/>
    <w:rsid w:val="00590012"/>
    <w:rsid w:val="005A3E1A"/>
    <w:rsid w:val="005A46B2"/>
    <w:rsid w:val="005B1541"/>
    <w:rsid w:val="005B345C"/>
    <w:rsid w:val="005B7204"/>
    <w:rsid w:val="005D14E2"/>
    <w:rsid w:val="005E06B0"/>
    <w:rsid w:val="005E4B41"/>
    <w:rsid w:val="005F1D79"/>
    <w:rsid w:val="005F369B"/>
    <w:rsid w:val="005F58B4"/>
    <w:rsid w:val="00601A77"/>
    <w:rsid w:val="0060218C"/>
    <w:rsid w:val="00603291"/>
    <w:rsid w:val="0060473B"/>
    <w:rsid w:val="00606A0B"/>
    <w:rsid w:val="0061156D"/>
    <w:rsid w:val="00617050"/>
    <w:rsid w:val="006256C3"/>
    <w:rsid w:val="00626BD2"/>
    <w:rsid w:val="00637FAC"/>
    <w:rsid w:val="00637FEF"/>
    <w:rsid w:val="006423D5"/>
    <w:rsid w:val="006449BC"/>
    <w:rsid w:val="006466AA"/>
    <w:rsid w:val="00647F3C"/>
    <w:rsid w:val="00654888"/>
    <w:rsid w:val="00655B06"/>
    <w:rsid w:val="00660687"/>
    <w:rsid w:val="00666BC9"/>
    <w:rsid w:val="00670418"/>
    <w:rsid w:val="00680BDE"/>
    <w:rsid w:val="006879A4"/>
    <w:rsid w:val="00690D91"/>
    <w:rsid w:val="00690EAD"/>
    <w:rsid w:val="006927F0"/>
    <w:rsid w:val="00693CD0"/>
    <w:rsid w:val="00696C8D"/>
    <w:rsid w:val="00697F7D"/>
    <w:rsid w:val="006A0A8A"/>
    <w:rsid w:val="006A4158"/>
    <w:rsid w:val="006A6579"/>
    <w:rsid w:val="006B0A66"/>
    <w:rsid w:val="006B2659"/>
    <w:rsid w:val="006B2D5E"/>
    <w:rsid w:val="006C0B36"/>
    <w:rsid w:val="006C1807"/>
    <w:rsid w:val="006D2ECA"/>
    <w:rsid w:val="006E76CE"/>
    <w:rsid w:val="006F1511"/>
    <w:rsid w:val="007001BA"/>
    <w:rsid w:val="007118DE"/>
    <w:rsid w:val="007128AA"/>
    <w:rsid w:val="0071344F"/>
    <w:rsid w:val="0071381F"/>
    <w:rsid w:val="00715233"/>
    <w:rsid w:val="0072206C"/>
    <w:rsid w:val="00723A6D"/>
    <w:rsid w:val="007309F0"/>
    <w:rsid w:val="00744A89"/>
    <w:rsid w:val="00762309"/>
    <w:rsid w:val="007649BC"/>
    <w:rsid w:val="007709D7"/>
    <w:rsid w:val="007740AC"/>
    <w:rsid w:val="007743EE"/>
    <w:rsid w:val="007745F9"/>
    <w:rsid w:val="007748E2"/>
    <w:rsid w:val="0077678A"/>
    <w:rsid w:val="00782B7B"/>
    <w:rsid w:val="00792296"/>
    <w:rsid w:val="007943A9"/>
    <w:rsid w:val="007971AA"/>
    <w:rsid w:val="007A4B29"/>
    <w:rsid w:val="007B0874"/>
    <w:rsid w:val="007B202D"/>
    <w:rsid w:val="007B4786"/>
    <w:rsid w:val="007B5D09"/>
    <w:rsid w:val="007B7FE3"/>
    <w:rsid w:val="007D24CD"/>
    <w:rsid w:val="007D5970"/>
    <w:rsid w:val="007E1F0F"/>
    <w:rsid w:val="007E21C4"/>
    <w:rsid w:val="007E2B24"/>
    <w:rsid w:val="007E3179"/>
    <w:rsid w:val="007E7EB3"/>
    <w:rsid w:val="007F1967"/>
    <w:rsid w:val="007F2BD8"/>
    <w:rsid w:val="007F305A"/>
    <w:rsid w:val="00806E62"/>
    <w:rsid w:val="00833874"/>
    <w:rsid w:val="008401CD"/>
    <w:rsid w:val="00840B46"/>
    <w:rsid w:val="00843266"/>
    <w:rsid w:val="0085257B"/>
    <w:rsid w:val="00852FBB"/>
    <w:rsid w:val="00853891"/>
    <w:rsid w:val="008605AC"/>
    <w:rsid w:val="00860AF2"/>
    <w:rsid w:val="00864A8E"/>
    <w:rsid w:val="00865ED3"/>
    <w:rsid w:val="00873D58"/>
    <w:rsid w:val="0087430B"/>
    <w:rsid w:val="008830D1"/>
    <w:rsid w:val="00884382"/>
    <w:rsid w:val="00890BB5"/>
    <w:rsid w:val="00893945"/>
    <w:rsid w:val="008964D3"/>
    <w:rsid w:val="00897ABC"/>
    <w:rsid w:val="008A303F"/>
    <w:rsid w:val="008A33E3"/>
    <w:rsid w:val="008A376F"/>
    <w:rsid w:val="008A45E5"/>
    <w:rsid w:val="008A5E78"/>
    <w:rsid w:val="008B732E"/>
    <w:rsid w:val="008C0124"/>
    <w:rsid w:val="008D3CAC"/>
    <w:rsid w:val="008F12E8"/>
    <w:rsid w:val="008F63F8"/>
    <w:rsid w:val="00900796"/>
    <w:rsid w:val="00901C4E"/>
    <w:rsid w:val="0090311E"/>
    <w:rsid w:val="00910ACC"/>
    <w:rsid w:val="00913C5A"/>
    <w:rsid w:val="00915B6A"/>
    <w:rsid w:val="00916F65"/>
    <w:rsid w:val="009171CE"/>
    <w:rsid w:val="009310E4"/>
    <w:rsid w:val="00940766"/>
    <w:rsid w:val="00943C2D"/>
    <w:rsid w:val="00945C46"/>
    <w:rsid w:val="00947B6A"/>
    <w:rsid w:val="009502CA"/>
    <w:rsid w:val="00951D35"/>
    <w:rsid w:val="009567F6"/>
    <w:rsid w:val="0096399E"/>
    <w:rsid w:val="0097002A"/>
    <w:rsid w:val="0097341B"/>
    <w:rsid w:val="00975682"/>
    <w:rsid w:val="00981F9B"/>
    <w:rsid w:val="00987797"/>
    <w:rsid w:val="00990CD3"/>
    <w:rsid w:val="00991E98"/>
    <w:rsid w:val="00992B63"/>
    <w:rsid w:val="00993590"/>
    <w:rsid w:val="00993867"/>
    <w:rsid w:val="0099562E"/>
    <w:rsid w:val="009966DB"/>
    <w:rsid w:val="009A24D6"/>
    <w:rsid w:val="009A2661"/>
    <w:rsid w:val="009A47C7"/>
    <w:rsid w:val="009B0D8E"/>
    <w:rsid w:val="009B0F59"/>
    <w:rsid w:val="009B1B1D"/>
    <w:rsid w:val="009B3866"/>
    <w:rsid w:val="009B46FD"/>
    <w:rsid w:val="009C48CA"/>
    <w:rsid w:val="009C74AE"/>
    <w:rsid w:val="009D0BAC"/>
    <w:rsid w:val="009D12E2"/>
    <w:rsid w:val="009D1473"/>
    <w:rsid w:val="009D4438"/>
    <w:rsid w:val="009D4DBC"/>
    <w:rsid w:val="009D5A5F"/>
    <w:rsid w:val="009D6D16"/>
    <w:rsid w:val="009E1296"/>
    <w:rsid w:val="009E1AB1"/>
    <w:rsid w:val="009E45FE"/>
    <w:rsid w:val="009F116D"/>
    <w:rsid w:val="009F3029"/>
    <w:rsid w:val="009F6A34"/>
    <w:rsid w:val="009F71EB"/>
    <w:rsid w:val="00A00E8A"/>
    <w:rsid w:val="00A01C02"/>
    <w:rsid w:val="00A044FE"/>
    <w:rsid w:val="00A07DCA"/>
    <w:rsid w:val="00A105B0"/>
    <w:rsid w:val="00A11754"/>
    <w:rsid w:val="00A11957"/>
    <w:rsid w:val="00A159E1"/>
    <w:rsid w:val="00A20B9F"/>
    <w:rsid w:val="00A21E5B"/>
    <w:rsid w:val="00A4370C"/>
    <w:rsid w:val="00A45E69"/>
    <w:rsid w:val="00A47015"/>
    <w:rsid w:val="00A52752"/>
    <w:rsid w:val="00A6501F"/>
    <w:rsid w:val="00A67FC0"/>
    <w:rsid w:val="00A76985"/>
    <w:rsid w:val="00A7777D"/>
    <w:rsid w:val="00A77C33"/>
    <w:rsid w:val="00A823F8"/>
    <w:rsid w:val="00A83543"/>
    <w:rsid w:val="00A84AC9"/>
    <w:rsid w:val="00A919B4"/>
    <w:rsid w:val="00A92909"/>
    <w:rsid w:val="00A94C4F"/>
    <w:rsid w:val="00A96493"/>
    <w:rsid w:val="00A96A4F"/>
    <w:rsid w:val="00AA2DC9"/>
    <w:rsid w:val="00AA52D0"/>
    <w:rsid w:val="00AA6AAF"/>
    <w:rsid w:val="00AA6F17"/>
    <w:rsid w:val="00AB2DCE"/>
    <w:rsid w:val="00AC2A97"/>
    <w:rsid w:val="00AD194D"/>
    <w:rsid w:val="00AE001A"/>
    <w:rsid w:val="00AF0F69"/>
    <w:rsid w:val="00AF375A"/>
    <w:rsid w:val="00B045AC"/>
    <w:rsid w:val="00B10FAD"/>
    <w:rsid w:val="00B140BF"/>
    <w:rsid w:val="00B14535"/>
    <w:rsid w:val="00B1508C"/>
    <w:rsid w:val="00B21A95"/>
    <w:rsid w:val="00B25A94"/>
    <w:rsid w:val="00B25E76"/>
    <w:rsid w:val="00B271EC"/>
    <w:rsid w:val="00B274D0"/>
    <w:rsid w:val="00B35DC5"/>
    <w:rsid w:val="00B41935"/>
    <w:rsid w:val="00B50163"/>
    <w:rsid w:val="00B52583"/>
    <w:rsid w:val="00B63D61"/>
    <w:rsid w:val="00B64921"/>
    <w:rsid w:val="00B70E45"/>
    <w:rsid w:val="00B716FD"/>
    <w:rsid w:val="00B77F6F"/>
    <w:rsid w:val="00B81285"/>
    <w:rsid w:val="00B84060"/>
    <w:rsid w:val="00B840EB"/>
    <w:rsid w:val="00B859A2"/>
    <w:rsid w:val="00B90EE5"/>
    <w:rsid w:val="00B913C7"/>
    <w:rsid w:val="00B923E0"/>
    <w:rsid w:val="00B945E7"/>
    <w:rsid w:val="00B94623"/>
    <w:rsid w:val="00BA0228"/>
    <w:rsid w:val="00BA43FD"/>
    <w:rsid w:val="00BB1947"/>
    <w:rsid w:val="00BB3F5A"/>
    <w:rsid w:val="00BB45F7"/>
    <w:rsid w:val="00BB54F7"/>
    <w:rsid w:val="00BB72D0"/>
    <w:rsid w:val="00BC235D"/>
    <w:rsid w:val="00BC238E"/>
    <w:rsid w:val="00BC2523"/>
    <w:rsid w:val="00BC5EA8"/>
    <w:rsid w:val="00BD3EFC"/>
    <w:rsid w:val="00BD6EA3"/>
    <w:rsid w:val="00BE39FB"/>
    <w:rsid w:val="00BE5153"/>
    <w:rsid w:val="00BE7B76"/>
    <w:rsid w:val="00BF2F33"/>
    <w:rsid w:val="00C0484F"/>
    <w:rsid w:val="00C10719"/>
    <w:rsid w:val="00C14CB0"/>
    <w:rsid w:val="00C16BE3"/>
    <w:rsid w:val="00C17182"/>
    <w:rsid w:val="00C200F0"/>
    <w:rsid w:val="00C21460"/>
    <w:rsid w:val="00C214E1"/>
    <w:rsid w:val="00C22E1D"/>
    <w:rsid w:val="00C32D1B"/>
    <w:rsid w:val="00C42700"/>
    <w:rsid w:val="00C46F45"/>
    <w:rsid w:val="00C55755"/>
    <w:rsid w:val="00C6030C"/>
    <w:rsid w:val="00C62FB4"/>
    <w:rsid w:val="00C652A8"/>
    <w:rsid w:val="00C72195"/>
    <w:rsid w:val="00C857B3"/>
    <w:rsid w:val="00C914B6"/>
    <w:rsid w:val="00C9552E"/>
    <w:rsid w:val="00CA28D5"/>
    <w:rsid w:val="00CA4007"/>
    <w:rsid w:val="00CB4EB0"/>
    <w:rsid w:val="00CC069C"/>
    <w:rsid w:val="00CC37BA"/>
    <w:rsid w:val="00CD2122"/>
    <w:rsid w:val="00CD4030"/>
    <w:rsid w:val="00CD5FC7"/>
    <w:rsid w:val="00CD6AEB"/>
    <w:rsid w:val="00CE2981"/>
    <w:rsid w:val="00CE350C"/>
    <w:rsid w:val="00CE5D7A"/>
    <w:rsid w:val="00CE786F"/>
    <w:rsid w:val="00CF2B32"/>
    <w:rsid w:val="00CF5C65"/>
    <w:rsid w:val="00D020DD"/>
    <w:rsid w:val="00D17D0B"/>
    <w:rsid w:val="00D237F9"/>
    <w:rsid w:val="00D25795"/>
    <w:rsid w:val="00D258FA"/>
    <w:rsid w:val="00D307A1"/>
    <w:rsid w:val="00D3292A"/>
    <w:rsid w:val="00D3618A"/>
    <w:rsid w:val="00D371DF"/>
    <w:rsid w:val="00D522D2"/>
    <w:rsid w:val="00D52672"/>
    <w:rsid w:val="00D55691"/>
    <w:rsid w:val="00D65770"/>
    <w:rsid w:val="00D66A62"/>
    <w:rsid w:val="00D92171"/>
    <w:rsid w:val="00D93C32"/>
    <w:rsid w:val="00D9449F"/>
    <w:rsid w:val="00D944BB"/>
    <w:rsid w:val="00DA5EB4"/>
    <w:rsid w:val="00DB0CD5"/>
    <w:rsid w:val="00DB1047"/>
    <w:rsid w:val="00DB5EA1"/>
    <w:rsid w:val="00DB68F3"/>
    <w:rsid w:val="00DC0812"/>
    <w:rsid w:val="00DC6F58"/>
    <w:rsid w:val="00DC74B3"/>
    <w:rsid w:val="00DD0A58"/>
    <w:rsid w:val="00DE0BEB"/>
    <w:rsid w:val="00DE3896"/>
    <w:rsid w:val="00DF2E6B"/>
    <w:rsid w:val="00E063E2"/>
    <w:rsid w:val="00E10520"/>
    <w:rsid w:val="00E13CBC"/>
    <w:rsid w:val="00E31277"/>
    <w:rsid w:val="00E315A0"/>
    <w:rsid w:val="00E32315"/>
    <w:rsid w:val="00E3258B"/>
    <w:rsid w:val="00E416EB"/>
    <w:rsid w:val="00E458F2"/>
    <w:rsid w:val="00E5106C"/>
    <w:rsid w:val="00E52B8A"/>
    <w:rsid w:val="00E56499"/>
    <w:rsid w:val="00E56DD8"/>
    <w:rsid w:val="00E60A1F"/>
    <w:rsid w:val="00E71CEE"/>
    <w:rsid w:val="00E847FF"/>
    <w:rsid w:val="00E86EB5"/>
    <w:rsid w:val="00E9072C"/>
    <w:rsid w:val="00E92E08"/>
    <w:rsid w:val="00EB07FD"/>
    <w:rsid w:val="00EB6EAC"/>
    <w:rsid w:val="00EC0C27"/>
    <w:rsid w:val="00EC10C2"/>
    <w:rsid w:val="00EC1147"/>
    <w:rsid w:val="00EC350F"/>
    <w:rsid w:val="00EC3AD9"/>
    <w:rsid w:val="00EC5AAA"/>
    <w:rsid w:val="00ED4234"/>
    <w:rsid w:val="00EE1313"/>
    <w:rsid w:val="00EE4D59"/>
    <w:rsid w:val="00EE5F8A"/>
    <w:rsid w:val="00EF26E0"/>
    <w:rsid w:val="00EF6292"/>
    <w:rsid w:val="00F116C4"/>
    <w:rsid w:val="00F1237D"/>
    <w:rsid w:val="00F123FD"/>
    <w:rsid w:val="00F130FB"/>
    <w:rsid w:val="00F175F0"/>
    <w:rsid w:val="00F22D62"/>
    <w:rsid w:val="00F263D1"/>
    <w:rsid w:val="00F319B4"/>
    <w:rsid w:val="00F35534"/>
    <w:rsid w:val="00F35CA5"/>
    <w:rsid w:val="00F37AE9"/>
    <w:rsid w:val="00F45E15"/>
    <w:rsid w:val="00F53D7E"/>
    <w:rsid w:val="00F55B1A"/>
    <w:rsid w:val="00F560E4"/>
    <w:rsid w:val="00F62713"/>
    <w:rsid w:val="00F628F0"/>
    <w:rsid w:val="00F62964"/>
    <w:rsid w:val="00F634E5"/>
    <w:rsid w:val="00F65810"/>
    <w:rsid w:val="00F6595D"/>
    <w:rsid w:val="00F66CC3"/>
    <w:rsid w:val="00F675D2"/>
    <w:rsid w:val="00F71223"/>
    <w:rsid w:val="00F72384"/>
    <w:rsid w:val="00F7787A"/>
    <w:rsid w:val="00F93C85"/>
    <w:rsid w:val="00F97AA1"/>
    <w:rsid w:val="00FB09D3"/>
    <w:rsid w:val="00FB104C"/>
    <w:rsid w:val="00FB67AC"/>
    <w:rsid w:val="00FC0343"/>
    <w:rsid w:val="00FC354A"/>
    <w:rsid w:val="00FC4D36"/>
    <w:rsid w:val="00FD0030"/>
    <w:rsid w:val="00FD097F"/>
    <w:rsid w:val="00FE4F12"/>
    <w:rsid w:val="00FF238D"/>
    <w:rsid w:val="00FF41D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43815"/>
  <w15:docId w15:val="{29EC8CCD-CAF4-46A0-8238-41232F0F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3874"/>
    <w:rPr>
      <w:lang w:val="en-GB"/>
    </w:rPr>
  </w:style>
  <w:style w:type="paragraph" w:styleId="Heading1">
    <w:name w:val="heading 1"/>
    <w:basedOn w:val="Normal"/>
    <w:link w:val="Heading1Char"/>
    <w:uiPriority w:val="9"/>
    <w:qFormat/>
    <w:rsid w:val="00B52583"/>
    <w:pPr>
      <w:spacing w:before="100" w:beforeAutospacing="1" w:after="100" w:afterAutospacing="1" w:line="240" w:lineRule="auto"/>
      <w:outlineLvl w:val="0"/>
    </w:pPr>
    <w:rPr>
      <w:rFonts w:ascii="SimSun" w:eastAsia="SimSun" w:hAnsi="SimSun" w:cs="SimSun"/>
      <w:b/>
      <w:bCs/>
      <w:kern w:val="36"/>
      <w:sz w:val="48"/>
      <w:szCs w:val="48"/>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13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13C7"/>
    <w:rPr>
      <w:rFonts w:ascii="Tahoma" w:hAnsi="Tahoma" w:cs="Tahoma"/>
      <w:sz w:val="16"/>
      <w:szCs w:val="16"/>
    </w:rPr>
  </w:style>
  <w:style w:type="table" w:styleId="TableGrid">
    <w:name w:val="Table Grid"/>
    <w:basedOn w:val="TableNormal"/>
    <w:uiPriority w:val="39"/>
    <w:rsid w:val="00A96A4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B260A"/>
    <w:pPr>
      <w:spacing w:line="240" w:lineRule="auto"/>
    </w:pPr>
    <w:rPr>
      <w:b/>
      <w:bCs/>
      <w:color w:val="4F81BD" w:themeColor="accent1"/>
      <w:sz w:val="18"/>
      <w:szCs w:val="18"/>
    </w:rPr>
  </w:style>
  <w:style w:type="paragraph" w:styleId="ListParagraph">
    <w:name w:val="List Paragraph"/>
    <w:basedOn w:val="Normal"/>
    <w:uiPriority w:val="34"/>
    <w:qFormat/>
    <w:rsid w:val="007649BC"/>
    <w:pPr>
      <w:ind w:left="720"/>
      <w:contextualSpacing/>
    </w:pPr>
  </w:style>
  <w:style w:type="character" w:styleId="Hyperlink">
    <w:name w:val="Hyperlink"/>
    <w:basedOn w:val="DefaultParagraphFont"/>
    <w:uiPriority w:val="99"/>
    <w:unhideWhenUsed/>
    <w:rsid w:val="008F12E8"/>
    <w:rPr>
      <w:color w:val="0000FF" w:themeColor="hyperlink"/>
      <w:u w:val="single"/>
    </w:rPr>
  </w:style>
  <w:style w:type="character" w:customStyle="1" w:styleId="UnresolvedMention1">
    <w:name w:val="Unresolved Mention1"/>
    <w:basedOn w:val="DefaultParagraphFont"/>
    <w:uiPriority w:val="99"/>
    <w:semiHidden/>
    <w:unhideWhenUsed/>
    <w:rsid w:val="008F12E8"/>
    <w:rPr>
      <w:color w:val="605E5C"/>
      <w:shd w:val="clear" w:color="auto" w:fill="E1DFDD"/>
    </w:rPr>
  </w:style>
  <w:style w:type="paragraph" w:styleId="Header">
    <w:name w:val="header"/>
    <w:basedOn w:val="Normal"/>
    <w:link w:val="HeaderChar"/>
    <w:uiPriority w:val="99"/>
    <w:unhideWhenUsed/>
    <w:rsid w:val="00637F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7FAC"/>
  </w:style>
  <w:style w:type="paragraph" w:styleId="Footer">
    <w:name w:val="footer"/>
    <w:basedOn w:val="Normal"/>
    <w:link w:val="FooterChar"/>
    <w:uiPriority w:val="99"/>
    <w:unhideWhenUsed/>
    <w:rsid w:val="00637F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7FAC"/>
  </w:style>
  <w:style w:type="character" w:customStyle="1" w:styleId="UnresolvedMention2">
    <w:name w:val="Unresolved Mention2"/>
    <w:basedOn w:val="DefaultParagraphFont"/>
    <w:uiPriority w:val="99"/>
    <w:semiHidden/>
    <w:unhideWhenUsed/>
    <w:rsid w:val="005E06B0"/>
    <w:rPr>
      <w:color w:val="605E5C"/>
      <w:shd w:val="clear" w:color="auto" w:fill="E1DFDD"/>
    </w:rPr>
  </w:style>
  <w:style w:type="character" w:styleId="CommentReference">
    <w:name w:val="annotation reference"/>
    <w:basedOn w:val="DefaultParagraphFont"/>
    <w:uiPriority w:val="99"/>
    <w:unhideWhenUsed/>
    <w:qFormat/>
    <w:rsid w:val="004C4EEF"/>
    <w:rPr>
      <w:sz w:val="16"/>
      <w:szCs w:val="16"/>
    </w:rPr>
  </w:style>
  <w:style w:type="paragraph" w:styleId="CommentText">
    <w:name w:val="annotation text"/>
    <w:basedOn w:val="Normal"/>
    <w:link w:val="CommentTextChar"/>
    <w:uiPriority w:val="99"/>
    <w:unhideWhenUsed/>
    <w:qFormat/>
    <w:rsid w:val="004C4EEF"/>
    <w:pPr>
      <w:spacing w:line="240" w:lineRule="auto"/>
    </w:pPr>
    <w:rPr>
      <w:sz w:val="20"/>
      <w:szCs w:val="20"/>
    </w:rPr>
  </w:style>
  <w:style w:type="character" w:customStyle="1" w:styleId="CommentTextChar">
    <w:name w:val="Comment Text Char"/>
    <w:basedOn w:val="DefaultParagraphFont"/>
    <w:link w:val="CommentText"/>
    <w:uiPriority w:val="99"/>
    <w:qFormat/>
    <w:rsid w:val="004C4EEF"/>
    <w:rPr>
      <w:sz w:val="20"/>
      <w:szCs w:val="20"/>
      <w:lang w:val="en-GB"/>
    </w:rPr>
  </w:style>
  <w:style w:type="paragraph" w:styleId="CommentSubject">
    <w:name w:val="annotation subject"/>
    <w:basedOn w:val="CommentText"/>
    <w:next w:val="CommentText"/>
    <w:link w:val="CommentSubjectChar"/>
    <w:uiPriority w:val="99"/>
    <w:semiHidden/>
    <w:unhideWhenUsed/>
    <w:rsid w:val="004C4EEF"/>
    <w:rPr>
      <w:b/>
      <w:bCs/>
    </w:rPr>
  </w:style>
  <w:style w:type="character" w:customStyle="1" w:styleId="CommentSubjectChar">
    <w:name w:val="Comment Subject Char"/>
    <w:basedOn w:val="CommentTextChar"/>
    <w:link w:val="CommentSubject"/>
    <w:uiPriority w:val="99"/>
    <w:semiHidden/>
    <w:rsid w:val="004C4EEF"/>
    <w:rPr>
      <w:b/>
      <w:bCs/>
      <w:sz w:val="20"/>
      <w:szCs w:val="20"/>
      <w:lang w:val="en-GB"/>
    </w:rPr>
  </w:style>
  <w:style w:type="paragraph" w:customStyle="1" w:styleId="m5663205042366552090msolistparagraph">
    <w:name w:val="m_5663205042366552090msolistparagraph"/>
    <w:basedOn w:val="Normal"/>
    <w:rsid w:val="00F35CA5"/>
    <w:pPr>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1">
    <w:name w:val="正文1"/>
    <w:uiPriority w:val="99"/>
    <w:rsid w:val="006256C3"/>
    <w:pPr>
      <w:spacing w:after="0"/>
    </w:pPr>
    <w:rPr>
      <w:rFonts w:ascii="Arial" w:eastAsia="SimSun" w:hAnsi="Arial" w:cs="Arial"/>
      <w:color w:val="000000"/>
      <w:szCs w:val="20"/>
      <w:lang w:val="pl-PL" w:eastAsia="pl-PL"/>
    </w:rPr>
  </w:style>
  <w:style w:type="character" w:styleId="Strong">
    <w:name w:val="Strong"/>
    <w:basedOn w:val="DefaultParagraphFont"/>
    <w:uiPriority w:val="22"/>
    <w:qFormat/>
    <w:rsid w:val="006256C3"/>
    <w:rPr>
      <w:b/>
      <w:bCs/>
    </w:rPr>
  </w:style>
  <w:style w:type="paragraph" w:styleId="BodyTextIndent">
    <w:name w:val="Body Text Indent"/>
    <w:basedOn w:val="Normal"/>
    <w:link w:val="BodyTextIndentChar"/>
    <w:uiPriority w:val="99"/>
    <w:semiHidden/>
    <w:unhideWhenUsed/>
    <w:rsid w:val="007A4B29"/>
    <w:pPr>
      <w:spacing w:after="120"/>
      <w:ind w:leftChars="200" w:left="420"/>
    </w:pPr>
  </w:style>
  <w:style w:type="character" w:customStyle="1" w:styleId="BodyTextIndentChar">
    <w:name w:val="Body Text Indent Char"/>
    <w:basedOn w:val="DefaultParagraphFont"/>
    <w:link w:val="BodyTextIndent"/>
    <w:uiPriority w:val="99"/>
    <w:semiHidden/>
    <w:rsid w:val="007A4B29"/>
    <w:rPr>
      <w:lang w:val="en-GB"/>
    </w:rPr>
  </w:style>
  <w:style w:type="paragraph" w:styleId="BodyTextFirstIndent2">
    <w:name w:val="Body Text First Indent 2"/>
    <w:basedOn w:val="BodyTextIndent"/>
    <w:link w:val="BodyTextFirstIndent2Char"/>
    <w:uiPriority w:val="99"/>
    <w:semiHidden/>
    <w:unhideWhenUsed/>
    <w:rsid w:val="007A4B29"/>
    <w:pPr>
      <w:widowControl w:val="0"/>
      <w:spacing w:after="0" w:line="240" w:lineRule="auto"/>
      <w:ind w:leftChars="0" w:left="360" w:firstLine="360"/>
      <w:jc w:val="both"/>
    </w:pPr>
    <w:rPr>
      <w:rFonts w:ascii="Times New Roman" w:eastAsia="MS PMincho" w:hAnsi="Times New Roman"/>
      <w:bCs/>
      <w:color w:val="000000" w:themeColor="text1"/>
      <w:kern w:val="2"/>
      <w:sz w:val="24"/>
      <w:szCs w:val="24"/>
      <w:lang w:val="en-US" w:eastAsia="ja-JP"/>
    </w:rPr>
  </w:style>
  <w:style w:type="character" w:customStyle="1" w:styleId="BodyTextFirstIndent2Char">
    <w:name w:val="Body Text First Indent 2 Char"/>
    <w:basedOn w:val="BodyTextIndentChar"/>
    <w:link w:val="BodyTextFirstIndent2"/>
    <w:uiPriority w:val="99"/>
    <w:semiHidden/>
    <w:rsid w:val="007A4B29"/>
    <w:rPr>
      <w:rFonts w:ascii="Times New Roman" w:eastAsia="MS PMincho" w:hAnsi="Times New Roman"/>
      <w:bCs/>
      <w:color w:val="000000" w:themeColor="text1"/>
      <w:kern w:val="2"/>
      <w:sz w:val="24"/>
      <w:szCs w:val="24"/>
      <w:lang w:val="en-US" w:eastAsia="ja-JP"/>
    </w:rPr>
  </w:style>
  <w:style w:type="character" w:customStyle="1" w:styleId="UnresolvedMention3">
    <w:name w:val="Unresolved Mention3"/>
    <w:basedOn w:val="DefaultParagraphFont"/>
    <w:uiPriority w:val="99"/>
    <w:semiHidden/>
    <w:unhideWhenUsed/>
    <w:rsid w:val="00A105B0"/>
    <w:rPr>
      <w:color w:val="605E5C"/>
      <w:shd w:val="clear" w:color="auto" w:fill="E1DFDD"/>
    </w:rPr>
  </w:style>
  <w:style w:type="character" w:customStyle="1" w:styleId="Heading1Char">
    <w:name w:val="Heading 1 Char"/>
    <w:basedOn w:val="DefaultParagraphFont"/>
    <w:link w:val="Heading1"/>
    <w:uiPriority w:val="9"/>
    <w:rsid w:val="00B52583"/>
    <w:rPr>
      <w:rFonts w:ascii="SimSun" w:eastAsia="SimSun" w:hAnsi="SimSun" w:cs="SimSun"/>
      <w:b/>
      <w:bCs/>
      <w:kern w:val="36"/>
      <w:sz w:val="48"/>
      <w:szCs w:val="48"/>
      <w:lang w:val="en-US" w:eastAsia="zh-CN"/>
    </w:rPr>
  </w:style>
  <w:style w:type="character" w:customStyle="1" w:styleId="basic-word">
    <w:name w:val="basic-word"/>
    <w:basedOn w:val="DefaultParagraphFont"/>
    <w:rsid w:val="00B52583"/>
  </w:style>
  <w:style w:type="character" w:customStyle="1" w:styleId="dxebaseoffice2010blue">
    <w:name w:val="dxebase_office2010blue"/>
    <w:basedOn w:val="DefaultParagraphFont"/>
    <w:rsid w:val="007B5D09"/>
  </w:style>
  <w:style w:type="paragraph" w:styleId="NormalWeb">
    <w:name w:val="Normal (Web)"/>
    <w:basedOn w:val="Normal"/>
    <w:uiPriority w:val="99"/>
    <w:semiHidden/>
    <w:unhideWhenUsed/>
    <w:rsid w:val="00F35534"/>
    <w:pPr>
      <w:spacing w:before="100" w:beforeAutospacing="1" w:after="100" w:afterAutospacing="1" w:line="240" w:lineRule="auto"/>
    </w:pPr>
    <w:rPr>
      <w:rFonts w:ascii="SimSun" w:eastAsia="SimSun" w:hAnsi="SimSun" w:cs="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936062">
      <w:bodyDiv w:val="1"/>
      <w:marLeft w:val="0"/>
      <w:marRight w:val="0"/>
      <w:marTop w:val="0"/>
      <w:marBottom w:val="0"/>
      <w:divBdr>
        <w:top w:val="none" w:sz="0" w:space="0" w:color="auto"/>
        <w:left w:val="none" w:sz="0" w:space="0" w:color="auto"/>
        <w:bottom w:val="none" w:sz="0" w:space="0" w:color="auto"/>
        <w:right w:val="none" w:sz="0" w:space="0" w:color="auto"/>
      </w:divBdr>
      <w:divsChild>
        <w:div w:id="1475444038">
          <w:marLeft w:val="0"/>
          <w:marRight w:val="0"/>
          <w:marTop w:val="0"/>
          <w:marBottom w:val="0"/>
          <w:divBdr>
            <w:top w:val="none" w:sz="0" w:space="0" w:color="auto"/>
            <w:left w:val="none" w:sz="0" w:space="0" w:color="auto"/>
            <w:bottom w:val="none" w:sz="0" w:space="0" w:color="auto"/>
            <w:right w:val="none" w:sz="0" w:space="0" w:color="auto"/>
          </w:divBdr>
        </w:div>
      </w:divsChild>
    </w:div>
    <w:div w:id="467818970">
      <w:bodyDiv w:val="1"/>
      <w:marLeft w:val="0"/>
      <w:marRight w:val="0"/>
      <w:marTop w:val="0"/>
      <w:marBottom w:val="0"/>
      <w:divBdr>
        <w:top w:val="none" w:sz="0" w:space="0" w:color="auto"/>
        <w:left w:val="none" w:sz="0" w:space="0" w:color="auto"/>
        <w:bottom w:val="none" w:sz="0" w:space="0" w:color="auto"/>
        <w:right w:val="none" w:sz="0" w:space="0" w:color="auto"/>
      </w:divBdr>
    </w:div>
    <w:div w:id="1017737645">
      <w:bodyDiv w:val="1"/>
      <w:marLeft w:val="0"/>
      <w:marRight w:val="0"/>
      <w:marTop w:val="0"/>
      <w:marBottom w:val="0"/>
      <w:divBdr>
        <w:top w:val="none" w:sz="0" w:space="0" w:color="auto"/>
        <w:left w:val="none" w:sz="0" w:space="0" w:color="auto"/>
        <w:bottom w:val="none" w:sz="0" w:space="0" w:color="auto"/>
        <w:right w:val="none" w:sz="0" w:space="0" w:color="auto"/>
      </w:divBdr>
    </w:div>
    <w:div w:id="1052994980">
      <w:bodyDiv w:val="1"/>
      <w:marLeft w:val="0"/>
      <w:marRight w:val="0"/>
      <w:marTop w:val="0"/>
      <w:marBottom w:val="0"/>
      <w:divBdr>
        <w:top w:val="none" w:sz="0" w:space="0" w:color="auto"/>
        <w:left w:val="none" w:sz="0" w:space="0" w:color="auto"/>
        <w:bottom w:val="none" w:sz="0" w:space="0" w:color="auto"/>
        <w:right w:val="none" w:sz="0" w:space="0" w:color="auto"/>
      </w:divBdr>
    </w:div>
    <w:div w:id="1067340884">
      <w:bodyDiv w:val="1"/>
      <w:marLeft w:val="0"/>
      <w:marRight w:val="0"/>
      <w:marTop w:val="0"/>
      <w:marBottom w:val="0"/>
      <w:divBdr>
        <w:top w:val="none" w:sz="0" w:space="0" w:color="auto"/>
        <w:left w:val="none" w:sz="0" w:space="0" w:color="auto"/>
        <w:bottom w:val="none" w:sz="0" w:space="0" w:color="auto"/>
        <w:right w:val="none" w:sz="0" w:space="0" w:color="auto"/>
      </w:divBdr>
    </w:div>
    <w:div w:id="1140611988">
      <w:bodyDiv w:val="1"/>
      <w:marLeft w:val="0"/>
      <w:marRight w:val="0"/>
      <w:marTop w:val="0"/>
      <w:marBottom w:val="0"/>
      <w:divBdr>
        <w:top w:val="none" w:sz="0" w:space="0" w:color="auto"/>
        <w:left w:val="none" w:sz="0" w:space="0" w:color="auto"/>
        <w:bottom w:val="none" w:sz="0" w:space="0" w:color="auto"/>
        <w:right w:val="none" w:sz="0" w:space="0" w:color="auto"/>
      </w:divBdr>
    </w:div>
    <w:div w:id="1145243274">
      <w:bodyDiv w:val="1"/>
      <w:marLeft w:val="0"/>
      <w:marRight w:val="0"/>
      <w:marTop w:val="0"/>
      <w:marBottom w:val="0"/>
      <w:divBdr>
        <w:top w:val="none" w:sz="0" w:space="0" w:color="auto"/>
        <w:left w:val="none" w:sz="0" w:space="0" w:color="auto"/>
        <w:bottom w:val="none" w:sz="0" w:space="0" w:color="auto"/>
        <w:right w:val="none" w:sz="0" w:space="0" w:color="auto"/>
      </w:divBdr>
      <w:divsChild>
        <w:div w:id="1233151512">
          <w:marLeft w:val="0"/>
          <w:marRight w:val="0"/>
          <w:marTop w:val="0"/>
          <w:marBottom w:val="0"/>
          <w:divBdr>
            <w:top w:val="none" w:sz="0" w:space="0" w:color="auto"/>
            <w:left w:val="none" w:sz="0" w:space="0" w:color="auto"/>
            <w:bottom w:val="none" w:sz="0" w:space="0" w:color="auto"/>
            <w:right w:val="none" w:sz="0" w:space="0" w:color="auto"/>
          </w:divBdr>
        </w:div>
      </w:divsChild>
    </w:div>
    <w:div w:id="1330907479">
      <w:bodyDiv w:val="1"/>
      <w:marLeft w:val="0"/>
      <w:marRight w:val="0"/>
      <w:marTop w:val="0"/>
      <w:marBottom w:val="0"/>
      <w:divBdr>
        <w:top w:val="none" w:sz="0" w:space="0" w:color="auto"/>
        <w:left w:val="none" w:sz="0" w:space="0" w:color="auto"/>
        <w:bottom w:val="none" w:sz="0" w:space="0" w:color="auto"/>
        <w:right w:val="none" w:sz="0" w:space="0" w:color="auto"/>
      </w:divBdr>
    </w:div>
    <w:div w:id="1454909845">
      <w:bodyDiv w:val="1"/>
      <w:marLeft w:val="0"/>
      <w:marRight w:val="0"/>
      <w:marTop w:val="0"/>
      <w:marBottom w:val="0"/>
      <w:divBdr>
        <w:top w:val="none" w:sz="0" w:space="0" w:color="auto"/>
        <w:left w:val="none" w:sz="0" w:space="0" w:color="auto"/>
        <w:bottom w:val="none" w:sz="0" w:space="0" w:color="auto"/>
        <w:right w:val="none" w:sz="0" w:space="0" w:color="auto"/>
      </w:divBdr>
    </w:div>
    <w:div w:id="1494102847">
      <w:bodyDiv w:val="1"/>
      <w:marLeft w:val="0"/>
      <w:marRight w:val="0"/>
      <w:marTop w:val="0"/>
      <w:marBottom w:val="0"/>
      <w:divBdr>
        <w:top w:val="none" w:sz="0" w:space="0" w:color="auto"/>
        <w:left w:val="none" w:sz="0" w:space="0" w:color="auto"/>
        <w:bottom w:val="none" w:sz="0" w:space="0" w:color="auto"/>
        <w:right w:val="none" w:sz="0" w:space="0" w:color="auto"/>
      </w:divBdr>
    </w:div>
    <w:div w:id="1761874609">
      <w:bodyDiv w:val="1"/>
      <w:marLeft w:val="0"/>
      <w:marRight w:val="0"/>
      <w:marTop w:val="0"/>
      <w:marBottom w:val="0"/>
      <w:divBdr>
        <w:top w:val="none" w:sz="0" w:space="0" w:color="auto"/>
        <w:left w:val="none" w:sz="0" w:space="0" w:color="auto"/>
        <w:bottom w:val="none" w:sz="0" w:space="0" w:color="auto"/>
        <w:right w:val="none" w:sz="0" w:space="0" w:color="auto"/>
      </w:divBdr>
    </w:div>
    <w:div w:id="1829125990">
      <w:bodyDiv w:val="1"/>
      <w:marLeft w:val="0"/>
      <w:marRight w:val="0"/>
      <w:marTop w:val="0"/>
      <w:marBottom w:val="0"/>
      <w:divBdr>
        <w:top w:val="none" w:sz="0" w:space="0" w:color="auto"/>
        <w:left w:val="none" w:sz="0" w:space="0" w:color="auto"/>
        <w:bottom w:val="none" w:sz="0" w:space="0" w:color="auto"/>
        <w:right w:val="none" w:sz="0" w:space="0" w:color="auto"/>
      </w:divBdr>
    </w:div>
    <w:div w:id="1894922438">
      <w:bodyDiv w:val="1"/>
      <w:marLeft w:val="0"/>
      <w:marRight w:val="0"/>
      <w:marTop w:val="0"/>
      <w:marBottom w:val="0"/>
      <w:divBdr>
        <w:top w:val="none" w:sz="0" w:space="0" w:color="auto"/>
        <w:left w:val="none" w:sz="0" w:space="0" w:color="auto"/>
        <w:bottom w:val="none" w:sz="0" w:space="0" w:color="auto"/>
        <w:right w:val="none" w:sz="0" w:space="0" w:color="auto"/>
      </w:divBdr>
    </w:div>
    <w:div w:id="194368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gar.bhagat@glenmarkpharma.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dsco.gov.in/opencms/resources/UploadCDSCOWeb/2018/UploadApprovalNewDrugs/4_LIST%20OF%20APPROVED%20DRUG%20FROM%2001-01-2015.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C3C004-0AC6-8042-B2DF-CADA58F9C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22</Pages>
  <Words>4152</Words>
  <Characters>22298</Characters>
  <Application>Microsoft Office Word</Application>
  <DocSecurity>0</DocSecurity>
  <Lines>1173</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 Ma</cp:lastModifiedBy>
  <cp:revision>2</cp:revision>
  <dcterms:created xsi:type="dcterms:W3CDTF">2020-07-26T21:01:00Z</dcterms:created>
  <dcterms:modified xsi:type="dcterms:W3CDTF">2020-07-26T21:01:00Z</dcterms:modified>
</cp:coreProperties>
</file>