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77CD" w14:textId="58F4CF21" w:rsidR="00DD22F4" w:rsidRPr="0037330A" w:rsidRDefault="00513B16" w:rsidP="00146B63">
      <w:pPr>
        <w:snapToGrid w:val="0"/>
        <w:spacing w:line="360" w:lineRule="auto"/>
        <w:jc w:val="both"/>
        <w:rPr>
          <w:rFonts w:ascii="Book Antiqua" w:eastAsia="Arial" w:hAnsi="Book Antiqua"/>
          <w:b/>
          <w:i/>
          <w:lang w:val="en-GB"/>
        </w:rPr>
      </w:pPr>
      <w:bookmarkStart w:id="0" w:name="_Toc483855228"/>
      <w:r w:rsidRPr="0037330A">
        <w:rPr>
          <w:rFonts w:ascii="Book Antiqua" w:eastAsia="Arial" w:hAnsi="Book Antiqua"/>
          <w:b/>
          <w:lang w:val="en-GB"/>
        </w:rPr>
        <w:t xml:space="preserve">Name of Journal: </w:t>
      </w:r>
      <w:r w:rsidR="00DD22F4" w:rsidRPr="0037330A">
        <w:rPr>
          <w:rFonts w:ascii="Book Antiqua" w:eastAsia="Arial" w:hAnsi="Book Antiqua"/>
          <w:bCs/>
          <w:i/>
          <w:lang w:val="en-GB"/>
        </w:rPr>
        <w:t>World Journal of Diabetes</w:t>
      </w:r>
      <w:r w:rsidR="00DD22F4" w:rsidRPr="0037330A">
        <w:rPr>
          <w:rFonts w:ascii="Book Antiqua" w:eastAsia="Arial" w:hAnsi="Book Antiqua"/>
          <w:b/>
          <w:i/>
          <w:lang w:val="en-GB"/>
        </w:rPr>
        <w:t xml:space="preserve"> </w:t>
      </w:r>
    </w:p>
    <w:p w14:paraId="42E77989" w14:textId="33C5D51E" w:rsidR="00DD22F4" w:rsidRPr="0037330A" w:rsidRDefault="00DD22F4" w:rsidP="00146B63">
      <w:pPr>
        <w:snapToGrid w:val="0"/>
        <w:spacing w:line="360" w:lineRule="auto"/>
        <w:jc w:val="both"/>
        <w:rPr>
          <w:rFonts w:ascii="Book Antiqua" w:eastAsia="Arial" w:hAnsi="Book Antiqua"/>
          <w:b/>
          <w:lang w:val="en-GB"/>
        </w:rPr>
      </w:pPr>
      <w:r w:rsidRPr="0037330A">
        <w:rPr>
          <w:rFonts w:ascii="Book Antiqua" w:eastAsia="Arial" w:hAnsi="Book Antiqua"/>
          <w:b/>
          <w:lang w:val="en-GB"/>
        </w:rPr>
        <w:t xml:space="preserve">Manuscript NO: </w:t>
      </w:r>
      <w:r w:rsidRPr="0037330A">
        <w:rPr>
          <w:rFonts w:ascii="Book Antiqua" w:eastAsia="Arial" w:hAnsi="Book Antiqua"/>
          <w:bCs/>
          <w:lang w:val="en-GB"/>
        </w:rPr>
        <w:t>54531</w:t>
      </w:r>
    </w:p>
    <w:p w14:paraId="318A8F9A" w14:textId="77777777" w:rsidR="00513B16" w:rsidRPr="0037330A" w:rsidRDefault="00513B16" w:rsidP="00146B63">
      <w:pPr>
        <w:adjustRightInd w:val="0"/>
        <w:snapToGrid w:val="0"/>
        <w:spacing w:line="360" w:lineRule="auto"/>
        <w:jc w:val="both"/>
        <w:rPr>
          <w:rFonts w:ascii="Book Antiqua" w:eastAsia="幼圆" w:hAnsi="Book Antiqua"/>
          <w:b/>
          <w:bCs/>
          <w:i/>
          <w:iCs/>
          <w:color w:val="000000"/>
        </w:rPr>
      </w:pPr>
      <w:r w:rsidRPr="0037330A">
        <w:rPr>
          <w:rFonts w:ascii="Book Antiqua" w:hAnsi="Book Antiqua"/>
          <w:b/>
          <w:bCs/>
          <w:color w:val="000000"/>
          <w:shd w:val="clear" w:color="auto" w:fill="FFFFFF"/>
        </w:rPr>
        <w:t>Manuscript Type</w:t>
      </w:r>
      <w:r w:rsidRPr="0037330A">
        <w:rPr>
          <w:rFonts w:ascii="Book Antiqua" w:hAnsi="Book Antiqua"/>
          <w:b/>
          <w:bCs/>
          <w:color w:val="000000"/>
        </w:rPr>
        <w:t xml:space="preserve">: </w:t>
      </w:r>
      <w:r w:rsidRPr="0037330A">
        <w:rPr>
          <w:rFonts w:ascii="Book Antiqua" w:hAnsi="Book Antiqua"/>
        </w:rPr>
        <w:t>ORIGINAL ARTICLE</w:t>
      </w:r>
    </w:p>
    <w:p w14:paraId="2BB3D4A6" w14:textId="77777777" w:rsidR="00513B16" w:rsidRPr="0037330A" w:rsidRDefault="00513B16" w:rsidP="00146B63">
      <w:pPr>
        <w:autoSpaceDE w:val="0"/>
        <w:autoSpaceDN w:val="0"/>
        <w:adjustRightInd w:val="0"/>
        <w:snapToGrid w:val="0"/>
        <w:spacing w:line="360" w:lineRule="auto"/>
        <w:jc w:val="both"/>
        <w:rPr>
          <w:rFonts w:ascii="Book Antiqua" w:eastAsia="宋体" w:hAnsi="Book Antiqua"/>
          <w:b/>
          <w:bCs/>
          <w:color w:val="000000"/>
        </w:rPr>
      </w:pPr>
      <w:r w:rsidRPr="0037330A">
        <w:rPr>
          <w:rFonts w:ascii="Book Antiqua" w:hAnsi="Book Antiqua"/>
          <w:b/>
          <w:bCs/>
          <w:color w:val="000000"/>
        </w:rPr>
        <w:t xml:space="preserve"> </w:t>
      </w:r>
    </w:p>
    <w:p w14:paraId="2CF1A5A5" w14:textId="77777777" w:rsidR="00513B16" w:rsidRPr="0037330A" w:rsidRDefault="00513B16" w:rsidP="00146B63">
      <w:pPr>
        <w:adjustRightInd w:val="0"/>
        <w:snapToGrid w:val="0"/>
        <w:spacing w:line="360" w:lineRule="auto"/>
        <w:jc w:val="both"/>
        <w:rPr>
          <w:rFonts w:ascii="Book Antiqua" w:hAnsi="Book Antiqua"/>
          <w:b/>
          <w:bCs/>
          <w:i/>
          <w:iCs/>
          <w:color w:val="000000"/>
          <w:kern w:val="2"/>
        </w:rPr>
      </w:pPr>
      <w:r w:rsidRPr="0037330A">
        <w:rPr>
          <w:rFonts w:ascii="Book Antiqua" w:eastAsia="幼圆" w:hAnsi="Book Antiqua"/>
          <w:b/>
          <w:bCs/>
          <w:i/>
          <w:iCs/>
          <w:color w:val="000000"/>
        </w:rPr>
        <w:t>Observational Study</w:t>
      </w:r>
    </w:p>
    <w:p w14:paraId="0DB77297" w14:textId="10FD5A13" w:rsidR="00621C8B" w:rsidRPr="0037330A" w:rsidRDefault="00621C8B" w:rsidP="00146B63">
      <w:pPr>
        <w:snapToGrid w:val="0"/>
        <w:spacing w:line="360" w:lineRule="auto"/>
        <w:jc w:val="both"/>
        <w:rPr>
          <w:rFonts w:ascii="Book Antiqua" w:eastAsia="Arial" w:hAnsi="Book Antiqua"/>
          <w:b/>
          <w:bCs/>
          <w:iCs/>
          <w:lang w:val="en-GB"/>
        </w:rPr>
      </w:pPr>
      <w:r w:rsidRPr="0037330A">
        <w:rPr>
          <w:rFonts w:ascii="Book Antiqua" w:eastAsia="Arial" w:hAnsi="Book Antiqua"/>
          <w:b/>
          <w:bCs/>
          <w:iCs/>
          <w:lang w:val="en-GB"/>
        </w:rPr>
        <w:t xml:space="preserve">Access to </w:t>
      </w:r>
      <w:r w:rsidR="003B2A7C" w:rsidRPr="0037330A">
        <w:rPr>
          <w:rFonts w:ascii="Book Antiqua" w:eastAsia="Arial" w:hAnsi="Book Antiqua"/>
          <w:b/>
          <w:bCs/>
          <w:iCs/>
          <w:lang w:val="en-GB"/>
        </w:rPr>
        <w:t xml:space="preserve">insulin delivery devices and </w:t>
      </w:r>
      <w:r w:rsidR="00D635BE" w:rsidRPr="0037330A">
        <w:rPr>
          <w:rFonts w:ascii="Book Antiqua" w:eastAsia="Arial" w:hAnsi="Book Antiqua"/>
          <w:b/>
          <w:bCs/>
          <w:iCs/>
          <w:lang w:val="en-GB"/>
        </w:rPr>
        <w:t>glycated haemoglobin</w:t>
      </w:r>
      <w:r w:rsidR="004970C0" w:rsidRPr="0037330A">
        <w:rPr>
          <w:rFonts w:ascii="Book Antiqua" w:eastAsiaTheme="minorEastAsia" w:hAnsi="Book Antiqua"/>
          <w:b/>
          <w:bCs/>
          <w:iCs/>
          <w:lang w:val="en-GB" w:eastAsia="zh-CN"/>
        </w:rPr>
        <w:t xml:space="preserve"> </w:t>
      </w:r>
      <w:r w:rsidRPr="0037330A">
        <w:rPr>
          <w:rFonts w:ascii="Book Antiqua" w:eastAsia="Arial" w:hAnsi="Book Antiqua"/>
          <w:b/>
          <w:bCs/>
          <w:iCs/>
          <w:lang w:val="en-GB"/>
        </w:rPr>
        <w:t xml:space="preserve">in </w:t>
      </w:r>
      <w:r w:rsidR="0001308F" w:rsidRPr="0037330A">
        <w:rPr>
          <w:rFonts w:ascii="Book Antiqua" w:eastAsia="Arial" w:hAnsi="Book Antiqua"/>
          <w:b/>
          <w:bCs/>
          <w:iCs/>
          <w:lang w:val="en-GB"/>
        </w:rPr>
        <w:t>low</w:t>
      </w:r>
      <w:r w:rsidR="00E12F0F" w:rsidRPr="0037330A">
        <w:rPr>
          <w:rFonts w:ascii="Book Antiqua" w:eastAsia="Arial" w:hAnsi="Book Antiqua"/>
          <w:b/>
          <w:bCs/>
          <w:iCs/>
          <w:lang w:val="en-GB"/>
        </w:rPr>
        <w:t>er</w:t>
      </w:r>
      <w:r w:rsidR="007D31FB" w:rsidRPr="0037330A">
        <w:rPr>
          <w:rFonts w:ascii="Book Antiqua" w:eastAsia="Arial" w:hAnsi="Book Antiqua"/>
          <w:b/>
          <w:bCs/>
          <w:iCs/>
          <w:lang w:val="en-GB"/>
        </w:rPr>
        <w:t>-</w:t>
      </w:r>
      <w:r w:rsidR="0001308F" w:rsidRPr="0037330A">
        <w:rPr>
          <w:rFonts w:ascii="Book Antiqua" w:eastAsia="Arial" w:hAnsi="Book Antiqua"/>
          <w:b/>
          <w:bCs/>
          <w:iCs/>
          <w:lang w:val="en-GB"/>
        </w:rPr>
        <w:t>income countries</w:t>
      </w:r>
    </w:p>
    <w:p w14:paraId="4D6C6D67" w14:textId="77777777" w:rsidR="00513B16" w:rsidRPr="0037330A" w:rsidRDefault="00513B16" w:rsidP="00146B63">
      <w:pPr>
        <w:snapToGrid w:val="0"/>
        <w:spacing w:line="360" w:lineRule="auto"/>
        <w:jc w:val="both"/>
        <w:rPr>
          <w:rFonts w:ascii="Book Antiqua" w:eastAsiaTheme="minorEastAsia" w:hAnsi="Book Antiqua"/>
          <w:b/>
          <w:bCs/>
          <w:iCs/>
          <w:lang w:val="en-GB" w:eastAsia="zh-CN"/>
        </w:rPr>
      </w:pPr>
    </w:p>
    <w:p w14:paraId="300C1352" w14:textId="59BB9987" w:rsidR="00DD22F4" w:rsidRPr="0037330A" w:rsidRDefault="004970C0" w:rsidP="00146B63">
      <w:pPr>
        <w:snapToGrid w:val="0"/>
        <w:spacing w:line="360" w:lineRule="auto"/>
        <w:jc w:val="both"/>
        <w:rPr>
          <w:rFonts w:ascii="Book Antiqua" w:eastAsia="Arial" w:hAnsi="Book Antiqua"/>
          <w:bCs/>
          <w:iCs/>
          <w:lang w:val="en-GB"/>
        </w:rPr>
      </w:pPr>
      <w:r w:rsidRPr="0037330A">
        <w:rPr>
          <w:rFonts w:ascii="Book Antiqua" w:eastAsia="Arial" w:hAnsi="Book Antiqua"/>
          <w:lang w:val="en-GB"/>
        </w:rPr>
        <w:t>Klatman</w:t>
      </w:r>
      <w:r w:rsidRPr="0037330A">
        <w:rPr>
          <w:rFonts w:ascii="Book Antiqua" w:eastAsia="Arial" w:hAnsi="Book Antiqua"/>
          <w:bCs/>
          <w:iCs/>
          <w:lang w:val="en-GB"/>
        </w:rPr>
        <w:t xml:space="preserve"> </w:t>
      </w:r>
      <w:r w:rsidRPr="0037330A">
        <w:rPr>
          <w:rFonts w:ascii="Book Antiqua" w:eastAsiaTheme="minorEastAsia" w:hAnsi="Book Antiqua"/>
          <w:bCs/>
          <w:iCs/>
          <w:lang w:val="en-GB" w:eastAsia="zh-CN"/>
        </w:rPr>
        <w:t xml:space="preserve">EL </w:t>
      </w:r>
      <w:r w:rsidRPr="0037330A">
        <w:rPr>
          <w:rFonts w:ascii="Book Antiqua" w:eastAsiaTheme="minorEastAsia" w:hAnsi="Book Antiqua"/>
          <w:bCs/>
          <w:i/>
          <w:iCs/>
          <w:lang w:val="en-GB" w:eastAsia="zh-CN"/>
        </w:rPr>
        <w:t>et al</w:t>
      </w:r>
      <w:r w:rsidRPr="0037330A">
        <w:rPr>
          <w:rFonts w:ascii="Book Antiqua" w:eastAsiaTheme="minorEastAsia" w:hAnsi="Book Antiqua"/>
          <w:bCs/>
          <w:iCs/>
          <w:lang w:val="en-GB" w:eastAsia="zh-CN"/>
        </w:rPr>
        <w:t xml:space="preserve">. </w:t>
      </w:r>
      <w:bookmarkStart w:id="1" w:name="OLE_LINK13"/>
      <w:bookmarkStart w:id="2" w:name="OLE_LINK14"/>
      <w:r w:rsidR="0075268D" w:rsidRPr="0037330A">
        <w:rPr>
          <w:rFonts w:ascii="Book Antiqua" w:eastAsia="Arial" w:hAnsi="Book Antiqua"/>
          <w:bCs/>
          <w:iCs/>
          <w:lang w:val="en-GB"/>
        </w:rPr>
        <w:t xml:space="preserve">Access to </w:t>
      </w:r>
      <w:r w:rsidR="000373EB" w:rsidRPr="0037330A">
        <w:rPr>
          <w:rFonts w:ascii="Book Antiqua" w:eastAsia="Arial" w:hAnsi="Book Antiqua"/>
          <w:bCs/>
          <w:iCs/>
          <w:lang w:val="en-GB"/>
        </w:rPr>
        <w:t xml:space="preserve">syringes and glycated </w:t>
      </w:r>
      <w:r w:rsidR="000748D9" w:rsidRPr="0037330A">
        <w:rPr>
          <w:rFonts w:ascii="Book Antiqua" w:eastAsia="Arial" w:hAnsi="Book Antiqua"/>
          <w:bCs/>
          <w:iCs/>
          <w:lang w:val="en-GB"/>
        </w:rPr>
        <w:t>haemoglobin</w:t>
      </w:r>
      <w:r w:rsidR="0075268D" w:rsidRPr="0037330A">
        <w:rPr>
          <w:rFonts w:ascii="Book Antiqua" w:eastAsia="Arial" w:hAnsi="Book Antiqua"/>
          <w:bCs/>
          <w:iCs/>
          <w:lang w:val="en-GB"/>
        </w:rPr>
        <w:t xml:space="preserve"> </w:t>
      </w:r>
      <w:bookmarkEnd w:id="1"/>
      <w:bookmarkEnd w:id="2"/>
    </w:p>
    <w:p w14:paraId="5EEBDC44" w14:textId="77777777" w:rsidR="006C5D60" w:rsidRPr="0037330A" w:rsidRDefault="006C5D60" w:rsidP="00146B63">
      <w:pPr>
        <w:snapToGrid w:val="0"/>
        <w:spacing w:line="360" w:lineRule="auto"/>
        <w:jc w:val="both"/>
        <w:rPr>
          <w:rFonts w:ascii="Book Antiqua" w:eastAsiaTheme="minorEastAsia" w:hAnsi="Book Antiqua"/>
          <w:b/>
          <w:bCs/>
          <w:iCs/>
          <w:lang w:val="en-GB" w:eastAsia="zh-CN"/>
        </w:rPr>
      </w:pPr>
    </w:p>
    <w:p w14:paraId="1209B2B2" w14:textId="321F0DFB" w:rsidR="00900AC7" w:rsidRPr="0037330A" w:rsidRDefault="004970C0" w:rsidP="00146B63">
      <w:pPr>
        <w:snapToGrid w:val="0"/>
        <w:spacing w:line="360" w:lineRule="auto"/>
        <w:jc w:val="both"/>
        <w:rPr>
          <w:rFonts w:ascii="Book Antiqua" w:eastAsia="Arial" w:hAnsi="Book Antiqua"/>
          <w:lang w:val="en-GB"/>
        </w:rPr>
      </w:pPr>
      <w:r w:rsidRPr="0037330A">
        <w:rPr>
          <w:rFonts w:ascii="Book Antiqua" w:eastAsia="Arial" w:hAnsi="Book Antiqua"/>
          <w:lang w:val="en-GB"/>
        </w:rPr>
        <w:t>Emma Louise Klatman</w:t>
      </w:r>
      <w:r w:rsidR="00DD22F4" w:rsidRPr="0037330A">
        <w:rPr>
          <w:rFonts w:ascii="Book Antiqua" w:eastAsia="Arial" w:hAnsi="Book Antiqua"/>
          <w:lang w:val="en-GB"/>
        </w:rPr>
        <w:t xml:space="preserve">, </w:t>
      </w:r>
      <w:bookmarkStart w:id="3" w:name="OLE_LINK4"/>
      <w:bookmarkStart w:id="4" w:name="OLE_LINK5"/>
      <w:r w:rsidRPr="0037330A">
        <w:rPr>
          <w:rFonts w:ascii="Book Antiqua" w:eastAsia="Arial" w:hAnsi="Book Antiqua"/>
          <w:lang w:val="en-GB"/>
        </w:rPr>
        <w:t>Graham David Ogle</w:t>
      </w:r>
      <w:bookmarkEnd w:id="3"/>
      <w:bookmarkEnd w:id="4"/>
    </w:p>
    <w:p w14:paraId="39D422C6" w14:textId="1A46E6BD" w:rsidR="003205CA" w:rsidRPr="0037330A" w:rsidRDefault="003205CA" w:rsidP="00146B63">
      <w:pPr>
        <w:snapToGrid w:val="0"/>
        <w:spacing w:line="360" w:lineRule="auto"/>
        <w:jc w:val="both"/>
        <w:rPr>
          <w:rFonts w:ascii="Book Antiqua" w:eastAsia="Arial" w:hAnsi="Book Antiqua"/>
          <w:lang w:val="en-GB"/>
        </w:rPr>
      </w:pPr>
    </w:p>
    <w:p w14:paraId="7BE6C46C" w14:textId="17272E6F" w:rsidR="001F1760" w:rsidRPr="0037330A" w:rsidRDefault="004970C0" w:rsidP="00146B63">
      <w:pPr>
        <w:snapToGrid w:val="0"/>
        <w:spacing w:line="360" w:lineRule="auto"/>
        <w:jc w:val="both"/>
        <w:rPr>
          <w:rFonts w:ascii="Book Antiqua" w:eastAsia="Arial" w:hAnsi="Book Antiqua"/>
          <w:lang w:val="en-GB"/>
        </w:rPr>
      </w:pPr>
      <w:r w:rsidRPr="0037330A">
        <w:rPr>
          <w:rFonts w:ascii="Book Antiqua" w:eastAsia="Arial" w:hAnsi="Book Antiqua"/>
          <w:b/>
          <w:bCs/>
          <w:lang w:val="en-GB"/>
        </w:rPr>
        <w:t>Emma Louise Klatman,</w:t>
      </w:r>
      <w:r w:rsidR="003205CA" w:rsidRPr="0037330A">
        <w:rPr>
          <w:rFonts w:ascii="Book Antiqua" w:eastAsia="Arial" w:hAnsi="Book Antiqua"/>
          <w:b/>
          <w:bCs/>
          <w:lang w:val="en-GB"/>
        </w:rPr>
        <w:t xml:space="preserve"> </w:t>
      </w:r>
      <w:r w:rsidRPr="0037330A">
        <w:rPr>
          <w:rFonts w:ascii="Book Antiqua" w:eastAsia="Arial" w:hAnsi="Book Antiqua"/>
          <w:b/>
          <w:bCs/>
          <w:lang w:val="en-GB"/>
        </w:rPr>
        <w:t>Graham David Ogle</w:t>
      </w:r>
      <w:r w:rsidRPr="0037330A">
        <w:rPr>
          <w:rFonts w:ascii="Book Antiqua" w:eastAsiaTheme="minorEastAsia" w:hAnsi="Book Antiqua"/>
          <w:b/>
          <w:bCs/>
          <w:lang w:val="en-GB" w:eastAsia="zh-CN"/>
        </w:rPr>
        <w:t>,</w:t>
      </w:r>
      <w:r w:rsidRPr="0037330A">
        <w:rPr>
          <w:rFonts w:ascii="Book Antiqua" w:eastAsia="Arial" w:hAnsi="Book Antiqua"/>
          <w:b/>
          <w:bCs/>
          <w:lang w:val="en-GB"/>
        </w:rPr>
        <w:t xml:space="preserve"> </w:t>
      </w:r>
      <w:r w:rsidR="00C045BF" w:rsidRPr="0037330A">
        <w:rPr>
          <w:rFonts w:ascii="Book Antiqua" w:eastAsia="Arial" w:hAnsi="Book Antiqua"/>
          <w:lang w:val="en-GB"/>
        </w:rPr>
        <w:t>Life for a Child Program, Glebe, NSW</w:t>
      </w:r>
      <w:r w:rsidR="009F3C0E" w:rsidRPr="0037330A">
        <w:rPr>
          <w:rFonts w:ascii="Book Antiqua" w:eastAsiaTheme="minorEastAsia" w:hAnsi="Book Antiqua"/>
          <w:lang w:val="en-GB" w:eastAsia="zh-CN"/>
        </w:rPr>
        <w:t xml:space="preserve"> 2037</w:t>
      </w:r>
      <w:r w:rsidR="00C045BF" w:rsidRPr="0037330A">
        <w:rPr>
          <w:rFonts w:ascii="Book Antiqua" w:eastAsia="Arial" w:hAnsi="Book Antiqua"/>
          <w:lang w:val="en-GB"/>
        </w:rPr>
        <w:t>, Australia</w:t>
      </w:r>
    </w:p>
    <w:p w14:paraId="47251FEE" w14:textId="7A3A72D7" w:rsidR="001F1760" w:rsidRPr="0037330A" w:rsidRDefault="001F1760" w:rsidP="00146B63">
      <w:pPr>
        <w:snapToGrid w:val="0"/>
        <w:spacing w:line="360" w:lineRule="auto"/>
        <w:jc w:val="both"/>
        <w:rPr>
          <w:rFonts w:ascii="Book Antiqua" w:eastAsiaTheme="minorEastAsia" w:hAnsi="Book Antiqua"/>
          <w:lang w:val="en-GB" w:eastAsia="zh-CN"/>
        </w:rPr>
      </w:pPr>
    </w:p>
    <w:p w14:paraId="2F549ECA" w14:textId="635F0B31" w:rsidR="0018634F" w:rsidRPr="0037330A" w:rsidRDefault="009F3C0E" w:rsidP="00146B63">
      <w:pPr>
        <w:snapToGrid w:val="0"/>
        <w:spacing w:line="360" w:lineRule="auto"/>
        <w:jc w:val="both"/>
        <w:rPr>
          <w:rFonts w:ascii="Book Antiqua" w:eastAsia="Arial" w:hAnsi="Book Antiqua"/>
          <w:b/>
          <w:u w:val="single"/>
          <w:lang w:val="en-GB"/>
        </w:rPr>
      </w:pPr>
      <w:r w:rsidRPr="0037330A">
        <w:rPr>
          <w:rFonts w:ascii="Book Antiqua" w:eastAsia="Arial" w:hAnsi="Book Antiqua"/>
          <w:b/>
          <w:lang w:val="en-GB"/>
        </w:rPr>
        <w:t>Author contributions:</w:t>
      </w:r>
      <w:r w:rsidRPr="0037330A">
        <w:rPr>
          <w:rFonts w:ascii="Book Antiqua" w:eastAsia="Arial" w:hAnsi="Book Antiqua"/>
          <w:bCs/>
          <w:lang w:val="en-GB"/>
        </w:rPr>
        <w:t xml:space="preserve"> Ogle GD conceived the study</w:t>
      </w:r>
      <w:r w:rsidRPr="0037330A">
        <w:rPr>
          <w:rFonts w:ascii="Book Antiqua" w:eastAsiaTheme="minorEastAsia" w:hAnsi="Book Antiqua"/>
          <w:bCs/>
          <w:lang w:val="en-GB" w:eastAsia="zh-CN"/>
        </w:rPr>
        <w:t>;</w:t>
      </w:r>
      <w:r w:rsidR="0018634F" w:rsidRPr="0037330A">
        <w:rPr>
          <w:rFonts w:ascii="Book Antiqua" w:eastAsia="Arial" w:hAnsi="Book Antiqua"/>
          <w:bCs/>
          <w:lang w:val="en-GB"/>
        </w:rPr>
        <w:t xml:space="preserve"> Klatman EL and Ogl</w:t>
      </w:r>
      <w:r w:rsidRPr="0037330A">
        <w:rPr>
          <w:rFonts w:ascii="Book Antiqua" w:eastAsia="Arial" w:hAnsi="Book Antiqua"/>
          <w:bCs/>
          <w:lang w:val="en-GB"/>
        </w:rPr>
        <w:t>e GD designed the questionnaire</w:t>
      </w:r>
      <w:r w:rsidRPr="0037330A">
        <w:rPr>
          <w:rFonts w:ascii="Book Antiqua" w:eastAsiaTheme="minorEastAsia" w:hAnsi="Book Antiqua"/>
          <w:bCs/>
          <w:lang w:val="en-GB" w:eastAsia="zh-CN"/>
        </w:rPr>
        <w:t>;</w:t>
      </w:r>
      <w:r w:rsidR="0018634F" w:rsidRPr="0037330A">
        <w:rPr>
          <w:rFonts w:ascii="Book Antiqua" w:eastAsia="Arial" w:hAnsi="Book Antiqua"/>
          <w:bCs/>
          <w:lang w:val="en-GB"/>
        </w:rPr>
        <w:t xml:space="preserve"> Klatman EL administered the questio</w:t>
      </w:r>
      <w:r w:rsidRPr="0037330A">
        <w:rPr>
          <w:rFonts w:ascii="Book Antiqua" w:eastAsia="Arial" w:hAnsi="Book Antiqua"/>
          <w:bCs/>
          <w:lang w:val="en-GB"/>
        </w:rPr>
        <w:t>nnaire and analysed the results</w:t>
      </w:r>
      <w:r w:rsidRPr="0037330A">
        <w:rPr>
          <w:rFonts w:ascii="Book Antiqua" w:eastAsiaTheme="minorEastAsia" w:hAnsi="Book Antiqua"/>
          <w:bCs/>
          <w:lang w:val="en-GB" w:eastAsia="zh-CN"/>
        </w:rPr>
        <w:t>;</w:t>
      </w:r>
      <w:r w:rsidR="0018634F" w:rsidRPr="0037330A">
        <w:rPr>
          <w:rFonts w:ascii="Book Antiqua" w:eastAsia="Arial" w:hAnsi="Book Antiqua"/>
          <w:bCs/>
          <w:lang w:val="en-GB"/>
        </w:rPr>
        <w:t xml:space="preserve"> Klatman EL and Ogle GD wrote the manuscript.</w:t>
      </w:r>
    </w:p>
    <w:p w14:paraId="27C6D159" w14:textId="77777777" w:rsidR="0018634F" w:rsidRPr="0037330A" w:rsidRDefault="0018634F" w:rsidP="00146B63">
      <w:pPr>
        <w:snapToGrid w:val="0"/>
        <w:spacing w:line="360" w:lineRule="auto"/>
        <w:jc w:val="both"/>
        <w:rPr>
          <w:rFonts w:ascii="Book Antiqua" w:hAnsi="Book Antiqua"/>
          <w:i/>
          <w:lang w:val="en-GB"/>
        </w:rPr>
      </w:pPr>
    </w:p>
    <w:p w14:paraId="32ADAD00" w14:textId="4F86F1DB" w:rsidR="00326099" w:rsidRPr="0037330A" w:rsidRDefault="00326099" w:rsidP="00146B63">
      <w:pPr>
        <w:snapToGrid w:val="0"/>
        <w:spacing w:line="360" w:lineRule="auto"/>
        <w:jc w:val="both"/>
        <w:rPr>
          <w:rFonts w:ascii="Book Antiqua" w:eastAsiaTheme="minorEastAsia" w:hAnsi="Book Antiqua"/>
          <w:iCs/>
          <w:lang w:val="en-GB" w:eastAsia="zh-CN"/>
        </w:rPr>
      </w:pPr>
      <w:r w:rsidRPr="0037330A">
        <w:rPr>
          <w:rFonts w:ascii="Book Antiqua" w:hAnsi="Book Antiqua"/>
          <w:b/>
          <w:bCs/>
          <w:iCs/>
          <w:lang w:val="en-GB"/>
        </w:rPr>
        <w:t>Supported by</w:t>
      </w:r>
      <w:r w:rsidRPr="0037330A">
        <w:rPr>
          <w:rFonts w:ascii="Book Antiqua" w:hAnsi="Book Antiqua"/>
          <w:iCs/>
          <w:lang w:val="en-GB"/>
        </w:rPr>
        <w:t xml:space="preserve"> the Leona M and Harry B Helmsley Charitable Trust</w:t>
      </w:r>
      <w:r w:rsidR="009F3C0E" w:rsidRPr="0037330A">
        <w:rPr>
          <w:rFonts w:ascii="Book Antiqua" w:eastAsiaTheme="minorEastAsia" w:hAnsi="Book Antiqua"/>
          <w:iCs/>
          <w:lang w:val="en-GB" w:eastAsia="zh-CN"/>
        </w:rPr>
        <w:t>, No. 2019PG-T1D023.</w:t>
      </w:r>
    </w:p>
    <w:p w14:paraId="6BE4A221" w14:textId="77777777" w:rsidR="00326099" w:rsidRPr="0037330A" w:rsidRDefault="00326099" w:rsidP="00146B63">
      <w:pPr>
        <w:snapToGrid w:val="0"/>
        <w:spacing w:line="360" w:lineRule="auto"/>
        <w:jc w:val="both"/>
        <w:rPr>
          <w:rFonts w:ascii="Book Antiqua" w:hAnsi="Book Antiqua"/>
          <w:i/>
          <w:lang w:val="en-GB"/>
        </w:rPr>
      </w:pPr>
    </w:p>
    <w:p w14:paraId="273863E4" w14:textId="72F875A3" w:rsidR="001F1760" w:rsidRPr="0037330A" w:rsidRDefault="001F1760" w:rsidP="00146B63">
      <w:pPr>
        <w:snapToGrid w:val="0"/>
        <w:spacing w:line="360" w:lineRule="auto"/>
        <w:jc w:val="both"/>
        <w:rPr>
          <w:rFonts w:ascii="Book Antiqua" w:hAnsi="Book Antiqua"/>
          <w:lang w:val="en-GB"/>
        </w:rPr>
      </w:pPr>
      <w:r w:rsidRPr="0037330A">
        <w:rPr>
          <w:rFonts w:ascii="Book Antiqua" w:hAnsi="Book Antiqua"/>
          <w:b/>
          <w:bCs/>
          <w:iCs/>
          <w:lang w:val="en-GB"/>
        </w:rPr>
        <w:t>Correspond</w:t>
      </w:r>
      <w:r w:rsidR="003205CA" w:rsidRPr="0037330A">
        <w:rPr>
          <w:rFonts w:ascii="Book Antiqua" w:hAnsi="Book Antiqua"/>
          <w:b/>
          <w:bCs/>
          <w:iCs/>
          <w:lang w:val="en-GB"/>
        </w:rPr>
        <w:t xml:space="preserve">ing author: </w:t>
      </w:r>
      <w:r w:rsidRPr="0037330A">
        <w:rPr>
          <w:rFonts w:ascii="Book Antiqua" w:hAnsi="Book Antiqua"/>
          <w:b/>
          <w:bCs/>
          <w:lang w:val="en-GB"/>
        </w:rPr>
        <w:t>Emma Louise Klatman</w:t>
      </w:r>
      <w:r w:rsidR="003205CA" w:rsidRPr="0037330A">
        <w:rPr>
          <w:rFonts w:ascii="Book Antiqua" w:hAnsi="Book Antiqua"/>
          <w:b/>
          <w:bCs/>
          <w:lang w:val="en-GB"/>
        </w:rPr>
        <w:t>, BSc, MSc,</w:t>
      </w:r>
      <w:r w:rsidR="00BE604F" w:rsidRPr="0037330A">
        <w:rPr>
          <w:rFonts w:ascii="Book Antiqua" w:hAnsi="Book Antiqua"/>
        </w:rPr>
        <w:t xml:space="preserve"> </w:t>
      </w:r>
      <w:r w:rsidR="00BE604F" w:rsidRPr="0037330A">
        <w:rPr>
          <w:rFonts w:ascii="Book Antiqua" w:hAnsi="Book Antiqua"/>
          <w:b/>
          <w:bCs/>
          <w:lang w:val="en-GB"/>
        </w:rPr>
        <w:t>Academic Research</w:t>
      </w:r>
      <w:r w:rsidR="00BE604F" w:rsidRPr="0037330A">
        <w:rPr>
          <w:rFonts w:ascii="Book Antiqua" w:eastAsiaTheme="minorEastAsia" w:hAnsi="Book Antiqua"/>
          <w:b/>
          <w:bCs/>
          <w:lang w:val="en-GB" w:eastAsia="zh-CN"/>
        </w:rPr>
        <w:t>,</w:t>
      </w:r>
      <w:r w:rsidR="003205CA" w:rsidRPr="0037330A">
        <w:rPr>
          <w:rFonts w:ascii="Book Antiqua" w:hAnsi="Book Antiqua"/>
          <w:lang w:val="en-GB"/>
        </w:rPr>
        <w:t xml:space="preserve"> Life for a Child Program</w:t>
      </w:r>
      <w:r w:rsidR="009F3C0E" w:rsidRPr="0037330A">
        <w:rPr>
          <w:rFonts w:ascii="Book Antiqua" w:eastAsiaTheme="minorEastAsia" w:hAnsi="Book Antiqua"/>
          <w:lang w:val="en-GB" w:eastAsia="zh-CN"/>
        </w:rPr>
        <w:t>,</w:t>
      </w:r>
      <w:r w:rsidR="003205CA" w:rsidRPr="0037330A">
        <w:rPr>
          <w:rFonts w:ascii="Book Antiqua" w:hAnsi="Book Antiqua"/>
          <w:lang w:val="en-GB"/>
        </w:rPr>
        <w:t xml:space="preserve"> </w:t>
      </w:r>
      <w:bookmarkStart w:id="5" w:name="OLE_LINK6"/>
      <w:r w:rsidR="003205CA" w:rsidRPr="0037330A">
        <w:rPr>
          <w:rFonts w:ascii="Book Antiqua" w:hAnsi="Book Antiqua"/>
          <w:lang w:val="en-GB"/>
        </w:rPr>
        <w:t xml:space="preserve">Diabetes NSW </w:t>
      </w:r>
      <w:r w:rsidR="009F3C0E" w:rsidRPr="0037330A">
        <w:rPr>
          <w:rFonts w:ascii="Book Antiqua" w:eastAsiaTheme="minorEastAsia" w:hAnsi="Book Antiqua"/>
          <w:lang w:val="en-GB" w:eastAsia="zh-CN"/>
        </w:rPr>
        <w:t>and</w:t>
      </w:r>
      <w:r w:rsidR="003205CA" w:rsidRPr="0037330A">
        <w:rPr>
          <w:rFonts w:ascii="Book Antiqua" w:hAnsi="Book Antiqua"/>
          <w:lang w:val="en-GB"/>
        </w:rPr>
        <w:t xml:space="preserve"> ACT</w:t>
      </w:r>
      <w:bookmarkEnd w:id="5"/>
      <w:r w:rsidR="003205CA" w:rsidRPr="0037330A">
        <w:rPr>
          <w:rFonts w:ascii="Book Antiqua" w:hAnsi="Book Antiqua"/>
          <w:lang w:val="en-GB"/>
        </w:rPr>
        <w:t xml:space="preserve">, </w:t>
      </w:r>
      <w:bookmarkStart w:id="6" w:name="OLE_LINK7"/>
      <w:r w:rsidR="009F3C0E" w:rsidRPr="0037330A">
        <w:rPr>
          <w:rFonts w:ascii="Book Antiqua" w:hAnsi="Book Antiqua"/>
          <w:lang w:val="en-GB"/>
        </w:rPr>
        <w:t>26 Arundel St</w:t>
      </w:r>
      <w:r w:rsidR="009F3C0E" w:rsidRPr="0037330A">
        <w:rPr>
          <w:rFonts w:ascii="Book Antiqua" w:eastAsiaTheme="minorEastAsia" w:hAnsi="Book Antiqua"/>
          <w:lang w:val="en-GB" w:eastAsia="zh-CN"/>
        </w:rPr>
        <w:t>reet</w:t>
      </w:r>
      <w:bookmarkEnd w:id="6"/>
      <w:r w:rsidR="003205CA" w:rsidRPr="0037330A">
        <w:rPr>
          <w:rFonts w:ascii="Book Antiqua" w:hAnsi="Book Antiqua"/>
          <w:lang w:val="en-GB"/>
        </w:rPr>
        <w:t xml:space="preserve">, </w:t>
      </w:r>
      <w:bookmarkStart w:id="7" w:name="OLE_LINK8"/>
      <w:bookmarkStart w:id="8" w:name="OLE_LINK9"/>
      <w:r w:rsidRPr="0037330A">
        <w:rPr>
          <w:rFonts w:ascii="Book Antiqua" w:hAnsi="Book Antiqua"/>
          <w:lang w:val="en-GB"/>
        </w:rPr>
        <w:t>Glebe</w:t>
      </w:r>
      <w:bookmarkEnd w:id="7"/>
      <w:bookmarkEnd w:id="8"/>
      <w:r w:rsidRPr="0037330A">
        <w:rPr>
          <w:rFonts w:ascii="Book Antiqua" w:hAnsi="Book Antiqua"/>
          <w:lang w:val="en-GB"/>
        </w:rPr>
        <w:t>, NSW 2037</w:t>
      </w:r>
      <w:r w:rsidR="003205CA" w:rsidRPr="0037330A">
        <w:rPr>
          <w:rFonts w:ascii="Book Antiqua" w:hAnsi="Book Antiqua"/>
          <w:lang w:val="en-GB"/>
        </w:rPr>
        <w:t xml:space="preserve">, </w:t>
      </w:r>
      <w:r w:rsidRPr="0037330A">
        <w:rPr>
          <w:rFonts w:ascii="Book Antiqua" w:hAnsi="Book Antiqua"/>
          <w:lang w:val="en-GB"/>
        </w:rPr>
        <w:t>Australia</w:t>
      </w:r>
      <w:r w:rsidR="003205CA" w:rsidRPr="0037330A">
        <w:rPr>
          <w:rFonts w:ascii="Book Antiqua" w:hAnsi="Book Antiqua"/>
          <w:lang w:val="en-GB"/>
        </w:rPr>
        <w:t xml:space="preserve">. </w:t>
      </w:r>
      <w:hyperlink r:id="rId9" w:history="1">
        <w:r w:rsidR="00B55E96" w:rsidRPr="0037330A">
          <w:rPr>
            <w:rStyle w:val="a9"/>
            <w:rFonts w:ascii="Book Antiqua" w:hAnsi="Book Antiqua"/>
            <w:lang w:val="en-GB"/>
          </w:rPr>
          <w:t>emma@lifeforachild.org</w:t>
        </w:r>
      </w:hyperlink>
    </w:p>
    <w:p w14:paraId="0318361C" w14:textId="0FB7F119" w:rsidR="00B55E96" w:rsidRPr="0037330A" w:rsidRDefault="00B55E96" w:rsidP="00146B63">
      <w:pPr>
        <w:snapToGrid w:val="0"/>
        <w:spacing w:line="360" w:lineRule="auto"/>
        <w:jc w:val="both"/>
        <w:rPr>
          <w:rFonts w:ascii="Book Antiqua" w:hAnsi="Book Antiqua"/>
          <w:lang w:val="en-GB"/>
        </w:rPr>
      </w:pPr>
    </w:p>
    <w:p w14:paraId="3896A8AA" w14:textId="43E47A73" w:rsidR="004970C0" w:rsidRPr="0037330A" w:rsidRDefault="004970C0" w:rsidP="00146B63">
      <w:pPr>
        <w:adjustRightInd w:val="0"/>
        <w:snapToGrid w:val="0"/>
        <w:spacing w:line="360" w:lineRule="auto"/>
        <w:jc w:val="both"/>
        <w:rPr>
          <w:rFonts w:ascii="Book Antiqua" w:eastAsiaTheme="minorEastAsia" w:hAnsi="Book Antiqua"/>
          <w:b/>
          <w:bCs/>
          <w:color w:val="000000"/>
          <w:lang w:eastAsia="zh-CN"/>
        </w:rPr>
      </w:pPr>
      <w:r w:rsidRPr="0037330A">
        <w:rPr>
          <w:rFonts w:ascii="Book Antiqua" w:hAnsi="Book Antiqua"/>
          <w:b/>
          <w:bCs/>
          <w:color w:val="000000"/>
        </w:rPr>
        <w:t xml:space="preserve">Received: </w:t>
      </w:r>
      <w:r w:rsidR="00BE604F" w:rsidRPr="0037330A">
        <w:rPr>
          <w:rFonts w:ascii="Book Antiqua" w:eastAsiaTheme="minorEastAsia" w:hAnsi="Book Antiqua"/>
          <w:color w:val="000000"/>
          <w:lang w:eastAsia="zh-CN"/>
        </w:rPr>
        <w:t>February</w:t>
      </w:r>
      <w:r w:rsidR="00EF3ECA" w:rsidRPr="0037330A">
        <w:rPr>
          <w:rFonts w:ascii="Book Antiqua" w:hAnsi="Book Antiqua"/>
          <w:color w:val="000000"/>
        </w:rPr>
        <w:t xml:space="preserve"> </w:t>
      </w:r>
      <w:r w:rsidR="00EF3ECA" w:rsidRPr="0037330A">
        <w:rPr>
          <w:rFonts w:ascii="Book Antiqua" w:eastAsiaTheme="minorEastAsia" w:hAnsi="Book Antiqua"/>
          <w:color w:val="000000"/>
          <w:lang w:eastAsia="zh-CN"/>
        </w:rPr>
        <w:t>3</w:t>
      </w:r>
      <w:r w:rsidRPr="0037330A">
        <w:rPr>
          <w:rFonts w:ascii="Book Antiqua" w:hAnsi="Book Antiqua"/>
          <w:color w:val="000000"/>
        </w:rPr>
        <w:t>, 20</w:t>
      </w:r>
      <w:r w:rsidRPr="0037330A">
        <w:rPr>
          <w:rFonts w:ascii="Book Antiqua" w:eastAsiaTheme="minorEastAsia" w:hAnsi="Book Antiqua"/>
          <w:color w:val="000000"/>
          <w:lang w:eastAsia="zh-CN"/>
        </w:rPr>
        <w:t>20</w:t>
      </w:r>
    </w:p>
    <w:p w14:paraId="06D15A54" w14:textId="1F7E9E1E" w:rsidR="004970C0" w:rsidRPr="0037330A" w:rsidRDefault="004970C0" w:rsidP="00146B63">
      <w:pPr>
        <w:adjustRightInd w:val="0"/>
        <w:snapToGrid w:val="0"/>
        <w:spacing w:line="360" w:lineRule="auto"/>
        <w:jc w:val="both"/>
        <w:rPr>
          <w:rFonts w:ascii="Book Antiqua" w:eastAsiaTheme="minorEastAsia" w:hAnsi="Book Antiqua"/>
          <w:b/>
          <w:bCs/>
          <w:color w:val="000000"/>
          <w:lang w:eastAsia="zh-CN"/>
        </w:rPr>
      </w:pPr>
      <w:r w:rsidRPr="0037330A">
        <w:rPr>
          <w:rFonts w:ascii="Book Antiqua" w:hAnsi="Book Antiqua"/>
          <w:b/>
          <w:bCs/>
          <w:color w:val="000000"/>
        </w:rPr>
        <w:t xml:space="preserve">Revised: </w:t>
      </w:r>
      <w:r w:rsidR="00BE604F" w:rsidRPr="0037330A">
        <w:rPr>
          <w:rFonts w:ascii="Book Antiqua" w:eastAsiaTheme="minorEastAsia" w:hAnsi="Book Antiqua"/>
          <w:color w:val="000000"/>
          <w:lang w:eastAsia="zh-CN"/>
        </w:rPr>
        <w:t>June</w:t>
      </w:r>
      <w:r w:rsidR="00BE604F" w:rsidRPr="0037330A">
        <w:rPr>
          <w:rFonts w:ascii="Book Antiqua" w:hAnsi="Book Antiqua"/>
          <w:color w:val="000000"/>
        </w:rPr>
        <w:t xml:space="preserve"> </w:t>
      </w:r>
      <w:r w:rsidR="00BE604F" w:rsidRPr="0037330A">
        <w:rPr>
          <w:rFonts w:ascii="Book Antiqua" w:eastAsiaTheme="minorEastAsia" w:hAnsi="Book Antiqua"/>
          <w:color w:val="000000"/>
          <w:lang w:eastAsia="zh-CN"/>
        </w:rPr>
        <w:t>3</w:t>
      </w:r>
      <w:r w:rsidRPr="0037330A">
        <w:rPr>
          <w:rFonts w:ascii="Book Antiqua" w:hAnsi="Book Antiqua"/>
          <w:color w:val="000000"/>
        </w:rPr>
        <w:t>, 20</w:t>
      </w:r>
      <w:r w:rsidRPr="0037330A">
        <w:rPr>
          <w:rFonts w:ascii="Book Antiqua" w:eastAsiaTheme="minorEastAsia" w:hAnsi="Book Antiqua"/>
          <w:color w:val="000000"/>
          <w:lang w:eastAsia="zh-CN"/>
        </w:rPr>
        <w:t>20</w:t>
      </w:r>
    </w:p>
    <w:p w14:paraId="2882F074" w14:textId="00CC8D19" w:rsidR="004970C0" w:rsidRPr="0037330A" w:rsidRDefault="004970C0" w:rsidP="00146B63">
      <w:pPr>
        <w:adjustRightInd w:val="0"/>
        <w:snapToGrid w:val="0"/>
        <w:spacing w:line="360" w:lineRule="auto"/>
        <w:jc w:val="both"/>
        <w:rPr>
          <w:rFonts w:ascii="Book Antiqua" w:hAnsi="Book Antiqua"/>
          <w:b/>
          <w:bCs/>
          <w:color w:val="000000"/>
        </w:rPr>
      </w:pPr>
      <w:r w:rsidRPr="0037330A">
        <w:rPr>
          <w:rFonts w:ascii="Book Antiqua" w:hAnsi="Book Antiqua"/>
          <w:b/>
          <w:bCs/>
          <w:color w:val="000000"/>
        </w:rPr>
        <w:t xml:space="preserve">Accepted: </w:t>
      </w:r>
      <w:r w:rsidR="00FB4EA2" w:rsidRPr="0037330A">
        <w:rPr>
          <w:rFonts w:ascii="Book Antiqua" w:hAnsi="Book Antiqua"/>
          <w:bCs/>
          <w:color w:val="000000"/>
        </w:rPr>
        <w:t>July 1, 2020</w:t>
      </w:r>
    </w:p>
    <w:p w14:paraId="424F64DD" w14:textId="6A5A0CC8" w:rsidR="004970C0" w:rsidRPr="0037330A" w:rsidRDefault="004970C0" w:rsidP="00146B63">
      <w:pPr>
        <w:adjustRightInd w:val="0"/>
        <w:snapToGrid w:val="0"/>
        <w:spacing w:line="360" w:lineRule="auto"/>
        <w:jc w:val="both"/>
        <w:rPr>
          <w:rFonts w:ascii="Book Antiqua" w:eastAsiaTheme="minorEastAsia" w:hAnsi="Book Antiqua" w:hint="eastAsia"/>
          <w:b/>
          <w:bCs/>
          <w:color w:val="000000"/>
          <w:lang w:eastAsia="zh-CN"/>
        </w:rPr>
      </w:pPr>
      <w:r w:rsidRPr="0037330A">
        <w:rPr>
          <w:rFonts w:ascii="Book Antiqua" w:hAnsi="Book Antiqua"/>
          <w:b/>
          <w:bCs/>
          <w:color w:val="000000"/>
        </w:rPr>
        <w:t>Published online:</w:t>
      </w:r>
      <w:r w:rsidR="0037330A" w:rsidRPr="0037330A">
        <w:rPr>
          <w:rFonts w:ascii="Book Antiqua" w:eastAsiaTheme="minorEastAsia" w:hAnsi="Book Antiqua" w:hint="eastAsia"/>
          <w:b/>
          <w:bCs/>
          <w:color w:val="000000"/>
          <w:lang w:eastAsia="zh-CN"/>
        </w:rPr>
        <w:t xml:space="preserve"> </w:t>
      </w:r>
      <w:r w:rsidR="0037330A" w:rsidRPr="0037330A">
        <w:rPr>
          <w:rFonts w:ascii="Book Antiqua" w:eastAsiaTheme="minorEastAsia" w:hAnsi="Book Antiqua" w:hint="eastAsia"/>
          <w:bCs/>
          <w:color w:val="000000"/>
          <w:lang w:eastAsia="zh-CN"/>
        </w:rPr>
        <w:t>August 15, 2020</w:t>
      </w:r>
    </w:p>
    <w:p w14:paraId="0BF4D5E1" w14:textId="1BEE79DB" w:rsidR="00C045BF" w:rsidRPr="0037330A" w:rsidRDefault="00C045BF" w:rsidP="00146B63">
      <w:pPr>
        <w:snapToGrid w:val="0"/>
        <w:spacing w:line="360" w:lineRule="auto"/>
        <w:jc w:val="both"/>
        <w:rPr>
          <w:rFonts w:ascii="Book Antiqua" w:eastAsia="Arial" w:hAnsi="Book Antiqua"/>
          <w:lang w:val="en-GB"/>
        </w:rPr>
      </w:pPr>
    </w:p>
    <w:p w14:paraId="23C751BB" w14:textId="19E77B5D" w:rsidR="00E2591E" w:rsidRPr="0037330A" w:rsidRDefault="00E2591E" w:rsidP="00146B63">
      <w:pPr>
        <w:snapToGrid w:val="0"/>
        <w:spacing w:line="360" w:lineRule="auto"/>
        <w:jc w:val="both"/>
        <w:rPr>
          <w:rFonts w:ascii="Book Antiqua" w:hAnsi="Book Antiqua"/>
          <w:b/>
          <w:lang w:val="en-GB"/>
        </w:rPr>
      </w:pPr>
      <w:r w:rsidRPr="0037330A">
        <w:rPr>
          <w:rFonts w:ascii="Book Antiqua" w:hAnsi="Book Antiqua"/>
          <w:b/>
          <w:lang w:val="en-GB"/>
        </w:rPr>
        <w:lastRenderedPageBreak/>
        <w:t>Abstract</w:t>
      </w:r>
    </w:p>
    <w:p w14:paraId="6074660A" w14:textId="1B9B7A0F" w:rsidR="0075268D" w:rsidRPr="0037330A" w:rsidRDefault="0075268D" w:rsidP="00146B63">
      <w:pPr>
        <w:snapToGrid w:val="0"/>
        <w:spacing w:line="360" w:lineRule="auto"/>
        <w:jc w:val="both"/>
        <w:rPr>
          <w:rFonts w:ascii="Book Antiqua" w:hAnsi="Book Antiqua"/>
          <w:bCs/>
          <w:lang w:val="en-GB"/>
        </w:rPr>
      </w:pPr>
      <w:r w:rsidRPr="0037330A">
        <w:rPr>
          <w:rFonts w:ascii="Book Antiqua" w:hAnsi="Book Antiqua"/>
          <w:bCs/>
          <w:lang w:val="en-GB"/>
        </w:rPr>
        <w:t>BACKGROUND</w:t>
      </w:r>
    </w:p>
    <w:p w14:paraId="36A651D0" w14:textId="00CE5BC3" w:rsidR="0075268D" w:rsidRPr="0037330A" w:rsidRDefault="00BE604F" w:rsidP="00146B63">
      <w:pPr>
        <w:snapToGrid w:val="0"/>
        <w:spacing w:line="360" w:lineRule="auto"/>
        <w:jc w:val="both"/>
        <w:rPr>
          <w:rFonts w:ascii="Book Antiqua" w:hAnsi="Book Antiqua"/>
          <w:bCs/>
          <w:lang w:val="en-GB"/>
        </w:rPr>
      </w:pPr>
      <w:r w:rsidRPr="0037330A">
        <w:rPr>
          <w:rFonts w:ascii="Book Antiqua" w:hAnsi="Book Antiqua"/>
          <w:bCs/>
          <w:lang w:val="en-GB"/>
        </w:rPr>
        <w:t xml:space="preserve">Young people with </w:t>
      </w:r>
      <w:r w:rsidR="003E514C" w:rsidRPr="0037330A">
        <w:rPr>
          <w:rFonts w:ascii="Book Antiqua" w:hAnsi="Book Antiqua"/>
          <w:bCs/>
          <w:lang w:val="en-GB"/>
        </w:rPr>
        <w:t>t</w:t>
      </w:r>
      <w:r w:rsidR="00344ED1" w:rsidRPr="0037330A">
        <w:rPr>
          <w:rFonts w:ascii="Book Antiqua" w:hAnsi="Book Antiqua"/>
          <w:bCs/>
          <w:lang w:val="en-GB"/>
        </w:rPr>
        <w:t xml:space="preserve">ype </w:t>
      </w:r>
      <w:r w:rsidRPr="0037330A">
        <w:rPr>
          <w:rFonts w:ascii="Book Antiqua" w:hAnsi="Book Antiqua"/>
          <w:bCs/>
          <w:lang w:val="en-GB"/>
        </w:rPr>
        <w:t>1</w:t>
      </w:r>
      <w:r w:rsidR="00344ED1" w:rsidRPr="0037330A">
        <w:rPr>
          <w:rFonts w:ascii="Book Antiqua" w:eastAsiaTheme="minorEastAsia" w:hAnsi="Book Antiqua"/>
          <w:bCs/>
          <w:lang w:val="en-GB" w:eastAsia="zh-CN"/>
        </w:rPr>
        <w:t xml:space="preserve"> </w:t>
      </w:r>
      <w:r w:rsidR="0075268D" w:rsidRPr="0037330A">
        <w:rPr>
          <w:rFonts w:ascii="Book Antiqua" w:hAnsi="Book Antiqua"/>
          <w:bCs/>
          <w:lang w:val="en-GB"/>
        </w:rPr>
        <w:t xml:space="preserve">diabetes in </w:t>
      </w:r>
      <w:r w:rsidRPr="0037330A">
        <w:rPr>
          <w:rFonts w:ascii="Book Antiqua" w:hAnsi="Book Antiqua"/>
          <w:bCs/>
          <w:lang w:val="en-GB"/>
        </w:rPr>
        <w:t>low-and-middle income countries</w:t>
      </w:r>
      <w:r w:rsidR="0075268D" w:rsidRPr="0037330A">
        <w:rPr>
          <w:rFonts w:ascii="Book Antiqua" w:hAnsi="Book Antiqua"/>
          <w:bCs/>
          <w:lang w:val="en-GB"/>
        </w:rPr>
        <w:t xml:space="preserve"> face many challenges in accessing care, with various essential supplies needed for survival and long-term health.</w:t>
      </w:r>
    </w:p>
    <w:p w14:paraId="7FFA2DB6" w14:textId="77777777" w:rsidR="00D635BE" w:rsidRPr="0037330A" w:rsidRDefault="00D635BE" w:rsidP="00146B63">
      <w:pPr>
        <w:snapToGrid w:val="0"/>
        <w:spacing w:line="360" w:lineRule="auto"/>
        <w:jc w:val="both"/>
        <w:rPr>
          <w:rFonts w:ascii="Book Antiqua" w:eastAsiaTheme="minorEastAsia" w:hAnsi="Book Antiqua"/>
          <w:bCs/>
          <w:lang w:val="en-GB" w:eastAsia="zh-CN"/>
        </w:rPr>
      </w:pPr>
    </w:p>
    <w:p w14:paraId="79884AE9" w14:textId="3AB2C466" w:rsidR="0075268D" w:rsidRPr="0037330A" w:rsidRDefault="0075268D" w:rsidP="00146B63">
      <w:pPr>
        <w:snapToGrid w:val="0"/>
        <w:spacing w:line="360" w:lineRule="auto"/>
        <w:jc w:val="both"/>
        <w:rPr>
          <w:rFonts w:ascii="Book Antiqua" w:hAnsi="Book Antiqua"/>
          <w:bCs/>
          <w:lang w:val="en-GB"/>
        </w:rPr>
      </w:pPr>
      <w:r w:rsidRPr="0037330A">
        <w:rPr>
          <w:rFonts w:ascii="Book Antiqua" w:hAnsi="Book Antiqua"/>
          <w:bCs/>
          <w:lang w:val="en-GB"/>
        </w:rPr>
        <w:t>AIM</w:t>
      </w:r>
    </w:p>
    <w:p w14:paraId="3BB892BB" w14:textId="45588635" w:rsidR="00D635BE" w:rsidRPr="0037330A" w:rsidRDefault="00344ED1" w:rsidP="00146B63">
      <w:pPr>
        <w:snapToGrid w:val="0"/>
        <w:spacing w:line="360" w:lineRule="auto"/>
        <w:jc w:val="both"/>
        <w:rPr>
          <w:rFonts w:ascii="Book Antiqua" w:eastAsiaTheme="minorEastAsia" w:hAnsi="Book Antiqua" w:cs="Arial"/>
          <w:bCs/>
          <w:iCs/>
          <w:lang w:val="en-GB" w:eastAsia="zh-CN"/>
        </w:rPr>
      </w:pPr>
      <w:r w:rsidRPr="0037330A">
        <w:rPr>
          <w:rFonts w:ascii="Book Antiqua" w:hAnsi="Book Antiqua" w:cs="Arial"/>
          <w:bCs/>
          <w:iCs/>
          <w:lang w:val="en-GB"/>
        </w:rPr>
        <w:t xml:space="preserve">To study insulin delivery devices and glycated haemoglobin (HbA1c) testing. </w:t>
      </w:r>
    </w:p>
    <w:p w14:paraId="32A89BBD" w14:textId="3B6D38B3" w:rsidR="00344ED1" w:rsidRPr="0037330A" w:rsidRDefault="00344ED1" w:rsidP="00146B63">
      <w:pPr>
        <w:snapToGrid w:val="0"/>
        <w:spacing w:line="360" w:lineRule="auto"/>
        <w:jc w:val="both"/>
        <w:rPr>
          <w:rFonts w:ascii="Book Antiqua" w:eastAsiaTheme="minorEastAsia" w:hAnsi="Book Antiqua"/>
          <w:bCs/>
          <w:lang w:val="en-GB" w:eastAsia="zh-CN"/>
        </w:rPr>
      </w:pPr>
    </w:p>
    <w:p w14:paraId="02F51AD1" w14:textId="04A0AD6D" w:rsidR="0075268D" w:rsidRPr="0037330A" w:rsidRDefault="0075268D" w:rsidP="00146B63">
      <w:pPr>
        <w:snapToGrid w:val="0"/>
        <w:spacing w:line="360" w:lineRule="auto"/>
        <w:jc w:val="both"/>
        <w:rPr>
          <w:rFonts w:ascii="Book Antiqua" w:hAnsi="Book Antiqua"/>
          <w:bCs/>
          <w:lang w:val="en-GB"/>
        </w:rPr>
      </w:pPr>
      <w:r w:rsidRPr="0037330A">
        <w:rPr>
          <w:rFonts w:ascii="Book Antiqua" w:hAnsi="Book Antiqua"/>
          <w:bCs/>
          <w:lang w:val="en-GB"/>
        </w:rPr>
        <w:t>METHODS</w:t>
      </w:r>
    </w:p>
    <w:p w14:paraId="2329E991" w14:textId="19F237A5" w:rsidR="0075268D" w:rsidRPr="0037330A" w:rsidRDefault="0075268D" w:rsidP="00146B63">
      <w:pPr>
        <w:snapToGrid w:val="0"/>
        <w:spacing w:line="360" w:lineRule="auto"/>
        <w:jc w:val="both"/>
        <w:rPr>
          <w:rFonts w:ascii="Book Antiqua" w:hAnsi="Book Antiqua"/>
          <w:bCs/>
          <w:lang w:val="en-GB"/>
        </w:rPr>
      </w:pPr>
      <w:r w:rsidRPr="0037330A">
        <w:rPr>
          <w:rFonts w:ascii="Book Antiqua" w:hAnsi="Book Antiqua"/>
          <w:bCs/>
          <w:lang w:val="en-GB"/>
        </w:rPr>
        <w:t>A survey was conducted in 2019 of leading diabetes centres in 41 countries supported by the Life for a Child Program. The survey covered numerous aspects concerning availability and costs at all levels of the health system, local usage patterns and attitudes, obstacles, and other aspects.</w:t>
      </w:r>
    </w:p>
    <w:p w14:paraId="32E1F444" w14:textId="77777777" w:rsidR="00D635BE" w:rsidRPr="0037330A" w:rsidRDefault="00D635BE" w:rsidP="00146B63">
      <w:pPr>
        <w:snapToGrid w:val="0"/>
        <w:spacing w:line="360" w:lineRule="auto"/>
        <w:jc w:val="both"/>
        <w:rPr>
          <w:rFonts w:ascii="Book Antiqua" w:eastAsiaTheme="minorEastAsia" w:hAnsi="Book Antiqua"/>
          <w:bCs/>
          <w:lang w:val="en-GB" w:eastAsia="zh-CN"/>
        </w:rPr>
      </w:pPr>
    </w:p>
    <w:p w14:paraId="5A14E9E0" w14:textId="7104573C" w:rsidR="0075268D" w:rsidRPr="0037330A" w:rsidRDefault="0075268D" w:rsidP="00146B63">
      <w:pPr>
        <w:snapToGrid w:val="0"/>
        <w:spacing w:line="360" w:lineRule="auto"/>
        <w:jc w:val="both"/>
        <w:rPr>
          <w:rFonts w:ascii="Book Antiqua" w:hAnsi="Book Antiqua"/>
          <w:bCs/>
          <w:lang w:val="en-GB"/>
        </w:rPr>
      </w:pPr>
      <w:r w:rsidRPr="0037330A">
        <w:rPr>
          <w:rFonts w:ascii="Book Antiqua" w:hAnsi="Book Antiqua"/>
          <w:bCs/>
          <w:lang w:val="en-GB"/>
        </w:rPr>
        <w:t xml:space="preserve">RESULTS </w:t>
      </w:r>
    </w:p>
    <w:p w14:paraId="4E939B8C" w14:textId="6FE7E26E" w:rsidR="0075268D" w:rsidRPr="0037330A" w:rsidRDefault="0075268D" w:rsidP="00146B63">
      <w:pPr>
        <w:snapToGrid w:val="0"/>
        <w:spacing w:line="360" w:lineRule="auto"/>
        <w:jc w:val="both"/>
        <w:rPr>
          <w:rFonts w:ascii="Book Antiqua" w:hAnsi="Book Antiqua"/>
          <w:bCs/>
          <w:lang w:val="en-GB"/>
        </w:rPr>
      </w:pPr>
      <w:r w:rsidRPr="0037330A">
        <w:rPr>
          <w:rFonts w:ascii="Book Antiqua" w:hAnsi="Book Antiqua"/>
          <w:bCs/>
          <w:lang w:val="en-GB"/>
        </w:rPr>
        <w:t xml:space="preserve">Thirty-seven countries returned the survey (90.2% response rate). Key findings included: Syringe use was most common (83.1%), followed by insulin pens (16.7%) and pumps (0.2%). 48.6% of public health systems did not provide syringes, even with a co-payment. Use of suboptimal syringe/needle combinations was common. Needles were generally reused in almost all countries (94.3%, </w:t>
      </w:r>
      <w:r w:rsidRPr="0037330A">
        <w:rPr>
          <w:rFonts w:ascii="Book Antiqua" w:hAnsi="Book Antiqua"/>
          <w:bCs/>
          <w:i/>
          <w:lang w:val="en-GB"/>
        </w:rPr>
        <w:t>n</w:t>
      </w:r>
      <w:r w:rsidR="00344ED1" w:rsidRPr="0037330A">
        <w:rPr>
          <w:rFonts w:ascii="Book Antiqua" w:eastAsiaTheme="minorEastAsia" w:hAnsi="Book Antiqua"/>
          <w:bCs/>
          <w:lang w:val="en-GB" w:eastAsia="zh-CN"/>
        </w:rPr>
        <w:t xml:space="preserve"> </w:t>
      </w:r>
      <w:r w:rsidRPr="0037330A">
        <w:rPr>
          <w:rFonts w:ascii="Book Antiqua" w:hAnsi="Book Antiqua"/>
          <w:bCs/>
          <w:lang w:val="en-GB"/>
        </w:rPr>
        <w:t>=</w:t>
      </w:r>
      <w:r w:rsidR="00344ED1" w:rsidRPr="0037330A">
        <w:rPr>
          <w:rFonts w:ascii="Book Antiqua" w:eastAsiaTheme="minorEastAsia" w:hAnsi="Book Antiqua"/>
          <w:bCs/>
          <w:lang w:val="en-GB" w:eastAsia="zh-CN"/>
        </w:rPr>
        <w:t xml:space="preserve"> </w:t>
      </w:r>
      <w:r w:rsidRPr="0037330A">
        <w:rPr>
          <w:rFonts w:ascii="Book Antiqua" w:hAnsi="Book Antiqua"/>
          <w:bCs/>
          <w:lang w:val="en-GB"/>
        </w:rPr>
        <w:t>35). Aside from donated supplies, there was variable access to HbA1c testing within public health facilities, and, when available, patients often had to cover the cost. Provision was further compromised by numerous problems including stock-outs, and challenges with understanding the test, equipment maintenance, and refrigeration.</w:t>
      </w:r>
    </w:p>
    <w:p w14:paraId="21649080" w14:textId="77777777" w:rsidR="00D635BE" w:rsidRPr="0037330A" w:rsidRDefault="00D635BE" w:rsidP="00146B63">
      <w:pPr>
        <w:snapToGrid w:val="0"/>
        <w:spacing w:line="360" w:lineRule="auto"/>
        <w:jc w:val="both"/>
        <w:rPr>
          <w:rFonts w:ascii="Book Antiqua" w:eastAsiaTheme="minorEastAsia" w:hAnsi="Book Antiqua"/>
          <w:bCs/>
          <w:lang w:val="en-GB" w:eastAsia="zh-CN"/>
        </w:rPr>
      </w:pPr>
    </w:p>
    <w:p w14:paraId="4F437DD0" w14:textId="236B1144" w:rsidR="0075268D" w:rsidRPr="0037330A" w:rsidRDefault="0075268D" w:rsidP="00146B63">
      <w:pPr>
        <w:snapToGrid w:val="0"/>
        <w:spacing w:line="360" w:lineRule="auto"/>
        <w:jc w:val="both"/>
        <w:rPr>
          <w:rFonts w:ascii="Book Antiqua" w:hAnsi="Book Antiqua"/>
          <w:bCs/>
          <w:lang w:val="en-GB"/>
        </w:rPr>
      </w:pPr>
      <w:r w:rsidRPr="0037330A">
        <w:rPr>
          <w:rFonts w:ascii="Book Antiqua" w:hAnsi="Book Antiqua"/>
          <w:bCs/>
          <w:lang w:val="en-GB"/>
        </w:rPr>
        <w:t>CONCLUSION</w:t>
      </w:r>
    </w:p>
    <w:p w14:paraId="043496EC" w14:textId="590746DD" w:rsidR="00326099" w:rsidRPr="0037330A" w:rsidRDefault="00E2591E" w:rsidP="00146B63">
      <w:pPr>
        <w:snapToGrid w:val="0"/>
        <w:spacing w:line="360" w:lineRule="auto"/>
        <w:jc w:val="both"/>
        <w:rPr>
          <w:rFonts w:ascii="Book Antiqua" w:hAnsi="Book Antiqua"/>
          <w:bCs/>
          <w:lang w:val="en-GB"/>
        </w:rPr>
      </w:pPr>
      <w:r w:rsidRPr="0037330A">
        <w:rPr>
          <w:rFonts w:ascii="Book Antiqua" w:hAnsi="Book Antiqua"/>
          <w:bCs/>
          <w:lang w:val="en-GB"/>
        </w:rPr>
        <w:t xml:space="preserve">Large gaps exist for adequate access </w:t>
      </w:r>
      <w:r w:rsidR="00667C5E" w:rsidRPr="0037330A">
        <w:rPr>
          <w:rFonts w:ascii="Book Antiqua" w:hAnsi="Book Antiqua"/>
          <w:bCs/>
          <w:lang w:val="en-GB"/>
        </w:rPr>
        <w:t xml:space="preserve">to appropriate insulin delivery devices and HbA1c testing. </w:t>
      </w:r>
      <w:r w:rsidR="0061143D" w:rsidRPr="0037330A">
        <w:rPr>
          <w:rFonts w:ascii="Book Antiqua" w:hAnsi="Book Antiqua"/>
          <w:bCs/>
          <w:lang w:val="en-GB"/>
        </w:rPr>
        <w:t xml:space="preserve">Public health systems in </w:t>
      </w:r>
      <w:r w:rsidR="00BE604F" w:rsidRPr="0037330A">
        <w:rPr>
          <w:rFonts w:ascii="Book Antiqua" w:hAnsi="Book Antiqua"/>
          <w:bCs/>
          <w:lang w:val="en-GB"/>
        </w:rPr>
        <w:t>low-and-middle income countries</w:t>
      </w:r>
      <w:r w:rsidR="0061143D" w:rsidRPr="0037330A">
        <w:rPr>
          <w:rFonts w:ascii="Book Antiqua" w:hAnsi="Book Antiqua"/>
          <w:bCs/>
          <w:lang w:val="en-GB"/>
        </w:rPr>
        <w:t xml:space="preserve"> should increase </w:t>
      </w:r>
      <w:r w:rsidR="005A0B4A" w:rsidRPr="0037330A">
        <w:rPr>
          <w:rFonts w:ascii="Book Antiqua" w:hAnsi="Book Antiqua"/>
          <w:bCs/>
          <w:lang w:val="en-GB"/>
        </w:rPr>
        <w:t xml:space="preserve">affordable </w:t>
      </w:r>
      <w:r w:rsidR="0061143D" w:rsidRPr="0037330A">
        <w:rPr>
          <w:rFonts w:ascii="Book Antiqua" w:hAnsi="Book Antiqua"/>
          <w:bCs/>
          <w:lang w:val="en-GB"/>
        </w:rPr>
        <w:t>provision</w:t>
      </w:r>
      <w:r w:rsidR="00667C5E" w:rsidRPr="0037330A">
        <w:rPr>
          <w:rFonts w:ascii="Book Antiqua" w:hAnsi="Book Antiqua"/>
          <w:bCs/>
          <w:lang w:val="en-GB"/>
        </w:rPr>
        <w:t>.</w:t>
      </w:r>
      <w:r w:rsidR="0061143D" w:rsidRPr="0037330A">
        <w:rPr>
          <w:rFonts w:ascii="Book Antiqua" w:hAnsi="Book Antiqua"/>
          <w:bCs/>
          <w:lang w:val="en-GB"/>
        </w:rPr>
        <w:t xml:space="preserve"> The</w:t>
      </w:r>
      <w:r w:rsidRPr="0037330A">
        <w:rPr>
          <w:rFonts w:ascii="Book Antiqua" w:hAnsi="Book Antiqua"/>
          <w:bCs/>
          <w:lang w:val="en-GB"/>
        </w:rPr>
        <w:t xml:space="preserve">re are also needs for </w:t>
      </w:r>
      <w:r w:rsidR="0061143D" w:rsidRPr="0037330A">
        <w:rPr>
          <w:rFonts w:ascii="Book Antiqua" w:hAnsi="Book Antiqua"/>
          <w:bCs/>
          <w:lang w:val="en-GB"/>
        </w:rPr>
        <w:lastRenderedPageBreak/>
        <w:t>specific health professional training and diabetes education</w:t>
      </w:r>
      <w:r w:rsidR="00667C5E" w:rsidRPr="0037330A">
        <w:rPr>
          <w:rFonts w:ascii="Book Antiqua" w:hAnsi="Book Antiqua"/>
          <w:bCs/>
          <w:lang w:val="en-GB"/>
        </w:rPr>
        <w:t>;</w:t>
      </w:r>
      <w:r w:rsidR="0061143D" w:rsidRPr="0037330A">
        <w:rPr>
          <w:rFonts w:ascii="Book Antiqua" w:hAnsi="Book Antiqua"/>
          <w:bCs/>
          <w:lang w:val="en-GB"/>
        </w:rPr>
        <w:t xml:space="preserve"> elimination of customs duties and taxes</w:t>
      </w:r>
      <w:r w:rsidR="00667C5E" w:rsidRPr="0037330A">
        <w:rPr>
          <w:rFonts w:ascii="Book Antiqua" w:hAnsi="Book Antiqua"/>
          <w:bCs/>
          <w:lang w:val="en-GB"/>
        </w:rPr>
        <w:t>;</w:t>
      </w:r>
      <w:r w:rsidR="0061143D" w:rsidRPr="0037330A">
        <w:rPr>
          <w:rFonts w:ascii="Book Antiqua" w:hAnsi="Book Antiqua"/>
          <w:bCs/>
          <w:lang w:val="en-GB"/>
        </w:rPr>
        <w:t xml:space="preserve"> </w:t>
      </w:r>
      <w:r w:rsidR="00667C5E" w:rsidRPr="0037330A">
        <w:rPr>
          <w:rFonts w:ascii="Book Antiqua" w:hAnsi="Book Antiqua"/>
          <w:bCs/>
          <w:lang w:val="en-GB"/>
        </w:rPr>
        <w:t xml:space="preserve">development of inexpensive, robust </w:t>
      </w:r>
      <w:r w:rsidR="00A01954" w:rsidRPr="0037330A">
        <w:rPr>
          <w:rFonts w:ascii="Book Antiqua" w:hAnsi="Book Antiqua"/>
          <w:bCs/>
          <w:lang w:val="en-GB"/>
        </w:rPr>
        <w:t xml:space="preserve">HbA1c testing methods </w:t>
      </w:r>
      <w:r w:rsidR="00667C5E" w:rsidRPr="0037330A">
        <w:rPr>
          <w:rFonts w:ascii="Book Antiqua" w:hAnsi="Book Antiqua"/>
          <w:bCs/>
          <w:lang w:val="en-GB"/>
        </w:rPr>
        <w:t>that do not require refrigeration of testing supplies; differential pricing schemes, and other solutions.</w:t>
      </w:r>
    </w:p>
    <w:p w14:paraId="2A6EC164" w14:textId="77777777" w:rsidR="00326099" w:rsidRPr="0037330A" w:rsidRDefault="00326099" w:rsidP="00146B63">
      <w:pPr>
        <w:snapToGrid w:val="0"/>
        <w:spacing w:line="360" w:lineRule="auto"/>
        <w:jc w:val="both"/>
        <w:rPr>
          <w:rFonts w:ascii="Book Antiqua" w:hAnsi="Book Antiqua"/>
          <w:bCs/>
          <w:lang w:val="en-GB"/>
        </w:rPr>
      </w:pPr>
    </w:p>
    <w:p w14:paraId="3151C478" w14:textId="348D0B8D" w:rsidR="00326099" w:rsidRPr="0037330A" w:rsidRDefault="00326099" w:rsidP="00146B63">
      <w:pPr>
        <w:snapToGrid w:val="0"/>
        <w:spacing w:line="360" w:lineRule="auto"/>
        <w:jc w:val="both"/>
        <w:rPr>
          <w:rFonts w:ascii="Book Antiqua" w:eastAsia="Arial" w:hAnsi="Book Antiqua"/>
          <w:b/>
          <w:lang w:val="en-GB"/>
        </w:rPr>
      </w:pPr>
      <w:r w:rsidRPr="0037330A">
        <w:rPr>
          <w:rFonts w:ascii="Book Antiqua" w:eastAsia="Arial" w:hAnsi="Book Antiqua"/>
          <w:b/>
          <w:lang w:val="en-GB"/>
        </w:rPr>
        <w:t>Key</w:t>
      </w:r>
      <w:r w:rsidR="00D635BE" w:rsidRPr="0037330A">
        <w:rPr>
          <w:rFonts w:ascii="Book Antiqua" w:eastAsiaTheme="minorEastAsia" w:hAnsi="Book Antiqua"/>
          <w:b/>
          <w:lang w:val="en-GB" w:eastAsia="zh-CN"/>
        </w:rPr>
        <w:t xml:space="preserve"> </w:t>
      </w:r>
      <w:r w:rsidRPr="0037330A">
        <w:rPr>
          <w:rFonts w:ascii="Book Antiqua" w:eastAsia="Arial" w:hAnsi="Book Antiqua"/>
          <w:b/>
          <w:lang w:val="en-GB"/>
        </w:rPr>
        <w:t xml:space="preserve">words: </w:t>
      </w:r>
      <w:r w:rsidR="00344ED1" w:rsidRPr="0037330A">
        <w:rPr>
          <w:rFonts w:ascii="Book Antiqua" w:eastAsia="Arial" w:hAnsi="Book Antiqua"/>
          <w:bCs/>
          <w:lang w:val="en-GB"/>
        </w:rPr>
        <w:t xml:space="preserve">Type </w:t>
      </w:r>
      <w:r w:rsidRPr="0037330A">
        <w:rPr>
          <w:rFonts w:ascii="Book Antiqua" w:eastAsia="Arial" w:hAnsi="Book Antiqua"/>
          <w:bCs/>
          <w:lang w:val="en-GB"/>
        </w:rPr>
        <w:t>1 diabetes</w:t>
      </w:r>
      <w:r w:rsidR="00344ED1" w:rsidRPr="0037330A">
        <w:rPr>
          <w:rFonts w:ascii="Book Antiqua" w:eastAsiaTheme="minorEastAsia" w:hAnsi="Book Antiqua"/>
          <w:bCs/>
          <w:lang w:val="en-GB" w:eastAsia="zh-CN"/>
        </w:rPr>
        <w:t>;</w:t>
      </w:r>
      <w:r w:rsidRPr="0037330A">
        <w:rPr>
          <w:rFonts w:ascii="Book Antiqua" w:eastAsia="Arial" w:hAnsi="Book Antiqua"/>
          <w:bCs/>
          <w:lang w:val="en-GB"/>
        </w:rPr>
        <w:t xml:space="preserve"> </w:t>
      </w:r>
      <w:r w:rsidR="00344ED1" w:rsidRPr="0037330A">
        <w:rPr>
          <w:rFonts w:ascii="Book Antiqua" w:eastAsia="Arial" w:hAnsi="Book Antiqua"/>
          <w:bCs/>
          <w:lang w:val="en-GB"/>
        </w:rPr>
        <w:t>Diagnostics</w:t>
      </w:r>
      <w:r w:rsidR="00344ED1" w:rsidRPr="0037330A">
        <w:rPr>
          <w:rFonts w:ascii="Book Antiqua" w:eastAsiaTheme="minorEastAsia" w:hAnsi="Book Antiqua"/>
          <w:bCs/>
          <w:lang w:val="en-GB" w:eastAsia="zh-CN"/>
        </w:rPr>
        <w:t xml:space="preserve">; </w:t>
      </w:r>
      <w:bookmarkStart w:id="9" w:name="OLE_LINK15"/>
      <w:bookmarkStart w:id="10" w:name="OLE_LINK16"/>
      <w:r w:rsidR="00344ED1" w:rsidRPr="0037330A">
        <w:rPr>
          <w:rFonts w:ascii="Book Antiqua" w:hAnsi="Book Antiqua" w:cs="Arial"/>
          <w:bCs/>
          <w:iCs/>
          <w:lang w:val="en-GB"/>
        </w:rPr>
        <w:t>Glycated haemoglobin</w:t>
      </w:r>
      <w:bookmarkEnd w:id="9"/>
      <w:bookmarkEnd w:id="10"/>
      <w:r w:rsidR="00344ED1" w:rsidRPr="0037330A">
        <w:rPr>
          <w:rFonts w:ascii="Book Antiqua" w:eastAsiaTheme="minorEastAsia" w:hAnsi="Book Antiqua"/>
          <w:bCs/>
          <w:lang w:val="en-GB" w:eastAsia="zh-CN"/>
        </w:rPr>
        <w:t>;</w:t>
      </w:r>
      <w:r w:rsidRPr="0037330A">
        <w:rPr>
          <w:rFonts w:ascii="Book Antiqua" w:eastAsia="Arial" w:hAnsi="Book Antiqua"/>
          <w:bCs/>
          <w:lang w:val="en-GB"/>
        </w:rPr>
        <w:t xml:space="preserve"> </w:t>
      </w:r>
      <w:r w:rsidR="00344ED1" w:rsidRPr="0037330A">
        <w:rPr>
          <w:rFonts w:ascii="Book Antiqua" w:eastAsia="Arial" w:hAnsi="Book Antiqua"/>
          <w:bCs/>
          <w:lang w:val="en-GB"/>
        </w:rPr>
        <w:t>Syringes</w:t>
      </w:r>
      <w:r w:rsidR="00344ED1" w:rsidRPr="0037330A">
        <w:rPr>
          <w:rFonts w:ascii="Book Antiqua" w:eastAsiaTheme="minorEastAsia" w:hAnsi="Book Antiqua"/>
          <w:bCs/>
          <w:lang w:val="en-GB" w:eastAsia="zh-CN"/>
        </w:rPr>
        <w:t>;</w:t>
      </w:r>
      <w:r w:rsidRPr="0037330A">
        <w:rPr>
          <w:rFonts w:ascii="Book Antiqua" w:eastAsia="Arial" w:hAnsi="Book Antiqua"/>
          <w:bCs/>
          <w:lang w:val="en-GB"/>
        </w:rPr>
        <w:t xml:space="preserve"> </w:t>
      </w:r>
      <w:r w:rsidR="00344ED1" w:rsidRPr="0037330A">
        <w:rPr>
          <w:rFonts w:ascii="Book Antiqua" w:eastAsia="Arial" w:hAnsi="Book Antiqua"/>
          <w:bCs/>
          <w:lang w:val="en-GB"/>
        </w:rPr>
        <w:t>Insulin</w:t>
      </w:r>
      <w:r w:rsidR="00344ED1" w:rsidRPr="0037330A">
        <w:rPr>
          <w:rFonts w:ascii="Book Antiqua" w:eastAsiaTheme="minorEastAsia" w:hAnsi="Book Antiqua"/>
          <w:bCs/>
          <w:lang w:val="en-GB" w:eastAsia="zh-CN"/>
        </w:rPr>
        <w:t>;</w:t>
      </w:r>
      <w:r w:rsidRPr="0037330A">
        <w:rPr>
          <w:rFonts w:ascii="Book Antiqua" w:eastAsia="Arial" w:hAnsi="Book Antiqua"/>
          <w:bCs/>
          <w:lang w:val="en-GB"/>
        </w:rPr>
        <w:t xml:space="preserve"> </w:t>
      </w:r>
      <w:r w:rsidR="00344ED1" w:rsidRPr="0037330A">
        <w:rPr>
          <w:rFonts w:ascii="Book Antiqua" w:eastAsia="Arial" w:hAnsi="Book Antiqua"/>
          <w:bCs/>
          <w:lang w:val="en-GB"/>
        </w:rPr>
        <w:t>Access</w:t>
      </w:r>
      <w:r w:rsidR="00344ED1" w:rsidRPr="0037330A">
        <w:rPr>
          <w:rFonts w:ascii="Book Antiqua" w:eastAsia="Arial" w:hAnsi="Book Antiqua"/>
          <w:b/>
          <w:lang w:val="en-GB"/>
        </w:rPr>
        <w:t xml:space="preserve"> </w:t>
      </w:r>
    </w:p>
    <w:p w14:paraId="66C501D9" w14:textId="2EE4C9AF" w:rsidR="005B6C71" w:rsidRPr="0037330A" w:rsidRDefault="005B6C71" w:rsidP="00146B63">
      <w:pPr>
        <w:snapToGrid w:val="0"/>
        <w:spacing w:line="360" w:lineRule="auto"/>
        <w:jc w:val="both"/>
        <w:rPr>
          <w:rFonts w:ascii="Book Antiqua" w:eastAsia="Arial" w:hAnsi="Book Antiqua"/>
          <w:bCs/>
          <w:lang w:val="en-GB"/>
        </w:rPr>
      </w:pPr>
    </w:p>
    <w:p w14:paraId="6ACF6644" w14:textId="77777777" w:rsidR="0037330A" w:rsidRPr="0037330A" w:rsidRDefault="0037330A" w:rsidP="0037330A">
      <w:pPr>
        <w:snapToGrid w:val="0"/>
        <w:spacing w:line="360" w:lineRule="auto"/>
        <w:jc w:val="both"/>
        <w:rPr>
          <w:rFonts w:ascii="Book Antiqua" w:eastAsiaTheme="minorEastAsia" w:hAnsi="Book Antiqua" w:hint="eastAsia"/>
          <w:lang w:eastAsia="zh-CN"/>
        </w:rPr>
      </w:pPr>
      <w:r w:rsidRPr="0037330A">
        <w:rPr>
          <w:rFonts w:ascii="Book Antiqua" w:eastAsiaTheme="minorEastAsia" w:hAnsi="Book Antiqua" w:hint="eastAsia"/>
          <w:b/>
          <w:bCs/>
          <w:lang w:val="en-GB" w:eastAsia="zh-CN"/>
        </w:rPr>
        <w:t>Citation:</w:t>
      </w:r>
      <w:r w:rsidRPr="0037330A">
        <w:rPr>
          <w:rFonts w:ascii="Book Antiqua" w:eastAsiaTheme="minorEastAsia" w:hAnsi="Book Antiqua" w:hint="eastAsia"/>
          <w:bCs/>
          <w:lang w:val="en-GB" w:eastAsia="zh-CN"/>
        </w:rPr>
        <w:t xml:space="preserve"> </w:t>
      </w:r>
      <w:r w:rsidRPr="0037330A">
        <w:rPr>
          <w:rFonts w:ascii="Book Antiqua" w:eastAsia="Arial" w:hAnsi="Book Antiqua"/>
          <w:bCs/>
          <w:lang w:val="en-GB"/>
        </w:rPr>
        <w:t>Klatman EL, Ogle GD.</w:t>
      </w:r>
      <w:r w:rsidRPr="0037330A">
        <w:rPr>
          <w:rFonts w:ascii="Book Antiqua" w:eastAsiaTheme="minorEastAsia" w:hAnsi="Book Antiqua"/>
          <w:bCs/>
          <w:lang w:val="en-GB" w:eastAsia="zh-CN"/>
        </w:rPr>
        <w:t xml:space="preserve"> </w:t>
      </w:r>
      <w:r w:rsidRPr="0037330A">
        <w:rPr>
          <w:rFonts w:ascii="Book Antiqua" w:eastAsia="Arial" w:hAnsi="Book Antiqua"/>
          <w:bCs/>
          <w:iCs/>
          <w:lang w:val="en-GB"/>
        </w:rPr>
        <w:t>Access to insulin delivery devices and glycated haemoglobin in lower-income countries</w:t>
      </w:r>
      <w:r w:rsidRPr="0037330A">
        <w:rPr>
          <w:rFonts w:ascii="Book Antiqua" w:eastAsiaTheme="minorEastAsia" w:hAnsi="Book Antiqua"/>
          <w:bCs/>
          <w:iCs/>
          <w:lang w:val="en-GB" w:eastAsia="zh-CN"/>
        </w:rPr>
        <w:t xml:space="preserve">. </w:t>
      </w:r>
      <w:r w:rsidRPr="0037330A">
        <w:rPr>
          <w:rFonts w:ascii="Book Antiqua" w:eastAsia="Arial" w:hAnsi="Book Antiqua"/>
          <w:bCs/>
          <w:i/>
          <w:lang w:val="en-GB"/>
        </w:rPr>
        <w:t>World J Diabetes</w:t>
      </w:r>
      <w:r w:rsidRPr="0037330A">
        <w:rPr>
          <w:rFonts w:ascii="Book Antiqua" w:eastAsia="Arial" w:hAnsi="Book Antiqua"/>
          <w:bCs/>
          <w:iCs/>
          <w:lang w:val="en-GB"/>
        </w:rPr>
        <w:t xml:space="preserve"> 2020; </w:t>
      </w:r>
      <w:r w:rsidRPr="0037330A">
        <w:rPr>
          <w:rFonts w:ascii="Book Antiqua" w:eastAsia="Book Antiqua" w:hAnsi="Book Antiqua" w:hint="eastAsia"/>
        </w:rPr>
        <w:t>1</w:t>
      </w:r>
      <w:r w:rsidRPr="0037330A">
        <w:rPr>
          <w:rFonts w:ascii="Book Antiqua" w:hAnsi="Book Antiqua" w:hint="eastAsia"/>
        </w:rPr>
        <w:t>1</w:t>
      </w:r>
      <w:r w:rsidRPr="0037330A">
        <w:rPr>
          <w:rFonts w:ascii="Book Antiqua" w:eastAsia="Book Antiqua" w:hAnsi="Book Antiqua"/>
        </w:rPr>
        <w:t>(</w:t>
      </w:r>
      <w:r w:rsidRPr="0037330A">
        <w:rPr>
          <w:rFonts w:ascii="Book Antiqua" w:eastAsiaTheme="minorEastAsia" w:hAnsi="Book Antiqua" w:hint="eastAsia"/>
          <w:lang w:eastAsia="zh-CN"/>
        </w:rPr>
        <w:t>8</w:t>
      </w:r>
      <w:r w:rsidRPr="0037330A">
        <w:rPr>
          <w:rFonts w:ascii="Book Antiqua" w:eastAsia="Book Antiqua" w:hAnsi="Book Antiqua"/>
        </w:rPr>
        <w:t xml:space="preserve">): </w:t>
      </w:r>
      <w:r w:rsidRPr="0037330A">
        <w:rPr>
          <w:rFonts w:ascii="Book Antiqua" w:eastAsiaTheme="minorEastAsia" w:hAnsi="Book Antiqua" w:hint="eastAsia"/>
          <w:lang w:eastAsia="zh-CN"/>
        </w:rPr>
        <w:t>358</w:t>
      </w:r>
      <w:r w:rsidRPr="0037330A">
        <w:rPr>
          <w:rFonts w:ascii="Book Antiqua" w:eastAsia="Book Antiqua" w:hAnsi="Book Antiqua"/>
        </w:rPr>
        <w:t>-</w:t>
      </w:r>
      <w:r w:rsidRPr="0037330A">
        <w:rPr>
          <w:rFonts w:ascii="Book Antiqua" w:eastAsiaTheme="minorEastAsia" w:hAnsi="Book Antiqua" w:hint="eastAsia"/>
          <w:lang w:eastAsia="zh-CN"/>
        </w:rPr>
        <w:t>369</w:t>
      </w:r>
      <w:r w:rsidRPr="0037330A">
        <w:rPr>
          <w:rFonts w:ascii="Book Antiqua" w:eastAsia="Book Antiqua" w:hAnsi="Book Antiqua"/>
        </w:rPr>
        <w:t xml:space="preserve">  </w:t>
      </w:r>
    </w:p>
    <w:p w14:paraId="768E16B8" w14:textId="77777777" w:rsidR="0037330A" w:rsidRPr="0037330A" w:rsidRDefault="0037330A" w:rsidP="0037330A">
      <w:pPr>
        <w:snapToGrid w:val="0"/>
        <w:spacing w:line="360" w:lineRule="auto"/>
        <w:jc w:val="both"/>
        <w:rPr>
          <w:rFonts w:ascii="Book Antiqua" w:eastAsiaTheme="minorEastAsia" w:hAnsi="Book Antiqua" w:hint="eastAsia"/>
          <w:lang w:eastAsia="zh-CN"/>
        </w:rPr>
      </w:pPr>
      <w:r w:rsidRPr="0037330A">
        <w:rPr>
          <w:rFonts w:ascii="Book Antiqua" w:eastAsia="Book Antiqua" w:hAnsi="Book Antiqua"/>
          <w:b/>
        </w:rPr>
        <w:t xml:space="preserve">URL: </w:t>
      </w:r>
      <w:r w:rsidRPr="0037330A">
        <w:rPr>
          <w:rFonts w:ascii="Book Antiqua" w:eastAsia="Book Antiqua" w:hAnsi="Book Antiqua"/>
        </w:rPr>
        <w:t>https://www.wjgnet.com/1948-9358/full/v</w:t>
      </w:r>
      <w:r w:rsidRPr="0037330A">
        <w:rPr>
          <w:rFonts w:ascii="Book Antiqua" w:hAnsi="Book Antiqua" w:hint="eastAsia"/>
        </w:rPr>
        <w:t>11</w:t>
      </w:r>
      <w:r w:rsidRPr="0037330A">
        <w:rPr>
          <w:rFonts w:ascii="Book Antiqua" w:eastAsia="Book Antiqua" w:hAnsi="Book Antiqua"/>
        </w:rPr>
        <w:t>/i</w:t>
      </w:r>
      <w:r w:rsidRPr="0037330A">
        <w:rPr>
          <w:rFonts w:ascii="Book Antiqua" w:eastAsiaTheme="minorEastAsia" w:hAnsi="Book Antiqua" w:hint="eastAsia"/>
          <w:lang w:eastAsia="zh-CN"/>
        </w:rPr>
        <w:t>8</w:t>
      </w:r>
      <w:r w:rsidRPr="0037330A">
        <w:rPr>
          <w:rFonts w:ascii="Book Antiqua" w:eastAsia="Book Antiqua" w:hAnsi="Book Antiqua"/>
        </w:rPr>
        <w:t>/</w:t>
      </w:r>
      <w:r w:rsidRPr="0037330A">
        <w:rPr>
          <w:rFonts w:ascii="Book Antiqua" w:eastAsiaTheme="minorEastAsia" w:hAnsi="Book Antiqua" w:hint="eastAsia"/>
          <w:lang w:eastAsia="zh-CN"/>
        </w:rPr>
        <w:t>358</w:t>
      </w:r>
      <w:r w:rsidRPr="0037330A">
        <w:rPr>
          <w:rFonts w:ascii="Book Antiqua" w:eastAsia="Book Antiqua" w:hAnsi="Book Antiqua"/>
        </w:rPr>
        <w:t xml:space="preserve">.htm  </w:t>
      </w:r>
    </w:p>
    <w:p w14:paraId="5AF2DD7C" w14:textId="440A99AA" w:rsidR="0037330A" w:rsidRPr="0037330A" w:rsidRDefault="0037330A" w:rsidP="0037330A">
      <w:pPr>
        <w:snapToGrid w:val="0"/>
        <w:spacing w:line="360" w:lineRule="auto"/>
        <w:jc w:val="both"/>
        <w:rPr>
          <w:rFonts w:ascii="Book Antiqua" w:eastAsiaTheme="minorEastAsia" w:hAnsi="Book Antiqua" w:hint="eastAsia"/>
          <w:b/>
          <w:lang w:val="en-GB" w:eastAsia="zh-CN"/>
        </w:rPr>
      </w:pPr>
      <w:r w:rsidRPr="0037330A">
        <w:rPr>
          <w:rFonts w:ascii="Book Antiqua" w:eastAsia="Book Antiqua" w:hAnsi="Book Antiqua"/>
          <w:b/>
        </w:rPr>
        <w:t>DOI:</w:t>
      </w:r>
      <w:r w:rsidRPr="0037330A">
        <w:rPr>
          <w:rFonts w:ascii="Book Antiqua" w:eastAsia="Book Antiqua" w:hAnsi="Book Antiqua"/>
        </w:rPr>
        <w:t xml:space="preserve"> https://dx.doi.org/10.4239/wj</w:t>
      </w:r>
      <w:r w:rsidRPr="0037330A">
        <w:rPr>
          <w:rFonts w:ascii="Book Antiqua" w:hAnsi="Book Antiqua" w:hint="eastAsia"/>
        </w:rPr>
        <w:t>d</w:t>
      </w:r>
      <w:r w:rsidRPr="0037330A">
        <w:rPr>
          <w:rFonts w:ascii="Book Antiqua" w:eastAsia="Book Antiqua" w:hAnsi="Book Antiqua"/>
        </w:rPr>
        <w:t>.v</w:t>
      </w:r>
      <w:r w:rsidRPr="0037330A">
        <w:rPr>
          <w:rFonts w:ascii="Book Antiqua" w:eastAsia="Book Antiqua" w:hAnsi="Book Antiqua" w:hint="eastAsia"/>
        </w:rPr>
        <w:t>1</w:t>
      </w:r>
      <w:r w:rsidRPr="0037330A">
        <w:rPr>
          <w:rFonts w:ascii="Book Antiqua" w:hAnsi="Book Antiqua" w:hint="eastAsia"/>
        </w:rPr>
        <w:t>1</w:t>
      </w:r>
      <w:r w:rsidRPr="0037330A">
        <w:rPr>
          <w:rFonts w:ascii="Book Antiqua" w:eastAsia="Book Antiqua" w:hAnsi="Book Antiqua"/>
        </w:rPr>
        <w:t>.i</w:t>
      </w:r>
      <w:r w:rsidRPr="0037330A">
        <w:rPr>
          <w:rFonts w:ascii="Book Antiqua" w:eastAsiaTheme="minorEastAsia" w:hAnsi="Book Antiqua" w:hint="eastAsia"/>
          <w:lang w:eastAsia="zh-CN"/>
        </w:rPr>
        <w:t>8</w:t>
      </w:r>
      <w:r w:rsidRPr="0037330A">
        <w:rPr>
          <w:rFonts w:ascii="Book Antiqua" w:eastAsia="Book Antiqua" w:hAnsi="Book Antiqua"/>
        </w:rPr>
        <w:t>.</w:t>
      </w:r>
      <w:r w:rsidRPr="0037330A">
        <w:rPr>
          <w:rFonts w:ascii="Book Antiqua" w:eastAsiaTheme="minorEastAsia" w:hAnsi="Book Antiqua" w:hint="eastAsia"/>
          <w:lang w:eastAsia="zh-CN"/>
        </w:rPr>
        <w:t>358</w:t>
      </w:r>
    </w:p>
    <w:p w14:paraId="57D3872A" w14:textId="77777777" w:rsidR="00326099" w:rsidRPr="0037330A" w:rsidRDefault="00326099" w:rsidP="00146B63">
      <w:pPr>
        <w:snapToGrid w:val="0"/>
        <w:spacing w:line="360" w:lineRule="auto"/>
        <w:jc w:val="both"/>
        <w:rPr>
          <w:rFonts w:ascii="Book Antiqua" w:eastAsia="Arial" w:hAnsi="Book Antiqua"/>
          <w:b/>
          <w:lang w:val="en-GB"/>
        </w:rPr>
      </w:pPr>
    </w:p>
    <w:p w14:paraId="6B5709B7" w14:textId="07EA6BCB" w:rsidR="007306A5" w:rsidRPr="0037330A" w:rsidRDefault="00326099" w:rsidP="00146B63">
      <w:pPr>
        <w:snapToGrid w:val="0"/>
        <w:spacing w:line="360" w:lineRule="auto"/>
        <w:jc w:val="both"/>
        <w:rPr>
          <w:rFonts w:ascii="Book Antiqua" w:eastAsia="Arial" w:hAnsi="Book Antiqua"/>
          <w:bCs/>
          <w:lang w:val="en-GB"/>
        </w:rPr>
      </w:pPr>
      <w:r w:rsidRPr="0037330A">
        <w:rPr>
          <w:rFonts w:ascii="Book Antiqua" w:eastAsia="Arial" w:hAnsi="Book Antiqua"/>
          <w:b/>
          <w:lang w:val="en-GB"/>
        </w:rPr>
        <w:t>Core tip:</w:t>
      </w:r>
      <w:r w:rsidRPr="0037330A">
        <w:rPr>
          <w:rFonts w:ascii="Book Antiqua" w:eastAsia="Arial" w:hAnsi="Book Antiqua"/>
          <w:bCs/>
          <w:lang w:val="en-GB"/>
        </w:rPr>
        <w:t xml:space="preserve"> This study reviews access to insulin delivery devices and </w:t>
      </w:r>
      <w:r w:rsidR="007541CA" w:rsidRPr="0037330A">
        <w:rPr>
          <w:rFonts w:ascii="Book Antiqua" w:hAnsi="Book Antiqua"/>
          <w:bCs/>
          <w:color w:val="000000" w:themeColor="text1"/>
          <w:lang w:val="en-GB"/>
        </w:rPr>
        <w:t>glycated h</w:t>
      </w:r>
      <w:r w:rsidR="00344ED1" w:rsidRPr="0037330A">
        <w:rPr>
          <w:rFonts w:ascii="Book Antiqua" w:hAnsi="Book Antiqua"/>
          <w:bCs/>
          <w:color w:val="000000" w:themeColor="text1"/>
          <w:lang w:val="en-GB"/>
        </w:rPr>
        <w:t>aemoglobin</w:t>
      </w:r>
      <w:r w:rsidRPr="0037330A">
        <w:rPr>
          <w:rFonts w:ascii="Book Antiqua" w:eastAsia="Arial" w:hAnsi="Book Antiqua"/>
          <w:bCs/>
          <w:lang w:val="en-GB"/>
        </w:rPr>
        <w:t xml:space="preserve"> testing supplies in </w:t>
      </w:r>
      <w:r w:rsidR="00A42D49" w:rsidRPr="0037330A">
        <w:rPr>
          <w:rFonts w:ascii="Book Antiqua" w:eastAsia="Arial" w:hAnsi="Book Antiqua"/>
          <w:bCs/>
          <w:lang w:val="en-GB"/>
        </w:rPr>
        <w:t>37</w:t>
      </w:r>
      <w:r w:rsidR="00D635BE" w:rsidRPr="0037330A">
        <w:rPr>
          <w:rFonts w:ascii="Book Antiqua" w:eastAsia="Arial" w:hAnsi="Book Antiqua"/>
          <w:bCs/>
          <w:lang w:val="en-GB"/>
        </w:rPr>
        <w:t xml:space="preserve"> less-resourced countries.</w:t>
      </w:r>
      <w:r w:rsidR="00D635BE" w:rsidRPr="0037330A">
        <w:rPr>
          <w:rFonts w:ascii="Book Antiqua" w:eastAsiaTheme="minorEastAsia" w:hAnsi="Book Antiqua"/>
          <w:bCs/>
          <w:lang w:val="en-GB" w:eastAsia="zh-CN"/>
        </w:rPr>
        <w:t xml:space="preserve"> </w:t>
      </w:r>
      <w:r w:rsidRPr="0037330A">
        <w:rPr>
          <w:rFonts w:ascii="Book Antiqua" w:eastAsia="Arial" w:hAnsi="Book Antiqua"/>
          <w:bCs/>
          <w:lang w:val="en-GB"/>
        </w:rPr>
        <w:t>Although these two essential non-insulin supplies are requir</w:t>
      </w:r>
      <w:r w:rsidR="00344ED1" w:rsidRPr="0037330A">
        <w:rPr>
          <w:rFonts w:ascii="Book Antiqua" w:eastAsia="Arial" w:hAnsi="Book Antiqua"/>
          <w:bCs/>
          <w:lang w:val="en-GB"/>
        </w:rPr>
        <w:t>ed to effectively manage Type 1</w:t>
      </w:r>
      <w:r w:rsidR="00344ED1" w:rsidRPr="0037330A">
        <w:rPr>
          <w:rFonts w:ascii="Book Antiqua" w:eastAsiaTheme="minorEastAsia" w:hAnsi="Book Antiqua"/>
          <w:bCs/>
          <w:lang w:val="en-GB" w:eastAsia="zh-CN"/>
        </w:rPr>
        <w:t xml:space="preserve"> </w:t>
      </w:r>
      <w:r w:rsidRPr="0037330A">
        <w:rPr>
          <w:rFonts w:ascii="Book Antiqua" w:eastAsia="Arial" w:hAnsi="Book Antiqua"/>
          <w:bCs/>
          <w:lang w:val="en-GB"/>
        </w:rPr>
        <w:t xml:space="preserve">diabetes, the study’s results demonstrate that </w:t>
      </w:r>
      <w:r w:rsidR="0017025E" w:rsidRPr="0037330A">
        <w:rPr>
          <w:rFonts w:ascii="Book Antiqua" w:eastAsia="Arial" w:hAnsi="Book Antiqua"/>
          <w:bCs/>
          <w:lang w:val="en-GB"/>
        </w:rPr>
        <w:t xml:space="preserve">their </w:t>
      </w:r>
      <w:r w:rsidRPr="0037330A">
        <w:rPr>
          <w:rFonts w:ascii="Book Antiqua" w:eastAsia="Arial" w:hAnsi="Book Antiqua"/>
          <w:bCs/>
          <w:lang w:val="en-GB"/>
        </w:rPr>
        <w:t xml:space="preserve">access </w:t>
      </w:r>
      <w:r w:rsidR="0017025E" w:rsidRPr="0037330A">
        <w:rPr>
          <w:rFonts w:ascii="Book Antiqua" w:eastAsia="Arial" w:hAnsi="Book Antiqua"/>
          <w:bCs/>
          <w:lang w:val="en-GB"/>
        </w:rPr>
        <w:t>is</w:t>
      </w:r>
      <w:r w:rsidRPr="0037330A">
        <w:rPr>
          <w:rFonts w:ascii="Book Antiqua" w:eastAsia="Arial" w:hAnsi="Book Antiqua"/>
          <w:bCs/>
          <w:lang w:val="en-GB"/>
        </w:rPr>
        <w:t xml:space="preserve"> largely insufficient </w:t>
      </w:r>
      <w:r w:rsidR="005A3C4C" w:rsidRPr="0037330A">
        <w:rPr>
          <w:rFonts w:ascii="Book Antiqua" w:eastAsia="Arial" w:hAnsi="Book Antiqua"/>
          <w:bCs/>
          <w:lang w:val="en-GB"/>
        </w:rPr>
        <w:t xml:space="preserve">within the </w:t>
      </w:r>
      <w:r w:rsidR="0009287A" w:rsidRPr="0037330A">
        <w:rPr>
          <w:rFonts w:ascii="Book Antiqua" w:eastAsia="Arial" w:hAnsi="Book Antiqua"/>
          <w:bCs/>
          <w:lang w:val="en-GB"/>
        </w:rPr>
        <w:t>health systems</w:t>
      </w:r>
      <w:r w:rsidR="005A3C4C" w:rsidRPr="0037330A">
        <w:rPr>
          <w:rFonts w:ascii="Book Antiqua" w:eastAsia="Arial" w:hAnsi="Book Antiqua"/>
          <w:bCs/>
          <w:lang w:val="en-GB"/>
        </w:rPr>
        <w:t xml:space="preserve"> of the countries</w:t>
      </w:r>
      <w:r w:rsidRPr="0037330A">
        <w:rPr>
          <w:rFonts w:ascii="Book Antiqua" w:eastAsia="Arial" w:hAnsi="Book Antiqua"/>
          <w:bCs/>
          <w:lang w:val="en-GB"/>
        </w:rPr>
        <w:t xml:space="preserve"> surveyed. Specific access barriers are summarised and recommendations to overcome these are advocated for</w:t>
      </w:r>
      <w:r w:rsidR="0031571A" w:rsidRPr="0037330A">
        <w:rPr>
          <w:rFonts w:ascii="Book Antiqua" w:eastAsia="Arial" w:hAnsi="Book Antiqua"/>
          <w:bCs/>
          <w:lang w:val="en-GB"/>
        </w:rPr>
        <w:t xml:space="preserve"> by the authors</w:t>
      </w:r>
      <w:r w:rsidR="00344ED1" w:rsidRPr="0037330A">
        <w:rPr>
          <w:rFonts w:ascii="Book Antiqua" w:eastAsia="Arial" w:hAnsi="Book Antiqua"/>
          <w:bCs/>
          <w:lang w:val="en-GB"/>
        </w:rPr>
        <w:t xml:space="preserve">. </w:t>
      </w:r>
      <w:r w:rsidR="007306A5" w:rsidRPr="0037330A">
        <w:rPr>
          <w:rFonts w:ascii="Book Antiqua" w:hAnsi="Book Antiqua"/>
          <w:b/>
          <w:u w:val="single"/>
          <w:lang w:val="en-GB"/>
        </w:rPr>
        <w:br w:type="page"/>
      </w:r>
    </w:p>
    <w:p w14:paraId="414BA654" w14:textId="77777777" w:rsidR="00344ED1" w:rsidRPr="0037330A" w:rsidRDefault="00344ED1" w:rsidP="00146B63">
      <w:pPr>
        <w:snapToGrid w:val="0"/>
        <w:spacing w:line="360" w:lineRule="auto"/>
        <w:jc w:val="both"/>
        <w:rPr>
          <w:rFonts w:ascii="Book Antiqua" w:hAnsi="Book Antiqua"/>
        </w:rPr>
      </w:pPr>
      <w:r w:rsidRPr="0037330A">
        <w:rPr>
          <w:rFonts w:ascii="Book Antiqua" w:hAnsi="Book Antiqua"/>
          <w:b/>
          <w:bCs/>
          <w:color w:val="000000"/>
          <w:u w:val="single"/>
        </w:rPr>
        <w:lastRenderedPageBreak/>
        <w:t>INTRODUCTION</w:t>
      </w:r>
    </w:p>
    <w:p w14:paraId="142D57E6" w14:textId="79602E52" w:rsidR="003861F6" w:rsidRPr="0037330A" w:rsidRDefault="00155535" w:rsidP="00146B63">
      <w:pPr>
        <w:snapToGrid w:val="0"/>
        <w:spacing w:line="360" w:lineRule="auto"/>
        <w:jc w:val="both"/>
        <w:rPr>
          <w:rFonts w:ascii="Book Antiqua" w:eastAsiaTheme="minorEastAsia" w:hAnsi="Book Antiqua"/>
          <w:bCs/>
          <w:color w:val="000000" w:themeColor="text1"/>
          <w:lang w:val="en-GB" w:eastAsia="zh-CN"/>
        </w:rPr>
      </w:pPr>
      <w:r w:rsidRPr="0037330A">
        <w:rPr>
          <w:rFonts w:ascii="Book Antiqua" w:hAnsi="Book Antiqua"/>
          <w:bCs/>
          <w:color w:val="000000" w:themeColor="text1"/>
          <w:lang w:val="en-GB"/>
        </w:rPr>
        <w:t xml:space="preserve">Care for people with </w:t>
      </w:r>
      <w:r w:rsidR="00D12551" w:rsidRPr="0037330A">
        <w:rPr>
          <w:rFonts w:ascii="Book Antiqua" w:hAnsi="Book Antiqua"/>
          <w:bCs/>
          <w:color w:val="000000" w:themeColor="text1"/>
          <w:lang w:val="en-GB"/>
        </w:rPr>
        <w:t>type 1 diabetes (T1D)</w:t>
      </w:r>
      <w:r w:rsidRPr="0037330A">
        <w:rPr>
          <w:rFonts w:ascii="Book Antiqua" w:hAnsi="Book Antiqua"/>
          <w:bCs/>
          <w:color w:val="000000" w:themeColor="text1"/>
          <w:lang w:val="en-GB"/>
        </w:rPr>
        <w:t xml:space="preserve"> involves a number of essential supplies</w:t>
      </w:r>
      <w:r w:rsidR="00D12551" w:rsidRPr="0037330A">
        <w:rPr>
          <w:rFonts w:ascii="Book Antiqua" w:hAnsi="Book Antiqua"/>
          <w:bCs/>
          <w:color w:val="000000" w:themeColor="text1"/>
          <w:lang w:val="en-GB"/>
        </w:rPr>
        <w:t>, including</w:t>
      </w:r>
      <w:r w:rsidRPr="0037330A">
        <w:rPr>
          <w:rFonts w:ascii="Book Antiqua" w:hAnsi="Book Antiqua"/>
          <w:bCs/>
          <w:color w:val="000000" w:themeColor="text1"/>
          <w:lang w:val="en-GB"/>
        </w:rPr>
        <w:t xml:space="preserve"> insulin and </w:t>
      </w:r>
      <w:r w:rsidR="00D12551" w:rsidRPr="0037330A">
        <w:rPr>
          <w:rFonts w:ascii="Book Antiqua" w:hAnsi="Book Antiqua"/>
          <w:bCs/>
          <w:color w:val="000000" w:themeColor="text1"/>
          <w:lang w:val="en-GB"/>
        </w:rPr>
        <w:t>injection</w:t>
      </w:r>
      <w:r w:rsidRPr="0037330A">
        <w:rPr>
          <w:rFonts w:ascii="Book Antiqua" w:hAnsi="Book Antiqua"/>
          <w:bCs/>
          <w:color w:val="000000" w:themeColor="text1"/>
          <w:lang w:val="en-GB"/>
        </w:rPr>
        <w:t xml:space="preserve"> devices</w:t>
      </w:r>
      <w:r w:rsidR="00D12551" w:rsidRPr="0037330A">
        <w:rPr>
          <w:rFonts w:ascii="Book Antiqua" w:hAnsi="Book Antiqua"/>
          <w:bCs/>
          <w:color w:val="000000" w:themeColor="text1"/>
          <w:lang w:val="en-GB"/>
        </w:rPr>
        <w:t xml:space="preserve">, </w:t>
      </w:r>
      <w:r w:rsidRPr="0037330A">
        <w:rPr>
          <w:rFonts w:ascii="Book Antiqua" w:hAnsi="Book Antiqua"/>
          <w:bCs/>
          <w:color w:val="000000" w:themeColor="text1"/>
          <w:lang w:val="en-GB"/>
        </w:rPr>
        <w:t xml:space="preserve">blood glucose monitoring equipment, and </w:t>
      </w:r>
      <w:r w:rsidR="004D1501" w:rsidRPr="0037330A">
        <w:rPr>
          <w:rFonts w:ascii="Book Antiqua" w:hAnsi="Book Antiqua"/>
          <w:bCs/>
          <w:color w:val="000000" w:themeColor="text1"/>
          <w:lang w:val="en-GB"/>
        </w:rPr>
        <w:t>glycated haemoglobin (</w:t>
      </w:r>
      <w:r w:rsidRPr="0037330A">
        <w:rPr>
          <w:rFonts w:ascii="Book Antiqua" w:hAnsi="Book Antiqua"/>
          <w:bCs/>
          <w:color w:val="000000" w:themeColor="text1"/>
          <w:lang w:val="en-GB"/>
        </w:rPr>
        <w:t>HbA1c</w:t>
      </w:r>
      <w:r w:rsidR="004D1501" w:rsidRPr="0037330A">
        <w:rPr>
          <w:rFonts w:ascii="Book Antiqua" w:hAnsi="Book Antiqua"/>
          <w:bCs/>
          <w:color w:val="000000" w:themeColor="text1"/>
          <w:lang w:val="en-GB"/>
        </w:rPr>
        <w:t>)</w:t>
      </w:r>
      <w:r w:rsidRPr="0037330A">
        <w:rPr>
          <w:rFonts w:ascii="Book Antiqua" w:hAnsi="Book Antiqua"/>
          <w:bCs/>
          <w:color w:val="000000" w:themeColor="text1"/>
          <w:lang w:val="en-GB"/>
        </w:rPr>
        <w:t xml:space="preserve"> testing.</w:t>
      </w:r>
      <w:r w:rsidR="001C47FC" w:rsidRPr="0037330A">
        <w:rPr>
          <w:rFonts w:ascii="Book Antiqua" w:hAnsi="Book Antiqua"/>
          <w:bCs/>
          <w:color w:val="000000" w:themeColor="text1"/>
          <w:lang w:val="en-GB"/>
        </w:rPr>
        <w:t xml:space="preserve"> </w:t>
      </w:r>
      <w:r w:rsidR="00900445" w:rsidRPr="0037330A">
        <w:rPr>
          <w:rFonts w:ascii="Book Antiqua" w:hAnsi="Book Antiqua"/>
          <w:bCs/>
          <w:color w:val="000000" w:themeColor="text1"/>
          <w:lang w:val="en-GB"/>
        </w:rPr>
        <w:t>For insulin, many have thoroughly assessed</w:t>
      </w:r>
      <w:r w:rsidR="001A0707" w:rsidRPr="0037330A">
        <w:rPr>
          <w:rFonts w:ascii="Book Antiqua" w:hAnsi="Book Antiqua"/>
          <w:bCs/>
          <w:color w:val="000000" w:themeColor="text1"/>
          <w:lang w:val="en-GB"/>
        </w:rPr>
        <w:t xml:space="preserve"> access to care</w:t>
      </w:r>
      <w:r w:rsidR="000C27F9" w:rsidRPr="0037330A">
        <w:rPr>
          <w:rFonts w:ascii="Book Antiqua" w:hAnsi="Book Antiqua"/>
          <w:bCs/>
          <w:color w:val="000000" w:themeColor="text1"/>
          <w:lang w:val="en-GB"/>
        </w:rPr>
        <w:fldChar w:fldCharType="begin" w:fldLock="1"/>
      </w:r>
      <w:r w:rsidR="00867459" w:rsidRPr="0037330A">
        <w:rPr>
          <w:rFonts w:ascii="Book Antiqua" w:hAnsi="Book Antiqua"/>
          <w:bCs/>
          <w:color w:val="000000" w:themeColor="text1"/>
          <w:lang w:val="en-GB"/>
        </w:rPr>
        <w:instrText>ADDIN CSL_CITATION {"citationItems":[{"id":"ITEM-1","itemData":{"DOI":"10.1016/S2213-8587(15)00521-5","ISBN":"2213-8587","ISSN":"22138595","PMID":"26857998","abstract":"Substantial attention has been given to the issue of access to medicines for communicable diseases; however, access to essential medicines for diabetes, especially insulin, has had insufficient focus. Although insulin was discovered in 1921, the drug is unattainable to many globally, and this Review aims to highlight the range and complexity of factors that contribute to this unattainability. Manufacturers' selling prices of various insulin formulations and presentations, duties, taxes, mark-ups, and other supply chain costs affect the price of insulin and hence the drug's affordability to health systems and individuals. Unlike drugs for HIV and AIDS, the production of generic or biosimilar insulin has not had an effect on the overall market. Other factors contributing to poor availability of insulin include its quantification at the national level, in-country distribution, and determination of needs at lower levels of the health system. Although insulin is essential for the survival of people with type 1 diabetes and is needed for improved management of diabetes for some people with type 2 diabetes, very little has been done globally to address the issue of access, despite the UN's political commitment to address non-communicable diseases and ensure universal access to drugs for these disorders.","author":[{"dropping-particle":"","family":"Beran","given":"David","non-dropping-particle":"","parse-names":false,"suffix":""},{"dropping-particle":"","family":"Ewen","given":"Margaret","non-dropping-particle":"","parse-names":false,"suffix":""},{"dropping-particle":"","family":"Laing","given":"Richard","non-dropping-particle":"","parse-names":false,"suffix":""}],"container-title":"The Lancet Diabetes and Endocrinology","id":"ITEM-1","issue":"3","issued":{"date-parts":[["2016"]]},"page":"275-285","publisher":"Elsevier Ltd","title":"Constraints and challenges in access to insulin: A global perspective","type":"article-journal","volume":"4"},"uris":["http://www.mendeley.com/documents/?uuid=e3aefa4a-ce2c-452d-aa21-674a519c382d"]},{"id":"ITEM-2","itemData":{"DOI":"10.2337/dci18-0019","ISSN":"19355548","PMID":"29739814","abstract":"There are more than 30 million Americans with diabetes, a disease that costs the U.S. more than $327 billion per year (1,2). Achieving glycemic control and controlling cardiovascular risk factors have been conclusively shown to reduce diabetes compli-cations, comorbidities, and mortality. To achieve these desired outcomes, the medical community now has available many classes of medications and many formulations of insulin to effectively manage the metabolic abnormalities for people with diabetes. However, the affordability of medications in general, and for insulin specifically, is currently of great concern to people with diabetes, their families, health care providers, insurers, and employers. For millions of people living with diabetes, including all individuals with type 1 diabetes, access to insulin is literally a matter of life and death. The average list price of insulin has skyrocketed in recent years, nearly tripling between 2002 and 2013 (3). The reasons for this increase are not entirely clear but are due in part to the complexity of drug pricing in general and of insulin pricing in particular. As the price of insulin continues to rise, individuals with diabetes are often forced to choose between purchasing their medications or paying forother necessities, exposing them to serious short-and long-term health consequences (4–9). To find solutions to the issue of insulin affordability, there must be a better understanding of the transactions throughout the insulin supply chain, the impact each stakeholder has on what people with diabetes pay for insulin, and the relative efficacy of therapeutic options. Thus, as the nation's leading voluntary health organization whose mission is \" to prevent and cure diabetes and to improve the lives of all people affected by diabetes, \" the American Diabetes Association (ADA) is committed to finding ways to provide relief for individuals and families who lack affordable access to insulin. In the spring of 2017, the ADA Board of Directors convened an Insulin Access and Affordability Working Group (Working Group) to ascertain the full scope of the insulin affordability problem, to advise the ADA on the execution of strategies, and to provide high-level direction to the ADA related to this issue. The composition of the Working Group is provided in Supplementary Table 1. The Working Group identified increased transparency throughout the insulin supply chain and a number of other interventions as important steps tow…","author":[{"dropping-particle":"","family":"Cefalu","given":"William T.","non-dropping-particle":"","parse-names":false,"suffix":""},{"dropping-particle":"","family":"Dawes","given":"Daniel E.","non-dropping-particle":"","parse-names":false,"suffix":""},{"dropping-particle":"","family":"Gavlak","given":"Gina","non-dropping-particle":"","parse-names":false,"suffix":""},{"dropping-particle":"","family":"Goldman","given":"Dana","non-dropping-particle":"","parse-names":false,"suffix":""},{"dropping-particle":"","family":"Herman","given":"William H.","non-dropping-particle":"","parse-names":false,"suffix":""},{"dropping-particle":"","family":"Nuys","given":"Karen","non-dropping-particle":"Van","parse-names":false,"suffix":""},{"dropping-particle":"","family":"Powers","given":"Alvin C.","non-dropping-particle":"","parse-names":false,"suffix":""},{"dropping-particle":"","family":"Taylor","given":"Simeon I.","non-dropping-particle":"","parse-names":false,"suffix":""},{"dropping-particle":"","family":"Yatvin","given":"Alan L.","non-dropping-particle":"","parse-names":false,"suffix":""}],"container-title":"Diabetes Care","id":"ITEM-2","issue":"6","issued":{"date-parts":[["2018"]]},"page":"1299-1311","title":"Insulin access and affordability working group: Conclusions and recommendations","type":"article-journal","volume":"41"},"uris":["http://www.mendeley.com/documents/?uuid=333844b0-fcc7-40b6-8a88-c2de0c6b06a0"]},{"id":"ITEM-3","itemData":{"DOI":"10.2337/diacare.17.3.220","ISBN":"0149-5992","ISSN":"01495992","PMID":"8174451","abstract":"OBJECTIVE To assess the availability of insulin and diabetes supplies among International Diabetes Federation (IDF) member associations. RESEARCH DESIGN AND METHODS A mail survey of IDF member associations asked about the following issues: 1) diabetes prevalence and insulin use, 2) availability and cost of insulin and supplies, 3) availability of glycemic monitoring supplies, 4) cost of insulin and supplies to patients, and 5) availability of oral hypoglycemic agents. RESULTS Of 85 member associations, 60 responded. The mean prevalence of diabetes was 3.7%. Of the 39 with a population-based survey data, the prevalence was 3.9%. Insulin use was reported for 19.2% of diabetes patients and, for the 15 with population-based data, the proportion using insulin was 16.1%. Of the respondents, 47 (78%) reported insulin was always available, 11 (18%) reported insulin was available from 25 to 99% of the time, and 2 (Uganda and Tanzania) reported insulin was available &lt; 25% of the time. Insulin is free to patients in 39 (65%) of the countries. The average cost of the least expensive insulin was U.S. $9.62 per vial. Fifteen countries imposed a mean 13% customs charge. Disposable syringes were available in 42 (72%) of countries all of the time. Glucose meters were in use in 49 countries. The most common oral agent was glyburide, which was available in 57 countries. CONCLUSIONS Insulin is in reasonable supply in IDF member countries. Cost and customs charges are an impediment to universal access. IDF now can recommend programs based on this data.","author":[{"dropping-particle":"","family":"Deeb","given":"Larry C.","non-dropping-particle":"","parse-names":false,"suffix":""},{"dropping-particle":"","family":"Tan","given":"Meng H.","non-dropping-particle":"","parse-names":false,"suffix":""},{"dropping-particle":"","family":"Alberti","given":"K. G.M.M.","non-dropping-particle":"","parse-names":false,"suffix":""}],"container-title":"Diabetes Care","id":"ITEM-3","issue":"3","issued":{"date-parts":[["1994"]]},"page":"220-223","title":"Insulin availability among International Diabetes Federation member associations: Report of the task force on insulin distribution","type":"article-journal","volume":"17"},"uris":["http://www.mendeley.com/documents/?uuid=2057da3d-ad80-49e6-81d9-7aac916149b2"]},{"id":"ITEM-4","itemData":{"DOI":"10.1016/S0140-6736(99)09225-9","PMID":"10752719","author":[{"dropping-particle":"","family":"Yudkin","given":"John S","non-dropping-particle":"","parse-names":false,"suffix":""}],"container-title":"Lancet","id":"ITEM-4","issued":{"date-parts":[["2000"]]},"page":"919-921","title":"Insulin for the world’s poorest countries","type":"article-journal","volume":"355"},"uris":["http://www.mendeley.com/documents/?uuid=108cb115-f44c-436a-9d31-9c38dda2aacb"]},{"id":"ITEM-5","itemData":{"DOI":"10.2337/diacare.28.9.2136","PMID":"16123479","author":[{"dropping-particle":"","family":"Beran","given":"D","non-dropping-particle":"","parse-names":false,"suffix":""},{"dropping-particle":"","family":"Yudkin","given":"J. S","non-dropping-particle":"","parse-names":false,"suffix":""},{"dropping-particle":"","family":"Courten","given":"M","non-dropping-particle":"de","parse-names":false,"suffix":""}],"container-title":"Diabetes Care","id":"ITEM-5","issue":"9","issued":{"date-parts":[["2005"]]},"page":"2136-2140","title":"Access to Care for Patients With Insulin-Requiring Diabetes in Developing Countries Case Studies of Mozambique and Zambia","type":"article-journal","volume":"28"},"uris":["http://www.mendeley.com/documents/?uuid=4d9eb071-eb11-4e2b-997e-789521d543ae"]},{"id":"ITEM-6","itemData":{"DOI":"10.1111/pedi.12296","ISSN":"13995448","PMID":"26153340","abstract":"BACKGROUND AND OBJECTIVES Care for children and youth with diabetes varies markedly around the world. We developed a standardized, reproducible measure that can be used to document and compare critical factors influencing treatment outcomes. METHODS A questionnaire consisting of 36 multiple-choice questions covering major components of care (such as insulin therapy, blood glucose monitoring, etc.) was sent to 75 countries: 43 under-resourced countries where the International Diabetes Federation's Life for a Child Program operates, and 32 others (mainly developed nations). Results for each country were scaled to a score with a range of 0-100. RESULTS Responses were received from 71 countries. Scores varied widely and were highly correlated to per capita gross domestic product (R(2) = 0.72, P &lt; 0.001) and health expenditure (R(2) = 0.77, P &lt; 0.001). For the 37 low- and lower-middle income countries, only two had complete government provision of human insulin and none of blood glucose test strips. Marked differences according to income were also found for access to home refrigeration; usage of insulin pens, multiple daily injections, pumps, glucagon and ketone strips; hemoglobin A1c (HbA1c) testing; and complications screening. CONCLUSIONS The index is a comprehensive, easily administered survey instrument. It demonstrated stark differences in access to numerous components of care necessary in achieving good outcomes for children and youth with diabetes.","author":[{"dropping-particle":"","family":"Ogle","given":"Graham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Diabetes","id":"ITEM-6","issue":"5","issued":{"date-parts":[["2016"]]},"page":"374-384","title":"The IDF Life for a Child Program Index of diabetes care for children and youth","type":"article-journal","volume":"17"},"uris":["http://www.mendeley.com/documents/?uuid=d4e63596-5d31-4ba1-8c3f-992957554eb1"]},{"id":"ITEM-7","itemData":{"DOI":"10.1136/bmjgh-2019-001410","PMID":"31263585","author":[{"dropping-particle":"","family":"Ewen","given":"Margaret","non-dropping-particle":"","parse-names":false,"suffix":""},{"dropping-particle":"","family":"Joosse","given":"Huibert-jan","non-dropping-particle":"","parse-names":false,"suffix":""},{"dropping-particle":"","family":"Beran","given":"David","non-dropping-particle":"","parse-names":false,"suffix":""},{"dropping-particle":"","family":"Laing","given":"Richard","non-dropping-particle":"","parse-names":false,"suffix":""}],"container-title":"BMJ Global Health","id":"ITEM-7","issued":{"date-parts":[["2019"]]},"page":"1-10","title":"Insulin prices, availability and affordability in 13 low-income and middle-income countries","type":"article-journal","volume":"4"},"uris":["http://www.mendeley.com/documents/?uuid=860d720b-acf3-4287-934a-8a948da00062"]},{"id":"ITEM-8","itemData":{"DOI":"10.1136/bmjgh-2018-000850","ISSN":"2059-7908","PMID":"30271626","abstract":"Author(s) (or their employer(s)) 2018. Re-use permitted under CC BY-NC. No commercial re-use. See rights and permissions. Published by BMJ. Key questions What is already known? ► Severe problems in access to affordable insulin exist in low-income and middle-income countries. ► The global insulin market is dominated by three companies, with little competitive biosimilar manufacture. What are the new findings? ► We estimated that, if there were a competitive bi-osimilar market, treatment with biosimilar insulins could cost US$72-133 per year or less. AbsTrACT Introduction High prices for insulin pose a barrier to treatment for people living with diabetes, with an estimated 50% of 100 million patients needing insulin lacking reliable access. As insulin analogues replace regular human insulin (RHI) globally, their relative prices will become increasingly important. Three originator companies control 96% of the global insulin market, and few biosimilar insulins are available. We estimated the price reductions that could be achieved if numerous biosimilar manufacturers entered the insulin market. Methods Data on the price of active pharmaceutical ingredient (API) exported from India were retrieved from an online customs database. Manufacturers of insulins were contacted for price quotes. Where market API prices could not be identified, prices were estimated based on comparison of similarity, in terms of manufacturing process, with APIs for which prices were available. Potential biosimilar prices were estimated by adding costs of excipients, formulation, transport, development and regulatory costs, and a profit margin. results The manufacturing processes for RHI and insulin analogues are similar.","author":[{"dropping-particle":"","family":"Gotham","given":"Dzintars","non-dropping-particle":"","parse-names":false,"suffix":""},{"dropping-particle":"","family":"Barber","given":"Melissa J","non-dropping-particle":"","parse-names":false,"suffix":""},{"dropping-particle":"","family":"Hill","given":"Andrew","non-dropping-particle":"","parse-names":false,"suffix":""}],"container-title":"BMJ Glob Health","id":"ITEM-8","issued":{"date-parts":[["2018"]]},"page":"850","title":"Production costs and potential prices for biosimilars of human insulin and insulin analogues","type":"article-journal","volume":"3"},"uris":["http://www.mendeley.com/documents/?uuid=625cb49d-2bc1-494e-b256-84c1f49564fe"]},{"id":"ITEM-9","itemData":{"URL":"http://haiweb.org/wp-content/uploads/2016/04/ACCISS-Tariff-April2016_FINAL.pdf","accessed":{"date-parts":[["2020","1","18"]]},"author":[{"dropping-particle":"","family":"Kaplan","given":"Warren","non-dropping-particle":"","parse-names":false,"suffix":""}],"container-title":"Health Action International","id":"ITEM-9","issued":{"date-parts":[["2016"]]},"title":"Insulin Tariffs and Taxes Profile","type":"webpage"},"uris":["http://www.mendeley.com/documents/?uuid=b310083e-18cd-4d0c-9cc8-c6f26534173a"]}],"mendeley":{"formattedCitation":"&lt;sup&gt;[1–9]&lt;/sup&gt;","plainTextFormattedCitation":"[1–9]","previouslyFormattedCitation":"&lt;sup&gt;[1–9]&lt;/sup&gt;"},"properties":{"noteIndex":0},"schema":"https://github.com/citation-style-language/schema/raw/master/csl-citation.json"}</w:instrText>
      </w:r>
      <w:r w:rsidR="000C27F9" w:rsidRPr="0037330A">
        <w:rPr>
          <w:rFonts w:ascii="Book Antiqua" w:hAnsi="Book Antiqua"/>
          <w:bCs/>
          <w:color w:val="000000" w:themeColor="text1"/>
          <w:lang w:val="en-GB"/>
        </w:rPr>
        <w:fldChar w:fldCharType="separate"/>
      </w:r>
      <w:r w:rsidR="003E1A77" w:rsidRPr="0037330A">
        <w:rPr>
          <w:rFonts w:ascii="Book Antiqua" w:hAnsi="Book Antiqua"/>
          <w:bCs/>
          <w:color w:val="000000" w:themeColor="text1"/>
          <w:vertAlign w:val="superscript"/>
          <w:lang w:val="en-GB"/>
        </w:rPr>
        <w:t>[1–9]</w:t>
      </w:r>
      <w:r w:rsidR="000C27F9" w:rsidRPr="0037330A">
        <w:rPr>
          <w:rFonts w:ascii="Book Antiqua" w:hAnsi="Book Antiqua"/>
          <w:bCs/>
          <w:color w:val="000000" w:themeColor="text1"/>
          <w:lang w:val="en-GB"/>
        </w:rPr>
        <w:fldChar w:fldCharType="end"/>
      </w:r>
      <w:r w:rsidR="00E84BC7" w:rsidRPr="0037330A">
        <w:rPr>
          <w:rFonts w:ascii="Book Antiqua" w:hAnsi="Book Antiqua"/>
          <w:bCs/>
          <w:color w:val="000000" w:themeColor="text1"/>
          <w:lang w:val="en-GB"/>
        </w:rPr>
        <w:t>.</w:t>
      </w:r>
      <w:r w:rsidR="004A2DE3" w:rsidRPr="0037330A">
        <w:rPr>
          <w:rFonts w:ascii="Book Antiqua" w:hAnsi="Book Antiqua"/>
          <w:bCs/>
          <w:color w:val="000000" w:themeColor="text1"/>
          <w:lang w:val="en-GB"/>
        </w:rPr>
        <w:t xml:space="preserve"> </w:t>
      </w:r>
      <w:r w:rsidR="00900445" w:rsidRPr="0037330A">
        <w:rPr>
          <w:rFonts w:ascii="Book Antiqua" w:hAnsi="Book Antiqua"/>
          <w:bCs/>
          <w:color w:val="000000" w:themeColor="text1"/>
          <w:lang w:val="en-GB"/>
        </w:rPr>
        <w:t>On a smaller scale, this has been done for</w:t>
      </w:r>
      <w:r w:rsidR="00476B06" w:rsidRPr="0037330A">
        <w:rPr>
          <w:rFonts w:ascii="Book Antiqua" w:hAnsi="Book Antiqua"/>
          <w:bCs/>
          <w:color w:val="000000" w:themeColor="text1"/>
          <w:lang w:val="en-GB"/>
        </w:rPr>
        <w:t xml:space="preserve"> </w:t>
      </w:r>
      <w:r w:rsidR="00DB3C59" w:rsidRPr="0037330A">
        <w:rPr>
          <w:rFonts w:ascii="Book Antiqua" w:hAnsi="Book Antiqua"/>
          <w:bCs/>
          <w:color w:val="000000" w:themeColor="text1"/>
          <w:lang w:val="en-GB"/>
        </w:rPr>
        <w:t>blood glucose meters and test strips</w:t>
      </w:r>
      <w:r w:rsidR="00796EA7" w:rsidRPr="0037330A">
        <w:rPr>
          <w:rFonts w:ascii="Book Antiqua" w:hAnsi="Book Antiqua"/>
          <w:bCs/>
          <w:color w:val="000000" w:themeColor="text1"/>
          <w:lang w:val="en-GB"/>
        </w:rPr>
        <w:fldChar w:fldCharType="begin" w:fldLock="1"/>
      </w:r>
      <w:r w:rsidR="00867459" w:rsidRPr="0037330A">
        <w:rPr>
          <w:rFonts w:ascii="Book Antiqua" w:hAnsi="Book Antiqua"/>
          <w:bCs/>
          <w:color w:val="000000" w:themeColor="text1"/>
          <w:lang w:val="en-GB"/>
        </w:rPr>
        <w:instrText>ADDIN CSL_CITATION {"citationItems":[{"id":"ITEM-1","itemData":{"DOI":"10.1016/S2213-8587(18)30074-3","ISSN":"2213-8587","PMID":"30072234","author":[{"dropping-particle":"","family":"Klatman","given":"Emma Louise","non-dropping-particle":"","parse-names":false,"suffix":""},{"dropping-particle":"","family":"Jenkins","given":"Alicia Josephine","non-dropping-particle":"","parse-names":false,"suffix":""},{"dropping-particle":"","family":"Ahmedani","given":"Muhammad Yakoob","non-dropping-particle":"","parse-names":false,"suffix":""},{"dropping-particle":"","family":"Ogle","given":"Graham David","non-dropping-particle":"","parse-names":false,"suffix":""}],"container-title":"The Lancet Diabetes &amp; Endocrinology","id":"ITEM-1","issue":"2","issued":{"date-parts":[["2019"]]},"page":"150-160","title":"Blood glucose meters and test strips: global market and challenges to access in low-resource settings","type":"article-journal","volume":"7"},"uris":["http://www.mendeley.com/documents/?uuid=bc6afc5a-9e56-4bfc-83ec-daa179c1ff77"]},{"id":"ITEM-2","itemData":{"DOI":"10.1016/j.diabres.2019.107859","ISSN":"01688227","PMID":"31545980","author":[{"dropping-particle":"","family":"Klatman","given":"Emma Louise","non-dropping-particle":"","parse-names":false,"suffix":""},{"dropping-particle":"","family":"McKee","given":"Martin","non-dropping-particle":"","parse-names":false,"suffix":""},{"dropping-particle":"","family":"Ogle","given":"Graham David","non-dropping-particle":"","parse-names":false,"suffix":""}],"container-title":"Diabetes Research and Clinical Practice","id":"ITEM-2","issue":"107859","issued":{"date-parts":[["2019","9"]]},"title":"Documenting and visualising progress towards Universal Health Coverage of insulin and blood glucose test strips for people with diabetes","type":"article-journal","volume":"157"},"uris":["http://www.mendeley.com/documents/?uuid=70e432a2-4252-3ece-b9f6-66d9720a7cc8"]},{"id":"ITEM-3","itemData":{"URL":"https://path.azureedge.net/media/documents/NCD_nes_long_rpt.pdf","accessed":{"date-parts":[["2020","1","5"]]},"author":[{"dropping-particle":"","family":"PATH","given":"","non-dropping-particle":"","parse-names":false,"suffix":""}],"id":"ITEM-3","issued":{"date-parts":[["2015"]]},"publisher-place":"Seattle","title":"Diabetes Supplies: are they there when needed?","type":"webpage"},"uris":["http://www.mendeley.com/documents/?uuid=14b31667-dd06-4f57-936f-12937a6b2ea5"]}],"mendeley":{"formattedCitation":"&lt;sup&gt;[10–12]&lt;/sup&gt;","plainTextFormattedCitation":"[10–12]","previouslyFormattedCitation":"&lt;sup&gt;[10–12]&lt;/sup&gt;"},"properties":{"noteIndex":0},"schema":"https://github.com/citation-style-language/schema/raw/master/csl-citation.json"}</w:instrText>
      </w:r>
      <w:r w:rsidR="00796EA7" w:rsidRPr="0037330A">
        <w:rPr>
          <w:rFonts w:ascii="Book Antiqua" w:hAnsi="Book Antiqua"/>
          <w:bCs/>
          <w:color w:val="000000" w:themeColor="text1"/>
          <w:lang w:val="en-GB"/>
        </w:rPr>
        <w:fldChar w:fldCharType="separate"/>
      </w:r>
      <w:r w:rsidR="003E1A77" w:rsidRPr="0037330A">
        <w:rPr>
          <w:rFonts w:ascii="Book Antiqua" w:hAnsi="Book Antiqua"/>
          <w:bCs/>
          <w:color w:val="000000" w:themeColor="text1"/>
          <w:vertAlign w:val="superscript"/>
          <w:lang w:val="en-GB"/>
        </w:rPr>
        <w:t>[10–12]</w:t>
      </w:r>
      <w:r w:rsidR="00796EA7" w:rsidRPr="0037330A">
        <w:rPr>
          <w:rFonts w:ascii="Book Antiqua" w:hAnsi="Book Antiqua"/>
          <w:bCs/>
          <w:color w:val="000000" w:themeColor="text1"/>
          <w:lang w:val="en-GB"/>
        </w:rPr>
        <w:fldChar w:fldCharType="end"/>
      </w:r>
      <w:r w:rsidR="00E84BC7" w:rsidRPr="0037330A">
        <w:rPr>
          <w:rFonts w:ascii="Book Antiqua" w:hAnsi="Book Antiqua"/>
          <w:bCs/>
          <w:color w:val="000000" w:themeColor="text1"/>
          <w:lang w:val="en-GB"/>
        </w:rPr>
        <w:t>.</w:t>
      </w:r>
      <w:r w:rsidR="00DB3C59" w:rsidRPr="0037330A">
        <w:rPr>
          <w:rFonts w:ascii="Book Antiqua" w:hAnsi="Book Antiqua"/>
          <w:bCs/>
          <w:color w:val="0096FF"/>
          <w:lang w:val="en-GB"/>
        </w:rPr>
        <w:t xml:space="preserve"> </w:t>
      </w:r>
      <w:r w:rsidR="00900445" w:rsidRPr="0037330A">
        <w:rPr>
          <w:rFonts w:ascii="Book Antiqua" w:hAnsi="Book Antiqua"/>
          <w:bCs/>
          <w:color w:val="000000" w:themeColor="text1"/>
          <w:lang w:val="en-GB"/>
        </w:rPr>
        <w:t xml:space="preserve">However, this has not </w:t>
      </w:r>
      <w:r w:rsidR="00D12551" w:rsidRPr="0037330A">
        <w:rPr>
          <w:rFonts w:ascii="Book Antiqua" w:hAnsi="Book Antiqua"/>
          <w:bCs/>
          <w:color w:val="000000" w:themeColor="text1"/>
          <w:lang w:val="en-GB"/>
        </w:rPr>
        <w:t xml:space="preserve">yet </w:t>
      </w:r>
      <w:r w:rsidR="00900445" w:rsidRPr="0037330A">
        <w:rPr>
          <w:rFonts w:ascii="Book Antiqua" w:hAnsi="Book Antiqua"/>
          <w:bCs/>
          <w:color w:val="000000" w:themeColor="text1"/>
          <w:lang w:val="en-GB"/>
        </w:rPr>
        <w:t xml:space="preserve">been </w:t>
      </w:r>
      <w:r w:rsidR="00D12551" w:rsidRPr="0037330A">
        <w:rPr>
          <w:rFonts w:ascii="Book Antiqua" w:hAnsi="Book Antiqua"/>
          <w:bCs/>
          <w:color w:val="000000" w:themeColor="text1"/>
          <w:lang w:val="en-GB"/>
        </w:rPr>
        <w:t xml:space="preserve">comprehensively </w:t>
      </w:r>
      <w:r w:rsidR="00900445" w:rsidRPr="0037330A">
        <w:rPr>
          <w:rFonts w:ascii="Book Antiqua" w:hAnsi="Book Antiqua"/>
          <w:bCs/>
          <w:color w:val="000000" w:themeColor="text1"/>
          <w:lang w:val="en-GB"/>
        </w:rPr>
        <w:t>done</w:t>
      </w:r>
      <w:r w:rsidR="00C528E4" w:rsidRPr="0037330A">
        <w:rPr>
          <w:rFonts w:ascii="Book Antiqua" w:hAnsi="Book Antiqua"/>
          <w:bCs/>
          <w:color w:val="000000" w:themeColor="text1"/>
          <w:lang w:val="en-GB"/>
        </w:rPr>
        <w:t xml:space="preserve"> </w:t>
      </w:r>
      <w:r w:rsidR="00900445" w:rsidRPr="0037330A">
        <w:rPr>
          <w:rFonts w:ascii="Book Antiqua" w:hAnsi="Book Antiqua"/>
          <w:bCs/>
          <w:color w:val="000000" w:themeColor="text1"/>
          <w:lang w:val="en-GB"/>
        </w:rPr>
        <w:t>for</w:t>
      </w:r>
      <w:r w:rsidR="00DB3C59" w:rsidRPr="0037330A">
        <w:rPr>
          <w:rFonts w:ascii="Book Antiqua" w:hAnsi="Book Antiqua"/>
          <w:bCs/>
          <w:color w:val="000000" w:themeColor="text1"/>
          <w:lang w:val="en-GB"/>
        </w:rPr>
        <w:t xml:space="preserve"> </w:t>
      </w:r>
      <w:r w:rsidR="00C528E4" w:rsidRPr="0037330A">
        <w:rPr>
          <w:rFonts w:ascii="Book Antiqua" w:hAnsi="Book Antiqua"/>
          <w:bCs/>
          <w:color w:val="000000" w:themeColor="text1"/>
          <w:lang w:val="en-GB"/>
        </w:rPr>
        <w:t xml:space="preserve">insulin injection devices and </w:t>
      </w:r>
      <w:r w:rsidR="004A2DE3" w:rsidRPr="0037330A">
        <w:rPr>
          <w:rFonts w:ascii="Book Antiqua" w:hAnsi="Book Antiqua"/>
          <w:bCs/>
          <w:color w:val="000000" w:themeColor="text1"/>
          <w:lang w:val="en-GB"/>
        </w:rPr>
        <w:t>HbA1c testing</w:t>
      </w:r>
      <w:r w:rsidR="00D12551" w:rsidRPr="0037330A">
        <w:rPr>
          <w:rFonts w:ascii="Book Antiqua" w:hAnsi="Book Antiqua"/>
          <w:bCs/>
          <w:color w:val="000000" w:themeColor="text1"/>
          <w:lang w:val="en-GB"/>
        </w:rPr>
        <w:t xml:space="preserve"> equipment</w:t>
      </w:r>
      <w:r w:rsidR="004A2DE3" w:rsidRPr="0037330A">
        <w:rPr>
          <w:rFonts w:ascii="Book Antiqua" w:hAnsi="Book Antiqua"/>
          <w:bCs/>
          <w:color w:val="000000" w:themeColor="text1"/>
          <w:lang w:val="en-GB"/>
        </w:rPr>
        <w:t>.</w:t>
      </w:r>
      <w:r w:rsidR="00D12551" w:rsidRPr="0037330A">
        <w:rPr>
          <w:rFonts w:ascii="Book Antiqua" w:hAnsi="Book Antiqua"/>
          <w:bCs/>
          <w:color w:val="000000" w:themeColor="text1"/>
          <w:lang w:val="en-GB"/>
        </w:rPr>
        <w:t xml:space="preserve"> </w:t>
      </w:r>
    </w:p>
    <w:p w14:paraId="143FE79A" w14:textId="19D1E812" w:rsidR="003861F6" w:rsidRPr="0037330A" w:rsidRDefault="00D82791" w:rsidP="00146B63">
      <w:pPr>
        <w:snapToGrid w:val="0"/>
        <w:spacing w:line="360" w:lineRule="auto"/>
        <w:ind w:firstLineChars="100" w:firstLine="240"/>
        <w:jc w:val="both"/>
        <w:rPr>
          <w:rFonts w:ascii="Book Antiqua" w:hAnsi="Book Antiqua"/>
          <w:bCs/>
          <w:color w:val="000000" w:themeColor="text1"/>
          <w:lang w:val="en-GB"/>
        </w:rPr>
      </w:pPr>
      <w:r w:rsidRPr="0037330A">
        <w:rPr>
          <w:rFonts w:ascii="Book Antiqua" w:hAnsi="Book Antiqua"/>
          <w:bCs/>
          <w:iCs/>
          <w:color w:val="000000" w:themeColor="text1"/>
          <w:lang w:val="en-GB"/>
        </w:rPr>
        <w:t xml:space="preserve">Insulin can be injected </w:t>
      </w:r>
      <w:r w:rsidRPr="0037330A">
        <w:rPr>
          <w:rFonts w:ascii="Book Antiqua" w:hAnsi="Book Antiqua"/>
          <w:bCs/>
          <w:i/>
          <w:iCs/>
          <w:color w:val="000000" w:themeColor="text1"/>
          <w:lang w:val="en-GB"/>
        </w:rPr>
        <w:t>via</w:t>
      </w:r>
      <w:r w:rsidRPr="0037330A">
        <w:rPr>
          <w:rFonts w:ascii="Book Antiqua" w:hAnsi="Book Antiqua"/>
          <w:bCs/>
          <w:iCs/>
          <w:color w:val="000000" w:themeColor="text1"/>
          <w:lang w:val="en-GB"/>
        </w:rPr>
        <w:t xml:space="preserve"> syringe, pen, or insulin pump</w:t>
      </w:r>
      <w:r w:rsidR="00F550BC" w:rsidRPr="0037330A">
        <w:rPr>
          <w:rFonts w:ascii="Book Antiqua" w:hAnsi="Book Antiqua"/>
          <w:bCs/>
          <w:iCs/>
          <w:color w:val="000000" w:themeColor="text1"/>
          <w:lang w:val="en-GB"/>
        </w:rPr>
        <w:fldChar w:fldCharType="begin" w:fldLock="1"/>
      </w:r>
      <w:r w:rsidR="003E1A77" w:rsidRPr="0037330A">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F550BC"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[13]</w:t>
      </w:r>
      <w:r w:rsidR="00F550BC" w:rsidRPr="0037330A">
        <w:rPr>
          <w:rFonts w:ascii="Book Antiqua" w:hAnsi="Book Antiqua"/>
          <w:bCs/>
          <w:iCs/>
          <w:color w:val="000000" w:themeColor="text1"/>
          <w:lang w:val="en-GB"/>
        </w:rPr>
        <w:fldChar w:fldCharType="end"/>
      </w:r>
      <w:r w:rsidR="00645B8A"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w:t>
      </w:r>
      <w:r w:rsidRPr="0037330A">
        <w:rPr>
          <w:rFonts w:ascii="Book Antiqua" w:hAnsi="Book Antiqua"/>
          <w:color w:val="000000" w:themeColor="text1"/>
          <w:lang w:val="en-GB"/>
        </w:rPr>
        <w:t>In 2015, our group surveyed 71 countries, finding that there was no government provision of syringes in 12 countries and incomplete provision in 24</w:t>
      </w:r>
      <w:r w:rsidR="00D04697" w:rsidRPr="0037330A">
        <w:rPr>
          <w:rFonts w:ascii="Book Antiqua" w:hAnsi="Book Antiqua"/>
          <w:color w:val="000000" w:themeColor="text1"/>
          <w:lang w:val="en-GB"/>
        </w:rPr>
        <w:fldChar w:fldCharType="begin" w:fldLock="1"/>
      </w:r>
      <w:r w:rsidR="003E1A77" w:rsidRPr="0037330A">
        <w:rPr>
          <w:rFonts w:ascii="Book Antiqua" w:hAnsi="Book Antiqua"/>
          <w:color w:val="000000" w:themeColor="text1"/>
          <w:lang w:val="en-GB"/>
        </w:rPr>
        <w:instrText>ADDIN CSL_CITATION {"citationItems":[{"id":"ITEM-1","itemData":{"DOI":"10.1111/pedi.12296","ISSN":"13995448","PMID":"26153340","abstract":"BACKGROUND AND OBJECTIVES Care for children and youth with diabetes varies markedly around the world. We developed a standardized, reproducible measure that can be used to document and compare critical factors influencing treatment outcomes. METHODS A questionnaire consisting of 36 multiple-choice questions covering major components of care (such as insulin therapy, blood glucose monitoring, etc.) was sent to 75 countries: 43 under-resourced countries where the International Diabetes Federation's Life for a Child Program operates, and 32 others (mainly developed nations). Results for each country were scaled to a score with a range of 0-100. RESULTS Responses were received from 71 countries. Scores varied widely and were highly correlated to per capita gross domestic product (R(2) = 0.72, P &lt; 0.001) and health expenditure (R(2) = 0.77, P &lt; 0.001). For the 37 low- and lower-middle income countries, only two had complete government provision of human insulin and none of blood glucose test strips. Marked differences according to income were also found for access to home refrigeration; usage of insulin pens, multiple daily injections, pumps, glucagon and ketone strips; hemoglobin A1c (HbA1c) testing; and complications screening. CONCLUSIONS The index is a comprehensive, easily administered survey instrument. It demonstrated stark differences in access to numerous components of care necessary in achieving good outcomes for children and youth with diabetes.","author":[{"dropping-particle":"","family":"Ogle","given":"Graham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Diabetes","id":"ITEM-1","issue":"5","issued":{"date-parts":[["2016"]]},"page":"374-384","title":"The IDF Life for a Child Program Index of diabetes care for children and youth","type":"article-journal","volume":"17"},"uris":["http://www.mendeley.com/documents/?uuid=d4e63596-5d31-4ba1-8c3f-992957554eb1"]}],"mendeley":{"formattedCitation":"&lt;sup&gt;[6]&lt;/sup&gt;","plainTextFormattedCitation":"[6]","previouslyFormattedCitation":"&lt;sup&gt;[6]&lt;/sup&gt;"},"properties":{"noteIndex":0},"schema":"https://github.com/citation-style-language/schema/raw/master/csl-citation.json"}</w:instrText>
      </w:r>
      <w:r w:rsidR="00D04697" w:rsidRPr="0037330A">
        <w:rPr>
          <w:rFonts w:ascii="Book Antiqua" w:hAnsi="Book Antiqua"/>
          <w:color w:val="000000" w:themeColor="text1"/>
          <w:lang w:val="en-GB"/>
        </w:rPr>
        <w:fldChar w:fldCharType="separate"/>
      </w:r>
      <w:r w:rsidR="003E1A77" w:rsidRPr="0037330A">
        <w:rPr>
          <w:rFonts w:ascii="Book Antiqua" w:hAnsi="Book Antiqua"/>
          <w:color w:val="000000" w:themeColor="text1"/>
          <w:vertAlign w:val="superscript"/>
          <w:lang w:val="en-GB"/>
        </w:rPr>
        <w:t>[6]</w:t>
      </w:r>
      <w:r w:rsidR="00D04697" w:rsidRPr="0037330A">
        <w:rPr>
          <w:rFonts w:ascii="Book Antiqua" w:hAnsi="Book Antiqua"/>
          <w:color w:val="000000" w:themeColor="text1"/>
          <w:lang w:val="en-GB"/>
        </w:rPr>
        <w:fldChar w:fldCharType="end"/>
      </w:r>
      <w:r w:rsidR="00645B8A" w:rsidRPr="0037330A">
        <w:rPr>
          <w:rFonts w:ascii="Book Antiqua" w:hAnsi="Book Antiqua"/>
          <w:color w:val="000000" w:themeColor="text1"/>
          <w:lang w:val="en-GB"/>
        </w:rPr>
        <w:t>,</w:t>
      </w:r>
      <w:r w:rsidR="00FA7438" w:rsidRPr="0037330A">
        <w:rPr>
          <w:rFonts w:ascii="Book Antiqua" w:hAnsi="Book Antiqua"/>
          <w:color w:val="000000" w:themeColor="text1"/>
          <w:lang w:val="en-GB"/>
        </w:rPr>
        <w:t xml:space="preserve"> </w:t>
      </w:r>
      <w:r w:rsidR="00D04697" w:rsidRPr="0037330A">
        <w:rPr>
          <w:rFonts w:ascii="Book Antiqua" w:hAnsi="Book Antiqua"/>
          <w:color w:val="000000" w:themeColor="text1"/>
          <w:lang w:val="en-GB"/>
        </w:rPr>
        <w:t>necessitating families buying these out-of-pocket in private retail pharmacies</w:t>
      </w:r>
      <w:r w:rsidRPr="0037330A">
        <w:rPr>
          <w:rFonts w:ascii="Book Antiqua" w:hAnsi="Book Antiqua"/>
          <w:color w:val="000000" w:themeColor="text1"/>
          <w:lang w:val="en-GB"/>
        </w:rPr>
        <w:t xml:space="preserve">. </w:t>
      </w:r>
      <w:r w:rsidR="00D04697" w:rsidRPr="0037330A">
        <w:rPr>
          <w:rFonts w:ascii="Book Antiqua" w:hAnsi="Book Antiqua"/>
          <w:color w:val="000000" w:themeColor="text1"/>
          <w:lang w:val="en-GB"/>
        </w:rPr>
        <w:t>O</w:t>
      </w:r>
      <w:r w:rsidRPr="0037330A">
        <w:rPr>
          <w:rFonts w:ascii="Book Antiqua" w:hAnsi="Book Antiqua"/>
          <w:color w:val="000000" w:themeColor="text1"/>
          <w:lang w:val="en-GB"/>
        </w:rPr>
        <w:t>nl</w:t>
      </w:r>
      <w:r w:rsidR="00470C89" w:rsidRPr="0037330A">
        <w:rPr>
          <w:rFonts w:ascii="Book Antiqua" w:hAnsi="Book Antiqua"/>
          <w:color w:val="000000" w:themeColor="text1"/>
          <w:lang w:val="en-GB"/>
        </w:rPr>
        <w:t>y</w:t>
      </w:r>
      <w:r w:rsidRPr="0037330A">
        <w:rPr>
          <w:rFonts w:ascii="Book Antiqua" w:hAnsi="Book Antiqua"/>
          <w:color w:val="000000" w:themeColor="text1"/>
          <w:lang w:val="en-GB"/>
        </w:rPr>
        <w:t xml:space="preserve"> six countries </w:t>
      </w:r>
      <w:r w:rsidR="00470C89" w:rsidRPr="0037330A">
        <w:rPr>
          <w:rFonts w:ascii="Book Antiqua" w:hAnsi="Book Antiqua"/>
          <w:color w:val="000000" w:themeColor="text1"/>
          <w:lang w:val="en-GB"/>
        </w:rPr>
        <w:t xml:space="preserve">had </w:t>
      </w:r>
      <w:r w:rsidRPr="0037330A">
        <w:rPr>
          <w:rFonts w:ascii="Book Antiqua" w:hAnsi="Book Antiqua"/>
          <w:color w:val="000000" w:themeColor="text1"/>
          <w:lang w:val="en-GB"/>
        </w:rPr>
        <w:t xml:space="preserve">full </w:t>
      </w:r>
      <w:r w:rsidR="00470C89" w:rsidRPr="0037330A">
        <w:rPr>
          <w:rFonts w:ascii="Book Antiqua" w:hAnsi="Book Antiqua"/>
          <w:color w:val="000000" w:themeColor="text1"/>
          <w:lang w:val="en-GB"/>
        </w:rPr>
        <w:t xml:space="preserve">government </w:t>
      </w:r>
      <w:r w:rsidRPr="0037330A">
        <w:rPr>
          <w:rFonts w:ascii="Book Antiqua" w:hAnsi="Book Antiqua"/>
          <w:color w:val="000000" w:themeColor="text1"/>
          <w:lang w:val="en-GB"/>
        </w:rPr>
        <w:t>provision of insulin pens</w:t>
      </w:r>
      <w:r w:rsidRPr="0037330A">
        <w:rPr>
          <w:rFonts w:ascii="Book Antiqua" w:hAnsi="Book Antiqua"/>
          <w:color w:val="000000" w:themeColor="text1"/>
          <w:lang w:val="en-GB"/>
        </w:rPr>
        <w:fldChar w:fldCharType="begin" w:fldLock="1"/>
      </w:r>
      <w:r w:rsidR="003E1A77" w:rsidRPr="0037330A">
        <w:rPr>
          <w:rFonts w:ascii="Book Antiqua" w:hAnsi="Book Antiqua"/>
          <w:color w:val="000000" w:themeColor="text1"/>
          <w:lang w:val="en-GB"/>
        </w:rPr>
        <w:instrText>ADDIN CSL_CITATION {"citationItems":[{"id":"ITEM-1","itemData":{"DOI":"10.1111/pedi.12296","ISSN":"13995448","PMID":"26153340","abstract":"BACKGROUND AND OBJECTIVES Care for children and youth with diabetes varies markedly around the world. We developed a standardized, reproducible measure that can be used to document and compare critical factors influencing treatment outcomes. METHODS A questionnaire consisting of 36 multiple-choice questions covering major components of care (such as insulin therapy, blood glucose monitoring, etc.) was sent to 75 countries: 43 under-resourced countries where the International Diabetes Federation's Life for a Child Program operates, and 32 others (mainly developed nations). Results for each country were scaled to a score with a range of 0-100. RESULTS Responses were received from 71 countries. Scores varied widely and were highly correlated to per capita gross domestic product (R(2) = 0.72, P &lt; 0.001) and health expenditure (R(2) = 0.77, P &lt; 0.001). For the 37 low- and lower-middle income countries, only two had complete government provision of human insulin and none of blood glucose test strips. Marked differences according to income were also found for access to home refrigeration; usage of insulin pens, multiple daily injections, pumps, glucagon and ketone strips; hemoglobin A1c (HbA1c) testing; and complications screening. CONCLUSIONS The index is a comprehensive, easily administered survey instrument. It demonstrated stark differences in access to numerous components of care necessary in achieving good outcomes for children and youth with diabetes.","author":[{"dropping-particle":"","family":"Ogle","given":"Graham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Diabetes","id":"ITEM-1","issue":"5","issued":{"date-parts":[["2016"]]},"page":"374-384","title":"The IDF Life for a Child Program Index of diabetes care for children and youth","type":"article-journal","volume":"17"},"uris":["http://www.mendeley.com/documents/?uuid=d4e63596-5d31-4ba1-8c3f-992957554eb1"]}],"mendeley":{"formattedCitation":"&lt;sup&gt;[6]&lt;/sup&gt;","plainTextFormattedCitation":"[6]","previouslyFormattedCitation":"&lt;sup&gt;[6]&lt;/sup&gt;"},"properties":{"noteIndex":0},"schema":"https://github.com/citation-style-language/schema/raw/master/csl-citation.json"}</w:instrText>
      </w:r>
      <w:r w:rsidRPr="0037330A">
        <w:rPr>
          <w:rFonts w:ascii="Book Antiqua" w:hAnsi="Book Antiqua"/>
          <w:color w:val="000000" w:themeColor="text1"/>
          <w:lang w:val="en-GB"/>
        </w:rPr>
        <w:fldChar w:fldCharType="separate"/>
      </w:r>
      <w:r w:rsidR="003E1A77" w:rsidRPr="0037330A">
        <w:rPr>
          <w:rFonts w:ascii="Book Antiqua" w:hAnsi="Book Antiqua"/>
          <w:color w:val="000000" w:themeColor="text1"/>
          <w:vertAlign w:val="superscript"/>
          <w:lang w:val="en-GB"/>
        </w:rPr>
        <w:t>[6]</w:t>
      </w:r>
      <w:r w:rsidRPr="0037330A">
        <w:rPr>
          <w:rFonts w:ascii="Book Antiqua" w:hAnsi="Book Antiqua"/>
          <w:color w:val="000000" w:themeColor="text1"/>
          <w:lang w:val="en-GB"/>
        </w:rPr>
        <w:fldChar w:fldCharType="end"/>
      </w:r>
      <w:r w:rsidR="00645B8A" w:rsidRPr="0037330A">
        <w:rPr>
          <w:rFonts w:ascii="Book Antiqua" w:hAnsi="Book Antiqua"/>
          <w:color w:val="000000" w:themeColor="text1"/>
          <w:lang w:val="en-GB"/>
        </w:rPr>
        <w:t>.</w:t>
      </w:r>
      <w:r w:rsidRPr="0037330A">
        <w:rPr>
          <w:rFonts w:ascii="Book Antiqua" w:hAnsi="Book Antiqua"/>
          <w:color w:val="000000" w:themeColor="text1"/>
          <w:lang w:val="en-GB"/>
        </w:rPr>
        <w:t xml:space="preserve"> </w:t>
      </w:r>
      <w:r w:rsidR="00DF5A87" w:rsidRPr="0037330A">
        <w:rPr>
          <w:rFonts w:ascii="Book Antiqua" w:hAnsi="Book Antiqua"/>
          <w:lang w:val="en-GB"/>
        </w:rPr>
        <w:t xml:space="preserve">Measurement of </w:t>
      </w:r>
      <w:r w:rsidR="00C74440" w:rsidRPr="0037330A">
        <w:rPr>
          <w:rFonts w:ascii="Book Antiqua" w:hAnsi="Book Antiqua"/>
          <w:lang w:val="en-GB"/>
        </w:rPr>
        <w:t>HbA1c</w:t>
      </w:r>
      <w:r w:rsidR="00DF5A87" w:rsidRPr="0037330A">
        <w:rPr>
          <w:rFonts w:ascii="Book Antiqua" w:hAnsi="Book Antiqua"/>
          <w:lang w:val="en-GB"/>
        </w:rPr>
        <w:t xml:space="preserve"> </w:t>
      </w:r>
      <w:r w:rsidR="007347DD" w:rsidRPr="0037330A">
        <w:rPr>
          <w:rFonts w:ascii="Book Antiqua" w:hAnsi="Book Antiqua"/>
          <w:lang w:val="en-GB"/>
        </w:rPr>
        <w:t xml:space="preserve">is an essential component of monitoring </w:t>
      </w:r>
      <w:r w:rsidR="002212C8" w:rsidRPr="0037330A">
        <w:rPr>
          <w:rFonts w:ascii="Book Antiqua" w:hAnsi="Book Antiqua"/>
          <w:lang w:val="en-GB"/>
        </w:rPr>
        <w:t>glycaemic</w:t>
      </w:r>
      <w:r w:rsidR="007347DD" w:rsidRPr="0037330A">
        <w:rPr>
          <w:rFonts w:ascii="Book Antiqua" w:hAnsi="Book Antiqua"/>
          <w:lang w:val="en-GB"/>
        </w:rPr>
        <w:t xml:space="preserve"> control,</w:t>
      </w:r>
      <w:r w:rsidR="00630C15" w:rsidRPr="0037330A">
        <w:rPr>
          <w:rFonts w:ascii="Book Antiqua" w:hAnsi="Book Antiqua"/>
          <w:lang w:val="en-GB"/>
        </w:rPr>
        <w:t xml:space="preserve"> </w:t>
      </w:r>
      <w:r w:rsidR="007347DD" w:rsidRPr="0037330A">
        <w:rPr>
          <w:rFonts w:ascii="Book Antiqua" w:hAnsi="Book Antiqua"/>
          <w:lang w:val="en-GB"/>
        </w:rPr>
        <w:t>provid</w:t>
      </w:r>
      <w:r w:rsidR="00630C15" w:rsidRPr="0037330A">
        <w:rPr>
          <w:rFonts w:ascii="Book Antiqua" w:hAnsi="Book Antiqua"/>
          <w:lang w:val="en-GB"/>
        </w:rPr>
        <w:t>ing</w:t>
      </w:r>
      <w:r w:rsidR="007347DD" w:rsidRPr="0037330A">
        <w:rPr>
          <w:rFonts w:ascii="Book Antiqua" w:hAnsi="Book Antiqua"/>
          <w:lang w:val="en-GB"/>
        </w:rPr>
        <w:t xml:space="preserve"> </w:t>
      </w:r>
      <w:r w:rsidR="003A74C8" w:rsidRPr="0037330A">
        <w:rPr>
          <w:rFonts w:ascii="Book Antiqua" w:hAnsi="Book Antiqua"/>
          <w:lang w:val="en-GB"/>
        </w:rPr>
        <w:t xml:space="preserve">crucial </w:t>
      </w:r>
      <w:r w:rsidR="007347DD" w:rsidRPr="0037330A">
        <w:rPr>
          <w:rFonts w:ascii="Book Antiqua" w:hAnsi="Book Antiqua"/>
          <w:lang w:val="en-GB"/>
        </w:rPr>
        <w:t xml:space="preserve">information on </w:t>
      </w:r>
      <w:r w:rsidR="003A74C8" w:rsidRPr="0037330A">
        <w:rPr>
          <w:rFonts w:ascii="Book Antiqua" w:hAnsi="Book Antiqua"/>
          <w:lang w:val="en-GB"/>
        </w:rPr>
        <w:t xml:space="preserve">recent blood glucose control and </w:t>
      </w:r>
      <w:r w:rsidR="007347DD" w:rsidRPr="0037330A">
        <w:rPr>
          <w:rFonts w:ascii="Book Antiqua" w:hAnsi="Book Antiqua"/>
          <w:lang w:val="en-GB"/>
        </w:rPr>
        <w:t xml:space="preserve">the risk of developing </w:t>
      </w:r>
      <w:r w:rsidR="003A74C8" w:rsidRPr="0037330A">
        <w:rPr>
          <w:rFonts w:ascii="Book Antiqua" w:hAnsi="Book Antiqua"/>
          <w:lang w:val="en-GB"/>
        </w:rPr>
        <w:t xml:space="preserve">long-term </w:t>
      </w:r>
      <w:r w:rsidR="007347DD" w:rsidRPr="0037330A">
        <w:rPr>
          <w:rFonts w:ascii="Book Antiqua" w:hAnsi="Book Antiqua"/>
          <w:lang w:val="en-GB"/>
        </w:rPr>
        <w:t>complications</w:t>
      </w:r>
      <w:r w:rsidR="00630C15" w:rsidRPr="0037330A">
        <w:rPr>
          <w:rFonts w:ascii="Book Antiqua" w:hAnsi="Book Antiqua"/>
          <w:lang w:val="en-GB"/>
        </w:rPr>
        <w:t>.</w:t>
      </w:r>
      <w:r w:rsidR="007347DD" w:rsidRPr="0037330A">
        <w:rPr>
          <w:rFonts w:ascii="Book Antiqua" w:hAnsi="Book Antiqua"/>
          <w:lang w:val="en-GB"/>
        </w:rPr>
        <w:t xml:space="preserve"> </w:t>
      </w:r>
      <w:r w:rsidR="003A74C8" w:rsidRPr="0037330A">
        <w:rPr>
          <w:rFonts w:ascii="Book Antiqua" w:hAnsi="Book Antiqua"/>
          <w:lang w:val="en-GB"/>
        </w:rPr>
        <w:t>Testing every three months is recommended in</w:t>
      </w:r>
      <w:r w:rsidR="00DF5A87" w:rsidRPr="0037330A">
        <w:rPr>
          <w:rFonts w:ascii="Book Antiqua" w:hAnsi="Book Antiqua"/>
          <w:lang w:val="en-GB"/>
        </w:rPr>
        <w:t xml:space="preserve"> young people with T1D</w:t>
      </w:r>
      <w:r w:rsidR="00777F87" w:rsidRPr="0037330A">
        <w:rPr>
          <w:rFonts w:ascii="Book Antiqua" w:hAnsi="Book Antiqua"/>
          <w:lang w:val="en-GB"/>
        </w:rPr>
        <w:fldChar w:fldCharType="begin" w:fldLock="1"/>
      </w:r>
      <w:r w:rsidR="003E64E6" w:rsidRPr="0037330A">
        <w:rPr>
          <w:rFonts w:ascii="Book Antiqua" w:hAnsi="Book Antiqua"/>
          <w:lang w:val="en-GB"/>
        </w:rPr>
        <w:instrText>ADDIN CSL_CITATION {"citationItems":[{"id":"ITEM-1","itemData":{"DOI":"10.1111/pedi.12737","PMID":"30058221","author":[{"dropping-particle":"","family":"Dimeglio","given":"Linda A","non-dropping-particle":"","parse-names":false,"suffix":""},{"dropping-particle":"","family":"Hofer","given":"Sabine E","non-dropping-particle":"","parse-names":false,"suffix":""},{"dropping-particle":"","family":"Acerini","given":"Carlo L","non-dropping-particle":"","parse-names":false,"suffix":""},{"dropping-particle":"","family":"Pillay","given":"Kubendran","non-dropping-particle":"","parse-names":false,"suffix":""},{"dropping-particle":"","family":"Codner","given":"Ethel","non-dropping-particle":"","parse-names":false,"suffix":""},{"dropping-particle":"","family":"Maahs","given":"David M","non-dropping-particle":"","parse-names":false,"suffix":""},{"dropping-particle":"","family":"Craig","given":"Maria E","non-dropping-particle":"","parse-names":false,"suffix":""}],"container-title":"Pediatric Diabetes","id":"ITEM-1","issue":"Suppl. 27","issued":{"date-parts":[["2018"]]},"page":"105-114","title":"ISPAD Clinical Practice Consensus Guidelines 2018: Glycemic control targets and glucose monitoring for children, adolescents, and young adults with diabetes","type":"article-journal","volume":"19"},"uris":["http://www.mendeley.com/documents/?uuid=e1166fdf-9ff2-40c4-841a-2f6bf1abde3b"]},{"id":"ITEM-2","itemData":{"DOI":"10.1111/pedi.12801","PMID":"30471084","author":[{"dropping-particle":"","family":"Ogle","given":"Graham David","non-dropping-particle":"","parse-names":false,"suffix":""},{"dropping-particle":"","family":"Oettingen","given":"Julia","non-dropping-particle":"von","parse-names":false,"suffix":""},{"dropping-particle":"","family":"Middlehurst","given":"Angela Christine","non-dropping-particle":"","parse-names":false,"suffix":""},{"dropping-particle":"","family":"Hanas","given":"Ragnar","non-dropping-particle":"","parse-names":false,"suffix":""},{"dropping-particle":"","family":"Orchard","given":"Trevor J.","non-dropping-particle":"","parse-names":false,"suffix":""}],"container-title":"Pediatric Diabetes","id":"ITEM-2","issue":"1","issued":{"date-parts":[["2019"]]},"page":"93-98","title":"Levels of type 1 diabetes care in children and adolescents for countries at varying resource levels","type":"article-journal","volume":"20"},"uris":["http://www.mendeley.com/documents/?uuid=263cbf4e-8bc5-4d10-a09d-df728b4d2d21"]}],"mendeley":{"formattedCitation":"&lt;sup&gt;[14,15]&lt;/sup&gt;","plainTextFormattedCitation":"[14,15]","previouslyFormattedCitation":"&lt;sup&gt;[14,15]&lt;/sup&gt;"},"properties":{"noteIndex":0},"schema":"https://github.com/citation-style-language/schema/raw/master/csl-citation.json"}</w:instrText>
      </w:r>
      <w:r w:rsidR="00777F87" w:rsidRPr="0037330A">
        <w:rPr>
          <w:rFonts w:ascii="Book Antiqua" w:hAnsi="Book Antiqua"/>
          <w:lang w:val="en-GB"/>
        </w:rPr>
        <w:fldChar w:fldCharType="separate"/>
      </w:r>
      <w:r w:rsidR="003E1A77" w:rsidRPr="0037330A">
        <w:rPr>
          <w:rFonts w:ascii="Book Antiqua" w:hAnsi="Book Antiqua"/>
          <w:vertAlign w:val="superscript"/>
          <w:lang w:val="en-GB"/>
        </w:rPr>
        <w:t>[14,15]</w:t>
      </w:r>
      <w:r w:rsidR="00777F87" w:rsidRPr="0037330A">
        <w:rPr>
          <w:rFonts w:ascii="Book Antiqua" w:hAnsi="Book Antiqua"/>
          <w:lang w:val="en-GB"/>
        </w:rPr>
        <w:fldChar w:fldCharType="end"/>
      </w:r>
      <w:r w:rsidR="009C0A7F" w:rsidRPr="0037330A">
        <w:rPr>
          <w:rFonts w:ascii="Book Antiqua" w:hAnsi="Book Antiqua"/>
          <w:lang w:val="en-GB"/>
        </w:rPr>
        <w:t xml:space="preserve">, </w:t>
      </w:r>
      <w:r w:rsidR="008F4729" w:rsidRPr="0037330A">
        <w:rPr>
          <w:rFonts w:ascii="Book Antiqua" w:hAnsi="Book Antiqua"/>
          <w:lang w:val="en-GB"/>
        </w:rPr>
        <w:t xml:space="preserve">with HbA1c </w:t>
      </w:r>
      <w:r w:rsidR="00553A8A" w:rsidRPr="0037330A">
        <w:rPr>
          <w:rFonts w:ascii="Book Antiqua" w:hAnsi="Book Antiqua"/>
          <w:lang w:val="en-GB"/>
        </w:rPr>
        <w:t>either</w:t>
      </w:r>
      <w:r w:rsidR="009362DA" w:rsidRPr="0037330A">
        <w:rPr>
          <w:rFonts w:ascii="Book Antiqua" w:hAnsi="Book Antiqua"/>
          <w:lang w:val="en-GB"/>
        </w:rPr>
        <w:t xml:space="preserve"> be measured </w:t>
      </w:r>
      <w:r w:rsidR="00553A8A" w:rsidRPr="0037330A">
        <w:rPr>
          <w:rFonts w:ascii="Book Antiqua" w:hAnsi="Book Antiqua"/>
          <w:lang w:val="en-GB"/>
        </w:rPr>
        <w:t>in a laboratory</w:t>
      </w:r>
      <w:r w:rsidR="003A74C8" w:rsidRPr="0037330A">
        <w:rPr>
          <w:rFonts w:ascii="Book Antiqua" w:hAnsi="Book Antiqua"/>
          <w:lang w:val="en-GB"/>
        </w:rPr>
        <w:t xml:space="preserve"> </w:t>
      </w:r>
      <w:r w:rsidR="00553A8A" w:rsidRPr="0037330A">
        <w:rPr>
          <w:rFonts w:ascii="Book Antiqua" w:hAnsi="Book Antiqua"/>
          <w:lang w:val="en-GB"/>
        </w:rPr>
        <w:t xml:space="preserve">or in clinic by point-of-care </w:t>
      </w:r>
      <w:r w:rsidR="003A74C8" w:rsidRPr="0037330A">
        <w:rPr>
          <w:rFonts w:ascii="Book Antiqua" w:hAnsi="Book Antiqua"/>
          <w:lang w:val="en-GB"/>
        </w:rPr>
        <w:t xml:space="preserve">testing </w:t>
      </w:r>
      <w:r w:rsidR="00553A8A" w:rsidRPr="0037330A">
        <w:rPr>
          <w:rFonts w:ascii="Book Antiqua" w:hAnsi="Book Antiqua"/>
          <w:lang w:val="en-GB"/>
        </w:rPr>
        <w:t xml:space="preserve">(POCT). </w:t>
      </w:r>
      <w:r w:rsidR="009362DA" w:rsidRPr="0037330A">
        <w:rPr>
          <w:rFonts w:ascii="Book Antiqua" w:hAnsi="Book Antiqua"/>
          <w:lang w:val="en-GB"/>
        </w:rPr>
        <w:t xml:space="preserve">POCT </w:t>
      </w:r>
      <w:r w:rsidR="00DC09DD" w:rsidRPr="0037330A">
        <w:rPr>
          <w:rFonts w:ascii="Book Antiqua" w:hAnsi="Book Antiqua"/>
          <w:lang w:val="en-GB"/>
        </w:rPr>
        <w:t xml:space="preserve">is the most </w:t>
      </w:r>
      <w:r w:rsidR="00553A8A" w:rsidRPr="0037330A">
        <w:rPr>
          <w:rFonts w:ascii="Book Antiqua" w:hAnsi="Book Antiqua"/>
          <w:lang w:val="en-GB"/>
        </w:rPr>
        <w:t xml:space="preserve">suitable </w:t>
      </w:r>
      <w:r w:rsidR="006D53CA" w:rsidRPr="0037330A">
        <w:rPr>
          <w:rFonts w:ascii="Book Antiqua" w:hAnsi="Book Antiqua"/>
          <w:lang w:val="en-GB"/>
        </w:rPr>
        <w:t xml:space="preserve">method </w:t>
      </w:r>
      <w:r w:rsidR="00553A8A" w:rsidRPr="0037330A">
        <w:rPr>
          <w:rFonts w:ascii="Book Antiqua" w:hAnsi="Book Antiqua"/>
          <w:lang w:val="en-GB"/>
        </w:rPr>
        <w:t>to inform</w:t>
      </w:r>
      <w:r w:rsidR="00DC09DD" w:rsidRPr="0037330A">
        <w:rPr>
          <w:rFonts w:ascii="Book Antiqua" w:hAnsi="Book Antiqua"/>
          <w:lang w:val="en-GB"/>
        </w:rPr>
        <w:t xml:space="preserve"> </w:t>
      </w:r>
      <w:r w:rsidR="00553A8A" w:rsidRPr="0037330A">
        <w:rPr>
          <w:rFonts w:ascii="Book Antiqua" w:hAnsi="Book Antiqua"/>
          <w:lang w:val="en-GB"/>
        </w:rPr>
        <w:t>treatment changes</w:t>
      </w:r>
      <w:r w:rsidR="006D53CA" w:rsidRPr="0037330A">
        <w:rPr>
          <w:rFonts w:ascii="Book Antiqua" w:hAnsi="Book Antiqua"/>
          <w:lang w:val="en-GB"/>
        </w:rPr>
        <w:t xml:space="preserve"> as it provides immediate results which can be discussed with the patient and used to guide any required changes in management</w:t>
      </w:r>
      <w:r w:rsidR="00E504B1" w:rsidRPr="0037330A">
        <w:rPr>
          <w:rFonts w:ascii="Book Antiqua" w:hAnsi="Book Antiqua"/>
          <w:lang w:val="en-GB"/>
        </w:rPr>
        <w:fldChar w:fldCharType="begin" w:fldLock="1"/>
      </w:r>
      <w:r w:rsidR="000B7849" w:rsidRPr="0037330A">
        <w:rPr>
          <w:rFonts w:ascii="Book Antiqua" w:hAnsi="Book Antiqua"/>
          <w:lang w:val="en-GB"/>
        </w:rPr>
        <w:instrText>ADDIN CSL_CITATION {"citationItems":[{"id":"ITEM-1","itemData":{"DOI":"10.2337/dc16-S003","PMID":"29222370","author":[{"dropping-particle":"","family":"American Diabetes Association","given":"","non-dropping-particle":"","parse-names":false,"suffix":""}],"container-title":"Diabetes Care","id":"ITEM-1","issue":"1","issued":{"date-parts":[["2019"]]},"title":"Standards of Medical Care in Diabetes 2019","type":"article-journal","volume":"42"},"uris":["http://www.mendeley.com/documents/?uuid=ecde0b46-516c-46ec-94a7-14cc63a66b4f"]}],"mendeley":{"formattedCitation":"&lt;sup&gt;[16]&lt;/sup&gt;","plainTextFormattedCitation":"[16]","previouslyFormattedCitation":"&lt;sup&gt;[16]&lt;/sup&gt;"},"properties":{"noteIndex":0},"schema":"https://github.com/citation-style-language/schema/raw/master/csl-citation.json"}</w:instrText>
      </w:r>
      <w:r w:rsidR="00E504B1" w:rsidRPr="0037330A">
        <w:rPr>
          <w:rFonts w:ascii="Book Antiqua" w:hAnsi="Book Antiqua"/>
          <w:lang w:val="en-GB"/>
        </w:rPr>
        <w:fldChar w:fldCharType="separate"/>
      </w:r>
      <w:r w:rsidR="003E1A77" w:rsidRPr="0037330A">
        <w:rPr>
          <w:rFonts w:ascii="Book Antiqua" w:hAnsi="Book Antiqua"/>
          <w:vertAlign w:val="superscript"/>
          <w:lang w:val="en-GB"/>
        </w:rPr>
        <w:t>[16]</w:t>
      </w:r>
      <w:r w:rsidR="00E504B1" w:rsidRPr="0037330A">
        <w:rPr>
          <w:rFonts w:ascii="Book Antiqua" w:hAnsi="Book Antiqua"/>
          <w:lang w:val="en-GB"/>
        </w:rPr>
        <w:fldChar w:fldCharType="end"/>
      </w:r>
      <w:r w:rsidR="009C0A7F" w:rsidRPr="0037330A">
        <w:rPr>
          <w:rFonts w:ascii="Book Antiqua" w:hAnsi="Book Antiqua"/>
          <w:lang w:val="en-GB"/>
        </w:rPr>
        <w:t>.</w:t>
      </w:r>
      <w:r w:rsidR="00E504B1" w:rsidRPr="0037330A">
        <w:rPr>
          <w:rFonts w:ascii="Book Antiqua" w:hAnsi="Book Antiqua"/>
          <w:color w:val="0096FF"/>
          <w:lang w:val="en-GB"/>
        </w:rPr>
        <w:t xml:space="preserve"> </w:t>
      </w:r>
      <w:r w:rsidR="00392917" w:rsidRPr="0037330A">
        <w:rPr>
          <w:rFonts w:ascii="Book Antiqua" w:hAnsi="Book Antiqua"/>
          <w:color w:val="000000" w:themeColor="text1"/>
          <w:lang w:val="en-GB"/>
        </w:rPr>
        <w:t xml:space="preserve">However, </w:t>
      </w:r>
      <w:r w:rsidR="003A74C8" w:rsidRPr="0037330A">
        <w:rPr>
          <w:rFonts w:ascii="Book Antiqua" w:hAnsi="Book Antiqua"/>
          <w:color w:val="000000" w:themeColor="text1"/>
          <w:lang w:val="en-GB"/>
        </w:rPr>
        <w:t>access to either method can be poor in</w:t>
      </w:r>
      <w:r w:rsidR="00392917" w:rsidRPr="0037330A">
        <w:rPr>
          <w:rFonts w:ascii="Book Antiqua" w:hAnsi="Book Antiqua"/>
          <w:color w:val="000000" w:themeColor="text1"/>
          <w:lang w:val="en-GB"/>
        </w:rPr>
        <w:t xml:space="preserve"> </w:t>
      </w:r>
      <w:r w:rsidR="006D53CA" w:rsidRPr="0037330A">
        <w:rPr>
          <w:rFonts w:ascii="Book Antiqua" w:hAnsi="Book Antiqua"/>
          <w:color w:val="000000" w:themeColor="text1"/>
          <w:lang w:val="en-GB"/>
        </w:rPr>
        <w:t>l</w:t>
      </w:r>
      <w:r w:rsidR="005B64BF" w:rsidRPr="0037330A">
        <w:rPr>
          <w:rFonts w:ascii="Book Antiqua" w:hAnsi="Book Antiqua"/>
          <w:color w:val="000000" w:themeColor="text1"/>
          <w:lang w:val="en-GB"/>
        </w:rPr>
        <w:t xml:space="preserve"> </w:t>
      </w:r>
      <w:r w:rsidR="00BE604F" w:rsidRPr="0037330A">
        <w:rPr>
          <w:rFonts w:ascii="Book Antiqua" w:hAnsi="Book Antiqua"/>
          <w:bCs/>
          <w:lang w:val="en-GB"/>
        </w:rPr>
        <w:t>low-and-middle income countries</w:t>
      </w:r>
      <w:r w:rsidR="00BE604F" w:rsidRPr="0037330A">
        <w:rPr>
          <w:rFonts w:ascii="Book Antiqua" w:hAnsi="Book Antiqua"/>
          <w:color w:val="000000" w:themeColor="text1"/>
          <w:lang w:val="en-GB"/>
        </w:rPr>
        <w:t xml:space="preserve"> </w:t>
      </w:r>
      <w:r w:rsidR="00BE604F" w:rsidRPr="0037330A">
        <w:rPr>
          <w:rFonts w:ascii="Book Antiqua" w:eastAsiaTheme="minorEastAsia" w:hAnsi="Book Antiqua"/>
          <w:color w:val="000000" w:themeColor="text1"/>
          <w:lang w:val="en-GB" w:eastAsia="zh-CN"/>
        </w:rPr>
        <w:t>(</w:t>
      </w:r>
      <w:r w:rsidR="005B64BF" w:rsidRPr="0037330A">
        <w:rPr>
          <w:rFonts w:ascii="Book Antiqua" w:hAnsi="Book Antiqua"/>
          <w:color w:val="000000" w:themeColor="text1"/>
          <w:lang w:val="en-GB"/>
        </w:rPr>
        <w:t>LMICs</w:t>
      </w:r>
      <w:r w:rsidR="00BE604F" w:rsidRPr="0037330A">
        <w:rPr>
          <w:rFonts w:ascii="Book Antiqua" w:eastAsiaTheme="minorEastAsia" w:hAnsi="Book Antiqua"/>
          <w:color w:val="000000" w:themeColor="text1"/>
          <w:lang w:val="en-GB" w:eastAsia="zh-CN"/>
        </w:rPr>
        <w:t>)</w:t>
      </w:r>
      <w:r w:rsidR="005B64BF" w:rsidRPr="0037330A">
        <w:rPr>
          <w:rFonts w:ascii="Book Antiqua" w:hAnsi="Book Antiqua"/>
          <w:color w:val="000000" w:themeColor="text1"/>
          <w:lang w:val="en-GB"/>
        </w:rPr>
        <w:t>.</w:t>
      </w:r>
      <w:r w:rsidR="00EB7E1E" w:rsidRPr="0037330A">
        <w:rPr>
          <w:rFonts w:ascii="Book Antiqua" w:hAnsi="Book Antiqua"/>
          <w:color w:val="000000" w:themeColor="text1"/>
          <w:lang w:val="en-GB"/>
        </w:rPr>
        <w:t xml:space="preserve"> </w:t>
      </w:r>
      <w:r w:rsidR="00EB7E1E" w:rsidRPr="0037330A">
        <w:rPr>
          <w:rFonts w:ascii="Book Antiqua" w:hAnsi="Book Antiqua"/>
          <w:lang w:val="en-GB"/>
        </w:rPr>
        <w:t>In a study of 15</w:t>
      </w:r>
      <w:r w:rsidR="006D53CA" w:rsidRPr="0037330A">
        <w:rPr>
          <w:rFonts w:ascii="Book Antiqua" w:hAnsi="Book Antiqua"/>
          <w:lang w:val="en-GB"/>
        </w:rPr>
        <w:t xml:space="preserve"> such countries</w:t>
      </w:r>
      <w:r w:rsidR="00EB7E1E" w:rsidRPr="0037330A">
        <w:rPr>
          <w:rFonts w:ascii="Book Antiqua" w:hAnsi="Book Antiqua"/>
          <w:lang w:val="en-GB"/>
        </w:rPr>
        <w:t>, HbA1c testing was not available at all in two countries, was free in one country, and required a co-payment in 12 countries, with 90% of families requiring assistance with the cost</w:t>
      </w:r>
      <w:r w:rsidR="00EB7E1E" w:rsidRPr="0037330A">
        <w:rPr>
          <w:rFonts w:ascii="Book Antiqua" w:hAnsi="Book Antiqua"/>
          <w:lang w:val="en-GB"/>
        </w:rPr>
        <w:fldChar w:fldCharType="begin" w:fldLock="1"/>
      </w:r>
      <w:r w:rsidR="003E1A77" w:rsidRPr="0037330A">
        <w:rPr>
          <w:rFonts w:ascii="Book Antiqua" w:hAnsi="Book Antiqua"/>
          <w:lang w:val="en-GB"/>
        </w:rPr>
        <w:instrText>ADDIN CSL_CITATION {"citationItems":[{"id":"ITEM-1","itemData":{"DOI":"10.1111/dme.12997","ISBN":"0742-3071","ISSN":"14645491","PMID":"20160380045","abstract":"Aims: To assess the direct costs of necessary consumables for minimal care of a child with Type 1 diabetes in countries where the public health system does not regularly provide such care., Methods: Supply costs were collected between January 2013 and February 2015 from questionnaires submitted by centres requesting International Diabetes Federation Life for a Child Program support. All 20 centres in 15 countries agreed to the use of their responses. Annual costs for minimal care were estimated for: 18 x 10 ml 100 IU/ml insulin, 1/3 cost of a blood glucose meter, two blood glucose test strips/day, two syringes/week, and four HbA1c tests/year. Costs were expressed in US dollars, and as % of gross national income (purchasing power parity) per capita., Results: The ranges (median) for the minimum supply costs through the private system were: insulin 10 ml 100 IU/ml equivalent vial: $5.10-$25 ($8.00); blood glucose meter: $15-$121 ($33.33); test strip: $0.15-$1.20 ($0.50); syringe: $0.10-$0.56 ($0.20); and HbA1c: $4.90-$20 ($9.75). Annual costs ranged from $255 (Pakistan) to $1,185 (Burkina Faso), with a median of $553. Annual % gross national income costs were 12-370% (median 56%). For the lowest 20% income earners the annual cost ranged 20-1535% (median 153%). St Lucia and Mongolia were the only countries whose governments consistently provided insulin. No government provided meters and strips, which were the most expensive supplies (62% of total cost)., Conclusions: In less-resourced countries, even minimal care is beyond many families' means. In addition, families face additional costs such as consultations, travel and indirect costs. Action to prevent diabetes-related death and morbidity is needed., (C) 2016 John Wiley &amp; Sons, Ltd","author":[{"dropping-particle":"","family":"Ogle","given":"G. D.","non-dropping-particle":"","parse-names":false,"suffix":""},{"dropping-particle":"","family":"Kim","given":"H.","non-dropping-particle":"","parse-names":false,"suffix":""},{"dropping-particle":"","family":"Middlehurst","given":"A. C.","non-dropping-particle":"","parse-names":false,"suffix":""},{"dropping-particle":"","family":"Silink","given":"M.","non-dropping-particle":"","parse-names":false,"suffix":""},{"dropping-particle":"","family":"Jenkins","given":"A. J.","non-dropping-particle":"","parse-names":false,"suffix":""}],"container-title":"Diabetic Medicine","id":"ITEM-1","issue":"6","issued":{"date-parts":[["2016"]]},"page":"820-826","title":"Financial costs for families of children with Type 1 diabetes in lower-income countries","type":"article-journal","volume":"33"},"uris":["http://www.mendeley.com/documents/?uuid=7698401c-6f7e-4250-986e-19e20e2016e2"]}],"mendeley":{"formattedCitation":"&lt;sup&gt;[17]&lt;/sup&gt;","plainTextFormattedCitation":"[17]","previouslyFormattedCitation":"&lt;sup&gt;[17]&lt;/sup&gt;"},"properties":{"noteIndex":0},"schema":"https://github.com/citation-style-language/schema/raw/master/csl-citation.json"}</w:instrText>
      </w:r>
      <w:r w:rsidR="00EB7E1E" w:rsidRPr="0037330A">
        <w:rPr>
          <w:rFonts w:ascii="Book Antiqua" w:hAnsi="Book Antiqua"/>
          <w:lang w:val="en-GB"/>
        </w:rPr>
        <w:fldChar w:fldCharType="separate"/>
      </w:r>
      <w:r w:rsidR="003E1A77" w:rsidRPr="0037330A">
        <w:rPr>
          <w:rFonts w:ascii="Book Antiqua" w:hAnsi="Book Antiqua"/>
          <w:vertAlign w:val="superscript"/>
          <w:lang w:val="en-GB"/>
        </w:rPr>
        <w:t>[17]</w:t>
      </w:r>
      <w:r w:rsidR="00EB7E1E" w:rsidRPr="0037330A">
        <w:rPr>
          <w:rFonts w:ascii="Book Antiqua" w:hAnsi="Book Antiqua"/>
          <w:lang w:val="en-GB"/>
        </w:rPr>
        <w:fldChar w:fldCharType="end"/>
      </w:r>
      <w:r w:rsidR="00B67D93" w:rsidRPr="0037330A">
        <w:rPr>
          <w:rFonts w:ascii="Book Antiqua" w:hAnsi="Book Antiqua"/>
          <w:lang w:val="en-GB"/>
        </w:rPr>
        <w:t>.</w:t>
      </w:r>
      <w:r w:rsidR="00EB7E1E" w:rsidRPr="0037330A">
        <w:rPr>
          <w:rFonts w:ascii="Book Antiqua" w:hAnsi="Book Antiqua"/>
          <w:lang w:val="en-GB"/>
        </w:rPr>
        <w:t xml:space="preserve"> </w:t>
      </w:r>
      <w:r w:rsidR="00625B4F" w:rsidRPr="0037330A">
        <w:rPr>
          <w:rFonts w:ascii="Book Antiqua" w:hAnsi="Book Antiqua"/>
          <w:lang w:val="en-GB"/>
        </w:rPr>
        <w:t xml:space="preserve">Even in major youth diabetes centres, POCT may not be available: we previously reported provision in 37% of </w:t>
      </w:r>
      <w:r w:rsidR="00344ED1" w:rsidRPr="0037330A">
        <w:rPr>
          <w:rFonts w:ascii="Book Antiqua" w:hAnsi="Book Antiqua"/>
          <w:lang w:val="en-GB"/>
        </w:rPr>
        <w:t>low</w:t>
      </w:r>
      <w:r w:rsidR="00625B4F" w:rsidRPr="0037330A">
        <w:rPr>
          <w:rFonts w:ascii="Book Antiqua" w:hAnsi="Book Antiqua"/>
          <w:lang w:val="en-GB"/>
        </w:rPr>
        <w:t xml:space="preserve">-income countries, and 50% </w:t>
      </w:r>
      <w:r w:rsidR="00120F54" w:rsidRPr="0037330A">
        <w:rPr>
          <w:rFonts w:ascii="Book Antiqua" w:hAnsi="Book Antiqua"/>
          <w:lang w:val="en-GB"/>
        </w:rPr>
        <w:t>of</w:t>
      </w:r>
      <w:r w:rsidR="00625B4F" w:rsidRPr="0037330A">
        <w:rPr>
          <w:rFonts w:ascii="Book Antiqua" w:hAnsi="Book Antiqua"/>
          <w:lang w:val="en-GB"/>
        </w:rPr>
        <w:t xml:space="preserve"> </w:t>
      </w:r>
      <w:r w:rsidR="00344ED1" w:rsidRPr="0037330A">
        <w:rPr>
          <w:rFonts w:ascii="Book Antiqua" w:hAnsi="Book Antiqua"/>
          <w:lang w:val="en-GB"/>
        </w:rPr>
        <w:t>lower</w:t>
      </w:r>
      <w:r w:rsidR="00625B4F" w:rsidRPr="0037330A">
        <w:rPr>
          <w:rFonts w:ascii="Book Antiqua" w:hAnsi="Book Antiqua"/>
          <w:lang w:val="en-GB"/>
        </w:rPr>
        <w:t>-middle income countries</w:t>
      </w:r>
      <w:r w:rsidR="00625B4F" w:rsidRPr="0037330A">
        <w:rPr>
          <w:rFonts w:ascii="Book Antiqua" w:hAnsi="Book Antiqua"/>
          <w:lang w:val="en-GB"/>
        </w:rPr>
        <w:fldChar w:fldCharType="begin" w:fldLock="1"/>
      </w:r>
      <w:r w:rsidR="003E1A77" w:rsidRPr="0037330A">
        <w:rPr>
          <w:rFonts w:ascii="Book Antiqua" w:hAnsi="Book Antiqua"/>
          <w:lang w:val="en-GB"/>
        </w:rPr>
        <w:instrText>ADDIN CSL_CITATION {"citationItems":[{"id":"ITEM-1","itemData":{"DOI":"10.1111/pedi.12296","ISSN":"13995448","PMID":"26153340","abstract":"BACKGROUND AND OBJECTIVES Care for children and youth with diabetes varies markedly around the world. We developed a standardized, reproducible measure that can be used to document and compare critical factors influencing treatment outcomes. METHODS A questionnaire consisting of 36 multiple-choice questions covering major components of care (such as insulin therapy, blood glucose monitoring, etc.) was sent to 75 countries: 43 under-resourced countries where the International Diabetes Federation's Life for a Child Program operates, and 32 others (mainly developed nations). Results for each country were scaled to a score with a range of 0-100. RESULTS Responses were received from 71 countries. Scores varied widely and were highly correlated to per capita gross domestic product (R(2) = 0.72, P &lt; 0.001) and health expenditure (R(2) = 0.77, P &lt; 0.001). For the 37 low- and lower-middle income countries, only two had complete government provision of human insulin and none of blood glucose test strips. Marked differences according to income were also found for access to home refrigeration; usage of insulin pens, multiple daily injections, pumps, glucagon and ketone strips; hemoglobin A1c (HbA1c) testing; and complications screening. CONCLUSIONS The index is a comprehensive, easily administered survey instrument. It demonstrated stark differences in access to numerous components of care necessary in achieving good outcomes for children and youth with diabetes.","author":[{"dropping-particle":"","family":"Ogle","given":"Graham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Diabetes","id":"ITEM-1","issue":"5","issued":{"date-parts":[["2016"]]},"page":"374-384","title":"The IDF Life for a Child Program Index of diabetes care for children and youth","type":"article-journal","volume":"17"},"uris":["http://www.mendeley.com/documents/?uuid=d4e63596-5d31-4ba1-8c3f-992957554eb1"]}],"mendeley":{"formattedCitation":"&lt;sup&gt;[6]&lt;/sup&gt;","plainTextFormattedCitation":"[6]","previouslyFormattedCitation":"&lt;sup&gt;[6]&lt;/sup&gt;"},"properties":{"noteIndex":0},"schema":"https://github.com/citation-style-language/schema/raw/master/csl-citation.json"}</w:instrText>
      </w:r>
      <w:r w:rsidR="00625B4F" w:rsidRPr="0037330A">
        <w:rPr>
          <w:rFonts w:ascii="Book Antiqua" w:hAnsi="Book Antiqua"/>
          <w:lang w:val="en-GB"/>
        </w:rPr>
        <w:fldChar w:fldCharType="separate"/>
      </w:r>
      <w:r w:rsidR="003E1A77" w:rsidRPr="0037330A">
        <w:rPr>
          <w:rFonts w:ascii="Book Antiqua" w:hAnsi="Book Antiqua"/>
          <w:vertAlign w:val="superscript"/>
          <w:lang w:val="en-GB"/>
        </w:rPr>
        <w:t>[6]</w:t>
      </w:r>
      <w:r w:rsidR="00625B4F" w:rsidRPr="0037330A">
        <w:rPr>
          <w:rFonts w:ascii="Book Antiqua" w:hAnsi="Book Antiqua"/>
          <w:lang w:val="en-GB"/>
        </w:rPr>
        <w:fldChar w:fldCharType="end"/>
      </w:r>
      <w:r w:rsidR="009C0A7F" w:rsidRPr="0037330A">
        <w:rPr>
          <w:rFonts w:ascii="Book Antiqua" w:hAnsi="Book Antiqua"/>
          <w:lang w:val="en-GB"/>
        </w:rPr>
        <w:t>.</w:t>
      </w:r>
      <w:r w:rsidR="00625B4F" w:rsidRPr="0037330A">
        <w:rPr>
          <w:rFonts w:ascii="Book Antiqua" w:hAnsi="Book Antiqua"/>
          <w:lang w:val="en-GB"/>
        </w:rPr>
        <w:t xml:space="preserve"> </w:t>
      </w:r>
    </w:p>
    <w:p w14:paraId="538003F5" w14:textId="2B5919CF" w:rsidR="000F72EF" w:rsidRPr="0037330A" w:rsidRDefault="00D04697" w:rsidP="00146B63">
      <w:pPr>
        <w:snapToGrid w:val="0"/>
        <w:spacing w:line="360" w:lineRule="auto"/>
        <w:ind w:firstLineChars="100" w:firstLine="240"/>
        <w:jc w:val="both"/>
        <w:rPr>
          <w:rFonts w:ascii="Book Antiqua" w:hAnsi="Book Antiqua"/>
          <w:bCs/>
          <w:color w:val="000000" w:themeColor="text1"/>
          <w:lang w:val="en-GB"/>
        </w:rPr>
      </w:pPr>
      <w:r w:rsidRPr="0037330A">
        <w:rPr>
          <w:rFonts w:ascii="Book Antiqua" w:hAnsi="Book Antiqua"/>
          <w:bCs/>
          <w:color w:val="000000" w:themeColor="text1"/>
          <w:lang w:val="en-GB"/>
        </w:rPr>
        <w:t>To address th</w:t>
      </w:r>
      <w:r w:rsidR="00625B4F" w:rsidRPr="0037330A">
        <w:rPr>
          <w:rFonts w:ascii="Book Antiqua" w:hAnsi="Book Antiqua"/>
          <w:bCs/>
          <w:color w:val="000000" w:themeColor="text1"/>
          <w:lang w:val="en-GB"/>
        </w:rPr>
        <w:t xml:space="preserve">ese gaps in knowledge about insulin delivery devices and HbA1c testing, </w:t>
      </w:r>
      <w:r w:rsidRPr="0037330A">
        <w:rPr>
          <w:rFonts w:ascii="Book Antiqua" w:hAnsi="Book Antiqua"/>
          <w:bCs/>
          <w:color w:val="000000" w:themeColor="text1"/>
          <w:lang w:val="en-GB"/>
        </w:rPr>
        <w:t>the Life for a Child Program (LFAC)</w:t>
      </w:r>
      <w:r w:rsidR="00E32508" w:rsidRPr="0037330A">
        <w:rPr>
          <w:rFonts w:ascii="Book Antiqua" w:hAnsi="Book Antiqua"/>
          <w:bCs/>
          <w:color w:val="000000" w:themeColor="text1"/>
          <w:lang w:val="en-GB"/>
        </w:rPr>
        <w:fldChar w:fldCharType="begin" w:fldLock="1"/>
      </w:r>
      <w:r w:rsidR="00867459" w:rsidRPr="0037330A">
        <w:rPr>
          <w:rFonts w:ascii="Book Antiqua" w:hAnsi="Book Antiqua"/>
          <w:bCs/>
          <w:color w:val="000000" w:themeColor="text1"/>
          <w:lang w:val="en-GB"/>
        </w:rPr>
        <w:instrText>ADDIN CSL_CITATION {"citationItems":[{"id":"ITEM-1","itemData":{"URL":"https://lfacinternational.org","accessed":{"date-parts":[["2020","1","20"]]},"id":"ITEM-1","issued":{"date-parts":[["0"]]},"title":"Life for a Child","type":"webpage"},"uris":["http://www.mendeley.com/documents/?uuid=a784119b-457c-4393-b127-6c34cf95d791"]}],"mendeley":{"formattedCitation":"&lt;sup&gt;[18]&lt;/sup&gt;","plainTextFormattedCitation":"[18]","previouslyFormattedCitation":"&lt;sup&gt;[18]&lt;/sup&gt;"},"properties":{"noteIndex":0},"schema":"https://github.com/citation-style-language/schema/raw/master/csl-citation.json"}</w:instrText>
      </w:r>
      <w:r w:rsidR="00E32508" w:rsidRPr="0037330A">
        <w:rPr>
          <w:rFonts w:ascii="Book Antiqua" w:hAnsi="Book Antiqua"/>
          <w:bCs/>
          <w:color w:val="000000" w:themeColor="text1"/>
          <w:lang w:val="en-GB"/>
        </w:rPr>
        <w:fldChar w:fldCharType="separate"/>
      </w:r>
      <w:r w:rsidR="003E1A77" w:rsidRPr="0037330A">
        <w:rPr>
          <w:rFonts w:ascii="Book Antiqua" w:hAnsi="Book Antiqua"/>
          <w:bCs/>
          <w:color w:val="000000" w:themeColor="text1"/>
          <w:vertAlign w:val="superscript"/>
          <w:lang w:val="en-GB"/>
        </w:rPr>
        <w:t>[18]</w:t>
      </w:r>
      <w:r w:rsidR="00E32508" w:rsidRPr="0037330A">
        <w:rPr>
          <w:rFonts w:ascii="Book Antiqua" w:hAnsi="Book Antiqua"/>
          <w:bCs/>
          <w:color w:val="000000" w:themeColor="text1"/>
          <w:lang w:val="en-GB"/>
        </w:rPr>
        <w:fldChar w:fldCharType="end"/>
      </w:r>
      <w:r w:rsidRPr="0037330A">
        <w:rPr>
          <w:rFonts w:ascii="Book Antiqua" w:hAnsi="Book Antiqua"/>
          <w:bCs/>
          <w:color w:val="000000" w:themeColor="text1"/>
          <w:lang w:val="en-GB"/>
        </w:rPr>
        <w:t xml:space="preserve"> undertook a survey of LFAC-supported health centres in 37 countries to </w:t>
      </w:r>
      <w:r w:rsidRPr="0037330A">
        <w:rPr>
          <w:rFonts w:ascii="Book Antiqua" w:hAnsi="Book Antiqua"/>
          <w:color w:val="000000" w:themeColor="text1"/>
          <w:lang w:val="en-GB"/>
        </w:rPr>
        <w:t>assess current global access to these components of T1D care.</w:t>
      </w:r>
    </w:p>
    <w:p w14:paraId="2C747BF6" w14:textId="3EF18B76" w:rsidR="00D04697" w:rsidRPr="0037330A" w:rsidRDefault="00D04697" w:rsidP="00146B63">
      <w:pPr>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lastRenderedPageBreak/>
        <w:t xml:space="preserve"> </w:t>
      </w:r>
    </w:p>
    <w:p w14:paraId="63B743CB" w14:textId="77777777" w:rsidR="00ED2D8F" w:rsidRPr="0037330A" w:rsidRDefault="00ED2D8F" w:rsidP="00146B63">
      <w:pPr>
        <w:adjustRightInd w:val="0"/>
        <w:snapToGrid w:val="0"/>
        <w:spacing w:line="360" w:lineRule="auto"/>
        <w:jc w:val="both"/>
        <w:rPr>
          <w:rFonts w:ascii="Book Antiqua" w:hAnsi="Book Antiqua"/>
          <w:b/>
          <w:bCs/>
          <w:color w:val="000000"/>
          <w:u w:val="single"/>
        </w:rPr>
      </w:pPr>
      <w:r w:rsidRPr="0037330A">
        <w:rPr>
          <w:rFonts w:ascii="Book Antiqua" w:hAnsi="Book Antiqua"/>
          <w:b/>
          <w:bCs/>
          <w:color w:val="000000"/>
          <w:u w:val="single"/>
        </w:rPr>
        <w:t>MATERIALS AND METHODS</w:t>
      </w:r>
    </w:p>
    <w:p w14:paraId="748ECDAA" w14:textId="1479AC45" w:rsidR="00D5599D" w:rsidRPr="0037330A" w:rsidRDefault="00ED2D8F" w:rsidP="00146B63">
      <w:pPr>
        <w:tabs>
          <w:tab w:val="left" w:pos="990"/>
        </w:tabs>
        <w:snapToGrid w:val="0"/>
        <w:spacing w:line="360" w:lineRule="auto"/>
        <w:jc w:val="both"/>
        <w:rPr>
          <w:rFonts w:ascii="Book Antiqua" w:hAnsi="Book Antiqua"/>
          <w:b/>
          <w:i/>
          <w:lang w:val="en-GB"/>
        </w:rPr>
      </w:pPr>
      <w:r w:rsidRPr="0037330A">
        <w:rPr>
          <w:rFonts w:ascii="Book Antiqua" w:hAnsi="Book Antiqua"/>
          <w:b/>
          <w:i/>
          <w:lang w:val="en-GB"/>
        </w:rPr>
        <w:t>Survey</w:t>
      </w:r>
    </w:p>
    <w:p w14:paraId="7D4DBA0F" w14:textId="50991C92" w:rsidR="00537F9F" w:rsidRPr="0037330A" w:rsidRDefault="006151F3" w:rsidP="00146B63">
      <w:pPr>
        <w:snapToGrid w:val="0"/>
        <w:spacing w:line="360" w:lineRule="auto"/>
        <w:jc w:val="both"/>
        <w:rPr>
          <w:rFonts w:ascii="Book Antiqua" w:hAnsi="Book Antiqua"/>
          <w:bCs/>
          <w:lang w:val="en-GB"/>
        </w:rPr>
      </w:pPr>
      <w:r w:rsidRPr="0037330A">
        <w:rPr>
          <w:rFonts w:ascii="Book Antiqua" w:hAnsi="Book Antiqua"/>
          <w:bCs/>
          <w:lang w:val="en-GB"/>
        </w:rPr>
        <w:t>Th</w:t>
      </w:r>
      <w:r w:rsidR="00E51DFB" w:rsidRPr="0037330A">
        <w:rPr>
          <w:rFonts w:ascii="Book Antiqua" w:hAnsi="Book Antiqua"/>
          <w:bCs/>
          <w:lang w:val="en-GB"/>
        </w:rPr>
        <w:t>is</w:t>
      </w:r>
      <w:r w:rsidRPr="0037330A">
        <w:rPr>
          <w:rFonts w:ascii="Book Antiqua" w:hAnsi="Book Antiqua"/>
          <w:bCs/>
          <w:lang w:val="en-GB"/>
        </w:rPr>
        <w:t xml:space="preserve"> study was </w:t>
      </w:r>
      <w:r w:rsidR="00404AA8" w:rsidRPr="0037330A">
        <w:rPr>
          <w:rFonts w:ascii="Book Antiqua" w:hAnsi="Book Antiqua"/>
          <w:bCs/>
          <w:lang w:val="en-GB"/>
        </w:rPr>
        <w:t xml:space="preserve">done </w:t>
      </w:r>
      <w:r w:rsidR="00404AA8" w:rsidRPr="0037330A">
        <w:rPr>
          <w:rFonts w:ascii="Book Antiqua" w:hAnsi="Book Antiqua"/>
          <w:bCs/>
          <w:i/>
          <w:lang w:val="en-GB"/>
        </w:rPr>
        <w:t>via</w:t>
      </w:r>
      <w:r w:rsidR="00D5599D" w:rsidRPr="0037330A">
        <w:rPr>
          <w:rFonts w:ascii="Book Antiqua" w:hAnsi="Book Antiqua"/>
          <w:bCs/>
          <w:lang w:val="en-GB"/>
        </w:rPr>
        <w:t xml:space="preserve"> </w:t>
      </w:r>
      <w:r w:rsidR="00404AA8" w:rsidRPr="0037330A">
        <w:rPr>
          <w:rFonts w:ascii="Book Antiqua" w:hAnsi="Book Antiqua"/>
          <w:bCs/>
          <w:lang w:val="en-GB"/>
        </w:rPr>
        <w:t>means</w:t>
      </w:r>
      <w:r w:rsidR="00F06E03" w:rsidRPr="0037330A">
        <w:rPr>
          <w:rFonts w:ascii="Book Antiqua" w:hAnsi="Book Antiqua"/>
          <w:bCs/>
          <w:lang w:val="en-GB"/>
        </w:rPr>
        <w:t xml:space="preserve"> of a survey</w:t>
      </w:r>
      <w:r w:rsidR="001A1F02" w:rsidRPr="0037330A">
        <w:rPr>
          <w:rFonts w:ascii="Book Antiqua" w:hAnsi="Book Antiqua"/>
          <w:bCs/>
          <w:lang w:val="en-GB"/>
        </w:rPr>
        <w:t xml:space="preserve">. </w:t>
      </w:r>
      <w:r w:rsidR="00F06E03" w:rsidRPr="0037330A">
        <w:rPr>
          <w:rFonts w:ascii="Book Antiqua" w:hAnsi="Book Antiqua"/>
          <w:bCs/>
          <w:lang w:val="en-GB"/>
        </w:rPr>
        <w:t xml:space="preserve">Survey questions covered provision, cost, and availability of HbA1c testing and insulin injection devices within. </w:t>
      </w:r>
      <w:r w:rsidR="006F10BC" w:rsidRPr="0037330A">
        <w:rPr>
          <w:rFonts w:ascii="Book Antiqua" w:hAnsi="Book Antiqua"/>
          <w:bCs/>
          <w:lang w:val="en-GB"/>
        </w:rPr>
        <w:t>Availability of HbA1c testing and syringes/pens in national health systems was estimated by the centre respondent on a scale of 100% being always available, 75% mostly available, 50% sometimes available, 25% rarely available, and 0% never available.</w:t>
      </w:r>
      <w:r w:rsidR="003861F6" w:rsidRPr="0037330A">
        <w:rPr>
          <w:rFonts w:ascii="Book Antiqua" w:hAnsi="Book Antiqua"/>
          <w:bCs/>
          <w:lang w:val="en-GB"/>
        </w:rPr>
        <w:t xml:space="preserve"> </w:t>
      </w:r>
      <w:r w:rsidR="00537F9F" w:rsidRPr="0037330A">
        <w:rPr>
          <w:rFonts w:ascii="Book Antiqua" w:hAnsi="Book Antiqua"/>
          <w:bCs/>
          <w:lang w:val="en-GB"/>
        </w:rPr>
        <w:t>The draft was finalised after peer review to four global T1D experts. Translations into French and Spanish were done by bi</w:t>
      </w:r>
      <w:r w:rsidR="00ED2D8F" w:rsidRPr="0037330A">
        <w:rPr>
          <w:rFonts w:ascii="Book Antiqua" w:hAnsi="Book Antiqua"/>
          <w:bCs/>
          <w:lang w:val="en-GB"/>
        </w:rPr>
        <w:t>lingual</w:t>
      </w:r>
      <w:r w:rsidR="00ED2D8F" w:rsidRPr="0037330A">
        <w:rPr>
          <w:rFonts w:ascii="Book Antiqua" w:eastAsiaTheme="minorEastAsia" w:hAnsi="Book Antiqua"/>
          <w:bCs/>
          <w:lang w:val="en-GB" w:eastAsia="zh-CN"/>
        </w:rPr>
        <w:t xml:space="preserve"> </w:t>
      </w:r>
      <w:r w:rsidR="00537F9F" w:rsidRPr="0037330A">
        <w:rPr>
          <w:rFonts w:ascii="Book Antiqua" w:hAnsi="Book Antiqua"/>
          <w:bCs/>
          <w:lang w:val="en-GB"/>
        </w:rPr>
        <w:t>diabetes experts</w:t>
      </w:r>
      <w:r w:rsidR="006F10BC"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8D2AD5" w:rsidRPr="0037330A">
        <w:rPr>
          <w:rFonts w:ascii="Book Antiqua" w:hAnsi="Book Antiqua"/>
          <w:bCs/>
          <w:lang w:val="en-GB"/>
        </w:rPr>
        <w:t xml:space="preserve">The full survey is in Appendix A in the Supplementary </w:t>
      </w:r>
      <w:r w:rsidR="00984E37" w:rsidRPr="0037330A">
        <w:rPr>
          <w:rFonts w:ascii="Book Antiqua" w:hAnsi="Book Antiqua"/>
          <w:bCs/>
          <w:lang w:val="en-GB"/>
        </w:rPr>
        <w:t>materials</w:t>
      </w:r>
      <w:r w:rsidR="008D2AD5" w:rsidRPr="0037330A">
        <w:rPr>
          <w:rFonts w:ascii="Book Antiqua" w:hAnsi="Book Antiqua"/>
          <w:bCs/>
          <w:lang w:val="en-GB"/>
        </w:rPr>
        <w:t>.</w:t>
      </w:r>
    </w:p>
    <w:p w14:paraId="030B2363" w14:textId="77777777" w:rsidR="00ED2D8F" w:rsidRPr="0037330A" w:rsidRDefault="00ED2D8F" w:rsidP="00146B63">
      <w:pPr>
        <w:tabs>
          <w:tab w:val="left" w:pos="990"/>
        </w:tabs>
        <w:snapToGrid w:val="0"/>
        <w:spacing w:line="360" w:lineRule="auto"/>
        <w:jc w:val="both"/>
        <w:rPr>
          <w:rFonts w:ascii="Book Antiqua" w:eastAsiaTheme="minorEastAsia" w:hAnsi="Book Antiqua"/>
          <w:b/>
          <w:lang w:val="en-GB" w:eastAsia="zh-CN"/>
        </w:rPr>
      </w:pPr>
    </w:p>
    <w:p w14:paraId="53FFD147" w14:textId="6E729538" w:rsidR="00EC4D67" w:rsidRPr="0037330A" w:rsidRDefault="00ED2D8F" w:rsidP="00146B63">
      <w:pPr>
        <w:tabs>
          <w:tab w:val="left" w:pos="990"/>
        </w:tabs>
        <w:snapToGrid w:val="0"/>
        <w:spacing w:line="360" w:lineRule="auto"/>
        <w:jc w:val="both"/>
        <w:rPr>
          <w:rFonts w:ascii="Book Antiqua" w:hAnsi="Book Antiqua"/>
          <w:b/>
          <w:i/>
          <w:lang w:val="en-GB"/>
        </w:rPr>
      </w:pPr>
      <w:r w:rsidRPr="0037330A">
        <w:rPr>
          <w:rFonts w:ascii="Book Antiqua" w:hAnsi="Book Antiqua"/>
          <w:b/>
          <w:i/>
          <w:lang w:val="en-GB"/>
        </w:rPr>
        <w:t xml:space="preserve">Survey respondents </w:t>
      </w:r>
    </w:p>
    <w:p w14:paraId="732BABCE" w14:textId="5A1A3EA7" w:rsidR="00A312F4" w:rsidRPr="0037330A" w:rsidRDefault="006F10BC"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lang w:val="en-GB"/>
        </w:rPr>
        <w:t>The survey was sent to the senior lead in the</w:t>
      </w:r>
      <w:r w:rsidR="00E51DFB" w:rsidRPr="0037330A">
        <w:rPr>
          <w:rFonts w:ascii="Book Antiqua" w:hAnsi="Book Antiqua"/>
          <w:bCs/>
          <w:lang w:val="en-GB"/>
        </w:rPr>
        <w:t xml:space="preserve"> </w:t>
      </w:r>
      <w:r w:rsidR="009300BD" w:rsidRPr="0037330A">
        <w:rPr>
          <w:rFonts w:ascii="Book Antiqua" w:hAnsi="Book Antiqua"/>
          <w:bCs/>
          <w:lang w:val="en-GB"/>
        </w:rPr>
        <w:t xml:space="preserve">main </w:t>
      </w:r>
      <w:r w:rsidR="00D5599D" w:rsidRPr="0037330A">
        <w:rPr>
          <w:rFonts w:ascii="Book Antiqua" w:hAnsi="Book Antiqua"/>
          <w:bCs/>
          <w:lang w:val="en-GB"/>
        </w:rPr>
        <w:t xml:space="preserve">diabetes centres supported by the </w:t>
      </w:r>
      <w:r w:rsidR="00344ED1" w:rsidRPr="0037330A">
        <w:rPr>
          <w:rFonts w:ascii="Book Antiqua" w:hAnsi="Book Antiqua"/>
          <w:bCs/>
          <w:lang w:val="en-GB"/>
        </w:rPr>
        <w:t>LFAC</w:t>
      </w:r>
      <w:r w:rsidR="00D5599D" w:rsidRPr="0037330A">
        <w:rPr>
          <w:rFonts w:ascii="Book Antiqua" w:hAnsi="Book Antiqua"/>
          <w:bCs/>
          <w:lang w:val="en-GB"/>
        </w:rPr>
        <w:t xml:space="preserve"> </w:t>
      </w:r>
      <w:r w:rsidR="00FB633C" w:rsidRPr="0037330A">
        <w:rPr>
          <w:rFonts w:ascii="Book Antiqua" w:hAnsi="Book Antiqua"/>
          <w:bCs/>
          <w:color w:val="000000" w:themeColor="text1"/>
          <w:lang w:val="en-GB"/>
        </w:rPr>
        <w:t xml:space="preserve">in </w:t>
      </w:r>
      <w:r w:rsidR="007F32A9" w:rsidRPr="0037330A">
        <w:rPr>
          <w:rFonts w:ascii="Book Antiqua" w:hAnsi="Book Antiqua"/>
          <w:bCs/>
          <w:color w:val="000000" w:themeColor="text1"/>
          <w:lang w:val="en-GB"/>
        </w:rPr>
        <w:t>4</w:t>
      </w:r>
      <w:r w:rsidRPr="0037330A">
        <w:rPr>
          <w:rFonts w:ascii="Book Antiqua" w:hAnsi="Book Antiqua"/>
          <w:bCs/>
          <w:color w:val="000000" w:themeColor="text1"/>
          <w:lang w:val="en-GB"/>
        </w:rPr>
        <w:t>1</w:t>
      </w:r>
      <w:r w:rsidR="00FB633C" w:rsidRPr="0037330A">
        <w:rPr>
          <w:rFonts w:ascii="Book Antiqua" w:hAnsi="Book Antiqua"/>
          <w:bCs/>
          <w:color w:val="000000" w:themeColor="text1"/>
          <w:lang w:val="en-GB"/>
        </w:rPr>
        <w:t xml:space="preserve"> countries</w:t>
      </w:r>
      <w:r w:rsidR="00D5599D" w:rsidRPr="0037330A">
        <w:rPr>
          <w:rFonts w:ascii="Book Antiqua" w:hAnsi="Book Antiqua"/>
          <w:bCs/>
          <w:lang w:val="en-GB"/>
        </w:rPr>
        <w:t xml:space="preserve">. </w:t>
      </w:r>
      <w:r w:rsidR="00CF6C30" w:rsidRPr="0037330A">
        <w:rPr>
          <w:rFonts w:ascii="Book Antiqua" w:hAnsi="Book Antiqua"/>
          <w:bCs/>
          <w:lang w:val="en-GB"/>
        </w:rPr>
        <w:t>Four centres in four different countries did not return the questionnaire.</w:t>
      </w:r>
      <w:r w:rsidR="009300BD" w:rsidRPr="0037330A">
        <w:rPr>
          <w:rFonts w:ascii="Book Antiqua" w:hAnsi="Book Antiqua"/>
          <w:bCs/>
          <w:lang w:val="en-GB"/>
        </w:rPr>
        <w:t xml:space="preserve"> </w:t>
      </w:r>
    </w:p>
    <w:p w14:paraId="1459CBCA" w14:textId="23153440" w:rsidR="007F32A9" w:rsidRPr="0037330A" w:rsidRDefault="006F10BC"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37330A">
        <w:rPr>
          <w:rFonts w:ascii="Book Antiqua" w:hAnsi="Book Antiqua"/>
          <w:bCs/>
          <w:lang w:val="en-GB"/>
        </w:rPr>
        <w:t xml:space="preserve">Responses were received from 37 countries: </w:t>
      </w:r>
      <w:r w:rsidR="007F32A9" w:rsidRPr="0037330A">
        <w:rPr>
          <w:rFonts w:ascii="Book Antiqua" w:hAnsi="Book Antiqua"/>
          <w:bCs/>
          <w:lang w:val="en-GB"/>
        </w:rPr>
        <w:t xml:space="preserve">Azerbaijan, Bangladesh, Bolivia, Burkina Faso, Burundi, Central African Republic, Democratic Republic of Congo, Dominican Republic, Ecuador, Eritrea, Ethiopia, Ghana, Guatemala, Guyana, Haiti, </w:t>
      </w:r>
      <w:r w:rsidR="007F32A9" w:rsidRPr="0037330A">
        <w:rPr>
          <w:rFonts w:ascii="Book Antiqua" w:hAnsi="Book Antiqua"/>
          <w:bCs/>
          <w:color w:val="000000" w:themeColor="text1"/>
          <w:lang w:val="en-GB"/>
        </w:rPr>
        <w:t>India, Jamaica</w:t>
      </w:r>
      <w:r w:rsidR="007F32A9" w:rsidRPr="0037330A">
        <w:rPr>
          <w:rFonts w:ascii="Book Antiqua" w:hAnsi="Book Antiqua"/>
          <w:bCs/>
          <w:lang w:val="en-GB"/>
        </w:rPr>
        <w:t>, Liberia, Maldives, Mali, Mauritania, Mexico, Nepal, Nigeria,</w:t>
      </w:r>
      <w:r w:rsidR="00CF6C30" w:rsidRPr="0037330A">
        <w:rPr>
          <w:rFonts w:ascii="Book Antiqua" w:hAnsi="Book Antiqua"/>
          <w:bCs/>
          <w:lang w:val="en-GB"/>
        </w:rPr>
        <w:t xml:space="preserve"> North Korea,</w:t>
      </w:r>
      <w:r w:rsidR="007F32A9" w:rsidRPr="0037330A">
        <w:rPr>
          <w:rFonts w:ascii="Book Antiqua" w:hAnsi="Book Antiqua"/>
          <w:bCs/>
          <w:lang w:val="en-GB"/>
        </w:rPr>
        <w:t xml:space="preserve"> Pakistan, Philippines, </w:t>
      </w:r>
      <w:r w:rsidR="007F32A9" w:rsidRPr="0037330A">
        <w:rPr>
          <w:rFonts w:ascii="Book Antiqua" w:hAnsi="Book Antiqua"/>
          <w:bCs/>
          <w:color w:val="000000" w:themeColor="text1"/>
          <w:lang w:val="en-GB"/>
        </w:rPr>
        <w:t>Republic of Congo,</w:t>
      </w:r>
      <w:r w:rsidR="007F32A9" w:rsidRPr="0037330A">
        <w:rPr>
          <w:rFonts w:ascii="Book Antiqua" w:hAnsi="Book Antiqua"/>
          <w:bCs/>
          <w:color w:val="FF0000"/>
          <w:lang w:val="en-GB"/>
        </w:rPr>
        <w:t xml:space="preserve"> </w:t>
      </w:r>
      <w:r w:rsidR="007F32A9" w:rsidRPr="0037330A">
        <w:rPr>
          <w:rFonts w:ascii="Book Antiqua" w:hAnsi="Book Antiqua"/>
          <w:bCs/>
          <w:lang w:val="en-GB"/>
        </w:rPr>
        <w:t xml:space="preserve">Rwanda, Sri Lanka, </w:t>
      </w:r>
      <w:r w:rsidR="00B939CB" w:rsidRPr="0037330A">
        <w:rPr>
          <w:rFonts w:ascii="Book Antiqua" w:hAnsi="Book Antiqua"/>
          <w:bCs/>
          <w:lang w:val="en-GB"/>
        </w:rPr>
        <w:t xml:space="preserve">St Lucia, </w:t>
      </w:r>
      <w:r w:rsidR="007F32A9" w:rsidRPr="0037330A">
        <w:rPr>
          <w:rFonts w:ascii="Book Antiqua" w:hAnsi="Book Antiqua"/>
          <w:bCs/>
          <w:lang w:val="en-GB"/>
        </w:rPr>
        <w:t xml:space="preserve">Tajikistan, Tanzania, </w:t>
      </w:r>
      <w:r w:rsidR="007F32A9" w:rsidRPr="0037330A">
        <w:rPr>
          <w:rFonts w:ascii="Book Antiqua" w:hAnsi="Book Antiqua"/>
          <w:bCs/>
          <w:color w:val="000000" w:themeColor="text1"/>
          <w:lang w:val="en-GB"/>
        </w:rPr>
        <w:t xml:space="preserve">Togo, Uganda, </w:t>
      </w:r>
      <w:r w:rsidR="007F32A9" w:rsidRPr="0037330A">
        <w:rPr>
          <w:rFonts w:ascii="Book Antiqua" w:hAnsi="Book Antiqua"/>
          <w:bCs/>
          <w:lang w:val="en-GB"/>
        </w:rPr>
        <w:t>Uzbekistan, and Vietnam. The geographic distribution of respondent countries was Africa (1</w:t>
      </w:r>
      <w:r w:rsidR="007A4D74" w:rsidRPr="0037330A">
        <w:rPr>
          <w:rFonts w:ascii="Book Antiqua" w:hAnsi="Book Antiqua"/>
          <w:bCs/>
          <w:lang w:val="en-GB"/>
        </w:rPr>
        <w:t>6</w:t>
      </w:r>
      <w:r w:rsidR="007F32A9" w:rsidRPr="0037330A">
        <w:rPr>
          <w:rFonts w:ascii="Book Antiqua" w:hAnsi="Book Antiqua"/>
          <w:bCs/>
          <w:lang w:val="en-GB"/>
        </w:rPr>
        <w:t xml:space="preserve"> countries), Americas (</w:t>
      </w:r>
      <w:r w:rsidR="007262C0" w:rsidRPr="0037330A">
        <w:rPr>
          <w:rFonts w:ascii="Book Antiqua" w:hAnsi="Book Antiqua"/>
          <w:bCs/>
          <w:lang w:val="en-GB"/>
        </w:rPr>
        <w:t>nine</w:t>
      </w:r>
      <w:r w:rsidR="007F32A9" w:rsidRPr="0037330A">
        <w:rPr>
          <w:rFonts w:ascii="Book Antiqua" w:hAnsi="Book Antiqua"/>
          <w:bCs/>
          <w:lang w:val="en-GB"/>
        </w:rPr>
        <w:t>), Asia (</w:t>
      </w:r>
      <w:r w:rsidR="007A4D74" w:rsidRPr="0037330A">
        <w:rPr>
          <w:rFonts w:ascii="Book Antiqua" w:hAnsi="Book Antiqua"/>
          <w:bCs/>
          <w:lang w:val="en-GB"/>
        </w:rPr>
        <w:t>eight</w:t>
      </w:r>
      <w:r w:rsidR="007F32A9" w:rsidRPr="0037330A">
        <w:rPr>
          <w:rFonts w:ascii="Book Antiqua" w:hAnsi="Book Antiqua"/>
          <w:bCs/>
          <w:lang w:val="en-GB"/>
        </w:rPr>
        <w:t xml:space="preserve">), Caucasus/Central Asia (3) and Western Pacific (1) with 44.4% being </w:t>
      </w:r>
      <w:r w:rsidR="00ED2D8F" w:rsidRPr="0037330A">
        <w:rPr>
          <w:rFonts w:ascii="Book Antiqua" w:hAnsi="Book Antiqua"/>
          <w:bCs/>
          <w:lang w:val="en-GB"/>
        </w:rPr>
        <w:t>low</w:t>
      </w:r>
      <w:r w:rsidR="007F32A9" w:rsidRPr="0037330A">
        <w:rPr>
          <w:rFonts w:ascii="Book Antiqua" w:hAnsi="Book Antiqua"/>
          <w:bCs/>
          <w:lang w:val="en-GB"/>
        </w:rPr>
        <w:t xml:space="preserve">-income countries, 33.3% </w:t>
      </w:r>
      <w:r w:rsidR="00ED2D8F" w:rsidRPr="0037330A">
        <w:rPr>
          <w:rFonts w:ascii="Book Antiqua" w:hAnsi="Book Antiqua"/>
          <w:bCs/>
          <w:lang w:val="en-GB"/>
        </w:rPr>
        <w:t>lower</w:t>
      </w:r>
      <w:r w:rsidR="007F32A9" w:rsidRPr="0037330A">
        <w:rPr>
          <w:rFonts w:ascii="Book Antiqua" w:hAnsi="Book Antiqua"/>
          <w:bCs/>
          <w:lang w:val="en-GB"/>
        </w:rPr>
        <w:t xml:space="preserve">-middle, and 22.2% </w:t>
      </w:r>
      <w:r w:rsidR="00ED2D8F" w:rsidRPr="0037330A">
        <w:rPr>
          <w:rFonts w:ascii="Book Antiqua" w:hAnsi="Book Antiqua"/>
          <w:bCs/>
          <w:lang w:val="en-GB"/>
        </w:rPr>
        <w:t>upper</w:t>
      </w:r>
      <w:r w:rsidR="007F32A9" w:rsidRPr="0037330A">
        <w:rPr>
          <w:rFonts w:ascii="Book Antiqua" w:hAnsi="Book Antiqua"/>
          <w:bCs/>
          <w:lang w:val="en-GB"/>
        </w:rPr>
        <w:t xml:space="preserve">-middle. </w:t>
      </w:r>
      <w:r w:rsidRPr="0037330A">
        <w:rPr>
          <w:rFonts w:ascii="Book Antiqua" w:hAnsi="Book Antiqua"/>
          <w:bCs/>
          <w:lang w:val="en-GB"/>
        </w:rPr>
        <w:t xml:space="preserve">Four centres in four different countries did not return the questionnaire. </w:t>
      </w:r>
    </w:p>
    <w:p w14:paraId="48F9D9AD" w14:textId="40334826" w:rsidR="000F72EF" w:rsidRPr="0037330A" w:rsidRDefault="00CD4E34" w:rsidP="00146B63">
      <w:pPr>
        <w:tabs>
          <w:tab w:val="left" w:pos="0"/>
        </w:tabs>
        <w:snapToGrid w:val="0"/>
        <w:spacing w:line="360" w:lineRule="auto"/>
        <w:ind w:firstLineChars="100" w:firstLine="240"/>
        <w:jc w:val="both"/>
        <w:rPr>
          <w:rFonts w:ascii="Book Antiqua" w:hAnsi="Book Antiqua"/>
          <w:bCs/>
          <w:lang w:val="en-GB"/>
        </w:rPr>
      </w:pPr>
      <w:r w:rsidRPr="0037330A">
        <w:rPr>
          <w:rFonts w:ascii="Book Antiqua" w:hAnsi="Book Antiqua"/>
          <w:bCs/>
          <w:lang w:val="en-GB"/>
        </w:rPr>
        <w:t>The types of respondents were as follows: 20 national diabetes association chiefs, five diabetes nongovernmental organisations doing extensive work in</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lastRenderedPageBreak/>
        <w:t xml:space="preserve">diabetes care, seven government hospitals, two senior endocrinologists, two Ministry of Health officials, and one mission hospital. </w:t>
      </w:r>
    </w:p>
    <w:p w14:paraId="1193374E" w14:textId="0B06A8A0" w:rsidR="00F06E03" w:rsidRPr="0037330A" w:rsidRDefault="008120DC" w:rsidP="00146B63">
      <w:pPr>
        <w:snapToGrid w:val="0"/>
        <w:spacing w:line="360" w:lineRule="auto"/>
        <w:ind w:firstLineChars="100" w:firstLine="240"/>
        <w:jc w:val="both"/>
        <w:rPr>
          <w:rFonts w:ascii="Book Antiqua" w:hAnsi="Book Antiqua"/>
          <w:b/>
          <w:u w:val="single"/>
          <w:lang w:val="en-GB"/>
        </w:rPr>
      </w:pPr>
      <w:r w:rsidRPr="0037330A">
        <w:rPr>
          <w:rFonts w:ascii="Book Antiqua" w:hAnsi="Book Antiqua"/>
          <w:bCs/>
          <w:lang w:val="en-GB"/>
        </w:rPr>
        <w:t xml:space="preserve">Costs were obtained in local currency and then converted to </w:t>
      </w:r>
      <w:r w:rsidR="00ED2D8F" w:rsidRPr="0037330A">
        <w:rPr>
          <w:rFonts w:ascii="Book Antiqua" w:hAnsi="Book Antiqua"/>
          <w:bCs/>
          <w:lang w:val="en-GB"/>
        </w:rPr>
        <w:t>dollar</w:t>
      </w:r>
      <w:r w:rsidRPr="0037330A">
        <w:rPr>
          <w:rFonts w:ascii="Book Antiqua" w:hAnsi="Book Antiqua"/>
          <w:bCs/>
          <w:lang w:val="en-GB"/>
        </w:rPr>
        <w:t xml:space="preserve"> at the time. </w:t>
      </w:r>
      <w:r w:rsidR="008D2EE6" w:rsidRPr="0037330A">
        <w:rPr>
          <w:rFonts w:ascii="Book Antiqua" w:hAnsi="Book Antiqua"/>
          <w:bCs/>
          <w:lang w:val="en-GB"/>
        </w:rPr>
        <w:t>When prices and frequencies of HbA1</w:t>
      </w:r>
      <w:r w:rsidR="007D31FB" w:rsidRPr="0037330A">
        <w:rPr>
          <w:rFonts w:ascii="Book Antiqua" w:hAnsi="Book Antiqua"/>
          <w:bCs/>
          <w:lang w:val="en-GB"/>
        </w:rPr>
        <w:t>c</w:t>
      </w:r>
      <w:r w:rsidR="008D2EE6" w:rsidRPr="0037330A">
        <w:rPr>
          <w:rFonts w:ascii="Book Antiqua" w:hAnsi="Book Antiqua"/>
          <w:bCs/>
          <w:lang w:val="en-GB"/>
        </w:rPr>
        <w:t xml:space="preserve"> tests and insulin injections were reported as ranges, the mean value</w:t>
      </w:r>
      <w:r w:rsidR="00690DFD" w:rsidRPr="0037330A">
        <w:rPr>
          <w:rFonts w:ascii="Book Antiqua" w:hAnsi="Book Antiqua"/>
          <w:bCs/>
          <w:lang w:val="en-GB"/>
        </w:rPr>
        <w:t>s</w:t>
      </w:r>
      <w:r w:rsidR="008D2EE6" w:rsidRPr="0037330A">
        <w:rPr>
          <w:rFonts w:ascii="Book Antiqua" w:hAnsi="Book Antiqua"/>
          <w:bCs/>
          <w:lang w:val="en-GB"/>
        </w:rPr>
        <w:t xml:space="preserve"> w</w:t>
      </w:r>
      <w:r w:rsidR="00690DFD" w:rsidRPr="0037330A">
        <w:rPr>
          <w:rFonts w:ascii="Book Antiqua" w:hAnsi="Book Antiqua"/>
          <w:bCs/>
          <w:lang w:val="en-GB"/>
        </w:rPr>
        <w:t>ere</w:t>
      </w:r>
      <w:r w:rsidR="008D2EE6" w:rsidRPr="0037330A">
        <w:rPr>
          <w:rFonts w:ascii="Book Antiqua" w:hAnsi="Book Antiqua"/>
          <w:bCs/>
          <w:lang w:val="en-GB"/>
        </w:rPr>
        <w:t xml:space="preserve"> used for analysis</w:t>
      </w:r>
      <w:r w:rsidRPr="0037330A">
        <w:rPr>
          <w:rFonts w:ascii="Book Antiqua" w:hAnsi="Book Antiqua"/>
          <w:bCs/>
          <w:lang w:val="en-GB"/>
        </w:rPr>
        <w:t xml:space="preserve">. When necessary, follow up questions were clarified by e-mail, or Skype. </w:t>
      </w:r>
      <w:r w:rsidR="00F06E03" w:rsidRPr="0037330A">
        <w:rPr>
          <w:rFonts w:ascii="Book Antiqua" w:hAnsi="Book Antiqua"/>
          <w:bCs/>
          <w:lang w:val="en-GB"/>
        </w:rPr>
        <w:t xml:space="preserve">The open source mobile data collection </w:t>
      </w:r>
      <w:r w:rsidR="007818E3" w:rsidRPr="0037330A">
        <w:rPr>
          <w:rFonts w:ascii="Book Antiqua" w:hAnsi="Book Antiqua"/>
          <w:bCs/>
          <w:lang w:val="en-GB"/>
        </w:rPr>
        <w:t>program</w:t>
      </w:r>
      <w:r w:rsidR="00F06E03" w:rsidRPr="0037330A">
        <w:rPr>
          <w:rFonts w:ascii="Book Antiqua" w:hAnsi="Book Antiqua"/>
          <w:bCs/>
          <w:lang w:val="en-GB"/>
        </w:rPr>
        <w:t xml:space="preserve"> KoBo Toolbox (Cambridge, Massachusetts)</w:t>
      </w:r>
      <w:r w:rsidR="002147D2" w:rsidRPr="0037330A">
        <w:rPr>
          <w:rFonts w:ascii="Book Antiqua" w:hAnsi="Book Antiqua"/>
          <w:bCs/>
          <w:lang w:val="en-GB"/>
        </w:rPr>
        <w:t xml:space="preserve"> </w:t>
      </w:r>
      <w:r w:rsidR="00F06E03" w:rsidRPr="0037330A">
        <w:rPr>
          <w:rFonts w:ascii="Book Antiqua" w:hAnsi="Book Antiqua"/>
          <w:bCs/>
          <w:lang w:val="en-GB"/>
        </w:rPr>
        <w:t xml:space="preserve">was used for </w:t>
      </w:r>
      <w:r w:rsidRPr="0037330A">
        <w:rPr>
          <w:rFonts w:ascii="Book Antiqua" w:hAnsi="Book Antiqua"/>
          <w:bCs/>
          <w:lang w:val="en-GB"/>
        </w:rPr>
        <w:t>recording returned surveys</w:t>
      </w:r>
      <w:r w:rsidR="00F06E03" w:rsidRPr="0037330A">
        <w:rPr>
          <w:rFonts w:ascii="Book Antiqua" w:hAnsi="Book Antiqua"/>
          <w:bCs/>
          <w:lang w:val="en-GB"/>
        </w:rPr>
        <w:t>.</w:t>
      </w:r>
      <w:r w:rsidRPr="0037330A">
        <w:rPr>
          <w:rFonts w:ascii="Book Antiqua" w:hAnsi="Book Antiqua"/>
          <w:bCs/>
          <w:lang w:val="en-GB"/>
        </w:rPr>
        <w:t xml:space="preserve"> When all surveys were returned, data w</w:t>
      </w:r>
      <w:r w:rsidR="006F10BC" w:rsidRPr="0037330A">
        <w:rPr>
          <w:rFonts w:ascii="Book Antiqua" w:hAnsi="Book Antiqua"/>
          <w:bCs/>
          <w:lang w:val="en-GB"/>
        </w:rPr>
        <w:t>ere</w:t>
      </w:r>
      <w:r w:rsidRPr="0037330A">
        <w:rPr>
          <w:rFonts w:ascii="Book Antiqua" w:hAnsi="Book Antiqua"/>
          <w:bCs/>
          <w:lang w:val="en-GB"/>
        </w:rPr>
        <w:t xml:space="preserve"> input</w:t>
      </w:r>
      <w:r w:rsidR="006312DE" w:rsidRPr="0037330A">
        <w:rPr>
          <w:rFonts w:ascii="Book Antiqua" w:hAnsi="Book Antiqua"/>
          <w:bCs/>
          <w:lang w:val="en-GB"/>
        </w:rPr>
        <w:t>t</w:t>
      </w:r>
      <w:r w:rsidR="006F10BC" w:rsidRPr="0037330A">
        <w:rPr>
          <w:rFonts w:ascii="Book Antiqua" w:hAnsi="Book Antiqua"/>
          <w:bCs/>
          <w:lang w:val="en-GB"/>
        </w:rPr>
        <w:t>ed</w:t>
      </w:r>
      <w:r w:rsidRPr="0037330A">
        <w:rPr>
          <w:rFonts w:ascii="Book Antiqua" w:hAnsi="Book Antiqua"/>
          <w:bCs/>
          <w:lang w:val="en-GB"/>
        </w:rPr>
        <w:t xml:space="preserve"> into Excel and descriptive statistics were derived. </w:t>
      </w:r>
      <w:r w:rsidR="004B4B83" w:rsidRPr="0037330A">
        <w:rPr>
          <w:rFonts w:ascii="Book Antiqua" w:hAnsi="Book Antiqua"/>
          <w:bCs/>
          <w:lang w:val="en-GB"/>
        </w:rPr>
        <w:t>The n for all results is 37 unless otherwise stated.</w:t>
      </w:r>
    </w:p>
    <w:p w14:paraId="2A558C75" w14:textId="77777777" w:rsidR="000F72EF" w:rsidRPr="0037330A" w:rsidRDefault="000F72EF" w:rsidP="00146B63">
      <w:pPr>
        <w:tabs>
          <w:tab w:val="left" w:pos="990"/>
        </w:tabs>
        <w:snapToGrid w:val="0"/>
        <w:spacing w:line="360" w:lineRule="auto"/>
        <w:jc w:val="both"/>
        <w:rPr>
          <w:rFonts w:ascii="Book Antiqua" w:hAnsi="Book Antiqua"/>
          <w:bCs/>
          <w:lang w:val="en-GB"/>
        </w:rPr>
      </w:pPr>
    </w:p>
    <w:p w14:paraId="0EDAB483" w14:textId="5C6E0CC8" w:rsidR="00404AA8" w:rsidRPr="0037330A" w:rsidRDefault="003861F6" w:rsidP="00146B63">
      <w:pPr>
        <w:tabs>
          <w:tab w:val="left" w:pos="990"/>
        </w:tabs>
        <w:snapToGrid w:val="0"/>
        <w:spacing w:line="360" w:lineRule="auto"/>
        <w:jc w:val="both"/>
        <w:rPr>
          <w:rFonts w:ascii="Book Antiqua" w:hAnsi="Book Antiqua"/>
          <w:bCs/>
          <w:lang w:val="en-GB"/>
        </w:rPr>
      </w:pPr>
      <w:r w:rsidRPr="0037330A">
        <w:rPr>
          <w:rFonts w:ascii="Book Antiqua" w:hAnsi="Book Antiqua"/>
          <w:b/>
          <w:u w:val="single"/>
          <w:lang w:val="en-GB"/>
        </w:rPr>
        <w:t xml:space="preserve">RESULTS </w:t>
      </w:r>
    </w:p>
    <w:p w14:paraId="2FC45C32" w14:textId="0E801FC2" w:rsidR="008E51BB" w:rsidRPr="0037330A" w:rsidRDefault="00ED2D8F" w:rsidP="00146B63">
      <w:pPr>
        <w:tabs>
          <w:tab w:val="left" w:pos="990"/>
        </w:tabs>
        <w:snapToGrid w:val="0"/>
        <w:spacing w:line="360" w:lineRule="auto"/>
        <w:jc w:val="both"/>
        <w:rPr>
          <w:rFonts w:ascii="Book Antiqua" w:hAnsi="Book Antiqua"/>
          <w:bCs/>
          <w:i/>
          <w:lang w:val="en-GB"/>
        </w:rPr>
      </w:pPr>
      <w:r w:rsidRPr="0037330A">
        <w:rPr>
          <w:rFonts w:ascii="Book Antiqua" w:hAnsi="Book Antiqua"/>
          <w:b/>
          <w:i/>
          <w:lang w:val="en-GB"/>
        </w:rPr>
        <w:t xml:space="preserve">Insulin delivery devices </w:t>
      </w:r>
    </w:p>
    <w:p w14:paraId="12487F9C" w14:textId="26316F17" w:rsidR="006312DE" w:rsidRPr="0037330A" w:rsidRDefault="006312D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 xml:space="preserve">Within the </w:t>
      </w:r>
      <w:r w:rsidR="00DC72BC" w:rsidRPr="0037330A">
        <w:rPr>
          <w:rFonts w:ascii="Book Antiqua" w:hAnsi="Book Antiqua"/>
          <w:bCs/>
          <w:color w:val="000000" w:themeColor="text1"/>
          <w:lang w:val="en-GB"/>
        </w:rPr>
        <w:t xml:space="preserve">37 </w:t>
      </w:r>
      <w:r w:rsidRPr="0037330A">
        <w:rPr>
          <w:rFonts w:ascii="Book Antiqua" w:hAnsi="Book Antiqua"/>
          <w:bCs/>
          <w:color w:val="000000" w:themeColor="text1"/>
          <w:lang w:val="en-GB"/>
        </w:rPr>
        <w:t xml:space="preserve">centres, the average percentage of those injecting insulin </w:t>
      </w:r>
      <w:r w:rsidRPr="0037330A">
        <w:rPr>
          <w:rFonts w:ascii="Book Antiqua" w:hAnsi="Book Antiqua"/>
          <w:bCs/>
          <w:i/>
          <w:color w:val="000000" w:themeColor="text1"/>
          <w:lang w:val="en-GB"/>
        </w:rPr>
        <w:t>via</w:t>
      </w:r>
      <w:r w:rsidRPr="0037330A">
        <w:rPr>
          <w:rFonts w:ascii="Book Antiqua" w:hAnsi="Book Antiqua"/>
          <w:bCs/>
          <w:color w:val="000000" w:themeColor="text1"/>
          <w:lang w:val="en-GB"/>
        </w:rPr>
        <w:t xml:space="preserve"> syringes was 83.</w:t>
      </w:r>
      <w:r w:rsidR="004C3D87" w:rsidRPr="0037330A">
        <w:rPr>
          <w:rFonts w:ascii="Book Antiqua" w:hAnsi="Book Antiqua"/>
          <w:bCs/>
          <w:color w:val="000000" w:themeColor="text1"/>
          <w:lang w:val="en-GB"/>
        </w:rPr>
        <w:t>1</w:t>
      </w:r>
      <w:r w:rsidRPr="0037330A">
        <w:rPr>
          <w:rFonts w:ascii="Book Antiqua" w:hAnsi="Book Antiqua"/>
          <w:bCs/>
          <w:color w:val="000000" w:themeColor="text1"/>
          <w:lang w:val="en-GB"/>
        </w:rPr>
        <w:t xml:space="preserve">% and pens 16.7%. </w:t>
      </w:r>
      <w:r w:rsidR="009300BD" w:rsidRPr="0037330A">
        <w:rPr>
          <w:rFonts w:ascii="Book Antiqua" w:hAnsi="Book Antiqua"/>
          <w:bCs/>
          <w:color w:val="000000" w:themeColor="text1"/>
          <w:lang w:val="en-GB"/>
        </w:rPr>
        <w:t>Only three countries had higher pen than syringe use: Vietnam (97%/3% respectively), Maldives (92%/0%) and Guyana (65</w:t>
      </w:r>
      <w:r w:rsidR="003B4412" w:rsidRPr="0037330A">
        <w:rPr>
          <w:rFonts w:ascii="Book Antiqua" w:hAnsi="Book Antiqua"/>
          <w:bCs/>
          <w:color w:val="000000" w:themeColor="text1"/>
          <w:lang w:val="en-GB"/>
        </w:rPr>
        <w:t>%</w:t>
      </w:r>
      <w:r w:rsidR="009300BD" w:rsidRPr="0037330A">
        <w:rPr>
          <w:rFonts w:ascii="Book Antiqua" w:hAnsi="Book Antiqua"/>
          <w:bCs/>
          <w:color w:val="000000" w:themeColor="text1"/>
          <w:lang w:val="en-GB"/>
        </w:rPr>
        <w:t>/35%), with Dominican Republic</w:t>
      </w:r>
      <w:r w:rsidR="004C3D87" w:rsidRPr="0037330A">
        <w:rPr>
          <w:rFonts w:ascii="Book Antiqua" w:hAnsi="Book Antiqua"/>
          <w:bCs/>
          <w:color w:val="000000" w:themeColor="text1"/>
          <w:lang w:val="en-GB"/>
        </w:rPr>
        <w:t xml:space="preserve"> and Ecuador</w:t>
      </w:r>
      <w:r w:rsidR="009300BD" w:rsidRPr="0037330A">
        <w:rPr>
          <w:rFonts w:ascii="Book Antiqua" w:hAnsi="Book Antiqua"/>
          <w:bCs/>
          <w:color w:val="000000" w:themeColor="text1"/>
          <w:lang w:val="en-GB"/>
        </w:rPr>
        <w:t xml:space="preserve"> having an even split. </w:t>
      </w:r>
    </w:p>
    <w:p w14:paraId="02542D30" w14:textId="663B54FB" w:rsidR="006312DE" w:rsidRPr="0037330A" w:rsidRDefault="004C3D87"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37330A">
        <w:rPr>
          <w:rFonts w:ascii="Book Antiqua" w:hAnsi="Book Antiqua"/>
          <w:bCs/>
          <w:color w:val="000000" w:themeColor="text1"/>
          <w:lang w:val="en-GB"/>
        </w:rPr>
        <w:t xml:space="preserve">29 </w:t>
      </w:r>
      <w:r w:rsidR="006312DE" w:rsidRPr="0037330A">
        <w:rPr>
          <w:rFonts w:ascii="Book Antiqua" w:hAnsi="Book Antiqua"/>
          <w:bCs/>
          <w:color w:val="000000" w:themeColor="text1"/>
          <w:lang w:val="en-GB"/>
        </w:rPr>
        <w:t xml:space="preserve">of the </w:t>
      </w:r>
      <w:r w:rsidR="00DC72BC" w:rsidRPr="0037330A">
        <w:rPr>
          <w:rFonts w:ascii="Book Antiqua" w:hAnsi="Book Antiqua"/>
          <w:bCs/>
          <w:color w:val="000000" w:themeColor="text1"/>
          <w:lang w:val="en-GB"/>
        </w:rPr>
        <w:t>37</w:t>
      </w:r>
      <w:r w:rsidR="003B4412" w:rsidRPr="0037330A">
        <w:rPr>
          <w:rFonts w:ascii="Book Antiqua" w:hAnsi="Book Antiqua"/>
          <w:bCs/>
          <w:color w:val="000000" w:themeColor="text1"/>
          <w:lang w:val="en-GB"/>
        </w:rPr>
        <w:t xml:space="preserve"> centres</w:t>
      </w:r>
      <w:r w:rsidR="006312DE" w:rsidRPr="0037330A">
        <w:rPr>
          <w:rFonts w:ascii="Book Antiqua" w:hAnsi="Book Antiqua"/>
          <w:bCs/>
          <w:color w:val="000000" w:themeColor="text1"/>
          <w:lang w:val="en-GB"/>
        </w:rPr>
        <w:t xml:space="preserve"> </w:t>
      </w:r>
      <w:r w:rsidR="003B4412" w:rsidRPr="0037330A">
        <w:rPr>
          <w:rFonts w:ascii="Book Antiqua" w:hAnsi="Book Antiqua"/>
          <w:bCs/>
          <w:color w:val="000000" w:themeColor="text1"/>
          <w:lang w:val="en-GB"/>
        </w:rPr>
        <w:t xml:space="preserve">(78.4%) </w:t>
      </w:r>
      <w:r w:rsidR="006312DE" w:rsidRPr="0037330A">
        <w:rPr>
          <w:rFonts w:ascii="Book Antiqua" w:hAnsi="Book Antiqua"/>
          <w:bCs/>
          <w:color w:val="000000" w:themeColor="text1"/>
          <w:lang w:val="en-GB"/>
        </w:rPr>
        <w:t xml:space="preserve">provided syringes to </w:t>
      </w:r>
      <w:r w:rsidR="003B4412" w:rsidRPr="0037330A">
        <w:rPr>
          <w:rFonts w:ascii="Book Antiqua" w:hAnsi="Book Antiqua"/>
          <w:bCs/>
          <w:color w:val="000000" w:themeColor="text1"/>
          <w:lang w:val="en-GB"/>
        </w:rPr>
        <w:t xml:space="preserve">enrolled </w:t>
      </w:r>
      <w:r w:rsidR="006312DE" w:rsidRPr="0037330A">
        <w:rPr>
          <w:rFonts w:ascii="Book Antiqua" w:hAnsi="Book Antiqua"/>
          <w:bCs/>
          <w:color w:val="000000" w:themeColor="text1"/>
          <w:lang w:val="en-GB"/>
        </w:rPr>
        <w:t>patients. Of these 2</w:t>
      </w:r>
      <w:r w:rsidRPr="0037330A">
        <w:rPr>
          <w:rFonts w:ascii="Book Antiqua" w:hAnsi="Book Antiqua"/>
          <w:bCs/>
          <w:color w:val="000000" w:themeColor="text1"/>
          <w:lang w:val="en-GB"/>
        </w:rPr>
        <w:t>9</w:t>
      </w:r>
      <w:r w:rsidR="006312DE" w:rsidRPr="0037330A">
        <w:rPr>
          <w:rFonts w:ascii="Book Antiqua" w:hAnsi="Book Antiqua"/>
          <w:bCs/>
          <w:color w:val="000000" w:themeColor="text1"/>
          <w:lang w:val="en-GB"/>
        </w:rPr>
        <w:t xml:space="preserve">, </w:t>
      </w:r>
      <w:r w:rsidR="003B4412" w:rsidRPr="0037330A">
        <w:rPr>
          <w:rFonts w:ascii="Book Antiqua" w:hAnsi="Book Antiqua"/>
          <w:bCs/>
          <w:color w:val="000000" w:themeColor="text1"/>
          <w:lang w:val="en-GB"/>
        </w:rPr>
        <w:t>nine centres (</w:t>
      </w:r>
      <w:r w:rsidR="006312DE" w:rsidRPr="0037330A">
        <w:rPr>
          <w:rFonts w:ascii="Book Antiqua" w:hAnsi="Book Antiqua"/>
          <w:bCs/>
          <w:color w:val="000000" w:themeColor="text1"/>
          <w:lang w:val="en-GB"/>
        </w:rPr>
        <w:t>31.</w:t>
      </w:r>
      <w:r w:rsidRPr="0037330A">
        <w:rPr>
          <w:rFonts w:ascii="Book Antiqua" w:hAnsi="Book Antiqua"/>
          <w:bCs/>
          <w:color w:val="000000" w:themeColor="text1"/>
          <w:lang w:val="en-GB"/>
        </w:rPr>
        <w:t>0</w:t>
      </w:r>
      <w:r w:rsidR="006312DE" w:rsidRPr="0037330A">
        <w:rPr>
          <w:rFonts w:ascii="Book Antiqua" w:hAnsi="Book Antiqua"/>
          <w:bCs/>
          <w:color w:val="000000" w:themeColor="text1"/>
          <w:lang w:val="en-GB"/>
        </w:rPr>
        <w:t>%</w:t>
      </w:r>
      <w:r w:rsidR="003B4412" w:rsidRPr="0037330A">
        <w:rPr>
          <w:rFonts w:ascii="Book Antiqua" w:hAnsi="Book Antiqua"/>
          <w:bCs/>
          <w:color w:val="000000" w:themeColor="text1"/>
          <w:lang w:val="en-GB"/>
        </w:rPr>
        <w:t>)</w:t>
      </w:r>
      <w:r w:rsidR="006312DE" w:rsidRPr="0037330A">
        <w:rPr>
          <w:rFonts w:ascii="Book Antiqua" w:hAnsi="Book Antiqua"/>
          <w:bCs/>
          <w:color w:val="000000" w:themeColor="text1"/>
          <w:lang w:val="en-GB"/>
        </w:rPr>
        <w:t xml:space="preserve"> had to purchase these and </w:t>
      </w:r>
      <w:r w:rsidR="006C28C4" w:rsidRPr="0037330A">
        <w:rPr>
          <w:rFonts w:ascii="Book Antiqua" w:hAnsi="Book Antiqua"/>
          <w:bCs/>
          <w:color w:val="000000" w:themeColor="text1"/>
          <w:lang w:val="en-GB"/>
        </w:rPr>
        <w:t>twenty</w:t>
      </w:r>
      <w:r w:rsidR="00770BAC" w:rsidRPr="0037330A">
        <w:rPr>
          <w:rFonts w:ascii="Book Antiqua" w:hAnsi="Book Antiqua"/>
          <w:bCs/>
          <w:color w:val="000000" w:themeColor="text1"/>
          <w:lang w:val="en-GB"/>
        </w:rPr>
        <w:t xml:space="preserve"> </w:t>
      </w:r>
      <w:r w:rsidR="003B4412" w:rsidRPr="0037330A">
        <w:rPr>
          <w:rFonts w:ascii="Book Antiqua" w:hAnsi="Book Antiqua"/>
          <w:bCs/>
          <w:color w:val="000000" w:themeColor="text1"/>
          <w:lang w:val="en-GB"/>
        </w:rPr>
        <w:t xml:space="preserve">centres </w:t>
      </w:r>
      <w:r w:rsidR="00770BAC" w:rsidRPr="0037330A">
        <w:rPr>
          <w:rFonts w:ascii="Book Antiqua" w:hAnsi="Book Antiqua"/>
          <w:bCs/>
          <w:color w:val="000000" w:themeColor="text1"/>
          <w:lang w:val="en-GB"/>
        </w:rPr>
        <w:t>(</w:t>
      </w:r>
      <w:r w:rsidR="006C28C4" w:rsidRPr="0037330A">
        <w:rPr>
          <w:rFonts w:ascii="Book Antiqua" w:hAnsi="Book Antiqua"/>
          <w:bCs/>
          <w:color w:val="000000" w:themeColor="text1"/>
          <w:lang w:val="en-GB"/>
        </w:rPr>
        <w:t>69</w:t>
      </w:r>
      <w:r w:rsidR="00770BAC" w:rsidRPr="0037330A">
        <w:rPr>
          <w:rFonts w:ascii="Book Antiqua" w:hAnsi="Book Antiqua"/>
          <w:bCs/>
          <w:color w:val="000000" w:themeColor="text1"/>
          <w:lang w:val="en-GB"/>
        </w:rPr>
        <w:t>.</w:t>
      </w:r>
      <w:r w:rsidR="006C28C4" w:rsidRPr="0037330A">
        <w:rPr>
          <w:rFonts w:ascii="Book Antiqua" w:hAnsi="Book Antiqua"/>
          <w:bCs/>
          <w:color w:val="000000" w:themeColor="text1"/>
          <w:lang w:val="en-GB"/>
        </w:rPr>
        <w:t>0</w:t>
      </w:r>
      <w:r w:rsidR="00770BAC" w:rsidRPr="0037330A">
        <w:rPr>
          <w:rFonts w:ascii="Book Antiqua" w:hAnsi="Book Antiqua"/>
          <w:bCs/>
          <w:color w:val="000000" w:themeColor="text1"/>
          <w:lang w:val="en-GB"/>
        </w:rPr>
        <w:t xml:space="preserve">%) </w:t>
      </w:r>
      <w:r w:rsidR="003B4412" w:rsidRPr="0037330A">
        <w:rPr>
          <w:rFonts w:ascii="Book Antiqua" w:hAnsi="Book Antiqua"/>
          <w:bCs/>
          <w:color w:val="000000" w:themeColor="text1"/>
          <w:lang w:val="en-GB"/>
        </w:rPr>
        <w:t xml:space="preserve">received </w:t>
      </w:r>
      <w:r w:rsidR="006312DE" w:rsidRPr="0037330A">
        <w:rPr>
          <w:rFonts w:ascii="Book Antiqua" w:hAnsi="Book Antiqua"/>
          <w:bCs/>
          <w:color w:val="000000" w:themeColor="text1"/>
          <w:lang w:val="en-GB"/>
        </w:rPr>
        <w:t>donations</w:t>
      </w:r>
      <w:r w:rsidR="003B4412" w:rsidRPr="0037330A">
        <w:rPr>
          <w:rFonts w:ascii="Book Antiqua" w:hAnsi="Book Antiqua"/>
          <w:bCs/>
          <w:color w:val="000000" w:themeColor="text1"/>
          <w:lang w:val="en-GB"/>
        </w:rPr>
        <w:t>.</w:t>
      </w:r>
      <w:r w:rsidR="006312DE" w:rsidRPr="0037330A">
        <w:rPr>
          <w:rFonts w:ascii="Book Antiqua" w:hAnsi="Book Antiqua"/>
          <w:bCs/>
          <w:color w:val="000000" w:themeColor="text1"/>
          <w:lang w:val="en-GB"/>
        </w:rPr>
        <w:t xml:space="preserve"> The </w:t>
      </w:r>
      <w:r w:rsidR="00DE4BCA" w:rsidRPr="0037330A">
        <w:rPr>
          <w:rFonts w:ascii="Book Antiqua" w:hAnsi="Book Antiqua"/>
          <w:bCs/>
          <w:color w:val="000000" w:themeColor="text1"/>
          <w:lang w:val="en-GB"/>
        </w:rPr>
        <w:t>mean</w:t>
      </w:r>
      <w:r w:rsidR="006312DE" w:rsidRPr="0037330A">
        <w:rPr>
          <w:rFonts w:ascii="Book Antiqua" w:hAnsi="Book Antiqua"/>
          <w:bCs/>
          <w:color w:val="000000" w:themeColor="text1"/>
          <w:lang w:val="en-GB"/>
        </w:rPr>
        <w:t xml:space="preserve"> cost </w:t>
      </w:r>
      <w:r w:rsidR="00ED2D8F" w:rsidRPr="0037330A">
        <w:rPr>
          <w:rFonts w:ascii="Book Antiqua" w:hAnsi="Book Antiqua"/>
          <w:bCs/>
          <w:color w:val="000000" w:themeColor="text1"/>
          <w:lang w:val="en-GB"/>
        </w:rPr>
        <w:t>to centres</w:t>
      </w:r>
      <w:r w:rsidR="00ED2D8F" w:rsidRPr="0037330A">
        <w:rPr>
          <w:rFonts w:ascii="Book Antiqua" w:eastAsiaTheme="minorEastAsia" w:hAnsi="Book Antiqua"/>
          <w:bCs/>
          <w:color w:val="000000" w:themeColor="text1"/>
          <w:lang w:val="en-GB" w:eastAsia="zh-CN"/>
        </w:rPr>
        <w:t xml:space="preserve"> </w:t>
      </w:r>
      <w:r w:rsidR="003B4412" w:rsidRPr="0037330A">
        <w:rPr>
          <w:rFonts w:ascii="Book Antiqua" w:hAnsi="Book Antiqua"/>
          <w:bCs/>
          <w:color w:val="000000" w:themeColor="text1"/>
          <w:lang w:val="en-GB"/>
        </w:rPr>
        <w:t xml:space="preserve">who had to purchase syringes was $0.32 </w:t>
      </w:r>
      <w:r w:rsidR="006312DE" w:rsidRPr="0037330A">
        <w:rPr>
          <w:rFonts w:ascii="Book Antiqua" w:hAnsi="Book Antiqua"/>
          <w:bCs/>
          <w:color w:val="000000" w:themeColor="text1"/>
          <w:lang w:val="en-GB"/>
        </w:rPr>
        <w:t>per syringe</w:t>
      </w:r>
      <w:r w:rsidR="006C28C4" w:rsidRPr="0037330A">
        <w:rPr>
          <w:rFonts w:ascii="Book Antiqua" w:hAnsi="Book Antiqua"/>
          <w:bCs/>
          <w:color w:val="000000" w:themeColor="text1"/>
          <w:lang w:val="en-GB"/>
        </w:rPr>
        <w:t>, ranging from $0.</w:t>
      </w:r>
      <w:r w:rsidR="008475C8" w:rsidRPr="0037330A">
        <w:rPr>
          <w:rFonts w:ascii="Book Antiqua" w:hAnsi="Book Antiqua"/>
          <w:bCs/>
          <w:color w:val="000000" w:themeColor="text1"/>
          <w:lang w:val="en-GB"/>
        </w:rPr>
        <w:t>04 in Uzbekistan to $0.</w:t>
      </w:r>
      <w:r w:rsidR="006C28C4" w:rsidRPr="0037330A">
        <w:rPr>
          <w:rFonts w:ascii="Book Antiqua" w:hAnsi="Book Antiqua"/>
          <w:bCs/>
          <w:color w:val="000000" w:themeColor="text1"/>
          <w:lang w:val="en-GB"/>
        </w:rPr>
        <w:t>97 in Guatemala</w:t>
      </w:r>
      <w:r w:rsidR="00DE4BCA" w:rsidRPr="0037330A">
        <w:rPr>
          <w:rFonts w:ascii="Book Antiqua" w:hAnsi="Book Antiqua"/>
          <w:bCs/>
          <w:color w:val="000000" w:themeColor="text1"/>
          <w:lang w:val="en-GB"/>
        </w:rPr>
        <w:t xml:space="preserve">. Six centres charged </w:t>
      </w:r>
      <w:r w:rsidR="00F466BD" w:rsidRPr="0037330A">
        <w:rPr>
          <w:rFonts w:ascii="Book Antiqua" w:hAnsi="Book Antiqua"/>
          <w:bCs/>
          <w:color w:val="000000" w:themeColor="text1"/>
          <w:lang w:val="en-GB"/>
        </w:rPr>
        <w:t>patients</w:t>
      </w:r>
      <w:r w:rsidR="00DE4BCA" w:rsidRPr="0037330A">
        <w:rPr>
          <w:rFonts w:ascii="Book Antiqua" w:hAnsi="Book Antiqua"/>
          <w:bCs/>
          <w:color w:val="000000" w:themeColor="text1"/>
          <w:lang w:val="en-GB"/>
        </w:rPr>
        <w:t xml:space="preserve"> for syringes</w:t>
      </w:r>
      <w:r w:rsidR="008475C8" w:rsidRPr="0037330A">
        <w:rPr>
          <w:rFonts w:ascii="Book Antiqua" w:hAnsi="Book Antiqua"/>
          <w:bCs/>
          <w:color w:val="000000" w:themeColor="text1"/>
          <w:lang w:val="en-GB"/>
        </w:rPr>
        <w:t>,</w:t>
      </w:r>
      <w:r w:rsidR="003B4412" w:rsidRPr="0037330A">
        <w:rPr>
          <w:rFonts w:ascii="Book Antiqua" w:hAnsi="Book Antiqua"/>
          <w:bCs/>
          <w:color w:val="000000" w:themeColor="text1"/>
          <w:lang w:val="en-GB"/>
        </w:rPr>
        <w:t xml:space="preserve"> with a mean price of</w:t>
      </w:r>
      <w:r w:rsidR="00DE4BCA" w:rsidRPr="0037330A">
        <w:rPr>
          <w:rFonts w:ascii="Book Antiqua" w:hAnsi="Book Antiqua"/>
          <w:bCs/>
          <w:color w:val="000000" w:themeColor="text1"/>
          <w:lang w:val="en-GB"/>
        </w:rPr>
        <w:t xml:space="preserve"> $0.23. </w:t>
      </w:r>
      <w:r w:rsidR="006C28C4" w:rsidRPr="0037330A">
        <w:rPr>
          <w:rFonts w:ascii="Book Antiqua" w:hAnsi="Book Antiqua"/>
          <w:bCs/>
          <w:color w:val="000000" w:themeColor="text1"/>
          <w:lang w:val="en-GB"/>
        </w:rPr>
        <w:t>All</w:t>
      </w:r>
      <w:r w:rsidR="003B4412" w:rsidRPr="0037330A">
        <w:rPr>
          <w:rFonts w:ascii="Book Antiqua" w:hAnsi="Book Antiqua"/>
          <w:bCs/>
          <w:color w:val="000000" w:themeColor="text1"/>
          <w:lang w:val="en-GB"/>
        </w:rPr>
        <w:t xml:space="preserve"> of the centres that received donations provided these free-of-charge to patients. </w:t>
      </w:r>
      <w:r w:rsidR="00DE4BCA" w:rsidRPr="0037330A">
        <w:rPr>
          <w:rFonts w:ascii="Book Antiqua" w:hAnsi="Book Antiqua"/>
          <w:bCs/>
          <w:color w:val="000000" w:themeColor="text1"/>
          <w:lang w:val="en-GB"/>
        </w:rPr>
        <w:t>Only one centre that purchased syringes provided these free of charge to patients.</w:t>
      </w:r>
    </w:p>
    <w:p w14:paraId="574C4663" w14:textId="0C649284" w:rsidR="00484E2F" w:rsidRPr="0037330A" w:rsidRDefault="006312DE" w:rsidP="00146B63">
      <w:pPr>
        <w:tabs>
          <w:tab w:val="left" w:pos="0"/>
        </w:tabs>
        <w:snapToGrid w:val="0"/>
        <w:spacing w:line="360" w:lineRule="auto"/>
        <w:ind w:firstLineChars="100" w:firstLine="240"/>
        <w:jc w:val="both"/>
        <w:rPr>
          <w:rFonts w:ascii="Book Antiqua" w:eastAsiaTheme="minorEastAsia" w:hAnsi="Book Antiqua"/>
          <w:bCs/>
          <w:lang w:val="en-GB" w:eastAsia="zh-CN"/>
        </w:rPr>
      </w:pPr>
      <w:r w:rsidRPr="0037330A">
        <w:rPr>
          <w:rFonts w:ascii="Book Antiqua" w:hAnsi="Book Antiqua"/>
          <w:bCs/>
          <w:lang w:val="en-GB"/>
        </w:rPr>
        <w:t xml:space="preserve">Respondents were asked to designate where young people could obtain insulin syringes outside of their centres. </w:t>
      </w:r>
      <w:r w:rsidR="003B4412" w:rsidRPr="0037330A">
        <w:rPr>
          <w:rFonts w:ascii="Book Antiqua" w:hAnsi="Book Antiqua"/>
          <w:bCs/>
          <w:lang w:val="en-GB"/>
        </w:rPr>
        <w:t>45.9% of respondents (</w:t>
      </w:r>
      <w:r w:rsidR="003B4412"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3B4412"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8F49FF" w:rsidRPr="0037330A">
        <w:rPr>
          <w:rFonts w:ascii="Book Antiqua" w:hAnsi="Book Antiqua"/>
          <w:bCs/>
          <w:lang w:val="en-GB"/>
        </w:rPr>
        <w:t>17</w:t>
      </w:r>
      <w:r w:rsidR="003B4412" w:rsidRPr="0037330A">
        <w:rPr>
          <w:rFonts w:ascii="Book Antiqua" w:hAnsi="Book Antiqua"/>
          <w:bCs/>
          <w:lang w:val="en-GB"/>
        </w:rPr>
        <w:t xml:space="preserve">) </w:t>
      </w:r>
      <w:r w:rsidR="00474B13" w:rsidRPr="0037330A">
        <w:rPr>
          <w:rFonts w:ascii="Book Antiqua" w:hAnsi="Book Antiqua"/>
          <w:bCs/>
          <w:lang w:val="en-GB"/>
        </w:rPr>
        <w:t>s</w:t>
      </w:r>
      <w:r w:rsidR="00770BAC" w:rsidRPr="0037330A">
        <w:rPr>
          <w:rFonts w:ascii="Book Antiqua" w:hAnsi="Book Antiqua"/>
          <w:bCs/>
          <w:lang w:val="en-GB"/>
        </w:rPr>
        <w:t>tate</w:t>
      </w:r>
      <w:r w:rsidR="00474B13" w:rsidRPr="0037330A">
        <w:rPr>
          <w:rFonts w:ascii="Book Antiqua" w:hAnsi="Book Antiqua"/>
          <w:bCs/>
          <w:lang w:val="en-GB"/>
        </w:rPr>
        <w:t xml:space="preserve">d they were provided only in private retail pharmacies, </w:t>
      </w:r>
      <w:r w:rsidR="00F466BD" w:rsidRPr="0037330A">
        <w:rPr>
          <w:rFonts w:ascii="Book Antiqua" w:hAnsi="Book Antiqua"/>
          <w:bCs/>
          <w:lang w:val="en-GB"/>
        </w:rPr>
        <w:t>21.6</w:t>
      </w:r>
      <w:r w:rsidR="00474B13" w:rsidRPr="0037330A">
        <w:rPr>
          <w:rFonts w:ascii="Book Antiqua" w:hAnsi="Book Antiqua"/>
          <w:bCs/>
          <w:lang w:val="en-GB"/>
        </w:rPr>
        <w:t>%</w:t>
      </w:r>
      <w:r w:rsidR="003B4412" w:rsidRPr="0037330A">
        <w:rPr>
          <w:rFonts w:ascii="Book Antiqua" w:hAnsi="Book Antiqua"/>
          <w:bCs/>
          <w:lang w:val="en-GB"/>
        </w:rPr>
        <w:t xml:space="preserve"> (</w:t>
      </w:r>
      <w:r w:rsidR="003B4412"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3B4412"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8F49FF" w:rsidRPr="0037330A">
        <w:rPr>
          <w:rFonts w:ascii="Book Antiqua" w:hAnsi="Book Antiqua"/>
          <w:bCs/>
          <w:lang w:val="en-GB"/>
        </w:rPr>
        <w:t>8</w:t>
      </w:r>
      <w:r w:rsidR="003B4412" w:rsidRPr="0037330A">
        <w:rPr>
          <w:rFonts w:ascii="Book Antiqua" w:hAnsi="Book Antiqua"/>
          <w:bCs/>
          <w:lang w:val="en-GB"/>
        </w:rPr>
        <w:t>)</w:t>
      </w:r>
      <w:r w:rsidR="00474B13" w:rsidRPr="0037330A">
        <w:rPr>
          <w:rFonts w:ascii="Book Antiqua" w:hAnsi="Book Antiqua"/>
          <w:bCs/>
          <w:lang w:val="en-GB"/>
        </w:rPr>
        <w:t xml:space="preserve"> in </w:t>
      </w:r>
      <w:r w:rsidR="003B4412" w:rsidRPr="0037330A">
        <w:rPr>
          <w:rFonts w:ascii="Book Antiqua" w:hAnsi="Book Antiqua"/>
          <w:bCs/>
          <w:lang w:val="en-GB"/>
        </w:rPr>
        <w:t>p</w:t>
      </w:r>
      <w:r w:rsidR="00474B13" w:rsidRPr="0037330A">
        <w:rPr>
          <w:rFonts w:ascii="Book Antiqua" w:hAnsi="Book Antiqua"/>
          <w:bCs/>
          <w:lang w:val="en-GB"/>
        </w:rPr>
        <w:t>ublic health system</w:t>
      </w:r>
      <w:r w:rsidR="003B4412" w:rsidRPr="0037330A">
        <w:rPr>
          <w:rFonts w:ascii="Book Antiqua" w:hAnsi="Book Antiqua"/>
          <w:bCs/>
          <w:lang w:val="en-GB"/>
        </w:rPr>
        <w:t xml:space="preserve"> and</w:t>
      </w:r>
      <w:r w:rsidR="00474B13" w:rsidRPr="0037330A">
        <w:rPr>
          <w:rFonts w:ascii="Book Antiqua" w:hAnsi="Book Antiqua"/>
          <w:bCs/>
          <w:lang w:val="en-GB"/>
        </w:rPr>
        <w:t xml:space="preserve"> </w:t>
      </w:r>
      <w:r w:rsidR="003B4412" w:rsidRPr="0037330A">
        <w:rPr>
          <w:rFonts w:ascii="Book Antiqua" w:hAnsi="Book Antiqua"/>
          <w:bCs/>
          <w:lang w:val="en-GB"/>
        </w:rPr>
        <w:t>p</w:t>
      </w:r>
      <w:r w:rsidR="00474B13" w:rsidRPr="0037330A">
        <w:rPr>
          <w:rFonts w:ascii="Book Antiqua" w:hAnsi="Book Antiqua"/>
          <w:bCs/>
          <w:lang w:val="en-GB"/>
        </w:rPr>
        <w:t xml:space="preserve">rivate retail pharmacies, </w:t>
      </w:r>
      <w:r w:rsidR="00F466BD" w:rsidRPr="0037330A">
        <w:rPr>
          <w:rFonts w:ascii="Book Antiqua" w:hAnsi="Book Antiqua"/>
          <w:bCs/>
          <w:lang w:val="en-GB"/>
        </w:rPr>
        <w:t>18.9</w:t>
      </w:r>
      <w:r w:rsidR="00474B13" w:rsidRPr="0037330A">
        <w:rPr>
          <w:rFonts w:ascii="Book Antiqua" w:hAnsi="Book Antiqua"/>
          <w:bCs/>
          <w:lang w:val="en-GB"/>
        </w:rPr>
        <w:t>%</w:t>
      </w:r>
      <w:r w:rsidR="003B4412" w:rsidRPr="0037330A">
        <w:rPr>
          <w:rFonts w:ascii="Book Antiqua" w:hAnsi="Book Antiqua"/>
          <w:bCs/>
          <w:lang w:val="en-GB"/>
        </w:rPr>
        <w:t xml:space="preserve"> (</w:t>
      </w:r>
      <w:r w:rsidR="003B4412"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3B4412"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8F49FF" w:rsidRPr="0037330A">
        <w:rPr>
          <w:rFonts w:ascii="Book Antiqua" w:hAnsi="Book Antiqua"/>
          <w:bCs/>
          <w:lang w:val="en-GB"/>
        </w:rPr>
        <w:t>7</w:t>
      </w:r>
      <w:r w:rsidR="003B4412" w:rsidRPr="0037330A">
        <w:rPr>
          <w:rFonts w:ascii="Book Antiqua" w:hAnsi="Book Antiqua"/>
          <w:bCs/>
          <w:lang w:val="en-GB"/>
        </w:rPr>
        <w:t>)</w:t>
      </w:r>
      <w:r w:rsidR="00474B13" w:rsidRPr="0037330A">
        <w:rPr>
          <w:rFonts w:ascii="Book Antiqua" w:hAnsi="Book Antiqua"/>
          <w:bCs/>
          <w:lang w:val="en-GB"/>
        </w:rPr>
        <w:t xml:space="preserve"> the public health system</w:t>
      </w:r>
      <w:r w:rsidR="003B4412" w:rsidRPr="0037330A">
        <w:rPr>
          <w:rFonts w:ascii="Book Antiqua" w:hAnsi="Book Antiqua"/>
          <w:bCs/>
          <w:lang w:val="en-GB"/>
        </w:rPr>
        <w:t xml:space="preserve"> and p</w:t>
      </w:r>
      <w:r w:rsidR="00474B13" w:rsidRPr="0037330A">
        <w:rPr>
          <w:rFonts w:ascii="Book Antiqua" w:hAnsi="Book Antiqua"/>
          <w:bCs/>
          <w:lang w:val="en-GB"/>
        </w:rPr>
        <w:t>rivate retail pharmacy</w:t>
      </w:r>
      <w:r w:rsidR="003B4412" w:rsidRPr="0037330A">
        <w:rPr>
          <w:rFonts w:ascii="Book Antiqua" w:hAnsi="Book Antiqua"/>
          <w:bCs/>
          <w:lang w:val="en-GB"/>
        </w:rPr>
        <w:t xml:space="preserve"> and</w:t>
      </w:r>
      <w:r w:rsidR="00474B13" w:rsidRPr="0037330A">
        <w:rPr>
          <w:rFonts w:ascii="Book Antiqua" w:hAnsi="Book Antiqua"/>
          <w:bCs/>
          <w:lang w:val="en-GB"/>
        </w:rPr>
        <w:t xml:space="preserve"> </w:t>
      </w:r>
      <w:r w:rsidR="003B4412" w:rsidRPr="0037330A">
        <w:rPr>
          <w:rFonts w:ascii="Book Antiqua" w:hAnsi="Book Antiqua"/>
          <w:bCs/>
          <w:lang w:val="en-GB"/>
        </w:rPr>
        <w:t>p</w:t>
      </w:r>
      <w:r w:rsidR="00474B13" w:rsidRPr="0037330A">
        <w:rPr>
          <w:rFonts w:ascii="Book Antiqua" w:hAnsi="Book Antiqua"/>
          <w:bCs/>
          <w:lang w:val="en-GB"/>
        </w:rPr>
        <w:t xml:space="preserve">ublic health insurance, </w:t>
      </w:r>
      <w:r w:rsidR="00F466BD" w:rsidRPr="0037330A">
        <w:rPr>
          <w:rFonts w:ascii="Book Antiqua" w:hAnsi="Book Antiqua"/>
          <w:bCs/>
          <w:lang w:val="en-GB"/>
        </w:rPr>
        <w:t>5.4</w:t>
      </w:r>
      <w:r w:rsidR="00474B13" w:rsidRPr="0037330A">
        <w:rPr>
          <w:rFonts w:ascii="Book Antiqua" w:hAnsi="Book Antiqua"/>
          <w:bCs/>
          <w:lang w:val="en-GB"/>
        </w:rPr>
        <w:t xml:space="preserve">% </w:t>
      </w:r>
      <w:r w:rsidR="003B4412" w:rsidRPr="0037330A">
        <w:rPr>
          <w:rFonts w:ascii="Book Antiqua" w:hAnsi="Book Antiqua"/>
          <w:bCs/>
          <w:lang w:val="en-GB"/>
        </w:rPr>
        <w:t>(</w:t>
      </w:r>
      <w:r w:rsidR="003B4412"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3B4412"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3B4412" w:rsidRPr="0037330A">
        <w:rPr>
          <w:rFonts w:ascii="Book Antiqua" w:hAnsi="Book Antiqua"/>
          <w:bCs/>
          <w:lang w:val="en-GB"/>
        </w:rPr>
        <w:t xml:space="preserve">2) </w:t>
      </w:r>
      <w:r w:rsidR="00474B13" w:rsidRPr="0037330A">
        <w:rPr>
          <w:rFonts w:ascii="Book Antiqua" w:hAnsi="Book Antiqua"/>
          <w:bCs/>
          <w:lang w:val="en-GB"/>
        </w:rPr>
        <w:lastRenderedPageBreak/>
        <w:t xml:space="preserve">only the public health system, </w:t>
      </w:r>
      <w:r w:rsidR="00F466BD" w:rsidRPr="0037330A">
        <w:rPr>
          <w:rFonts w:ascii="Book Antiqua" w:hAnsi="Book Antiqua"/>
          <w:bCs/>
          <w:lang w:val="en-GB"/>
        </w:rPr>
        <w:t>5.4</w:t>
      </w:r>
      <w:r w:rsidR="00474B13" w:rsidRPr="0037330A">
        <w:rPr>
          <w:rFonts w:ascii="Book Antiqua" w:hAnsi="Book Antiqua"/>
          <w:bCs/>
          <w:lang w:val="en-GB"/>
        </w:rPr>
        <w:t xml:space="preserve">% </w:t>
      </w:r>
      <w:r w:rsidR="008F49FF" w:rsidRPr="0037330A">
        <w:rPr>
          <w:rFonts w:ascii="Book Antiqua" w:hAnsi="Book Antiqua"/>
          <w:bCs/>
          <w:lang w:val="en-GB"/>
        </w:rPr>
        <w:t>(</w:t>
      </w:r>
      <w:r w:rsidR="008F49FF"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8F49FF"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8F49FF" w:rsidRPr="0037330A">
        <w:rPr>
          <w:rFonts w:ascii="Book Antiqua" w:hAnsi="Book Antiqua"/>
          <w:bCs/>
          <w:lang w:val="en-GB"/>
        </w:rPr>
        <w:t>2)</w:t>
      </w:r>
      <w:r w:rsidR="00474B13" w:rsidRPr="0037330A">
        <w:rPr>
          <w:rFonts w:ascii="Book Antiqua" w:hAnsi="Book Antiqua"/>
          <w:bCs/>
          <w:lang w:val="en-GB"/>
        </w:rPr>
        <w:t xml:space="preserve"> the </w:t>
      </w:r>
      <w:r w:rsidR="003B4412" w:rsidRPr="0037330A">
        <w:rPr>
          <w:rFonts w:ascii="Book Antiqua" w:hAnsi="Book Antiqua"/>
          <w:bCs/>
          <w:lang w:val="en-GB"/>
        </w:rPr>
        <w:t>p</w:t>
      </w:r>
      <w:r w:rsidR="00474B13" w:rsidRPr="0037330A">
        <w:rPr>
          <w:rFonts w:ascii="Book Antiqua" w:hAnsi="Book Antiqua"/>
          <w:bCs/>
          <w:lang w:val="en-GB"/>
        </w:rPr>
        <w:t>ublic health system</w:t>
      </w:r>
      <w:r w:rsidR="003B4412" w:rsidRPr="0037330A">
        <w:rPr>
          <w:rFonts w:ascii="Book Antiqua" w:hAnsi="Book Antiqua"/>
          <w:bCs/>
          <w:lang w:val="en-GB"/>
        </w:rPr>
        <w:t xml:space="preserve"> and</w:t>
      </w:r>
      <w:r w:rsidR="00474B13" w:rsidRPr="0037330A">
        <w:rPr>
          <w:rFonts w:ascii="Book Antiqua" w:hAnsi="Book Antiqua"/>
          <w:bCs/>
          <w:lang w:val="en-GB"/>
        </w:rPr>
        <w:t xml:space="preserve"> </w:t>
      </w:r>
      <w:r w:rsidR="003B4412" w:rsidRPr="0037330A">
        <w:rPr>
          <w:rFonts w:ascii="Book Antiqua" w:hAnsi="Book Antiqua"/>
          <w:bCs/>
          <w:lang w:val="en-GB"/>
        </w:rPr>
        <w:t>p</w:t>
      </w:r>
      <w:r w:rsidR="00474B13" w:rsidRPr="0037330A">
        <w:rPr>
          <w:rFonts w:ascii="Book Antiqua" w:hAnsi="Book Antiqua"/>
          <w:bCs/>
          <w:lang w:val="en-GB"/>
        </w:rPr>
        <w:t xml:space="preserve">ublic health insurance program, and </w:t>
      </w:r>
      <w:r w:rsidR="00F466BD" w:rsidRPr="0037330A">
        <w:rPr>
          <w:rFonts w:ascii="Book Antiqua" w:hAnsi="Book Antiqua"/>
          <w:bCs/>
          <w:lang w:val="en-GB"/>
        </w:rPr>
        <w:t>2.7</w:t>
      </w:r>
      <w:r w:rsidR="00474B13" w:rsidRPr="0037330A">
        <w:rPr>
          <w:rFonts w:ascii="Book Antiqua" w:hAnsi="Book Antiqua"/>
          <w:bCs/>
          <w:lang w:val="en-GB"/>
        </w:rPr>
        <w:t xml:space="preserve">% </w:t>
      </w:r>
      <w:r w:rsidR="008F49FF" w:rsidRPr="0037330A">
        <w:rPr>
          <w:rFonts w:ascii="Book Antiqua" w:hAnsi="Book Antiqua"/>
          <w:bCs/>
          <w:lang w:val="en-GB"/>
        </w:rPr>
        <w:t>(</w:t>
      </w:r>
      <w:r w:rsidR="008F49FF"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8F49FF"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8F49FF" w:rsidRPr="0037330A">
        <w:rPr>
          <w:rFonts w:ascii="Book Antiqua" w:hAnsi="Book Antiqua"/>
          <w:bCs/>
          <w:lang w:val="en-GB"/>
        </w:rPr>
        <w:t xml:space="preserve">1) </w:t>
      </w:r>
      <w:r w:rsidR="00474B13" w:rsidRPr="0037330A">
        <w:rPr>
          <w:rFonts w:ascii="Book Antiqua" w:hAnsi="Book Antiqua"/>
          <w:bCs/>
          <w:lang w:val="en-GB"/>
        </w:rPr>
        <w:t>private retail pharmacies</w:t>
      </w:r>
      <w:r w:rsidR="003B4412" w:rsidRPr="0037330A">
        <w:rPr>
          <w:rFonts w:ascii="Book Antiqua" w:hAnsi="Book Antiqua"/>
          <w:bCs/>
          <w:lang w:val="en-GB"/>
        </w:rPr>
        <w:t xml:space="preserve"> and p</w:t>
      </w:r>
      <w:r w:rsidR="00474B13" w:rsidRPr="0037330A">
        <w:rPr>
          <w:rFonts w:ascii="Book Antiqua" w:hAnsi="Book Antiqua"/>
          <w:bCs/>
          <w:lang w:val="en-GB"/>
        </w:rPr>
        <w:t xml:space="preserve">ublic health insurance program. </w:t>
      </w:r>
      <w:r w:rsidR="004B4B83" w:rsidRPr="0037330A">
        <w:rPr>
          <w:rFonts w:ascii="Book Antiqua" w:hAnsi="Book Antiqua"/>
          <w:bCs/>
          <w:lang w:val="en-GB"/>
        </w:rPr>
        <w:t xml:space="preserve">Table </w:t>
      </w:r>
      <w:r w:rsidR="00B53DCA" w:rsidRPr="0037330A">
        <w:rPr>
          <w:rFonts w:ascii="Book Antiqua" w:hAnsi="Book Antiqua"/>
          <w:bCs/>
          <w:lang w:val="en-GB"/>
        </w:rPr>
        <w:t>1</w:t>
      </w:r>
      <w:r w:rsidR="007034E2" w:rsidRPr="0037330A">
        <w:rPr>
          <w:rFonts w:ascii="Book Antiqua" w:hAnsi="Book Antiqua"/>
          <w:bCs/>
          <w:lang w:val="en-GB"/>
        </w:rPr>
        <w:t xml:space="preserve"> details the costs of s</w:t>
      </w:r>
      <w:r w:rsidR="00ED2D8F" w:rsidRPr="0037330A">
        <w:rPr>
          <w:rFonts w:ascii="Book Antiqua" w:hAnsi="Book Antiqua"/>
          <w:bCs/>
          <w:lang w:val="en-GB"/>
        </w:rPr>
        <w:t xml:space="preserve">yringes within these settings. </w:t>
      </w:r>
    </w:p>
    <w:p w14:paraId="15E88E70" w14:textId="0955964B" w:rsidR="007034E2" w:rsidRPr="0037330A" w:rsidRDefault="00F466BD" w:rsidP="00146B63">
      <w:pPr>
        <w:tabs>
          <w:tab w:val="left" w:pos="0"/>
        </w:tabs>
        <w:snapToGrid w:val="0"/>
        <w:spacing w:line="360" w:lineRule="auto"/>
        <w:ind w:firstLineChars="100" w:firstLine="240"/>
        <w:jc w:val="both"/>
        <w:rPr>
          <w:rFonts w:ascii="Book Antiqua" w:eastAsiaTheme="minorEastAsia" w:hAnsi="Book Antiqua"/>
          <w:bCs/>
          <w:color w:val="000000" w:themeColor="text1"/>
          <w:lang w:val="en-GB" w:eastAsia="zh-CN"/>
        </w:rPr>
      </w:pPr>
      <w:r w:rsidRPr="0037330A">
        <w:rPr>
          <w:rFonts w:ascii="Book Antiqua" w:hAnsi="Book Antiqua"/>
          <w:bCs/>
          <w:color w:val="000000" w:themeColor="text1"/>
          <w:lang w:val="en-GB"/>
        </w:rPr>
        <w:t>Eighteen</w:t>
      </w:r>
      <w:r w:rsidR="006312DE" w:rsidRPr="0037330A">
        <w:rPr>
          <w:rFonts w:ascii="Book Antiqua" w:hAnsi="Book Antiqua"/>
          <w:bCs/>
          <w:color w:val="000000" w:themeColor="text1"/>
          <w:lang w:val="en-GB"/>
        </w:rPr>
        <w:t xml:space="preserve"> </w:t>
      </w:r>
      <w:r w:rsidR="009300BD" w:rsidRPr="0037330A">
        <w:rPr>
          <w:rFonts w:ascii="Book Antiqua" w:hAnsi="Book Antiqua"/>
          <w:bCs/>
          <w:color w:val="000000" w:themeColor="text1"/>
          <w:lang w:val="en-GB"/>
        </w:rPr>
        <w:t>countries</w:t>
      </w:r>
      <w:r w:rsidR="006312DE" w:rsidRPr="0037330A">
        <w:rPr>
          <w:rFonts w:ascii="Book Antiqua" w:hAnsi="Book Antiqua"/>
          <w:bCs/>
          <w:color w:val="000000" w:themeColor="text1"/>
          <w:lang w:val="en-GB"/>
        </w:rPr>
        <w:t xml:space="preserve"> </w:t>
      </w:r>
      <w:r w:rsidR="008F49FF" w:rsidRPr="0037330A">
        <w:rPr>
          <w:rFonts w:ascii="Book Antiqua" w:hAnsi="Book Antiqua"/>
          <w:bCs/>
          <w:color w:val="000000" w:themeColor="text1"/>
          <w:lang w:val="en-GB"/>
        </w:rPr>
        <w:t xml:space="preserve">(48.6%) </w:t>
      </w:r>
      <w:r w:rsidR="006312DE" w:rsidRPr="0037330A">
        <w:rPr>
          <w:rFonts w:ascii="Book Antiqua" w:hAnsi="Book Antiqua"/>
          <w:bCs/>
          <w:color w:val="000000" w:themeColor="text1"/>
          <w:lang w:val="en-GB"/>
        </w:rPr>
        <w:t xml:space="preserve">stated that they believed young patients </w:t>
      </w:r>
      <w:r w:rsidR="007034E2" w:rsidRPr="0037330A">
        <w:rPr>
          <w:rFonts w:ascii="Book Antiqua" w:hAnsi="Book Antiqua"/>
          <w:bCs/>
          <w:color w:val="000000" w:themeColor="text1"/>
          <w:lang w:val="en-GB"/>
        </w:rPr>
        <w:t>receiving</w:t>
      </w:r>
      <w:r w:rsidR="006312DE" w:rsidRPr="0037330A">
        <w:rPr>
          <w:rFonts w:ascii="Book Antiqua" w:hAnsi="Book Antiqua"/>
          <w:bCs/>
          <w:color w:val="000000" w:themeColor="text1"/>
          <w:lang w:val="en-GB"/>
        </w:rPr>
        <w:t xml:space="preserve"> private treatment </w:t>
      </w:r>
      <w:r w:rsidR="003847B4" w:rsidRPr="0037330A">
        <w:rPr>
          <w:rFonts w:ascii="Book Antiqua" w:hAnsi="Book Antiqua"/>
          <w:bCs/>
          <w:color w:val="000000" w:themeColor="text1"/>
          <w:lang w:val="en-GB"/>
        </w:rPr>
        <w:t xml:space="preserve">in the respective country </w:t>
      </w:r>
      <w:r w:rsidR="006312DE" w:rsidRPr="0037330A">
        <w:rPr>
          <w:rFonts w:ascii="Book Antiqua" w:hAnsi="Book Antiqua"/>
          <w:bCs/>
          <w:color w:val="000000" w:themeColor="text1"/>
          <w:lang w:val="en-GB"/>
        </w:rPr>
        <w:t xml:space="preserve">mostly used syringes, while </w:t>
      </w:r>
      <w:r w:rsidRPr="0037330A">
        <w:rPr>
          <w:rFonts w:ascii="Book Antiqua" w:hAnsi="Book Antiqua"/>
          <w:bCs/>
          <w:color w:val="000000" w:themeColor="text1"/>
          <w:lang w:val="en-GB"/>
        </w:rPr>
        <w:t>sixteen</w:t>
      </w:r>
      <w:r w:rsidR="006312DE" w:rsidRPr="0037330A">
        <w:rPr>
          <w:rFonts w:ascii="Book Antiqua" w:hAnsi="Book Antiqua"/>
          <w:bCs/>
          <w:color w:val="000000" w:themeColor="text1"/>
          <w:lang w:val="en-GB"/>
        </w:rPr>
        <w:t xml:space="preserve"> </w:t>
      </w:r>
      <w:r w:rsidR="008F49FF" w:rsidRPr="0037330A">
        <w:rPr>
          <w:rFonts w:ascii="Book Antiqua" w:hAnsi="Book Antiqua"/>
          <w:bCs/>
          <w:color w:val="000000" w:themeColor="text1"/>
          <w:lang w:val="en-GB"/>
        </w:rPr>
        <w:t xml:space="preserve">(43.2%) </w:t>
      </w:r>
      <w:r w:rsidR="006312DE" w:rsidRPr="0037330A">
        <w:rPr>
          <w:rFonts w:ascii="Book Antiqua" w:hAnsi="Book Antiqua"/>
          <w:bCs/>
          <w:color w:val="000000" w:themeColor="text1"/>
          <w:lang w:val="en-GB"/>
        </w:rPr>
        <w:t>s</w:t>
      </w:r>
      <w:r w:rsidR="00770BAC" w:rsidRPr="0037330A">
        <w:rPr>
          <w:rFonts w:ascii="Book Antiqua" w:hAnsi="Book Antiqua"/>
          <w:bCs/>
          <w:color w:val="000000" w:themeColor="text1"/>
          <w:lang w:val="en-GB"/>
        </w:rPr>
        <w:t xml:space="preserve">tated </w:t>
      </w:r>
      <w:r w:rsidR="006312DE" w:rsidRPr="0037330A">
        <w:rPr>
          <w:rFonts w:ascii="Book Antiqua" w:hAnsi="Book Antiqua"/>
          <w:bCs/>
          <w:color w:val="000000" w:themeColor="text1"/>
          <w:lang w:val="en-GB"/>
        </w:rPr>
        <w:t xml:space="preserve">pens. </w:t>
      </w:r>
      <w:r w:rsidRPr="0037330A">
        <w:rPr>
          <w:rFonts w:ascii="Book Antiqua" w:hAnsi="Book Antiqua"/>
          <w:bCs/>
          <w:color w:val="000000" w:themeColor="text1"/>
          <w:lang w:val="en-GB"/>
        </w:rPr>
        <w:t xml:space="preserve">One </w:t>
      </w:r>
      <w:r w:rsidR="008F49FF" w:rsidRPr="0037330A">
        <w:rPr>
          <w:rFonts w:ascii="Book Antiqua" w:hAnsi="Book Antiqua"/>
          <w:bCs/>
          <w:color w:val="000000" w:themeColor="text1"/>
          <w:lang w:val="en-GB"/>
        </w:rPr>
        <w:t xml:space="preserve">respondent (2.7%) </w:t>
      </w:r>
      <w:r w:rsidRPr="0037330A">
        <w:rPr>
          <w:rFonts w:ascii="Book Antiqua" w:hAnsi="Book Antiqua"/>
          <w:bCs/>
          <w:color w:val="000000" w:themeColor="text1"/>
          <w:lang w:val="en-GB"/>
        </w:rPr>
        <w:t>s</w:t>
      </w:r>
      <w:r w:rsidR="00770BAC" w:rsidRPr="0037330A">
        <w:rPr>
          <w:rFonts w:ascii="Book Antiqua" w:hAnsi="Book Antiqua"/>
          <w:bCs/>
          <w:color w:val="000000" w:themeColor="text1"/>
          <w:lang w:val="en-GB"/>
        </w:rPr>
        <w:t>tated</w:t>
      </w:r>
      <w:r w:rsidRPr="0037330A">
        <w:rPr>
          <w:rFonts w:ascii="Book Antiqua" w:hAnsi="Book Antiqua"/>
          <w:bCs/>
          <w:color w:val="000000" w:themeColor="text1"/>
          <w:lang w:val="en-GB"/>
        </w:rPr>
        <w:t xml:space="preserve"> both, and two</w:t>
      </w:r>
      <w:r w:rsidR="006312DE" w:rsidRPr="0037330A">
        <w:rPr>
          <w:rFonts w:ascii="Book Antiqua" w:hAnsi="Book Antiqua"/>
          <w:bCs/>
          <w:color w:val="000000" w:themeColor="text1"/>
          <w:lang w:val="en-GB"/>
        </w:rPr>
        <w:t xml:space="preserve"> </w:t>
      </w:r>
      <w:r w:rsidR="008F49FF" w:rsidRPr="0037330A">
        <w:rPr>
          <w:rFonts w:ascii="Book Antiqua" w:hAnsi="Book Antiqua"/>
          <w:bCs/>
          <w:color w:val="000000" w:themeColor="text1"/>
          <w:lang w:val="en-GB"/>
        </w:rPr>
        <w:t>(5.4%)</w:t>
      </w:r>
      <w:r w:rsidR="006312DE" w:rsidRPr="0037330A">
        <w:rPr>
          <w:rFonts w:ascii="Book Antiqua" w:hAnsi="Book Antiqua"/>
          <w:bCs/>
          <w:color w:val="000000" w:themeColor="text1"/>
          <w:lang w:val="en-GB"/>
        </w:rPr>
        <w:t xml:space="preserve"> did not answer.</w:t>
      </w:r>
      <w:r w:rsidR="003847B4" w:rsidRPr="0037330A">
        <w:rPr>
          <w:rFonts w:ascii="Book Antiqua" w:hAnsi="Book Antiqua"/>
          <w:bCs/>
          <w:color w:val="000000" w:themeColor="text1"/>
          <w:lang w:val="en-GB"/>
        </w:rPr>
        <w:t xml:space="preserve"> In no country was pumps the most common delivery mechanism for private patients.</w:t>
      </w:r>
    </w:p>
    <w:p w14:paraId="42086BF4" w14:textId="116A43E7" w:rsidR="000F4291" w:rsidRPr="0037330A" w:rsidRDefault="00AC674D" w:rsidP="00146B63">
      <w:pPr>
        <w:autoSpaceDE w:val="0"/>
        <w:autoSpaceDN w:val="0"/>
        <w:adjustRightInd w:val="0"/>
        <w:snapToGrid w:val="0"/>
        <w:spacing w:line="360" w:lineRule="auto"/>
        <w:ind w:firstLineChars="100" w:firstLine="240"/>
        <w:jc w:val="both"/>
        <w:rPr>
          <w:rFonts w:ascii="Book Antiqua" w:hAnsi="Book Antiqua"/>
          <w:bCs/>
          <w:lang w:val="en-GB"/>
        </w:rPr>
      </w:pPr>
      <w:r w:rsidRPr="0037330A">
        <w:rPr>
          <w:rFonts w:ascii="Book Antiqua" w:hAnsi="Book Antiqua"/>
          <w:bCs/>
          <w:lang w:val="en-GB"/>
        </w:rPr>
        <w:t xml:space="preserve">The commonest syringe volume used in countries was 1 cc/mL </w:t>
      </w:r>
      <w:r w:rsidR="00ED2D8F" w:rsidRPr="0037330A">
        <w:rPr>
          <w:rFonts w:ascii="Book Antiqua" w:eastAsiaTheme="minorEastAsia" w:hAnsi="Book Antiqua"/>
          <w:bCs/>
          <w:lang w:val="en-GB" w:eastAsia="zh-CN"/>
        </w:rPr>
        <w:t>[</w:t>
      </w:r>
      <w:r w:rsidRPr="0037330A">
        <w:rPr>
          <w:rFonts w:ascii="Book Antiqua" w:hAnsi="Book Antiqua"/>
          <w:bCs/>
          <w:lang w:val="en-GB"/>
        </w:rPr>
        <w:t>95.5% response rate (</w:t>
      </w:r>
      <w:r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35), 42.9% (</w:t>
      </w:r>
      <w:r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15) using these</w:t>
      </w:r>
      <w:r w:rsidR="00ED2D8F" w:rsidRPr="0037330A">
        <w:rPr>
          <w:rFonts w:ascii="Book Antiqua" w:eastAsiaTheme="minorEastAsia" w:hAnsi="Book Antiqua"/>
          <w:bCs/>
          <w:lang w:val="en-GB" w:eastAsia="zh-CN"/>
        </w:rPr>
        <w:t>]</w:t>
      </w:r>
      <w:r w:rsidR="00FA7438" w:rsidRPr="0037330A">
        <w:rPr>
          <w:rFonts w:ascii="Book Antiqua" w:hAnsi="Book Antiqua"/>
          <w:bCs/>
          <w:lang w:val="en-GB"/>
        </w:rPr>
        <w:t xml:space="preserve">. </w:t>
      </w:r>
      <w:r w:rsidR="007034E2" w:rsidRPr="0037330A">
        <w:rPr>
          <w:rFonts w:ascii="Book Antiqua" w:hAnsi="Book Antiqua"/>
          <w:bCs/>
          <w:lang w:val="en-GB"/>
        </w:rPr>
        <w:t xml:space="preserve">The </w:t>
      </w:r>
      <w:r w:rsidR="003847B4" w:rsidRPr="0037330A">
        <w:rPr>
          <w:rFonts w:ascii="Book Antiqua" w:hAnsi="Book Antiqua"/>
          <w:bCs/>
          <w:lang w:val="en-GB"/>
        </w:rPr>
        <w:t xml:space="preserve">commonest </w:t>
      </w:r>
      <w:r w:rsidRPr="0037330A">
        <w:rPr>
          <w:rFonts w:ascii="Book Antiqua" w:hAnsi="Book Antiqua"/>
          <w:bCs/>
          <w:lang w:val="en-GB"/>
        </w:rPr>
        <w:t xml:space="preserve">needle size </w:t>
      </w:r>
      <w:r w:rsidR="003847B4" w:rsidRPr="0037330A">
        <w:rPr>
          <w:rFonts w:ascii="Book Antiqua" w:hAnsi="Book Antiqua"/>
          <w:bCs/>
          <w:lang w:val="en-GB"/>
        </w:rPr>
        <w:t>used w</w:t>
      </w:r>
      <w:r w:rsidRPr="0037330A">
        <w:rPr>
          <w:rFonts w:ascii="Book Antiqua" w:hAnsi="Book Antiqua"/>
          <w:bCs/>
          <w:lang w:val="en-GB"/>
        </w:rPr>
        <w:t>as</w:t>
      </w:r>
      <w:r w:rsidR="003847B4" w:rsidRPr="0037330A">
        <w:rPr>
          <w:rFonts w:ascii="Book Antiqua" w:hAnsi="Book Antiqua"/>
          <w:bCs/>
          <w:lang w:val="en-GB"/>
        </w:rPr>
        <w:t xml:space="preserve"> </w:t>
      </w:r>
      <w:r w:rsidRPr="0037330A">
        <w:rPr>
          <w:rFonts w:ascii="Book Antiqua" w:hAnsi="Book Antiqua"/>
          <w:bCs/>
          <w:lang w:val="en-GB"/>
        </w:rPr>
        <w:t xml:space="preserve">a needle length of </w:t>
      </w:r>
      <w:r w:rsidR="00433507" w:rsidRPr="0037330A">
        <w:rPr>
          <w:rFonts w:ascii="Book Antiqua" w:hAnsi="Book Antiqua"/>
          <w:bCs/>
          <w:lang w:val="en-GB"/>
        </w:rPr>
        <w:t xml:space="preserve">3/16 </w:t>
      </w:r>
      <w:r w:rsidRPr="0037330A">
        <w:rPr>
          <w:rFonts w:ascii="Book Antiqua" w:hAnsi="Book Antiqua"/>
          <w:bCs/>
          <w:lang w:val="en-GB"/>
        </w:rPr>
        <w:t xml:space="preserve">inch </w:t>
      </w:r>
      <w:r w:rsidR="00433507" w:rsidRPr="0037330A">
        <w:rPr>
          <w:rFonts w:ascii="Book Antiqua" w:hAnsi="Book Antiqua"/>
          <w:bCs/>
          <w:lang w:val="en-GB"/>
        </w:rPr>
        <w:t>(5</w:t>
      </w:r>
      <w:r w:rsidR="00ED2D8F" w:rsidRPr="0037330A">
        <w:rPr>
          <w:rFonts w:ascii="Book Antiqua" w:eastAsiaTheme="minorEastAsia" w:hAnsi="Book Antiqua"/>
          <w:bCs/>
          <w:lang w:val="en-GB" w:eastAsia="zh-CN"/>
        </w:rPr>
        <w:t xml:space="preserve"> </w:t>
      </w:r>
      <w:r w:rsidR="00433507" w:rsidRPr="0037330A">
        <w:rPr>
          <w:rFonts w:ascii="Book Antiqua" w:hAnsi="Book Antiqua"/>
          <w:bCs/>
          <w:lang w:val="en-GB"/>
        </w:rPr>
        <w:t>mm)</w:t>
      </w:r>
      <w:r w:rsidR="007034E2" w:rsidRPr="0037330A">
        <w:rPr>
          <w:rFonts w:ascii="Book Antiqua" w:hAnsi="Book Antiqua"/>
          <w:bCs/>
          <w:lang w:val="en-GB"/>
        </w:rPr>
        <w:t xml:space="preserve"> </w:t>
      </w:r>
      <w:r w:rsidR="00ED2D8F" w:rsidRPr="0037330A">
        <w:rPr>
          <w:rFonts w:ascii="Book Antiqua" w:eastAsiaTheme="minorEastAsia" w:hAnsi="Book Antiqua"/>
          <w:bCs/>
          <w:lang w:val="en-GB" w:eastAsia="zh-CN"/>
        </w:rPr>
        <w:t>[</w:t>
      </w:r>
      <w:r w:rsidR="000134C3" w:rsidRPr="0037330A">
        <w:rPr>
          <w:rFonts w:ascii="Book Antiqua" w:hAnsi="Book Antiqua"/>
          <w:bCs/>
          <w:lang w:val="en-GB"/>
        </w:rPr>
        <w:t xml:space="preserve">89.1% </w:t>
      </w:r>
      <w:r w:rsidRPr="0037330A">
        <w:rPr>
          <w:rFonts w:ascii="Book Antiqua" w:hAnsi="Book Antiqua"/>
          <w:bCs/>
          <w:lang w:val="en-GB"/>
        </w:rPr>
        <w:t>(</w:t>
      </w:r>
      <w:r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 xml:space="preserve">33) </w:t>
      </w:r>
      <w:r w:rsidR="000134C3" w:rsidRPr="0037330A">
        <w:rPr>
          <w:rFonts w:ascii="Book Antiqua" w:hAnsi="Book Antiqua"/>
          <w:bCs/>
          <w:lang w:val="en-GB"/>
        </w:rPr>
        <w:t xml:space="preserve">response rate, with </w:t>
      </w:r>
      <w:r w:rsidR="00433507" w:rsidRPr="0037330A">
        <w:rPr>
          <w:rFonts w:ascii="Book Antiqua" w:hAnsi="Book Antiqua"/>
          <w:bCs/>
          <w:lang w:val="en-GB"/>
        </w:rPr>
        <w:t>48.5%</w:t>
      </w:r>
      <w:r w:rsidRPr="0037330A">
        <w:rPr>
          <w:rFonts w:ascii="Book Antiqua" w:hAnsi="Book Antiqua"/>
          <w:bCs/>
          <w:lang w:val="en-GB"/>
        </w:rPr>
        <w:t xml:space="preserve"> (</w:t>
      </w:r>
      <w:r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16) using these</w:t>
      </w:r>
      <w:r w:rsidR="00ED2D8F" w:rsidRPr="0037330A">
        <w:rPr>
          <w:rFonts w:ascii="Book Antiqua" w:eastAsiaTheme="minorEastAsia" w:hAnsi="Book Antiqua"/>
          <w:bCs/>
          <w:lang w:val="en-GB" w:eastAsia="zh-CN"/>
        </w:rPr>
        <w:t>]</w:t>
      </w:r>
      <w:r w:rsidRPr="0037330A">
        <w:rPr>
          <w:rFonts w:ascii="Book Antiqua" w:hAnsi="Book Antiqua"/>
          <w:bCs/>
          <w:lang w:val="en-GB"/>
        </w:rPr>
        <w:t xml:space="preserve">. The commonest needle gauge was </w:t>
      </w:r>
      <w:r w:rsidR="00433507" w:rsidRPr="0037330A">
        <w:rPr>
          <w:rFonts w:ascii="Book Antiqua" w:hAnsi="Book Antiqua"/>
          <w:bCs/>
          <w:lang w:val="en-GB"/>
        </w:rPr>
        <w:t xml:space="preserve">28 </w:t>
      </w:r>
      <w:r w:rsidR="007034E2" w:rsidRPr="0037330A">
        <w:rPr>
          <w:rFonts w:ascii="Book Antiqua" w:hAnsi="Book Antiqua"/>
          <w:bCs/>
          <w:lang w:val="en-GB"/>
        </w:rPr>
        <w:t xml:space="preserve">needle gauge </w:t>
      </w:r>
      <w:r w:rsidR="00ED2D8F" w:rsidRPr="0037330A">
        <w:rPr>
          <w:rFonts w:ascii="Book Antiqua" w:eastAsiaTheme="minorEastAsia" w:hAnsi="Book Antiqua"/>
          <w:bCs/>
          <w:lang w:val="en-GB" w:eastAsia="zh-CN"/>
        </w:rPr>
        <w:t>[</w:t>
      </w:r>
      <w:r w:rsidR="000134C3" w:rsidRPr="0037330A">
        <w:rPr>
          <w:rFonts w:ascii="Book Antiqua" w:hAnsi="Book Antiqua"/>
          <w:bCs/>
          <w:lang w:val="en-GB"/>
        </w:rPr>
        <w:t>86.4%</w:t>
      </w:r>
      <w:r w:rsidRPr="0037330A">
        <w:rPr>
          <w:rFonts w:ascii="Book Antiqua" w:hAnsi="Book Antiqua"/>
          <w:bCs/>
          <w:lang w:val="en-GB"/>
        </w:rPr>
        <w:t xml:space="preserve"> (</w:t>
      </w:r>
      <w:r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 xml:space="preserve">32) response rate, with </w:t>
      </w:r>
      <w:r w:rsidR="00433507" w:rsidRPr="0037330A">
        <w:rPr>
          <w:rFonts w:ascii="Book Antiqua" w:hAnsi="Book Antiqua"/>
          <w:bCs/>
          <w:lang w:val="en-GB"/>
        </w:rPr>
        <w:t>43.8%</w:t>
      </w:r>
      <w:r w:rsidRPr="0037330A">
        <w:rPr>
          <w:rFonts w:ascii="Book Antiqua" w:hAnsi="Book Antiqua"/>
          <w:bCs/>
          <w:lang w:val="en-GB"/>
        </w:rPr>
        <w:t xml:space="preserve"> (</w:t>
      </w:r>
      <w:r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14) using these</w:t>
      </w:r>
      <w:r w:rsidR="00ED2D8F" w:rsidRPr="0037330A">
        <w:rPr>
          <w:rFonts w:ascii="Book Antiqua" w:eastAsiaTheme="minorEastAsia" w:hAnsi="Book Antiqua"/>
          <w:bCs/>
          <w:lang w:val="en-GB" w:eastAsia="zh-CN"/>
        </w:rPr>
        <w:t>]</w:t>
      </w:r>
      <w:r w:rsidRPr="0037330A">
        <w:rPr>
          <w:rFonts w:ascii="Book Antiqua" w:hAnsi="Book Antiqua"/>
          <w:bCs/>
          <w:lang w:val="en-GB"/>
        </w:rPr>
        <w:t xml:space="preserve">. </w:t>
      </w:r>
      <w:r w:rsidR="000F4291" w:rsidRPr="0037330A">
        <w:rPr>
          <w:rFonts w:ascii="Book Antiqua" w:hAnsi="Book Antiqua"/>
          <w:bCs/>
          <w:lang w:val="en-GB"/>
        </w:rPr>
        <w:t>Specific challenges were reported by individual countries: i</w:t>
      </w:r>
      <w:r w:rsidR="000F4291" w:rsidRPr="0037330A">
        <w:rPr>
          <w:rFonts w:ascii="Book Antiqua" w:hAnsi="Book Antiqua"/>
          <w:lang w:val="en-GB"/>
        </w:rPr>
        <w:t>n Ecuador, syringes were free in the public health system but the respondent noted the lengths available were inappropriately long for paediatric cases</w:t>
      </w:r>
      <w:r w:rsidR="000F4291" w:rsidRPr="0037330A">
        <w:rPr>
          <w:rFonts w:ascii="Book Antiqua" w:eastAsiaTheme="minorHAnsi" w:hAnsi="Book Antiqua"/>
          <w:lang w:val="en-GB"/>
        </w:rPr>
        <w:t xml:space="preserve"> </w:t>
      </w:r>
      <w:r w:rsidRPr="0037330A">
        <w:rPr>
          <w:rFonts w:ascii="Book Antiqua" w:hAnsi="Book Antiqua"/>
          <w:bCs/>
          <w:lang w:val="en-GB"/>
        </w:rPr>
        <w:t>Table</w:t>
      </w:r>
      <w:r w:rsidR="007034E2" w:rsidRPr="0037330A">
        <w:rPr>
          <w:rFonts w:ascii="Book Antiqua" w:hAnsi="Book Antiqua"/>
          <w:bCs/>
          <w:lang w:val="en-GB"/>
        </w:rPr>
        <w:t xml:space="preserve"> </w:t>
      </w:r>
      <w:r w:rsidR="00B53DCA" w:rsidRPr="0037330A">
        <w:rPr>
          <w:rFonts w:ascii="Book Antiqua" w:hAnsi="Book Antiqua"/>
          <w:bCs/>
          <w:lang w:val="en-GB"/>
        </w:rPr>
        <w:t>2</w:t>
      </w:r>
      <w:r w:rsidR="007034E2" w:rsidRPr="0037330A">
        <w:rPr>
          <w:rFonts w:ascii="Book Antiqua" w:hAnsi="Book Antiqua"/>
          <w:bCs/>
          <w:color w:val="00B050"/>
          <w:lang w:val="en-GB"/>
        </w:rPr>
        <w:t xml:space="preserve"> </w:t>
      </w:r>
      <w:r w:rsidR="007034E2" w:rsidRPr="0037330A">
        <w:rPr>
          <w:rFonts w:ascii="Book Antiqua" w:hAnsi="Book Antiqua"/>
          <w:bCs/>
          <w:lang w:val="en-GB"/>
        </w:rPr>
        <w:t>provides further details</w:t>
      </w:r>
      <w:r w:rsidR="000F4291" w:rsidRPr="0037330A">
        <w:rPr>
          <w:rFonts w:ascii="Book Antiqua" w:hAnsi="Book Antiqua"/>
          <w:bCs/>
          <w:lang w:val="en-GB"/>
        </w:rPr>
        <w:t xml:space="preserve">. </w:t>
      </w:r>
    </w:p>
    <w:p w14:paraId="379ACC3D" w14:textId="33713D54" w:rsidR="00F95CC7" w:rsidRPr="0037330A" w:rsidRDefault="004B4B83" w:rsidP="00146B63">
      <w:pPr>
        <w:autoSpaceDE w:val="0"/>
        <w:autoSpaceDN w:val="0"/>
        <w:adjustRightInd w:val="0"/>
        <w:snapToGrid w:val="0"/>
        <w:spacing w:line="360" w:lineRule="auto"/>
        <w:ind w:firstLineChars="100" w:firstLine="240"/>
        <w:jc w:val="both"/>
        <w:rPr>
          <w:rFonts w:ascii="Book Antiqua" w:hAnsi="Book Antiqua"/>
          <w:bCs/>
          <w:lang w:val="en-GB"/>
        </w:rPr>
      </w:pPr>
      <w:r w:rsidRPr="0037330A">
        <w:rPr>
          <w:rFonts w:ascii="Book Antiqua" w:hAnsi="Book Antiqua"/>
          <w:bCs/>
          <w:lang w:val="en-GB"/>
        </w:rPr>
        <w:t>74.3% (</w:t>
      </w:r>
      <w:r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Pr="0037330A">
        <w:rPr>
          <w:rFonts w:ascii="Book Antiqua" w:hAnsi="Book Antiqua"/>
          <w:bCs/>
          <w:lang w:val="en-GB"/>
        </w:rPr>
        <w:t>2</w:t>
      </w:r>
      <w:r w:rsidR="009E281A" w:rsidRPr="0037330A">
        <w:rPr>
          <w:rFonts w:ascii="Book Antiqua" w:hAnsi="Book Antiqua"/>
          <w:bCs/>
          <w:lang w:val="en-GB"/>
        </w:rPr>
        <w:t>6</w:t>
      </w:r>
      <w:r w:rsidRPr="0037330A">
        <w:rPr>
          <w:rFonts w:ascii="Book Antiqua" w:hAnsi="Book Antiqua"/>
          <w:bCs/>
          <w:lang w:val="en-GB"/>
        </w:rPr>
        <w:t>) of r</w:t>
      </w:r>
      <w:r w:rsidR="00F95CC7" w:rsidRPr="0037330A">
        <w:rPr>
          <w:rFonts w:ascii="Book Antiqua" w:hAnsi="Book Antiqua"/>
          <w:bCs/>
          <w:lang w:val="en-GB"/>
        </w:rPr>
        <w:t>espondents indicated that patients preferred pens</w:t>
      </w:r>
      <w:r w:rsidR="009E281A" w:rsidRPr="0037330A">
        <w:rPr>
          <w:rFonts w:ascii="Book Antiqua" w:hAnsi="Book Antiqua"/>
          <w:bCs/>
          <w:lang w:val="en-GB"/>
        </w:rPr>
        <w:t>, 20.0%</w:t>
      </w:r>
      <w:r w:rsidR="007D613C" w:rsidRPr="0037330A">
        <w:rPr>
          <w:rFonts w:ascii="Book Antiqua" w:hAnsi="Book Antiqua"/>
          <w:bCs/>
          <w:lang w:val="en-GB"/>
        </w:rPr>
        <w:t xml:space="preserve"> (</w:t>
      </w:r>
      <w:r w:rsidR="007D613C"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7D613C"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7D613C" w:rsidRPr="0037330A">
        <w:rPr>
          <w:rFonts w:ascii="Book Antiqua" w:hAnsi="Book Antiqua"/>
          <w:bCs/>
          <w:lang w:val="en-GB"/>
        </w:rPr>
        <w:t>7) syringes</w:t>
      </w:r>
      <w:r w:rsidR="009E281A" w:rsidRPr="0037330A">
        <w:rPr>
          <w:rFonts w:ascii="Book Antiqua" w:hAnsi="Book Antiqua"/>
          <w:bCs/>
          <w:lang w:val="en-GB"/>
        </w:rPr>
        <w:t>,</w:t>
      </w:r>
      <w:r w:rsidR="007D613C" w:rsidRPr="0037330A">
        <w:rPr>
          <w:rFonts w:ascii="Book Antiqua" w:hAnsi="Book Antiqua"/>
          <w:bCs/>
          <w:lang w:val="en-GB"/>
        </w:rPr>
        <w:t xml:space="preserve"> and 5.7% (</w:t>
      </w:r>
      <w:r w:rsidR="007D613C"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7D613C"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7D613C" w:rsidRPr="0037330A">
        <w:rPr>
          <w:rFonts w:ascii="Book Antiqua" w:hAnsi="Book Antiqua"/>
          <w:bCs/>
          <w:lang w:val="en-GB"/>
        </w:rPr>
        <w:t>2)</w:t>
      </w:r>
      <w:r w:rsidR="004D6857" w:rsidRPr="0037330A">
        <w:rPr>
          <w:rFonts w:ascii="Book Antiqua" w:hAnsi="Book Antiqua"/>
          <w:bCs/>
          <w:lang w:val="en-GB"/>
        </w:rPr>
        <w:t xml:space="preserve"> </w:t>
      </w:r>
      <w:r w:rsidR="007D613C" w:rsidRPr="0037330A">
        <w:rPr>
          <w:rFonts w:ascii="Book Antiqua" w:hAnsi="Book Antiqua"/>
          <w:bCs/>
          <w:lang w:val="en-GB"/>
        </w:rPr>
        <w:t>both</w:t>
      </w:r>
      <w:r w:rsidR="00F95CC7" w:rsidRPr="0037330A">
        <w:rPr>
          <w:rFonts w:ascii="Book Antiqua" w:hAnsi="Book Antiqua"/>
          <w:bCs/>
          <w:lang w:val="en-GB"/>
        </w:rPr>
        <w:t xml:space="preserve">. </w:t>
      </w:r>
      <w:r w:rsidR="00897EBF" w:rsidRPr="0037330A">
        <w:rPr>
          <w:rFonts w:ascii="Book Antiqua" w:hAnsi="Book Antiqua"/>
          <w:bCs/>
          <w:lang w:val="en-GB"/>
        </w:rPr>
        <w:t xml:space="preserve">The most common injection site </w:t>
      </w:r>
      <w:r w:rsidR="00501817" w:rsidRPr="0037330A">
        <w:rPr>
          <w:rFonts w:ascii="Book Antiqua" w:hAnsi="Book Antiqua"/>
          <w:bCs/>
          <w:lang w:val="en-GB"/>
        </w:rPr>
        <w:t>w</w:t>
      </w:r>
      <w:r w:rsidR="00ED2D8F" w:rsidRPr="0037330A">
        <w:rPr>
          <w:rFonts w:ascii="Book Antiqua" w:eastAsiaTheme="minorEastAsia" w:hAnsi="Book Antiqua"/>
          <w:bCs/>
          <w:lang w:val="en-GB" w:eastAsia="zh-CN"/>
        </w:rPr>
        <w:t>as</w:t>
      </w:r>
      <w:r w:rsidR="00897EBF" w:rsidRPr="0037330A">
        <w:rPr>
          <w:rFonts w:ascii="Book Antiqua" w:hAnsi="Book Antiqua"/>
          <w:bCs/>
          <w:lang w:val="en-GB"/>
        </w:rPr>
        <w:t xml:space="preserve"> </w:t>
      </w:r>
      <w:r w:rsidR="0008771F" w:rsidRPr="0037330A">
        <w:rPr>
          <w:rFonts w:ascii="Book Antiqua" w:hAnsi="Book Antiqua"/>
          <w:bCs/>
          <w:lang w:val="en-GB"/>
        </w:rPr>
        <w:t>thighs</w:t>
      </w:r>
      <w:r w:rsidR="00ED2D8F"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897EBF" w:rsidRPr="0037330A">
        <w:rPr>
          <w:rFonts w:ascii="Book Antiqua" w:hAnsi="Book Antiqua"/>
          <w:bCs/>
          <w:lang w:val="en-GB"/>
        </w:rPr>
        <w:t xml:space="preserve">followed by </w:t>
      </w:r>
      <w:r w:rsidR="0008771F" w:rsidRPr="0037330A">
        <w:rPr>
          <w:rFonts w:ascii="Book Antiqua" w:hAnsi="Book Antiqua"/>
          <w:bCs/>
          <w:lang w:val="en-GB"/>
        </w:rPr>
        <w:t>stomach</w:t>
      </w:r>
      <w:r w:rsidR="00897EBF" w:rsidRPr="0037330A">
        <w:rPr>
          <w:rFonts w:ascii="Book Antiqua" w:hAnsi="Book Antiqua"/>
          <w:bCs/>
          <w:lang w:val="en-GB"/>
        </w:rPr>
        <w:t xml:space="preserve">. Table </w:t>
      </w:r>
      <w:r w:rsidR="00B53DCA" w:rsidRPr="0037330A">
        <w:rPr>
          <w:rFonts w:ascii="Book Antiqua" w:hAnsi="Book Antiqua"/>
          <w:bCs/>
          <w:lang w:val="en-GB"/>
        </w:rPr>
        <w:t>3</w:t>
      </w:r>
      <w:r w:rsidR="00897EBF" w:rsidRPr="0037330A">
        <w:rPr>
          <w:rFonts w:ascii="Book Antiqua" w:hAnsi="Book Antiqua"/>
          <w:bCs/>
          <w:lang w:val="en-GB"/>
        </w:rPr>
        <w:t xml:space="preserve"> provides further detail.</w:t>
      </w:r>
      <w:r w:rsidR="000647E8" w:rsidRPr="0037330A">
        <w:rPr>
          <w:rFonts w:ascii="Book Antiqua" w:hAnsi="Book Antiqua"/>
          <w:bCs/>
          <w:lang w:val="en-GB"/>
        </w:rPr>
        <w:t xml:space="preserve"> The most common age that centres educated patients with the tools to begin self-administering insulin injections was </w:t>
      </w:r>
      <w:r w:rsidR="00043CBC" w:rsidRPr="0037330A">
        <w:rPr>
          <w:rFonts w:ascii="Book Antiqua" w:hAnsi="Book Antiqua"/>
          <w:bCs/>
          <w:lang w:val="en-GB"/>
        </w:rPr>
        <w:t>10</w:t>
      </w:r>
      <w:r w:rsidR="000647E8" w:rsidRPr="0037330A">
        <w:rPr>
          <w:rFonts w:ascii="Book Antiqua" w:hAnsi="Book Antiqua"/>
          <w:bCs/>
          <w:lang w:val="en-GB"/>
        </w:rPr>
        <w:t xml:space="preserve"> years old, followed by </w:t>
      </w:r>
      <w:r w:rsidR="00043CBC" w:rsidRPr="0037330A">
        <w:rPr>
          <w:rFonts w:ascii="Book Antiqua" w:hAnsi="Book Antiqua"/>
          <w:bCs/>
          <w:lang w:val="en-GB"/>
        </w:rPr>
        <w:t>eight years old</w:t>
      </w:r>
      <w:r w:rsidR="000647E8" w:rsidRPr="0037330A">
        <w:rPr>
          <w:rFonts w:ascii="Book Antiqua" w:hAnsi="Book Antiqua"/>
          <w:bCs/>
          <w:lang w:val="en-GB"/>
        </w:rPr>
        <w:t>.</w:t>
      </w:r>
      <w:r w:rsidR="00C74C6F" w:rsidRPr="0037330A">
        <w:rPr>
          <w:rFonts w:ascii="Book Antiqua" w:hAnsi="Book Antiqua"/>
          <w:bCs/>
          <w:lang w:val="en-GB"/>
        </w:rPr>
        <w:t xml:space="preserve"> Table </w:t>
      </w:r>
      <w:r w:rsidR="00B53DCA" w:rsidRPr="0037330A">
        <w:rPr>
          <w:rFonts w:ascii="Book Antiqua" w:hAnsi="Book Antiqua"/>
          <w:bCs/>
          <w:lang w:val="en-GB"/>
        </w:rPr>
        <w:t>4</w:t>
      </w:r>
      <w:r w:rsidR="00C74C6F" w:rsidRPr="0037330A">
        <w:rPr>
          <w:rFonts w:ascii="Book Antiqua" w:hAnsi="Book Antiqua"/>
          <w:bCs/>
          <w:lang w:val="en-GB"/>
        </w:rPr>
        <w:t xml:space="preserve"> provides further detail.</w:t>
      </w:r>
      <w:r w:rsidR="000647E8" w:rsidRPr="0037330A">
        <w:rPr>
          <w:rFonts w:ascii="Book Antiqua" w:hAnsi="Book Antiqua"/>
          <w:bCs/>
          <w:lang w:val="en-GB"/>
        </w:rPr>
        <w:t xml:space="preserve"> </w:t>
      </w:r>
      <w:r w:rsidR="00C74C6F" w:rsidRPr="0037330A">
        <w:rPr>
          <w:rFonts w:ascii="Book Antiqua" w:hAnsi="Book Antiqua"/>
          <w:bCs/>
          <w:lang w:val="en-GB"/>
        </w:rPr>
        <w:t xml:space="preserve">In Ecuador, Jamaica, Pakistan, Tajikistan, and Tanzania, respondents noted that this would vary on an individual patient basis. Respondents from Philippines and St Lucia did not answer. </w:t>
      </w:r>
    </w:p>
    <w:p w14:paraId="43DBEBA9" w14:textId="04BAC781" w:rsidR="00BE7B32" w:rsidRPr="0037330A" w:rsidRDefault="006312DE" w:rsidP="00146B63">
      <w:pPr>
        <w:tabs>
          <w:tab w:val="left" w:pos="0"/>
        </w:tabs>
        <w:snapToGrid w:val="0"/>
        <w:spacing w:line="360" w:lineRule="auto"/>
        <w:ind w:firstLineChars="100" w:firstLine="240"/>
        <w:jc w:val="both"/>
        <w:rPr>
          <w:rFonts w:ascii="Book Antiqua" w:hAnsi="Book Antiqua"/>
          <w:bCs/>
          <w:lang w:val="en-GB"/>
        </w:rPr>
      </w:pPr>
      <w:r w:rsidRPr="0037330A">
        <w:rPr>
          <w:rFonts w:ascii="Book Antiqua" w:hAnsi="Book Antiqua"/>
          <w:bCs/>
          <w:color w:val="000000" w:themeColor="text1"/>
          <w:lang w:val="en-GB"/>
        </w:rPr>
        <w:t xml:space="preserve">In terms of needle reuse, </w:t>
      </w:r>
      <w:r w:rsidR="00F95CC7" w:rsidRPr="0037330A">
        <w:rPr>
          <w:rFonts w:ascii="Book Antiqua" w:hAnsi="Book Antiqua"/>
          <w:bCs/>
          <w:color w:val="000000" w:themeColor="text1"/>
          <w:lang w:val="en-GB"/>
        </w:rPr>
        <w:t xml:space="preserve">respondents noted that patients mostly tended to use their needle </w:t>
      </w:r>
      <w:r w:rsidR="00251C7C" w:rsidRPr="0037330A">
        <w:rPr>
          <w:rFonts w:ascii="Book Antiqua" w:hAnsi="Book Antiqua"/>
          <w:bCs/>
          <w:color w:val="000000" w:themeColor="text1"/>
          <w:lang w:val="en-GB"/>
        </w:rPr>
        <w:t>more than once, but less than five</w:t>
      </w:r>
      <w:r w:rsidR="00F95CC7" w:rsidRPr="0037330A">
        <w:rPr>
          <w:rFonts w:ascii="Book Antiqua" w:hAnsi="Book Antiqua"/>
          <w:bCs/>
          <w:color w:val="000000" w:themeColor="text1"/>
          <w:lang w:val="en-GB"/>
        </w:rPr>
        <w:t xml:space="preserve"> times before disposal</w:t>
      </w:r>
      <w:r w:rsidR="007D7BDA" w:rsidRPr="0037330A">
        <w:rPr>
          <w:rFonts w:ascii="Book Antiqua" w:hAnsi="Book Antiqua"/>
          <w:bCs/>
          <w:color w:val="000000" w:themeColor="text1"/>
          <w:lang w:val="en-GB"/>
        </w:rPr>
        <w:t xml:space="preserve">, with 35 centres responding </w:t>
      </w:r>
      <w:r w:rsidR="00BE7B32" w:rsidRPr="0037330A">
        <w:rPr>
          <w:rFonts w:ascii="Book Antiqua" w:hAnsi="Book Antiqua"/>
          <w:bCs/>
          <w:color w:val="000000" w:themeColor="text1"/>
          <w:lang w:val="en-GB"/>
        </w:rPr>
        <w:t xml:space="preserve">(see </w:t>
      </w:r>
      <w:r w:rsidR="00BE7B32" w:rsidRPr="0037330A">
        <w:rPr>
          <w:rFonts w:ascii="Book Antiqua" w:hAnsi="Book Antiqua"/>
          <w:bCs/>
          <w:lang w:val="en-GB"/>
        </w:rPr>
        <w:t>T</w:t>
      </w:r>
      <w:r w:rsidR="00F95CC7" w:rsidRPr="0037330A">
        <w:rPr>
          <w:rFonts w:ascii="Book Antiqua" w:hAnsi="Book Antiqua"/>
          <w:bCs/>
          <w:lang w:val="en-GB"/>
        </w:rPr>
        <w:t xml:space="preserve">able </w:t>
      </w:r>
      <w:r w:rsidR="007D7BDA" w:rsidRPr="0037330A">
        <w:rPr>
          <w:rFonts w:ascii="Book Antiqua" w:hAnsi="Book Antiqua"/>
          <w:bCs/>
          <w:lang w:val="en-GB"/>
        </w:rPr>
        <w:t>5</w:t>
      </w:r>
      <w:r w:rsidR="00BE7B32" w:rsidRPr="0037330A">
        <w:rPr>
          <w:rFonts w:ascii="Book Antiqua" w:hAnsi="Book Antiqua"/>
          <w:bCs/>
          <w:lang w:val="en-GB"/>
        </w:rPr>
        <w:t>)</w:t>
      </w:r>
      <w:r w:rsidR="00F95CC7" w:rsidRPr="0037330A">
        <w:rPr>
          <w:rFonts w:ascii="Book Antiqua" w:hAnsi="Book Antiqua"/>
          <w:bCs/>
          <w:lang w:val="en-GB"/>
        </w:rPr>
        <w:t>.</w:t>
      </w:r>
      <w:r w:rsidRPr="0037330A">
        <w:rPr>
          <w:rFonts w:ascii="Book Antiqua" w:hAnsi="Book Antiqua"/>
          <w:bCs/>
          <w:lang w:val="en-GB"/>
        </w:rPr>
        <w:t xml:space="preserve"> </w:t>
      </w:r>
    </w:p>
    <w:p w14:paraId="73C498FD" w14:textId="0B688FAF" w:rsidR="00BE7B32" w:rsidRPr="0037330A" w:rsidRDefault="009463FB"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37330A">
        <w:rPr>
          <w:rFonts w:ascii="Book Antiqua" w:hAnsi="Book Antiqua"/>
          <w:bCs/>
          <w:color w:val="000000" w:themeColor="text1"/>
          <w:lang w:val="en-GB"/>
        </w:rPr>
        <w:t xml:space="preserve">As a result of needle reuse, </w:t>
      </w:r>
      <w:r w:rsidR="00251C7C" w:rsidRPr="0037330A">
        <w:rPr>
          <w:rFonts w:ascii="Book Antiqua" w:hAnsi="Book Antiqua"/>
          <w:bCs/>
          <w:color w:val="000000" w:themeColor="text1"/>
          <w:lang w:val="en-GB"/>
        </w:rPr>
        <w:t>13.9</w:t>
      </w:r>
      <w:r w:rsidRPr="0037330A">
        <w:rPr>
          <w:rFonts w:ascii="Book Antiqua" w:hAnsi="Book Antiqua"/>
          <w:bCs/>
          <w:color w:val="000000" w:themeColor="text1"/>
          <w:lang w:val="en-GB"/>
        </w:rPr>
        <w:t xml:space="preserve">% </w:t>
      </w:r>
      <w:r w:rsidR="00BE7B32" w:rsidRPr="0037330A">
        <w:rPr>
          <w:rFonts w:ascii="Book Antiqua" w:hAnsi="Book Antiqua"/>
          <w:bCs/>
          <w:color w:val="000000" w:themeColor="text1"/>
          <w:lang w:val="en-GB"/>
        </w:rPr>
        <w:t>(</w:t>
      </w:r>
      <w:r w:rsidR="00BE7B32" w:rsidRPr="0037330A">
        <w:rPr>
          <w:rFonts w:ascii="Book Antiqua" w:hAnsi="Book Antiqua"/>
          <w:bCs/>
          <w:i/>
          <w:color w:val="000000" w:themeColor="text1"/>
          <w:lang w:val="en-GB"/>
        </w:rPr>
        <w:t>n</w:t>
      </w:r>
      <w:r w:rsidR="00ED2D8F" w:rsidRPr="0037330A">
        <w:rPr>
          <w:rFonts w:ascii="Book Antiqua" w:eastAsiaTheme="minorEastAsia" w:hAnsi="Book Antiqua"/>
          <w:bCs/>
          <w:color w:val="000000" w:themeColor="text1"/>
          <w:lang w:val="en-GB" w:eastAsia="zh-CN"/>
        </w:rPr>
        <w:t xml:space="preserve"> </w:t>
      </w:r>
      <w:r w:rsidR="00BE7B32" w:rsidRPr="0037330A">
        <w:rPr>
          <w:rFonts w:ascii="Book Antiqua" w:hAnsi="Book Antiqua"/>
          <w:bCs/>
          <w:color w:val="000000" w:themeColor="text1"/>
          <w:lang w:val="en-GB"/>
        </w:rPr>
        <w:t>=</w:t>
      </w:r>
      <w:r w:rsidR="00ED2D8F" w:rsidRPr="0037330A">
        <w:rPr>
          <w:rFonts w:ascii="Book Antiqua" w:eastAsiaTheme="minorEastAsia" w:hAnsi="Book Antiqua"/>
          <w:bCs/>
          <w:color w:val="000000" w:themeColor="text1"/>
          <w:lang w:val="en-GB" w:eastAsia="zh-CN"/>
        </w:rPr>
        <w:t xml:space="preserve"> </w:t>
      </w:r>
      <w:r w:rsidR="00AC5EEE" w:rsidRPr="0037330A">
        <w:rPr>
          <w:rFonts w:ascii="Book Antiqua" w:hAnsi="Book Antiqua"/>
          <w:bCs/>
          <w:color w:val="000000" w:themeColor="text1"/>
          <w:lang w:val="en-GB"/>
        </w:rPr>
        <w:t>5</w:t>
      </w:r>
      <w:r w:rsidR="00BE7B32" w:rsidRPr="0037330A">
        <w:rPr>
          <w:rFonts w:ascii="Book Antiqua" w:hAnsi="Book Antiqua"/>
          <w:bCs/>
          <w:color w:val="000000" w:themeColor="text1"/>
          <w:lang w:val="en-GB"/>
        </w:rPr>
        <w:t xml:space="preserve">) </w:t>
      </w:r>
      <w:r w:rsidRPr="0037330A">
        <w:rPr>
          <w:rFonts w:ascii="Book Antiqua" w:hAnsi="Book Antiqua"/>
          <w:bCs/>
          <w:color w:val="000000" w:themeColor="text1"/>
          <w:lang w:val="en-GB"/>
        </w:rPr>
        <w:t xml:space="preserve">of respondents </w:t>
      </w:r>
      <w:r w:rsidR="00770BAC" w:rsidRPr="0037330A">
        <w:rPr>
          <w:rFonts w:ascii="Book Antiqua" w:hAnsi="Book Antiqua"/>
          <w:bCs/>
          <w:color w:val="000000" w:themeColor="text1"/>
          <w:lang w:val="en-GB"/>
        </w:rPr>
        <w:t>stated</w:t>
      </w:r>
      <w:r w:rsidRPr="0037330A">
        <w:rPr>
          <w:rFonts w:ascii="Book Antiqua" w:hAnsi="Book Antiqua"/>
          <w:bCs/>
          <w:color w:val="000000" w:themeColor="text1"/>
          <w:lang w:val="en-GB"/>
        </w:rPr>
        <w:t xml:space="preserve"> </w:t>
      </w:r>
      <w:r w:rsidR="00251C7C" w:rsidRPr="0037330A">
        <w:rPr>
          <w:rFonts w:ascii="Book Antiqua" w:hAnsi="Book Antiqua"/>
          <w:bCs/>
          <w:color w:val="000000" w:themeColor="text1"/>
          <w:lang w:val="en-GB"/>
        </w:rPr>
        <w:t>infection</w:t>
      </w:r>
      <w:r w:rsidRPr="0037330A">
        <w:rPr>
          <w:rFonts w:ascii="Book Antiqua" w:hAnsi="Book Antiqua"/>
          <w:bCs/>
          <w:color w:val="000000" w:themeColor="text1"/>
          <w:lang w:val="en-GB"/>
        </w:rPr>
        <w:t xml:space="preserve"> issues were </w:t>
      </w:r>
      <w:r w:rsidR="00ED2D8F" w:rsidRPr="0037330A">
        <w:rPr>
          <w:rFonts w:ascii="Book Antiqua" w:eastAsiaTheme="minorEastAsia" w:hAnsi="Book Antiqua"/>
          <w:bCs/>
          <w:color w:val="000000" w:themeColor="text1"/>
          <w:lang w:val="en-GB" w:eastAsia="zh-CN"/>
        </w:rPr>
        <w:t>“</w:t>
      </w:r>
      <w:r w:rsidRPr="0037330A">
        <w:rPr>
          <w:rFonts w:ascii="Book Antiqua" w:hAnsi="Book Antiqua"/>
          <w:bCs/>
          <w:color w:val="000000" w:themeColor="text1"/>
          <w:lang w:val="en-GB"/>
        </w:rPr>
        <w:t>common</w:t>
      </w:r>
      <w:r w:rsidR="00ED2D8F" w:rsidRPr="0037330A">
        <w:rPr>
          <w:rFonts w:ascii="Book Antiqua" w:eastAsiaTheme="minorEastAsia" w:hAnsi="Book Antiqua"/>
          <w:bCs/>
          <w:color w:val="000000" w:themeColor="text1"/>
          <w:lang w:val="en-GB" w:eastAsia="zh-CN"/>
        </w:rPr>
        <w:t>”</w:t>
      </w:r>
      <w:r w:rsidRPr="0037330A">
        <w:rPr>
          <w:rFonts w:ascii="Book Antiqua" w:hAnsi="Book Antiqua"/>
          <w:bCs/>
          <w:color w:val="000000" w:themeColor="text1"/>
          <w:lang w:val="en-GB"/>
        </w:rPr>
        <w:t xml:space="preserve">, </w:t>
      </w:r>
      <w:r w:rsidR="00251C7C" w:rsidRPr="0037330A">
        <w:rPr>
          <w:rFonts w:ascii="Book Antiqua" w:hAnsi="Book Antiqua"/>
          <w:bCs/>
          <w:color w:val="000000" w:themeColor="text1"/>
          <w:lang w:val="en-GB"/>
        </w:rPr>
        <w:t>33.</w:t>
      </w:r>
      <w:r w:rsidR="00AC5EEE" w:rsidRPr="0037330A">
        <w:rPr>
          <w:rFonts w:ascii="Book Antiqua" w:hAnsi="Book Antiqua"/>
          <w:bCs/>
          <w:color w:val="000000" w:themeColor="text1"/>
          <w:lang w:val="en-GB"/>
        </w:rPr>
        <w:t>3</w:t>
      </w:r>
      <w:r w:rsidR="00251C7C" w:rsidRPr="0037330A">
        <w:rPr>
          <w:rFonts w:ascii="Book Antiqua" w:hAnsi="Book Antiqua"/>
          <w:bCs/>
          <w:color w:val="000000" w:themeColor="text1"/>
          <w:lang w:val="en-GB"/>
        </w:rPr>
        <w:t>%</w:t>
      </w:r>
      <w:r w:rsidRPr="0037330A">
        <w:rPr>
          <w:rFonts w:ascii="Book Antiqua" w:hAnsi="Book Antiqua"/>
          <w:bCs/>
          <w:color w:val="000000" w:themeColor="text1"/>
          <w:lang w:val="en-GB"/>
        </w:rPr>
        <w:t xml:space="preserve"> </w:t>
      </w:r>
      <w:r w:rsidR="009719C3" w:rsidRPr="0037330A">
        <w:rPr>
          <w:rFonts w:ascii="Book Antiqua" w:hAnsi="Book Antiqua"/>
          <w:bCs/>
          <w:color w:val="000000" w:themeColor="text1"/>
          <w:lang w:val="en-GB"/>
        </w:rPr>
        <w:t>(</w:t>
      </w:r>
      <w:r w:rsidR="009719C3" w:rsidRPr="0037330A">
        <w:rPr>
          <w:rFonts w:ascii="Book Antiqua" w:hAnsi="Book Antiqua"/>
          <w:bCs/>
          <w:i/>
          <w:color w:val="000000" w:themeColor="text1"/>
          <w:lang w:val="en-GB"/>
        </w:rPr>
        <w:t>n</w:t>
      </w:r>
      <w:r w:rsidR="00ED2D8F" w:rsidRPr="0037330A">
        <w:rPr>
          <w:rFonts w:ascii="Book Antiqua" w:eastAsiaTheme="minorEastAsia" w:hAnsi="Book Antiqua"/>
          <w:bCs/>
          <w:color w:val="000000" w:themeColor="text1"/>
          <w:lang w:val="en-GB" w:eastAsia="zh-CN"/>
        </w:rPr>
        <w:t xml:space="preserve"> </w:t>
      </w:r>
      <w:r w:rsidR="009719C3" w:rsidRPr="0037330A">
        <w:rPr>
          <w:rFonts w:ascii="Book Antiqua" w:hAnsi="Book Antiqua"/>
          <w:bCs/>
          <w:color w:val="000000" w:themeColor="text1"/>
          <w:lang w:val="en-GB"/>
        </w:rPr>
        <w:t>=</w:t>
      </w:r>
      <w:r w:rsidR="00ED2D8F" w:rsidRPr="0037330A">
        <w:rPr>
          <w:rFonts w:ascii="Book Antiqua" w:eastAsiaTheme="minorEastAsia" w:hAnsi="Book Antiqua"/>
          <w:bCs/>
          <w:color w:val="000000" w:themeColor="text1"/>
          <w:lang w:val="en-GB" w:eastAsia="zh-CN"/>
        </w:rPr>
        <w:t xml:space="preserve"> </w:t>
      </w:r>
      <w:r w:rsidR="00AC5EEE" w:rsidRPr="0037330A">
        <w:rPr>
          <w:rFonts w:ascii="Book Antiqua" w:hAnsi="Book Antiqua"/>
          <w:bCs/>
          <w:color w:val="000000" w:themeColor="text1"/>
          <w:lang w:val="en-GB"/>
        </w:rPr>
        <w:t>12</w:t>
      </w:r>
      <w:r w:rsidR="009719C3" w:rsidRPr="0037330A">
        <w:rPr>
          <w:rFonts w:ascii="Book Antiqua" w:hAnsi="Book Antiqua"/>
          <w:bCs/>
          <w:color w:val="000000" w:themeColor="text1"/>
          <w:lang w:val="en-GB"/>
        </w:rPr>
        <w:t xml:space="preserve">) </w:t>
      </w:r>
      <w:r w:rsidR="00ED2D8F" w:rsidRPr="0037330A">
        <w:rPr>
          <w:rFonts w:ascii="Book Antiqua" w:eastAsiaTheme="minorEastAsia" w:hAnsi="Book Antiqua"/>
          <w:bCs/>
          <w:color w:val="000000" w:themeColor="text1"/>
          <w:lang w:val="en-GB" w:eastAsia="zh-CN"/>
        </w:rPr>
        <w:t>“</w:t>
      </w:r>
      <w:r w:rsidRPr="0037330A">
        <w:rPr>
          <w:rFonts w:ascii="Book Antiqua" w:hAnsi="Book Antiqua"/>
          <w:bCs/>
          <w:color w:val="000000" w:themeColor="text1"/>
          <w:lang w:val="en-GB"/>
        </w:rPr>
        <w:t>not uncommon</w:t>
      </w:r>
      <w:r w:rsidR="00ED2D8F" w:rsidRPr="0037330A">
        <w:rPr>
          <w:rFonts w:ascii="Book Antiqua" w:eastAsiaTheme="minorEastAsia" w:hAnsi="Book Antiqua"/>
          <w:bCs/>
          <w:color w:val="000000" w:themeColor="text1"/>
          <w:lang w:val="en-GB" w:eastAsia="zh-CN"/>
        </w:rPr>
        <w:t>”</w:t>
      </w:r>
      <w:r w:rsidRPr="0037330A">
        <w:rPr>
          <w:rFonts w:ascii="Book Antiqua" w:hAnsi="Book Antiqua"/>
          <w:bCs/>
          <w:color w:val="000000" w:themeColor="text1"/>
          <w:lang w:val="en-GB"/>
        </w:rPr>
        <w:t xml:space="preserve">, </w:t>
      </w:r>
      <w:r w:rsidR="00AC5EEE" w:rsidRPr="0037330A">
        <w:rPr>
          <w:rFonts w:ascii="Book Antiqua" w:hAnsi="Book Antiqua"/>
          <w:bCs/>
          <w:color w:val="000000" w:themeColor="text1"/>
          <w:lang w:val="en-GB"/>
        </w:rPr>
        <w:t>30</w:t>
      </w:r>
      <w:r w:rsidR="00251C7C" w:rsidRPr="0037330A">
        <w:rPr>
          <w:rFonts w:ascii="Book Antiqua" w:hAnsi="Book Antiqua"/>
          <w:bCs/>
          <w:color w:val="000000" w:themeColor="text1"/>
          <w:lang w:val="en-GB"/>
        </w:rPr>
        <w:t xml:space="preserve">.6% </w:t>
      </w:r>
      <w:r w:rsidR="009719C3" w:rsidRPr="0037330A">
        <w:rPr>
          <w:rFonts w:ascii="Book Antiqua" w:hAnsi="Book Antiqua"/>
          <w:bCs/>
          <w:color w:val="000000" w:themeColor="text1"/>
          <w:lang w:val="en-GB"/>
        </w:rPr>
        <w:t>(</w:t>
      </w:r>
      <w:r w:rsidR="009719C3" w:rsidRPr="0037330A">
        <w:rPr>
          <w:rFonts w:ascii="Book Antiqua" w:hAnsi="Book Antiqua"/>
          <w:bCs/>
          <w:i/>
          <w:color w:val="000000" w:themeColor="text1"/>
          <w:lang w:val="en-GB"/>
        </w:rPr>
        <w:t>n</w:t>
      </w:r>
      <w:r w:rsidR="00ED2D8F" w:rsidRPr="0037330A">
        <w:rPr>
          <w:rFonts w:ascii="Book Antiqua" w:eastAsiaTheme="minorEastAsia" w:hAnsi="Book Antiqua"/>
          <w:bCs/>
          <w:color w:val="000000" w:themeColor="text1"/>
          <w:lang w:val="en-GB" w:eastAsia="zh-CN"/>
        </w:rPr>
        <w:t xml:space="preserve"> </w:t>
      </w:r>
      <w:r w:rsidR="009719C3" w:rsidRPr="0037330A">
        <w:rPr>
          <w:rFonts w:ascii="Book Antiqua" w:hAnsi="Book Antiqua"/>
          <w:bCs/>
          <w:color w:val="000000" w:themeColor="text1"/>
          <w:lang w:val="en-GB"/>
        </w:rPr>
        <w:t>=</w:t>
      </w:r>
      <w:r w:rsidR="00ED2D8F" w:rsidRPr="0037330A">
        <w:rPr>
          <w:rFonts w:ascii="Book Antiqua" w:eastAsiaTheme="minorEastAsia" w:hAnsi="Book Antiqua"/>
          <w:bCs/>
          <w:color w:val="000000" w:themeColor="text1"/>
          <w:lang w:val="en-GB" w:eastAsia="zh-CN"/>
        </w:rPr>
        <w:t xml:space="preserve"> </w:t>
      </w:r>
      <w:r w:rsidR="00AC5EEE" w:rsidRPr="0037330A">
        <w:rPr>
          <w:rFonts w:ascii="Book Antiqua" w:hAnsi="Book Antiqua"/>
          <w:bCs/>
          <w:color w:val="000000" w:themeColor="text1"/>
          <w:lang w:val="en-GB"/>
        </w:rPr>
        <w:t>11</w:t>
      </w:r>
      <w:r w:rsidR="009719C3" w:rsidRPr="0037330A">
        <w:rPr>
          <w:rFonts w:ascii="Book Antiqua" w:hAnsi="Book Antiqua"/>
          <w:bCs/>
          <w:color w:val="000000" w:themeColor="text1"/>
          <w:lang w:val="en-GB"/>
        </w:rPr>
        <w:t xml:space="preserve">) </w:t>
      </w:r>
      <w:r w:rsidR="00BE7B32" w:rsidRPr="0037330A">
        <w:rPr>
          <w:rFonts w:ascii="Book Antiqua" w:hAnsi="Book Antiqua"/>
          <w:bCs/>
          <w:color w:val="000000" w:themeColor="text1"/>
          <w:lang w:val="en-GB"/>
        </w:rPr>
        <w:t xml:space="preserve">had </w:t>
      </w:r>
      <w:r w:rsidR="00BE7B32" w:rsidRPr="0037330A">
        <w:rPr>
          <w:rFonts w:ascii="Book Antiqua" w:hAnsi="Book Antiqua"/>
          <w:bCs/>
          <w:color w:val="000000" w:themeColor="text1"/>
          <w:lang w:val="en-GB"/>
        </w:rPr>
        <w:lastRenderedPageBreak/>
        <w:t>seen 1-2 i</w:t>
      </w:r>
      <w:r w:rsidRPr="0037330A">
        <w:rPr>
          <w:rFonts w:ascii="Book Antiqua" w:hAnsi="Book Antiqua"/>
          <w:bCs/>
          <w:color w:val="000000" w:themeColor="text1"/>
          <w:lang w:val="en-GB"/>
        </w:rPr>
        <w:t xml:space="preserve">solated cases, </w:t>
      </w:r>
      <w:r w:rsidR="00251C7C" w:rsidRPr="0037330A">
        <w:rPr>
          <w:rFonts w:ascii="Book Antiqua" w:hAnsi="Book Antiqua"/>
          <w:bCs/>
          <w:color w:val="000000" w:themeColor="text1"/>
          <w:lang w:val="en-GB"/>
        </w:rPr>
        <w:t xml:space="preserve">and 22.2% </w:t>
      </w:r>
      <w:r w:rsidR="009719C3" w:rsidRPr="0037330A">
        <w:rPr>
          <w:rFonts w:ascii="Book Antiqua" w:hAnsi="Book Antiqua"/>
          <w:bCs/>
          <w:color w:val="000000" w:themeColor="text1"/>
          <w:lang w:val="en-GB"/>
        </w:rPr>
        <w:t>(</w:t>
      </w:r>
      <w:r w:rsidR="009719C3" w:rsidRPr="0037330A">
        <w:rPr>
          <w:rFonts w:ascii="Book Antiqua" w:hAnsi="Book Antiqua"/>
          <w:bCs/>
          <w:i/>
          <w:color w:val="000000" w:themeColor="text1"/>
          <w:lang w:val="en-GB"/>
        </w:rPr>
        <w:t>n</w:t>
      </w:r>
      <w:r w:rsidR="00ED2D8F" w:rsidRPr="0037330A">
        <w:rPr>
          <w:rFonts w:ascii="Book Antiqua" w:eastAsiaTheme="minorEastAsia" w:hAnsi="Book Antiqua"/>
          <w:bCs/>
          <w:color w:val="000000" w:themeColor="text1"/>
          <w:lang w:val="en-GB" w:eastAsia="zh-CN"/>
        </w:rPr>
        <w:t xml:space="preserve"> </w:t>
      </w:r>
      <w:r w:rsidR="009719C3" w:rsidRPr="0037330A">
        <w:rPr>
          <w:rFonts w:ascii="Book Antiqua" w:hAnsi="Book Antiqua"/>
          <w:bCs/>
          <w:color w:val="000000" w:themeColor="text1"/>
          <w:lang w:val="en-GB"/>
        </w:rPr>
        <w:t>=</w:t>
      </w:r>
      <w:r w:rsidR="00ED2D8F" w:rsidRPr="0037330A">
        <w:rPr>
          <w:rFonts w:ascii="Book Antiqua" w:eastAsiaTheme="minorEastAsia" w:hAnsi="Book Antiqua"/>
          <w:bCs/>
          <w:color w:val="000000" w:themeColor="text1"/>
          <w:lang w:val="en-GB" w:eastAsia="zh-CN"/>
        </w:rPr>
        <w:t xml:space="preserve"> </w:t>
      </w:r>
      <w:r w:rsidR="00AC5EEE" w:rsidRPr="0037330A">
        <w:rPr>
          <w:rFonts w:ascii="Book Antiqua" w:hAnsi="Book Antiqua"/>
          <w:bCs/>
          <w:color w:val="000000" w:themeColor="text1"/>
          <w:lang w:val="en-GB"/>
        </w:rPr>
        <w:t>8</w:t>
      </w:r>
      <w:r w:rsidR="009719C3" w:rsidRPr="0037330A">
        <w:rPr>
          <w:rFonts w:ascii="Book Antiqua" w:hAnsi="Book Antiqua"/>
          <w:bCs/>
          <w:color w:val="000000" w:themeColor="text1"/>
          <w:lang w:val="en-GB"/>
        </w:rPr>
        <w:t xml:space="preserve">) </w:t>
      </w:r>
      <w:r w:rsidR="004056BE" w:rsidRPr="0037330A">
        <w:rPr>
          <w:rFonts w:ascii="Book Antiqua" w:hAnsi="Book Antiqua"/>
          <w:bCs/>
          <w:color w:val="000000" w:themeColor="text1"/>
          <w:lang w:val="en-GB"/>
        </w:rPr>
        <w:t>had not seen any infections</w:t>
      </w:r>
      <w:r w:rsidRPr="0037330A">
        <w:rPr>
          <w:rFonts w:ascii="Book Antiqua" w:hAnsi="Book Antiqua"/>
          <w:bCs/>
          <w:color w:val="000000" w:themeColor="text1"/>
          <w:lang w:val="en-GB"/>
        </w:rPr>
        <w:t xml:space="preserve">. </w:t>
      </w:r>
      <w:r w:rsidR="004056BE" w:rsidRPr="0037330A">
        <w:rPr>
          <w:rFonts w:ascii="Book Antiqua" w:hAnsi="Book Antiqua"/>
          <w:bCs/>
          <w:color w:val="000000" w:themeColor="text1"/>
          <w:lang w:val="en-GB"/>
        </w:rPr>
        <w:t xml:space="preserve">The centre in Ethiopia commented that an interrupted syringe supply had led to extensive reuse and more painful injections were reported. The respondent from Rwanda stated that </w:t>
      </w:r>
      <w:r w:rsidR="00BB5D5F" w:rsidRPr="0037330A">
        <w:rPr>
          <w:rFonts w:ascii="Book Antiqua" w:hAnsi="Book Antiqua"/>
          <w:bCs/>
          <w:color w:val="000000" w:themeColor="text1"/>
          <w:lang w:val="en-GB"/>
        </w:rPr>
        <w:t>that lipohypertrophy was sometimes seen but this may have been due to inappropriate injection technique.</w:t>
      </w:r>
      <w:r w:rsidR="00AC5EEE" w:rsidRPr="0037330A">
        <w:rPr>
          <w:rFonts w:ascii="Book Antiqua" w:hAnsi="Book Antiqua"/>
          <w:bCs/>
          <w:color w:val="000000" w:themeColor="text1"/>
          <w:lang w:val="en-GB"/>
        </w:rPr>
        <w:t xml:space="preserve"> </w:t>
      </w:r>
    </w:p>
    <w:p w14:paraId="7930465B" w14:textId="08A54A0B" w:rsidR="006312DE" w:rsidRPr="0037330A" w:rsidRDefault="009463FB" w:rsidP="00146B63">
      <w:pPr>
        <w:tabs>
          <w:tab w:val="left" w:pos="0"/>
        </w:tabs>
        <w:snapToGrid w:val="0"/>
        <w:spacing w:line="360" w:lineRule="auto"/>
        <w:ind w:firstLineChars="100" w:firstLine="240"/>
        <w:jc w:val="both"/>
        <w:rPr>
          <w:rFonts w:ascii="Book Antiqua" w:hAnsi="Book Antiqua"/>
          <w:bCs/>
          <w:lang w:val="en-GB"/>
        </w:rPr>
      </w:pPr>
      <w:r w:rsidRPr="0037330A">
        <w:rPr>
          <w:rFonts w:ascii="Book Antiqua" w:hAnsi="Book Antiqua"/>
          <w:bCs/>
          <w:lang w:val="en-GB"/>
        </w:rPr>
        <w:t>For lipohypertrophy,</w:t>
      </w:r>
      <w:r w:rsidR="00BE7B32" w:rsidRPr="0037330A">
        <w:rPr>
          <w:rFonts w:ascii="Book Antiqua" w:hAnsi="Book Antiqua"/>
          <w:bCs/>
          <w:lang w:val="en-GB"/>
        </w:rPr>
        <w:t xml:space="preserve"> 5.4% (</w:t>
      </w:r>
      <w:r w:rsidR="00BE7B32"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 xml:space="preserve">2) </w:t>
      </w:r>
      <w:r w:rsidR="00770BAC" w:rsidRPr="0037330A">
        <w:rPr>
          <w:rFonts w:ascii="Book Antiqua" w:hAnsi="Book Antiqua"/>
          <w:bCs/>
          <w:lang w:val="en-GB"/>
        </w:rPr>
        <w:t>stated</w:t>
      </w:r>
      <w:r w:rsidR="00BE7B32" w:rsidRPr="0037330A">
        <w:rPr>
          <w:rFonts w:ascii="Book Antiqua" w:hAnsi="Book Antiqua"/>
          <w:bCs/>
          <w:lang w:val="en-GB"/>
        </w:rPr>
        <w:t xml:space="preserve"> this was very common, 1</w:t>
      </w:r>
      <w:r w:rsidR="00251C7C" w:rsidRPr="0037330A">
        <w:rPr>
          <w:rFonts w:ascii="Book Antiqua" w:hAnsi="Book Antiqua"/>
          <w:bCs/>
          <w:lang w:val="en-GB"/>
        </w:rPr>
        <w:t>8.9</w:t>
      </w:r>
      <w:r w:rsidRPr="0037330A">
        <w:rPr>
          <w:rFonts w:ascii="Book Antiqua" w:hAnsi="Book Antiqua"/>
          <w:bCs/>
          <w:lang w:val="en-GB"/>
        </w:rPr>
        <w:t xml:space="preserve">% </w:t>
      </w:r>
      <w:r w:rsidR="00BE7B32" w:rsidRPr="0037330A">
        <w:rPr>
          <w:rFonts w:ascii="Book Antiqua" w:hAnsi="Book Antiqua"/>
          <w:bCs/>
          <w:lang w:val="en-GB"/>
        </w:rPr>
        <w:t>(</w:t>
      </w:r>
      <w:r w:rsidR="00BE7B32"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 xml:space="preserve">7) </w:t>
      </w:r>
      <w:r w:rsidRPr="0037330A">
        <w:rPr>
          <w:rFonts w:ascii="Book Antiqua" w:hAnsi="Book Antiqua"/>
          <w:bCs/>
          <w:lang w:val="en-GB"/>
        </w:rPr>
        <w:t>common,</w:t>
      </w:r>
      <w:r w:rsidR="00251C7C" w:rsidRPr="0037330A">
        <w:rPr>
          <w:rFonts w:ascii="Book Antiqua" w:hAnsi="Book Antiqua"/>
          <w:bCs/>
          <w:lang w:val="en-GB"/>
        </w:rPr>
        <w:t xml:space="preserve"> 43.2</w:t>
      </w:r>
      <w:r w:rsidRPr="0037330A">
        <w:rPr>
          <w:rFonts w:ascii="Book Antiqua" w:hAnsi="Book Antiqua"/>
          <w:bCs/>
          <w:lang w:val="en-GB"/>
        </w:rPr>
        <w:t xml:space="preserve">% </w:t>
      </w:r>
      <w:r w:rsidR="00BE7B32" w:rsidRPr="0037330A">
        <w:rPr>
          <w:rFonts w:ascii="Book Antiqua" w:hAnsi="Book Antiqua"/>
          <w:bCs/>
          <w:lang w:val="en-GB"/>
        </w:rPr>
        <w:t>(</w:t>
      </w:r>
      <w:r w:rsidR="00BE7B32"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 xml:space="preserve">16) </w:t>
      </w:r>
      <w:r w:rsidRPr="0037330A">
        <w:rPr>
          <w:rFonts w:ascii="Book Antiqua" w:hAnsi="Book Antiqua"/>
          <w:bCs/>
          <w:lang w:val="en-GB"/>
        </w:rPr>
        <w:t xml:space="preserve">not uncommon, </w:t>
      </w:r>
      <w:r w:rsidR="00251C7C" w:rsidRPr="0037330A">
        <w:rPr>
          <w:rFonts w:ascii="Book Antiqua" w:hAnsi="Book Antiqua"/>
          <w:bCs/>
          <w:lang w:val="en-GB"/>
        </w:rPr>
        <w:t xml:space="preserve">18.9% </w:t>
      </w:r>
      <w:r w:rsidR="00BE7B32" w:rsidRPr="0037330A">
        <w:rPr>
          <w:rFonts w:ascii="Book Antiqua" w:hAnsi="Book Antiqua"/>
          <w:bCs/>
          <w:lang w:val="en-GB"/>
        </w:rPr>
        <w:t>(</w:t>
      </w:r>
      <w:r w:rsidR="00BE7B32"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 xml:space="preserve">7) had seen </w:t>
      </w:r>
      <w:r w:rsidRPr="0037330A">
        <w:rPr>
          <w:rFonts w:ascii="Book Antiqua" w:hAnsi="Book Antiqua"/>
          <w:bCs/>
          <w:lang w:val="en-GB"/>
        </w:rPr>
        <w:t xml:space="preserve">1-2 isolated cases, </w:t>
      </w:r>
      <w:r w:rsidR="00251C7C" w:rsidRPr="0037330A">
        <w:rPr>
          <w:rFonts w:ascii="Book Antiqua" w:hAnsi="Book Antiqua"/>
          <w:bCs/>
          <w:lang w:val="en-GB"/>
        </w:rPr>
        <w:t>and 13.5%</w:t>
      </w:r>
      <w:r w:rsidRPr="0037330A">
        <w:rPr>
          <w:rFonts w:ascii="Book Antiqua" w:hAnsi="Book Antiqua"/>
          <w:bCs/>
          <w:lang w:val="en-GB"/>
        </w:rPr>
        <w:t xml:space="preserve"> </w:t>
      </w:r>
      <w:r w:rsidR="00BE7B32" w:rsidRPr="0037330A">
        <w:rPr>
          <w:rFonts w:ascii="Book Antiqua" w:hAnsi="Book Antiqua"/>
          <w:bCs/>
          <w:lang w:val="en-GB"/>
        </w:rPr>
        <w:t>(</w:t>
      </w:r>
      <w:r w:rsidR="00BE7B32" w:rsidRPr="0037330A">
        <w:rPr>
          <w:rFonts w:ascii="Book Antiqua" w:hAnsi="Book Antiqua"/>
          <w:bCs/>
          <w:i/>
          <w:lang w:val="en-GB"/>
        </w:rPr>
        <w:t>n</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w:t>
      </w:r>
      <w:r w:rsidR="00ED2D8F" w:rsidRPr="0037330A">
        <w:rPr>
          <w:rFonts w:ascii="Book Antiqua" w:eastAsiaTheme="minorEastAsia" w:hAnsi="Book Antiqua"/>
          <w:bCs/>
          <w:lang w:val="en-GB" w:eastAsia="zh-CN"/>
        </w:rPr>
        <w:t xml:space="preserve"> </w:t>
      </w:r>
      <w:r w:rsidR="00BE7B32" w:rsidRPr="0037330A">
        <w:rPr>
          <w:rFonts w:ascii="Book Antiqua" w:hAnsi="Book Antiqua"/>
          <w:bCs/>
          <w:lang w:val="en-GB"/>
        </w:rPr>
        <w:t xml:space="preserve">5) had </w:t>
      </w:r>
      <w:r w:rsidRPr="0037330A">
        <w:rPr>
          <w:rFonts w:ascii="Book Antiqua" w:hAnsi="Book Antiqua"/>
          <w:bCs/>
          <w:lang w:val="en-GB"/>
        </w:rPr>
        <w:t>never</w:t>
      </w:r>
      <w:r w:rsidR="00BE7B32" w:rsidRPr="0037330A">
        <w:rPr>
          <w:rFonts w:ascii="Book Antiqua" w:hAnsi="Book Antiqua"/>
          <w:bCs/>
          <w:lang w:val="en-GB"/>
        </w:rPr>
        <w:t xml:space="preserve"> seen it</w:t>
      </w:r>
      <w:r w:rsidRPr="0037330A">
        <w:rPr>
          <w:rFonts w:ascii="Book Antiqua" w:hAnsi="Book Antiqua"/>
          <w:bCs/>
          <w:lang w:val="en-GB"/>
        </w:rPr>
        <w:t>.</w:t>
      </w:r>
    </w:p>
    <w:p w14:paraId="5A5C94F8" w14:textId="08E074FA" w:rsidR="0027605D" w:rsidRPr="0037330A" w:rsidRDefault="00E973F1" w:rsidP="00146B63">
      <w:pPr>
        <w:tabs>
          <w:tab w:val="left" w:pos="990"/>
        </w:tabs>
        <w:snapToGrid w:val="0"/>
        <w:spacing w:line="360" w:lineRule="auto"/>
        <w:ind w:firstLineChars="100" w:firstLine="240"/>
        <w:jc w:val="both"/>
        <w:rPr>
          <w:rFonts w:ascii="Book Antiqua" w:eastAsiaTheme="minorEastAsia" w:hAnsi="Book Antiqua"/>
          <w:bCs/>
          <w:color w:val="000000" w:themeColor="text1"/>
          <w:lang w:val="en-GB" w:eastAsia="zh-CN"/>
        </w:rPr>
      </w:pPr>
      <w:r w:rsidRPr="0037330A">
        <w:rPr>
          <w:rFonts w:ascii="Book Antiqua" w:hAnsi="Book Antiqua"/>
          <w:bCs/>
          <w:color w:val="000000" w:themeColor="text1"/>
          <w:lang w:val="en-GB"/>
        </w:rPr>
        <w:t>62</w:t>
      </w:r>
      <w:r w:rsidR="005208C4" w:rsidRPr="0037330A">
        <w:rPr>
          <w:rFonts w:ascii="Book Antiqua" w:hAnsi="Book Antiqua"/>
          <w:bCs/>
          <w:color w:val="000000" w:themeColor="text1"/>
          <w:lang w:val="en-GB"/>
        </w:rPr>
        <w:t>.</w:t>
      </w:r>
      <w:r w:rsidRPr="0037330A">
        <w:rPr>
          <w:rFonts w:ascii="Book Antiqua" w:hAnsi="Book Antiqua"/>
          <w:bCs/>
          <w:color w:val="000000" w:themeColor="text1"/>
          <w:lang w:val="en-GB"/>
        </w:rPr>
        <w:t>5</w:t>
      </w:r>
      <w:r w:rsidR="005208C4" w:rsidRPr="0037330A">
        <w:rPr>
          <w:rFonts w:ascii="Book Antiqua" w:hAnsi="Book Antiqua"/>
          <w:bCs/>
          <w:color w:val="000000" w:themeColor="text1"/>
          <w:lang w:val="en-GB"/>
        </w:rPr>
        <w:t xml:space="preserve">% </w:t>
      </w:r>
      <w:r w:rsidR="004B4B83" w:rsidRPr="0037330A">
        <w:rPr>
          <w:rFonts w:ascii="Book Antiqua" w:hAnsi="Book Antiqua"/>
          <w:bCs/>
          <w:color w:val="000000" w:themeColor="text1"/>
          <w:lang w:val="en-GB"/>
        </w:rPr>
        <w:t>(</w:t>
      </w:r>
      <w:r w:rsidR="004B4B83" w:rsidRPr="0037330A">
        <w:rPr>
          <w:rFonts w:ascii="Book Antiqua" w:hAnsi="Book Antiqua"/>
          <w:bCs/>
          <w:i/>
          <w:color w:val="000000" w:themeColor="text1"/>
          <w:lang w:val="en-GB"/>
        </w:rPr>
        <w:t>n</w:t>
      </w:r>
      <w:r w:rsidR="00ED2D8F" w:rsidRPr="0037330A">
        <w:rPr>
          <w:rFonts w:ascii="Book Antiqua" w:eastAsiaTheme="minorEastAsia" w:hAnsi="Book Antiqua"/>
          <w:bCs/>
          <w:color w:val="000000" w:themeColor="text1"/>
          <w:lang w:val="en-GB" w:eastAsia="zh-CN"/>
        </w:rPr>
        <w:t xml:space="preserve"> </w:t>
      </w:r>
      <w:r w:rsidR="004B4B83" w:rsidRPr="0037330A">
        <w:rPr>
          <w:rFonts w:ascii="Book Antiqua" w:hAnsi="Book Antiqua"/>
          <w:bCs/>
          <w:color w:val="000000" w:themeColor="text1"/>
          <w:lang w:val="en-GB"/>
        </w:rPr>
        <w:t>=</w:t>
      </w:r>
      <w:r w:rsidR="00ED2D8F" w:rsidRPr="0037330A">
        <w:rPr>
          <w:rFonts w:ascii="Book Antiqua" w:eastAsiaTheme="minorEastAsia" w:hAnsi="Book Antiqua"/>
          <w:bCs/>
          <w:color w:val="000000" w:themeColor="text1"/>
          <w:lang w:val="en-GB" w:eastAsia="zh-CN"/>
        </w:rPr>
        <w:t xml:space="preserve"> </w:t>
      </w:r>
      <w:r w:rsidR="00375808" w:rsidRPr="0037330A">
        <w:rPr>
          <w:rFonts w:ascii="Book Antiqua" w:hAnsi="Book Antiqua"/>
          <w:bCs/>
          <w:color w:val="000000" w:themeColor="text1"/>
          <w:lang w:val="en-GB"/>
        </w:rPr>
        <w:t>20</w:t>
      </w:r>
      <w:r w:rsidR="004B4B83" w:rsidRPr="0037330A">
        <w:rPr>
          <w:rFonts w:ascii="Book Antiqua" w:hAnsi="Book Antiqua"/>
          <w:bCs/>
          <w:color w:val="000000" w:themeColor="text1"/>
          <w:lang w:val="en-GB"/>
        </w:rPr>
        <w:t xml:space="preserve">) </w:t>
      </w:r>
      <w:r w:rsidR="005208C4" w:rsidRPr="0037330A">
        <w:rPr>
          <w:rFonts w:ascii="Book Antiqua" w:hAnsi="Book Antiqua"/>
          <w:bCs/>
          <w:color w:val="000000" w:themeColor="text1"/>
          <w:lang w:val="en-GB"/>
        </w:rPr>
        <w:t>of respondents s</w:t>
      </w:r>
      <w:r w:rsidR="0027605D" w:rsidRPr="0037330A">
        <w:rPr>
          <w:rFonts w:ascii="Book Antiqua" w:hAnsi="Book Antiqua"/>
          <w:bCs/>
          <w:color w:val="000000" w:themeColor="text1"/>
          <w:lang w:val="en-GB"/>
        </w:rPr>
        <w:t>tated</w:t>
      </w:r>
      <w:r w:rsidR="005208C4" w:rsidRPr="0037330A">
        <w:rPr>
          <w:rFonts w:ascii="Book Antiqua" w:hAnsi="Book Antiqua"/>
          <w:bCs/>
          <w:color w:val="000000" w:themeColor="text1"/>
          <w:lang w:val="en-GB"/>
        </w:rPr>
        <w:t xml:space="preserve"> they believed improper disposal of insulin syringes/pens was a problem in their country, whilst </w:t>
      </w:r>
      <w:r w:rsidRPr="0037330A">
        <w:rPr>
          <w:rFonts w:ascii="Book Antiqua" w:hAnsi="Book Antiqua"/>
          <w:bCs/>
          <w:color w:val="000000" w:themeColor="text1"/>
          <w:lang w:val="en-GB"/>
        </w:rPr>
        <w:t>37.5</w:t>
      </w:r>
      <w:r w:rsidR="005208C4" w:rsidRPr="0037330A">
        <w:rPr>
          <w:rFonts w:ascii="Book Antiqua" w:hAnsi="Book Antiqua"/>
          <w:bCs/>
          <w:color w:val="000000" w:themeColor="text1"/>
          <w:lang w:val="en-GB"/>
        </w:rPr>
        <w:t xml:space="preserve">% </w:t>
      </w:r>
      <w:r w:rsidR="004B4B83" w:rsidRPr="0037330A">
        <w:rPr>
          <w:rFonts w:ascii="Book Antiqua" w:hAnsi="Book Antiqua"/>
          <w:bCs/>
          <w:color w:val="000000" w:themeColor="text1"/>
          <w:lang w:val="en-GB"/>
        </w:rPr>
        <w:t>(</w:t>
      </w:r>
      <w:r w:rsidR="004B4B83" w:rsidRPr="0037330A">
        <w:rPr>
          <w:rFonts w:ascii="Book Antiqua" w:hAnsi="Book Antiqua"/>
          <w:bCs/>
          <w:i/>
          <w:color w:val="000000" w:themeColor="text1"/>
          <w:lang w:val="en-GB"/>
        </w:rPr>
        <w:t>n</w:t>
      </w:r>
      <w:r w:rsidR="000E7A7D" w:rsidRPr="0037330A">
        <w:rPr>
          <w:rFonts w:ascii="Book Antiqua" w:eastAsiaTheme="minorEastAsia" w:hAnsi="Book Antiqua"/>
          <w:bCs/>
          <w:color w:val="000000" w:themeColor="text1"/>
          <w:lang w:val="en-GB" w:eastAsia="zh-CN"/>
        </w:rPr>
        <w:t xml:space="preserve"> </w:t>
      </w:r>
      <w:r w:rsidR="004B4B83"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375808" w:rsidRPr="0037330A">
        <w:rPr>
          <w:rFonts w:ascii="Book Antiqua" w:hAnsi="Book Antiqua"/>
          <w:bCs/>
          <w:color w:val="000000" w:themeColor="text1"/>
          <w:lang w:val="en-GB"/>
        </w:rPr>
        <w:t>12</w:t>
      </w:r>
      <w:r w:rsidR="004B4B83" w:rsidRPr="0037330A">
        <w:rPr>
          <w:rFonts w:ascii="Book Antiqua" w:hAnsi="Book Antiqua"/>
          <w:bCs/>
          <w:color w:val="000000" w:themeColor="text1"/>
          <w:lang w:val="en-GB"/>
        </w:rPr>
        <w:t xml:space="preserve">) </w:t>
      </w:r>
      <w:r w:rsidR="005208C4" w:rsidRPr="0037330A">
        <w:rPr>
          <w:rFonts w:ascii="Book Antiqua" w:hAnsi="Book Antiqua"/>
          <w:bCs/>
          <w:color w:val="000000" w:themeColor="text1"/>
          <w:lang w:val="en-GB"/>
        </w:rPr>
        <w:t xml:space="preserve">did not. </w:t>
      </w:r>
      <w:r w:rsidR="0027605D" w:rsidRPr="0037330A">
        <w:rPr>
          <w:rFonts w:ascii="Book Antiqua" w:hAnsi="Book Antiqua"/>
          <w:bCs/>
          <w:color w:val="000000" w:themeColor="text1"/>
          <w:lang w:val="en-GB"/>
        </w:rPr>
        <w:t>52.7% of respondents (</w:t>
      </w:r>
      <w:r w:rsidR="0027605D" w:rsidRPr="0037330A">
        <w:rPr>
          <w:rFonts w:ascii="Book Antiqua" w:hAnsi="Book Antiqua"/>
          <w:bCs/>
          <w:i/>
          <w:color w:val="000000" w:themeColor="text1"/>
          <w:lang w:val="en-GB"/>
        </w:rPr>
        <w:t>n</w:t>
      </w:r>
      <w:r w:rsidR="000E7A7D" w:rsidRPr="0037330A">
        <w:rPr>
          <w:rFonts w:ascii="Book Antiqua" w:eastAsiaTheme="minorEastAsia" w:hAnsi="Book Antiqua"/>
          <w:bCs/>
          <w:color w:val="000000" w:themeColor="text1"/>
          <w:lang w:val="en-GB" w:eastAsia="zh-CN"/>
        </w:rPr>
        <w:t xml:space="preserve"> </w:t>
      </w:r>
      <w:r w:rsidR="0027605D"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375808" w:rsidRPr="0037330A">
        <w:rPr>
          <w:rFonts w:ascii="Book Antiqua" w:hAnsi="Book Antiqua"/>
          <w:bCs/>
          <w:color w:val="000000" w:themeColor="text1"/>
          <w:lang w:val="en-GB"/>
        </w:rPr>
        <w:t>19</w:t>
      </w:r>
      <w:r w:rsidR="0027605D" w:rsidRPr="0037330A">
        <w:rPr>
          <w:rFonts w:ascii="Book Antiqua" w:hAnsi="Book Antiqua"/>
          <w:bCs/>
          <w:color w:val="000000" w:themeColor="text1"/>
          <w:lang w:val="en-GB"/>
        </w:rPr>
        <w:t>) noted that there was official national guidance on the safe disposal of needles, whilst 47.2% (</w:t>
      </w:r>
      <w:r w:rsidR="0027605D" w:rsidRPr="0037330A">
        <w:rPr>
          <w:rFonts w:ascii="Book Antiqua" w:hAnsi="Book Antiqua"/>
          <w:bCs/>
          <w:i/>
          <w:color w:val="000000" w:themeColor="text1"/>
          <w:lang w:val="en-GB"/>
        </w:rPr>
        <w:t>n</w:t>
      </w:r>
      <w:r w:rsidR="000E7A7D" w:rsidRPr="0037330A">
        <w:rPr>
          <w:rFonts w:ascii="Book Antiqua" w:eastAsiaTheme="minorEastAsia" w:hAnsi="Book Antiqua"/>
          <w:bCs/>
          <w:color w:val="000000" w:themeColor="text1"/>
          <w:lang w:val="en-GB" w:eastAsia="zh-CN"/>
        </w:rPr>
        <w:t xml:space="preserve"> </w:t>
      </w:r>
      <w:r w:rsidR="0027605D"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375808" w:rsidRPr="0037330A">
        <w:rPr>
          <w:rFonts w:ascii="Book Antiqua" w:hAnsi="Book Antiqua"/>
          <w:bCs/>
          <w:color w:val="000000" w:themeColor="text1"/>
          <w:lang w:val="en-GB"/>
        </w:rPr>
        <w:t>17</w:t>
      </w:r>
      <w:r w:rsidR="000E7A7D" w:rsidRPr="0037330A">
        <w:rPr>
          <w:rFonts w:ascii="Book Antiqua" w:hAnsi="Book Antiqua"/>
          <w:bCs/>
          <w:color w:val="000000" w:themeColor="text1"/>
          <w:lang w:val="en-GB"/>
        </w:rPr>
        <w:t>) stated there was not.</w:t>
      </w:r>
    </w:p>
    <w:p w14:paraId="1DC19E77" w14:textId="29C85BA2" w:rsidR="008F49FF" w:rsidRPr="0037330A" w:rsidRDefault="009463FB" w:rsidP="00146B63">
      <w:pPr>
        <w:pStyle w:val="a3"/>
        <w:tabs>
          <w:tab w:val="left" w:pos="0"/>
        </w:tabs>
        <w:snapToGrid w:val="0"/>
        <w:spacing w:line="360" w:lineRule="auto"/>
        <w:ind w:left="0" w:firstLineChars="100" w:firstLine="240"/>
        <w:contextualSpacing w:val="0"/>
        <w:jc w:val="both"/>
        <w:rPr>
          <w:rFonts w:ascii="Book Antiqua" w:hAnsi="Book Antiqua"/>
          <w:bCs/>
          <w:color w:val="000000" w:themeColor="text1"/>
          <w:lang w:val="en-GB"/>
        </w:rPr>
      </w:pPr>
      <w:r w:rsidRPr="0037330A">
        <w:rPr>
          <w:rFonts w:ascii="Book Antiqua" w:hAnsi="Book Antiqua"/>
          <w:bCs/>
          <w:color w:val="000000" w:themeColor="text1"/>
          <w:lang w:val="en-GB"/>
        </w:rPr>
        <w:t xml:space="preserve">Most respondents </w:t>
      </w:r>
      <w:r w:rsidR="008F49FF" w:rsidRPr="0037330A">
        <w:rPr>
          <w:rFonts w:ascii="Book Antiqua" w:hAnsi="Book Antiqua"/>
          <w:bCs/>
          <w:color w:val="000000" w:themeColor="text1"/>
          <w:lang w:val="en-GB"/>
        </w:rPr>
        <w:t xml:space="preserve">(74.3%, </w:t>
      </w:r>
      <w:r w:rsidR="008F49FF" w:rsidRPr="0037330A">
        <w:rPr>
          <w:rFonts w:ascii="Book Antiqua" w:hAnsi="Book Antiqua"/>
          <w:bCs/>
          <w:i/>
          <w:color w:val="000000" w:themeColor="text1"/>
          <w:lang w:val="en-GB"/>
        </w:rPr>
        <w:t>n</w:t>
      </w:r>
      <w:r w:rsidR="000E7A7D" w:rsidRPr="0037330A">
        <w:rPr>
          <w:rFonts w:ascii="Book Antiqua" w:eastAsiaTheme="minorEastAsia" w:hAnsi="Book Antiqua"/>
          <w:bCs/>
          <w:color w:val="000000" w:themeColor="text1"/>
          <w:lang w:val="en-GB" w:eastAsia="zh-CN"/>
        </w:rPr>
        <w:t xml:space="preserve"> </w:t>
      </w:r>
      <w:r w:rsidR="008F49FF"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6C0311" w:rsidRPr="0037330A">
        <w:rPr>
          <w:rFonts w:ascii="Book Antiqua" w:hAnsi="Book Antiqua"/>
          <w:bCs/>
          <w:color w:val="000000" w:themeColor="text1"/>
          <w:lang w:val="en-GB"/>
        </w:rPr>
        <w:t>26</w:t>
      </w:r>
      <w:r w:rsidR="008F49FF" w:rsidRPr="0037330A">
        <w:rPr>
          <w:rFonts w:ascii="Book Antiqua" w:hAnsi="Book Antiqua"/>
          <w:bCs/>
          <w:color w:val="000000" w:themeColor="text1"/>
          <w:lang w:val="en-GB"/>
        </w:rPr>
        <w:t xml:space="preserve">) </w:t>
      </w:r>
      <w:r w:rsidRPr="0037330A">
        <w:rPr>
          <w:rFonts w:ascii="Book Antiqua" w:hAnsi="Book Antiqua"/>
          <w:bCs/>
          <w:color w:val="000000" w:themeColor="text1"/>
          <w:lang w:val="en-GB"/>
        </w:rPr>
        <w:t>noted that young people experience feeling stigmatized when injecting their insulin with syringes in public.</w:t>
      </w:r>
      <w:r w:rsidR="006C0311" w:rsidRPr="0037330A">
        <w:rPr>
          <w:rFonts w:ascii="Book Antiqua" w:hAnsi="Book Antiqua"/>
          <w:bCs/>
          <w:color w:val="000000" w:themeColor="text1"/>
          <w:lang w:val="en-GB"/>
        </w:rPr>
        <w:t xml:space="preserve"> Two respondents did not answer.</w:t>
      </w:r>
      <w:r w:rsidRPr="0037330A">
        <w:rPr>
          <w:rFonts w:ascii="Book Antiqua" w:hAnsi="Book Antiqua"/>
          <w:bCs/>
          <w:color w:val="000000" w:themeColor="text1"/>
          <w:lang w:val="en-GB"/>
        </w:rPr>
        <w:t xml:space="preserve"> </w:t>
      </w:r>
    </w:p>
    <w:p w14:paraId="4A310317" w14:textId="77777777" w:rsidR="003861F6" w:rsidRPr="0037330A" w:rsidRDefault="003861F6" w:rsidP="00146B63">
      <w:pPr>
        <w:snapToGrid w:val="0"/>
        <w:spacing w:line="360" w:lineRule="auto"/>
        <w:jc w:val="both"/>
        <w:rPr>
          <w:rFonts w:ascii="Book Antiqua" w:hAnsi="Book Antiqua"/>
          <w:b/>
          <w:lang w:val="en-GB"/>
        </w:rPr>
      </w:pPr>
    </w:p>
    <w:p w14:paraId="6A602231" w14:textId="18D40B9F" w:rsidR="006312DE" w:rsidRPr="0037330A" w:rsidRDefault="003861F6" w:rsidP="00146B63">
      <w:pPr>
        <w:snapToGrid w:val="0"/>
        <w:spacing w:line="360" w:lineRule="auto"/>
        <w:jc w:val="both"/>
        <w:rPr>
          <w:rFonts w:ascii="Book Antiqua" w:eastAsiaTheme="minorEastAsia" w:hAnsi="Book Antiqua"/>
          <w:b/>
          <w:i/>
          <w:lang w:val="en-GB"/>
        </w:rPr>
      </w:pPr>
      <w:r w:rsidRPr="0037330A">
        <w:rPr>
          <w:rFonts w:ascii="Book Antiqua" w:hAnsi="Book Antiqua"/>
          <w:b/>
          <w:i/>
          <w:lang w:val="en-GB"/>
        </w:rPr>
        <w:t>H</w:t>
      </w:r>
      <w:r w:rsidR="0075268D" w:rsidRPr="0037330A">
        <w:rPr>
          <w:rFonts w:ascii="Book Antiqua" w:hAnsi="Book Antiqua"/>
          <w:b/>
          <w:i/>
          <w:lang w:val="en-GB"/>
        </w:rPr>
        <w:t>b</w:t>
      </w:r>
      <w:r w:rsidRPr="0037330A">
        <w:rPr>
          <w:rFonts w:ascii="Book Antiqua" w:hAnsi="Book Antiqua"/>
          <w:b/>
          <w:i/>
          <w:lang w:val="en-GB"/>
        </w:rPr>
        <w:t>A1</w:t>
      </w:r>
      <w:r w:rsidR="0075268D" w:rsidRPr="0037330A">
        <w:rPr>
          <w:rFonts w:ascii="Book Antiqua" w:hAnsi="Book Antiqua"/>
          <w:b/>
          <w:i/>
          <w:lang w:val="en-GB"/>
        </w:rPr>
        <w:t>c</w:t>
      </w:r>
      <w:r w:rsidRPr="0037330A">
        <w:rPr>
          <w:rFonts w:ascii="Book Antiqua" w:hAnsi="Book Antiqua"/>
          <w:b/>
          <w:i/>
          <w:lang w:val="en-GB"/>
        </w:rPr>
        <w:t xml:space="preserve"> </w:t>
      </w:r>
      <w:r w:rsidR="000E7A7D" w:rsidRPr="0037330A">
        <w:rPr>
          <w:rFonts w:ascii="Book Antiqua" w:hAnsi="Book Antiqua"/>
          <w:b/>
          <w:i/>
          <w:lang w:val="en-GB"/>
        </w:rPr>
        <w:t xml:space="preserve">testing </w:t>
      </w:r>
    </w:p>
    <w:p w14:paraId="2D922354" w14:textId="1CFEF459" w:rsidR="00AB67E2" w:rsidRPr="0037330A" w:rsidRDefault="006312DE" w:rsidP="00146B63">
      <w:pPr>
        <w:pStyle w:val="a3"/>
        <w:tabs>
          <w:tab w:val="left" w:pos="990"/>
        </w:tabs>
        <w:snapToGrid w:val="0"/>
        <w:spacing w:line="360" w:lineRule="auto"/>
        <w:ind w:left="0"/>
        <w:contextualSpacing w:val="0"/>
        <w:jc w:val="both"/>
        <w:rPr>
          <w:rFonts w:ascii="Book Antiqua" w:hAnsi="Book Antiqua"/>
          <w:bCs/>
          <w:color w:val="000000" w:themeColor="text1"/>
          <w:lang w:val="en-GB"/>
        </w:rPr>
      </w:pPr>
      <w:r w:rsidRPr="0037330A">
        <w:rPr>
          <w:rFonts w:ascii="Book Antiqua" w:hAnsi="Book Antiqua"/>
          <w:bCs/>
          <w:lang w:val="en-GB"/>
        </w:rPr>
        <w:t xml:space="preserve">Of the </w:t>
      </w:r>
      <w:r w:rsidR="00DC72BC" w:rsidRPr="0037330A">
        <w:rPr>
          <w:rFonts w:ascii="Book Antiqua" w:hAnsi="Book Antiqua"/>
          <w:bCs/>
          <w:lang w:val="en-GB"/>
        </w:rPr>
        <w:t>37</w:t>
      </w:r>
      <w:r w:rsidRPr="0037330A">
        <w:rPr>
          <w:rFonts w:ascii="Book Antiqua" w:hAnsi="Book Antiqua"/>
          <w:bCs/>
          <w:lang w:val="en-GB"/>
        </w:rPr>
        <w:t xml:space="preserve"> countries, 8</w:t>
      </w:r>
      <w:r w:rsidR="00377135" w:rsidRPr="0037330A">
        <w:rPr>
          <w:rFonts w:ascii="Book Antiqua" w:hAnsi="Book Antiqua"/>
          <w:bCs/>
          <w:lang w:val="en-GB"/>
        </w:rPr>
        <w:t>3</w:t>
      </w:r>
      <w:r w:rsidRPr="0037330A">
        <w:rPr>
          <w:rFonts w:ascii="Book Antiqua" w:hAnsi="Book Antiqua"/>
          <w:bCs/>
          <w:lang w:val="en-GB"/>
        </w:rPr>
        <w:t>.</w:t>
      </w:r>
      <w:r w:rsidR="00377135" w:rsidRPr="0037330A">
        <w:rPr>
          <w:rFonts w:ascii="Book Antiqua" w:hAnsi="Book Antiqua"/>
          <w:bCs/>
          <w:lang w:val="en-GB"/>
        </w:rPr>
        <w:t>8</w:t>
      </w:r>
      <w:r w:rsidRPr="0037330A">
        <w:rPr>
          <w:rFonts w:ascii="Book Antiqua" w:hAnsi="Book Antiqua"/>
          <w:bCs/>
          <w:lang w:val="en-GB"/>
        </w:rPr>
        <w:t>% (</w:t>
      </w:r>
      <w:r w:rsidR="004B4B83" w:rsidRPr="0037330A">
        <w:rPr>
          <w:rFonts w:ascii="Book Antiqua" w:hAnsi="Book Antiqua"/>
          <w:bCs/>
          <w:i/>
          <w:lang w:val="en-GB"/>
        </w:rPr>
        <w:t>n</w:t>
      </w:r>
      <w:r w:rsidR="000E7A7D" w:rsidRPr="0037330A">
        <w:rPr>
          <w:rFonts w:ascii="Book Antiqua" w:eastAsiaTheme="minorEastAsia" w:hAnsi="Book Antiqua"/>
          <w:bCs/>
          <w:lang w:val="en-GB" w:eastAsia="zh-CN"/>
        </w:rPr>
        <w:t xml:space="preserve"> </w:t>
      </w:r>
      <w:r w:rsidR="004B4B83" w:rsidRPr="0037330A">
        <w:rPr>
          <w:rFonts w:ascii="Book Antiqua" w:hAnsi="Book Antiqua"/>
          <w:bCs/>
          <w:lang w:val="en-GB"/>
        </w:rPr>
        <w:t>=</w:t>
      </w:r>
      <w:r w:rsidR="000E7A7D" w:rsidRPr="0037330A">
        <w:rPr>
          <w:rFonts w:ascii="Book Antiqua" w:eastAsiaTheme="minorEastAsia" w:hAnsi="Book Antiqua"/>
          <w:bCs/>
          <w:lang w:val="en-GB" w:eastAsia="zh-CN"/>
        </w:rPr>
        <w:t xml:space="preserve"> </w:t>
      </w:r>
      <w:r w:rsidR="00377135" w:rsidRPr="0037330A">
        <w:rPr>
          <w:rFonts w:ascii="Book Antiqua" w:hAnsi="Book Antiqua"/>
          <w:bCs/>
          <w:lang w:val="en-GB"/>
        </w:rPr>
        <w:t>31</w:t>
      </w:r>
      <w:r w:rsidRPr="0037330A">
        <w:rPr>
          <w:rFonts w:ascii="Book Antiqua" w:hAnsi="Book Antiqua"/>
          <w:bCs/>
          <w:lang w:val="en-GB"/>
        </w:rPr>
        <w:t xml:space="preserve">) provided HbA1c testing at the centres and </w:t>
      </w:r>
      <w:r w:rsidR="00377135" w:rsidRPr="0037330A">
        <w:rPr>
          <w:rFonts w:ascii="Book Antiqua" w:hAnsi="Book Antiqua"/>
          <w:bCs/>
          <w:lang w:val="en-GB"/>
        </w:rPr>
        <w:t>16.2</w:t>
      </w:r>
      <w:r w:rsidRPr="0037330A">
        <w:rPr>
          <w:rFonts w:ascii="Book Antiqua" w:hAnsi="Book Antiqua"/>
          <w:bCs/>
          <w:lang w:val="en-GB"/>
        </w:rPr>
        <w:t xml:space="preserve">% </w:t>
      </w:r>
      <w:r w:rsidR="0027605D" w:rsidRPr="0037330A">
        <w:rPr>
          <w:rFonts w:ascii="Book Antiqua" w:hAnsi="Book Antiqua"/>
          <w:bCs/>
          <w:lang w:val="en-GB"/>
        </w:rPr>
        <w:t>(</w:t>
      </w:r>
      <w:r w:rsidR="0027605D" w:rsidRPr="0037330A">
        <w:rPr>
          <w:rFonts w:ascii="Book Antiqua" w:hAnsi="Book Antiqua"/>
          <w:bCs/>
          <w:i/>
          <w:lang w:val="en-GB"/>
        </w:rPr>
        <w:t>n</w:t>
      </w:r>
      <w:r w:rsidR="000E7A7D" w:rsidRPr="0037330A">
        <w:rPr>
          <w:rFonts w:ascii="Book Antiqua" w:eastAsiaTheme="minorEastAsia" w:hAnsi="Book Antiqua"/>
          <w:bCs/>
          <w:lang w:val="en-GB" w:eastAsia="zh-CN"/>
        </w:rPr>
        <w:t xml:space="preserve"> </w:t>
      </w:r>
      <w:r w:rsidR="0027605D" w:rsidRPr="0037330A">
        <w:rPr>
          <w:rFonts w:ascii="Book Antiqua" w:hAnsi="Book Antiqua"/>
          <w:bCs/>
          <w:lang w:val="en-GB"/>
        </w:rPr>
        <w:t>=</w:t>
      </w:r>
      <w:r w:rsidR="000E7A7D" w:rsidRPr="0037330A">
        <w:rPr>
          <w:rFonts w:ascii="Book Antiqua" w:eastAsiaTheme="minorEastAsia" w:hAnsi="Book Antiqua"/>
          <w:bCs/>
          <w:lang w:val="en-GB" w:eastAsia="zh-CN"/>
        </w:rPr>
        <w:t xml:space="preserve"> </w:t>
      </w:r>
      <w:r w:rsidR="00AB67E2" w:rsidRPr="0037330A">
        <w:rPr>
          <w:rFonts w:ascii="Book Antiqua" w:hAnsi="Book Antiqua"/>
          <w:bCs/>
          <w:lang w:val="en-GB"/>
        </w:rPr>
        <w:t>6</w:t>
      </w:r>
      <w:r w:rsidR="0027605D" w:rsidRPr="0037330A">
        <w:rPr>
          <w:rFonts w:ascii="Book Antiqua" w:hAnsi="Book Antiqua"/>
          <w:bCs/>
          <w:lang w:val="en-GB"/>
        </w:rPr>
        <w:t xml:space="preserve">) </w:t>
      </w:r>
      <w:r w:rsidRPr="0037330A">
        <w:rPr>
          <w:rFonts w:ascii="Book Antiqua" w:hAnsi="Book Antiqua"/>
          <w:bCs/>
          <w:lang w:val="en-GB"/>
        </w:rPr>
        <w:t xml:space="preserve">did not. </w:t>
      </w:r>
      <w:r w:rsidR="00AB67E2" w:rsidRPr="0037330A">
        <w:rPr>
          <w:rFonts w:ascii="Book Antiqua" w:hAnsi="Book Antiqua"/>
          <w:bCs/>
          <w:lang w:val="en-GB"/>
        </w:rPr>
        <w:t xml:space="preserve">Of the 31 centres that </w:t>
      </w:r>
      <w:r w:rsidR="00AB67E2" w:rsidRPr="0037330A">
        <w:rPr>
          <w:rFonts w:ascii="Book Antiqua" w:hAnsi="Book Antiqua"/>
          <w:bCs/>
          <w:color w:val="000000" w:themeColor="text1"/>
          <w:lang w:val="en-GB"/>
        </w:rPr>
        <w:t>did provide testing, 22 (</w:t>
      </w:r>
      <w:r w:rsidR="008475C8" w:rsidRPr="0037330A">
        <w:rPr>
          <w:rFonts w:ascii="Book Antiqua" w:hAnsi="Book Antiqua"/>
          <w:bCs/>
          <w:color w:val="000000" w:themeColor="text1"/>
          <w:lang w:val="en-GB"/>
        </w:rPr>
        <w:t>71.0%</w:t>
      </w:r>
      <w:r w:rsidR="00AB67E2" w:rsidRPr="0037330A">
        <w:rPr>
          <w:rFonts w:ascii="Book Antiqua" w:hAnsi="Book Antiqua"/>
          <w:bCs/>
          <w:color w:val="000000" w:themeColor="text1"/>
          <w:lang w:val="en-GB"/>
        </w:rPr>
        <w:t>) provided POCT, eight (</w:t>
      </w:r>
      <w:r w:rsidR="008475C8" w:rsidRPr="0037330A">
        <w:rPr>
          <w:rFonts w:ascii="Book Antiqua" w:hAnsi="Book Antiqua"/>
          <w:bCs/>
          <w:color w:val="000000" w:themeColor="text1"/>
          <w:lang w:val="en-GB"/>
        </w:rPr>
        <w:t>36.4</w:t>
      </w:r>
      <w:r w:rsidR="00AB67E2" w:rsidRPr="0037330A">
        <w:rPr>
          <w:rFonts w:ascii="Book Antiqua" w:hAnsi="Book Antiqua"/>
          <w:bCs/>
          <w:color w:val="000000" w:themeColor="text1"/>
          <w:lang w:val="en-GB"/>
        </w:rPr>
        <w:t>%) used laboratory analysis, and one (</w:t>
      </w:r>
      <w:r w:rsidR="008475C8" w:rsidRPr="0037330A">
        <w:rPr>
          <w:rFonts w:ascii="Book Antiqua" w:hAnsi="Book Antiqua"/>
          <w:bCs/>
          <w:color w:val="000000" w:themeColor="text1"/>
          <w:lang w:val="en-GB"/>
        </w:rPr>
        <w:t>3.2</w:t>
      </w:r>
      <w:r w:rsidR="00AB67E2" w:rsidRPr="0037330A">
        <w:rPr>
          <w:rFonts w:ascii="Book Antiqua" w:hAnsi="Book Antiqua"/>
          <w:bCs/>
          <w:color w:val="000000" w:themeColor="text1"/>
          <w:lang w:val="en-GB"/>
        </w:rPr>
        <w:t xml:space="preserve">%) both methods. When provided, the average </w:t>
      </w:r>
      <w:r w:rsidR="00770BAC" w:rsidRPr="0037330A">
        <w:rPr>
          <w:rFonts w:ascii="Book Antiqua" w:hAnsi="Book Antiqua"/>
          <w:bCs/>
          <w:color w:val="000000" w:themeColor="text1"/>
          <w:lang w:val="en-GB"/>
        </w:rPr>
        <w:t xml:space="preserve">annual </w:t>
      </w:r>
      <w:r w:rsidR="00AB67E2" w:rsidRPr="0037330A">
        <w:rPr>
          <w:rFonts w:ascii="Book Antiqua" w:hAnsi="Book Antiqua"/>
          <w:bCs/>
          <w:color w:val="000000" w:themeColor="text1"/>
          <w:lang w:val="en-GB"/>
        </w:rPr>
        <w:t xml:space="preserve">frequency of HbA1c testing for young people with T1D was </w:t>
      </w:r>
      <w:r w:rsidRPr="0037330A">
        <w:rPr>
          <w:rFonts w:ascii="Book Antiqua" w:hAnsi="Book Antiqua"/>
          <w:bCs/>
          <w:color w:val="000000" w:themeColor="text1"/>
          <w:lang w:val="en-GB"/>
        </w:rPr>
        <w:t>3.0</w:t>
      </w:r>
      <w:r w:rsidR="000E7A7D" w:rsidRPr="0037330A">
        <w:rPr>
          <w:rFonts w:ascii="Book Antiqua" w:eastAsiaTheme="minorEastAsia" w:hAnsi="Book Antiqua"/>
          <w:bCs/>
          <w:color w:val="000000" w:themeColor="text1"/>
          <w:lang w:val="en-GB" w:eastAsia="zh-CN"/>
        </w:rPr>
        <w:t xml:space="preserve"> </w:t>
      </w:r>
      <w:r w:rsidR="00770BAC"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0E7A7D" w:rsidRPr="0037330A">
        <w:rPr>
          <w:rFonts w:ascii="Book Antiqua" w:hAnsi="Book Antiqua"/>
          <w:bCs/>
          <w:color w:val="000000" w:themeColor="text1"/>
          <w:lang w:val="en-GB"/>
        </w:rPr>
        <w:t>1.58</w:t>
      </w:r>
      <w:r w:rsidR="00770BAC" w:rsidRPr="0037330A">
        <w:rPr>
          <w:rFonts w:ascii="Book Antiqua" w:hAnsi="Book Antiqua"/>
          <w:bCs/>
          <w:color w:val="000000" w:themeColor="text1"/>
          <w:lang w:val="en-GB"/>
        </w:rPr>
        <w:t xml:space="preserve"> (mean</w:t>
      </w:r>
      <w:r w:rsidR="000E7A7D" w:rsidRPr="0037330A">
        <w:rPr>
          <w:rFonts w:ascii="Book Antiqua" w:eastAsiaTheme="minorEastAsia" w:hAnsi="Book Antiqua"/>
          <w:bCs/>
          <w:color w:val="000000" w:themeColor="text1"/>
          <w:lang w:val="en-GB" w:eastAsia="zh-CN"/>
        </w:rPr>
        <w:t xml:space="preserve"> </w:t>
      </w:r>
      <w:r w:rsidR="00770BAC"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770BAC" w:rsidRPr="0037330A">
        <w:rPr>
          <w:rFonts w:ascii="Book Antiqua" w:hAnsi="Book Antiqua"/>
          <w:bCs/>
          <w:color w:val="000000" w:themeColor="text1"/>
          <w:lang w:val="en-GB"/>
        </w:rPr>
        <w:t xml:space="preserve">SD), with a range of </w:t>
      </w:r>
      <w:r w:rsidR="00526A29" w:rsidRPr="0037330A">
        <w:rPr>
          <w:rFonts w:ascii="Book Antiqua" w:hAnsi="Book Antiqua"/>
          <w:bCs/>
          <w:color w:val="000000" w:themeColor="text1"/>
          <w:lang w:val="en-GB"/>
        </w:rPr>
        <w:t>1</w:t>
      </w:r>
      <w:r w:rsidR="00770BAC" w:rsidRPr="0037330A">
        <w:rPr>
          <w:rFonts w:ascii="Book Antiqua" w:hAnsi="Book Antiqua"/>
          <w:bCs/>
          <w:color w:val="000000" w:themeColor="text1"/>
          <w:lang w:val="en-GB"/>
        </w:rPr>
        <w:t>-</w:t>
      </w:r>
      <w:r w:rsidR="00526A29" w:rsidRPr="0037330A">
        <w:rPr>
          <w:rFonts w:ascii="Book Antiqua" w:hAnsi="Book Antiqua"/>
          <w:bCs/>
          <w:color w:val="000000" w:themeColor="text1"/>
          <w:lang w:val="en-GB"/>
        </w:rPr>
        <w:t>4</w:t>
      </w:r>
      <w:r w:rsidR="00770BAC" w:rsidRPr="0037330A">
        <w:rPr>
          <w:rFonts w:ascii="Book Antiqua" w:hAnsi="Book Antiqua"/>
          <w:bCs/>
          <w:color w:val="000000" w:themeColor="text1"/>
          <w:lang w:val="en-GB"/>
        </w:rPr>
        <w:t xml:space="preserve"> tests</w:t>
      </w:r>
      <w:r w:rsidRPr="0037330A">
        <w:rPr>
          <w:rFonts w:ascii="Book Antiqua" w:hAnsi="Book Antiqua"/>
          <w:bCs/>
          <w:color w:val="000000" w:themeColor="text1"/>
          <w:lang w:val="en-GB"/>
        </w:rPr>
        <w:t xml:space="preserve">. </w:t>
      </w:r>
    </w:p>
    <w:p w14:paraId="569A62D7" w14:textId="718C7E19" w:rsidR="006312DE" w:rsidRPr="0037330A" w:rsidRDefault="006312DE" w:rsidP="00146B63">
      <w:pPr>
        <w:pStyle w:val="a3"/>
        <w:tabs>
          <w:tab w:val="left" w:pos="0"/>
        </w:tabs>
        <w:snapToGrid w:val="0"/>
        <w:spacing w:line="360" w:lineRule="auto"/>
        <w:ind w:left="0" w:firstLineChars="100" w:firstLine="240"/>
        <w:contextualSpacing w:val="0"/>
        <w:jc w:val="both"/>
        <w:rPr>
          <w:rFonts w:ascii="Book Antiqua" w:hAnsi="Book Antiqua"/>
          <w:bCs/>
          <w:color w:val="000000" w:themeColor="text1"/>
          <w:lang w:val="en-GB"/>
        </w:rPr>
      </w:pPr>
      <w:r w:rsidRPr="0037330A">
        <w:rPr>
          <w:rFonts w:ascii="Book Antiqua" w:hAnsi="Book Antiqua"/>
          <w:bCs/>
          <w:color w:val="000000" w:themeColor="text1"/>
          <w:lang w:val="en-GB"/>
        </w:rPr>
        <w:t>Of the</w:t>
      </w:r>
      <w:r w:rsidR="00770BAC" w:rsidRPr="0037330A">
        <w:rPr>
          <w:rFonts w:ascii="Book Antiqua" w:hAnsi="Book Antiqua"/>
          <w:bCs/>
          <w:color w:val="000000" w:themeColor="text1"/>
          <w:lang w:val="en-GB"/>
        </w:rPr>
        <w:t xml:space="preserve"> 31</w:t>
      </w:r>
      <w:r w:rsidRPr="0037330A">
        <w:rPr>
          <w:rFonts w:ascii="Book Antiqua" w:hAnsi="Book Antiqua"/>
          <w:bCs/>
          <w:color w:val="000000" w:themeColor="text1"/>
          <w:lang w:val="en-GB"/>
        </w:rPr>
        <w:t xml:space="preserve"> centres that provided testing, </w:t>
      </w:r>
      <w:r w:rsidR="00770BAC" w:rsidRPr="0037330A">
        <w:rPr>
          <w:rFonts w:ascii="Book Antiqua" w:hAnsi="Book Antiqua"/>
          <w:bCs/>
          <w:color w:val="000000" w:themeColor="text1"/>
          <w:lang w:val="en-GB"/>
        </w:rPr>
        <w:t>20 (</w:t>
      </w:r>
      <w:r w:rsidR="00377135" w:rsidRPr="0037330A">
        <w:rPr>
          <w:rFonts w:ascii="Book Antiqua" w:hAnsi="Book Antiqua"/>
          <w:bCs/>
          <w:color w:val="000000" w:themeColor="text1"/>
          <w:lang w:val="en-GB"/>
        </w:rPr>
        <w:t>65</w:t>
      </w:r>
      <w:r w:rsidRPr="0037330A">
        <w:rPr>
          <w:rFonts w:ascii="Book Antiqua" w:hAnsi="Book Antiqua"/>
          <w:bCs/>
          <w:color w:val="000000" w:themeColor="text1"/>
          <w:lang w:val="en-GB"/>
        </w:rPr>
        <w:t>.</w:t>
      </w:r>
      <w:r w:rsidR="00377135" w:rsidRPr="0037330A">
        <w:rPr>
          <w:rFonts w:ascii="Book Antiqua" w:hAnsi="Book Antiqua"/>
          <w:bCs/>
          <w:color w:val="000000" w:themeColor="text1"/>
          <w:lang w:val="en-GB"/>
        </w:rPr>
        <w:t>5</w:t>
      </w:r>
      <w:r w:rsidRPr="0037330A">
        <w:rPr>
          <w:rFonts w:ascii="Book Antiqua" w:hAnsi="Book Antiqua"/>
          <w:bCs/>
          <w:color w:val="000000" w:themeColor="text1"/>
          <w:lang w:val="en-GB"/>
        </w:rPr>
        <w:t>%</w:t>
      </w:r>
      <w:r w:rsidR="00770BAC" w:rsidRPr="0037330A">
        <w:rPr>
          <w:rFonts w:ascii="Book Antiqua" w:hAnsi="Book Antiqua"/>
          <w:bCs/>
          <w:color w:val="000000" w:themeColor="text1"/>
          <w:lang w:val="en-GB"/>
        </w:rPr>
        <w:t>)</w:t>
      </w:r>
      <w:r w:rsidRPr="0037330A">
        <w:rPr>
          <w:rFonts w:ascii="Book Antiqua" w:hAnsi="Book Antiqua"/>
          <w:bCs/>
          <w:color w:val="000000" w:themeColor="text1"/>
          <w:lang w:val="en-GB"/>
        </w:rPr>
        <w:t xml:space="preserve"> had to pay for </w:t>
      </w:r>
      <w:r w:rsidR="00770BAC" w:rsidRPr="0037330A">
        <w:rPr>
          <w:rFonts w:ascii="Book Antiqua" w:hAnsi="Book Antiqua"/>
          <w:bCs/>
          <w:color w:val="000000" w:themeColor="text1"/>
          <w:lang w:val="en-GB"/>
        </w:rPr>
        <w:t xml:space="preserve">HbA1c </w:t>
      </w:r>
      <w:r w:rsidRPr="0037330A">
        <w:rPr>
          <w:rFonts w:ascii="Book Antiqua" w:hAnsi="Book Antiqua"/>
          <w:bCs/>
          <w:color w:val="000000" w:themeColor="text1"/>
          <w:lang w:val="en-GB"/>
        </w:rPr>
        <w:t>test</w:t>
      </w:r>
      <w:r w:rsidR="00770BAC" w:rsidRPr="0037330A">
        <w:rPr>
          <w:rFonts w:ascii="Book Antiqua" w:hAnsi="Book Antiqua"/>
          <w:bCs/>
          <w:color w:val="000000" w:themeColor="text1"/>
          <w:lang w:val="en-GB"/>
        </w:rPr>
        <w:t xml:space="preserve"> cartridges/laboratory </w:t>
      </w:r>
      <w:r w:rsidR="0055479A" w:rsidRPr="0037330A">
        <w:rPr>
          <w:rFonts w:ascii="Book Antiqua" w:hAnsi="Book Antiqua"/>
          <w:bCs/>
          <w:color w:val="000000" w:themeColor="text1"/>
          <w:lang w:val="en-GB"/>
        </w:rPr>
        <w:t>reagents</w:t>
      </w:r>
      <w:r w:rsidR="00770BAC" w:rsidRPr="0037330A">
        <w:rPr>
          <w:rFonts w:ascii="Book Antiqua" w:hAnsi="Book Antiqua"/>
          <w:bCs/>
          <w:color w:val="000000" w:themeColor="text1"/>
          <w:lang w:val="en-GB"/>
        </w:rPr>
        <w:t xml:space="preserve">, </w:t>
      </w:r>
      <w:r w:rsidRPr="0037330A">
        <w:rPr>
          <w:rFonts w:ascii="Book Antiqua" w:hAnsi="Book Antiqua"/>
          <w:bCs/>
          <w:color w:val="000000" w:themeColor="text1"/>
          <w:lang w:val="en-GB"/>
        </w:rPr>
        <w:t xml:space="preserve">and </w:t>
      </w:r>
      <w:r w:rsidR="00377135" w:rsidRPr="0037330A">
        <w:rPr>
          <w:rFonts w:ascii="Book Antiqua" w:hAnsi="Book Antiqua"/>
          <w:bCs/>
          <w:color w:val="000000" w:themeColor="text1"/>
          <w:lang w:val="en-GB"/>
        </w:rPr>
        <w:t>11</w:t>
      </w:r>
      <w:r w:rsidRPr="0037330A">
        <w:rPr>
          <w:rFonts w:ascii="Book Antiqua" w:hAnsi="Book Antiqua"/>
          <w:bCs/>
          <w:color w:val="000000" w:themeColor="text1"/>
          <w:lang w:val="en-GB"/>
        </w:rPr>
        <w:t xml:space="preserve"> </w:t>
      </w:r>
      <w:r w:rsidR="00770BAC" w:rsidRPr="0037330A">
        <w:rPr>
          <w:rFonts w:ascii="Book Antiqua" w:hAnsi="Book Antiqua"/>
          <w:bCs/>
          <w:color w:val="000000" w:themeColor="text1"/>
          <w:lang w:val="en-GB"/>
        </w:rPr>
        <w:t>(35.5%) received these by donation from LFAC</w:t>
      </w:r>
      <w:r w:rsidRPr="0037330A">
        <w:rPr>
          <w:rFonts w:ascii="Book Antiqua" w:hAnsi="Book Antiqua"/>
          <w:bCs/>
          <w:color w:val="000000" w:themeColor="text1"/>
          <w:lang w:val="en-GB"/>
        </w:rPr>
        <w:t xml:space="preserve">. The </w:t>
      </w:r>
      <w:r w:rsidR="00377135" w:rsidRPr="0037330A">
        <w:rPr>
          <w:rFonts w:ascii="Book Antiqua" w:hAnsi="Book Antiqua"/>
          <w:bCs/>
          <w:color w:val="000000" w:themeColor="text1"/>
          <w:lang w:val="en-GB"/>
        </w:rPr>
        <w:t>mean</w:t>
      </w:r>
      <w:r w:rsidRPr="0037330A">
        <w:rPr>
          <w:rFonts w:ascii="Book Antiqua" w:hAnsi="Book Antiqua"/>
          <w:bCs/>
          <w:color w:val="000000" w:themeColor="text1"/>
          <w:lang w:val="en-GB"/>
        </w:rPr>
        <w:t xml:space="preserve"> cost </w:t>
      </w:r>
      <w:r w:rsidR="00770BAC" w:rsidRPr="0037330A">
        <w:rPr>
          <w:rFonts w:ascii="Book Antiqua" w:hAnsi="Book Antiqua"/>
          <w:bCs/>
          <w:color w:val="000000" w:themeColor="text1"/>
          <w:lang w:val="en-GB"/>
        </w:rPr>
        <w:t xml:space="preserve">to the centre when purchased </w:t>
      </w:r>
      <w:r w:rsidRPr="0037330A">
        <w:rPr>
          <w:rFonts w:ascii="Book Antiqua" w:hAnsi="Book Antiqua"/>
          <w:bCs/>
          <w:color w:val="000000" w:themeColor="text1"/>
          <w:lang w:val="en-GB"/>
        </w:rPr>
        <w:t>was $</w:t>
      </w:r>
      <w:r w:rsidR="00377135" w:rsidRPr="0037330A">
        <w:rPr>
          <w:rFonts w:ascii="Book Antiqua" w:hAnsi="Book Antiqua"/>
          <w:bCs/>
          <w:color w:val="000000" w:themeColor="text1"/>
          <w:lang w:val="en-GB"/>
        </w:rPr>
        <w:t>6</w:t>
      </w:r>
      <w:r w:rsidRPr="0037330A">
        <w:rPr>
          <w:rFonts w:ascii="Book Antiqua" w:hAnsi="Book Antiqua"/>
          <w:bCs/>
          <w:color w:val="000000" w:themeColor="text1"/>
          <w:lang w:val="en-GB"/>
        </w:rPr>
        <w:t>.</w:t>
      </w:r>
      <w:r w:rsidR="00377135" w:rsidRPr="0037330A">
        <w:rPr>
          <w:rFonts w:ascii="Book Antiqua" w:hAnsi="Book Antiqua"/>
          <w:bCs/>
          <w:color w:val="000000" w:themeColor="text1"/>
          <w:lang w:val="en-GB"/>
        </w:rPr>
        <w:t>8</w:t>
      </w:r>
      <w:r w:rsidRPr="0037330A">
        <w:rPr>
          <w:rFonts w:ascii="Book Antiqua" w:hAnsi="Book Antiqua"/>
          <w:bCs/>
          <w:color w:val="000000" w:themeColor="text1"/>
          <w:lang w:val="en-GB"/>
        </w:rPr>
        <w:t>9</w:t>
      </w:r>
      <w:r w:rsidR="00770BAC" w:rsidRPr="0037330A">
        <w:rPr>
          <w:rFonts w:ascii="Book Antiqua" w:hAnsi="Book Antiqua"/>
          <w:bCs/>
          <w:color w:val="000000" w:themeColor="text1"/>
          <w:lang w:val="en-GB"/>
        </w:rPr>
        <w:t xml:space="preserve"> (range $</w:t>
      </w:r>
      <w:r w:rsidR="00A46D80" w:rsidRPr="0037330A">
        <w:rPr>
          <w:rFonts w:ascii="Book Antiqua" w:hAnsi="Book Antiqua"/>
          <w:bCs/>
          <w:color w:val="000000" w:themeColor="text1"/>
          <w:lang w:val="en-GB"/>
        </w:rPr>
        <w:t xml:space="preserve">2.20 in Sri Lanka </w:t>
      </w:r>
      <w:r w:rsidR="00770BAC" w:rsidRPr="0037330A">
        <w:rPr>
          <w:rFonts w:ascii="Book Antiqua" w:hAnsi="Book Antiqua"/>
          <w:bCs/>
          <w:color w:val="000000" w:themeColor="text1"/>
          <w:lang w:val="en-GB"/>
        </w:rPr>
        <w:t>-$</w:t>
      </w:r>
      <w:r w:rsidR="00A46D80" w:rsidRPr="0037330A">
        <w:rPr>
          <w:rFonts w:ascii="Book Antiqua" w:hAnsi="Book Antiqua"/>
          <w:bCs/>
          <w:color w:val="000000" w:themeColor="text1"/>
          <w:lang w:val="en-GB"/>
        </w:rPr>
        <w:t>14.80 in St Lucia</w:t>
      </w:r>
      <w:r w:rsidR="00770BAC" w:rsidRPr="0037330A">
        <w:rPr>
          <w:rFonts w:ascii="Book Antiqua" w:hAnsi="Book Antiqua"/>
          <w:bCs/>
          <w:color w:val="000000" w:themeColor="text1"/>
          <w:lang w:val="en-GB"/>
        </w:rPr>
        <w:t>)</w:t>
      </w:r>
      <w:r w:rsidRPr="0037330A">
        <w:rPr>
          <w:rFonts w:ascii="Book Antiqua" w:hAnsi="Book Antiqua"/>
          <w:bCs/>
          <w:color w:val="000000" w:themeColor="text1"/>
          <w:lang w:val="en-GB"/>
        </w:rPr>
        <w:t xml:space="preserve">. </w:t>
      </w:r>
      <w:r w:rsidR="00770BAC" w:rsidRPr="0037330A">
        <w:rPr>
          <w:rFonts w:ascii="Book Antiqua" w:hAnsi="Book Antiqua"/>
          <w:bCs/>
          <w:color w:val="000000" w:themeColor="text1"/>
          <w:lang w:val="en-GB"/>
        </w:rPr>
        <w:t>Eighteen (58.1%) p</w:t>
      </w:r>
      <w:r w:rsidRPr="0037330A">
        <w:rPr>
          <w:rFonts w:ascii="Book Antiqua" w:hAnsi="Book Antiqua"/>
          <w:bCs/>
          <w:color w:val="000000" w:themeColor="text1"/>
          <w:lang w:val="en-GB"/>
        </w:rPr>
        <w:t xml:space="preserve">rovided </w:t>
      </w:r>
      <w:r w:rsidR="00770BAC" w:rsidRPr="0037330A">
        <w:rPr>
          <w:rFonts w:ascii="Book Antiqua" w:hAnsi="Book Antiqua"/>
          <w:bCs/>
          <w:color w:val="000000" w:themeColor="text1"/>
          <w:lang w:val="en-GB"/>
        </w:rPr>
        <w:t xml:space="preserve">tests </w:t>
      </w:r>
      <w:r w:rsidRPr="0037330A">
        <w:rPr>
          <w:rFonts w:ascii="Book Antiqua" w:hAnsi="Book Antiqua"/>
          <w:bCs/>
          <w:color w:val="000000" w:themeColor="text1"/>
          <w:lang w:val="en-GB"/>
        </w:rPr>
        <w:t>free</w:t>
      </w:r>
      <w:r w:rsidR="00770BAC" w:rsidRPr="0037330A">
        <w:rPr>
          <w:rFonts w:ascii="Book Antiqua" w:hAnsi="Book Antiqua"/>
          <w:bCs/>
          <w:color w:val="000000" w:themeColor="text1"/>
          <w:lang w:val="en-GB"/>
        </w:rPr>
        <w:t>-</w:t>
      </w:r>
      <w:r w:rsidRPr="0037330A">
        <w:rPr>
          <w:rFonts w:ascii="Book Antiqua" w:hAnsi="Book Antiqua"/>
          <w:bCs/>
          <w:color w:val="000000" w:themeColor="text1"/>
          <w:lang w:val="en-GB"/>
        </w:rPr>
        <w:t>of</w:t>
      </w:r>
      <w:r w:rsidR="00770BAC" w:rsidRPr="0037330A">
        <w:rPr>
          <w:rFonts w:ascii="Book Antiqua" w:hAnsi="Book Antiqua"/>
          <w:bCs/>
          <w:color w:val="000000" w:themeColor="text1"/>
          <w:lang w:val="en-GB"/>
        </w:rPr>
        <w:t>-</w:t>
      </w:r>
      <w:r w:rsidRPr="0037330A">
        <w:rPr>
          <w:rFonts w:ascii="Book Antiqua" w:hAnsi="Book Antiqua"/>
          <w:bCs/>
          <w:color w:val="000000" w:themeColor="text1"/>
          <w:lang w:val="en-GB"/>
        </w:rPr>
        <w:t xml:space="preserve">charge to young people with T1D, and for </w:t>
      </w:r>
      <w:r w:rsidR="00770BAC" w:rsidRPr="0037330A">
        <w:rPr>
          <w:rFonts w:ascii="Book Antiqua" w:hAnsi="Book Antiqua"/>
          <w:bCs/>
          <w:color w:val="000000" w:themeColor="text1"/>
          <w:lang w:val="en-GB"/>
        </w:rPr>
        <w:t xml:space="preserve">the 13 centres that did charge, the mean </w:t>
      </w:r>
      <w:r w:rsidRPr="0037330A">
        <w:rPr>
          <w:rFonts w:ascii="Book Antiqua" w:hAnsi="Book Antiqua"/>
          <w:bCs/>
          <w:color w:val="000000" w:themeColor="text1"/>
          <w:lang w:val="en-GB"/>
        </w:rPr>
        <w:t>cost was $</w:t>
      </w:r>
      <w:r w:rsidR="00377135" w:rsidRPr="0037330A">
        <w:rPr>
          <w:rFonts w:ascii="Book Antiqua" w:hAnsi="Book Antiqua"/>
          <w:bCs/>
          <w:color w:val="000000" w:themeColor="text1"/>
          <w:lang w:val="en-GB"/>
        </w:rPr>
        <w:t>9.34</w:t>
      </w:r>
      <w:r w:rsidRPr="0037330A">
        <w:rPr>
          <w:rFonts w:ascii="Book Antiqua" w:hAnsi="Book Antiqua"/>
          <w:bCs/>
          <w:color w:val="000000" w:themeColor="text1"/>
          <w:lang w:val="en-GB"/>
        </w:rPr>
        <w:t xml:space="preserve"> per test</w:t>
      </w:r>
      <w:r w:rsidR="00770BAC" w:rsidRPr="0037330A">
        <w:rPr>
          <w:rFonts w:ascii="Book Antiqua" w:hAnsi="Book Antiqua"/>
          <w:bCs/>
          <w:color w:val="000000" w:themeColor="text1"/>
          <w:lang w:val="en-GB"/>
        </w:rPr>
        <w:t xml:space="preserve"> (range </w:t>
      </w:r>
      <w:r w:rsidR="00A46D80" w:rsidRPr="0037330A">
        <w:rPr>
          <w:rFonts w:ascii="Book Antiqua" w:hAnsi="Book Antiqua"/>
          <w:bCs/>
          <w:color w:val="000000" w:themeColor="text1"/>
          <w:lang w:val="en-GB"/>
        </w:rPr>
        <w:t>$2.36 in Mexico-$18.50 in St Lucia</w:t>
      </w:r>
      <w:r w:rsidR="00770BAC" w:rsidRPr="0037330A">
        <w:rPr>
          <w:rFonts w:ascii="Book Antiqua" w:hAnsi="Book Antiqua"/>
          <w:bCs/>
          <w:color w:val="000000" w:themeColor="text1"/>
          <w:lang w:val="en-GB"/>
        </w:rPr>
        <w:t>)</w:t>
      </w:r>
      <w:r w:rsidRPr="0037330A">
        <w:rPr>
          <w:rFonts w:ascii="Book Antiqua" w:hAnsi="Book Antiqua"/>
          <w:bCs/>
          <w:color w:val="000000" w:themeColor="text1"/>
          <w:lang w:val="en-GB"/>
        </w:rPr>
        <w:t xml:space="preserve">. </w:t>
      </w:r>
    </w:p>
    <w:p w14:paraId="4635217C" w14:textId="5F22A383" w:rsidR="00E957F3" w:rsidRPr="0037330A" w:rsidRDefault="006312DE" w:rsidP="00146B63">
      <w:pPr>
        <w:pStyle w:val="a3"/>
        <w:snapToGrid w:val="0"/>
        <w:spacing w:line="360" w:lineRule="auto"/>
        <w:ind w:left="0" w:firstLineChars="100" w:firstLine="240"/>
        <w:contextualSpacing w:val="0"/>
        <w:jc w:val="both"/>
        <w:rPr>
          <w:rFonts w:ascii="Book Antiqua" w:hAnsi="Book Antiqua"/>
          <w:bCs/>
          <w:lang w:val="en-GB"/>
        </w:rPr>
      </w:pPr>
      <w:r w:rsidRPr="0037330A">
        <w:rPr>
          <w:rFonts w:ascii="Book Antiqua" w:hAnsi="Book Antiqua"/>
          <w:bCs/>
          <w:color w:val="000000" w:themeColor="text1"/>
          <w:lang w:val="en-GB"/>
        </w:rPr>
        <w:lastRenderedPageBreak/>
        <w:t>7</w:t>
      </w:r>
      <w:r w:rsidR="00EC7CEB" w:rsidRPr="0037330A">
        <w:rPr>
          <w:rFonts w:ascii="Book Antiqua" w:hAnsi="Book Antiqua"/>
          <w:bCs/>
          <w:color w:val="000000" w:themeColor="text1"/>
          <w:lang w:val="en-GB"/>
        </w:rPr>
        <w:t>8.4</w:t>
      </w:r>
      <w:r w:rsidRPr="0037330A">
        <w:rPr>
          <w:rFonts w:ascii="Book Antiqua" w:hAnsi="Book Antiqua"/>
          <w:bCs/>
          <w:color w:val="000000" w:themeColor="text1"/>
          <w:lang w:val="en-GB"/>
        </w:rPr>
        <w:t>%</w:t>
      </w:r>
      <w:r w:rsidRPr="0037330A">
        <w:rPr>
          <w:rFonts w:ascii="Book Antiqua" w:hAnsi="Book Antiqua"/>
          <w:bCs/>
          <w:color w:val="FF0000"/>
          <w:lang w:val="en-GB"/>
        </w:rPr>
        <w:t xml:space="preserve"> </w:t>
      </w:r>
      <w:r w:rsidRPr="0037330A">
        <w:rPr>
          <w:rFonts w:ascii="Book Antiqua" w:hAnsi="Book Antiqua"/>
          <w:bCs/>
          <w:lang w:val="en-GB"/>
        </w:rPr>
        <w:t>of respondents (</w:t>
      </w:r>
      <w:r w:rsidR="00770BAC" w:rsidRPr="0037330A">
        <w:rPr>
          <w:rFonts w:ascii="Book Antiqua" w:hAnsi="Book Antiqua"/>
          <w:bCs/>
          <w:i/>
          <w:lang w:val="en-GB"/>
        </w:rPr>
        <w:t>n</w:t>
      </w:r>
      <w:r w:rsidR="000E7A7D" w:rsidRPr="0037330A">
        <w:rPr>
          <w:rFonts w:ascii="Book Antiqua" w:eastAsiaTheme="minorEastAsia" w:hAnsi="Book Antiqua"/>
          <w:bCs/>
          <w:lang w:val="en-GB" w:eastAsia="zh-CN"/>
        </w:rPr>
        <w:t xml:space="preserve"> </w:t>
      </w:r>
      <w:r w:rsidR="00770BAC" w:rsidRPr="0037330A">
        <w:rPr>
          <w:rFonts w:ascii="Book Antiqua" w:hAnsi="Book Antiqua"/>
          <w:bCs/>
          <w:lang w:val="en-GB"/>
        </w:rPr>
        <w:t>=</w:t>
      </w:r>
      <w:r w:rsidR="000E7A7D" w:rsidRPr="0037330A">
        <w:rPr>
          <w:rFonts w:ascii="Book Antiqua" w:eastAsiaTheme="minorEastAsia" w:hAnsi="Book Antiqua"/>
          <w:bCs/>
          <w:lang w:val="en-GB" w:eastAsia="zh-CN"/>
        </w:rPr>
        <w:t xml:space="preserve"> </w:t>
      </w:r>
      <w:r w:rsidRPr="0037330A">
        <w:rPr>
          <w:rFonts w:ascii="Book Antiqua" w:hAnsi="Book Antiqua"/>
          <w:bCs/>
          <w:lang w:val="en-GB"/>
        </w:rPr>
        <w:t>2</w:t>
      </w:r>
      <w:r w:rsidR="00EC7CEB" w:rsidRPr="0037330A">
        <w:rPr>
          <w:rFonts w:ascii="Book Antiqua" w:hAnsi="Book Antiqua"/>
          <w:bCs/>
          <w:lang w:val="en-GB"/>
        </w:rPr>
        <w:t>9</w:t>
      </w:r>
      <w:r w:rsidRPr="0037330A">
        <w:rPr>
          <w:rFonts w:ascii="Book Antiqua" w:hAnsi="Book Antiqua"/>
          <w:bCs/>
          <w:lang w:val="en-GB"/>
        </w:rPr>
        <w:t>) s</w:t>
      </w:r>
      <w:r w:rsidR="00770BAC" w:rsidRPr="0037330A">
        <w:rPr>
          <w:rFonts w:ascii="Book Antiqua" w:hAnsi="Book Antiqua"/>
          <w:bCs/>
          <w:lang w:val="en-GB"/>
        </w:rPr>
        <w:t>tated</w:t>
      </w:r>
      <w:r w:rsidRPr="0037330A">
        <w:rPr>
          <w:rFonts w:ascii="Book Antiqua" w:hAnsi="Book Antiqua"/>
          <w:bCs/>
          <w:lang w:val="en-GB"/>
        </w:rPr>
        <w:t xml:space="preserve"> that HbA1c testing was provided in some level</w:t>
      </w:r>
      <w:r w:rsidR="00770BAC" w:rsidRPr="0037330A">
        <w:rPr>
          <w:rFonts w:ascii="Book Antiqua" w:hAnsi="Book Antiqua"/>
          <w:bCs/>
          <w:lang w:val="en-GB"/>
        </w:rPr>
        <w:t>(s)</w:t>
      </w:r>
      <w:r w:rsidRPr="0037330A">
        <w:rPr>
          <w:rFonts w:ascii="Book Antiqua" w:hAnsi="Book Antiqua"/>
          <w:bCs/>
          <w:lang w:val="en-GB"/>
        </w:rPr>
        <w:t xml:space="preserve"> of their respective national health systems</w:t>
      </w:r>
      <w:r w:rsidR="00277A8F" w:rsidRPr="0037330A">
        <w:rPr>
          <w:rFonts w:ascii="Book Antiqua" w:hAnsi="Book Antiqua"/>
          <w:bCs/>
          <w:lang w:val="en-GB"/>
        </w:rPr>
        <w:t xml:space="preserve"> – see Table </w:t>
      </w:r>
      <w:r w:rsidR="007D7BDA" w:rsidRPr="0037330A">
        <w:rPr>
          <w:rFonts w:ascii="Book Antiqua" w:hAnsi="Book Antiqua"/>
          <w:bCs/>
          <w:lang w:val="en-GB"/>
        </w:rPr>
        <w:t>6.</w:t>
      </w:r>
      <w:r w:rsidRPr="0037330A">
        <w:rPr>
          <w:rFonts w:ascii="Book Antiqua" w:hAnsi="Book Antiqua"/>
          <w:bCs/>
          <w:lang w:val="en-GB"/>
        </w:rPr>
        <w:t xml:space="preserve"> </w:t>
      </w:r>
      <w:r w:rsidR="000D66AE" w:rsidRPr="0037330A">
        <w:rPr>
          <w:rFonts w:ascii="Book Antiqua" w:hAnsi="Book Antiqua"/>
          <w:bCs/>
          <w:lang w:val="en-GB"/>
        </w:rPr>
        <w:t>Eight countries had no provision of HbA1c testing in the public health system.</w:t>
      </w:r>
    </w:p>
    <w:p w14:paraId="0B2C4112" w14:textId="0E235F3B" w:rsidR="00EC340F" w:rsidRPr="0037330A" w:rsidRDefault="006312DE"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37330A">
        <w:rPr>
          <w:rFonts w:ascii="Book Antiqua" w:hAnsi="Book Antiqua"/>
          <w:bCs/>
          <w:lang w:val="en-GB"/>
        </w:rPr>
        <w:t>Respondents were asked whether they thought the education/support provided at their centre was adequate</w:t>
      </w:r>
      <w:r w:rsidR="008D2AD5" w:rsidRPr="0037330A">
        <w:rPr>
          <w:rFonts w:ascii="Book Antiqua" w:hAnsi="Book Antiqua"/>
          <w:bCs/>
          <w:lang w:val="en-GB"/>
        </w:rPr>
        <w:t xml:space="preserve">, with </w:t>
      </w:r>
      <w:r w:rsidRPr="0037330A">
        <w:rPr>
          <w:rFonts w:ascii="Book Antiqua" w:hAnsi="Book Antiqua"/>
          <w:bCs/>
          <w:lang w:val="en-GB"/>
        </w:rPr>
        <w:t xml:space="preserve">patients </w:t>
      </w:r>
      <w:r w:rsidRPr="0037330A">
        <w:rPr>
          <w:rFonts w:ascii="Book Antiqua" w:hAnsi="Book Antiqua"/>
          <w:bCs/>
          <w:color w:val="000000" w:themeColor="text1"/>
          <w:lang w:val="en-GB"/>
        </w:rPr>
        <w:t xml:space="preserve">provided with the knowledge and strategies to help guide improvements in their </w:t>
      </w:r>
      <w:r w:rsidR="002212C8" w:rsidRPr="0037330A">
        <w:rPr>
          <w:rFonts w:ascii="Book Antiqua" w:hAnsi="Book Antiqua"/>
          <w:bCs/>
          <w:color w:val="000000" w:themeColor="text1"/>
          <w:lang w:val="en-GB"/>
        </w:rPr>
        <w:t>glycaemic</w:t>
      </w:r>
      <w:r w:rsidRPr="0037330A">
        <w:rPr>
          <w:rFonts w:ascii="Book Antiqua" w:hAnsi="Book Antiqua"/>
          <w:bCs/>
          <w:color w:val="000000" w:themeColor="text1"/>
          <w:lang w:val="en-GB"/>
        </w:rPr>
        <w:t xml:space="preserve"> control</w:t>
      </w:r>
      <w:r w:rsidR="008D2AD5" w:rsidRPr="0037330A">
        <w:rPr>
          <w:rFonts w:ascii="Book Antiqua" w:hAnsi="Book Antiqua"/>
          <w:bCs/>
          <w:color w:val="000000" w:themeColor="text1"/>
          <w:lang w:val="en-GB"/>
        </w:rPr>
        <w:t>. Thirty-five centres responded, with 27 (77.1%) stating that it was adequate and eight (22.9%) that it was inadequate. This question was also asked about the public health system, with 23 centres responding</w:t>
      </w:r>
      <w:r w:rsidR="00EC340F" w:rsidRPr="0037330A">
        <w:rPr>
          <w:rFonts w:ascii="Book Antiqua" w:hAnsi="Book Antiqua"/>
          <w:bCs/>
          <w:color w:val="000000" w:themeColor="text1"/>
          <w:lang w:val="en-GB"/>
        </w:rPr>
        <w:t>. Six respondents (</w:t>
      </w:r>
      <w:r w:rsidR="008D2AD5" w:rsidRPr="0037330A">
        <w:rPr>
          <w:rFonts w:ascii="Book Antiqua" w:hAnsi="Book Antiqua"/>
          <w:bCs/>
          <w:color w:val="000000" w:themeColor="text1"/>
          <w:lang w:val="en-GB"/>
        </w:rPr>
        <w:t>26.1%</w:t>
      </w:r>
      <w:r w:rsidR="00EC340F" w:rsidRPr="0037330A">
        <w:rPr>
          <w:rFonts w:ascii="Book Antiqua" w:hAnsi="Book Antiqua"/>
          <w:bCs/>
          <w:color w:val="000000" w:themeColor="text1"/>
          <w:lang w:val="en-GB"/>
        </w:rPr>
        <w:t>)</w:t>
      </w:r>
      <w:r w:rsidR="008D2AD5" w:rsidRPr="0037330A">
        <w:rPr>
          <w:rFonts w:ascii="Book Antiqua" w:hAnsi="Book Antiqua"/>
          <w:bCs/>
          <w:color w:val="000000" w:themeColor="text1"/>
          <w:lang w:val="en-GB"/>
        </w:rPr>
        <w:t xml:space="preserve"> stat</w:t>
      </w:r>
      <w:r w:rsidR="00EC340F" w:rsidRPr="0037330A">
        <w:rPr>
          <w:rFonts w:ascii="Book Antiqua" w:hAnsi="Book Antiqua"/>
          <w:bCs/>
          <w:color w:val="000000" w:themeColor="text1"/>
          <w:lang w:val="en-GB"/>
        </w:rPr>
        <w:t>ed the education/support was adequate</w:t>
      </w:r>
      <w:r w:rsidR="007F0E2F" w:rsidRPr="0037330A">
        <w:rPr>
          <w:rFonts w:ascii="Book Antiqua" w:hAnsi="Book Antiqua"/>
          <w:bCs/>
          <w:color w:val="000000" w:themeColor="text1"/>
          <w:lang w:val="en-GB"/>
        </w:rPr>
        <w:t xml:space="preserve">, and </w:t>
      </w:r>
      <w:r w:rsidR="00EC340F" w:rsidRPr="0037330A">
        <w:rPr>
          <w:rFonts w:ascii="Book Antiqua" w:hAnsi="Book Antiqua"/>
          <w:bCs/>
          <w:color w:val="000000" w:themeColor="text1"/>
          <w:lang w:val="en-GB"/>
        </w:rPr>
        <w:t>17 (</w:t>
      </w:r>
      <w:r w:rsidR="008D2AD5" w:rsidRPr="0037330A">
        <w:rPr>
          <w:rFonts w:ascii="Book Antiqua" w:hAnsi="Book Antiqua"/>
          <w:bCs/>
          <w:color w:val="000000" w:themeColor="text1"/>
          <w:lang w:val="en-GB"/>
        </w:rPr>
        <w:t>73.9%</w:t>
      </w:r>
      <w:r w:rsidR="00EC340F" w:rsidRPr="0037330A">
        <w:rPr>
          <w:rFonts w:ascii="Book Antiqua" w:hAnsi="Book Antiqua"/>
          <w:bCs/>
          <w:color w:val="000000" w:themeColor="text1"/>
          <w:lang w:val="en-GB"/>
        </w:rPr>
        <w:t>)</w:t>
      </w:r>
      <w:r w:rsidR="008D2AD5" w:rsidRPr="0037330A">
        <w:rPr>
          <w:rFonts w:ascii="Book Antiqua" w:hAnsi="Book Antiqua"/>
          <w:bCs/>
          <w:color w:val="000000" w:themeColor="text1"/>
          <w:lang w:val="en-GB"/>
        </w:rPr>
        <w:t xml:space="preserve"> inadequate</w:t>
      </w:r>
      <w:r w:rsidR="00EC340F" w:rsidRPr="0037330A">
        <w:rPr>
          <w:rFonts w:ascii="Book Antiqua" w:hAnsi="Book Antiqua"/>
          <w:bCs/>
          <w:color w:val="000000" w:themeColor="text1"/>
          <w:lang w:val="en-GB"/>
        </w:rPr>
        <w:t>.</w:t>
      </w:r>
    </w:p>
    <w:p w14:paraId="4B041772" w14:textId="61225F25" w:rsidR="006312DE" w:rsidRPr="0037330A" w:rsidRDefault="00EC340F"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37330A">
        <w:rPr>
          <w:rFonts w:ascii="Book Antiqua" w:hAnsi="Book Antiqua"/>
          <w:bCs/>
          <w:color w:val="000000" w:themeColor="text1"/>
          <w:lang w:val="en-GB"/>
        </w:rPr>
        <w:t>The mean</w:t>
      </w:r>
      <w:r w:rsidR="000E7A7D" w:rsidRPr="0037330A">
        <w:rPr>
          <w:rFonts w:ascii="Book Antiqua" w:eastAsiaTheme="minorEastAsia" w:hAnsi="Book Antiqua"/>
          <w:bCs/>
          <w:color w:val="000000" w:themeColor="text1"/>
          <w:lang w:val="en-GB" w:eastAsia="zh-CN"/>
        </w:rPr>
        <w:t xml:space="preserve"> </w:t>
      </w:r>
      <w:r w:rsidR="00AD62B6"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AD62B6" w:rsidRPr="0037330A">
        <w:rPr>
          <w:rFonts w:ascii="Book Antiqua" w:hAnsi="Book Antiqua"/>
          <w:bCs/>
          <w:color w:val="000000" w:themeColor="text1"/>
          <w:lang w:val="en-GB"/>
        </w:rPr>
        <w:t>SD</w:t>
      </w:r>
      <w:r w:rsidRPr="0037330A">
        <w:rPr>
          <w:rFonts w:ascii="Book Antiqua" w:hAnsi="Book Antiqua"/>
          <w:bCs/>
          <w:color w:val="000000" w:themeColor="text1"/>
          <w:lang w:val="en-GB"/>
        </w:rPr>
        <w:t xml:space="preserve"> cost of </w:t>
      </w:r>
      <w:r w:rsidR="006312DE" w:rsidRPr="0037330A">
        <w:rPr>
          <w:rFonts w:ascii="Book Antiqua" w:hAnsi="Book Antiqua"/>
          <w:bCs/>
          <w:color w:val="000000" w:themeColor="text1"/>
          <w:lang w:val="en-GB"/>
        </w:rPr>
        <w:t xml:space="preserve">an HbA1c test within </w:t>
      </w:r>
      <w:r w:rsidRPr="0037330A">
        <w:rPr>
          <w:rFonts w:ascii="Book Antiqua" w:hAnsi="Book Antiqua"/>
          <w:bCs/>
          <w:color w:val="000000" w:themeColor="text1"/>
          <w:lang w:val="en-GB"/>
        </w:rPr>
        <w:t xml:space="preserve">a </w:t>
      </w:r>
      <w:r w:rsidR="006312DE" w:rsidRPr="0037330A">
        <w:rPr>
          <w:rFonts w:ascii="Book Antiqua" w:hAnsi="Book Antiqua"/>
          <w:bCs/>
          <w:color w:val="000000" w:themeColor="text1"/>
          <w:lang w:val="en-GB"/>
        </w:rPr>
        <w:t>private laborator</w:t>
      </w:r>
      <w:r w:rsidR="007F0E2F" w:rsidRPr="0037330A">
        <w:rPr>
          <w:rFonts w:ascii="Book Antiqua" w:hAnsi="Book Antiqua"/>
          <w:bCs/>
          <w:color w:val="000000" w:themeColor="text1"/>
          <w:lang w:val="en-GB"/>
        </w:rPr>
        <w:t>y</w:t>
      </w:r>
      <w:r w:rsidR="006312DE" w:rsidRPr="0037330A">
        <w:rPr>
          <w:rFonts w:ascii="Book Antiqua" w:hAnsi="Book Antiqua"/>
          <w:bCs/>
          <w:color w:val="000000" w:themeColor="text1"/>
          <w:lang w:val="en-GB"/>
        </w:rPr>
        <w:t xml:space="preserve"> was $1</w:t>
      </w:r>
      <w:r w:rsidR="00DF346A" w:rsidRPr="0037330A">
        <w:rPr>
          <w:rFonts w:ascii="Book Antiqua" w:hAnsi="Book Antiqua"/>
          <w:bCs/>
          <w:color w:val="000000" w:themeColor="text1"/>
          <w:lang w:val="en-GB"/>
        </w:rPr>
        <w:t>5.42</w:t>
      </w:r>
      <w:r w:rsidR="000E7A7D"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w:t>
      </w:r>
      <w:r w:rsidR="00DF346A" w:rsidRPr="0037330A">
        <w:rPr>
          <w:rFonts w:ascii="Book Antiqua" w:hAnsi="Book Antiqua"/>
          <w:bCs/>
          <w:color w:val="000000" w:themeColor="text1"/>
          <w:lang w:val="en-GB"/>
        </w:rPr>
        <w:t>12.46</w:t>
      </w:r>
      <w:r w:rsidR="00AD62B6" w:rsidRPr="0037330A">
        <w:rPr>
          <w:rFonts w:ascii="Book Antiqua" w:hAnsi="Book Antiqua"/>
          <w:bCs/>
          <w:color w:val="000000" w:themeColor="text1"/>
          <w:lang w:val="en-GB"/>
        </w:rPr>
        <w:t xml:space="preserve">, </w:t>
      </w:r>
      <w:r w:rsidRPr="0037330A">
        <w:rPr>
          <w:rFonts w:ascii="Book Antiqua" w:hAnsi="Book Antiqua"/>
          <w:bCs/>
          <w:color w:val="000000" w:themeColor="text1"/>
          <w:lang w:val="en-GB"/>
        </w:rPr>
        <w:t xml:space="preserve">range </w:t>
      </w:r>
      <w:r w:rsidR="00AD62B6" w:rsidRPr="0037330A">
        <w:rPr>
          <w:rFonts w:ascii="Book Antiqua" w:hAnsi="Book Antiqua"/>
          <w:bCs/>
          <w:color w:val="000000" w:themeColor="text1"/>
          <w:lang w:val="en-GB"/>
        </w:rPr>
        <w:t>$</w:t>
      </w:r>
      <w:r w:rsidR="00DF346A" w:rsidRPr="0037330A">
        <w:rPr>
          <w:rFonts w:ascii="Book Antiqua" w:hAnsi="Book Antiqua"/>
          <w:bCs/>
          <w:color w:val="000000" w:themeColor="text1"/>
          <w:lang w:val="en-GB"/>
        </w:rPr>
        <w:t>4.00 in Vietnam</w:t>
      </w:r>
      <w:r w:rsidR="00AD62B6" w:rsidRPr="0037330A">
        <w:rPr>
          <w:rFonts w:ascii="Book Antiqua" w:hAnsi="Book Antiqua"/>
          <w:bCs/>
          <w:color w:val="000000" w:themeColor="text1"/>
          <w:lang w:val="en-GB"/>
        </w:rPr>
        <w:t>-$</w:t>
      </w:r>
      <w:r w:rsidR="00DF346A" w:rsidRPr="0037330A">
        <w:rPr>
          <w:rFonts w:ascii="Book Antiqua" w:hAnsi="Book Antiqua"/>
          <w:bCs/>
          <w:color w:val="000000" w:themeColor="text1"/>
          <w:lang w:val="en-GB"/>
        </w:rPr>
        <w:t>28.85 in Mexico</w:t>
      </w:r>
      <w:r w:rsidR="00AD62B6" w:rsidRPr="0037330A">
        <w:rPr>
          <w:rFonts w:ascii="Book Antiqua" w:hAnsi="Book Antiqua"/>
          <w:bCs/>
          <w:color w:val="000000" w:themeColor="text1"/>
          <w:lang w:val="en-GB"/>
        </w:rPr>
        <w:t xml:space="preserve"> (reported for </w:t>
      </w:r>
      <w:r w:rsidR="00DF346A" w:rsidRPr="0037330A">
        <w:rPr>
          <w:rFonts w:ascii="Book Antiqua" w:hAnsi="Book Antiqua"/>
          <w:bCs/>
          <w:color w:val="000000" w:themeColor="text1"/>
          <w:lang w:val="en-GB"/>
        </w:rPr>
        <w:t>34</w:t>
      </w:r>
      <w:r w:rsidR="00AD62B6" w:rsidRPr="0037330A">
        <w:rPr>
          <w:rFonts w:ascii="Book Antiqua" w:hAnsi="Book Antiqua"/>
          <w:bCs/>
          <w:color w:val="000000" w:themeColor="text1"/>
          <w:lang w:val="en-GB"/>
        </w:rPr>
        <w:t xml:space="preserve"> countries). This compared to a</w:t>
      </w:r>
      <w:r w:rsidR="003A611A" w:rsidRPr="0037330A">
        <w:rPr>
          <w:rFonts w:ascii="Book Antiqua" w:hAnsi="Book Antiqua"/>
          <w:bCs/>
          <w:color w:val="000000" w:themeColor="text1"/>
          <w:lang w:val="en-GB"/>
        </w:rPr>
        <w:t>n average</w:t>
      </w:r>
      <w:r w:rsidR="00AD62B6" w:rsidRPr="0037330A">
        <w:rPr>
          <w:rFonts w:ascii="Book Antiqua" w:hAnsi="Book Antiqua"/>
          <w:bCs/>
          <w:color w:val="000000" w:themeColor="text1"/>
          <w:lang w:val="en-GB"/>
        </w:rPr>
        <w:t xml:space="preserve"> cost of </w:t>
      </w:r>
      <w:r w:rsidR="006312DE" w:rsidRPr="0037330A">
        <w:rPr>
          <w:rFonts w:ascii="Book Antiqua" w:hAnsi="Book Antiqua"/>
          <w:bCs/>
          <w:color w:val="000000" w:themeColor="text1"/>
          <w:lang w:val="en-GB"/>
        </w:rPr>
        <w:t>$1</w:t>
      </w:r>
      <w:r w:rsidR="00480A50" w:rsidRPr="0037330A">
        <w:rPr>
          <w:rFonts w:ascii="Book Antiqua" w:hAnsi="Book Antiqua"/>
          <w:bCs/>
          <w:color w:val="000000" w:themeColor="text1"/>
          <w:lang w:val="en-GB"/>
        </w:rPr>
        <w:t>0</w:t>
      </w:r>
      <w:r w:rsidR="006312DE" w:rsidRPr="0037330A">
        <w:rPr>
          <w:rFonts w:ascii="Book Antiqua" w:hAnsi="Book Antiqua"/>
          <w:bCs/>
          <w:color w:val="000000" w:themeColor="text1"/>
          <w:lang w:val="en-GB"/>
        </w:rPr>
        <w:t>.</w:t>
      </w:r>
      <w:r w:rsidR="00480A50" w:rsidRPr="0037330A">
        <w:rPr>
          <w:rFonts w:ascii="Book Antiqua" w:hAnsi="Book Antiqua"/>
          <w:bCs/>
          <w:color w:val="000000" w:themeColor="text1"/>
          <w:lang w:val="en-GB"/>
        </w:rPr>
        <w:t>8</w:t>
      </w:r>
      <w:r w:rsidR="003A611A" w:rsidRPr="0037330A">
        <w:rPr>
          <w:rFonts w:ascii="Book Antiqua" w:hAnsi="Book Antiqua"/>
          <w:bCs/>
          <w:color w:val="000000" w:themeColor="text1"/>
          <w:lang w:val="en-GB"/>
        </w:rPr>
        <w:t>7</w:t>
      </w:r>
      <w:r w:rsidR="000E7A7D" w:rsidRPr="0037330A">
        <w:rPr>
          <w:rFonts w:ascii="Book Antiqua" w:eastAsiaTheme="minorEastAsia" w:hAnsi="Book Antiqua"/>
          <w:bCs/>
          <w:color w:val="000000" w:themeColor="text1"/>
          <w:lang w:val="en-GB" w:eastAsia="zh-CN"/>
        </w:rPr>
        <w:t xml:space="preserve"> </w:t>
      </w:r>
      <w:r w:rsidR="00AD62B6"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AD62B6" w:rsidRPr="0037330A">
        <w:rPr>
          <w:rFonts w:ascii="Book Antiqua" w:hAnsi="Book Antiqua"/>
          <w:bCs/>
          <w:color w:val="000000" w:themeColor="text1"/>
          <w:lang w:val="en-GB"/>
        </w:rPr>
        <w:t>$</w:t>
      </w:r>
      <w:r w:rsidR="003A611A" w:rsidRPr="0037330A">
        <w:rPr>
          <w:rFonts w:ascii="Book Antiqua" w:hAnsi="Book Antiqua"/>
          <w:bCs/>
          <w:color w:val="000000" w:themeColor="text1"/>
          <w:lang w:val="en-GB"/>
        </w:rPr>
        <w:t>1.09</w:t>
      </w:r>
      <w:r w:rsidR="00AD62B6" w:rsidRPr="0037330A">
        <w:rPr>
          <w:rFonts w:ascii="Book Antiqua" w:hAnsi="Book Antiqua"/>
          <w:bCs/>
          <w:color w:val="000000" w:themeColor="text1"/>
          <w:lang w:val="en-GB"/>
        </w:rPr>
        <w:t xml:space="preserve"> (range $</w:t>
      </w:r>
      <w:r w:rsidR="003A611A" w:rsidRPr="0037330A">
        <w:rPr>
          <w:rFonts w:ascii="Book Antiqua" w:hAnsi="Book Antiqua"/>
          <w:bCs/>
          <w:color w:val="000000" w:themeColor="text1"/>
          <w:lang w:val="en-GB"/>
        </w:rPr>
        <w:t>9.74</w:t>
      </w:r>
      <w:r w:rsidR="00AD62B6" w:rsidRPr="0037330A">
        <w:rPr>
          <w:rFonts w:ascii="Book Antiqua" w:hAnsi="Book Antiqua"/>
          <w:bCs/>
          <w:color w:val="000000" w:themeColor="text1"/>
          <w:lang w:val="en-GB"/>
        </w:rPr>
        <w:t>-$</w:t>
      </w:r>
      <w:r w:rsidR="003A611A" w:rsidRPr="0037330A">
        <w:rPr>
          <w:rFonts w:ascii="Book Antiqua" w:hAnsi="Book Antiqua"/>
          <w:bCs/>
          <w:color w:val="000000" w:themeColor="text1"/>
          <w:lang w:val="en-GB"/>
        </w:rPr>
        <w:t>11.92</w:t>
      </w:r>
      <w:r w:rsidR="00AD62B6" w:rsidRPr="0037330A">
        <w:rPr>
          <w:rFonts w:ascii="Book Antiqua" w:hAnsi="Book Antiqua"/>
          <w:bCs/>
          <w:color w:val="000000" w:themeColor="text1"/>
          <w:lang w:val="en-GB"/>
        </w:rPr>
        <w:t>)</w:t>
      </w:r>
      <w:r w:rsidR="00AD62B6" w:rsidRPr="0037330A">
        <w:rPr>
          <w:rFonts w:ascii="Book Antiqua" w:hAnsi="Book Antiqua"/>
          <w:bCs/>
          <w:color w:val="FF0000"/>
          <w:lang w:val="en-GB"/>
        </w:rPr>
        <w:t xml:space="preserve"> </w:t>
      </w:r>
      <w:r w:rsidR="00AD62B6" w:rsidRPr="0037330A">
        <w:rPr>
          <w:rFonts w:ascii="Book Antiqua" w:hAnsi="Book Antiqua"/>
          <w:bCs/>
          <w:color w:val="000000" w:themeColor="text1"/>
          <w:lang w:val="en-GB"/>
        </w:rPr>
        <w:t xml:space="preserve">in </w:t>
      </w:r>
      <w:r w:rsidR="006312DE" w:rsidRPr="0037330A">
        <w:rPr>
          <w:rFonts w:ascii="Book Antiqua" w:hAnsi="Book Antiqua"/>
          <w:bCs/>
          <w:color w:val="000000" w:themeColor="text1"/>
          <w:lang w:val="en-GB"/>
        </w:rPr>
        <w:t>public health settings</w:t>
      </w:r>
      <w:r w:rsidR="00AD62B6" w:rsidRPr="0037330A">
        <w:rPr>
          <w:rFonts w:ascii="Book Antiqua" w:hAnsi="Book Antiqua"/>
          <w:bCs/>
          <w:color w:val="000000" w:themeColor="text1"/>
          <w:lang w:val="en-GB"/>
        </w:rPr>
        <w:t>, when it was available there.</w:t>
      </w:r>
      <w:r w:rsidR="006312DE" w:rsidRPr="0037330A">
        <w:rPr>
          <w:rFonts w:ascii="Book Antiqua" w:hAnsi="Book Antiqua"/>
          <w:bCs/>
          <w:color w:val="000000" w:themeColor="text1"/>
          <w:lang w:val="en-GB"/>
        </w:rPr>
        <w:t xml:space="preserve"> 41.</w:t>
      </w:r>
      <w:r w:rsidR="00480A50" w:rsidRPr="0037330A">
        <w:rPr>
          <w:rFonts w:ascii="Book Antiqua" w:hAnsi="Book Antiqua"/>
          <w:bCs/>
          <w:color w:val="000000" w:themeColor="text1"/>
          <w:lang w:val="en-GB"/>
        </w:rPr>
        <w:t>4</w:t>
      </w:r>
      <w:r w:rsidR="006312DE" w:rsidRPr="0037330A">
        <w:rPr>
          <w:rFonts w:ascii="Book Antiqua" w:hAnsi="Book Antiqua"/>
          <w:bCs/>
          <w:color w:val="000000" w:themeColor="text1"/>
          <w:lang w:val="en-GB"/>
        </w:rPr>
        <w:t xml:space="preserve">% of country respondents </w:t>
      </w:r>
      <w:r w:rsidR="00AD62B6" w:rsidRPr="0037330A">
        <w:rPr>
          <w:rFonts w:ascii="Book Antiqua" w:hAnsi="Book Antiqua"/>
          <w:bCs/>
          <w:color w:val="000000" w:themeColor="text1"/>
          <w:lang w:val="en-GB"/>
        </w:rPr>
        <w:t>(</w:t>
      </w:r>
      <w:r w:rsidR="00AD62B6" w:rsidRPr="0037330A">
        <w:rPr>
          <w:rFonts w:ascii="Book Antiqua" w:hAnsi="Book Antiqua"/>
          <w:bCs/>
          <w:i/>
          <w:color w:val="000000" w:themeColor="text1"/>
          <w:lang w:val="en-GB"/>
        </w:rPr>
        <w:t>n</w:t>
      </w:r>
      <w:r w:rsidR="000E7A7D" w:rsidRPr="0037330A">
        <w:rPr>
          <w:rFonts w:ascii="Book Antiqua" w:eastAsiaTheme="minorEastAsia" w:hAnsi="Book Antiqua"/>
          <w:bCs/>
          <w:color w:val="000000" w:themeColor="text1"/>
          <w:lang w:val="en-GB" w:eastAsia="zh-CN"/>
        </w:rPr>
        <w:t xml:space="preserve"> </w:t>
      </w:r>
      <w:r w:rsidR="00AD62B6"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2B3056" w:rsidRPr="0037330A">
        <w:rPr>
          <w:rFonts w:ascii="Book Antiqua" w:hAnsi="Book Antiqua"/>
          <w:bCs/>
          <w:color w:val="000000" w:themeColor="text1"/>
          <w:lang w:val="en-GB"/>
        </w:rPr>
        <w:t>37</w:t>
      </w:r>
      <w:r w:rsidR="00AD62B6" w:rsidRPr="0037330A">
        <w:rPr>
          <w:rFonts w:ascii="Book Antiqua" w:hAnsi="Book Antiqua"/>
          <w:bCs/>
          <w:color w:val="000000" w:themeColor="text1"/>
          <w:lang w:val="en-GB"/>
        </w:rPr>
        <w:t>)</w:t>
      </w:r>
      <w:r w:rsidR="00AD62B6" w:rsidRPr="0037330A">
        <w:rPr>
          <w:rFonts w:ascii="Book Antiqua" w:hAnsi="Book Antiqua"/>
          <w:bCs/>
          <w:color w:val="FF0000"/>
          <w:lang w:val="en-GB"/>
        </w:rPr>
        <w:t xml:space="preserve"> </w:t>
      </w:r>
      <w:r w:rsidR="006312DE" w:rsidRPr="0037330A">
        <w:rPr>
          <w:rFonts w:ascii="Book Antiqua" w:hAnsi="Book Antiqua"/>
          <w:bCs/>
          <w:color w:val="000000" w:themeColor="text1"/>
          <w:lang w:val="en-GB"/>
        </w:rPr>
        <w:t xml:space="preserve">stated that HbA1c testing was covered in </w:t>
      </w:r>
      <w:r w:rsidR="00AD62B6" w:rsidRPr="0037330A">
        <w:rPr>
          <w:rFonts w:ascii="Book Antiqua" w:hAnsi="Book Antiqua"/>
          <w:bCs/>
          <w:color w:val="000000" w:themeColor="text1"/>
          <w:lang w:val="en-GB"/>
        </w:rPr>
        <w:t xml:space="preserve">one or more </w:t>
      </w:r>
      <w:r w:rsidR="006312DE" w:rsidRPr="0037330A">
        <w:rPr>
          <w:rFonts w:ascii="Book Antiqua" w:hAnsi="Book Antiqua"/>
          <w:bCs/>
          <w:color w:val="000000" w:themeColor="text1"/>
          <w:lang w:val="en-GB"/>
        </w:rPr>
        <w:t xml:space="preserve">health insurance programs within their respective country. </w:t>
      </w:r>
    </w:p>
    <w:p w14:paraId="7704557D" w14:textId="341A571B" w:rsidR="006312DE" w:rsidRPr="0037330A" w:rsidRDefault="006312DE" w:rsidP="00146B63">
      <w:pPr>
        <w:tabs>
          <w:tab w:val="left" w:pos="0"/>
        </w:tabs>
        <w:snapToGrid w:val="0"/>
        <w:spacing w:line="360" w:lineRule="auto"/>
        <w:ind w:firstLineChars="100" w:firstLine="240"/>
        <w:jc w:val="both"/>
        <w:rPr>
          <w:rFonts w:ascii="Book Antiqua" w:hAnsi="Book Antiqua"/>
          <w:bCs/>
          <w:lang w:val="en-GB"/>
        </w:rPr>
      </w:pPr>
      <w:r w:rsidRPr="0037330A">
        <w:rPr>
          <w:rFonts w:ascii="Book Antiqua" w:hAnsi="Book Antiqua"/>
          <w:bCs/>
          <w:lang w:val="en-GB"/>
        </w:rPr>
        <w:t xml:space="preserve">Survey respondents were asked to identify the main challenges in providing HbA1c testing at their centres. </w:t>
      </w:r>
      <w:r w:rsidR="00AD62B6" w:rsidRPr="0037330A">
        <w:rPr>
          <w:rFonts w:ascii="Book Antiqua" w:hAnsi="Book Antiqua"/>
          <w:bCs/>
          <w:lang w:val="en-GB"/>
        </w:rPr>
        <w:t xml:space="preserve">Thirty-two centres responded. Table </w:t>
      </w:r>
      <w:r w:rsidR="007D7BDA" w:rsidRPr="0037330A">
        <w:rPr>
          <w:rFonts w:ascii="Book Antiqua" w:hAnsi="Book Antiqua"/>
          <w:bCs/>
          <w:lang w:val="en-GB"/>
        </w:rPr>
        <w:t>7</w:t>
      </w:r>
      <w:r w:rsidR="00AD62B6" w:rsidRPr="0037330A">
        <w:rPr>
          <w:rFonts w:ascii="Book Antiqua" w:hAnsi="Book Antiqua"/>
          <w:bCs/>
          <w:lang w:val="en-GB"/>
        </w:rPr>
        <w:t xml:space="preserve"> shows</w:t>
      </w:r>
      <w:r w:rsidRPr="0037330A">
        <w:rPr>
          <w:rFonts w:ascii="Book Antiqua" w:hAnsi="Book Antiqua"/>
          <w:bCs/>
          <w:lang w:val="en-GB"/>
        </w:rPr>
        <w:t xml:space="preserve"> the number of respondents reporting </w:t>
      </w:r>
      <w:r w:rsidR="00AD62B6" w:rsidRPr="0037330A">
        <w:rPr>
          <w:rFonts w:ascii="Book Antiqua" w:hAnsi="Book Antiqua"/>
          <w:bCs/>
          <w:lang w:val="en-GB"/>
        </w:rPr>
        <w:t xml:space="preserve">each pre-defined potential </w:t>
      </w:r>
      <w:r w:rsidRPr="0037330A">
        <w:rPr>
          <w:rFonts w:ascii="Book Antiqua" w:hAnsi="Book Antiqua"/>
          <w:bCs/>
          <w:lang w:val="en-GB"/>
        </w:rPr>
        <w:t>challenge</w:t>
      </w:r>
      <w:r w:rsidR="00AD62B6" w:rsidRPr="0037330A">
        <w:rPr>
          <w:rFonts w:ascii="Book Antiqua" w:hAnsi="Book Antiqua"/>
          <w:bCs/>
          <w:lang w:val="en-GB"/>
        </w:rPr>
        <w:t>.</w:t>
      </w:r>
      <w:r w:rsidRPr="0037330A">
        <w:rPr>
          <w:rFonts w:ascii="Book Antiqua" w:hAnsi="Book Antiqua"/>
          <w:bCs/>
          <w:lang w:val="en-GB"/>
        </w:rPr>
        <w:t xml:space="preserve"> </w:t>
      </w:r>
      <w:r w:rsidR="00AD62B6" w:rsidRPr="0037330A">
        <w:rPr>
          <w:rFonts w:ascii="Book Antiqua" w:hAnsi="Book Antiqua"/>
          <w:bCs/>
          <w:lang w:val="en-GB"/>
        </w:rPr>
        <w:t>Further information is in Appendix B of Supplementary Material</w:t>
      </w:r>
      <w:r w:rsidRPr="0037330A">
        <w:rPr>
          <w:rFonts w:ascii="Book Antiqua" w:hAnsi="Book Antiqua"/>
          <w:bCs/>
          <w:lang w:val="en-GB"/>
        </w:rPr>
        <w:t xml:space="preserve">. </w:t>
      </w:r>
    </w:p>
    <w:p w14:paraId="7478CB72" w14:textId="106CE98C" w:rsidR="006312DE" w:rsidRPr="0037330A" w:rsidRDefault="0055479A" w:rsidP="00146B63">
      <w:pPr>
        <w:pStyle w:val="a3"/>
        <w:tabs>
          <w:tab w:val="left" w:pos="0"/>
        </w:tabs>
        <w:snapToGrid w:val="0"/>
        <w:spacing w:line="360" w:lineRule="auto"/>
        <w:ind w:left="0" w:firstLineChars="100" w:firstLine="240"/>
        <w:contextualSpacing w:val="0"/>
        <w:jc w:val="both"/>
        <w:rPr>
          <w:rFonts w:ascii="Book Antiqua" w:hAnsi="Book Antiqua"/>
          <w:bCs/>
          <w:color w:val="000000" w:themeColor="text1"/>
          <w:lang w:val="en-GB"/>
        </w:rPr>
      </w:pPr>
      <w:r w:rsidRPr="0037330A">
        <w:rPr>
          <w:rFonts w:ascii="Book Antiqua" w:hAnsi="Book Antiqua"/>
          <w:bCs/>
          <w:color w:val="000000" w:themeColor="text1"/>
          <w:lang w:val="en-GB"/>
        </w:rPr>
        <w:t>Thirty-one respondents answered a question about whether t</w:t>
      </w:r>
      <w:r w:rsidR="006312DE" w:rsidRPr="0037330A">
        <w:rPr>
          <w:rFonts w:ascii="Book Antiqua" w:hAnsi="Book Antiqua"/>
          <w:bCs/>
          <w:color w:val="000000" w:themeColor="text1"/>
          <w:lang w:val="en-GB"/>
        </w:rPr>
        <w:t>hey had experienced an interruption</w:t>
      </w:r>
      <w:r w:rsidRPr="0037330A">
        <w:rPr>
          <w:rFonts w:ascii="Book Antiqua" w:hAnsi="Book Antiqua"/>
          <w:bCs/>
          <w:color w:val="000000" w:themeColor="text1"/>
          <w:lang w:val="en-GB"/>
        </w:rPr>
        <w:t xml:space="preserve"> in being able to provide testing due to stock-out</w:t>
      </w:r>
      <w:r w:rsidR="0004120C" w:rsidRPr="0037330A">
        <w:rPr>
          <w:rFonts w:ascii="Book Antiqua" w:hAnsi="Book Antiqua"/>
          <w:bCs/>
          <w:color w:val="000000" w:themeColor="text1"/>
          <w:lang w:val="en-GB"/>
        </w:rPr>
        <w:t>s</w:t>
      </w:r>
      <w:r w:rsidRPr="0037330A">
        <w:rPr>
          <w:rFonts w:ascii="Book Antiqua" w:hAnsi="Book Antiqua"/>
          <w:bCs/>
          <w:color w:val="000000" w:themeColor="text1"/>
          <w:lang w:val="en-GB"/>
        </w:rPr>
        <w:t xml:space="preserve"> of cartridges/reagents. Twenty-eight respondents (90.3%) stated they had and three (9.7%) had not.</w:t>
      </w:r>
      <w:r w:rsidR="006312DE" w:rsidRPr="0037330A">
        <w:rPr>
          <w:rFonts w:ascii="Book Antiqua" w:hAnsi="Book Antiqua"/>
          <w:bCs/>
          <w:color w:val="000000" w:themeColor="text1"/>
          <w:lang w:val="en-GB"/>
        </w:rPr>
        <w:t xml:space="preserve"> </w:t>
      </w:r>
      <w:r w:rsidR="00576BFE" w:rsidRPr="0037330A">
        <w:rPr>
          <w:rFonts w:ascii="Book Antiqua" w:hAnsi="Book Antiqua"/>
          <w:bCs/>
          <w:color w:val="000000" w:themeColor="text1"/>
          <w:lang w:val="en-GB"/>
        </w:rPr>
        <w:t xml:space="preserve">The length of </w:t>
      </w:r>
      <w:r w:rsidR="0096755E" w:rsidRPr="0037330A">
        <w:rPr>
          <w:rFonts w:ascii="Book Antiqua" w:hAnsi="Book Antiqua"/>
          <w:bCs/>
          <w:color w:val="000000" w:themeColor="text1"/>
          <w:lang w:val="en-GB"/>
        </w:rPr>
        <w:t>interruption</w:t>
      </w:r>
      <w:r w:rsidR="00576BFE" w:rsidRPr="0037330A">
        <w:rPr>
          <w:rFonts w:ascii="Book Antiqua" w:hAnsi="Book Antiqua"/>
          <w:bCs/>
          <w:color w:val="000000" w:themeColor="text1"/>
          <w:lang w:val="en-GB"/>
        </w:rPr>
        <w:t xml:space="preserve"> </w:t>
      </w:r>
      <w:r w:rsidR="006312DE" w:rsidRPr="0037330A">
        <w:rPr>
          <w:rFonts w:ascii="Book Antiqua" w:hAnsi="Book Antiqua"/>
          <w:bCs/>
          <w:color w:val="000000" w:themeColor="text1"/>
          <w:lang w:val="en-GB"/>
        </w:rPr>
        <w:t>ranged from one month in Eritrea to 36 mo in St. Lucia</w:t>
      </w:r>
      <w:r w:rsidRPr="0037330A">
        <w:rPr>
          <w:rFonts w:ascii="Book Antiqua" w:hAnsi="Book Antiqua"/>
          <w:bCs/>
          <w:color w:val="000000" w:themeColor="text1"/>
          <w:lang w:val="en-GB"/>
        </w:rPr>
        <w:t>, with a mean of</w:t>
      </w:r>
      <w:r w:rsidR="006312DE" w:rsidRPr="0037330A">
        <w:rPr>
          <w:rFonts w:ascii="Book Antiqua" w:hAnsi="Book Antiqua"/>
          <w:bCs/>
          <w:color w:val="000000" w:themeColor="text1"/>
          <w:lang w:val="en-GB"/>
        </w:rPr>
        <w:t xml:space="preserve"> </w:t>
      </w:r>
      <w:r w:rsidR="00576BFE" w:rsidRPr="0037330A">
        <w:rPr>
          <w:rFonts w:ascii="Book Antiqua" w:hAnsi="Book Antiqua"/>
          <w:bCs/>
          <w:color w:val="000000" w:themeColor="text1"/>
          <w:lang w:val="en-GB"/>
        </w:rPr>
        <w:t>10.5</w:t>
      </w:r>
      <w:r w:rsidR="006312DE" w:rsidRPr="0037330A">
        <w:rPr>
          <w:rFonts w:ascii="Book Antiqua" w:hAnsi="Book Antiqua"/>
          <w:bCs/>
          <w:color w:val="000000" w:themeColor="text1"/>
          <w:lang w:val="en-GB"/>
        </w:rPr>
        <w:t xml:space="preserve"> mo. </w:t>
      </w:r>
      <w:r w:rsidR="00506A62" w:rsidRPr="0037330A">
        <w:rPr>
          <w:rFonts w:ascii="Book Antiqua" w:hAnsi="Book Antiqua"/>
          <w:bCs/>
          <w:color w:val="000000" w:themeColor="text1"/>
          <w:lang w:val="en-GB"/>
        </w:rPr>
        <w:t>Respondents reported that v</w:t>
      </w:r>
      <w:r w:rsidR="00BF3B09" w:rsidRPr="0037330A">
        <w:rPr>
          <w:rFonts w:ascii="Book Antiqua" w:hAnsi="Book Antiqua"/>
          <w:bCs/>
          <w:color w:val="000000" w:themeColor="text1"/>
          <w:lang w:val="en-GB"/>
        </w:rPr>
        <w:t xml:space="preserve">arious alternate methods of assessing overall blood </w:t>
      </w:r>
      <w:r w:rsidR="004056BE" w:rsidRPr="0037330A">
        <w:rPr>
          <w:rFonts w:ascii="Book Antiqua" w:hAnsi="Book Antiqua"/>
          <w:bCs/>
          <w:color w:val="000000" w:themeColor="text1"/>
          <w:lang w:val="en-GB"/>
        </w:rPr>
        <w:t xml:space="preserve">glucose </w:t>
      </w:r>
      <w:r w:rsidR="00BF3B09" w:rsidRPr="0037330A">
        <w:rPr>
          <w:rFonts w:ascii="Book Antiqua" w:hAnsi="Book Antiqua"/>
          <w:bCs/>
          <w:color w:val="000000" w:themeColor="text1"/>
          <w:lang w:val="en-GB"/>
        </w:rPr>
        <w:t>control were use</w:t>
      </w:r>
      <w:r w:rsidR="004056BE" w:rsidRPr="0037330A">
        <w:rPr>
          <w:rFonts w:ascii="Book Antiqua" w:hAnsi="Book Antiqua"/>
          <w:bCs/>
          <w:color w:val="000000" w:themeColor="text1"/>
          <w:lang w:val="en-GB"/>
        </w:rPr>
        <w:t xml:space="preserve">d </w:t>
      </w:r>
      <w:r w:rsidR="00BF3B09" w:rsidRPr="0037330A">
        <w:rPr>
          <w:rFonts w:ascii="Book Antiqua" w:hAnsi="Book Antiqua"/>
          <w:bCs/>
          <w:color w:val="000000" w:themeColor="text1"/>
          <w:lang w:val="en-GB"/>
        </w:rPr>
        <w:t xml:space="preserve">in the stock-out periods. These included </w:t>
      </w:r>
      <w:r w:rsidR="00E10F87" w:rsidRPr="0037330A">
        <w:rPr>
          <w:rFonts w:ascii="Book Antiqua" w:hAnsi="Book Antiqua"/>
          <w:bCs/>
          <w:color w:val="000000" w:themeColor="text1"/>
          <w:lang w:val="en-GB"/>
        </w:rPr>
        <w:t>sending patients to public or private external health facilities</w:t>
      </w:r>
      <w:r w:rsidR="00506A62" w:rsidRPr="0037330A">
        <w:rPr>
          <w:rFonts w:ascii="Book Antiqua" w:hAnsi="Book Antiqua"/>
          <w:bCs/>
          <w:color w:val="000000" w:themeColor="text1"/>
          <w:lang w:val="en-GB"/>
        </w:rPr>
        <w:t>.</w:t>
      </w:r>
      <w:r w:rsidR="0004120C" w:rsidRPr="0037330A">
        <w:rPr>
          <w:rFonts w:ascii="Book Antiqua" w:hAnsi="Book Antiqua"/>
          <w:bCs/>
          <w:color w:val="000000" w:themeColor="text1"/>
          <w:lang w:val="en-GB"/>
        </w:rPr>
        <w:t xml:space="preserve"> Other</w:t>
      </w:r>
      <w:r w:rsidR="00506A62" w:rsidRPr="0037330A">
        <w:rPr>
          <w:rFonts w:ascii="Book Antiqua" w:hAnsi="Book Antiqua"/>
          <w:bCs/>
          <w:color w:val="000000" w:themeColor="text1"/>
          <w:lang w:val="en-GB"/>
        </w:rPr>
        <w:t>s</w:t>
      </w:r>
      <w:r w:rsidR="0004120C" w:rsidRPr="0037330A">
        <w:rPr>
          <w:rFonts w:ascii="Book Antiqua" w:hAnsi="Book Antiqua"/>
          <w:bCs/>
          <w:color w:val="000000" w:themeColor="text1"/>
          <w:lang w:val="en-GB"/>
        </w:rPr>
        <w:t xml:space="preserve"> said they reviewed patients’ glucose measurements (random, fasting, postprandial, or those recorded within logbooks), while a number said they relied on anthropometric measurements </w:t>
      </w:r>
      <w:r w:rsidR="00FA7438" w:rsidRPr="0037330A">
        <w:rPr>
          <w:rFonts w:ascii="Book Antiqua" w:hAnsi="Book Antiqua"/>
          <w:bCs/>
          <w:color w:val="000000" w:themeColor="text1"/>
          <w:lang w:val="en-GB"/>
        </w:rPr>
        <w:lastRenderedPageBreak/>
        <w:t>and general wellbeing.</w:t>
      </w:r>
      <w:r w:rsidR="00FA7438" w:rsidRPr="0037330A">
        <w:rPr>
          <w:rFonts w:ascii="Book Antiqua" w:eastAsiaTheme="minorEastAsia" w:hAnsi="Book Antiqua"/>
          <w:bCs/>
          <w:color w:val="000000" w:themeColor="text1"/>
          <w:lang w:val="en-GB" w:eastAsia="zh-CN"/>
        </w:rPr>
        <w:t xml:space="preserve"> </w:t>
      </w:r>
      <w:r w:rsidR="0004120C" w:rsidRPr="0037330A">
        <w:rPr>
          <w:rFonts w:ascii="Book Antiqua" w:hAnsi="Book Antiqua"/>
          <w:bCs/>
          <w:color w:val="000000" w:themeColor="text1"/>
          <w:lang w:val="en-GB"/>
        </w:rPr>
        <w:t xml:space="preserve">Some respondents said they had no alternative methods in place. </w:t>
      </w:r>
    </w:p>
    <w:p w14:paraId="2673358E" w14:textId="5413301D" w:rsidR="00BF3B09" w:rsidRPr="0037330A" w:rsidRDefault="006312DE" w:rsidP="00146B63">
      <w:pPr>
        <w:pStyle w:val="a3"/>
        <w:tabs>
          <w:tab w:val="left" w:pos="0"/>
        </w:tabs>
        <w:snapToGrid w:val="0"/>
        <w:spacing w:line="360" w:lineRule="auto"/>
        <w:ind w:left="0" w:firstLineChars="100" w:firstLine="240"/>
        <w:contextualSpacing w:val="0"/>
        <w:jc w:val="both"/>
        <w:rPr>
          <w:rFonts w:ascii="Book Antiqua" w:hAnsi="Book Antiqua"/>
          <w:bCs/>
          <w:color w:val="000000" w:themeColor="text1"/>
          <w:lang w:val="en-GB"/>
        </w:rPr>
      </w:pPr>
      <w:r w:rsidRPr="0037330A">
        <w:rPr>
          <w:rFonts w:ascii="Book Antiqua" w:hAnsi="Book Antiqua"/>
          <w:bCs/>
          <w:color w:val="000000" w:themeColor="text1"/>
          <w:lang w:val="en-GB"/>
        </w:rPr>
        <w:t xml:space="preserve">Respondents were asked to </w:t>
      </w:r>
      <w:r w:rsidR="0055479A" w:rsidRPr="0037330A">
        <w:rPr>
          <w:rFonts w:ascii="Book Antiqua" w:hAnsi="Book Antiqua"/>
          <w:bCs/>
          <w:color w:val="000000" w:themeColor="text1"/>
          <w:lang w:val="en-GB"/>
        </w:rPr>
        <w:t xml:space="preserve">whether they </w:t>
      </w:r>
      <w:r w:rsidRPr="0037330A">
        <w:rPr>
          <w:rFonts w:ascii="Book Antiqua" w:hAnsi="Book Antiqua"/>
          <w:bCs/>
          <w:color w:val="000000" w:themeColor="text1"/>
          <w:lang w:val="en-GB"/>
        </w:rPr>
        <w:t xml:space="preserve">knew of young people with T1D </w:t>
      </w:r>
      <w:r w:rsidR="0055479A" w:rsidRPr="0037330A">
        <w:rPr>
          <w:rFonts w:ascii="Book Antiqua" w:hAnsi="Book Antiqua"/>
          <w:bCs/>
          <w:color w:val="000000" w:themeColor="text1"/>
          <w:lang w:val="en-GB"/>
        </w:rPr>
        <w:t xml:space="preserve">who had </w:t>
      </w:r>
      <w:r w:rsidRPr="0037330A">
        <w:rPr>
          <w:rFonts w:ascii="Book Antiqua" w:hAnsi="Book Antiqua"/>
          <w:bCs/>
          <w:color w:val="000000" w:themeColor="text1"/>
          <w:lang w:val="en-GB"/>
        </w:rPr>
        <w:t>forgone HbA1c testing due to cost or other barriers.</w:t>
      </w:r>
      <w:r w:rsidR="00576BFE" w:rsidRPr="0037330A">
        <w:rPr>
          <w:rFonts w:ascii="Book Antiqua" w:hAnsi="Book Antiqua"/>
          <w:bCs/>
          <w:color w:val="000000" w:themeColor="text1"/>
          <w:lang w:val="en-GB"/>
        </w:rPr>
        <w:t xml:space="preserve"> </w:t>
      </w:r>
      <w:r w:rsidR="0055479A" w:rsidRPr="0037330A">
        <w:rPr>
          <w:rFonts w:ascii="Book Antiqua" w:hAnsi="Book Antiqua"/>
          <w:bCs/>
          <w:color w:val="000000" w:themeColor="text1"/>
          <w:lang w:val="en-GB"/>
        </w:rPr>
        <w:t xml:space="preserve">Thirty-four responded, </w:t>
      </w:r>
      <w:r w:rsidR="00576BFE" w:rsidRPr="0037330A">
        <w:rPr>
          <w:rFonts w:ascii="Book Antiqua" w:hAnsi="Book Antiqua"/>
          <w:bCs/>
          <w:color w:val="000000" w:themeColor="text1"/>
          <w:lang w:val="en-GB"/>
        </w:rPr>
        <w:t>76.5</w:t>
      </w:r>
      <w:r w:rsidRPr="0037330A">
        <w:rPr>
          <w:rFonts w:ascii="Book Antiqua" w:hAnsi="Book Antiqua"/>
          <w:bCs/>
          <w:color w:val="000000" w:themeColor="text1"/>
          <w:lang w:val="en-GB"/>
        </w:rPr>
        <w:t xml:space="preserve">% </w:t>
      </w:r>
      <w:r w:rsidR="0055479A" w:rsidRPr="0037330A">
        <w:rPr>
          <w:rFonts w:ascii="Book Antiqua" w:hAnsi="Book Antiqua"/>
          <w:bCs/>
          <w:color w:val="000000" w:themeColor="text1"/>
          <w:lang w:val="en-GB"/>
        </w:rPr>
        <w:t>(</w:t>
      </w:r>
      <w:r w:rsidR="0055479A" w:rsidRPr="0037330A">
        <w:rPr>
          <w:rFonts w:ascii="Book Antiqua" w:hAnsi="Book Antiqua"/>
          <w:bCs/>
          <w:i/>
          <w:color w:val="000000" w:themeColor="text1"/>
          <w:lang w:val="en-GB"/>
        </w:rPr>
        <w:t>n</w:t>
      </w:r>
      <w:r w:rsidR="000E7A7D" w:rsidRPr="0037330A">
        <w:rPr>
          <w:rFonts w:ascii="Book Antiqua" w:eastAsiaTheme="minorEastAsia" w:hAnsi="Book Antiqua"/>
          <w:bCs/>
          <w:color w:val="000000" w:themeColor="text1"/>
          <w:lang w:val="en-GB" w:eastAsia="zh-CN"/>
        </w:rPr>
        <w:t xml:space="preserve"> </w:t>
      </w:r>
      <w:r w:rsidR="0055479A"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55479A" w:rsidRPr="0037330A">
        <w:rPr>
          <w:rFonts w:ascii="Book Antiqua" w:hAnsi="Book Antiqua"/>
          <w:bCs/>
          <w:color w:val="000000" w:themeColor="text1"/>
          <w:lang w:val="en-GB"/>
        </w:rPr>
        <w:t xml:space="preserve">26) </w:t>
      </w:r>
      <w:r w:rsidRPr="0037330A">
        <w:rPr>
          <w:rFonts w:ascii="Book Antiqua" w:hAnsi="Book Antiqua"/>
          <w:bCs/>
          <w:color w:val="000000" w:themeColor="text1"/>
          <w:lang w:val="en-GB"/>
        </w:rPr>
        <w:t>s</w:t>
      </w:r>
      <w:r w:rsidR="00770BAC" w:rsidRPr="0037330A">
        <w:rPr>
          <w:rFonts w:ascii="Book Antiqua" w:hAnsi="Book Antiqua"/>
          <w:bCs/>
          <w:color w:val="000000" w:themeColor="text1"/>
          <w:lang w:val="en-GB"/>
        </w:rPr>
        <w:t xml:space="preserve">tated </w:t>
      </w:r>
      <w:r w:rsidR="000E7A7D" w:rsidRPr="0037330A">
        <w:rPr>
          <w:rFonts w:ascii="Book Antiqua" w:eastAsiaTheme="minorEastAsia" w:hAnsi="Book Antiqua"/>
          <w:bCs/>
          <w:color w:val="000000" w:themeColor="text1"/>
          <w:lang w:val="en-GB" w:eastAsia="zh-CN"/>
        </w:rPr>
        <w:t>“</w:t>
      </w:r>
      <w:r w:rsidR="0055479A" w:rsidRPr="0037330A">
        <w:rPr>
          <w:rFonts w:ascii="Book Antiqua" w:hAnsi="Book Antiqua"/>
          <w:bCs/>
          <w:color w:val="000000" w:themeColor="text1"/>
          <w:lang w:val="en-GB"/>
        </w:rPr>
        <w:t>yes</w:t>
      </w:r>
      <w:r w:rsidR="000E7A7D" w:rsidRPr="0037330A">
        <w:rPr>
          <w:rFonts w:ascii="Book Antiqua" w:eastAsiaTheme="minorEastAsia" w:hAnsi="Book Antiqua"/>
          <w:bCs/>
          <w:color w:val="000000" w:themeColor="text1"/>
          <w:lang w:val="en-GB" w:eastAsia="zh-CN"/>
        </w:rPr>
        <w:t>”</w:t>
      </w:r>
      <w:r w:rsidRPr="0037330A">
        <w:rPr>
          <w:rFonts w:ascii="Book Antiqua" w:hAnsi="Book Antiqua"/>
          <w:bCs/>
          <w:color w:val="000000" w:themeColor="text1"/>
          <w:lang w:val="en-GB"/>
        </w:rPr>
        <w:t xml:space="preserve"> </w:t>
      </w:r>
      <w:r w:rsidR="00576BFE" w:rsidRPr="0037330A">
        <w:rPr>
          <w:rFonts w:ascii="Book Antiqua" w:hAnsi="Book Antiqua"/>
          <w:bCs/>
          <w:color w:val="000000" w:themeColor="text1"/>
          <w:lang w:val="en-GB"/>
        </w:rPr>
        <w:t>23</w:t>
      </w:r>
      <w:r w:rsidRPr="0037330A">
        <w:rPr>
          <w:rFonts w:ascii="Book Antiqua" w:hAnsi="Book Antiqua"/>
          <w:bCs/>
          <w:color w:val="000000" w:themeColor="text1"/>
          <w:lang w:val="en-GB"/>
        </w:rPr>
        <w:t>.</w:t>
      </w:r>
      <w:r w:rsidR="00576BFE" w:rsidRPr="0037330A">
        <w:rPr>
          <w:rFonts w:ascii="Book Antiqua" w:hAnsi="Book Antiqua"/>
          <w:bCs/>
          <w:color w:val="000000" w:themeColor="text1"/>
          <w:lang w:val="en-GB"/>
        </w:rPr>
        <w:t>5</w:t>
      </w:r>
      <w:r w:rsidRPr="0037330A">
        <w:rPr>
          <w:rFonts w:ascii="Book Antiqua" w:hAnsi="Book Antiqua"/>
          <w:bCs/>
          <w:color w:val="000000" w:themeColor="text1"/>
          <w:lang w:val="en-GB"/>
        </w:rPr>
        <w:t xml:space="preserve">% </w:t>
      </w:r>
      <w:r w:rsidR="0055479A" w:rsidRPr="0037330A">
        <w:rPr>
          <w:rFonts w:ascii="Book Antiqua" w:hAnsi="Book Antiqua"/>
          <w:bCs/>
          <w:color w:val="000000" w:themeColor="text1"/>
          <w:lang w:val="en-GB"/>
        </w:rPr>
        <w:t>(</w:t>
      </w:r>
      <w:r w:rsidR="0055479A" w:rsidRPr="0037330A">
        <w:rPr>
          <w:rFonts w:ascii="Book Antiqua" w:hAnsi="Book Antiqua"/>
          <w:bCs/>
          <w:i/>
          <w:color w:val="000000" w:themeColor="text1"/>
          <w:lang w:val="en-GB"/>
        </w:rPr>
        <w:t>n</w:t>
      </w:r>
      <w:r w:rsidR="000E7A7D" w:rsidRPr="0037330A">
        <w:rPr>
          <w:rFonts w:ascii="Book Antiqua" w:eastAsiaTheme="minorEastAsia" w:hAnsi="Book Antiqua"/>
          <w:bCs/>
          <w:color w:val="000000" w:themeColor="text1"/>
          <w:lang w:val="en-GB" w:eastAsia="zh-CN"/>
        </w:rPr>
        <w:t xml:space="preserve"> </w:t>
      </w:r>
      <w:r w:rsidR="0055479A" w:rsidRPr="0037330A">
        <w:rPr>
          <w:rFonts w:ascii="Book Antiqua" w:hAnsi="Book Antiqua"/>
          <w:bCs/>
          <w:color w:val="000000" w:themeColor="text1"/>
          <w:lang w:val="en-GB"/>
        </w:rPr>
        <w:t>=</w:t>
      </w:r>
      <w:r w:rsidR="000E7A7D" w:rsidRPr="0037330A">
        <w:rPr>
          <w:rFonts w:ascii="Book Antiqua" w:eastAsiaTheme="minorEastAsia" w:hAnsi="Book Antiqua"/>
          <w:bCs/>
          <w:color w:val="000000" w:themeColor="text1"/>
          <w:lang w:val="en-GB" w:eastAsia="zh-CN"/>
        </w:rPr>
        <w:t xml:space="preserve"> </w:t>
      </w:r>
      <w:r w:rsidR="0055479A" w:rsidRPr="0037330A">
        <w:rPr>
          <w:rFonts w:ascii="Book Antiqua" w:hAnsi="Book Antiqua"/>
          <w:bCs/>
          <w:color w:val="000000" w:themeColor="text1"/>
          <w:lang w:val="en-GB"/>
        </w:rPr>
        <w:t xml:space="preserve">8) </w:t>
      </w:r>
      <w:r w:rsidR="00BF3B09" w:rsidRPr="0037330A">
        <w:rPr>
          <w:rFonts w:ascii="Book Antiqua" w:hAnsi="Book Antiqua"/>
          <w:bCs/>
          <w:color w:val="000000" w:themeColor="text1"/>
          <w:lang w:val="en-GB"/>
        </w:rPr>
        <w:t xml:space="preserve">stated </w:t>
      </w:r>
      <w:r w:rsidR="000E7A7D" w:rsidRPr="0037330A">
        <w:rPr>
          <w:rFonts w:ascii="Book Antiqua" w:eastAsiaTheme="minorEastAsia" w:hAnsi="Book Antiqua"/>
          <w:bCs/>
          <w:color w:val="000000" w:themeColor="text1"/>
          <w:lang w:val="en-GB" w:eastAsia="zh-CN"/>
        </w:rPr>
        <w:t>“</w:t>
      </w:r>
      <w:r w:rsidR="0055479A" w:rsidRPr="0037330A">
        <w:rPr>
          <w:rFonts w:ascii="Book Antiqua" w:hAnsi="Book Antiqua"/>
          <w:bCs/>
          <w:color w:val="000000" w:themeColor="text1"/>
          <w:lang w:val="en-GB"/>
        </w:rPr>
        <w:t>no</w:t>
      </w:r>
      <w:r w:rsidR="000E7A7D" w:rsidRPr="0037330A">
        <w:rPr>
          <w:rFonts w:ascii="Book Antiqua" w:eastAsiaTheme="minorEastAsia" w:hAnsi="Book Antiqua"/>
          <w:bCs/>
          <w:color w:val="000000" w:themeColor="text1"/>
          <w:lang w:val="en-GB" w:eastAsia="zh-CN"/>
        </w:rPr>
        <w:t>”</w:t>
      </w:r>
      <w:r w:rsidR="0055479A" w:rsidRPr="0037330A">
        <w:rPr>
          <w:rFonts w:ascii="Book Antiqua" w:hAnsi="Book Antiqua"/>
          <w:bCs/>
          <w:color w:val="000000" w:themeColor="text1"/>
          <w:lang w:val="en-GB"/>
        </w:rPr>
        <w:t xml:space="preserve">. </w:t>
      </w:r>
    </w:p>
    <w:p w14:paraId="0E08FEF2" w14:textId="5B00719C" w:rsidR="006312DE" w:rsidRPr="0037330A" w:rsidRDefault="00BF3B09" w:rsidP="00146B63">
      <w:pPr>
        <w:pStyle w:val="a3"/>
        <w:tabs>
          <w:tab w:val="left" w:pos="0"/>
        </w:tabs>
        <w:snapToGrid w:val="0"/>
        <w:spacing w:line="360" w:lineRule="auto"/>
        <w:ind w:left="0" w:firstLineChars="100" w:firstLine="240"/>
        <w:contextualSpacing w:val="0"/>
        <w:jc w:val="both"/>
        <w:rPr>
          <w:rFonts w:ascii="Book Antiqua" w:hAnsi="Book Antiqua"/>
          <w:bCs/>
          <w:lang w:val="en-GB"/>
        </w:rPr>
      </w:pPr>
      <w:r w:rsidRPr="0037330A">
        <w:rPr>
          <w:rFonts w:ascii="Book Antiqua" w:hAnsi="Book Antiqua"/>
          <w:bCs/>
          <w:lang w:val="en-GB"/>
        </w:rPr>
        <w:t xml:space="preserve">Further details on barriers to HbA1c testing for patients are presented in Appendix </w:t>
      </w:r>
      <w:r w:rsidR="00CF60F6" w:rsidRPr="0037330A">
        <w:rPr>
          <w:rFonts w:ascii="Book Antiqua" w:hAnsi="Book Antiqua"/>
          <w:bCs/>
          <w:lang w:val="en-GB"/>
        </w:rPr>
        <w:t>C</w:t>
      </w:r>
      <w:r w:rsidRPr="0037330A">
        <w:rPr>
          <w:rFonts w:ascii="Book Antiqua" w:hAnsi="Book Antiqua"/>
          <w:bCs/>
          <w:lang w:val="en-GB"/>
        </w:rPr>
        <w:t xml:space="preserve"> in the Supplementary materials.</w:t>
      </w:r>
    </w:p>
    <w:p w14:paraId="32F94688" w14:textId="77777777" w:rsidR="000D05F5" w:rsidRPr="0037330A" w:rsidRDefault="000D05F5" w:rsidP="00146B63">
      <w:pPr>
        <w:pStyle w:val="a3"/>
        <w:tabs>
          <w:tab w:val="left" w:pos="0"/>
        </w:tabs>
        <w:snapToGrid w:val="0"/>
        <w:spacing w:line="360" w:lineRule="auto"/>
        <w:ind w:left="0"/>
        <w:contextualSpacing w:val="0"/>
        <w:jc w:val="both"/>
        <w:rPr>
          <w:rFonts w:ascii="Book Antiqua" w:hAnsi="Book Antiqua"/>
          <w:bCs/>
          <w:color w:val="000000" w:themeColor="text1"/>
          <w:lang w:val="en-GB"/>
        </w:rPr>
      </w:pPr>
    </w:p>
    <w:p w14:paraId="43E18B9D" w14:textId="06B7B38C" w:rsidR="007A0E12" w:rsidRPr="0037330A" w:rsidRDefault="002C7207" w:rsidP="00146B63">
      <w:pPr>
        <w:tabs>
          <w:tab w:val="left" w:pos="990"/>
        </w:tabs>
        <w:snapToGrid w:val="0"/>
        <w:spacing w:line="360" w:lineRule="auto"/>
        <w:jc w:val="both"/>
        <w:rPr>
          <w:rFonts w:ascii="Book Antiqua" w:hAnsi="Book Antiqua"/>
          <w:b/>
          <w:u w:val="single"/>
          <w:lang w:val="en-GB"/>
        </w:rPr>
      </w:pPr>
      <w:r w:rsidRPr="0037330A">
        <w:rPr>
          <w:rFonts w:ascii="Book Antiqua" w:hAnsi="Book Antiqua"/>
          <w:b/>
          <w:u w:val="single"/>
          <w:lang w:val="en-GB"/>
        </w:rPr>
        <w:t xml:space="preserve">DISCUSSION </w:t>
      </w:r>
    </w:p>
    <w:p w14:paraId="1BE0E3AB" w14:textId="7CE4FBEC" w:rsidR="007F0E2F" w:rsidRPr="0037330A" w:rsidRDefault="00A25D52" w:rsidP="00146B63">
      <w:pPr>
        <w:autoSpaceDE w:val="0"/>
        <w:autoSpaceDN w:val="0"/>
        <w:adjustRightInd w:val="0"/>
        <w:snapToGrid w:val="0"/>
        <w:spacing w:line="360" w:lineRule="auto"/>
        <w:jc w:val="both"/>
        <w:rPr>
          <w:rFonts w:ascii="Book Antiqua" w:eastAsiaTheme="minorEastAsia" w:hAnsi="Book Antiqua"/>
          <w:lang w:val="en-GB" w:eastAsia="zh-CN"/>
        </w:rPr>
      </w:pPr>
      <w:r w:rsidRPr="0037330A">
        <w:rPr>
          <w:rFonts w:ascii="Book Antiqua" w:hAnsi="Book Antiqua"/>
          <w:lang w:val="en-GB"/>
        </w:rPr>
        <w:t xml:space="preserve">This study of leading childhood and adolescent diabetes centres in 37 </w:t>
      </w:r>
      <w:r w:rsidR="005B64BF" w:rsidRPr="0037330A">
        <w:rPr>
          <w:rFonts w:ascii="Book Antiqua" w:hAnsi="Book Antiqua"/>
          <w:lang w:val="en-GB"/>
        </w:rPr>
        <w:t>LMICs</w:t>
      </w:r>
      <w:r w:rsidRPr="0037330A">
        <w:rPr>
          <w:rFonts w:ascii="Book Antiqua" w:hAnsi="Book Antiqua"/>
          <w:lang w:val="en-GB"/>
        </w:rPr>
        <w:t xml:space="preserve"> </w:t>
      </w:r>
      <w:r w:rsidR="00965801" w:rsidRPr="0037330A">
        <w:rPr>
          <w:rFonts w:ascii="Book Antiqua" w:hAnsi="Book Antiqua"/>
          <w:lang w:val="en-GB"/>
        </w:rPr>
        <w:t xml:space="preserve">demonstrates that </w:t>
      </w:r>
      <w:r w:rsidR="007F0E2F" w:rsidRPr="0037330A">
        <w:rPr>
          <w:rFonts w:ascii="Book Antiqua" w:hAnsi="Book Antiqua"/>
          <w:lang w:val="en-GB"/>
        </w:rPr>
        <w:t>that there are many challenges to the provision and accessibility of adequate insulin-deliver</w:t>
      </w:r>
      <w:r w:rsidR="000E7A7D" w:rsidRPr="0037330A">
        <w:rPr>
          <w:rFonts w:ascii="Book Antiqua" w:hAnsi="Book Antiqua"/>
          <w:lang w:val="en-GB"/>
        </w:rPr>
        <w:t>y devices and HbA1c testing.</w:t>
      </w:r>
    </w:p>
    <w:p w14:paraId="468FC3A5" w14:textId="77777777" w:rsidR="003861F6" w:rsidRPr="0037330A" w:rsidRDefault="00463C3E" w:rsidP="00146B63">
      <w:pPr>
        <w:autoSpaceDE w:val="0"/>
        <w:autoSpaceDN w:val="0"/>
        <w:adjustRightInd w:val="0"/>
        <w:snapToGrid w:val="0"/>
        <w:spacing w:line="360" w:lineRule="auto"/>
        <w:ind w:firstLineChars="100" w:firstLine="240"/>
        <w:jc w:val="both"/>
        <w:rPr>
          <w:rFonts w:ascii="Book Antiqua" w:hAnsi="Book Antiqua"/>
          <w:lang w:val="en-GB"/>
        </w:rPr>
      </w:pPr>
      <w:r w:rsidRPr="0037330A">
        <w:rPr>
          <w:rFonts w:ascii="Book Antiqua" w:hAnsi="Book Antiqua"/>
          <w:lang w:val="en-GB"/>
        </w:rPr>
        <w:t xml:space="preserve">Insulin syringes were by far the most common delivery mechanism, with pens more commonly used in only three countries, and pump use was uncommon, even for private patients. </w:t>
      </w:r>
      <w:r w:rsidR="00120F54" w:rsidRPr="0037330A">
        <w:rPr>
          <w:rFonts w:ascii="Book Antiqua" w:hAnsi="Book Antiqua"/>
          <w:lang w:val="en-GB"/>
        </w:rPr>
        <w:t xml:space="preserve">In 48.6% of countries there was no government provision of syringes at all, with 20 countries </w:t>
      </w:r>
      <w:r w:rsidR="003326C4" w:rsidRPr="0037330A">
        <w:rPr>
          <w:rFonts w:ascii="Book Antiqua" w:hAnsi="Book Antiqua"/>
          <w:lang w:val="en-GB"/>
        </w:rPr>
        <w:t xml:space="preserve">(54.0%) </w:t>
      </w:r>
      <w:r w:rsidR="00120F54" w:rsidRPr="0037330A">
        <w:rPr>
          <w:rFonts w:ascii="Book Antiqua" w:hAnsi="Book Antiqua"/>
          <w:lang w:val="en-GB"/>
        </w:rPr>
        <w:t xml:space="preserve">fully </w:t>
      </w:r>
      <w:r w:rsidR="00C35419" w:rsidRPr="0037330A">
        <w:rPr>
          <w:rFonts w:ascii="Book Antiqua" w:hAnsi="Book Antiqua"/>
          <w:lang w:val="en-GB"/>
        </w:rPr>
        <w:t xml:space="preserve">or partly </w:t>
      </w:r>
      <w:r w:rsidR="00120F54" w:rsidRPr="0037330A">
        <w:rPr>
          <w:rFonts w:ascii="Book Antiqua" w:hAnsi="Book Antiqua"/>
          <w:lang w:val="en-GB"/>
        </w:rPr>
        <w:t>relying on donations from</w:t>
      </w:r>
      <w:r w:rsidRPr="0037330A">
        <w:rPr>
          <w:rFonts w:ascii="Book Antiqua" w:hAnsi="Book Antiqua"/>
          <w:lang w:val="en-GB"/>
        </w:rPr>
        <w:t xml:space="preserve"> LFAC or other sources. </w:t>
      </w:r>
    </w:p>
    <w:p w14:paraId="2522AEA9" w14:textId="3AD989FF" w:rsidR="003861F6" w:rsidRPr="0037330A" w:rsidRDefault="007F4F45" w:rsidP="00146B63">
      <w:pPr>
        <w:autoSpaceDE w:val="0"/>
        <w:autoSpaceDN w:val="0"/>
        <w:adjustRightInd w:val="0"/>
        <w:snapToGrid w:val="0"/>
        <w:spacing w:line="360" w:lineRule="auto"/>
        <w:ind w:firstLineChars="100" w:firstLine="240"/>
        <w:jc w:val="both"/>
        <w:rPr>
          <w:rFonts w:ascii="Book Antiqua" w:hAnsi="Book Antiqua"/>
          <w:lang w:val="en-GB"/>
        </w:rPr>
      </w:pPr>
      <w:r w:rsidRPr="0037330A">
        <w:rPr>
          <w:rFonts w:ascii="Book Antiqua" w:hAnsi="Book Antiqua"/>
          <w:bCs/>
          <w:iCs/>
          <w:color w:val="000000" w:themeColor="text1"/>
          <w:lang w:val="en-GB"/>
        </w:rPr>
        <w:t>Insulin d</w:t>
      </w:r>
      <w:r w:rsidR="003326C4" w:rsidRPr="0037330A">
        <w:rPr>
          <w:rFonts w:ascii="Book Antiqua" w:hAnsi="Book Antiqua"/>
          <w:bCs/>
          <w:iCs/>
          <w:color w:val="000000" w:themeColor="text1"/>
          <w:lang w:val="en-GB"/>
        </w:rPr>
        <w:t xml:space="preserve">elivery </w:t>
      </w:r>
      <w:r w:rsidR="003326C4" w:rsidRPr="0037330A">
        <w:rPr>
          <w:rFonts w:ascii="Book Antiqua" w:hAnsi="Book Antiqua"/>
          <w:bCs/>
          <w:i/>
          <w:iCs/>
          <w:color w:val="000000" w:themeColor="text1"/>
          <w:lang w:val="en-GB"/>
        </w:rPr>
        <w:t>via</w:t>
      </w:r>
      <w:r w:rsidR="003326C4" w:rsidRPr="0037330A">
        <w:rPr>
          <w:rFonts w:ascii="Book Antiqua" w:hAnsi="Book Antiqua"/>
          <w:bCs/>
          <w:iCs/>
          <w:color w:val="000000" w:themeColor="text1"/>
          <w:lang w:val="en-GB"/>
        </w:rPr>
        <w:t xml:space="preserve"> a</w:t>
      </w:r>
      <w:r w:rsidRPr="0037330A">
        <w:rPr>
          <w:rFonts w:ascii="Book Antiqua" w:hAnsi="Book Antiqua"/>
          <w:bCs/>
          <w:iCs/>
          <w:color w:val="000000" w:themeColor="text1"/>
          <w:lang w:val="en-GB"/>
        </w:rPr>
        <w:t xml:space="preserve"> </w:t>
      </w:r>
      <w:r w:rsidR="003326C4" w:rsidRPr="0037330A">
        <w:rPr>
          <w:rFonts w:ascii="Book Antiqua" w:hAnsi="Book Antiqua"/>
          <w:bCs/>
          <w:iCs/>
          <w:color w:val="000000" w:themeColor="text1"/>
          <w:lang w:val="en-GB"/>
        </w:rPr>
        <w:t>p</w:t>
      </w:r>
      <w:r w:rsidRPr="0037330A">
        <w:rPr>
          <w:rFonts w:ascii="Book Antiqua" w:hAnsi="Book Antiqua"/>
          <w:bCs/>
          <w:iCs/>
          <w:color w:val="000000" w:themeColor="text1"/>
          <w:lang w:val="en-GB"/>
        </w:rPr>
        <w:t>en or pump</w:t>
      </w:r>
      <w:r w:rsidR="003326C4" w:rsidRPr="0037330A">
        <w:rPr>
          <w:rFonts w:ascii="Book Antiqua" w:hAnsi="Book Antiqua"/>
          <w:bCs/>
          <w:iCs/>
          <w:color w:val="000000" w:themeColor="text1"/>
          <w:lang w:val="en-GB"/>
        </w:rPr>
        <w:t xml:space="preserve"> is preferred when there are adequate resources to support this</w:t>
      </w:r>
      <w:r w:rsidR="003326C4" w:rsidRPr="0037330A">
        <w:rPr>
          <w:rFonts w:ascii="Book Antiqua" w:hAnsi="Book Antiqua"/>
          <w:bCs/>
          <w:iCs/>
          <w:color w:val="000000" w:themeColor="text1"/>
          <w:lang w:val="en-GB"/>
        </w:rPr>
        <w:fldChar w:fldCharType="begin" w:fldLock="1"/>
      </w:r>
      <w:r w:rsidR="003E1A77" w:rsidRPr="0037330A">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3326C4"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[13]</w:t>
      </w:r>
      <w:r w:rsidR="003326C4" w:rsidRPr="0037330A">
        <w:rPr>
          <w:rFonts w:ascii="Book Antiqua" w:hAnsi="Book Antiqua"/>
          <w:bCs/>
          <w:iCs/>
          <w:color w:val="000000" w:themeColor="text1"/>
          <w:lang w:val="en-GB"/>
        </w:rPr>
        <w:fldChar w:fldCharType="end"/>
      </w:r>
      <w:r w:rsidR="00B7736E" w:rsidRPr="0037330A">
        <w:rPr>
          <w:rFonts w:ascii="Book Antiqua" w:hAnsi="Book Antiqua"/>
          <w:bCs/>
          <w:iCs/>
          <w:color w:val="000000" w:themeColor="text1"/>
          <w:lang w:val="en-GB"/>
        </w:rPr>
        <w:t>.</w:t>
      </w:r>
      <w:r w:rsidR="003326C4" w:rsidRPr="0037330A">
        <w:rPr>
          <w:rFonts w:ascii="Book Antiqua" w:hAnsi="Book Antiqua"/>
          <w:bCs/>
          <w:iCs/>
          <w:color w:val="000000" w:themeColor="text1"/>
          <w:lang w:val="en-GB"/>
        </w:rPr>
        <w:t xml:space="preserve"> </w:t>
      </w:r>
      <w:r w:rsidR="00C35419" w:rsidRPr="0037330A">
        <w:rPr>
          <w:rFonts w:ascii="Book Antiqua" w:hAnsi="Book Antiqua"/>
          <w:bCs/>
          <w:iCs/>
          <w:color w:val="000000" w:themeColor="text1"/>
          <w:lang w:val="en-GB"/>
        </w:rPr>
        <w:t xml:space="preserve">Insulin doses are more precise, with </w:t>
      </w:r>
      <w:r w:rsidRPr="0037330A">
        <w:rPr>
          <w:rFonts w:ascii="Book Antiqua" w:hAnsi="Book Antiqua"/>
          <w:bCs/>
          <w:iCs/>
          <w:color w:val="000000" w:themeColor="text1"/>
          <w:lang w:val="en-GB"/>
        </w:rPr>
        <w:t>both routes p</w:t>
      </w:r>
      <w:r w:rsidR="00C35419" w:rsidRPr="0037330A">
        <w:rPr>
          <w:rFonts w:ascii="Book Antiqua" w:hAnsi="Book Antiqua"/>
          <w:bCs/>
          <w:iCs/>
          <w:color w:val="000000" w:themeColor="text1"/>
          <w:lang w:val="en-GB"/>
        </w:rPr>
        <w:t xml:space="preserve">roviding convenience and greater patient </w:t>
      </w:r>
      <w:r w:rsidR="00E270EE" w:rsidRPr="0037330A">
        <w:rPr>
          <w:rFonts w:ascii="Book Antiqua" w:hAnsi="Book Antiqua"/>
          <w:bCs/>
          <w:iCs/>
          <w:color w:val="000000" w:themeColor="text1"/>
          <w:lang w:val="en-GB"/>
        </w:rPr>
        <w:t>control</w:t>
      </w:r>
      <w:r w:rsidR="000524BF" w:rsidRPr="0037330A">
        <w:rPr>
          <w:rFonts w:ascii="Book Antiqua" w:hAnsi="Book Antiqua"/>
          <w:bCs/>
          <w:iCs/>
          <w:color w:val="000000" w:themeColor="text1"/>
          <w:lang w:val="en-GB"/>
        </w:rPr>
        <w:fldChar w:fldCharType="begin" w:fldLock="1"/>
      </w:r>
      <w:r w:rsidR="003E64E6" w:rsidRPr="0037330A">
        <w:rPr>
          <w:rFonts w:ascii="Book Antiqua" w:hAnsi="Book Antiqua"/>
          <w:bCs/>
          <w:iCs/>
          <w:color w:val="000000" w:themeColor="text1"/>
          <w:lang w:val="en-GB"/>
        </w:rPr>
        <w:instrText>ADDIN CSL_CITATION {"citationItems":[{"id":"ITEM-1","itemData":{"DOI":"10.1016/j.mayocp.2016.06.010","ISSN":"19425546","PMID":"27594187","abstract":"Many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Proceedings","id":"ITEM-1","issue":"9","issued":{"date-parts":[["2016"]]},"page":"1231-1255","title":"New Insulin Delivery Recommendations","type":"article-journal","volume":"91"},"uris":["http://www.mendeley.com/documents/?uuid=035deffd-0e21-4c3e-b3d8-fe8d9d83f1c1"]}],"mendeley":{"formattedCitation":"&lt;sup&gt;[19]&lt;/sup&gt;","plainTextFormattedCitation":"[19]","previouslyFormattedCitation":"&lt;sup&gt;[19]&lt;/sup&gt;"},"properties":{"noteIndex":0},"schema":"https://github.com/citation-style-language/schema/raw/master/csl-citation.json"}</w:instrText>
      </w:r>
      <w:r w:rsidR="000524BF"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[19]</w:t>
      </w:r>
      <w:r w:rsidR="000524BF" w:rsidRPr="0037330A">
        <w:rPr>
          <w:rFonts w:ascii="Book Antiqua" w:hAnsi="Book Antiqua"/>
          <w:bCs/>
          <w:iCs/>
          <w:color w:val="000000" w:themeColor="text1"/>
          <w:lang w:val="en-GB"/>
        </w:rPr>
        <w:fldChar w:fldCharType="end"/>
      </w:r>
      <w:r w:rsidR="00B7736E" w:rsidRPr="0037330A">
        <w:rPr>
          <w:rFonts w:ascii="Book Antiqua" w:hAnsi="Book Antiqua"/>
          <w:bCs/>
          <w:iCs/>
          <w:color w:val="000000" w:themeColor="text1"/>
          <w:lang w:val="en-GB"/>
        </w:rPr>
        <w:t>.</w:t>
      </w:r>
      <w:r w:rsidR="00E270EE" w:rsidRPr="0037330A">
        <w:rPr>
          <w:rFonts w:ascii="Book Antiqua" w:hAnsi="Book Antiqua"/>
          <w:bCs/>
          <w:iCs/>
          <w:color w:val="000000" w:themeColor="text1"/>
          <w:lang w:val="en-GB"/>
        </w:rPr>
        <w:t xml:space="preserve"> T</w:t>
      </w:r>
      <w:r w:rsidR="00C35419" w:rsidRPr="0037330A">
        <w:rPr>
          <w:rFonts w:ascii="Book Antiqua" w:hAnsi="Book Antiqua"/>
          <w:bCs/>
          <w:iCs/>
          <w:color w:val="000000" w:themeColor="text1"/>
          <w:lang w:val="en-GB"/>
        </w:rPr>
        <w:t>he stigma of using a needle and syringe in public</w:t>
      </w:r>
      <w:r w:rsidR="000F4291" w:rsidRPr="0037330A">
        <w:rPr>
          <w:rFonts w:ascii="Book Antiqua" w:hAnsi="Book Antiqua"/>
          <w:bCs/>
          <w:iCs/>
          <w:color w:val="000000" w:themeColor="text1"/>
          <w:lang w:val="en-GB"/>
        </w:rPr>
        <w:t>, reported by 74.3% of countries in the current study,</w:t>
      </w:r>
      <w:r w:rsidR="00C35419" w:rsidRPr="0037330A">
        <w:rPr>
          <w:rFonts w:ascii="Book Antiqua" w:hAnsi="Book Antiqua"/>
          <w:bCs/>
          <w:iCs/>
          <w:color w:val="000000" w:themeColor="text1"/>
          <w:lang w:val="en-GB"/>
        </w:rPr>
        <w:t xml:space="preserve"> can be profound and also reduce </w:t>
      </w:r>
      <w:r w:rsidR="000F4291" w:rsidRPr="0037330A">
        <w:rPr>
          <w:rFonts w:ascii="Book Antiqua" w:hAnsi="Book Antiqua"/>
          <w:bCs/>
          <w:iCs/>
          <w:color w:val="000000" w:themeColor="text1"/>
          <w:lang w:val="en-GB"/>
        </w:rPr>
        <w:t xml:space="preserve">treatment </w:t>
      </w:r>
      <w:r w:rsidR="00C35419" w:rsidRPr="0037330A">
        <w:rPr>
          <w:rFonts w:ascii="Book Antiqua" w:hAnsi="Book Antiqua"/>
          <w:bCs/>
          <w:iCs/>
          <w:color w:val="000000" w:themeColor="text1"/>
          <w:lang w:val="en-GB"/>
        </w:rPr>
        <w:t>compliance.</w:t>
      </w:r>
      <w:r w:rsidR="003326C4" w:rsidRPr="0037330A">
        <w:rPr>
          <w:rFonts w:ascii="Book Antiqua" w:hAnsi="Book Antiqua"/>
          <w:bCs/>
          <w:iCs/>
          <w:color w:val="000000" w:themeColor="text1"/>
          <w:lang w:val="en-GB"/>
        </w:rPr>
        <w:t xml:space="preserve"> However, </w:t>
      </w:r>
      <w:r w:rsidR="000F72EF" w:rsidRPr="0037330A">
        <w:rPr>
          <w:rFonts w:ascii="Book Antiqua" w:hAnsi="Book Antiqua"/>
          <w:bCs/>
          <w:iCs/>
          <w:color w:val="000000" w:themeColor="text1"/>
          <w:lang w:val="en-GB"/>
        </w:rPr>
        <w:t xml:space="preserve">both pens and pumps are </w:t>
      </w:r>
      <w:r w:rsidR="003326C4" w:rsidRPr="0037330A">
        <w:rPr>
          <w:rFonts w:ascii="Book Antiqua" w:hAnsi="Book Antiqua"/>
          <w:bCs/>
          <w:iCs/>
          <w:color w:val="000000" w:themeColor="text1"/>
          <w:lang w:val="en-GB"/>
        </w:rPr>
        <w:t>more expensive options than using syringes</w:t>
      </w:r>
      <w:r w:rsidRPr="0037330A">
        <w:rPr>
          <w:rFonts w:ascii="Book Antiqua" w:hAnsi="Book Antiqua"/>
          <w:bCs/>
          <w:iCs/>
          <w:color w:val="000000" w:themeColor="text1"/>
          <w:lang w:val="en-GB"/>
        </w:rPr>
        <w:t>. I</w:t>
      </w:r>
      <w:r w:rsidR="003326C4" w:rsidRPr="0037330A">
        <w:rPr>
          <w:rFonts w:ascii="Book Antiqua" w:hAnsi="Book Antiqua"/>
          <w:bCs/>
          <w:iCs/>
          <w:color w:val="000000" w:themeColor="text1"/>
          <w:lang w:val="en-GB"/>
        </w:rPr>
        <w:t>nsulin pens, whether disposable or refillable, use cartridge insulin (which is generally more expensive)</w:t>
      </w:r>
      <w:r w:rsidR="00244B22" w:rsidRPr="0037330A">
        <w:rPr>
          <w:rFonts w:ascii="Book Antiqua" w:hAnsi="Book Antiqua"/>
          <w:bCs/>
          <w:iCs/>
          <w:color w:val="000000" w:themeColor="text1"/>
          <w:lang w:val="en-GB"/>
        </w:rPr>
        <w:fldChar w:fldCharType="begin" w:fldLock="1"/>
      </w:r>
      <w:r w:rsidR="003E64E6" w:rsidRPr="0037330A">
        <w:rPr>
          <w:rFonts w:ascii="Book Antiqua" w:hAnsi="Book Antiqua"/>
          <w:bCs/>
          <w:iCs/>
          <w:color w:val="000000" w:themeColor="text1"/>
          <w:lang w:val="en-GB"/>
        </w:rPr>
        <w:instrText>ADDIN CSL_CITATION {"citationItems":[{"id":"ITEM-1","itemData":{"DOI":"10.1111/pedi.12801","PMID":"30471084","author":[{"dropping-particle":"","family":"Ogle","given":"Graham David","non-dropping-particle":"","parse-names":false,"suffix":""},{"dropping-particle":"","family":"Oettingen","given":"Julia","non-dropping-particle":"von","parse-names":false,"suffix":""},{"dropping-particle":"","family":"Middlehurst","given":"Angela Christine","non-dropping-particle":"","parse-names":false,"suffix":""},{"dropping-particle":"","family":"Hanas","given":"Ragnar","non-dropping-particle":"","parse-names":false,"suffix":""},{"dropping-particle":"","family":"Orchard","given":"Trevor J.","non-dropping-particle":"","parse-names":false,"suffix":""}],"container-title":"Pediatric Diabetes","id":"ITEM-1","issue":"1","issued":{"date-parts":[["2019"]]},"page":"93-98","title":"Levels of type 1 diabetes care in children and adolescents for countries at varying resource levels","type":"article-journal","volume":"20"},"uris":["http://www.mendeley.com/documents/?uuid=263cbf4e-8bc5-4d10-a09d-df728b4d2d21"]}],"mendeley":{"formattedCitation":"&lt;sup&gt;[15]&lt;/sup&gt;","plainTextFormattedCitation":"[15]","previouslyFormattedCitation":"&lt;sup&gt;[15]&lt;/sup&gt;"},"properties":{"noteIndex":0},"schema":"https://github.com/citation-style-language/schema/raw/master/csl-citation.json"}</w:instrText>
      </w:r>
      <w:r w:rsidR="00244B22"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[15]</w:t>
      </w:r>
      <w:r w:rsidR="00244B22" w:rsidRPr="0037330A">
        <w:rPr>
          <w:rFonts w:ascii="Book Antiqua" w:hAnsi="Book Antiqua"/>
          <w:bCs/>
          <w:iCs/>
          <w:color w:val="000000" w:themeColor="text1"/>
          <w:lang w:val="en-GB"/>
        </w:rPr>
        <w:fldChar w:fldCharType="end"/>
      </w:r>
      <w:r w:rsidR="003326C4" w:rsidRPr="0037330A">
        <w:rPr>
          <w:rFonts w:ascii="Book Antiqua" w:hAnsi="Book Antiqua"/>
          <w:bCs/>
          <w:iCs/>
          <w:color w:val="000000" w:themeColor="text1"/>
          <w:lang w:val="en-GB"/>
        </w:rPr>
        <w:t xml:space="preserve">, and pumps have the substantial added cost of the device itself and the ongoing consumables. </w:t>
      </w:r>
    </w:p>
    <w:p w14:paraId="305F26BA" w14:textId="05011199" w:rsidR="003861F6" w:rsidRPr="0037330A" w:rsidRDefault="003326C4" w:rsidP="00146B63">
      <w:pPr>
        <w:autoSpaceDE w:val="0"/>
        <w:autoSpaceDN w:val="0"/>
        <w:adjustRightInd w:val="0"/>
        <w:snapToGrid w:val="0"/>
        <w:spacing w:line="360" w:lineRule="auto"/>
        <w:ind w:firstLineChars="100" w:firstLine="240"/>
        <w:jc w:val="both"/>
        <w:rPr>
          <w:rFonts w:ascii="Book Antiqua" w:hAnsi="Book Antiqua"/>
          <w:lang w:val="en-GB"/>
        </w:rPr>
      </w:pPr>
      <w:r w:rsidRPr="0037330A">
        <w:rPr>
          <w:rFonts w:ascii="Book Antiqua" w:hAnsi="Book Antiqua"/>
          <w:lang w:val="en-GB"/>
        </w:rPr>
        <w:t xml:space="preserve">Even when available, </w:t>
      </w:r>
      <w:r w:rsidR="000F4291" w:rsidRPr="0037330A">
        <w:rPr>
          <w:rFonts w:ascii="Book Antiqua" w:hAnsi="Book Antiqua"/>
          <w:lang w:val="en-GB"/>
        </w:rPr>
        <w:t xml:space="preserve">insulin </w:t>
      </w:r>
      <w:r w:rsidRPr="0037330A">
        <w:rPr>
          <w:rFonts w:ascii="Book Antiqua" w:hAnsi="Book Antiqua"/>
          <w:lang w:val="en-GB"/>
        </w:rPr>
        <w:t xml:space="preserve">syringes </w:t>
      </w:r>
      <w:r w:rsidR="000F4291" w:rsidRPr="0037330A">
        <w:rPr>
          <w:rFonts w:ascii="Book Antiqua" w:hAnsi="Book Antiqua"/>
          <w:lang w:val="en-GB"/>
        </w:rPr>
        <w:t xml:space="preserve">were usually expensive, with prices up to $0.97 per syringe, and mean prices to patients of $0.23. </w:t>
      </w:r>
      <w:r w:rsidR="000F4291" w:rsidRPr="0037330A">
        <w:rPr>
          <w:rFonts w:ascii="Book Antiqua" w:hAnsi="Book Antiqua"/>
          <w:bCs/>
          <w:iCs/>
          <w:color w:val="000000" w:themeColor="text1"/>
          <w:lang w:val="en-GB"/>
        </w:rPr>
        <w:t xml:space="preserve">This is consistent with a previous study our group did in 25 countries which found that the </w:t>
      </w:r>
      <w:r w:rsidRPr="0037330A">
        <w:rPr>
          <w:rFonts w:ascii="Book Antiqua" w:hAnsi="Book Antiqua"/>
          <w:color w:val="000000" w:themeColor="text1"/>
          <w:lang w:val="en-GB"/>
        </w:rPr>
        <w:t xml:space="preserve">median cost of a syringe to the T1D patient/family was $0.20, and aside from being provided for free in St Lucia, costs ranged from $0.10 in Nepal to $0.56 </w:t>
      </w:r>
      <w:r w:rsidRPr="0037330A">
        <w:rPr>
          <w:rFonts w:ascii="Book Antiqua" w:hAnsi="Book Antiqua"/>
          <w:color w:val="000000" w:themeColor="text1"/>
          <w:lang w:val="en-GB"/>
        </w:rPr>
        <w:lastRenderedPageBreak/>
        <w:t>in Central African Republic</w:t>
      </w:r>
      <w:r w:rsidRPr="0037330A">
        <w:rPr>
          <w:rFonts w:ascii="Book Antiqua" w:hAnsi="Book Antiqua"/>
          <w:color w:val="000000" w:themeColor="text1"/>
          <w:lang w:val="en-GB"/>
        </w:rPr>
        <w:fldChar w:fldCharType="begin" w:fldLock="1"/>
      </w:r>
      <w:r w:rsidR="003E1A77" w:rsidRPr="0037330A">
        <w:rPr>
          <w:rFonts w:ascii="Book Antiqua" w:hAnsi="Book Antiqua"/>
          <w:color w:val="000000" w:themeColor="text1"/>
          <w:lang w:val="en-GB"/>
        </w:rPr>
        <w:instrText>ADDIN CSL_CITATION {"citationItems":[{"id":"ITEM-1","itemData":{"DOI":"10.1111/dme.12997","ISBN":"0742-3071","ISSN":"14645491","PMID":"20160380045","abstract":"Aims: To assess the direct costs of necessary consumables for minimal care of a child with Type 1 diabetes in countries where the public health system does not regularly provide such care., Methods: Supply costs were collected between January 2013 and February 2015 from questionnaires submitted by centres requesting International Diabetes Federation Life for a Child Program support. All 20 centres in 15 countries agreed to the use of their responses. Annual costs for minimal care were estimated for: 18 x 10 ml 100 IU/ml insulin, 1/3 cost of a blood glucose meter, two blood glucose test strips/day, two syringes/week, and four HbA1c tests/year. Costs were expressed in US dollars, and as % of gross national income (purchasing power parity) per capita., Results: The ranges (median) for the minimum supply costs through the private system were: insulin 10 ml 100 IU/ml equivalent vial: $5.10-$25 ($8.00); blood glucose meter: $15-$121 ($33.33); test strip: $0.15-$1.20 ($0.50); syringe: $0.10-$0.56 ($0.20); and HbA1c: $4.90-$20 ($9.75). Annual costs ranged from $255 (Pakistan) to $1,185 (Burkina Faso), with a median of $553. Annual % gross national income costs were 12-370% (median 56%). For the lowest 20% income earners the annual cost ranged 20-1535% (median 153%). St Lucia and Mongolia were the only countries whose governments consistently provided insulin. No government provided meters and strips, which were the most expensive supplies (62% of total cost)., Conclusions: In less-resourced countries, even minimal care is beyond many families' means. In addition, families face additional costs such as consultations, travel and indirect costs. Action to prevent diabetes-related death and morbidity is needed., (C) 2016 John Wiley &amp; Sons, Ltd","author":[{"dropping-particle":"","family":"Ogle","given":"G. D.","non-dropping-particle":"","parse-names":false,"suffix":""},{"dropping-particle":"","family":"Kim","given":"H.","non-dropping-particle":"","parse-names":false,"suffix":""},{"dropping-particle":"","family":"Middlehurst","given":"A. C.","non-dropping-particle":"","parse-names":false,"suffix":""},{"dropping-particle":"","family":"Silink","given":"M.","non-dropping-particle":"","parse-names":false,"suffix":""},{"dropping-particle":"","family":"Jenkins","given":"A. J.","non-dropping-particle":"","parse-names":false,"suffix":""}],"container-title":"Diabetic Medicine","id":"ITEM-1","issue":"6","issued":{"date-parts":[["2016"]]},"page":"820-826","title":"Financial costs for families of children with Type 1 diabetes in lower-income countries","type":"article-journal","volume":"33"},"uris":["http://www.mendeley.com/documents/?uuid=7698401c-6f7e-4250-986e-19e20e2016e2"]}],"mendeley":{"formattedCitation":"&lt;sup&gt;[17]&lt;/sup&gt;","plainTextFormattedCitation":"[17]","previouslyFormattedCitation":"&lt;sup&gt;[17]&lt;/sup&gt;"},"properties":{"noteIndex":0},"schema":"https://github.com/citation-style-language/schema/raw/master/csl-citation.json"}</w:instrText>
      </w:r>
      <w:r w:rsidRPr="0037330A">
        <w:rPr>
          <w:rFonts w:ascii="Book Antiqua" w:hAnsi="Book Antiqua"/>
          <w:color w:val="000000" w:themeColor="text1"/>
          <w:lang w:val="en-GB"/>
        </w:rPr>
        <w:fldChar w:fldCharType="separate"/>
      </w:r>
      <w:r w:rsidR="003E1A77" w:rsidRPr="0037330A">
        <w:rPr>
          <w:rFonts w:ascii="Book Antiqua" w:hAnsi="Book Antiqua"/>
          <w:color w:val="000000" w:themeColor="text1"/>
          <w:vertAlign w:val="superscript"/>
          <w:lang w:val="en-GB"/>
        </w:rPr>
        <w:t>[17]</w:t>
      </w:r>
      <w:r w:rsidRPr="0037330A">
        <w:rPr>
          <w:rFonts w:ascii="Book Antiqua" w:hAnsi="Book Antiqua"/>
          <w:color w:val="000000" w:themeColor="text1"/>
          <w:lang w:val="en-GB"/>
        </w:rPr>
        <w:fldChar w:fldCharType="end"/>
      </w:r>
      <w:r w:rsidR="0068573D" w:rsidRPr="0037330A">
        <w:rPr>
          <w:rFonts w:ascii="Book Antiqua" w:hAnsi="Book Antiqua"/>
          <w:color w:val="000000" w:themeColor="text1"/>
          <w:lang w:val="en-GB"/>
        </w:rPr>
        <w:t>.</w:t>
      </w:r>
      <w:r w:rsidRPr="0037330A">
        <w:rPr>
          <w:rFonts w:ascii="Book Antiqua" w:hAnsi="Book Antiqua"/>
          <w:color w:val="000000" w:themeColor="text1"/>
          <w:lang w:val="en-GB"/>
        </w:rPr>
        <w:t xml:space="preserve"> Syringe </w:t>
      </w:r>
      <w:r w:rsidRPr="0037330A">
        <w:rPr>
          <w:rFonts w:ascii="Book Antiqua" w:hAnsi="Book Antiqua"/>
          <w:bCs/>
          <w:iCs/>
          <w:color w:val="000000" w:themeColor="text1"/>
          <w:lang w:val="en-GB"/>
        </w:rPr>
        <w:t xml:space="preserve">costs can also vary markedly within a country – a study by Beran </w:t>
      </w:r>
      <w:r w:rsidRPr="0037330A">
        <w:rPr>
          <w:rFonts w:ascii="Book Antiqua" w:hAnsi="Book Antiqua"/>
          <w:bCs/>
          <w:i/>
          <w:color w:val="000000" w:themeColor="text1"/>
          <w:lang w:val="en-GB"/>
        </w:rPr>
        <w:t>et al</w:t>
      </w:r>
      <w:r w:rsidR="000E7A7D" w:rsidRPr="0037330A">
        <w:rPr>
          <w:rFonts w:ascii="Book Antiqua" w:eastAsiaTheme="minorEastAsia" w:hAnsi="Book Antiqua"/>
          <w:bCs/>
          <w:color w:val="000000" w:themeColor="text1"/>
          <w:vertAlign w:val="superscript"/>
          <w:lang w:val="en-GB" w:eastAsia="zh-CN"/>
        </w:rPr>
        <w:t>[5]</w:t>
      </w:r>
      <w:r w:rsidRPr="0037330A">
        <w:rPr>
          <w:rFonts w:ascii="Book Antiqua" w:hAnsi="Book Antiqua"/>
          <w:bCs/>
          <w:i/>
          <w:color w:val="000000" w:themeColor="text1"/>
          <w:lang w:val="en-GB"/>
        </w:rPr>
        <w:t xml:space="preserve"> </w:t>
      </w:r>
      <w:r w:rsidRPr="0037330A">
        <w:rPr>
          <w:rFonts w:ascii="Book Antiqua" w:hAnsi="Book Antiqua"/>
          <w:bCs/>
          <w:iCs/>
          <w:color w:val="000000" w:themeColor="text1"/>
          <w:lang w:val="en-GB"/>
        </w:rPr>
        <w:t>found a range of $0.15-$1.50 in Zambia and $0.04-$0.20 in Mozambique</w:t>
      </w:r>
      <w:r w:rsidR="00AB0471"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w:t>
      </w:r>
    </w:p>
    <w:p w14:paraId="79E1A520" w14:textId="25390A6A" w:rsidR="00C35419" w:rsidRPr="0037330A" w:rsidRDefault="00C35419" w:rsidP="00146B63">
      <w:pPr>
        <w:autoSpaceDE w:val="0"/>
        <w:autoSpaceDN w:val="0"/>
        <w:adjustRightInd w:val="0"/>
        <w:snapToGrid w:val="0"/>
        <w:spacing w:line="360" w:lineRule="auto"/>
        <w:ind w:firstLineChars="100" w:firstLine="240"/>
        <w:jc w:val="both"/>
        <w:rPr>
          <w:rFonts w:ascii="Book Antiqua" w:eastAsiaTheme="minorEastAsia" w:hAnsi="Book Antiqua"/>
          <w:lang w:val="en-GB" w:eastAsia="zh-CN"/>
        </w:rPr>
      </w:pPr>
      <w:r w:rsidRPr="0037330A">
        <w:rPr>
          <w:rFonts w:ascii="Book Antiqua" w:hAnsi="Book Antiqua"/>
          <w:bCs/>
          <w:iCs/>
          <w:color w:val="000000" w:themeColor="text1"/>
          <w:lang w:val="en-GB"/>
        </w:rPr>
        <w:t xml:space="preserve">The </w:t>
      </w:r>
      <w:r w:rsidR="000F4291" w:rsidRPr="0037330A">
        <w:rPr>
          <w:rFonts w:ascii="Book Antiqua" w:hAnsi="Book Antiqua"/>
          <w:bCs/>
          <w:iCs/>
          <w:color w:val="000000" w:themeColor="text1"/>
          <w:lang w:val="en-GB"/>
        </w:rPr>
        <w:t xml:space="preserve">current </w:t>
      </w:r>
      <w:r w:rsidRPr="0037330A">
        <w:rPr>
          <w:rFonts w:ascii="Book Antiqua" w:hAnsi="Book Antiqua"/>
          <w:bCs/>
          <w:iCs/>
          <w:color w:val="000000" w:themeColor="text1"/>
          <w:lang w:val="en-GB"/>
        </w:rPr>
        <w:t xml:space="preserve">study found a range of syringes were </w:t>
      </w:r>
      <w:r w:rsidR="007F4F45" w:rsidRPr="0037330A">
        <w:rPr>
          <w:rFonts w:ascii="Book Antiqua" w:hAnsi="Book Antiqua"/>
          <w:bCs/>
          <w:iCs/>
          <w:color w:val="000000" w:themeColor="text1"/>
          <w:lang w:val="en-GB"/>
        </w:rPr>
        <w:t>available in different countries</w:t>
      </w:r>
      <w:r w:rsidRPr="0037330A">
        <w:rPr>
          <w:rFonts w:ascii="Book Antiqua" w:hAnsi="Book Antiqua"/>
          <w:bCs/>
          <w:iCs/>
          <w:color w:val="000000" w:themeColor="text1"/>
          <w:lang w:val="en-GB"/>
        </w:rPr>
        <w:t xml:space="preserve">. </w:t>
      </w:r>
      <w:r w:rsidR="007F4F45" w:rsidRPr="0037330A">
        <w:rPr>
          <w:rFonts w:ascii="Book Antiqua" w:hAnsi="Book Antiqua"/>
          <w:bCs/>
          <w:iCs/>
          <w:color w:val="000000" w:themeColor="text1"/>
          <w:lang w:val="en-GB"/>
        </w:rPr>
        <w:t xml:space="preserve">Syringes are needed for many purposes in medicine. </w:t>
      </w:r>
      <w:r w:rsidR="003326C4" w:rsidRPr="0037330A">
        <w:rPr>
          <w:rFonts w:ascii="Book Antiqua" w:hAnsi="Book Antiqua"/>
          <w:bCs/>
          <w:iCs/>
          <w:color w:val="000000" w:themeColor="text1"/>
          <w:lang w:val="en-GB"/>
        </w:rPr>
        <w:t xml:space="preserve">For people with diabetes, the type of syringe/needle combination is important. </w:t>
      </w:r>
      <w:r w:rsidRPr="0037330A">
        <w:rPr>
          <w:rFonts w:ascii="Book Antiqua" w:hAnsi="Book Antiqua"/>
          <w:bCs/>
          <w:iCs/>
          <w:color w:val="000000" w:themeColor="text1"/>
          <w:lang w:val="en-GB"/>
        </w:rPr>
        <w:t>The recommended syringes for T1D are plastic fixed needles</w:t>
      </w:r>
      <w:r w:rsidRPr="0037330A">
        <w:rPr>
          <w:rFonts w:ascii="Book Antiqua" w:hAnsi="Book Antiqua"/>
          <w:bCs/>
          <w:iCs/>
          <w:color w:val="000000" w:themeColor="text1"/>
          <w:lang w:val="en-GB"/>
        </w:rPr>
        <w:fldChar w:fldCharType="begin" w:fldLock="1"/>
      </w:r>
      <w:r w:rsidR="003E1A77" w:rsidRPr="0037330A">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[13]</w:t>
      </w:r>
      <w:r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with short needle lengths</w:t>
      </w:r>
      <w:r w:rsidRPr="0037330A">
        <w:rPr>
          <w:rFonts w:ascii="Book Antiqua" w:hAnsi="Book Antiqua"/>
          <w:bCs/>
          <w:iCs/>
          <w:color w:val="000000" w:themeColor="text1"/>
          <w:lang w:val="en-GB"/>
        </w:rPr>
        <w:fldChar w:fldCharType="begin" w:fldLock="1"/>
      </w:r>
      <w:r w:rsidR="003E64E6" w:rsidRPr="0037330A">
        <w:rPr>
          <w:rFonts w:ascii="Book Antiqua" w:hAnsi="Book Antiqua"/>
          <w:bCs/>
          <w:iCs/>
          <w:color w:val="000000" w:themeColor="text1"/>
          <w:lang w:val="en-GB"/>
        </w:rPr>
        <w:instrText>ADDIN CSL_CITATION {"citationItems":[{"id":"ITEM-1","itemData":{"DOI":"10.1016/j.mayocp.2016.06.010","ISSN":"19425546","PMID":"27594187","abstract":"Many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Proceedings","id":"ITEM-1","issue":"9","issued":{"date-parts":[["2016"]]},"page":"1231-1255","title":"New Insulin Delivery Recommendations","type":"article-journal","volume":"91"},"uris":["http://www.mendeley.com/documents/?uuid=035deffd-0e21-4c3e-b3d8-fe8d9d83f1c1"]}],"mendeley":{"formattedCitation":"&lt;sup&gt;[19]&lt;/sup&gt;","plainTextFormattedCitation":"[19]","previouslyFormattedCitation":"&lt;sup&gt;[19]&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[19]</w:t>
      </w:r>
      <w:r w:rsidRPr="0037330A">
        <w:rPr>
          <w:rFonts w:ascii="Book Antiqua" w:hAnsi="Book Antiqua"/>
          <w:bCs/>
          <w:iCs/>
          <w:color w:val="000000" w:themeColor="text1"/>
          <w:lang w:val="en-GB"/>
        </w:rPr>
        <w:fldChar w:fldCharType="end"/>
      </w:r>
      <w:r w:rsidRPr="0037330A">
        <w:rPr>
          <w:rFonts w:ascii="Book Antiqua" w:hAnsi="Book Antiqua"/>
          <w:bCs/>
          <w:iCs/>
          <w:color w:val="000000" w:themeColor="text1"/>
          <w:lang w:val="en-GB"/>
        </w:rPr>
        <w:t xml:space="preserve"> (4 mm) to limit risks of intramuscular injections that lead to bleeding, bruising and pain</w:t>
      </w:r>
      <w:r w:rsidRPr="0037330A">
        <w:rPr>
          <w:rFonts w:ascii="Book Antiqua" w:hAnsi="Book Antiqua"/>
          <w:bCs/>
          <w:iCs/>
          <w:color w:val="000000" w:themeColor="text1"/>
          <w:lang w:val="en-GB"/>
        </w:rPr>
        <w:fldChar w:fldCharType="begin" w:fldLock="1"/>
      </w:r>
      <w:r w:rsidR="003E64E6" w:rsidRPr="0037330A">
        <w:rPr>
          <w:rFonts w:ascii="Book Antiqua" w:hAnsi="Book Antiqua"/>
          <w:bCs/>
          <w:iCs/>
          <w:color w:val="000000" w:themeColor="text1"/>
          <w:lang w:val="en-GB"/>
        </w:rPr>
        <w:instrText>ADDIN CSL_CITATION {"citationItems":[{"id":"ITEM-1","itemData":{"DOI":"10.1016/j.mayocp.2016.06.010","ISSN":"19425546","PMID":"27594187","abstract":"Many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Proceedings","id":"ITEM-1","issue":"9","issued":{"date-parts":[["2016"]]},"page":"1231-1255","title":"New Insulin Delivery Recommendations","type":"article-journal","volume":"91"},"uris":["http://www.mendeley.com/documents/?uuid=035deffd-0e21-4c3e-b3d8-fe8d9d83f1c1"]},{"id":"ITEM-2","itemData":{"DOI":"10.1016/j.mayocp.2016.06.011","PMID":"27594185","author":[{"dropping-particle":"","family":"Frid","given":"Anders H","non-dropping-particle":"","parse-names":false,"suffix":""},{"dropping-particle":"","family":"Hirsch","given":"Laurence J","non-dropping-particle":"","parse-names":false,"suffix":""},{"dropping-particle":"","family":"Menchior","given":"Astrid R","non-dropping-particle":"","parse-names":false,"suffix":""},{"dropping-particle":"","family":"Morel","given":"Didier R","non-dropping-particle":"","parse-names":false,"suffix":""},{"dropping-particle":"","family":"Strauss","given":"Kenneth W","non-dropping-particle":"","parse-names":false,"suffix":""}],"container-title":"Mayo Clin Proc","id":"ITEM-2","issue":"September 2016","issued":{"date-parts":[["2018"]]},"page":"1212-1223","title":"Worldwide Injection Technique Questionnaire Study: Population Parameters and Injection Practices","type":"article-journal","volume":"91"},"uris":["http://www.mendeley.com/documents/?uuid=066e0101-0866-40d6-9fdd-7e5a9b6c243d"]}],"mendeley":{"formattedCitation":"&lt;sup&gt;[19,20]&lt;/sup&gt;","plainTextFormattedCitation":"[19,20]","previouslyFormattedCitation":"&lt;sup&gt;[19,20]&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[19,20]</w:t>
      </w:r>
      <w:r w:rsidRPr="0037330A">
        <w:rPr>
          <w:rFonts w:ascii="Book Antiqua" w:hAnsi="Book Antiqua"/>
          <w:bCs/>
          <w:iCs/>
          <w:color w:val="000000" w:themeColor="text1"/>
          <w:lang w:val="en-GB"/>
        </w:rPr>
        <w:fldChar w:fldCharType="end"/>
      </w:r>
      <w:r w:rsidRPr="0037330A">
        <w:rPr>
          <w:rFonts w:ascii="Book Antiqua" w:hAnsi="Book Antiqua"/>
          <w:bCs/>
          <w:iCs/>
          <w:color w:val="000000" w:themeColor="text1"/>
          <w:lang w:val="en-GB"/>
        </w:rPr>
        <w:t>, and fine gauges (32-gauge) to encourage correct site rotation and thereby reduce the development of lipohypertrophy, which can cause insulin absorption problems and unexpected hypoglycemia</w:t>
      </w:r>
      <w:r w:rsidRPr="0037330A">
        <w:rPr>
          <w:rFonts w:ascii="Book Antiqua" w:hAnsi="Book Antiqua"/>
          <w:bCs/>
          <w:iCs/>
          <w:color w:val="000000" w:themeColor="text1"/>
          <w:lang w:val="en-GB"/>
        </w:rPr>
        <w:fldChar w:fldCharType="begin" w:fldLock="1"/>
      </w:r>
      <w:r w:rsidR="003E64E6" w:rsidRPr="0037330A">
        <w:rPr>
          <w:rFonts w:ascii="Book Antiqua" w:hAnsi="Book Antiqua"/>
          <w:bCs/>
          <w:iCs/>
          <w:color w:val="000000" w:themeColor="text1"/>
          <w:lang w:val="en-GB"/>
        </w:rPr>
        <w:instrText>ADDIN CSL_CITATION {"citationItems":[{"id":"ITEM-1","itemData":{"DOI":"10.1016/j.mayocp.2016.06.011","PMID":"27594185","author":[{"dropping-particle":"","family":"Frid","given":"Anders H","non-dropping-particle":"","parse-names":false,"suffix":""},{"dropping-particle":"","family":"Hirsch","given":"Laurence J","non-dropping-particle":"","parse-names":false,"suffix":""},{"dropping-particle":"","family":"Menchior","given":"Astrid R","non-dropping-particle":"","parse-names":false,"suffix":""},{"dropping-particle":"","family":"Morel","given":"Didier R","non-dropping-particle":"","parse-names":false,"suffix":""},{"dropping-particle":"","family":"Strauss","given":"Kenneth W","non-dropping-particle":"","parse-names":false,"suffix":""}],"container-title":"Mayo Clin Proc","id":"ITEM-1","issue":"September 2016","issued":{"date-parts":[["2018"]]},"page":"1212-1223","title":"Worldwide Injection Technique Questionnaire Study: Population Parameters and Injection Practices","type":"article-journal","volume":"91"},"uris":["http://www.mendeley.com/documents/?uuid=066e0101-0866-40d6-9fdd-7e5a9b6c243d"]}],"mendeley":{"formattedCitation":"&lt;sup&gt;[20]&lt;/sup&gt;","plainTextFormattedCitation":"[20]","previouslyFormattedCitation":"&lt;sup&gt;[20]&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[20]</w:t>
      </w:r>
      <w:r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Syringes should also have small unit markers to help accurately del</w:t>
      </w:r>
      <w:r w:rsidR="000E7A7D" w:rsidRPr="0037330A">
        <w:rPr>
          <w:rFonts w:ascii="Book Antiqua" w:hAnsi="Book Antiqua"/>
          <w:bCs/>
          <w:iCs/>
          <w:color w:val="000000" w:themeColor="text1"/>
          <w:lang w:val="en-GB"/>
        </w:rPr>
        <w:t>iver doses in younger children.</w:t>
      </w:r>
    </w:p>
    <w:p w14:paraId="20695C67" w14:textId="3F419478" w:rsidR="003861F6" w:rsidRPr="0037330A" w:rsidRDefault="000F72EF"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37330A">
        <w:rPr>
          <w:rFonts w:ascii="Book Antiqua" w:hAnsi="Book Antiqua"/>
          <w:bCs/>
          <w:iCs/>
          <w:color w:val="000000" w:themeColor="text1"/>
          <w:lang w:val="en-GB"/>
        </w:rPr>
        <w:t>S</w:t>
      </w:r>
      <w:r w:rsidR="003326C4" w:rsidRPr="0037330A">
        <w:rPr>
          <w:rFonts w:ascii="Book Antiqua" w:hAnsi="Book Antiqua"/>
          <w:bCs/>
          <w:iCs/>
          <w:color w:val="000000" w:themeColor="text1"/>
          <w:lang w:val="en-GB"/>
        </w:rPr>
        <w:t xml:space="preserve">maller volume syringes make dosing more accurate and therefore more effective and safer. </w:t>
      </w:r>
      <w:r w:rsidR="00B22A72" w:rsidRPr="0037330A">
        <w:rPr>
          <w:rFonts w:ascii="Book Antiqua" w:hAnsi="Book Antiqua"/>
          <w:bCs/>
          <w:iCs/>
          <w:color w:val="000000" w:themeColor="text1"/>
          <w:lang w:val="en-GB"/>
        </w:rPr>
        <w:t>This is especially an issue for younger children who may only be receiving a couple of units of insulin per injection</w:t>
      </w:r>
      <w:r w:rsidR="003326C4" w:rsidRPr="0037330A">
        <w:rPr>
          <w:rFonts w:ascii="Book Antiqua" w:hAnsi="Book Antiqua"/>
          <w:bCs/>
          <w:iCs/>
          <w:color w:val="000000" w:themeColor="text1"/>
          <w:lang w:val="en-GB"/>
        </w:rPr>
        <w:t xml:space="preserve"> – an inadvertently high dose can lead to a life-threatening </w:t>
      </w:r>
      <w:r w:rsidR="002212C8" w:rsidRPr="0037330A">
        <w:rPr>
          <w:rFonts w:ascii="Book Antiqua" w:hAnsi="Book Antiqua"/>
          <w:bCs/>
          <w:iCs/>
          <w:color w:val="000000" w:themeColor="text1"/>
          <w:lang w:val="en-GB"/>
        </w:rPr>
        <w:t>hypoglycaemic</w:t>
      </w:r>
      <w:r w:rsidR="003326C4" w:rsidRPr="0037330A">
        <w:rPr>
          <w:rFonts w:ascii="Book Antiqua" w:hAnsi="Book Antiqua"/>
          <w:bCs/>
          <w:iCs/>
          <w:color w:val="000000" w:themeColor="text1"/>
          <w:lang w:val="en-GB"/>
        </w:rPr>
        <w:t xml:space="preserve"> episode. </w:t>
      </w:r>
      <w:r w:rsidR="00C35419" w:rsidRPr="0037330A">
        <w:rPr>
          <w:rFonts w:ascii="Book Antiqua" w:hAnsi="Book Antiqua"/>
          <w:bCs/>
          <w:iCs/>
          <w:color w:val="000000" w:themeColor="text1"/>
          <w:lang w:val="en-GB"/>
        </w:rPr>
        <w:t xml:space="preserve">1 mL/cc syringes, used in 42.9% of the surveyed countries, are often too big - </w:t>
      </w:r>
      <w:r w:rsidR="003326C4" w:rsidRPr="0037330A">
        <w:rPr>
          <w:rFonts w:ascii="Book Antiqua" w:hAnsi="Book Antiqua"/>
          <w:bCs/>
          <w:iCs/>
          <w:color w:val="000000" w:themeColor="text1"/>
          <w:lang w:val="en-GB"/>
        </w:rPr>
        <w:t xml:space="preserve">0.5 mL/cc and 0.3 mL/cc syringes should </w:t>
      </w:r>
      <w:r w:rsidR="00C35419" w:rsidRPr="0037330A">
        <w:rPr>
          <w:rFonts w:ascii="Book Antiqua" w:hAnsi="Book Antiqua"/>
          <w:bCs/>
          <w:iCs/>
          <w:color w:val="000000" w:themeColor="text1"/>
          <w:lang w:val="en-GB"/>
        </w:rPr>
        <w:t xml:space="preserve">also both </w:t>
      </w:r>
      <w:r w:rsidR="003326C4" w:rsidRPr="0037330A">
        <w:rPr>
          <w:rFonts w:ascii="Book Antiqua" w:hAnsi="Book Antiqua"/>
          <w:bCs/>
          <w:iCs/>
          <w:color w:val="000000" w:themeColor="text1"/>
          <w:lang w:val="en-GB"/>
        </w:rPr>
        <w:t>be available</w:t>
      </w:r>
      <w:r w:rsidR="000524BF" w:rsidRPr="0037330A">
        <w:rPr>
          <w:rFonts w:ascii="Book Antiqua" w:hAnsi="Book Antiqua"/>
          <w:bCs/>
          <w:iCs/>
          <w:color w:val="000000" w:themeColor="text1"/>
          <w:lang w:val="en-GB"/>
        </w:rPr>
        <w:fldChar w:fldCharType="begin" w:fldLock="1"/>
      </w:r>
      <w:r w:rsidR="003E1A77" w:rsidRPr="0037330A">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0524BF"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[13]</w:t>
      </w:r>
      <w:r w:rsidR="000524BF"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p>
    <w:p w14:paraId="247FE81A" w14:textId="77777777" w:rsidR="003861F6" w:rsidRPr="0037330A" w:rsidRDefault="000F72EF"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37330A">
        <w:rPr>
          <w:rFonts w:ascii="Book Antiqua" w:hAnsi="Book Antiqua"/>
          <w:bCs/>
          <w:iCs/>
          <w:color w:val="000000" w:themeColor="text1"/>
          <w:lang w:val="en-GB"/>
        </w:rPr>
        <w:t>Consistent with international guidelines</w:t>
      </w:r>
      <w:r w:rsidR="002F1E25" w:rsidRPr="0037330A">
        <w:rPr>
          <w:rFonts w:ascii="Book Antiqua" w:hAnsi="Book Antiqua"/>
          <w:bCs/>
          <w:iCs/>
          <w:color w:val="000000" w:themeColor="text1"/>
          <w:lang w:val="en-GB"/>
        </w:rPr>
        <w:fldChar w:fldCharType="begin" w:fldLock="1"/>
      </w:r>
      <w:r w:rsidR="003E64E6" w:rsidRPr="0037330A">
        <w:rPr>
          <w:rFonts w:ascii="Book Antiqua" w:hAnsi="Book Antiqua"/>
          <w:bCs/>
          <w:iCs/>
          <w:color w:val="000000" w:themeColor="text1"/>
          <w:lang w:val="en-GB"/>
        </w:rPr>
        <w:instrText>ADDIN CSL_CITATION {"citationItems":[{"id":"ITEM-1","itemData":{"DOI":"10.1016/j.mayocp.2016.06.010","ISSN":"19425546","PMID":"27594187","abstract":"Many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Proceedings","id":"ITEM-1","issue":"9","issued":{"date-parts":[["2016"]]},"page":"1231-1255","title":"New Insulin Delivery Recommendations","type":"article-journal","volume":"91"},"uris":["http://www.mendeley.com/documents/?uuid=035deffd-0e21-4c3e-b3d8-fe8d9d83f1c1"]},{"id":"ITEM-2","itemData":{"DOI":"10.1111/pedi.12755","ISBN":"6126265262","ISSN":"13995448","PMID":"25182315","abstract":"Refined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diabetes","id":"ITEM-2","issue":"July","issued":{"date-parts":[["2018"]]},"page":"205-226","title":"ISPAD Clinical Practice Consensus Guidelines 2018: Insulin treatment in children and adolescents with diabetes","type":"article-journal","volume":"19"},"uris":["http://www.mendeley.com/documents/?uuid=56dbcaa0-629d-49e4-ad11-e9dd28f53d38"]},{"id":"ITEM-3","itemData":{"URL":"https://cdn.ymaws.com/www.ispad.org/resource/resmgr/LFAC-ISPAD-Pocketbook-2nd-ed.pdf","accessed":{"date-parts":[["2020","1","7"]]},"author":[{"dropping-particle":"","family":"International Society for Pediatric and Adolescent Diabetes","given":"","non-dropping-particle":"","parse-names":false,"suffix":""},{"dropping-particle":"","family":"Life for a Child","given":"","non-dropping-particle":"","parse-names":false,"suffix":""},{"dropping-particle":"","family":"International Diabetes Federation","given":"","non-dropping-particle":"","parse-names":false,"suffix":""}],"id":"ITEM-3","issued":{"date-parts":[["2017"]]},"title":"Pocketbook for Management of Diabetes in Childhood and Adolescence in Under-Resourced Countries","type":"webpage"},"uris":["http://www.mendeley.com/documents/?uuid=46cab10a-6f4f-46f4-ba70-53465dda8aa6"]}],"mendeley":{"formattedCitation":"&lt;sup&gt;[13,19,21]&lt;/sup&gt;","plainTextFormattedCitation":"[13,19,21]","previouslyFormattedCitation":"&lt;sup&gt;[13,19,21]&lt;/sup&gt;"},"properties":{"noteIndex":0},"schema":"https://github.com/citation-style-language/schema/raw/master/csl-citation.json"}</w:instrText>
      </w:r>
      <w:r w:rsidR="002F1E25"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[13,19,21]</w:t>
      </w:r>
      <w:r w:rsidR="002F1E25" w:rsidRPr="0037330A">
        <w:rPr>
          <w:rFonts w:ascii="Book Antiqua" w:hAnsi="Book Antiqua"/>
          <w:bCs/>
          <w:iCs/>
          <w:color w:val="000000" w:themeColor="text1"/>
          <w:lang w:val="en-GB"/>
        </w:rPr>
        <w:fldChar w:fldCharType="end"/>
      </w:r>
      <w:r w:rsidRPr="0037330A">
        <w:rPr>
          <w:rFonts w:ascii="Book Antiqua" w:hAnsi="Book Antiqua"/>
          <w:bCs/>
          <w:iCs/>
          <w:color w:val="000000" w:themeColor="text1"/>
          <w:lang w:val="en-GB"/>
        </w:rPr>
        <w:t>, injections were most commonly given in the thi</w:t>
      </w:r>
      <w:r w:rsidR="007D7BDA" w:rsidRPr="0037330A">
        <w:rPr>
          <w:rFonts w:ascii="Book Antiqua" w:hAnsi="Book Antiqua"/>
          <w:bCs/>
          <w:iCs/>
          <w:color w:val="000000" w:themeColor="text1"/>
          <w:lang w:val="en-GB"/>
        </w:rPr>
        <w:t>ghs</w:t>
      </w:r>
      <w:r w:rsidRPr="0037330A">
        <w:rPr>
          <w:rFonts w:ascii="Book Antiqua" w:hAnsi="Book Antiqua"/>
          <w:bCs/>
          <w:iCs/>
          <w:color w:val="000000" w:themeColor="text1"/>
          <w:lang w:val="en-GB"/>
        </w:rPr>
        <w:t xml:space="preserve">, stomach, back of arm and buttocks. However, the front of the arm was also used in 32.4% of countries. The median age of children starting to give their </w:t>
      </w:r>
      <w:r w:rsidRPr="0037330A">
        <w:rPr>
          <w:rFonts w:ascii="Book Antiqua" w:hAnsi="Book Antiqua"/>
          <w:bCs/>
          <w:iCs/>
          <w:lang w:val="en-GB"/>
        </w:rPr>
        <w:t>own injections was 8</w:t>
      </w:r>
      <w:r w:rsidR="007D7BDA" w:rsidRPr="0037330A">
        <w:rPr>
          <w:rFonts w:ascii="Book Antiqua" w:hAnsi="Book Antiqua"/>
          <w:bCs/>
          <w:iCs/>
          <w:lang w:val="en-GB"/>
        </w:rPr>
        <w:t>-</w:t>
      </w:r>
      <w:r w:rsidRPr="0037330A">
        <w:rPr>
          <w:rFonts w:ascii="Book Antiqua" w:hAnsi="Book Antiqua"/>
          <w:bCs/>
          <w:iCs/>
          <w:lang w:val="en-GB"/>
        </w:rPr>
        <w:t>9</w:t>
      </w:r>
      <w:r w:rsidR="007D7BDA" w:rsidRPr="0037330A">
        <w:rPr>
          <w:rFonts w:ascii="Book Antiqua" w:hAnsi="Book Antiqua"/>
          <w:bCs/>
          <w:iCs/>
          <w:lang w:val="en-GB"/>
        </w:rPr>
        <w:t xml:space="preserve"> yea</w:t>
      </w:r>
      <w:r w:rsidR="001C2A88" w:rsidRPr="0037330A">
        <w:rPr>
          <w:rFonts w:ascii="Book Antiqua" w:hAnsi="Book Antiqua"/>
          <w:bCs/>
          <w:iCs/>
          <w:lang w:val="en-GB"/>
        </w:rPr>
        <w:t xml:space="preserve">rs with </w:t>
      </w:r>
      <w:r w:rsidR="007D7BDA" w:rsidRPr="0037330A">
        <w:rPr>
          <w:rFonts w:ascii="Book Antiqua" w:hAnsi="Book Antiqua"/>
          <w:bCs/>
          <w:iCs/>
          <w:lang w:val="en-GB"/>
        </w:rPr>
        <w:t>43.3</w:t>
      </w:r>
      <w:r w:rsidR="001C2A88" w:rsidRPr="0037330A">
        <w:rPr>
          <w:rFonts w:ascii="Book Antiqua" w:hAnsi="Book Antiqua"/>
          <w:bCs/>
          <w:iCs/>
          <w:lang w:val="en-GB"/>
        </w:rPr>
        <w:t xml:space="preserve">% of countries </w:t>
      </w:r>
      <w:r w:rsidR="001C2A88" w:rsidRPr="0037330A">
        <w:rPr>
          <w:rFonts w:ascii="Book Antiqua" w:hAnsi="Book Antiqua"/>
          <w:bCs/>
          <w:iCs/>
          <w:color w:val="000000" w:themeColor="text1"/>
          <w:lang w:val="en-GB"/>
        </w:rPr>
        <w:t>delaying this to 10 or older.</w:t>
      </w:r>
    </w:p>
    <w:p w14:paraId="7D8A3788" w14:textId="77777777" w:rsidR="003861F6" w:rsidRPr="0037330A" w:rsidRDefault="001C2A88"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37330A">
        <w:rPr>
          <w:rFonts w:ascii="Book Antiqua" w:hAnsi="Book Antiqua"/>
          <w:bCs/>
          <w:iCs/>
          <w:color w:val="000000" w:themeColor="text1"/>
          <w:lang w:val="en-GB"/>
        </w:rPr>
        <w:t>Manufacturers and guidelines direct single use of needles</w:t>
      </w:r>
      <w:r w:rsidRPr="0037330A">
        <w:rPr>
          <w:rFonts w:ascii="Book Antiqua" w:hAnsi="Book Antiqua"/>
          <w:bCs/>
          <w:iCs/>
          <w:color w:val="000000" w:themeColor="text1"/>
          <w:lang w:val="en-GB"/>
        </w:rPr>
        <w:fldChar w:fldCharType="begin" w:fldLock="1"/>
      </w:r>
      <w:r w:rsidR="003E64E6" w:rsidRPr="0037330A">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diabetes","type":"article-journal","volume":"19"},"uris":["http://www.mendeley.com/documents/?uuid=56dbcaa0-629d-49e4-ad11-e9dd28f53d38"]},{"id":"ITEM-2","itemData":{"DOI":"10.1016/j.mayocp.2016.06.010","ISSN":"19425546","PMID":"27594187","abstract":"Many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Proceedings","id":"ITEM-2","issue":"9","issued":{"date-parts":[["2016"]]},"page":"1231-1255","title":"New Insulin Delivery Recommendations","type":"article-journal","volume":"91"},"uris":["http://www.mendeley.com/documents/?uuid=035deffd-0e21-4c3e-b3d8-fe8d9d83f1c1"]}],"mendeley":{"formattedCitation":"&lt;sup&gt;[13,19]&lt;/sup&gt;","plainTextFormattedCitation":"[13,19]","previouslyFormattedCitation":"&lt;sup&gt;[13,19]&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[13,19]</w:t>
      </w:r>
      <w:r w:rsidRPr="0037330A">
        <w:rPr>
          <w:rFonts w:ascii="Book Antiqua" w:hAnsi="Book Antiqua"/>
          <w:bCs/>
          <w:iCs/>
          <w:color w:val="000000" w:themeColor="text1"/>
          <w:lang w:val="en-GB"/>
        </w:rPr>
        <w:fldChar w:fldCharType="end"/>
      </w:r>
      <w:r w:rsidRPr="0037330A">
        <w:rPr>
          <w:rFonts w:ascii="Book Antiqua" w:hAnsi="Book Antiqua"/>
          <w:bCs/>
          <w:iCs/>
          <w:color w:val="000000" w:themeColor="text1"/>
          <w:lang w:val="en-GB"/>
        </w:rPr>
        <w:t xml:space="preserve">. </w:t>
      </w:r>
      <w:r w:rsidR="00643F59" w:rsidRPr="0037330A">
        <w:rPr>
          <w:rFonts w:ascii="Book Antiqua" w:hAnsi="Book Antiqua"/>
          <w:bCs/>
          <w:iCs/>
          <w:color w:val="000000" w:themeColor="text1"/>
          <w:lang w:val="en-GB"/>
        </w:rPr>
        <w:t>We found that, g</w:t>
      </w:r>
      <w:r w:rsidRPr="0037330A">
        <w:rPr>
          <w:rFonts w:ascii="Book Antiqua" w:hAnsi="Book Antiqua"/>
          <w:bCs/>
          <w:iCs/>
          <w:color w:val="000000" w:themeColor="text1"/>
          <w:lang w:val="en-GB"/>
        </w:rPr>
        <w:t xml:space="preserve">iven cost and limited availability, reuse of syringes was practised </w:t>
      </w:r>
      <w:r w:rsidR="00643F59" w:rsidRPr="0037330A">
        <w:rPr>
          <w:rFonts w:ascii="Book Antiqua" w:hAnsi="Book Antiqua"/>
          <w:bCs/>
          <w:iCs/>
          <w:color w:val="000000" w:themeColor="text1"/>
          <w:lang w:val="en-GB"/>
        </w:rPr>
        <w:t xml:space="preserve">by necessity </w:t>
      </w:r>
      <w:r w:rsidRPr="0037330A">
        <w:rPr>
          <w:rFonts w:ascii="Book Antiqua" w:hAnsi="Book Antiqua"/>
          <w:bCs/>
          <w:iCs/>
          <w:color w:val="000000" w:themeColor="text1"/>
          <w:lang w:val="en-GB"/>
        </w:rPr>
        <w:t xml:space="preserve">in all but two countries. </w:t>
      </w:r>
      <w:r w:rsidR="00643F59" w:rsidRPr="0037330A">
        <w:rPr>
          <w:rFonts w:ascii="Book Antiqua" w:hAnsi="Book Antiqua"/>
          <w:bCs/>
          <w:iCs/>
          <w:color w:val="000000" w:themeColor="text1"/>
          <w:lang w:val="en-GB"/>
        </w:rPr>
        <w:t>(Even if syringes could be purchased at $0.20 each, three injection per day would be an annual cost of $219). Reuse</w:t>
      </w:r>
      <w:r w:rsidRPr="0037330A">
        <w:rPr>
          <w:rFonts w:ascii="Book Antiqua" w:hAnsi="Book Antiqua"/>
          <w:bCs/>
          <w:iCs/>
          <w:color w:val="000000" w:themeColor="text1"/>
          <w:lang w:val="en-GB"/>
        </w:rPr>
        <w:t xml:space="preserve"> is however common even in well-resourced countries</w:t>
      </w:r>
      <w:r w:rsidR="000524BF" w:rsidRPr="0037330A">
        <w:rPr>
          <w:rFonts w:ascii="Book Antiqua" w:hAnsi="Book Antiqua"/>
          <w:bCs/>
          <w:iCs/>
          <w:color w:val="000000" w:themeColor="text1"/>
          <w:lang w:val="en-GB"/>
        </w:rPr>
        <w:fldChar w:fldCharType="begin" w:fldLock="1"/>
      </w:r>
      <w:r w:rsidR="003E1A77" w:rsidRPr="0037330A">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0524BF"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[13]</w:t>
      </w:r>
      <w:r w:rsidR="000524BF"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Other studies have found that some reuse can generally be done safely</w:t>
      </w:r>
      <w:r w:rsidRPr="0037330A">
        <w:rPr>
          <w:rFonts w:ascii="Book Antiqua" w:hAnsi="Book Antiqua"/>
          <w:bCs/>
          <w:iCs/>
          <w:color w:val="000000" w:themeColor="text1"/>
          <w:lang w:val="en-GB"/>
        </w:rPr>
        <w:fldChar w:fldCharType="begin" w:fldLock="1"/>
      </w:r>
      <w:r w:rsidR="003E1A77" w:rsidRPr="0037330A">
        <w:rPr>
          <w:rFonts w:ascii="Book Antiqua" w:hAnsi="Book Antiqua"/>
          <w:bCs/>
          <w:iCs/>
          <w:color w:val="000000" w:themeColor="text1"/>
          <w:lang w:val="en-GB"/>
        </w:rPr>
        <w:instrText>ADDIN CSL_CITATION {"citationItems":[{"id":"ITEM-1","itemData":{"DOI":"10.1111/dme.12997","ISBN":"0742-3071","ISSN":"14645491","PMID":"20160380045","abstract":"Aims: To assess the direct costs of necessary consumables for minimal care of a child with Type 1 diabetes in countries where the public health system does not regularly provide such care., Methods: Supply costs were collected between January 2013 and February 2015 from questionnaires submitted by centres requesting International Diabetes Federation Life for a Child Program support. All 20 centres in 15 countries agreed to the use of their responses. Annual costs for minimal care were estimated for: 18 x 10 ml 100 IU/ml insulin, 1/3 cost of a blood glucose meter, two blood glucose test strips/day, two syringes/week, and four HbA1c tests/year. Costs were expressed in US dollars, and as % of gross national income (purchasing power parity) per capita., Results: The ranges (median) for the minimum supply costs through the private system were: insulin 10 ml 100 IU/ml equivalent vial: $5.10-$25 ($8.00); blood glucose meter: $15-$121 ($33.33); test strip: $0.15-$1.20 ($0.50); syringe: $0.10-$0.56 ($0.20); and HbA1c: $4.90-$20 ($9.75). Annual costs ranged from $255 (Pakistan) to $1,185 (Burkina Faso), with a median of $553. Annual % gross national income costs were 12-370% (median 56%). For the lowest 20% income earners the annual cost ranged 20-1535% (median 153%). St Lucia and Mongolia were the only countries whose governments consistently provided insulin. No government provided meters and strips, which were the most expensive supplies (62% of total cost)., Conclusions: In less-resourced countries, even minimal care is beyond many families' means. In addition, families face additional costs such as consultations, travel and indirect costs. Action to prevent diabetes-related death and morbidity is needed., (C) 2016 John Wiley &amp; Sons, Ltd","author":[{"dropping-particle":"","family":"Ogle","given":"G. D.","non-dropping-particle":"","parse-names":false,"suffix":""},{"dropping-particle":"","family":"Kim","given":"H.","non-dropping-particle":"","parse-names":false,"suffix":""},{"dropping-particle":"","family":"Middlehurst","given":"A. C.","non-dropping-particle":"","parse-names":false,"suffix":""},{"dropping-particle":"","family":"Silink","given":"M.","non-dropping-particle":"","parse-names":false,"suffix":""},{"dropping-particle":"","family":"Jenkins","given":"A. J.","non-dropping-particle":"","parse-names":false,"suffix":""}],"container-title":"Diabetic Medicine","id":"ITEM-1","issue":"6","issued":{"date-parts":[["2016"]]},"page":"820-826","title":"Financial costs for families of children with Type 1 diabetes in lower-income countries","type":"article-journal","volume":"33"},"uris":["http://www.mendeley.com/documents/?uuid=7698401c-6f7e-4250-986e-19e20e2016e2"]}],"mendeley":{"formattedCitation":"&lt;sup&gt;[17]&lt;/sup&gt;","plainTextFormattedCitation":"[17]","previouslyFormattedCitation":"&lt;sup&gt;[17]&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[17]</w:t>
      </w:r>
      <w:r w:rsidRPr="0037330A">
        <w:rPr>
          <w:rFonts w:ascii="Book Antiqua" w:hAnsi="Book Antiqua"/>
          <w:bCs/>
          <w:iCs/>
          <w:color w:val="000000" w:themeColor="text1"/>
          <w:lang w:val="en-GB"/>
        </w:rPr>
        <w:fldChar w:fldCharType="end"/>
      </w:r>
      <w:r w:rsidRPr="0037330A">
        <w:rPr>
          <w:rFonts w:ascii="Book Antiqua" w:hAnsi="Book Antiqua"/>
          <w:bCs/>
          <w:iCs/>
          <w:color w:val="000000" w:themeColor="text1"/>
          <w:lang w:val="en-GB"/>
        </w:rPr>
        <w:t>, occur without risk of infection</w:t>
      </w:r>
      <w:r w:rsidRPr="0037330A">
        <w:rPr>
          <w:rFonts w:ascii="Book Antiqua" w:hAnsi="Book Antiqua"/>
          <w:bCs/>
          <w:iCs/>
          <w:color w:val="000000" w:themeColor="text1"/>
          <w:lang w:val="en-GB"/>
        </w:rPr>
        <w:fldChar w:fldCharType="begin" w:fldLock="1"/>
      </w:r>
      <w:r w:rsidR="00867459" w:rsidRPr="0037330A">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diabetes","type":"article-journal","volume":"19"},"uris":["http://www.mendeley.com/documents/?uuid=56dbcaa0-629d-49e4-ad11-e9dd28f53d38"]},{"id":"ITEM-2","itemData":{"DOI":"10.1016/0168-8227(92)90119-c","ISSN":"0168-8227","PMID":"1425141","abstract":"Twenty diabetic patients participated in a study to assess if multiple use of needles for insulin injection systems (Pens) is safe under normal daily conditions. The previous mean duration of Pen therapy was 16.3 months. During this time, the 20 patients carried out altogether more than 33,000 injections without any sign of local infection despite needle reuse. Patients were told to use needles if possible for 1, 3, 6, 9, and 12 injections before bacteriological assessment. Bacteriological investigation of these needles showed no contamination, except with one needle used three times, which was colonized with coagulase negative Staphylococcus. In contrast, half of the needles' plastic ground points which touched the skin were contaminated. No signs of infection were observed at the injection sites throughout the study. We conclude that, based on the bacteriostatic effects of commercially formulated insulin and on the siliconisation of needles' surfaces, bacterial growth is sufficiently prevented. Therefore, we can recommend the reuse of pen needles as a simple, safe and cost-beneficial procedure.","author":[{"dropping-particle":"","family":"Schuler","given":"G","non-dropping-particle":"","parse-names":false,"suffix":""},{"dropping-particle":"","family":"Pelz","given":"Klaus","non-dropping-particle":"","parse-names":false,"suffix":""},{"dropping-particle":"","family":"Kerp","given":"Lothar","non-dropping-particle":"","parse-names":false,"suffix":""}],"container-title":"Diabetes Res Clin Pract","id":"ITEM-2","issue":"3","issued":{"date-parts":[["1992"]]},"page":"209-212","title":"Is the reuse of needles for insulin injection systems associated with a higher risk of cutaneous complications?","type":"article-journal","volume":"16"},"uris":["http://www.mendeley.com/documents/?uuid=0b10a759-2952-44a5-8d38-f87dd4af820b"]}],"mendeley":{"formattedCitation":"&lt;sup&gt;[13,22]&lt;/sup&gt;","plainTextFormattedCitation":"[13,22]","previouslyFormattedCitation":"&lt;sup&gt;[13,22]&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F065B6" w:rsidRPr="0037330A">
        <w:rPr>
          <w:rFonts w:ascii="Book Antiqua" w:hAnsi="Book Antiqua"/>
          <w:bCs/>
          <w:iCs/>
          <w:color w:val="000000" w:themeColor="text1"/>
          <w:vertAlign w:val="superscript"/>
          <w:lang w:val="en-GB"/>
        </w:rPr>
        <w:t>[13,22]</w:t>
      </w:r>
      <w:r w:rsidRPr="0037330A">
        <w:rPr>
          <w:rFonts w:ascii="Book Antiqua" w:hAnsi="Book Antiqua"/>
          <w:bCs/>
          <w:iCs/>
          <w:color w:val="000000" w:themeColor="text1"/>
          <w:lang w:val="en-GB"/>
        </w:rPr>
        <w:fldChar w:fldCharType="end"/>
      </w:r>
      <w:r w:rsidRPr="0037330A">
        <w:rPr>
          <w:rFonts w:ascii="Book Antiqua" w:hAnsi="Book Antiqua"/>
          <w:bCs/>
          <w:iCs/>
          <w:color w:val="000000" w:themeColor="text1"/>
          <w:lang w:val="en-GB"/>
        </w:rPr>
        <w:t xml:space="preserve"> and be cost-effective</w:t>
      </w:r>
      <w:r w:rsidRPr="0037330A">
        <w:rPr>
          <w:rFonts w:ascii="Book Antiqua" w:hAnsi="Book Antiqua"/>
          <w:bCs/>
          <w:iCs/>
          <w:color w:val="000000" w:themeColor="text1"/>
          <w:lang w:val="en-GB"/>
        </w:rPr>
        <w:fldChar w:fldCharType="begin" w:fldLock="1"/>
      </w:r>
      <w:r w:rsidR="00867459" w:rsidRPr="0037330A">
        <w:rPr>
          <w:rFonts w:ascii="Book Antiqua" w:hAnsi="Book Antiqua"/>
          <w:bCs/>
          <w:iCs/>
          <w:color w:val="000000" w:themeColor="text1"/>
          <w:lang w:val="en-GB"/>
        </w:rPr>
        <w:instrText>ADDIN CSL_CITATION {"citationItems":[{"id":"ITEM-1","itemData":{"DOI":"10.1016/0168-8227(92)90119-c","ISSN":"0168-8227","PMID":"1425141","abstract":"Twenty diabetic patients participated in a study to assess if multiple use of needles for insulin injection systems (Pens) is safe under normal daily conditions. The previous mean duration of Pen therapy was 16.3 months. During this time, the 20 patients carried out altogether more than 33,000 injections without any sign of local infection despite needle reuse. Patients were told to use needles if possible for 1, 3, 6, 9, and 12 injections before bacteriological assessment. Bacteriological investigation of these needles showed no contamination, except with one needle used three times, which was colonized with coagulase negative Staphylococcus. In contrast, half of the needles' plastic ground points which touched the skin were contaminated. No signs of infection were observed at the injection sites throughout the study. We conclude that, based on the bacteriostatic effects of commercially formulated insulin and on the siliconisation of needles' surfaces, bacterial growth is sufficiently prevented. Therefore, we can recommend the reuse of pen needles as a simple, safe and cost-beneficial procedure.","author":[{"dropping-particle":"","family":"Schuler","given":"G","non-dropping-particle":"","parse-names":false,"suffix":""},{"dropping-particle":"","family":"Pelz","given":"Klaus","non-dropping-particle":"","parse-names":false,"suffix":""},{"dropping-particle":"","family":"Kerp","given":"Lothar","non-dropping-particle":"","parse-names":false,"suffix":""}],"container-title":"Diabetes Res Clin Pract","id":"ITEM-1","issue":"3","issued":{"date-parts":[["1992"]]},"page":"209-212","title":"Is the reuse of needles for insulin injection systems associated with a higher risk of cutaneous complications?","type":"article-journal","volume":"16"},"uris":["http://www.mendeley.com/documents/?uuid=0b10a759-2952-44a5-8d38-f87dd4af820b"]}],"mendeley":{"formattedCitation":"&lt;sup&gt;[22]&lt;/sup&gt;","plainTextFormattedCitation":"[22]","previouslyFormattedCitation":"&lt;sup&gt;[22]&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F065B6" w:rsidRPr="0037330A">
        <w:rPr>
          <w:rFonts w:ascii="Book Antiqua" w:hAnsi="Book Antiqua"/>
          <w:bCs/>
          <w:iCs/>
          <w:color w:val="000000" w:themeColor="text1"/>
          <w:vertAlign w:val="superscript"/>
          <w:lang w:val="en-GB"/>
        </w:rPr>
        <w:t>[22]</w:t>
      </w:r>
      <w:r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w:t>
      </w:r>
      <w:r w:rsidR="00643F59" w:rsidRPr="0037330A">
        <w:rPr>
          <w:rFonts w:ascii="Book Antiqua" w:hAnsi="Book Antiqua"/>
          <w:bCs/>
          <w:iCs/>
          <w:color w:val="000000" w:themeColor="text1"/>
          <w:lang w:val="en-GB"/>
        </w:rPr>
        <w:t xml:space="preserve">The current study found that infections </w:t>
      </w:r>
      <w:r w:rsidR="00643F59" w:rsidRPr="0037330A">
        <w:rPr>
          <w:rFonts w:ascii="Book Antiqua" w:hAnsi="Book Antiqua"/>
          <w:bCs/>
          <w:iCs/>
          <w:color w:val="000000" w:themeColor="text1"/>
          <w:lang w:val="en-GB"/>
        </w:rPr>
        <w:lastRenderedPageBreak/>
        <w:t xml:space="preserve">at the injection site were common in almost half the countries surveyed, but 14.3% of countries had reuse of ten times or more, and a further 28.6% at five to nine times. </w:t>
      </w:r>
    </w:p>
    <w:p w14:paraId="3843C849" w14:textId="15D32AA7" w:rsidR="003861F6" w:rsidRPr="0037330A" w:rsidRDefault="001C2A88"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37330A">
        <w:rPr>
          <w:rFonts w:ascii="Book Antiqua" w:hAnsi="Book Antiqua"/>
          <w:bCs/>
          <w:iCs/>
          <w:color w:val="000000" w:themeColor="text1"/>
          <w:lang w:val="en-GB"/>
        </w:rPr>
        <w:t>Reuse should not be encouraged when needles become blunt (due to increased pain) or if there are patient hygiene concerns, and sharing between patients must not occur</w:t>
      </w:r>
      <w:r w:rsidRPr="0037330A">
        <w:rPr>
          <w:rFonts w:ascii="Book Antiqua" w:hAnsi="Book Antiqua"/>
          <w:bCs/>
          <w:iCs/>
          <w:color w:val="000000" w:themeColor="text1"/>
          <w:lang w:val="en-GB"/>
        </w:rPr>
        <w:fldChar w:fldCharType="begin" w:fldLock="1"/>
      </w:r>
      <w:r w:rsidR="00F065B6" w:rsidRPr="0037330A">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3E64E6" w:rsidRPr="0037330A">
        <w:rPr>
          <w:rFonts w:ascii="Book Antiqua" w:hAnsi="Book Antiqua"/>
          <w:bCs/>
          <w:iCs/>
          <w:color w:val="000000" w:themeColor="text1"/>
          <w:vertAlign w:val="superscript"/>
          <w:lang w:val="en-GB"/>
        </w:rPr>
        <w:t>[13]</w:t>
      </w:r>
      <w:r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One study noted that reuse of a single syringe more than five times poses risks for the development of lipohypertrophy</w:t>
      </w:r>
      <w:r w:rsidRPr="0037330A">
        <w:rPr>
          <w:rFonts w:ascii="Book Antiqua" w:hAnsi="Book Antiqua"/>
          <w:bCs/>
          <w:iCs/>
          <w:color w:val="000000" w:themeColor="text1"/>
          <w:lang w:val="en-GB"/>
        </w:rPr>
        <w:fldChar w:fldCharType="begin" w:fldLock="1"/>
      </w:r>
      <w:r w:rsidR="00867459" w:rsidRPr="0037330A">
        <w:rPr>
          <w:rFonts w:ascii="Book Antiqua" w:hAnsi="Book Antiqua"/>
          <w:bCs/>
          <w:iCs/>
          <w:color w:val="000000" w:themeColor="text1"/>
          <w:lang w:val="en-GB"/>
        </w:rPr>
        <w:instrText>ADDIN CSL_CITATION {"citationItems":[{"id":"ITEM-1","itemData":{"DOI":"10.6084/ m9.figshare.7087520","PMID":"30242612","author":[{"dropping-particle":"","family":"Kalra","given":"Sanjay","non-dropping-particle":"","parse-names":false,"suffix":""},{"dropping-particle":"","family":"Hirsch","given":"Laurence J","non-dropping-particle":"","parse-names":false,"suffix":""},{"dropping-particle":"","family":"Frid","given":"Anders","non-dropping-particle":"","parse-names":false,"suffix":""},{"dropping-particle":"","family":"Deeb","given":"Asthma","non-dropping-particle":"","parse-names":false,"suffix":""}],"container-title":"Diabetes Ther","id":"ITEM-1","issue":"6","issued":{"date-parts":[["2018"]]},"page":"2291-2302","title":"Pediatric Insulin Injection Technique: A Multi-Country Survey and Clinical Practice Implications","type":"article-journal","volume":"9"},"uris":["http://www.mendeley.com/documents/?uuid=7f9d28fc-c996-4ceb-8080-710c1e33b511"]}],"mendeley":{"formattedCitation":"&lt;sup&gt;[23]&lt;/sup&gt;","plainTextFormattedCitation":"[23]","previouslyFormattedCitation":"&lt;sup&gt;[23]&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F065B6" w:rsidRPr="0037330A">
        <w:rPr>
          <w:rFonts w:ascii="Book Antiqua" w:hAnsi="Book Antiqua"/>
          <w:bCs/>
          <w:iCs/>
          <w:color w:val="000000" w:themeColor="text1"/>
          <w:vertAlign w:val="superscript"/>
          <w:lang w:val="en-GB"/>
        </w:rPr>
        <w:t>[23]</w:t>
      </w:r>
      <w:r w:rsidRPr="0037330A">
        <w:rPr>
          <w:rFonts w:ascii="Book Antiqua" w:hAnsi="Book Antiqua"/>
          <w:bCs/>
          <w:iCs/>
          <w:color w:val="000000" w:themeColor="text1"/>
          <w:lang w:val="en-GB"/>
        </w:rPr>
        <w:fldChar w:fldCharType="end"/>
      </w:r>
      <w:r w:rsidRPr="0037330A">
        <w:rPr>
          <w:rFonts w:ascii="Book Antiqua" w:hAnsi="Book Antiqua"/>
          <w:bCs/>
          <w:iCs/>
          <w:color w:val="000000" w:themeColor="text1"/>
          <w:lang w:val="en-GB"/>
        </w:rPr>
        <w:t>, however this may just be due to associated lack of site rotation</w:t>
      </w:r>
      <w:r w:rsidR="00643F59" w:rsidRPr="0037330A">
        <w:rPr>
          <w:rFonts w:ascii="Book Antiqua" w:hAnsi="Book Antiqua"/>
          <w:bCs/>
          <w:iCs/>
          <w:color w:val="000000" w:themeColor="text1"/>
          <w:lang w:val="en-GB"/>
        </w:rPr>
        <w:t>, as commented by one of the respondents in the current study</w:t>
      </w:r>
      <w:r w:rsidRPr="0037330A">
        <w:rPr>
          <w:rFonts w:ascii="Book Antiqua" w:hAnsi="Book Antiqua"/>
          <w:bCs/>
          <w:iCs/>
          <w:color w:val="000000" w:themeColor="text1"/>
          <w:lang w:val="en-GB"/>
        </w:rPr>
        <w:t>. The Ea</w:t>
      </w:r>
      <w:r w:rsidR="000E7A7D" w:rsidRPr="0037330A">
        <w:rPr>
          <w:rFonts w:ascii="Book Antiqua" w:hAnsi="Book Antiqua"/>
          <w:bCs/>
          <w:iCs/>
          <w:color w:val="000000" w:themeColor="text1"/>
          <w:lang w:val="en-GB"/>
        </w:rPr>
        <w:t>st African Diabetes Study Group</w:t>
      </w:r>
      <w:r w:rsidRPr="0037330A">
        <w:rPr>
          <w:rFonts w:ascii="Book Antiqua" w:hAnsi="Book Antiqua"/>
          <w:bCs/>
          <w:iCs/>
          <w:color w:val="000000" w:themeColor="text1"/>
          <w:lang w:val="en-GB"/>
        </w:rPr>
        <w:t xml:space="preserve"> advises that if needles are reused, this should not exceed five times and that they should be discarded if injections become more painful</w:t>
      </w:r>
      <w:r w:rsidRPr="0037330A">
        <w:rPr>
          <w:rFonts w:ascii="Book Antiqua" w:hAnsi="Book Antiqua"/>
          <w:bCs/>
          <w:iCs/>
          <w:color w:val="000000" w:themeColor="text1"/>
          <w:lang w:val="en-GB"/>
        </w:rPr>
        <w:fldChar w:fldCharType="begin" w:fldLock="1"/>
      </w:r>
      <w:r w:rsidR="00867459" w:rsidRPr="0037330A">
        <w:rPr>
          <w:rFonts w:ascii="Book Antiqua" w:hAnsi="Book Antiqua"/>
          <w:bCs/>
          <w:iCs/>
          <w:color w:val="000000" w:themeColor="text1"/>
          <w:lang w:val="en-GB"/>
        </w:rPr>
        <w:instrText>ADDIN CSL_CITATION {"citationItems":[{"id":"ITEM-1","itemData":{"DOI":"10.1007/s13300-019-0574-x","ISSN":"18696961","PMID":"30815830","abstract":"To date, insulin therapy remains the cornerstone of diabetes management; but the art of injecting insulin is still poorly understood in many health facilities. To address this gap, the Forum for Injection Technique and Therapy Expert Recommendations (FITTER) published recommendations on injection technique after a workshop held in Rome, Italy in 2015. These recommendations are generally applicable to the majority of patients on insulin therapy, athough they do not explore alternative details that may be suitable for low- and middle-income countries. The East Africa Diabetes Study Group sought to address this gap, and furthermore to seek consensus on some of the contextual issues pertaining to insulin therapy within the East African region, specifically focusing on scarcity of resources and its adverse effect on the quality of care. A meeting of health care professionals, experts in diabetes management and patients using insulin, was convened in Kigali, Rwanda on 11 March 2018, and the following recommendations were made: (1) insulin should be transported safely, without undue shaking and exposure to high (&gt; 32 °C) temperature environments. (2) Insulin should not be transported below 0 °C. (3) If insulin is to be stored at home for over 2 months, it should be stored at the recommended temperature of 2–8 °C. (4) Appropriate instructions should be given to patients while dispensing insulin. (5) Insulin in use should be kept at room temperature and should never be kept immersed under water. Immersing insulin under water after the vial has been pierced carries a high risk of contamination, leading to loss of potency and likelihood of causing injection abscesses. (6) The shortest available needles (4 mm for pen and 6 mm for insulin syringe) should be preferred for all patients. (7) In routine care, intramuscular injections should be avoided, especially with long-acting insulins, as it may result in severe hypoglycaemia. (8) The practice of slanting the needle excessively should be avoided as it results in sub-epidermal injection of insulin which leads to poor absorption and may cause “tattooing” of the skin and scarring. (9) In patients presenting in a wasted state, with “paper-like skin”, injections should, if possible, be initiated with pen injection devices, so as to utilise the 4-mm needle without lifting a skin fold (pinching the skin); otherwise lifting of a skin fold is required, if longer needles are utilised. (10) Reuse of needles and syringes is not…","author":[{"dropping-particle":"","family":"Bahendeka","given":"Silver","non-dropping-particle":"","parse-names":false,"suffix":""},{"dropping-particle":"","family":"Kaushik","given":"Ramaiya","non-dropping-particle":"","parse-names":false,"suffix":""},{"dropping-particle":"","family":"Swai","given":"Andrew Babu","non-dropping-particle":"","parse-names":false,"suffix":""},{"dropping-particle":"","family":"Otieno","given":"Fredrick","non-dropping-particle":"","parse-names":false,"suffix":""},{"dropping-particle":"","family":"Bajaj","given":"Sarita","non-dropping-particle":"","parse-names":false,"suffix":""},{"dropping-particle":"","family":"Kalra","given":"Sanjay","non-dropping-particle":"","parse-names":false,"suffix":""},{"dropping-particle":"","family":"Bavuma","given":"Charlotte M.","non-dropping-particle":"","parse-names":false,"suffix":""},{"dropping-particle":"","family":"Karigire","given":"Claudine","non-dropping-particle":"","parse-names":false,"suffix":""}],"container-title":"Diabetes Therapy","id":"ITEM-1","issue":"2","issued":{"date-parts":[["2019"]]},"page":"341-366","publisher":"Springer Healthcare","title":"EADSG Guidelines: Insulin Storage and Optimisation of Injection Technique in Diabetes Management","type":"article-journal","volume":"10"},"uris":["http://www.mendeley.com/documents/?uuid=2b1a260b-f91b-491e-b273-3417697c16ff"]}],"mendeley":{"formattedCitation":"&lt;sup&gt;[24]&lt;/sup&gt;","plainTextFormattedCitation":"[24]","previouslyFormattedCitation":"&lt;sup&gt;[24]&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F065B6" w:rsidRPr="0037330A">
        <w:rPr>
          <w:rFonts w:ascii="Book Antiqua" w:hAnsi="Book Antiqua"/>
          <w:bCs/>
          <w:iCs/>
          <w:color w:val="000000" w:themeColor="text1"/>
          <w:vertAlign w:val="superscript"/>
          <w:lang w:val="en-GB"/>
        </w:rPr>
        <w:t>[24]</w:t>
      </w:r>
      <w:r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Provision by the Life for a Child Program is similar at four syringes per week.</w:t>
      </w:r>
    </w:p>
    <w:p w14:paraId="1A51685E" w14:textId="6F287502" w:rsidR="00A25D52" w:rsidRPr="0037330A" w:rsidRDefault="00643F59"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37330A">
        <w:rPr>
          <w:rFonts w:ascii="Book Antiqua" w:hAnsi="Book Antiqua"/>
          <w:lang w:val="en-GB"/>
        </w:rPr>
        <w:t>A</w:t>
      </w:r>
      <w:r w:rsidR="00D81E39" w:rsidRPr="0037330A">
        <w:rPr>
          <w:rFonts w:ascii="Book Antiqua" w:hAnsi="Book Antiqua"/>
          <w:lang w:val="en-GB"/>
        </w:rPr>
        <w:t>ppropriate disposal of syringes was a common problem</w:t>
      </w:r>
      <w:r w:rsidR="00B03235" w:rsidRPr="0037330A">
        <w:rPr>
          <w:rFonts w:ascii="Book Antiqua" w:hAnsi="Book Antiqua"/>
          <w:lang w:val="en-GB"/>
        </w:rPr>
        <w:t xml:space="preserve">, as it is globally, </w:t>
      </w:r>
      <w:r w:rsidR="00B03235" w:rsidRPr="0037330A">
        <w:rPr>
          <w:rFonts w:ascii="Book Antiqua" w:hAnsi="Book Antiqua"/>
          <w:bCs/>
          <w:iCs/>
          <w:color w:val="000000" w:themeColor="text1"/>
          <w:lang w:val="en-GB"/>
        </w:rPr>
        <w:t>posing accidental needlestick risks to the public</w:t>
      </w:r>
      <w:r w:rsidR="00B03235" w:rsidRPr="0037330A">
        <w:rPr>
          <w:rFonts w:ascii="Book Antiqua" w:hAnsi="Book Antiqua"/>
          <w:bCs/>
          <w:iCs/>
          <w:color w:val="000000" w:themeColor="text1"/>
          <w:lang w:val="en-GB"/>
        </w:rPr>
        <w:fldChar w:fldCharType="begin" w:fldLock="1"/>
      </w:r>
      <w:r w:rsidR="003E64E6" w:rsidRPr="0037330A">
        <w:rPr>
          <w:rFonts w:ascii="Book Antiqua" w:hAnsi="Book Antiqua"/>
          <w:bCs/>
          <w:iCs/>
          <w:color w:val="000000" w:themeColor="text1"/>
          <w:lang w:val="en-GB"/>
        </w:rPr>
        <w:instrText>ADDIN CSL_CITATION {"citationItems":[{"id":"ITEM-1","itemData":{"DOI":"10.1016/j.mayocp.2016.06.011","PMID":"27594185","author":[{"dropping-particle":"","family":"Frid","given":"Anders H","non-dropping-particle":"","parse-names":false,"suffix":""},{"dropping-particle":"","family":"Hirsch","given":"Laurence J","non-dropping-particle":"","parse-names":false,"suffix":""},{"dropping-particle":"","family":"Menchior","given":"Astrid R","non-dropping-particle":"","parse-names":false,"suffix":""},{"dropping-particle":"","family":"Morel","given":"Didier R","non-dropping-particle":"","parse-names":false,"suffix":""},{"dropping-particle":"","family":"Strauss","given":"Kenneth W","non-dropping-particle":"","parse-names":false,"suffix":""}],"container-title":"Mayo Clin Proc","id":"ITEM-1","issue":"September 2016","issued":{"date-parts":[["2018"]]},"page":"1212-1223","title":"Worldwide Injection Technique Questionnaire Study: Population Parameters and Injection Practices","type":"article-journal","volume":"91"},"uris":["http://www.mendeley.com/documents/?uuid=066e0101-0866-40d6-9fdd-7e5a9b6c243d"]}],"mendeley":{"formattedCitation":"&lt;sup&gt;[20]&lt;/sup&gt;","plainTextFormattedCitation":"[20]","previouslyFormattedCitation":"&lt;sup&gt;[20]&lt;/sup&gt;"},"properties":{"noteIndex":0},"schema":"https://github.com/citation-style-language/schema/raw/master/csl-citation.json"}</w:instrText>
      </w:r>
      <w:r w:rsidR="00B03235" w:rsidRPr="0037330A">
        <w:rPr>
          <w:rFonts w:ascii="Book Antiqua" w:hAnsi="Book Antiqua"/>
          <w:bCs/>
          <w:iCs/>
          <w:color w:val="000000" w:themeColor="text1"/>
          <w:lang w:val="en-GB"/>
        </w:rPr>
        <w:fldChar w:fldCharType="separate"/>
      </w:r>
      <w:r w:rsidR="003E1A77" w:rsidRPr="0037330A">
        <w:rPr>
          <w:rFonts w:ascii="Book Antiqua" w:hAnsi="Book Antiqua"/>
          <w:bCs/>
          <w:iCs/>
          <w:color w:val="000000" w:themeColor="text1"/>
          <w:vertAlign w:val="superscript"/>
          <w:lang w:val="en-GB"/>
        </w:rPr>
        <w:t>[20]</w:t>
      </w:r>
      <w:r w:rsidR="00B03235" w:rsidRPr="0037330A">
        <w:rPr>
          <w:rFonts w:ascii="Book Antiqua" w:hAnsi="Book Antiqua"/>
          <w:bCs/>
          <w:iCs/>
          <w:color w:val="000000" w:themeColor="text1"/>
          <w:lang w:val="en-GB"/>
        </w:rPr>
        <w:fldChar w:fldCharType="end"/>
      </w:r>
      <w:r w:rsidR="00B03235" w:rsidRPr="0037330A">
        <w:rPr>
          <w:rFonts w:ascii="Book Antiqua" w:hAnsi="Book Antiqua"/>
          <w:lang w:val="en-GB"/>
        </w:rPr>
        <w:t xml:space="preserve">. </w:t>
      </w:r>
      <w:r w:rsidR="00B03235" w:rsidRPr="0037330A">
        <w:rPr>
          <w:rFonts w:ascii="Book Antiqua" w:hAnsi="Book Antiqua"/>
          <w:bCs/>
          <w:iCs/>
          <w:color w:val="000000" w:themeColor="text1"/>
          <w:lang w:val="en-GB"/>
        </w:rPr>
        <w:t>Used needles should be disposed in specific sharps containers or opaque plastic containers for garbage collection</w:t>
      </w:r>
      <w:r w:rsidR="00B03235" w:rsidRPr="0037330A">
        <w:rPr>
          <w:rFonts w:ascii="Book Antiqua" w:hAnsi="Book Antiqua"/>
          <w:bCs/>
          <w:iCs/>
          <w:color w:val="000000" w:themeColor="text1"/>
          <w:lang w:val="en-GB"/>
        </w:rPr>
        <w:fldChar w:fldCharType="begin" w:fldLock="1"/>
      </w:r>
      <w:r w:rsidR="005D2E95" w:rsidRPr="0037330A">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B03235" w:rsidRPr="0037330A">
        <w:rPr>
          <w:rFonts w:ascii="Book Antiqua" w:hAnsi="Book Antiqua"/>
          <w:bCs/>
          <w:iCs/>
          <w:color w:val="000000" w:themeColor="text1"/>
          <w:lang w:val="en-GB"/>
        </w:rPr>
        <w:fldChar w:fldCharType="separate"/>
      </w:r>
      <w:r w:rsidR="00283313" w:rsidRPr="0037330A">
        <w:rPr>
          <w:rFonts w:ascii="Book Antiqua" w:hAnsi="Book Antiqua"/>
          <w:bCs/>
          <w:iCs/>
          <w:color w:val="000000" w:themeColor="text1"/>
          <w:vertAlign w:val="superscript"/>
          <w:lang w:val="en-GB"/>
        </w:rPr>
        <w:t>[13]</w:t>
      </w:r>
      <w:r w:rsidR="00B03235"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r w:rsidR="00B03235" w:rsidRPr="0037330A">
        <w:rPr>
          <w:rFonts w:ascii="Book Antiqua" w:hAnsi="Book Antiqua"/>
          <w:bCs/>
          <w:iCs/>
          <w:color w:val="000000" w:themeColor="text1"/>
          <w:lang w:val="en-GB"/>
        </w:rPr>
        <w:t xml:space="preserve"> The </w:t>
      </w:r>
      <w:r w:rsidR="000E7A7D" w:rsidRPr="0037330A">
        <w:rPr>
          <w:rFonts w:ascii="Book Antiqua" w:hAnsi="Book Antiqua"/>
          <w:bCs/>
          <w:iCs/>
          <w:color w:val="000000" w:themeColor="text1"/>
          <w:lang w:val="en-GB"/>
        </w:rPr>
        <w:t>East African Diabetes Study Group</w:t>
      </w:r>
      <w:r w:rsidR="00B03235" w:rsidRPr="0037330A">
        <w:rPr>
          <w:rFonts w:ascii="Book Antiqua" w:hAnsi="Book Antiqua"/>
          <w:bCs/>
          <w:iCs/>
          <w:color w:val="000000" w:themeColor="text1"/>
          <w:lang w:val="en-GB"/>
        </w:rPr>
        <w:t xml:space="preserve"> notes there are many barriers that make disposal challenging in less-resourced settings, including lack of knowledge, misconceptions that sharps disposal containers are for illicit drug-users, and fear of revealing diabetes status. This results in various inappropriate current disposal practices such as in pit toilets or burning them</w:t>
      </w:r>
      <w:r w:rsidR="00B03235" w:rsidRPr="0037330A">
        <w:rPr>
          <w:rFonts w:ascii="Book Antiqua" w:hAnsi="Book Antiqua"/>
          <w:bCs/>
          <w:iCs/>
          <w:color w:val="000000" w:themeColor="text1"/>
          <w:lang w:val="en-GB"/>
        </w:rPr>
        <w:fldChar w:fldCharType="begin" w:fldLock="1"/>
      </w:r>
      <w:r w:rsidR="00867459" w:rsidRPr="0037330A">
        <w:rPr>
          <w:rFonts w:ascii="Book Antiqua" w:hAnsi="Book Antiqua"/>
          <w:bCs/>
          <w:iCs/>
          <w:color w:val="000000" w:themeColor="text1"/>
          <w:lang w:val="en-GB"/>
        </w:rPr>
        <w:instrText>ADDIN CSL_CITATION {"citationItems":[{"id":"ITEM-1","itemData":{"DOI":"10.1007/s13300-019-0574-x","ISSN":"18696961","PMID":"30815830","abstract":"To date, insulin therapy remains the cornerstone of diabetes management; but the art of injecting insulin is still poorly understood in many health facilities. To address this gap, the Forum for Injection Technique and Therapy Expert Recommendations (FITTER) published recommendations on injection technique after a workshop held in Rome, Italy in 2015. These recommendations are generally applicable to the majority of patients on insulin therapy, athough they do not explore alternative details that may be suitable for low- and middle-income countries. The East Africa Diabetes Study Group sought to address this gap, and furthermore to seek consensus on some of the contextual issues pertaining to insulin therapy within the East African region, specifically focusing on scarcity of resources and its adverse effect on the quality of care. A meeting of health care professionals, experts in diabetes management and patients using insulin, was convened in Kigali, Rwanda on 11 March 2018, and the following recommendations were made: (1) insulin should be transported safely, without undue shaking and exposure to high (&gt; 32 °C) temperature environments. (2) Insulin should not be transported below 0 °C. (3) If insulin is to be stored at home for over 2 months, it should be stored at the recommended temperature of 2–8 °C. (4) Appropriate instructions should be given to patients while dispensing insulin. (5) Insulin in use should be kept at room temperature and should never be kept immersed under water. Immersing insulin under water after the vial has been pierced carries a high risk of contamination, leading to loss of potency and likelihood of causing injection abscesses. (6) The shortest available needles (4 mm for pen and 6 mm for insulin syringe) should be preferred for all patients. (7) In routine care, intramuscular injections should be avoided, especially with long-acting insulins, as it may result in severe hypoglycaemia. (8) The practice of slanting the needle excessively should be avoided as it results in sub-epidermal injection of insulin which leads to poor absorption and may cause “tattooing” of the skin and scarring. (9) In patients presenting in a wasted state, with “paper-like skin”, injections should, if possible, be initiated with pen injection devices, so as to utilise the 4-mm needle without lifting a skin fold (pinching the skin); otherwise lifting of a skin fold is required, if longer needles are utilised. (10) Reuse of needles and syringes is not…","author":[{"dropping-particle":"","family":"Bahendeka","given":"Silver","non-dropping-particle":"","parse-names":false,"suffix":""},{"dropping-particle":"","family":"Kaushik","given":"Ramaiya","non-dropping-particle":"","parse-names":false,"suffix":""},{"dropping-particle":"","family":"Swai","given":"Andrew Babu","non-dropping-particle":"","parse-names":false,"suffix":""},{"dropping-particle":"","family":"Otieno","given":"Fredrick","non-dropping-particle":"","parse-names":false,"suffix":""},{"dropping-particle":"","family":"Bajaj","given":"Sarita","non-dropping-particle":"","parse-names":false,"suffix":""},{"dropping-particle":"","family":"Kalra","given":"Sanjay","non-dropping-particle":"","parse-names":false,"suffix":""},{"dropping-particle":"","family":"Bavuma","given":"Charlotte M.","non-dropping-particle":"","parse-names":false,"suffix":""},{"dropping-particle":"","family":"Karigire","given":"Claudine","non-dropping-particle":"","parse-names":false,"suffix":""}],"container-title":"Diabetes Therapy","id":"ITEM-1","issue":"2","issued":{"date-parts":[["2019"]]},"page":"341-366","publisher":"Springer Healthcare","title":"EADSG Guidelines: Insulin Storage and Optimisation of Injection Technique in Diabetes Management","type":"article-journal","volume":"10"},"uris":["http://www.mendeley.com/documents/?uuid=2b1a260b-f91b-491e-b273-3417697c16ff"]}],"mendeley":{"formattedCitation":"&lt;sup&gt;[24]&lt;/sup&gt;","plainTextFormattedCitation":"[24]","previouslyFormattedCitation":"&lt;sup&gt;[24]&lt;/sup&gt;"},"properties":{"noteIndex":0},"schema":"https://github.com/citation-style-language/schema/raw/master/csl-citation.json"}</w:instrText>
      </w:r>
      <w:r w:rsidR="00B03235" w:rsidRPr="0037330A">
        <w:rPr>
          <w:rFonts w:ascii="Book Antiqua" w:hAnsi="Book Antiqua"/>
          <w:bCs/>
          <w:iCs/>
          <w:color w:val="000000" w:themeColor="text1"/>
          <w:lang w:val="en-GB"/>
        </w:rPr>
        <w:fldChar w:fldCharType="separate"/>
      </w:r>
      <w:r w:rsidR="00F065B6" w:rsidRPr="0037330A">
        <w:rPr>
          <w:rFonts w:ascii="Book Antiqua" w:hAnsi="Book Antiqua"/>
          <w:bCs/>
          <w:iCs/>
          <w:color w:val="000000" w:themeColor="text1"/>
          <w:vertAlign w:val="superscript"/>
          <w:lang w:val="en-GB"/>
        </w:rPr>
        <w:t>[24]</w:t>
      </w:r>
      <w:r w:rsidR="00B03235"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r w:rsidR="00B03235" w:rsidRPr="0037330A">
        <w:rPr>
          <w:rFonts w:ascii="Book Antiqua" w:hAnsi="Book Antiqua"/>
          <w:bCs/>
          <w:iCs/>
          <w:color w:val="000000" w:themeColor="text1"/>
          <w:lang w:val="en-GB"/>
        </w:rPr>
        <w:t xml:space="preserve"> Appropriate local recommendations are essential so that injuries to those with T1D, their families, waste handlers, and members of the community are minimized</w:t>
      </w:r>
      <w:r w:rsidR="00B03235" w:rsidRPr="0037330A">
        <w:rPr>
          <w:rFonts w:ascii="Book Antiqua" w:hAnsi="Book Antiqua"/>
          <w:bCs/>
          <w:iCs/>
          <w:color w:val="000000" w:themeColor="text1"/>
          <w:vertAlign w:val="superscript"/>
          <w:lang w:val="en-GB"/>
        </w:rPr>
        <w:fldChar w:fldCharType="begin" w:fldLock="1"/>
      </w:r>
      <w:r w:rsidR="00867459" w:rsidRPr="0037330A">
        <w:rPr>
          <w:rFonts w:ascii="Book Antiqua" w:hAnsi="Book Antiqua"/>
          <w:bCs/>
          <w:iCs/>
          <w:color w:val="000000" w:themeColor="text1"/>
          <w:vertAlign w:val="superscript"/>
          <w:lang w:val="en-GB"/>
        </w:rPr>
        <w:instrText>ADDIN CSL_CITATION {"citationItems":[{"id":"ITEM-1","itemData":{"DOI":"10.1007/s13300-019-0574-x","ISSN":"18696961","PMID":"30815830","abstract":"To date, insulin therapy remains the cornerstone of diabetes management; but the art of injecting insulin is still poorly understood in many health facilities. To address this gap, the Forum for Injection Technique and Therapy Expert Recommendations (FITTER) published recommendations on injection technique after a workshop held in Rome, Italy in 2015. These recommendations are generally applicable to the majority of patients on insulin therapy, athough they do not explore alternative details that may be suitable for low- and middle-income countries. The East Africa Diabetes Study Group sought to address this gap, and furthermore to seek consensus on some of the contextual issues pertaining to insulin therapy within the East African region, specifically focusing on scarcity of resources and its adverse effect on the quality of care. A meeting of health care professionals, experts in diabetes management and patients using insulin, was convened in Kigali, Rwanda on 11 March 2018, and the following recommendations were made: (1) insulin should be transported safely, without undue shaking and exposure to high (&gt; 32 °C) temperature environments. (2) Insulin should not be transported below 0 °C. (3) If insulin is to be stored at home for over 2 months, it should be stored at the recommended temperature of 2–8 °C. (4) Appropriate instructions should be given to patients while dispensing insulin. (5) Insulin in use should be kept at room temperature and should never be kept immersed under water. Immersing insulin under water after the vial has been pierced carries a high risk of contamination, leading to loss of potency and likelihood of causing injection abscesses. (6) The shortest available needles (4 mm for pen and 6 mm for insulin syringe) should be preferred for all patients. (7) In routine care, intramuscular injections should be avoided, especially with long-acting insulins, as it may result in severe hypoglycaemia. (8) The practice of slanting the needle excessively should be avoided as it results in sub-epidermal injection of insulin which leads to poor absorption and may cause “tattooing” of the skin and scarring. (9) In patients presenting in a wasted state, with “paper-like skin”, injections should, if possible, be initiated with pen injection devices, so as to utilise the 4-mm needle without lifting a skin fold (pinching the skin); otherwise lifting of a skin fold is required, if longer needles are utilised. (10) Reuse of needles and syringes is not…","author":[{"dropping-particle":"","family":"Bahendeka","given":"Silver","non-dropping-particle":"","parse-names":false,"suffix":""},{"dropping-particle":"","family":"Kaushik","given":"Ramaiya","non-dropping-particle":"","parse-names":false,"suffix":""},{"dropping-particle":"","family":"Swai","given":"Andrew Babu","non-dropping-particle":"","parse-names":false,"suffix":""},{"dropping-particle":"","family":"Otieno","given":"Fredrick","non-dropping-particle":"","parse-names":false,"suffix":""},{"dropping-particle":"","family":"Bajaj","given":"Sarita","non-dropping-particle":"","parse-names":false,"suffix":""},{"dropping-particle":"","family":"Kalra","given":"Sanjay","non-dropping-particle":"","parse-names":false,"suffix":""},{"dropping-particle":"","family":"Bavuma","given":"Charlotte M.","non-dropping-particle":"","parse-names":false,"suffix":""},{"dropping-particle":"","family":"Karigire","given":"Claudine","non-dropping-particle":"","parse-names":false,"suffix":""}],"container-title":"Diabetes Therapy","id":"ITEM-1","issue":"2","issued":{"date-parts":[["2019"]]},"page":"341-366","publisher":"Springer Healthcare","title":"EADSG Guidelines: Insulin Storage and Optimisation of Injection Technique in Diabetes Management","type":"article-journal","volume":"10"},"uris":["http://www.mendeley.com/documents/?uuid=2b1a260b-f91b-491e-b273-3417697c16ff"]}],"mendeley":{"formattedCitation":"&lt;sup&gt;[24]&lt;/sup&gt;","plainTextFormattedCitation":"[24]","previouslyFormattedCitation":"&lt;sup&gt;[24]&lt;/sup&gt;"},"properties":{"noteIndex":0},"schema":"https://github.com/citation-style-language/schema/raw/master/csl-citation.json"}</w:instrText>
      </w:r>
      <w:r w:rsidR="00B03235" w:rsidRPr="0037330A">
        <w:rPr>
          <w:rFonts w:ascii="Book Antiqua" w:hAnsi="Book Antiqua"/>
          <w:bCs/>
          <w:iCs/>
          <w:color w:val="000000" w:themeColor="text1"/>
          <w:vertAlign w:val="superscript"/>
          <w:lang w:val="en-GB"/>
        </w:rPr>
        <w:fldChar w:fldCharType="separate"/>
      </w:r>
      <w:r w:rsidR="00F065B6" w:rsidRPr="0037330A">
        <w:rPr>
          <w:rFonts w:ascii="Book Antiqua" w:hAnsi="Book Antiqua"/>
          <w:bCs/>
          <w:iCs/>
          <w:color w:val="000000" w:themeColor="text1"/>
          <w:vertAlign w:val="superscript"/>
          <w:lang w:val="en-GB"/>
        </w:rPr>
        <w:t>[24]</w:t>
      </w:r>
      <w:r w:rsidR="00B03235" w:rsidRPr="0037330A">
        <w:rPr>
          <w:rFonts w:ascii="Book Antiqua" w:hAnsi="Book Antiqua"/>
          <w:bCs/>
          <w:iCs/>
          <w:color w:val="000000" w:themeColor="text1"/>
          <w:vertAlign w:val="superscript"/>
          <w:lang w:val="en-GB"/>
        </w:rPr>
        <w:fldChar w:fldCharType="end"/>
      </w:r>
      <w:r w:rsidR="000E7A7D" w:rsidRPr="0037330A">
        <w:rPr>
          <w:rFonts w:ascii="Book Antiqua" w:eastAsiaTheme="minorEastAsia" w:hAnsi="Book Antiqua"/>
          <w:bCs/>
          <w:iCs/>
          <w:color w:val="000000" w:themeColor="text1"/>
          <w:lang w:val="en-GB" w:eastAsia="zh-CN"/>
        </w:rPr>
        <w:t>,</w:t>
      </w:r>
      <w:r w:rsidR="00B03235" w:rsidRPr="0037330A">
        <w:rPr>
          <w:rFonts w:ascii="Book Antiqua" w:hAnsi="Book Antiqua"/>
          <w:bCs/>
          <w:iCs/>
          <w:color w:val="000000" w:themeColor="text1"/>
          <w:lang w:val="en-GB"/>
        </w:rPr>
        <w:t xml:space="preserve"> but this was lacking in most countries in the current survey, and w</w:t>
      </w:r>
      <w:r w:rsidR="002B661C" w:rsidRPr="0037330A">
        <w:rPr>
          <w:rFonts w:ascii="Book Antiqua" w:hAnsi="Book Antiqua"/>
          <w:bCs/>
          <w:iCs/>
          <w:color w:val="000000" w:themeColor="text1"/>
          <w:lang w:val="en-GB"/>
        </w:rPr>
        <w:t xml:space="preserve">here was official guidance, many respondents said that </w:t>
      </w:r>
      <w:r w:rsidR="00EE6A65" w:rsidRPr="0037330A">
        <w:rPr>
          <w:rFonts w:ascii="Book Antiqua" w:hAnsi="Book Antiqua"/>
          <w:bCs/>
          <w:iCs/>
          <w:color w:val="000000" w:themeColor="text1"/>
          <w:lang w:val="en-GB"/>
        </w:rPr>
        <w:t>these were designed for use by health professionals in hospital settings, and not for patients.</w:t>
      </w:r>
      <w:r w:rsidR="002B661C" w:rsidRPr="0037330A">
        <w:rPr>
          <w:rFonts w:ascii="Book Antiqua" w:hAnsi="Book Antiqua"/>
          <w:bCs/>
          <w:iCs/>
          <w:color w:val="000000" w:themeColor="text1"/>
          <w:lang w:val="en-GB"/>
        </w:rPr>
        <w:t xml:space="preserve"> </w:t>
      </w:r>
    </w:p>
    <w:p w14:paraId="7D46129A" w14:textId="57B43DBE" w:rsidR="0042539B" w:rsidRPr="0037330A" w:rsidRDefault="00811F4F" w:rsidP="00146B63">
      <w:pPr>
        <w:tabs>
          <w:tab w:val="left" w:pos="0"/>
        </w:tabs>
        <w:snapToGrid w:val="0"/>
        <w:spacing w:line="360" w:lineRule="auto"/>
        <w:ind w:firstLineChars="100" w:firstLine="240"/>
        <w:jc w:val="both"/>
        <w:rPr>
          <w:rFonts w:ascii="Book Antiqua" w:eastAsiaTheme="minorEastAsia" w:hAnsi="Book Antiqua"/>
          <w:bCs/>
          <w:iCs/>
          <w:lang w:val="en-GB" w:eastAsia="zh-CN"/>
        </w:rPr>
      </w:pPr>
      <w:r w:rsidRPr="0037330A">
        <w:rPr>
          <w:rFonts w:ascii="Book Antiqua" w:hAnsi="Book Antiqua"/>
          <w:bCs/>
          <w:iCs/>
          <w:color w:val="000000" w:themeColor="text1"/>
          <w:lang w:val="en-GB"/>
        </w:rPr>
        <w:t>This study has demonstrated a l</w:t>
      </w:r>
      <w:r w:rsidR="00DE75C9" w:rsidRPr="0037330A">
        <w:rPr>
          <w:rFonts w:ascii="Book Antiqua" w:hAnsi="Book Antiqua"/>
          <w:bCs/>
          <w:iCs/>
          <w:color w:val="000000" w:themeColor="text1"/>
          <w:lang w:val="en-GB"/>
        </w:rPr>
        <w:t xml:space="preserve">egion of challenges </w:t>
      </w:r>
      <w:r w:rsidRPr="0037330A">
        <w:rPr>
          <w:rFonts w:ascii="Book Antiqua" w:hAnsi="Book Antiqua"/>
          <w:bCs/>
          <w:iCs/>
          <w:color w:val="000000" w:themeColor="text1"/>
          <w:lang w:val="en-GB"/>
        </w:rPr>
        <w:t>for access to HbA1c testing</w:t>
      </w:r>
      <w:r w:rsidR="001760C4" w:rsidRPr="0037330A">
        <w:rPr>
          <w:rFonts w:ascii="Book Antiqua" w:hAnsi="Book Antiqua"/>
          <w:bCs/>
          <w:iCs/>
          <w:color w:val="000000" w:themeColor="text1"/>
          <w:lang w:val="en-GB"/>
        </w:rPr>
        <w:t xml:space="preserve">, including availability of test equipment and disposables, cost, and numerous logistic and technical issues. </w:t>
      </w:r>
      <w:r w:rsidR="0042539B" w:rsidRPr="0037330A">
        <w:rPr>
          <w:rFonts w:ascii="Book Antiqua" w:hAnsi="Book Antiqua"/>
          <w:bCs/>
          <w:iCs/>
          <w:color w:val="000000" w:themeColor="text1"/>
          <w:lang w:val="en-GB"/>
        </w:rPr>
        <w:t>HbA1c is an essential component of providing an “Intermediate Care” level which substantially reduces morbidity and mortality, and is cost-effective</w:t>
      </w:r>
      <w:r w:rsidR="002529E2" w:rsidRPr="0037330A">
        <w:rPr>
          <w:rFonts w:ascii="Book Antiqua" w:hAnsi="Book Antiqua"/>
          <w:bCs/>
          <w:iCs/>
          <w:color w:val="000000" w:themeColor="text1"/>
          <w:lang w:val="en-GB"/>
        </w:rPr>
        <w:fldChar w:fldCharType="begin" w:fldLock="1"/>
      </w:r>
      <w:r w:rsidR="00867459" w:rsidRPr="0037330A">
        <w:rPr>
          <w:rFonts w:ascii="Book Antiqua" w:hAnsi="Book Antiqua"/>
          <w:bCs/>
          <w:iCs/>
          <w:color w:val="000000" w:themeColor="text1"/>
          <w:lang w:val="en-GB"/>
        </w:rPr>
        <w:instrText>ADDIN CSL_CITATION {"citationItems":[{"id":"ITEM-1","itemData":{"DOI":"10.1111/pedi.12801","PMID":"30471084","author":[{"dropping-particle":"","family":"Ogle","given":"Graham David","non-dropping-particle":"","parse-names":false,"suffix":""},{"dropping-particle":"","family":"Oettingen","given":"Julia","non-dropping-particle":"von","parse-names":false,"suffix":""},{"dropping-particle":"","family":"Middlehurst","given":"Angela Christine","non-dropping-particle":"","parse-names":false,"suffix":""},{"dropping-particle":"","family":"Hanas","given":"Ragnar","non-dropping-particle":"","parse-names":false,"suffix":""},{"dropping-particle":"","family":"Orchard","given":"Trevor J.","non-dropping-particle":"","parse-names":false,"suffix":""}],"container-title":"Pediatric Diabetes","id":"ITEM-1","issue":"1","issued":{"date-parts":[["2019"]]},"page":"93-98","title":"Levels of type 1 diabetes care in children and adolescents for countries at varying resource levels","type":"article-journal","volume":"20"},"uris":["http://www.mendeley.com/documents/?uuid=263cbf4e-8bc5-4d10-a09d-df728b4d2d21"]},{"id":"ITEM-2","itemData":{"DOI":"10.1111/pedi.12988","PMID":"31970828","author":[{"dropping-particle":"","family":"Gregory","given":"Gabriel Andrew","non-dropping-particle":"","parse-names":false,"suffix":""},{"dropping-particle":"","family":"Guo","given":"Jingchuan","non-dropping-particle":"","parse-names":false,"suffix":""},{"dropping-particle":"","family":"Klatman","given":"Emma Louise","non-dropping-particle":"","parse-names":false,"suffix":""},{"dropping-particle":"","family":"Ahmadov","given":"Gunduz Ahmad","non-dropping-particle":"","parse-names":false,"suffix":""},{"dropping-particle":"","family":"Besançon","given":"Stéphane","non-dropping-particle":"","parse-names":false,"suffix":""},{"dropping-particle":"","family":"Duarte Gómez","given":"Elizabeth","non-dropping-particle":"","parse-names":false,"suffix":""},{"dropping-particle":"","family":"Fawwad","given":"Asher","non-dropping-particle":"","parse-names":false,"suffix":""},{"dropping-particle":"","family":"Ramaiya","given":"Kaushik","non-dropping-particle":"","parse-names":false,"suffix":""},{"dropping-particle":"","family":"Wijesuriya","given":"Mahendra Arunashanthi","non-dropping-particle":"","parse-names":false,"suffix":""},{"dropping-particle":"","family":"Orchard","given":"Trevor J","non-dropping-particle":"","parse-names":false,"suffix":""},{"dropping-particle":"","family":"Ogle","given":"Graham David","non-dropping-particle":"","parse-names":false,"suffix":""}],"container-title":"Pediatric Diabetes","id":"ITEM-2","issue":"[Online ahead of print]","issued":{"date-parts":[["2020"]]},"title":"Costs and outcomes of ‘intermediate’ versus ‘minimal’ care for youth</w:instrText>
      </w:r>
      <w:r w:rsidR="00867459" w:rsidRPr="0037330A">
        <w:rPr>
          <w:rFonts w:ascii="宋体" w:eastAsia="宋体" w:hAnsi="宋体" w:cs="宋体" w:hint="eastAsia"/>
          <w:bCs/>
          <w:iCs/>
          <w:color w:val="000000" w:themeColor="text1"/>
          <w:lang w:val="en-GB"/>
        </w:rPr>
        <w:instrText>‐</w:instrText>
      </w:r>
      <w:r w:rsidR="00867459" w:rsidRPr="0037330A">
        <w:rPr>
          <w:rFonts w:ascii="Book Antiqua" w:hAnsi="Book Antiqua"/>
          <w:bCs/>
          <w:iCs/>
          <w:color w:val="000000" w:themeColor="text1"/>
          <w:lang w:val="en-GB"/>
        </w:rPr>
        <w:instrText>onset type 1 diabetes in six countries","type":"article-journal","volume":"Jan"},"uris":["http://www.mendeley.com/documents/?uuid=75b06e40-e3e2-433f-b41a-01cceecebc63"]}],"mendeley":{"formattedCitation":"&lt;sup&gt;[15,25]&lt;/sup&gt;","plainTextFormattedCitation":"[15,25]","previouslyFormattedCitation":"&lt;sup&gt;[15,25]&lt;/sup&gt;"},"properties":{"noteIndex":0},"schema":"https://github.com/citation-style-language/schema/raw/master/csl-citation.json"}</w:instrText>
      </w:r>
      <w:r w:rsidR="002529E2" w:rsidRPr="0037330A">
        <w:rPr>
          <w:rFonts w:ascii="Book Antiqua" w:hAnsi="Book Antiqua"/>
          <w:bCs/>
          <w:iCs/>
          <w:color w:val="000000" w:themeColor="text1"/>
          <w:lang w:val="en-GB"/>
        </w:rPr>
        <w:fldChar w:fldCharType="separate"/>
      </w:r>
      <w:r w:rsidR="00283313" w:rsidRPr="0037330A">
        <w:rPr>
          <w:rFonts w:ascii="Book Antiqua" w:hAnsi="Book Antiqua"/>
          <w:bCs/>
          <w:iCs/>
          <w:color w:val="000000" w:themeColor="text1"/>
          <w:vertAlign w:val="superscript"/>
          <w:lang w:val="en-GB"/>
        </w:rPr>
        <w:t>[15,25]</w:t>
      </w:r>
      <w:r w:rsidR="002529E2" w:rsidRPr="0037330A">
        <w:rPr>
          <w:rFonts w:ascii="Book Antiqua" w:hAnsi="Book Antiqua"/>
          <w:bCs/>
          <w:iCs/>
          <w:color w:val="000000" w:themeColor="text1"/>
          <w:lang w:val="en-GB"/>
        </w:rPr>
        <w:fldChar w:fldCharType="end"/>
      </w:r>
      <w:r w:rsidR="0068573D" w:rsidRPr="0037330A">
        <w:rPr>
          <w:rFonts w:ascii="Book Antiqua" w:hAnsi="Book Antiqua"/>
          <w:bCs/>
          <w:iCs/>
          <w:color w:val="000000" w:themeColor="text1"/>
          <w:lang w:val="en-GB"/>
        </w:rPr>
        <w:t>.</w:t>
      </w:r>
      <w:r w:rsidR="0042539B" w:rsidRPr="0037330A">
        <w:rPr>
          <w:rFonts w:ascii="Book Antiqua" w:hAnsi="Book Antiqua"/>
          <w:bCs/>
          <w:iCs/>
          <w:color w:val="000000" w:themeColor="text1"/>
          <w:lang w:val="en-GB"/>
        </w:rPr>
        <w:t xml:space="preserve"> </w:t>
      </w:r>
      <w:r w:rsidR="001760C4" w:rsidRPr="0037330A">
        <w:rPr>
          <w:rFonts w:ascii="Book Antiqua" w:hAnsi="Book Antiqua"/>
          <w:bCs/>
          <w:iCs/>
          <w:color w:val="000000" w:themeColor="text1"/>
          <w:lang w:val="en-GB"/>
        </w:rPr>
        <w:t xml:space="preserve">Without such testing, </w:t>
      </w:r>
      <w:r w:rsidR="001760C4" w:rsidRPr="0037330A">
        <w:rPr>
          <w:rFonts w:ascii="Book Antiqua" w:hAnsi="Book Antiqua"/>
          <w:bCs/>
          <w:iCs/>
          <w:color w:val="000000" w:themeColor="text1"/>
          <w:lang w:val="en-GB"/>
        </w:rPr>
        <w:lastRenderedPageBreak/>
        <w:t>health professionals and patients are blind to information about medium-term blood glucose control</w:t>
      </w:r>
      <w:r w:rsidR="0042539B" w:rsidRPr="0037330A">
        <w:rPr>
          <w:rFonts w:ascii="Book Antiqua" w:hAnsi="Book Antiqua"/>
          <w:bCs/>
          <w:iCs/>
          <w:color w:val="000000" w:themeColor="text1"/>
          <w:lang w:val="en-GB"/>
        </w:rPr>
        <w:t xml:space="preserve">, and </w:t>
      </w:r>
      <w:r w:rsidR="001760C4" w:rsidRPr="0037330A">
        <w:rPr>
          <w:rFonts w:ascii="Book Antiqua" w:hAnsi="Book Antiqua"/>
          <w:bCs/>
          <w:iCs/>
          <w:color w:val="000000" w:themeColor="text1"/>
          <w:lang w:val="en-GB"/>
        </w:rPr>
        <w:t xml:space="preserve">whether the patient is meeting the </w:t>
      </w:r>
      <w:r w:rsidR="001760C4" w:rsidRPr="0037330A">
        <w:rPr>
          <w:rFonts w:ascii="Book Antiqua" w:hAnsi="Book Antiqua"/>
          <w:bCs/>
          <w:iCs/>
          <w:lang w:val="en-GB"/>
        </w:rPr>
        <w:t>recommended target or is exceeding this by a variable margin. Understanding of the heath professional and patient is impaired, and diabetes education is severely hampered. Audit of clinical outcomes, and benchmarking ef</w:t>
      </w:r>
      <w:r w:rsidR="000E7A7D" w:rsidRPr="0037330A">
        <w:rPr>
          <w:rFonts w:ascii="Book Antiqua" w:hAnsi="Book Antiqua"/>
          <w:bCs/>
          <w:iCs/>
          <w:lang w:val="en-GB"/>
        </w:rPr>
        <w:t>forts are virtually impossible.</w:t>
      </w:r>
    </w:p>
    <w:p w14:paraId="73A71591" w14:textId="05655B81" w:rsidR="001760C4" w:rsidRPr="0037330A" w:rsidRDefault="001760C4" w:rsidP="00146B63">
      <w:pPr>
        <w:tabs>
          <w:tab w:val="left" w:pos="0"/>
        </w:tabs>
        <w:snapToGrid w:val="0"/>
        <w:spacing w:line="360" w:lineRule="auto"/>
        <w:ind w:firstLineChars="100" w:firstLine="240"/>
        <w:jc w:val="both"/>
        <w:rPr>
          <w:rFonts w:ascii="Book Antiqua" w:hAnsi="Book Antiqua"/>
          <w:color w:val="000000" w:themeColor="text1"/>
          <w:lang w:val="en-GB"/>
        </w:rPr>
      </w:pPr>
      <w:r w:rsidRPr="0037330A">
        <w:rPr>
          <w:rFonts w:ascii="Book Antiqua" w:hAnsi="Book Antiqua"/>
          <w:bCs/>
          <w:iCs/>
          <w:lang w:val="en-GB"/>
        </w:rPr>
        <w:t xml:space="preserve">Care is further compromised in </w:t>
      </w:r>
      <w:r w:rsidR="005B64BF" w:rsidRPr="0037330A">
        <w:rPr>
          <w:rFonts w:ascii="Book Antiqua" w:hAnsi="Book Antiqua"/>
          <w:bCs/>
          <w:iCs/>
          <w:lang w:val="en-GB"/>
        </w:rPr>
        <w:t>LMICs</w:t>
      </w:r>
      <w:r w:rsidRPr="0037330A">
        <w:rPr>
          <w:rFonts w:ascii="Book Antiqua" w:hAnsi="Book Antiqua"/>
          <w:bCs/>
          <w:iCs/>
          <w:lang w:val="en-GB"/>
        </w:rPr>
        <w:t xml:space="preserve"> by the frequent lack of access to supplies for self-monitoring of blood glucose, which limits blood glucose monitoring to clinic visits</w:t>
      </w:r>
      <w:r w:rsidR="00A36335" w:rsidRPr="0037330A">
        <w:rPr>
          <w:rFonts w:ascii="Book Antiqua" w:hAnsi="Book Antiqua"/>
          <w:bCs/>
          <w:iCs/>
          <w:lang w:val="en-GB"/>
        </w:rPr>
        <w:fldChar w:fldCharType="begin" w:fldLock="1"/>
      </w:r>
      <w:r w:rsidR="00867459" w:rsidRPr="0037330A">
        <w:rPr>
          <w:rFonts w:ascii="Book Antiqua" w:hAnsi="Book Antiqua"/>
          <w:bCs/>
          <w:iCs/>
          <w:lang w:val="en-GB"/>
        </w:rPr>
        <w:instrText>ADDIN CSL_CITATION {"citationItems":[{"id":"ITEM-1","itemData":{"DOI":"10.1155/2018/6093595","ISSN":"23146753","PMID":"29682580","abstract":"&lt;p&gt;Sub-Saharan Africa (SSA) continues to have the highest diabetes-related mortality rate in the world. While there exists a multitude of health system barriers driving poor diabetes control, rural facilities particularly in SSA lack access to proper monitoring of glucose and other key biologic tests. At best, most of these diabetes patients receive random blood sugar readings only on the day of their clinic visit. This approach has very limited clinical value in determining dosage adjustments for narrow therapeutic index medications such as insulin. Furthermore, access to other blood tests and physical exam tools for detecting early signs of diabetes complications is limited. We propose that routine access to hemoglobin A1c (HbA1c) testing would not only allow for close monitoring of diabetes control but also provide critical data informing the population level risk for diabetes complications. However, implementing HbA1c testing does have its own barriers at rural facilities, including high costs, refrigeration requirements, and perceived discordance between HbA1c values and mean blood glucose levels for SSA patients. Fortunately, several pilots in rural SSA have illustrated feasibility of HbA1c testing. Further political will, price reduction, and context-specific research are needed. Increasing access to HbA1c testing is a critical step to combat the high diabetes-related mortality rates in rural SSA.&lt;/p&gt;","author":[{"dropping-particle":"","family":"Park","given":"Paul H.","non-dropping-particle":"","parse-names":false,"suffix":""},{"dropping-particle":"","family":"Pastakia","given":"Sonak D.","non-dropping-particle":"","parse-names":false,"suffix":""}],"container-title":"Journal of Diabetes Research","id":"ITEM-1","issued":{"date-parts":[["2018"]]},"title":"Access to Hemoglobin A1c in Rural Africa: A Difficult Reality with Severe Consequences","type":"article-journal","volume":"2018"},"uris":["http://www.mendeley.com/documents/?uuid=04ccd527-6faf-49e0-814f-63905988184e"]},{"id":"ITEM-2","itemData":{"DOI":"10.1111/pedi.12296","ISSN":"13995448","PMID":"26153340","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Diabetes","id":"ITEM-2","issue":"5","issued":{"date-parts":[["2016"]]},"page":"374-384","title":"The IDF Life for a Child Program Index of diabetes care for children and youth","type":"article-journal","volume":"17"},"uris":["http://www.mendeley.com/documents/?uuid=11dca243-17b8-4d5b-90b7-3810301d5b23"]},{"id":"ITEM-3","itemData":{"DOI":"10.1016/j.diabres.2019.107859","ISSN":"01688227","PMID":"31545980","author":[{"dropping-particle":"","family":"Klatman","given":"Emma Louise","non-dropping-particle":"","parse-names":false,"suffix":""},{"dropping-particle":"","family":"McKee","given":"Martin","non-dropping-particle":"","parse-names":false,"suffix":""},{"dropping-particle":"","family":"Ogle","given":"Graham David","non-dropping-particle":"","parse-names":false,"suffix":""}],"container-title":"Diabetes Research and Clinical Practice","id":"ITEM-3","issue":"107859","issued":{"date-parts":[["2019","9"]]},"title":"Documenting and visualising progress towards Universal Health Coverage of insulin and blood glucose test strips for people with diabetes","type":"article-journal","volume":"157"},"uris":["http://www.mendeley.com/documents/?uuid=70e432a2-4252-3ece-b9f6-66d9720a7cc8"]}],"mendeley":{"formattedCitation":"&lt;sup&gt;[11,26,27]&lt;/sup&gt;","plainTextFormattedCitation":"[11,26,27]","previouslyFormattedCitation":"&lt;sup&gt;[11,26,27]&lt;/sup&gt;"},"properties":{"noteIndex":0},"schema":"https://github.com/citation-style-language/schema/raw/master/csl-citation.json"}</w:instrText>
      </w:r>
      <w:r w:rsidR="00A36335" w:rsidRPr="0037330A">
        <w:rPr>
          <w:rFonts w:ascii="Book Antiqua" w:hAnsi="Book Antiqua"/>
          <w:bCs/>
          <w:iCs/>
          <w:lang w:val="en-GB"/>
        </w:rPr>
        <w:fldChar w:fldCharType="separate"/>
      </w:r>
      <w:r w:rsidR="00283313" w:rsidRPr="0037330A">
        <w:rPr>
          <w:rFonts w:ascii="Book Antiqua" w:hAnsi="Book Antiqua"/>
          <w:bCs/>
          <w:iCs/>
          <w:vertAlign w:val="superscript"/>
          <w:lang w:val="en-GB"/>
        </w:rPr>
        <w:t>[</w:t>
      </w:r>
      <w:r w:rsidR="001E44BF" w:rsidRPr="0037330A">
        <w:rPr>
          <w:rFonts w:ascii="Book Antiqua" w:eastAsiaTheme="minorEastAsia" w:hAnsi="Book Antiqua"/>
          <w:bCs/>
          <w:iCs/>
          <w:vertAlign w:val="superscript"/>
          <w:lang w:val="en-GB" w:eastAsia="zh-CN"/>
        </w:rPr>
        <w:t>6,</w:t>
      </w:r>
      <w:r w:rsidR="001E44BF" w:rsidRPr="0037330A">
        <w:rPr>
          <w:rFonts w:ascii="Book Antiqua" w:hAnsi="Book Antiqua"/>
          <w:bCs/>
          <w:iCs/>
          <w:vertAlign w:val="superscript"/>
          <w:lang w:val="en-GB"/>
        </w:rPr>
        <w:t>11,26</w:t>
      </w:r>
      <w:r w:rsidR="00283313" w:rsidRPr="0037330A">
        <w:rPr>
          <w:rFonts w:ascii="Book Antiqua" w:hAnsi="Book Antiqua"/>
          <w:bCs/>
          <w:iCs/>
          <w:vertAlign w:val="superscript"/>
          <w:lang w:val="en-GB"/>
        </w:rPr>
        <w:t>]</w:t>
      </w:r>
      <w:r w:rsidR="00A36335" w:rsidRPr="0037330A">
        <w:rPr>
          <w:rFonts w:ascii="Book Antiqua" w:hAnsi="Book Antiqua"/>
          <w:bCs/>
          <w:iCs/>
          <w:lang w:val="en-GB"/>
        </w:rPr>
        <w:fldChar w:fldCharType="end"/>
      </w:r>
      <w:r w:rsidR="0068573D" w:rsidRPr="0037330A">
        <w:rPr>
          <w:rFonts w:ascii="Book Antiqua" w:hAnsi="Book Antiqua"/>
          <w:bCs/>
          <w:iCs/>
          <w:lang w:val="en-GB"/>
        </w:rPr>
        <w:t>.</w:t>
      </w:r>
      <w:r w:rsidR="000E7A7D" w:rsidRPr="0037330A">
        <w:rPr>
          <w:rFonts w:ascii="Book Antiqua" w:eastAsiaTheme="minorEastAsia" w:hAnsi="Book Antiqua"/>
          <w:bCs/>
          <w:iCs/>
          <w:lang w:val="en-GB" w:eastAsia="zh-CN"/>
        </w:rPr>
        <w:t xml:space="preserve"> </w:t>
      </w:r>
      <w:r w:rsidRPr="0037330A">
        <w:rPr>
          <w:rFonts w:ascii="Book Antiqua" w:hAnsi="Book Antiqua"/>
          <w:lang w:val="en-GB"/>
        </w:rPr>
        <w:t xml:space="preserve">A study in Guinea concluded that inadequate access to HbA1c was the main precursor for poor </w:t>
      </w:r>
      <w:r w:rsidR="002212C8" w:rsidRPr="0037330A">
        <w:rPr>
          <w:rFonts w:ascii="Book Antiqua" w:hAnsi="Book Antiqua"/>
          <w:lang w:val="en-GB"/>
        </w:rPr>
        <w:t>glycaemic</w:t>
      </w:r>
      <w:r w:rsidRPr="0037330A">
        <w:rPr>
          <w:rFonts w:ascii="Book Antiqua" w:hAnsi="Book Antiqua"/>
          <w:lang w:val="en-GB"/>
        </w:rPr>
        <w:t xml:space="preserve"> control</w:t>
      </w:r>
      <w:r w:rsidRPr="0037330A">
        <w:rPr>
          <w:rFonts w:ascii="Book Antiqua" w:hAnsi="Book Antiqua"/>
          <w:lang w:val="en-GB"/>
        </w:rPr>
        <w:fldChar w:fldCharType="begin" w:fldLock="1"/>
      </w:r>
      <w:r w:rsidR="00867459" w:rsidRPr="0037330A">
        <w:rPr>
          <w:rFonts w:ascii="Book Antiqua" w:hAnsi="Book Antiqua"/>
          <w:lang w:val="en-GB"/>
        </w:rPr>
        <w:instrText>ADDIN CSL_CITATION {"citationItems":[{"id":"ITEM-1","itemData":{"DOI":"10.1016/j.diabres.2014.08.025","ISSN":"01688227","PMID":"25697633","author":[{"dropping-particle":"","family":"Camara","given":"Alioune","non-dropping-particle":"","parse-names":false,"suffix":""},{"dropping-particle":"","family":"Balde","given":"Naby M.","non-dropping-particle":"","parse-names":false,"suffix":""},{"dropping-particle":"","family":"Sobngwi-Tambekou","given":"Joelle","non-dropping-particle":"","parse-names":false,"suffix":""},{"dropping-particle":"","family":"Kengne","given":"André Pascal","non-dropping-particle":"","parse-names":false,"suffix":""},{"dropping-particle":"","family":"Diallo","given":"Mansour M.","non-dropping-particle":"","parse-names":false,"suffix":""},{"dropping-particle":"","family":"Tchatchoua","given":"Alain P.K.","non-dropping-particle":"","parse-names":false,"suffix":""},{"dropping-particle":"","family":"Kake","given":"Amadou","non-dropping-particle":"","parse-names":false,"suffix":""},{"dropping-particle":"","family":"Ngamani","given":"Sylvie","non-dropping-particle":"","parse-names":false,"suffix":""},{"dropping-particle":"","family":"Balkau","given":"Beverley","non-dropping-particle":"","parse-names":false,"suffix":""},{"dropping-particle":"","family":"Bonnet","given":"Fabrice","non-dropping-particle":"","parse-names":false,"suffix":""},{"dropping-particle":"","family":"Sobngwi","given":"Eugène","non-dropping-particle":"","parse-names":false,"suffix":""}],"container-title":"Diabetes Research and Clinical Practice","id":"ITEM-1","issue":"2015","issued":{"date-parts":[["2015"]]},"page":"187-192","title":"Poor glycemic control in type 2 diabetes in the South of the Sahara: The issue of limited access to an HbA1c test","type":"article-journal","volume":"108"},"uris":["http://www.mendeley.com/documents/?uuid=825f8bb0-a3f9-4b37-805d-12b4a0e2b5c7"]}],"mendeley":{"formattedCitation":"&lt;sup&gt;[28]&lt;/sup&gt;","plainTextFormattedCitation":"[28]","previouslyFormattedCitation":"&lt;sup&gt;[28]&lt;/sup&gt;"},"properties":{"noteIndex":0},"schema":"https://github.com/citation-style-language/schema/raw/master/csl-citation.json"}</w:instrText>
      </w:r>
      <w:r w:rsidRPr="0037330A">
        <w:rPr>
          <w:rFonts w:ascii="Book Antiqua" w:hAnsi="Book Antiqua"/>
          <w:lang w:val="en-GB"/>
        </w:rPr>
        <w:fldChar w:fldCharType="separate"/>
      </w:r>
      <w:r w:rsidR="00283313" w:rsidRPr="0037330A">
        <w:rPr>
          <w:rFonts w:ascii="Book Antiqua" w:hAnsi="Book Antiqua"/>
          <w:vertAlign w:val="superscript"/>
          <w:lang w:val="en-GB"/>
        </w:rPr>
        <w:t>[2</w:t>
      </w:r>
      <w:r w:rsidR="001E44BF" w:rsidRPr="0037330A">
        <w:rPr>
          <w:rFonts w:ascii="Book Antiqua" w:eastAsiaTheme="minorEastAsia" w:hAnsi="Book Antiqua"/>
          <w:vertAlign w:val="superscript"/>
          <w:lang w:val="en-GB" w:eastAsia="zh-CN"/>
        </w:rPr>
        <w:t>7</w:t>
      </w:r>
      <w:r w:rsidR="00283313" w:rsidRPr="0037330A">
        <w:rPr>
          <w:rFonts w:ascii="Book Antiqua" w:hAnsi="Book Antiqua"/>
          <w:vertAlign w:val="superscript"/>
          <w:lang w:val="en-GB"/>
        </w:rPr>
        <w:t>]</w:t>
      </w:r>
      <w:r w:rsidRPr="0037330A">
        <w:rPr>
          <w:rFonts w:ascii="Book Antiqua" w:hAnsi="Book Antiqua"/>
          <w:lang w:val="en-GB"/>
        </w:rPr>
        <w:fldChar w:fldCharType="end"/>
      </w:r>
      <w:r w:rsidR="0068573D" w:rsidRPr="0037330A">
        <w:rPr>
          <w:rFonts w:ascii="Book Antiqua" w:hAnsi="Book Antiqua"/>
          <w:lang w:val="en-GB"/>
        </w:rPr>
        <w:t>.</w:t>
      </w:r>
      <w:r w:rsidRPr="0037330A">
        <w:rPr>
          <w:rFonts w:ascii="Book Antiqua" w:hAnsi="Book Antiqua"/>
          <w:lang w:val="en-GB"/>
        </w:rPr>
        <w:t xml:space="preserve"> </w:t>
      </w:r>
    </w:p>
    <w:p w14:paraId="68AD6E19" w14:textId="7D795363" w:rsidR="00F10FF9" w:rsidRPr="0037330A" w:rsidRDefault="001760C4" w:rsidP="00146B63">
      <w:pPr>
        <w:tabs>
          <w:tab w:val="left" w:pos="0"/>
        </w:tabs>
        <w:snapToGrid w:val="0"/>
        <w:spacing w:line="360" w:lineRule="auto"/>
        <w:ind w:firstLineChars="100" w:firstLine="240"/>
        <w:jc w:val="both"/>
        <w:rPr>
          <w:rFonts w:ascii="Book Antiqua" w:hAnsi="Book Antiqua"/>
          <w:bCs/>
          <w:iCs/>
          <w:lang w:val="en-GB"/>
        </w:rPr>
      </w:pPr>
      <w:r w:rsidRPr="0037330A">
        <w:rPr>
          <w:rFonts w:ascii="Book Antiqua" w:hAnsi="Book Antiqua"/>
          <w:bCs/>
          <w:iCs/>
          <w:color w:val="000000" w:themeColor="text1"/>
          <w:lang w:val="en-GB"/>
        </w:rPr>
        <w:t xml:space="preserve">HbA1c testing was </w:t>
      </w:r>
      <w:r w:rsidRPr="0037330A">
        <w:rPr>
          <w:rFonts w:ascii="Book Antiqua" w:hAnsi="Book Antiqua"/>
          <w:bCs/>
          <w:iCs/>
          <w:lang w:val="en-GB"/>
        </w:rPr>
        <w:t xml:space="preserve">available in 31 of the 37 centres surveyed, and in 22 of these it was POCT. Eleven centres (all providing POCT) were reliant on donations from LFAC, with the other centres purchasing supplies. HbA1c testing was completely unavailable in Liberia and North Korea. Availability of testing was patchy in most countries at all levels of the </w:t>
      </w:r>
      <w:r w:rsidR="0042539B" w:rsidRPr="0037330A">
        <w:rPr>
          <w:rFonts w:ascii="Book Antiqua" w:hAnsi="Book Antiqua"/>
          <w:bCs/>
          <w:iCs/>
          <w:lang w:val="en-GB"/>
        </w:rPr>
        <w:t>health system, and particularly outside major hospitals, as has been noted by others</w:t>
      </w:r>
      <w:r w:rsidR="00A36335" w:rsidRPr="0037330A">
        <w:rPr>
          <w:rFonts w:ascii="Book Antiqua" w:hAnsi="Book Antiqua"/>
          <w:bCs/>
          <w:iCs/>
          <w:lang w:val="en-GB"/>
        </w:rPr>
        <w:fldChar w:fldCharType="begin" w:fldLock="1"/>
      </w:r>
      <w:r w:rsidR="005D2E95" w:rsidRPr="0037330A">
        <w:rPr>
          <w:rFonts w:ascii="Book Antiqua" w:hAnsi="Book Antiqua"/>
          <w:bCs/>
          <w:iCs/>
          <w:lang w:val="en-GB"/>
        </w:rPr>
        <w:instrText>ADDIN CSL_CITATION {"citationItems":[{"id":"ITEM-1","itemData":{"DOI":"10.1155/2018/6093595","ISSN":"23146753","PMID":"29682580","abstract":"&lt;p&gt;Sub-Saharan Africa (SSA) continues to have the highest diabetes-related mortality rate in the world. While there exists a multitude of health system barriers driving poor diabetes control, rural facilities particularly in SSA lack access to proper monitoring of glucose and other key biologic tests. At best, most of these diabetes patients receive random blood sugar readings only on the day of their clinic visit. This approach has very limited clinical value in determining dosage adjustments for narrow therapeutic index medications such as insulin. Furthermore, access to other blood tests and physical exam tools for detecting early signs of diabetes complications is limited. We propose that routine access to hemoglobin A1c (HbA1c) testing would not only allow for close monitoring of diabetes control but also provide critical data informing the population level risk for diabetes complications. However, implementing HbA1c testing does have its own barriers at rural facilities, including high costs, refrigeration requirements, and perceived discordance between HbA1c values and mean blood glucose levels for SSA patients. Fortunately, several pilots in rural SSA have illustrated feasibility of HbA1c testing. Further political will, price reduction, and context-specific research are needed. Increasing access to HbA1c testing is a critical step to combat the high diabetes-related mortality rates in rural SSA.&lt;/p&gt;","author":[{"dropping-particle":"","family":"Park","given":"Paul H.","non-dropping-particle":"","parse-names":false,"suffix":""},{"dropping-particle":"","family":"Pastakia","given":"Sonak D.","non-dropping-particle":"","parse-names":false,"suffix":""}],"container-title":"Journal of Diabetes Research","id":"ITEM-1","issued":{"date-parts":[["2018"]]},"title":"Access to Hemoglobin A1c in Rural Africa: A Difficult Reality with Severe Consequences","type":"article-journal","volume":"2018"},"uris":["http://www.mendeley.com/documents/?uuid=04ccd527-6faf-49e0-814f-63905988184e"]}],"mendeley":{"formattedCitation":"&lt;sup&gt;[26]&lt;/sup&gt;","plainTextFormattedCitation":"[26]","previouslyFormattedCitation":"&lt;sup&gt;[26]&lt;/sup&gt;"},"properties":{"noteIndex":0},"schema":"https://github.com/citation-style-language/schema/raw/master/csl-citation.json"}</w:instrText>
      </w:r>
      <w:r w:rsidR="00A36335" w:rsidRPr="0037330A">
        <w:rPr>
          <w:rFonts w:ascii="Book Antiqua" w:hAnsi="Book Antiqua"/>
          <w:bCs/>
          <w:iCs/>
          <w:lang w:val="en-GB"/>
        </w:rPr>
        <w:fldChar w:fldCharType="separate"/>
      </w:r>
      <w:r w:rsidR="00283313" w:rsidRPr="0037330A">
        <w:rPr>
          <w:rFonts w:ascii="Book Antiqua" w:hAnsi="Book Antiqua"/>
          <w:bCs/>
          <w:iCs/>
          <w:vertAlign w:val="superscript"/>
          <w:lang w:val="en-GB"/>
        </w:rPr>
        <w:t>[26]</w:t>
      </w:r>
      <w:r w:rsidR="00A36335" w:rsidRPr="0037330A">
        <w:rPr>
          <w:rFonts w:ascii="Book Antiqua" w:hAnsi="Book Antiqua"/>
          <w:bCs/>
          <w:iCs/>
          <w:lang w:val="en-GB"/>
        </w:rPr>
        <w:fldChar w:fldCharType="end"/>
      </w:r>
      <w:r w:rsidR="00937639" w:rsidRPr="0037330A">
        <w:rPr>
          <w:rFonts w:ascii="Book Antiqua" w:hAnsi="Book Antiqua"/>
          <w:bCs/>
          <w:iCs/>
          <w:lang w:val="en-GB"/>
        </w:rPr>
        <w:t>, with this resulting in either impaired management or lengthy and costly travel times for patients in rural areas</w:t>
      </w:r>
      <w:r w:rsidR="00A36335" w:rsidRPr="0037330A">
        <w:rPr>
          <w:rFonts w:ascii="Book Antiqua" w:hAnsi="Book Antiqua"/>
          <w:bCs/>
          <w:iCs/>
          <w:lang w:val="en-GB"/>
        </w:rPr>
        <w:fldChar w:fldCharType="begin" w:fldLock="1"/>
      </w:r>
      <w:r w:rsidR="005D2E95" w:rsidRPr="0037330A">
        <w:rPr>
          <w:rFonts w:ascii="Book Antiqua" w:hAnsi="Book Antiqua"/>
          <w:bCs/>
          <w:iCs/>
          <w:lang w:val="en-GB"/>
        </w:rPr>
        <w:instrText>ADDIN CSL_CITATION {"citationItems":[{"id":"ITEM-1","itemData":{"DOI":"10.1155/2018/6093595","ISSN":"23146753","PMID":"29682580","abstract":"&lt;p&gt;Sub-Saharan Africa (SSA) continues to have the highest diabetes-related mortality rate in the world. While there exists a multitude of health system barriers driving poor diabetes control, rural facilities particularly in SSA lack access to proper monitoring of glucose and other key biologic tests. At best, most of these diabetes patients receive random blood sugar readings only on the day of their clinic visit. This approach has very limited clinical value in determining dosage adjustments for narrow therapeutic index medications such as insulin. Furthermore, access to other blood tests and physical exam tools for detecting early signs of diabetes complications is limited. We propose that routine access to hemoglobin A1c (HbA1c) testing would not only allow for close monitoring of diabetes control but also provide critical data informing the population level risk for diabetes complications. However, implementing HbA1c testing does have its own barriers at rural facilities, including high costs, refrigeration requirements, and perceived discordance between HbA1c values and mean blood glucose levels for SSA patients. Fortunately, several pilots in rural SSA have illustrated feasibility of HbA1c testing. Further political will, price reduction, and context-specific research are needed. Increasing access to HbA1c testing is a critical step to combat the high diabetes-related mortality rates in rural SSA.&lt;/p&gt;","author":[{"dropping-particle":"","family":"Park","given":"Paul H.","non-dropping-particle":"","parse-names":false,"suffix":""},{"dropping-particle":"","family":"Pastakia","given":"Sonak D.","non-dropping-particle":"","parse-names":false,"suffix":""}],"container-title":"Journal of Diabetes Research","id":"ITEM-1","issued":{"date-parts":[["2018"]]},"title":"Access to Hemoglobin A1c in Rural Africa: A Difficult Reality with Severe Consequences","type":"article-journal","volume":"2018"},"uris":["http://www.mendeley.com/documents/?uuid=04ccd527-6faf-49e0-814f-63905988184e"]}],"mendeley":{"formattedCitation":"&lt;sup&gt;[26]&lt;/sup&gt;","plainTextFormattedCitation":"[26]","previouslyFormattedCitation":"&lt;sup&gt;[26]&lt;/sup&gt;"},"properties":{"noteIndex":0},"schema":"https://github.com/citation-style-language/schema/raw/master/csl-citation.json"}</w:instrText>
      </w:r>
      <w:r w:rsidR="00A36335" w:rsidRPr="0037330A">
        <w:rPr>
          <w:rFonts w:ascii="Book Antiqua" w:hAnsi="Book Antiqua"/>
          <w:bCs/>
          <w:iCs/>
          <w:lang w:val="en-GB"/>
        </w:rPr>
        <w:fldChar w:fldCharType="separate"/>
      </w:r>
      <w:r w:rsidR="00283313" w:rsidRPr="0037330A">
        <w:rPr>
          <w:rFonts w:ascii="Book Antiqua" w:hAnsi="Book Antiqua"/>
          <w:bCs/>
          <w:iCs/>
          <w:vertAlign w:val="superscript"/>
          <w:lang w:val="en-GB"/>
        </w:rPr>
        <w:t>[26]</w:t>
      </w:r>
      <w:r w:rsidR="00A36335" w:rsidRPr="0037330A">
        <w:rPr>
          <w:rFonts w:ascii="Book Antiqua" w:hAnsi="Book Antiqua"/>
          <w:bCs/>
          <w:iCs/>
          <w:lang w:val="en-GB"/>
        </w:rPr>
        <w:fldChar w:fldCharType="end"/>
      </w:r>
      <w:r w:rsidR="002F2B84" w:rsidRPr="0037330A">
        <w:rPr>
          <w:rFonts w:ascii="Book Antiqua" w:hAnsi="Book Antiqua"/>
          <w:bCs/>
          <w:iCs/>
          <w:lang w:val="en-GB"/>
        </w:rPr>
        <w:t>.</w:t>
      </w:r>
      <w:r w:rsidR="00937639" w:rsidRPr="0037330A">
        <w:rPr>
          <w:rFonts w:ascii="Book Antiqua" w:hAnsi="Book Antiqua"/>
          <w:bCs/>
          <w:iCs/>
          <w:lang w:val="en-GB"/>
        </w:rPr>
        <w:t xml:space="preserve"> </w:t>
      </w:r>
    </w:p>
    <w:p w14:paraId="345F3243" w14:textId="39E4EFAE" w:rsidR="001760C4" w:rsidRPr="0037330A" w:rsidRDefault="001760C4" w:rsidP="00146B63">
      <w:pPr>
        <w:tabs>
          <w:tab w:val="left" w:pos="0"/>
        </w:tabs>
        <w:snapToGrid w:val="0"/>
        <w:spacing w:line="360" w:lineRule="auto"/>
        <w:ind w:firstLineChars="100" w:firstLine="240"/>
        <w:jc w:val="both"/>
        <w:rPr>
          <w:rFonts w:ascii="Book Antiqua" w:hAnsi="Book Antiqua"/>
          <w:lang w:val="en-GB"/>
        </w:rPr>
      </w:pPr>
      <w:r w:rsidRPr="0037330A">
        <w:rPr>
          <w:rFonts w:ascii="Book Antiqua" w:hAnsi="Book Antiqua"/>
          <w:bCs/>
          <w:iCs/>
          <w:color w:val="000000" w:themeColor="text1"/>
          <w:lang w:val="en-GB"/>
        </w:rPr>
        <w:t>Data from the 2015 Assessing National Capacity for the Prevention and Control of Noncommunicable Disease Global Survey</w:t>
      </w:r>
      <w:r w:rsidRPr="0037330A">
        <w:rPr>
          <w:rFonts w:ascii="Book Antiqua" w:hAnsi="Book Antiqua"/>
          <w:bCs/>
          <w:iCs/>
          <w:color w:val="000000" w:themeColor="text1"/>
          <w:vertAlign w:val="superscript"/>
          <w:lang w:val="en-GB"/>
        </w:rPr>
        <w:fldChar w:fldCharType="begin" w:fldLock="1"/>
      </w:r>
      <w:r w:rsidR="000B7849" w:rsidRPr="0037330A">
        <w:rPr>
          <w:rFonts w:ascii="Book Antiqua" w:hAnsi="Book Antiqua"/>
          <w:bCs/>
          <w:iCs/>
          <w:color w:val="000000" w:themeColor="text1"/>
          <w:vertAlign w:val="superscript"/>
          <w:lang w:val="en-GB"/>
        </w:rPr>
        <w:instrText>ADDIN CSL_CITATION {"citationItems":[{"id":"ITEM-1","itemData":{"URL":"https://apps.who.int/iris/bitstream/handle/10665/246223/9789241565363-eng.pdf?sequence=1","accessed":{"date-parts":[["2020","1","1"]]},"author":[{"dropping-particle":"","family":"World Health Organization (WHO)","given":"","non-dropping-particle":"","parse-names":false,"suffix":""}],"id":"ITEM-1","issued":{"date-parts":[["2016"]]},"title":"Assessing national capacity for the prevention and control of noncommunicable diseases: report of the 2015 global survey","type":"webpage"},"uris":["http://www.mendeley.com/documents/?uuid=cdcaa91b-e6ac-4993-938b-cfffc9132e6f"]}],"mendeley":{"formattedCitation":"&lt;sup&gt;[29]&lt;/sup&gt;","plainTextFormattedCitation":"[29]","previouslyFormattedCitation":"&lt;sup&gt;[29]&lt;/sup&gt;"},"properties":{"noteIndex":0},"schema":"https://github.com/citation-style-language/schema/raw/master/csl-citation.json"}</w:instrText>
      </w:r>
      <w:r w:rsidRPr="0037330A">
        <w:rPr>
          <w:rFonts w:ascii="Book Antiqua" w:hAnsi="Book Antiqua"/>
          <w:bCs/>
          <w:iCs/>
          <w:color w:val="000000" w:themeColor="text1"/>
          <w:vertAlign w:val="superscript"/>
          <w:lang w:val="en-GB"/>
        </w:rPr>
        <w:fldChar w:fldCharType="separate"/>
      </w:r>
      <w:r w:rsidR="00283313" w:rsidRPr="0037330A">
        <w:rPr>
          <w:rFonts w:ascii="Book Antiqua" w:hAnsi="Book Antiqua"/>
          <w:bCs/>
          <w:iCs/>
          <w:color w:val="000000" w:themeColor="text1"/>
          <w:vertAlign w:val="superscript"/>
          <w:lang w:val="en-GB"/>
        </w:rPr>
        <w:t>[2</w:t>
      </w:r>
      <w:r w:rsidR="001E44BF" w:rsidRPr="0037330A">
        <w:rPr>
          <w:rFonts w:ascii="Book Antiqua" w:eastAsiaTheme="minorEastAsia" w:hAnsi="Book Antiqua"/>
          <w:bCs/>
          <w:iCs/>
          <w:color w:val="000000" w:themeColor="text1"/>
          <w:vertAlign w:val="superscript"/>
          <w:lang w:val="en-GB" w:eastAsia="zh-CN"/>
        </w:rPr>
        <w:t>8</w:t>
      </w:r>
      <w:r w:rsidR="00283313" w:rsidRPr="0037330A">
        <w:rPr>
          <w:rFonts w:ascii="Book Antiqua" w:hAnsi="Book Antiqua"/>
          <w:bCs/>
          <w:iCs/>
          <w:color w:val="000000" w:themeColor="text1"/>
          <w:vertAlign w:val="superscript"/>
          <w:lang w:val="en-GB"/>
        </w:rPr>
        <w:t>]</w:t>
      </w:r>
      <w:r w:rsidRPr="0037330A">
        <w:rPr>
          <w:rFonts w:ascii="Book Antiqua" w:hAnsi="Book Antiqua"/>
          <w:bCs/>
          <w:iCs/>
          <w:color w:val="000000" w:themeColor="text1"/>
          <w:vertAlign w:val="superscript"/>
          <w:lang w:val="en-GB"/>
        </w:rPr>
        <w:fldChar w:fldCharType="end"/>
      </w:r>
      <w:r w:rsidRPr="0037330A">
        <w:rPr>
          <w:rFonts w:ascii="Book Antiqua" w:hAnsi="Book Antiqua"/>
          <w:bCs/>
          <w:iCs/>
          <w:color w:val="000000" w:themeColor="text1"/>
          <w:lang w:val="en-GB"/>
        </w:rPr>
        <w:t xml:space="preserve"> found that HbA1c testing was substantially less available than insulin provision and clinic blood glucose measurement in all country income levels except for High-income countries (see collated data extracted from this study in Figure in Appendix D of the Supplementary Materials). Also demonstrating this lack of availability</w:t>
      </w:r>
      <w:r w:rsidRPr="0037330A">
        <w:rPr>
          <w:rFonts w:ascii="Book Antiqua" w:hAnsi="Book Antiqua"/>
          <w:lang w:val="en-GB"/>
        </w:rPr>
        <w:t xml:space="preserve"> are a Ugandan study finding testing only available in 43.2% of hospitals (63.6% in private and 23.7% in public hospitals)</w:t>
      </w:r>
      <w:r w:rsidRPr="0037330A">
        <w:rPr>
          <w:rFonts w:ascii="Book Antiqua" w:hAnsi="Book Antiqua"/>
          <w:lang w:val="en-GB"/>
        </w:rPr>
        <w:fldChar w:fldCharType="begin" w:fldLock="1"/>
      </w:r>
      <w:r w:rsidR="005D2E95" w:rsidRPr="0037330A">
        <w:rPr>
          <w:rFonts w:ascii="Book Antiqua" w:hAnsi="Book Antiqua"/>
          <w:lang w:val="en-GB"/>
        </w:rPr>
        <w:instrText>ADDIN CSL_CITATION {"citationItems":[{"id":"ITEM-1","itemData":{"DOI":"10.1186/s12939-017-0651-6","ISBN":"1475-9276","ISSN":"14759276","PMID":"28836972","abstract":"BACKGROUND Despite the burgeoning burden of diabetes mellitus (DM) and cardiovascular diseases (CVD) in low and middle income countries (LMIC), access to affordable essential medicines and diagnostic tests for DM and CVD still remain a challenge in clinical practice. The Access to Cardiovascular diseases, Chronic Obstructive pulmonary disease, Diabetes mellitus and Asthma Drugs and diagnostics (ACCODAD) study aimed at providing contemporary information about the availability, cost and affordability of medicines and diagnostic tests integral in the management of DM and CVD in Uganda. METHODS The study assessed the availability, cost and affordability of 37 medicines and 19 diagnostic tests in 22 public hospitals, 23 private hospitals and 100 private pharmacies in Uganda. Availability expressed as a percentage, median cost of the available lowest priced generic medicine and the diagnostic tests and affordability in terms of the number of days' wages it would cost the least paid public servant to pay for one month of treatment and the diagnostic tests were calculated. RESULTS The availability of the medicines and diagnostic tests in all the study sites ranged from 20.1% for unfractionated heparin (UFH) to 100% for oral hypoglycaemic agents (OHA) and from 6.8% for microalbuminuria to 100% for urinalysis respectively. The only affordable tests were blood glucose, urinalysis and serum ketone, urea, creatinine and uric acid. Parenteral benzathine penicillin, oral furosemide, glibenclamide, bendrofluazide, atenolol, cardiac aspirin, digoxin, metformin, captopril and nifedipine were the only affordable drugs. CONCLUSION This study demonstrates that the majority of medicines and diagnostic tests essential in the management of DM and CVD are generally unavailable and unaffordable in Uganda. National strategies promoting improved access to affordable medicines and diagnostic tests and primary prevention measures of DM and CVD should be prioritised in Uganda.","author":[{"dropping-particle":"","family":"Kibirige","given":"Davis","non-dropping-particle":"","parse-names":false,"suffix":""},{"dropping-particle":"","family":"Atuhe","given":"David","non-dropping-particle":"","parse-names":false,"suffix":""},{"dropping-particle":"","family":"Kampiire","given":"Leaticia","non-dropping-particle":"","parse-names":false,"suffix":""},{"dropping-particle":"","family":"Kiggundu","given":"Daniel Ssekikubo","non-dropping-particle":"","parse-names":false,"suffix":""},{"dropping-particle":"","family":"Donggo","given":"Pamela","non-dropping-particle":"","parse-names":false,"suffix":""},{"dropping-particle":"","family":"Nabbaale","given":"Juliet","non-dropping-particle":"","parse-names":false,"suffix":""},{"dropping-particle":"","family":"Mwebaze","given":"Raymond Mbayo","non-dropping-particle":"","parse-names":false,"suffix":""},{"dropping-particle":"","family":"Kalyesubula","given":"Robert","non-dropping-particle":"","parse-names":false,"suffix":""},{"dropping-particle":"","family":"Lumu","given":"William","non-dropping-particle":"","parse-names":false,"suffix":""}],"container-title":"International Journal for Equity in Health","id":"ITEM-1","issue":"1","issued":{"date-parts":[["2017"]]},"page":"1-12","title":"Access to medicines and diagnostic tests integral in the management of diabetes mellitus and cardiovascular diseases in Uganda: Insights from the ACCODAD study","type":"article-journal","volume":"16"},"uris":["http://www.mendeley.com/documents/?uuid=dc9b0457-23bf-4953-bb28-d3181ad51256"]}],"mendeley":{"formattedCitation":"&lt;sup&gt;[30]&lt;/sup&gt;","plainTextFormattedCitation":"[30]","previouslyFormattedCitation":"&lt;sup&gt;[30]&lt;/sup&gt;"},"properties":{"noteIndex":0},"schema":"https://github.com/citation-style-language/schema/raw/master/csl-citation.json"}</w:instrText>
      </w:r>
      <w:r w:rsidRPr="0037330A">
        <w:rPr>
          <w:rFonts w:ascii="Book Antiqua" w:hAnsi="Book Antiqua"/>
          <w:lang w:val="en-GB"/>
        </w:rPr>
        <w:fldChar w:fldCharType="separate"/>
      </w:r>
      <w:r w:rsidR="00283313" w:rsidRPr="0037330A">
        <w:rPr>
          <w:rFonts w:ascii="Book Antiqua" w:hAnsi="Book Antiqua"/>
          <w:vertAlign w:val="superscript"/>
          <w:lang w:val="en-GB"/>
        </w:rPr>
        <w:t>[</w:t>
      </w:r>
      <w:r w:rsidR="001E44BF" w:rsidRPr="0037330A">
        <w:rPr>
          <w:rFonts w:ascii="Book Antiqua" w:eastAsiaTheme="minorEastAsia" w:hAnsi="Book Antiqua"/>
          <w:vertAlign w:val="superscript"/>
          <w:lang w:val="en-GB" w:eastAsia="zh-CN"/>
        </w:rPr>
        <w:t>29</w:t>
      </w:r>
      <w:r w:rsidR="00283313" w:rsidRPr="0037330A">
        <w:rPr>
          <w:rFonts w:ascii="Book Antiqua" w:hAnsi="Book Antiqua"/>
          <w:vertAlign w:val="superscript"/>
          <w:lang w:val="en-GB"/>
        </w:rPr>
        <w:t>]</w:t>
      </w:r>
      <w:r w:rsidRPr="0037330A">
        <w:rPr>
          <w:rFonts w:ascii="Book Antiqua" w:hAnsi="Book Antiqua"/>
          <w:lang w:val="en-GB"/>
        </w:rPr>
        <w:fldChar w:fldCharType="end"/>
      </w:r>
      <w:r w:rsidR="00A137FB" w:rsidRPr="0037330A">
        <w:rPr>
          <w:rFonts w:ascii="Book Antiqua" w:hAnsi="Book Antiqua"/>
          <w:lang w:val="en-GB"/>
        </w:rPr>
        <w:t>,</w:t>
      </w:r>
      <w:r w:rsidRPr="0037330A">
        <w:rPr>
          <w:rFonts w:ascii="Book Antiqua" w:hAnsi="Book Antiqua"/>
          <w:lang w:val="en-GB"/>
        </w:rPr>
        <w:t xml:space="preserve"> and a study in Cameroon which found the test available in 50% of urban hospitals and 0% of rural hospitals</w:t>
      </w:r>
      <w:r w:rsidRPr="0037330A">
        <w:rPr>
          <w:rFonts w:ascii="Book Antiqua" w:hAnsi="Book Antiqua"/>
          <w:lang w:val="en-GB"/>
        </w:rPr>
        <w:fldChar w:fldCharType="begin" w:fldLock="1"/>
      </w:r>
      <w:r w:rsidR="005D2E95" w:rsidRPr="0037330A">
        <w:rPr>
          <w:rFonts w:ascii="Book Antiqua" w:hAnsi="Book Antiqua"/>
          <w:lang w:val="en-GB"/>
        </w:rPr>
        <w:instrText>ADDIN CSL_CITATION {"citationItems":[{"id":"ITEM-1","itemData":{"DOI":"10.1371/journal.pone.0111812","ISBN":"1932-6203 (Electronic)\\r1932-6203 (Linking)","ISSN":"19326203","PMID":"25369455","abstract":"OBJECTIVE: To assess the availability and affordability of medicines and routine tests for cardiovascular disease (CVD) and diabetes in the West region of Cameroon, a low-income setting.\\n\\nMETHODS: A survey was conducted on the availability and cost of twelve routine tests and twenty medicines for CVD and diabetes in eight health districts (four urban and four rural) covering over 60% of the population of the region (1.8 million). We analyzed the percentage of tests and medicines available, the median price against the international reference price (median price ratio) for the medicines, and affordability in terms of the number of days' wages it would cost the lowest-paid unskilled government worker for initial investigation tests and procurement for one month of treatment.\\n\\nRESULTS: The availability of tests varied between 10% for the ECG to 100% for the fasting blood sugar. The average cost for the initial investigation using the minimum tests cost 29.76 days' wages. The availability of medicines varied from 36.4% to 59.1% in urban and from 9.1% to 50% in rural settings. Only metformin and benzathine-benzylpenicilline had a median price ratio of ≤ 1.5, with statins being largely unaffordable (at least 30.51 days' wages). One month of combination treatment for coronary heart disease costs at least 40.87 days' wages.\\n\\nCONCLUSION: The investigation and management of patients with medium-to-high cardiovascular risk remains largely unavailable and unaffordable in this setting. An effective non-communicable disease program should lay emphasis on primary prevention, and improve affordable access to essential medicines in public outlets.","author":[{"dropping-particle":"","family":"Jingi","given":"Ahmadou M.","non-dropping-particle":"","parse-names":false,"suffix":""},{"dropping-particle":"","family":"Noubiap","given":"Jean Jacques N.","non-dropping-particle":"","parse-names":false,"suffix":""},{"dropping-particle":"","family":"Onana","given":"Arnold Ewane","non-dropping-particle":"","parse-names":false,"suffix":""},{"dropping-particle":"","family":"Nansseu","given":"Jobert Richie N.","non-dropping-particle":"","parse-names":false,"suffix":""},{"dropping-particle":"","family":"Wang","given":"Binhuan","non-dropping-particle":"","parse-names":false,"suffix":""},{"dropping-particle":"","family":"Kingue","given":"Samuel","non-dropping-particle":"","parse-names":false,"suffix":""},{"dropping-particle":"","family":"Kengne","given":"André Pascal","non-dropping-particle":"","parse-names":false,"suffix":""}],"container-title":"PLoS ONE","id":"ITEM-1","issue":"11","issued":{"date-parts":[["2014"]]},"title":"Access to diagnostic tests and essential medicines for cardiovascular diseases and diabetes care: Cost, availability and affordability in the west region of Cameroon","type":"article-journal","volume":"9"},"uris":["http://www.mendeley.com/documents/?uuid=ba18cdd5-eaba-4f59-9177-b88c1df8e3d7"]}],"mendeley":{"formattedCitation":"&lt;sup&gt;[31]&lt;/sup&gt;","plainTextFormattedCitation":"[31]","previouslyFormattedCitation":"&lt;sup&gt;[31]&lt;/sup&gt;"},"properties":{"noteIndex":0},"schema":"https://github.com/citation-style-language/schema/raw/master/csl-citation.json"}</w:instrText>
      </w:r>
      <w:r w:rsidRPr="0037330A">
        <w:rPr>
          <w:rFonts w:ascii="Book Antiqua" w:hAnsi="Book Antiqua"/>
          <w:lang w:val="en-GB"/>
        </w:rPr>
        <w:fldChar w:fldCharType="separate"/>
      </w:r>
      <w:r w:rsidR="00283313" w:rsidRPr="0037330A">
        <w:rPr>
          <w:rFonts w:ascii="Book Antiqua" w:hAnsi="Book Antiqua"/>
          <w:vertAlign w:val="superscript"/>
          <w:lang w:val="en-GB"/>
        </w:rPr>
        <w:t>[3</w:t>
      </w:r>
      <w:r w:rsidR="001E44BF" w:rsidRPr="0037330A">
        <w:rPr>
          <w:rFonts w:ascii="Book Antiqua" w:eastAsiaTheme="minorEastAsia" w:hAnsi="Book Antiqua"/>
          <w:vertAlign w:val="superscript"/>
          <w:lang w:val="en-GB" w:eastAsia="zh-CN"/>
        </w:rPr>
        <w:t>0</w:t>
      </w:r>
      <w:r w:rsidR="00283313" w:rsidRPr="0037330A">
        <w:rPr>
          <w:rFonts w:ascii="Book Antiqua" w:hAnsi="Book Antiqua"/>
          <w:vertAlign w:val="superscript"/>
          <w:lang w:val="en-GB"/>
        </w:rPr>
        <w:t>]</w:t>
      </w:r>
      <w:r w:rsidRPr="0037330A">
        <w:rPr>
          <w:rFonts w:ascii="Book Antiqua" w:hAnsi="Book Antiqua"/>
          <w:lang w:val="en-GB"/>
        </w:rPr>
        <w:fldChar w:fldCharType="end"/>
      </w:r>
      <w:r w:rsidR="00A137FB" w:rsidRPr="0037330A">
        <w:rPr>
          <w:rFonts w:ascii="Book Antiqua" w:hAnsi="Book Antiqua"/>
          <w:lang w:val="en-GB"/>
        </w:rPr>
        <w:t>.</w:t>
      </w:r>
      <w:r w:rsidRPr="0037330A">
        <w:rPr>
          <w:rFonts w:ascii="Book Antiqua" w:hAnsi="Book Antiqua"/>
          <w:lang w:val="en-GB"/>
        </w:rPr>
        <w:t xml:space="preserve"> </w:t>
      </w:r>
    </w:p>
    <w:p w14:paraId="78C91066" w14:textId="07408AA2" w:rsidR="001760C4" w:rsidRPr="0037330A" w:rsidRDefault="001760C4" w:rsidP="00146B63">
      <w:pPr>
        <w:pStyle w:val="a3"/>
        <w:tabs>
          <w:tab w:val="left" w:pos="0"/>
        </w:tabs>
        <w:snapToGrid w:val="0"/>
        <w:spacing w:line="360" w:lineRule="auto"/>
        <w:ind w:left="0" w:firstLineChars="100" w:firstLine="240"/>
        <w:contextualSpacing w:val="0"/>
        <w:jc w:val="both"/>
        <w:rPr>
          <w:rFonts w:ascii="Book Antiqua" w:hAnsi="Book Antiqua"/>
          <w:b/>
          <w:u w:val="single"/>
          <w:lang w:val="en-GB"/>
        </w:rPr>
      </w:pPr>
      <w:r w:rsidRPr="0037330A">
        <w:rPr>
          <w:rFonts w:ascii="Book Antiqua" w:hAnsi="Book Antiqua"/>
          <w:bCs/>
          <w:iCs/>
          <w:lang w:val="en-GB"/>
        </w:rPr>
        <w:t xml:space="preserve">POCT was only available at any level of the public health system in 37.8% of countries, despite being the preferred method of testing in T1D as the immediate availability of results permits the health professional and the </w:t>
      </w:r>
      <w:r w:rsidRPr="0037330A">
        <w:rPr>
          <w:rFonts w:ascii="Book Antiqua" w:hAnsi="Book Antiqua"/>
          <w:bCs/>
          <w:iCs/>
          <w:lang w:val="en-GB"/>
        </w:rPr>
        <w:lastRenderedPageBreak/>
        <w:t>patient to discuss the HbA1c level and decide on management adjustments</w:t>
      </w:r>
      <w:r w:rsidR="00945835" w:rsidRPr="0037330A">
        <w:rPr>
          <w:rFonts w:ascii="Book Antiqua" w:hAnsi="Book Antiqua"/>
          <w:bCs/>
          <w:iCs/>
          <w:lang w:val="en-GB"/>
        </w:rPr>
        <w:t>,</w:t>
      </w:r>
      <w:r w:rsidR="005C0387" w:rsidRPr="0037330A">
        <w:rPr>
          <w:rFonts w:ascii="Book Antiqua" w:hAnsi="Book Antiqua"/>
          <w:bCs/>
          <w:iCs/>
          <w:lang w:val="en-GB"/>
        </w:rPr>
        <w:t xml:space="preserve"> and</w:t>
      </w:r>
      <w:r w:rsidRPr="0037330A">
        <w:rPr>
          <w:rFonts w:ascii="Book Antiqua" w:hAnsi="Book Antiqua"/>
          <w:bCs/>
          <w:iCs/>
          <w:lang w:val="en-GB"/>
        </w:rPr>
        <w:t xml:space="preserve"> is </w:t>
      </w:r>
      <w:r w:rsidR="00945835" w:rsidRPr="0037330A">
        <w:rPr>
          <w:rFonts w:ascii="Book Antiqua" w:hAnsi="Book Antiqua"/>
          <w:bCs/>
          <w:iCs/>
          <w:lang w:val="en-GB"/>
        </w:rPr>
        <w:t xml:space="preserve">noted to be </w:t>
      </w:r>
      <w:r w:rsidRPr="0037330A">
        <w:rPr>
          <w:rFonts w:ascii="Book Antiqua" w:hAnsi="Book Antiqua"/>
          <w:bCs/>
          <w:iCs/>
          <w:lang w:val="en-GB"/>
        </w:rPr>
        <w:t xml:space="preserve">even more beneficial in </w:t>
      </w:r>
      <w:r w:rsidRPr="0037330A">
        <w:rPr>
          <w:rFonts w:ascii="Book Antiqua" w:hAnsi="Book Antiqua"/>
          <w:lang w:val="en-GB"/>
        </w:rPr>
        <w:t>rural settings</w:t>
      </w:r>
      <w:r w:rsidRPr="0037330A">
        <w:rPr>
          <w:rFonts w:ascii="Book Antiqua" w:hAnsi="Book Antiqua"/>
          <w:lang w:val="en-GB"/>
        </w:rPr>
        <w:fldChar w:fldCharType="begin" w:fldLock="1"/>
      </w:r>
      <w:r w:rsidR="005D2E95" w:rsidRPr="0037330A">
        <w:rPr>
          <w:rFonts w:ascii="Book Antiqua" w:hAnsi="Book Antiqua"/>
          <w:lang w:val="en-GB"/>
        </w:rPr>
        <w:instrText>ADDIN CSL_CITATION {"citationItems":[{"id":"ITEM-1","itemData":{"DOI":"10.11604/pamj.2017.27.275.10270","ISSN":"19378688","PMID":"29187944","abstract":"Introduction: Glycated haemoglobin (HbA1c) is the best surrogate of average blood glucose control in diabetic patients, and lowering HbA1c significantly reduces diabetes complications. Moreover, immediate feedback of HbA1c measurement to patients may improve control. However, HbA1c is unavailable in most parts of Africa, a continent with one of the highest burden of diabetes. To translate these evidences, we are conducting a multicentric project in 10 health care facilities in Guinea and Cameroon to evaluate the feasibility and one-year benefit of affordable HbA1c measurement with immediate feedback to patients on diabetes control and related outcomes. Participants: We consecutively enrolled patients with diabetes mellitus independently of the type of disease. We hypothesised an average 1%-decrease in HbA1c in a 1000-patient study population, with a 20% increase in the number of patients reaching treatment goals within 12 months of intervention and follow-up. Findings to date: A total of 1, 349 diabetic patients aged 56.2+/-12.6 years are enrolled (813 in Cameroon and 536 in Guinea) of whom 59.8% are women. The mean duration of diabetes is 7.4+/-6.3 years and baseline HbA1c is 9.7+/-2.6% in Guinea and 8.6+/-2.5% in Cameroon. Future plans: To investigate whether the introduction of routine HbA1c measurement with immediate feedback to patients and provision of relevant education would improve diabetes control after one year. The impact of the intervention on diabetes associated-complications and mortality warrant further assessment in the long term.","author":[{"dropping-particle":"","family":"Balde","given":"Naby","non-dropping-particle":"","parse-names":false,"suffix":""},{"dropping-particle":"","family":"Camara","given":"Alioune","non-dropping-particle":"","parse-names":false,"suffix":""},{"dropping-particle":"","family":"Sobngwi-Tambekou","given":"Joelle","non-dropping-particle":"","parse-names":false,"suffix":""},{"dropping-particle":"","family":"Balti","given":"Eric Vounsia","non-dropping-particle":"","parse-names":false,"suffix":""},{"dropping-particle":"","family":"Tchatchoua","given":"Alain","non-dropping-particle":"","parse-names":false,"suffix":""},{"dropping-particle":"","family":"Fezeu","given":"Leopold","non-dropping-particle":"","parse-names":false,"suffix":""},{"dropping-particle":"","family":"Limen","given":"Serge","non-dropping-particle":"","parse-names":false,"suffix":""},{"dropping-particle":"","family":"Ngamani","given":"Sylvie","non-dropping-particle":"","parse-names":false,"suffix":""},{"dropping-particle":"","family":"Ngapout","given":"Suzanne","non-dropping-particle":"","parse-names":false,"suffix":""},{"dropping-particle":"","family":"Kengne","given":"Andre Pascal","non-dropping-particle":"","parse-names":false,"suffix":""},{"dropping-particle":"","family":"Sobngwi","given":"Eugene","non-dropping-particle":"","parse-names":false,"suffix":""}],"container-title":"The Pan African medical journal","id":"ITEM-1","issue":"275","issued":{"date-parts":[["2017"]]},"title":"Improving access to HbA1c in sub-Saharan Africa (IA3) cohort: cohort profile","type":"article-journal","volume":"27"},"uris":["http://www.mendeley.com/documents/?uuid=8038848f-9689-46c9-a137-7eff64fcf895"]}],"mendeley":{"formattedCitation":"&lt;sup&gt;[32]&lt;/sup&gt;","plainTextFormattedCitation":"[32]","previouslyFormattedCitation":"&lt;sup&gt;[32]&lt;/sup&gt;"},"properties":{"noteIndex":0},"schema":"https://github.com/citation-style-language/schema/raw/master/csl-citation.json"}</w:instrText>
      </w:r>
      <w:r w:rsidRPr="0037330A">
        <w:rPr>
          <w:rFonts w:ascii="Book Antiqua" w:hAnsi="Book Antiqua"/>
          <w:lang w:val="en-GB"/>
        </w:rPr>
        <w:fldChar w:fldCharType="separate"/>
      </w:r>
      <w:r w:rsidR="00283313" w:rsidRPr="0037330A">
        <w:rPr>
          <w:rFonts w:ascii="Book Antiqua" w:hAnsi="Book Antiqua"/>
          <w:vertAlign w:val="superscript"/>
          <w:lang w:val="en-GB"/>
        </w:rPr>
        <w:t>[3</w:t>
      </w:r>
      <w:r w:rsidR="001E44BF" w:rsidRPr="0037330A">
        <w:rPr>
          <w:rFonts w:ascii="Book Antiqua" w:eastAsiaTheme="minorEastAsia" w:hAnsi="Book Antiqua"/>
          <w:vertAlign w:val="superscript"/>
          <w:lang w:val="en-GB" w:eastAsia="zh-CN"/>
        </w:rPr>
        <w:t>1</w:t>
      </w:r>
      <w:r w:rsidR="00283313" w:rsidRPr="0037330A">
        <w:rPr>
          <w:rFonts w:ascii="Book Antiqua" w:hAnsi="Book Antiqua"/>
          <w:vertAlign w:val="superscript"/>
          <w:lang w:val="en-GB"/>
        </w:rPr>
        <w:t>]</w:t>
      </w:r>
      <w:r w:rsidRPr="0037330A">
        <w:rPr>
          <w:rFonts w:ascii="Book Antiqua" w:hAnsi="Book Antiqua"/>
          <w:lang w:val="en-GB"/>
        </w:rPr>
        <w:fldChar w:fldCharType="end"/>
      </w:r>
      <w:r w:rsidR="00A137FB" w:rsidRPr="0037330A">
        <w:rPr>
          <w:rFonts w:ascii="Book Antiqua" w:hAnsi="Book Antiqua"/>
          <w:lang w:val="en-GB"/>
        </w:rPr>
        <w:t>.</w:t>
      </w:r>
    </w:p>
    <w:p w14:paraId="3EE22FDF" w14:textId="424CEADD" w:rsidR="006C46C7" w:rsidRPr="0037330A" w:rsidRDefault="006C46C7" w:rsidP="00146B63">
      <w:pPr>
        <w:tabs>
          <w:tab w:val="left" w:pos="0"/>
        </w:tabs>
        <w:snapToGrid w:val="0"/>
        <w:spacing w:line="360" w:lineRule="auto"/>
        <w:ind w:firstLineChars="100" w:firstLine="240"/>
        <w:jc w:val="both"/>
        <w:rPr>
          <w:rFonts w:ascii="Book Antiqua" w:hAnsi="Book Antiqua"/>
          <w:bCs/>
          <w:iCs/>
          <w:color w:val="000000" w:themeColor="text1"/>
          <w:lang w:val="en-GB"/>
        </w:rPr>
      </w:pPr>
      <w:r w:rsidRPr="0037330A">
        <w:rPr>
          <w:rFonts w:ascii="Book Antiqua" w:hAnsi="Book Antiqua"/>
          <w:bCs/>
          <w:iCs/>
          <w:color w:val="000000" w:themeColor="text1"/>
          <w:lang w:val="en-GB"/>
        </w:rPr>
        <w:t>The costs reported were a little lower than those reported in previous studies: $4.90–$20.00 with a mean $9.75 in 12 countries</w:t>
      </w:r>
      <w:r w:rsidRPr="0037330A">
        <w:rPr>
          <w:rFonts w:ascii="Book Antiqua" w:hAnsi="Book Antiqua"/>
          <w:bCs/>
          <w:iCs/>
          <w:color w:val="000000" w:themeColor="text1"/>
          <w:vertAlign w:val="superscript"/>
          <w:lang w:val="en-GB"/>
        </w:rPr>
        <w:fldChar w:fldCharType="begin" w:fldLock="1"/>
      </w:r>
      <w:r w:rsidR="003E1A77" w:rsidRPr="0037330A">
        <w:rPr>
          <w:rFonts w:ascii="Book Antiqua" w:hAnsi="Book Antiqua"/>
          <w:bCs/>
          <w:iCs/>
          <w:color w:val="000000" w:themeColor="text1"/>
          <w:vertAlign w:val="superscript"/>
          <w:lang w:val="en-GB"/>
        </w:rPr>
        <w:instrText>ADDIN CSL_CITATION {"citationItems":[{"id":"ITEM-1","itemData":{"DOI":"10.1111/dme.12997","ISBN":"0742-3071","ISSN":"14645491","PMID":"20160380045","abstract":"Aims: To assess the direct costs of necessary consumables for minimal care of a child with Type 1 diabetes in countries where the public health system does not regularly provide such care., Methods: Supply costs were collected between January 2013 and February 2015 from questionnaires submitted by centres requesting International Diabetes Federation Life for a Child Program support. All 20 centres in 15 countries agreed to the use of their responses. Annual costs for minimal care were estimated for: 18 x 10 ml 100 IU/ml insulin, 1/3 cost of a blood glucose meter, two blood glucose test strips/day, two syringes/week, and four HbA1c tests/year. Costs were expressed in US dollars, and as % of gross national income (purchasing power parity) per capita., Results: The ranges (median) for the minimum supply costs through the private system were: insulin 10 ml 100 IU/ml equivalent vial: $5.10-$25 ($8.00); blood glucose meter: $15-$121 ($33.33); test strip: $0.15-$1.20 ($0.50); syringe: $0.10-$0.56 ($0.20); and HbA1c: $4.90-$20 ($9.75). Annual costs ranged from $255 (Pakistan) to $1,185 (Burkina Faso), with a median of $553. Annual % gross national income costs were 12-370% (median 56%). For the lowest 20% income earners the annual cost ranged 20-1535% (median 153%). St Lucia and Mongolia were the only countries whose governments consistently provided insulin. No government provided meters and strips, which were the most expensive supplies (62% of total cost)., Conclusions: In less-resourced countries, even minimal care is beyond many families' means. In addition, families face additional costs such as consultations, travel and indirect costs. Action to prevent diabetes-related death and morbidity is needed., (C) 2016 John Wiley &amp; Sons, Ltd","author":[{"dropping-particle":"","family":"Ogle","given":"G. D.","non-dropping-particle":"","parse-names":false,"suffix":""},{"dropping-particle":"","family":"Kim","given":"H.","non-dropping-particle":"","parse-names":false,"suffix":""},{"dropping-particle":"","family":"Middlehurst","given":"A. C.","non-dropping-particle":"","parse-names":false,"suffix":""},{"dropping-particle":"","family":"Silink","given":"M.","non-dropping-particle":"","parse-names":false,"suffix":""},{"dropping-particle":"","family":"Jenkins","given":"A. J.","non-dropping-particle":"","parse-names":false,"suffix":""}],"container-title":"Diabetic Medicine","id":"ITEM-1","issue":"6","issued":{"date-parts":[["2016"]]},"page":"820-826","title":"Financial costs for families of children with Type 1 diabetes in lower-income countries","type":"article-journal","volume":"33"},"uris":["http://www.mendeley.com/documents/?uuid=7698401c-6f7e-4250-986e-19e20e2016e2"]}],"mendeley":{"formattedCitation":"&lt;sup&gt;[17]&lt;/sup&gt;","plainTextFormattedCitation":"[17]","previouslyFormattedCitation":"&lt;sup&gt;[17]&lt;/sup&gt;"},"properties":{"noteIndex":0},"schema":"https://github.com/citation-style-language/schema/raw/master/csl-citation.json"}</w:instrText>
      </w:r>
      <w:r w:rsidRPr="0037330A">
        <w:rPr>
          <w:rFonts w:ascii="Book Antiqua" w:hAnsi="Book Antiqua"/>
          <w:bCs/>
          <w:iCs/>
          <w:color w:val="000000" w:themeColor="text1"/>
          <w:vertAlign w:val="superscript"/>
          <w:lang w:val="en-GB"/>
        </w:rPr>
        <w:fldChar w:fldCharType="separate"/>
      </w:r>
      <w:r w:rsidR="003E1A77" w:rsidRPr="0037330A">
        <w:rPr>
          <w:rFonts w:ascii="Book Antiqua" w:hAnsi="Book Antiqua"/>
          <w:bCs/>
          <w:iCs/>
          <w:color w:val="000000" w:themeColor="text1"/>
          <w:vertAlign w:val="superscript"/>
          <w:lang w:val="en-GB"/>
        </w:rPr>
        <w:t>[17]</w:t>
      </w:r>
      <w:r w:rsidRPr="0037330A">
        <w:rPr>
          <w:rFonts w:ascii="Book Antiqua" w:hAnsi="Book Antiqua"/>
          <w:bCs/>
          <w:iCs/>
          <w:color w:val="000000" w:themeColor="text1"/>
          <w:vertAlign w:val="superscript"/>
          <w:lang w:val="en-GB"/>
        </w:rPr>
        <w:fldChar w:fldCharType="end"/>
      </w:r>
      <w:r w:rsidRPr="0037330A">
        <w:rPr>
          <w:rFonts w:ascii="Book Antiqua" w:hAnsi="Book Antiqua"/>
          <w:bCs/>
          <w:iCs/>
          <w:color w:val="000000" w:themeColor="text1"/>
          <w:lang w:val="en-GB"/>
        </w:rPr>
        <w:t>, and in Ethiopia was reported to be $13.00 per test</w:t>
      </w:r>
      <w:r w:rsidRPr="0037330A">
        <w:rPr>
          <w:rFonts w:ascii="Book Antiqua" w:hAnsi="Book Antiqua"/>
          <w:bCs/>
          <w:iCs/>
          <w:color w:val="000000" w:themeColor="text1"/>
          <w:vertAlign w:val="superscript"/>
          <w:lang w:val="en-GB"/>
        </w:rPr>
        <w:fldChar w:fldCharType="begin" w:fldLock="1"/>
      </w:r>
      <w:r w:rsidR="005D2E95" w:rsidRPr="0037330A">
        <w:rPr>
          <w:rFonts w:ascii="Book Antiqua" w:hAnsi="Book Antiqua"/>
          <w:bCs/>
          <w:iCs/>
          <w:color w:val="000000" w:themeColor="text1"/>
          <w:vertAlign w:val="superscript"/>
          <w:lang w:val="en-GB"/>
        </w:rPr>
        <w:instrText>ADDIN CSL_CITATION {"citationItems":[{"id":"ITEM-1","itemData":{"URL":"http://ejol.aau.edu.et/index.php/EJPC/article/view/748/697","accessed":{"date-parts":[["2020","1","10"]]},"author":[{"dropping-particle":"","family":"Bereket","given":"F","non-dropping-particle":"","parse-names":false,"suffix":""},{"dropping-particle":"","family":"Etsegenet","given":"G","non-dropping-particle":"","parse-names":false,"suffix":""}],"container-title":"Adis Ababa university faculty of medicine Tikur Anbessa Specialized Hospital Department of Pediatrics and Child Health","id":"ITEM-1","issued":{"date-parts":[["2008"]]},"title":"Prevalence of diabetic ketoacidosis in newly diagnosed diabetes mellitus pediatrics patients in Tikur Anbessa specialized hospital","type":"webpage"},"uris":["http://www.mendeley.com/documents/?uuid=9660c77f-7873-4364-b6f4-31e5580ac6f0"]}],"mendeley":{"formattedCitation":"&lt;sup&gt;[33]&lt;/sup&gt;","plainTextFormattedCitation":"[33]","previouslyFormattedCitation":"&lt;sup&gt;[33]&lt;/sup&gt;"},"properties":{"noteIndex":0},"schema":"https://github.com/citation-style-language/schema/raw/master/csl-citation.json"}</w:instrText>
      </w:r>
      <w:r w:rsidRPr="0037330A">
        <w:rPr>
          <w:rFonts w:ascii="Book Antiqua" w:hAnsi="Book Antiqua"/>
          <w:bCs/>
          <w:iCs/>
          <w:color w:val="000000" w:themeColor="text1"/>
          <w:vertAlign w:val="superscript"/>
          <w:lang w:val="en-GB"/>
        </w:rPr>
        <w:fldChar w:fldCharType="separate"/>
      </w:r>
      <w:r w:rsidR="00283313" w:rsidRPr="0037330A">
        <w:rPr>
          <w:rFonts w:ascii="Book Antiqua" w:hAnsi="Book Antiqua"/>
          <w:bCs/>
          <w:iCs/>
          <w:color w:val="000000" w:themeColor="text1"/>
          <w:vertAlign w:val="superscript"/>
          <w:lang w:val="en-GB"/>
        </w:rPr>
        <w:t>[3</w:t>
      </w:r>
      <w:r w:rsidR="001E44BF" w:rsidRPr="0037330A">
        <w:rPr>
          <w:rFonts w:ascii="Book Antiqua" w:eastAsiaTheme="minorEastAsia" w:hAnsi="Book Antiqua"/>
          <w:bCs/>
          <w:iCs/>
          <w:color w:val="000000" w:themeColor="text1"/>
          <w:vertAlign w:val="superscript"/>
          <w:lang w:val="en-GB" w:eastAsia="zh-CN"/>
        </w:rPr>
        <w:t>2</w:t>
      </w:r>
      <w:r w:rsidR="00283313" w:rsidRPr="0037330A">
        <w:rPr>
          <w:rFonts w:ascii="Book Antiqua" w:hAnsi="Book Antiqua"/>
          <w:bCs/>
          <w:iCs/>
          <w:color w:val="000000" w:themeColor="text1"/>
          <w:vertAlign w:val="superscript"/>
          <w:lang w:val="en-GB"/>
        </w:rPr>
        <w:t>]</w:t>
      </w:r>
      <w:r w:rsidRPr="0037330A">
        <w:rPr>
          <w:rFonts w:ascii="Book Antiqua" w:hAnsi="Book Antiqua"/>
          <w:bCs/>
          <w:iCs/>
          <w:color w:val="000000" w:themeColor="text1"/>
          <w:vertAlign w:val="superscript"/>
          <w:lang w:val="en-GB"/>
        </w:rPr>
        <w:fldChar w:fldCharType="end"/>
      </w:r>
      <w:r w:rsidR="00A137FB"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Another study found that one HbA1c test cost 12.6 d’ wages in Cameroon</w:t>
      </w:r>
      <w:r w:rsidRPr="0037330A">
        <w:rPr>
          <w:rFonts w:ascii="Book Antiqua" w:hAnsi="Book Antiqua"/>
          <w:bCs/>
          <w:iCs/>
          <w:color w:val="000000" w:themeColor="text1"/>
          <w:lang w:val="en-GB"/>
        </w:rPr>
        <w:fldChar w:fldCharType="begin" w:fldLock="1"/>
      </w:r>
      <w:r w:rsidR="005D2E95" w:rsidRPr="0037330A">
        <w:rPr>
          <w:rFonts w:ascii="Book Antiqua" w:hAnsi="Book Antiqua"/>
          <w:bCs/>
          <w:iCs/>
          <w:color w:val="000000" w:themeColor="text1"/>
          <w:lang w:val="en-GB"/>
        </w:rPr>
        <w:instrText>ADDIN CSL_CITATION {"citationItems":[{"id":"ITEM-1","itemData":{"DOI":"10.1371/journal.pone.0111812","ISBN":"1932-6203 (Electronic)\\r1932-6203 (Linking)","ISSN":"19326203","PMID":"25369455","abstract":"OBJECTIVE: To assess the availability and affordability of medicines and routine tests for cardiovascular disease (CVD) and diabetes in the West region of Cameroon, a low-income setting.\\n\\nMETHODS: A survey was conducted on the availability and cost of twelve routine tests and twenty medicines for CVD and diabetes in eight health districts (four urban and four rural) covering over 60% of the population of the region (1.8 million). We analyzed the percentage of tests and medicines available, the median price against the international reference price (median price ratio) for the medicines, and affordability in terms of the number of days' wages it would cost the lowest-paid unskilled government worker for initial investigation tests and procurement for one month of treatment.\\n\\nRESULTS: The availability of tests varied between 10% for the ECG to 100% for the fasting blood sugar. The average cost for the initial investigation using the minimum tests cost 29.76 days' wages. The availability of medicines varied from 36.4% to 59.1% in urban and from 9.1% to 50% in rural settings. Only metformin and benzathine-benzylpenicilline had a median price ratio of ≤ 1.5, with statins being largely unaffordable (at least 30.51 days' wages). One month of combination treatment for coronary heart disease costs at least 40.87 days' wages.\\n\\nCONCLUSION: The investigation and management of patients with medium-to-high cardiovascular risk remains largely unavailable and unaffordable in this setting. An effective non-communicable disease program should lay emphasis on primary prevention, and improve affordable access to essential medicines in public outlets.","author":[{"dropping-particle":"","family":"Jingi","given":"Ahmadou M.","non-dropping-particle":"","parse-names":false,"suffix":""},{"dropping-particle":"","family":"Noubiap","given":"Jean Jacques N.","non-dropping-particle":"","parse-names":false,"suffix":""},{"dropping-particle":"","family":"Onana","given":"Arnold Ewane","non-dropping-particle":"","parse-names":false,"suffix":""},{"dropping-particle":"","family":"Nansseu","given":"Jobert Richie N.","non-dropping-particle":"","parse-names":false,"suffix":""},{"dropping-particle":"","family":"Wang","given":"Binhuan","non-dropping-particle":"","parse-names":false,"suffix":""},{"dropping-particle":"","family":"Kingue","given":"Samuel","non-dropping-particle":"","parse-names":false,"suffix":""},{"dropping-particle":"","family":"Kengne","given":"André Pascal","non-dropping-particle":"","parse-names":false,"suffix":""}],"container-title":"PLoS ONE","id":"ITEM-1","issue":"11","issued":{"date-parts":[["2014"]]},"title":"Access to diagnostic tests and essential medicines for cardiovascular diseases and diabetes care: Cost, availability and affordability in the west region of Cameroon","type":"article-journal","volume":"9"},"uris":["http://www.mendeley.com/documents/?uuid=ba18cdd5-eaba-4f59-9177-b88c1df8e3d7"]}],"mendeley":{"formattedCitation":"&lt;sup&gt;[31]&lt;/sup&gt;","plainTextFormattedCitation":"[31]","previouslyFormattedCitation":"&lt;sup&gt;[31]&lt;/sup&gt;"},"properties":{"noteIndex":0},"schema":"https://github.com/citation-style-language/schema/raw/master/csl-citation.json"}</w:instrText>
      </w:r>
      <w:r w:rsidRPr="0037330A">
        <w:rPr>
          <w:rFonts w:ascii="Book Antiqua" w:hAnsi="Book Antiqua"/>
          <w:bCs/>
          <w:iCs/>
          <w:color w:val="000000" w:themeColor="text1"/>
          <w:lang w:val="en-GB"/>
        </w:rPr>
        <w:fldChar w:fldCharType="separate"/>
      </w:r>
      <w:r w:rsidR="00283313" w:rsidRPr="0037330A">
        <w:rPr>
          <w:rFonts w:ascii="Book Antiqua" w:hAnsi="Book Antiqua"/>
          <w:bCs/>
          <w:iCs/>
          <w:color w:val="000000" w:themeColor="text1"/>
          <w:vertAlign w:val="superscript"/>
          <w:lang w:val="en-GB"/>
        </w:rPr>
        <w:t>[3</w:t>
      </w:r>
      <w:r w:rsidR="001E44BF" w:rsidRPr="0037330A">
        <w:rPr>
          <w:rFonts w:ascii="Book Antiqua" w:eastAsiaTheme="minorEastAsia" w:hAnsi="Book Antiqua"/>
          <w:bCs/>
          <w:iCs/>
          <w:color w:val="000000" w:themeColor="text1"/>
          <w:vertAlign w:val="superscript"/>
          <w:lang w:val="en-GB" w:eastAsia="zh-CN"/>
        </w:rPr>
        <w:t>0</w:t>
      </w:r>
      <w:r w:rsidR="00283313" w:rsidRPr="0037330A">
        <w:rPr>
          <w:rFonts w:ascii="Book Antiqua" w:hAnsi="Book Antiqua"/>
          <w:bCs/>
          <w:iCs/>
          <w:color w:val="000000" w:themeColor="text1"/>
          <w:vertAlign w:val="superscript"/>
          <w:lang w:val="en-GB"/>
        </w:rPr>
        <w:t>]</w:t>
      </w:r>
      <w:r w:rsidRPr="0037330A">
        <w:rPr>
          <w:rFonts w:ascii="Book Antiqua" w:hAnsi="Book Antiqua"/>
          <w:bCs/>
          <w:iCs/>
          <w:color w:val="000000" w:themeColor="text1"/>
          <w:lang w:val="en-GB"/>
        </w:rPr>
        <w:fldChar w:fldCharType="end"/>
      </w:r>
      <w:r w:rsidR="00A137FB" w:rsidRPr="0037330A">
        <w:rPr>
          <w:rFonts w:ascii="Book Antiqua" w:hAnsi="Book Antiqua"/>
          <w:bCs/>
          <w:iCs/>
          <w:color w:val="000000" w:themeColor="text1"/>
          <w:lang w:val="en-GB"/>
        </w:rPr>
        <w:t>.</w:t>
      </w:r>
      <w:r w:rsidRPr="0037330A">
        <w:rPr>
          <w:rFonts w:ascii="Book Antiqua" w:hAnsi="Book Antiqua"/>
          <w:bCs/>
          <w:iCs/>
          <w:color w:val="000000" w:themeColor="text1"/>
          <w:lang w:val="en-GB"/>
        </w:rPr>
        <w:t xml:space="preserve"> Costs in the current study were higher in private laboratories. </w:t>
      </w:r>
    </w:p>
    <w:p w14:paraId="63533033" w14:textId="69A16B52" w:rsidR="00C74C6F" w:rsidRPr="0037330A" w:rsidRDefault="000D05F5" w:rsidP="00146B63">
      <w:pPr>
        <w:tabs>
          <w:tab w:val="left" w:pos="0"/>
        </w:tabs>
        <w:snapToGrid w:val="0"/>
        <w:spacing w:line="360" w:lineRule="auto"/>
        <w:ind w:firstLineChars="100" w:firstLine="240"/>
        <w:jc w:val="both"/>
        <w:rPr>
          <w:rFonts w:ascii="Book Antiqua" w:eastAsiaTheme="minorEastAsia" w:hAnsi="Book Antiqua"/>
          <w:bCs/>
          <w:iCs/>
          <w:color w:val="70AD47" w:themeColor="accent6"/>
          <w:lang w:val="en-GB" w:eastAsia="zh-CN"/>
        </w:rPr>
      </w:pPr>
      <w:r w:rsidRPr="0037330A">
        <w:rPr>
          <w:rFonts w:ascii="Book Antiqua" w:hAnsi="Book Antiqua"/>
          <w:lang w:val="en-GB"/>
        </w:rPr>
        <w:t xml:space="preserve">Further challenges were reported. HbA1c test supplies require refrigeration, and maintaining the cold-chain to the health facility and then refrigerating the (often quite bulky) supplies there is often a problem. Some respondents reported difficulties with using the equipment due to inadequate training. </w:t>
      </w:r>
      <w:r w:rsidRPr="0037330A">
        <w:rPr>
          <w:rFonts w:ascii="Book Antiqua" w:hAnsi="Book Antiqua"/>
          <w:color w:val="000000" w:themeColor="text1"/>
          <w:lang w:val="en-GB"/>
        </w:rPr>
        <w:t>There is often no supplier in the country, increasing the risk of stock-outs and making machine service difficult or impossible.</w:t>
      </w:r>
      <w:r w:rsidR="005E27B9" w:rsidRPr="0037330A">
        <w:rPr>
          <w:rFonts w:ascii="Book Antiqua" w:hAnsi="Book Antiqua"/>
          <w:color w:val="000000" w:themeColor="text1"/>
          <w:lang w:val="en-GB"/>
        </w:rPr>
        <w:t xml:space="preserve"> </w:t>
      </w:r>
      <w:r w:rsidR="000E7A7D" w:rsidRPr="0037330A">
        <w:rPr>
          <w:rFonts w:ascii="Book Antiqua" w:hAnsi="Book Antiqua"/>
          <w:color w:val="000000" w:themeColor="text1"/>
          <w:lang w:val="en-GB"/>
        </w:rPr>
        <w:t>Some centres surveyed felt that</w:t>
      </w:r>
      <w:r w:rsidR="000E7A7D" w:rsidRPr="0037330A">
        <w:rPr>
          <w:rFonts w:ascii="Book Antiqua" w:eastAsiaTheme="minorEastAsia" w:hAnsi="Book Antiqua"/>
          <w:color w:val="000000" w:themeColor="text1"/>
          <w:lang w:val="en-GB" w:eastAsia="zh-CN"/>
        </w:rPr>
        <w:t xml:space="preserve"> </w:t>
      </w:r>
      <w:r w:rsidR="00223E3B" w:rsidRPr="0037330A">
        <w:rPr>
          <w:rFonts w:ascii="Book Antiqua" w:hAnsi="Book Antiqua"/>
          <w:color w:val="000000" w:themeColor="text1"/>
          <w:lang w:val="en-GB"/>
        </w:rPr>
        <w:t>healthcare professionals at their centres were</w:t>
      </w:r>
      <w:r w:rsidR="005E27B9" w:rsidRPr="0037330A">
        <w:rPr>
          <w:rFonts w:ascii="Book Antiqua" w:hAnsi="Book Antiqua"/>
          <w:color w:val="000000" w:themeColor="text1"/>
          <w:lang w:val="en-GB"/>
        </w:rPr>
        <w:t xml:space="preserve"> inadequately educated in how to interpret and use </w:t>
      </w:r>
      <w:r w:rsidR="004F57A2" w:rsidRPr="0037330A">
        <w:rPr>
          <w:rFonts w:ascii="Book Antiqua" w:hAnsi="Book Antiqua"/>
          <w:color w:val="000000" w:themeColor="text1"/>
          <w:lang w:val="en-GB"/>
        </w:rPr>
        <w:t xml:space="preserve">patient </w:t>
      </w:r>
      <w:r w:rsidR="005E27B9" w:rsidRPr="0037330A">
        <w:rPr>
          <w:rFonts w:ascii="Book Antiqua" w:hAnsi="Book Antiqua"/>
          <w:color w:val="000000" w:themeColor="text1"/>
          <w:lang w:val="en-GB"/>
        </w:rPr>
        <w:t>results.</w:t>
      </w:r>
      <w:r w:rsidR="00B87F7C" w:rsidRPr="0037330A">
        <w:rPr>
          <w:rFonts w:ascii="Book Antiqua" w:hAnsi="Book Antiqua"/>
          <w:color w:val="000000" w:themeColor="text1"/>
          <w:lang w:val="en-GB"/>
        </w:rPr>
        <w:t xml:space="preserve"> Some respondents noted inefficiencies within their respective governmental agencies to procure sufficient stock, and </w:t>
      </w:r>
      <w:r w:rsidR="006E7D79" w:rsidRPr="0037330A">
        <w:rPr>
          <w:rFonts w:ascii="Book Antiqua" w:hAnsi="Book Antiqua"/>
          <w:color w:val="000000" w:themeColor="text1"/>
          <w:lang w:val="en-GB"/>
        </w:rPr>
        <w:t>noted</w:t>
      </w:r>
      <w:r w:rsidR="00B87F7C" w:rsidRPr="0037330A">
        <w:rPr>
          <w:rFonts w:ascii="Book Antiqua" w:hAnsi="Book Antiqua"/>
          <w:color w:val="000000" w:themeColor="text1"/>
          <w:lang w:val="en-GB"/>
        </w:rPr>
        <w:t xml:space="preserve"> a lack of commitment from their governments towar</w:t>
      </w:r>
      <w:r w:rsidR="000E7A7D" w:rsidRPr="0037330A">
        <w:rPr>
          <w:rFonts w:ascii="Book Antiqua" w:hAnsi="Book Antiqua"/>
          <w:color w:val="000000" w:themeColor="text1"/>
          <w:lang w:val="en-GB"/>
        </w:rPr>
        <w:t>ds investment in diabetes care.</w:t>
      </w:r>
    </w:p>
    <w:p w14:paraId="2E3BFA5A" w14:textId="71B911E8" w:rsidR="00146528" w:rsidRPr="0037330A" w:rsidRDefault="00146528" w:rsidP="00146B63">
      <w:pPr>
        <w:pStyle w:val="a3"/>
        <w:snapToGrid w:val="0"/>
        <w:spacing w:line="360" w:lineRule="auto"/>
        <w:ind w:left="0" w:firstLineChars="100" w:firstLine="240"/>
        <w:contextualSpacing w:val="0"/>
        <w:jc w:val="both"/>
        <w:rPr>
          <w:rFonts w:ascii="Book Antiqua" w:hAnsi="Book Antiqua"/>
          <w:lang w:val="en-GB"/>
        </w:rPr>
      </w:pPr>
      <w:r w:rsidRPr="0037330A">
        <w:rPr>
          <w:rFonts w:ascii="Book Antiqua" w:hAnsi="Book Antiqua"/>
          <w:bCs/>
          <w:lang w:val="en-GB"/>
        </w:rPr>
        <w:t xml:space="preserve">Several respondents also cited high import taxes </w:t>
      </w:r>
      <w:r w:rsidRPr="0037330A">
        <w:rPr>
          <w:rFonts w:ascii="Book Antiqua" w:hAnsi="Book Antiqua"/>
          <w:bCs/>
          <w:color w:val="000000" w:themeColor="text1"/>
          <w:lang w:val="en-GB"/>
        </w:rPr>
        <w:t>and tariffs levied on HbA1c reagents and machines</w:t>
      </w:r>
      <w:r w:rsidR="00E21D89" w:rsidRPr="0037330A">
        <w:rPr>
          <w:rFonts w:ascii="Book Antiqua" w:hAnsi="Book Antiqua"/>
          <w:bCs/>
          <w:color w:val="000000" w:themeColor="text1"/>
          <w:lang w:val="en-GB"/>
        </w:rPr>
        <w:t xml:space="preserve"> and </w:t>
      </w:r>
      <w:r w:rsidR="00D50A29" w:rsidRPr="0037330A">
        <w:rPr>
          <w:rFonts w:ascii="Book Antiqua" w:hAnsi="Book Antiqua"/>
          <w:bCs/>
          <w:color w:val="000000" w:themeColor="text1"/>
          <w:lang w:val="en-GB"/>
        </w:rPr>
        <w:t>resultant delays in customs clearance</w:t>
      </w:r>
      <w:r w:rsidR="00E21D89" w:rsidRPr="0037330A">
        <w:rPr>
          <w:rFonts w:ascii="Book Antiqua" w:hAnsi="Book Antiqua"/>
          <w:bCs/>
          <w:color w:val="000000" w:themeColor="text1"/>
          <w:lang w:val="en-GB"/>
        </w:rPr>
        <w:t xml:space="preserve">. </w:t>
      </w:r>
      <w:r w:rsidR="00D50A29" w:rsidRPr="0037330A">
        <w:rPr>
          <w:rFonts w:ascii="Book Antiqua" w:hAnsi="Book Antiqua"/>
          <w:bCs/>
          <w:color w:val="000000" w:themeColor="text1"/>
          <w:lang w:val="en-GB"/>
        </w:rPr>
        <w:t>Such taxes and tariffs have</w:t>
      </w:r>
      <w:r w:rsidR="000D05F5" w:rsidRPr="0037330A">
        <w:rPr>
          <w:rFonts w:ascii="Book Antiqua" w:hAnsi="Book Antiqua"/>
          <w:bCs/>
          <w:color w:val="000000" w:themeColor="text1"/>
          <w:lang w:val="en-GB"/>
        </w:rPr>
        <w:t xml:space="preserve"> been raised by other researchers as further deterring</w:t>
      </w:r>
      <w:r w:rsidRPr="0037330A">
        <w:rPr>
          <w:rFonts w:ascii="Book Antiqua" w:hAnsi="Book Antiqua"/>
          <w:color w:val="000000" w:themeColor="text1"/>
          <w:lang w:val="en-GB"/>
        </w:rPr>
        <w:t xml:space="preserve"> national procurement officials from procuring machines and reagents as </w:t>
      </w:r>
      <w:r w:rsidR="000D05F5" w:rsidRPr="0037330A">
        <w:rPr>
          <w:rFonts w:ascii="Book Antiqua" w:hAnsi="Book Antiqua"/>
          <w:color w:val="000000" w:themeColor="text1"/>
          <w:lang w:val="en-GB"/>
        </w:rPr>
        <w:t xml:space="preserve">the higher costs would be usually passed on to </w:t>
      </w:r>
      <w:r w:rsidRPr="0037330A">
        <w:rPr>
          <w:rFonts w:ascii="Book Antiqua" w:hAnsi="Book Antiqua"/>
          <w:color w:val="000000" w:themeColor="text1"/>
          <w:lang w:val="en-GB"/>
        </w:rPr>
        <w:t xml:space="preserve">patients would face </w:t>
      </w:r>
      <w:r w:rsidR="000D05F5" w:rsidRPr="0037330A">
        <w:rPr>
          <w:rFonts w:ascii="Book Antiqua" w:hAnsi="Book Antiqua"/>
          <w:color w:val="000000" w:themeColor="text1"/>
          <w:lang w:val="en-GB"/>
        </w:rPr>
        <w:t xml:space="preserve">further </w:t>
      </w:r>
      <w:r w:rsidRPr="0037330A">
        <w:rPr>
          <w:rFonts w:ascii="Book Antiqua" w:hAnsi="Book Antiqua"/>
          <w:color w:val="000000" w:themeColor="text1"/>
          <w:lang w:val="en-GB"/>
        </w:rPr>
        <w:t>difficulty in affording them</w:t>
      </w:r>
      <w:r w:rsidRPr="0037330A">
        <w:rPr>
          <w:rFonts w:ascii="Book Antiqua" w:hAnsi="Book Antiqua"/>
          <w:color w:val="000000" w:themeColor="text1"/>
          <w:lang w:val="en-GB"/>
        </w:rPr>
        <w:fldChar w:fldCharType="begin" w:fldLock="1"/>
      </w:r>
      <w:r w:rsidR="005D2E95" w:rsidRPr="0037330A">
        <w:rPr>
          <w:rFonts w:ascii="Book Antiqua" w:hAnsi="Book Antiqua"/>
          <w:color w:val="000000" w:themeColor="text1"/>
          <w:lang w:val="en-GB"/>
        </w:rPr>
        <w:instrText>ADDIN CSL_CITATION {"citationItems":[{"id":"ITEM-1","itemData":{"DOI":"10.1155/2018/6093595","ISSN":"23146753","PMID":"29682580","abstract":"&lt;p&gt;Sub-Saharan Africa (SSA) continues to have the highest diabetes-related mortality rate in the world. While there exists a multitude of health system barriers driving poor diabetes control, rural facilities particularly in SSA lack access to proper monitoring of glucose and other key biologic tests. At best, most of these diabetes patients receive random blood sugar readings only on the day of their clinic visit. This approach has very limited clinical value in determining dosage adjustments for narrow therapeutic index medications such as insulin. Furthermore, access to other blood tests and physical exam tools for detecting early signs of diabetes complications is limited. We propose that routine access to hemoglobin A1c (HbA1c) testing would not only allow for close monitoring of diabetes control but also provide critical data informing the population level risk for diabetes complications. However, implementing HbA1c testing does have its own barriers at rural facilities, including high costs, refrigeration requirements, and perceived discordance between HbA1c values and mean blood glucose levels for SSA patients. Fortunately, several pilots in rural SSA have illustrated feasibility of HbA1c testing. Further political will, price reduction, and context-specific research are needed. Increasing access to HbA1c testing is a critical step to combat the high diabetes-related mortality rates in rural SSA.&lt;/p&gt;","author":[{"dropping-particle":"","family":"Park","given":"Paul H.","non-dropping-particle":"","parse-names":false,"suffix":""},{"dropping-particle":"","family":"Pastakia","given":"Sonak D.","non-dropping-particle":"","parse-names":false,"suffix":""}],"container-title":"Journal of Diabetes Research","id":"ITEM-1","issued":{"date-parts":[["2018"]]},"title":"Access to Hemoglobin A1c in Rural Africa: A Difficult Reality with Severe Consequences","type":"article-journal","volume":"2018"},"uris":["http://www.mendeley.com/documents/?uuid=04ccd527-6faf-49e0-814f-63905988184e"]}],"mendeley":{"formattedCitation":"&lt;sup&gt;[26]&lt;/sup&gt;","plainTextFormattedCitation":"[26]","previouslyFormattedCitation":"&lt;sup&gt;[26]&lt;/sup&gt;"},"properties":{"noteIndex":0},"schema":"https://github.com/citation-style-language/schema/raw/master/csl-citation.json"}</w:instrText>
      </w:r>
      <w:r w:rsidRPr="0037330A">
        <w:rPr>
          <w:rFonts w:ascii="Book Antiqua" w:hAnsi="Book Antiqua"/>
          <w:color w:val="000000" w:themeColor="text1"/>
          <w:lang w:val="en-GB"/>
        </w:rPr>
        <w:fldChar w:fldCharType="separate"/>
      </w:r>
      <w:r w:rsidR="00283313" w:rsidRPr="0037330A">
        <w:rPr>
          <w:rFonts w:ascii="Book Antiqua" w:hAnsi="Book Antiqua"/>
          <w:color w:val="000000" w:themeColor="text1"/>
          <w:vertAlign w:val="superscript"/>
          <w:lang w:val="en-GB"/>
        </w:rPr>
        <w:t>[26]</w:t>
      </w:r>
      <w:r w:rsidRPr="0037330A">
        <w:rPr>
          <w:rFonts w:ascii="Book Antiqua" w:hAnsi="Book Antiqua"/>
          <w:color w:val="000000" w:themeColor="text1"/>
          <w:lang w:val="en-GB"/>
        </w:rPr>
        <w:fldChar w:fldCharType="end"/>
      </w:r>
      <w:r w:rsidR="00A137FB" w:rsidRPr="0037330A">
        <w:rPr>
          <w:rFonts w:ascii="Book Antiqua" w:hAnsi="Book Antiqua"/>
          <w:color w:val="000000" w:themeColor="text1"/>
          <w:lang w:val="en-GB"/>
        </w:rPr>
        <w:t>.</w:t>
      </w:r>
      <w:r w:rsidRPr="0037330A">
        <w:rPr>
          <w:rFonts w:ascii="Book Antiqua" w:hAnsi="Book Antiqua"/>
          <w:color w:val="000000" w:themeColor="text1"/>
          <w:lang w:val="en-GB"/>
        </w:rPr>
        <w:t xml:space="preserve"> </w:t>
      </w:r>
      <w:r w:rsidRPr="0037330A">
        <w:rPr>
          <w:rFonts w:ascii="Book Antiqua" w:hAnsi="Book Antiqua"/>
          <w:bCs/>
          <w:color w:val="000000" w:themeColor="text1"/>
          <w:lang w:val="en-GB"/>
        </w:rPr>
        <w:t xml:space="preserve">This </w:t>
      </w:r>
      <w:r w:rsidR="000D05F5" w:rsidRPr="0037330A">
        <w:rPr>
          <w:rFonts w:ascii="Book Antiqua" w:hAnsi="Book Antiqua"/>
          <w:bCs/>
          <w:lang w:val="en-GB"/>
        </w:rPr>
        <w:t>issue of higher taxes and duties on diagnostic tests as opposed to essential medicines is also seen with self-blood glucose monitoring supplies</w:t>
      </w:r>
      <w:r w:rsidR="00A36335" w:rsidRPr="0037330A">
        <w:rPr>
          <w:rFonts w:ascii="Book Antiqua" w:hAnsi="Book Antiqua"/>
          <w:bCs/>
          <w:lang w:val="en-GB"/>
        </w:rPr>
        <w:fldChar w:fldCharType="begin" w:fldLock="1"/>
      </w:r>
      <w:r w:rsidR="000B7849" w:rsidRPr="0037330A">
        <w:rPr>
          <w:rFonts w:ascii="Book Antiqua" w:hAnsi="Book Antiqua"/>
          <w:bCs/>
          <w:lang w:val="en-GB"/>
        </w:rPr>
        <w:instrText>ADDIN CSL_CITATION {"citationItems":[{"id":"ITEM-1","itemData":{"DOI":"10.1016/S2213-8587(18)30074-3","ISSN":"2213-8587","PMID":"30072234","author":[{"dropping-particle":"","family":"Klatman","given":"Emma Louise","non-dropping-particle":"","parse-names":false,"suffix":""},{"dropping-particle":"","family":"Jenkins","given":"Alicia Josephine","non-dropping-particle":"","parse-names":false,"suffix":""},{"dropping-particle":"","family":"Ahmedani","given":"Muhammad Yakoob","non-dropping-particle":"","parse-names":false,"suffix":""},{"dropping-particle":"","family":"Ogle","given":"Graham David","non-dropping-particle":"","parse-names":false,"suffix":""}],"container-title":"The Lancet Diabetes &amp; Endocrinology","id":"ITEM-1","issue":"2","issued":{"date-parts":[["2019"]]},"page":"150-160","title":"Blood glucose meters and test strips: global market and challenges to access in low-resource settings","type":"article-journal","volume":"7"},"uris":["http://www.mendeley.com/documents/?uuid=bc6afc5a-9e56-4bfc-83ec-daa179c1ff77"]}],"mendeley":{"formattedCitation":"&lt;sup&gt;[10]&lt;/sup&gt;","plainTextFormattedCitation":"[10]","previouslyFormattedCitation":"&lt;sup&gt;[10]&lt;/sup&gt;"},"properties":{"noteIndex":0},"schema":"https://github.com/citation-style-language/schema/raw/master/csl-citation.json"}</w:instrText>
      </w:r>
      <w:r w:rsidR="00A36335" w:rsidRPr="0037330A">
        <w:rPr>
          <w:rFonts w:ascii="Book Antiqua" w:hAnsi="Book Antiqua"/>
          <w:bCs/>
          <w:lang w:val="en-GB"/>
        </w:rPr>
        <w:fldChar w:fldCharType="separate"/>
      </w:r>
      <w:r w:rsidR="003E1A77" w:rsidRPr="0037330A">
        <w:rPr>
          <w:rFonts w:ascii="Book Antiqua" w:hAnsi="Book Antiqua"/>
          <w:bCs/>
          <w:vertAlign w:val="superscript"/>
          <w:lang w:val="en-GB"/>
        </w:rPr>
        <w:t>[10]</w:t>
      </w:r>
      <w:r w:rsidR="00A36335" w:rsidRPr="0037330A">
        <w:rPr>
          <w:rFonts w:ascii="Book Antiqua" w:hAnsi="Book Antiqua"/>
          <w:bCs/>
          <w:lang w:val="en-GB"/>
        </w:rPr>
        <w:fldChar w:fldCharType="end"/>
      </w:r>
      <w:r w:rsidR="00A137FB" w:rsidRPr="0037330A">
        <w:rPr>
          <w:rFonts w:ascii="Book Antiqua" w:hAnsi="Book Antiqua"/>
          <w:bCs/>
          <w:lang w:val="en-GB"/>
        </w:rPr>
        <w:t>.</w:t>
      </w:r>
      <w:r w:rsidR="000D05F5" w:rsidRPr="0037330A">
        <w:rPr>
          <w:rFonts w:ascii="Book Antiqua" w:hAnsi="Book Antiqua"/>
          <w:bCs/>
          <w:lang w:val="en-GB"/>
        </w:rPr>
        <w:t xml:space="preserve"> </w:t>
      </w:r>
    </w:p>
    <w:p w14:paraId="2767E657" w14:textId="63BF6D91" w:rsidR="00937639" w:rsidRPr="0037330A" w:rsidRDefault="00937639" w:rsidP="00146B63">
      <w:pPr>
        <w:pStyle w:val="a3"/>
        <w:tabs>
          <w:tab w:val="left" w:pos="0"/>
        </w:tabs>
        <w:snapToGrid w:val="0"/>
        <w:spacing w:line="360" w:lineRule="auto"/>
        <w:ind w:left="0" w:firstLineChars="100" w:firstLine="240"/>
        <w:contextualSpacing w:val="0"/>
        <w:jc w:val="both"/>
        <w:rPr>
          <w:rFonts w:ascii="Book Antiqua" w:hAnsi="Book Antiqua"/>
          <w:bCs/>
          <w:lang w:val="en-GB"/>
        </w:rPr>
      </w:pPr>
      <w:r w:rsidRPr="0037330A">
        <w:rPr>
          <w:rFonts w:ascii="Book Antiqua" w:hAnsi="Book Antiqua"/>
          <w:bCs/>
          <w:lang w:val="en-GB"/>
        </w:rPr>
        <w:t>It should be noted that</w:t>
      </w:r>
      <w:r w:rsidR="00501336" w:rsidRPr="0037330A">
        <w:rPr>
          <w:rFonts w:ascii="Book Antiqua" w:hAnsi="Book Antiqua"/>
          <w:bCs/>
          <w:lang w:val="en-GB"/>
        </w:rPr>
        <w:t xml:space="preserve">, due to various limitations of HbA1c as a measure of medium-term glucose control, alternative methods (such as time-in-range and glycaemic variability) have been proposed and are now being used in highly-resourced T1D care settings, using metrics derived from </w:t>
      </w:r>
      <w:r w:rsidR="000E7A7D" w:rsidRPr="0037330A">
        <w:rPr>
          <w:rFonts w:ascii="Book Antiqua" w:hAnsi="Book Antiqua"/>
          <w:lang w:val="en-GB"/>
        </w:rPr>
        <w:t>continuous glucose monitoring</w:t>
      </w:r>
      <w:r w:rsidR="00501336" w:rsidRPr="0037330A">
        <w:rPr>
          <w:rFonts w:ascii="Book Antiqua" w:hAnsi="Book Antiqua"/>
          <w:lang w:val="en-GB"/>
        </w:rPr>
        <w:t xml:space="preserve"> devices</w:t>
      </w:r>
      <w:r w:rsidR="00A36335" w:rsidRPr="0037330A">
        <w:rPr>
          <w:rFonts w:ascii="Book Antiqua" w:hAnsi="Book Antiqua"/>
          <w:lang w:val="en-GB"/>
        </w:rPr>
        <w:fldChar w:fldCharType="begin" w:fldLock="1"/>
      </w:r>
      <w:r w:rsidR="005D2E95" w:rsidRPr="0037330A">
        <w:rPr>
          <w:rFonts w:ascii="Book Antiqua" w:hAnsi="Book Antiqua"/>
          <w:lang w:val="en-GB"/>
        </w:rPr>
        <w:instrText>ADDIN CSL_CITATION {"citationItems":[{"id":"ITEM-1","itemData":{"DOI":"10.1089/dia.2017.0029","ISSN":"1520-9156","PMID":"28541136","abstract":"We review clinical instances in which A1C should not be used and reflect on the use of other glucose metrics that can be used, in substitution of or in combination with A1C and SMBG, to tailor an individualized approach that will result in better outcomes and patient empowerment.","author":[{"dropping-particle":"","family":"Wright","given":"Lorena Alarcon-Casas","non-dropping-particle":"","parse-names":false,"suffix":""},{"dropping-particle":"","family":"Hirsch","given":"Irl B.","non-dropping-particle":"","parse-names":false,"suffix":""}],"container-title":"Diabetes Technology &amp; Therapeutics","id":"ITEM-1","issue":"S2","issued":{"date-parts":[["2017"]]},"page":"S-16-S-26","title":"Metrics Beyond Hemoglobin A1C in Diabetes Management: Time in Range, Hypoglycemia, and Other Parameters","type":"article-journal","volume":"19"},"uris":["http://www.mendeley.com/documents/?uuid=1c03d80c-8b5c-4a55-b1f9-8b40423172d9"]},{"id":"ITEM-2","itemData":{"DOI":"10.2337/dc17-0636","ISBN":"0515-3700","ISSN":"1935-5548","PMID":"28733374","abstract":"HbA1c is a valuablemetric for comparing treatment groups in a randomized trial, for assessing glycemic trends in a population over time, or for cross-sectional comparisons of glycemic control in different populations. However, what is not widely appreciated is that HbA1c may not be a good indicator of an individual patient's glycemic control because of the wide range of mean glucose concentrations and glucose profiles that can be associated with a given 1HbA1c level. To illustrate this point, we plotted mean glucose measured with continuous glucose monitoring (CGM) versus central laboratory-measured HbA1c in 387 participants in three randomized trials, showing that not infrequently HbA1c may underestimate or overestimate mean glucose, sometimes substantially. Thus, if HbA1c is to be used to assess glycemic control, it is imperative to know the patient's actual mean glucose to understand how well HbA1c is an indicator of the patient's glycemic control. With knowledge of the mean glucose, an estimated HbA1c (eA1C) can be calculated with the formula provided in this article to compare with the measured HbA1c. Estimating glycemic control from HbA1c alone is in essence applying a population average to an individual, which can be misleading. Thus, a patient's CGM glucose profile has considerable value for optimizing his or her diabetes management. In this era of personalized, precision medicine, there are few better examples with respect to the fallacy of applying a population average to a specific patient rather than using specific information about the patient to determine the optimal approach to treatment.","author":[{"dropping-particle":"","family":"Beck","given":"R.W.","non-dropping-particle":"","parse-names":false,"suffix":""},{"dropping-particle":"","family":"Connor","given":"C.G.","non-dropping-particle":"","parse-names":false,"suffix":""},{"dropping-particle":"","family":"Mullen","given":"D.M.","non-dropping-particle":"","parse-names":false,"suffix":""},{"dropping-particle":"","family":"Wesley","given":"D.M.","non-dropping-particle":"","parse-names":false,"suffix":""},{"dropping-particle":"","family":"Bergenstal","given":"R.M.","non-dropping-particle":"","parse-names":false,"suffix":""}],"container-title":"Diabetes Care","id":"ITEM-2","issue":"8","issued":{"date-parts":[["2017"]]},"page":"994-999","title":"The fallacy of average: How using hba1c alone to assess glycemic control can be misleading","type":"article-journal","volume":"40"},"uris":["http://www.mendeley.com/documents/?uuid=082b3f1b-f1c7-46d2-8531-b0df8cd83093"]}],"mendeley":{"formattedCitation":"&lt;sup&gt;[34,35]&lt;/sup&gt;","plainTextFormattedCitation":"[34,35]","previouslyFormattedCitation":"&lt;sup&gt;[34,35]&lt;/sup&gt;"},"properties":{"noteIndex":0},"schema":"https://github.com/citation-style-language/schema/raw/master/csl-citation.json"}</w:instrText>
      </w:r>
      <w:r w:rsidR="00A36335" w:rsidRPr="0037330A">
        <w:rPr>
          <w:rFonts w:ascii="Book Antiqua" w:hAnsi="Book Antiqua"/>
          <w:lang w:val="en-GB"/>
        </w:rPr>
        <w:fldChar w:fldCharType="separate"/>
      </w:r>
      <w:r w:rsidR="00283313" w:rsidRPr="0037330A">
        <w:rPr>
          <w:rFonts w:ascii="Book Antiqua" w:hAnsi="Book Antiqua"/>
          <w:vertAlign w:val="superscript"/>
          <w:lang w:val="en-GB"/>
        </w:rPr>
        <w:t>[3</w:t>
      </w:r>
      <w:r w:rsidR="001E44BF" w:rsidRPr="0037330A">
        <w:rPr>
          <w:rFonts w:ascii="Book Antiqua" w:eastAsiaTheme="minorEastAsia" w:hAnsi="Book Antiqua"/>
          <w:vertAlign w:val="superscript"/>
          <w:lang w:val="en-GB" w:eastAsia="zh-CN"/>
        </w:rPr>
        <w:t>3</w:t>
      </w:r>
      <w:r w:rsidR="00283313" w:rsidRPr="0037330A">
        <w:rPr>
          <w:rFonts w:ascii="Book Antiqua" w:hAnsi="Book Antiqua"/>
          <w:vertAlign w:val="superscript"/>
          <w:lang w:val="en-GB"/>
        </w:rPr>
        <w:t>,3</w:t>
      </w:r>
      <w:r w:rsidR="001E44BF" w:rsidRPr="0037330A">
        <w:rPr>
          <w:rFonts w:ascii="Book Antiqua" w:eastAsiaTheme="minorEastAsia" w:hAnsi="Book Antiqua"/>
          <w:vertAlign w:val="superscript"/>
          <w:lang w:val="en-GB" w:eastAsia="zh-CN"/>
        </w:rPr>
        <w:t>4</w:t>
      </w:r>
      <w:r w:rsidR="00283313" w:rsidRPr="0037330A">
        <w:rPr>
          <w:rFonts w:ascii="Book Antiqua" w:hAnsi="Book Antiqua"/>
          <w:vertAlign w:val="superscript"/>
          <w:lang w:val="en-GB"/>
        </w:rPr>
        <w:t>]</w:t>
      </w:r>
      <w:r w:rsidR="00A36335" w:rsidRPr="0037330A">
        <w:rPr>
          <w:rFonts w:ascii="Book Antiqua" w:hAnsi="Book Antiqua"/>
          <w:lang w:val="en-GB"/>
        </w:rPr>
        <w:fldChar w:fldCharType="end"/>
      </w:r>
      <w:r w:rsidR="00A137FB" w:rsidRPr="0037330A">
        <w:rPr>
          <w:rFonts w:ascii="Book Antiqua" w:hAnsi="Book Antiqua"/>
          <w:lang w:val="en-GB"/>
        </w:rPr>
        <w:t>.</w:t>
      </w:r>
      <w:r w:rsidR="00501336" w:rsidRPr="0037330A">
        <w:rPr>
          <w:rFonts w:ascii="Book Antiqua" w:hAnsi="Book Antiqua"/>
          <w:lang w:val="en-GB"/>
        </w:rPr>
        <w:t xml:space="preserve"> However, currently these devices are prohibitively </w:t>
      </w:r>
      <w:r w:rsidR="00501336" w:rsidRPr="0037330A">
        <w:rPr>
          <w:rFonts w:ascii="Book Antiqua" w:hAnsi="Book Antiqua"/>
          <w:lang w:val="en-GB"/>
        </w:rPr>
        <w:lastRenderedPageBreak/>
        <w:t xml:space="preserve">expensive for less-resourced situations. </w:t>
      </w:r>
      <w:r w:rsidRPr="0037330A">
        <w:rPr>
          <w:rFonts w:ascii="Book Antiqua" w:hAnsi="Book Antiqua"/>
          <w:bCs/>
          <w:lang w:val="en-GB"/>
        </w:rPr>
        <w:t xml:space="preserve">HbA1c is also critical in the management of the much larger problem of </w:t>
      </w:r>
      <w:r w:rsidR="000E7A7D" w:rsidRPr="0037330A">
        <w:rPr>
          <w:rFonts w:ascii="Book Antiqua" w:hAnsi="Book Antiqua"/>
          <w:bCs/>
          <w:lang w:val="en-GB"/>
        </w:rPr>
        <w:t xml:space="preserve">Type </w:t>
      </w:r>
      <w:r w:rsidRPr="0037330A">
        <w:rPr>
          <w:rFonts w:ascii="Book Antiqua" w:hAnsi="Book Antiqua"/>
          <w:bCs/>
          <w:lang w:val="en-GB"/>
        </w:rPr>
        <w:t xml:space="preserve">2 diabetes, and also now has a substantial role in diagnosis and screening of </w:t>
      </w:r>
      <w:r w:rsidR="000E7A7D" w:rsidRPr="0037330A">
        <w:rPr>
          <w:rFonts w:ascii="Book Antiqua" w:hAnsi="Book Antiqua"/>
          <w:bCs/>
          <w:lang w:val="en-GB"/>
        </w:rPr>
        <w:t xml:space="preserve">Type </w:t>
      </w:r>
      <w:r w:rsidRPr="0037330A">
        <w:rPr>
          <w:rFonts w:ascii="Book Antiqua" w:hAnsi="Book Antiqua"/>
          <w:bCs/>
          <w:lang w:val="en-GB"/>
        </w:rPr>
        <w:t>2</w:t>
      </w:r>
      <w:r w:rsidR="00A36335" w:rsidRPr="0037330A">
        <w:rPr>
          <w:rFonts w:ascii="Book Antiqua" w:hAnsi="Book Antiqua"/>
          <w:bCs/>
          <w:lang w:val="en-GB"/>
        </w:rPr>
        <w:fldChar w:fldCharType="begin" w:fldLock="1"/>
      </w:r>
      <w:r w:rsidR="005D2E95" w:rsidRPr="0037330A">
        <w:rPr>
          <w:rFonts w:ascii="Book Antiqua" w:hAnsi="Book Antiqua"/>
          <w:bCs/>
          <w:lang w:val="en-GB"/>
        </w:rPr>
        <w:instrText>ADDIN CSL_CITATION {"citationItems":[{"id":"ITEM-1","itemData":{"DOI":"10.2337/dc19-Sint01","PMID":"30559224","container-title":"Diabetes care","id":"ITEM-1","issue":"Suppl 1","issued":{"date-parts":[["2020"]]},"page":"S14-S31","title":"Classification and diagnosis of diabetes: Standards of medical care in diabetes","type":"article-journal","volume":"43"},"uris":["http://www.mendeley.com/documents/?uuid=f53d88c4-cc35-4d10-a1af-dd84eccd57b4"]}],"mendeley":{"formattedCitation":"&lt;sup&gt;[36]&lt;/sup&gt;","plainTextFormattedCitation":"[36]","previouslyFormattedCitation":"&lt;sup&gt;[36]&lt;/sup&gt;"},"properties":{"noteIndex":0},"schema":"https://github.com/citation-style-language/schema/raw/master/csl-citation.json"}</w:instrText>
      </w:r>
      <w:r w:rsidR="00A36335" w:rsidRPr="0037330A">
        <w:rPr>
          <w:rFonts w:ascii="Book Antiqua" w:hAnsi="Book Antiqua"/>
          <w:bCs/>
          <w:lang w:val="en-GB"/>
        </w:rPr>
        <w:fldChar w:fldCharType="separate"/>
      </w:r>
      <w:r w:rsidR="00283313" w:rsidRPr="0037330A">
        <w:rPr>
          <w:rFonts w:ascii="Book Antiqua" w:hAnsi="Book Antiqua"/>
          <w:bCs/>
          <w:vertAlign w:val="superscript"/>
          <w:lang w:val="en-GB"/>
        </w:rPr>
        <w:t>[3</w:t>
      </w:r>
      <w:r w:rsidR="001E44BF" w:rsidRPr="0037330A">
        <w:rPr>
          <w:rFonts w:ascii="Book Antiqua" w:eastAsiaTheme="minorEastAsia" w:hAnsi="Book Antiqua"/>
          <w:bCs/>
          <w:vertAlign w:val="superscript"/>
          <w:lang w:val="en-GB" w:eastAsia="zh-CN"/>
        </w:rPr>
        <w:t>5</w:t>
      </w:r>
      <w:r w:rsidR="00283313" w:rsidRPr="0037330A">
        <w:rPr>
          <w:rFonts w:ascii="Book Antiqua" w:hAnsi="Book Antiqua"/>
          <w:bCs/>
          <w:vertAlign w:val="superscript"/>
          <w:lang w:val="en-GB"/>
        </w:rPr>
        <w:t>]</w:t>
      </w:r>
      <w:r w:rsidR="00A36335" w:rsidRPr="0037330A">
        <w:rPr>
          <w:rFonts w:ascii="Book Antiqua" w:hAnsi="Book Antiqua"/>
          <w:bCs/>
          <w:lang w:val="en-GB"/>
        </w:rPr>
        <w:fldChar w:fldCharType="end"/>
      </w:r>
      <w:r w:rsidR="00A137FB" w:rsidRPr="0037330A">
        <w:rPr>
          <w:rFonts w:ascii="Book Antiqua" w:hAnsi="Book Antiqua"/>
          <w:bCs/>
          <w:lang w:val="en-GB"/>
        </w:rPr>
        <w:t>.</w:t>
      </w:r>
      <w:r w:rsidR="00501336" w:rsidRPr="0037330A">
        <w:rPr>
          <w:rFonts w:ascii="Book Antiqua" w:hAnsi="Book Antiqua"/>
          <w:bCs/>
          <w:lang w:val="en-GB"/>
        </w:rPr>
        <w:t xml:space="preserve"> Therefore</w:t>
      </w:r>
      <w:r w:rsidR="00A058B2" w:rsidRPr="0037330A">
        <w:rPr>
          <w:rFonts w:ascii="Book Antiqua" w:hAnsi="Book Antiqua"/>
          <w:bCs/>
          <w:lang w:val="en-GB"/>
        </w:rPr>
        <w:t>,</w:t>
      </w:r>
      <w:r w:rsidR="00501336" w:rsidRPr="0037330A">
        <w:rPr>
          <w:rFonts w:ascii="Book Antiqua" w:hAnsi="Book Antiqua"/>
          <w:bCs/>
          <w:lang w:val="en-GB"/>
        </w:rPr>
        <w:t xml:space="preserve"> availability of this test will remain a critical issue in diabetes care </w:t>
      </w:r>
      <w:r w:rsidR="005B64BF" w:rsidRPr="0037330A">
        <w:rPr>
          <w:rFonts w:ascii="Book Antiqua" w:hAnsi="Book Antiqua"/>
          <w:bCs/>
          <w:lang w:val="en-GB"/>
        </w:rPr>
        <w:t xml:space="preserve">in LMICs </w:t>
      </w:r>
      <w:r w:rsidR="00501336" w:rsidRPr="0037330A">
        <w:rPr>
          <w:rFonts w:ascii="Book Antiqua" w:hAnsi="Book Antiqua"/>
          <w:bCs/>
          <w:lang w:val="en-GB"/>
        </w:rPr>
        <w:t xml:space="preserve">for the foreseeable future. </w:t>
      </w:r>
    </w:p>
    <w:p w14:paraId="1D2F54EA" w14:textId="07733845" w:rsidR="006D1187" w:rsidRPr="0037330A" w:rsidRDefault="001C56BF" w:rsidP="00146B63">
      <w:pPr>
        <w:pStyle w:val="a3"/>
        <w:snapToGrid w:val="0"/>
        <w:spacing w:line="360" w:lineRule="auto"/>
        <w:ind w:left="0" w:firstLineChars="100" w:firstLine="240"/>
        <w:contextualSpacing w:val="0"/>
        <w:jc w:val="both"/>
        <w:rPr>
          <w:rFonts w:ascii="Book Antiqua" w:hAnsi="Book Antiqua"/>
          <w:lang w:val="en-GB"/>
        </w:rPr>
      </w:pPr>
      <w:bookmarkStart w:id="11" w:name="OLE_LINK1"/>
      <w:bookmarkStart w:id="12" w:name="OLE_LINK2"/>
      <w:r w:rsidRPr="0037330A">
        <w:rPr>
          <w:rFonts w:ascii="Book Antiqua" w:hAnsi="Book Antiqua"/>
          <w:lang w:val="en-GB"/>
        </w:rPr>
        <w:t xml:space="preserve">In conclusion, </w:t>
      </w:r>
      <w:r w:rsidR="00A058B2" w:rsidRPr="0037330A">
        <w:rPr>
          <w:rFonts w:ascii="Book Antiqua" w:hAnsi="Book Antiqua"/>
          <w:lang w:val="en-GB"/>
        </w:rPr>
        <w:t xml:space="preserve">public health systems in </w:t>
      </w:r>
      <w:r w:rsidR="0001308F" w:rsidRPr="0037330A">
        <w:rPr>
          <w:rFonts w:ascii="Book Antiqua" w:hAnsi="Book Antiqua"/>
          <w:lang w:val="en-GB"/>
        </w:rPr>
        <w:t>LMICs</w:t>
      </w:r>
      <w:r w:rsidR="00A058B2" w:rsidRPr="0037330A">
        <w:rPr>
          <w:rFonts w:ascii="Book Antiqua" w:hAnsi="Book Antiqua"/>
          <w:lang w:val="en-GB"/>
        </w:rPr>
        <w:t xml:space="preserve"> are frequently unable to provide access to a</w:t>
      </w:r>
      <w:r w:rsidRPr="0037330A">
        <w:rPr>
          <w:rFonts w:ascii="Book Antiqua" w:hAnsi="Book Antiqua"/>
          <w:lang w:val="en-GB"/>
        </w:rPr>
        <w:t>ppropriate injection devices and HbA1c testing</w:t>
      </w:r>
      <w:r w:rsidR="00A058B2" w:rsidRPr="0037330A">
        <w:rPr>
          <w:rFonts w:ascii="Book Antiqua" w:hAnsi="Book Antiqua"/>
          <w:lang w:val="en-GB"/>
        </w:rPr>
        <w:t xml:space="preserve"> for people with diabetes. Furthermore, the cost of private purchase is often prohibitive, even if these components of care are available. This</w:t>
      </w:r>
      <w:r w:rsidRPr="0037330A">
        <w:rPr>
          <w:rFonts w:ascii="Book Antiqua" w:hAnsi="Book Antiqua"/>
          <w:lang w:val="en-GB"/>
        </w:rPr>
        <w:t xml:space="preserve"> compromises the level of care that can be provided. </w:t>
      </w:r>
      <w:r w:rsidR="00A058B2" w:rsidRPr="0037330A">
        <w:rPr>
          <w:rFonts w:ascii="Book Antiqua" w:hAnsi="Book Antiqua"/>
          <w:lang w:val="en-GB"/>
        </w:rPr>
        <w:t xml:space="preserve">Many countries are currently reliant on international donations. </w:t>
      </w:r>
      <w:r w:rsidR="006D1187" w:rsidRPr="0037330A">
        <w:rPr>
          <w:rFonts w:ascii="Book Antiqua" w:hAnsi="Book Antiqua"/>
          <w:lang w:val="en-GB"/>
        </w:rPr>
        <w:t xml:space="preserve">Implementation of HbA1c testing is further compromised by challenges with providing education, refrigeration, and equipment maintenance. </w:t>
      </w:r>
    </w:p>
    <w:p w14:paraId="1AD23997" w14:textId="091BDE7C" w:rsidR="005E27B9" w:rsidRPr="0037330A" w:rsidRDefault="001C56BF" w:rsidP="00146B63">
      <w:pPr>
        <w:pStyle w:val="a3"/>
        <w:snapToGrid w:val="0"/>
        <w:spacing w:line="360" w:lineRule="auto"/>
        <w:ind w:left="0" w:firstLine="360"/>
        <w:contextualSpacing w:val="0"/>
        <w:jc w:val="both"/>
        <w:rPr>
          <w:rFonts w:ascii="Book Antiqua" w:eastAsiaTheme="minorEastAsia" w:hAnsi="Book Antiqua"/>
          <w:lang w:val="en-GB" w:eastAsia="zh-CN"/>
        </w:rPr>
      </w:pPr>
      <w:r w:rsidRPr="0037330A">
        <w:rPr>
          <w:rFonts w:ascii="Book Antiqua" w:hAnsi="Book Antiqua"/>
          <w:lang w:val="en-GB"/>
        </w:rPr>
        <w:t>Based on these findings, we make the following recommendations:</w:t>
      </w:r>
      <w:r w:rsidR="0012679A" w:rsidRPr="0037330A">
        <w:rPr>
          <w:rFonts w:ascii="Book Antiqua" w:eastAsiaTheme="minorEastAsia" w:hAnsi="Book Antiqua"/>
          <w:lang w:val="en-GB" w:eastAsia="zh-CN"/>
        </w:rPr>
        <w:t xml:space="preserve"> (1) </w:t>
      </w:r>
      <w:r w:rsidR="005E27B9" w:rsidRPr="0037330A">
        <w:rPr>
          <w:rFonts w:ascii="Book Antiqua" w:hAnsi="Book Antiqua"/>
          <w:lang w:val="en-GB"/>
        </w:rPr>
        <w:t xml:space="preserve">National health schemes with limited resources should provide appropriate fine-gauge and short-length insulin syringes for people with T1D, including smaller volume </w:t>
      </w:r>
      <w:r w:rsidR="0012679A" w:rsidRPr="0037330A">
        <w:rPr>
          <w:rFonts w:ascii="Book Antiqua" w:hAnsi="Book Antiqua"/>
          <w:lang w:val="en-GB"/>
        </w:rPr>
        <w:t xml:space="preserve">syringes for younger children. </w:t>
      </w:r>
      <w:r w:rsidR="0012679A" w:rsidRPr="0037330A">
        <w:rPr>
          <w:rFonts w:ascii="Book Antiqua" w:eastAsiaTheme="minorEastAsia" w:hAnsi="Book Antiqua"/>
          <w:lang w:val="en-GB" w:eastAsia="zh-CN"/>
        </w:rPr>
        <w:t xml:space="preserve">(2) </w:t>
      </w:r>
      <w:r w:rsidR="005E27B9" w:rsidRPr="0037330A">
        <w:rPr>
          <w:rFonts w:ascii="Book Antiqua" w:hAnsi="Book Antiqua"/>
          <w:lang w:val="en-GB"/>
        </w:rPr>
        <w:t xml:space="preserve">Provision of reusable pens and cartridge insulin is preferable where resources permit. Equivalence of prices for vial and cartridge insulin would allow use of reusable pens as the ideal delivery method in </w:t>
      </w:r>
      <w:r w:rsidR="0001308F" w:rsidRPr="0037330A">
        <w:rPr>
          <w:rFonts w:ascii="Book Antiqua" w:hAnsi="Book Antiqua"/>
          <w:lang w:val="en-GB"/>
        </w:rPr>
        <w:t>LMICs</w:t>
      </w:r>
      <w:r w:rsidR="005E27B9" w:rsidRPr="0037330A">
        <w:rPr>
          <w:rFonts w:ascii="Book Antiqua" w:hAnsi="Book Antiqua"/>
          <w:lang w:val="en-GB"/>
        </w:rPr>
        <w:t>, and also eliminate one of the extra costs associated wi</w:t>
      </w:r>
      <w:r w:rsidR="0012679A" w:rsidRPr="0037330A">
        <w:rPr>
          <w:rFonts w:ascii="Book Antiqua" w:hAnsi="Book Antiqua"/>
          <w:lang w:val="en-GB"/>
        </w:rPr>
        <w:t>th insulin pumps.</w:t>
      </w:r>
      <w:r w:rsidR="0012679A" w:rsidRPr="0037330A">
        <w:rPr>
          <w:rFonts w:ascii="Book Antiqua" w:eastAsiaTheme="minorEastAsia" w:hAnsi="Book Antiqua"/>
          <w:lang w:val="en-GB" w:eastAsia="zh-CN"/>
        </w:rPr>
        <w:t xml:space="preserve"> (3) </w:t>
      </w:r>
      <w:r w:rsidR="005E27B9" w:rsidRPr="0037330A">
        <w:rPr>
          <w:rFonts w:ascii="Book Antiqua" w:hAnsi="Book Antiqua"/>
          <w:lang w:val="en-GB"/>
        </w:rPr>
        <w:t xml:space="preserve">Reuse of syringes </w:t>
      </w:r>
      <w:r w:rsidR="00003749" w:rsidRPr="0037330A">
        <w:rPr>
          <w:rFonts w:ascii="Book Antiqua" w:hAnsi="Book Antiqua"/>
          <w:lang w:val="en-GB"/>
        </w:rPr>
        <w:t xml:space="preserve">by individual patients </w:t>
      </w:r>
      <w:r w:rsidR="005E27B9" w:rsidRPr="0037330A">
        <w:rPr>
          <w:rFonts w:ascii="Book Antiqua" w:hAnsi="Book Antiqua"/>
          <w:lang w:val="en-GB"/>
        </w:rPr>
        <w:t xml:space="preserve">is not optimal but is generally safe as long as there is appropriate personal hygiene. It should be restricted to five uses of a particular syringe, with </w:t>
      </w:r>
      <w:r w:rsidR="00003749" w:rsidRPr="0037330A">
        <w:rPr>
          <w:rFonts w:ascii="Book Antiqua" w:hAnsi="Book Antiqua"/>
          <w:lang w:val="en-GB"/>
        </w:rPr>
        <w:t>patients</w:t>
      </w:r>
      <w:r w:rsidR="005E27B9" w:rsidRPr="0037330A">
        <w:rPr>
          <w:rFonts w:ascii="Book Antiqua" w:hAnsi="Book Antiqua"/>
          <w:lang w:val="en-GB"/>
        </w:rPr>
        <w:t xml:space="preserve"> being warned about early signs of infection. Inspection of injection sites, and site rotation should be checked at each clinic visit.</w:t>
      </w:r>
      <w:r w:rsidR="0012679A" w:rsidRPr="0037330A">
        <w:rPr>
          <w:rFonts w:ascii="Book Antiqua" w:eastAsiaTheme="minorEastAsia" w:hAnsi="Book Antiqua"/>
          <w:lang w:val="en-GB" w:eastAsia="zh-CN"/>
        </w:rPr>
        <w:t xml:space="preserve"> (4) </w:t>
      </w:r>
      <w:r w:rsidR="00EC6123" w:rsidRPr="0037330A">
        <w:rPr>
          <w:rFonts w:ascii="Book Antiqua" w:hAnsi="Book Antiqua"/>
          <w:lang w:val="en-GB"/>
        </w:rPr>
        <w:t>Practical guidelines should be in place for each country re syringe disposal.</w:t>
      </w:r>
      <w:r w:rsidR="0012679A" w:rsidRPr="0037330A">
        <w:rPr>
          <w:rFonts w:ascii="Book Antiqua" w:hAnsi="Book Antiqua"/>
          <w:lang w:val="en-GB"/>
        </w:rPr>
        <w:t xml:space="preserve"> </w:t>
      </w:r>
      <w:r w:rsidR="0012679A" w:rsidRPr="0037330A">
        <w:rPr>
          <w:rFonts w:ascii="Book Antiqua" w:eastAsiaTheme="minorEastAsia" w:hAnsi="Book Antiqua"/>
          <w:lang w:val="en-GB" w:eastAsia="zh-CN"/>
        </w:rPr>
        <w:t xml:space="preserve">(5) </w:t>
      </w:r>
      <w:r w:rsidR="005E27B9" w:rsidRPr="0037330A">
        <w:rPr>
          <w:rFonts w:ascii="Book Antiqua" w:hAnsi="Book Antiqua"/>
          <w:lang w:val="en-GB"/>
        </w:rPr>
        <w:t>HbA1c testing, preferably four times per year, is a mandatory part of T1D car</w:t>
      </w:r>
      <w:r w:rsidR="0012679A" w:rsidRPr="0037330A">
        <w:rPr>
          <w:rFonts w:ascii="Book Antiqua" w:hAnsi="Book Antiqua"/>
          <w:lang w:val="en-GB"/>
        </w:rPr>
        <w:t>e in any country,</w:t>
      </w:r>
      <w:r w:rsidR="0012679A" w:rsidRPr="0037330A">
        <w:rPr>
          <w:rFonts w:ascii="Book Antiqua" w:eastAsiaTheme="minorEastAsia" w:hAnsi="Book Antiqua"/>
          <w:lang w:val="en-GB" w:eastAsia="zh-CN"/>
        </w:rPr>
        <w:t xml:space="preserve"> </w:t>
      </w:r>
      <w:r w:rsidR="005E27B9" w:rsidRPr="0037330A">
        <w:rPr>
          <w:rFonts w:ascii="Book Antiqua" w:hAnsi="Book Antiqua"/>
          <w:lang w:val="en-GB"/>
        </w:rPr>
        <w:t xml:space="preserve">unless supplanted by </w:t>
      </w:r>
      <w:r w:rsidR="000E7A7D" w:rsidRPr="0037330A">
        <w:rPr>
          <w:rFonts w:ascii="Book Antiqua" w:hAnsi="Book Antiqua"/>
          <w:lang w:val="en-GB"/>
        </w:rPr>
        <w:t>continuous glucose monitoring</w:t>
      </w:r>
      <w:r w:rsidR="005E27B9" w:rsidRPr="0037330A">
        <w:rPr>
          <w:rFonts w:ascii="Book Antiqua" w:hAnsi="Book Antiqua"/>
          <w:lang w:val="en-GB"/>
        </w:rPr>
        <w:t xml:space="preserve"> d</w:t>
      </w:r>
      <w:r w:rsidR="0012679A" w:rsidRPr="0037330A">
        <w:rPr>
          <w:rFonts w:ascii="Book Antiqua" w:hAnsi="Book Antiqua"/>
          <w:lang w:val="en-GB"/>
        </w:rPr>
        <w:t>evices measuring time-in-range.</w:t>
      </w:r>
      <w:r w:rsidR="0012679A" w:rsidRPr="0037330A">
        <w:rPr>
          <w:rFonts w:ascii="Book Antiqua" w:eastAsiaTheme="minorEastAsia" w:hAnsi="Book Antiqua"/>
          <w:lang w:val="en-GB" w:eastAsia="zh-CN"/>
        </w:rPr>
        <w:t xml:space="preserve"> (6) </w:t>
      </w:r>
      <w:r w:rsidR="00A058B2" w:rsidRPr="0037330A">
        <w:rPr>
          <w:rFonts w:ascii="Book Antiqua" w:hAnsi="Book Antiqua"/>
          <w:lang w:val="en-GB"/>
        </w:rPr>
        <w:t>P</w:t>
      </w:r>
      <w:r w:rsidR="005E27B9" w:rsidRPr="0037330A">
        <w:rPr>
          <w:rFonts w:ascii="Book Antiqua" w:hAnsi="Book Antiqua"/>
          <w:lang w:val="en-GB"/>
        </w:rPr>
        <w:t>OCT</w:t>
      </w:r>
      <w:r w:rsidR="00A058B2" w:rsidRPr="0037330A">
        <w:rPr>
          <w:rFonts w:ascii="Book Antiqua" w:hAnsi="Book Antiqua"/>
          <w:lang w:val="en-GB"/>
        </w:rPr>
        <w:t xml:space="preserve"> for </w:t>
      </w:r>
      <w:r w:rsidR="005E27B9" w:rsidRPr="0037330A">
        <w:rPr>
          <w:rFonts w:ascii="Book Antiqua" w:hAnsi="Book Antiqua"/>
          <w:lang w:val="en-GB"/>
        </w:rPr>
        <w:t>HbA1c testing is optimal</w:t>
      </w:r>
      <w:r w:rsidR="0012679A" w:rsidRPr="0037330A">
        <w:rPr>
          <w:rFonts w:ascii="Book Antiqua" w:eastAsiaTheme="minorEastAsia" w:hAnsi="Book Antiqua"/>
          <w:lang w:val="en-GB" w:eastAsia="zh-CN"/>
        </w:rPr>
        <w:t xml:space="preserve">. (7) </w:t>
      </w:r>
      <w:r w:rsidR="00F632DA" w:rsidRPr="0037330A">
        <w:rPr>
          <w:rFonts w:ascii="Book Antiqua" w:hAnsi="Book Antiqua"/>
          <w:lang w:val="en-GB"/>
        </w:rPr>
        <w:t xml:space="preserve">The ideal HbA1c testing device for less-resource settings would be an accurate easy-to-use, battery power option, robust, minimal maintenance machine with battery </w:t>
      </w:r>
      <w:r w:rsidR="0012679A" w:rsidRPr="0037330A">
        <w:rPr>
          <w:rFonts w:ascii="Book Antiqua" w:hAnsi="Book Antiqua"/>
          <w:lang w:val="en-GB"/>
        </w:rPr>
        <w:lastRenderedPageBreak/>
        <w:t>power as an option</w:t>
      </w:r>
      <w:r w:rsidR="0012679A" w:rsidRPr="0037330A">
        <w:rPr>
          <w:rFonts w:ascii="Book Antiqua" w:eastAsiaTheme="minorEastAsia" w:hAnsi="Book Antiqua"/>
          <w:lang w:val="en-GB" w:eastAsia="zh-CN"/>
        </w:rPr>
        <w:t xml:space="preserve"> </w:t>
      </w:r>
      <w:r w:rsidR="00F632DA" w:rsidRPr="0037330A">
        <w:rPr>
          <w:rFonts w:ascii="Book Antiqua" w:hAnsi="Book Antiqua"/>
          <w:lang w:val="en-GB"/>
        </w:rPr>
        <w:t>that uses inexpensive testing supplies that have a long shelf life and do not require refrigeration</w:t>
      </w:r>
      <w:r w:rsidR="0012679A" w:rsidRPr="0037330A">
        <w:rPr>
          <w:rFonts w:ascii="Book Antiqua" w:eastAsiaTheme="minorEastAsia" w:hAnsi="Book Antiqua"/>
          <w:lang w:val="en-GB" w:eastAsia="zh-CN"/>
        </w:rPr>
        <w:t xml:space="preserve">. (8) </w:t>
      </w:r>
      <w:r w:rsidR="00A058B2" w:rsidRPr="0037330A">
        <w:rPr>
          <w:rFonts w:ascii="Book Antiqua" w:hAnsi="Book Antiqua"/>
          <w:lang w:val="en-GB"/>
        </w:rPr>
        <w:t>Health professional training and patient/family diabetes education is critical for effective use of HbA1c testing.</w:t>
      </w:r>
      <w:r w:rsidR="0012679A" w:rsidRPr="0037330A">
        <w:rPr>
          <w:rFonts w:ascii="Book Antiqua" w:eastAsiaTheme="minorEastAsia" w:hAnsi="Book Antiqua"/>
          <w:lang w:val="en-GB" w:eastAsia="zh-CN"/>
        </w:rPr>
        <w:t xml:space="preserve"> (9) </w:t>
      </w:r>
      <w:r w:rsidR="0061143D" w:rsidRPr="0037330A">
        <w:rPr>
          <w:rFonts w:ascii="Book Antiqua" w:hAnsi="Book Antiqua"/>
          <w:lang w:val="en-GB"/>
        </w:rPr>
        <w:t>Companies should consider differential pricing arrangements for these components of care for lower-income countries.</w:t>
      </w:r>
      <w:r w:rsidR="0012679A" w:rsidRPr="0037330A">
        <w:rPr>
          <w:rFonts w:ascii="Book Antiqua" w:eastAsiaTheme="minorEastAsia" w:hAnsi="Book Antiqua"/>
          <w:lang w:val="en-GB" w:eastAsia="zh-CN"/>
        </w:rPr>
        <w:t xml:space="preserve"> And (10) </w:t>
      </w:r>
      <w:r w:rsidR="00A058B2" w:rsidRPr="0037330A">
        <w:rPr>
          <w:rFonts w:ascii="Book Antiqua" w:hAnsi="Book Antiqua"/>
          <w:lang w:val="en-GB"/>
        </w:rPr>
        <w:t xml:space="preserve">Customs duties and taxes increase the price and decrease availability of these components of care. </w:t>
      </w:r>
      <w:r w:rsidR="006D1187" w:rsidRPr="0037330A">
        <w:rPr>
          <w:rFonts w:ascii="Book Antiqua" w:hAnsi="Book Antiqua"/>
          <w:lang w:val="en-GB"/>
        </w:rPr>
        <w:t>This area warrants further study, and a</w:t>
      </w:r>
      <w:r w:rsidR="00A058B2" w:rsidRPr="0037330A">
        <w:rPr>
          <w:rFonts w:ascii="Book Antiqua" w:hAnsi="Book Antiqua"/>
          <w:lang w:val="en-GB"/>
        </w:rPr>
        <w:t xml:space="preserve">dvocacy is needed country-by-country to eliminate these charges – these essential medical devices and </w:t>
      </w:r>
      <w:r w:rsidR="006D1187" w:rsidRPr="0037330A">
        <w:rPr>
          <w:rFonts w:ascii="Book Antiqua" w:hAnsi="Book Antiqua"/>
          <w:lang w:val="en-GB"/>
        </w:rPr>
        <w:t xml:space="preserve">diagnostics should be </w:t>
      </w:r>
      <w:r w:rsidR="00A058B2" w:rsidRPr="0037330A">
        <w:rPr>
          <w:rFonts w:ascii="Book Antiqua" w:hAnsi="Book Antiqua"/>
          <w:lang w:val="en-GB"/>
        </w:rPr>
        <w:t>treated the same as essential medicines</w:t>
      </w:r>
      <w:r w:rsidR="00F06F31" w:rsidRPr="0037330A">
        <w:rPr>
          <w:rFonts w:ascii="Book Antiqua" w:hAnsi="Book Antiqua"/>
          <w:lang w:val="en-GB"/>
        </w:rPr>
        <w:fldChar w:fldCharType="begin" w:fldLock="1"/>
      </w:r>
      <w:r w:rsidR="000B7849" w:rsidRPr="0037330A">
        <w:rPr>
          <w:rFonts w:ascii="Book Antiqua" w:hAnsi="Book Antiqua"/>
          <w:lang w:val="en-GB"/>
        </w:rPr>
        <w:instrText>ADDIN CSL_CITATION {"citationItems":[{"id":"ITEM-1","itemData":{"DOI":"10.1016/S2213-8587(18)30074-3","ISSN":"2213-8587","PMID":"30072234","author":[{"dropping-particle":"","family":"Klatman","given":"Emma Louise","non-dropping-particle":"","parse-names":false,"suffix":""},{"dropping-particle":"","family":"Jenkins","given":"Alicia Josephine","non-dropping-particle":"","parse-names":false,"suffix":""},{"dropping-particle":"","family":"Ahmedani","given":"Muhammad Yakoob","non-dropping-particle":"","parse-names":false,"suffix":""},{"dropping-particle":"","family":"Ogle","given":"Graham David","non-dropping-particle":"","parse-names":false,"suffix":""}],"container-title":"The Lancet Diabetes &amp; Endocrinology","id":"ITEM-1","issue":"2","issued":{"date-parts":[["2019"]]},"page":"150-160","title":"Blood glucose meters and test strips: global market and challenges to access in low-resource settings","type":"article-journal","volume":"7"},"uris":["http://www.mendeley.com/documents/?uuid=bc6afc5a-9e56-4bfc-83ec-daa179c1ff77"]}],"mendeley":{"formattedCitation":"&lt;sup&gt;[10]&lt;/sup&gt;","plainTextFormattedCitation":"[10]","previouslyFormattedCitation":"&lt;sup&gt;[10]&lt;/sup&gt;"},"properties":{"noteIndex":0},"schema":"https://github.com/citation-style-language/schema/raw/master/csl-citation.json"}</w:instrText>
      </w:r>
      <w:r w:rsidR="00F06F31" w:rsidRPr="0037330A">
        <w:rPr>
          <w:rFonts w:ascii="Book Antiqua" w:hAnsi="Book Antiqua"/>
          <w:lang w:val="en-GB"/>
        </w:rPr>
        <w:fldChar w:fldCharType="separate"/>
      </w:r>
      <w:r w:rsidR="003E1A77" w:rsidRPr="0037330A">
        <w:rPr>
          <w:rFonts w:ascii="Book Antiqua" w:hAnsi="Book Antiqua"/>
          <w:vertAlign w:val="superscript"/>
          <w:lang w:val="en-GB"/>
        </w:rPr>
        <w:t>[10]</w:t>
      </w:r>
      <w:r w:rsidR="00F06F31" w:rsidRPr="0037330A">
        <w:rPr>
          <w:rFonts w:ascii="Book Antiqua" w:hAnsi="Book Antiqua"/>
          <w:lang w:val="en-GB"/>
        </w:rPr>
        <w:fldChar w:fldCharType="end"/>
      </w:r>
      <w:r w:rsidR="00A137FB" w:rsidRPr="0037330A">
        <w:rPr>
          <w:rFonts w:ascii="Book Antiqua" w:hAnsi="Book Antiqua"/>
          <w:lang w:val="en-GB"/>
        </w:rPr>
        <w:t>.</w:t>
      </w:r>
    </w:p>
    <w:bookmarkEnd w:id="11"/>
    <w:bookmarkEnd w:id="12"/>
    <w:p w14:paraId="1C4A1632" w14:textId="244F01DE" w:rsidR="00DC05A9" w:rsidRPr="0037330A" w:rsidRDefault="00DC05A9" w:rsidP="00146B63">
      <w:pPr>
        <w:adjustRightInd w:val="0"/>
        <w:snapToGrid w:val="0"/>
        <w:spacing w:line="360" w:lineRule="auto"/>
        <w:jc w:val="both"/>
        <w:rPr>
          <w:rFonts w:ascii="Book Antiqua" w:hAnsi="Book Antiqua" w:cs="Arial"/>
          <w:lang w:val="en-GB"/>
        </w:rPr>
      </w:pPr>
    </w:p>
    <w:p w14:paraId="537C8563" w14:textId="77777777" w:rsidR="0012679A" w:rsidRPr="0037330A" w:rsidRDefault="0012679A" w:rsidP="00146B63">
      <w:pPr>
        <w:adjustRightInd w:val="0"/>
        <w:snapToGrid w:val="0"/>
        <w:spacing w:line="360" w:lineRule="auto"/>
        <w:jc w:val="both"/>
        <w:rPr>
          <w:rFonts w:ascii="Book Antiqua" w:hAnsi="Book Antiqua"/>
          <w:b/>
          <w:bCs/>
          <w:color w:val="000000"/>
          <w:u w:val="single"/>
        </w:rPr>
      </w:pPr>
      <w:r w:rsidRPr="0037330A">
        <w:rPr>
          <w:rFonts w:ascii="Book Antiqua" w:hAnsi="Book Antiqua"/>
          <w:b/>
          <w:bCs/>
          <w:color w:val="000000"/>
          <w:u w:val="single"/>
        </w:rPr>
        <w:t>ARTICLE HIGHLIGHTS</w:t>
      </w:r>
    </w:p>
    <w:p w14:paraId="0B81E712" w14:textId="47B09EEB" w:rsidR="002212C8" w:rsidRPr="0037330A" w:rsidRDefault="002212C8" w:rsidP="00146B63">
      <w:pPr>
        <w:tabs>
          <w:tab w:val="left" w:pos="990"/>
        </w:tabs>
        <w:snapToGrid w:val="0"/>
        <w:spacing w:line="360" w:lineRule="auto"/>
        <w:jc w:val="both"/>
        <w:rPr>
          <w:rFonts w:ascii="Book Antiqua" w:hAnsi="Book Antiqua" w:cs="Arial"/>
          <w:b/>
          <w:i/>
          <w:lang w:val="en-GB"/>
        </w:rPr>
      </w:pPr>
      <w:r w:rsidRPr="0037330A">
        <w:rPr>
          <w:rFonts w:ascii="Book Antiqua" w:hAnsi="Book Antiqua" w:cs="Arial"/>
          <w:b/>
          <w:i/>
          <w:lang w:val="en-GB"/>
        </w:rPr>
        <w:t>Research background</w:t>
      </w:r>
    </w:p>
    <w:p w14:paraId="78BA9D5A" w14:textId="00422767" w:rsidR="002212C8" w:rsidRPr="0037330A" w:rsidRDefault="00D02F84" w:rsidP="00146B63">
      <w:pPr>
        <w:tabs>
          <w:tab w:val="left" w:pos="990"/>
        </w:tabs>
        <w:snapToGrid w:val="0"/>
        <w:spacing w:line="360" w:lineRule="auto"/>
        <w:jc w:val="both"/>
        <w:rPr>
          <w:rFonts w:ascii="Book Antiqua" w:eastAsiaTheme="minorEastAsia" w:hAnsi="Book Antiqua" w:cs="Arial"/>
          <w:bCs/>
          <w:iCs/>
          <w:lang w:val="en-GB" w:eastAsia="zh-CN"/>
        </w:rPr>
      </w:pPr>
      <w:r w:rsidRPr="0037330A">
        <w:rPr>
          <w:rFonts w:ascii="Book Antiqua" w:hAnsi="Book Antiqua"/>
          <w:bCs/>
          <w:lang w:val="en-GB"/>
        </w:rPr>
        <w:t xml:space="preserve">People with type 1 diabetes, especially </w:t>
      </w:r>
      <w:r w:rsidR="00390CDB" w:rsidRPr="0037330A">
        <w:rPr>
          <w:rFonts w:ascii="Book Antiqua" w:hAnsi="Book Antiqua"/>
          <w:bCs/>
          <w:lang w:val="en-GB"/>
        </w:rPr>
        <w:t>those that are young</w:t>
      </w:r>
      <w:r w:rsidRPr="0037330A">
        <w:rPr>
          <w:rFonts w:ascii="Book Antiqua" w:hAnsi="Book Antiqua"/>
          <w:bCs/>
          <w:lang w:val="en-GB"/>
        </w:rPr>
        <w:t>, require tools beyond insulin</w:t>
      </w:r>
      <w:r w:rsidR="00390CDB" w:rsidRPr="0037330A">
        <w:rPr>
          <w:rFonts w:ascii="Book Antiqua" w:hAnsi="Book Antiqua"/>
          <w:bCs/>
          <w:lang w:val="en-GB"/>
        </w:rPr>
        <w:t xml:space="preserve"> </w:t>
      </w:r>
      <w:r w:rsidRPr="0037330A">
        <w:rPr>
          <w:rFonts w:ascii="Book Antiqua" w:hAnsi="Book Antiqua"/>
          <w:bCs/>
          <w:lang w:val="en-GB"/>
        </w:rPr>
        <w:t xml:space="preserve">to help </w:t>
      </w:r>
      <w:r w:rsidR="00EA5DA6" w:rsidRPr="0037330A">
        <w:rPr>
          <w:rFonts w:ascii="Book Antiqua" w:hAnsi="Book Antiqua"/>
          <w:bCs/>
          <w:lang w:val="en-GB"/>
        </w:rPr>
        <w:t xml:space="preserve">them </w:t>
      </w:r>
      <w:r w:rsidRPr="0037330A">
        <w:rPr>
          <w:rFonts w:ascii="Book Antiqua" w:hAnsi="Book Antiqua"/>
          <w:bCs/>
          <w:lang w:val="en-GB"/>
        </w:rPr>
        <w:t xml:space="preserve">improve </w:t>
      </w:r>
      <w:r w:rsidR="00EA5DA6" w:rsidRPr="0037330A">
        <w:rPr>
          <w:rFonts w:ascii="Book Antiqua" w:hAnsi="Book Antiqua"/>
          <w:bCs/>
          <w:lang w:val="en-GB"/>
        </w:rPr>
        <w:t xml:space="preserve">their </w:t>
      </w:r>
      <w:r w:rsidRPr="0037330A">
        <w:rPr>
          <w:rFonts w:ascii="Book Antiqua" w:hAnsi="Book Antiqua"/>
          <w:bCs/>
          <w:lang w:val="en-GB"/>
        </w:rPr>
        <w:t>glycaemic control and avoid acute and long-term complications</w:t>
      </w:r>
      <w:r w:rsidR="005E13BC" w:rsidRPr="0037330A">
        <w:rPr>
          <w:rFonts w:ascii="Book Antiqua" w:hAnsi="Book Antiqua"/>
          <w:bCs/>
          <w:lang w:val="en-GB"/>
        </w:rPr>
        <w:t>. These i</w:t>
      </w:r>
      <w:r w:rsidR="00B87079" w:rsidRPr="0037330A">
        <w:rPr>
          <w:rFonts w:ascii="Book Antiqua" w:hAnsi="Book Antiqua"/>
          <w:bCs/>
          <w:lang w:val="en-GB"/>
        </w:rPr>
        <w:t>nclud</w:t>
      </w:r>
      <w:r w:rsidR="005E13BC" w:rsidRPr="0037330A">
        <w:rPr>
          <w:rFonts w:ascii="Book Antiqua" w:hAnsi="Book Antiqua"/>
          <w:bCs/>
          <w:lang w:val="en-GB"/>
        </w:rPr>
        <w:t>e</w:t>
      </w:r>
      <w:r w:rsidR="00B87079" w:rsidRPr="0037330A">
        <w:rPr>
          <w:rFonts w:ascii="Book Antiqua" w:hAnsi="Book Antiqua"/>
          <w:bCs/>
          <w:lang w:val="en-GB"/>
        </w:rPr>
        <w:t xml:space="preserve"> insulin delivery devices and </w:t>
      </w:r>
      <w:r w:rsidR="00B87079" w:rsidRPr="0037330A">
        <w:rPr>
          <w:rFonts w:ascii="Book Antiqua" w:hAnsi="Book Antiqua" w:cs="Arial"/>
          <w:bCs/>
          <w:iCs/>
          <w:lang w:val="en-GB"/>
        </w:rPr>
        <w:t>glycated haemoglobin (</w:t>
      </w:r>
      <w:r w:rsidR="00B87079" w:rsidRPr="0037330A">
        <w:rPr>
          <w:rFonts w:ascii="Book Antiqua" w:hAnsi="Book Antiqua"/>
          <w:bCs/>
          <w:lang w:val="en-GB"/>
        </w:rPr>
        <w:t>HbA1c) testing</w:t>
      </w:r>
      <w:r w:rsidRPr="0037330A">
        <w:rPr>
          <w:rFonts w:ascii="Book Antiqua" w:hAnsi="Book Antiqua"/>
          <w:bCs/>
          <w:lang w:val="en-GB"/>
        </w:rPr>
        <w:t xml:space="preserve">. </w:t>
      </w:r>
      <w:r w:rsidR="002212C8" w:rsidRPr="0037330A">
        <w:rPr>
          <w:rFonts w:ascii="Book Antiqua" w:hAnsi="Book Antiqua" w:cs="Arial"/>
          <w:bCs/>
          <w:iCs/>
          <w:lang w:val="en-GB"/>
        </w:rPr>
        <w:t xml:space="preserve">Presently, many </w:t>
      </w:r>
      <w:r w:rsidR="0012679A" w:rsidRPr="0037330A">
        <w:rPr>
          <w:rFonts w:ascii="Book Antiqua" w:hAnsi="Book Antiqua" w:cs="Arial"/>
          <w:bCs/>
          <w:iCs/>
          <w:lang w:val="en-GB"/>
        </w:rPr>
        <w:t>low</w:t>
      </w:r>
      <w:r w:rsidR="005E13BC" w:rsidRPr="0037330A">
        <w:rPr>
          <w:rFonts w:ascii="Book Antiqua" w:hAnsi="Book Antiqua" w:cs="Arial"/>
          <w:bCs/>
          <w:iCs/>
          <w:lang w:val="en-GB"/>
        </w:rPr>
        <w:t>-and-middle income countries (</w:t>
      </w:r>
      <w:r w:rsidR="002212C8" w:rsidRPr="0037330A">
        <w:rPr>
          <w:rFonts w:ascii="Book Antiqua" w:hAnsi="Book Antiqua" w:cs="Arial"/>
          <w:bCs/>
          <w:iCs/>
          <w:lang w:val="en-GB"/>
        </w:rPr>
        <w:t>LMICs</w:t>
      </w:r>
      <w:r w:rsidR="005E13BC" w:rsidRPr="0037330A">
        <w:rPr>
          <w:rFonts w:ascii="Book Antiqua" w:hAnsi="Book Antiqua" w:cs="Arial"/>
          <w:bCs/>
          <w:iCs/>
          <w:lang w:val="en-GB"/>
        </w:rPr>
        <w:t>)</w:t>
      </w:r>
      <w:r w:rsidR="002212C8" w:rsidRPr="0037330A">
        <w:rPr>
          <w:rFonts w:ascii="Book Antiqua" w:hAnsi="Book Antiqua" w:cs="Arial"/>
          <w:bCs/>
          <w:iCs/>
          <w:lang w:val="en-GB"/>
        </w:rPr>
        <w:t xml:space="preserve"> have difficulty in providing adequate access to these two supplies. Therefore, </w:t>
      </w:r>
      <w:r w:rsidR="00B87079" w:rsidRPr="0037330A">
        <w:rPr>
          <w:rFonts w:ascii="Book Antiqua" w:hAnsi="Book Antiqua" w:cs="Arial"/>
          <w:bCs/>
          <w:iCs/>
          <w:lang w:val="en-GB"/>
        </w:rPr>
        <w:t xml:space="preserve">this study </w:t>
      </w:r>
      <w:r w:rsidR="002212C8" w:rsidRPr="0037330A">
        <w:rPr>
          <w:rFonts w:ascii="Book Antiqua" w:hAnsi="Book Antiqua" w:cs="Arial"/>
          <w:bCs/>
          <w:iCs/>
          <w:lang w:val="en-GB"/>
        </w:rPr>
        <w:t>investigat</w:t>
      </w:r>
      <w:r w:rsidR="00B87079" w:rsidRPr="0037330A">
        <w:rPr>
          <w:rFonts w:ascii="Book Antiqua" w:hAnsi="Book Antiqua" w:cs="Arial"/>
          <w:bCs/>
          <w:iCs/>
          <w:lang w:val="en-GB"/>
        </w:rPr>
        <w:t>es</w:t>
      </w:r>
      <w:r w:rsidR="002212C8" w:rsidRPr="0037330A">
        <w:rPr>
          <w:rFonts w:ascii="Book Antiqua" w:hAnsi="Book Antiqua" w:cs="Arial"/>
          <w:bCs/>
          <w:iCs/>
          <w:lang w:val="en-GB"/>
        </w:rPr>
        <w:t xml:space="preserve"> these barriers and provid</w:t>
      </w:r>
      <w:r w:rsidR="005E13BC" w:rsidRPr="0037330A">
        <w:rPr>
          <w:rFonts w:ascii="Book Antiqua" w:hAnsi="Book Antiqua" w:cs="Arial"/>
          <w:bCs/>
          <w:iCs/>
          <w:lang w:val="en-GB"/>
        </w:rPr>
        <w:t>es</w:t>
      </w:r>
      <w:r w:rsidR="002212C8" w:rsidRPr="0037330A">
        <w:rPr>
          <w:rFonts w:ascii="Book Antiqua" w:hAnsi="Book Antiqua" w:cs="Arial"/>
          <w:bCs/>
          <w:iCs/>
          <w:lang w:val="en-GB"/>
        </w:rPr>
        <w:t xml:space="preserve"> recommendations for overcoming the</w:t>
      </w:r>
      <w:r w:rsidR="005E13BC" w:rsidRPr="0037330A">
        <w:rPr>
          <w:rFonts w:ascii="Book Antiqua" w:hAnsi="Book Antiqua" w:cs="Arial"/>
          <w:bCs/>
          <w:iCs/>
          <w:lang w:val="en-GB"/>
        </w:rPr>
        <w:t>m. This</w:t>
      </w:r>
      <w:r w:rsidR="002212C8" w:rsidRPr="0037330A">
        <w:rPr>
          <w:rFonts w:ascii="Book Antiqua" w:hAnsi="Book Antiqua" w:cs="Arial"/>
          <w:bCs/>
          <w:iCs/>
          <w:lang w:val="en-GB"/>
        </w:rPr>
        <w:t xml:space="preserve"> is essential to help</w:t>
      </w:r>
      <w:r w:rsidRPr="0037330A">
        <w:rPr>
          <w:rFonts w:ascii="Book Antiqua" w:hAnsi="Book Antiqua" w:cs="Arial"/>
          <w:bCs/>
          <w:iCs/>
          <w:lang w:val="en-GB"/>
        </w:rPr>
        <w:t>ing health systems in</w:t>
      </w:r>
      <w:r w:rsidR="002212C8" w:rsidRPr="0037330A">
        <w:rPr>
          <w:rFonts w:ascii="Book Antiqua" w:hAnsi="Book Antiqua" w:cs="Arial"/>
          <w:bCs/>
          <w:iCs/>
          <w:lang w:val="en-GB"/>
        </w:rPr>
        <w:t xml:space="preserve"> LMICs </w:t>
      </w:r>
      <w:r w:rsidR="00E33F7B" w:rsidRPr="0037330A">
        <w:rPr>
          <w:rFonts w:ascii="Book Antiqua" w:hAnsi="Book Antiqua" w:cs="Arial"/>
          <w:bCs/>
          <w:iCs/>
          <w:lang w:val="en-GB"/>
        </w:rPr>
        <w:t>make progres</w:t>
      </w:r>
      <w:r w:rsidR="002212C8" w:rsidRPr="0037330A">
        <w:rPr>
          <w:rFonts w:ascii="Book Antiqua" w:hAnsi="Book Antiqua" w:cs="Arial"/>
          <w:bCs/>
          <w:iCs/>
          <w:lang w:val="en-GB"/>
        </w:rPr>
        <w:t>s</w:t>
      </w:r>
      <w:r w:rsidR="00E33F7B" w:rsidRPr="0037330A">
        <w:rPr>
          <w:rFonts w:ascii="Book Antiqua" w:hAnsi="Book Antiqua" w:cs="Arial"/>
          <w:bCs/>
          <w:iCs/>
          <w:lang w:val="en-GB"/>
        </w:rPr>
        <w:t xml:space="preserve"> towards providing appropriate type 1 diabetes care to all in need</w:t>
      </w:r>
      <w:r w:rsidR="002212C8" w:rsidRPr="0037330A">
        <w:rPr>
          <w:rFonts w:ascii="Book Antiqua" w:hAnsi="Book Antiqua" w:cs="Arial"/>
          <w:bCs/>
          <w:iCs/>
          <w:lang w:val="en-GB"/>
        </w:rPr>
        <w:t>.</w:t>
      </w:r>
    </w:p>
    <w:p w14:paraId="431E33A9" w14:textId="77777777" w:rsidR="0012679A" w:rsidRPr="0037330A" w:rsidRDefault="0012679A" w:rsidP="00146B63">
      <w:pPr>
        <w:tabs>
          <w:tab w:val="left" w:pos="990"/>
        </w:tabs>
        <w:snapToGrid w:val="0"/>
        <w:spacing w:line="360" w:lineRule="auto"/>
        <w:jc w:val="both"/>
        <w:rPr>
          <w:rFonts w:ascii="Book Antiqua" w:eastAsiaTheme="minorEastAsia" w:hAnsi="Book Antiqua"/>
          <w:bCs/>
          <w:lang w:val="en-GB" w:eastAsia="zh-CN"/>
        </w:rPr>
      </w:pPr>
    </w:p>
    <w:p w14:paraId="766BD127" w14:textId="78B0B929" w:rsidR="00D02F84" w:rsidRPr="0037330A" w:rsidRDefault="00FF1FE6" w:rsidP="00146B63">
      <w:pPr>
        <w:tabs>
          <w:tab w:val="left" w:pos="990"/>
        </w:tabs>
        <w:snapToGrid w:val="0"/>
        <w:spacing w:line="360" w:lineRule="auto"/>
        <w:jc w:val="both"/>
        <w:rPr>
          <w:rFonts w:ascii="Book Antiqua" w:hAnsi="Book Antiqua" w:cs="Arial"/>
          <w:b/>
          <w:i/>
          <w:lang w:val="en-GB"/>
        </w:rPr>
      </w:pPr>
      <w:r w:rsidRPr="0037330A">
        <w:rPr>
          <w:rFonts w:ascii="Book Antiqua" w:hAnsi="Book Antiqua" w:cs="Arial"/>
          <w:b/>
          <w:i/>
          <w:lang w:val="en-GB"/>
        </w:rPr>
        <w:t>Research motivation</w:t>
      </w:r>
    </w:p>
    <w:p w14:paraId="2C50A77E" w14:textId="45CCBF5E" w:rsidR="00D02F84" w:rsidRPr="0037330A" w:rsidRDefault="001C4573" w:rsidP="00146B63">
      <w:pPr>
        <w:tabs>
          <w:tab w:val="left" w:pos="990"/>
        </w:tabs>
        <w:snapToGrid w:val="0"/>
        <w:spacing w:line="360" w:lineRule="auto"/>
        <w:jc w:val="both"/>
        <w:rPr>
          <w:rFonts w:ascii="Book Antiqua" w:hAnsi="Book Antiqua" w:cs="Arial"/>
          <w:bCs/>
          <w:iCs/>
          <w:lang w:val="en-GB"/>
        </w:rPr>
      </w:pPr>
      <w:r w:rsidRPr="0037330A">
        <w:rPr>
          <w:rFonts w:ascii="Book Antiqua" w:hAnsi="Book Antiqua" w:cs="Arial"/>
          <w:bCs/>
          <w:iCs/>
          <w:lang w:val="en-GB"/>
        </w:rPr>
        <w:t xml:space="preserve">With regards to insulin delivery devices and HbA1c testing, study authors sought to investigate </w:t>
      </w:r>
      <w:r w:rsidR="00EA5DA6" w:rsidRPr="0037330A">
        <w:rPr>
          <w:rFonts w:ascii="Book Antiqua" w:hAnsi="Book Antiqua" w:cs="Arial"/>
          <w:bCs/>
          <w:iCs/>
          <w:lang w:val="en-GB"/>
        </w:rPr>
        <w:t xml:space="preserve">the range of </w:t>
      </w:r>
      <w:r w:rsidRPr="0037330A">
        <w:rPr>
          <w:rFonts w:ascii="Book Antiqua" w:hAnsi="Book Antiqua" w:cs="Arial"/>
          <w:bCs/>
          <w:iCs/>
          <w:lang w:val="en-GB"/>
        </w:rPr>
        <w:t xml:space="preserve">access challenges for patients, health care providers, and health systems. </w:t>
      </w:r>
      <w:r w:rsidR="00EA5DA6" w:rsidRPr="0037330A">
        <w:rPr>
          <w:rFonts w:ascii="Book Antiqua" w:hAnsi="Book Antiqua" w:cs="Arial"/>
          <w:bCs/>
          <w:iCs/>
          <w:lang w:val="en-GB"/>
        </w:rPr>
        <w:t xml:space="preserve">Authors further </w:t>
      </w:r>
      <w:r w:rsidRPr="0037330A">
        <w:rPr>
          <w:rFonts w:ascii="Book Antiqua" w:hAnsi="Book Antiqua" w:cs="Arial"/>
          <w:bCs/>
          <w:iCs/>
          <w:lang w:val="en-GB"/>
        </w:rPr>
        <w:t xml:space="preserve">endeavoured to </w:t>
      </w:r>
      <w:r w:rsidR="00EA5DA6" w:rsidRPr="0037330A">
        <w:rPr>
          <w:rFonts w:ascii="Book Antiqua" w:hAnsi="Book Antiqua" w:cs="Arial"/>
          <w:bCs/>
          <w:iCs/>
          <w:lang w:val="en-GB"/>
        </w:rPr>
        <w:t>understand the</w:t>
      </w:r>
      <w:r w:rsidRPr="0037330A">
        <w:rPr>
          <w:rFonts w:ascii="Book Antiqua" w:hAnsi="Book Antiqua" w:cs="Arial"/>
          <w:bCs/>
          <w:iCs/>
          <w:lang w:val="en-GB"/>
        </w:rPr>
        <w:t xml:space="preserve"> specific </w:t>
      </w:r>
      <w:r w:rsidR="005E13BC" w:rsidRPr="0037330A">
        <w:rPr>
          <w:rFonts w:ascii="Book Antiqua" w:hAnsi="Book Antiqua" w:cs="Arial"/>
          <w:bCs/>
          <w:iCs/>
          <w:lang w:val="en-GB"/>
        </w:rPr>
        <w:t>challenges associated with</w:t>
      </w:r>
      <w:r w:rsidR="00D02F84" w:rsidRPr="0037330A">
        <w:rPr>
          <w:rFonts w:ascii="Book Antiqua" w:hAnsi="Book Antiqua" w:cs="Arial"/>
          <w:bCs/>
          <w:iCs/>
          <w:lang w:val="en-GB"/>
        </w:rPr>
        <w:t xml:space="preserve"> provision, costs, availability</w:t>
      </w:r>
      <w:r w:rsidRPr="0037330A">
        <w:rPr>
          <w:rFonts w:ascii="Book Antiqua" w:hAnsi="Book Antiqua" w:cs="Arial"/>
          <w:bCs/>
          <w:iCs/>
          <w:lang w:val="en-GB"/>
        </w:rPr>
        <w:t>,</w:t>
      </w:r>
      <w:r w:rsidR="00D02F84" w:rsidRPr="0037330A">
        <w:rPr>
          <w:rFonts w:ascii="Book Antiqua" w:hAnsi="Book Antiqua" w:cs="Arial"/>
          <w:bCs/>
          <w:iCs/>
          <w:lang w:val="en-GB"/>
        </w:rPr>
        <w:t xml:space="preserve"> usage details, and perceived </w:t>
      </w:r>
      <w:r w:rsidR="005E13BC" w:rsidRPr="0037330A">
        <w:rPr>
          <w:rFonts w:ascii="Book Antiqua" w:hAnsi="Book Antiqua" w:cs="Arial"/>
          <w:bCs/>
          <w:iCs/>
          <w:lang w:val="en-GB"/>
        </w:rPr>
        <w:t>hardships</w:t>
      </w:r>
      <w:r w:rsidR="00043F67" w:rsidRPr="0037330A">
        <w:rPr>
          <w:rFonts w:ascii="Book Antiqua" w:hAnsi="Book Antiqua" w:cs="Arial"/>
          <w:bCs/>
          <w:iCs/>
          <w:lang w:val="en-GB"/>
        </w:rPr>
        <w:t>.</w:t>
      </w:r>
    </w:p>
    <w:p w14:paraId="74251A47" w14:textId="77777777" w:rsidR="00BE604F" w:rsidRPr="0037330A" w:rsidRDefault="00BE604F" w:rsidP="00146B63">
      <w:pPr>
        <w:tabs>
          <w:tab w:val="left" w:pos="990"/>
        </w:tabs>
        <w:snapToGrid w:val="0"/>
        <w:spacing w:line="360" w:lineRule="auto"/>
        <w:jc w:val="both"/>
        <w:rPr>
          <w:rFonts w:ascii="Book Antiqua" w:eastAsiaTheme="minorEastAsia" w:hAnsi="Book Antiqua" w:cs="Arial"/>
          <w:b/>
          <w:i/>
          <w:lang w:val="en-GB" w:eastAsia="zh-CN"/>
        </w:rPr>
      </w:pPr>
    </w:p>
    <w:p w14:paraId="6D87E481" w14:textId="4A2A2947" w:rsidR="00B87079" w:rsidRPr="0037330A" w:rsidRDefault="00FF1FE6" w:rsidP="00146B63">
      <w:pPr>
        <w:tabs>
          <w:tab w:val="left" w:pos="990"/>
        </w:tabs>
        <w:snapToGrid w:val="0"/>
        <w:spacing w:line="360" w:lineRule="auto"/>
        <w:jc w:val="both"/>
        <w:rPr>
          <w:rFonts w:ascii="Book Antiqua" w:hAnsi="Book Antiqua" w:cs="Arial"/>
          <w:lang w:val="en-GB"/>
        </w:rPr>
      </w:pPr>
      <w:r w:rsidRPr="0037330A">
        <w:rPr>
          <w:rFonts w:ascii="Book Antiqua" w:hAnsi="Book Antiqua" w:cs="Arial"/>
          <w:b/>
          <w:i/>
          <w:lang w:val="en-GB"/>
        </w:rPr>
        <w:t>Research objectives</w:t>
      </w:r>
      <w:r w:rsidRPr="0037330A">
        <w:rPr>
          <w:rFonts w:ascii="Book Antiqua" w:hAnsi="Book Antiqua" w:cs="Arial"/>
          <w:lang w:val="en-GB"/>
        </w:rPr>
        <w:t xml:space="preserve"> </w:t>
      </w:r>
    </w:p>
    <w:p w14:paraId="27524994" w14:textId="77777777" w:rsidR="002517C4" w:rsidRPr="0037330A" w:rsidRDefault="00B46894" w:rsidP="00146B63">
      <w:pPr>
        <w:tabs>
          <w:tab w:val="left" w:pos="990"/>
        </w:tabs>
        <w:snapToGrid w:val="0"/>
        <w:spacing w:line="360" w:lineRule="auto"/>
        <w:jc w:val="both"/>
        <w:rPr>
          <w:rFonts w:ascii="Book Antiqua" w:hAnsi="Book Antiqua" w:cs="Arial"/>
          <w:bCs/>
          <w:iCs/>
          <w:lang w:val="en-GB"/>
        </w:rPr>
      </w:pPr>
      <w:r w:rsidRPr="0037330A">
        <w:rPr>
          <w:rFonts w:ascii="Book Antiqua" w:hAnsi="Book Antiqua" w:cs="Arial"/>
          <w:bCs/>
          <w:iCs/>
          <w:lang w:val="en-GB"/>
        </w:rPr>
        <w:lastRenderedPageBreak/>
        <w:t>As</w:t>
      </w:r>
      <w:r w:rsidR="000748D9" w:rsidRPr="0037330A">
        <w:rPr>
          <w:rFonts w:ascii="Book Antiqua" w:hAnsi="Book Antiqua" w:cs="Arial"/>
          <w:bCs/>
          <w:iCs/>
          <w:lang w:val="en-GB"/>
        </w:rPr>
        <w:t xml:space="preserve"> </w:t>
      </w:r>
      <w:r w:rsidR="00AB4837" w:rsidRPr="0037330A">
        <w:rPr>
          <w:rFonts w:ascii="Book Antiqua" w:hAnsi="Book Antiqua" w:cs="Arial"/>
          <w:bCs/>
          <w:iCs/>
          <w:lang w:val="en-GB"/>
        </w:rPr>
        <w:t xml:space="preserve">no existing studies have </w:t>
      </w:r>
      <w:r w:rsidRPr="0037330A">
        <w:rPr>
          <w:rFonts w:ascii="Book Antiqua" w:hAnsi="Book Antiqua" w:cs="Arial"/>
          <w:bCs/>
          <w:iCs/>
          <w:lang w:val="en-GB"/>
        </w:rPr>
        <w:t xml:space="preserve">comprehensively </w:t>
      </w:r>
      <w:r w:rsidR="000748D9" w:rsidRPr="0037330A">
        <w:rPr>
          <w:rFonts w:ascii="Book Antiqua" w:hAnsi="Book Antiqua" w:cs="Arial"/>
          <w:bCs/>
          <w:iCs/>
          <w:lang w:val="en-GB"/>
        </w:rPr>
        <w:t>look</w:t>
      </w:r>
      <w:r w:rsidR="00AB4837" w:rsidRPr="0037330A">
        <w:rPr>
          <w:rFonts w:ascii="Book Antiqua" w:hAnsi="Book Antiqua" w:cs="Arial"/>
          <w:bCs/>
          <w:iCs/>
          <w:lang w:val="en-GB"/>
        </w:rPr>
        <w:t>ed</w:t>
      </w:r>
      <w:r w:rsidR="000748D9" w:rsidRPr="0037330A">
        <w:rPr>
          <w:rFonts w:ascii="Book Antiqua" w:hAnsi="Book Antiqua" w:cs="Arial"/>
          <w:bCs/>
          <w:iCs/>
          <w:lang w:val="en-GB"/>
        </w:rPr>
        <w:t xml:space="preserve"> into access of </w:t>
      </w:r>
      <w:r w:rsidR="00AB4837" w:rsidRPr="0037330A">
        <w:rPr>
          <w:rFonts w:ascii="Book Antiqua" w:hAnsi="Book Antiqua" w:cs="Arial"/>
          <w:bCs/>
          <w:iCs/>
          <w:lang w:val="en-GB"/>
        </w:rPr>
        <w:t>solely non-insulin</w:t>
      </w:r>
      <w:r w:rsidR="000748D9" w:rsidRPr="0037330A">
        <w:rPr>
          <w:rFonts w:ascii="Book Antiqua" w:hAnsi="Book Antiqua" w:cs="Arial"/>
          <w:bCs/>
          <w:iCs/>
          <w:lang w:val="en-GB"/>
        </w:rPr>
        <w:t xml:space="preserve"> supplie</w:t>
      </w:r>
      <w:r w:rsidR="00AB4837" w:rsidRPr="0037330A">
        <w:rPr>
          <w:rFonts w:ascii="Book Antiqua" w:hAnsi="Book Antiqua" w:cs="Arial"/>
          <w:bCs/>
          <w:iCs/>
          <w:lang w:val="en-GB"/>
        </w:rPr>
        <w:t>s</w:t>
      </w:r>
      <w:r w:rsidR="00050618" w:rsidRPr="0037330A">
        <w:rPr>
          <w:rFonts w:ascii="Book Antiqua" w:hAnsi="Book Antiqua" w:cs="Arial"/>
          <w:bCs/>
          <w:iCs/>
          <w:lang w:val="en-GB"/>
        </w:rPr>
        <w:t xml:space="preserve">, </w:t>
      </w:r>
      <w:r w:rsidR="000A2B27" w:rsidRPr="0037330A">
        <w:rPr>
          <w:rFonts w:ascii="Book Antiqua" w:hAnsi="Book Antiqua" w:cs="Arial"/>
          <w:bCs/>
          <w:iCs/>
          <w:lang w:val="en-GB"/>
        </w:rPr>
        <w:t>study</w:t>
      </w:r>
      <w:r w:rsidRPr="0037330A">
        <w:rPr>
          <w:rFonts w:ascii="Book Antiqua" w:hAnsi="Book Antiqua" w:cs="Arial"/>
          <w:bCs/>
          <w:iCs/>
          <w:lang w:val="en-GB"/>
        </w:rPr>
        <w:t xml:space="preserve"> </w:t>
      </w:r>
      <w:r w:rsidR="00B87079" w:rsidRPr="0037330A">
        <w:rPr>
          <w:rFonts w:ascii="Book Antiqua" w:hAnsi="Book Antiqua" w:cs="Arial"/>
          <w:bCs/>
          <w:iCs/>
          <w:lang w:val="en-GB"/>
        </w:rPr>
        <w:t xml:space="preserve">objectives were </w:t>
      </w:r>
      <w:r w:rsidR="00AB4837" w:rsidRPr="0037330A">
        <w:rPr>
          <w:rFonts w:ascii="Book Antiqua" w:hAnsi="Book Antiqua" w:cs="Arial"/>
          <w:bCs/>
          <w:iCs/>
          <w:lang w:val="en-GB"/>
        </w:rPr>
        <w:t>to</w:t>
      </w:r>
      <w:r w:rsidR="00B87079" w:rsidRPr="0037330A">
        <w:rPr>
          <w:rFonts w:ascii="Book Antiqua" w:hAnsi="Book Antiqua" w:cs="Arial"/>
          <w:bCs/>
          <w:iCs/>
          <w:lang w:val="en-GB"/>
        </w:rPr>
        <w:t xml:space="preserve"> </w:t>
      </w:r>
      <w:r w:rsidRPr="0037330A">
        <w:rPr>
          <w:rFonts w:ascii="Book Antiqua" w:hAnsi="Book Antiqua" w:cs="Arial"/>
          <w:bCs/>
          <w:iCs/>
          <w:lang w:val="en-GB"/>
        </w:rPr>
        <w:t xml:space="preserve">do this for </w:t>
      </w:r>
      <w:r w:rsidR="001C4573" w:rsidRPr="0037330A">
        <w:rPr>
          <w:rFonts w:ascii="Book Antiqua" w:hAnsi="Book Antiqua" w:cs="Arial"/>
          <w:bCs/>
          <w:iCs/>
          <w:lang w:val="en-GB"/>
        </w:rPr>
        <w:t xml:space="preserve">non-insulin essential devices </w:t>
      </w:r>
      <w:r w:rsidRPr="0037330A">
        <w:rPr>
          <w:rFonts w:ascii="Book Antiqua" w:hAnsi="Book Antiqua" w:cs="Arial"/>
          <w:bCs/>
          <w:iCs/>
          <w:lang w:val="en-GB"/>
        </w:rPr>
        <w:t xml:space="preserve">within LMICs. This study was able to fulfil and apply this objective to </w:t>
      </w:r>
      <w:r w:rsidR="00EA5DA6" w:rsidRPr="0037330A">
        <w:rPr>
          <w:rFonts w:ascii="Book Antiqua" w:hAnsi="Book Antiqua" w:cs="Arial"/>
          <w:bCs/>
          <w:iCs/>
          <w:lang w:val="en-GB"/>
        </w:rPr>
        <w:t>37</w:t>
      </w:r>
      <w:r w:rsidRPr="0037330A">
        <w:rPr>
          <w:rFonts w:ascii="Book Antiqua" w:hAnsi="Book Antiqua" w:cs="Arial"/>
          <w:bCs/>
          <w:iCs/>
          <w:lang w:val="en-GB"/>
        </w:rPr>
        <w:t xml:space="preserve"> countries</w:t>
      </w:r>
      <w:r w:rsidR="00050618" w:rsidRPr="0037330A">
        <w:rPr>
          <w:rFonts w:ascii="Book Antiqua" w:hAnsi="Book Antiqua" w:cs="Arial"/>
          <w:bCs/>
          <w:iCs/>
          <w:lang w:val="en-GB"/>
        </w:rPr>
        <w:t>.</w:t>
      </w:r>
      <w:r w:rsidRPr="0037330A">
        <w:rPr>
          <w:rFonts w:ascii="Book Antiqua" w:hAnsi="Book Antiqua" w:cs="Arial"/>
          <w:bCs/>
          <w:iCs/>
          <w:lang w:val="en-GB"/>
        </w:rPr>
        <w:t xml:space="preserve"> By accomplishing this, future recommendations can be provided to help countries improve access to these supplies. </w:t>
      </w:r>
    </w:p>
    <w:p w14:paraId="4E6E146C" w14:textId="77777777" w:rsidR="00BE604F" w:rsidRPr="0037330A" w:rsidRDefault="00BE604F" w:rsidP="00146B63">
      <w:pPr>
        <w:tabs>
          <w:tab w:val="left" w:pos="990"/>
        </w:tabs>
        <w:snapToGrid w:val="0"/>
        <w:spacing w:line="360" w:lineRule="auto"/>
        <w:jc w:val="both"/>
        <w:rPr>
          <w:rFonts w:ascii="Book Antiqua" w:eastAsiaTheme="minorEastAsia" w:hAnsi="Book Antiqua" w:cs="Arial"/>
          <w:b/>
          <w:i/>
          <w:lang w:val="en-GB" w:eastAsia="zh-CN"/>
        </w:rPr>
      </w:pPr>
    </w:p>
    <w:p w14:paraId="63E2A8C5" w14:textId="5D91395B" w:rsidR="00FF1FE6" w:rsidRPr="0037330A" w:rsidRDefault="00FF1FE6" w:rsidP="00146B63">
      <w:pPr>
        <w:tabs>
          <w:tab w:val="left" w:pos="990"/>
        </w:tabs>
        <w:snapToGrid w:val="0"/>
        <w:spacing w:line="360" w:lineRule="auto"/>
        <w:jc w:val="both"/>
        <w:rPr>
          <w:rFonts w:ascii="Book Antiqua" w:hAnsi="Book Antiqua" w:cs="Arial"/>
          <w:lang w:val="en-GB"/>
        </w:rPr>
      </w:pPr>
      <w:r w:rsidRPr="0037330A">
        <w:rPr>
          <w:rFonts w:ascii="Book Antiqua" w:hAnsi="Book Antiqua" w:cs="Arial"/>
          <w:b/>
          <w:i/>
          <w:lang w:val="en-GB"/>
        </w:rPr>
        <w:t>Research methods</w:t>
      </w:r>
    </w:p>
    <w:p w14:paraId="4C88E52B" w14:textId="77777777" w:rsidR="002517C4" w:rsidRPr="0037330A" w:rsidRDefault="000A2B27" w:rsidP="00146B63">
      <w:pPr>
        <w:tabs>
          <w:tab w:val="left" w:pos="0"/>
        </w:tabs>
        <w:snapToGrid w:val="0"/>
        <w:spacing w:line="360" w:lineRule="auto"/>
        <w:jc w:val="both"/>
        <w:rPr>
          <w:rFonts w:ascii="Book Antiqua" w:hAnsi="Book Antiqua"/>
          <w:lang w:val="en-GB"/>
        </w:rPr>
      </w:pPr>
      <w:r w:rsidRPr="0037330A">
        <w:rPr>
          <w:rFonts w:ascii="Book Antiqua" w:hAnsi="Book Antiqua"/>
          <w:lang w:val="en-GB"/>
        </w:rPr>
        <w:t>A</w:t>
      </w:r>
      <w:r w:rsidR="002F5F00" w:rsidRPr="0037330A">
        <w:rPr>
          <w:rFonts w:ascii="Book Antiqua" w:hAnsi="Book Antiqua"/>
          <w:lang w:val="en-GB"/>
        </w:rPr>
        <w:t xml:space="preserve"> survey was </w:t>
      </w:r>
      <w:r w:rsidR="00BC4556" w:rsidRPr="0037330A">
        <w:rPr>
          <w:rFonts w:ascii="Book Antiqua" w:hAnsi="Book Antiqua"/>
          <w:lang w:val="en-GB"/>
        </w:rPr>
        <w:t>completed</w:t>
      </w:r>
      <w:r w:rsidR="002F5F00" w:rsidRPr="0037330A">
        <w:rPr>
          <w:rFonts w:ascii="Book Antiqua" w:hAnsi="Book Antiqua"/>
          <w:lang w:val="en-GB"/>
        </w:rPr>
        <w:t xml:space="preserve"> </w:t>
      </w:r>
      <w:r w:rsidRPr="0037330A">
        <w:rPr>
          <w:rFonts w:ascii="Book Antiqua" w:hAnsi="Book Antiqua"/>
          <w:lang w:val="en-GB"/>
        </w:rPr>
        <w:t>by</w:t>
      </w:r>
      <w:r w:rsidR="002F5F00" w:rsidRPr="0037330A">
        <w:rPr>
          <w:rFonts w:ascii="Book Antiqua" w:hAnsi="Book Antiqua"/>
          <w:lang w:val="en-GB"/>
        </w:rPr>
        <w:t xml:space="preserve"> senior leads of diabetes centres supported by the Life for a Child Program. </w:t>
      </w:r>
      <w:r w:rsidR="00050618" w:rsidRPr="0037330A">
        <w:rPr>
          <w:rFonts w:ascii="Book Antiqua" w:hAnsi="Book Antiqua"/>
          <w:lang w:val="en-GB"/>
        </w:rPr>
        <w:t xml:space="preserve">These included </w:t>
      </w:r>
      <w:r w:rsidR="00EA5DA6" w:rsidRPr="0037330A">
        <w:rPr>
          <w:rFonts w:ascii="Book Antiqua" w:hAnsi="Book Antiqua"/>
          <w:lang w:val="en-GB"/>
        </w:rPr>
        <w:t>37</w:t>
      </w:r>
      <w:r w:rsidR="00050618" w:rsidRPr="0037330A">
        <w:rPr>
          <w:rFonts w:ascii="Book Antiqua" w:hAnsi="Book Antiqua"/>
          <w:lang w:val="en-GB"/>
        </w:rPr>
        <w:t xml:space="preserve"> LMICs within Africa, </w:t>
      </w:r>
      <w:r w:rsidR="005064B0" w:rsidRPr="0037330A">
        <w:rPr>
          <w:rFonts w:ascii="Book Antiqua" w:hAnsi="Book Antiqua"/>
          <w:lang w:val="en-GB"/>
        </w:rPr>
        <w:t xml:space="preserve">the </w:t>
      </w:r>
      <w:r w:rsidR="00050618" w:rsidRPr="0037330A">
        <w:rPr>
          <w:rFonts w:ascii="Book Antiqua" w:hAnsi="Book Antiqua"/>
          <w:lang w:val="en-GB"/>
        </w:rPr>
        <w:t>Americas, Asia, Caucasus/Central Asia, and Western Pacific</w:t>
      </w:r>
      <w:r w:rsidR="002F5F00" w:rsidRPr="0037330A">
        <w:rPr>
          <w:rFonts w:ascii="Book Antiqua" w:hAnsi="Book Antiqua"/>
          <w:lang w:val="en-GB"/>
        </w:rPr>
        <w:t>.</w:t>
      </w:r>
      <w:r w:rsidR="00050618" w:rsidRPr="0037330A">
        <w:rPr>
          <w:rFonts w:ascii="Book Antiqua" w:hAnsi="Book Antiqua"/>
          <w:lang w:val="en-GB"/>
        </w:rPr>
        <w:t xml:space="preserve"> Respondents ranged from national diabetes association chiefs, diabetes </w:t>
      </w:r>
      <w:r w:rsidR="00050618" w:rsidRPr="0037330A">
        <w:rPr>
          <w:rFonts w:ascii="Book Antiqua" w:hAnsi="Book Antiqua"/>
          <w:bCs/>
          <w:lang w:val="en-GB"/>
        </w:rPr>
        <w:t xml:space="preserve">nongovernmental organisations, government hospitals, senior endocrinologists, Ministry of Health officials, and a mission hospital. </w:t>
      </w:r>
      <w:r w:rsidR="005064B0" w:rsidRPr="0037330A">
        <w:rPr>
          <w:rFonts w:ascii="Book Antiqua" w:hAnsi="Book Antiqua"/>
          <w:lang w:val="en-GB"/>
        </w:rPr>
        <w:t>Survey questions covered provision, cost, and availability of HbA1c testing and insulin injection devices</w:t>
      </w:r>
      <w:r w:rsidR="002517C4" w:rsidRPr="0037330A">
        <w:rPr>
          <w:rFonts w:ascii="Book Antiqua" w:hAnsi="Book Antiqua"/>
          <w:lang w:val="en-GB"/>
        </w:rPr>
        <w:t>.</w:t>
      </w:r>
    </w:p>
    <w:p w14:paraId="70124C2C" w14:textId="77777777" w:rsidR="00BE604F" w:rsidRPr="0037330A" w:rsidRDefault="00BE604F" w:rsidP="00146B63">
      <w:pPr>
        <w:tabs>
          <w:tab w:val="left" w:pos="0"/>
        </w:tabs>
        <w:snapToGrid w:val="0"/>
        <w:spacing w:line="360" w:lineRule="auto"/>
        <w:jc w:val="both"/>
        <w:rPr>
          <w:rFonts w:ascii="Book Antiqua" w:eastAsiaTheme="minorEastAsia" w:hAnsi="Book Antiqua" w:cs="Arial"/>
          <w:b/>
          <w:i/>
          <w:lang w:val="en-GB" w:eastAsia="zh-CN"/>
        </w:rPr>
      </w:pPr>
    </w:p>
    <w:p w14:paraId="610B7642" w14:textId="3BB93DE9" w:rsidR="00FF1FE6" w:rsidRPr="0037330A" w:rsidRDefault="00FF1FE6" w:rsidP="00146B63">
      <w:pPr>
        <w:tabs>
          <w:tab w:val="left" w:pos="0"/>
        </w:tabs>
        <w:snapToGrid w:val="0"/>
        <w:spacing w:line="360" w:lineRule="auto"/>
        <w:jc w:val="both"/>
        <w:rPr>
          <w:rFonts w:ascii="Book Antiqua" w:hAnsi="Book Antiqua"/>
          <w:bCs/>
          <w:lang w:val="en-GB"/>
        </w:rPr>
      </w:pPr>
      <w:r w:rsidRPr="0037330A">
        <w:rPr>
          <w:rFonts w:ascii="Book Antiqua" w:hAnsi="Book Antiqua" w:cs="Arial"/>
          <w:b/>
          <w:i/>
          <w:lang w:val="en-GB"/>
        </w:rPr>
        <w:t>Research results</w:t>
      </w:r>
    </w:p>
    <w:p w14:paraId="6D7FF883" w14:textId="681737DB" w:rsidR="002517C4" w:rsidRPr="0037330A" w:rsidRDefault="00CF4B4D" w:rsidP="00146B63">
      <w:pPr>
        <w:adjustRightInd w:val="0"/>
        <w:snapToGrid w:val="0"/>
        <w:spacing w:line="360" w:lineRule="auto"/>
        <w:jc w:val="both"/>
        <w:rPr>
          <w:rFonts w:ascii="Book Antiqua" w:hAnsi="Book Antiqua" w:cs="Arial"/>
          <w:lang w:val="en-GB"/>
        </w:rPr>
      </w:pPr>
      <w:r w:rsidRPr="0037330A">
        <w:rPr>
          <w:rFonts w:ascii="Book Antiqua" w:hAnsi="Book Antiqua" w:cs="Arial"/>
          <w:lang w:val="en-GB"/>
        </w:rPr>
        <w:t xml:space="preserve">For insulin injection devices, results demonstrated that roughly half of the surveyed </w:t>
      </w:r>
      <w:r w:rsidR="002517C4" w:rsidRPr="0037330A">
        <w:rPr>
          <w:rFonts w:ascii="Book Antiqua" w:hAnsi="Book Antiqua" w:cs="Arial"/>
          <w:lang w:val="en-GB"/>
        </w:rPr>
        <w:t>health systems</w:t>
      </w:r>
      <w:r w:rsidRPr="0037330A">
        <w:rPr>
          <w:rFonts w:ascii="Book Antiqua" w:hAnsi="Book Antiqua" w:cs="Arial"/>
          <w:lang w:val="en-GB"/>
        </w:rPr>
        <w:t xml:space="preserve"> provided syringes for insulin use</w:t>
      </w:r>
      <w:r w:rsidR="00BA3F12" w:rsidRPr="0037330A">
        <w:rPr>
          <w:rFonts w:ascii="Book Antiqua" w:hAnsi="Book Antiqua" w:cs="Arial"/>
          <w:lang w:val="en-GB"/>
        </w:rPr>
        <w:t>.</w:t>
      </w:r>
      <w:r w:rsidRPr="0037330A">
        <w:rPr>
          <w:rFonts w:ascii="Book Antiqua" w:hAnsi="Book Antiqua" w:cs="Arial"/>
          <w:lang w:val="en-GB"/>
        </w:rPr>
        <w:t xml:space="preserve"> Further, a number </w:t>
      </w:r>
      <w:r w:rsidR="00E07F3E" w:rsidRPr="0037330A">
        <w:rPr>
          <w:rFonts w:ascii="Book Antiqua" w:hAnsi="Book Antiqua" w:cs="Arial"/>
          <w:lang w:val="en-GB"/>
        </w:rPr>
        <w:t xml:space="preserve">of </w:t>
      </w:r>
      <w:r w:rsidRPr="0037330A">
        <w:rPr>
          <w:rFonts w:ascii="Book Antiqua" w:hAnsi="Book Antiqua" w:cs="Arial"/>
          <w:lang w:val="en-GB"/>
        </w:rPr>
        <w:t>respondents noted that their patients used syringes with suboptimal practice surrounding reuse, site rotation, and disposal. For HbA1c testing, provision across the surveyed countries was more wide-ranging. Testing was not always available even in the countries where it was provided within public health settings</w:t>
      </w:r>
      <w:r w:rsidR="00E07F3E" w:rsidRPr="0037330A">
        <w:rPr>
          <w:rFonts w:ascii="Book Antiqua" w:hAnsi="Book Antiqua" w:cs="Arial"/>
          <w:lang w:val="en-GB"/>
        </w:rPr>
        <w:t>.</w:t>
      </w:r>
      <w:r w:rsidRPr="0037330A">
        <w:rPr>
          <w:rFonts w:ascii="Book Antiqua" w:hAnsi="Book Antiqua" w:cs="Arial"/>
          <w:lang w:val="en-GB"/>
        </w:rPr>
        <w:t xml:space="preserve"> </w:t>
      </w:r>
      <w:r w:rsidR="00E07F3E" w:rsidRPr="0037330A">
        <w:rPr>
          <w:rFonts w:ascii="Book Antiqua" w:hAnsi="Book Antiqua" w:cs="Arial"/>
          <w:lang w:val="en-GB"/>
        </w:rPr>
        <w:t>I</w:t>
      </w:r>
      <w:r w:rsidRPr="0037330A">
        <w:rPr>
          <w:rFonts w:ascii="Book Antiqua" w:hAnsi="Book Antiqua" w:cs="Arial"/>
          <w:lang w:val="en-GB"/>
        </w:rPr>
        <w:t xml:space="preserve">n these </w:t>
      </w:r>
      <w:r w:rsidR="00E07F3E" w:rsidRPr="0037330A">
        <w:rPr>
          <w:rFonts w:ascii="Book Antiqua" w:hAnsi="Book Antiqua" w:cs="Arial"/>
          <w:lang w:val="en-GB"/>
        </w:rPr>
        <w:t>instances,</w:t>
      </w:r>
      <w:r w:rsidRPr="0037330A">
        <w:rPr>
          <w:rFonts w:ascii="Book Antiqua" w:hAnsi="Book Antiqua" w:cs="Arial"/>
          <w:lang w:val="en-GB"/>
        </w:rPr>
        <w:t xml:space="preserve"> patients could only access tests at private pharmacies, where </w:t>
      </w:r>
      <w:r w:rsidR="00E07F3E" w:rsidRPr="0037330A">
        <w:rPr>
          <w:rFonts w:ascii="Book Antiqua" w:hAnsi="Book Antiqua" w:cs="Arial"/>
          <w:lang w:val="en-GB"/>
        </w:rPr>
        <w:t>they receive</w:t>
      </w:r>
      <w:r w:rsidR="002517C4" w:rsidRPr="0037330A">
        <w:rPr>
          <w:rFonts w:ascii="Book Antiqua" w:hAnsi="Book Antiqua" w:cs="Arial"/>
          <w:lang w:val="en-GB"/>
        </w:rPr>
        <w:t>d</w:t>
      </w:r>
      <w:r w:rsidRPr="0037330A">
        <w:rPr>
          <w:rFonts w:ascii="Book Antiqua" w:hAnsi="Book Antiqua" w:cs="Arial"/>
          <w:lang w:val="en-GB"/>
        </w:rPr>
        <w:t xml:space="preserve"> no financial assistance. A number of respondents noted that, as health care providers, they faced many challenges in providing testing to patients</w:t>
      </w:r>
      <w:r w:rsidR="00E07F3E" w:rsidRPr="0037330A">
        <w:rPr>
          <w:rFonts w:ascii="Book Antiqua" w:hAnsi="Book Antiqua" w:cs="Arial"/>
          <w:lang w:val="en-GB"/>
        </w:rPr>
        <w:t xml:space="preserve"> including maintaining supply stock</w:t>
      </w:r>
      <w:r w:rsidR="00EF2558" w:rsidRPr="0037330A">
        <w:rPr>
          <w:rFonts w:ascii="Book Antiqua" w:hAnsi="Book Antiqua" w:cs="Arial"/>
          <w:lang w:val="en-GB"/>
        </w:rPr>
        <w:t>, maintenance, and health professional education</w:t>
      </w:r>
      <w:r w:rsidRPr="0037330A">
        <w:rPr>
          <w:rFonts w:ascii="Book Antiqua" w:hAnsi="Book Antiqua" w:cs="Arial"/>
          <w:lang w:val="en-GB"/>
        </w:rPr>
        <w:t xml:space="preserve">. </w:t>
      </w:r>
    </w:p>
    <w:p w14:paraId="09012521" w14:textId="77777777" w:rsidR="00BE604F" w:rsidRPr="0037330A" w:rsidRDefault="00BE604F" w:rsidP="00146B63">
      <w:pPr>
        <w:adjustRightInd w:val="0"/>
        <w:snapToGrid w:val="0"/>
        <w:spacing w:line="360" w:lineRule="auto"/>
        <w:jc w:val="both"/>
        <w:rPr>
          <w:rFonts w:ascii="Book Antiqua" w:eastAsiaTheme="minorEastAsia" w:hAnsi="Book Antiqua" w:cs="Arial"/>
          <w:b/>
          <w:i/>
          <w:lang w:val="en-GB" w:eastAsia="zh-CN"/>
        </w:rPr>
      </w:pPr>
    </w:p>
    <w:p w14:paraId="07E1CCD7" w14:textId="4FA7A55E" w:rsidR="00FF1FE6" w:rsidRPr="0037330A" w:rsidRDefault="00FF1FE6" w:rsidP="00146B63">
      <w:pPr>
        <w:adjustRightInd w:val="0"/>
        <w:snapToGrid w:val="0"/>
        <w:spacing w:line="360" w:lineRule="auto"/>
        <w:jc w:val="both"/>
        <w:rPr>
          <w:rFonts w:ascii="Book Antiqua" w:hAnsi="Book Antiqua" w:cs="Arial"/>
          <w:lang w:val="en-GB"/>
        </w:rPr>
      </w:pPr>
      <w:r w:rsidRPr="0037330A">
        <w:rPr>
          <w:rFonts w:ascii="Book Antiqua" w:hAnsi="Book Antiqua" w:cs="Arial"/>
          <w:b/>
          <w:i/>
          <w:lang w:val="en-GB"/>
        </w:rPr>
        <w:t>Research conclusions</w:t>
      </w:r>
    </w:p>
    <w:p w14:paraId="0BFA2142" w14:textId="1D13A256" w:rsidR="00BE604F" w:rsidRPr="0037330A" w:rsidRDefault="00CF4B4D" w:rsidP="00146B63">
      <w:pPr>
        <w:adjustRightInd w:val="0"/>
        <w:snapToGrid w:val="0"/>
        <w:spacing w:line="360" w:lineRule="auto"/>
        <w:jc w:val="both"/>
        <w:rPr>
          <w:rFonts w:ascii="Book Antiqua" w:eastAsiaTheme="minorEastAsia" w:hAnsi="Book Antiqua" w:cs="Arial"/>
          <w:lang w:val="en-GB" w:eastAsia="zh-CN"/>
        </w:rPr>
      </w:pPr>
      <w:r w:rsidRPr="0037330A">
        <w:rPr>
          <w:rFonts w:ascii="Book Antiqua" w:hAnsi="Book Antiqua" w:cs="Arial"/>
          <w:lang w:val="en-GB"/>
        </w:rPr>
        <w:t xml:space="preserve">This novel study </w:t>
      </w:r>
      <w:r w:rsidR="00BA3F12" w:rsidRPr="0037330A">
        <w:rPr>
          <w:rFonts w:ascii="Book Antiqua" w:hAnsi="Book Antiqua" w:cs="Arial"/>
          <w:lang w:val="en-GB"/>
        </w:rPr>
        <w:t xml:space="preserve">shows that access to appropriate insulin delivery devices and HbA1c testing in LMICs is </w:t>
      </w:r>
      <w:r w:rsidR="00EE4A56" w:rsidRPr="0037330A">
        <w:rPr>
          <w:rFonts w:ascii="Book Antiqua" w:hAnsi="Book Antiqua" w:cs="Arial"/>
          <w:lang w:val="en-GB"/>
        </w:rPr>
        <w:t>largely inadequate</w:t>
      </w:r>
      <w:r w:rsidR="0012679A" w:rsidRPr="0037330A">
        <w:rPr>
          <w:rFonts w:ascii="Book Antiqua" w:hAnsi="Book Antiqua" w:cs="Arial"/>
          <w:lang w:val="en-GB"/>
        </w:rPr>
        <w:t>.</w:t>
      </w:r>
      <w:r w:rsidR="0012679A" w:rsidRPr="0037330A">
        <w:rPr>
          <w:rFonts w:ascii="Book Antiqua" w:eastAsiaTheme="minorEastAsia" w:hAnsi="Book Antiqua" w:cs="Arial"/>
          <w:lang w:val="en-GB" w:eastAsia="zh-CN"/>
        </w:rPr>
        <w:t xml:space="preserve"> </w:t>
      </w:r>
      <w:r w:rsidR="00BA3F12" w:rsidRPr="0037330A">
        <w:rPr>
          <w:rFonts w:ascii="Book Antiqua" w:hAnsi="Book Antiqua" w:cs="Arial"/>
          <w:lang w:val="en-GB"/>
        </w:rPr>
        <w:t xml:space="preserve">For insulin delivery </w:t>
      </w:r>
      <w:r w:rsidR="00BA3F12" w:rsidRPr="0037330A">
        <w:rPr>
          <w:rFonts w:ascii="Book Antiqua" w:hAnsi="Book Antiqua" w:cs="Arial"/>
          <w:lang w:val="en-GB"/>
        </w:rPr>
        <w:lastRenderedPageBreak/>
        <w:t xml:space="preserve">devices, </w:t>
      </w:r>
      <w:r w:rsidR="00EE4A56" w:rsidRPr="0037330A">
        <w:rPr>
          <w:rFonts w:ascii="Book Antiqua" w:hAnsi="Book Antiqua" w:cs="Arial"/>
          <w:lang w:val="en-GB"/>
        </w:rPr>
        <w:t>poor access</w:t>
      </w:r>
      <w:r w:rsidR="00BA3F12" w:rsidRPr="0037330A">
        <w:rPr>
          <w:rFonts w:ascii="Book Antiqua" w:hAnsi="Book Antiqua" w:cs="Arial"/>
          <w:lang w:val="en-GB"/>
        </w:rPr>
        <w:t xml:space="preserve"> </w:t>
      </w:r>
      <w:r w:rsidR="00AD10AF" w:rsidRPr="0037330A">
        <w:rPr>
          <w:rFonts w:ascii="Book Antiqua" w:hAnsi="Book Antiqua" w:cs="Arial"/>
          <w:lang w:val="en-GB"/>
        </w:rPr>
        <w:t>was</w:t>
      </w:r>
      <w:r w:rsidR="00BA3F12" w:rsidRPr="0037330A">
        <w:rPr>
          <w:rFonts w:ascii="Book Antiqua" w:hAnsi="Book Antiqua" w:cs="Arial"/>
          <w:lang w:val="en-GB"/>
        </w:rPr>
        <w:t xml:space="preserve"> largely due to </w:t>
      </w:r>
      <w:r w:rsidR="00EE4A56" w:rsidRPr="0037330A">
        <w:rPr>
          <w:rFonts w:ascii="Book Antiqua" w:hAnsi="Book Antiqua" w:cs="Arial"/>
          <w:lang w:val="en-GB"/>
        </w:rPr>
        <w:t>l</w:t>
      </w:r>
      <w:r w:rsidR="00AD10AF" w:rsidRPr="0037330A">
        <w:rPr>
          <w:rFonts w:ascii="Book Antiqua" w:hAnsi="Book Antiqua" w:cs="Arial"/>
          <w:lang w:val="en-GB"/>
        </w:rPr>
        <w:t xml:space="preserve">ack of provision in health systems, stigma associated with syringes, cost, </w:t>
      </w:r>
      <w:r w:rsidR="00EE4A56" w:rsidRPr="0037330A">
        <w:rPr>
          <w:rFonts w:ascii="Book Antiqua" w:hAnsi="Book Antiqua" w:cs="Arial"/>
          <w:lang w:val="en-GB"/>
        </w:rPr>
        <w:t xml:space="preserve">and </w:t>
      </w:r>
      <w:r w:rsidR="00AD10AF" w:rsidRPr="0037330A">
        <w:rPr>
          <w:rFonts w:ascii="Book Antiqua" w:hAnsi="Book Antiqua" w:cs="Arial"/>
          <w:lang w:val="en-GB"/>
        </w:rPr>
        <w:t xml:space="preserve">inappropriate needle lengths, sizes, and gauges. For HbA1c testing, </w:t>
      </w:r>
      <w:r w:rsidR="00EE4A56" w:rsidRPr="0037330A">
        <w:rPr>
          <w:rFonts w:ascii="Book Antiqua" w:hAnsi="Book Antiqua" w:cs="Arial"/>
          <w:lang w:val="en-GB"/>
        </w:rPr>
        <w:t xml:space="preserve">poor access for patients mainly </w:t>
      </w:r>
      <w:r w:rsidR="003C6DF0" w:rsidRPr="0037330A">
        <w:rPr>
          <w:rFonts w:ascii="Book Antiqua" w:hAnsi="Book Antiqua" w:cs="Arial"/>
          <w:lang w:val="en-GB"/>
        </w:rPr>
        <w:t>stemmed</w:t>
      </w:r>
      <w:r w:rsidR="00AD10AF" w:rsidRPr="0037330A">
        <w:rPr>
          <w:rFonts w:ascii="Book Antiqua" w:hAnsi="Book Antiqua" w:cs="Arial"/>
          <w:lang w:val="en-GB"/>
        </w:rPr>
        <w:t xml:space="preserve"> </w:t>
      </w:r>
      <w:r w:rsidR="003C6DF0" w:rsidRPr="0037330A">
        <w:rPr>
          <w:rFonts w:ascii="Book Antiqua" w:hAnsi="Book Antiqua" w:cs="Arial"/>
          <w:lang w:val="en-GB"/>
        </w:rPr>
        <w:t xml:space="preserve">from </w:t>
      </w:r>
      <w:r w:rsidR="00EE4A56" w:rsidRPr="0037330A">
        <w:rPr>
          <w:rFonts w:ascii="Book Antiqua" w:hAnsi="Book Antiqua" w:cs="Arial"/>
          <w:lang w:val="en-GB"/>
        </w:rPr>
        <w:t xml:space="preserve">lack of availability and high </w:t>
      </w:r>
      <w:r w:rsidR="002E64BB" w:rsidRPr="0037330A">
        <w:rPr>
          <w:rFonts w:ascii="Book Antiqua" w:hAnsi="Book Antiqua" w:cs="Arial"/>
          <w:lang w:val="en-GB"/>
        </w:rPr>
        <w:t xml:space="preserve">purchase </w:t>
      </w:r>
      <w:r w:rsidR="00EE4A56" w:rsidRPr="0037330A">
        <w:rPr>
          <w:rFonts w:ascii="Book Antiqua" w:hAnsi="Book Antiqua" w:cs="Arial"/>
          <w:lang w:val="en-GB"/>
        </w:rPr>
        <w:t>costs</w:t>
      </w:r>
      <w:r w:rsidR="002E64BB" w:rsidRPr="0037330A">
        <w:rPr>
          <w:rFonts w:ascii="Book Antiqua" w:hAnsi="Book Antiqua" w:cs="Arial"/>
          <w:lang w:val="en-GB"/>
        </w:rPr>
        <w:t>, and the taxes and tariffs levied</w:t>
      </w:r>
      <w:r w:rsidR="00EE4A56" w:rsidRPr="0037330A">
        <w:rPr>
          <w:rFonts w:ascii="Book Antiqua" w:hAnsi="Book Antiqua" w:cs="Arial"/>
          <w:lang w:val="en-GB"/>
        </w:rPr>
        <w:t xml:space="preserve"> of testing equipment </w:t>
      </w:r>
      <w:r w:rsidR="003C6DF0" w:rsidRPr="0037330A">
        <w:rPr>
          <w:rFonts w:ascii="Book Antiqua" w:hAnsi="Book Antiqua" w:cs="Arial"/>
          <w:lang w:val="en-GB"/>
        </w:rPr>
        <w:t>within</w:t>
      </w:r>
      <w:r w:rsidR="00EE4A56" w:rsidRPr="0037330A">
        <w:rPr>
          <w:rFonts w:ascii="Book Antiqua" w:hAnsi="Book Antiqua" w:cs="Arial"/>
          <w:lang w:val="en-GB"/>
        </w:rPr>
        <w:t xml:space="preserve"> health systems. Sustaining maintenance and supply stock were further challenges. </w:t>
      </w:r>
      <w:r w:rsidR="003F6C14" w:rsidRPr="0037330A">
        <w:rPr>
          <w:rFonts w:ascii="Book Antiqua" w:hAnsi="Book Antiqua" w:cs="Arial"/>
          <w:lang w:val="en-GB"/>
        </w:rPr>
        <w:t>Research</w:t>
      </w:r>
      <w:r w:rsidR="002E64BB" w:rsidRPr="0037330A">
        <w:rPr>
          <w:rFonts w:ascii="Book Antiqua" w:hAnsi="Book Antiqua" w:cs="Arial"/>
          <w:lang w:val="en-GB"/>
        </w:rPr>
        <w:t xml:space="preserve"> findings </w:t>
      </w:r>
      <w:r w:rsidR="00125F5F" w:rsidRPr="0037330A">
        <w:rPr>
          <w:rFonts w:ascii="Book Antiqua" w:hAnsi="Book Antiqua" w:cs="Arial"/>
          <w:lang w:val="en-GB"/>
        </w:rPr>
        <w:t>could</w:t>
      </w:r>
      <w:r w:rsidR="002E64BB" w:rsidRPr="0037330A">
        <w:rPr>
          <w:rFonts w:ascii="Book Antiqua" w:hAnsi="Book Antiqua" w:cs="Arial"/>
          <w:lang w:val="en-GB"/>
        </w:rPr>
        <w:t xml:space="preserve"> </w:t>
      </w:r>
      <w:r w:rsidR="00C629ED" w:rsidRPr="0037330A">
        <w:rPr>
          <w:rFonts w:ascii="Book Antiqua" w:hAnsi="Book Antiqua" w:cs="Arial"/>
          <w:lang w:val="en-GB"/>
        </w:rPr>
        <w:t xml:space="preserve">serve as </w:t>
      </w:r>
      <w:r w:rsidR="004A72E4" w:rsidRPr="0037330A">
        <w:rPr>
          <w:rFonts w:ascii="Book Antiqua" w:hAnsi="Book Antiqua" w:cs="Arial"/>
          <w:lang w:val="en-GB"/>
        </w:rPr>
        <w:t xml:space="preserve">material to </w:t>
      </w:r>
      <w:r w:rsidR="002E64BB" w:rsidRPr="0037330A">
        <w:rPr>
          <w:rFonts w:ascii="Book Antiqua" w:hAnsi="Book Antiqua" w:cs="Arial"/>
          <w:lang w:val="en-GB"/>
        </w:rPr>
        <w:t>help</w:t>
      </w:r>
      <w:r w:rsidR="00BA3F12" w:rsidRPr="0037330A">
        <w:rPr>
          <w:rFonts w:ascii="Book Antiqua" w:hAnsi="Book Antiqua" w:cs="Arial"/>
          <w:lang w:val="en-GB"/>
        </w:rPr>
        <w:t xml:space="preserve"> </w:t>
      </w:r>
      <w:r w:rsidR="004A72E4" w:rsidRPr="0037330A">
        <w:rPr>
          <w:rFonts w:ascii="Book Antiqua" w:hAnsi="Book Antiqua" w:cs="Arial"/>
          <w:lang w:val="en-GB"/>
        </w:rPr>
        <w:t>patients</w:t>
      </w:r>
      <w:r w:rsidR="00125F5F" w:rsidRPr="0037330A">
        <w:rPr>
          <w:rFonts w:ascii="Book Antiqua" w:hAnsi="Book Antiqua" w:cs="Arial"/>
          <w:lang w:val="en-GB"/>
        </w:rPr>
        <w:t xml:space="preserve">, </w:t>
      </w:r>
      <w:r w:rsidR="00BA3F12" w:rsidRPr="0037330A">
        <w:rPr>
          <w:rFonts w:ascii="Book Antiqua" w:hAnsi="Book Antiqua" w:cs="Arial"/>
          <w:lang w:val="en-GB"/>
        </w:rPr>
        <w:t>health care professionals</w:t>
      </w:r>
      <w:r w:rsidR="00125F5F" w:rsidRPr="0037330A">
        <w:rPr>
          <w:rFonts w:ascii="Book Antiqua" w:hAnsi="Book Antiqua" w:cs="Arial"/>
          <w:lang w:val="en-GB"/>
        </w:rPr>
        <w:t>, and civil society organisations</w:t>
      </w:r>
      <w:r w:rsidR="002E64BB" w:rsidRPr="0037330A">
        <w:rPr>
          <w:rFonts w:ascii="Book Antiqua" w:hAnsi="Book Antiqua" w:cs="Arial"/>
          <w:lang w:val="en-GB"/>
        </w:rPr>
        <w:t xml:space="preserve"> </w:t>
      </w:r>
      <w:r w:rsidR="004A72E4" w:rsidRPr="0037330A">
        <w:rPr>
          <w:rFonts w:ascii="Book Antiqua" w:hAnsi="Book Antiqua" w:cs="Arial"/>
          <w:lang w:val="en-GB"/>
        </w:rPr>
        <w:t xml:space="preserve">advocate for increased provision of non-insulin essential diabetes supplies. </w:t>
      </w:r>
    </w:p>
    <w:p w14:paraId="7D2A9B8F" w14:textId="77777777" w:rsidR="00BE604F" w:rsidRPr="0037330A" w:rsidRDefault="00BE604F" w:rsidP="00146B63">
      <w:pPr>
        <w:adjustRightInd w:val="0"/>
        <w:snapToGrid w:val="0"/>
        <w:spacing w:line="360" w:lineRule="auto"/>
        <w:jc w:val="both"/>
        <w:rPr>
          <w:rFonts w:ascii="Book Antiqua" w:eastAsiaTheme="minorEastAsia" w:hAnsi="Book Antiqua" w:cs="Arial"/>
          <w:lang w:val="en-GB" w:eastAsia="zh-CN"/>
        </w:rPr>
      </w:pPr>
    </w:p>
    <w:p w14:paraId="76FC9EE7" w14:textId="15DA9248" w:rsidR="00FF1FE6" w:rsidRPr="0037330A" w:rsidRDefault="00FF1FE6" w:rsidP="00146B63">
      <w:pPr>
        <w:adjustRightInd w:val="0"/>
        <w:snapToGrid w:val="0"/>
        <w:spacing w:line="360" w:lineRule="auto"/>
        <w:jc w:val="both"/>
        <w:rPr>
          <w:rFonts w:ascii="Book Antiqua" w:hAnsi="Book Antiqua" w:cs="Arial"/>
          <w:lang w:val="en-GB"/>
        </w:rPr>
      </w:pPr>
      <w:r w:rsidRPr="0037330A">
        <w:rPr>
          <w:rFonts w:ascii="Book Antiqua" w:hAnsi="Book Antiqua" w:cs="Arial"/>
          <w:b/>
          <w:i/>
          <w:lang w:val="en-GB"/>
        </w:rPr>
        <w:t>Research perspectives</w:t>
      </w:r>
    </w:p>
    <w:p w14:paraId="352A4DC3" w14:textId="522FF4EC" w:rsidR="002456F4" w:rsidRPr="0037330A" w:rsidRDefault="00125F5F" w:rsidP="00146B63">
      <w:pPr>
        <w:pStyle w:val="a3"/>
        <w:snapToGrid w:val="0"/>
        <w:spacing w:line="360" w:lineRule="auto"/>
        <w:ind w:left="0"/>
        <w:contextualSpacing w:val="0"/>
        <w:jc w:val="both"/>
        <w:rPr>
          <w:rFonts w:ascii="Book Antiqua" w:hAnsi="Book Antiqua" w:cs="Arial"/>
          <w:lang w:val="en-GB"/>
        </w:rPr>
      </w:pPr>
      <w:r w:rsidRPr="0037330A">
        <w:rPr>
          <w:rFonts w:ascii="Book Antiqua" w:hAnsi="Book Antiqua" w:cs="Arial"/>
          <w:lang w:val="en-GB"/>
        </w:rPr>
        <w:t xml:space="preserve">When people with diabetes cannot access insulin delivery devices, challenges arise associated with needle reuse, infection, and disposal. </w:t>
      </w:r>
      <w:r w:rsidR="00690F6C" w:rsidRPr="0037330A">
        <w:rPr>
          <w:rFonts w:ascii="Book Antiqua" w:hAnsi="Book Antiqua" w:cs="Arial"/>
          <w:lang w:val="en-GB"/>
        </w:rPr>
        <w:t>Further, i</w:t>
      </w:r>
      <w:r w:rsidRPr="0037330A">
        <w:rPr>
          <w:rFonts w:ascii="Book Antiqua" w:hAnsi="Book Antiqua" w:cs="Arial"/>
          <w:lang w:val="en-GB"/>
        </w:rPr>
        <w:t xml:space="preserve">nadequate access to HbA1c testing is </w:t>
      </w:r>
      <w:r w:rsidR="00690F6C" w:rsidRPr="0037330A">
        <w:rPr>
          <w:rFonts w:ascii="Book Antiqua" w:hAnsi="Book Antiqua" w:cs="Arial"/>
          <w:lang w:val="en-GB"/>
        </w:rPr>
        <w:t>problematic</w:t>
      </w:r>
      <w:r w:rsidRPr="0037330A">
        <w:rPr>
          <w:rFonts w:ascii="Book Antiqua" w:hAnsi="Book Antiqua" w:cs="Arial"/>
          <w:lang w:val="en-GB"/>
        </w:rPr>
        <w:t xml:space="preserve"> for people with diabetes</w:t>
      </w:r>
      <w:r w:rsidR="00690F6C" w:rsidRPr="0037330A">
        <w:rPr>
          <w:rFonts w:ascii="Book Antiqua" w:hAnsi="Book Antiqua" w:cs="Arial"/>
          <w:lang w:val="en-GB"/>
        </w:rPr>
        <w:t>, and also challenging for their health care providers</w:t>
      </w:r>
      <w:r w:rsidRPr="0037330A">
        <w:rPr>
          <w:rFonts w:ascii="Book Antiqua" w:hAnsi="Book Antiqua" w:cs="Arial"/>
          <w:lang w:val="en-GB"/>
        </w:rPr>
        <w:t xml:space="preserve">, as </w:t>
      </w:r>
      <w:r w:rsidR="00690F6C" w:rsidRPr="0037330A">
        <w:rPr>
          <w:rFonts w:ascii="Book Antiqua" w:hAnsi="Book Antiqua" w:cs="Arial"/>
          <w:lang w:val="en-GB"/>
        </w:rPr>
        <w:t>the information derived can</w:t>
      </w:r>
      <w:r w:rsidRPr="0037330A">
        <w:rPr>
          <w:rFonts w:ascii="Book Antiqua" w:hAnsi="Book Antiqua" w:cs="Arial"/>
          <w:lang w:val="en-GB"/>
        </w:rPr>
        <w:t xml:space="preserve"> help to </w:t>
      </w:r>
      <w:r w:rsidR="00690F6C" w:rsidRPr="0037330A">
        <w:rPr>
          <w:rFonts w:ascii="Book Antiqua" w:hAnsi="Book Antiqua" w:cs="Arial"/>
          <w:lang w:val="en-GB"/>
        </w:rPr>
        <w:t xml:space="preserve">promote effective self-management and </w:t>
      </w:r>
      <w:r w:rsidRPr="0037330A">
        <w:rPr>
          <w:rFonts w:ascii="Book Antiqua" w:hAnsi="Book Antiqua" w:cs="Arial"/>
          <w:lang w:val="en-GB"/>
        </w:rPr>
        <w:t>mitigate the ri</w:t>
      </w:r>
      <w:r w:rsidR="0012679A" w:rsidRPr="0037330A">
        <w:rPr>
          <w:rFonts w:ascii="Book Antiqua" w:hAnsi="Book Antiqua" w:cs="Arial"/>
          <w:lang w:val="en-GB"/>
        </w:rPr>
        <w:t>sk of developing complications.</w:t>
      </w:r>
      <w:r w:rsidR="0012679A" w:rsidRPr="0037330A">
        <w:rPr>
          <w:rFonts w:ascii="Book Antiqua" w:eastAsiaTheme="minorEastAsia" w:hAnsi="Book Antiqua" w:cs="Arial"/>
          <w:lang w:val="en-GB" w:eastAsia="zh-CN"/>
        </w:rPr>
        <w:t xml:space="preserve"> </w:t>
      </w:r>
      <w:r w:rsidR="00043F67" w:rsidRPr="0037330A">
        <w:rPr>
          <w:rFonts w:ascii="Book Antiqua" w:hAnsi="Book Antiqua" w:cs="Arial"/>
          <w:lang w:val="en-GB"/>
        </w:rPr>
        <w:t>Learning from the findings of this study,</w:t>
      </w:r>
      <w:r w:rsidR="002456F4" w:rsidRPr="0037330A">
        <w:rPr>
          <w:rFonts w:ascii="Book Antiqua" w:hAnsi="Book Antiqua" w:cs="Arial"/>
          <w:lang w:val="en-GB"/>
        </w:rPr>
        <w:t xml:space="preserve"> </w:t>
      </w:r>
      <w:r w:rsidR="00690F6C" w:rsidRPr="0037330A">
        <w:rPr>
          <w:rFonts w:ascii="Book Antiqua" w:hAnsi="Book Antiqua" w:cs="Arial"/>
          <w:lang w:val="en-GB"/>
        </w:rPr>
        <w:t xml:space="preserve">the authors encourage health systems to focus on </w:t>
      </w:r>
      <w:r w:rsidR="002456F4" w:rsidRPr="0037330A">
        <w:rPr>
          <w:rFonts w:ascii="Book Antiqua" w:hAnsi="Book Antiqua" w:cs="Arial"/>
          <w:lang w:val="en-GB"/>
        </w:rPr>
        <w:t xml:space="preserve">provision of </w:t>
      </w:r>
      <w:r w:rsidR="00BC4F12" w:rsidRPr="0037330A">
        <w:rPr>
          <w:rFonts w:ascii="Book Antiqua" w:hAnsi="Book Antiqua" w:cs="Arial"/>
          <w:lang w:val="en-GB"/>
        </w:rPr>
        <w:t xml:space="preserve">affordable </w:t>
      </w:r>
      <w:r w:rsidR="00690F6C" w:rsidRPr="0037330A">
        <w:rPr>
          <w:rFonts w:ascii="Book Antiqua" w:hAnsi="Book Antiqua" w:cs="Arial"/>
          <w:lang w:val="en-GB"/>
        </w:rPr>
        <w:t xml:space="preserve">and </w:t>
      </w:r>
      <w:r w:rsidR="002456F4" w:rsidRPr="0037330A">
        <w:rPr>
          <w:rFonts w:ascii="Book Antiqua" w:hAnsi="Book Antiqua" w:cs="Arial"/>
          <w:lang w:val="en-GB"/>
        </w:rPr>
        <w:t xml:space="preserve">appropriate needle gauges, lengths and sizes, </w:t>
      </w:r>
      <w:r w:rsidR="00BC4F12" w:rsidRPr="0037330A">
        <w:rPr>
          <w:rFonts w:ascii="Book Antiqua" w:hAnsi="Book Antiqua" w:cs="Arial"/>
          <w:lang w:val="en-GB"/>
        </w:rPr>
        <w:t xml:space="preserve">and </w:t>
      </w:r>
      <w:r w:rsidR="002456F4" w:rsidRPr="0037330A">
        <w:rPr>
          <w:rFonts w:ascii="Book Antiqua" w:hAnsi="Book Antiqua" w:cs="Arial"/>
          <w:lang w:val="en-GB"/>
        </w:rPr>
        <w:t>accurate information on needle reuse and disposal</w:t>
      </w:r>
      <w:r w:rsidR="00BC4F12" w:rsidRPr="0037330A">
        <w:rPr>
          <w:rFonts w:ascii="Book Antiqua" w:hAnsi="Book Antiqua" w:cs="Arial"/>
          <w:lang w:val="en-GB"/>
        </w:rPr>
        <w:t xml:space="preserve">. For HbA1c testing, </w:t>
      </w:r>
      <w:r w:rsidR="00690F6C" w:rsidRPr="0037330A">
        <w:rPr>
          <w:rFonts w:ascii="Book Antiqua" w:hAnsi="Book Antiqua" w:cs="Arial"/>
          <w:lang w:val="en-GB"/>
        </w:rPr>
        <w:t>it is essential that available and affordable testing be available within health systems</w:t>
      </w:r>
      <w:r w:rsidR="00043F67" w:rsidRPr="0037330A">
        <w:rPr>
          <w:rFonts w:ascii="Book Antiqua" w:hAnsi="Book Antiqua" w:cs="Arial"/>
          <w:lang w:val="en-GB"/>
        </w:rPr>
        <w:t>, whereby</w:t>
      </w:r>
      <w:r w:rsidR="00690F6C" w:rsidRPr="0037330A">
        <w:rPr>
          <w:rFonts w:ascii="Book Antiqua" w:hAnsi="Book Antiqua" w:cs="Arial"/>
          <w:lang w:val="en-GB"/>
        </w:rPr>
        <w:t xml:space="preserve"> </w:t>
      </w:r>
      <w:r w:rsidR="00BC4F12" w:rsidRPr="0037330A">
        <w:rPr>
          <w:rFonts w:ascii="Book Antiqua" w:hAnsi="Book Antiqua" w:cs="Arial"/>
          <w:lang w:val="en-GB"/>
        </w:rPr>
        <w:t>health professional</w:t>
      </w:r>
      <w:r w:rsidR="00690F6C" w:rsidRPr="0037330A">
        <w:rPr>
          <w:rFonts w:ascii="Book Antiqua" w:hAnsi="Book Antiqua" w:cs="Arial"/>
          <w:lang w:val="en-GB"/>
        </w:rPr>
        <w:t>s and patients are appropriate</w:t>
      </w:r>
      <w:r w:rsidR="00043F67" w:rsidRPr="0037330A">
        <w:rPr>
          <w:rFonts w:ascii="Book Antiqua" w:hAnsi="Book Antiqua" w:cs="Arial"/>
          <w:lang w:val="en-GB"/>
        </w:rPr>
        <w:t>ly</w:t>
      </w:r>
      <w:r w:rsidR="00690F6C" w:rsidRPr="0037330A">
        <w:rPr>
          <w:rFonts w:ascii="Book Antiqua" w:hAnsi="Book Antiqua" w:cs="Arial"/>
          <w:lang w:val="en-GB"/>
        </w:rPr>
        <w:t xml:space="preserve"> education</w:t>
      </w:r>
      <w:r w:rsidR="00043F67" w:rsidRPr="0037330A">
        <w:rPr>
          <w:rFonts w:ascii="Book Antiqua" w:hAnsi="Book Antiqua" w:cs="Arial"/>
          <w:lang w:val="en-GB"/>
        </w:rPr>
        <w:t xml:space="preserve"> on usage.</w:t>
      </w:r>
      <w:r w:rsidR="00BC4F12" w:rsidRPr="0037330A">
        <w:rPr>
          <w:rFonts w:ascii="Book Antiqua" w:hAnsi="Book Antiqua" w:cs="Arial"/>
          <w:lang w:val="en-GB"/>
        </w:rPr>
        <w:t xml:space="preserve"> </w:t>
      </w:r>
      <w:r w:rsidR="00043F67" w:rsidRPr="0037330A">
        <w:rPr>
          <w:rFonts w:ascii="Book Antiqua" w:hAnsi="Book Antiqua" w:cs="Arial"/>
          <w:lang w:val="en-GB"/>
        </w:rPr>
        <w:t>P</w:t>
      </w:r>
      <w:r w:rsidR="00BC4F12" w:rsidRPr="0037330A">
        <w:rPr>
          <w:rFonts w:ascii="Book Antiqua" w:hAnsi="Book Antiqua" w:cs="Arial"/>
          <w:lang w:val="en-GB"/>
        </w:rPr>
        <w:t xml:space="preserve">referential pricing arrangements, </w:t>
      </w:r>
      <w:r w:rsidR="003F6C14" w:rsidRPr="0037330A">
        <w:rPr>
          <w:rFonts w:ascii="Book Antiqua" w:hAnsi="Book Antiqua" w:cs="Arial"/>
          <w:lang w:val="en-GB"/>
        </w:rPr>
        <w:t xml:space="preserve">and </w:t>
      </w:r>
      <w:r w:rsidR="00BC4F12" w:rsidRPr="0037330A">
        <w:rPr>
          <w:rFonts w:ascii="Book Antiqua" w:hAnsi="Book Antiqua" w:cs="Arial"/>
          <w:lang w:val="en-GB"/>
        </w:rPr>
        <w:t xml:space="preserve">reduction or elimination </w:t>
      </w:r>
      <w:r w:rsidR="00043F67" w:rsidRPr="0037330A">
        <w:rPr>
          <w:rFonts w:ascii="Book Antiqua" w:hAnsi="Book Antiqua" w:cs="Arial"/>
          <w:lang w:val="en-GB"/>
        </w:rPr>
        <w:t xml:space="preserve">of taxes and tariffs are also </w:t>
      </w:r>
      <w:r w:rsidR="00BC4F12" w:rsidRPr="0037330A">
        <w:rPr>
          <w:rFonts w:ascii="Book Antiqua" w:hAnsi="Book Antiqua" w:cs="Arial"/>
          <w:lang w:val="en-GB"/>
        </w:rPr>
        <w:t>ways to help improve access</w:t>
      </w:r>
      <w:r w:rsidR="00043F67" w:rsidRPr="0037330A">
        <w:rPr>
          <w:rFonts w:ascii="Book Antiqua" w:hAnsi="Book Antiqua" w:cs="Arial"/>
          <w:lang w:val="en-GB"/>
        </w:rPr>
        <w:t xml:space="preserve"> to these two supplies</w:t>
      </w:r>
      <w:r w:rsidR="0012679A" w:rsidRPr="0037330A">
        <w:rPr>
          <w:rFonts w:ascii="Book Antiqua" w:hAnsi="Book Antiqua" w:cs="Arial"/>
          <w:lang w:val="en-GB"/>
        </w:rPr>
        <w:t>.</w:t>
      </w:r>
      <w:r w:rsidR="0012679A" w:rsidRPr="0037330A">
        <w:rPr>
          <w:rFonts w:ascii="Book Antiqua" w:eastAsiaTheme="minorEastAsia" w:hAnsi="Book Antiqua" w:cs="Arial"/>
          <w:lang w:val="en-GB" w:eastAsia="zh-CN"/>
        </w:rPr>
        <w:t xml:space="preserve"> </w:t>
      </w:r>
      <w:r w:rsidR="002456F4" w:rsidRPr="0037330A">
        <w:rPr>
          <w:rFonts w:ascii="Book Antiqua" w:hAnsi="Book Antiqua" w:cs="Arial"/>
          <w:lang w:val="en-GB"/>
        </w:rPr>
        <w:t>Increas</w:t>
      </w:r>
      <w:r w:rsidR="003F6C14" w:rsidRPr="0037330A">
        <w:rPr>
          <w:rFonts w:ascii="Book Antiqua" w:hAnsi="Book Antiqua" w:cs="Arial"/>
          <w:lang w:val="en-GB"/>
        </w:rPr>
        <w:t>ed</w:t>
      </w:r>
      <w:r w:rsidR="002456F4" w:rsidRPr="0037330A">
        <w:rPr>
          <w:rFonts w:ascii="Book Antiqua" w:hAnsi="Book Antiqua" w:cs="Arial"/>
          <w:lang w:val="en-GB"/>
        </w:rPr>
        <w:t xml:space="preserve"> access</w:t>
      </w:r>
      <w:r w:rsidR="00043F67" w:rsidRPr="0037330A">
        <w:rPr>
          <w:rFonts w:ascii="Book Antiqua" w:hAnsi="Book Antiqua" w:cs="Arial"/>
          <w:lang w:val="en-GB"/>
        </w:rPr>
        <w:t xml:space="preserve"> </w:t>
      </w:r>
      <w:r w:rsidR="002456F4" w:rsidRPr="0037330A">
        <w:rPr>
          <w:rFonts w:ascii="Book Antiqua" w:hAnsi="Book Antiqua" w:cs="Arial"/>
          <w:lang w:val="en-GB"/>
        </w:rPr>
        <w:t xml:space="preserve">means that health care providers can provide the resources necessary to enable patients to </w:t>
      </w:r>
      <w:r w:rsidR="002517C4" w:rsidRPr="0037330A">
        <w:rPr>
          <w:rFonts w:ascii="Book Antiqua" w:hAnsi="Book Antiqua" w:cs="Arial"/>
          <w:lang w:val="en-GB"/>
        </w:rPr>
        <w:t xml:space="preserve">effectively </w:t>
      </w:r>
      <w:r w:rsidR="002456F4" w:rsidRPr="0037330A">
        <w:rPr>
          <w:rFonts w:ascii="Book Antiqua" w:hAnsi="Book Antiqua" w:cs="Arial"/>
          <w:lang w:val="en-GB"/>
        </w:rPr>
        <w:t xml:space="preserve">lead their </w:t>
      </w:r>
      <w:r w:rsidR="0012679A" w:rsidRPr="0037330A">
        <w:rPr>
          <w:rFonts w:ascii="Book Antiqua" w:hAnsi="Book Antiqua" w:cs="Arial"/>
          <w:lang w:val="en-GB"/>
        </w:rPr>
        <w:t xml:space="preserve">Type </w:t>
      </w:r>
      <w:r w:rsidR="002517C4" w:rsidRPr="0037330A">
        <w:rPr>
          <w:rFonts w:ascii="Book Antiqua" w:hAnsi="Book Antiqua" w:cs="Arial"/>
          <w:lang w:val="en-GB"/>
        </w:rPr>
        <w:t xml:space="preserve">1 </w:t>
      </w:r>
      <w:r w:rsidR="002456F4" w:rsidRPr="0037330A">
        <w:rPr>
          <w:rFonts w:ascii="Book Antiqua" w:hAnsi="Book Antiqua" w:cs="Arial"/>
          <w:lang w:val="en-GB"/>
        </w:rPr>
        <w:t>diabetes self-management and mitigate risks of developing complications.</w:t>
      </w:r>
    </w:p>
    <w:bookmarkEnd w:id="0"/>
    <w:p w14:paraId="105176CD" w14:textId="2981BA87" w:rsidR="004935FA" w:rsidRPr="0037330A" w:rsidRDefault="004935FA" w:rsidP="00146B63">
      <w:pPr>
        <w:tabs>
          <w:tab w:val="left" w:pos="990"/>
        </w:tabs>
        <w:snapToGrid w:val="0"/>
        <w:spacing w:line="360" w:lineRule="auto"/>
        <w:jc w:val="both"/>
        <w:rPr>
          <w:rFonts w:ascii="Book Antiqua" w:hAnsi="Book Antiqua"/>
          <w:b/>
          <w:u w:val="single"/>
          <w:lang w:val="en-GB"/>
        </w:rPr>
      </w:pPr>
    </w:p>
    <w:p w14:paraId="3680087E" w14:textId="77777777" w:rsidR="0012679A" w:rsidRPr="0037330A" w:rsidRDefault="0012679A" w:rsidP="00146B63">
      <w:pPr>
        <w:adjustRightInd w:val="0"/>
        <w:snapToGrid w:val="0"/>
        <w:spacing w:line="360" w:lineRule="auto"/>
        <w:jc w:val="both"/>
        <w:rPr>
          <w:rFonts w:ascii="Book Antiqua" w:hAnsi="Book Antiqua"/>
          <w:b/>
          <w:bCs/>
          <w:color w:val="000000"/>
          <w:u w:val="single"/>
        </w:rPr>
      </w:pPr>
      <w:r w:rsidRPr="0037330A">
        <w:rPr>
          <w:rFonts w:ascii="Book Antiqua" w:hAnsi="Book Antiqua"/>
          <w:b/>
          <w:bCs/>
          <w:color w:val="000000"/>
          <w:u w:val="single"/>
        </w:rPr>
        <w:t>ACKOWLEDGEMENTS</w:t>
      </w:r>
    </w:p>
    <w:p w14:paraId="6F8B773A" w14:textId="43F3C176" w:rsidR="00A41EA4" w:rsidRPr="0037330A" w:rsidRDefault="00A41EA4"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We thank the survey respondents in all countries for their time and insights</w:t>
      </w:r>
      <w:r w:rsidR="00A01954" w:rsidRPr="0037330A">
        <w:rPr>
          <w:rFonts w:ascii="Book Antiqua" w:hAnsi="Book Antiqua"/>
          <w:bCs/>
          <w:color w:val="000000" w:themeColor="text1"/>
          <w:lang w:val="en-GB"/>
        </w:rPr>
        <w:t xml:space="preserve">. The centres were: The Endocrine Center (Azerbaijan), </w:t>
      </w:r>
      <w:r w:rsidR="00D13703" w:rsidRPr="0037330A">
        <w:rPr>
          <w:rFonts w:ascii="Book Antiqua" w:hAnsi="Book Antiqua"/>
          <w:bCs/>
          <w:color w:val="000000" w:themeColor="text1"/>
          <w:lang w:val="en-GB"/>
        </w:rPr>
        <w:t xml:space="preserve">Bangladesh Institute of </w:t>
      </w:r>
      <w:r w:rsidR="00D13703" w:rsidRPr="0037330A">
        <w:rPr>
          <w:rFonts w:ascii="Book Antiqua" w:hAnsi="Book Antiqua"/>
          <w:bCs/>
          <w:color w:val="000000" w:themeColor="text1"/>
          <w:lang w:val="en-GB"/>
        </w:rPr>
        <w:lastRenderedPageBreak/>
        <w:t xml:space="preserve">Research and Rehabilitation in Diabetes, Endocrine and Metabolic Disorders (BIRDEM) </w:t>
      </w:r>
      <w:r w:rsidR="00A01954" w:rsidRPr="0037330A">
        <w:rPr>
          <w:rFonts w:ascii="Book Antiqua" w:hAnsi="Book Antiqua"/>
          <w:bCs/>
          <w:color w:val="000000" w:themeColor="text1"/>
          <w:lang w:val="en-GB"/>
        </w:rPr>
        <w:t xml:space="preserve">(Bangladesh), </w:t>
      </w:r>
      <w:r w:rsidR="0082608C" w:rsidRPr="0037330A">
        <w:rPr>
          <w:rFonts w:ascii="Book Antiqua" w:hAnsi="Book Antiqua"/>
          <w:bCs/>
          <w:color w:val="000000" w:themeColor="text1"/>
          <w:lang w:val="en-GB"/>
        </w:rPr>
        <w:t>Centro Vivir con Diabetes</w:t>
      </w:r>
      <w:r w:rsidR="00A01954" w:rsidRPr="0037330A">
        <w:rPr>
          <w:rFonts w:ascii="Book Antiqua" w:hAnsi="Book Antiqua"/>
          <w:bCs/>
          <w:color w:val="000000" w:themeColor="text1"/>
          <w:lang w:val="en-GB"/>
        </w:rPr>
        <w:t xml:space="preserve"> (Bolivia), </w:t>
      </w:r>
      <w:r w:rsidR="00D13703" w:rsidRPr="0037330A">
        <w:rPr>
          <w:rFonts w:ascii="Book Antiqua" w:hAnsi="Book Antiqua"/>
          <w:bCs/>
          <w:color w:val="000000" w:themeColor="text1"/>
          <w:lang w:val="en-GB"/>
        </w:rPr>
        <w:t xml:space="preserve">CHU Yalgado Ouedraogo </w:t>
      </w:r>
      <w:r w:rsidR="00A01954" w:rsidRPr="0037330A">
        <w:rPr>
          <w:rFonts w:ascii="Book Antiqua" w:hAnsi="Book Antiqua"/>
          <w:bCs/>
          <w:color w:val="000000" w:themeColor="text1"/>
          <w:lang w:val="en-GB"/>
        </w:rPr>
        <w:t xml:space="preserve">(Burkina Faso), </w:t>
      </w:r>
      <w:r w:rsidR="00D13703" w:rsidRPr="0037330A">
        <w:rPr>
          <w:rFonts w:ascii="Book Antiqua" w:hAnsi="Book Antiqua"/>
          <w:bCs/>
          <w:color w:val="000000" w:themeColor="text1"/>
          <w:lang w:val="en-GB"/>
        </w:rPr>
        <w:t>PNILMCNT – MSPLS</w:t>
      </w:r>
      <w:r w:rsidR="00A01954" w:rsidRPr="0037330A">
        <w:rPr>
          <w:rFonts w:ascii="Book Antiqua" w:hAnsi="Book Antiqua"/>
          <w:bCs/>
          <w:color w:val="000000" w:themeColor="text1"/>
          <w:lang w:val="en-GB"/>
        </w:rPr>
        <w:t xml:space="preserve"> (Burundi), </w:t>
      </w:r>
      <w:r w:rsidR="00D13703" w:rsidRPr="0037330A">
        <w:rPr>
          <w:rFonts w:ascii="Book Antiqua" w:hAnsi="Book Antiqua"/>
          <w:bCs/>
          <w:color w:val="000000" w:themeColor="text1"/>
          <w:lang w:val="en-GB"/>
        </w:rPr>
        <w:t xml:space="preserve">Clinique Diabetique de Bangui </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Central African Republic</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 xml:space="preserve">MEMISA Belgique en RDC </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Democratic Republic of Congo</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Aprendiendo a Vivir</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Dominican Republic</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FUVIDA</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Ecuador</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Central Health Laboratory</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Eritrea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Ethiopian Diabetes Association</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Ethiopia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Komfo Anokye Teaching Hospital</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Ghana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 xml:space="preserve">Asociacion Creciendo con Diabetes </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Guatemala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Guyana Diabetic Association</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Guyana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 xml:space="preserve">FHADIMAC </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Haiti</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Diacare, Ahmedabad</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India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 xml:space="preserve">Diabetes Association of Jamaica </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Jamaica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Ganta United Methodist Hospital</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Liberia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Diabetes Society of Maldives</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Maldives</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Santé Diabète</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Mali</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AMLCD</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Mauritania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D13703" w:rsidRPr="0037330A">
        <w:rPr>
          <w:rFonts w:ascii="Book Antiqua" w:hAnsi="Book Antiqua"/>
          <w:bCs/>
          <w:color w:val="000000" w:themeColor="text1"/>
          <w:lang w:val="en-GB"/>
        </w:rPr>
        <w:t>Federacion Mexicana de Diabetes</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Mexico</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68347B" w:rsidRPr="0037330A">
        <w:rPr>
          <w:rFonts w:ascii="Book Antiqua" w:hAnsi="Book Antiqua"/>
          <w:bCs/>
          <w:color w:val="000000" w:themeColor="text1"/>
          <w:lang w:val="en-GB"/>
        </w:rPr>
        <w:t>Patan Hospital</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Nepal</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3B37BA" w:rsidRPr="0037330A">
        <w:rPr>
          <w:rFonts w:ascii="Book Antiqua" w:hAnsi="Book Antiqua"/>
          <w:bCs/>
          <w:color w:val="000000" w:themeColor="text1"/>
          <w:lang w:val="en-GB"/>
        </w:rPr>
        <w:t>Lagos University Teaching Hospital (</w:t>
      </w:r>
      <w:r w:rsidR="00A01954" w:rsidRPr="0037330A">
        <w:rPr>
          <w:rFonts w:ascii="Book Antiqua" w:hAnsi="Book Antiqua"/>
          <w:bCs/>
          <w:color w:val="000000" w:themeColor="text1"/>
          <w:lang w:val="en-GB"/>
        </w:rPr>
        <w:t>Nigeria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Choe Kyong Tae Endocrine Research</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North Korea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 xml:space="preserve">National Institute of Child Health </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Pakistan</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Cardinal Santos Medical Center</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Philippines</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Maison Bleue du Diabète</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Republic of Congo</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82608C" w:rsidRPr="0037330A">
        <w:rPr>
          <w:rFonts w:ascii="Book Antiqua" w:hAnsi="Book Antiqua"/>
          <w:bCs/>
          <w:color w:val="000000" w:themeColor="text1"/>
          <w:lang w:val="en-GB"/>
        </w:rPr>
        <w:t>Rwandan Diabetes Association</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Rwanda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82608C" w:rsidRPr="0037330A">
        <w:rPr>
          <w:rFonts w:ascii="Book Antiqua" w:hAnsi="Book Antiqua"/>
          <w:bCs/>
          <w:color w:val="000000" w:themeColor="text1"/>
          <w:lang w:val="en-GB"/>
        </w:rPr>
        <w:t xml:space="preserve">Diabetes Association of Sri Lanka </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Sri Lanka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St. Lucia Diabetes and Hypertension Association</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St Lucia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National Republican Endocrinology Centre</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Tajikistan</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82608C" w:rsidRPr="0037330A">
        <w:rPr>
          <w:rFonts w:ascii="Book Antiqua" w:hAnsi="Book Antiqua"/>
          <w:bCs/>
          <w:color w:val="000000" w:themeColor="text1"/>
          <w:lang w:val="en-GB"/>
        </w:rPr>
        <w:t>Tanzanian Diabetes Association</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Tanzania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 xml:space="preserve">Centre ATD de Prévention du Diabète </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Togo</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 xml:space="preserve">St Francis Hospital </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Uganda</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Endocrinological and Diabetes Association of Uzbekistan</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Uzbekistan</w:t>
      </w:r>
      <w:r w:rsidR="003B37BA" w:rsidRPr="0037330A">
        <w:rPr>
          <w:rFonts w:ascii="Book Antiqua" w:hAnsi="Book Antiqua"/>
          <w:bCs/>
          <w:color w:val="000000" w:themeColor="text1"/>
          <w:lang w:val="en-GB"/>
        </w:rPr>
        <w:t>)</w:t>
      </w:r>
      <w:r w:rsidR="00A01954" w:rsidRPr="0037330A">
        <w:rPr>
          <w:rFonts w:ascii="Book Antiqua" w:hAnsi="Book Antiqua"/>
          <w:bCs/>
          <w:color w:val="000000" w:themeColor="text1"/>
          <w:lang w:val="en-GB"/>
        </w:rPr>
        <w:t>, and</w:t>
      </w:r>
      <w:r w:rsidR="0082608C" w:rsidRPr="0037330A">
        <w:rPr>
          <w:rFonts w:ascii="Book Antiqua" w:hAnsi="Book Antiqua"/>
          <w:bCs/>
          <w:color w:val="000000" w:themeColor="text1"/>
          <w:lang w:val="en-GB"/>
        </w:rPr>
        <w:t xml:space="preserve"> </w:t>
      </w:r>
      <w:r w:rsidR="004434E2" w:rsidRPr="0037330A">
        <w:rPr>
          <w:rFonts w:ascii="Book Antiqua" w:hAnsi="Book Antiqua"/>
          <w:bCs/>
          <w:color w:val="000000" w:themeColor="text1"/>
          <w:lang w:val="en-GB"/>
        </w:rPr>
        <w:t xml:space="preserve">Hue Central </w:t>
      </w:r>
      <w:r w:rsidR="0010734F" w:rsidRPr="0037330A">
        <w:rPr>
          <w:rFonts w:ascii="Book Antiqua" w:hAnsi="Book Antiqua"/>
          <w:bCs/>
          <w:color w:val="000000" w:themeColor="text1"/>
          <w:lang w:val="en-GB"/>
        </w:rPr>
        <w:t>H</w:t>
      </w:r>
      <w:r w:rsidR="004434E2" w:rsidRPr="0037330A">
        <w:rPr>
          <w:rFonts w:ascii="Book Antiqua" w:hAnsi="Book Antiqua"/>
          <w:bCs/>
          <w:color w:val="000000" w:themeColor="text1"/>
          <w:lang w:val="en-GB"/>
        </w:rPr>
        <w:t>ospital</w:t>
      </w:r>
      <w:r w:rsidR="003B37BA" w:rsidRPr="0037330A">
        <w:rPr>
          <w:rFonts w:ascii="Book Antiqua" w:hAnsi="Book Antiqua"/>
          <w:bCs/>
          <w:color w:val="000000" w:themeColor="text1"/>
          <w:lang w:val="en-GB"/>
        </w:rPr>
        <w:t xml:space="preserve"> (</w:t>
      </w:r>
      <w:r w:rsidR="00A01954" w:rsidRPr="0037330A">
        <w:rPr>
          <w:rFonts w:ascii="Book Antiqua" w:hAnsi="Book Antiqua"/>
          <w:bCs/>
          <w:color w:val="000000" w:themeColor="text1"/>
          <w:lang w:val="en-GB"/>
        </w:rPr>
        <w:t>Vietnam</w:t>
      </w:r>
      <w:r w:rsidR="003B37BA" w:rsidRPr="0037330A">
        <w:rPr>
          <w:rFonts w:ascii="Book Antiqua" w:hAnsi="Book Antiqua"/>
          <w:bCs/>
          <w:color w:val="000000" w:themeColor="text1"/>
          <w:lang w:val="en-GB"/>
        </w:rPr>
        <w:t>)</w:t>
      </w:r>
      <w:r w:rsidR="003027F1" w:rsidRPr="0037330A">
        <w:rPr>
          <w:rFonts w:ascii="Book Antiqua" w:hAnsi="Book Antiqua"/>
          <w:bCs/>
          <w:color w:val="000000" w:themeColor="text1"/>
          <w:lang w:val="en-GB"/>
        </w:rPr>
        <w:t xml:space="preserve">. </w:t>
      </w:r>
      <w:r w:rsidR="00A01954" w:rsidRPr="0037330A">
        <w:rPr>
          <w:rFonts w:ascii="Book Antiqua" w:hAnsi="Book Antiqua"/>
          <w:bCs/>
          <w:lang w:val="en-GB"/>
        </w:rPr>
        <w:t>We also thank</w:t>
      </w:r>
      <w:r w:rsidRPr="0037330A">
        <w:rPr>
          <w:rFonts w:ascii="Book Antiqua" w:hAnsi="Book Antiqua"/>
          <w:bCs/>
          <w:lang w:val="en-GB"/>
        </w:rPr>
        <w:t xml:space="preserve"> Jayanthi Maniam for assistance in submitting the manuscript.</w:t>
      </w:r>
    </w:p>
    <w:p w14:paraId="2857FC89" w14:textId="77777777" w:rsidR="00A41EA4" w:rsidRPr="0037330A" w:rsidRDefault="00A41EA4" w:rsidP="00146B63">
      <w:pPr>
        <w:tabs>
          <w:tab w:val="left" w:pos="2815"/>
        </w:tabs>
        <w:snapToGrid w:val="0"/>
        <w:spacing w:line="360" w:lineRule="auto"/>
        <w:jc w:val="both"/>
        <w:rPr>
          <w:rFonts w:ascii="Book Antiqua" w:eastAsiaTheme="minorEastAsia" w:hAnsi="Book Antiqua"/>
          <w:b/>
          <w:color w:val="000000" w:themeColor="text1"/>
          <w:u w:val="single"/>
          <w:lang w:val="en-GB" w:eastAsia="zh-CN"/>
        </w:rPr>
      </w:pPr>
    </w:p>
    <w:p w14:paraId="0702C425" w14:textId="77777777" w:rsidR="003027F1" w:rsidRPr="0037330A" w:rsidRDefault="003027F1" w:rsidP="00146B63">
      <w:pPr>
        <w:adjustRightInd w:val="0"/>
        <w:snapToGrid w:val="0"/>
        <w:spacing w:line="360" w:lineRule="auto"/>
        <w:jc w:val="both"/>
        <w:rPr>
          <w:rFonts w:ascii="Book Antiqua" w:hAnsi="Book Antiqua"/>
          <w:b/>
          <w:bCs/>
          <w:color w:val="000000"/>
        </w:rPr>
      </w:pPr>
      <w:r w:rsidRPr="0037330A">
        <w:rPr>
          <w:rFonts w:ascii="Book Antiqua" w:hAnsi="Book Antiqua"/>
          <w:b/>
          <w:bCs/>
          <w:color w:val="000000"/>
        </w:rPr>
        <w:t>REFERENCES</w:t>
      </w:r>
    </w:p>
    <w:p w14:paraId="62D4C879"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1 </w:t>
      </w:r>
      <w:r w:rsidRPr="0037330A">
        <w:rPr>
          <w:rFonts w:ascii="Book Antiqua" w:hAnsi="Book Antiqua"/>
          <w:b/>
          <w:bCs/>
        </w:rPr>
        <w:t>Beran D</w:t>
      </w:r>
      <w:r w:rsidRPr="0037330A">
        <w:rPr>
          <w:rFonts w:ascii="Book Antiqua" w:hAnsi="Book Antiqua"/>
        </w:rPr>
        <w:t xml:space="preserve">, Ewen M, Laing R. Constraints and challenges in access to insulin: a global perspective. </w:t>
      </w:r>
      <w:r w:rsidRPr="0037330A">
        <w:rPr>
          <w:rFonts w:ascii="Book Antiqua" w:hAnsi="Book Antiqua"/>
          <w:i/>
          <w:iCs/>
        </w:rPr>
        <w:t>Lancet Diabetes Endocrinol</w:t>
      </w:r>
      <w:r w:rsidRPr="0037330A">
        <w:rPr>
          <w:rFonts w:ascii="Book Antiqua" w:hAnsi="Book Antiqua"/>
        </w:rPr>
        <w:t xml:space="preserve"> 2016; </w:t>
      </w:r>
      <w:r w:rsidRPr="0037330A">
        <w:rPr>
          <w:rFonts w:ascii="Book Antiqua" w:hAnsi="Book Antiqua"/>
          <w:b/>
          <w:bCs/>
        </w:rPr>
        <w:t>4</w:t>
      </w:r>
      <w:r w:rsidRPr="0037330A">
        <w:rPr>
          <w:rFonts w:ascii="Book Antiqua" w:hAnsi="Book Antiqua"/>
        </w:rPr>
        <w:t>: 275-285 [PMID: 26857998 DOI: 10.1016/S2213-8587(15)00521-5]</w:t>
      </w:r>
    </w:p>
    <w:p w14:paraId="181BB40F"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2 </w:t>
      </w:r>
      <w:r w:rsidRPr="0037330A">
        <w:rPr>
          <w:rFonts w:ascii="Book Antiqua" w:hAnsi="Book Antiqua"/>
          <w:b/>
          <w:bCs/>
        </w:rPr>
        <w:t>Cefalu WT</w:t>
      </w:r>
      <w:r w:rsidRPr="0037330A">
        <w:rPr>
          <w:rFonts w:ascii="Book Antiqua" w:hAnsi="Book Antiqua"/>
        </w:rPr>
        <w:t xml:space="preserve">, Dawes DE, Gavlak G, Goldman D, Herman WH, Van Nuys K, Powers AC, Taylor SI, Yatvin AL; Insulin Access and Affordability Working Group. Insulin Access and Affordability Working Group: Conclusions and </w:t>
      </w:r>
      <w:r w:rsidRPr="0037330A">
        <w:rPr>
          <w:rFonts w:ascii="Book Antiqua" w:hAnsi="Book Antiqua"/>
        </w:rPr>
        <w:lastRenderedPageBreak/>
        <w:t xml:space="preserve">Recommendations. </w:t>
      </w:r>
      <w:r w:rsidRPr="0037330A">
        <w:rPr>
          <w:rFonts w:ascii="Book Antiqua" w:hAnsi="Book Antiqua"/>
          <w:i/>
          <w:iCs/>
        </w:rPr>
        <w:t>Diabetes Care</w:t>
      </w:r>
      <w:r w:rsidRPr="0037330A">
        <w:rPr>
          <w:rFonts w:ascii="Book Antiqua" w:hAnsi="Book Antiqua"/>
        </w:rPr>
        <w:t xml:space="preserve"> 2018; </w:t>
      </w:r>
      <w:r w:rsidRPr="0037330A">
        <w:rPr>
          <w:rFonts w:ascii="Book Antiqua" w:hAnsi="Book Antiqua"/>
          <w:b/>
          <w:bCs/>
        </w:rPr>
        <w:t>41</w:t>
      </w:r>
      <w:r w:rsidRPr="0037330A">
        <w:rPr>
          <w:rFonts w:ascii="Book Antiqua" w:hAnsi="Book Antiqua"/>
        </w:rPr>
        <w:t>: 1299-1311 [PMID: 29739814 DOI: 10.2337/dci18-0019]</w:t>
      </w:r>
    </w:p>
    <w:p w14:paraId="79D75EB7"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3 </w:t>
      </w:r>
      <w:r w:rsidRPr="0037330A">
        <w:rPr>
          <w:rFonts w:ascii="Book Antiqua" w:hAnsi="Book Antiqua"/>
          <w:b/>
          <w:bCs/>
        </w:rPr>
        <w:t>Deeb LC</w:t>
      </w:r>
      <w:r w:rsidRPr="0037330A">
        <w:rPr>
          <w:rFonts w:ascii="Book Antiqua" w:hAnsi="Book Antiqua"/>
        </w:rPr>
        <w:t xml:space="preserve">, Tan MH, Alberti KG. Insulin availability among International Diabetes Federation member associations. Report of the Task Force on Insulin Distribution. </w:t>
      </w:r>
      <w:r w:rsidRPr="0037330A">
        <w:rPr>
          <w:rFonts w:ascii="Book Antiqua" w:hAnsi="Book Antiqua"/>
          <w:i/>
          <w:iCs/>
        </w:rPr>
        <w:t>Diabetes Care</w:t>
      </w:r>
      <w:r w:rsidRPr="0037330A">
        <w:rPr>
          <w:rFonts w:ascii="Book Antiqua" w:hAnsi="Book Antiqua"/>
        </w:rPr>
        <w:t xml:space="preserve"> 1994; </w:t>
      </w:r>
      <w:r w:rsidRPr="0037330A">
        <w:rPr>
          <w:rFonts w:ascii="Book Antiqua" w:hAnsi="Book Antiqua"/>
          <w:b/>
          <w:bCs/>
        </w:rPr>
        <w:t>17</w:t>
      </w:r>
      <w:r w:rsidRPr="0037330A">
        <w:rPr>
          <w:rFonts w:ascii="Book Antiqua" w:hAnsi="Book Antiqua"/>
        </w:rPr>
        <w:t>: 220-223 [PMID: 8174451 DOI: 10.2337/diacare.17.3.220]</w:t>
      </w:r>
    </w:p>
    <w:p w14:paraId="56598652"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4 </w:t>
      </w:r>
      <w:r w:rsidRPr="0037330A">
        <w:rPr>
          <w:rFonts w:ascii="Book Antiqua" w:hAnsi="Book Antiqua"/>
          <w:b/>
          <w:bCs/>
        </w:rPr>
        <w:t>Yudkin JS</w:t>
      </w:r>
      <w:r w:rsidRPr="0037330A">
        <w:rPr>
          <w:rFonts w:ascii="Book Antiqua" w:hAnsi="Book Antiqua"/>
        </w:rPr>
        <w:t xml:space="preserve">. Insulin for the world's poorest countries. </w:t>
      </w:r>
      <w:r w:rsidRPr="0037330A">
        <w:rPr>
          <w:rFonts w:ascii="Book Antiqua" w:hAnsi="Book Antiqua"/>
          <w:i/>
          <w:iCs/>
        </w:rPr>
        <w:t>Lancet</w:t>
      </w:r>
      <w:r w:rsidRPr="0037330A">
        <w:rPr>
          <w:rFonts w:ascii="Book Antiqua" w:hAnsi="Book Antiqua"/>
        </w:rPr>
        <w:t xml:space="preserve"> 2000; </w:t>
      </w:r>
      <w:r w:rsidRPr="0037330A">
        <w:rPr>
          <w:rFonts w:ascii="Book Antiqua" w:hAnsi="Book Antiqua"/>
          <w:b/>
          <w:bCs/>
        </w:rPr>
        <w:t>355</w:t>
      </w:r>
      <w:r w:rsidRPr="0037330A">
        <w:rPr>
          <w:rFonts w:ascii="Book Antiqua" w:hAnsi="Book Antiqua"/>
        </w:rPr>
        <w:t>: 919-921 [PMID: 10752719 DOI: 10.1016/S0140-6736(99)09225-9]</w:t>
      </w:r>
    </w:p>
    <w:p w14:paraId="4382CABC"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5 </w:t>
      </w:r>
      <w:r w:rsidRPr="0037330A">
        <w:rPr>
          <w:rFonts w:ascii="Book Antiqua" w:hAnsi="Book Antiqua"/>
          <w:b/>
          <w:bCs/>
        </w:rPr>
        <w:t>Beran D</w:t>
      </w:r>
      <w:r w:rsidRPr="0037330A">
        <w:rPr>
          <w:rFonts w:ascii="Book Antiqua" w:hAnsi="Book Antiqua"/>
        </w:rPr>
        <w:t xml:space="preserve">, Yudkin JS, de Courten M. Access to care for patients with insulin-requiring diabetes in developing countries: case studies of Mozambique and Zambia. </w:t>
      </w:r>
      <w:r w:rsidRPr="0037330A">
        <w:rPr>
          <w:rFonts w:ascii="Book Antiqua" w:hAnsi="Book Antiqua"/>
          <w:i/>
          <w:iCs/>
        </w:rPr>
        <w:t>Diabetes Care</w:t>
      </w:r>
      <w:r w:rsidRPr="0037330A">
        <w:rPr>
          <w:rFonts w:ascii="Book Antiqua" w:hAnsi="Book Antiqua"/>
        </w:rPr>
        <w:t xml:space="preserve"> 2005; </w:t>
      </w:r>
      <w:r w:rsidRPr="0037330A">
        <w:rPr>
          <w:rFonts w:ascii="Book Antiqua" w:hAnsi="Book Antiqua"/>
          <w:b/>
          <w:bCs/>
        </w:rPr>
        <w:t>28</w:t>
      </w:r>
      <w:r w:rsidRPr="0037330A">
        <w:rPr>
          <w:rFonts w:ascii="Book Antiqua" w:hAnsi="Book Antiqua"/>
        </w:rPr>
        <w:t>: 2136-2140 [PMID: 16123479 DOI: 10.2337/diacare.28.9.2136]</w:t>
      </w:r>
    </w:p>
    <w:p w14:paraId="0BA86B10"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6 </w:t>
      </w:r>
      <w:r w:rsidRPr="0037330A">
        <w:rPr>
          <w:rFonts w:ascii="Book Antiqua" w:hAnsi="Book Antiqua"/>
          <w:b/>
          <w:bCs/>
        </w:rPr>
        <w:t>Ogle GD</w:t>
      </w:r>
      <w:r w:rsidRPr="0037330A">
        <w:rPr>
          <w:rFonts w:ascii="Book Antiqua" w:hAnsi="Book Antiqua"/>
        </w:rPr>
        <w:t xml:space="preserve">, Middlehurst AC, Silink M. The IDF Life for a Child Program Index of diabetes care for children and youth. </w:t>
      </w:r>
      <w:r w:rsidRPr="0037330A">
        <w:rPr>
          <w:rFonts w:ascii="Book Antiqua" w:hAnsi="Book Antiqua"/>
          <w:i/>
          <w:iCs/>
        </w:rPr>
        <w:t>Pediatr Diabetes</w:t>
      </w:r>
      <w:r w:rsidRPr="0037330A">
        <w:rPr>
          <w:rFonts w:ascii="Book Antiqua" w:hAnsi="Book Antiqua"/>
        </w:rPr>
        <w:t xml:space="preserve"> 2016; </w:t>
      </w:r>
      <w:r w:rsidRPr="0037330A">
        <w:rPr>
          <w:rFonts w:ascii="Book Antiqua" w:hAnsi="Book Antiqua"/>
          <w:b/>
          <w:bCs/>
        </w:rPr>
        <w:t>17</w:t>
      </w:r>
      <w:r w:rsidRPr="0037330A">
        <w:rPr>
          <w:rFonts w:ascii="Book Antiqua" w:hAnsi="Book Antiqua"/>
        </w:rPr>
        <w:t>: 374-384 [PMID: 26153340 DOI: 10.1111/pedi.12296]</w:t>
      </w:r>
    </w:p>
    <w:p w14:paraId="571FF358"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7 </w:t>
      </w:r>
      <w:r w:rsidRPr="0037330A">
        <w:rPr>
          <w:rFonts w:ascii="Book Antiqua" w:hAnsi="Book Antiqua"/>
          <w:b/>
          <w:bCs/>
        </w:rPr>
        <w:t>Ewen M</w:t>
      </w:r>
      <w:r w:rsidRPr="0037330A">
        <w:rPr>
          <w:rFonts w:ascii="Book Antiqua" w:hAnsi="Book Antiqua"/>
        </w:rPr>
        <w:t xml:space="preserve">, Joosse HJ, Beran D, Laing R. Insulin prices, availability and affordability in 13 low-income and middle-income countries. </w:t>
      </w:r>
      <w:r w:rsidRPr="0037330A">
        <w:rPr>
          <w:rFonts w:ascii="Book Antiqua" w:hAnsi="Book Antiqua"/>
          <w:i/>
          <w:iCs/>
        </w:rPr>
        <w:t>BMJ Glob Health</w:t>
      </w:r>
      <w:r w:rsidRPr="0037330A">
        <w:rPr>
          <w:rFonts w:ascii="Book Antiqua" w:hAnsi="Book Antiqua"/>
        </w:rPr>
        <w:t xml:space="preserve"> 2019; </w:t>
      </w:r>
      <w:r w:rsidRPr="0037330A">
        <w:rPr>
          <w:rFonts w:ascii="Book Antiqua" w:hAnsi="Book Antiqua"/>
          <w:b/>
          <w:bCs/>
        </w:rPr>
        <w:t>4</w:t>
      </w:r>
      <w:r w:rsidRPr="0037330A">
        <w:rPr>
          <w:rFonts w:ascii="Book Antiqua" w:hAnsi="Book Antiqua"/>
        </w:rPr>
        <w:t>: e001410 [PMID: 31263585 DOI: 10.1136/bmjgh-2019-001410]</w:t>
      </w:r>
    </w:p>
    <w:p w14:paraId="7FC74916"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8 </w:t>
      </w:r>
      <w:r w:rsidRPr="0037330A">
        <w:rPr>
          <w:rFonts w:ascii="Book Antiqua" w:hAnsi="Book Antiqua"/>
          <w:b/>
          <w:bCs/>
        </w:rPr>
        <w:t>Gotham D</w:t>
      </w:r>
      <w:r w:rsidRPr="0037330A">
        <w:rPr>
          <w:rFonts w:ascii="Book Antiqua" w:hAnsi="Book Antiqua"/>
        </w:rPr>
        <w:t xml:space="preserve">, Barber MJ, Hill A. Production costs and potential prices for biosimilars of human insulin and insulin analogues. </w:t>
      </w:r>
      <w:r w:rsidRPr="0037330A">
        <w:rPr>
          <w:rFonts w:ascii="Book Antiqua" w:hAnsi="Book Antiqua"/>
          <w:i/>
          <w:iCs/>
        </w:rPr>
        <w:t>BMJ Glob Health</w:t>
      </w:r>
      <w:r w:rsidRPr="0037330A">
        <w:rPr>
          <w:rFonts w:ascii="Book Antiqua" w:hAnsi="Book Antiqua"/>
        </w:rPr>
        <w:t xml:space="preserve"> 2018; </w:t>
      </w:r>
      <w:r w:rsidRPr="0037330A">
        <w:rPr>
          <w:rFonts w:ascii="Book Antiqua" w:hAnsi="Book Antiqua"/>
          <w:b/>
          <w:bCs/>
        </w:rPr>
        <w:t>3</w:t>
      </w:r>
      <w:r w:rsidRPr="0037330A">
        <w:rPr>
          <w:rFonts w:ascii="Book Antiqua" w:hAnsi="Book Antiqua"/>
        </w:rPr>
        <w:t>: e000850 [PMID: 30271626 DOI: 10.1136/bmjgh-2018-000850]</w:t>
      </w:r>
    </w:p>
    <w:p w14:paraId="1B4BD432" w14:textId="28201456" w:rsidR="004A2526" w:rsidRPr="0037330A" w:rsidRDefault="0013754B" w:rsidP="00146B63">
      <w:pPr>
        <w:snapToGrid w:val="0"/>
        <w:spacing w:line="360" w:lineRule="auto"/>
        <w:jc w:val="both"/>
        <w:rPr>
          <w:rFonts w:ascii="Book Antiqua" w:hAnsi="Book Antiqua"/>
        </w:rPr>
      </w:pPr>
      <w:r w:rsidRPr="0037330A">
        <w:rPr>
          <w:rFonts w:ascii="Book Antiqua" w:hAnsi="Book Antiqua"/>
        </w:rPr>
        <w:t xml:space="preserve">9 </w:t>
      </w:r>
      <w:r w:rsidR="004A2526" w:rsidRPr="0037330A">
        <w:rPr>
          <w:rFonts w:ascii="Book Antiqua" w:hAnsi="Book Antiqua"/>
          <w:b/>
        </w:rPr>
        <w:t>Kaplan W.</w:t>
      </w:r>
      <w:r w:rsidR="004A2526" w:rsidRPr="0037330A">
        <w:rPr>
          <w:rFonts w:ascii="Book Antiqua" w:hAnsi="Book Antiqua"/>
        </w:rPr>
        <w:t xml:space="preserve"> Insulin Tariffs and Tax</w:t>
      </w:r>
      <w:r w:rsidR="00B71676" w:rsidRPr="0037330A">
        <w:rPr>
          <w:rFonts w:ascii="Book Antiqua" w:hAnsi="Book Antiqua"/>
        </w:rPr>
        <w:t>es Profile</w:t>
      </w:r>
      <w:r w:rsidR="00B71676" w:rsidRPr="0037330A">
        <w:rPr>
          <w:rFonts w:ascii="Book Antiqua" w:eastAsiaTheme="minorEastAsia" w:hAnsi="Book Antiqua"/>
          <w:lang w:eastAsia="zh-CN"/>
        </w:rPr>
        <w:t xml:space="preserve">. </w:t>
      </w:r>
      <w:r w:rsidR="004A2526" w:rsidRPr="0037330A">
        <w:rPr>
          <w:rFonts w:ascii="Book Antiqua" w:hAnsi="Book Antiqua"/>
        </w:rPr>
        <w:t>Heal. Acti</w:t>
      </w:r>
      <w:r w:rsidR="00B71676" w:rsidRPr="0037330A">
        <w:rPr>
          <w:rFonts w:ascii="Book Antiqua" w:hAnsi="Book Antiqua"/>
        </w:rPr>
        <w:t>on Int</w:t>
      </w:r>
      <w:r w:rsidRPr="0037330A">
        <w:rPr>
          <w:rFonts w:ascii="Book Antiqua" w:eastAsiaTheme="minorEastAsia" w:hAnsi="Book Antiqua"/>
          <w:lang w:eastAsia="zh-CN"/>
        </w:rPr>
        <w:t xml:space="preserve"> </w:t>
      </w:r>
      <w:r w:rsidRPr="0037330A">
        <w:rPr>
          <w:rFonts w:ascii="Book Antiqua" w:hAnsi="Book Antiqua"/>
        </w:rPr>
        <w:t>2016</w:t>
      </w:r>
      <w:r w:rsidRPr="0037330A">
        <w:rPr>
          <w:rFonts w:ascii="Book Antiqua" w:eastAsiaTheme="minorEastAsia" w:hAnsi="Book Antiqua"/>
          <w:lang w:eastAsia="zh-CN"/>
        </w:rPr>
        <w:t xml:space="preserve">. </w:t>
      </w:r>
      <w:r w:rsidR="004A2526" w:rsidRPr="0037330A">
        <w:rPr>
          <w:rFonts w:ascii="Book Antiqua" w:hAnsi="Book Antiqua"/>
        </w:rPr>
        <w:t>Available from: http://haiweb.org/wp-content/uploads/2016/04/ACCISS-Tariff-April2016_FINAL.pdf</w:t>
      </w:r>
    </w:p>
    <w:p w14:paraId="471837BD"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10 </w:t>
      </w:r>
      <w:r w:rsidRPr="0037330A">
        <w:rPr>
          <w:rFonts w:ascii="Book Antiqua" w:hAnsi="Book Antiqua"/>
          <w:b/>
          <w:bCs/>
        </w:rPr>
        <w:t>Klatman EL</w:t>
      </w:r>
      <w:r w:rsidRPr="0037330A">
        <w:rPr>
          <w:rFonts w:ascii="Book Antiqua" w:hAnsi="Book Antiqua"/>
        </w:rPr>
        <w:t xml:space="preserve">, Jenkins AJ, Ahmedani MY, Ogle GD. Blood glucose meters and test strips: global market and challenges to access in low-resource settings. </w:t>
      </w:r>
      <w:r w:rsidRPr="0037330A">
        <w:rPr>
          <w:rFonts w:ascii="Book Antiqua" w:hAnsi="Book Antiqua"/>
          <w:i/>
          <w:iCs/>
        </w:rPr>
        <w:t>Lancet Diabetes Endocrinol</w:t>
      </w:r>
      <w:r w:rsidRPr="0037330A">
        <w:rPr>
          <w:rFonts w:ascii="Book Antiqua" w:hAnsi="Book Antiqua"/>
        </w:rPr>
        <w:t xml:space="preserve"> 2019; </w:t>
      </w:r>
      <w:r w:rsidRPr="0037330A">
        <w:rPr>
          <w:rFonts w:ascii="Book Antiqua" w:hAnsi="Book Antiqua"/>
          <w:b/>
          <w:bCs/>
        </w:rPr>
        <w:t>7</w:t>
      </w:r>
      <w:r w:rsidRPr="0037330A">
        <w:rPr>
          <w:rFonts w:ascii="Book Antiqua" w:hAnsi="Book Antiqua"/>
        </w:rPr>
        <w:t>: 150-160 [PMID: 30072234 DOI: 10.1016/S2213-8587(18)30074-3]</w:t>
      </w:r>
    </w:p>
    <w:p w14:paraId="071F22A2"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11 </w:t>
      </w:r>
      <w:r w:rsidRPr="0037330A">
        <w:rPr>
          <w:rFonts w:ascii="Book Antiqua" w:hAnsi="Book Antiqua"/>
          <w:b/>
          <w:bCs/>
        </w:rPr>
        <w:t>Klatman EL</w:t>
      </w:r>
      <w:r w:rsidRPr="0037330A">
        <w:rPr>
          <w:rFonts w:ascii="Book Antiqua" w:hAnsi="Book Antiqua"/>
        </w:rPr>
        <w:t xml:space="preserve">, McKee M, Ogle GD. Documenting and visualising progress towards Universal Health Coverage of insulin and blood glucose test strips </w:t>
      </w:r>
      <w:r w:rsidRPr="0037330A">
        <w:rPr>
          <w:rFonts w:ascii="Book Antiqua" w:hAnsi="Book Antiqua"/>
        </w:rPr>
        <w:lastRenderedPageBreak/>
        <w:t xml:space="preserve">for people with diabetes. </w:t>
      </w:r>
      <w:r w:rsidRPr="0037330A">
        <w:rPr>
          <w:rFonts w:ascii="Book Antiqua" w:hAnsi="Book Antiqua"/>
          <w:i/>
          <w:iCs/>
        </w:rPr>
        <w:t>Diabetes Res Clin Pract</w:t>
      </w:r>
      <w:r w:rsidRPr="0037330A">
        <w:rPr>
          <w:rFonts w:ascii="Book Antiqua" w:hAnsi="Book Antiqua"/>
        </w:rPr>
        <w:t xml:space="preserve"> 2019; </w:t>
      </w:r>
      <w:r w:rsidRPr="0037330A">
        <w:rPr>
          <w:rFonts w:ascii="Book Antiqua" w:hAnsi="Book Antiqua"/>
          <w:b/>
          <w:bCs/>
        </w:rPr>
        <w:t>157</w:t>
      </w:r>
      <w:r w:rsidRPr="0037330A">
        <w:rPr>
          <w:rFonts w:ascii="Book Antiqua" w:hAnsi="Book Antiqua"/>
        </w:rPr>
        <w:t>: 107859 [PMID: 31545980 DOI: 10.1016/j.diabres.2019.107859]</w:t>
      </w:r>
    </w:p>
    <w:p w14:paraId="50805394" w14:textId="3E1F698B" w:rsidR="004A2526" w:rsidRPr="0037330A" w:rsidRDefault="0013754B" w:rsidP="00146B63">
      <w:pPr>
        <w:snapToGrid w:val="0"/>
        <w:spacing w:line="360" w:lineRule="auto"/>
        <w:jc w:val="both"/>
        <w:rPr>
          <w:rFonts w:ascii="Book Antiqua" w:hAnsi="Book Antiqua"/>
        </w:rPr>
      </w:pPr>
      <w:r w:rsidRPr="0037330A">
        <w:rPr>
          <w:rFonts w:ascii="Book Antiqua" w:hAnsi="Book Antiqua"/>
        </w:rPr>
        <w:t>12</w:t>
      </w:r>
      <w:r w:rsidRPr="0037330A">
        <w:rPr>
          <w:rFonts w:ascii="Book Antiqua" w:eastAsiaTheme="minorEastAsia" w:hAnsi="Book Antiqua"/>
          <w:lang w:eastAsia="zh-CN"/>
        </w:rPr>
        <w:t xml:space="preserve"> </w:t>
      </w:r>
      <w:r w:rsidRPr="0037330A">
        <w:rPr>
          <w:rFonts w:ascii="Book Antiqua" w:hAnsi="Book Antiqua"/>
        </w:rPr>
        <w:t>PATH.</w:t>
      </w:r>
      <w:r w:rsidRPr="0037330A">
        <w:rPr>
          <w:rFonts w:ascii="Book Antiqua" w:eastAsiaTheme="minorEastAsia" w:hAnsi="Book Antiqua"/>
          <w:lang w:eastAsia="zh-CN"/>
        </w:rPr>
        <w:t xml:space="preserve"> </w:t>
      </w:r>
      <w:r w:rsidR="004A2526" w:rsidRPr="0037330A">
        <w:rPr>
          <w:rFonts w:ascii="Book Antiqua" w:hAnsi="Book Antiqua"/>
        </w:rPr>
        <w:t>Diabetes Supplies: are they</w:t>
      </w:r>
      <w:r w:rsidR="00B71676" w:rsidRPr="0037330A">
        <w:rPr>
          <w:rFonts w:ascii="Book Antiqua" w:hAnsi="Book Antiqua"/>
        </w:rPr>
        <w:t xml:space="preserve"> there when needed?</w:t>
      </w:r>
      <w:r w:rsidR="00B71676" w:rsidRPr="0037330A">
        <w:rPr>
          <w:rFonts w:ascii="Book Antiqua" w:eastAsiaTheme="minorEastAsia" w:hAnsi="Book Antiqua"/>
          <w:lang w:eastAsia="zh-CN"/>
        </w:rPr>
        <w:t xml:space="preserve"> </w:t>
      </w:r>
      <w:r w:rsidR="004A2526" w:rsidRPr="0037330A">
        <w:rPr>
          <w:rFonts w:ascii="Book Antiqua" w:hAnsi="Book Antiqua"/>
        </w:rPr>
        <w:t>2015</w:t>
      </w:r>
      <w:r w:rsidRPr="0037330A">
        <w:rPr>
          <w:rFonts w:ascii="Book Antiqua" w:eastAsiaTheme="minorEastAsia" w:hAnsi="Book Antiqua"/>
          <w:lang w:eastAsia="zh-CN"/>
        </w:rPr>
        <w:t>.</w:t>
      </w:r>
      <w:r w:rsidR="004A2526" w:rsidRPr="0037330A">
        <w:rPr>
          <w:rFonts w:ascii="Book Antiqua" w:hAnsi="Book Antiqua"/>
        </w:rPr>
        <w:t xml:space="preserve"> Available from: https://path.azureedge.net/media/documents/NCD_nes_long_rpt.pdf</w:t>
      </w:r>
    </w:p>
    <w:p w14:paraId="66132D7B"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13 </w:t>
      </w:r>
      <w:r w:rsidRPr="0037330A">
        <w:rPr>
          <w:rFonts w:ascii="Book Antiqua" w:hAnsi="Book Antiqua"/>
          <w:b/>
          <w:bCs/>
        </w:rPr>
        <w:t>Danne T</w:t>
      </w:r>
      <w:r w:rsidRPr="0037330A">
        <w:rPr>
          <w:rFonts w:ascii="Book Antiqua" w:hAnsi="Book Antiqua"/>
        </w:rPr>
        <w:t xml:space="preserve">, Phillip M, Buckingham BA, Jarosz-Chobot P, Saboo B, Urakami T, Battelino T, Hanas R, Codner E. ISPAD Clinical Practice Consensus Guidelines 2018: Insulin treatment in children and adolescents with diabetes. </w:t>
      </w:r>
      <w:r w:rsidRPr="0037330A">
        <w:rPr>
          <w:rFonts w:ascii="Book Antiqua" w:hAnsi="Book Antiqua"/>
          <w:i/>
          <w:iCs/>
        </w:rPr>
        <w:t>Pediatr Diabetes</w:t>
      </w:r>
      <w:r w:rsidRPr="0037330A">
        <w:rPr>
          <w:rFonts w:ascii="Book Antiqua" w:hAnsi="Book Antiqua"/>
        </w:rPr>
        <w:t xml:space="preserve"> 2018; </w:t>
      </w:r>
      <w:r w:rsidRPr="0037330A">
        <w:rPr>
          <w:rFonts w:ascii="Book Antiqua" w:hAnsi="Book Antiqua"/>
          <w:b/>
          <w:bCs/>
        </w:rPr>
        <w:t>19 Suppl 27</w:t>
      </w:r>
      <w:r w:rsidRPr="0037330A">
        <w:rPr>
          <w:rFonts w:ascii="Book Antiqua" w:hAnsi="Book Antiqua"/>
        </w:rPr>
        <w:t>: 115-135 [PMID: 29999222 DOI: 10.1111/pedi.12718]</w:t>
      </w:r>
    </w:p>
    <w:p w14:paraId="08C4A3ED"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14 </w:t>
      </w:r>
      <w:r w:rsidRPr="0037330A">
        <w:rPr>
          <w:rFonts w:ascii="Book Antiqua" w:hAnsi="Book Antiqua"/>
          <w:b/>
          <w:bCs/>
        </w:rPr>
        <w:t>DiMeglio LA</w:t>
      </w:r>
      <w:r w:rsidRPr="0037330A">
        <w:rPr>
          <w:rFonts w:ascii="Book Antiqua" w:hAnsi="Book Antiqua"/>
        </w:rPr>
        <w:t xml:space="preserve">, Acerini CL, Codner E, Craig ME, Hofer SE, Pillay K, Maahs DM. ISPAD Clinical Practice Consensus Guidelines 2018: Glycemic control targets and glucose monitoring for children, adolescents, and young adults with diabetes. </w:t>
      </w:r>
      <w:r w:rsidRPr="0037330A">
        <w:rPr>
          <w:rFonts w:ascii="Book Antiqua" w:hAnsi="Book Antiqua"/>
          <w:i/>
          <w:iCs/>
        </w:rPr>
        <w:t>Pediatr Diabetes</w:t>
      </w:r>
      <w:r w:rsidRPr="0037330A">
        <w:rPr>
          <w:rFonts w:ascii="Book Antiqua" w:hAnsi="Book Antiqua"/>
        </w:rPr>
        <w:t xml:space="preserve"> 2018; </w:t>
      </w:r>
      <w:r w:rsidRPr="0037330A">
        <w:rPr>
          <w:rFonts w:ascii="Book Antiqua" w:hAnsi="Book Antiqua"/>
          <w:b/>
          <w:bCs/>
        </w:rPr>
        <w:t>19 Suppl 27</w:t>
      </w:r>
      <w:r w:rsidRPr="0037330A">
        <w:rPr>
          <w:rFonts w:ascii="Book Antiqua" w:hAnsi="Book Antiqua"/>
        </w:rPr>
        <w:t>: 105-114 [PMID: 30058221 DOI: 10.1111/pedi.12737]</w:t>
      </w:r>
    </w:p>
    <w:p w14:paraId="7AD15F36"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15 </w:t>
      </w:r>
      <w:r w:rsidRPr="0037330A">
        <w:rPr>
          <w:rFonts w:ascii="Book Antiqua" w:hAnsi="Book Antiqua"/>
          <w:b/>
          <w:bCs/>
        </w:rPr>
        <w:t>Ogle GD</w:t>
      </w:r>
      <w:r w:rsidRPr="0037330A">
        <w:rPr>
          <w:rFonts w:ascii="Book Antiqua" w:hAnsi="Book Antiqua"/>
        </w:rPr>
        <w:t xml:space="preserve">, von Oettingen JE, Middlehurst AC, Hanas R, Orchard TJ. Levels of type 1 diabetes care in children and adolescents for countries at varying resource levels. </w:t>
      </w:r>
      <w:r w:rsidRPr="0037330A">
        <w:rPr>
          <w:rFonts w:ascii="Book Antiqua" w:hAnsi="Book Antiqua"/>
          <w:i/>
          <w:iCs/>
        </w:rPr>
        <w:t>Pediatr Diabetes</w:t>
      </w:r>
      <w:r w:rsidRPr="0037330A">
        <w:rPr>
          <w:rFonts w:ascii="Book Antiqua" w:hAnsi="Book Antiqua"/>
        </w:rPr>
        <w:t xml:space="preserve"> 2019; </w:t>
      </w:r>
      <w:r w:rsidRPr="0037330A">
        <w:rPr>
          <w:rFonts w:ascii="Book Antiqua" w:hAnsi="Book Antiqua"/>
          <w:b/>
          <w:bCs/>
        </w:rPr>
        <w:t>20</w:t>
      </w:r>
      <w:r w:rsidRPr="0037330A">
        <w:rPr>
          <w:rFonts w:ascii="Book Antiqua" w:hAnsi="Book Antiqua"/>
        </w:rPr>
        <w:t>: 93-98 [PMID: 30471084 DOI: 10.1111/pedi.12801]</w:t>
      </w:r>
    </w:p>
    <w:p w14:paraId="4D3E8996"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16 </w:t>
      </w:r>
      <w:r w:rsidRPr="0037330A">
        <w:rPr>
          <w:rFonts w:ascii="Book Antiqua" w:hAnsi="Book Antiqua"/>
          <w:b/>
          <w:bCs/>
        </w:rPr>
        <w:t>American Diabetes Association.</w:t>
      </w:r>
      <w:r w:rsidRPr="0037330A">
        <w:rPr>
          <w:rFonts w:ascii="Book Antiqua" w:hAnsi="Book Antiqua"/>
        </w:rPr>
        <w:t xml:space="preserve">. 2. Classification and Diagnosis of Diabetes: </w:t>
      </w:r>
      <w:r w:rsidRPr="0037330A">
        <w:rPr>
          <w:rFonts w:ascii="Book Antiqua" w:hAnsi="Book Antiqua"/>
          <w:i/>
          <w:iCs/>
        </w:rPr>
        <w:t>Standards of Medical Care in Diabetes-2019</w:t>
      </w:r>
      <w:r w:rsidRPr="0037330A">
        <w:rPr>
          <w:rFonts w:ascii="Book Antiqua" w:hAnsi="Book Antiqua"/>
        </w:rPr>
        <w:t xml:space="preserve">. </w:t>
      </w:r>
      <w:r w:rsidRPr="0037330A">
        <w:rPr>
          <w:rFonts w:ascii="Book Antiqua" w:hAnsi="Book Antiqua"/>
          <w:i/>
          <w:iCs/>
        </w:rPr>
        <w:t>Diabetes Care</w:t>
      </w:r>
      <w:r w:rsidRPr="0037330A">
        <w:rPr>
          <w:rFonts w:ascii="Book Antiqua" w:hAnsi="Book Antiqua"/>
        </w:rPr>
        <w:t xml:space="preserve"> 2019; </w:t>
      </w:r>
      <w:r w:rsidRPr="0037330A">
        <w:rPr>
          <w:rFonts w:ascii="Book Antiqua" w:hAnsi="Book Antiqua"/>
          <w:b/>
          <w:bCs/>
        </w:rPr>
        <w:t>42</w:t>
      </w:r>
      <w:r w:rsidRPr="0037330A">
        <w:rPr>
          <w:rFonts w:ascii="Book Antiqua" w:hAnsi="Book Antiqua"/>
        </w:rPr>
        <w:t>: S13-S28 [PMID: 30559228 DOI: 10.2337/dc19-S002]</w:t>
      </w:r>
    </w:p>
    <w:p w14:paraId="733119C7"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17 </w:t>
      </w:r>
      <w:r w:rsidRPr="0037330A">
        <w:rPr>
          <w:rFonts w:ascii="Book Antiqua" w:hAnsi="Book Antiqua"/>
          <w:b/>
          <w:bCs/>
        </w:rPr>
        <w:t>Ogle GD</w:t>
      </w:r>
      <w:r w:rsidRPr="0037330A">
        <w:rPr>
          <w:rFonts w:ascii="Book Antiqua" w:hAnsi="Book Antiqua"/>
        </w:rPr>
        <w:t xml:space="preserve">, Kim H, Middlehurst AC, Silink M, Jenkins AJ. Financial costs for families of children with Type 1 diabetes in lower-income countries. </w:t>
      </w:r>
      <w:r w:rsidRPr="0037330A">
        <w:rPr>
          <w:rFonts w:ascii="Book Antiqua" w:hAnsi="Book Antiqua"/>
          <w:i/>
          <w:iCs/>
        </w:rPr>
        <w:t>Diabet Med</w:t>
      </w:r>
      <w:r w:rsidRPr="0037330A">
        <w:rPr>
          <w:rFonts w:ascii="Book Antiqua" w:hAnsi="Book Antiqua"/>
        </w:rPr>
        <w:t xml:space="preserve"> 2016; </w:t>
      </w:r>
      <w:r w:rsidRPr="0037330A">
        <w:rPr>
          <w:rFonts w:ascii="Book Antiqua" w:hAnsi="Book Antiqua"/>
          <w:b/>
          <w:bCs/>
        </w:rPr>
        <w:t>33</w:t>
      </w:r>
      <w:r w:rsidRPr="0037330A">
        <w:rPr>
          <w:rFonts w:ascii="Book Antiqua" w:hAnsi="Book Antiqua"/>
        </w:rPr>
        <w:t>: 820-826 [PMID: 26482333 DOI: 10.1111/dme.12997]</w:t>
      </w:r>
    </w:p>
    <w:p w14:paraId="3DB6E2C6" w14:textId="7983B7B7" w:rsidR="004A2526" w:rsidRPr="0037330A" w:rsidRDefault="0013754B" w:rsidP="00146B63">
      <w:pPr>
        <w:snapToGrid w:val="0"/>
        <w:spacing w:line="360" w:lineRule="auto"/>
        <w:jc w:val="both"/>
        <w:rPr>
          <w:rFonts w:ascii="Book Antiqua" w:hAnsi="Book Antiqua"/>
        </w:rPr>
      </w:pPr>
      <w:r w:rsidRPr="0037330A">
        <w:rPr>
          <w:rFonts w:ascii="Book Antiqua" w:hAnsi="Book Antiqua"/>
        </w:rPr>
        <w:t>18</w:t>
      </w:r>
      <w:r w:rsidRPr="0037330A">
        <w:rPr>
          <w:rFonts w:ascii="Book Antiqua" w:eastAsiaTheme="minorEastAsia" w:hAnsi="Book Antiqua"/>
          <w:lang w:eastAsia="zh-CN"/>
        </w:rPr>
        <w:t xml:space="preserve"> </w:t>
      </w:r>
      <w:r w:rsidRPr="0037330A">
        <w:rPr>
          <w:rFonts w:ascii="Book Antiqua" w:hAnsi="Book Antiqua"/>
        </w:rPr>
        <w:t>Life for a Child [Internet].</w:t>
      </w:r>
      <w:r w:rsidRPr="0037330A">
        <w:rPr>
          <w:rFonts w:ascii="Book Antiqua" w:eastAsiaTheme="minorEastAsia" w:hAnsi="Book Antiqua"/>
          <w:lang w:eastAsia="zh-CN"/>
        </w:rPr>
        <w:t xml:space="preserve"> </w:t>
      </w:r>
      <w:r w:rsidR="004A2526" w:rsidRPr="0037330A">
        <w:rPr>
          <w:rFonts w:ascii="Book Antiqua" w:hAnsi="Book Antiqua"/>
        </w:rPr>
        <w:t xml:space="preserve">Available from: </w:t>
      </w:r>
      <w:bookmarkStart w:id="13" w:name="OLE_LINK11"/>
      <w:bookmarkStart w:id="14" w:name="OLE_LINK12"/>
      <w:r w:rsidR="004A2526" w:rsidRPr="0037330A">
        <w:rPr>
          <w:rFonts w:ascii="Book Antiqua" w:hAnsi="Book Antiqua"/>
        </w:rPr>
        <w:t>https://lfacinternational.org</w:t>
      </w:r>
      <w:bookmarkEnd w:id="13"/>
      <w:bookmarkEnd w:id="14"/>
    </w:p>
    <w:p w14:paraId="2C26ACF5"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19 </w:t>
      </w:r>
      <w:r w:rsidRPr="0037330A">
        <w:rPr>
          <w:rFonts w:ascii="Book Antiqua" w:hAnsi="Book Antiqua"/>
          <w:b/>
          <w:bCs/>
        </w:rPr>
        <w:t>Frid AH</w:t>
      </w:r>
      <w:r w:rsidRPr="0037330A">
        <w:rPr>
          <w:rFonts w:ascii="Book Antiqua" w:hAnsi="Book Antiqua"/>
        </w:rPr>
        <w:t xml:space="preserve">, Kreugel G, Grassi G, Halimi S, Hicks D, Hirsch LJ, Smith MJ, Wellhoener R, Bode BW, Hirsch IB, Kalra S, Ji L, Strauss KW. New Insulin Delivery Recommendations. </w:t>
      </w:r>
      <w:r w:rsidRPr="0037330A">
        <w:rPr>
          <w:rFonts w:ascii="Book Antiqua" w:hAnsi="Book Antiqua"/>
          <w:i/>
          <w:iCs/>
        </w:rPr>
        <w:t>Mayo Clin Proc</w:t>
      </w:r>
      <w:r w:rsidRPr="0037330A">
        <w:rPr>
          <w:rFonts w:ascii="Book Antiqua" w:hAnsi="Book Antiqua"/>
        </w:rPr>
        <w:t xml:space="preserve"> 2016; </w:t>
      </w:r>
      <w:r w:rsidRPr="0037330A">
        <w:rPr>
          <w:rFonts w:ascii="Book Antiqua" w:hAnsi="Book Antiqua"/>
          <w:b/>
          <w:bCs/>
        </w:rPr>
        <w:t>91</w:t>
      </w:r>
      <w:r w:rsidRPr="0037330A">
        <w:rPr>
          <w:rFonts w:ascii="Book Antiqua" w:hAnsi="Book Antiqua"/>
        </w:rPr>
        <w:t>: 1231-1255 [PMID: 27594187 DOI: 10.1016/j.mayocp.2016.06.010]</w:t>
      </w:r>
    </w:p>
    <w:p w14:paraId="62C6037A"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lastRenderedPageBreak/>
        <w:t xml:space="preserve">20 </w:t>
      </w:r>
      <w:r w:rsidRPr="0037330A">
        <w:rPr>
          <w:rFonts w:ascii="Book Antiqua" w:hAnsi="Book Antiqua"/>
          <w:b/>
          <w:bCs/>
        </w:rPr>
        <w:t>Frid AH</w:t>
      </w:r>
      <w:r w:rsidRPr="0037330A">
        <w:rPr>
          <w:rFonts w:ascii="Book Antiqua" w:hAnsi="Book Antiqua"/>
        </w:rPr>
        <w:t xml:space="preserve">, Hirsch LJ, Menchior AR, Morel DR, Strauss KW. Worldwide Injection Technique Questionnaire Study: Population Parameters and Injection Practices. </w:t>
      </w:r>
      <w:r w:rsidRPr="0037330A">
        <w:rPr>
          <w:rFonts w:ascii="Book Antiqua" w:hAnsi="Book Antiqua"/>
          <w:i/>
          <w:iCs/>
        </w:rPr>
        <w:t>Mayo Clin Proc</w:t>
      </w:r>
      <w:r w:rsidRPr="0037330A">
        <w:rPr>
          <w:rFonts w:ascii="Book Antiqua" w:hAnsi="Book Antiqua"/>
        </w:rPr>
        <w:t xml:space="preserve"> 2016; </w:t>
      </w:r>
      <w:r w:rsidRPr="0037330A">
        <w:rPr>
          <w:rFonts w:ascii="Book Antiqua" w:hAnsi="Book Antiqua"/>
          <w:b/>
          <w:bCs/>
        </w:rPr>
        <w:t>91</w:t>
      </w:r>
      <w:r w:rsidRPr="0037330A">
        <w:rPr>
          <w:rFonts w:ascii="Book Antiqua" w:hAnsi="Book Antiqua"/>
        </w:rPr>
        <w:t>: 1212-1223 [PMID: 27594185 DOI: 10.1016/j.mayocp.2016.06.011]</w:t>
      </w:r>
    </w:p>
    <w:p w14:paraId="61803C4E" w14:textId="023A18BB"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21 </w:t>
      </w:r>
      <w:r w:rsidRPr="0037330A">
        <w:rPr>
          <w:rFonts w:ascii="Book Antiqua" w:hAnsi="Book Antiqua"/>
          <w:b/>
          <w:bCs/>
        </w:rPr>
        <w:t>International Society for Pediatric and Adolescent Diabetes,</w:t>
      </w:r>
      <w:r w:rsidR="0013754B" w:rsidRPr="0037330A">
        <w:rPr>
          <w:rFonts w:ascii="Book Antiqua" w:hAnsi="Book Antiqua"/>
        </w:rPr>
        <w:t xml:space="preserve"> </w:t>
      </w:r>
      <w:r w:rsidRPr="0037330A">
        <w:rPr>
          <w:rFonts w:ascii="Book Antiqua" w:hAnsi="Book Antiqua"/>
        </w:rPr>
        <w:t>Life for a Child, International Diabetes Federation. Pocketbook for Management of Diabetes in Childhood and Adolescen</w:t>
      </w:r>
      <w:r w:rsidR="00B71676" w:rsidRPr="0037330A">
        <w:rPr>
          <w:rFonts w:ascii="Book Antiqua" w:hAnsi="Book Antiqua"/>
        </w:rPr>
        <w:t>ce in Under-Resourced Countries</w:t>
      </w:r>
      <w:r w:rsidRPr="0037330A">
        <w:rPr>
          <w:rFonts w:ascii="Book Antiqua" w:hAnsi="Book Antiqua"/>
        </w:rPr>
        <w:t xml:space="preserve"> 2017</w:t>
      </w:r>
      <w:r w:rsidR="0013754B" w:rsidRPr="0037330A">
        <w:rPr>
          <w:rFonts w:ascii="Book Antiqua" w:eastAsiaTheme="minorEastAsia" w:hAnsi="Book Antiqua"/>
          <w:lang w:eastAsia="zh-CN"/>
        </w:rPr>
        <w:t>.</w:t>
      </w:r>
      <w:r w:rsidRPr="0037330A">
        <w:rPr>
          <w:rFonts w:ascii="Book Antiqua" w:hAnsi="Book Antiqua"/>
        </w:rPr>
        <w:t xml:space="preserve"> Available from: https://cdn.ymaws.com/www.ispad.org/resource/resmgr/LFAC-ISPAD-Pocketbook-2nd-ed.pdf</w:t>
      </w:r>
    </w:p>
    <w:p w14:paraId="0F966623"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22 </w:t>
      </w:r>
      <w:r w:rsidRPr="0037330A">
        <w:rPr>
          <w:rFonts w:ascii="Book Antiqua" w:hAnsi="Book Antiqua"/>
          <w:b/>
          <w:bCs/>
        </w:rPr>
        <w:t>Schuler G</w:t>
      </w:r>
      <w:r w:rsidRPr="0037330A">
        <w:rPr>
          <w:rFonts w:ascii="Book Antiqua" w:hAnsi="Book Antiqua"/>
        </w:rPr>
        <w:t xml:space="preserve">, Pelz K, Kerp L. Is the reuse of needles for insulin injection systems associated with a higher risk of cutaneous complications? </w:t>
      </w:r>
      <w:r w:rsidRPr="0037330A">
        <w:rPr>
          <w:rFonts w:ascii="Book Antiqua" w:hAnsi="Book Antiqua"/>
          <w:i/>
          <w:iCs/>
        </w:rPr>
        <w:t>Diabetes Res Clin Pract</w:t>
      </w:r>
      <w:r w:rsidRPr="0037330A">
        <w:rPr>
          <w:rFonts w:ascii="Book Antiqua" w:hAnsi="Book Antiqua"/>
        </w:rPr>
        <w:t xml:space="preserve"> 1992; </w:t>
      </w:r>
      <w:r w:rsidRPr="0037330A">
        <w:rPr>
          <w:rFonts w:ascii="Book Antiqua" w:hAnsi="Book Antiqua"/>
          <w:b/>
          <w:bCs/>
        </w:rPr>
        <w:t>16</w:t>
      </w:r>
      <w:r w:rsidRPr="0037330A">
        <w:rPr>
          <w:rFonts w:ascii="Book Antiqua" w:hAnsi="Book Antiqua"/>
        </w:rPr>
        <w:t>: 209-212 [PMID: 1425141 DOI: 10.1016/0168-8227(92)90119-c]</w:t>
      </w:r>
    </w:p>
    <w:p w14:paraId="17D9127A"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23 </w:t>
      </w:r>
      <w:r w:rsidRPr="0037330A">
        <w:rPr>
          <w:rFonts w:ascii="Book Antiqua" w:hAnsi="Book Antiqua"/>
          <w:b/>
          <w:bCs/>
        </w:rPr>
        <w:t>Kalra S</w:t>
      </w:r>
      <w:r w:rsidRPr="0037330A">
        <w:rPr>
          <w:rFonts w:ascii="Book Antiqua" w:hAnsi="Book Antiqua"/>
        </w:rPr>
        <w:t xml:space="preserve">, Hirsch LJ, Frid A, Deeb A, Strauss KW. Pediatric Insulin Injection Technique: A Multi-Country Survey and Clinical Practice Implications. </w:t>
      </w:r>
      <w:r w:rsidRPr="0037330A">
        <w:rPr>
          <w:rFonts w:ascii="Book Antiqua" w:hAnsi="Book Antiqua"/>
          <w:i/>
          <w:iCs/>
        </w:rPr>
        <w:t>Diabetes Ther</w:t>
      </w:r>
      <w:r w:rsidRPr="0037330A">
        <w:rPr>
          <w:rFonts w:ascii="Book Antiqua" w:hAnsi="Book Antiqua"/>
        </w:rPr>
        <w:t xml:space="preserve"> 2018; </w:t>
      </w:r>
      <w:r w:rsidRPr="0037330A">
        <w:rPr>
          <w:rFonts w:ascii="Book Antiqua" w:hAnsi="Book Antiqua"/>
          <w:b/>
          <w:bCs/>
        </w:rPr>
        <w:t>9</w:t>
      </w:r>
      <w:r w:rsidRPr="0037330A">
        <w:rPr>
          <w:rFonts w:ascii="Book Antiqua" w:hAnsi="Book Antiqua"/>
        </w:rPr>
        <w:t>: 2291-2302 [PMID: 30242612 DOI: 10.1007/s13300-018-0514-1]</w:t>
      </w:r>
    </w:p>
    <w:p w14:paraId="7DA689EA"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24 </w:t>
      </w:r>
      <w:r w:rsidRPr="0037330A">
        <w:rPr>
          <w:rFonts w:ascii="Book Antiqua" w:hAnsi="Book Antiqua"/>
          <w:b/>
          <w:bCs/>
        </w:rPr>
        <w:t>Bahendeka S</w:t>
      </w:r>
      <w:r w:rsidRPr="0037330A">
        <w:rPr>
          <w:rFonts w:ascii="Book Antiqua" w:hAnsi="Book Antiqua"/>
        </w:rPr>
        <w:t xml:space="preserve">, Kaushik R, Swai AB, Otieno F, Bajaj S, Kalra S, Bavuma CM, Karigire C. EADSG Guidelines: Insulin Storage and Optimisation of Injection Technique in Diabetes Management. </w:t>
      </w:r>
      <w:r w:rsidRPr="0037330A">
        <w:rPr>
          <w:rFonts w:ascii="Book Antiqua" w:hAnsi="Book Antiqua"/>
          <w:i/>
          <w:iCs/>
        </w:rPr>
        <w:t>Diabetes Ther</w:t>
      </w:r>
      <w:r w:rsidRPr="0037330A">
        <w:rPr>
          <w:rFonts w:ascii="Book Antiqua" w:hAnsi="Book Antiqua"/>
        </w:rPr>
        <w:t xml:space="preserve"> 2019; </w:t>
      </w:r>
      <w:r w:rsidRPr="0037330A">
        <w:rPr>
          <w:rFonts w:ascii="Book Antiqua" w:hAnsi="Book Antiqua"/>
          <w:b/>
          <w:bCs/>
        </w:rPr>
        <w:t>10</w:t>
      </w:r>
      <w:r w:rsidRPr="0037330A">
        <w:rPr>
          <w:rFonts w:ascii="Book Antiqua" w:hAnsi="Book Antiqua"/>
        </w:rPr>
        <w:t>: 341-366 [PMID: 30815830 DOI: 10.1007/s13300-019-0574-x]</w:t>
      </w:r>
    </w:p>
    <w:p w14:paraId="7905CDAA"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25 </w:t>
      </w:r>
      <w:r w:rsidRPr="0037330A">
        <w:rPr>
          <w:rFonts w:ascii="Book Antiqua" w:hAnsi="Book Antiqua"/>
          <w:b/>
          <w:bCs/>
        </w:rPr>
        <w:t>Gregory GA</w:t>
      </w:r>
      <w:r w:rsidRPr="0037330A">
        <w:rPr>
          <w:rFonts w:ascii="Book Antiqua" w:hAnsi="Book Antiqua"/>
        </w:rPr>
        <w:t xml:space="preserve">, Guo J, Klatman EL, Ahmadov GA, Besançon S, Gomez ED, Fawwad A, Ramaiya K, Wijesuriya MA, Orchard TJ, Ogle GD. Costs and outcomes of "intermediate" vs "minimal" care for youth-onset type 1 diabetes in six countries. </w:t>
      </w:r>
      <w:r w:rsidRPr="0037330A">
        <w:rPr>
          <w:rFonts w:ascii="Book Antiqua" w:hAnsi="Book Antiqua"/>
          <w:i/>
          <w:iCs/>
        </w:rPr>
        <w:t>Pediatr Diabetes</w:t>
      </w:r>
      <w:r w:rsidRPr="0037330A">
        <w:rPr>
          <w:rFonts w:ascii="Book Antiqua" w:hAnsi="Book Antiqua"/>
        </w:rPr>
        <w:t xml:space="preserve"> 2020; </w:t>
      </w:r>
      <w:r w:rsidRPr="0037330A">
        <w:rPr>
          <w:rFonts w:ascii="Book Antiqua" w:hAnsi="Book Antiqua"/>
          <w:b/>
          <w:bCs/>
        </w:rPr>
        <w:t>21</w:t>
      </w:r>
      <w:r w:rsidRPr="0037330A">
        <w:rPr>
          <w:rFonts w:ascii="Book Antiqua" w:hAnsi="Book Antiqua"/>
        </w:rPr>
        <w:t>: 628-636 [PMID: 31970828 DOI: 10.1111/pedi.12988]</w:t>
      </w:r>
    </w:p>
    <w:p w14:paraId="6EAFF61B"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26 </w:t>
      </w:r>
      <w:r w:rsidRPr="0037330A">
        <w:rPr>
          <w:rFonts w:ascii="Book Antiqua" w:hAnsi="Book Antiqua"/>
          <w:b/>
          <w:bCs/>
        </w:rPr>
        <w:t>Park PH</w:t>
      </w:r>
      <w:r w:rsidRPr="0037330A">
        <w:rPr>
          <w:rFonts w:ascii="Book Antiqua" w:hAnsi="Book Antiqua"/>
        </w:rPr>
        <w:t xml:space="preserve">, Pastakia SD. Access to Hemoglobin A1c in Rural Africa: A Difficult Reality with Severe Consequences. </w:t>
      </w:r>
      <w:r w:rsidRPr="0037330A">
        <w:rPr>
          <w:rFonts w:ascii="Book Antiqua" w:hAnsi="Book Antiqua"/>
          <w:i/>
          <w:iCs/>
        </w:rPr>
        <w:t>J Diabetes Res</w:t>
      </w:r>
      <w:r w:rsidRPr="0037330A">
        <w:rPr>
          <w:rFonts w:ascii="Book Antiqua" w:hAnsi="Book Antiqua"/>
        </w:rPr>
        <w:t xml:space="preserve"> 2018; </w:t>
      </w:r>
      <w:r w:rsidRPr="0037330A">
        <w:rPr>
          <w:rFonts w:ascii="Book Antiqua" w:hAnsi="Book Antiqua"/>
          <w:b/>
          <w:bCs/>
        </w:rPr>
        <w:t>2018</w:t>
      </w:r>
      <w:r w:rsidRPr="0037330A">
        <w:rPr>
          <w:rFonts w:ascii="Book Antiqua" w:hAnsi="Book Antiqua"/>
        </w:rPr>
        <w:t>: 6093595 [PMID: 29682580 DOI: 10.1155/2018/6093595]</w:t>
      </w:r>
    </w:p>
    <w:p w14:paraId="6F8153AE"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lastRenderedPageBreak/>
        <w:t xml:space="preserve">27 </w:t>
      </w:r>
      <w:r w:rsidRPr="0037330A">
        <w:rPr>
          <w:rFonts w:ascii="Book Antiqua" w:hAnsi="Book Antiqua"/>
          <w:b/>
          <w:bCs/>
        </w:rPr>
        <w:t>Camara A</w:t>
      </w:r>
      <w:r w:rsidRPr="0037330A">
        <w:rPr>
          <w:rFonts w:ascii="Book Antiqua" w:hAnsi="Book Antiqua"/>
        </w:rPr>
        <w:t xml:space="preserve">, Baldé NM, Sobngwi-Tambekou J, Kengne AP, Diallo MM, Tchatchoua AP, Kaké A, Sylvie N, Balkau B, Bonnet F, Sobngwi E. Poor glycemic control in type 2 diabetes in the South of the Sahara: the issue of limited access to an HbA1c test. </w:t>
      </w:r>
      <w:r w:rsidRPr="0037330A">
        <w:rPr>
          <w:rFonts w:ascii="Book Antiqua" w:hAnsi="Book Antiqua"/>
          <w:i/>
          <w:iCs/>
        </w:rPr>
        <w:t>Diabetes Res Clin Pract</w:t>
      </w:r>
      <w:r w:rsidRPr="0037330A">
        <w:rPr>
          <w:rFonts w:ascii="Book Antiqua" w:hAnsi="Book Antiqua"/>
        </w:rPr>
        <w:t xml:space="preserve"> 2015; </w:t>
      </w:r>
      <w:r w:rsidRPr="0037330A">
        <w:rPr>
          <w:rFonts w:ascii="Book Antiqua" w:hAnsi="Book Antiqua"/>
          <w:b/>
          <w:bCs/>
        </w:rPr>
        <w:t>108</w:t>
      </w:r>
      <w:r w:rsidRPr="0037330A">
        <w:rPr>
          <w:rFonts w:ascii="Book Antiqua" w:hAnsi="Book Antiqua"/>
        </w:rPr>
        <w:t>: 187-192 [PMID: 25697633 DOI: 10.1016/j.diabres.2014.08.025]</w:t>
      </w:r>
    </w:p>
    <w:p w14:paraId="4F742D60" w14:textId="0FDAF827" w:rsidR="004A2526" w:rsidRPr="0037330A" w:rsidRDefault="00B71676" w:rsidP="00146B63">
      <w:pPr>
        <w:snapToGrid w:val="0"/>
        <w:spacing w:line="360" w:lineRule="auto"/>
        <w:jc w:val="both"/>
        <w:rPr>
          <w:rFonts w:ascii="Book Antiqua" w:hAnsi="Book Antiqua"/>
        </w:rPr>
      </w:pPr>
      <w:r w:rsidRPr="0037330A">
        <w:rPr>
          <w:rFonts w:ascii="Book Antiqua" w:hAnsi="Book Antiqua"/>
        </w:rPr>
        <w:t>28</w:t>
      </w:r>
      <w:r w:rsidRPr="0037330A">
        <w:rPr>
          <w:rFonts w:ascii="Book Antiqua" w:eastAsiaTheme="minorEastAsia" w:hAnsi="Book Antiqua"/>
          <w:lang w:eastAsia="zh-CN"/>
        </w:rPr>
        <w:t xml:space="preserve"> </w:t>
      </w:r>
      <w:r w:rsidR="004A2526" w:rsidRPr="0037330A">
        <w:rPr>
          <w:rFonts w:ascii="Book Antiqua" w:hAnsi="Book Antiqua"/>
          <w:b/>
        </w:rPr>
        <w:t>World Health Organization</w:t>
      </w:r>
      <w:r w:rsidRPr="0037330A">
        <w:rPr>
          <w:rFonts w:ascii="Book Antiqua" w:hAnsi="Book Antiqua"/>
          <w:b/>
        </w:rPr>
        <w:t>.</w:t>
      </w:r>
      <w:r w:rsidRPr="0037330A">
        <w:rPr>
          <w:rFonts w:ascii="Book Antiqua" w:eastAsiaTheme="minorEastAsia" w:hAnsi="Book Antiqua"/>
          <w:b/>
          <w:lang w:eastAsia="zh-CN"/>
        </w:rPr>
        <w:t xml:space="preserve"> </w:t>
      </w:r>
      <w:r w:rsidR="004A2526" w:rsidRPr="0037330A">
        <w:rPr>
          <w:rFonts w:ascii="Book Antiqua" w:hAnsi="Book Antiqua"/>
        </w:rPr>
        <w:t>Assessing national capacity for the prevention and control of noncommunicable diseases: report of the 2015</w:t>
      </w:r>
      <w:r w:rsidRPr="0037330A">
        <w:rPr>
          <w:rFonts w:ascii="Book Antiqua" w:hAnsi="Book Antiqua"/>
        </w:rPr>
        <w:t xml:space="preserve"> global survey 2016</w:t>
      </w:r>
      <w:r w:rsidRPr="0037330A">
        <w:rPr>
          <w:rFonts w:ascii="Book Antiqua" w:eastAsiaTheme="minorEastAsia" w:hAnsi="Book Antiqua"/>
          <w:lang w:eastAsia="zh-CN"/>
        </w:rPr>
        <w:t xml:space="preserve">. </w:t>
      </w:r>
      <w:r w:rsidR="004A2526" w:rsidRPr="0037330A">
        <w:rPr>
          <w:rFonts w:ascii="Book Antiqua" w:hAnsi="Book Antiqua"/>
        </w:rPr>
        <w:t>Available from: https://apps.who.int/iris/bitstream/handle/10665/246223/9789241565363-eng.pdf?sequence=1</w:t>
      </w:r>
    </w:p>
    <w:p w14:paraId="36FD9CC2"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29 </w:t>
      </w:r>
      <w:r w:rsidRPr="0037330A">
        <w:rPr>
          <w:rFonts w:ascii="Book Antiqua" w:hAnsi="Book Antiqua"/>
          <w:b/>
          <w:bCs/>
        </w:rPr>
        <w:t>Kibirige D</w:t>
      </w:r>
      <w:r w:rsidRPr="0037330A">
        <w:rPr>
          <w:rFonts w:ascii="Book Antiqua" w:hAnsi="Book Antiqua"/>
        </w:rPr>
        <w:t xml:space="preserve">, Atuhe D, Kampiire L, Kiggundu DS, Donggo P, Nabbaale J, Mwebaze RM, Kalyesubula R, Lumu W. Access to medicines and diagnostic tests integral in the management of diabetes mellitus and cardiovascular diseases in Uganda: insights from the ACCODAD study. </w:t>
      </w:r>
      <w:r w:rsidRPr="0037330A">
        <w:rPr>
          <w:rFonts w:ascii="Book Antiqua" w:hAnsi="Book Antiqua"/>
          <w:i/>
          <w:iCs/>
        </w:rPr>
        <w:t>Int J Equity Health</w:t>
      </w:r>
      <w:r w:rsidRPr="0037330A">
        <w:rPr>
          <w:rFonts w:ascii="Book Antiqua" w:hAnsi="Book Antiqua"/>
        </w:rPr>
        <w:t xml:space="preserve"> 2017; </w:t>
      </w:r>
      <w:r w:rsidRPr="0037330A">
        <w:rPr>
          <w:rFonts w:ascii="Book Antiqua" w:hAnsi="Book Antiqua"/>
          <w:b/>
          <w:bCs/>
        </w:rPr>
        <w:t>16</w:t>
      </w:r>
      <w:r w:rsidRPr="0037330A">
        <w:rPr>
          <w:rFonts w:ascii="Book Antiqua" w:hAnsi="Book Antiqua"/>
        </w:rPr>
        <w:t>: 154 [PMID: 28836972 DOI: 10.1186/s12939-017-0651-6]</w:t>
      </w:r>
    </w:p>
    <w:p w14:paraId="3A7392FF"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30 </w:t>
      </w:r>
      <w:r w:rsidRPr="0037330A">
        <w:rPr>
          <w:rFonts w:ascii="Book Antiqua" w:hAnsi="Book Antiqua"/>
          <w:b/>
          <w:bCs/>
        </w:rPr>
        <w:t>Jingi AM</w:t>
      </w:r>
      <w:r w:rsidRPr="0037330A">
        <w:rPr>
          <w:rFonts w:ascii="Book Antiqua" w:hAnsi="Book Antiqua"/>
        </w:rPr>
        <w:t xml:space="preserve">, Noubiap JJ, Ewane Onana A, Nansseu JR, Wang B, Kingue S, Kengne AP. Access to diagnostic tests and essential medicines for cardiovascular diseases and diabetes care: cost, availability and affordability in the West Region of Cameroon. </w:t>
      </w:r>
      <w:r w:rsidRPr="0037330A">
        <w:rPr>
          <w:rFonts w:ascii="Book Antiqua" w:hAnsi="Book Antiqua"/>
          <w:i/>
          <w:iCs/>
        </w:rPr>
        <w:t>PLoS One</w:t>
      </w:r>
      <w:r w:rsidRPr="0037330A">
        <w:rPr>
          <w:rFonts w:ascii="Book Antiqua" w:hAnsi="Book Antiqua"/>
        </w:rPr>
        <w:t xml:space="preserve"> 2014; </w:t>
      </w:r>
      <w:r w:rsidRPr="0037330A">
        <w:rPr>
          <w:rFonts w:ascii="Book Antiqua" w:hAnsi="Book Antiqua"/>
          <w:b/>
          <w:bCs/>
        </w:rPr>
        <w:t>9</w:t>
      </w:r>
      <w:r w:rsidRPr="0037330A">
        <w:rPr>
          <w:rFonts w:ascii="Book Antiqua" w:hAnsi="Book Antiqua"/>
        </w:rPr>
        <w:t>: e111812 [PMID: 25369455 DOI: 10.1371/journal.pone.0111812]</w:t>
      </w:r>
    </w:p>
    <w:p w14:paraId="7EDB1647"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31 </w:t>
      </w:r>
      <w:r w:rsidRPr="0037330A">
        <w:rPr>
          <w:rFonts w:ascii="Book Antiqua" w:hAnsi="Book Antiqua"/>
          <w:b/>
          <w:bCs/>
        </w:rPr>
        <w:t>Balde N</w:t>
      </w:r>
      <w:r w:rsidRPr="0037330A">
        <w:rPr>
          <w:rFonts w:ascii="Book Antiqua" w:hAnsi="Book Antiqua"/>
        </w:rPr>
        <w:t xml:space="preserve">, Camara A, Sobngwi-Tambekou J, Balti EV, Tchatchoua A, Fezeu L, Limen S, Ngamani S, Ngapout S, Kengne AP, Sobngwi E. Improving access to HbA1c in sub-Saharan Africa (IA3) cohort: cohort profile. </w:t>
      </w:r>
      <w:r w:rsidRPr="0037330A">
        <w:rPr>
          <w:rFonts w:ascii="Book Antiqua" w:hAnsi="Book Antiqua"/>
          <w:i/>
          <w:iCs/>
        </w:rPr>
        <w:t>Pan Afr Med J</w:t>
      </w:r>
      <w:r w:rsidRPr="0037330A">
        <w:rPr>
          <w:rFonts w:ascii="Book Antiqua" w:hAnsi="Book Antiqua"/>
        </w:rPr>
        <w:t xml:space="preserve"> 2017; </w:t>
      </w:r>
      <w:r w:rsidRPr="0037330A">
        <w:rPr>
          <w:rFonts w:ascii="Book Antiqua" w:hAnsi="Book Antiqua"/>
          <w:b/>
          <w:bCs/>
        </w:rPr>
        <w:t>27</w:t>
      </w:r>
      <w:r w:rsidRPr="0037330A">
        <w:rPr>
          <w:rFonts w:ascii="Book Antiqua" w:hAnsi="Book Antiqua"/>
        </w:rPr>
        <w:t>: 275 [PMID: 29187944 DOI: 10.11604/pamj.2017.27.275.10270]</w:t>
      </w:r>
    </w:p>
    <w:p w14:paraId="35F2933C" w14:textId="0F3CF2CA"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32 </w:t>
      </w:r>
      <w:r w:rsidRPr="0037330A">
        <w:rPr>
          <w:rFonts w:ascii="Book Antiqua" w:hAnsi="Book Antiqua"/>
          <w:b/>
          <w:bCs/>
        </w:rPr>
        <w:t>Bereket F,</w:t>
      </w:r>
      <w:r w:rsidR="00B71676" w:rsidRPr="0037330A">
        <w:rPr>
          <w:rFonts w:ascii="Book Antiqua" w:hAnsi="Book Antiqua"/>
        </w:rPr>
        <w:t xml:space="preserve"> </w:t>
      </w:r>
      <w:r w:rsidRPr="0037330A">
        <w:rPr>
          <w:rFonts w:ascii="Book Antiqua" w:hAnsi="Book Antiqua"/>
        </w:rPr>
        <w:t>Etsegenet G. Prevalence of diabetic ketoacidosis in newly diagnosed diabetes mellitus pediatrics patients in Tikur Anbessa specialized hospital</w:t>
      </w:r>
      <w:r w:rsidR="00B71676" w:rsidRPr="0037330A">
        <w:rPr>
          <w:rFonts w:ascii="Book Antiqua" w:hAnsi="Book Antiqua"/>
        </w:rPr>
        <w:t>.</w:t>
      </w:r>
      <w:r w:rsidR="00B71676" w:rsidRPr="0037330A">
        <w:rPr>
          <w:rFonts w:ascii="Book Antiqua" w:eastAsiaTheme="minorEastAsia" w:hAnsi="Book Antiqua"/>
          <w:lang w:eastAsia="zh-CN"/>
        </w:rPr>
        <w:t xml:space="preserve"> </w:t>
      </w:r>
      <w:r w:rsidRPr="0037330A">
        <w:rPr>
          <w:rFonts w:ascii="Book Antiqua" w:hAnsi="Book Antiqua"/>
        </w:rPr>
        <w:t>Chil</w:t>
      </w:r>
      <w:r w:rsidR="00B71676" w:rsidRPr="0037330A">
        <w:rPr>
          <w:rFonts w:ascii="Book Antiqua" w:hAnsi="Book Antiqua"/>
        </w:rPr>
        <w:t>d Heal</w:t>
      </w:r>
      <w:r w:rsidR="00B71676" w:rsidRPr="0037330A">
        <w:rPr>
          <w:rFonts w:ascii="Book Antiqua" w:eastAsiaTheme="minorEastAsia" w:hAnsi="Book Antiqua"/>
          <w:lang w:eastAsia="zh-CN"/>
        </w:rPr>
        <w:t xml:space="preserve"> </w:t>
      </w:r>
      <w:r w:rsidR="00B71676" w:rsidRPr="0037330A">
        <w:rPr>
          <w:rFonts w:ascii="Book Antiqua" w:hAnsi="Book Antiqua"/>
        </w:rPr>
        <w:t>2008</w:t>
      </w:r>
      <w:r w:rsidR="00B71676" w:rsidRPr="0037330A">
        <w:rPr>
          <w:rFonts w:ascii="Book Antiqua" w:eastAsiaTheme="minorEastAsia" w:hAnsi="Book Antiqua"/>
          <w:lang w:eastAsia="zh-CN"/>
        </w:rPr>
        <w:t>.</w:t>
      </w:r>
      <w:r w:rsidR="00B71676" w:rsidRPr="0037330A">
        <w:rPr>
          <w:rFonts w:ascii="Book Antiqua" w:hAnsi="Book Antiqua"/>
        </w:rPr>
        <w:t xml:space="preserve"> </w:t>
      </w:r>
      <w:r w:rsidRPr="0037330A">
        <w:rPr>
          <w:rFonts w:ascii="Book Antiqua" w:hAnsi="Book Antiqua"/>
        </w:rPr>
        <w:t>Available from: http://ejol.aau.edu.et/index.php/EJPC/article/view/748/697</w:t>
      </w:r>
    </w:p>
    <w:p w14:paraId="36073EF0"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t xml:space="preserve">33 </w:t>
      </w:r>
      <w:r w:rsidRPr="0037330A">
        <w:rPr>
          <w:rFonts w:ascii="Book Antiqua" w:hAnsi="Book Antiqua"/>
          <w:b/>
          <w:bCs/>
        </w:rPr>
        <w:t>Wright LA</w:t>
      </w:r>
      <w:r w:rsidRPr="0037330A">
        <w:rPr>
          <w:rFonts w:ascii="Book Antiqua" w:hAnsi="Book Antiqua"/>
        </w:rPr>
        <w:t xml:space="preserve">, Hirsch IB. Metrics Beyond Hemoglobin A1C in Diabetes Management: Time in Range, Hypoglycemia, and Other Parameters. </w:t>
      </w:r>
      <w:r w:rsidRPr="0037330A">
        <w:rPr>
          <w:rFonts w:ascii="Book Antiqua" w:hAnsi="Book Antiqua"/>
          <w:i/>
          <w:iCs/>
        </w:rPr>
        <w:t>Diabetes Technol Ther</w:t>
      </w:r>
      <w:r w:rsidRPr="0037330A">
        <w:rPr>
          <w:rFonts w:ascii="Book Antiqua" w:hAnsi="Book Antiqua"/>
        </w:rPr>
        <w:t xml:space="preserve"> 2017; </w:t>
      </w:r>
      <w:r w:rsidRPr="0037330A">
        <w:rPr>
          <w:rFonts w:ascii="Book Antiqua" w:hAnsi="Book Antiqua"/>
          <w:b/>
          <w:bCs/>
        </w:rPr>
        <w:t>19</w:t>
      </w:r>
      <w:r w:rsidRPr="0037330A">
        <w:rPr>
          <w:rFonts w:ascii="Book Antiqua" w:hAnsi="Book Antiqua"/>
        </w:rPr>
        <w:t>: S16-S26 [PMID: 28541136 DOI: 10.1089/dia.2017.0029]</w:t>
      </w:r>
    </w:p>
    <w:p w14:paraId="4F06445E" w14:textId="77777777" w:rsidR="004A2526" w:rsidRPr="0037330A" w:rsidRDefault="004A2526" w:rsidP="00146B63">
      <w:pPr>
        <w:snapToGrid w:val="0"/>
        <w:spacing w:line="360" w:lineRule="auto"/>
        <w:jc w:val="both"/>
        <w:rPr>
          <w:rFonts w:ascii="Book Antiqua" w:hAnsi="Book Antiqua"/>
        </w:rPr>
      </w:pPr>
      <w:r w:rsidRPr="0037330A">
        <w:rPr>
          <w:rFonts w:ascii="Book Antiqua" w:hAnsi="Book Antiqua"/>
        </w:rPr>
        <w:lastRenderedPageBreak/>
        <w:t xml:space="preserve">34 </w:t>
      </w:r>
      <w:r w:rsidRPr="0037330A">
        <w:rPr>
          <w:rFonts w:ascii="Book Antiqua" w:hAnsi="Book Antiqua"/>
          <w:b/>
          <w:bCs/>
        </w:rPr>
        <w:t>Beck RW</w:t>
      </w:r>
      <w:r w:rsidRPr="0037330A">
        <w:rPr>
          <w:rFonts w:ascii="Book Antiqua" w:hAnsi="Book Antiqua"/>
        </w:rPr>
        <w:t>, Connor CG, Mullen DM, Wesley DM, Bergenstal RM. The Fallacy of Average: How Using HbA</w:t>
      </w:r>
      <w:r w:rsidRPr="0037330A">
        <w:rPr>
          <w:rFonts w:ascii="Book Antiqua" w:hAnsi="Book Antiqua"/>
          <w:vertAlign w:val="subscript"/>
        </w:rPr>
        <w:t>1c</w:t>
      </w:r>
      <w:r w:rsidRPr="0037330A">
        <w:rPr>
          <w:rFonts w:ascii="Book Antiqua" w:hAnsi="Book Antiqua"/>
        </w:rPr>
        <w:t xml:space="preserve"> Alone to Assess Glycemic Control Can Be Misleading. </w:t>
      </w:r>
      <w:r w:rsidRPr="0037330A">
        <w:rPr>
          <w:rFonts w:ascii="Book Antiqua" w:hAnsi="Book Antiqua"/>
          <w:i/>
          <w:iCs/>
        </w:rPr>
        <w:t>Diabetes Care</w:t>
      </w:r>
      <w:r w:rsidRPr="0037330A">
        <w:rPr>
          <w:rFonts w:ascii="Book Antiqua" w:hAnsi="Book Antiqua"/>
        </w:rPr>
        <w:t xml:space="preserve"> 2017; </w:t>
      </w:r>
      <w:r w:rsidRPr="0037330A">
        <w:rPr>
          <w:rFonts w:ascii="Book Antiqua" w:hAnsi="Book Antiqua"/>
          <w:b/>
          <w:bCs/>
        </w:rPr>
        <w:t>40</w:t>
      </w:r>
      <w:r w:rsidRPr="0037330A">
        <w:rPr>
          <w:rFonts w:ascii="Book Antiqua" w:hAnsi="Book Antiqua"/>
        </w:rPr>
        <w:t>: 994-999 [PMID: 28733374 DOI: 10.2337/dc17-0636]</w:t>
      </w:r>
    </w:p>
    <w:p w14:paraId="0539FAAE" w14:textId="09A3E8CC" w:rsidR="00B71676" w:rsidRPr="0037330A" w:rsidRDefault="00B71676" w:rsidP="00146B63">
      <w:pPr>
        <w:snapToGrid w:val="0"/>
        <w:spacing w:line="360" w:lineRule="auto"/>
        <w:jc w:val="both"/>
        <w:rPr>
          <w:rFonts w:ascii="Book Antiqua" w:hAnsi="Book Antiqua"/>
        </w:rPr>
      </w:pPr>
      <w:r w:rsidRPr="0037330A">
        <w:rPr>
          <w:rFonts w:ascii="Book Antiqua" w:hAnsi="Book Antiqua"/>
        </w:rPr>
        <w:t>35</w:t>
      </w:r>
      <w:r w:rsidRPr="0037330A">
        <w:rPr>
          <w:rFonts w:ascii="Book Antiqua" w:eastAsiaTheme="minorEastAsia" w:hAnsi="Book Antiqua"/>
          <w:lang w:eastAsia="zh-CN"/>
        </w:rPr>
        <w:t xml:space="preserve"> </w:t>
      </w:r>
      <w:r w:rsidRPr="0037330A">
        <w:rPr>
          <w:rFonts w:ascii="Book Antiqua" w:hAnsi="Book Antiqua"/>
        </w:rPr>
        <w:t>Introduction:</w:t>
      </w:r>
      <w:r w:rsidRPr="0037330A">
        <w:rPr>
          <w:rFonts w:ascii="Book Antiqua" w:eastAsiaTheme="minorEastAsia" w:hAnsi="Book Antiqua"/>
          <w:lang w:eastAsia="zh-CN"/>
        </w:rPr>
        <w:t xml:space="preserve"> </w:t>
      </w:r>
      <w:r w:rsidR="004A2526" w:rsidRPr="0037330A">
        <w:rPr>
          <w:rFonts w:ascii="Book Antiqua" w:hAnsi="Book Antiqua"/>
          <w:iCs/>
        </w:rPr>
        <w:t>Standards of Medical Care in Diabetes-2019</w:t>
      </w:r>
      <w:r w:rsidR="004A2526" w:rsidRPr="0037330A">
        <w:rPr>
          <w:rFonts w:ascii="Book Antiqua" w:hAnsi="Book Antiqua"/>
        </w:rPr>
        <w:t xml:space="preserve">. </w:t>
      </w:r>
      <w:r w:rsidR="004A2526" w:rsidRPr="0037330A">
        <w:rPr>
          <w:rFonts w:ascii="Book Antiqua" w:hAnsi="Book Antiqua"/>
          <w:i/>
          <w:iCs/>
        </w:rPr>
        <w:t>Diabetes Care</w:t>
      </w:r>
      <w:r w:rsidR="004A2526" w:rsidRPr="0037330A">
        <w:rPr>
          <w:rFonts w:ascii="Book Antiqua" w:hAnsi="Book Antiqua"/>
        </w:rPr>
        <w:t xml:space="preserve"> 2019; </w:t>
      </w:r>
      <w:r w:rsidR="004A2526" w:rsidRPr="0037330A">
        <w:rPr>
          <w:rFonts w:ascii="Book Antiqua" w:hAnsi="Book Antiqua"/>
          <w:b/>
          <w:bCs/>
        </w:rPr>
        <w:t>42</w:t>
      </w:r>
      <w:r w:rsidR="004A2526" w:rsidRPr="0037330A">
        <w:rPr>
          <w:rFonts w:ascii="Book Antiqua" w:hAnsi="Book Antiqua"/>
        </w:rPr>
        <w:t>: S1-S2 [PMID: 30559224 DOI: 10.2337/dc19-S</w:t>
      </w:r>
      <w:r w:rsidR="0000741C" w:rsidRPr="0037330A">
        <w:rPr>
          <w:rFonts w:ascii="Book Antiqua" w:hAnsi="Book Antiqua"/>
        </w:rPr>
        <w:t>int01]</w:t>
      </w:r>
      <w:r w:rsidRPr="0037330A">
        <w:rPr>
          <w:rFonts w:ascii="Book Antiqua" w:hAnsi="Book Antiqua"/>
        </w:rPr>
        <w:br w:type="page"/>
      </w:r>
    </w:p>
    <w:p w14:paraId="5ED7BE4C" w14:textId="77777777" w:rsidR="00B71676" w:rsidRPr="0037330A" w:rsidRDefault="00B71676" w:rsidP="00146B63">
      <w:pPr>
        <w:adjustRightInd w:val="0"/>
        <w:snapToGrid w:val="0"/>
        <w:spacing w:line="360" w:lineRule="auto"/>
        <w:jc w:val="both"/>
        <w:rPr>
          <w:rFonts w:ascii="Book Antiqua" w:hAnsi="Book Antiqua"/>
          <w:b/>
          <w:bCs/>
        </w:rPr>
      </w:pPr>
      <w:r w:rsidRPr="0037330A">
        <w:rPr>
          <w:rFonts w:ascii="Book Antiqua" w:hAnsi="Book Antiqua"/>
          <w:b/>
          <w:bCs/>
        </w:rPr>
        <w:lastRenderedPageBreak/>
        <w:t>Footnotes</w:t>
      </w:r>
    </w:p>
    <w:p w14:paraId="59CBD694" w14:textId="77777777" w:rsidR="00B71676" w:rsidRPr="0037330A" w:rsidRDefault="00B71676" w:rsidP="00146B63">
      <w:pPr>
        <w:tabs>
          <w:tab w:val="left" w:pos="2815"/>
        </w:tabs>
        <w:snapToGrid w:val="0"/>
        <w:spacing w:line="360" w:lineRule="auto"/>
        <w:jc w:val="both"/>
        <w:rPr>
          <w:rFonts w:ascii="Book Antiqua" w:hAnsi="Book Antiqua"/>
          <w:lang w:val="en-GB"/>
        </w:rPr>
      </w:pPr>
      <w:r w:rsidRPr="0037330A">
        <w:rPr>
          <w:rFonts w:ascii="Book Antiqua" w:hAnsi="Book Antiqua"/>
          <w:b/>
          <w:bCs/>
          <w:color w:val="000000"/>
        </w:rPr>
        <w:t xml:space="preserve">Institutional review board statement: </w:t>
      </w:r>
      <w:r w:rsidRPr="0037330A">
        <w:rPr>
          <w:rFonts w:ascii="Book Antiqua" w:hAnsi="Book Antiqua"/>
          <w:lang w:val="en-GB"/>
        </w:rPr>
        <w:t>This is not applicable for our manuscript.</w:t>
      </w:r>
    </w:p>
    <w:p w14:paraId="0F142864" w14:textId="58CA0919" w:rsidR="00B71676" w:rsidRPr="0037330A" w:rsidRDefault="00B71676" w:rsidP="00146B63">
      <w:pPr>
        <w:adjustRightInd w:val="0"/>
        <w:snapToGrid w:val="0"/>
        <w:spacing w:line="360" w:lineRule="auto"/>
        <w:jc w:val="both"/>
        <w:rPr>
          <w:rFonts w:ascii="Book Antiqua" w:hAnsi="Book Antiqua" w:cs="TimesNewRomanPS-BoldItalicMT"/>
          <w:color w:val="000000"/>
        </w:rPr>
      </w:pPr>
      <w:r w:rsidRPr="0037330A">
        <w:rPr>
          <w:rFonts w:ascii="Book Antiqua" w:hAnsi="Book Antiqua" w:cs="TimesNewRomanPS-BoldItalicMT"/>
          <w:color w:val="000000"/>
        </w:rPr>
        <w:t xml:space="preserve"> </w:t>
      </w:r>
    </w:p>
    <w:p w14:paraId="12D63D6B" w14:textId="2F9A858D" w:rsidR="00B71676" w:rsidRPr="0037330A" w:rsidRDefault="00B71676" w:rsidP="00146B63">
      <w:pPr>
        <w:adjustRightInd w:val="0"/>
        <w:snapToGrid w:val="0"/>
        <w:spacing w:line="360" w:lineRule="auto"/>
        <w:jc w:val="both"/>
        <w:rPr>
          <w:rFonts w:ascii="Book Antiqua" w:hAnsi="Book Antiqua"/>
          <w:b/>
          <w:color w:val="000000" w:themeColor="text1"/>
          <w:lang w:val="en-GB"/>
        </w:rPr>
      </w:pPr>
      <w:r w:rsidRPr="0037330A">
        <w:rPr>
          <w:rFonts w:ascii="Book Antiqua" w:hAnsi="Book Antiqua"/>
          <w:b/>
          <w:bCs/>
          <w:color w:val="000000"/>
        </w:rPr>
        <w:t>Informed consent statement:</w:t>
      </w:r>
      <w:r w:rsidRPr="0037330A">
        <w:rPr>
          <w:rFonts w:ascii="Book Antiqua" w:eastAsiaTheme="minorEastAsia" w:hAnsi="Book Antiqua"/>
          <w:b/>
          <w:bCs/>
          <w:color w:val="000000"/>
          <w:lang w:eastAsia="zh-CN"/>
        </w:rPr>
        <w:t xml:space="preserve"> </w:t>
      </w:r>
      <w:r w:rsidRPr="0037330A">
        <w:rPr>
          <w:rFonts w:ascii="Book Antiqua" w:hAnsi="Book Antiqua"/>
          <w:lang w:val="en-GB"/>
        </w:rPr>
        <w:t>This is not applicable for our manuscript.</w:t>
      </w:r>
    </w:p>
    <w:p w14:paraId="5299E8E5" w14:textId="2DC5DAAC" w:rsidR="00B71676" w:rsidRPr="0037330A" w:rsidRDefault="00B71676" w:rsidP="00146B63">
      <w:pPr>
        <w:adjustRightInd w:val="0"/>
        <w:snapToGrid w:val="0"/>
        <w:spacing w:line="360" w:lineRule="auto"/>
        <w:jc w:val="both"/>
        <w:rPr>
          <w:rFonts w:ascii="Book Antiqua" w:eastAsiaTheme="minorEastAsia" w:hAnsi="Book Antiqua"/>
          <w:color w:val="000000"/>
          <w:lang w:eastAsia="zh-CN"/>
        </w:rPr>
      </w:pPr>
    </w:p>
    <w:p w14:paraId="2F5133A8" w14:textId="77777777" w:rsidR="00B71676" w:rsidRPr="0037330A" w:rsidRDefault="00B71676" w:rsidP="00146B63">
      <w:pPr>
        <w:autoSpaceDE w:val="0"/>
        <w:autoSpaceDN w:val="0"/>
        <w:adjustRightInd w:val="0"/>
        <w:snapToGrid w:val="0"/>
        <w:spacing w:line="360" w:lineRule="auto"/>
        <w:jc w:val="both"/>
        <w:rPr>
          <w:rFonts w:ascii="Book Antiqua" w:hAnsi="Book Antiqua" w:cs="TimesNewRomanPS-BoldItalicMT"/>
          <w:color w:val="000000"/>
          <w:kern w:val="2"/>
        </w:rPr>
      </w:pPr>
      <w:r w:rsidRPr="0037330A">
        <w:rPr>
          <w:rFonts w:ascii="Book Antiqua" w:hAnsi="Book Antiqua"/>
          <w:b/>
          <w:bCs/>
          <w:color w:val="000000"/>
        </w:rPr>
        <w:t>Conflict-of-interest statement</w:t>
      </w:r>
      <w:r w:rsidRPr="0037330A">
        <w:rPr>
          <w:rFonts w:ascii="Book Antiqua" w:hAnsi="Book Antiqua" w:cs="TimesNewRomanPS-BoldItalicMT"/>
          <w:b/>
          <w:bCs/>
          <w:color w:val="000000"/>
        </w:rPr>
        <w:t xml:space="preserve">: </w:t>
      </w:r>
      <w:r w:rsidRPr="0037330A">
        <w:rPr>
          <w:rFonts w:ascii="Book Antiqua" w:hAnsi="Book Antiqua" w:cs="TimesNewRomanPS-BoldItalicMT"/>
          <w:color w:val="000000"/>
        </w:rPr>
        <w:t>There are no conflicts of interest to report.</w:t>
      </w:r>
    </w:p>
    <w:p w14:paraId="5937912A" w14:textId="77777777" w:rsidR="00B71676" w:rsidRPr="0037330A" w:rsidRDefault="00B71676" w:rsidP="00146B63">
      <w:pPr>
        <w:autoSpaceDE w:val="0"/>
        <w:autoSpaceDN w:val="0"/>
        <w:adjustRightInd w:val="0"/>
        <w:snapToGrid w:val="0"/>
        <w:spacing w:line="360" w:lineRule="auto"/>
        <w:jc w:val="both"/>
        <w:rPr>
          <w:rFonts w:ascii="Book Antiqua" w:hAnsi="Book Antiqua" w:cs="TimesNewRomanPS-BoldItalicMT"/>
          <w:b/>
          <w:bCs/>
          <w:color w:val="000000"/>
        </w:rPr>
      </w:pPr>
      <w:r w:rsidRPr="0037330A">
        <w:rPr>
          <w:rFonts w:ascii="Book Antiqua" w:hAnsi="Book Antiqua" w:cs="TimesNewRomanPS-BoldItalicMT"/>
          <w:b/>
          <w:bCs/>
          <w:color w:val="000000"/>
        </w:rPr>
        <w:t xml:space="preserve"> </w:t>
      </w:r>
    </w:p>
    <w:p w14:paraId="43C8EFFE" w14:textId="77777777" w:rsidR="00B71676" w:rsidRPr="0037330A" w:rsidRDefault="00B71676" w:rsidP="00146B63">
      <w:pPr>
        <w:autoSpaceDE w:val="0"/>
        <w:autoSpaceDN w:val="0"/>
        <w:adjustRightInd w:val="0"/>
        <w:snapToGrid w:val="0"/>
        <w:spacing w:line="360" w:lineRule="auto"/>
        <w:jc w:val="both"/>
        <w:rPr>
          <w:rFonts w:ascii="Book Antiqua" w:hAnsi="Book Antiqua" w:cs="宋体"/>
          <w:color w:val="000000"/>
        </w:rPr>
      </w:pPr>
      <w:r w:rsidRPr="0037330A">
        <w:rPr>
          <w:rFonts w:ascii="Book Antiqua" w:hAnsi="Book Antiqua"/>
          <w:b/>
          <w:bCs/>
          <w:color w:val="000000"/>
        </w:rPr>
        <w:t>Data sharing statement</w:t>
      </w:r>
      <w:r w:rsidRPr="0037330A">
        <w:rPr>
          <w:rFonts w:ascii="Book Antiqua" w:hAnsi="Book Antiqua" w:cs="TimesNewRomanPS-BoldItalicMT"/>
          <w:b/>
          <w:bCs/>
          <w:color w:val="000000"/>
        </w:rPr>
        <w:t>:</w:t>
      </w:r>
      <w:r w:rsidRPr="0037330A">
        <w:rPr>
          <w:rFonts w:ascii="Book Antiqua" w:hAnsi="Book Antiqua"/>
          <w:color w:val="000000"/>
        </w:rPr>
        <w:t xml:space="preserve"> No additional data are available.</w:t>
      </w:r>
    </w:p>
    <w:p w14:paraId="0EABC728" w14:textId="77777777" w:rsidR="00B71676" w:rsidRPr="0037330A" w:rsidRDefault="00B71676" w:rsidP="00146B63">
      <w:pPr>
        <w:adjustRightInd w:val="0"/>
        <w:snapToGrid w:val="0"/>
        <w:spacing w:line="360" w:lineRule="auto"/>
        <w:jc w:val="both"/>
        <w:rPr>
          <w:rFonts w:ascii="Book Antiqua" w:hAnsi="Book Antiqua"/>
          <w:color w:val="000000"/>
        </w:rPr>
      </w:pPr>
      <w:r w:rsidRPr="0037330A">
        <w:rPr>
          <w:rFonts w:ascii="Book Antiqua" w:hAnsi="Book Antiqua"/>
          <w:color w:val="000000"/>
        </w:rPr>
        <w:t xml:space="preserve"> </w:t>
      </w:r>
    </w:p>
    <w:p w14:paraId="6F0401E0" w14:textId="0826C0F9" w:rsidR="00B71676" w:rsidRPr="0037330A" w:rsidRDefault="00B71676" w:rsidP="00146B63">
      <w:pPr>
        <w:adjustRightInd w:val="0"/>
        <w:snapToGrid w:val="0"/>
        <w:spacing w:line="360" w:lineRule="auto"/>
        <w:jc w:val="both"/>
        <w:rPr>
          <w:rFonts w:ascii="Book Antiqua" w:eastAsiaTheme="minorEastAsia" w:hAnsi="Book Antiqua"/>
          <w:bCs/>
          <w:color w:val="000000"/>
          <w:lang w:eastAsia="zh-CN"/>
        </w:rPr>
      </w:pPr>
      <w:r w:rsidRPr="0037330A">
        <w:rPr>
          <w:rFonts w:ascii="Book Antiqua" w:hAnsi="Book Antiqua"/>
          <w:b/>
          <w:bCs/>
          <w:color w:val="000000"/>
        </w:rPr>
        <w:t>STROBE statement:</w:t>
      </w:r>
      <w:r w:rsidRPr="0037330A">
        <w:rPr>
          <w:rFonts w:ascii="Book Antiqua" w:eastAsiaTheme="minorEastAsia" w:hAnsi="Book Antiqua"/>
          <w:b/>
          <w:bCs/>
          <w:color w:val="000000"/>
          <w:lang w:eastAsia="zh-CN"/>
        </w:rPr>
        <w:t xml:space="preserve"> </w:t>
      </w:r>
      <w:r w:rsidRPr="0037330A">
        <w:rPr>
          <w:rFonts w:ascii="Book Antiqua" w:eastAsiaTheme="minorEastAsia" w:hAnsi="Book Antiqua"/>
          <w:bCs/>
          <w:color w:val="000000"/>
          <w:lang w:eastAsia="zh-CN"/>
        </w:rPr>
        <w:t>The authors have read the STROBE Statement-checklist of items, and the manuscript was prepared and revised according to the STROBE Statement-checklist of items.</w:t>
      </w:r>
    </w:p>
    <w:p w14:paraId="07C8DEFF" w14:textId="77777777" w:rsidR="00B71676" w:rsidRPr="0037330A" w:rsidRDefault="00B71676" w:rsidP="00146B63">
      <w:pPr>
        <w:adjustRightInd w:val="0"/>
        <w:snapToGrid w:val="0"/>
        <w:spacing w:line="360" w:lineRule="auto"/>
        <w:jc w:val="both"/>
        <w:rPr>
          <w:rFonts w:ascii="Book Antiqua" w:hAnsi="Book Antiqua"/>
          <w:b/>
          <w:bCs/>
          <w:color w:val="000000"/>
        </w:rPr>
      </w:pPr>
      <w:r w:rsidRPr="0037330A">
        <w:rPr>
          <w:rFonts w:ascii="Book Antiqua" w:hAnsi="Book Antiqua"/>
          <w:b/>
          <w:bCs/>
          <w:color w:val="000000"/>
        </w:rPr>
        <w:t xml:space="preserve"> </w:t>
      </w:r>
    </w:p>
    <w:p w14:paraId="401F906A" w14:textId="77777777" w:rsidR="00B71676" w:rsidRPr="0037330A" w:rsidRDefault="00B71676" w:rsidP="00146B63">
      <w:pPr>
        <w:adjustRightInd w:val="0"/>
        <w:snapToGrid w:val="0"/>
        <w:spacing w:line="360" w:lineRule="auto"/>
        <w:jc w:val="both"/>
        <w:rPr>
          <w:rFonts w:ascii="Book Antiqua" w:hAnsi="Book Antiqua"/>
          <w:color w:val="000000"/>
        </w:rPr>
      </w:pPr>
      <w:r w:rsidRPr="0037330A">
        <w:rPr>
          <w:rFonts w:ascii="Book Antiqua" w:hAnsi="Book Antiqua"/>
          <w:b/>
          <w:bCs/>
          <w:color w:val="000000"/>
        </w:rPr>
        <w:t>Open-Access:</w:t>
      </w:r>
      <w:r w:rsidRPr="0037330A">
        <w:rPr>
          <w:rFonts w:ascii="Book Antiqua" w:hAnsi="Book Antiqua"/>
          <w:color w:val="000000"/>
        </w:rPr>
        <w:t xml:space="preserve"> This article is an open-access </w:t>
      </w:r>
      <w:r w:rsidRPr="0037330A">
        <w:rPr>
          <w:rFonts w:ascii="Book Antiqua" w:hAnsi="Book Antiqua"/>
        </w:rPr>
        <w:t xml:space="preserve">article that was selected </w:t>
      </w:r>
      <w:r w:rsidRPr="0037330A">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F3F9B1" w14:textId="77777777" w:rsidR="00B71676" w:rsidRPr="0037330A" w:rsidRDefault="00B71676" w:rsidP="00146B63">
      <w:pPr>
        <w:adjustRightInd w:val="0"/>
        <w:snapToGrid w:val="0"/>
        <w:spacing w:line="360" w:lineRule="auto"/>
        <w:jc w:val="both"/>
        <w:rPr>
          <w:rFonts w:ascii="Book Antiqua" w:hAnsi="Book Antiqua"/>
          <w:color w:val="000000"/>
        </w:rPr>
      </w:pPr>
      <w:r w:rsidRPr="0037330A">
        <w:rPr>
          <w:rFonts w:ascii="Book Antiqua" w:hAnsi="Book Antiqua"/>
          <w:color w:val="000000"/>
        </w:rPr>
        <w:t xml:space="preserve"> </w:t>
      </w:r>
    </w:p>
    <w:p w14:paraId="5AB8B78D" w14:textId="69A5D02E" w:rsidR="00B71676" w:rsidRPr="0037330A" w:rsidRDefault="00B71676" w:rsidP="00146B63">
      <w:pPr>
        <w:adjustRightInd w:val="0"/>
        <w:snapToGrid w:val="0"/>
        <w:spacing w:line="360" w:lineRule="auto"/>
        <w:jc w:val="both"/>
        <w:rPr>
          <w:rFonts w:ascii="Book Antiqua" w:eastAsiaTheme="minorEastAsia" w:hAnsi="Book Antiqua"/>
          <w:color w:val="000000"/>
          <w:lang w:eastAsia="zh-CN"/>
        </w:rPr>
      </w:pPr>
      <w:r w:rsidRPr="0037330A">
        <w:rPr>
          <w:rFonts w:ascii="Book Antiqua" w:hAnsi="Book Antiqua"/>
          <w:b/>
          <w:bCs/>
          <w:color w:val="000000"/>
        </w:rPr>
        <w:t xml:space="preserve">Manuscript source: </w:t>
      </w:r>
      <w:r w:rsidRPr="0037330A">
        <w:rPr>
          <w:rFonts w:ascii="Book Antiqua" w:hAnsi="Book Antiqua"/>
          <w:color w:val="000000"/>
        </w:rPr>
        <w:t>Invited manuscript</w:t>
      </w:r>
    </w:p>
    <w:p w14:paraId="20AB7182" w14:textId="77777777" w:rsidR="00B71676" w:rsidRPr="0037330A" w:rsidRDefault="00B71676" w:rsidP="00146B63">
      <w:pPr>
        <w:adjustRightInd w:val="0"/>
        <w:snapToGrid w:val="0"/>
        <w:spacing w:line="360" w:lineRule="auto"/>
        <w:jc w:val="both"/>
        <w:rPr>
          <w:rFonts w:ascii="Book Antiqua" w:eastAsiaTheme="minorEastAsia" w:hAnsi="Book Antiqua"/>
          <w:b/>
          <w:bCs/>
          <w:color w:val="000000"/>
          <w:lang w:eastAsia="zh-CN"/>
        </w:rPr>
      </w:pPr>
    </w:p>
    <w:p w14:paraId="7B668B90" w14:textId="1D698CE3" w:rsidR="00B71676" w:rsidRPr="0037330A" w:rsidRDefault="00B71676" w:rsidP="00146B63">
      <w:pPr>
        <w:adjustRightInd w:val="0"/>
        <w:snapToGrid w:val="0"/>
        <w:spacing w:line="360" w:lineRule="auto"/>
        <w:jc w:val="both"/>
        <w:rPr>
          <w:rFonts w:ascii="Book Antiqua" w:eastAsiaTheme="minorEastAsia" w:hAnsi="Book Antiqua"/>
          <w:b/>
          <w:bCs/>
          <w:lang w:eastAsia="zh-CN"/>
        </w:rPr>
      </w:pPr>
      <w:r w:rsidRPr="0037330A">
        <w:rPr>
          <w:rFonts w:ascii="Book Antiqua" w:hAnsi="Book Antiqua"/>
          <w:b/>
          <w:bCs/>
        </w:rPr>
        <w:t xml:space="preserve">Peer-review started: </w:t>
      </w:r>
      <w:r w:rsidRPr="0037330A">
        <w:rPr>
          <w:rFonts w:ascii="Book Antiqua" w:eastAsiaTheme="minorEastAsia" w:hAnsi="Book Antiqua"/>
          <w:lang w:eastAsia="zh-CN"/>
        </w:rPr>
        <w:t>February</w:t>
      </w:r>
      <w:r w:rsidRPr="0037330A">
        <w:rPr>
          <w:rFonts w:ascii="Book Antiqua" w:hAnsi="Book Antiqua"/>
        </w:rPr>
        <w:t xml:space="preserve"> </w:t>
      </w:r>
      <w:r w:rsidRPr="0037330A">
        <w:rPr>
          <w:rFonts w:ascii="Book Antiqua" w:eastAsiaTheme="minorEastAsia" w:hAnsi="Book Antiqua"/>
          <w:lang w:eastAsia="zh-CN"/>
        </w:rPr>
        <w:t>3</w:t>
      </w:r>
      <w:r w:rsidRPr="0037330A">
        <w:rPr>
          <w:rFonts w:ascii="Book Antiqua" w:hAnsi="Book Antiqua"/>
        </w:rPr>
        <w:t>, 20</w:t>
      </w:r>
      <w:r w:rsidRPr="0037330A">
        <w:rPr>
          <w:rFonts w:ascii="Book Antiqua" w:eastAsiaTheme="minorEastAsia" w:hAnsi="Book Antiqua"/>
          <w:lang w:eastAsia="zh-CN"/>
        </w:rPr>
        <w:t>20</w:t>
      </w:r>
    </w:p>
    <w:p w14:paraId="2805105F" w14:textId="131C72E1" w:rsidR="00B71676" w:rsidRPr="0037330A" w:rsidRDefault="00B71676" w:rsidP="00146B63">
      <w:pPr>
        <w:adjustRightInd w:val="0"/>
        <w:snapToGrid w:val="0"/>
        <w:spacing w:line="360" w:lineRule="auto"/>
        <w:jc w:val="both"/>
        <w:rPr>
          <w:rFonts w:ascii="Book Antiqua" w:eastAsiaTheme="minorEastAsia" w:hAnsi="Book Antiqua"/>
          <w:b/>
          <w:bCs/>
          <w:lang w:eastAsia="zh-CN"/>
        </w:rPr>
      </w:pPr>
      <w:r w:rsidRPr="0037330A">
        <w:rPr>
          <w:rFonts w:ascii="Book Antiqua" w:hAnsi="Book Antiqua"/>
          <w:b/>
          <w:bCs/>
        </w:rPr>
        <w:t xml:space="preserve">First decision: </w:t>
      </w:r>
      <w:r w:rsidRPr="0037330A">
        <w:rPr>
          <w:rFonts w:ascii="Book Antiqua" w:eastAsiaTheme="minorEastAsia" w:hAnsi="Book Antiqua"/>
          <w:lang w:eastAsia="zh-CN"/>
        </w:rPr>
        <w:t>March</w:t>
      </w:r>
      <w:r w:rsidRPr="0037330A">
        <w:rPr>
          <w:rFonts w:ascii="Book Antiqua" w:hAnsi="Book Antiqua"/>
        </w:rPr>
        <w:t xml:space="preserve"> </w:t>
      </w:r>
      <w:r w:rsidRPr="0037330A">
        <w:rPr>
          <w:rFonts w:ascii="Book Antiqua" w:eastAsiaTheme="minorEastAsia" w:hAnsi="Book Antiqua"/>
          <w:lang w:eastAsia="zh-CN"/>
        </w:rPr>
        <w:t>5</w:t>
      </w:r>
      <w:r w:rsidRPr="0037330A">
        <w:rPr>
          <w:rFonts w:ascii="Book Antiqua" w:hAnsi="Book Antiqua"/>
        </w:rPr>
        <w:t>, 20</w:t>
      </w:r>
      <w:r w:rsidRPr="0037330A">
        <w:rPr>
          <w:rFonts w:ascii="Book Antiqua" w:eastAsiaTheme="minorEastAsia" w:hAnsi="Book Antiqua"/>
          <w:lang w:eastAsia="zh-CN"/>
        </w:rPr>
        <w:t>20</w:t>
      </w:r>
    </w:p>
    <w:p w14:paraId="6551C621" w14:textId="03DF7828" w:rsidR="00B71676" w:rsidRPr="0037330A" w:rsidRDefault="00B71676" w:rsidP="00146B63">
      <w:pPr>
        <w:adjustRightInd w:val="0"/>
        <w:snapToGrid w:val="0"/>
        <w:spacing w:line="360" w:lineRule="auto"/>
        <w:jc w:val="both"/>
        <w:rPr>
          <w:rFonts w:ascii="Book Antiqua" w:hAnsi="Book Antiqua"/>
          <w:b/>
          <w:bCs/>
        </w:rPr>
      </w:pPr>
      <w:r w:rsidRPr="0037330A">
        <w:rPr>
          <w:rFonts w:ascii="Book Antiqua" w:hAnsi="Book Antiqua"/>
          <w:b/>
          <w:bCs/>
        </w:rPr>
        <w:t>Article in press:</w:t>
      </w:r>
      <w:r w:rsidR="0037330A" w:rsidRPr="0037330A">
        <w:rPr>
          <w:rFonts w:ascii="Book Antiqua" w:eastAsiaTheme="minorEastAsia" w:hAnsi="Book Antiqua"/>
          <w:color w:val="000000"/>
          <w:lang w:eastAsia="zh-CN"/>
        </w:rPr>
        <w:t xml:space="preserve"> </w:t>
      </w:r>
      <w:r w:rsidR="0037330A" w:rsidRPr="0037330A">
        <w:rPr>
          <w:rFonts w:ascii="Book Antiqua" w:eastAsiaTheme="minorEastAsia" w:hAnsi="Book Antiqua"/>
          <w:color w:val="000000"/>
          <w:lang w:eastAsia="zh-CN"/>
        </w:rPr>
        <w:t>June</w:t>
      </w:r>
      <w:r w:rsidR="0037330A" w:rsidRPr="0037330A">
        <w:rPr>
          <w:rFonts w:ascii="Book Antiqua" w:hAnsi="Book Antiqua"/>
          <w:color w:val="000000"/>
        </w:rPr>
        <w:t xml:space="preserve"> </w:t>
      </w:r>
      <w:r w:rsidR="0037330A" w:rsidRPr="0037330A">
        <w:rPr>
          <w:rFonts w:ascii="Book Antiqua" w:eastAsiaTheme="minorEastAsia" w:hAnsi="Book Antiqua"/>
          <w:color w:val="000000"/>
          <w:lang w:eastAsia="zh-CN"/>
        </w:rPr>
        <w:t>3</w:t>
      </w:r>
      <w:r w:rsidR="0037330A" w:rsidRPr="0037330A">
        <w:rPr>
          <w:rFonts w:ascii="Book Antiqua" w:hAnsi="Book Antiqua"/>
          <w:color w:val="000000"/>
        </w:rPr>
        <w:t>, 20</w:t>
      </w:r>
      <w:r w:rsidR="0037330A" w:rsidRPr="0037330A">
        <w:rPr>
          <w:rFonts w:ascii="Book Antiqua" w:eastAsiaTheme="minorEastAsia" w:hAnsi="Book Antiqua"/>
          <w:color w:val="000000"/>
          <w:lang w:eastAsia="zh-CN"/>
        </w:rPr>
        <w:t>20</w:t>
      </w:r>
    </w:p>
    <w:p w14:paraId="0D2AD3FB" w14:textId="77777777" w:rsidR="00B71676" w:rsidRPr="0037330A" w:rsidRDefault="00B71676" w:rsidP="00146B63">
      <w:pPr>
        <w:adjustRightInd w:val="0"/>
        <w:snapToGrid w:val="0"/>
        <w:spacing w:line="360" w:lineRule="auto"/>
        <w:jc w:val="both"/>
        <w:rPr>
          <w:rFonts w:ascii="Book Antiqua" w:hAnsi="Book Antiqua"/>
          <w:b/>
          <w:bCs/>
        </w:rPr>
      </w:pPr>
      <w:r w:rsidRPr="0037330A">
        <w:rPr>
          <w:rFonts w:ascii="Book Antiqua" w:hAnsi="Book Antiqua"/>
          <w:b/>
          <w:bCs/>
        </w:rPr>
        <w:t xml:space="preserve"> </w:t>
      </w:r>
    </w:p>
    <w:p w14:paraId="3F12FE8E" w14:textId="7F231036" w:rsidR="00B71676" w:rsidRPr="0037330A" w:rsidRDefault="00B71676" w:rsidP="00146B63">
      <w:pPr>
        <w:adjustRightInd w:val="0"/>
        <w:snapToGrid w:val="0"/>
        <w:spacing w:line="360" w:lineRule="auto"/>
        <w:jc w:val="both"/>
        <w:rPr>
          <w:rFonts w:ascii="Book Antiqua" w:eastAsia="微软雅黑" w:hAnsi="Book Antiqua"/>
        </w:rPr>
      </w:pPr>
      <w:r w:rsidRPr="0037330A">
        <w:rPr>
          <w:rFonts w:ascii="Book Antiqua" w:hAnsi="Book Antiqua"/>
          <w:b/>
          <w:bCs/>
        </w:rPr>
        <w:t xml:space="preserve">Specialty type: </w:t>
      </w:r>
      <w:r w:rsidRPr="0037330A">
        <w:rPr>
          <w:rFonts w:ascii="Book Antiqua" w:eastAsia="微软雅黑" w:hAnsi="Book Antiqua"/>
        </w:rPr>
        <w:t>Endocrinology and metabolism</w:t>
      </w:r>
    </w:p>
    <w:p w14:paraId="56BC542B" w14:textId="65DC4A08" w:rsidR="00B71676" w:rsidRPr="0037330A" w:rsidRDefault="00B71676" w:rsidP="00146B63">
      <w:pPr>
        <w:adjustRightInd w:val="0"/>
        <w:snapToGrid w:val="0"/>
        <w:spacing w:line="360" w:lineRule="auto"/>
        <w:jc w:val="both"/>
        <w:rPr>
          <w:rFonts w:ascii="Book Antiqua" w:eastAsia="宋体" w:hAnsi="Book Antiqua"/>
        </w:rPr>
      </w:pPr>
      <w:r w:rsidRPr="0037330A">
        <w:rPr>
          <w:rFonts w:ascii="Book Antiqua" w:hAnsi="Book Antiqua"/>
          <w:b/>
          <w:bCs/>
        </w:rPr>
        <w:t xml:space="preserve">Country of origin: </w:t>
      </w:r>
      <w:r w:rsidRPr="0037330A">
        <w:rPr>
          <w:rFonts w:ascii="Book Antiqua" w:hAnsi="Book Antiqua"/>
        </w:rPr>
        <w:t>Australia</w:t>
      </w:r>
    </w:p>
    <w:p w14:paraId="11F5D382" w14:textId="77777777" w:rsidR="00B71676" w:rsidRPr="0037330A" w:rsidRDefault="00B71676" w:rsidP="00146B63">
      <w:pPr>
        <w:adjustRightInd w:val="0"/>
        <w:snapToGrid w:val="0"/>
        <w:spacing w:line="360" w:lineRule="auto"/>
        <w:jc w:val="both"/>
        <w:rPr>
          <w:rFonts w:ascii="Book Antiqua" w:hAnsi="Book Antiqua"/>
          <w:b/>
          <w:bCs/>
        </w:rPr>
      </w:pPr>
      <w:r w:rsidRPr="0037330A">
        <w:rPr>
          <w:rFonts w:ascii="Book Antiqua" w:hAnsi="Book Antiqua"/>
          <w:b/>
          <w:bCs/>
        </w:rPr>
        <w:t>Peer-review report classification</w:t>
      </w:r>
    </w:p>
    <w:p w14:paraId="1EBFEC8F" w14:textId="77777777" w:rsidR="00B71676" w:rsidRPr="0037330A" w:rsidRDefault="00B71676" w:rsidP="00146B63">
      <w:pPr>
        <w:adjustRightInd w:val="0"/>
        <w:snapToGrid w:val="0"/>
        <w:spacing w:line="360" w:lineRule="auto"/>
        <w:jc w:val="both"/>
        <w:rPr>
          <w:rFonts w:ascii="Book Antiqua" w:hAnsi="Book Antiqua"/>
        </w:rPr>
      </w:pPr>
      <w:r w:rsidRPr="0037330A">
        <w:rPr>
          <w:rFonts w:ascii="Book Antiqua" w:hAnsi="Book Antiqua"/>
        </w:rPr>
        <w:lastRenderedPageBreak/>
        <w:t>Grade A (Excellent): 0</w:t>
      </w:r>
    </w:p>
    <w:p w14:paraId="43E2E49E" w14:textId="575F5FBC" w:rsidR="00B71676" w:rsidRPr="0037330A" w:rsidRDefault="00B71676" w:rsidP="00146B63">
      <w:pPr>
        <w:adjustRightInd w:val="0"/>
        <w:snapToGrid w:val="0"/>
        <w:spacing w:line="360" w:lineRule="auto"/>
        <w:jc w:val="both"/>
        <w:rPr>
          <w:rFonts w:ascii="Book Antiqua" w:eastAsiaTheme="minorEastAsia" w:hAnsi="Book Antiqua"/>
          <w:lang w:eastAsia="zh-CN"/>
        </w:rPr>
      </w:pPr>
      <w:r w:rsidRPr="0037330A">
        <w:rPr>
          <w:rFonts w:ascii="Book Antiqua" w:hAnsi="Book Antiqua"/>
        </w:rPr>
        <w:t xml:space="preserve">Grade B (Very good): </w:t>
      </w:r>
      <w:r w:rsidRPr="0037330A">
        <w:rPr>
          <w:rFonts w:ascii="Book Antiqua" w:eastAsiaTheme="minorEastAsia" w:hAnsi="Book Antiqua"/>
          <w:lang w:eastAsia="zh-CN"/>
        </w:rPr>
        <w:t>B, B, B</w:t>
      </w:r>
    </w:p>
    <w:p w14:paraId="726963DA" w14:textId="3FB6F6C3" w:rsidR="00B71676" w:rsidRPr="0037330A" w:rsidRDefault="00B71676" w:rsidP="00146B63">
      <w:pPr>
        <w:adjustRightInd w:val="0"/>
        <w:snapToGrid w:val="0"/>
        <w:spacing w:line="360" w:lineRule="auto"/>
        <w:jc w:val="both"/>
        <w:rPr>
          <w:rFonts w:ascii="Book Antiqua" w:eastAsiaTheme="minorEastAsia" w:hAnsi="Book Antiqua"/>
          <w:lang w:eastAsia="zh-CN"/>
        </w:rPr>
      </w:pPr>
      <w:r w:rsidRPr="0037330A">
        <w:rPr>
          <w:rFonts w:ascii="Book Antiqua" w:hAnsi="Book Antiqua"/>
        </w:rPr>
        <w:t xml:space="preserve">Grade C (Good): </w:t>
      </w:r>
      <w:r w:rsidRPr="0037330A">
        <w:rPr>
          <w:rFonts w:ascii="Book Antiqua" w:eastAsiaTheme="minorEastAsia" w:hAnsi="Book Antiqua"/>
          <w:lang w:eastAsia="zh-CN"/>
        </w:rPr>
        <w:t>0</w:t>
      </w:r>
    </w:p>
    <w:p w14:paraId="502895F5" w14:textId="77777777" w:rsidR="00B71676" w:rsidRPr="0037330A" w:rsidRDefault="00B71676" w:rsidP="00146B63">
      <w:pPr>
        <w:adjustRightInd w:val="0"/>
        <w:snapToGrid w:val="0"/>
        <w:spacing w:line="360" w:lineRule="auto"/>
        <w:jc w:val="both"/>
        <w:rPr>
          <w:rFonts w:ascii="Book Antiqua" w:hAnsi="Book Antiqua"/>
        </w:rPr>
      </w:pPr>
      <w:r w:rsidRPr="0037330A">
        <w:rPr>
          <w:rFonts w:ascii="Book Antiqua" w:hAnsi="Book Antiqua"/>
        </w:rPr>
        <w:t>Grade D (Fair): 0</w:t>
      </w:r>
    </w:p>
    <w:p w14:paraId="400DCA45" w14:textId="77777777" w:rsidR="00B71676" w:rsidRPr="0037330A" w:rsidRDefault="00B71676" w:rsidP="00146B63">
      <w:pPr>
        <w:adjustRightInd w:val="0"/>
        <w:snapToGrid w:val="0"/>
        <w:spacing w:line="360" w:lineRule="auto"/>
        <w:jc w:val="both"/>
        <w:rPr>
          <w:rFonts w:ascii="Book Antiqua" w:eastAsia="等线" w:hAnsi="Book Antiqua"/>
        </w:rPr>
      </w:pPr>
      <w:r w:rsidRPr="0037330A">
        <w:rPr>
          <w:rFonts w:ascii="Book Antiqua" w:hAnsi="Book Antiqua"/>
        </w:rPr>
        <w:t>Grade E (Poor): 0</w:t>
      </w:r>
    </w:p>
    <w:p w14:paraId="6C1592FA" w14:textId="77777777" w:rsidR="00B71676" w:rsidRPr="0037330A" w:rsidRDefault="00B71676" w:rsidP="00146B63">
      <w:pPr>
        <w:adjustRightInd w:val="0"/>
        <w:snapToGrid w:val="0"/>
        <w:spacing w:line="360" w:lineRule="auto"/>
        <w:jc w:val="both"/>
        <w:rPr>
          <w:rFonts w:ascii="Book Antiqua" w:eastAsia="宋体" w:hAnsi="Book Antiqua"/>
          <w:b/>
          <w:bCs/>
          <w:color w:val="000000"/>
        </w:rPr>
      </w:pPr>
      <w:r w:rsidRPr="0037330A">
        <w:rPr>
          <w:rFonts w:ascii="Book Antiqua" w:hAnsi="Book Antiqua"/>
          <w:b/>
          <w:bCs/>
          <w:color w:val="000000"/>
        </w:rPr>
        <w:t xml:space="preserve"> </w:t>
      </w:r>
    </w:p>
    <w:p w14:paraId="52C4BE78" w14:textId="75EA4277" w:rsidR="008A0B8E" w:rsidRPr="0037330A" w:rsidRDefault="00B71676" w:rsidP="00146B63">
      <w:pPr>
        <w:adjustRightInd w:val="0"/>
        <w:snapToGrid w:val="0"/>
        <w:spacing w:line="360" w:lineRule="auto"/>
        <w:jc w:val="both"/>
        <w:rPr>
          <w:rFonts w:ascii="Book Antiqua" w:eastAsiaTheme="minorEastAsia" w:hAnsi="Book Antiqua" w:hint="eastAsia"/>
          <w:b/>
          <w:bCs/>
          <w:color w:val="000000"/>
          <w:lang w:eastAsia="zh-CN"/>
        </w:rPr>
      </w:pPr>
      <w:r w:rsidRPr="0037330A">
        <w:rPr>
          <w:rFonts w:ascii="Book Antiqua" w:hAnsi="Book Antiqua"/>
          <w:b/>
          <w:bCs/>
          <w:color w:val="000000"/>
        </w:rPr>
        <w:t xml:space="preserve">P-Reviewer: </w:t>
      </w:r>
      <w:r w:rsidR="008A0B8E" w:rsidRPr="0037330A">
        <w:rPr>
          <w:rFonts w:ascii="Book Antiqua" w:hAnsi="Book Antiqua"/>
          <w:color w:val="000000"/>
        </w:rPr>
        <w:t>Gabriel</w:t>
      </w:r>
      <w:r w:rsidR="008A0B8E" w:rsidRPr="0037330A">
        <w:rPr>
          <w:rFonts w:ascii="Book Antiqua" w:eastAsiaTheme="minorEastAsia" w:hAnsi="Book Antiqua"/>
          <w:color w:val="000000"/>
          <w:lang w:eastAsia="zh-CN"/>
        </w:rPr>
        <w:t xml:space="preserve"> S, </w:t>
      </w:r>
      <w:r w:rsidR="008A0B8E" w:rsidRPr="0037330A">
        <w:rPr>
          <w:rFonts w:ascii="Book Antiqua" w:hAnsi="Book Antiqua"/>
          <w:bCs/>
          <w:color w:val="000000"/>
        </w:rPr>
        <w:t>Tzamaloukas</w:t>
      </w:r>
      <w:r w:rsidR="008A0B8E" w:rsidRPr="0037330A">
        <w:rPr>
          <w:rFonts w:ascii="Book Antiqua" w:eastAsiaTheme="minorEastAsia" w:hAnsi="Book Antiqua"/>
          <w:bCs/>
          <w:color w:val="000000"/>
          <w:lang w:eastAsia="zh-CN"/>
        </w:rPr>
        <w:t xml:space="preserve"> AHH,</w:t>
      </w:r>
      <w:r w:rsidR="008A0B8E" w:rsidRPr="0037330A">
        <w:rPr>
          <w:rFonts w:ascii="Book Antiqua" w:eastAsiaTheme="minorEastAsia" w:hAnsi="Book Antiqua"/>
          <w:lang w:eastAsia="zh-CN"/>
        </w:rPr>
        <w:t xml:space="preserve"> </w:t>
      </w:r>
      <w:r w:rsidR="008A0B8E" w:rsidRPr="0037330A">
        <w:rPr>
          <w:rFonts w:ascii="Book Antiqua" w:eastAsiaTheme="minorEastAsia" w:hAnsi="Book Antiqua"/>
          <w:bCs/>
          <w:color w:val="000000"/>
          <w:lang w:eastAsia="zh-CN"/>
        </w:rPr>
        <w:t xml:space="preserve">Vorobjova T </w:t>
      </w:r>
      <w:r w:rsidRPr="0037330A">
        <w:rPr>
          <w:rFonts w:ascii="Book Antiqua" w:hAnsi="Book Antiqua"/>
          <w:b/>
          <w:bCs/>
          <w:color w:val="000000"/>
        </w:rPr>
        <w:t>S-Editor:</w:t>
      </w:r>
      <w:r w:rsidRPr="0037330A">
        <w:rPr>
          <w:rFonts w:ascii="Book Antiqua" w:hAnsi="Book Antiqua"/>
          <w:color w:val="000000"/>
        </w:rPr>
        <w:t xml:space="preserve"> </w:t>
      </w:r>
      <w:r w:rsidR="008A0B8E" w:rsidRPr="0037330A">
        <w:rPr>
          <w:rFonts w:ascii="Book Antiqua" w:eastAsiaTheme="minorEastAsia" w:hAnsi="Book Antiqua"/>
          <w:color w:val="000000"/>
          <w:lang w:eastAsia="zh-CN"/>
        </w:rPr>
        <w:t>Zhang L</w:t>
      </w:r>
      <w:r w:rsidRPr="0037330A">
        <w:rPr>
          <w:rFonts w:ascii="Book Antiqua" w:hAnsi="Book Antiqua"/>
          <w:color w:val="000000"/>
        </w:rPr>
        <w:t xml:space="preserve"> </w:t>
      </w:r>
      <w:r w:rsidRPr="0037330A">
        <w:rPr>
          <w:rFonts w:ascii="Book Antiqua" w:hAnsi="Book Antiqua"/>
          <w:b/>
          <w:bCs/>
          <w:color w:val="000000"/>
        </w:rPr>
        <w:t>L-Editor:</w:t>
      </w:r>
      <w:r w:rsidR="0037330A" w:rsidRPr="0037330A">
        <w:rPr>
          <w:rFonts w:ascii="Book Antiqua" w:eastAsiaTheme="minorEastAsia" w:hAnsi="Book Antiqua" w:hint="eastAsia"/>
          <w:b/>
          <w:bCs/>
          <w:color w:val="000000"/>
          <w:lang w:eastAsia="zh-CN"/>
        </w:rPr>
        <w:t xml:space="preserve"> A </w:t>
      </w:r>
      <w:r w:rsidRPr="0037330A">
        <w:rPr>
          <w:rFonts w:ascii="Book Antiqua" w:hAnsi="Book Antiqua"/>
          <w:color w:val="000000"/>
        </w:rPr>
        <w:t xml:space="preserve"> </w:t>
      </w:r>
      <w:r w:rsidRPr="0037330A">
        <w:rPr>
          <w:rFonts w:ascii="Book Antiqua" w:hAnsi="Book Antiqua"/>
          <w:b/>
          <w:bCs/>
          <w:color w:val="000000"/>
        </w:rPr>
        <w:t>E-Editor:</w:t>
      </w:r>
      <w:r w:rsidR="0037330A" w:rsidRPr="0037330A">
        <w:rPr>
          <w:rFonts w:ascii="Book Antiqua" w:eastAsiaTheme="minorEastAsia" w:hAnsi="Book Antiqua" w:hint="eastAsia"/>
          <w:bCs/>
          <w:color w:val="000000"/>
          <w:lang w:eastAsia="zh-CN"/>
        </w:rPr>
        <w:t xml:space="preserve"> Ma YJ</w:t>
      </w:r>
    </w:p>
    <w:p w14:paraId="229463F4" w14:textId="77777777" w:rsidR="00C2197A" w:rsidRPr="0037330A" w:rsidRDefault="00C2197A" w:rsidP="00146B63">
      <w:pPr>
        <w:adjustRightInd w:val="0"/>
        <w:snapToGrid w:val="0"/>
        <w:spacing w:line="360" w:lineRule="auto"/>
        <w:jc w:val="both"/>
        <w:rPr>
          <w:rFonts w:ascii="Book Antiqua" w:hAnsi="Book Antiqua"/>
          <w:b/>
          <w:bCs/>
          <w:color w:val="000000"/>
        </w:rPr>
      </w:pPr>
    </w:p>
    <w:p w14:paraId="133AC086" w14:textId="77777777" w:rsidR="00395DCF" w:rsidRPr="0037330A" w:rsidRDefault="00395DCF" w:rsidP="00146B63">
      <w:pPr>
        <w:adjustRightInd w:val="0"/>
        <w:snapToGrid w:val="0"/>
        <w:spacing w:line="360" w:lineRule="auto"/>
        <w:jc w:val="both"/>
        <w:rPr>
          <w:rFonts w:ascii="Book Antiqua" w:hAnsi="Book Antiqua"/>
          <w:b/>
          <w:bCs/>
          <w:color w:val="000000"/>
        </w:rPr>
        <w:sectPr w:rsidR="00395DCF" w:rsidRPr="0037330A" w:rsidSect="00146B63">
          <w:headerReference w:type="default" r:id="rId10"/>
          <w:footerReference w:type="even" r:id="rId11"/>
          <w:footerReference w:type="default" r:id="rId12"/>
          <w:type w:val="continuous"/>
          <w:pgSz w:w="11900" w:h="16840"/>
          <w:pgMar w:top="1440" w:right="1800" w:bottom="1440" w:left="1800" w:header="720" w:footer="720" w:gutter="0"/>
          <w:cols w:space="720"/>
          <w:docGrid w:linePitch="360"/>
        </w:sectPr>
      </w:pPr>
    </w:p>
    <w:p w14:paraId="58E2163F" w14:textId="0799E3E8" w:rsidR="002F56D0" w:rsidRPr="0037330A" w:rsidRDefault="008A0B8E" w:rsidP="00146B63">
      <w:pPr>
        <w:snapToGrid w:val="0"/>
        <w:spacing w:line="360" w:lineRule="auto"/>
        <w:jc w:val="both"/>
        <w:rPr>
          <w:rFonts w:ascii="Book Antiqua" w:hAnsi="Book Antiqua"/>
          <w:b/>
          <w:color w:val="000000" w:themeColor="text1"/>
          <w:u w:val="single"/>
          <w:lang w:val="en-GB"/>
        </w:rPr>
      </w:pPr>
      <w:r w:rsidRPr="0037330A">
        <w:rPr>
          <w:rFonts w:ascii="Book Antiqua" w:hAnsi="Book Antiqua"/>
          <w:b/>
          <w:lang w:val="en-GB"/>
        </w:rPr>
        <w:lastRenderedPageBreak/>
        <w:t>Table 1 Syringe provision and costs</w:t>
      </w:r>
    </w:p>
    <w:tbl>
      <w:tblPr>
        <w:tblStyle w:val="a8"/>
        <w:tblW w:w="12621"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402"/>
        <w:gridCol w:w="5529"/>
      </w:tblGrid>
      <w:tr w:rsidR="002F56D0" w:rsidRPr="0037330A" w14:paraId="29012AA0" w14:textId="77777777" w:rsidTr="00031388">
        <w:trPr>
          <w:trHeight w:val="242"/>
        </w:trPr>
        <w:tc>
          <w:tcPr>
            <w:tcW w:w="3690" w:type="dxa"/>
            <w:tcBorders>
              <w:top w:val="single" w:sz="4" w:space="0" w:color="auto"/>
              <w:bottom w:val="single" w:sz="4" w:space="0" w:color="auto"/>
            </w:tcBorders>
          </w:tcPr>
          <w:p w14:paraId="747C61AD" w14:textId="77777777" w:rsidR="002F56D0" w:rsidRPr="0037330A" w:rsidRDefault="002F56D0"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t>Setting</w:t>
            </w:r>
          </w:p>
        </w:tc>
        <w:tc>
          <w:tcPr>
            <w:tcW w:w="3402" w:type="dxa"/>
            <w:tcBorders>
              <w:top w:val="single" w:sz="4" w:space="0" w:color="auto"/>
              <w:bottom w:val="single" w:sz="4" w:space="0" w:color="auto"/>
            </w:tcBorders>
          </w:tcPr>
          <w:p w14:paraId="62BC0E2D" w14:textId="77777777" w:rsidR="002F56D0" w:rsidRPr="0037330A" w:rsidRDefault="002F56D0"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t>% of settings where syringes are free of charge</w:t>
            </w:r>
          </w:p>
        </w:tc>
        <w:tc>
          <w:tcPr>
            <w:tcW w:w="5529" w:type="dxa"/>
            <w:tcBorders>
              <w:top w:val="single" w:sz="4" w:space="0" w:color="auto"/>
              <w:bottom w:val="single" w:sz="4" w:space="0" w:color="auto"/>
            </w:tcBorders>
          </w:tcPr>
          <w:p w14:paraId="6378B694" w14:textId="77777777" w:rsidR="002F56D0" w:rsidRPr="0037330A" w:rsidRDefault="002F56D0"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t>Mean (range), range, costs of a syringe to the patient (for systems not providing for free)</w:t>
            </w:r>
          </w:p>
        </w:tc>
      </w:tr>
      <w:tr w:rsidR="002F56D0" w:rsidRPr="0037330A" w14:paraId="555DBCF6" w14:textId="77777777" w:rsidTr="00031388">
        <w:trPr>
          <w:trHeight w:val="142"/>
        </w:trPr>
        <w:tc>
          <w:tcPr>
            <w:tcW w:w="3690" w:type="dxa"/>
            <w:tcBorders>
              <w:top w:val="single" w:sz="4" w:space="0" w:color="auto"/>
            </w:tcBorders>
          </w:tcPr>
          <w:p w14:paraId="2CCD1451" w14:textId="77777777" w:rsidR="002F56D0" w:rsidRPr="0037330A" w:rsidRDefault="002F56D0" w:rsidP="00146B63">
            <w:pPr>
              <w:tabs>
                <w:tab w:val="left" w:pos="990"/>
              </w:tabs>
              <w:snapToGrid w:val="0"/>
              <w:spacing w:line="360" w:lineRule="auto"/>
              <w:jc w:val="both"/>
              <w:rPr>
                <w:rFonts w:ascii="Book Antiqua" w:hAnsi="Book Antiqua"/>
                <w:bCs/>
                <w:lang w:val="en-GB"/>
              </w:rPr>
            </w:pPr>
            <w:r w:rsidRPr="0037330A">
              <w:rPr>
                <w:rFonts w:ascii="Book Antiqua" w:hAnsi="Book Antiqua"/>
                <w:bCs/>
                <w:lang w:val="en-GB"/>
              </w:rPr>
              <w:t>Public health system</w:t>
            </w:r>
          </w:p>
        </w:tc>
        <w:tc>
          <w:tcPr>
            <w:tcW w:w="3402" w:type="dxa"/>
            <w:tcBorders>
              <w:top w:val="single" w:sz="4" w:space="0" w:color="auto"/>
            </w:tcBorders>
          </w:tcPr>
          <w:p w14:paraId="5291393F" w14:textId="2FC0D454"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47.</w:t>
            </w:r>
            <w:r w:rsidR="009E5CB2" w:rsidRPr="0037330A">
              <w:rPr>
                <w:rFonts w:ascii="Book Antiqua" w:hAnsi="Book Antiqua"/>
                <w:bCs/>
                <w:color w:val="000000" w:themeColor="text1"/>
                <w:lang w:val="en-GB"/>
              </w:rPr>
              <w:t>4</w:t>
            </w:r>
          </w:p>
        </w:tc>
        <w:tc>
          <w:tcPr>
            <w:tcW w:w="5529" w:type="dxa"/>
            <w:tcBorders>
              <w:top w:val="single" w:sz="4" w:space="0" w:color="auto"/>
            </w:tcBorders>
          </w:tcPr>
          <w:p w14:paraId="284E0D37" w14:textId="2CD7A2E7" w:rsidR="002F56D0" w:rsidRPr="0037330A" w:rsidRDefault="002F56D0" w:rsidP="00146B63">
            <w:pPr>
              <w:tabs>
                <w:tab w:val="left" w:pos="990"/>
              </w:tabs>
              <w:snapToGrid w:val="0"/>
              <w:spacing w:line="360" w:lineRule="auto"/>
              <w:jc w:val="both"/>
              <w:rPr>
                <w:rFonts w:ascii="Book Antiqua" w:eastAsiaTheme="minorEastAsia" w:hAnsi="Book Antiqua"/>
                <w:bCs/>
                <w:color w:val="000000" w:themeColor="text1"/>
                <w:lang w:val="en-GB" w:eastAsia="zh-CN"/>
              </w:rPr>
            </w:pPr>
            <w:r w:rsidRPr="0037330A">
              <w:rPr>
                <w:rFonts w:ascii="Book Antiqua" w:hAnsi="Book Antiqua"/>
                <w:bCs/>
                <w:color w:val="000000" w:themeColor="text1"/>
                <w:lang w:val="en-GB"/>
              </w:rPr>
              <w:t>$0.2</w:t>
            </w:r>
            <w:r w:rsidR="00031388" w:rsidRPr="0037330A">
              <w:rPr>
                <w:rFonts w:ascii="Book Antiqua" w:hAnsi="Book Antiqua"/>
                <w:bCs/>
                <w:color w:val="000000" w:themeColor="text1"/>
                <w:lang w:val="en-GB"/>
              </w:rPr>
              <w:t>7</w:t>
            </w:r>
            <w:r w:rsidR="00031388" w:rsidRPr="0037330A">
              <w:rPr>
                <w:rFonts w:ascii="Book Antiqua" w:eastAsiaTheme="minorEastAsia" w:hAnsi="Book Antiqua"/>
                <w:bCs/>
                <w:color w:val="000000" w:themeColor="text1"/>
                <w:lang w:val="en-GB" w:eastAsia="zh-CN"/>
              </w:rPr>
              <w:t xml:space="preserve">, </w:t>
            </w:r>
            <w:r w:rsidR="00031388" w:rsidRPr="0037330A">
              <w:rPr>
                <w:rFonts w:ascii="Book Antiqua" w:hAnsi="Book Antiqua"/>
                <w:bCs/>
                <w:color w:val="000000" w:themeColor="text1"/>
                <w:lang w:val="en-GB"/>
              </w:rPr>
              <w:t>$0.04</w:t>
            </w:r>
            <w:r w:rsidR="00031388"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Uzbekistan</w:t>
            </w:r>
            <w:r w:rsidR="00031388" w:rsidRPr="0037330A">
              <w:rPr>
                <w:rFonts w:ascii="Book Antiqua" w:eastAsiaTheme="minorEastAsia" w:hAnsi="Book Antiqua"/>
                <w:bCs/>
                <w:color w:val="000000" w:themeColor="text1"/>
                <w:lang w:val="en-GB" w:eastAsia="zh-CN"/>
              </w:rPr>
              <w:t>)</w:t>
            </w:r>
            <w:r w:rsidR="00031388" w:rsidRPr="0037330A">
              <w:rPr>
                <w:rFonts w:ascii="Book Antiqua" w:hAnsi="Book Antiqua"/>
                <w:bCs/>
                <w:color w:val="000000" w:themeColor="text1"/>
                <w:lang w:val="en-GB"/>
              </w:rPr>
              <w:t>-$0.97</w:t>
            </w:r>
            <w:r w:rsidR="00031388"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Tajikistan</w:t>
            </w:r>
            <w:r w:rsidR="00031388" w:rsidRPr="0037330A">
              <w:rPr>
                <w:rFonts w:ascii="Book Antiqua" w:eastAsiaTheme="minorEastAsia" w:hAnsi="Book Antiqua"/>
                <w:bCs/>
                <w:color w:val="000000" w:themeColor="text1"/>
                <w:lang w:val="en-GB" w:eastAsia="zh-CN"/>
              </w:rPr>
              <w:t>)</w:t>
            </w:r>
          </w:p>
        </w:tc>
      </w:tr>
      <w:tr w:rsidR="002F56D0" w:rsidRPr="0037330A" w14:paraId="67B1575B" w14:textId="77777777" w:rsidTr="00031388">
        <w:trPr>
          <w:trHeight w:val="142"/>
        </w:trPr>
        <w:tc>
          <w:tcPr>
            <w:tcW w:w="3690" w:type="dxa"/>
          </w:tcPr>
          <w:p w14:paraId="08271C3C" w14:textId="77777777" w:rsidR="002F56D0" w:rsidRPr="0037330A" w:rsidRDefault="002F56D0" w:rsidP="00146B63">
            <w:pPr>
              <w:tabs>
                <w:tab w:val="left" w:pos="990"/>
              </w:tabs>
              <w:snapToGrid w:val="0"/>
              <w:spacing w:line="360" w:lineRule="auto"/>
              <w:jc w:val="both"/>
              <w:rPr>
                <w:rFonts w:ascii="Book Antiqua" w:hAnsi="Book Antiqua"/>
                <w:bCs/>
                <w:lang w:val="en-GB"/>
              </w:rPr>
            </w:pPr>
            <w:r w:rsidRPr="0037330A">
              <w:rPr>
                <w:rFonts w:ascii="Book Antiqua" w:hAnsi="Book Antiqua"/>
                <w:bCs/>
                <w:lang w:val="en-GB"/>
              </w:rPr>
              <w:t>Private retail pharmacy</w:t>
            </w:r>
          </w:p>
        </w:tc>
        <w:tc>
          <w:tcPr>
            <w:tcW w:w="3402" w:type="dxa"/>
          </w:tcPr>
          <w:p w14:paraId="5F72EEBB" w14:textId="139E7110"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0.0</w:t>
            </w:r>
          </w:p>
        </w:tc>
        <w:tc>
          <w:tcPr>
            <w:tcW w:w="5529" w:type="dxa"/>
          </w:tcPr>
          <w:p w14:paraId="573D59F8" w14:textId="70F61D86" w:rsidR="002F56D0" w:rsidRPr="0037330A" w:rsidRDefault="00031388" w:rsidP="00146B63">
            <w:pPr>
              <w:tabs>
                <w:tab w:val="left" w:pos="990"/>
              </w:tabs>
              <w:snapToGrid w:val="0"/>
              <w:spacing w:line="360" w:lineRule="auto"/>
              <w:jc w:val="both"/>
              <w:rPr>
                <w:rFonts w:ascii="Book Antiqua" w:eastAsiaTheme="minorEastAsia" w:hAnsi="Book Antiqua"/>
                <w:bCs/>
                <w:color w:val="000000" w:themeColor="text1"/>
                <w:lang w:val="en-GB" w:eastAsia="zh-CN"/>
              </w:rPr>
            </w:pPr>
            <w:r w:rsidRPr="0037330A">
              <w:rPr>
                <w:rFonts w:ascii="Book Antiqua" w:hAnsi="Book Antiqua"/>
                <w:bCs/>
                <w:color w:val="000000" w:themeColor="text1"/>
                <w:lang w:val="en-GB"/>
              </w:rPr>
              <w:t>$0.29,</w:t>
            </w:r>
            <w:r w:rsidRPr="0037330A">
              <w:rPr>
                <w:rFonts w:ascii="Book Antiqua" w:eastAsiaTheme="minorEastAsia" w:hAnsi="Book Antiqua"/>
                <w:bCs/>
                <w:color w:val="000000" w:themeColor="text1"/>
                <w:lang w:val="en-GB" w:eastAsia="zh-CN"/>
              </w:rPr>
              <w:t xml:space="preserve"> </w:t>
            </w:r>
            <w:r w:rsidR="002F56D0" w:rsidRPr="0037330A">
              <w:rPr>
                <w:rFonts w:ascii="Book Antiqua" w:hAnsi="Book Antiqua"/>
                <w:bCs/>
                <w:color w:val="000000" w:themeColor="text1"/>
                <w:lang w:val="en-GB"/>
              </w:rPr>
              <w:t>$0.07</w:t>
            </w:r>
            <w:r w:rsidRPr="0037330A">
              <w:rPr>
                <w:rFonts w:ascii="Book Antiqua" w:eastAsiaTheme="minorEastAsia" w:hAnsi="Book Antiqua"/>
                <w:bCs/>
                <w:color w:val="000000" w:themeColor="text1"/>
                <w:lang w:val="en-GB" w:eastAsia="zh-CN"/>
              </w:rPr>
              <w:t xml:space="preserve"> (</w:t>
            </w:r>
            <w:r w:rsidR="002F56D0" w:rsidRPr="0037330A">
              <w:rPr>
                <w:rFonts w:ascii="Book Antiqua" w:hAnsi="Book Antiqua"/>
                <w:bCs/>
                <w:color w:val="000000" w:themeColor="text1"/>
                <w:lang w:val="en-GB"/>
              </w:rPr>
              <w:t>Eritrea</w:t>
            </w:r>
            <w:r w:rsidRPr="0037330A">
              <w:rPr>
                <w:rFonts w:ascii="Book Antiqua" w:eastAsiaTheme="minorEastAsia" w:hAnsi="Book Antiqua"/>
                <w:bCs/>
                <w:color w:val="000000" w:themeColor="text1"/>
                <w:lang w:val="en-GB" w:eastAsia="zh-CN"/>
              </w:rPr>
              <w:t>)</w:t>
            </w:r>
            <w:r w:rsidRPr="0037330A">
              <w:rPr>
                <w:rFonts w:ascii="Book Antiqua" w:hAnsi="Book Antiqua"/>
                <w:bCs/>
                <w:color w:val="000000" w:themeColor="text1"/>
                <w:lang w:val="en-GB"/>
              </w:rPr>
              <w:t>-$1.25</w:t>
            </w:r>
            <w:r w:rsidRPr="0037330A">
              <w:rPr>
                <w:rFonts w:ascii="Book Antiqua" w:eastAsiaTheme="minorEastAsia" w:hAnsi="Book Antiqua"/>
                <w:bCs/>
                <w:color w:val="000000" w:themeColor="text1"/>
                <w:lang w:val="en-GB" w:eastAsia="zh-CN"/>
              </w:rPr>
              <w:t xml:space="preserve"> (</w:t>
            </w:r>
            <w:r w:rsidR="002F56D0" w:rsidRPr="0037330A">
              <w:rPr>
                <w:rFonts w:ascii="Book Antiqua" w:hAnsi="Book Antiqua"/>
                <w:bCs/>
                <w:color w:val="000000" w:themeColor="text1"/>
                <w:lang w:val="en-GB"/>
              </w:rPr>
              <w:t>Bolivia</w:t>
            </w:r>
            <w:r w:rsidRPr="0037330A">
              <w:rPr>
                <w:rFonts w:ascii="Book Antiqua" w:eastAsiaTheme="minorEastAsia" w:hAnsi="Book Antiqua"/>
                <w:bCs/>
                <w:color w:val="000000" w:themeColor="text1"/>
                <w:lang w:val="en-GB" w:eastAsia="zh-CN"/>
              </w:rPr>
              <w:t>)</w:t>
            </w:r>
          </w:p>
        </w:tc>
      </w:tr>
      <w:tr w:rsidR="002F56D0" w:rsidRPr="0037330A" w14:paraId="15146813" w14:textId="77777777" w:rsidTr="00031388">
        <w:trPr>
          <w:trHeight w:val="242"/>
        </w:trPr>
        <w:tc>
          <w:tcPr>
            <w:tcW w:w="3690" w:type="dxa"/>
          </w:tcPr>
          <w:p w14:paraId="19713D37" w14:textId="77777777" w:rsidR="002F56D0" w:rsidRPr="0037330A" w:rsidRDefault="002F56D0" w:rsidP="00146B63">
            <w:pPr>
              <w:tabs>
                <w:tab w:val="left" w:pos="990"/>
              </w:tabs>
              <w:snapToGrid w:val="0"/>
              <w:spacing w:line="360" w:lineRule="auto"/>
              <w:jc w:val="both"/>
              <w:rPr>
                <w:rFonts w:ascii="Book Antiqua" w:hAnsi="Book Antiqua"/>
                <w:bCs/>
                <w:lang w:val="en-GB"/>
              </w:rPr>
            </w:pPr>
            <w:r w:rsidRPr="0037330A">
              <w:rPr>
                <w:rFonts w:ascii="Book Antiqua" w:hAnsi="Book Antiqua"/>
                <w:bCs/>
                <w:lang w:val="en-GB"/>
              </w:rPr>
              <w:t>Public health insurance program</w:t>
            </w:r>
          </w:p>
        </w:tc>
        <w:tc>
          <w:tcPr>
            <w:tcW w:w="3402" w:type="dxa"/>
          </w:tcPr>
          <w:p w14:paraId="284623D3" w14:textId="40641E6C"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50.0</w:t>
            </w:r>
          </w:p>
        </w:tc>
        <w:tc>
          <w:tcPr>
            <w:tcW w:w="5529" w:type="dxa"/>
          </w:tcPr>
          <w:p w14:paraId="25D91C03" w14:textId="52325BBC" w:rsidR="002F56D0" w:rsidRPr="0037330A" w:rsidRDefault="00031388" w:rsidP="00146B63">
            <w:pPr>
              <w:tabs>
                <w:tab w:val="left" w:pos="990"/>
              </w:tabs>
              <w:snapToGrid w:val="0"/>
              <w:spacing w:line="360" w:lineRule="auto"/>
              <w:jc w:val="both"/>
              <w:rPr>
                <w:rFonts w:ascii="Book Antiqua" w:eastAsiaTheme="minorEastAsia" w:hAnsi="Book Antiqua"/>
                <w:bCs/>
                <w:color w:val="000000" w:themeColor="text1"/>
                <w:lang w:val="en-GB" w:eastAsia="zh-CN"/>
              </w:rPr>
            </w:pPr>
            <w:r w:rsidRPr="0037330A">
              <w:rPr>
                <w:rFonts w:ascii="Book Antiqua" w:hAnsi="Book Antiqua"/>
                <w:bCs/>
                <w:color w:val="000000" w:themeColor="text1"/>
                <w:lang w:val="en-GB"/>
              </w:rPr>
              <w:t>$0.19, $0.10</w:t>
            </w:r>
            <w:r w:rsidRPr="0037330A">
              <w:rPr>
                <w:rFonts w:ascii="Book Antiqua" w:eastAsiaTheme="minorEastAsia" w:hAnsi="Book Antiqua"/>
                <w:bCs/>
                <w:color w:val="000000" w:themeColor="text1"/>
                <w:lang w:val="en-GB" w:eastAsia="zh-CN"/>
              </w:rPr>
              <w:t xml:space="preserve"> (</w:t>
            </w:r>
            <w:r w:rsidR="002F56D0" w:rsidRPr="0037330A">
              <w:rPr>
                <w:rFonts w:ascii="Book Antiqua" w:hAnsi="Book Antiqua"/>
                <w:bCs/>
                <w:color w:val="000000" w:themeColor="text1"/>
                <w:lang w:val="en-GB"/>
              </w:rPr>
              <w:t>Burundi</w:t>
            </w:r>
            <w:r w:rsidRPr="0037330A">
              <w:rPr>
                <w:rFonts w:ascii="Book Antiqua" w:eastAsiaTheme="minorEastAsia" w:hAnsi="Book Antiqua"/>
                <w:bCs/>
                <w:color w:val="000000" w:themeColor="text1"/>
                <w:lang w:val="en-GB" w:eastAsia="zh-CN"/>
              </w:rPr>
              <w:t>)</w:t>
            </w:r>
            <w:r w:rsidRPr="0037330A">
              <w:rPr>
                <w:rFonts w:ascii="Book Antiqua" w:hAnsi="Book Antiqua"/>
                <w:bCs/>
                <w:color w:val="000000" w:themeColor="text1"/>
                <w:lang w:val="en-GB"/>
              </w:rPr>
              <w:t>-$0.28</w:t>
            </w:r>
            <w:r w:rsidRPr="0037330A">
              <w:rPr>
                <w:rFonts w:ascii="Book Antiqua" w:eastAsiaTheme="minorEastAsia" w:hAnsi="Book Antiqua"/>
                <w:bCs/>
                <w:color w:val="000000" w:themeColor="text1"/>
                <w:lang w:val="en-GB" w:eastAsia="zh-CN"/>
              </w:rPr>
              <w:t xml:space="preserve"> (</w:t>
            </w:r>
            <w:r w:rsidR="002F56D0" w:rsidRPr="0037330A">
              <w:rPr>
                <w:rFonts w:ascii="Book Antiqua" w:hAnsi="Book Antiqua"/>
                <w:bCs/>
                <w:color w:val="000000" w:themeColor="text1"/>
                <w:lang w:val="en-GB"/>
              </w:rPr>
              <w:t>Nigeria</w:t>
            </w:r>
            <w:r w:rsidRPr="0037330A">
              <w:rPr>
                <w:rFonts w:ascii="Book Antiqua" w:eastAsiaTheme="minorEastAsia" w:hAnsi="Book Antiqua"/>
                <w:bCs/>
                <w:color w:val="000000" w:themeColor="text1"/>
                <w:lang w:val="en-GB" w:eastAsia="zh-CN"/>
              </w:rPr>
              <w:t>)</w:t>
            </w:r>
          </w:p>
        </w:tc>
      </w:tr>
    </w:tbl>
    <w:p w14:paraId="7BFE55B5" w14:textId="77777777" w:rsidR="002F56D0" w:rsidRPr="0037330A" w:rsidRDefault="002F56D0" w:rsidP="00146B63">
      <w:pPr>
        <w:tabs>
          <w:tab w:val="left" w:pos="990"/>
        </w:tabs>
        <w:snapToGrid w:val="0"/>
        <w:spacing w:line="360" w:lineRule="auto"/>
        <w:jc w:val="both"/>
        <w:rPr>
          <w:rFonts w:ascii="Book Antiqua" w:hAnsi="Book Antiqua"/>
          <w:b/>
          <w:lang w:val="en-GB"/>
        </w:rPr>
      </w:pPr>
      <w:r w:rsidRPr="0037330A">
        <w:rPr>
          <w:rFonts w:ascii="Book Antiqua" w:hAnsi="Book Antiqua"/>
          <w:b/>
          <w:color w:val="000000" w:themeColor="text1"/>
          <w:u w:val="single"/>
          <w:lang w:val="en-GB"/>
        </w:rPr>
        <w:br w:type="page"/>
      </w:r>
    </w:p>
    <w:p w14:paraId="672B02C1" w14:textId="367B9358" w:rsidR="002F56D0" w:rsidRPr="0037330A" w:rsidRDefault="008A0B8E"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lastRenderedPageBreak/>
        <w:t>Table 2</w:t>
      </w:r>
      <w:r w:rsidR="002F56D0" w:rsidRPr="0037330A">
        <w:rPr>
          <w:rFonts w:ascii="Book Antiqua" w:hAnsi="Book Antiqua"/>
          <w:b/>
          <w:lang w:val="en-GB"/>
        </w:rPr>
        <w:t xml:space="preserve"> Syringe volume and needle length and gauge</w:t>
      </w:r>
    </w:p>
    <w:tbl>
      <w:tblPr>
        <w:tblStyle w:val="a8"/>
        <w:tblW w:w="0" w:type="auto"/>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123"/>
        <w:gridCol w:w="12"/>
        <w:gridCol w:w="1892"/>
        <w:gridCol w:w="2044"/>
        <w:gridCol w:w="1900"/>
      </w:tblGrid>
      <w:tr w:rsidR="002F56D0" w:rsidRPr="0037330A" w14:paraId="6CB4FB7B" w14:textId="77777777" w:rsidTr="00031388">
        <w:trPr>
          <w:trHeight w:val="277"/>
        </w:trPr>
        <w:tc>
          <w:tcPr>
            <w:tcW w:w="10594" w:type="dxa"/>
            <w:gridSpan w:val="6"/>
            <w:tcBorders>
              <w:top w:val="single" w:sz="4" w:space="0" w:color="auto"/>
              <w:bottom w:val="single" w:sz="4" w:space="0" w:color="auto"/>
            </w:tcBorders>
          </w:tcPr>
          <w:p w14:paraId="781585A5" w14:textId="7FDDCE5E" w:rsidR="002F56D0" w:rsidRPr="0037330A" w:rsidRDefault="002F56D0"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t>Syringe volume</w:t>
            </w:r>
            <w:r w:rsidRPr="0037330A">
              <w:rPr>
                <w:rFonts w:ascii="Book Antiqua" w:hAnsi="Book Antiqua"/>
                <w:b/>
                <w:color w:val="000000" w:themeColor="text1"/>
                <w:lang w:val="en-GB"/>
              </w:rPr>
              <w:t xml:space="preserve"> (</w:t>
            </w:r>
            <w:r w:rsidRPr="0037330A">
              <w:rPr>
                <w:rFonts w:ascii="Book Antiqua" w:hAnsi="Book Antiqua"/>
                <w:b/>
                <w:i/>
                <w:color w:val="000000" w:themeColor="text1"/>
                <w:lang w:val="en-GB"/>
              </w:rPr>
              <w:t>n</w:t>
            </w:r>
            <w:r w:rsidR="008A0B8E" w:rsidRPr="0037330A">
              <w:rPr>
                <w:rFonts w:ascii="Book Antiqua" w:eastAsiaTheme="minorEastAsia" w:hAnsi="Book Antiqua"/>
                <w:b/>
                <w:color w:val="000000" w:themeColor="text1"/>
                <w:lang w:val="en-GB" w:eastAsia="zh-CN"/>
              </w:rPr>
              <w:t xml:space="preserve"> </w:t>
            </w:r>
            <w:r w:rsidRPr="0037330A">
              <w:rPr>
                <w:rFonts w:ascii="Book Antiqua" w:hAnsi="Book Antiqua"/>
                <w:b/>
                <w:color w:val="000000" w:themeColor="text1"/>
                <w:lang w:val="en-GB"/>
              </w:rPr>
              <w:t>=</w:t>
            </w:r>
            <w:r w:rsidR="008A0B8E" w:rsidRPr="0037330A">
              <w:rPr>
                <w:rFonts w:ascii="Book Antiqua" w:eastAsiaTheme="minorEastAsia" w:hAnsi="Book Antiqua"/>
                <w:b/>
                <w:color w:val="000000" w:themeColor="text1"/>
                <w:lang w:val="en-GB" w:eastAsia="zh-CN"/>
              </w:rPr>
              <w:t xml:space="preserve"> </w:t>
            </w:r>
            <w:r w:rsidRPr="0037330A">
              <w:rPr>
                <w:rFonts w:ascii="Book Antiqua" w:hAnsi="Book Antiqua"/>
                <w:b/>
                <w:color w:val="000000" w:themeColor="text1"/>
                <w:lang w:val="en-GB"/>
              </w:rPr>
              <w:t>37)</w:t>
            </w:r>
          </w:p>
        </w:tc>
      </w:tr>
      <w:tr w:rsidR="002F56D0" w:rsidRPr="0037330A" w14:paraId="50A43BCB" w14:textId="77777777" w:rsidTr="00031388">
        <w:trPr>
          <w:trHeight w:val="300"/>
        </w:trPr>
        <w:tc>
          <w:tcPr>
            <w:tcW w:w="2623" w:type="dxa"/>
            <w:tcBorders>
              <w:top w:val="single" w:sz="4" w:space="0" w:color="auto"/>
            </w:tcBorders>
          </w:tcPr>
          <w:p w14:paraId="7620974A" w14:textId="77777777" w:rsidR="002F56D0" w:rsidRPr="0037330A" w:rsidRDefault="002F56D0" w:rsidP="00146B63">
            <w:pPr>
              <w:tabs>
                <w:tab w:val="left" w:pos="990"/>
              </w:tabs>
              <w:snapToGrid w:val="0"/>
              <w:spacing w:line="360" w:lineRule="auto"/>
              <w:jc w:val="both"/>
              <w:rPr>
                <w:rFonts w:ascii="Book Antiqua" w:hAnsi="Book Antiqua"/>
                <w:b/>
                <w:color w:val="000000" w:themeColor="text1"/>
                <w:lang w:val="en-GB"/>
              </w:rPr>
            </w:pPr>
          </w:p>
        </w:tc>
        <w:tc>
          <w:tcPr>
            <w:tcW w:w="2123" w:type="dxa"/>
            <w:tcBorders>
              <w:top w:val="single" w:sz="4" w:space="0" w:color="auto"/>
            </w:tcBorders>
          </w:tcPr>
          <w:p w14:paraId="5B58EA97" w14:textId="77777777" w:rsidR="002F56D0" w:rsidRPr="0037330A" w:rsidRDefault="002F56D0"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Cs/>
                <w:iCs/>
                <w:color w:val="000000" w:themeColor="text1"/>
                <w:lang w:val="en-GB"/>
              </w:rPr>
              <w:t>1 mL/cc</w:t>
            </w:r>
          </w:p>
        </w:tc>
        <w:tc>
          <w:tcPr>
            <w:tcW w:w="1904" w:type="dxa"/>
            <w:gridSpan w:val="2"/>
            <w:tcBorders>
              <w:top w:val="single" w:sz="4" w:space="0" w:color="auto"/>
            </w:tcBorders>
          </w:tcPr>
          <w:p w14:paraId="7D2C94AB" w14:textId="77777777" w:rsidR="002F56D0" w:rsidRPr="0037330A" w:rsidRDefault="002F56D0"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Cs/>
                <w:iCs/>
                <w:color w:val="000000" w:themeColor="text1"/>
                <w:lang w:val="en-GB"/>
              </w:rPr>
              <w:t>0.5 mL/cc</w:t>
            </w:r>
          </w:p>
        </w:tc>
        <w:tc>
          <w:tcPr>
            <w:tcW w:w="3942" w:type="dxa"/>
            <w:gridSpan w:val="2"/>
            <w:tcBorders>
              <w:top w:val="single" w:sz="4" w:space="0" w:color="auto"/>
            </w:tcBorders>
          </w:tcPr>
          <w:p w14:paraId="325060F4" w14:textId="77777777" w:rsidR="002F56D0" w:rsidRPr="0037330A" w:rsidRDefault="002F56D0"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Cs/>
                <w:iCs/>
                <w:color w:val="000000" w:themeColor="text1"/>
                <w:lang w:val="en-GB"/>
              </w:rPr>
              <w:t>0.3 mL/cc</w:t>
            </w:r>
          </w:p>
        </w:tc>
      </w:tr>
      <w:tr w:rsidR="002F56D0" w:rsidRPr="0037330A" w14:paraId="18760337" w14:textId="77777777" w:rsidTr="00031388">
        <w:trPr>
          <w:trHeight w:val="277"/>
        </w:trPr>
        <w:tc>
          <w:tcPr>
            <w:tcW w:w="2623" w:type="dxa"/>
          </w:tcPr>
          <w:p w14:paraId="4796BBB4" w14:textId="77777777" w:rsidR="002F56D0" w:rsidRPr="0037330A" w:rsidRDefault="002F56D0"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Cs/>
                <w:color w:val="000000" w:themeColor="text1"/>
                <w:lang w:val="en-GB"/>
              </w:rPr>
              <w:t>Percentage</w:t>
            </w:r>
          </w:p>
        </w:tc>
        <w:tc>
          <w:tcPr>
            <w:tcW w:w="2123" w:type="dxa"/>
          </w:tcPr>
          <w:p w14:paraId="7CABC3E0" w14:textId="52B3FBF5" w:rsidR="002F56D0" w:rsidRPr="0037330A" w:rsidRDefault="002F56D0"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Cs/>
                <w:color w:val="000000" w:themeColor="text1"/>
                <w:lang w:val="en-GB"/>
              </w:rPr>
              <w:t>42.9 (</w:t>
            </w:r>
            <w:r w:rsidRPr="0037330A">
              <w:rPr>
                <w:rFonts w:ascii="Book Antiqua" w:hAnsi="Book Antiqua"/>
                <w:bCs/>
                <w:i/>
                <w:color w:val="000000" w:themeColor="text1"/>
                <w:lang w:val="en-GB"/>
              </w:rPr>
              <w:t>n</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15)</w:t>
            </w:r>
          </w:p>
        </w:tc>
        <w:tc>
          <w:tcPr>
            <w:tcW w:w="1904" w:type="dxa"/>
            <w:gridSpan w:val="2"/>
          </w:tcPr>
          <w:p w14:paraId="64866042" w14:textId="55B9497E" w:rsidR="002F56D0" w:rsidRPr="0037330A" w:rsidRDefault="002F56D0"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Cs/>
                <w:color w:val="000000" w:themeColor="text1"/>
                <w:lang w:val="en-GB"/>
              </w:rPr>
              <w:t>34.3 (</w:t>
            </w:r>
            <w:r w:rsidRPr="0037330A">
              <w:rPr>
                <w:rFonts w:ascii="Book Antiqua" w:hAnsi="Book Antiqua"/>
                <w:bCs/>
                <w:i/>
                <w:color w:val="000000" w:themeColor="text1"/>
                <w:lang w:val="en-GB"/>
              </w:rPr>
              <w:t>n</w:t>
            </w:r>
            <w:r w:rsidR="008A0B8E" w:rsidRPr="0037330A">
              <w:rPr>
                <w:rFonts w:ascii="Book Antiqua" w:eastAsiaTheme="minorEastAsia" w:hAnsi="Book Antiqua"/>
                <w:bCs/>
                <w:i/>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12)</w:t>
            </w:r>
          </w:p>
        </w:tc>
        <w:tc>
          <w:tcPr>
            <w:tcW w:w="3942" w:type="dxa"/>
            <w:gridSpan w:val="2"/>
          </w:tcPr>
          <w:p w14:paraId="1227B5CC" w14:textId="6CFC89D4" w:rsidR="002F56D0" w:rsidRPr="0037330A" w:rsidRDefault="002F56D0"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Cs/>
                <w:color w:val="000000" w:themeColor="text1"/>
                <w:lang w:val="en-GB"/>
              </w:rPr>
              <w:t>22.9 (</w:t>
            </w:r>
            <w:r w:rsidRPr="0037330A">
              <w:rPr>
                <w:rFonts w:ascii="Book Antiqua" w:hAnsi="Book Antiqua"/>
                <w:bCs/>
                <w:i/>
                <w:color w:val="000000" w:themeColor="text1"/>
                <w:lang w:val="en-GB"/>
              </w:rPr>
              <w:t>n</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8)</w:t>
            </w:r>
          </w:p>
        </w:tc>
      </w:tr>
      <w:tr w:rsidR="002F56D0" w:rsidRPr="0037330A" w14:paraId="22E5D992" w14:textId="77777777" w:rsidTr="00031388">
        <w:trPr>
          <w:trHeight w:val="300"/>
        </w:trPr>
        <w:tc>
          <w:tcPr>
            <w:tcW w:w="10594" w:type="dxa"/>
            <w:gridSpan w:val="6"/>
          </w:tcPr>
          <w:p w14:paraId="02661FFD" w14:textId="3CFA6B21" w:rsidR="002F56D0" w:rsidRPr="0037330A" w:rsidRDefault="002F56D0" w:rsidP="00146B63">
            <w:pPr>
              <w:tabs>
                <w:tab w:val="left" w:pos="990"/>
              </w:tabs>
              <w:snapToGrid w:val="0"/>
              <w:spacing w:line="360" w:lineRule="auto"/>
              <w:jc w:val="both"/>
              <w:rPr>
                <w:rFonts w:ascii="Book Antiqua" w:hAnsi="Book Antiqua"/>
                <w:lang w:val="en-GB"/>
              </w:rPr>
            </w:pPr>
            <w:r w:rsidRPr="0037330A">
              <w:rPr>
                <w:rFonts w:ascii="Book Antiqua" w:hAnsi="Book Antiqua"/>
                <w:lang w:val="en-GB"/>
              </w:rPr>
              <w:t>Needle length (</w:t>
            </w:r>
            <w:r w:rsidRPr="0037330A">
              <w:rPr>
                <w:rFonts w:ascii="Book Antiqua" w:hAnsi="Book Antiqua"/>
                <w:i/>
                <w:lang w:val="en-GB"/>
              </w:rPr>
              <w:t>n</w:t>
            </w:r>
            <w:r w:rsidR="008A0B8E" w:rsidRPr="0037330A">
              <w:rPr>
                <w:rFonts w:ascii="Book Antiqua" w:eastAsiaTheme="minorEastAsia" w:hAnsi="Book Antiqua"/>
                <w:lang w:val="en-GB" w:eastAsia="zh-CN"/>
              </w:rPr>
              <w:t xml:space="preserve"> </w:t>
            </w:r>
            <w:r w:rsidRPr="0037330A">
              <w:rPr>
                <w:rFonts w:ascii="Book Antiqua" w:hAnsi="Book Antiqua"/>
                <w:lang w:val="en-GB"/>
              </w:rPr>
              <w:t>=</w:t>
            </w:r>
            <w:r w:rsidR="008A0B8E" w:rsidRPr="0037330A">
              <w:rPr>
                <w:rFonts w:ascii="Book Antiqua" w:eastAsiaTheme="minorEastAsia" w:hAnsi="Book Antiqua"/>
                <w:lang w:val="en-GB" w:eastAsia="zh-CN"/>
              </w:rPr>
              <w:t xml:space="preserve"> </w:t>
            </w:r>
            <w:r w:rsidRPr="0037330A">
              <w:rPr>
                <w:rFonts w:ascii="Book Antiqua" w:hAnsi="Book Antiqua"/>
                <w:lang w:val="en-GB"/>
              </w:rPr>
              <w:t>33)</w:t>
            </w:r>
          </w:p>
        </w:tc>
      </w:tr>
      <w:tr w:rsidR="002F56D0" w:rsidRPr="0037330A" w14:paraId="5B69CA6B" w14:textId="77777777" w:rsidTr="00031388">
        <w:trPr>
          <w:trHeight w:val="277"/>
        </w:trPr>
        <w:tc>
          <w:tcPr>
            <w:tcW w:w="2623" w:type="dxa"/>
          </w:tcPr>
          <w:p w14:paraId="66D87368" w14:textId="77777777" w:rsidR="002F56D0" w:rsidRPr="0037330A" w:rsidRDefault="002F56D0" w:rsidP="00146B63">
            <w:pPr>
              <w:tabs>
                <w:tab w:val="left" w:pos="990"/>
              </w:tabs>
              <w:snapToGrid w:val="0"/>
              <w:spacing w:line="360" w:lineRule="auto"/>
              <w:jc w:val="both"/>
              <w:rPr>
                <w:rFonts w:ascii="Book Antiqua" w:hAnsi="Book Antiqua"/>
                <w:bCs/>
                <w:i/>
                <w:iCs/>
                <w:lang w:val="en-GB"/>
              </w:rPr>
            </w:pPr>
          </w:p>
        </w:tc>
        <w:tc>
          <w:tcPr>
            <w:tcW w:w="2135" w:type="dxa"/>
            <w:gridSpan w:val="2"/>
          </w:tcPr>
          <w:p w14:paraId="18D0448F" w14:textId="47F58FB1" w:rsidR="002F56D0" w:rsidRPr="0037330A" w:rsidRDefault="002F56D0"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5/16” (8</w:t>
            </w:r>
            <w:r w:rsidR="008A0B8E" w:rsidRPr="0037330A">
              <w:rPr>
                <w:rFonts w:ascii="Book Antiqua" w:eastAsiaTheme="minorEastAsia" w:hAnsi="Book Antiqua"/>
                <w:bCs/>
                <w:iCs/>
                <w:lang w:val="en-GB" w:eastAsia="zh-CN"/>
              </w:rPr>
              <w:t xml:space="preserve"> </w:t>
            </w:r>
            <w:r w:rsidRPr="0037330A">
              <w:rPr>
                <w:rFonts w:ascii="Book Antiqua" w:hAnsi="Book Antiqua"/>
                <w:bCs/>
                <w:iCs/>
                <w:lang w:val="en-GB"/>
              </w:rPr>
              <w:t xml:space="preserve">mm) </w:t>
            </w:r>
          </w:p>
        </w:tc>
        <w:tc>
          <w:tcPr>
            <w:tcW w:w="1892" w:type="dxa"/>
          </w:tcPr>
          <w:p w14:paraId="08E2EB62" w14:textId="32966366" w:rsidR="002F56D0" w:rsidRPr="0037330A" w:rsidRDefault="002F56D0"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3/16” (5</w:t>
            </w:r>
            <w:r w:rsidR="008A0B8E" w:rsidRPr="0037330A">
              <w:rPr>
                <w:rFonts w:ascii="Book Antiqua" w:eastAsiaTheme="minorEastAsia" w:hAnsi="Book Antiqua"/>
                <w:bCs/>
                <w:iCs/>
                <w:lang w:val="en-GB" w:eastAsia="zh-CN"/>
              </w:rPr>
              <w:t xml:space="preserve"> </w:t>
            </w:r>
            <w:r w:rsidRPr="0037330A">
              <w:rPr>
                <w:rFonts w:ascii="Book Antiqua" w:hAnsi="Book Antiqua"/>
                <w:bCs/>
                <w:iCs/>
                <w:lang w:val="en-GB"/>
              </w:rPr>
              <w:t>mm)</w:t>
            </w:r>
          </w:p>
        </w:tc>
        <w:tc>
          <w:tcPr>
            <w:tcW w:w="3942" w:type="dxa"/>
            <w:gridSpan w:val="2"/>
          </w:tcPr>
          <w:p w14:paraId="046CC262" w14:textId="4E7021B0" w:rsidR="002F56D0" w:rsidRPr="0037330A" w:rsidRDefault="002F56D0"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1/8” (4</w:t>
            </w:r>
            <w:r w:rsidR="008A0B8E" w:rsidRPr="0037330A">
              <w:rPr>
                <w:rFonts w:ascii="Book Antiqua" w:eastAsiaTheme="minorEastAsia" w:hAnsi="Book Antiqua"/>
                <w:bCs/>
                <w:iCs/>
                <w:lang w:val="en-GB" w:eastAsia="zh-CN"/>
              </w:rPr>
              <w:t xml:space="preserve"> </w:t>
            </w:r>
            <w:r w:rsidRPr="0037330A">
              <w:rPr>
                <w:rFonts w:ascii="Book Antiqua" w:hAnsi="Book Antiqua"/>
                <w:bCs/>
                <w:iCs/>
                <w:lang w:val="en-GB"/>
              </w:rPr>
              <w:t>mm)</w:t>
            </w:r>
          </w:p>
        </w:tc>
      </w:tr>
      <w:tr w:rsidR="002F56D0" w:rsidRPr="0037330A" w14:paraId="28D93CD1" w14:textId="77777777" w:rsidTr="00031388">
        <w:trPr>
          <w:trHeight w:val="300"/>
        </w:trPr>
        <w:tc>
          <w:tcPr>
            <w:tcW w:w="2623" w:type="dxa"/>
          </w:tcPr>
          <w:p w14:paraId="04875A25" w14:textId="77777777" w:rsidR="002F56D0" w:rsidRPr="0037330A" w:rsidRDefault="002F56D0" w:rsidP="00146B63">
            <w:pPr>
              <w:tabs>
                <w:tab w:val="left" w:pos="990"/>
              </w:tabs>
              <w:snapToGrid w:val="0"/>
              <w:spacing w:line="360" w:lineRule="auto"/>
              <w:jc w:val="both"/>
              <w:rPr>
                <w:rFonts w:ascii="Book Antiqua" w:hAnsi="Book Antiqua"/>
                <w:bCs/>
                <w:lang w:val="en-GB"/>
              </w:rPr>
            </w:pPr>
            <w:r w:rsidRPr="0037330A">
              <w:rPr>
                <w:rFonts w:ascii="Book Antiqua" w:hAnsi="Book Antiqua"/>
                <w:bCs/>
                <w:lang w:val="en-GB"/>
              </w:rPr>
              <w:t xml:space="preserve">Percentage </w:t>
            </w:r>
          </w:p>
        </w:tc>
        <w:tc>
          <w:tcPr>
            <w:tcW w:w="2135" w:type="dxa"/>
            <w:gridSpan w:val="2"/>
          </w:tcPr>
          <w:p w14:paraId="5799E6CD" w14:textId="5A36AFAC"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36.4 (</w:t>
            </w:r>
            <w:r w:rsidRPr="0037330A">
              <w:rPr>
                <w:rFonts w:ascii="Book Antiqua" w:hAnsi="Book Antiqua"/>
                <w:bCs/>
                <w:i/>
                <w:color w:val="000000" w:themeColor="text1"/>
                <w:lang w:val="en-GB"/>
              </w:rPr>
              <w:t>n</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12)</w:t>
            </w:r>
          </w:p>
        </w:tc>
        <w:tc>
          <w:tcPr>
            <w:tcW w:w="1892" w:type="dxa"/>
          </w:tcPr>
          <w:p w14:paraId="46382A80" w14:textId="1CBC1408"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48.5 (</w:t>
            </w:r>
            <w:r w:rsidRPr="0037330A">
              <w:rPr>
                <w:rFonts w:ascii="Book Antiqua" w:hAnsi="Book Antiqua"/>
                <w:bCs/>
                <w:i/>
                <w:color w:val="000000" w:themeColor="text1"/>
                <w:lang w:val="en-GB"/>
              </w:rPr>
              <w:t>n</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16)</w:t>
            </w:r>
          </w:p>
        </w:tc>
        <w:tc>
          <w:tcPr>
            <w:tcW w:w="3942" w:type="dxa"/>
            <w:gridSpan w:val="2"/>
          </w:tcPr>
          <w:p w14:paraId="73C35D25" w14:textId="466CF74E"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15.2 (</w:t>
            </w:r>
            <w:r w:rsidRPr="0037330A">
              <w:rPr>
                <w:rFonts w:ascii="Book Antiqua" w:hAnsi="Book Antiqua"/>
                <w:bCs/>
                <w:i/>
                <w:color w:val="000000" w:themeColor="text1"/>
                <w:lang w:val="en-GB"/>
              </w:rPr>
              <w:t>n</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5)</w:t>
            </w:r>
          </w:p>
        </w:tc>
      </w:tr>
      <w:tr w:rsidR="002F56D0" w:rsidRPr="0037330A" w14:paraId="409C2A11" w14:textId="77777777" w:rsidTr="00031388">
        <w:trPr>
          <w:trHeight w:val="277"/>
        </w:trPr>
        <w:tc>
          <w:tcPr>
            <w:tcW w:w="10594" w:type="dxa"/>
            <w:gridSpan w:val="6"/>
          </w:tcPr>
          <w:p w14:paraId="30FEF8D1" w14:textId="29B60BF5" w:rsidR="002F56D0" w:rsidRPr="0037330A" w:rsidRDefault="002F56D0" w:rsidP="00146B63">
            <w:pPr>
              <w:tabs>
                <w:tab w:val="left" w:pos="990"/>
              </w:tabs>
              <w:snapToGrid w:val="0"/>
              <w:spacing w:line="360" w:lineRule="auto"/>
              <w:jc w:val="both"/>
              <w:rPr>
                <w:rFonts w:ascii="Book Antiqua" w:hAnsi="Book Antiqua"/>
                <w:lang w:val="en-GB"/>
              </w:rPr>
            </w:pPr>
            <w:r w:rsidRPr="0037330A">
              <w:rPr>
                <w:rFonts w:ascii="Book Antiqua" w:hAnsi="Book Antiqua"/>
                <w:lang w:val="en-GB"/>
              </w:rPr>
              <w:t xml:space="preserve">Needle </w:t>
            </w:r>
            <w:r w:rsidRPr="0037330A">
              <w:rPr>
                <w:rFonts w:ascii="Book Antiqua" w:hAnsi="Book Antiqua"/>
                <w:color w:val="000000" w:themeColor="text1"/>
                <w:lang w:val="en-GB"/>
              </w:rPr>
              <w:t>gauge (</w:t>
            </w:r>
            <w:r w:rsidRPr="0037330A">
              <w:rPr>
                <w:rFonts w:ascii="Book Antiqua" w:hAnsi="Book Antiqua"/>
                <w:i/>
                <w:color w:val="000000" w:themeColor="text1"/>
                <w:lang w:val="en-GB"/>
              </w:rPr>
              <w:t>n</w:t>
            </w:r>
            <w:r w:rsidR="008A0B8E" w:rsidRPr="0037330A">
              <w:rPr>
                <w:rFonts w:ascii="Book Antiqua" w:eastAsiaTheme="minorEastAsia" w:hAnsi="Book Antiqua"/>
                <w:color w:val="000000" w:themeColor="text1"/>
                <w:lang w:val="en-GB" w:eastAsia="zh-CN"/>
              </w:rPr>
              <w:t xml:space="preserve"> </w:t>
            </w:r>
            <w:r w:rsidRPr="0037330A">
              <w:rPr>
                <w:rFonts w:ascii="Book Antiqua" w:hAnsi="Book Antiqua"/>
                <w:color w:val="000000" w:themeColor="text1"/>
                <w:lang w:val="en-GB"/>
              </w:rPr>
              <w:t>=</w:t>
            </w:r>
            <w:r w:rsidR="008A0B8E" w:rsidRPr="0037330A">
              <w:rPr>
                <w:rFonts w:ascii="Book Antiqua" w:eastAsiaTheme="minorEastAsia" w:hAnsi="Book Antiqua"/>
                <w:color w:val="000000" w:themeColor="text1"/>
                <w:lang w:val="en-GB" w:eastAsia="zh-CN"/>
              </w:rPr>
              <w:t xml:space="preserve"> </w:t>
            </w:r>
            <w:r w:rsidRPr="0037330A">
              <w:rPr>
                <w:rFonts w:ascii="Book Antiqua" w:hAnsi="Book Antiqua"/>
                <w:color w:val="000000" w:themeColor="text1"/>
                <w:lang w:val="en-GB"/>
              </w:rPr>
              <w:t>32)</w:t>
            </w:r>
          </w:p>
        </w:tc>
      </w:tr>
      <w:tr w:rsidR="002F56D0" w:rsidRPr="0037330A" w14:paraId="6E2B7168" w14:textId="77777777" w:rsidTr="00031388">
        <w:trPr>
          <w:trHeight w:val="300"/>
        </w:trPr>
        <w:tc>
          <w:tcPr>
            <w:tcW w:w="2623" w:type="dxa"/>
          </w:tcPr>
          <w:p w14:paraId="4206943C" w14:textId="77777777" w:rsidR="002F56D0" w:rsidRPr="0037330A" w:rsidRDefault="002F56D0" w:rsidP="00146B63">
            <w:pPr>
              <w:tabs>
                <w:tab w:val="left" w:pos="990"/>
              </w:tabs>
              <w:snapToGrid w:val="0"/>
              <w:spacing w:line="360" w:lineRule="auto"/>
              <w:jc w:val="both"/>
              <w:rPr>
                <w:rFonts w:ascii="Book Antiqua" w:hAnsi="Book Antiqua"/>
                <w:bCs/>
                <w:i/>
                <w:iCs/>
                <w:lang w:val="en-GB"/>
              </w:rPr>
            </w:pPr>
          </w:p>
        </w:tc>
        <w:tc>
          <w:tcPr>
            <w:tcW w:w="2135" w:type="dxa"/>
            <w:gridSpan w:val="2"/>
          </w:tcPr>
          <w:p w14:paraId="11719545" w14:textId="77777777" w:rsidR="002F56D0" w:rsidRPr="0037330A" w:rsidRDefault="002F56D0"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28</w:t>
            </w:r>
          </w:p>
        </w:tc>
        <w:tc>
          <w:tcPr>
            <w:tcW w:w="1892" w:type="dxa"/>
          </w:tcPr>
          <w:p w14:paraId="4D7838E1" w14:textId="77777777" w:rsidR="002F56D0" w:rsidRPr="0037330A" w:rsidRDefault="002F56D0"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29</w:t>
            </w:r>
          </w:p>
        </w:tc>
        <w:tc>
          <w:tcPr>
            <w:tcW w:w="2044" w:type="dxa"/>
          </w:tcPr>
          <w:p w14:paraId="182AEE27" w14:textId="77777777" w:rsidR="002F56D0" w:rsidRPr="0037330A" w:rsidRDefault="002F56D0"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30</w:t>
            </w:r>
          </w:p>
        </w:tc>
        <w:tc>
          <w:tcPr>
            <w:tcW w:w="1898" w:type="dxa"/>
          </w:tcPr>
          <w:p w14:paraId="41FEFC8C" w14:textId="77777777" w:rsidR="002F56D0" w:rsidRPr="0037330A" w:rsidRDefault="002F56D0"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31</w:t>
            </w:r>
          </w:p>
        </w:tc>
      </w:tr>
      <w:tr w:rsidR="002F56D0" w:rsidRPr="0037330A" w14:paraId="4B5423B0" w14:textId="77777777" w:rsidTr="00031388">
        <w:trPr>
          <w:trHeight w:val="277"/>
        </w:trPr>
        <w:tc>
          <w:tcPr>
            <w:tcW w:w="2623" w:type="dxa"/>
          </w:tcPr>
          <w:p w14:paraId="13AA87DD" w14:textId="77777777" w:rsidR="002F56D0" w:rsidRPr="0037330A" w:rsidRDefault="002F56D0" w:rsidP="00146B63">
            <w:pPr>
              <w:tabs>
                <w:tab w:val="left" w:pos="990"/>
              </w:tabs>
              <w:snapToGrid w:val="0"/>
              <w:spacing w:line="360" w:lineRule="auto"/>
              <w:jc w:val="both"/>
              <w:rPr>
                <w:rFonts w:ascii="Book Antiqua" w:hAnsi="Book Antiqua"/>
                <w:bCs/>
                <w:i/>
                <w:iCs/>
                <w:lang w:val="en-GB"/>
              </w:rPr>
            </w:pPr>
            <w:r w:rsidRPr="0037330A">
              <w:rPr>
                <w:rFonts w:ascii="Book Antiqua" w:hAnsi="Book Antiqua"/>
                <w:bCs/>
                <w:lang w:val="en-GB"/>
              </w:rPr>
              <w:t>Percentage</w:t>
            </w:r>
          </w:p>
        </w:tc>
        <w:tc>
          <w:tcPr>
            <w:tcW w:w="2135" w:type="dxa"/>
            <w:gridSpan w:val="2"/>
          </w:tcPr>
          <w:p w14:paraId="102ADE1D" w14:textId="6859404A"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43.8 (</w:t>
            </w:r>
            <w:r w:rsidRPr="0037330A">
              <w:rPr>
                <w:rFonts w:ascii="Book Antiqua" w:hAnsi="Book Antiqua"/>
                <w:bCs/>
                <w:i/>
                <w:color w:val="000000" w:themeColor="text1"/>
                <w:lang w:val="en-GB"/>
              </w:rPr>
              <w:t>n</w:t>
            </w:r>
            <w:r w:rsidR="008A0B8E" w:rsidRPr="0037330A">
              <w:rPr>
                <w:rFonts w:ascii="Book Antiqua" w:eastAsiaTheme="minorEastAsia" w:hAnsi="Book Antiqua"/>
                <w:bCs/>
                <w:i/>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14)</w:t>
            </w:r>
          </w:p>
        </w:tc>
        <w:tc>
          <w:tcPr>
            <w:tcW w:w="1892" w:type="dxa"/>
          </w:tcPr>
          <w:p w14:paraId="5797B42F" w14:textId="2A7016B6"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15.6 (</w:t>
            </w:r>
            <w:r w:rsidRPr="0037330A">
              <w:rPr>
                <w:rFonts w:ascii="Book Antiqua" w:hAnsi="Book Antiqua"/>
                <w:bCs/>
                <w:i/>
                <w:color w:val="000000" w:themeColor="text1"/>
                <w:lang w:val="en-GB"/>
              </w:rPr>
              <w:t>n</w:t>
            </w:r>
            <w:r w:rsidR="008A0B8E" w:rsidRPr="0037330A">
              <w:rPr>
                <w:rFonts w:ascii="Book Antiqua" w:eastAsiaTheme="minorEastAsia" w:hAnsi="Book Antiqua"/>
                <w:bCs/>
                <w:i/>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5)</w:t>
            </w:r>
          </w:p>
        </w:tc>
        <w:tc>
          <w:tcPr>
            <w:tcW w:w="2044" w:type="dxa"/>
          </w:tcPr>
          <w:p w14:paraId="71E84B02" w14:textId="7452C1AD"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15.6 (</w:t>
            </w:r>
            <w:r w:rsidRPr="0037330A">
              <w:rPr>
                <w:rFonts w:ascii="Book Antiqua" w:hAnsi="Book Antiqua"/>
                <w:bCs/>
                <w:i/>
                <w:color w:val="000000" w:themeColor="text1"/>
                <w:lang w:val="en-GB"/>
              </w:rPr>
              <w:t>n</w:t>
            </w:r>
            <w:r w:rsidR="008A0B8E" w:rsidRPr="0037330A">
              <w:rPr>
                <w:rFonts w:ascii="Book Antiqua" w:eastAsiaTheme="minorEastAsia" w:hAnsi="Book Antiqua"/>
                <w:bCs/>
                <w:i/>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5)</w:t>
            </w:r>
          </w:p>
        </w:tc>
        <w:tc>
          <w:tcPr>
            <w:tcW w:w="1898" w:type="dxa"/>
          </w:tcPr>
          <w:p w14:paraId="7792870E" w14:textId="79C18049" w:rsidR="002F56D0" w:rsidRPr="0037330A" w:rsidRDefault="002F56D0"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25.0 (</w:t>
            </w:r>
            <w:r w:rsidRPr="0037330A">
              <w:rPr>
                <w:rFonts w:ascii="Book Antiqua" w:hAnsi="Book Antiqua"/>
                <w:bCs/>
                <w:i/>
                <w:color w:val="000000" w:themeColor="text1"/>
                <w:lang w:val="en-GB"/>
              </w:rPr>
              <w:t>n</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w:t>
            </w:r>
            <w:r w:rsidR="008A0B8E" w:rsidRPr="0037330A">
              <w:rPr>
                <w:rFonts w:ascii="Book Antiqua" w:eastAsiaTheme="minorEastAsia" w:hAnsi="Book Antiqua"/>
                <w:bCs/>
                <w:color w:val="000000" w:themeColor="text1"/>
                <w:lang w:val="en-GB" w:eastAsia="zh-CN"/>
              </w:rPr>
              <w:t xml:space="preserve"> </w:t>
            </w:r>
            <w:r w:rsidRPr="0037330A">
              <w:rPr>
                <w:rFonts w:ascii="Book Antiqua" w:hAnsi="Book Antiqua"/>
                <w:bCs/>
                <w:color w:val="000000" w:themeColor="text1"/>
                <w:lang w:val="en-GB"/>
              </w:rPr>
              <w:t>8)</w:t>
            </w:r>
          </w:p>
        </w:tc>
      </w:tr>
    </w:tbl>
    <w:p w14:paraId="23995B63" w14:textId="77777777" w:rsidR="008A0B8E" w:rsidRPr="0037330A" w:rsidRDefault="008A0B8E" w:rsidP="00146B63">
      <w:pPr>
        <w:autoSpaceDE w:val="0"/>
        <w:autoSpaceDN w:val="0"/>
        <w:adjustRightInd w:val="0"/>
        <w:snapToGrid w:val="0"/>
        <w:spacing w:line="360" w:lineRule="auto"/>
        <w:jc w:val="both"/>
        <w:rPr>
          <w:rFonts w:ascii="Book Antiqua" w:eastAsiaTheme="minorEastAsia" w:hAnsi="Book Antiqua"/>
          <w:lang w:val="en-GB" w:eastAsia="zh-CN"/>
        </w:rPr>
        <w:sectPr w:rsidR="008A0B8E" w:rsidRPr="0037330A" w:rsidSect="00146B63">
          <w:type w:val="continuous"/>
          <w:pgSz w:w="16840" w:h="11900" w:orient="landscape"/>
          <w:pgMar w:top="1440" w:right="1800" w:bottom="1440" w:left="1800" w:header="720" w:footer="720" w:gutter="0"/>
          <w:cols w:space="720"/>
          <w:docGrid w:linePitch="360"/>
        </w:sectPr>
      </w:pPr>
    </w:p>
    <w:p w14:paraId="11FEDACA" w14:textId="000AB677" w:rsidR="008A0B8E" w:rsidRPr="0037330A" w:rsidRDefault="008A0B8E" w:rsidP="00146B63">
      <w:pPr>
        <w:snapToGrid w:val="0"/>
        <w:spacing w:line="360" w:lineRule="auto"/>
        <w:jc w:val="both"/>
        <w:rPr>
          <w:rFonts w:ascii="Book Antiqua" w:hAnsi="Book Antiqua"/>
          <w:b/>
          <w:color w:val="000000" w:themeColor="text1"/>
          <w:u w:val="single"/>
          <w:lang w:val="en-GB"/>
        </w:rPr>
      </w:pPr>
      <w:r w:rsidRPr="0037330A">
        <w:rPr>
          <w:rFonts w:ascii="Book Antiqua" w:hAnsi="Book Antiqua"/>
          <w:b/>
          <w:color w:val="000000" w:themeColor="text1"/>
          <w:lang w:val="en-GB"/>
        </w:rPr>
        <w:lastRenderedPageBreak/>
        <w:t>Table 3 Injection sites encouraged by diabetes centres</w:t>
      </w:r>
    </w:p>
    <w:tbl>
      <w:tblPr>
        <w:tblStyle w:val="a8"/>
        <w:tblW w:w="6809"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119"/>
      </w:tblGrid>
      <w:tr w:rsidR="008A0B8E" w:rsidRPr="0037330A" w14:paraId="257F1F87" w14:textId="77777777" w:rsidTr="00031388">
        <w:trPr>
          <w:trHeight w:val="328"/>
        </w:trPr>
        <w:tc>
          <w:tcPr>
            <w:tcW w:w="3690" w:type="dxa"/>
            <w:tcBorders>
              <w:top w:val="single" w:sz="4" w:space="0" w:color="auto"/>
              <w:bottom w:val="single" w:sz="4" w:space="0" w:color="auto"/>
            </w:tcBorders>
          </w:tcPr>
          <w:p w14:paraId="791C4395" w14:textId="77777777" w:rsidR="008A0B8E" w:rsidRPr="0037330A" w:rsidRDefault="008A0B8E"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
                <w:color w:val="000000" w:themeColor="text1"/>
                <w:lang w:val="en-GB"/>
              </w:rPr>
              <w:t>Injection sites</w:t>
            </w:r>
          </w:p>
        </w:tc>
        <w:tc>
          <w:tcPr>
            <w:tcW w:w="3119" w:type="dxa"/>
            <w:tcBorders>
              <w:top w:val="single" w:sz="4" w:space="0" w:color="auto"/>
              <w:bottom w:val="single" w:sz="4" w:space="0" w:color="auto"/>
            </w:tcBorders>
          </w:tcPr>
          <w:p w14:paraId="4C59A0EA" w14:textId="77777777" w:rsidR="008A0B8E" w:rsidRPr="0037330A" w:rsidRDefault="008A0B8E"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
                <w:color w:val="000000" w:themeColor="text1"/>
                <w:lang w:val="en-GB"/>
              </w:rPr>
              <w:t>Number (%) of centres</w:t>
            </w:r>
          </w:p>
        </w:tc>
      </w:tr>
      <w:tr w:rsidR="008A0B8E" w:rsidRPr="0037330A" w14:paraId="7D4371CC" w14:textId="77777777" w:rsidTr="00031388">
        <w:trPr>
          <w:trHeight w:val="341"/>
        </w:trPr>
        <w:tc>
          <w:tcPr>
            <w:tcW w:w="3690" w:type="dxa"/>
            <w:tcBorders>
              <w:top w:val="single" w:sz="4" w:space="0" w:color="auto"/>
            </w:tcBorders>
          </w:tcPr>
          <w:p w14:paraId="18E954D0"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Thighs</w:t>
            </w:r>
          </w:p>
        </w:tc>
        <w:tc>
          <w:tcPr>
            <w:tcW w:w="3119" w:type="dxa"/>
            <w:tcBorders>
              <w:top w:val="single" w:sz="4" w:space="0" w:color="auto"/>
            </w:tcBorders>
          </w:tcPr>
          <w:p w14:paraId="4A677013"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36 (97.2)</w:t>
            </w:r>
          </w:p>
        </w:tc>
      </w:tr>
      <w:tr w:rsidR="008A0B8E" w:rsidRPr="0037330A" w14:paraId="4F2A71F0" w14:textId="77777777" w:rsidTr="00031388">
        <w:trPr>
          <w:trHeight w:val="328"/>
        </w:trPr>
        <w:tc>
          <w:tcPr>
            <w:tcW w:w="3690" w:type="dxa"/>
          </w:tcPr>
          <w:p w14:paraId="1F71AAB4"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Stomach</w:t>
            </w:r>
          </w:p>
        </w:tc>
        <w:tc>
          <w:tcPr>
            <w:tcW w:w="3119" w:type="dxa"/>
          </w:tcPr>
          <w:p w14:paraId="66AE7E26"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35 (94.5)</w:t>
            </w:r>
          </w:p>
        </w:tc>
      </w:tr>
      <w:tr w:rsidR="008A0B8E" w:rsidRPr="0037330A" w14:paraId="0643C338" w14:textId="77777777" w:rsidTr="00031388">
        <w:trPr>
          <w:trHeight w:val="62"/>
        </w:trPr>
        <w:tc>
          <w:tcPr>
            <w:tcW w:w="3690" w:type="dxa"/>
          </w:tcPr>
          <w:p w14:paraId="2A61E0E0"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Back of arm</w:t>
            </w:r>
          </w:p>
        </w:tc>
        <w:tc>
          <w:tcPr>
            <w:tcW w:w="3119" w:type="dxa"/>
          </w:tcPr>
          <w:p w14:paraId="07FCBF4E"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21 (56.7)</w:t>
            </w:r>
          </w:p>
        </w:tc>
      </w:tr>
      <w:tr w:rsidR="008A0B8E" w:rsidRPr="0037330A" w14:paraId="67F39401" w14:textId="77777777" w:rsidTr="00031388">
        <w:trPr>
          <w:trHeight w:val="62"/>
        </w:trPr>
        <w:tc>
          <w:tcPr>
            <w:tcW w:w="3690" w:type="dxa"/>
          </w:tcPr>
          <w:p w14:paraId="70A4F170"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Buttocks</w:t>
            </w:r>
          </w:p>
        </w:tc>
        <w:tc>
          <w:tcPr>
            <w:tcW w:w="3119" w:type="dxa"/>
          </w:tcPr>
          <w:p w14:paraId="02CF5B70"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19 (51.3)</w:t>
            </w:r>
          </w:p>
        </w:tc>
      </w:tr>
      <w:tr w:rsidR="008A0B8E" w:rsidRPr="0037330A" w14:paraId="56E533A5" w14:textId="77777777" w:rsidTr="00031388">
        <w:trPr>
          <w:trHeight w:val="62"/>
        </w:trPr>
        <w:tc>
          <w:tcPr>
            <w:tcW w:w="3690" w:type="dxa"/>
          </w:tcPr>
          <w:p w14:paraId="0681CCAD"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Front of arm</w:t>
            </w:r>
          </w:p>
        </w:tc>
        <w:tc>
          <w:tcPr>
            <w:tcW w:w="3119" w:type="dxa"/>
          </w:tcPr>
          <w:p w14:paraId="3C95B8F4"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12 (32.4)</w:t>
            </w:r>
          </w:p>
        </w:tc>
      </w:tr>
      <w:tr w:rsidR="008A0B8E" w:rsidRPr="0037330A" w14:paraId="26F297DB" w14:textId="77777777" w:rsidTr="00031388">
        <w:trPr>
          <w:trHeight w:val="62"/>
        </w:trPr>
        <w:tc>
          <w:tcPr>
            <w:tcW w:w="3690" w:type="dxa"/>
          </w:tcPr>
          <w:p w14:paraId="31FB13F7"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Other</w:t>
            </w:r>
          </w:p>
        </w:tc>
        <w:tc>
          <w:tcPr>
            <w:tcW w:w="3119" w:type="dxa"/>
          </w:tcPr>
          <w:p w14:paraId="0839A81A"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 (2.7)</w:t>
            </w:r>
          </w:p>
        </w:tc>
      </w:tr>
    </w:tbl>
    <w:p w14:paraId="43B87F0E" w14:textId="77777777" w:rsidR="008A0B8E" w:rsidRPr="0037330A" w:rsidRDefault="008A0B8E" w:rsidP="00146B63">
      <w:pPr>
        <w:snapToGrid w:val="0"/>
        <w:spacing w:line="360" w:lineRule="auto"/>
        <w:jc w:val="both"/>
        <w:rPr>
          <w:rFonts w:ascii="Book Antiqua" w:hAnsi="Book Antiqua"/>
          <w:bCs/>
          <w:color w:val="000000" w:themeColor="text1"/>
          <w:lang w:val="en-GB"/>
        </w:rPr>
      </w:pPr>
    </w:p>
    <w:p w14:paraId="17EF1567" w14:textId="77777777" w:rsidR="008A0B8E" w:rsidRPr="0037330A" w:rsidRDefault="008A0B8E" w:rsidP="00146B63">
      <w:pPr>
        <w:snapToGrid w:val="0"/>
        <w:spacing w:line="360" w:lineRule="auto"/>
        <w:jc w:val="both"/>
        <w:rPr>
          <w:rFonts w:ascii="Book Antiqua" w:hAnsi="Book Antiqua"/>
          <w:b/>
          <w:lang w:val="en-GB"/>
        </w:rPr>
      </w:pPr>
      <w:r w:rsidRPr="0037330A">
        <w:rPr>
          <w:rFonts w:ascii="Book Antiqua" w:hAnsi="Book Antiqua"/>
          <w:b/>
          <w:lang w:val="en-GB"/>
        </w:rPr>
        <w:br w:type="page"/>
      </w:r>
    </w:p>
    <w:p w14:paraId="736D1A22" w14:textId="0F05900C" w:rsidR="008A0B8E" w:rsidRPr="0037330A" w:rsidRDefault="00031388" w:rsidP="00146B63">
      <w:pPr>
        <w:snapToGrid w:val="0"/>
        <w:spacing w:line="360" w:lineRule="auto"/>
        <w:jc w:val="both"/>
        <w:rPr>
          <w:rFonts w:ascii="Book Antiqua" w:hAnsi="Book Antiqua"/>
          <w:b/>
          <w:lang w:val="en-GB"/>
        </w:rPr>
      </w:pPr>
      <w:r w:rsidRPr="0037330A">
        <w:rPr>
          <w:rFonts w:ascii="Book Antiqua" w:hAnsi="Book Antiqua"/>
          <w:b/>
          <w:lang w:val="en-GB"/>
        </w:rPr>
        <w:lastRenderedPageBreak/>
        <w:t xml:space="preserve">Table 4 Ages recommended </w:t>
      </w:r>
      <w:r w:rsidRPr="0037330A">
        <w:rPr>
          <w:rFonts w:ascii="Book Antiqua" w:eastAsiaTheme="minorEastAsia" w:hAnsi="Book Antiqua"/>
          <w:b/>
          <w:lang w:val="en-GB" w:eastAsia="zh-CN"/>
        </w:rPr>
        <w:t xml:space="preserve">to </w:t>
      </w:r>
      <w:r w:rsidR="008A0B8E" w:rsidRPr="0037330A">
        <w:rPr>
          <w:rFonts w:ascii="Book Antiqua" w:hAnsi="Book Antiqua"/>
          <w:b/>
          <w:lang w:val="en-GB"/>
        </w:rPr>
        <w:t xml:space="preserve">begin self-administration of insulin injection </w:t>
      </w:r>
    </w:p>
    <w:tbl>
      <w:tblPr>
        <w:tblStyle w:val="a8"/>
        <w:tblW w:w="72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3402"/>
      </w:tblGrid>
      <w:tr w:rsidR="008A0B8E" w:rsidRPr="0037330A" w14:paraId="0902711F" w14:textId="77777777" w:rsidTr="005871B7">
        <w:trPr>
          <w:trHeight w:val="274"/>
        </w:trPr>
        <w:tc>
          <w:tcPr>
            <w:tcW w:w="3832" w:type="dxa"/>
            <w:tcBorders>
              <w:top w:val="single" w:sz="4" w:space="0" w:color="auto"/>
              <w:bottom w:val="single" w:sz="4" w:space="0" w:color="auto"/>
            </w:tcBorders>
          </w:tcPr>
          <w:p w14:paraId="3B906D42" w14:textId="197FD807" w:rsidR="008A0B8E" w:rsidRPr="0037330A" w:rsidRDefault="008A0B8E" w:rsidP="00146B63">
            <w:pPr>
              <w:snapToGrid w:val="0"/>
              <w:spacing w:line="360" w:lineRule="auto"/>
              <w:jc w:val="both"/>
              <w:rPr>
                <w:rFonts w:ascii="Book Antiqua" w:eastAsiaTheme="minorEastAsia" w:hAnsi="Book Antiqua"/>
                <w:b/>
                <w:lang w:val="en-GB" w:eastAsia="zh-CN"/>
              </w:rPr>
            </w:pPr>
            <w:r w:rsidRPr="0037330A">
              <w:rPr>
                <w:rFonts w:ascii="Book Antiqua" w:hAnsi="Book Antiqua"/>
                <w:b/>
                <w:lang w:val="en-GB"/>
              </w:rPr>
              <w:t>Age</w:t>
            </w:r>
            <w:r w:rsidRPr="0037330A">
              <w:rPr>
                <w:rFonts w:ascii="Book Antiqua" w:eastAsiaTheme="minorEastAsia" w:hAnsi="Book Antiqua"/>
                <w:b/>
                <w:lang w:val="en-GB" w:eastAsia="zh-CN"/>
              </w:rPr>
              <w:t xml:space="preserve"> (yr)</w:t>
            </w:r>
          </w:p>
        </w:tc>
        <w:tc>
          <w:tcPr>
            <w:tcW w:w="3402" w:type="dxa"/>
            <w:tcBorders>
              <w:top w:val="single" w:sz="4" w:space="0" w:color="auto"/>
              <w:bottom w:val="single" w:sz="4" w:space="0" w:color="auto"/>
            </w:tcBorders>
          </w:tcPr>
          <w:p w14:paraId="2EBC4DD3" w14:textId="77777777" w:rsidR="008A0B8E" w:rsidRPr="0037330A" w:rsidRDefault="008A0B8E" w:rsidP="00146B63">
            <w:pPr>
              <w:snapToGrid w:val="0"/>
              <w:spacing w:line="360" w:lineRule="auto"/>
              <w:jc w:val="both"/>
              <w:rPr>
                <w:rFonts w:ascii="Book Antiqua" w:hAnsi="Book Antiqua"/>
                <w:b/>
                <w:lang w:val="en-GB"/>
              </w:rPr>
            </w:pPr>
            <w:r w:rsidRPr="0037330A">
              <w:rPr>
                <w:rFonts w:ascii="Book Antiqua" w:hAnsi="Book Antiqua"/>
                <w:b/>
                <w:lang w:val="en-GB"/>
              </w:rPr>
              <w:t xml:space="preserve">Number (%) of centres </w:t>
            </w:r>
          </w:p>
        </w:tc>
      </w:tr>
      <w:tr w:rsidR="008A0B8E" w:rsidRPr="0037330A" w14:paraId="4E40520C" w14:textId="77777777" w:rsidTr="005871B7">
        <w:trPr>
          <w:trHeight w:val="285"/>
        </w:trPr>
        <w:tc>
          <w:tcPr>
            <w:tcW w:w="3832" w:type="dxa"/>
            <w:tcBorders>
              <w:top w:val="single" w:sz="4" w:space="0" w:color="auto"/>
            </w:tcBorders>
          </w:tcPr>
          <w:p w14:paraId="3DBA6118" w14:textId="760B2029" w:rsidR="008A0B8E" w:rsidRPr="0037330A" w:rsidRDefault="00031388" w:rsidP="00146B63">
            <w:pPr>
              <w:snapToGrid w:val="0"/>
              <w:spacing w:line="360" w:lineRule="auto"/>
              <w:jc w:val="both"/>
              <w:rPr>
                <w:rFonts w:ascii="Book Antiqua" w:eastAsiaTheme="minorEastAsia" w:hAnsi="Book Antiqua"/>
                <w:bCs/>
                <w:lang w:val="en-GB" w:eastAsia="zh-CN"/>
              </w:rPr>
            </w:pPr>
            <w:r w:rsidRPr="0037330A">
              <w:rPr>
                <w:rFonts w:ascii="Book Antiqua" w:hAnsi="Book Antiqua"/>
                <w:bCs/>
                <w:lang w:val="en-GB"/>
              </w:rPr>
              <w:t>≤</w:t>
            </w:r>
            <w:r w:rsidRPr="0037330A">
              <w:rPr>
                <w:rFonts w:ascii="Book Antiqua" w:eastAsiaTheme="minorEastAsia" w:hAnsi="Book Antiqua"/>
                <w:bCs/>
                <w:lang w:val="en-GB" w:eastAsia="zh-CN"/>
              </w:rPr>
              <w:t xml:space="preserve"> 5</w:t>
            </w:r>
          </w:p>
        </w:tc>
        <w:tc>
          <w:tcPr>
            <w:tcW w:w="3402" w:type="dxa"/>
            <w:tcBorders>
              <w:top w:val="single" w:sz="4" w:space="0" w:color="auto"/>
            </w:tcBorders>
          </w:tcPr>
          <w:p w14:paraId="322B9D5A" w14:textId="77777777"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3 (10.0)</w:t>
            </w:r>
          </w:p>
        </w:tc>
      </w:tr>
      <w:tr w:rsidR="008A0B8E" w:rsidRPr="0037330A" w14:paraId="0054BCC8" w14:textId="77777777" w:rsidTr="005871B7">
        <w:trPr>
          <w:trHeight w:val="285"/>
        </w:trPr>
        <w:tc>
          <w:tcPr>
            <w:tcW w:w="3832" w:type="dxa"/>
          </w:tcPr>
          <w:p w14:paraId="149873B9" w14:textId="23DDC240" w:rsidR="008A0B8E" w:rsidRPr="0037330A" w:rsidRDefault="008A0B8E" w:rsidP="00146B63">
            <w:pPr>
              <w:snapToGrid w:val="0"/>
              <w:spacing w:line="360" w:lineRule="auto"/>
              <w:jc w:val="both"/>
              <w:rPr>
                <w:rFonts w:ascii="Book Antiqua" w:eastAsiaTheme="minorEastAsia" w:hAnsi="Book Antiqua"/>
                <w:bCs/>
                <w:lang w:val="en-GB" w:eastAsia="zh-CN"/>
              </w:rPr>
            </w:pPr>
            <w:r w:rsidRPr="0037330A">
              <w:rPr>
                <w:rFonts w:ascii="Book Antiqua" w:hAnsi="Book Antiqua"/>
                <w:bCs/>
                <w:lang w:val="en-GB"/>
              </w:rPr>
              <w:t>6</w:t>
            </w:r>
          </w:p>
        </w:tc>
        <w:tc>
          <w:tcPr>
            <w:tcW w:w="3402" w:type="dxa"/>
          </w:tcPr>
          <w:p w14:paraId="379C401F" w14:textId="77777777"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4 (13.3)</w:t>
            </w:r>
          </w:p>
        </w:tc>
      </w:tr>
      <w:tr w:rsidR="008A0B8E" w:rsidRPr="0037330A" w14:paraId="61519F35" w14:textId="77777777" w:rsidTr="005871B7">
        <w:trPr>
          <w:trHeight w:val="285"/>
        </w:trPr>
        <w:tc>
          <w:tcPr>
            <w:tcW w:w="3832" w:type="dxa"/>
          </w:tcPr>
          <w:p w14:paraId="4DDAFE20" w14:textId="0D71E6BF"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 xml:space="preserve">7 </w:t>
            </w:r>
          </w:p>
        </w:tc>
        <w:tc>
          <w:tcPr>
            <w:tcW w:w="3402" w:type="dxa"/>
          </w:tcPr>
          <w:p w14:paraId="6553F7AD" w14:textId="77777777"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2 (6.7)</w:t>
            </w:r>
          </w:p>
        </w:tc>
      </w:tr>
      <w:tr w:rsidR="008A0B8E" w:rsidRPr="0037330A" w14:paraId="2199B3EE" w14:textId="77777777" w:rsidTr="005871B7">
        <w:trPr>
          <w:trHeight w:val="285"/>
        </w:trPr>
        <w:tc>
          <w:tcPr>
            <w:tcW w:w="3832" w:type="dxa"/>
          </w:tcPr>
          <w:p w14:paraId="13559BA8" w14:textId="65ADEA87"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 xml:space="preserve">8 </w:t>
            </w:r>
          </w:p>
        </w:tc>
        <w:tc>
          <w:tcPr>
            <w:tcW w:w="3402" w:type="dxa"/>
          </w:tcPr>
          <w:p w14:paraId="564148FB" w14:textId="77777777"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6 (20.0)</w:t>
            </w:r>
          </w:p>
        </w:tc>
      </w:tr>
      <w:tr w:rsidR="008A0B8E" w:rsidRPr="0037330A" w14:paraId="74876F49" w14:textId="77777777" w:rsidTr="005871B7">
        <w:trPr>
          <w:trHeight w:val="274"/>
        </w:trPr>
        <w:tc>
          <w:tcPr>
            <w:tcW w:w="3832" w:type="dxa"/>
          </w:tcPr>
          <w:p w14:paraId="209876C6" w14:textId="1F352489" w:rsidR="008A0B8E" w:rsidRPr="0037330A" w:rsidRDefault="00031388" w:rsidP="00146B63">
            <w:pPr>
              <w:snapToGrid w:val="0"/>
              <w:spacing w:line="360" w:lineRule="auto"/>
              <w:jc w:val="both"/>
              <w:rPr>
                <w:rFonts w:ascii="Book Antiqua" w:eastAsiaTheme="minorEastAsia" w:hAnsi="Book Antiqua"/>
                <w:bCs/>
                <w:lang w:val="en-GB" w:eastAsia="zh-CN"/>
              </w:rPr>
            </w:pPr>
            <w:r w:rsidRPr="0037330A">
              <w:rPr>
                <w:rFonts w:ascii="Book Antiqua" w:hAnsi="Book Antiqua"/>
                <w:bCs/>
                <w:lang w:val="en-GB"/>
              </w:rPr>
              <w:t xml:space="preserve">9 </w:t>
            </w:r>
          </w:p>
        </w:tc>
        <w:tc>
          <w:tcPr>
            <w:tcW w:w="3402" w:type="dxa"/>
          </w:tcPr>
          <w:p w14:paraId="14113E15" w14:textId="77777777"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2 (6.7)</w:t>
            </w:r>
          </w:p>
        </w:tc>
      </w:tr>
      <w:tr w:rsidR="008A0B8E" w:rsidRPr="0037330A" w14:paraId="4EC99AAA" w14:textId="77777777" w:rsidTr="005871B7">
        <w:trPr>
          <w:trHeight w:val="52"/>
        </w:trPr>
        <w:tc>
          <w:tcPr>
            <w:tcW w:w="3832" w:type="dxa"/>
          </w:tcPr>
          <w:p w14:paraId="0AC5448D" w14:textId="54C761C0"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 xml:space="preserve">10 </w:t>
            </w:r>
          </w:p>
        </w:tc>
        <w:tc>
          <w:tcPr>
            <w:tcW w:w="3402" w:type="dxa"/>
          </w:tcPr>
          <w:p w14:paraId="4CE3809B" w14:textId="77777777"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9 (30.0)</w:t>
            </w:r>
          </w:p>
        </w:tc>
      </w:tr>
      <w:tr w:rsidR="008A0B8E" w:rsidRPr="0037330A" w14:paraId="5E1C11FB" w14:textId="77777777" w:rsidTr="005871B7">
        <w:trPr>
          <w:trHeight w:val="63"/>
        </w:trPr>
        <w:tc>
          <w:tcPr>
            <w:tcW w:w="3832" w:type="dxa"/>
          </w:tcPr>
          <w:p w14:paraId="273F5C3A" w14:textId="7FFDF59D" w:rsidR="008A0B8E" w:rsidRPr="0037330A" w:rsidRDefault="008A0B8E" w:rsidP="00146B63">
            <w:pPr>
              <w:snapToGrid w:val="0"/>
              <w:spacing w:line="360" w:lineRule="auto"/>
              <w:jc w:val="both"/>
              <w:rPr>
                <w:rFonts w:ascii="Book Antiqua" w:eastAsiaTheme="minorEastAsia" w:hAnsi="Book Antiqua"/>
                <w:bCs/>
                <w:lang w:val="en-GB" w:eastAsia="zh-CN"/>
              </w:rPr>
            </w:pPr>
            <w:r w:rsidRPr="0037330A">
              <w:rPr>
                <w:rFonts w:ascii="Book Antiqua" w:hAnsi="Book Antiqua"/>
                <w:bCs/>
                <w:lang w:val="en-GB"/>
              </w:rPr>
              <w:t xml:space="preserve">11 </w:t>
            </w:r>
          </w:p>
        </w:tc>
        <w:tc>
          <w:tcPr>
            <w:tcW w:w="3402" w:type="dxa"/>
          </w:tcPr>
          <w:p w14:paraId="44C1E933" w14:textId="77777777"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1 (3.3)</w:t>
            </w:r>
          </w:p>
        </w:tc>
      </w:tr>
      <w:tr w:rsidR="008A0B8E" w:rsidRPr="0037330A" w14:paraId="39ACAD78" w14:textId="77777777" w:rsidTr="005871B7">
        <w:trPr>
          <w:trHeight w:val="52"/>
        </w:trPr>
        <w:tc>
          <w:tcPr>
            <w:tcW w:w="3832" w:type="dxa"/>
          </w:tcPr>
          <w:p w14:paraId="75EABCD2" w14:textId="5C7E2646" w:rsidR="008A0B8E" w:rsidRPr="0037330A" w:rsidRDefault="00031388" w:rsidP="00146B63">
            <w:pPr>
              <w:snapToGrid w:val="0"/>
              <w:spacing w:line="360" w:lineRule="auto"/>
              <w:jc w:val="both"/>
              <w:rPr>
                <w:rFonts w:ascii="Book Antiqua" w:hAnsi="Book Antiqua"/>
                <w:bCs/>
                <w:lang w:val="en-GB"/>
              </w:rPr>
            </w:pPr>
            <w:r w:rsidRPr="0037330A">
              <w:rPr>
                <w:rFonts w:ascii="Book Antiqua" w:hAnsi="Book Antiqua"/>
                <w:bCs/>
                <w:lang w:val="en-GB"/>
              </w:rPr>
              <w:t>≥</w:t>
            </w:r>
            <w:r w:rsidRPr="0037330A">
              <w:rPr>
                <w:rFonts w:ascii="Book Antiqua" w:eastAsiaTheme="minorEastAsia" w:hAnsi="Book Antiqua"/>
                <w:bCs/>
                <w:lang w:val="en-GB" w:eastAsia="zh-CN"/>
              </w:rPr>
              <w:t xml:space="preserve"> </w:t>
            </w:r>
            <w:r w:rsidR="008A0B8E" w:rsidRPr="0037330A">
              <w:rPr>
                <w:rFonts w:ascii="Book Antiqua" w:hAnsi="Book Antiqua"/>
                <w:bCs/>
                <w:lang w:val="en-GB"/>
              </w:rPr>
              <w:t xml:space="preserve">12 </w:t>
            </w:r>
          </w:p>
        </w:tc>
        <w:tc>
          <w:tcPr>
            <w:tcW w:w="3402" w:type="dxa"/>
          </w:tcPr>
          <w:p w14:paraId="495AC10B" w14:textId="77777777" w:rsidR="008A0B8E" w:rsidRPr="0037330A" w:rsidRDefault="008A0B8E" w:rsidP="00146B63">
            <w:pPr>
              <w:snapToGrid w:val="0"/>
              <w:spacing w:line="360" w:lineRule="auto"/>
              <w:jc w:val="both"/>
              <w:rPr>
                <w:rFonts w:ascii="Book Antiqua" w:hAnsi="Book Antiqua"/>
                <w:bCs/>
                <w:lang w:val="en-GB"/>
              </w:rPr>
            </w:pPr>
            <w:r w:rsidRPr="0037330A">
              <w:rPr>
                <w:rFonts w:ascii="Book Antiqua" w:hAnsi="Book Antiqua"/>
                <w:bCs/>
                <w:lang w:val="en-GB"/>
              </w:rPr>
              <w:t>3 (10.0)</w:t>
            </w:r>
          </w:p>
        </w:tc>
      </w:tr>
    </w:tbl>
    <w:p w14:paraId="60DF829F" w14:textId="77777777" w:rsidR="008A0B8E" w:rsidRPr="0037330A" w:rsidRDefault="008A0B8E" w:rsidP="00146B63">
      <w:pPr>
        <w:tabs>
          <w:tab w:val="left" w:pos="990"/>
        </w:tabs>
        <w:snapToGrid w:val="0"/>
        <w:spacing w:line="360" w:lineRule="auto"/>
        <w:jc w:val="both"/>
        <w:rPr>
          <w:rFonts w:ascii="Book Antiqua" w:eastAsiaTheme="minorEastAsia" w:hAnsi="Book Antiqua"/>
          <w:b/>
          <w:lang w:val="en-GB" w:eastAsia="zh-CN"/>
        </w:rPr>
      </w:pPr>
    </w:p>
    <w:p w14:paraId="79A308CA" w14:textId="77777777" w:rsidR="008A0B8E" w:rsidRPr="0037330A" w:rsidRDefault="008A0B8E" w:rsidP="00146B63">
      <w:pPr>
        <w:snapToGrid w:val="0"/>
        <w:spacing w:line="360" w:lineRule="auto"/>
        <w:jc w:val="both"/>
        <w:rPr>
          <w:rFonts w:ascii="Book Antiqua" w:hAnsi="Book Antiqua"/>
          <w:b/>
          <w:lang w:val="en-GB"/>
        </w:rPr>
      </w:pPr>
      <w:r w:rsidRPr="0037330A">
        <w:rPr>
          <w:rFonts w:ascii="Book Antiqua" w:hAnsi="Book Antiqua"/>
          <w:b/>
          <w:lang w:val="en-GB"/>
        </w:rPr>
        <w:br w:type="page"/>
      </w:r>
    </w:p>
    <w:p w14:paraId="7125AD38" w14:textId="046D5B8E" w:rsidR="008A0B8E" w:rsidRPr="0037330A" w:rsidRDefault="00031388"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lastRenderedPageBreak/>
        <w:t>Table 5</w:t>
      </w:r>
      <w:r w:rsidR="008A0B8E" w:rsidRPr="0037330A">
        <w:rPr>
          <w:rFonts w:ascii="Book Antiqua" w:hAnsi="Book Antiqua"/>
          <w:b/>
          <w:lang w:val="en-GB"/>
        </w:rPr>
        <w:t xml:space="preserve"> Needle reuse </w:t>
      </w:r>
    </w:p>
    <w:tbl>
      <w:tblPr>
        <w:tblStyle w:val="a8"/>
        <w:tblW w:w="7518"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3261"/>
      </w:tblGrid>
      <w:tr w:rsidR="008A0B8E" w:rsidRPr="0037330A" w14:paraId="20FE5847" w14:textId="77777777" w:rsidTr="00031388">
        <w:trPr>
          <w:trHeight w:val="278"/>
        </w:trPr>
        <w:tc>
          <w:tcPr>
            <w:tcW w:w="4257" w:type="dxa"/>
            <w:tcBorders>
              <w:top w:val="single" w:sz="4" w:space="0" w:color="auto"/>
              <w:bottom w:val="single" w:sz="4" w:space="0" w:color="auto"/>
            </w:tcBorders>
          </w:tcPr>
          <w:p w14:paraId="4D731EFA" w14:textId="77777777" w:rsidR="008A0B8E" w:rsidRPr="0037330A" w:rsidRDefault="008A0B8E"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
                <w:color w:val="000000" w:themeColor="text1"/>
                <w:lang w:val="en-GB"/>
              </w:rPr>
              <w:t>Times needle used before disposal</w:t>
            </w:r>
          </w:p>
        </w:tc>
        <w:tc>
          <w:tcPr>
            <w:tcW w:w="3261" w:type="dxa"/>
            <w:tcBorders>
              <w:top w:val="single" w:sz="4" w:space="0" w:color="auto"/>
              <w:bottom w:val="single" w:sz="4" w:space="0" w:color="auto"/>
            </w:tcBorders>
          </w:tcPr>
          <w:p w14:paraId="54782A5F" w14:textId="77777777" w:rsidR="008A0B8E" w:rsidRPr="0037330A" w:rsidRDefault="008A0B8E" w:rsidP="00146B63">
            <w:pPr>
              <w:tabs>
                <w:tab w:val="left" w:pos="990"/>
              </w:tabs>
              <w:snapToGrid w:val="0"/>
              <w:spacing w:line="360" w:lineRule="auto"/>
              <w:jc w:val="both"/>
              <w:rPr>
                <w:rFonts w:ascii="Book Antiqua" w:hAnsi="Book Antiqua"/>
                <w:b/>
                <w:color w:val="000000" w:themeColor="text1"/>
                <w:lang w:val="en-GB"/>
              </w:rPr>
            </w:pPr>
            <w:r w:rsidRPr="0037330A">
              <w:rPr>
                <w:rFonts w:ascii="Book Antiqua" w:hAnsi="Book Antiqua"/>
                <w:b/>
                <w:color w:val="000000" w:themeColor="text1"/>
                <w:lang w:val="en-GB"/>
              </w:rPr>
              <w:t>Number (</w:t>
            </w:r>
            <w:r w:rsidRPr="0037330A">
              <w:rPr>
                <w:rFonts w:ascii="Book Antiqua" w:hAnsi="Book Antiqua"/>
                <w:b/>
                <w:i/>
                <w:color w:val="000000" w:themeColor="text1"/>
                <w:lang w:val="en-GB"/>
              </w:rPr>
              <w:t>n</w:t>
            </w:r>
            <w:r w:rsidRPr="0037330A">
              <w:rPr>
                <w:rFonts w:ascii="Book Antiqua" w:hAnsi="Book Antiqua"/>
                <w:b/>
                <w:color w:val="000000" w:themeColor="text1"/>
                <w:lang w:val="en-GB"/>
              </w:rPr>
              <w:t xml:space="preserve"> %) of centres </w:t>
            </w:r>
          </w:p>
        </w:tc>
      </w:tr>
      <w:tr w:rsidR="008A0B8E" w:rsidRPr="0037330A" w14:paraId="370CF528" w14:textId="77777777" w:rsidTr="00031388">
        <w:trPr>
          <w:trHeight w:val="289"/>
        </w:trPr>
        <w:tc>
          <w:tcPr>
            <w:tcW w:w="4257" w:type="dxa"/>
            <w:tcBorders>
              <w:top w:val="single" w:sz="4" w:space="0" w:color="auto"/>
            </w:tcBorders>
          </w:tcPr>
          <w:p w14:paraId="588D667F"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Single use</w:t>
            </w:r>
          </w:p>
        </w:tc>
        <w:tc>
          <w:tcPr>
            <w:tcW w:w="3261" w:type="dxa"/>
            <w:tcBorders>
              <w:top w:val="single" w:sz="4" w:space="0" w:color="auto"/>
            </w:tcBorders>
          </w:tcPr>
          <w:p w14:paraId="43A1F3A6"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2 (5.7)</w:t>
            </w:r>
          </w:p>
        </w:tc>
      </w:tr>
      <w:tr w:rsidR="008A0B8E" w:rsidRPr="0037330A" w14:paraId="302008E2" w14:textId="77777777" w:rsidTr="00031388">
        <w:trPr>
          <w:trHeight w:val="278"/>
        </w:trPr>
        <w:tc>
          <w:tcPr>
            <w:tcW w:w="4257" w:type="dxa"/>
          </w:tcPr>
          <w:p w14:paraId="0725CECF"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 xml:space="preserve">Two to four </w:t>
            </w:r>
          </w:p>
        </w:tc>
        <w:tc>
          <w:tcPr>
            <w:tcW w:w="3261" w:type="dxa"/>
          </w:tcPr>
          <w:p w14:paraId="507B956B" w14:textId="77777777" w:rsidR="008A0B8E" w:rsidRPr="0037330A" w:rsidRDefault="008A0B8E" w:rsidP="00146B63">
            <w:pPr>
              <w:tabs>
                <w:tab w:val="center" w:pos="2319"/>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18 (51.4)</w:t>
            </w:r>
          </w:p>
        </w:tc>
      </w:tr>
      <w:tr w:rsidR="008A0B8E" w:rsidRPr="0037330A" w14:paraId="44471C25" w14:textId="77777777" w:rsidTr="00031388">
        <w:trPr>
          <w:trHeight w:val="52"/>
        </w:trPr>
        <w:tc>
          <w:tcPr>
            <w:tcW w:w="4257" w:type="dxa"/>
          </w:tcPr>
          <w:p w14:paraId="580185DD"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 xml:space="preserve">Five to nine </w:t>
            </w:r>
          </w:p>
        </w:tc>
        <w:tc>
          <w:tcPr>
            <w:tcW w:w="3261" w:type="dxa"/>
          </w:tcPr>
          <w:p w14:paraId="4D795F3A"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10 (28.6)</w:t>
            </w:r>
          </w:p>
        </w:tc>
      </w:tr>
      <w:tr w:rsidR="008A0B8E" w:rsidRPr="0037330A" w14:paraId="041D0FC1" w14:textId="77777777" w:rsidTr="00031388">
        <w:trPr>
          <w:trHeight w:val="52"/>
        </w:trPr>
        <w:tc>
          <w:tcPr>
            <w:tcW w:w="4257" w:type="dxa"/>
          </w:tcPr>
          <w:p w14:paraId="770F9CBE"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Ten or more</w:t>
            </w:r>
          </w:p>
        </w:tc>
        <w:tc>
          <w:tcPr>
            <w:tcW w:w="3261" w:type="dxa"/>
          </w:tcPr>
          <w:p w14:paraId="2CFD150B" w14:textId="77777777" w:rsidR="008A0B8E" w:rsidRPr="0037330A" w:rsidRDefault="008A0B8E"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5 (14.3)</w:t>
            </w:r>
          </w:p>
        </w:tc>
      </w:tr>
    </w:tbl>
    <w:p w14:paraId="69F220E6" w14:textId="77777777" w:rsidR="008A0B8E" w:rsidRPr="0037330A" w:rsidRDefault="008A0B8E" w:rsidP="00146B63">
      <w:pPr>
        <w:snapToGrid w:val="0"/>
        <w:spacing w:line="360" w:lineRule="auto"/>
        <w:jc w:val="both"/>
        <w:rPr>
          <w:rFonts w:ascii="Book Antiqua" w:hAnsi="Book Antiqua"/>
          <w:b/>
          <w:color w:val="000000" w:themeColor="text1"/>
          <w:u w:val="single"/>
          <w:lang w:val="en-GB"/>
        </w:rPr>
      </w:pPr>
    </w:p>
    <w:p w14:paraId="1CA2D7B9" w14:textId="77777777" w:rsidR="008A0B8E" w:rsidRPr="0037330A" w:rsidRDefault="008A0B8E" w:rsidP="00146B63">
      <w:pPr>
        <w:autoSpaceDE w:val="0"/>
        <w:autoSpaceDN w:val="0"/>
        <w:adjustRightInd w:val="0"/>
        <w:snapToGrid w:val="0"/>
        <w:spacing w:line="360" w:lineRule="auto"/>
        <w:jc w:val="both"/>
        <w:rPr>
          <w:rFonts w:ascii="Book Antiqua" w:eastAsiaTheme="minorEastAsia" w:hAnsi="Book Antiqua"/>
          <w:lang w:val="en-GB" w:eastAsia="zh-CN"/>
        </w:rPr>
        <w:sectPr w:rsidR="008A0B8E" w:rsidRPr="0037330A" w:rsidSect="00146B63">
          <w:type w:val="continuous"/>
          <w:pgSz w:w="11900" w:h="16840"/>
          <w:pgMar w:top="1440" w:right="1800" w:bottom="1440" w:left="1800" w:header="720" w:footer="720" w:gutter="0"/>
          <w:cols w:space="720"/>
          <w:docGrid w:linePitch="360"/>
        </w:sectPr>
      </w:pPr>
    </w:p>
    <w:p w14:paraId="09464A46" w14:textId="40590D9A" w:rsidR="001A4227" w:rsidRPr="0037330A" w:rsidRDefault="00031388" w:rsidP="00146B63">
      <w:pPr>
        <w:snapToGrid w:val="0"/>
        <w:spacing w:line="360" w:lineRule="auto"/>
        <w:jc w:val="both"/>
        <w:rPr>
          <w:rFonts w:ascii="Book Antiqua" w:hAnsi="Book Antiqua"/>
          <w:b/>
          <w:lang w:val="en-GB"/>
        </w:rPr>
      </w:pPr>
      <w:r w:rsidRPr="0037330A">
        <w:rPr>
          <w:rFonts w:ascii="Book Antiqua" w:hAnsi="Book Antiqua"/>
          <w:b/>
          <w:lang w:val="en-GB"/>
        </w:rPr>
        <w:lastRenderedPageBreak/>
        <w:t>Table 6 Glycated haemoglobin</w:t>
      </w:r>
      <w:r w:rsidR="001A4227" w:rsidRPr="0037330A">
        <w:rPr>
          <w:rFonts w:ascii="Book Antiqua" w:hAnsi="Book Antiqua"/>
          <w:b/>
          <w:lang w:val="en-GB"/>
        </w:rPr>
        <w:t xml:space="preserve"> provision within the 29 countries that h</w:t>
      </w:r>
      <w:r w:rsidR="008A0B8E" w:rsidRPr="0037330A">
        <w:rPr>
          <w:rFonts w:ascii="Book Antiqua" w:hAnsi="Book Antiqua"/>
          <w:b/>
          <w:lang w:val="en-GB"/>
        </w:rPr>
        <w:t>ad some public health provision</w:t>
      </w:r>
    </w:p>
    <w:tbl>
      <w:tblPr>
        <w:tblStyle w:val="a8"/>
        <w:tblW w:w="13901" w:type="dxa"/>
        <w:tblInd w:w="-1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1293"/>
        <w:gridCol w:w="957"/>
        <w:gridCol w:w="1134"/>
        <w:gridCol w:w="992"/>
        <w:gridCol w:w="1701"/>
        <w:gridCol w:w="1843"/>
        <w:gridCol w:w="2126"/>
        <w:gridCol w:w="2268"/>
      </w:tblGrid>
      <w:tr w:rsidR="00146B63" w:rsidRPr="0037330A" w14:paraId="20C04A36" w14:textId="77777777" w:rsidTr="00031388">
        <w:trPr>
          <w:trHeight w:val="423"/>
        </w:trPr>
        <w:tc>
          <w:tcPr>
            <w:tcW w:w="2880" w:type="dxa"/>
            <w:gridSpan w:val="2"/>
            <w:tcBorders>
              <w:top w:val="single" w:sz="4" w:space="0" w:color="auto"/>
              <w:bottom w:val="single" w:sz="4" w:space="0" w:color="auto"/>
            </w:tcBorders>
            <w:vAlign w:val="center"/>
          </w:tcPr>
          <w:p w14:paraId="689C051E" w14:textId="77777777" w:rsidR="001A4227" w:rsidRPr="0037330A" w:rsidRDefault="001A4227"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t>Provision</w:t>
            </w:r>
          </w:p>
        </w:tc>
        <w:tc>
          <w:tcPr>
            <w:tcW w:w="3083" w:type="dxa"/>
            <w:gridSpan w:val="3"/>
            <w:tcBorders>
              <w:top w:val="single" w:sz="4" w:space="0" w:color="auto"/>
              <w:bottom w:val="single" w:sz="4" w:space="0" w:color="auto"/>
            </w:tcBorders>
            <w:vAlign w:val="center"/>
          </w:tcPr>
          <w:p w14:paraId="447D37C0" w14:textId="77777777" w:rsidR="001A4227" w:rsidRPr="0037330A" w:rsidRDefault="001A4227"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t>Measurement methods</w:t>
            </w:r>
          </w:p>
        </w:tc>
        <w:tc>
          <w:tcPr>
            <w:tcW w:w="5670" w:type="dxa"/>
            <w:gridSpan w:val="3"/>
            <w:tcBorders>
              <w:top w:val="single" w:sz="4" w:space="0" w:color="auto"/>
              <w:bottom w:val="single" w:sz="4" w:space="0" w:color="auto"/>
            </w:tcBorders>
            <w:vAlign w:val="center"/>
          </w:tcPr>
          <w:p w14:paraId="12D09127" w14:textId="77777777" w:rsidR="001A4227" w:rsidRPr="0037330A" w:rsidRDefault="001A4227"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t>Costs per test</w:t>
            </w:r>
          </w:p>
        </w:tc>
        <w:tc>
          <w:tcPr>
            <w:tcW w:w="2268" w:type="dxa"/>
            <w:tcBorders>
              <w:top w:val="single" w:sz="4" w:space="0" w:color="auto"/>
              <w:bottom w:val="single" w:sz="4" w:space="0" w:color="auto"/>
            </w:tcBorders>
            <w:vAlign w:val="center"/>
          </w:tcPr>
          <w:p w14:paraId="665D34D2" w14:textId="77777777" w:rsidR="001A4227" w:rsidRPr="0037330A" w:rsidRDefault="001A4227" w:rsidP="00146B63">
            <w:pPr>
              <w:tabs>
                <w:tab w:val="left" w:pos="990"/>
              </w:tabs>
              <w:snapToGrid w:val="0"/>
              <w:spacing w:line="360" w:lineRule="auto"/>
              <w:jc w:val="both"/>
              <w:rPr>
                <w:rFonts w:ascii="Book Antiqua" w:hAnsi="Book Antiqua"/>
                <w:b/>
                <w:lang w:val="en-GB"/>
              </w:rPr>
            </w:pPr>
            <w:r w:rsidRPr="0037330A">
              <w:rPr>
                <w:rFonts w:ascii="Book Antiqua" w:hAnsi="Book Antiqua"/>
                <w:b/>
                <w:lang w:val="en-GB"/>
              </w:rPr>
              <w:t>Availability</w:t>
            </w:r>
          </w:p>
        </w:tc>
      </w:tr>
      <w:tr w:rsidR="00031388" w:rsidRPr="0037330A" w14:paraId="0333FF06" w14:textId="77777777" w:rsidTr="00031388">
        <w:trPr>
          <w:trHeight w:val="318"/>
        </w:trPr>
        <w:tc>
          <w:tcPr>
            <w:tcW w:w="1587" w:type="dxa"/>
            <w:tcBorders>
              <w:top w:val="single" w:sz="4" w:space="0" w:color="auto"/>
              <w:bottom w:val="single" w:sz="4" w:space="0" w:color="auto"/>
            </w:tcBorders>
            <w:vAlign w:val="center"/>
          </w:tcPr>
          <w:p w14:paraId="0BEBBF01" w14:textId="11966CBB" w:rsidR="001A4227" w:rsidRPr="0037330A" w:rsidRDefault="001A4227"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Level</w:t>
            </w:r>
            <w:r w:rsidR="00031388" w:rsidRPr="0037330A">
              <w:rPr>
                <w:rFonts w:ascii="Book Antiqua" w:eastAsiaTheme="minorEastAsia" w:hAnsi="Book Antiqua"/>
                <w:bCs/>
                <w:iCs/>
                <w:lang w:val="en-GB" w:eastAsia="zh-CN"/>
              </w:rPr>
              <w:t xml:space="preserve"> </w:t>
            </w:r>
            <w:r w:rsidRPr="0037330A">
              <w:rPr>
                <w:rFonts w:ascii="Book Antiqua" w:hAnsi="Book Antiqua"/>
                <w:bCs/>
                <w:iCs/>
                <w:lang w:val="en-GB"/>
              </w:rPr>
              <w:t xml:space="preserve">(s) of </w:t>
            </w:r>
            <w:r w:rsidR="00031388" w:rsidRPr="0037330A">
              <w:rPr>
                <w:rFonts w:ascii="Book Antiqua" w:hAnsi="Book Antiqua"/>
                <w:bCs/>
                <w:iCs/>
                <w:lang w:val="en-GB"/>
              </w:rPr>
              <w:t>health system settings</w:t>
            </w:r>
          </w:p>
        </w:tc>
        <w:tc>
          <w:tcPr>
            <w:tcW w:w="1293" w:type="dxa"/>
            <w:tcBorders>
              <w:top w:val="single" w:sz="4" w:space="0" w:color="auto"/>
              <w:bottom w:val="single" w:sz="4" w:space="0" w:color="auto"/>
            </w:tcBorders>
            <w:vAlign w:val="center"/>
          </w:tcPr>
          <w:p w14:paraId="6E0B447B" w14:textId="77777777" w:rsidR="001A4227" w:rsidRPr="0037330A" w:rsidRDefault="001A4227"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Frequency of provision in defined setting</w:t>
            </w:r>
          </w:p>
        </w:tc>
        <w:tc>
          <w:tcPr>
            <w:tcW w:w="957" w:type="dxa"/>
            <w:tcBorders>
              <w:top w:val="single" w:sz="4" w:space="0" w:color="auto"/>
              <w:bottom w:val="single" w:sz="4" w:space="0" w:color="auto"/>
            </w:tcBorders>
            <w:vAlign w:val="center"/>
          </w:tcPr>
          <w:p w14:paraId="414F0896" w14:textId="77777777" w:rsidR="001A4227" w:rsidRPr="0037330A" w:rsidRDefault="001A4227"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POCT</w:t>
            </w:r>
          </w:p>
        </w:tc>
        <w:tc>
          <w:tcPr>
            <w:tcW w:w="1134" w:type="dxa"/>
            <w:tcBorders>
              <w:top w:val="single" w:sz="4" w:space="0" w:color="auto"/>
              <w:bottom w:val="single" w:sz="4" w:space="0" w:color="auto"/>
            </w:tcBorders>
            <w:vAlign w:val="center"/>
          </w:tcPr>
          <w:p w14:paraId="10093D89" w14:textId="77777777" w:rsidR="001A4227" w:rsidRPr="0037330A" w:rsidRDefault="001A4227"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Laboratory analysis</w:t>
            </w:r>
          </w:p>
        </w:tc>
        <w:tc>
          <w:tcPr>
            <w:tcW w:w="992" w:type="dxa"/>
            <w:tcBorders>
              <w:top w:val="single" w:sz="4" w:space="0" w:color="auto"/>
              <w:bottom w:val="single" w:sz="4" w:space="0" w:color="auto"/>
            </w:tcBorders>
            <w:vAlign w:val="center"/>
          </w:tcPr>
          <w:p w14:paraId="4D8A587B" w14:textId="77777777" w:rsidR="001A4227" w:rsidRPr="0037330A" w:rsidRDefault="001A4227"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Both</w:t>
            </w:r>
          </w:p>
        </w:tc>
        <w:tc>
          <w:tcPr>
            <w:tcW w:w="1701" w:type="dxa"/>
            <w:tcBorders>
              <w:top w:val="single" w:sz="4" w:space="0" w:color="auto"/>
              <w:bottom w:val="single" w:sz="4" w:space="0" w:color="auto"/>
            </w:tcBorders>
            <w:vAlign w:val="center"/>
          </w:tcPr>
          <w:p w14:paraId="4F714ADD" w14:textId="77777777" w:rsidR="001A4227" w:rsidRPr="0037330A" w:rsidRDefault="001A4227"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Number (percentage) providing at no cost to patient</w:t>
            </w:r>
          </w:p>
        </w:tc>
        <w:tc>
          <w:tcPr>
            <w:tcW w:w="1843" w:type="dxa"/>
            <w:tcBorders>
              <w:top w:val="single" w:sz="4" w:space="0" w:color="auto"/>
              <w:bottom w:val="single" w:sz="4" w:space="0" w:color="auto"/>
            </w:tcBorders>
            <w:vAlign w:val="center"/>
          </w:tcPr>
          <w:p w14:paraId="4851D481" w14:textId="77777777" w:rsidR="001A4227" w:rsidRPr="0037330A" w:rsidRDefault="001A4227"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Mean cost to patient (when not provided for free)</w:t>
            </w:r>
          </w:p>
        </w:tc>
        <w:tc>
          <w:tcPr>
            <w:tcW w:w="2126" w:type="dxa"/>
            <w:tcBorders>
              <w:top w:val="single" w:sz="4" w:space="0" w:color="auto"/>
              <w:bottom w:val="single" w:sz="4" w:space="0" w:color="auto"/>
            </w:tcBorders>
            <w:vAlign w:val="center"/>
          </w:tcPr>
          <w:p w14:paraId="06523900" w14:textId="77777777" w:rsidR="001A4227" w:rsidRPr="0037330A" w:rsidRDefault="001A4227"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Range of cost to patient</w:t>
            </w:r>
          </w:p>
        </w:tc>
        <w:tc>
          <w:tcPr>
            <w:tcW w:w="2268" w:type="dxa"/>
            <w:tcBorders>
              <w:top w:val="single" w:sz="4" w:space="0" w:color="auto"/>
              <w:bottom w:val="single" w:sz="4" w:space="0" w:color="auto"/>
            </w:tcBorders>
            <w:vAlign w:val="center"/>
          </w:tcPr>
          <w:p w14:paraId="1B616A34" w14:textId="77777777" w:rsidR="001A4227" w:rsidRPr="0037330A" w:rsidRDefault="001A4227" w:rsidP="00146B63">
            <w:pPr>
              <w:tabs>
                <w:tab w:val="left" w:pos="990"/>
              </w:tabs>
              <w:snapToGrid w:val="0"/>
              <w:spacing w:line="360" w:lineRule="auto"/>
              <w:jc w:val="both"/>
              <w:rPr>
                <w:rFonts w:ascii="Book Antiqua" w:hAnsi="Book Antiqua"/>
                <w:bCs/>
                <w:iCs/>
                <w:lang w:val="en-GB"/>
              </w:rPr>
            </w:pPr>
            <w:r w:rsidRPr="0037330A">
              <w:rPr>
                <w:rFonts w:ascii="Book Antiqua" w:hAnsi="Book Antiqua"/>
                <w:bCs/>
                <w:iCs/>
                <w:lang w:val="en-GB"/>
              </w:rPr>
              <w:t>Mean availability (when provided)</w:t>
            </w:r>
          </w:p>
        </w:tc>
      </w:tr>
      <w:tr w:rsidR="00031388" w:rsidRPr="0037330A" w14:paraId="2B718022" w14:textId="77777777" w:rsidTr="00031388">
        <w:trPr>
          <w:trHeight w:val="318"/>
        </w:trPr>
        <w:tc>
          <w:tcPr>
            <w:tcW w:w="1587" w:type="dxa"/>
            <w:tcBorders>
              <w:top w:val="single" w:sz="4" w:space="0" w:color="auto"/>
            </w:tcBorders>
            <w:vAlign w:val="center"/>
          </w:tcPr>
          <w:p w14:paraId="7CCB2A25" w14:textId="5D522F2B" w:rsidR="001A4227" w:rsidRPr="0037330A" w:rsidRDefault="001A4227" w:rsidP="00146B63">
            <w:pPr>
              <w:tabs>
                <w:tab w:val="left" w:pos="990"/>
              </w:tabs>
              <w:snapToGrid w:val="0"/>
              <w:spacing w:line="360" w:lineRule="auto"/>
              <w:jc w:val="both"/>
              <w:rPr>
                <w:rFonts w:ascii="Book Antiqua" w:hAnsi="Book Antiqua"/>
                <w:bCs/>
                <w:lang w:val="en-GB"/>
              </w:rPr>
            </w:pPr>
            <w:r w:rsidRPr="0037330A">
              <w:rPr>
                <w:rFonts w:ascii="Book Antiqua" w:hAnsi="Book Antiqua"/>
                <w:bCs/>
                <w:lang w:val="en-GB"/>
              </w:rPr>
              <w:t xml:space="preserve">Primary </w:t>
            </w:r>
            <w:r w:rsidR="00031388" w:rsidRPr="0037330A">
              <w:rPr>
                <w:rFonts w:ascii="Book Antiqua" w:hAnsi="Book Antiqua"/>
                <w:bCs/>
                <w:lang w:val="en-GB"/>
              </w:rPr>
              <w:t>health care facility</w:t>
            </w:r>
          </w:p>
        </w:tc>
        <w:tc>
          <w:tcPr>
            <w:tcW w:w="1293" w:type="dxa"/>
            <w:tcBorders>
              <w:top w:val="single" w:sz="4" w:space="0" w:color="auto"/>
            </w:tcBorders>
          </w:tcPr>
          <w:p w14:paraId="191CCAA7" w14:textId="13777AE0"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6 (20.7)</w:t>
            </w:r>
          </w:p>
        </w:tc>
        <w:tc>
          <w:tcPr>
            <w:tcW w:w="957" w:type="dxa"/>
            <w:tcBorders>
              <w:top w:val="single" w:sz="4" w:space="0" w:color="auto"/>
            </w:tcBorders>
          </w:tcPr>
          <w:p w14:paraId="009720CB"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3</w:t>
            </w:r>
          </w:p>
        </w:tc>
        <w:tc>
          <w:tcPr>
            <w:tcW w:w="1134" w:type="dxa"/>
            <w:tcBorders>
              <w:top w:val="single" w:sz="4" w:space="0" w:color="auto"/>
            </w:tcBorders>
          </w:tcPr>
          <w:p w14:paraId="40D1C118"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3</w:t>
            </w:r>
          </w:p>
        </w:tc>
        <w:tc>
          <w:tcPr>
            <w:tcW w:w="992" w:type="dxa"/>
            <w:tcBorders>
              <w:top w:val="single" w:sz="4" w:space="0" w:color="auto"/>
            </w:tcBorders>
          </w:tcPr>
          <w:p w14:paraId="49E99C26"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0</w:t>
            </w:r>
          </w:p>
        </w:tc>
        <w:tc>
          <w:tcPr>
            <w:tcW w:w="1701" w:type="dxa"/>
            <w:tcBorders>
              <w:top w:val="single" w:sz="4" w:space="0" w:color="auto"/>
            </w:tcBorders>
          </w:tcPr>
          <w:p w14:paraId="2218285C" w14:textId="1459190E"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2 (33.3)</w:t>
            </w:r>
          </w:p>
        </w:tc>
        <w:tc>
          <w:tcPr>
            <w:tcW w:w="1843" w:type="dxa"/>
            <w:tcBorders>
              <w:top w:val="single" w:sz="4" w:space="0" w:color="auto"/>
            </w:tcBorders>
          </w:tcPr>
          <w:p w14:paraId="13D12100"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$10.95</w:t>
            </w:r>
          </w:p>
        </w:tc>
        <w:tc>
          <w:tcPr>
            <w:tcW w:w="2126" w:type="dxa"/>
            <w:tcBorders>
              <w:top w:val="single" w:sz="4" w:space="0" w:color="auto"/>
            </w:tcBorders>
          </w:tcPr>
          <w:p w14:paraId="58EBACBA" w14:textId="7E4C633B" w:rsidR="001A4227" w:rsidRPr="0037330A" w:rsidRDefault="00031388"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$6.44 (Dominican Republic)</w:t>
            </w:r>
            <w:r w:rsidRPr="0037330A">
              <w:rPr>
                <w:rFonts w:ascii="Book Antiqua" w:eastAsiaTheme="minorEastAsia" w:hAnsi="Book Antiqua"/>
                <w:bCs/>
                <w:color w:val="000000" w:themeColor="text1"/>
                <w:lang w:val="en-GB" w:eastAsia="zh-CN"/>
              </w:rPr>
              <w:t>-</w:t>
            </w:r>
            <w:r w:rsidR="001A4227" w:rsidRPr="0037330A">
              <w:rPr>
                <w:rFonts w:ascii="Book Antiqua" w:hAnsi="Book Antiqua"/>
                <w:bCs/>
                <w:color w:val="000000" w:themeColor="text1"/>
                <w:lang w:val="en-GB"/>
              </w:rPr>
              <w:t xml:space="preserve">$17.41 (Philippines) </w:t>
            </w:r>
          </w:p>
        </w:tc>
        <w:tc>
          <w:tcPr>
            <w:tcW w:w="2268" w:type="dxa"/>
            <w:tcBorders>
              <w:top w:val="single" w:sz="4" w:space="0" w:color="auto"/>
            </w:tcBorders>
          </w:tcPr>
          <w:p w14:paraId="644E5075"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62.5%</w:t>
            </w:r>
          </w:p>
        </w:tc>
      </w:tr>
      <w:tr w:rsidR="00031388" w:rsidRPr="0037330A" w14:paraId="5A290243" w14:textId="77777777" w:rsidTr="00031388">
        <w:trPr>
          <w:trHeight w:val="318"/>
        </w:trPr>
        <w:tc>
          <w:tcPr>
            <w:tcW w:w="1587" w:type="dxa"/>
            <w:vAlign w:val="center"/>
          </w:tcPr>
          <w:p w14:paraId="3C4D53D8" w14:textId="2225A116" w:rsidR="001A4227" w:rsidRPr="0037330A" w:rsidRDefault="001A4227" w:rsidP="00146B63">
            <w:pPr>
              <w:tabs>
                <w:tab w:val="left" w:pos="990"/>
              </w:tabs>
              <w:snapToGrid w:val="0"/>
              <w:spacing w:line="360" w:lineRule="auto"/>
              <w:jc w:val="both"/>
              <w:rPr>
                <w:rFonts w:ascii="Book Antiqua" w:hAnsi="Book Antiqua"/>
                <w:bCs/>
                <w:lang w:val="en-GB"/>
              </w:rPr>
            </w:pPr>
            <w:r w:rsidRPr="0037330A">
              <w:rPr>
                <w:rFonts w:ascii="Book Antiqua" w:hAnsi="Book Antiqua"/>
                <w:bCs/>
                <w:lang w:val="en-GB"/>
              </w:rPr>
              <w:t xml:space="preserve">District and </w:t>
            </w:r>
            <w:r w:rsidR="00031388" w:rsidRPr="0037330A">
              <w:rPr>
                <w:rFonts w:ascii="Book Antiqua" w:hAnsi="Book Antiqua"/>
                <w:bCs/>
                <w:lang w:val="en-GB"/>
              </w:rPr>
              <w:t>regional hospitals</w:t>
            </w:r>
          </w:p>
        </w:tc>
        <w:tc>
          <w:tcPr>
            <w:tcW w:w="1293" w:type="dxa"/>
          </w:tcPr>
          <w:p w14:paraId="7D9667D9" w14:textId="42764929" w:rsidR="001A4227" w:rsidRPr="0037330A" w:rsidRDefault="001A4227" w:rsidP="00146B63">
            <w:pPr>
              <w:tabs>
                <w:tab w:val="left" w:pos="990"/>
              </w:tabs>
              <w:snapToGrid w:val="0"/>
              <w:spacing w:line="360" w:lineRule="auto"/>
              <w:jc w:val="both"/>
              <w:rPr>
                <w:rFonts w:ascii="Book Antiqua" w:hAnsi="Book Antiqua"/>
                <w:lang w:val="en-GB"/>
              </w:rPr>
            </w:pPr>
            <w:r w:rsidRPr="0037330A">
              <w:rPr>
                <w:rFonts w:ascii="Book Antiqua" w:hAnsi="Book Antiqua"/>
                <w:lang w:val="en-GB"/>
              </w:rPr>
              <w:t>27 (93.1)</w:t>
            </w:r>
          </w:p>
        </w:tc>
        <w:tc>
          <w:tcPr>
            <w:tcW w:w="957" w:type="dxa"/>
          </w:tcPr>
          <w:p w14:paraId="0E1ADCA2"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lang w:val="en-GB"/>
              </w:rPr>
              <w:t>7</w:t>
            </w:r>
          </w:p>
        </w:tc>
        <w:tc>
          <w:tcPr>
            <w:tcW w:w="1134" w:type="dxa"/>
          </w:tcPr>
          <w:p w14:paraId="378EDC70"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lang w:val="en-GB"/>
              </w:rPr>
              <w:t>15</w:t>
            </w:r>
          </w:p>
        </w:tc>
        <w:tc>
          <w:tcPr>
            <w:tcW w:w="992" w:type="dxa"/>
          </w:tcPr>
          <w:p w14:paraId="7EAB8741"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lang w:val="en-GB"/>
              </w:rPr>
              <w:t>5</w:t>
            </w:r>
          </w:p>
        </w:tc>
        <w:tc>
          <w:tcPr>
            <w:tcW w:w="1701" w:type="dxa"/>
          </w:tcPr>
          <w:p w14:paraId="1570CF43" w14:textId="2E3DCFC9"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lang w:val="en-GB"/>
              </w:rPr>
              <w:t>4 (14.8)</w:t>
            </w:r>
          </w:p>
        </w:tc>
        <w:tc>
          <w:tcPr>
            <w:tcW w:w="1843" w:type="dxa"/>
          </w:tcPr>
          <w:p w14:paraId="23CC008D"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lang w:val="en-GB"/>
              </w:rPr>
              <w:t xml:space="preserve">$9.74 </w:t>
            </w:r>
          </w:p>
        </w:tc>
        <w:tc>
          <w:tcPr>
            <w:tcW w:w="2126" w:type="dxa"/>
          </w:tcPr>
          <w:p w14:paraId="643DF870" w14:textId="50403712"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lang w:val="en-GB"/>
              </w:rPr>
              <w:t>$4.00 (Ethiopia and Uzbekistan)</w:t>
            </w:r>
            <w:r w:rsidR="00031388" w:rsidRPr="0037330A">
              <w:rPr>
                <w:rFonts w:ascii="Book Antiqua" w:eastAsiaTheme="minorEastAsia" w:hAnsi="Book Antiqua"/>
                <w:lang w:val="en-GB" w:eastAsia="zh-CN"/>
              </w:rPr>
              <w:t>-</w:t>
            </w:r>
            <w:r w:rsidRPr="0037330A">
              <w:rPr>
                <w:rFonts w:ascii="Book Antiqua" w:hAnsi="Book Antiqua"/>
                <w:lang w:val="en-GB"/>
              </w:rPr>
              <w:t>$27.75 (St Lucia)</w:t>
            </w:r>
          </w:p>
        </w:tc>
        <w:tc>
          <w:tcPr>
            <w:tcW w:w="2268" w:type="dxa"/>
          </w:tcPr>
          <w:p w14:paraId="3870CB03"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lang w:val="en-GB"/>
              </w:rPr>
              <w:t>67.5%</w:t>
            </w:r>
          </w:p>
        </w:tc>
      </w:tr>
      <w:tr w:rsidR="00031388" w:rsidRPr="0037330A" w14:paraId="5508C58C" w14:textId="77777777" w:rsidTr="00031388">
        <w:trPr>
          <w:trHeight w:val="318"/>
        </w:trPr>
        <w:tc>
          <w:tcPr>
            <w:tcW w:w="1587" w:type="dxa"/>
            <w:vAlign w:val="center"/>
          </w:tcPr>
          <w:p w14:paraId="7248ABD0" w14:textId="16213F17" w:rsidR="001A4227" w:rsidRPr="0037330A" w:rsidRDefault="001A4227" w:rsidP="00146B63">
            <w:pPr>
              <w:tabs>
                <w:tab w:val="left" w:pos="990"/>
              </w:tabs>
              <w:snapToGrid w:val="0"/>
              <w:spacing w:line="360" w:lineRule="auto"/>
              <w:jc w:val="both"/>
              <w:rPr>
                <w:rFonts w:ascii="Book Antiqua" w:hAnsi="Book Antiqua"/>
                <w:bCs/>
                <w:lang w:val="en-GB"/>
              </w:rPr>
            </w:pPr>
            <w:r w:rsidRPr="0037330A">
              <w:rPr>
                <w:rFonts w:ascii="Book Antiqua" w:hAnsi="Book Antiqua"/>
                <w:bCs/>
                <w:lang w:val="en-GB"/>
              </w:rPr>
              <w:t xml:space="preserve">Tertiary </w:t>
            </w:r>
            <w:r w:rsidR="00031388" w:rsidRPr="0037330A">
              <w:rPr>
                <w:rFonts w:ascii="Book Antiqua" w:hAnsi="Book Antiqua"/>
                <w:bCs/>
                <w:lang w:val="en-GB"/>
              </w:rPr>
              <w:t>hospital</w:t>
            </w:r>
          </w:p>
        </w:tc>
        <w:tc>
          <w:tcPr>
            <w:tcW w:w="1293" w:type="dxa"/>
          </w:tcPr>
          <w:p w14:paraId="68F444D8" w14:textId="4EE1920B"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26 (89.7)</w:t>
            </w:r>
          </w:p>
        </w:tc>
        <w:tc>
          <w:tcPr>
            <w:tcW w:w="957" w:type="dxa"/>
          </w:tcPr>
          <w:p w14:paraId="7E01FD17"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4</w:t>
            </w:r>
          </w:p>
        </w:tc>
        <w:tc>
          <w:tcPr>
            <w:tcW w:w="1134" w:type="dxa"/>
          </w:tcPr>
          <w:p w14:paraId="2D574767"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18</w:t>
            </w:r>
          </w:p>
        </w:tc>
        <w:tc>
          <w:tcPr>
            <w:tcW w:w="992" w:type="dxa"/>
          </w:tcPr>
          <w:p w14:paraId="085B1190"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4</w:t>
            </w:r>
          </w:p>
        </w:tc>
        <w:tc>
          <w:tcPr>
            <w:tcW w:w="1701" w:type="dxa"/>
          </w:tcPr>
          <w:p w14:paraId="28BD7E4E" w14:textId="409BA60B"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9 (34.6)</w:t>
            </w:r>
          </w:p>
        </w:tc>
        <w:tc>
          <w:tcPr>
            <w:tcW w:w="1843" w:type="dxa"/>
          </w:tcPr>
          <w:p w14:paraId="08A34AA2"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$11.92</w:t>
            </w:r>
          </w:p>
        </w:tc>
        <w:tc>
          <w:tcPr>
            <w:tcW w:w="2126" w:type="dxa"/>
          </w:tcPr>
          <w:p w14:paraId="7B72E996" w14:textId="19063E42" w:rsidR="001A4227" w:rsidRPr="0037330A" w:rsidRDefault="00031388"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$4.00 (Ethiopia)</w:t>
            </w:r>
            <w:r w:rsidRPr="0037330A">
              <w:rPr>
                <w:rFonts w:ascii="Book Antiqua" w:eastAsiaTheme="minorEastAsia" w:hAnsi="Book Antiqua"/>
                <w:bCs/>
                <w:color w:val="000000" w:themeColor="text1"/>
                <w:lang w:val="en-GB" w:eastAsia="zh-CN"/>
              </w:rPr>
              <w:t>-</w:t>
            </w:r>
            <w:r w:rsidR="001A4227" w:rsidRPr="0037330A">
              <w:rPr>
                <w:rFonts w:ascii="Book Antiqua" w:hAnsi="Book Antiqua"/>
                <w:bCs/>
                <w:color w:val="000000" w:themeColor="text1"/>
                <w:lang w:val="en-GB"/>
              </w:rPr>
              <w:t>$29.00 (Central African Republic)</w:t>
            </w:r>
          </w:p>
        </w:tc>
        <w:tc>
          <w:tcPr>
            <w:tcW w:w="2268" w:type="dxa"/>
          </w:tcPr>
          <w:p w14:paraId="02781D4D" w14:textId="77777777" w:rsidR="001A4227" w:rsidRPr="0037330A" w:rsidRDefault="001A4227" w:rsidP="00146B63">
            <w:pPr>
              <w:tabs>
                <w:tab w:val="left" w:pos="990"/>
              </w:tabs>
              <w:snapToGrid w:val="0"/>
              <w:spacing w:line="360" w:lineRule="auto"/>
              <w:jc w:val="both"/>
              <w:rPr>
                <w:rFonts w:ascii="Book Antiqua" w:hAnsi="Book Antiqua"/>
                <w:bCs/>
                <w:color w:val="000000" w:themeColor="text1"/>
                <w:lang w:val="en-GB"/>
              </w:rPr>
            </w:pPr>
            <w:r w:rsidRPr="0037330A">
              <w:rPr>
                <w:rFonts w:ascii="Book Antiqua" w:hAnsi="Book Antiqua"/>
                <w:bCs/>
                <w:color w:val="000000" w:themeColor="text1"/>
                <w:lang w:val="en-GB"/>
              </w:rPr>
              <w:t>75.5%</w:t>
            </w:r>
          </w:p>
        </w:tc>
      </w:tr>
    </w:tbl>
    <w:p w14:paraId="7F51A6BC" w14:textId="02BCD223" w:rsidR="00C20AC8" w:rsidRPr="0037330A" w:rsidRDefault="00031388" w:rsidP="00146B63">
      <w:pPr>
        <w:snapToGrid w:val="0"/>
        <w:spacing w:line="360" w:lineRule="auto"/>
        <w:jc w:val="both"/>
        <w:rPr>
          <w:rFonts w:ascii="Book Antiqua" w:eastAsiaTheme="minorEastAsia" w:hAnsi="Book Antiqua"/>
          <w:b/>
          <w:color w:val="000000" w:themeColor="text1"/>
          <w:u w:val="single"/>
          <w:lang w:val="en-GB" w:eastAsia="zh-CN"/>
        </w:rPr>
      </w:pPr>
      <w:r w:rsidRPr="0037330A">
        <w:rPr>
          <w:rFonts w:ascii="Book Antiqua" w:hAnsi="Book Antiqua"/>
          <w:bCs/>
          <w:iCs/>
          <w:lang w:val="en-GB"/>
        </w:rPr>
        <w:t>POCT</w:t>
      </w:r>
      <w:r w:rsidRPr="0037330A">
        <w:rPr>
          <w:rFonts w:ascii="Book Antiqua" w:eastAsiaTheme="minorEastAsia" w:hAnsi="Book Antiqua"/>
          <w:bCs/>
          <w:iCs/>
          <w:lang w:val="en-GB" w:eastAsia="zh-CN"/>
        </w:rPr>
        <w:t>:</w:t>
      </w:r>
      <w:r w:rsidR="00183B00" w:rsidRPr="0037330A">
        <w:rPr>
          <w:rFonts w:ascii="Book Antiqua" w:eastAsiaTheme="minorEastAsia" w:hAnsi="Book Antiqua"/>
          <w:bCs/>
          <w:iCs/>
          <w:lang w:val="en-GB" w:eastAsia="zh-CN"/>
        </w:rPr>
        <w:t xml:space="preserve"> </w:t>
      </w:r>
      <w:r w:rsidR="00183B00" w:rsidRPr="0037330A">
        <w:rPr>
          <w:rFonts w:ascii="Book Antiqua" w:hAnsi="Book Antiqua"/>
          <w:lang w:val="en-GB"/>
        </w:rPr>
        <w:t>Point-of-care testing</w:t>
      </w:r>
      <w:r w:rsidR="00183B00" w:rsidRPr="0037330A">
        <w:rPr>
          <w:rFonts w:ascii="Book Antiqua" w:eastAsiaTheme="minorEastAsia" w:hAnsi="Book Antiqua"/>
          <w:lang w:val="en-GB" w:eastAsia="zh-CN"/>
        </w:rPr>
        <w:t>.</w:t>
      </w:r>
    </w:p>
    <w:p w14:paraId="2F548617" w14:textId="34BD5A9E" w:rsidR="00C20AC8" w:rsidRPr="0037330A" w:rsidRDefault="00C20AC8" w:rsidP="00146B63">
      <w:pPr>
        <w:snapToGrid w:val="0"/>
        <w:spacing w:line="360" w:lineRule="auto"/>
        <w:jc w:val="both"/>
        <w:rPr>
          <w:rFonts w:ascii="Book Antiqua" w:hAnsi="Book Antiqua"/>
          <w:b/>
          <w:lang w:val="en-GB"/>
        </w:rPr>
      </w:pPr>
      <w:r w:rsidRPr="0037330A">
        <w:rPr>
          <w:rFonts w:ascii="Book Antiqua" w:hAnsi="Book Antiqua"/>
          <w:b/>
          <w:lang w:val="en-GB"/>
        </w:rPr>
        <w:br w:type="page"/>
      </w:r>
      <w:r w:rsidR="00183B00" w:rsidRPr="0037330A">
        <w:rPr>
          <w:rFonts w:ascii="Book Antiqua" w:hAnsi="Book Antiqua"/>
          <w:b/>
          <w:lang w:val="en-GB"/>
        </w:rPr>
        <w:lastRenderedPageBreak/>
        <w:t>Table 7</w:t>
      </w:r>
      <w:r w:rsidR="00183B00" w:rsidRPr="0037330A">
        <w:rPr>
          <w:rFonts w:ascii="Book Antiqua" w:eastAsiaTheme="minorEastAsia" w:hAnsi="Book Antiqua"/>
          <w:b/>
          <w:lang w:val="en-GB" w:eastAsia="zh-CN"/>
        </w:rPr>
        <w:t xml:space="preserve"> </w:t>
      </w:r>
      <w:r w:rsidRPr="0037330A">
        <w:rPr>
          <w:rFonts w:ascii="Book Antiqua" w:hAnsi="Book Antiqua"/>
          <w:b/>
          <w:lang w:val="en-GB"/>
        </w:rPr>
        <w:t>Main challenges in providing glyca</w:t>
      </w:r>
      <w:r w:rsidR="00183B00" w:rsidRPr="0037330A">
        <w:rPr>
          <w:rFonts w:ascii="Book Antiqua" w:hAnsi="Book Antiqua"/>
          <w:b/>
          <w:lang w:val="en-GB"/>
        </w:rPr>
        <w:t xml:space="preserve">ted haemoglobin </w:t>
      </w:r>
      <w:r w:rsidR="008A0B8E" w:rsidRPr="0037330A">
        <w:rPr>
          <w:rFonts w:ascii="Book Antiqua" w:hAnsi="Book Antiqua"/>
          <w:b/>
          <w:lang w:val="en-GB"/>
        </w:rPr>
        <w:t>testing</w:t>
      </w:r>
    </w:p>
    <w:tbl>
      <w:tblPr>
        <w:tblStyle w:val="a8"/>
        <w:tblW w:w="9507" w:type="dxa"/>
        <w:tblInd w:w="-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386"/>
      </w:tblGrid>
      <w:tr w:rsidR="00C20AC8" w:rsidRPr="0037330A" w14:paraId="36F99FFA" w14:textId="77777777" w:rsidTr="00183B00">
        <w:trPr>
          <w:trHeight w:val="470"/>
        </w:trPr>
        <w:tc>
          <w:tcPr>
            <w:tcW w:w="4121" w:type="dxa"/>
            <w:tcBorders>
              <w:top w:val="single" w:sz="4" w:space="0" w:color="auto"/>
              <w:bottom w:val="single" w:sz="4" w:space="0" w:color="auto"/>
            </w:tcBorders>
          </w:tcPr>
          <w:p w14:paraId="58A8FD0A"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
                <w:lang w:val="en-GB"/>
              </w:rPr>
            </w:pPr>
            <w:r w:rsidRPr="0037330A">
              <w:rPr>
                <w:rFonts w:ascii="Book Antiqua" w:hAnsi="Book Antiqua"/>
                <w:b/>
                <w:lang w:val="en-GB"/>
              </w:rPr>
              <w:t xml:space="preserve">Challenge </w:t>
            </w:r>
          </w:p>
        </w:tc>
        <w:tc>
          <w:tcPr>
            <w:tcW w:w="5386" w:type="dxa"/>
            <w:tcBorders>
              <w:top w:val="single" w:sz="4" w:space="0" w:color="auto"/>
              <w:bottom w:val="single" w:sz="4" w:space="0" w:color="auto"/>
            </w:tcBorders>
          </w:tcPr>
          <w:p w14:paraId="66005CEB"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
                <w:lang w:val="en-GB"/>
              </w:rPr>
            </w:pPr>
            <w:r w:rsidRPr="0037330A">
              <w:rPr>
                <w:rFonts w:ascii="Book Antiqua" w:hAnsi="Book Antiqua"/>
                <w:b/>
                <w:lang w:val="en-GB"/>
              </w:rPr>
              <w:t>Number (%) of centres reporting this challenge</w:t>
            </w:r>
          </w:p>
        </w:tc>
      </w:tr>
      <w:tr w:rsidR="00C20AC8" w:rsidRPr="0037330A" w14:paraId="08B23BBE" w14:textId="77777777" w:rsidTr="00183B00">
        <w:trPr>
          <w:trHeight w:val="282"/>
        </w:trPr>
        <w:tc>
          <w:tcPr>
            <w:tcW w:w="4121" w:type="dxa"/>
            <w:tcBorders>
              <w:top w:val="single" w:sz="4" w:space="0" w:color="auto"/>
            </w:tcBorders>
          </w:tcPr>
          <w:p w14:paraId="217B1649"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Cartridge cost</w:t>
            </w:r>
          </w:p>
        </w:tc>
        <w:tc>
          <w:tcPr>
            <w:tcW w:w="5386" w:type="dxa"/>
            <w:tcBorders>
              <w:top w:val="single" w:sz="4" w:space="0" w:color="auto"/>
            </w:tcBorders>
          </w:tcPr>
          <w:p w14:paraId="0A12A78B" w14:textId="6AE47E9D"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23 (70.9)</w:t>
            </w:r>
          </w:p>
        </w:tc>
      </w:tr>
      <w:tr w:rsidR="00C20AC8" w:rsidRPr="0037330A" w14:paraId="6A966A2F" w14:textId="77777777" w:rsidTr="00183B00">
        <w:trPr>
          <w:trHeight w:val="282"/>
        </w:trPr>
        <w:tc>
          <w:tcPr>
            <w:tcW w:w="4121" w:type="dxa"/>
          </w:tcPr>
          <w:p w14:paraId="38AA9D00"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Stockouts</w:t>
            </w:r>
          </w:p>
        </w:tc>
        <w:tc>
          <w:tcPr>
            <w:tcW w:w="5386" w:type="dxa"/>
          </w:tcPr>
          <w:p w14:paraId="0455CC97" w14:textId="5ADA2F6A"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22 (68.8)</w:t>
            </w:r>
          </w:p>
        </w:tc>
      </w:tr>
      <w:tr w:rsidR="00C20AC8" w:rsidRPr="0037330A" w14:paraId="767D24A1" w14:textId="77777777" w:rsidTr="00183B00">
        <w:trPr>
          <w:trHeight w:val="282"/>
        </w:trPr>
        <w:tc>
          <w:tcPr>
            <w:tcW w:w="4121" w:type="dxa"/>
          </w:tcPr>
          <w:p w14:paraId="27748928"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Maintenance of testing machine</w:t>
            </w:r>
          </w:p>
        </w:tc>
        <w:tc>
          <w:tcPr>
            <w:tcW w:w="5386" w:type="dxa"/>
          </w:tcPr>
          <w:p w14:paraId="3CBE9594" w14:textId="7F59E260"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21 (65.6)</w:t>
            </w:r>
          </w:p>
        </w:tc>
      </w:tr>
      <w:tr w:rsidR="00C20AC8" w:rsidRPr="0037330A" w14:paraId="7B4F63C0" w14:textId="77777777" w:rsidTr="00183B00">
        <w:trPr>
          <w:trHeight w:val="282"/>
        </w:trPr>
        <w:tc>
          <w:tcPr>
            <w:tcW w:w="4121" w:type="dxa"/>
          </w:tcPr>
          <w:p w14:paraId="39F33AD6"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Machine cost</w:t>
            </w:r>
          </w:p>
        </w:tc>
        <w:tc>
          <w:tcPr>
            <w:tcW w:w="5386" w:type="dxa"/>
          </w:tcPr>
          <w:p w14:paraId="4324F171" w14:textId="364E7A28"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18 (56.3)</w:t>
            </w:r>
          </w:p>
        </w:tc>
      </w:tr>
      <w:tr w:rsidR="00C20AC8" w:rsidRPr="0037330A" w14:paraId="16E8DE70" w14:textId="77777777" w:rsidTr="00183B00">
        <w:trPr>
          <w:trHeight w:val="282"/>
        </w:trPr>
        <w:tc>
          <w:tcPr>
            <w:tcW w:w="4121" w:type="dxa"/>
          </w:tcPr>
          <w:p w14:paraId="2FB2A593"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Adequate supplies</w:t>
            </w:r>
          </w:p>
        </w:tc>
        <w:tc>
          <w:tcPr>
            <w:tcW w:w="5386" w:type="dxa"/>
          </w:tcPr>
          <w:p w14:paraId="7386D6BC" w14:textId="7BB11EFA"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15 (46.9)</w:t>
            </w:r>
          </w:p>
        </w:tc>
      </w:tr>
      <w:tr w:rsidR="00C20AC8" w:rsidRPr="0037330A" w14:paraId="50FC3363" w14:textId="77777777" w:rsidTr="00183B00">
        <w:trPr>
          <w:trHeight w:val="282"/>
        </w:trPr>
        <w:tc>
          <w:tcPr>
            <w:tcW w:w="4121" w:type="dxa"/>
          </w:tcPr>
          <w:p w14:paraId="7EAA3724"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Trained staff</w:t>
            </w:r>
          </w:p>
        </w:tc>
        <w:tc>
          <w:tcPr>
            <w:tcW w:w="5386" w:type="dxa"/>
          </w:tcPr>
          <w:p w14:paraId="631252B7" w14:textId="54FE63D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15 (46.9)</w:t>
            </w:r>
          </w:p>
        </w:tc>
      </w:tr>
      <w:tr w:rsidR="00C20AC8" w:rsidRPr="0037330A" w14:paraId="2AF23C2C" w14:textId="77777777" w:rsidTr="00183B00">
        <w:trPr>
          <w:trHeight w:val="282"/>
        </w:trPr>
        <w:tc>
          <w:tcPr>
            <w:tcW w:w="4121" w:type="dxa"/>
          </w:tcPr>
          <w:p w14:paraId="764C2EEF"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Refrigeration</w:t>
            </w:r>
          </w:p>
        </w:tc>
        <w:tc>
          <w:tcPr>
            <w:tcW w:w="5386" w:type="dxa"/>
          </w:tcPr>
          <w:p w14:paraId="63B17C16" w14:textId="3E49153C"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11 (34.4)</w:t>
            </w:r>
          </w:p>
        </w:tc>
      </w:tr>
      <w:tr w:rsidR="00C20AC8" w:rsidRPr="0037330A" w14:paraId="3988D8BE" w14:textId="77777777" w:rsidTr="00183B00">
        <w:trPr>
          <w:trHeight w:val="282"/>
        </w:trPr>
        <w:tc>
          <w:tcPr>
            <w:tcW w:w="4121" w:type="dxa"/>
          </w:tcPr>
          <w:p w14:paraId="29FB3835"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Adequate oversight of supplies</w:t>
            </w:r>
          </w:p>
        </w:tc>
        <w:tc>
          <w:tcPr>
            <w:tcW w:w="5386" w:type="dxa"/>
          </w:tcPr>
          <w:p w14:paraId="25A80307" w14:textId="14C06861"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9 (28.1)</w:t>
            </w:r>
          </w:p>
        </w:tc>
      </w:tr>
      <w:tr w:rsidR="00C20AC8" w:rsidRPr="00146B63" w14:paraId="1ECF8B5D" w14:textId="77777777" w:rsidTr="00183B00">
        <w:trPr>
          <w:trHeight w:val="282"/>
        </w:trPr>
        <w:tc>
          <w:tcPr>
            <w:tcW w:w="4121" w:type="dxa"/>
          </w:tcPr>
          <w:p w14:paraId="51EFC983" w14:textId="77777777" w:rsidR="00C20AC8" w:rsidRPr="0037330A"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Other challenges</w:t>
            </w:r>
          </w:p>
        </w:tc>
        <w:tc>
          <w:tcPr>
            <w:tcW w:w="5386" w:type="dxa"/>
          </w:tcPr>
          <w:p w14:paraId="77129448" w14:textId="347112F4" w:rsidR="00C20AC8" w:rsidRPr="00146B63" w:rsidRDefault="00C20AC8" w:rsidP="00146B63">
            <w:pPr>
              <w:pStyle w:val="a3"/>
              <w:tabs>
                <w:tab w:val="left" w:pos="990"/>
              </w:tabs>
              <w:snapToGrid w:val="0"/>
              <w:spacing w:line="360" w:lineRule="auto"/>
              <w:ind w:left="0"/>
              <w:contextualSpacing w:val="0"/>
              <w:jc w:val="both"/>
              <w:rPr>
                <w:rFonts w:ascii="Book Antiqua" w:hAnsi="Book Antiqua"/>
                <w:bCs/>
                <w:lang w:val="en-GB"/>
              </w:rPr>
            </w:pPr>
            <w:r w:rsidRPr="0037330A">
              <w:rPr>
                <w:rFonts w:ascii="Book Antiqua" w:hAnsi="Book Antiqua"/>
                <w:bCs/>
                <w:lang w:val="en-GB"/>
              </w:rPr>
              <w:t>8 (25.0)</w:t>
            </w:r>
            <w:bookmarkStart w:id="15" w:name="_GoBack"/>
            <w:bookmarkEnd w:id="15"/>
          </w:p>
        </w:tc>
      </w:tr>
    </w:tbl>
    <w:p w14:paraId="424C0D3A" w14:textId="01D72661" w:rsidR="00D94F2B" w:rsidRPr="00146B63" w:rsidRDefault="00D94F2B" w:rsidP="00146B63">
      <w:pPr>
        <w:snapToGrid w:val="0"/>
        <w:spacing w:line="360" w:lineRule="auto"/>
        <w:jc w:val="both"/>
        <w:rPr>
          <w:rFonts w:ascii="Book Antiqua" w:eastAsiaTheme="minorEastAsia" w:hAnsi="Book Antiqua"/>
          <w:b/>
          <w:color w:val="000000" w:themeColor="text1"/>
          <w:u w:val="single"/>
          <w:lang w:val="en-GB" w:eastAsia="zh-CN"/>
        </w:rPr>
      </w:pPr>
    </w:p>
    <w:sectPr w:rsidR="00D94F2B" w:rsidRPr="00146B63" w:rsidSect="00146B63">
      <w:type w:val="continuous"/>
      <w:pgSz w:w="16840" w:h="1190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DD511" w14:textId="77777777" w:rsidR="00EE6A9E" w:rsidRDefault="00EE6A9E" w:rsidP="00142102">
      <w:r>
        <w:separator/>
      </w:r>
    </w:p>
  </w:endnote>
  <w:endnote w:type="continuationSeparator" w:id="0">
    <w:p w14:paraId="5074271F" w14:textId="77777777" w:rsidR="00EE6A9E" w:rsidRDefault="00EE6A9E" w:rsidP="0014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448536538"/>
      <w:docPartObj>
        <w:docPartGallery w:val="Page Numbers (Bottom of Page)"/>
        <w:docPartUnique/>
      </w:docPartObj>
    </w:sdtPr>
    <w:sdtEndPr>
      <w:rPr>
        <w:rStyle w:val="ac"/>
      </w:rPr>
    </w:sdtEndPr>
    <w:sdtContent>
      <w:p w14:paraId="188CB070" w14:textId="4DC788B1" w:rsidR="008A0B8E" w:rsidRDefault="008A0B8E" w:rsidP="000373EB">
        <w:pPr>
          <w:pStyle w:val="ab"/>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1029396C" w14:textId="77777777" w:rsidR="008A0B8E" w:rsidRDefault="008A0B8E" w:rsidP="0014210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4650"/>
      <w:docPartObj>
        <w:docPartGallery w:val="Page Numbers (Bottom of Page)"/>
        <w:docPartUnique/>
      </w:docPartObj>
    </w:sdtPr>
    <w:sdtEndPr/>
    <w:sdtContent>
      <w:sdt>
        <w:sdtPr>
          <w:id w:val="-1705238520"/>
          <w:docPartObj>
            <w:docPartGallery w:val="Page Numbers (Top of Page)"/>
            <w:docPartUnique/>
          </w:docPartObj>
        </w:sdtPr>
        <w:sdtEndPr/>
        <w:sdtContent>
          <w:p w14:paraId="257DAE91" w14:textId="2178F666" w:rsidR="00692C76" w:rsidRPr="00692C76" w:rsidRDefault="00692C76" w:rsidP="00692C76">
            <w:pPr>
              <w:pStyle w:val="ab"/>
              <w:jc w:val="right"/>
            </w:pPr>
            <w:r w:rsidRPr="00692C76">
              <w:rPr>
                <w:lang w:val="zh-CN" w:eastAsia="zh-CN"/>
              </w:rPr>
              <w:t xml:space="preserve"> </w:t>
            </w:r>
            <w:r w:rsidRPr="00692C76">
              <w:rPr>
                <w:bCs/>
              </w:rPr>
              <w:fldChar w:fldCharType="begin"/>
            </w:r>
            <w:r w:rsidRPr="00692C76">
              <w:rPr>
                <w:bCs/>
              </w:rPr>
              <w:instrText>PAGE</w:instrText>
            </w:r>
            <w:r w:rsidRPr="00692C76">
              <w:rPr>
                <w:bCs/>
              </w:rPr>
              <w:fldChar w:fldCharType="separate"/>
            </w:r>
            <w:r w:rsidR="00755CAB">
              <w:rPr>
                <w:bCs/>
                <w:noProof/>
              </w:rPr>
              <w:t>26</w:t>
            </w:r>
            <w:r w:rsidRPr="00692C76">
              <w:rPr>
                <w:bCs/>
              </w:rPr>
              <w:fldChar w:fldCharType="end"/>
            </w:r>
            <w:r w:rsidRPr="00692C76">
              <w:rPr>
                <w:lang w:val="zh-CN" w:eastAsia="zh-CN"/>
              </w:rPr>
              <w:t xml:space="preserve"> / </w:t>
            </w:r>
            <w:r w:rsidRPr="00692C76">
              <w:rPr>
                <w:bCs/>
              </w:rPr>
              <w:fldChar w:fldCharType="begin"/>
            </w:r>
            <w:r w:rsidRPr="00692C76">
              <w:rPr>
                <w:bCs/>
              </w:rPr>
              <w:instrText>NUMPAGES</w:instrText>
            </w:r>
            <w:r w:rsidRPr="00692C76">
              <w:rPr>
                <w:bCs/>
              </w:rPr>
              <w:fldChar w:fldCharType="separate"/>
            </w:r>
            <w:r w:rsidR="00755CAB">
              <w:rPr>
                <w:bCs/>
                <w:noProof/>
              </w:rPr>
              <w:t>33</w:t>
            </w:r>
            <w:r w:rsidRPr="00692C76">
              <w:rPr>
                <w:bCs/>
              </w:rPr>
              <w:fldChar w:fldCharType="end"/>
            </w:r>
          </w:p>
        </w:sdtContent>
      </w:sdt>
    </w:sdtContent>
  </w:sdt>
  <w:p w14:paraId="4247A942" w14:textId="77777777" w:rsidR="008A0B8E" w:rsidRDefault="008A0B8E" w:rsidP="0014210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E76A1" w14:textId="77777777" w:rsidR="00EE6A9E" w:rsidRDefault="00EE6A9E" w:rsidP="00142102">
      <w:r>
        <w:separator/>
      </w:r>
    </w:p>
  </w:footnote>
  <w:footnote w:type="continuationSeparator" w:id="0">
    <w:p w14:paraId="7ED97DDC" w14:textId="77777777" w:rsidR="00EE6A9E" w:rsidRDefault="00EE6A9E" w:rsidP="0014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1427" w14:textId="77777777" w:rsidR="008A0B8E" w:rsidRDefault="008A0B8E" w:rsidP="00692C76">
    <w:pPr>
      <w:pStyle w:val="ad"/>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764E6"/>
    <w:multiLevelType w:val="multilevel"/>
    <w:tmpl w:val="D63A2896"/>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82225"/>
    <w:multiLevelType w:val="hybridMultilevel"/>
    <w:tmpl w:val="3BD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B56C8"/>
    <w:multiLevelType w:val="multilevel"/>
    <w:tmpl w:val="0BC6109E"/>
    <w:lvl w:ilvl="0">
      <w:start w:val="7"/>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5">
    <w:nsid w:val="0AB61620"/>
    <w:multiLevelType w:val="hybridMultilevel"/>
    <w:tmpl w:val="C588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727CA"/>
    <w:multiLevelType w:val="hybridMultilevel"/>
    <w:tmpl w:val="4F08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77CB0"/>
    <w:multiLevelType w:val="multilevel"/>
    <w:tmpl w:val="82EC2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506FFC"/>
    <w:multiLevelType w:val="hybridMultilevel"/>
    <w:tmpl w:val="BDE81C1C"/>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140B205F"/>
    <w:multiLevelType w:val="hybridMultilevel"/>
    <w:tmpl w:val="B01A8B74"/>
    <w:lvl w:ilvl="0" w:tplc="04090001">
      <w:start w:val="1"/>
      <w:numFmt w:val="bullet"/>
      <w:lvlText w:val=""/>
      <w:lvlJc w:val="left"/>
      <w:pPr>
        <w:ind w:left="782" w:hanging="360"/>
      </w:pPr>
      <w:rPr>
        <w:rFonts w:ascii="Symbol" w:hAnsi="Symbol" w:hint="default"/>
      </w:rPr>
    </w:lvl>
    <w:lvl w:ilvl="1" w:tplc="59243DAA">
      <w:start w:val="9"/>
      <w:numFmt w:val="bullet"/>
      <w:lvlText w:val="-"/>
      <w:lvlJc w:val="left"/>
      <w:pPr>
        <w:ind w:left="1502" w:hanging="360"/>
      </w:pPr>
      <w:rPr>
        <w:rFonts w:ascii="Calibri" w:eastAsiaTheme="minorEastAsia" w:hAnsi="Calibri" w:cs="Calibri"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nsid w:val="164B6B1A"/>
    <w:multiLevelType w:val="hybridMultilevel"/>
    <w:tmpl w:val="3A0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44B2C"/>
    <w:multiLevelType w:val="multilevel"/>
    <w:tmpl w:val="17046082"/>
    <w:lvl w:ilvl="0">
      <w:start w:val="8"/>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2">
    <w:nsid w:val="1AFA24A6"/>
    <w:multiLevelType w:val="hybridMultilevel"/>
    <w:tmpl w:val="484630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1EF561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1043ED"/>
    <w:multiLevelType w:val="hybridMultilevel"/>
    <w:tmpl w:val="430A36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AD43086"/>
    <w:multiLevelType w:val="hybridMultilevel"/>
    <w:tmpl w:val="641E7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CB673D"/>
    <w:multiLevelType w:val="multilevel"/>
    <w:tmpl w:val="DD86E97E"/>
    <w:lvl w:ilvl="0">
      <w:start w:val="1"/>
      <w:numFmt w:val="upperLetter"/>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3968099C"/>
    <w:multiLevelType w:val="hybridMultilevel"/>
    <w:tmpl w:val="2F7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96BB4"/>
    <w:multiLevelType w:val="multilevel"/>
    <w:tmpl w:val="59601DFA"/>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9">
    <w:nsid w:val="40B640D7"/>
    <w:multiLevelType w:val="hybridMultilevel"/>
    <w:tmpl w:val="7036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B10FB"/>
    <w:multiLevelType w:val="hybridMultilevel"/>
    <w:tmpl w:val="4A446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D07860"/>
    <w:multiLevelType w:val="multilevel"/>
    <w:tmpl w:val="B2A03E3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D473873"/>
    <w:multiLevelType w:val="hybridMultilevel"/>
    <w:tmpl w:val="B1F0E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E7095C"/>
    <w:multiLevelType w:val="hybridMultilevel"/>
    <w:tmpl w:val="8D662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742947"/>
    <w:multiLevelType w:val="hybridMultilevel"/>
    <w:tmpl w:val="8728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0E6FD4"/>
    <w:multiLevelType w:val="hybridMultilevel"/>
    <w:tmpl w:val="48F0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C02CE"/>
    <w:multiLevelType w:val="hybridMultilevel"/>
    <w:tmpl w:val="AD46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7">
    <w:nsid w:val="6CD753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F41735"/>
    <w:multiLevelType w:val="hybridMultilevel"/>
    <w:tmpl w:val="8D44FAFC"/>
    <w:lvl w:ilvl="0" w:tplc="04090001">
      <w:start w:val="1"/>
      <w:numFmt w:val="bullet"/>
      <w:lvlText w:val=""/>
      <w:lvlJc w:val="left"/>
      <w:pPr>
        <w:ind w:left="360" w:hanging="360"/>
      </w:pPr>
      <w:rPr>
        <w:rFonts w:ascii="Symbol" w:hAnsi="Symbol" w:hint="default"/>
      </w:rPr>
    </w:lvl>
    <w:lvl w:ilvl="1" w:tplc="5E54505A">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E61474"/>
    <w:multiLevelType w:val="hybridMultilevel"/>
    <w:tmpl w:val="90907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174E6D"/>
    <w:multiLevelType w:val="hybridMultilevel"/>
    <w:tmpl w:val="651E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6D4F45"/>
    <w:multiLevelType w:val="multilevel"/>
    <w:tmpl w:val="C64CF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7CF762CF"/>
    <w:multiLevelType w:val="multilevel"/>
    <w:tmpl w:val="F8EAD1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5C703B"/>
    <w:multiLevelType w:val="hybridMultilevel"/>
    <w:tmpl w:val="A8649E52"/>
    <w:lvl w:ilvl="0" w:tplc="04090001">
      <w:start w:val="1"/>
      <w:numFmt w:val="bullet"/>
      <w:lvlText w:val=""/>
      <w:lvlJc w:val="left"/>
      <w:pPr>
        <w:ind w:left="756" w:hanging="360"/>
      </w:pPr>
      <w:rPr>
        <w:rFonts w:ascii="Symbol" w:hAnsi="Symbol" w:hint="default"/>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4">
    <w:nsid w:val="7F414715"/>
    <w:multiLevelType w:val="multilevel"/>
    <w:tmpl w:val="42AA079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num>
  <w:num w:numId="3">
    <w:abstractNumId w:val="33"/>
  </w:num>
  <w:num w:numId="4">
    <w:abstractNumId w:val="8"/>
  </w:num>
  <w:num w:numId="5">
    <w:abstractNumId w:val="2"/>
  </w:num>
  <w:num w:numId="6">
    <w:abstractNumId w:val="25"/>
  </w:num>
  <w:num w:numId="7">
    <w:abstractNumId w:val="28"/>
  </w:num>
  <w:num w:numId="8">
    <w:abstractNumId w:val="9"/>
  </w:num>
  <w:num w:numId="9">
    <w:abstractNumId w:val="3"/>
  </w:num>
  <w:num w:numId="10">
    <w:abstractNumId w:val="22"/>
  </w:num>
  <w:num w:numId="11">
    <w:abstractNumId w:val="7"/>
  </w:num>
  <w:num w:numId="12">
    <w:abstractNumId w:val="23"/>
  </w:num>
  <w:num w:numId="13">
    <w:abstractNumId w:val="20"/>
  </w:num>
  <w:num w:numId="14">
    <w:abstractNumId w:val="0"/>
  </w:num>
  <w:num w:numId="15">
    <w:abstractNumId w:val="1"/>
  </w:num>
  <w:num w:numId="16">
    <w:abstractNumId w:val="34"/>
  </w:num>
  <w:num w:numId="17">
    <w:abstractNumId w:val="32"/>
  </w:num>
  <w:num w:numId="18">
    <w:abstractNumId w:val="16"/>
  </w:num>
  <w:num w:numId="19">
    <w:abstractNumId w:val="13"/>
  </w:num>
  <w:num w:numId="20">
    <w:abstractNumId w:val="18"/>
  </w:num>
  <w:num w:numId="21">
    <w:abstractNumId w:val="21"/>
  </w:num>
  <w:num w:numId="22">
    <w:abstractNumId w:val="31"/>
  </w:num>
  <w:num w:numId="23">
    <w:abstractNumId w:val="4"/>
  </w:num>
  <w:num w:numId="24">
    <w:abstractNumId w:val="11"/>
  </w:num>
  <w:num w:numId="25">
    <w:abstractNumId w:val="5"/>
  </w:num>
  <w:num w:numId="26">
    <w:abstractNumId w:val="14"/>
  </w:num>
  <w:num w:numId="27">
    <w:abstractNumId w:val="29"/>
  </w:num>
  <w:num w:numId="28">
    <w:abstractNumId w:val="17"/>
  </w:num>
  <w:num w:numId="29">
    <w:abstractNumId w:val="26"/>
  </w:num>
  <w:num w:numId="30">
    <w:abstractNumId w:val="19"/>
  </w:num>
  <w:num w:numId="31">
    <w:abstractNumId w:val="10"/>
  </w:num>
  <w:num w:numId="32">
    <w:abstractNumId w:val="6"/>
  </w:num>
  <w:num w:numId="33">
    <w:abstractNumId w:val="12"/>
  </w:num>
  <w:num w:numId="34">
    <w:abstractNumId w:val="30"/>
  </w:num>
  <w:num w:numId="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9C"/>
    <w:rsid w:val="0000217C"/>
    <w:rsid w:val="00003749"/>
    <w:rsid w:val="00003C62"/>
    <w:rsid w:val="0000429A"/>
    <w:rsid w:val="0000741C"/>
    <w:rsid w:val="0001308F"/>
    <w:rsid w:val="000134C3"/>
    <w:rsid w:val="00014092"/>
    <w:rsid w:val="00014913"/>
    <w:rsid w:val="00015D07"/>
    <w:rsid w:val="00016A1C"/>
    <w:rsid w:val="00022A1C"/>
    <w:rsid w:val="000230BF"/>
    <w:rsid w:val="00027D45"/>
    <w:rsid w:val="00031388"/>
    <w:rsid w:val="00033D1B"/>
    <w:rsid w:val="00036C88"/>
    <w:rsid w:val="000373EB"/>
    <w:rsid w:val="0004087F"/>
    <w:rsid w:val="0004120C"/>
    <w:rsid w:val="00042E92"/>
    <w:rsid w:val="00043031"/>
    <w:rsid w:val="00043CBC"/>
    <w:rsid w:val="00043F67"/>
    <w:rsid w:val="00050618"/>
    <w:rsid w:val="000524BF"/>
    <w:rsid w:val="00053E63"/>
    <w:rsid w:val="0005688D"/>
    <w:rsid w:val="00063F3C"/>
    <w:rsid w:val="000647E8"/>
    <w:rsid w:val="00070842"/>
    <w:rsid w:val="00071712"/>
    <w:rsid w:val="00073610"/>
    <w:rsid w:val="000748D9"/>
    <w:rsid w:val="00075491"/>
    <w:rsid w:val="000762F8"/>
    <w:rsid w:val="00077168"/>
    <w:rsid w:val="0008757E"/>
    <w:rsid w:val="0008771F"/>
    <w:rsid w:val="00087B75"/>
    <w:rsid w:val="0009287A"/>
    <w:rsid w:val="000953F7"/>
    <w:rsid w:val="000A06B9"/>
    <w:rsid w:val="000A2935"/>
    <w:rsid w:val="000A2B27"/>
    <w:rsid w:val="000B0D48"/>
    <w:rsid w:val="000B3A4E"/>
    <w:rsid w:val="000B4263"/>
    <w:rsid w:val="000B7849"/>
    <w:rsid w:val="000C056F"/>
    <w:rsid w:val="000C27F9"/>
    <w:rsid w:val="000C36DC"/>
    <w:rsid w:val="000C46A5"/>
    <w:rsid w:val="000D05F5"/>
    <w:rsid w:val="000D29BC"/>
    <w:rsid w:val="000D66AE"/>
    <w:rsid w:val="000E04F4"/>
    <w:rsid w:val="000E4A59"/>
    <w:rsid w:val="000E54DA"/>
    <w:rsid w:val="000E7A7D"/>
    <w:rsid w:val="000F0724"/>
    <w:rsid w:val="000F18C4"/>
    <w:rsid w:val="000F36BE"/>
    <w:rsid w:val="000F4291"/>
    <w:rsid w:val="000F5B24"/>
    <w:rsid w:val="000F6A42"/>
    <w:rsid w:val="000F72EF"/>
    <w:rsid w:val="00104318"/>
    <w:rsid w:val="00106922"/>
    <w:rsid w:val="0010734F"/>
    <w:rsid w:val="00107EEC"/>
    <w:rsid w:val="00111A7B"/>
    <w:rsid w:val="00117400"/>
    <w:rsid w:val="00120F54"/>
    <w:rsid w:val="00125F5F"/>
    <w:rsid w:val="0012679A"/>
    <w:rsid w:val="00132BD1"/>
    <w:rsid w:val="00132DCD"/>
    <w:rsid w:val="001343C8"/>
    <w:rsid w:val="0013754B"/>
    <w:rsid w:val="00140F1B"/>
    <w:rsid w:val="00142102"/>
    <w:rsid w:val="00146528"/>
    <w:rsid w:val="00146B63"/>
    <w:rsid w:val="00155535"/>
    <w:rsid w:val="00155720"/>
    <w:rsid w:val="001571D0"/>
    <w:rsid w:val="00160594"/>
    <w:rsid w:val="00160BB9"/>
    <w:rsid w:val="00161ABC"/>
    <w:rsid w:val="00163A7B"/>
    <w:rsid w:val="00164A41"/>
    <w:rsid w:val="0017025E"/>
    <w:rsid w:val="0017409D"/>
    <w:rsid w:val="00175783"/>
    <w:rsid w:val="00176068"/>
    <w:rsid w:val="001760C4"/>
    <w:rsid w:val="0017668E"/>
    <w:rsid w:val="00182EF5"/>
    <w:rsid w:val="00183B00"/>
    <w:rsid w:val="0018634F"/>
    <w:rsid w:val="00187EBF"/>
    <w:rsid w:val="00193E2B"/>
    <w:rsid w:val="00197DE5"/>
    <w:rsid w:val="001A0707"/>
    <w:rsid w:val="001A0C4F"/>
    <w:rsid w:val="001A1F02"/>
    <w:rsid w:val="001A4227"/>
    <w:rsid w:val="001A7B09"/>
    <w:rsid w:val="001C2A88"/>
    <w:rsid w:val="001C4573"/>
    <w:rsid w:val="001C47FC"/>
    <w:rsid w:val="001C55C6"/>
    <w:rsid w:val="001C56BF"/>
    <w:rsid w:val="001C60B5"/>
    <w:rsid w:val="001C71F4"/>
    <w:rsid w:val="001D0C92"/>
    <w:rsid w:val="001E1732"/>
    <w:rsid w:val="001E35D3"/>
    <w:rsid w:val="001E44BF"/>
    <w:rsid w:val="001E4BB7"/>
    <w:rsid w:val="001E4EBB"/>
    <w:rsid w:val="001F1760"/>
    <w:rsid w:val="0020260F"/>
    <w:rsid w:val="00202B63"/>
    <w:rsid w:val="002036E2"/>
    <w:rsid w:val="00206B1D"/>
    <w:rsid w:val="002101FE"/>
    <w:rsid w:val="00210E11"/>
    <w:rsid w:val="002147D2"/>
    <w:rsid w:val="002212C8"/>
    <w:rsid w:val="002215EC"/>
    <w:rsid w:val="002216AA"/>
    <w:rsid w:val="00223E3B"/>
    <w:rsid w:val="00232091"/>
    <w:rsid w:val="00232387"/>
    <w:rsid w:val="00241E19"/>
    <w:rsid w:val="00244B22"/>
    <w:rsid w:val="002456F4"/>
    <w:rsid w:val="00245D42"/>
    <w:rsid w:val="002517C4"/>
    <w:rsid w:val="00251C7C"/>
    <w:rsid w:val="00252793"/>
    <w:rsid w:val="002529E2"/>
    <w:rsid w:val="002533B7"/>
    <w:rsid w:val="00261C5A"/>
    <w:rsid w:val="002627FE"/>
    <w:rsid w:val="00263975"/>
    <w:rsid w:val="00266F5F"/>
    <w:rsid w:val="00270FC5"/>
    <w:rsid w:val="0027605D"/>
    <w:rsid w:val="00277A8F"/>
    <w:rsid w:val="00282ABE"/>
    <w:rsid w:val="00283313"/>
    <w:rsid w:val="00290C64"/>
    <w:rsid w:val="0029668A"/>
    <w:rsid w:val="00296A86"/>
    <w:rsid w:val="002A45A1"/>
    <w:rsid w:val="002B3056"/>
    <w:rsid w:val="002B30A6"/>
    <w:rsid w:val="002B4B53"/>
    <w:rsid w:val="002B503C"/>
    <w:rsid w:val="002B5288"/>
    <w:rsid w:val="002B661C"/>
    <w:rsid w:val="002B6E45"/>
    <w:rsid w:val="002C33A0"/>
    <w:rsid w:val="002C3D3B"/>
    <w:rsid w:val="002C6281"/>
    <w:rsid w:val="002C7207"/>
    <w:rsid w:val="002C76F3"/>
    <w:rsid w:val="002D5D5D"/>
    <w:rsid w:val="002D70A5"/>
    <w:rsid w:val="002D7352"/>
    <w:rsid w:val="002E279B"/>
    <w:rsid w:val="002E4186"/>
    <w:rsid w:val="002E64BB"/>
    <w:rsid w:val="002E6E2A"/>
    <w:rsid w:val="002E71CD"/>
    <w:rsid w:val="002F014C"/>
    <w:rsid w:val="002F0550"/>
    <w:rsid w:val="002F1E25"/>
    <w:rsid w:val="002F2B84"/>
    <w:rsid w:val="002F3528"/>
    <w:rsid w:val="002F51ED"/>
    <w:rsid w:val="002F5499"/>
    <w:rsid w:val="002F5678"/>
    <w:rsid w:val="002F56D0"/>
    <w:rsid w:val="002F5F00"/>
    <w:rsid w:val="002F68DD"/>
    <w:rsid w:val="002F788E"/>
    <w:rsid w:val="003001BC"/>
    <w:rsid w:val="003027F1"/>
    <w:rsid w:val="003051DC"/>
    <w:rsid w:val="00306DC7"/>
    <w:rsid w:val="0031027D"/>
    <w:rsid w:val="00314224"/>
    <w:rsid w:val="003146C5"/>
    <w:rsid w:val="0031571A"/>
    <w:rsid w:val="003205CA"/>
    <w:rsid w:val="00326099"/>
    <w:rsid w:val="00327F4D"/>
    <w:rsid w:val="00331A84"/>
    <w:rsid w:val="003326C4"/>
    <w:rsid w:val="003331B5"/>
    <w:rsid w:val="00337F51"/>
    <w:rsid w:val="0034295E"/>
    <w:rsid w:val="00342A7D"/>
    <w:rsid w:val="00344ED1"/>
    <w:rsid w:val="00345219"/>
    <w:rsid w:val="00350AF4"/>
    <w:rsid w:val="00352C15"/>
    <w:rsid w:val="00353A44"/>
    <w:rsid w:val="0035450F"/>
    <w:rsid w:val="003555E7"/>
    <w:rsid w:val="0036049B"/>
    <w:rsid w:val="00361D03"/>
    <w:rsid w:val="003631D4"/>
    <w:rsid w:val="0037330A"/>
    <w:rsid w:val="00375808"/>
    <w:rsid w:val="00377135"/>
    <w:rsid w:val="003820BA"/>
    <w:rsid w:val="00382630"/>
    <w:rsid w:val="00382C71"/>
    <w:rsid w:val="003847B4"/>
    <w:rsid w:val="00385CBD"/>
    <w:rsid w:val="003861F6"/>
    <w:rsid w:val="00390A43"/>
    <w:rsid w:val="00390CDB"/>
    <w:rsid w:val="00392917"/>
    <w:rsid w:val="00394965"/>
    <w:rsid w:val="00395DCF"/>
    <w:rsid w:val="003A4DD2"/>
    <w:rsid w:val="003A611A"/>
    <w:rsid w:val="003A67BF"/>
    <w:rsid w:val="003A74C8"/>
    <w:rsid w:val="003B1EBB"/>
    <w:rsid w:val="003B2A7C"/>
    <w:rsid w:val="003B37BA"/>
    <w:rsid w:val="003B4412"/>
    <w:rsid w:val="003C5965"/>
    <w:rsid w:val="003C6DF0"/>
    <w:rsid w:val="003D371C"/>
    <w:rsid w:val="003D434C"/>
    <w:rsid w:val="003D440E"/>
    <w:rsid w:val="003D6450"/>
    <w:rsid w:val="003D6690"/>
    <w:rsid w:val="003E1A77"/>
    <w:rsid w:val="003E1E61"/>
    <w:rsid w:val="003E514C"/>
    <w:rsid w:val="003E64E6"/>
    <w:rsid w:val="003E75C2"/>
    <w:rsid w:val="003F3E10"/>
    <w:rsid w:val="003F6C14"/>
    <w:rsid w:val="00400A27"/>
    <w:rsid w:val="00404AA8"/>
    <w:rsid w:val="004056BE"/>
    <w:rsid w:val="00415CD3"/>
    <w:rsid w:val="0042539B"/>
    <w:rsid w:val="0042705C"/>
    <w:rsid w:val="00427A01"/>
    <w:rsid w:val="0043128A"/>
    <w:rsid w:val="00433507"/>
    <w:rsid w:val="004342B5"/>
    <w:rsid w:val="004353E1"/>
    <w:rsid w:val="00436813"/>
    <w:rsid w:val="004409AA"/>
    <w:rsid w:val="00441175"/>
    <w:rsid w:val="00442D72"/>
    <w:rsid w:val="004434E2"/>
    <w:rsid w:val="00445624"/>
    <w:rsid w:val="00446F4F"/>
    <w:rsid w:val="00453495"/>
    <w:rsid w:val="004573FE"/>
    <w:rsid w:val="00463855"/>
    <w:rsid w:val="00463C3E"/>
    <w:rsid w:val="00470B9E"/>
    <w:rsid w:val="00470C89"/>
    <w:rsid w:val="00471404"/>
    <w:rsid w:val="00471709"/>
    <w:rsid w:val="00473243"/>
    <w:rsid w:val="004737E6"/>
    <w:rsid w:val="00474789"/>
    <w:rsid w:val="00474B13"/>
    <w:rsid w:val="0047666D"/>
    <w:rsid w:val="00476B06"/>
    <w:rsid w:val="00476CDB"/>
    <w:rsid w:val="00480A50"/>
    <w:rsid w:val="00481F4F"/>
    <w:rsid w:val="004835A3"/>
    <w:rsid w:val="00483C2F"/>
    <w:rsid w:val="00484C74"/>
    <w:rsid w:val="00484E2F"/>
    <w:rsid w:val="00492B74"/>
    <w:rsid w:val="00493295"/>
    <w:rsid w:val="004935FA"/>
    <w:rsid w:val="00493631"/>
    <w:rsid w:val="00494970"/>
    <w:rsid w:val="004970C0"/>
    <w:rsid w:val="004A1B32"/>
    <w:rsid w:val="004A2526"/>
    <w:rsid w:val="004A2DE3"/>
    <w:rsid w:val="004A36C8"/>
    <w:rsid w:val="004A5A26"/>
    <w:rsid w:val="004A72E4"/>
    <w:rsid w:val="004B4AA6"/>
    <w:rsid w:val="004B4B83"/>
    <w:rsid w:val="004B6ED4"/>
    <w:rsid w:val="004C3D87"/>
    <w:rsid w:val="004C5826"/>
    <w:rsid w:val="004C7756"/>
    <w:rsid w:val="004D1501"/>
    <w:rsid w:val="004D4F2D"/>
    <w:rsid w:val="004D6857"/>
    <w:rsid w:val="004E2C5A"/>
    <w:rsid w:val="004E6182"/>
    <w:rsid w:val="004E6798"/>
    <w:rsid w:val="004F57A2"/>
    <w:rsid w:val="004F583A"/>
    <w:rsid w:val="00500C62"/>
    <w:rsid w:val="00501336"/>
    <w:rsid w:val="00501817"/>
    <w:rsid w:val="0050360B"/>
    <w:rsid w:val="0050446A"/>
    <w:rsid w:val="00505D51"/>
    <w:rsid w:val="005064B0"/>
    <w:rsid w:val="00506A62"/>
    <w:rsid w:val="00506AB0"/>
    <w:rsid w:val="00511C8F"/>
    <w:rsid w:val="00513B16"/>
    <w:rsid w:val="00515528"/>
    <w:rsid w:val="00515C30"/>
    <w:rsid w:val="005160DA"/>
    <w:rsid w:val="005208C4"/>
    <w:rsid w:val="005228FF"/>
    <w:rsid w:val="00525D50"/>
    <w:rsid w:val="00526A29"/>
    <w:rsid w:val="00530899"/>
    <w:rsid w:val="00531804"/>
    <w:rsid w:val="00531D5C"/>
    <w:rsid w:val="00534DA4"/>
    <w:rsid w:val="0053520F"/>
    <w:rsid w:val="005356FE"/>
    <w:rsid w:val="00537F9F"/>
    <w:rsid w:val="00546487"/>
    <w:rsid w:val="00553A8A"/>
    <w:rsid w:val="0055479A"/>
    <w:rsid w:val="0057418A"/>
    <w:rsid w:val="00576BFE"/>
    <w:rsid w:val="00585897"/>
    <w:rsid w:val="005871B7"/>
    <w:rsid w:val="005874D7"/>
    <w:rsid w:val="00592B31"/>
    <w:rsid w:val="00597D52"/>
    <w:rsid w:val="005A0B4A"/>
    <w:rsid w:val="005A1CAD"/>
    <w:rsid w:val="005A3902"/>
    <w:rsid w:val="005A3C4C"/>
    <w:rsid w:val="005B2664"/>
    <w:rsid w:val="005B3766"/>
    <w:rsid w:val="005B64BF"/>
    <w:rsid w:val="005B6C71"/>
    <w:rsid w:val="005C0387"/>
    <w:rsid w:val="005D17C0"/>
    <w:rsid w:val="005D2E95"/>
    <w:rsid w:val="005D5217"/>
    <w:rsid w:val="005D6586"/>
    <w:rsid w:val="005E02EF"/>
    <w:rsid w:val="005E13BC"/>
    <w:rsid w:val="005E27B9"/>
    <w:rsid w:val="005E3D67"/>
    <w:rsid w:val="005E7F77"/>
    <w:rsid w:val="005F2A3E"/>
    <w:rsid w:val="0061143D"/>
    <w:rsid w:val="00612AE5"/>
    <w:rsid w:val="00614A76"/>
    <w:rsid w:val="006151F3"/>
    <w:rsid w:val="00615D2B"/>
    <w:rsid w:val="00621C8B"/>
    <w:rsid w:val="006253BA"/>
    <w:rsid w:val="00625B4F"/>
    <w:rsid w:val="00630C15"/>
    <w:rsid w:val="006312DE"/>
    <w:rsid w:val="00632357"/>
    <w:rsid w:val="00632C03"/>
    <w:rsid w:val="00635802"/>
    <w:rsid w:val="00643580"/>
    <w:rsid w:val="00643F59"/>
    <w:rsid w:val="00645B8A"/>
    <w:rsid w:val="006472E6"/>
    <w:rsid w:val="006511A9"/>
    <w:rsid w:val="006538D5"/>
    <w:rsid w:val="00653DCB"/>
    <w:rsid w:val="00654B14"/>
    <w:rsid w:val="006622C5"/>
    <w:rsid w:val="00667C5E"/>
    <w:rsid w:val="00671861"/>
    <w:rsid w:val="00674E0B"/>
    <w:rsid w:val="0068281A"/>
    <w:rsid w:val="0068347B"/>
    <w:rsid w:val="00683BC1"/>
    <w:rsid w:val="0068573D"/>
    <w:rsid w:val="00690DFD"/>
    <w:rsid w:val="00690F6C"/>
    <w:rsid w:val="00692C76"/>
    <w:rsid w:val="006A03F5"/>
    <w:rsid w:val="006A1A02"/>
    <w:rsid w:val="006A6961"/>
    <w:rsid w:val="006A6CD9"/>
    <w:rsid w:val="006B08EE"/>
    <w:rsid w:val="006B27CA"/>
    <w:rsid w:val="006C0311"/>
    <w:rsid w:val="006C05F5"/>
    <w:rsid w:val="006C28C4"/>
    <w:rsid w:val="006C46C7"/>
    <w:rsid w:val="006C591C"/>
    <w:rsid w:val="006C5D60"/>
    <w:rsid w:val="006C76A5"/>
    <w:rsid w:val="006D0E6B"/>
    <w:rsid w:val="006D1187"/>
    <w:rsid w:val="006D1941"/>
    <w:rsid w:val="006D27B0"/>
    <w:rsid w:val="006D28CA"/>
    <w:rsid w:val="006D53CA"/>
    <w:rsid w:val="006D57AC"/>
    <w:rsid w:val="006E40AC"/>
    <w:rsid w:val="006E4A2D"/>
    <w:rsid w:val="006E4E3A"/>
    <w:rsid w:val="006E7D79"/>
    <w:rsid w:val="006F10BC"/>
    <w:rsid w:val="006F26FF"/>
    <w:rsid w:val="006F3196"/>
    <w:rsid w:val="006F3ED8"/>
    <w:rsid w:val="006F41BF"/>
    <w:rsid w:val="006F597A"/>
    <w:rsid w:val="0070171D"/>
    <w:rsid w:val="007034E2"/>
    <w:rsid w:val="00710C26"/>
    <w:rsid w:val="00721DA3"/>
    <w:rsid w:val="007262C0"/>
    <w:rsid w:val="007268B2"/>
    <w:rsid w:val="007306A5"/>
    <w:rsid w:val="007347DD"/>
    <w:rsid w:val="007358E4"/>
    <w:rsid w:val="00736723"/>
    <w:rsid w:val="007433C6"/>
    <w:rsid w:val="0075268D"/>
    <w:rsid w:val="007541CA"/>
    <w:rsid w:val="00755CAB"/>
    <w:rsid w:val="00757306"/>
    <w:rsid w:val="00760B31"/>
    <w:rsid w:val="00761912"/>
    <w:rsid w:val="00766F92"/>
    <w:rsid w:val="007700B1"/>
    <w:rsid w:val="00770BAC"/>
    <w:rsid w:val="00773985"/>
    <w:rsid w:val="007755BE"/>
    <w:rsid w:val="00775A4C"/>
    <w:rsid w:val="00776F25"/>
    <w:rsid w:val="00777F87"/>
    <w:rsid w:val="00780DBA"/>
    <w:rsid w:val="007818E3"/>
    <w:rsid w:val="00783230"/>
    <w:rsid w:val="00784004"/>
    <w:rsid w:val="0078789D"/>
    <w:rsid w:val="00787D05"/>
    <w:rsid w:val="0079175D"/>
    <w:rsid w:val="00796EA7"/>
    <w:rsid w:val="007A0E12"/>
    <w:rsid w:val="007A49BB"/>
    <w:rsid w:val="007A4D74"/>
    <w:rsid w:val="007B3D72"/>
    <w:rsid w:val="007B432C"/>
    <w:rsid w:val="007B7DA4"/>
    <w:rsid w:val="007C0C18"/>
    <w:rsid w:val="007C2DCF"/>
    <w:rsid w:val="007C40F8"/>
    <w:rsid w:val="007C4AB9"/>
    <w:rsid w:val="007C659C"/>
    <w:rsid w:val="007C7D6D"/>
    <w:rsid w:val="007D31FB"/>
    <w:rsid w:val="007D613C"/>
    <w:rsid w:val="007D7BDA"/>
    <w:rsid w:val="007D7C88"/>
    <w:rsid w:val="007E1747"/>
    <w:rsid w:val="007E3075"/>
    <w:rsid w:val="007E317F"/>
    <w:rsid w:val="007F0E2F"/>
    <w:rsid w:val="007F32A9"/>
    <w:rsid w:val="007F4F45"/>
    <w:rsid w:val="007F593B"/>
    <w:rsid w:val="007F73B5"/>
    <w:rsid w:val="007F753C"/>
    <w:rsid w:val="00802130"/>
    <w:rsid w:val="0080696F"/>
    <w:rsid w:val="00811F4F"/>
    <w:rsid w:val="008120DC"/>
    <w:rsid w:val="008132CA"/>
    <w:rsid w:val="00816FF5"/>
    <w:rsid w:val="00822F58"/>
    <w:rsid w:val="0082608C"/>
    <w:rsid w:val="00827EAD"/>
    <w:rsid w:val="00840374"/>
    <w:rsid w:val="008475C8"/>
    <w:rsid w:val="008508D9"/>
    <w:rsid w:val="00853EBC"/>
    <w:rsid w:val="0085414A"/>
    <w:rsid w:val="00856414"/>
    <w:rsid w:val="00856B7D"/>
    <w:rsid w:val="00860D38"/>
    <w:rsid w:val="00866A6B"/>
    <w:rsid w:val="00866E74"/>
    <w:rsid w:val="00867459"/>
    <w:rsid w:val="008761E3"/>
    <w:rsid w:val="008812D8"/>
    <w:rsid w:val="008818C0"/>
    <w:rsid w:val="008823A9"/>
    <w:rsid w:val="008830E1"/>
    <w:rsid w:val="0088523F"/>
    <w:rsid w:val="0088714F"/>
    <w:rsid w:val="00896581"/>
    <w:rsid w:val="00897EBF"/>
    <w:rsid w:val="008A0B8E"/>
    <w:rsid w:val="008A16A2"/>
    <w:rsid w:val="008A32E1"/>
    <w:rsid w:val="008A4015"/>
    <w:rsid w:val="008A6608"/>
    <w:rsid w:val="008B33F0"/>
    <w:rsid w:val="008C16EC"/>
    <w:rsid w:val="008C286E"/>
    <w:rsid w:val="008C35A5"/>
    <w:rsid w:val="008D0736"/>
    <w:rsid w:val="008D2AD5"/>
    <w:rsid w:val="008D2EE6"/>
    <w:rsid w:val="008E0289"/>
    <w:rsid w:val="008E51BB"/>
    <w:rsid w:val="008E67E2"/>
    <w:rsid w:val="008F31A7"/>
    <w:rsid w:val="008F3FD6"/>
    <w:rsid w:val="008F4729"/>
    <w:rsid w:val="008F47D3"/>
    <w:rsid w:val="008F49FF"/>
    <w:rsid w:val="008F7852"/>
    <w:rsid w:val="00900445"/>
    <w:rsid w:val="00900AC7"/>
    <w:rsid w:val="009070E5"/>
    <w:rsid w:val="0090753D"/>
    <w:rsid w:val="00907A90"/>
    <w:rsid w:val="00911F7D"/>
    <w:rsid w:val="00914D0F"/>
    <w:rsid w:val="00923355"/>
    <w:rsid w:val="009300BD"/>
    <w:rsid w:val="00931796"/>
    <w:rsid w:val="0093341E"/>
    <w:rsid w:val="00934D9E"/>
    <w:rsid w:val="009362DA"/>
    <w:rsid w:val="00937639"/>
    <w:rsid w:val="00940C56"/>
    <w:rsid w:val="009431EE"/>
    <w:rsid w:val="00945835"/>
    <w:rsid w:val="00945E16"/>
    <w:rsid w:val="009463FB"/>
    <w:rsid w:val="00947749"/>
    <w:rsid w:val="0095087B"/>
    <w:rsid w:val="0096307D"/>
    <w:rsid w:val="00963100"/>
    <w:rsid w:val="00965801"/>
    <w:rsid w:val="0096755E"/>
    <w:rsid w:val="009719C3"/>
    <w:rsid w:val="00981803"/>
    <w:rsid w:val="009827EC"/>
    <w:rsid w:val="009847AA"/>
    <w:rsid w:val="00984E37"/>
    <w:rsid w:val="0098690F"/>
    <w:rsid w:val="00990E0E"/>
    <w:rsid w:val="0099240C"/>
    <w:rsid w:val="00992F30"/>
    <w:rsid w:val="009A0B33"/>
    <w:rsid w:val="009A1528"/>
    <w:rsid w:val="009A1A96"/>
    <w:rsid w:val="009A7B29"/>
    <w:rsid w:val="009B0D48"/>
    <w:rsid w:val="009B21EF"/>
    <w:rsid w:val="009B483B"/>
    <w:rsid w:val="009B650B"/>
    <w:rsid w:val="009C0A7F"/>
    <w:rsid w:val="009C6DA2"/>
    <w:rsid w:val="009D3B56"/>
    <w:rsid w:val="009D6322"/>
    <w:rsid w:val="009D6D97"/>
    <w:rsid w:val="009E1555"/>
    <w:rsid w:val="009E281A"/>
    <w:rsid w:val="009E427C"/>
    <w:rsid w:val="009E5CB2"/>
    <w:rsid w:val="009E6D60"/>
    <w:rsid w:val="009E726F"/>
    <w:rsid w:val="009E755A"/>
    <w:rsid w:val="009F1B80"/>
    <w:rsid w:val="009F2DB5"/>
    <w:rsid w:val="009F3C0E"/>
    <w:rsid w:val="009F7C2E"/>
    <w:rsid w:val="00A01954"/>
    <w:rsid w:val="00A0559E"/>
    <w:rsid w:val="00A058B2"/>
    <w:rsid w:val="00A137FB"/>
    <w:rsid w:val="00A14BB6"/>
    <w:rsid w:val="00A14FB8"/>
    <w:rsid w:val="00A15ECB"/>
    <w:rsid w:val="00A2138D"/>
    <w:rsid w:val="00A23CBE"/>
    <w:rsid w:val="00A25D52"/>
    <w:rsid w:val="00A312F4"/>
    <w:rsid w:val="00A34A5D"/>
    <w:rsid w:val="00A36335"/>
    <w:rsid w:val="00A37217"/>
    <w:rsid w:val="00A376DA"/>
    <w:rsid w:val="00A41EA4"/>
    <w:rsid w:val="00A42D49"/>
    <w:rsid w:val="00A43A51"/>
    <w:rsid w:val="00A44E75"/>
    <w:rsid w:val="00A46D80"/>
    <w:rsid w:val="00A4730A"/>
    <w:rsid w:val="00A5172A"/>
    <w:rsid w:val="00A836C3"/>
    <w:rsid w:val="00A8553A"/>
    <w:rsid w:val="00A85549"/>
    <w:rsid w:val="00A862CE"/>
    <w:rsid w:val="00A87CF7"/>
    <w:rsid w:val="00A96113"/>
    <w:rsid w:val="00AA2C72"/>
    <w:rsid w:val="00AA7DBB"/>
    <w:rsid w:val="00AB0471"/>
    <w:rsid w:val="00AB0DDB"/>
    <w:rsid w:val="00AB386C"/>
    <w:rsid w:val="00AB4837"/>
    <w:rsid w:val="00AB67E2"/>
    <w:rsid w:val="00AB6A2A"/>
    <w:rsid w:val="00AB6B7D"/>
    <w:rsid w:val="00AC17A4"/>
    <w:rsid w:val="00AC4061"/>
    <w:rsid w:val="00AC59C0"/>
    <w:rsid w:val="00AC5EEE"/>
    <w:rsid w:val="00AC674D"/>
    <w:rsid w:val="00AC7B6B"/>
    <w:rsid w:val="00AD10AF"/>
    <w:rsid w:val="00AD10DF"/>
    <w:rsid w:val="00AD4512"/>
    <w:rsid w:val="00AD62B6"/>
    <w:rsid w:val="00AD6789"/>
    <w:rsid w:val="00AD7F53"/>
    <w:rsid w:val="00AE009F"/>
    <w:rsid w:val="00AE15D9"/>
    <w:rsid w:val="00AE5241"/>
    <w:rsid w:val="00AE5868"/>
    <w:rsid w:val="00AF16A7"/>
    <w:rsid w:val="00AF44CD"/>
    <w:rsid w:val="00AF5F93"/>
    <w:rsid w:val="00AF750B"/>
    <w:rsid w:val="00AF7557"/>
    <w:rsid w:val="00B03235"/>
    <w:rsid w:val="00B032F7"/>
    <w:rsid w:val="00B06F95"/>
    <w:rsid w:val="00B129C8"/>
    <w:rsid w:val="00B13A9B"/>
    <w:rsid w:val="00B15293"/>
    <w:rsid w:val="00B1620B"/>
    <w:rsid w:val="00B20395"/>
    <w:rsid w:val="00B20EBA"/>
    <w:rsid w:val="00B22A72"/>
    <w:rsid w:val="00B23AC9"/>
    <w:rsid w:val="00B259FE"/>
    <w:rsid w:val="00B3016D"/>
    <w:rsid w:val="00B31FD5"/>
    <w:rsid w:val="00B3470D"/>
    <w:rsid w:val="00B421DA"/>
    <w:rsid w:val="00B42C96"/>
    <w:rsid w:val="00B43411"/>
    <w:rsid w:val="00B46894"/>
    <w:rsid w:val="00B53306"/>
    <w:rsid w:val="00B53DCA"/>
    <w:rsid w:val="00B551EC"/>
    <w:rsid w:val="00B55E96"/>
    <w:rsid w:val="00B60E2E"/>
    <w:rsid w:val="00B6120A"/>
    <w:rsid w:val="00B66B93"/>
    <w:rsid w:val="00B67D93"/>
    <w:rsid w:val="00B71676"/>
    <w:rsid w:val="00B73ED8"/>
    <w:rsid w:val="00B7456B"/>
    <w:rsid w:val="00B7736E"/>
    <w:rsid w:val="00B808C4"/>
    <w:rsid w:val="00B81E18"/>
    <w:rsid w:val="00B83497"/>
    <w:rsid w:val="00B8583A"/>
    <w:rsid w:val="00B87079"/>
    <w:rsid w:val="00B87F7C"/>
    <w:rsid w:val="00B9060F"/>
    <w:rsid w:val="00B90E25"/>
    <w:rsid w:val="00B939CB"/>
    <w:rsid w:val="00BA10FB"/>
    <w:rsid w:val="00BA2F41"/>
    <w:rsid w:val="00BA3F12"/>
    <w:rsid w:val="00BB129E"/>
    <w:rsid w:val="00BB3EFD"/>
    <w:rsid w:val="00BB5CA3"/>
    <w:rsid w:val="00BB5D5F"/>
    <w:rsid w:val="00BC0241"/>
    <w:rsid w:val="00BC1FE1"/>
    <w:rsid w:val="00BC4556"/>
    <w:rsid w:val="00BC4F12"/>
    <w:rsid w:val="00BC52E7"/>
    <w:rsid w:val="00BD0CF4"/>
    <w:rsid w:val="00BD111D"/>
    <w:rsid w:val="00BE002C"/>
    <w:rsid w:val="00BE326D"/>
    <w:rsid w:val="00BE604F"/>
    <w:rsid w:val="00BE6915"/>
    <w:rsid w:val="00BE7B32"/>
    <w:rsid w:val="00BF3B09"/>
    <w:rsid w:val="00BF460A"/>
    <w:rsid w:val="00C045BF"/>
    <w:rsid w:val="00C15469"/>
    <w:rsid w:val="00C155E7"/>
    <w:rsid w:val="00C20AC8"/>
    <w:rsid w:val="00C2197A"/>
    <w:rsid w:val="00C22794"/>
    <w:rsid w:val="00C2455A"/>
    <w:rsid w:val="00C35419"/>
    <w:rsid w:val="00C36849"/>
    <w:rsid w:val="00C4152B"/>
    <w:rsid w:val="00C42146"/>
    <w:rsid w:val="00C4305D"/>
    <w:rsid w:val="00C50E38"/>
    <w:rsid w:val="00C528E4"/>
    <w:rsid w:val="00C5624E"/>
    <w:rsid w:val="00C629ED"/>
    <w:rsid w:val="00C64B9D"/>
    <w:rsid w:val="00C70588"/>
    <w:rsid w:val="00C7434A"/>
    <w:rsid w:val="00C74440"/>
    <w:rsid w:val="00C74C6F"/>
    <w:rsid w:val="00C8494B"/>
    <w:rsid w:val="00C86026"/>
    <w:rsid w:val="00C931CA"/>
    <w:rsid w:val="00C97DA4"/>
    <w:rsid w:val="00CA0264"/>
    <w:rsid w:val="00CA033D"/>
    <w:rsid w:val="00CA1852"/>
    <w:rsid w:val="00CA4B10"/>
    <w:rsid w:val="00CA575B"/>
    <w:rsid w:val="00CB00D6"/>
    <w:rsid w:val="00CB1962"/>
    <w:rsid w:val="00CB1D40"/>
    <w:rsid w:val="00CB419C"/>
    <w:rsid w:val="00CB61EE"/>
    <w:rsid w:val="00CC0545"/>
    <w:rsid w:val="00CC0C17"/>
    <w:rsid w:val="00CC22FC"/>
    <w:rsid w:val="00CC2D23"/>
    <w:rsid w:val="00CC595B"/>
    <w:rsid w:val="00CC5E53"/>
    <w:rsid w:val="00CC7227"/>
    <w:rsid w:val="00CC745E"/>
    <w:rsid w:val="00CC78A8"/>
    <w:rsid w:val="00CD4E34"/>
    <w:rsid w:val="00CE033D"/>
    <w:rsid w:val="00CE441B"/>
    <w:rsid w:val="00CF0720"/>
    <w:rsid w:val="00CF3019"/>
    <w:rsid w:val="00CF4B4D"/>
    <w:rsid w:val="00CF580A"/>
    <w:rsid w:val="00CF60F6"/>
    <w:rsid w:val="00CF6C30"/>
    <w:rsid w:val="00D00813"/>
    <w:rsid w:val="00D028C6"/>
    <w:rsid w:val="00D02F84"/>
    <w:rsid w:val="00D03056"/>
    <w:rsid w:val="00D0373F"/>
    <w:rsid w:val="00D04697"/>
    <w:rsid w:val="00D04B70"/>
    <w:rsid w:val="00D06E09"/>
    <w:rsid w:val="00D073B6"/>
    <w:rsid w:val="00D1182D"/>
    <w:rsid w:val="00D12010"/>
    <w:rsid w:val="00D12272"/>
    <w:rsid w:val="00D12551"/>
    <w:rsid w:val="00D13703"/>
    <w:rsid w:val="00D20A6E"/>
    <w:rsid w:val="00D2125A"/>
    <w:rsid w:val="00D23A3E"/>
    <w:rsid w:val="00D2582C"/>
    <w:rsid w:val="00D427DC"/>
    <w:rsid w:val="00D4326E"/>
    <w:rsid w:val="00D457B1"/>
    <w:rsid w:val="00D503A8"/>
    <w:rsid w:val="00D50A29"/>
    <w:rsid w:val="00D5599D"/>
    <w:rsid w:val="00D5712B"/>
    <w:rsid w:val="00D61B44"/>
    <w:rsid w:val="00D61C65"/>
    <w:rsid w:val="00D61F01"/>
    <w:rsid w:val="00D635BE"/>
    <w:rsid w:val="00D63EDA"/>
    <w:rsid w:val="00D65301"/>
    <w:rsid w:val="00D76CE7"/>
    <w:rsid w:val="00D81E39"/>
    <w:rsid w:val="00D82791"/>
    <w:rsid w:val="00D83DF0"/>
    <w:rsid w:val="00D86895"/>
    <w:rsid w:val="00D93852"/>
    <w:rsid w:val="00D94F2B"/>
    <w:rsid w:val="00D95059"/>
    <w:rsid w:val="00D95561"/>
    <w:rsid w:val="00D95BF8"/>
    <w:rsid w:val="00DA5259"/>
    <w:rsid w:val="00DA56BA"/>
    <w:rsid w:val="00DA5DBA"/>
    <w:rsid w:val="00DA6438"/>
    <w:rsid w:val="00DB1850"/>
    <w:rsid w:val="00DB2527"/>
    <w:rsid w:val="00DB3C59"/>
    <w:rsid w:val="00DC0386"/>
    <w:rsid w:val="00DC05A9"/>
    <w:rsid w:val="00DC05EF"/>
    <w:rsid w:val="00DC09DD"/>
    <w:rsid w:val="00DC1AEA"/>
    <w:rsid w:val="00DC3DEE"/>
    <w:rsid w:val="00DC72BC"/>
    <w:rsid w:val="00DC7908"/>
    <w:rsid w:val="00DD22F4"/>
    <w:rsid w:val="00DD4D5C"/>
    <w:rsid w:val="00DE3161"/>
    <w:rsid w:val="00DE4BCA"/>
    <w:rsid w:val="00DE75C9"/>
    <w:rsid w:val="00DF0727"/>
    <w:rsid w:val="00DF0CED"/>
    <w:rsid w:val="00DF1411"/>
    <w:rsid w:val="00DF2484"/>
    <w:rsid w:val="00DF346A"/>
    <w:rsid w:val="00DF4CB4"/>
    <w:rsid w:val="00DF5A87"/>
    <w:rsid w:val="00DF68AC"/>
    <w:rsid w:val="00DF7F03"/>
    <w:rsid w:val="00E008C3"/>
    <w:rsid w:val="00E023ED"/>
    <w:rsid w:val="00E04643"/>
    <w:rsid w:val="00E07F3E"/>
    <w:rsid w:val="00E10F87"/>
    <w:rsid w:val="00E1297F"/>
    <w:rsid w:val="00E12F0F"/>
    <w:rsid w:val="00E138E9"/>
    <w:rsid w:val="00E14D29"/>
    <w:rsid w:val="00E20FA5"/>
    <w:rsid w:val="00E21D89"/>
    <w:rsid w:val="00E2220E"/>
    <w:rsid w:val="00E2591E"/>
    <w:rsid w:val="00E270EE"/>
    <w:rsid w:val="00E27FB9"/>
    <w:rsid w:val="00E31810"/>
    <w:rsid w:val="00E32508"/>
    <w:rsid w:val="00E33F76"/>
    <w:rsid w:val="00E33F7B"/>
    <w:rsid w:val="00E4168A"/>
    <w:rsid w:val="00E41AE6"/>
    <w:rsid w:val="00E421DB"/>
    <w:rsid w:val="00E504B1"/>
    <w:rsid w:val="00E51DFB"/>
    <w:rsid w:val="00E5627C"/>
    <w:rsid w:val="00E5710E"/>
    <w:rsid w:val="00E622B4"/>
    <w:rsid w:val="00E632E6"/>
    <w:rsid w:val="00E771DF"/>
    <w:rsid w:val="00E84BC7"/>
    <w:rsid w:val="00E868C5"/>
    <w:rsid w:val="00E86BA8"/>
    <w:rsid w:val="00E902F4"/>
    <w:rsid w:val="00E912BB"/>
    <w:rsid w:val="00E92E33"/>
    <w:rsid w:val="00E957F3"/>
    <w:rsid w:val="00E973F1"/>
    <w:rsid w:val="00EA5DA6"/>
    <w:rsid w:val="00EA5EEA"/>
    <w:rsid w:val="00EB0E1A"/>
    <w:rsid w:val="00EB30B8"/>
    <w:rsid w:val="00EB3662"/>
    <w:rsid w:val="00EB46C1"/>
    <w:rsid w:val="00EB543B"/>
    <w:rsid w:val="00EB76DF"/>
    <w:rsid w:val="00EB7E1E"/>
    <w:rsid w:val="00EC340F"/>
    <w:rsid w:val="00EC4D67"/>
    <w:rsid w:val="00EC6123"/>
    <w:rsid w:val="00EC6E8A"/>
    <w:rsid w:val="00EC7783"/>
    <w:rsid w:val="00EC7CEB"/>
    <w:rsid w:val="00ED026B"/>
    <w:rsid w:val="00ED2D8F"/>
    <w:rsid w:val="00EE4A56"/>
    <w:rsid w:val="00EE6A65"/>
    <w:rsid w:val="00EE6A9E"/>
    <w:rsid w:val="00EE6E4D"/>
    <w:rsid w:val="00EF245A"/>
    <w:rsid w:val="00EF2558"/>
    <w:rsid w:val="00EF34C6"/>
    <w:rsid w:val="00EF3ECA"/>
    <w:rsid w:val="00EF43AA"/>
    <w:rsid w:val="00EF7EF0"/>
    <w:rsid w:val="00F01ED1"/>
    <w:rsid w:val="00F05E35"/>
    <w:rsid w:val="00F05FC5"/>
    <w:rsid w:val="00F065B6"/>
    <w:rsid w:val="00F06E03"/>
    <w:rsid w:val="00F06F31"/>
    <w:rsid w:val="00F10FF9"/>
    <w:rsid w:val="00F14377"/>
    <w:rsid w:val="00F14EBE"/>
    <w:rsid w:val="00F21787"/>
    <w:rsid w:val="00F24706"/>
    <w:rsid w:val="00F27073"/>
    <w:rsid w:val="00F27593"/>
    <w:rsid w:val="00F30833"/>
    <w:rsid w:val="00F44FCF"/>
    <w:rsid w:val="00F466BD"/>
    <w:rsid w:val="00F50E3E"/>
    <w:rsid w:val="00F51A9F"/>
    <w:rsid w:val="00F54AFD"/>
    <w:rsid w:val="00F550BC"/>
    <w:rsid w:val="00F5698B"/>
    <w:rsid w:val="00F62958"/>
    <w:rsid w:val="00F632DA"/>
    <w:rsid w:val="00F63BEB"/>
    <w:rsid w:val="00F7073F"/>
    <w:rsid w:val="00F75BD5"/>
    <w:rsid w:val="00F84A0B"/>
    <w:rsid w:val="00F86014"/>
    <w:rsid w:val="00F90C36"/>
    <w:rsid w:val="00F919ED"/>
    <w:rsid w:val="00F92C3E"/>
    <w:rsid w:val="00F95CC7"/>
    <w:rsid w:val="00FA51D4"/>
    <w:rsid w:val="00FA7438"/>
    <w:rsid w:val="00FB0FB1"/>
    <w:rsid w:val="00FB43F1"/>
    <w:rsid w:val="00FB4896"/>
    <w:rsid w:val="00FB4EA2"/>
    <w:rsid w:val="00FB5F38"/>
    <w:rsid w:val="00FB633C"/>
    <w:rsid w:val="00FB66E3"/>
    <w:rsid w:val="00FB6DAA"/>
    <w:rsid w:val="00FC610F"/>
    <w:rsid w:val="00FC61B0"/>
    <w:rsid w:val="00FC7138"/>
    <w:rsid w:val="00FD0981"/>
    <w:rsid w:val="00FD7136"/>
    <w:rsid w:val="00FE231A"/>
    <w:rsid w:val="00FF199F"/>
    <w:rsid w:val="00FF1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23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7F"/>
    <w:rPr>
      <w:rFonts w:ascii="Times New Roman" w:eastAsia="Times New Roman" w:hAnsi="Times New Roman" w:cs="Times New Roman"/>
    </w:rPr>
  </w:style>
  <w:style w:type="paragraph" w:styleId="1">
    <w:name w:val="heading 1"/>
    <w:basedOn w:val="a"/>
    <w:next w:val="a"/>
    <w:link w:val="1Char"/>
    <w:uiPriority w:val="9"/>
    <w:qFormat/>
    <w:rsid w:val="00FF1F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22794"/>
    <w:pPr>
      <w:keepNext/>
      <w:keepLines/>
      <w:spacing w:before="40"/>
      <w:outlineLvl w:val="1"/>
    </w:pPr>
    <w:rPr>
      <w:rFonts w:asciiTheme="majorHAnsi" w:eastAsiaTheme="majorEastAsia" w:hAnsiTheme="majorHAnsi" w:cstheme="majorBidi"/>
      <w:b/>
      <w:color w:val="2F5496" w:themeColor="accent1" w:themeShade="BF"/>
      <w:sz w:val="32"/>
      <w:szCs w:val="32"/>
      <w:lang w:val="en-GB"/>
    </w:rPr>
  </w:style>
  <w:style w:type="paragraph" w:styleId="3">
    <w:name w:val="heading 3"/>
    <w:basedOn w:val="a"/>
    <w:next w:val="a"/>
    <w:link w:val="3Char"/>
    <w:uiPriority w:val="9"/>
    <w:semiHidden/>
    <w:unhideWhenUsed/>
    <w:qFormat/>
    <w:rsid w:val="00EB366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1EF"/>
    <w:pPr>
      <w:ind w:left="720"/>
      <w:contextualSpacing/>
    </w:pPr>
  </w:style>
  <w:style w:type="character" w:styleId="a4">
    <w:name w:val="annotation reference"/>
    <w:basedOn w:val="a0"/>
    <w:uiPriority w:val="99"/>
    <w:semiHidden/>
    <w:unhideWhenUsed/>
    <w:rsid w:val="009B21EF"/>
    <w:rPr>
      <w:sz w:val="16"/>
      <w:szCs w:val="16"/>
    </w:rPr>
  </w:style>
  <w:style w:type="paragraph" w:styleId="a5">
    <w:name w:val="annotation text"/>
    <w:basedOn w:val="a"/>
    <w:link w:val="Char"/>
    <w:uiPriority w:val="99"/>
    <w:unhideWhenUsed/>
    <w:rsid w:val="009B21EF"/>
    <w:rPr>
      <w:sz w:val="20"/>
      <w:szCs w:val="20"/>
    </w:rPr>
  </w:style>
  <w:style w:type="character" w:customStyle="1" w:styleId="Char">
    <w:name w:val="批注文字 Char"/>
    <w:basedOn w:val="a0"/>
    <w:link w:val="a5"/>
    <w:uiPriority w:val="99"/>
    <w:rsid w:val="009B21EF"/>
    <w:rPr>
      <w:rFonts w:eastAsiaTheme="minorEastAsia"/>
      <w:sz w:val="20"/>
      <w:szCs w:val="20"/>
    </w:rPr>
  </w:style>
  <w:style w:type="paragraph" w:styleId="a6">
    <w:name w:val="Balloon Text"/>
    <w:basedOn w:val="a"/>
    <w:link w:val="Char0"/>
    <w:uiPriority w:val="99"/>
    <w:semiHidden/>
    <w:unhideWhenUsed/>
    <w:rsid w:val="009B21EF"/>
    <w:rPr>
      <w:sz w:val="18"/>
      <w:szCs w:val="18"/>
    </w:rPr>
  </w:style>
  <w:style w:type="character" w:customStyle="1" w:styleId="Char0">
    <w:name w:val="批注框文本 Char"/>
    <w:basedOn w:val="a0"/>
    <w:link w:val="a6"/>
    <w:uiPriority w:val="99"/>
    <w:semiHidden/>
    <w:rsid w:val="009B21EF"/>
    <w:rPr>
      <w:rFonts w:ascii="Times New Roman" w:eastAsiaTheme="minorEastAsia" w:hAnsi="Times New Roman" w:cs="Times New Roman"/>
      <w:sz w:val="18"/>
      <w:szCs w:val="18"/>
    </w:rPr>
  </w:style>
  <w:style w:type="paragraph" w:styleId="a7">
    <w:name w:val="annotation subject"/>
    <w:basedOn w:val="a5"/>
    <w:next w:val="a5"/>
    <w:link w:val="Char1"/>
    <w:uiPriority w:val="99"/>
    <w:semiHidden/>
    <w:unhideWhenUsed/>
    <w:rsid w:val="00BF460A"/>
    <w:rPr>
      <w:b/>
      <w:bCs/>
    </w:rPr>
  </w:style>
  <w:style w:type="character" w:customStyle="1" w:styleId="Char1">
    <w:name w:val="批注主题 Char"/>
    <w:basedOn w:val="Char"/>
    <w:link w:val="a7"/>
    <w:uiPriority w:val="99"/>
    <w:semiHidden/>
    <w:rsid w:val="00BF460A"/>
    <w:rPr>
      <w:rFonts w:eastAsiaTheme="minorEastAsia"/>
      <w:b/>
      <w:bCs/>
      <w:sz w:val="20"/>
      <w:szCs w:val="20"/>
    </w:rPr>
  </w:style>
  <w:style w:type="table" w:styleId="a8">
    <w:name w:val="Table Grid"/>
    <w:basedOn w:val="a1"/>
    <w:uiPriority w:val="39"/>
    <w:rsid w:val="00C5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50E38"/>
    <w:pPr>
      <w:spacing w:after="160" w:line="259" w:lineRule="auto"/>
    </w:pPr>
    <w:rPr>
      <w:rFonts w:ascii="Calibri" w:eastAsia="Calibri" w:hAnsi="Calibri" w:cs="Calibri"/>
      <w:color w:val="000000"/>
      <w:sz w:val="22"/>
      <w:szCs w:val="22"/>
    </w:rPr>
  </w:style>
  <w:style w:type="character" w:styleId="a9">
    <w:name w:val="Hyperlink"/>
    <w:basedOn w:val="a0"/>
    <w:uiPriority w:val="99"/>
    <w:unhideWhenUsed/>
    <w:rsid w:val="00C155E7"/>
    <w:rPr>
      <w:color w:val="0563C1" w:themeColor="hyperlink"/>
      <w:u w:val="single"/>
    </w:rPr>
  </w:style>
  <w:style w:type="character" w:customStyle="1" w:styleId="2Char">
    <w:name w:val="标题 2 Char"/>
    <w:basedOn w:val="a0"/>
    <w:link w:val="2"/>
    <w:uiPriority w:val="9"/>
    <w:rsid w:val="00C22794"/>
    <w:rPr>
      <w:rFonts w:asciiTheme="majorHAnsi" w:eastAsiaTheme="majorEastAsia" w:hAnsiTheme="majorHAnsi" w:cstheme="majorBidi"/>
      <w:b/>
      <w:color w:val="2F5496" w:themeColor="accent1" w:themeShade="BF"/>
      <w:sz w:val="32"/>
      <w:szCs w:val="32"/>
      <w:lang w:val="en-GB"/>
    </w:rPr>
  </w:style>
  <w:style w:type="character" w:customStyle="1" w:styleId="3Char">
    <w:name w:val="标题 3 Char"/>
    <w:basedOn w:val="a0"/>
    <w:link w:val="3"/>
    <w:uiPriority w:val="9"/>
    <w:semiHidden/>
    <w:rsid w:val="00EB3662"/>
    <w:rPr>
      <w:rFonts w:asciiTheme="majorHAnsi" w:eastAsiaTheme="majorEastAsia" w:hAnsiTheme="majorHAnsi" w:cstheme="majorBidi"/>
      <w:color w:val="1F3763" w:themeColor="accent1" w:themeShade="7F"/>
    </w:rPr>
  </w:style>
  <w:style w:type="paragraph" w:styleId="aa">
    <w:name w:val="Revision"/>
    <w:hidden/>
    <w:uiPriority w:val="99"/>
    <w:semiHidden/>
    <w:rsid w:val="005E3D67"/>
    <w:rPr>
      <w:rFonts w:ascii="Times New Roman" w:eastAsia="Times New Roman" w:hAnsi="Times New Roman" w:cs="Times New Roman"/>
    </w:rPr>
  </w:style>
  <w:style w:type="paragraph" w:customStyle="1" w:styleId="Introduction">
    <w:name w:val="Introduction"/>
    <w:basedOn w:val="a"/>
    <w:qFormat/>
    <w:rsid w:val="00D94F2B"/>
    <w:pPr>
      <w:spacing w:before="200" w:after="200"/>
    </w:pPr>
    <w:rPr>
      <w:rFonts w:asciiTheme="minorHAnsi" w:hAnsiTheme="minorHAnsi"/>
      <w:color w:val="000000" w:themeColor="text1"/>
      <w:sz w:val="22"/>
      <w:szCs w:val="22"/>
    </w:rPr>
  </w:style>
  <w:style w:type="table" w:customStyle="1" w:styleId="TableGrid1">
    <w:name w:val="Table Grid1"/>
    <w:basedOn w:val="a1"/>
    <w:next w:val="a8"/>
    <w:uiPriority w:val="39"/>
    <w:rsid w:val="00D94F2B"/>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rsid w:val="00B55E96"/>
    <w:rPr>
      <w:color w:val="605E5C"/>
      <w:shd w:val="clear" w:color="auto" w:fill="E1DFDD"/>
    </w:rPr>
  </w:style>
  <w:style w:type="paragraph" w:styleId="ab">
    <w:name w:val="footer"/>
    <w:basedOn w:val="a"/>
    <w:link w:val="Char2"/>
    <w:uiPriority w:val="99"/>
    <w:unhideWhenUsed/>
    <w:rsid w:val="00142102"/>
    <w:pPr>
      <w:tabs>
        <w:tab w:val="center" w:pos="4680"/>
        <w:tab w:val="right" w:pos="9360"/>
      </w:tabs>
    </w:pPr>
  </w:style>
  <w:style w:type="character" w:customStyle="1" w:styleId="Char2">
    <w:name w:val="页脚 Char"/>
    <w:basedOn w:val="a0"/>
    <w:link w:val="ab"/>
    <w:uiPriority w:val="99"/>
    <w:rsid w:val="00142102"/>
    <w:rPr>
      <w:rFonts w:ascii="Times New Roman" w:eastAsia="Times New Roman" w:hAnsi="Times New Roman" w:cs="Times New Roman"/>
    </w:rPr>
  </w:style>
  <w:style w:type="character" w:styleId="ac">
    <w:name w:val="page number"/>
    <w:basedOn w:val="a0"/>
    <w:uiPriority w:val="99"/>
    <w:semiHidden/>
    <w:unhideWhenUsed/>
    <w:rsid w:val="00142102"/>
  </w:style>
  <w:style w:type="character" w:customStyle="1" w:styleId="1Char">
    <w:name w:val="标题 1 Char"/>
    <w:basedOn w:val="a0"/>
    <w:link w:val="1"/>
    <w:uiPriority w:val="99"/>
    <w:rsid w:val="00FF1FE6"/>
    <w:rPr>
      <w:rFonts w:asciiTheme="majorHAnsi" w:eastAsiaTheme="majorEastAsia" w:hAnsiTheme="majorHAnsi" w:cstheme="majorBidi"/>
      <w:color w:val="2F5496" w:themeColor="accent1" w:themeShade="BF"/>
      <w:sz w:val="32"/>
      <w:szCs w:val="32"/>
    </w:rPr>
  </w:style>
  <w:style w:type="paragraph" w:styleId="ad">
    <w:name w:val="header"/>
    <w:basedOn w:val="a"/>
    <w:link w:val="Char3"/>
    <w:uiPriority w:val="99"/>
    <w:unhideWhenUsed/>
    <w:rsid w:val="000A293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0A2935"/>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7F"/>
    <w:rPr>
      <w:rFonts w:ascii="Times New Roman" w:eastAsia="Times New Roman" w:hAnsi="Times New Roman" w:cs="Times New Roman"/>
    </w:rPr>
  </w:style>
  <w:style w:type="paragraph" w:styleId="1">
    <w:name w:val="heading 1"/>
    <w:basedOn w:val="a"/>
    <w:next w:val="a"/>
    <w:link w:val="1Char"/>
    <w:uiPriority w:val="9"/>
    <w:qFormat/>
    <w:rsid w:val="00FF1F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22794"/>
    <w:pPr>
      <w:keepNext/>
      <w:keepLines/>
      <w:spacing w:before="40"/>
      <w:outlineLvl w:val="1"/>
    </w:pPr>
    <w:rPr>
      <w:rFonts w:asciiTheme="majorHAnsi" w:eastAsiaTheme="majorEastAsia" w:hAnsiTheme="majorHAnsi" w:cstheme="majorBidi"/>
      <w:b/>
      <w:color w:val="2F5496" w:themeColor="accent1" w:themeShade="BF"/>
      <w:sz w:val="32"/>
      <w:szCs w:val="32"/>
      <w:lang w:val="en-GB"/>
    </w:rPr>
  </w:style>
  <w:style w:type="paragraph" w:styleId="3">
    <w:name w:val="heading 3"/>
    <w:basedOn w:val="a"/>
    <w:next w:val="a"/>
    <w:link w:val="3Char"/>
    <w:uiPriority w:val="9"/>
    <w:semiHidden/>
    <w:unhideWhenUsed/>
    <w:qFormat/>
    <w:rsid w:val="00EB366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1EF"/>
    <w:pPr>
      <w:ind w:left="720"/>
      <w:contextualSpacing/>
    </w:pPr>
  </w:style>
  <w:style w:type="character" w:styleId="a4">
    <w:name w:val="annotation reference"/>
    <w:basedOn w:val="a0"/>
    <w:uiPriority w:val="99"/>
    <w:semiHidden/>
    <w:unhideWhenUsed/>
    <w:rsid w:val="009B21EF"/>
    <w:rPr>
      <w:sz w:val="16"/>
      <w:szCs w:val="16"/>
    </w:rPr>
  </w:style>
  <w:style w:type="paragraph" w:styleId="a5">
    <w:name w:val="annotation text"/>
    <w:basedOn w:val="a"/>
    <w:link w:val="Char"/>
    <w:uiPriority w:val="99"/>
    <w:unhideWhenUsed/>
    <w:rsid w:val="009B21EF"/>
    <w:rPr>
      <w:sz w:val="20"/>
      <w:szCs w:val="20"/>
    </w:rPr>
  </w:style>
  <w:style w:type="character" w:customStyle="1" w:styleId="Char">
    <w:name w:val="批注文字 Char"/>
    <w:basedOn w:val="a0"/>
    <w:link w:val="a5"/>
    <w:uiPriority w:val="99"/>
    <w:rsid w:val="009B21EF"/>
    <w:rPr>
      <w:rFonts w:eastAsiaTheme="minorEastAsia"/>
      <w:sz w:val="20"/>
      <w:szCs w:val="20"/>
    </w:rPr>
  </w:style>
  <w:style w:type="paragraph" w:styleId="a6">
    <w:name w:val="Balloon Text"/>
    <w:basedOn w:val="a"/>
    <w:link w:val="Char0"/>
    <w:uiPriority w:val="99"/>
    <w:semiHidden/>
    <w:unhideWhenUsed/>
    <w:rsid w:val="009B21EF"/>
    <w:rPr>
      <w:sz w:val="18"/>
      <w:szCs w:val="18"/>
    </w:rPr>
  </w:style>
  <w:style w:type="character" w:customStyle="1" w:styleId="Char0">
    <w:name w:val="批注框文本 Char"/>
    <w:basedOn w:val="a0"/>
    <w:link w:val="a6"/>
    <w:uiPriority w:val="99"/>
    <w:semiHidden/>
    <w:rsid w:val="009B21EF"/>
    <w:rPr>
      <w:rFonts w:ascii="Times New Roman" w:eastAsiaTheme="minorEastAsia" w:hAnsi="Times New Roman" w:cs="Times New Roman"/>
      <w:sz w:val="18"/>
      <w:szCs w:val="18"/>
    </w:rPr>
  </w:style>
  <w:style w:type="paragraph" w:styleId="a7">
    <w:name w:val="annotation subject"/>
    <w:basedOn w:val="a5"/>
    <w:next w:val="a5"/>
    <w:link w:val="Char1"/>
    <w:uiPriority w:val="99"/>
    <w:semiHidden/>
    <w:unhideWhenUsed/>
    <w:rsid w:val="00BF460A"/>
    <w:rPr>
      <w:b/>
      <w:bCs/>
    </w:rPr>
  </w:style>
  <w:style w:type="character" w:customStyle="1" w:styleId="Char1">
    <w:name w:val="批注主题 Char"/>
    <w:basedOn w:val="Char"/>
    <w:link w:val="a7"/>
    <w:uiPriority w:val="99"/>
    <w:semiHidden/>
    <w:rsid w:val="00BF460A"/>
    <w:rPr>
      <w:rFonts w:eastAsiaTheme="minorEastAsia"/>
      <w:b/>
      <w:bCs/>
      <w:sz w:val="20"/>
      <w:szCs w:val="20"/>
    </w:rPr>
  </w:style>
  <w:style w:type="table" w:styleId="a8">
    <w:name w:val="Table Grid"/>
    <w:basedOn w:val="a1"/>
    <w:uiPriority w:val="39"/>
    <w:rsid w:val="00C5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50E38"/>
    <w:pPr>
      <w:spacing w:after="160" w:line="259" w:lineRule="auto"/>
    </w:pPr>
    <w:rPr>
      <w:rFonts w:ascii="Calibri" w:eastAsia="Calibri" w:hAnsi="Calibri" w:cs="Calibri"/>
      <w:color w:val="000000"/>
      <w:sz w:val="22"/>
      <w:szCs w:val="22"/>
    </w:rPr>
  </w:style>
  <w:style w:type="character" w:styleId="a9">
    <w:name w:val="Hyperlink"/>
    <w:basedOn w:val="a0"/>
    <w:uiPriority w:val="99"/>
    <w:unhideWhenUsed/>
    <w:rsid w:val="00C155E7"/>
    <w:rPr>
      <w:color w:val="0563C1" w:themeColor="hyperlink"/>
      <w:u w:val="single"/>
    </w:rPr>
  </w:style>
  <w:style w:type="character" w:customStyle="1" w:styleId="2Char">
    <w:name w:val="标题 2 Char"/>
    <w:basedOn w:val="a0"/>
    <w:link w:val="2"/>
    <w:uiPriority w:val="9"/>
    <w:rsid w:val="00C22794"/>
    <w:rPr>
      <w:rFonts w:asciiTheme="majorHAnsi" w:eastAsiaTheme="majorEastAsia" w:hAnsiTheme="majorHAnsi" w:cstheme="majorBidi"/>
      <w:b/>
      <w:color w:val="2F5496" w:themeColor="accent1" w:themeShade="BF"/>
      <w:sz w:val="32"/>
      <w:szCs w:val="32"/>
      <w:lang w:val="en-GB"/>
    </w:rPr>
  </w:style>
  <w:style w:type="character" w:customStyle="1" w:styleId="3Char">
    <w:name w:val="标题 3 Char"/>
    <w:basedOn w:val="a0"/>
    <w:link w:val="3"/>
    <w:uiPriority w:val="9"/>
    <w:semiHidden/>
    <w:rsid w:val="00EB3662"/>
    <w:rPr>
      <w:rFonts w:asciiTheme="majorHAnsi" w:eastAsiaTheme="majorEastAsia" w:hAnsiTheme="majorHAnsi" w:cstheme="majorBidi"/>
      <w:color w:val="1F3763" w:themeColor="accent1" w:themeShade="7F"/>
    </w:rPr>
  </w:style>
  <w:style w:type="paragraph" w:styleId="aa">
    <w:name w:val="Revision"/>
    <w:hidden/>
    <w:uiPriority w:val="99"/>
    <w:semiHidden/>
    <w:rsid w:val="005E3D67"/>
    <w:rPr>
      <w:rFonts w:ascii="Times New Roman" w:eastAsia="Times New Roman" w:hAnsi="Times New Roman" w:cs="Times New Roman"/>
    </w:rPr>
  </w:style>
  <w:style w:type="paragraph" w:customStyle="1" w:styleId="Introduction">
    <w:name w:val="Introduction"/>
    <w:basedOn w:val="a"/>
    <w:qFormat/>
    <w:rsid w:val="00D94F2B"/>
    <w:pPr>
      <w:spacing w:before="200" w:after="200"/>
    </w:pPr>
    <w:rPr>
      <w:rFonts w:asciiTheme="minorHAnsi" w:hAnsiTheme="minorHAnsi"/>
      <w:color w:val="000000" w:themeColor="text1"/>
      <w:sz w:val="22"/>
      <w:szCs w:val="22"/>
    </w:rPr>
  </w:style>
  <w:style w:type="table" w:customStyle="1" w:styleId="TableGrid1">
    <w:name w:val="Table Grid1"/>
    <w:basedOn w:val="a1"/>
    <w:next w:val="a8"/>
    <w:uiPriority w:val="39"/>
    <w:rsid w:val="00D94F2B"/>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rsid w:val="00B55E96"/>
    <w:rPr>
      <w:color w:val="605E5C"/>
      <w:shd w:val="clear" w:color="auto" w:fill="E1DFDD"/>
    </w:rPr>
  </w:style>
  <w:style w:type="paragraph" w:styleId="ab">
    <w:name w:val="footer"/>
    <w:basedOn w:val="a"/>
    <w:link w:val="Char2"/>
    <w:uiPriority w:val="99"/>
    <w:unhideWhenUsed/>
    <w:rsid w:val="00142102"/>
    <w:pPr>
      <w:tabs>
        <w:tab w:val="center" w:pos="4680"/>
        <w:tab w:val="right" w:pos="9360"/>
      </w:tabs>
    </w:pPr>
  </w:style>
  <w:style w:type="character" w:customStyle="1" w:styleId="Char2">
    <w:name w:val="页脚 Char"/>
    <w:basedOn w:val="a0"/>
    <w:link w:val="ab"/>
    <w:uiPriority w:val="99"/>
    <w:rsid w:val="00142102"/>
    <w:rPr>
      <w:rFonts w:ascii="Times New Roman" w:eastAsia="Times New Roman" w:hAnsi="Times New Roman" w:cs="Times New Roman"/>
    </w:rPr>
  </w:style>
  <w:style w:type="character" w:styleId="ac">
    <w:name w:val="page number"/>
    <w:basedOn w:val="a0"/>
    <w:uiPriority w:val="99"/>
    <w:semiHidden/>
    <w:unhideWhenUsed/>
    <w:rsid w:val="00142102"/>
  </w:style>
  <w:style w:type="character" w:customStyle="1" w:styleId="1Char">
    <w:name w:val="标题 1 Char"/>
    <w:basedOn w:val="a0"/>
    <w:link w:val="1"/>
    <w:uiPriority w:val="99"/>
    <w:rsid w:val="00FF1FE6"/>
    <w:rPr>
      <w:rFonts w:asciiTheme="majorHAnsi" w:eastAsiaTheme="majorEastAsia" w:hAnsiTheme="majorHAnsi" w:cstheme="majorBidi"/>
      <w:color w:val="2F5496" w:themeColor="accent1" w:themeShade="BF"/>
      <w:sz w:val="32"/>
      <w:szCs w:val="32"/>
    </w:rPr>
  </w:style>
  <w:style w:type="paragraph" w:styleId="ad">
    <w:name w:val="header"/>
    <w:basedOn w:val="a"/>
    <w:link w:val="Char3"/>
    <w:uiPriority w:val="99"/>
    <w:unhideWhenUsed/>
    <w:rsid w:val="000A293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0A293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455">
      <w:bodyDiv w:val="1"/>
      <w:marLeft w:val="0"/>
      <w:marRight w:val="0"/>
      <w:marTop w:val="0"/>
      <w:marBottom w:val="0"/>
      <w:divBdr>
        <w:top w:val="none" w:sz="0" w:space="0" w:color="auto"/>
        <w:left w:val="none" w:sz="0" w:space="0" w:color="auto"/>
        <w:bottom w:val="none" w:sz="0" w:space="0" w:color="auto"/>
        <w:right w:val="none" w:sz="0" w:space="0" w:color="auto"/>
      </w:divBdr>
    </w:div>
    <w:div w:id="10231438">
      <w:bodyDiv w:val="1"/>
      <w:marLeft w:val="0"/>
      <w:marRight w:val="0"/>
      <w:marTop w:val="0"/>
      <w:marBottom w:val="0"/>
      <w:divBdr>
        <w:top w:val="none" w:sz="0" w:space="0" w:color="auto"/>
        <w:left w:val="none" w:sz="0" w:space="0" w:color="auto"/>
        <w:bottom w:val="none" w:sz="0" w:space="0" w:color="auto"/>
        <w:right w:val="none" w:sz="0" w:space="0" w:color="auto"/>
      </w:divBdr>
    </w:div>
    <w:div w:id="41290191">
      <w:bodyDiv w:val="1"/>
      <w:marLeft w:val="0"/>
      <w:marRight w:val="0"/>
      <w:marTop w:val="0"/>
      <w:marBottom w:val="0"/>
      <w:divBdr>
        <w:top w:val="none" w:sz="0" w:space="0" w:color="auto"/>
        <w:left w:val="none" w:sz="0" w:space="0" w:color="auto"/>
        <w:bottom w:val="none" w:sz="0" w:space="0" w:color="auto"/>
        <w:right w:val="none" w:sz="0" w:space="0" w:color="auto"/>
      </w:divBdr>
    </w:div>
    <w:div w:id="42682204">
      <w:bodyDiv w:val="1"/>
      <w:marLeft w:val="0"/>
      <w:marRight w:val="0"/>
      <w:marTop w:val="0"/>
      <w:marBottom w:val="0"/>
      <w:divBdr>
        <w:top w:val="none" w:sz="0" w:space="0" w:color="auto"/>
        <w:left w:val="none" w:sz="0" w:space="0" w:color="auto"/>
        <w:bottom w:val="none" w:sz="0" w:space="0" w:color="auto"/>
        <w:right w:val="none" w:sz="0" w:space="0" w:color="auto"/>
      </w:divBdr>
    </w:div>
    <w:div w:id="51198287">
      <w:bodyDiv w:val="1"/>
      <w:marLeft w:val="0"/>
      <w:marRight w:val="0"/>
      <w:marTop w:val="0"/>
      <w:marBottom w:val="0"/>
      <w:divBdr>
        <w:top w:val="none" w:sz="0" w:space="0" w:color="auto"/>
        <w:left w:val="none" w:sz="0" w:space="0" w:color="auto"/>
        <w:bottom w:val="none" w:sz="0" w:space="0" w:color="auto"/>
        <w:right w:val="none" w:sz="0" w:space="0" w:color="auto"/>
      </w:divBdr>
    </w:div>
    <w:div w:id="172111343">
      <w:bodyDiv w:val="1"/>
      <w:marLeft w:val="0"/>
      <w:marRight w:val="0"/>
      <w:marTop w:val="0"/>
      <w:marBottom w:val="0"/>
      <w:divBdr>
        <w:top w:val="none" w:sz="0" w:space="0" w:color="auto"/>
        <w:left w:val="none" w:sz="0" w:space="0" w:color="auto"/>
        <w:bottom w:val="none" w:sz="0" w:space="0" w:color="auto"/>
        <w:right w:val="none" w:sz="0" w:space="0" w:color="auto"/>
      </w:divBdr>
    </w:div>
    <w:div w:id="184566513">
      <w:bodyDiv w:val="1"/>
      <w:marLeft w:val="0"/>
      <w:marRight w:val="0"/>
      <w:marTop w:val="0"/>
      <w:marBottom w:val="0"/>
      <w:divBdr>
        <w:top w:val="none" w:sz="0" w:space="0" w:color="auto"/>
        <w:left w:val="none" w:sz="0" w:space="0" w:color="auto"/>
        <w:bottom w:val="none" w:sz="0" w:space="0" w:color="auto"/>
        <w:right w:val="none" w:sz="0" w:space="0" w:color="auto"/>
      </w:divBdr>
    </w:div>
    <w:div w:id="188178084">
      <w:bodyDiv w:val="1"/>
      <w:marLeft w:val="0"/>
      <w:marRight w:val="0"/>
      <w:marTop w:val="0"/>
      <w:marBottom w:val="0"/>
      <w:divBdr>
        <w:top w:val="none" w:sz="0" w:space="0" w:color="auto"/>
        <w:left w:val="none" w:sz="0" w:space="0" w:color="auto"/>
        <w:bottom w:val="none" w:sz="0" w:space="0" w:color="auto"/>
        <w:right w:val="none" w:sz="0" w:space="0" w:color="auto"/>
      </w:divBdr>
    </w:div>
    <w:div w:id="252788165">
      <w:bodyDiv w:val="1"/>
      <w:marLeft w:val="0"/>
      <w:marRight w:val="0"/>
      <w:marTop w:val="0"/>
      <w:marBottom w:val="0"/>
      <w:divBdr>
        <w:top w:val="none" w:sz="0" w:space="0" w:color="auto"/>
        <w:left w:val="none" w:sz="0" w:space="0" w:color="auto"/>
        <w:bottom w:val="none" w:sz="0" w:space="0" w:color="auto"/>
        <w:right w:val="none" w:sz="0" w:space="0" w:color="auto"/>
      </w:divBdr>
    </w:div>
    <w:div w:id="268508199">
      <w:bodyDiv w:val="1"/>
      <w:marLeft w:val="0"/>
      <w:marRight w:val="0"/>
      <w:marTop w:val="0"/>
      <w:marBottom w:val="0"/>
      <w:divBdr>
        <w:top w:val="none" w:sz="0" w:space="0" w:color="auto"/>
        <w:left w:val="none" w:sz="0" w:space="0" w:color="auto"/>
        <w:bottom w:val="none" w:sz="0" w:space="0" w:color="auto"/>
        <w:right w:val="none" w:sz="0" w:space="0" w:color="auto"/>
      </w:divBdr>
    </w:div>
    <w:div w:id="367027766">
      <w:bodyDiv w:val="1"/>
      <w:marLeft w:val="0"/>
      <w:marRight w:val="0"/>
      <w:marTop w:val="0"/>
      <w:marBottom w:val="0"/>
      <w:divBdr>
        <w:top w:val="none" w:sz="0" w:space="0" w:color="auto"/>
        <w:left w:val="none" w:sz="0" w:space="0" w:color="auto"/>
        <w:bottom w:val="none" w:sz="0" w:space="0" w:color="auto"/>
        <w:right w:val="none" w:sz="0" w:space="0" w:color="auto"/>
      </w:divBdr>
    </w:div>
    <w:div w:id="573123163">
      <w:bodyDiv w:val="1"/>
      <w:marLeft w:val="0"/>
      <w:marRight w:val="0"/>
      <w:marTop w:val="0"/>
      <w:marBottom w:val="0"/>
      <w:divBdr>
        <w:top w:val="none" w:sz="0" w:space="0" w:color="auto"/>
        <w:left w:val="none" w:sz="0" w:space="0" w:color="auto"/>
        <w:bottom w:val="none" w:sz="0" w:space="0" w:color="auto"/>
        <w:right w:val="none" w:sz="0" w:space="0" w:color="auto"/>
      </w:divBdr>
    </w:div>
    <w:div w:id="620264540">
      <w:bodyDiv w:val="1"/>
      <w:marLeft w:val="0"/>
      <w:marRight w:val="0"/>
      <w:marTop w:val="0"/>
      <w:marBottom w:val="0"/>
      <w:divBdr>
        <w:top w:val="none" w:sz="0" w:space="0" w:color="auto"/>
        <w:left w:val="none" w:sz="0" w:space="0" w:color="auto"/>
        <w:bottom w:val="none" w:sz="0" w:space="0" w:color="auto"/>
        <w:right w:val="none" w:sz="0" w:space="0" w:color="auto"/>
      </w:divBdr>
    </w:div>
    <w:div w:id="636882295">
      <w:bodyDiv w:val="1"/>
      <w:marLeft w:val="0"/>
      <w:marRight w:val="0"/>
      <w:marTop w:val="0"/>
      <w:marBottom w:val="0"/>
      <w:divBdr>
        <w:top w:val="none" w:sz="0" w:space="0" w:color="auto"/>
        <w:left w:val="none" w:sz="0" w:space="0" w:color="auto"/>
        <w:bottom w:val="none" w:sz="0" w:space="0" w:color="auto"/>
        <w:right w:val="none" w:sz="0" w:space="0" w:color="auto"/>
      </w:divBdr>
    </w:div>
    <w:div w:id="649675905">
      <w:bodyDiv w:val="1"/>
      <w:marLeft w:val="0"/>
      <w:marRight w:val="0"/>
      <w:marTop w:val="0"/>
      <w:marBottom w:val="0"/>
      <w:divBdr>
        <w:top w:val="none" w:sz="0" w:space="0" w:color="auto"/>
        <w:left w:val="none" w:sz="0" w:space="0" w:color="auto"/>
        <w:bottom w:val="none" w:sz="0" w:space="0" w:color="auto"/>
        <w:right w:val="none" w:sz="0" w:space="0" w:color="auto"/>
      </w:divBdr>
    </w:div>
    <w:div w:id="707990211">
      <w:bodyDiv w:val="1"/>
      <w:marLeft w:val="0"/>
      <w:marRight w:val="0"/>
      <w:marTop w:val="0"/>
      <w:marBottom w:val="0"/>
      <w:divBdr>
        <w:top w:val="none" w:sz="0" w:space="0" w:color="auto"/>
        <w:left w:val="none" w:sz="0" w:space="0" w:color="auto"/>
        <w:bottom w:val="none" w:sz="0" w:space="0" w:color="auto"/>
        <w:right w:val="none" w:sz="0" w:space="0" w:color="auto"/>
      </w:divBdr>
    </w:div>
    <w:div w:id="772558410">
      <w:bodyDiv w:val="1"/>
      <w:marLeft w:val="0"/>
      <w:marRight w:val="0"/>
      <w:marTop w:val="0"/>
      <w:marBottom w:val="0"/>
      <w:divBdr>
        <w:top w:val="none" w:sz="0" w:space="0" w:color="auto"/>
        <w:left w:val="none" w:sz="0" w:space="0" w:color="auto"/>
        <w:bottom w:val="none" w:sz="0" w:space="0" w:color="auto"/>
        <w:right w:val="none" w:sz="0" w:space="0" w:color="auto"/>
      </w:divBdr>
    </w:div>
    <w:div w:id="776484010">
      <w:bodyDiv w:val="1"/>
      <w:marLeft w:val="0"/>
      <w:marRight w:val="0"/>
      <w:marTop w:val="0"/>
      <w:marBottom w:val="0"/>
      <w:divBdr>
        <w:top w:val="none" w:sz="0" w:space="0" w:color="auto"/>
        <w:left w:val="none" w:sz="0" w:space="0" w:color="auto"/>
        <w:bottom w:val="none" w:sz="0" w:space="0" w:color="auto"/>
        <w:right w:val="none" w:sz="0" w:space="0" w:color="auto"/>
      </w:divBdr>
    </w:div>
    <w:div w:id="792208939">
      <w:bodyDiv w:val="1"/>
      <w:marLeft w:val="0"/>
      <w:marRight w:val="0"/>
      <w:marTop w:val="0"/>
      <w:marBottom w:val="0"/>
      <w:divBdr>
        <w:top w:val="none" w:sz="0" w:space="0" w:color="auto"/>
        <w:left w:val="none" w:sz="0" w:space="0" w:color="auto"/>
        <w:bottom w:val="none" w:sz="0" w:space="0" w:color="auto"/>
        <w:right w:val="none" w:sz="0" w:space="0" w:color="auto"/>
      </w:divBdr>
    </w:div>
    <w:div w:id="798378240">
      <w:bodyDiv w:val="1"/>
      <w:marLeft w:val="0"/>
      <w:marRight w:val="0"/>
      <w:marTop w:val="0"/>
      <w:marBottom w:val="0"/>
      <w:divBdr>
        <w:top w:val="none" w:sz="0" w:space="0" w:color="auto"/>
        <w:left w:val="none" w:sz="0" w:space="0" w:color="auto"/>
        <w:bottom w:val="none" w:sz="0" w:space="0" w:color="auto"/>
        <w:right w:val="none" w:sz="0" w:space="0" w:color="auto"/>
      </w:divBdr>
    </w:div>
    <w:div w:id="844975028">
      <w:bodyDiv w:val="1"/>
      <w:marLeft w:val="0"/>
      <w:marRight w:val="0"/>
      <w:marTop w:val="0"/>
      <w:marBottom w:val="0"/>
      <w:divBdr>
        <w:top w:val="none" w:sz="0" w:space="0" w:color="auto"/>
        <w:left w:val="none" w:sz="0" w:space="0" w:color="auto"/>
        <w:bottom w:val="none" w:sz="0" w:space="0" w:color="auto"/>
        <w:right w:val="none" w:sz="0" w:space="0" w:color="auto"/>
      </w:divBdr>
    </w:div>
    <w:div w:id="858617133">
      <w:bodyDiv w:val="1"/>
      <w:marLeft w:val="0"/>
      <w:marRight w:val="0"/>
      <w:marTop w:val="0"/>
      <w:marBottom w:val="0"/>
      <w:divBdr>
        <w:top w:val="none" w:sz="0" w:space="0" w:color="auto"/>
        <w:left w:val="none" w:sz="0" w:space="0" w:color="auto"/>
        <w:bottom w:val="none" w:sz="0" w:space="0" w:color="auto"/>
        <w:right w:val="none" w:sz="0" w:space="0" w:color="auto"/>
      </w:divBdr>
    </w:div>
    <w:div w:id="865866906">
      <w:bodyDiv w:val="1"/>
      <w:marLeft w:val="0"/>
      <w:marRight w:val="0"/>
      <w:marTop w:val="0"/>
      <w:marBottom w:val="0"/>
      <w:divBdr>
        <w:top w:val="none" w:sz="0" w:space="0" w:color="auto"/>
        <w:left w:val="none" w:sz="0" w:space="0" w:color="auto"/>
        <w:bottom w:val="none" w:sz="0" w:space="0" w:color="auto"/>
        <w:right w:val="none" w:sz="0" w:space="0" w:color="auto"/>
      </w:divBdr>
    </w:div>
    <w:div w:id="866258987">
      <w:bodyDiv w:val="1"/>
      <w:marLeft w:val="0"/>
      <w:marRight w:val="0"/>
      <w:marTop w:val="0"/>
      <w:marBottom w:val="0"/>
      <w:divBdr>
        <w:top w:val="none" w:sz="0" w:space="0" w:color="auto"/>
        <w:left w:val="none" w:sz="0" w:space="0" w:color="auto"/>
        <w:bottom w:val="none" w:sz="0" w:space="0" w:color="auto"/>
        <w:right w:val="none" w:sz="0" w:space="0" w:color="auto"/>
      </w:divBdr>
    </w:div>
    <w:div w:id="875653680">
      <w:bodyDiv w:val="1"/>
      <w:marLeft w:val="0"/>
      <w:marRight w:val="0"/>
      <w:marTop w:val="0"/>
      <w:marBottom w:val="0"/>
      <w:divBdr>
        <w:top w:val="none" w:sz="0" w:space="0" w:color="auto"/>
        <w:left w:val="none" w:sz="0" w:space="0" w:color="auto"/>
        <w:bottom w:val="none" w:sz="0" w:space="0" w:color="auto"/>
        <w:right w:val="none" w:sz="0" w:space="0" w:color="auto"/>
      </w:divBdr>
    </w:div>
    <w:div w:id="921375412">
      <w:bodyDiv w:val="1"/>
      <w:marLeft w:val="0"/>
      <w:marRight w:val="0"/>
      <w:marTop w:val="0"/>
      <w:marBottom w:val="0"/>
      <w:divBdr>
        <w:top w:val="none" w:sz="0" w:space="0" w:color="auto"/>
        <w:left w:val="none" w:sz="0" w:space="0" w:color="auto"/>
        <w:bottom w:val="none" w:sz="0" w:space="0" w:color="auto"/>
        <w:right w:val="none" w:sz="0" w:space="0" w:color="auto"/>
      </w:divBdr>
    </w:div>
    <w:div w:id="923222869">
      <w:bodyDiv w:val="1"/>
      <w:marLeft w:val="0"/>
      <w:marRight w:val="0"/>
      <w:marTop w:val="0"/>
      <w:marBottom w:val="0"/>
      <w:divBdr>
        <w:top w:val="none" w:sz="0" w:space="0" w:color="auto"/>
        <w:left w:val="none" w:sz="0" w:space="0" w:color="auto"/>
        <w:bottom w:val="none" w:sz="0" w:space="0" w:color="auto"/>
        <w:right w:val="none" w:sz="0" w:space="0" w:color="auto"/>
      </w:divBdr>
    </w:div>
    <w:div w:id="927886373">
      <w:bodyDiv w:val="1"/>
      <w:marLeft w:val="0"/>
      <w:marRight w:val="0"/>
      <w:marTop w:val="0"/>
      <w:marBottom w:val="0"/>
      <w:divBdr>
        <w:top w:val="none" w:sz="0" w:space="0" w:color="auto"/>
        <w:left w:val="none" w:sz="0" w:space="0" w:color="auto"/>
        <w:bottom w:val="none" w:sz="0" w:space="0" w:color="auto"/>
        <w:right w:val="none" w:sz="0" w:space="0" w:color="auto"/>
      </w:divBdr>
    </w:div>
    <w:div w:id="1095707847">
      <w:bodyDiv w:val="1"/>
      <w:marLeft w:val="0"/>
      <w:marRight w:val="0"/>
      <w:marTop w:val="0"/>
      <w:marBottom w:val="0"/>
      <w:divBdr>
        <w:top w:val="none" w:sz="0" w:space="0" w:color="auto"/>
        <w:left w:val="none" w:sz="0" w:space="0" w:color="auto"/>
        <w:bottom w:val="none" w:sz="0" w:space="0" w:color="auto"/>
        <w:right w:val="none" w:sz="0" w:space="0" w:color="auto"/>
      </w:divBdr>
    </w:div>
    <w:div w:id="1131021800">
      <w:bodyDiv w:val="1"/>
      <w:marLeft w:val="0"/>
      <w:marRight w:val="0"/>
      <w:marTop w:val="0"/>
      <w:marBottom w:val="0"/>
      <w:divBdr>
        <w:top w:val="none" w:sz="0" w:space="0" w:color="auto"/>
        <w:left w:val="none" w:sz="0" w:space="0" w:color="auto"/>
        <w:bottom w:val="none" w:sz="0" w:space="0" w:color="auto"/>
        <w:right w:val="none" w:sz="0" w:space="0" w:color="auto"/>
      </w:divBdr>
    </w:div>
    <w:div w:id="1155149869">
      <w:bodyDiv w:val="1"/>
      <w:marLeft w:val="0"/>
      <w:marRight w:val="0"/>
      <w:marTop w:val="0"/>
      <w:marBottom w:val="0"/>
      <w:divBdr>
        <w:top w:val="none" w:sz="0" w:space="0" w:color="auto"/>
        <w:left w:val="none" w:sz="0" w:space="0" w:color="auto"/>
        <w:bottom w:val="none" w:sz="0" w:space="0" w:color="auto"/>
        <w:right w:val="none" w:sz="0" w:space="0" w:color="auto"/>
      </w:divBdr>
    </w:div>
    <w:div w:id="1183785384">
      <w:bodyDiv w:val="1"/>
      <w:marLeft w:val="0"/>
      <w:marRight w:val="0"/>
      <w:marTop w:val="0"/>
      <w:marBottom w:val="0"/>
      <w:divBdr>
        <w:top w:val="none" w:sz="0" w:space="0" w:color="auto"/>
        <w:left w:val="none" w:sz="0" w:space="0" w:color="auto"/>
        <w:bottom w:val="none" w:sz="0" w:space="0" w:color="auto"/>
        <w:right w:val="none" w:sz="0" w:space="0" w:color="auto"/>
      </w:divBdr>
    </w:div>
    <w:div w:id="1196310724">
      <w:bodyDiv w:val="1"/>
      <w:marLeft w:val="0"/>
      <w:marRight w:val="0"/>
      <w:marTop w:val="0"/>
      <w:marBottom w:val="0"/>
      <w:divBdr>
        <w:top w:val="none" w:sz="0" w:space="0" w:color="auto"/>
        <w:left w:val="none" w:sz="0" w:space="0" w:color="auto"/>
        <w:bottom w:val="none" w:sz="0" w:space="0" w:color="auto"/>
        <w:right w:val="none" w:sz="0" w:space="0" w:color="auto"/>
      </w:divBdr>
    </w:div>
    <w:div w:id="1227961224">
      <w:bodyDiv w:val="1"/>
      <w:marLeft w:val="0"/>
      <w:marRight w:val="0"/>
      <w:marTop w:val="0"/>
      <w:marBottom w:val="0"/>
      <w:divBdr>
        <w:top w:val="none" w:sz="0" w:space="0" w:color="auto"/>
        <w:left w:val="none" w:sz="0" w:space="0" w:color="auto"/>
        <w:bottom w:val="none" w:sz="0" w:space="0" w:color="auto"/>
        <w:right w:val="none" w:sz="0" w:space="0" w:color="auto"/>
      </w:divBdr>
    </w:div>
    <w:div w:id="1244221959">
      <w:bodyDiv w:val="1"/>
      <w:marLeft w:val="0"/>
      <w:marRight w:val="0"/>
      <w:marTop w:val="0"/>
      <w:marBottom w:val="0"/>
      <w:divBdr>
        <w:top w:val="none" w:sz="0" w:space="0" w:color="auto"/>
        <w:left w:val="none" w:sz="0" w:space="0" w:color="auto"/>
        <w:bottom w:val="none" w:sz="0" w:space="0" w:color="auto"/>
        <w:right w:val="none" w:sz="0" w:space="0" w:color="auto"/>
      </w:divBdr>
    </w:div>
    <w:div w:id="1314603360">
      <w:bodyDiv w:val="1"/>
      <w:marLeft w:val="0"/>
      <w:marRight w:val="0"/>
      <w:marTop w:val="0"/>
      <w:marBottom w:val="0"/>
      <w:divBdr>
        <w:top w:val="none" w:sz="0" w:space="0" w:color="auto"/>
        <w:left w:val="none" w:sz="0" w:space="0" w:color="auto"/>
        <w:bottom w:val="none" w:sz="0" w:space="0" w:color="auto"/>
        <w:right w:val="none" w:sz="0" w:space="0" w:color="auto"/>
      </w:divBdr>
    </w:div>
    <w:div w:id="1327901604">
      <w:bodyDiv w:val="1"/>
      <w:marLeft w:val="0"/>
      <w:marRight w:val="0"/>
      <w:marTop w:val="0"/>
      <w:marBottom w:val="0"/>
      <w:divBdr>
        <w:top w:val="none" w:sz="0" w:space="0" w:color="auto"/>
        <w:left w:val="none" w:sz="0" w:space="0" w:color="auto"/>
        <w:bottom w:val="none" w:sz="0" w:space="0" w:color="auto"/>
        <w:right w:val="none" w:sz="0" w:space="0" w:color="auto"/>
      </w:divBdr>
    </w:div>
    <w:div w:id="1393235834">
      <w:bodyDiv w:val="1"/>
      <w:marLeft w:val="0"/>
      <w:marRight w:val="0"/>
      <w:marTop w:val="0"/>
      <w:marBottom w:val="0"/>
      <w:divBdr>
        <w:top w:val="none" w:sz="0" w:space="0" w:color="auto"/>
        <w:left w:val="none" w:sz="0" w:space="0" w:color="auto"/>
        <w:bottom w:val="none" w:sz="0" w:space="0" w:color="auto"/>
        <w:right w:val="none" w:sz="0" w:space="0" w:color="auto"/>
      </w:divBdr>
    </w:div>
    <w:div w:id="1425494916">
      <w:bodyDiv w:val="1"/>
      <w:marLeft w:val="0"/>
      <w:marRight w:val="0"/>
      <w:marTop w:val="0"/>
      <w:marBottom w:val="0"/>
      <w:divBdr>
        <w:top w:val="none" w:sz="0" w:space="0" w:color="auto"/>
        <w:left w:val="none" w:sz="0" w:space="0" w:color="auto"/>
        <w:bottom w:val="none" w:sz="0" w:space="0" w:color="auto"/>
        <w:right w:val="none" w:sz="0" w:space="0" w:color="auto"/>
      </w:divBdr>
    </w:div>
    <w:div w:id="1425684579">
      <w:bodyDiv w:val="1"/>
      <w:marLeft w:val="0"/>
      <w:marRight w:val="0"/>
      <w:marTop w:val="0"/>
      <w:marBottom w:val="0"/>
      <w:divBdr>
        <w:top w:val="none" w:sz="0" w:space="0" w:color="auto"/>
        <w:left w:val="none" w:sz="0" w:space="0" w:color="auto"/>
        <w:bottom w:val="none" w:sz="0" w:space="0" w:color="auto"/>
        <w:right w:val="none" w:sz="0" w:space="0" w:color="auto"/>
      </w:divBdr>
    </w:div>
    <w:div w:id="1428115143">
      <w:bodyDiv w:val="1"/>
      <w:marLeft w:val="0"/>
      <w:marRight w:val="0"/>
      <w:marTop w:val="0"/>
      <w:marBottom w:val="0"/>
      <w:divBdr>
        <w:top w:val="none" w:sz="0" w:space="0" w:color="auto"/>
        <w:left w:val="none" w:sz="0" w:space="0" w:color="auto"/>
        <w:bottom w:val="none" w:sz="0" w:space="0" w:color="auto"/>
        <w:right w:val="none" w:sz="0" w:space="0" w:color="auto"/>
      </w:divBdr>
    </w:div>
    <w:div w:id="1480657342">
      <w:bodyDiv w:val="1"/>
      <w:marLeft w:val="0"/>
      <w:marRight w:val="0"/>
      <w:marTop w:val="0"/>
      <w:marBottom w:val="0"/>
      <w:divBdr>
        <w:top w:val="none" w:sz="0" w:space="0" w:color="auto"/>
        <w:left w:val="none" w:sz="0" w:space="0" w:color="auto"/>
        <w:bottom w:val="none" w:sz="0" w:space="0" w:color="auto"/>
        <w:right w:val="none" w:sz="0" w:space="0" w:color="auto"/>
      </w:divBdr>
    </w:div>
    <w:div w:id="1506359072">
      <w:bodyDiv w:val="1"/>
      <w:marLeft w:val="0"/>
      <w:marRight w:val="0"/>
      <w:marTop w:val="0"/>
      <w:marBottom w:val="0"/>
      <w:divBdr>
        <w:top w:val="none" w:sz="0" w:space="0" w:color="auto"/>
        <w:left w:val="none" w:sz="0" w:space="0" w:color="auto"/>
        <w:bottom w:val="none" w:sz="0" w:space="0" w:color="auto"/>
        <w:right w:val="none" w:sz="0" w:space="0" w:color="auto"/>
      </w:divBdr>
    </w:div>
    <w:div w:id="1521355295">
      <w:bodyDiv w:val="1"/>
      <w:marLeft w:val="0"/>
      <w:marRight w:val="0"/>
      <w:marTop w:val="0"/>
      <w:marBottom w:val="0"/>
      <w:divBdr>
        <w:top w:val="none" w:sz="0" w:space="0" w:color="auto"/>
        <w:left w:val="none" w:sz="0" w:space="0" w:color="auto"/>
        <w:bottom w:val="none" w:sz="0" w:space="0" w:color="auto"/>
        <w:right w:val="none" w:sz="0" w:space="0" w:color="auto"/>
      </w:divBdr>
    </w:div>
    <w:div w:id="1555196834">
      <w:bodyDiv w:val="1"/>
      <w:marLeft w:val="0"/>
      <w:marRight w:val="0"/>
      <w:marTop w:val="0"/>
      <w:marBottom w:val="0"/>
      <w:divBdr>
        <w:top w:val="none" w:sz="0" w:space="0" w:color="auto"/>
        <w:left w:val="none" w:sz="0" w:space="0" w:color="auto"/>
        <w:bottom w:val="none" w:sz="0" w:space="0" w:color="auto"/>
        <w:right w:val="none" w:sz="0" w:space="0" w:color="auto"/>
      </w:divBdr>
    </w:div>
    <w:div w:id="1671329652">
      <w:bodyDiv w:val="1"/>
      <w:marLeft w:val="0"/>
      <w:marRight w:val="0"/>
      <w:marTop w:val="0"/>
      <w:marBottom w:val="0"/>
      <w:divBdr>
        <w:top w:val="none" w:sz="0" w:space="0" w:color="auto"/>
        <w:left w:val="none" w:sz="0" w:space="0" w:color="auto"/>
        <w:bottom w:val="none" w:sz="0" w:space="0" w:color="auto"/>
        <w:right w:val="none" w:sz="0" w:space="0" w:color="auto"/>
      </w:divBdr>
    </w:div>
    <w:div w:id="1693797013">
      <w:bodyDiv w:val="1"/>
      <w:marLeft w:val="0"/>
      <w:marRight w:val="0"/>
      <w:marTop w:val="0"/>
      <w:marBottom w:val="0"/>
      <w:divBdr>
        <w:top w:val="none" w:sz="0" w:space="0" w:color="auto"/>
        <w:left w:val="none" w:sz="0" w:space="0" w:color="auto"/>
        <w:bottom w:val="none" w:sz="0" w:space="0" w:color="auto"/>
        <w:right w:val="none" w:sz="0" w:space="0" w:color="auto"/>
      </w:divBdr>
    </w:div>
    <w:div w:id="1701122738">
      <w:bodyDiv w:val="1"/>
      <w:marLeft w:val="0"/>
      <w:marRight w:val="0"/>
      <w:marTop w:val="0"/>
      <w:marBottom w:val="0"/>
      <w:divBdr>
        <w:top w:val="none" w:sz="0" w:space="0" w:color="auto"/>
        <w:left w:val="none" w:sz="0" w:space="0" w:color="auto"/>
        <w:bottom w:val="none" w:sz="0" w:space="0" w:color="auto"/>
        <w:right w:val="none" w:sz="0" w:space="0" w:color="auto"/>
      </w:divBdr>
    </w:div>
    <w:div w:id="1765614620">
      <w:bodyDiv w:val="1"/>
      <w:marLeft w:val="0"/>
      <w:marRight w:val="0"/>
      <w:marTop w:val="0"/>
      <w:marBottom w:val="0"/>
      <w:divBdr>
        <w:top w:val="none" w:sz="0" w:space="0" w:color="auto"/>
        <w:left w:val="none" w:sz="0" w:space="0" w:color="auto"/>
        <w:bottom w:val="none" w:sz="0" w:space="0" w:color="auto"/>
        <w:right w:val="none" w:sz="0" w:space="0" w:color="auto"/>
      </w:divBdr>
    </w:div>
    <w:div w:id="1774204150">
      <w:bodyDiv w:val="1"/>
      <w:marLeft w:val="0"/>
      <w:marRight w:val="0"/>
      <w:marTop w:val="0"/>
      <w:marBottom w:val="0"/>
      <w:divBdr>
        <w:top w:val="none" w:sz="0" w:space="0" w:color="auto"/>
        <w:left w:val="none" w:sz="0" w:space="0" w:color="auto"/>
        <w:bottom w:val="none" w:sz="0" w:space="0" w:color="auto"/>
        <w:right w:val="none" w:sz="0" w:space="0" w:color="auto"/>
      </w:divBdr>
    </w:div>
    <w:div w:id="1787385902">
      <w:bodyDiv w:val="1"/>
      <w:marLeft w:val="0"/>
      <w:marRight w:val="0"/>
      <w:marTop w:val="0"/>
      <w:marBottom w:val="0"/>
      <w:divBdr>
        <w:top w:val="none" w:sz="0" w:space="0" w:color="auto"/>
        <w:left w:val="none" w:sz="0" w:space="0" w:color="auto"/>
        <w:bottom w:val="none" w:sz="0" w:space="0" w:color="auto"/>
        <w:right w:val="none" w:sz="0" w:space="0" w:color="auto"/>
      </w:divBdr>
    </w:div>
    <w:div w:id="1833643621">
      <w:bodyDiv w:val="1"/>
      <w:marLeft w:val="0"/>
      <w:marRight w:val="0"/>
      <w:marTop w:val="0"/>
      <w:marBottom w:val="0"/>
      <w:divBdr>
        <w:top w:val="none" w:sz="0" w:space="0" w:color="auto"/>
        <w:left w:val="none" w:sz="0" w:space="0" w:color="auto"/>
        <w:bottom w:val="none" w:sz="0" w:space="0" w:color="auto"/>
        <w:right w:val="none" w:sz="0" w:space="0" w:color="auto"/>
      </w:divBdr>
    </w:div>
    <w:div w:id="1844467134">
      <w:bodyDiv w:val="1"/>
      <w:marLeft w:val="0"/>
      <w:marRight w:val="0"/>
      <w:marTop w:val="0"/>
      <w:marBottom w:val="0"/>
      <w:divBdr>
        <w:top w:val="none" w:sz="0" w:space="0" w:color="auto"/>
        <w:left w:val="none" w:sz="0" w:space="0" w:color="auto"/>
        <w:bottom w:val="none" w:sz="0" w:space="0" w:color="auto"/>
        <w:right w:val="none" w:sz="0" w:space="0" w:color="auto"/>
      </w:divBdr>
    </w:div>
    <w:div w:id="1847400604">
      <w:bodyDiv w:val="1"/>
      <w:marLeft w:val="0"/>
      <w:marRight w:val="0"/>
      <w:marTop w:val="0"/>
      <w:marBottom w:val="0"/>
      <w:divBdr>
        <w:top w:val="none" w:sz="0" w:space="0" w:color="auto"/>
        <w:left w:val="none" w:sz="0" w:space="0" w:color="auto"/>
        <w:bottom w:val="none" w:sz="0" w:space="0" w:color="auto"/>
        <w:right w:val="none" w:sz="0" w:space="0" w:color="auto"/>
      </w:divBdr>
    </w:div>
    <w:div w:id="1874608603">
      <w:bodyDiv w:val="1"/>
      <w:marLeft w:val="0"/>
      <w:marRight w:val="0"/>
      <w:marTop w:val="0"/>
      <w:marBottom w:val="0"/>
      <w:divBdr>
        <w:top w:val="none" w:sz="0" w:space="0" w:color="auto"/>
        <w:left w:val="none" w:sz="0" w:space="0" w:color="auto"/>
        <w:bottom w:val="none" w:sz="0" w:space="0" w:color="auto"/>
        <w:right w:val="none" w:sz="0" w:space="0" w:color="auto"/>
      </w:divBdr>
    </w:div>
    <w:div w:id="1888176165">
      <w:bodyDiv w:val="1"/>
      <w:marLeft w:val="0"/>
      <w:marRight w:val="0"/>
      <w:marTop w:val="0"/>
      <w:marBottom w:val="0"/>
      <w:divBdr>
        <w:top w:val="none" w:sz="0" w:space="0" w:color="auto"/>
        <w:left w:val="none" w:sz="0" w:space="0" w:color="auto"/>
        <w:bottom w:val="none" w:sz="0" w:space="0" w:color="auto"/>
        <w:right w:val="none" w:sz="0" w:space="0" w:color="auto"/>
      </w:divBdr>
    </w:div>
    <w:div w:id="1916278294">
      <w:bodyDiv w:val="1"/>
      <w:marLeft w:val="0"/>
      <w:marRight w:val="0"/>
      <w:marTop w:val="0"/>
      <w:marBottom w:val="0"/>
      <w:divBdr>
        <w:top w:val="none" w:sz="0" w:space="0" w:color="auto"/>
        <w:left w:val="none" w:sz="0" w:space="0" w:color="auto"/>
        <w:bottom w:val="none" w:sz="0" w:space="0" w:color="auto"/>
        <w:right w:val="none" w:sz="0" w:space="0" w:color="auto"/>
      </w:divBdr>
    </w:div>
    <w:div w:id="1933707103">
      <w:bodyDiv w:val="1"/>
      <w:marLeft w:val="0"/>
      <w:marRight w:val="0"/>
      <w:marTop w:val="0"/>
      <w:marBottom w:val="0"/>
      <w:divBdr>
        <w:top w:val="none" w:sz="0" w:space="0" w:color="auto"/>
        <w:left w:val="none" w:sz="0" w:space="0" w:color="auto"/>
        <w:bottom w:val="none" w:sz="0" w:space="0" w:color="auto"/>
        <w:right w:val="none" w:sz="0" w:space="0" w:color="auto"/>
      </w:divBdr>
    </w:div>
    <w:div w:id="1941452904">
      <w:bodyDiv w:val="1"/>
      <w:marLeft w:val="0"/>
      <w:marRight w:val="0"/>
      <w:marTop w:val="0"/>
      <w:marBottom w:val="0"/>
      <w:divBdr>
        <w:top w:val="none" w:sz="0" w:space="0" w:color="auto"/>
        <w:left w:val="none" w:sz="0" w:space="0" w:color="auto"/>
        <w:bottom w:val="none" w:sz="0" w:space="0" w:color="auto"/>
        <w:right w:val="none" w:sz="0" w:space="0" w:color="auto"/>
      </w:divBdr>
    </w:div>
    <w:div w:id="1943029643">
      <w:bodyDiv w:val="1"/>
      <w:marLeft w:val="0"/>
      <w:marRight w:val="0"/>
      <w:marTop w:val="0"/>
      <w:marBottom w:val="0"/>
      <w:divBdr>
        <w:top w:val="none" w:sz="0" w:space="0" w:color="auto"/>
        <w:left w:val="none" w:sz="0" w:space="0" w:color="auto"/>
        <w:bottom w:val="none" w:sz="0" w:space="0" w:color="auto"/>
        <w:right w:val="none" w:sz="0" w:space="0" w:color="auto"/>
      </w:divBdr>
    </w:div>
    <w:div w:id="1945384253">
      <w:bodyDiv w:val="1"/>
      <w:marLeft w:val="0"/>
      <w:marRight w:val="0"/>
      <w:marTop w:val="0"/>
      <w:marBottom w:val="0"/>
      <w:divBdr>
        <w:top w:val="none" w:sz="0" w:space="0" w:color="auto"/>
        <w:left w:val="none" w:sz="0" w:space="0" w:color="auto"/>
        <w:bottom w:val="none" w:sz="0" w:space="0" w:color="auto"/>
        <w:right w:val="none" w:sz="0" w:space="0" w:color="auto"/>
      </w:divBdr>
    </w:div>
    <w:div w:id="1959142086">
      <w:bodyDiv w:val="1"/>
      <w:marLeft w:val="0"/>
      <w:marRight w:val="0"/>
      <w:marTop w:val="0"/>
      <w:marBottom w:val="0"/>
      <w:divBdr>
        <w:top w:val="none" w:sz="0" w:space="0" w:color="auto"/>
        <w:left w:val="none" w:sz="0" w:space="0" w:color="auto"/>
        <w:bottom w:val="none" w:sz="0" w:space="0" w:color="auto"/>
        <w:right w:val="none" w:sz="0" w:space="0" w:color="auto"/>
      </w:divBdr>
    </w:div>
    <w:div w:id="2034920137">
      <w:bodyDiv w:val="1"/>
      <w:marLeft w:val="0"/>
      <w:marRight w:val="0"/>
      <w:marTop w:val="0"/>
      <w:marBottom w:val="0"/>
      <w:divBdr>
        <w:top w:val="none" w:sz="0" w:space="0" w:color="auto"/>
        <w:left w:val="none" w:sz="0" w:space="0" w:color="auto"/>
        <w:bottom w:val="none" w:sz="0" w:space="0" w:color="auto"/>
        <w:right w:val="none" w:sz="0" w:space="0" w:color="auto"/>
      </w:divBdr>
    </w:div>
    <w:div w:id="2063820046">
      <w:bodyDiv w:val="1"/>
      <w:marLeft w:val="0"/>
      <w:marRight w:val="0"/>
      <w:marTop w:val="0"/>
      <w:marBottom w:val="0"/>
      <w:divBdr>
        <w:top w:val="none" w:sz="0" w:space="0" w:color="auto"/>
        <w:left w:val="none" w:sz="0" w:space="0" w:color="auto"/>
        <w:bottom w:val="none" w:sz="0" w:space="0" w:color="auto"/>
        <w:right w:val="none" w:sz="0" w:space="0" w:color="auto"/>
      </w:divBdr>
    </w:div>
    <w:div w:id="2071146108">
      <w:bodyDiv w:val="1"/>
      <w:marLeft w:val="0"/>
      <w:marRight w:val="0"/>
      <w:marTop w:val="0"/>
      <w:marBottom w:val="0"/>
      <w:divBdr>
        <w:top w:val="none" w:sz="0" w:space="0" w:color="auto"/>
        <w:left w:val="none" w:sz="0" w:space="0" w:color="auto"/>
        <w:bottom w:val="none" w:sz="0" w:space="0" w:color="auto"/>
        <w:right w:val="none" w:sz="0" w:space="0" w:color="auto"/>
      </w:divBdr>
    </w:div>
    <w:div w:id="2072119977">
      <w:bodyDiv w:val="1"/>
      <w:marLeft w:val="0"/>
      <w:marRight w:val="0"/>
      <w:marTop w:val="0"/>
      <w:marBottom w:val="0"/>
      <w:divBdr>
        <w:top w:val="none" w:sz="0" w:space="0" w:color="auto"/>
        <w:left w:val="none" w:sz="0" w:space="0" w:color="auto"/>
        <w:bottom w:val="none" w:sz="0" w:space="0" w:color="auto"/>
        <w:right w:val="none" w:sz="0" w:space="0" w:color="auto"/>
      </w:divBdr>
    </w:div>
    <w:div w:id="2093235216">
      <w:bodyDiv w:val="1"/>
      <w:marLeft w:val="0"/>
      <w:marRight w:val="0"/>
      <w:marTop w:val="0"/>
      <w:marBottom w:val="0"/>
      <w:divBdr>
        <w:top w:val="none" w:sz="0" w:space="0" w:color="auto"/>
        <w:left w:val="none" w:sz="0" w:space="0" w:color="auto"/>
        <w:bottom w:val="none" w:sz="0" w:space="0" w:color="auto"/>
        <w:right w:val="none" w:sz="0" w:space="0" w:color="auto"/>
      </w:divBdr>
    </w:div>
    <w:div w:id="2098283437">
      <w:bodyDiv w:val="1"/>
      <w:marLeft w:val="0"/>
      <w:marRight w:val="0"/>
      <w:marTop w:val="0"/>
      <w:marBottom w:val="0"/>
      <w:divBdr>
        <w:top w:val="none" w:sz="0" w:space="0" w:color="auto"/>
        <w:left w:val="none" w:sz="0" w:space="0" w:color="auto"/>
        <w:bottom w:val="none" w:sz="0" w:space="0" w:color="auto"/>
        <w:right w:val="none" w:sz="0" w:space="0" w:color="auto"/>
      </w:divBdr>
    </w:div>
    <w:div w:id="2122532842">
      <w:bodyDiv w:val="1"/>
      <w:marLeft w:val="0"/>
      <w:marRight w:val="0"/>
      <w:marTop w:val="0"/>
      <w:marBottom w:val="0"/>
      <w:divBdr>
        <w:top w:val="none" w:sz="0" w:space="0" w:color="auto"/>
        <w:left w:val="none" w:sz="0" w:space="0" w:color="auto"/>
        <w:bottom w:val="none" w:sz="0" w:space="0" w:color="auto"/>
        <w:right w:val="none" w:sz="0" w:space="0" w:color="auto"/>
      </w:divBdr>
    </w:div>
    <w:div w:id="2136872868">
      <w:bodyDiv w:val="1"/>
      <w:marLeft w:val="0"/>
      <w:marRight w:val="0"/>
      <w:marTop w:val="0"/>
      <w:marBottom w:val="0"/>
      <w:divBdr>
        <w:top w:val="none" w:sz="0" w:space="0" w:color="auto"/>
        <w:left w:val="none" w:sz="0" w:space="0" w:color="auto"/>
        <w:bottom w:val="none" w:sz="0" w:space="0" w:color="auto"/>
        <w:right w:val="none" w:sz="0" w:space="0" w:color="auto"/>
      </w:divBdr>
    </w:div>
    <w:div w:id="21394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ma@lifeforachil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BD5D-C233-4816-ADF7-113C75DE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29560</Words>
  <Characters>168494</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Klatman</dc:creator>
  <cp:lastModifiedBy>Lenovo</cp:lastModifiedBy>
  <cp:revision>2</cp:revision>
  <cp:lastPrinted>2020-02-02T06:49:00Z</cp:lastPrinted>
  <dcterms:created xsi:type="dcterms:W3CDTF">2020-08-13T06:17:00Z</dcterms:created>
  <dcterms:modified xsi:type="dcterms:W3CDTF">2020-08-13T06:17:00Z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ce9cdd41-be79-379d-8b41-34c47c34f74c</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http://www.zotero.org/styles/harvard-cite-them-right</vt:lpwstr>
  </property>
  <property fmtid="{D5CDD505-2E9C-101B-9397-08002B2CF9AE}" pid="6" name="Mendeley Recent Style Name 0_1">
    <vt:lpwstr>Cite Them Right 10th edition - Harvard</vt:lpwstr>
  </property>
  <property fmtid="{D5CDD505-2E9C-101B-9397-08002B2CF9AE}" pid="7" name="Mendeley Recent Style Id 1_1">
    <vt:lpwstr>http://www.zotero.org/styles/diabetes-research-and-clinical-practice</vt:lpwstr>
  </property>
  <property fmtid="{D5CDD505-2E9C-101B-9397-08002B2CF9AE}" pid="8" name="Mendeley Recent Style Name 1_1">
    <vt:lpwstr>Diabetes Research and Clinical Practice</vt:lpwstr>
  </property>
  <property fmtid="{D5CDD505-2E9C-101B-9397-08002B2CF9AE}" pid="9" name="Mendeley Recent Style Id 2_1">
    <vt:lpwstr>http://www.zotero.org/styles/diabetologia</vt:lpwstr>
  </property>
  <property fmtid="{D5CDD505-2E9C-101B-9397-08002B2CF9AE}" pid="10" name="Mendeley Recent Style Name 2_1">
    <vt:lpwstr>Diabetologia</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http://www.zotero.org/styles/the-lancet</vt:lpwstr>
  </property>
  <property fmtid="{D5CDD505-2E9C-101B-9397-08002B2CF9AE}" pid="20" name="Mendeley Recent Style Name 7_1">
    <vt:lpwstr>The Lancet</vt:lpwstr>
  </property>
  <property fmtid="{D5CDD505-2E9C-101B-9397-08002B2CF9AE}" pid="21" name="Mendeley Recent Style Id 8_1">
    <vt:lpwstr>http://www.zotero.org/styles/world-journal-of-gastroenterology</vt:lpwstr>
  </property>
  <property fmtid="{D5CDD505-2E9C-101B-9397-08002B2CF9AE}" pid="22" name="Mendeley Recent Style Name 8_1">
    <vt:lpwstr>World Journal of Gastroenterology</vt:lpwstr>
  </property>
  <property fmtid="{D5CDD505-2E9C-101B-9397-08002B2CF9AE}" pid="23" name="Mendeley Recent Style Id 9_1">
    <vt:lpwstr>http://www.zotero.org/styles/world-journal-of-surgery</vt:lpwstr>
  </property>
  <property fmtid="{D5CDD505-2E9C-101B-9397-08002B2CF9AE}" pid="24" name="Mendeley Recent Style Name 9_1">
    <vt:lpwstr>World Journal of Surgery</vt:lpwstr>
  </property>
</Properties>
</file>