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58EE" w14:textId="6753AA8A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Name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of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Journal: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color w:val="000000"/>
        </w:rPr>
        <w:t>World</w:t>
      </w:r>
      <w:r w:rsidR="00897C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color w:val="000000"/>
        </w:rPr>
        <w:t>Journal</w:t>
      </w:r>
      <w:r w:rsidR="00897C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color w:val="000000"/>
        </w:rPr>
        <w:t>of</w:t>
      </w:r>
      <w:r w:rsidR="00897C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color w:val="000000"/>
        </w:rPr>
        <w:t>Methodology</w:t>
      </w:r>
    </w:p>
    <w:p w14:paraId="7CB153FC" w14:textId="0B9A247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Manuscript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NO: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55178</w:t>
      </w:r>
    </w:p>
    <w:p w14:paraId="39EFED39" w14:textId="43BB5FD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Manuscript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Type: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ORIGINAL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ARTICLE</w:t>
      </w:r>
    </w:p>
    <w:p w14:paraId="446C7527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D74405" w14:textId="7389B385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5059280A" w14:textId="193174A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5"/>
      <w:bookmarkStart w:id="1" w:name="OLE_LINK26"/>
      <w:bookmarkStart w:id="2" w:name="OLE_LINK31"/>
      <w:bookmarkStart w:id="3" w:name="OLE_LINK1"/>
      <w:bookmarkStart w:id="4" w:name="OLE_LINK2"/>
      <w:r w:rsidRPr="002F30C9">
        <w:rPr>
          <w:rFonts w:ascii="Book Antiqua" w:eastAsia="Book Antiqua" w:hAnsi="Book Antiqua" w:cs="Book Antiqua"/>
          <w:b/>
          <w:color w:val="000000"/>
        </w:rPr>
        <w:t>Randomized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hAnsi="Book Antiqua" w:cs="Book Antiqua"/>
          <w:b/>
          <w:color w:val="000000"/>
          <w:lang w:eastAsia="zh-CN"/>
        </w:rPr>
        <w:t>c</w:t>
      </w:r>
      <w:r w:rsidRPr="002F30C9">
        <w:rPr>
          <w:rFonts w:ascii="Book Antiqua" w:eastAsia="Book Antiqua" w:hAnsi="Book Antiqua" w:cs="Book Antiqua"/>
          <w:b/>
          <w:color w:val="000000"/>
        </w:rPr>
        <w:t>linical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t</w:t>
      </w:r>
      <w:r w:rsidRPr="002F30C9">
        <w:rPr>
          <w:rFonts w:ascii="Book Antiqua" w:eastAsia="Book Antiqua" w:hAnsi="Book Antiqua" w:cs="Book Antiqua"/>
          <w:b/>
          <w:color w:val="000000"/>
        </w:rPr>
        <w:t>rial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c</w:t>
      </w:r>
      <w:r w:rsidRPr="002F30C9">
        <w:rPr>
          <w:rFonts w:ascii="Book Antiqua" w:eastAsia="Book Antiqua" w:hAnsi="Book Antiqua" w:cs="Book Antiqua"/>
          <w:b/>
          <w:color w:val="000000"/>
        </w:rPr>
        <w:t>omparing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s</w:t>
      </w:r>
      <w:r w:rsidRPr="002F30C9">
        <w:rPr>
          <w:rFonts w:ascii="Book Antiqua" w:eastAsia="Book Antiqua" w:hAnsi="Book Antiqua" w:cs="Book Antiqua"/>
          <w:b/>
          <w:color w:val="000000"/>
        </w:rPr>
        <w:t>kin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c</w:t>
      </w:r>
      <w:r w:rsidRPr="002F30C9">
        <w:rPr>
          <w:rFonts w:ascii="Book Antiqua" w:eastAsia="Book Antiqua" w:hAnsi="Book Antiqua" w:cs="Book Antiqua"/>
          <w:b/>
          <w:color w:val="000000"/>
        </w:rPr>
        <w:t>losure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with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t</w:t>
      </w:r>
      <w:r w:rsidRPr="002F30C9">
        <w:rPr>
          <w:rFonts w:ascii="Book Antiqua" w:eastAsia="Book Antiqua" w:hAnsi="Book Antiqua" w:cs="Book Antiqua"/>
          <w:b/>
          <w:color w:val="000000"/>
        </w:rPr>
        <w:t>issue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a</w:t>
      </w:r>
      <w:r w:rsidRPr="002F30C9">
        <w:rPr>
          <w:rFonts w:ascii="Book Antiqua" w:eastAsia="Book Antiqua" w:hAnsi="Book Antiqua" w:cs="Book Antiqua"/>
          <w:b/>
          <w:color w:val="000000"/>
        </w:rPr>
        <w:t>dhesives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s</w:t>
      </w:r>
      <w:r w:rsidRPr="002F30C9">
        <w:rPr>
          <w:rFonts w:ascii="Book Antiqua" w:eastAsia="Book Antiqua" w:hAnsi="Book Antiqua" w:cs="Book Antiqua"/>
          <w:b/>
          <w:color w:val="000000"/>
        </w:rPr>
        <w:t>ubcuticular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s</w:t>
      </w:r>
      <w:r w:rsidRPr="002F30C9">
        <w:rPr>
          <w:rFonts w:ascii="Book Antiqua" w:eastAsia="Book Antiqua" w:hAnsi="Book Antiqua" w:cs="Book Antiqua"/>
          <w:b/>
          <w:color w:val="000000"/>
        </w:rPr>
        <w:t>uture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after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r</w:t>
      </w:r>
      <w:r w:rsidRPr="002F30C9">
        <w:rPr>
          <w:rFonts w:ascii="Book Antiqua" w:eastAsia="Book Antiqua" w:hAnsi="Book Antiqua" w:cs="Book Antiqua"/>
          <w:b/>
          <w:color w:val="000000"/>
        </w:rPr>
        <w:t>obotic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5B60AB" w:rsidRPr="002F30C9">
        <w:rPr>
          <w:rFonts w:ascii="Book Antiqua" w:eastAsia="Book Antiqua" w:hAnsi="Book Antiqua" w:cs="Book Antiqua"/>
          <w:b/>
          <w:color w:val="000000"/>
        </w:rPr>
        <w:t>u</w:t>
      </w:r>
      <w:r w:rsidRPr="002F30C9">
        <w:rPr>
          <w:rFonts w:ascii="Book Antiqua" w:eastAsia="Book Antiqua" w:hAnsi="Book Antiqua" w:cs="Book Antiqua"/>
          <w:b/>
          <w:color w:val="000000"/>
        </w:rPr>
        <w:t>rogynecologic</w:t>
      </w:r>
      <w:proofErr w:type="spellEnd"/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color w:val="000000"/>
        </w:rPr>
        <w:t>p</w:t>
      </w:r>
      <w:r w:rsidRPr="002F30C9">
        <w:rPr>
          <w:rFonts w:ascii="Book Antiqua" w:eastAsia="Book Antiqua" w:hAnsi="Book Antiqua" w:cs="Book Antiqua"/>
          <w:b/>
          <w:color w:val="000000"/>
        </w:rPr>
        <w:t>rocedures</w:t>
      </w:r>
    </w:p>
    <w:bookmarkEnd w:id="0"/>
    <w:bookmarkEnd w:id="1"/>
    <w:bookmarkEnd w:id="2"/>
    <w:p w14:paraId="0761F8A1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3"/>
    <w:bookmarkEnd w:id="4"/>
    <w:p w14:paraId="548BE8AB" w14:textId="65EAAE99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F30C9">
        <w:rPr>
          <w:rFonts w:ascii="Book Antiqua" w:eastAsia="Book Antiqua" w:hAnsi="Book Antiqua" w:cs="Book Antiqua"/>
          <w:color w:val="000000"/>
        </w:rPr>
        <w:t>Fluellen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bookmarkStart w:id="6" w:name="OLE_LINK4"/>
      <w:r w:rsidRPr="002F30C9">
        <w:rPr>
          <w:rFonts w:ascii="Book Antiqua" w:eastAsia="Book Antiqua" w:hAnsi="Book Antiqua" w:cs="Book Antiqua"/>
          <w:color w:val="000000"/>
        </w:rPr>
        <w:t>Laparoscopic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bookmarkEnd w:id="5"/>
      <w:bookmarkEnd w:id="6"/>
    </w:p>
    <w:p w14:paraId="1669BA18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4F99E" w14:textId="11DEB721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F30C9">
        <w:rPr>
          <w:rFonts w:ascii="Book Antiqua" w:eastAsia="Book Antiqua" w:hAnsi="Book Antiqua" w:cs="Book Antiqua"/>
          <w:color w:val="000000"/>
        </w:rPr>
        <w:t>Sunetris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Fluellen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Kyle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Mackey,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Karen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Hagglund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Muhammad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Faisal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Aslam</w:t>
      </w:r>
    </w:p>
    <w:p w14:paraId="4CB90681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3B501D" w14:textId="531B8A3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Sunetris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Fluellen</w:t>
      </w:r>
      <w:proofErr w:type="spellEnd"/>
      <w:r w:rsidRPr="002F30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Kyle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Mackey,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b/>
          <w:bCs/>
          <w:color w:val="000000"/>
        </w:rPr>
        <w:t>Aslam,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9"/>
      <w:bookmarkStart w:id="8" w:name="OLE_LINK20"/>
      <w:bookmarkStart w:id="9" w:name="OLE_LINK21"/>
      <w:r w:rsidR="00604C77" w:rsidRPr="002F30C9">
        <w:rPr>
          <w:rFonts w:ascii="Book Antiqua" w:eastAsia="Book Antiqua" w:hAnsi="Book Antiqua" w:cs="Book Antiqua"/>
          <w:bCs/>
          <w:color w:val="000000"/>
        </w:rPr>
        <w:t>Department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04C77" w:rsidRPr="002F30C9">
        <w:rPr>
          <w:rFonts w:ascii="Book Antiqua" w:eastAsia="Book Antiqua" w:hAnsi="Book Antiqua" w:cs="Book Antiqua"/>
          <w:bCs/>
          <w:color w:val="000000"/>
        </w:rPr>
        <w:t>of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Obstetrics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Gynecology</w:t>
      </w:r>
      <w:bookmarkEnd w:id="7"/>
      <w:bookmarkEnd w:id="8"/>
      <w:bookmarkEnd w:id="9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22"/>
      <w:r w:rsidRPr="002F30C9">
        <w:rPr>
          <w:rFonts w:ascii="Book Antiqua" w:eastAsia="Book Antiqua" w:hAnsi="Book Antiqua" w:cs="Book Antiqua"/>
          <w:color w:val="000000"/>
        </w:rPr>
        <w:t>Ascension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John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Medical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Center</w:t>
      </w:r>
      <w:bookmarkEnd w:id="10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Detroit,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48236,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States</w:t>
      </w:r>
    </w:p>
    <w:p w14:paraId="0B7D4CCB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F7BCB8" w14:textId="1E3266F1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Karen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Hagglund</w:t>
      </w:r>
      <w:proofErr w:type="spellEnd"/>
      <w:r w:rsidRPr="002F30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Medical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Research,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Ascension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John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Medical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Center,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Detroit,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48236,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States</w:t>
      </w:r>
    </w:p>
    <w:p w14:paraId="0339AFC6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18EA9D" w14:textId="621D9F4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5"/>
      <w:bookmarkStart w:id="12" w:name="OLE_LINK6"/>
      <w:bookmarkStart w:id="13" w:name="OLE_LINK32"/>
      <w:proofErr w:type="spellStart"/>
      <w:r w:rsidRPr="002F30C9">
        <w:rPr>
          <w:rFonts w:ascii="Book Antiqua" w:eastAsia="Book Antiqua" w:hAnsi="Book Antiqua" w:cs="Book Antiqua"/>
          <w:color w:val="000000"/>
        </w:rPr>
        <w:t>Fluellen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designed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research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5B60AB"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604C77" w:rsidRPr="002F30C9">
        <w:rPr>
          <w:rFonts w:ascii="Book Antiqua" w:eastAsia="Book Antiqua" w:hAnsi="Book Antiqua" w:cs="Book Antiqua"/>
          <w:color w:val="000000"/>
        </w:rPr>
        <w:t>Mackey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8D7036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wrote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manuscript</w:t>
      </w:r>
      <w:r w:rsidR="005B60AB"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Hagglund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data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analysis</w:t>
      </w:r>
      <w:r w:rsidR="005B60AB"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Aslam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designed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research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bookmarkEnd w:id="12"/>
    <w:bookmarkEnd w:id="13"/>
    <w:p w14:paraId="71ED5EE7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5EBAE8" w14:textId="4072F135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Kyle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Mackey,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4C77" w:rsidRPr="002F30C9">
        <w:rPr>
          <w:rFonts w:ascii="Book Antiqua" w:eastAsia="Book Antiqua" w:hAnsi="Book Antiqua" w:cs="Book Antiqua"/>
          <w:bCs/>
          <w:color w:val="000000"/>
        </w:rPr>
        <w:t>Department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04C77" w:rsidRPr="002F30C9">
        <w:rPr>
          <w:rFonts w:ascii="Book Antiqua" w:eastAsia="Book Antiqua" w:hAnsi="Book Antiqua" w:cs="Book Antiqua"/>
          <w:bCs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Obstetrics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Gynecology,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Ascension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John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Medical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Center,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22101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Moross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Road,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Detroit,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48236,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States.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CA7FAC">
        <w:rPr>
          <w:rFonts w:ascii="Book Antiqua" w:eastAsia="Book Antiqua" w:hAnsi="Book Antiqua" w:cs="Book Antiqua"/>
          <w:color w:val="000000"/>
        </w:rPr>
        <w:t>kyle.mackey@ascension.org</w:t>
      </w:r>
    </w:p>
    <w:p w14:paraId="5F351AD7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538BAA" w14:textId="0ACDD529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March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9,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2020</w:t>
      </w:r>
    </w:p>
    <w:p w14:paraId="0721BF45" w14:textId="58256E8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October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6,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5B60AB" w:rsidRPr="002F30C9">
        <w:rPr>
          <w:rFonts w:ascii="Book Antiqua" w:eastAsia="Book Antiqua" w:hAnsi="Book Antiqua" w:cs="Book Antiqua"/>
          <w:color w:val="000000"/>
        </w:rPr>
        <w:t>2020</w:t>
      </w:r>
    </w:p>
    <w:p w14:paraId="34B36A9F" w14:textId="0140B283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1228" w:rsidRPr="00081228">
        <w:rPr>
          <w:rFonts w:ascii="Book Antiqua" w:eastAsia="Book Antiqua" w:hAnsi="Book Antiqua" w:cs="Book Antiqua"/>
          <w:bCs/>
          <w:color w:val="000000"/>
        </w:rPr>
        <w:t>October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81228" w:rsidRPr="00081228">
        <w:rPr>
          <w:rFonts w:ascii="Book Antiqua" w:eastAsia="Book Antiqua" w:hAnsi="Book Antiqua" w:cs="Book Antiqua"/>
          <w:bCs/>
          <w:color w:val="000000"/>
        </w:rPr>
        <w:t>13,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81228" w:rsidRPr="00081228">
        <w:rPr>
          <w:rFonts w:ascii="Book Antiqua" w:eastAsia="Book Antiqua" w:hAnsi="Book Antiqua" w:cs="Book Antiqua"/>
          <w:bCs/>
          <w:color w:val="000000"/>
        </w:rPr>
        <w:t>2020</w:t>
      </w:r>
    </w:p>
    <w:p w14:paraId="620E2436" w14:textId="17A0B904" w:rsidR="00A77B3E" w:rsidRPr="00897CE1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CE1" w:rsidRPr="00897CE1">
        <w:rPr>
          <w:rFonts w:ascii="Book Antiqua" w:hAnsi="Book Antiqua" w:cs="Book Antiqua" w:hint="eastAsia"/>
          <w:bCs/>
          <w:color w:val="000000"/>
          <w:lang w:eastAsia="zh-CN"/>
        </w:rPr>
        <w:t>October 28, 2020</w:t>
      </w:r>
    </w:p>
    <w:p w14:paraId="53900C46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F30C9" w:rsidSect="00604C77"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33BF68" w14:textId="49C3ADEC" w:rsidR="00A77B3E" w:rsidRPr="002F30C9" w:rsidRDefault="00604C77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953810" w:rsidRPr="002F30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42DAC9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BACKGROUND</w:t>
      </w:r>
    </w:p>
    <w:p w14:paraId="23D04157" w14:textId="20234C5C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4" w:name="OLE_LINK36"/>
      <w:bookmarkStart w:id="15" w:name="OLE_LINK37"/>
      <w:proofErr w:type="gramStart"/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techniques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minimally-invasive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gynecologic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largely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preference.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optimum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technique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theoretically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safe,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rapid,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inexpensive,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result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good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Pr="002F30C9">
        <w:rPr>
          <w:rFonts w:ascii="Book Antiqua" w:eastAsia="Book Antiqua" w:hAnsi="Book Antiqua" w:cs="Book Antiqua"/>
          <w:i/>
          <w:iCs/>
          <w:color w:val="000000"/>
        </w:rPr>
        <w:t>)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safe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803719">
        <w:rPr>
          <w:rFonts w:ascii="Book Antiqua" w:eastAsia="Book Antiqua" w:hAnsi="Book Antiqua" w:cs="Book Antiqua"/>
          <w:color w:val="000000"/>
        </w:rPr>
        <w:t>clinical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trial,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hypothesized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14"/>
    <w:bookmarkEnd w:id="15"/>
    <w:p w14:paraId="076764CD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92B6CF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AIM</w:t>
      </w:r>
    </w:p>
    <w:p w14:paraId="2B7BEEBB" w14:textId="087A742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surgeries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4C823301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EB9A9C" w14:textId="63E1119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METHODS</w:t>
      </w:r>
    </w:p>
    <w:p w14:paraId="1E972612" w14:textId="555F877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38"/>
      <w:bookmarkStart w:id="17" w:name="OLE_LINK39"/>
      <w:r w:rsidRPr="002F30C9">
        <w:rPr>
          <w:rFonts w:ascii="Book Antiqua" w:eastAsia="Book Antiqua" w:hAnsi="Book Antiqua" w:cs="Book Antiqua"/>
          <w:color w:val="000000"/>
        </w:rPr>
        <w:t>Fifty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female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&gt;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years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age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undergoing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either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certified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Female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Pelvic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Medicine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Reconstructive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recorded.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followed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12-w</w:t>
      </w:r>
      <w:r w:rsidR="00935D09"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postoperatively.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Stony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Brook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bookmarkEnd w:id="17"/>
    <w:p w14:paraId="279C3A63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78A422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RESULTS</w:t>
      </w:r>
    </w:p>
    <w:p w14:paraId="423D80B9" w14:textId="6AC91504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40"/>
      <w:bookmarkStart w:id="19" w:name="OLE_LINK41"/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23;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24)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completed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12-w</w:t>
      </w:r>
      <w:r w:rsidR="00496C88"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="00935D09"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&lt;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0.0005)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(5.4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FB3601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(24.9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FB3601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5.6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higher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0.025).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bleeding,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1.00,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0.609,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0.234,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respectively).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statistical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demographical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existed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bookmarkEnd w:id="19"/>
    <w:p w14:paraId="4C8000EA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AFE453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CONCLUSION</w:t>
      </w:r>
    </w:p>
    <w:p w14:paraId="27D743C2" w14:textId="70F514E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42"/>
      <w:bookmarkStart w:id="21" w:name="OLE_LINK43"/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supported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original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hypothesis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also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supports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outcome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jeopardizing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rates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bleeding,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dehiscence.</w:t>
      </w:r>
    </w:p>
    <w:bookmarkEnd w:id="20"/>
    <w:bookmarkEnd w:id="21"/>
    <w:p w14:paraId="084F29C5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021832" w14:textId="0E6669DA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33"/>
      <w:bookmarkStart w:id="23" w:name="OLE_LINK34"/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surgery;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Urogynecology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5"/>
      <w:bookmarkStart w:id="25" w:name="OLE_LINK16"/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bookmarkEnd w:id="24"/>
      <w:bookmarkEnd w:id="25"/>
    </w:p>
    <w:bookmarkEnd w:id="22"/>
    <w:bookmarkEnd w:id="23"/>
    <w:p w14:paraId="4B6727C1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6CFF0A" w14:textId="29093744" w:rsidR="00A77B3E" w:rsidRPr="006A2026" w:rsidRDefault="006A2026" w:rsidP="002F30C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bookmarkStart w:id="26" w:name="OLE_LINK27"/>
      <w:bookmarkStart w:id="27" w:name="OLE_LINK28"/>
      <w:r w:rsidRPr="006A2026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53810" w:rsidRPr="002F30C9">
        <w:rPr>
          <w:rFonts w:ascii="Book Antiqua" w:eastAsia="Book Antiqua" w:hAnsi="Book Antiqua" w:cs="Book Antiqua"/>
          <w:color w:val="000000"/>
        </w:rPr>
        <w:t>Fluellen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Mackey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3810" w:rsidRPr="002F30C9">
        <w:rPr>
          <w:rFonts w:ascii="Book Antiqua" w:eastAsia="Book Antiqua" w:hAnsi="Book Antiqua" w:cs="Book Antiqua"/>
          <w:color w:val="000000"/>
        </w:rPr>
        <w:t>Hagglund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Aslam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MF.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5D09" w:rsidRPr="002F30C9">
        <w:rPr>
          <w:rFonts w:ascii="Book Antiqua" w:eastAsia="Book Antiqua" w:hAnsi="Book Antiqua" w:cs="Book Antiqua"/>
          <w:bCs/>
          <w:color w:val="000000"/>
        </w:rPr>
        <w:t>Randomized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hAnsi="Book Antiqua" w:cs="Book Antiqua"/>
          <w:bCs/>
          <w:color w:val="000000"/>
          <w:lang w:eastAsia="zh-CN"/>
        </w:rPr>
        <w:t>c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linical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trial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comparing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skin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closure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with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tissue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adhesives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subcuticular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suture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after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robotic</w:t>
      </w:r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35D09" w:rsidRPr="002F30C9">
        <w:rPr>
          <w:rFonts w:ascii="Book Antiqua" w:eastAsia="Book Antiqua" w:hAnsi="Book Antiqua" w:cs="Book Antiqua"/>
          <w:bCs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5D09" w:rsidRPr="002F30C9">
        <w:rPr>
          <w:rFonts w:ascii="Book Antiqua" w:eastAsia="Book Antiqua" w:hAnsi="Book Antiqua" w:cs="Book Antiqua"/>
          <w:bCs/>
          <w:color w:val="000000"/>
        </w:rPr>
        <w:t>procedures.</w:t>
      </w:r>
      <w:proofErr w:type="gramEnd"/>
      <w:r w:rsidR="00897CE1">
        <w:rPr>
          <w:rFonts w:ascii="Book Antiqua" w:hAnsi="Book Antiqua"/>
          <w:lang w:eastAsia="zh-CN"/>
        </w:rPr>
        <w:t xml:space="preserve"> </w:t>
      </w:r>
      <w:r w:rsidR="00953810" w:rsidRPr="002F30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53810" w:rsidRPr="002F30C9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53810" w:rsidRPr="002F30C9">
        <w:rPr>
          <w:rFonts w:ascii="Book Antiqua" w:eastAsia="Book Antiqua" w:hAnsi="Book Antiqua" w:cs="Book Antiqua"/>
          <w:color w:val="000000"/>
        </w:rPr>
        <w:t>2020;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C28E1" w:rsidRPr="004C28E1">
        <w:rPr>
          <w:rFonts w:ascii="Book Antiqua" w:eastAsia="Book Antiqua" w:hAnsi="Book Antiqua" w:cs="Book Antiqua"/>
          <w:color w:val="000000"/>
        </w:rPr>
        <w:t xml:space="preserve">10(1): 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 w:rsidR="004C28E1" w:rsidRPr="004C28E1"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6</w:t>
      </w:r>
      <w:r w:rsidR="004C28E1" w:rsidRPr="004C28E1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4C28E1" w:rsidRPr="004C28E1">
        <w:rPr>
          <w:rFonts w:ascii="Book Antiqua" w:eastAsia="Book Antiqua" w:hAnsi="Book Antiqua" w:cs="Book Antiqua"/>
          <w:color w:val="000000"/>
        </w:rPr>
        <w:t>: https://www.wjgnet.com/2222-0682/full/v10/i1/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 w:rsidR="004C28E1" w:rsidRPr="004C28E1">
        <w:rPr>
          <w:rFonts w:ascii="Book Antiqua" w:eastAsia="Book Antiqua" w:hAnsi="Book Antiqua" w:cs="Book Antiqua"/>
          <w:color w:val="000000"/>
        </w:rPr>
        <w:t>.htm  DOI: https://dx.doi.org/10.5662/wjm.v10.i1.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</w:p>
    <w:bookmarkEnd w:id="26"/>
    <w:bookmarkEnd w:id="27"/>
    <w:p w14:paraId="2380FA00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03A3E6" w14:textId="359AF59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29"/>
      <w:bookmarkStart w:id="29" w:name="OLE_LINK30"/>
      <w:bookmarkStart w:id="30" w:name="OLE_LINK35"/>
      <w:bookmarkStart w:id="31" w:name="OLE_LINK7"/>
      <w:bookmarkStart w:id="32" w:name="OLE_LINK8"/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Fonts w:ascii="Book Antiqua" w:eastAsia="Book Antiqua" w:hAnsi="Book Antiqua" w:cs="Book Antiqua"/>
          <w:color w:val="000000"/>
        </w:rPr>
        <w:t>clinical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Fonts w:ascii="Book Antiqua" w:eastAsia="Book Antiqua" w:hAnsi="Book Antiqua" w:cs="Book Antiqua"/>
          <w:color w:val="000000"/>
        </w:rPr>
        <w:t>trial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novel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investigation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traditional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innovative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techniques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_GoBack"/>
      <w:bookmarkEnd w:id="33"/>
      <w:r w:rsidRPr="002F30C9">
        <w:rPr>
          <w:rFonts w:ascii="Book Antiqua" w:eastAsia="Book Antiqua" w:hAnsi="Book Antiqua" w:cs="Book Antiqua"/>
          <w:color w:val="000000"/>
        </w:rPr>
        <w:t>respect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equivalency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5316" w:rsidRPr="002F30C9">
        <w:rPr>
          <w:rFonts w:ascii="Book Antiqua" w:eastAsia="Book Antiqua" w:hAnsi="Book Antiqua" w:cs="Book Antiqua"/>
          <w:color w:val="000000"/>
        </w:rPr>
        <w:t>u</w:t>
      </w:r>
      <w:r w:rsidRPr="002F30C9">
        <w:rPr>
          <w:rFonts w:ascii="Book Antiqua" w:eastAsia="Book Antiqua" w:hAnsi="Book Antiqua" w:cs="Book Antiqua"/>
          <w:color w:val="000000"/>
        </w:rPr>
        <w:t>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demonstrated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improved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jeopardizing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incidence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supports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but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also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advantageous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5D09" w:rsidRPr="002F30C9">
        <w:rPr>
          <w:rFonts w:ascii="Book Antiqua" w:eastAsia="Book Antiqua" w:hAnsi="Book Antiqua" w:cs="Book Antiqua"/>
          <w:color w:val="000000"/>
        </w:rPr>
        <w:t>u</w:t>
      </w:r>
      <w:r w:rsidRPr="002F30C9">
        <w:rPr>
          <w:rFonts w:ascii="Book Antiqua" w:eastAsia="Book Antiqua" w:hAnsi="Book Antiqua" w:cs="Book Antiqua"/>
          <w:color w:val="000000"/>
        </w:rPr>
        <w:t>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procedures.</w:t>
      </w:r>
    </w:p>
    <w:bookmarkEnd w:id="28"/>
    <w:bookmarkEnd w:id="29"/>
    <w:bookmarkEnd w:id="30"/>
    <w:p w14:paraId="74B3767C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31"/>
    <w:bookmarkEnd w:id="32"/>
    <w:p w14:paraId="23D55B46" w14:textId="23563761" w:rsidR="00A77B3E" w:rsidRPr="002F30C9" w:rsidRDefault="00935D09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br w:type="page"/>
      </w:r>
      <w:r w:rsidR="00953810"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1B5961" w14:textId="3B7A1166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4" w:name="OLE_LINK44"/>
      <w:bookmarkStart w:id="35" w:name="OLE_LINK45"/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years,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staples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tapes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choice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largely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surgeon’s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preference.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three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entered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clinical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practice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recently.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Although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repairing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common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dependent</w:t>
      </w:r>
      <w:r w:rsidR="00C1265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carries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increased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risk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needle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sticks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practitioner,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requires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time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96C88" w:rsidRPr="002F30C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ideal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should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simple,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safe,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rapid,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inexpensive,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painless,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bactericidal,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result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optimal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scar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offers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multiple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advantages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8B7449">
        <w:rPr>
          <w:rFonts w:ascii="Book Antiqua" w:hAnsi="Book Antiqua" w:cs="Book Antiqua" w:hint="eastAsia"/>
          <w:color w:val="000000"/>
          <w:lang w:eastAsia="zh-CN"/>
        </w:rPr>
        <w:t>B</w:t>
      </w:r>
      <w:r w:rsidRPr="002F30C9">
        <w:rPr>
          <w:rFonts w:ascii="Book Antiqua" w:eastAsia="Book Antiqua" w:hAnsi="Book Antiqua" w:cs="Book Antiqua"/>
          <w:color w:val="000000"/>
        </w:rPr>
        <w:t>arrier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protection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healing,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shorter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elimination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risk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sharps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exposure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needle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sticks,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methods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30C9">
        <w:rPr>
          <w:rFonts w:ascii="Book Antiqua" w:eastAsia="Book Antiqua" w:hAnsi="Book Antiqua" w:cs="Book Antiqua"/>
          <w:color w:val="000000"/>
        </w:rPr>
        <w:t>.</w:t>
      </w:r>
    </w:p>
    <w:p w14:paraId="7340CCFB" w14:textId="5F9BC07A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glue,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liquid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monomer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forms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strong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protective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barrier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strength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inhibits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bacteria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applied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bridge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opposing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edges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forms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flexible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wound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reaches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maximum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bonding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strength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equivalent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strength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seven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days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repair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rapid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rates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similar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importantly,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similar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methods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30C9">
        <w:rPr>
          <w:rFonts w:ascii="Book Antiqua" w:eastAsia="Book Antiqua" w:hAnsi="Book Antiqua" w:cs="Book Antiqua"/>
          <w:color w:val="000000"/>
        </w:rPr>
        <w:t>.</w:t>
      </w:r>
    </w:p>
    <w:p w14:paraId="1804A4DC" w14:textId="36C8A9A1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ideal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tool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should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validated,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comprehensive,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reliable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tool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3,6]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Recommendations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reviews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management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strategies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evidence-based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approach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management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Stony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Brook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specifically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designed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short-term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repaired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lacerations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incisions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course,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concerned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about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physical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poorly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major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psychological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effects;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therefore,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deciding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needs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take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account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aesthetics.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05354027" w14:textId="7DC10D58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primary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outcome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skin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between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suture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331D7">
        <w:rPr>
          <w:rStyle w:val="apple-converted-space"/>
          <w:rFonts w:ascii="Book Antiqua" w:eastAsia="Book Antiqua" w:hAnsi="Book Antiqua" w:cs="Book Antiqua"/>
          <w:color w:val="000000"/>
        </w:rPr>
        <w:t>cyanoacrylate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Dermabond</w:t>
      </w:r>
      <w:proofErr w:type="spellEnd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)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urogynecological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robotic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surgeries.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Therefore,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cosmeticall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comparable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2250E">
        <w:rPr>
          <w:rStyle w:val="apple-converted-space"/>
          <w:rFonts w:ascii="Book Antiqua" w:eastAsia="Book Antiqua" w:hAnsi="Book Antiqua" w:cs="Book Antiqua"/>
          <w:color w:val="000000"/>
        </w:rPr>
        <w:t>sutures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will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reason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over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traditional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sutures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saved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time.</w:t>
      </w:r>
      <w:proofErr w:type="gram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these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surgeries,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six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port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sites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(compared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fewer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port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sites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traditional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laparoscopic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procedures)</w:t>
      </w:r>
      <w:r w:rsidR="00F14C8C">
        <w:rPr>
          <w:rStyle w:val="apple-converted-space"/>
          <w:rFonts w:ascii="Book Antiqua" w:eastAsia="Book Antiqua" w:hAnsi="Book Antiqua" w:cs="Book Antiqua"/>
          <w:color w:val="000000"/>
        </w:rPr>
        <w:t>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lengthy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(average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duration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about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300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bookmarkStart w:id="36" w:name="OLE_LINK23"/>
      <w:bookmarkStart w:id="37" w:name="OLE_LINK24"/>
      <w:r w:rsidR="00DE19CF" w:rsidRPr="002F30C9">
        <w:rPr>
          <w:rStyle w:val="apple-converted-space"/>
          <w:rFonts w:ascii="Book Antiqua" w:eastAsia="Book Antiqua" w:hAnsi="Book Antiqua" w:cs="Book Antiqua"/>
          <w:color w:val="000000"/>
        </w:rPr>
        <w:t>American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F5C12">
        <w:rPr>
          <w:rStyle w:val="apple-converted-space"/>
          <w:rFonts w:ascii="Book Antiqua" w:eastAsia="Book Antiqua" w:hAnsi="Book Antiqua" w:cs="Book Antiqua"/>
          <w:color w:val="000000"/>
        </w:rPr>
        <w:t>Society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F5C12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F5C12">
        <w:rPr>
          <w:rStyle w:val="apple-converted-space"/>
          <w:rFonts w:ascii="Book Antiqua" w:eastAsia="Book Antiqua" w:hAnsi="Book Antiqua" w:cs="Book Antiqua"/>
          <w:color w:val="000000"/>
        </w:rPr>
        <w:t>Gynecologic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F5C12">
        <w:rPr>
          <w:rStyle w:val="apple-converted-space"/>
          <w:rFonts w:ascii="Book Antiqua" w:eastAsia="Book Antiqua" w:hAnsi="Book Antiqua" w:cs="Book Antiqua"/>
          <w:color w:val="000000"/>
        </w:rPr>
        <w:t>Urology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/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American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College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Obstetricians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EE5316" w:rsidRPr="002F30C9">
        <w:rPr>
          <w:rStyle w:val="apple-converted-space"/>
          <w:rFonts w:ascii="Book Antiqua" w:eastAsia="Book Antiqua" w:hAnsi="Book Antiqua" w:cs="Book Antiqua"/>
          <w:color w:val="000000"/>
        </w:rPr>
        <w:t>Gynecologists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committee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opinion</w:t>
      </w:r>
      <w:bookmarkEnd w:id="36"/>
      <w:bookmarkEnd w:id="37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)</w:t>
      </w:r>
      <w:r w:rsidR="00F14C8C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F14C8C">
        <w:rPr>
          <w:rStyle w:val="apple-converted-space"/>
          <w:rFonts w:ascii="Book Antiqua" w:eastAsia="Book Antiqua" w:hAnsi="Book Antiqua" w:cs="Book Antiqua"/>
          <w:color w:val="000000"/>
        </w:rPr>
        <w:t>I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show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significant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reduction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should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reduce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costs.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our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knowledge,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this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first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kind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make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this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comparison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robotic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procedures.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bookmarkEnd w:id="34"/>
    <w:bookmarkEnd w:id="35"/>
    <w:p w14:paraId="66EABC6E" w14:textId="77777777" w:rsidR="00A77B3E" w:rsidRPr="002F30C9" w:rsidRDefault="00A77B3E" w:rsidP="002F30C9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64BC4DE" w14:textId="00CE340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97CE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97CE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3CC4A9F" w14:textId="59F85D8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8" w:name="OLE_LINK46"/>
      <w:bookmarkStart w:id="39" w:name="OLE_LINK47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This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randomized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controlled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trial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skin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after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robotic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with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i/>
          <w:iCs/>
          <w:color w:val="000000"/>
        </w:rPr>
        <w:t>vs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subcuticular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suture.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registered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clinicaltrials.gov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NCT03891004).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March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December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2018,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women,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primary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outcome,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measured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secondary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outcome,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measured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12-w</w:t>
      </w:r>
      <w:r w:rsidR="0062045B"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follow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visit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Stony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Brook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707ACE" w:rsidRPr="002F30C9">
        <w:rPr>
          <w:rStyle w:val="apple-converted-space"/>
          <w:rFonts w:ascii="Book Antiqua" w:eastAsia="Book Antiqua" w:hAnsi="Book Antiqua" w:cs="Book Antiqua"/>
          <w:color w:val="000000"/>
        </w:rPr>
        <w:t>(</w:t>
      </w:r>
      <w:r w:rsidR="00707ACE" w:rsidRPr="002F30C9">
        <w:rPr>
          <w:rFonts w:ascii="Book Antiqua" w:eastAsia="Book Antiqua" w:hAnsi="Book Antiqua" w:cs="Book Antiqua"/>
          <w:color w:val="000000"/>
        </w:rPr>
        <w:t>Table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707ACE" w:rsidRPr="002F30C9">
        <w:rPr>
          <w:rFonts w:ascii="Book Antiqua" w:eastAsia="Book Antiqua" w:hAnsi="Book Antiqua" w:cs="Book Antiqua"/>
          <w:color w:val="000000"/>
        </w:rPr>
        <w:t>1</w:t>
      </w:r>
      <w:r w:rsidR="00707ACE" w:rsidRPr="002F30C9">
        <w:rPr>
          <w:rStyle w:val="apple-converted-space"/>
          <w:rFonts w:ascii="Book Antiqua" w:eastAsia="Book Antiqua" w:hAnsi="Book Antiqua" w:cs="Book Antiqua"/>
          <w:color w:val="000000"/>
        </w:rPr>
        <w:t>)</w:t>
      </w:r>
      <w:r w:rsidR="00707ACE"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randomization,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computer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randomization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program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assignments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numbers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50.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Security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envelopes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numbered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from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50,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piece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paper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with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assignment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placed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sealed,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opaque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envelope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with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corresponding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number.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number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became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patient’s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ID,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assignment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within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numbered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envelope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became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patient’s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assignment.</w:t>
      </w:r>
    </w:p>
    <w:p w14:paraId="3F5784A9" w14:textId="1B3CC50E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lastRenderedPageBreak/>
        <w:t>Our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estimates,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based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surgical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experience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our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pilot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data,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standard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(stitch</w:t>
      </w:r>
      <w:bookmarkStart w:id="40" w:name="_Hlk53327765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)</w:t>
      </w:r>
      <w:bookmarkEnd w:id="40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approach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would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take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16.0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</w:t>
      </w:r>
      <w:r w:rsidR="00D43F7D" w:rsidRPr="002F30C9">
        <w:rPr>
          <w:rStyle w:val="apple-converted-space"/>
          <w:rFonts w:ascii="Book Antiqua" w:eastAsia="Book Antiqua" w:hAnsi="Book Antiqua" w:cs="Book Antiqua"/>
          <w:color w:val="000000"/>
        </w:rPr>
        <w:t>standard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Style w:val="apple-converted-space"/>
          <w:rFonts w:ascii="Book Antiqua" w:eastAsia="Book Antiqua" w:hAnsi="Book Antiqua" w:cs="Book Antiqua"/>
          <w:color w:val="000000"/>
        </w:rPr>
        <w:t>deviation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3.0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min),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only,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which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will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take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13.0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</w:t>
      </w:r>
      <w:r w:rsidR="00D43F7D" w:rsidRPr="002F30C9">
        <w:rPr>
          <w:rStyle w:val="apple-converted-space"/>
          <w:rFonts w:ascii="Book Antiqua" w:eastAsia="Book Antiqua" w:hAnsi="Book Antiqua" w:cs="Book Antiqua"/>
          <w:color w:val="000000"/>
        </w:rPr>
        <w:t>standard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Style w:val="apple-converted-space"/>
          <w:rFonts w:ascii="Book Antiqua" w:eastAsia="Book Antiqua" w:hAnsi="Book Antiqua" w:cs="Book Antiqua"/>
          <w:color w:val="000000"/>
        </w:rPr>
        <w:t>deviation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3.0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min).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show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effect,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least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17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required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80%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power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alpha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=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0.05.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allow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attrition,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added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20%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sample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size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recruited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Student’s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i/>
          <w:iCs/>
          <w:color w:val="000000"/>
        </w:rPr>
        <w:t>t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-test,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scores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Mann-Whitney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i/>
          <w:color w:val="000000"/>
        </w:rPr>
        <w:t>U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-test.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median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interquartile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range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reported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&lt;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0.05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proofErr w:type="gram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considered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significant.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Associations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categorical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variables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chi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squared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Fisher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exact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appropriate,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again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Mann-Whitney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color w:val="000000"/>
        </w:rPr>
        <w:t>U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continuous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variables.</w:t>
      </w:r>
    </w:p>
    <w:p w14:paraId="1B892B80" w14:textId="544A917D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subjects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women,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ages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18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years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older,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undergoing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robotic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ultimately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not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converted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open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cases.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Women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active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excluded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from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study,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along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converted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laparotomy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(although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none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converted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laparotomy).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These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involved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six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port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incisions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which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required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case.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Women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invited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participate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during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their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preoperative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visit.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explanation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given,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informed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consent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obtained.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Randomization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two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occurred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aware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which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method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use.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fellowship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trained,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board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certified,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FPMRS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primary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surgeon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every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procedure.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p w14:paraId="78569ABF" w14:textId="7D291491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used.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food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drug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administration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approved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skin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1998.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suture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arm,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only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subcuticular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layer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closed.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recorded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length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method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comparison,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had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follow-up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two,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six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12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wk.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12-w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k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visit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appearance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incision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scored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using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Stony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Brook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Scar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Evaluation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Scale.</w:t>
      </w:r>
    </w:p>
    <w:p w14:paraId="2D7B9C01" w14:textId="066FF111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Style w:val="apple-converted-space"/>
          <w:rFonts w:ascii="Book Antiqua" w:eastAsia="Book Antiqua" w:hAnsi="Book Antiqua" w:cs="Book Antiqua"/>
          <w:color w:val="000000"/>
        </w:rPr>
      </w:pP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lastRenderedPageBreak/>
        <w:t>Each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method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closure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safe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effective;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therefore,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fastest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method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more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ideal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cut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down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operating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room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secondary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outcomes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focused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were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comparing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incisions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satisfaction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regarding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12-w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k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postoperative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visit.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One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certified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registered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nurse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evaluated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all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of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12-w</w:t>
      </w:r>
      <w:r w:rsidR="0062045B" w:rsidRPr="002F30C9">
        <w:rPr>
          <w:rStyle w:val="apple-converted-space"/>
          <w:rFonts w:ascii="Book Antiqua" w:eastAsia="Book Antiqua" w:hAnsi="Book Antiqua" w:cs="Book Antiqua"/>
          <w:color w:val="000000"/>
        </w:rPr>
        <w:t>k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postoperative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visit,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blinded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each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patient’s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group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assignment.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bookmarkEnd w:id="38"/>
    <w:bookmarkEnd w:id="39"/>
    <w:p w14:paraId="0357D692" w14:textId="77777777" w:rsidR="00DE19CF" w:rsidRPr="002F30C9" w:rsidRDefault="00DE19CF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394095FA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C66BA9" w14:textId="057B4ABA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48"/>
      <w:bookmarkStart w:id="42" w:name="OLE_LINK49"/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enrolled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however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completed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their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12-w</w:t>
      </w:r>
      <w:r w:rsidR="0062045B"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postoperative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visit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primary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outcome,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length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="0062045B"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&lt;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0.0005)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(5.415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E07E6C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2.035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(24.98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EF53FE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5.665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determined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higher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0.025)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(median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4.0,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Fonts w:ascii="Book Antiqua" w:eastAsia="Book Antiqua" w:hAnsi="Book Antiqua" w:cs="Book Antiqua"/>
          <w:color w:val="000000"/>
        </w:rPr>
        <w:t>interquartile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Fonts w:ascii="Book Antiqua" w:eastAsia="Book Antiqua" w:hAnsi="Book Antiqua" w:cs="Book Antiqua"/>
          <w:color w:val="000000"/>
        </w:rPr>
        <w:t>range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1.0)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(median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3.0,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Fonts w:ascii="Book Antiqua" w:eastAsia="Book Antiqua" w:hAnsi="Book Antiqua" w:cs="Book Antiqua"/>
          <w:color w:val="000000"/>
        </w:rPr>
        <w:t>interquartile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D43F7D" w:rsidRPr="002F30C9">
        <w:rPr>
          <w:rFonts w:ascii="Book Antiqua" w:eastAsia="Book Antiqua" w:hAnsi="Book Antiqua" w:cs="Book Antiqua"/>
          <w:color w:val="000000"/>
        </w:rPr>
        <w:t>range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2.0).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bleeding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1.00),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0.234),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0.609)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extra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treatment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=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1.00)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arms.</w:t>
      </w:r>
    </w:p>
    <w:p w14:paraId="401D3C6A" w14:textId="3E32766C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When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demographics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statistical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differences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707ACE" w:rsidRPr="002F30C9">
        <w:rPr>
          <w:rFonts w:ascii="Book Antiqua" w:eastAsia="Book Antiqua" w:hAnsi="Book Antiqua" w:cs="Book Antiqua"/>
          <w:color w:val="000000"/>
        </w:rPr>
        <w:t>(Table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707ACE" w:rsidRPr="002F30C9">
        <w:rPr>
          <w:rFonts w:ascii="Book Antiqua" w:eastAsia="Book Antiqua" w:hAnsi="Book Antiqua" w:cs="Book Antiqua"/>
          <w:color w:val="000000"/>
        </w:rPr>
        <w:t>2)</w:t>
      </w:r>
      <w:r w:rsidRPr="002F30C9">
        <w:rPr>
          <w:rFonts w:ascii="Book Antiqua" w:eastAsia="Book Antiqua" w:hAnsi="Book Antiqua" w:cs="Book Antiqua"/>
          <w:color w:val="000000"/>
        </w:rPr>
        <w:t>.</w:t>
      </w:r>
    </w:p>
    <w:bookmarkEnd w:id="41"/>
    <w:bookmarkEnd w:id="42"/>
    <w:p w14:paraId="3CA37876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EBE48A" w14:textId="77777777" w:rsidR="00D43F7D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FB9EEE" w14:textId="1BE284FF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50"/>
      <w:bookmarkStart w:id="44" w:name="OLE_LINK51"/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major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findings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showed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length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shorter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(5.4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B47002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(24.9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B47002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5.6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Furthermore,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result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superior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without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increasing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risk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surgery.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bleeding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other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requiring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extra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treatment,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lastRenderedPageBreak/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none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patient’s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assigned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experienced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allergic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reaction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contact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dermatitis.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female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predominance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allergy,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male/female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ratio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1:15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adverse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reaction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noted,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studies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shown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observe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until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product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peels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spontaneously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Occasional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systemic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steroids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sometimes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required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severe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allergic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reaction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3CFCE95E" w14:textId="7B7DF3F2" w:rsidR="00496C88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Stony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Brook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shown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ideal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tool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specifically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designed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short-term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appearance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repaired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lacerations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incisions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tool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assigns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aesthetic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parameters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yields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ranging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from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(worst)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(best).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Although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caution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should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clinical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application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tools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standardize,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patient’s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satisfaction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goals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study.</w:t>
      </w:r>
    </w:p>
    <w:p w14:paraId="00201423" w14:textId="5B4D660A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Understanding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essential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value-based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growing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literature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describing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cost-saving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interventions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surgery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496C88" w:rsidRPr="002F30C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Style w:val="apple-converted-space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point,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cross-sectional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analysis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California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showed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fiscal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year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$36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$37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minute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Style w:val="apple-converted-space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Therefore,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it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our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main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goal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show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that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tissue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adhesives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can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substantially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decrease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operative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times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which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furthermore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decreases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cost.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Additionally,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by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Sebesta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Bishoff</w:t>
      </w:r>
      <w:proofErr w:type="spellEnd"/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(2003)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Style w:val="apple-converted-space"/>
          <w:rFonts w:ascii="Book Antiqua" w:eastAsia="Book Antiqua" w:hAnsi="Book Antiqua" w:cs="Book Antiqua"/>
          <w:color w:val="000000"/>
        </w:rPr>
        <w:t>showed</w:t>
      </w:r>
      <w:r w:rsidR="00897CE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laparoscopic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sutures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0C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F30C9">
        <w:rPr>
          <w:rFonts w:ascii="Book Antiqua" w:eastAsia="Book Antiqua" w:hAnsi="Book Antiqua" w:cs="Book Antiqua"/>
          <w:color w:val="000000"/>
        </w:rPr>
        <w:t>.</w:t>
      </w:r>
    </w:p>
    <w:p w14:paraId="69B1233B" w14:textId="32DBCC70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limitations.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limitation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two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However,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laparoscopic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port-site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octylcyanoacrylate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duration,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cosmetic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outcome,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($198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States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$497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496C88" w:rsidRPr="002F30C9">
        <w:rPr>
          <w:rFonts w:ascii="Book Antiqua" w:eastAsia="Book Antiqua" w:hAnsi="Book Antiqua" w:cs="Book Antiqua"/>
          <w:color w:val="000000"/>
        </w:rPr>
        <w:t>States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Pr="002F30C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Another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limitation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screen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exclude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patient’s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history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pathological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healing.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lastRenderedPageBreak/>
        <w:t>Anecdotally,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(less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50%).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pilot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data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discussed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section,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perhaps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raise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possibility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unmindful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bias.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However,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still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markedly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(5.415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0956CF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2.035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pilot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data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(16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01F4C">
        <w:rPr>
          <w:rFonts w:ascii="Book Antiqua" w:eastAsia="Book Antiqua" w:hAnsi="Book Antiqua" w:cs="Book Antiqua"/>
          <w:color w:val="000000"/>
        </w:rPr>
        <w:t>±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min).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4BA18831" w14:textId="3527DF97" w:rsidR="00A77B3E" w:rsidRPr="002F30C9" w:rsidRDefault="00953810" w:rsidP="002F30C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several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strengths.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first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blinded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result.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Next,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single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institution;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therefore,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uniformity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consistent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throughout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subsequently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decreases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potential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bias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Fourthly,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prospective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approach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coupled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high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follow-up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successful.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Next,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another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strength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takes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bias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Lastly,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our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knowledge,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first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Stony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Brook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43"/>
    <w:bookmarkEnd w:id="44"/>
    <w:p w14:paraId="0EF2AE66" w14:textId="77777777" w:rsidR="00A77B3E" w:rsidRPr="002F30C9" w:rsidRDefault="00A77B3E" w:rsidP="001D0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19366E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49D65A" w14:textId="0B774C2C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5" w:name="OLE_LINK9"/>
      <w:bookmarkStart w:id="46" w:name="OLE_LINK10"/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summary,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aimed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Given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proven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superior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results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shorter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safely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adopted.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45"/>
    <w:bookmarkEnd w:id="46"/>
    <w:p w14:paraId="0CB123F9" w14:textId="77777777" w:rsidR="00A77B3E" w:rsidRPr="002F30C9" w:rsidRDefault="00A77B3E" w:rsidP="002F30C9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2BDC2CE" w14:textId="155A136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97CE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30C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E706EB" w14:textId="3D90B46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E01340C" w14:textId="03E64C61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overall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potential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lastRenderedPageBreak/>
        <w:t>reduce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maintain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jeopardizing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wound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3F369690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3AE2DD" w14:textId="4A24B32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A1DF5E0" w14:textId="0FD202A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faster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yet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method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maintaining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improving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1A6E780E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007739" w14:textId="203ABBA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EA79C7" w14:textId="2C1B29A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procedures.</w:t>
      </w:r>
    </w:p>
    <w:p w14:paraId="6D4ED0B6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A9B50E" w14:textId="62ED9682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09392F5" w14:textId="2F7F7D1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Fifty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port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either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follow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12-w</w:t>
      </w:r>
      <w:r w:rsidR="00496C88" w:rsidRPr="002F30C9">
        <w:rPr>
          <w:rFonts w:ascii="Book Antiqua" w:eastAsia="Book Antiqua" w:hAnsi="Book Antiqua" w:cs="Book Antiqua"/>
          <w:color w:val="000000"/>
        </w:rPr>
        <w:t>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posteroperatively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complications.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p w14:paraId="587995AC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6FCB10" w14:textId="5F242F15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ACE0E04" w14:textId="57433352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11"/>
      <w:bookmarkStart w:id="48" w:name="OLE_LINK12"/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significantly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greater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differences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bleeding,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infection,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dehiscence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existed.</w:t>
      </w:r>
    </w:p>
    <w:p w14:paraId="6DFC63D3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47"/>
    <w:bookmarkEnd w:id="48"/>
    <w:p w14:paraId="068E9496" w14:textId="5FE7C5DC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6E6E695" w14:textId="2869A07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improves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cosmesis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compared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Cyanoacrylate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reasonable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alternative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robotic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urogynecologic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procedures</w:t>
      </w:r>
      <w:r w:rsidR="00D33BAA" w:rsidRPr="002F30C9">
        <w:rPr>
          <w:rFonts w:ascii="Book Antiqua" w:eastAsia="宋体" w:hAnsi="Book Antiqua" w:cs="宋体"/>
          <w:color w:val="000000"/>
          <w:lang w:eastAsia="zh-CN"/>
        </w:rPr>
        <w:t>.</w:t>
      </w:r>
    </w:p>
    <w:p w14:paraId="03289C6D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05C136" w14:textId="6C8D39E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897CE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FD216A1" w14:textId="2D70A0B4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13"/>
      <w:bookmarkStart w:id="50" w:name="OLE_LINK14"/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utility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time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overall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potential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area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future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investigation.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49"/>
    <w:bookmarkEnd w:id="50"/>
    <w:p w14:paraId="59BAD915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26D61D" w14:textId="7777777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A77FC30" w14:textId="095A0822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t>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Quinn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JV,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Clark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Hollander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JE;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TraumaSeal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Group.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lacerations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octylcyanoacrylate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multicenter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controlled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trial.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2002;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270-276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11894031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10.1067/msy.2002.121377]</w:t>
      </w:r>
    </w:p>
    <w:p w14:paraId="58128B10" w14:textId="411DF451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2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Dumville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Coulthard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Worthington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HV,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Riley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Patel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Darcey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Esposito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Elst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Waes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OJ.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Tissue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incisions.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DE19CF" w:rsidRPr="002F30C9">
        <w:rPr>
          <w:rFonts w:ascii="Book Antiqua" w:eastAsia="Book Antiqua" w:hAnsi="Book Antiqua" w:cs="Book Antiqua"/>
          <w:color w:val="000000"/>
        </w:rPr>
        <w:t>2014;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CD004287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25431843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10.1002/14651858.CD004287.pub4]</w:t>
      </w:r>
    </w:p>
    <w:p w14:paraId="5A6DC58B" w14:textId="67ACDD19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Draaijers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Tempelman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Botman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YA,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Tuinebreijer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Middelkoop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Kreis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RW,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Zuijlen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observer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reliable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feasible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tool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2004;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1960-5;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discussion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1966-7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15253184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10.1097/01.prs.0000122207.28773.56]</w:t>
      </w:r>
    </w:p>
    <w:p w14:paraId="40405271" w14:textId="591734D3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Daykan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Sharon-Weiner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Pasternak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Tzadikevitch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-Geffen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Markovitch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Sukenik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-Halevy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Biron-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Shental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cesarean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delivery,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glue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subcuticular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sutures: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randomized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controlled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trial.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2017;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406.e1-406.e5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28153666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10.1016/j.ajog.2017.01.009]</w:t>
      </w:r>
    </w:p>
    <w:p w14:paraId="7EA796EF" w14:textId="7EAE8442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t>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Bhende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Rothenburger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Spangler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Dito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vitro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microbial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barrier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properties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topical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adhesive.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 w:rsidRPr="002F30C9">
        <w:rPr>
          <w:rFonts w:ascii="Book Antiqua" w:eastAsia="Book Antiqua" w:hAnsi="Book Antiqua" w:cs="Book Antiqua"/>
          <w:i/>
          <w:iCs/>
          <w:color w:val="000000"/>
        </w:rPr>
        <w:t>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2002;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251-257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12542926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10.1089/109629602761624216]</w:t>
      </w:r>
    </w:p>
    <w:p w14:paraId="7E563F83" w14:textId="152F2EFC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Kar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Corion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LU,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Smeulders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Draaijers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Horst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Zuijlen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Reliable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feasible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linear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Observer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2005;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514-522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16079683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10.1097/01.prs.0000172982.43599.d6]</w:t>
      </w:r>
    </w:p>
    <w:p w14:paraId="4DCF8BFC" w14:textId="73927B21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lastRenderedPageBreak/>
        <w:t>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Truong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PT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JC,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Soer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Gaul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Olivotto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IA.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Reliability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validity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testing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Patient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Observer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Assessment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evaluating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linear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after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breast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cancer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2007;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487-494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17230080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10.1097/01.prs.0000252949.77525.bc]</w:t>
      </w:r>
    </w:p>
    <w:p w14:paraId="2E3A2514" w14:textId="200D3079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Fearmonti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Erdmann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Levinson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review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scales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scar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measuring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devices.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Eplasty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2010;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e43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20596233]</w:t>
      </w:r>
    </w:p>
    <w:p w14:paraId="07AD44A3" w14:textId="50EF817C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9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Buckley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DA.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Severe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dermatitis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from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Dermabond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®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surgical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glue.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Dermatol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2014;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739-741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24125099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10.1111/bjd.12684]</w:t>
      </w:r>
    </w:p>
    <w:p w14:paraId="1D2EE8EC" w14:textId="7493BCAE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10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Muttardi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White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Banerjee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burden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allergic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contact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dermatitis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caused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acrylates.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Contact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Dermatitis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2016;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180-184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27480513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10.1111/cod.12578]</w:t>
      </w:r>
    </w:p>
    <w:p w14:paraId="2BAA790E" w14:textId="2E1FAA98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11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Gitelis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Vigneswaran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Ujiki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MB,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Denham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Muldoon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JP,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Linn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JG.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Educating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intraoperative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disposable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supply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during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laparoscopic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cholecystectomy: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regional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health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system's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experience.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2015;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209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488-492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25586597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10.1016/j.amjsurg.2014.09.023]</w:t>
      </w:r>
    </w:p>
    <w:p w14:paraId="45F2E753" w14:textId="07E3406F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12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Guzman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Gitelis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Linn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Ujiki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MB,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Waskerwitz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Umanskiy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Muldoon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JP.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Model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Reduction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Standardization: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Improved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Savings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Maintaining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Quality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Care.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2015;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1104-1107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26445185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10.1097/DCR.0000000000000463]</w:t>
      </w:r>
    </w:p>
    <w:p w14:paraId="12A141CF" w14:textId="39F0B1A1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13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Krpata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Haskins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Rosenblatt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Grundfest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Prabhu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Rosen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MJ.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Development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Disease-based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Hernia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Program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Impact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System.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2018;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370-374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27906759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10.1097/SLA.0000000000002093]</w:t>
      </w:r>
    </w:p>
    <w:p w14:paraId="4F664FD4" w14:textId="15EFB6C4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14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b/>
          <w:bCs/>
          <w:color w:val="000000"/>
        </w:rPr>
        <w:t>Zygourakis</w:t>
      </w:r>
      <w:proofErr w:type="spellEnd"/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Valencia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Moriates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Boscardin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Catschegn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Rajkomar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Bozic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KJ,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Soo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Hoo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K,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Goldberg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Pitts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Lawton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Dudley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RA,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Gonzales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Association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Between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Surgeon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Scorecard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2017;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284-291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27926758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10.1001/jamasurg.2016.4674]</w:t>
      </w:r>
    </w:p>
    <w:p w14:paraId="2311699C" w14:textId="738383F3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lastRenderedPageBreak/>
        <w:t>15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Childers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Maggard</w:t>
      </w:r>
      <w:proofErr w:type="spellEnd"/>
      <w:r w:rsidRPr="002F30C9">
        <w:rPr>
          <w:rFonts w:ascii="Book Antiqua" w:eastAsia="Book Antiqua" w:hAnsi="Book Antiqua" w:cs="Book Antiqua"/>
          <w:color w:val="000000"/>
        </w:rPr>
        <w:t>-Gibbons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Understanding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Costs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Care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Operating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Room.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2018;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e176233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29490366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10.1001/jamasurg.2017.6233]</w:t>
      </w:r>
    </w:p>
    <w:p w14:paraId="6E0D473B" w14:textId="550BF028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F30C9">
        <w:rPr>
          <w:rFonts w:ascii="Book Antiqua" w:eastAsia="Book Antiqua" w:hAnsi="Book Antiqua" w:cs="Book Antiqua"/>
          <w:color w:val="000000"/>
        </w:rPr>
        <w:t>16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Sebesta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F30C9">
        <w:rPr>
          <w:rFonts w:ascii="Book Antiqua" w:eastAsia="Book Antiqua" w:hAnsi="Book Antiqua" w:cs="Book Antiqua"/>
          <w:color w:val="000000"/>
        </w:rPr>
        <w:t>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Bishoff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Octylcyanoacrylate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skin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closure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laparoscopy.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7C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i/>
          <w:iCs/>
          <w:color w:val="000000"/>
        </w:rPr>
        <w:t>Endourol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2003;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F30C9">
        <w:rPr>
          <w:rFonts w:ascii="Book Antiqua" w:eastAsia="Book Antiqua" w:hAnsi="Book Antiqua" w:cs="Book Antiqua"/>
          <w:color w:val="000000"/>
        </w:rPr>
        <w:t>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899-903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[PMID: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14744358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DOI: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10.1089/089277903772036235]</w:t>
      </w:r>
    </w:p>
    <w:p w14:paraId="6D540884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F30C9" w:rsidSect="00604C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D78F90" w14:textId="72F41032" w:rsidR="00A77B3E" w:rsidRPr="002F30C9" w:rsidRDefault="00604C77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953810" w:rsidRPr="002F30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7AB5876" w14:textId="617DE4D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54"/>
      <w:bookmarkStart w:id="52" w:name="OLE_LINK55"/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reviewed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approved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Ascension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John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Hospital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Institutional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Review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Board,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reference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number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1165375.</w:t>
      </w:r>
    </w:p>
    <w:bookmarkEnd w:id="51"/>
    <w:bookmarkEnd w:id="52"/>
    <w:p w14:paraId="736D75D7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4EA42E" w14:textId="37FF8210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3" w:name="OLE_LINK56"/>
      <w:bookmarkStart w:id="54" w:name="OLE_LINK57"/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registered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clinicaltrials.gov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ID: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NCT03891004.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53"/>
    <w:bookmarkEnd w:id="54"/>
    <w:p w14:paraId="68FD41EA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6999B" w14:textId="2908365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5" w:name="OLE_LINK58"/>
      <w:bookmarkStart w:id="56" w:name="OLE_LINK59"/>
      <w:r w:rsidRPr="002F30C9">
        <w:rPr>
          <w:rFonts w:ascii="Book Antiqua" w:eastAsia="Book Antiqua" w:hAnsi="Book Antiqua" w:cs="Book Antiqua"/>
          <w:color w:val="000000"/>
        </w:rPr>
        <w:t>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subjects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provided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informed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written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consent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prior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enrollment.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55"/>
    <w:bookmarkEnd w:id="56"/>
    <w:p w14:paraId="01CFA2DC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A77358" w14:textId="0795B16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60"/>
      <w:bookmarkStart w:id="58" w:name="OLE_LINK61"/>
      <w:r w:rsidRPr="002F30C9">
        <w:rPr>
          <w:rFonts w:ascii="Book Antiqua" w:eastAsia="Book Antiqua" w:hAnsi="Book Antiqua" w:cs="Book Antiqua"/>
          <w:color w:val="000000"/>
        </w:rPr>
        <w:t>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authors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study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have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conflict-of-interests.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</w:p>
    <w:bookmarkEnd w:id="57"/>
    <w:bookmarkEnd w:id="58"/>
    <w:p w14:paraId="5400AAE5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8FF50" w14:textId="56559AC2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9" w:name="OLE_LINK62"/>
      <w:bookmarkStart w:id="60" w:name="OLE_LINK63"/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  <w:shd w:val="clear" w:color="auto" w:fill="FFFFFF"/>
        </w:rPr>
        <w:t>kyle.mackey@ascension.org.</w:t>
      </w:r>
      <w:r w:rsidR="00897C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59"/>
    <w:bookmarkEnd w:id="60"/>
    <w:p w14:paraId="036723B9" w14:textId="26D23033" w:rsidR="009765EA" w:rsidRPr="002F30C9" w:rsidRDefault="009765EA" w:rsidP="002F30C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46577E06" w14:textId="558DE788" w:rsidR="00A77B3E" w:rsidRPr="002F30C9" w:rsidRDefault="009765EA" w:rsidP="002F30C9">
      <w:pPr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bCs/>
          <w:iCs/>
          <w:color w:val="000000" w:themeColor="text1"/>
        </w:rPr>
      </w:pPr>
      <w:r w:rsidRPr="002F30C9">
        <w:rPr>
          <w:rFonts w:ascii="Book Antiqua" w:hAnsi="Book Antiqua"/>
          <w:b/>
        </w:rPr>
        <w:t>CONSORT</w:t>
      </w:r>
      <w:r w:rsidR="00897CE1">
        <w:rPr>
          <w:rFonts w:ascii="Book Antiqua" w:hAnsi="Book Antiqua"/>
          <w:b/>
        </w:rPr>
        <w:t xml:space="preserve"> </w:t>
      </w:r>
      <w:r w:rsidRPr="002F30C9">
        <w:rPr>
          <w:rFonts w:ascii="Book Antiqua" w:hAnsi="Book Antiqua"/>
          <w:b/>
        </w:rPr>
        <w:t>2010</w:t>
      </w:r>
      <w:r w:rsidR="00897CE1">
        <w:rPr>
          <w:rFonts w:ascii="Book Antiqua" w:hAnsi="Book Antiqua"/>
          <w:b/>
        </w:rPr>
        <w:t xml:space="preserve"> </w:t>
      </w:r>
      <w:r w:rsidRPr="002F30C9">
        <w:rPr>
          <w:rFonts w:ascii="Book Antiqua" w:hAnsi="Book Antiqua"/>
          <w:b/>
        </w:rPr>
        <w:t>statement: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bookmarkStart w:id="61" w:name="OLE_LINK52"/>
      <w:bookmarkStart w:id="62" w:name="OLE_LINK53"/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The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authors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confirm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that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the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manuscript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was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prepared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according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to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the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CONSORT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2010</w:t>
      </w:r>
      <w:r w:rsidR="00897CE1">
        <w:rPr>
          <w:rFonts w:ascii="Book Antiqua" w:hAnsi="Book Antiqua" w:cs="TimesNewRomanPS-BoldItalicMT"/>
          <w:bCs/>
          <w:iCs/>
          <w:color w:val="000000" w:themeColor="text1"/>
        </w:rPr>
        <w:t xml:space="preserve"> </w:t>
      </w:r>
      <w:r w:rsidR="009D3FE8" w:rsidRPr="002F30C9">
        <w:rPr>
          <w:rFonts w:ascii="Book Antiqua" w:hAnsi="Book Antiqua" w:cs="TimesNewRomanPS-BoldItalicMT"/>
          <w:bCs/>
          <w:iCs/>
          <w:color w:val="000000" w:themeColor="text1"/>
        </w:rPr>
        <w:t>statement.</w:t>
      </w:r>
    </w:p>
    <w:bookmarkEnd w:id="61"/>
    <w:bookmarkEnd w:id="62"/>
    <w:p w14:paraId="06F9EFCF" w14:textId="77777777" w:rsidR="009D3FE8" w:rsidRPr="002F30C9" w:rsidRDefault="009D3FE8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8A7D7B" w14:textId="690D7ACD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7C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17"/>
      <w:bookmarkStart w:id="64" w:name="OLE_LINK18"/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article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open-access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article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that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was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selected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in-house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editor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fully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peer-reviewed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external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reviewers.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distributed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accordance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with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Creative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Commons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Attribution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(CC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BY-NC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4.0)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license,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which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permits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others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to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distribute,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remix,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adapt,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build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upon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work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non-commercially,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license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their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derivative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works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different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terms,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provided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original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work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properly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the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use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is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non-commercial.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See: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63"/>
    <w:bookmarkEnd w:id="64"/>
    <w:p w14:paraId="4CFC8E3B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E95044" w14:textId="0956F7C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Manuscript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source: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Unsolicited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9D3FE8" w:rsidRPr="002F30C9">
        <w:rPr>
          <w:rFonts w:ascii="Book Antiqua" w:eastAsia="Book Antiqua" w:hAnsi="Book Antiqua" w:cs="Book Antiqua"/>
          <w:color w:val="000000"/>
        </w:rPr>
        <w:t>m</w:t>
      </w:r>
      <w:r w:rsidRPr="002F30C9">
        <w:rPr>
          <w:rFonts w:ascii="Book Antiqua" w:eastAsia="Book Antiqua" w:hAnsi="Book Antiqua" w:cs="Book Antiqua"/>
          <w:color w:val="000000"/>
        </w:rPr>
        <w:t>anuscript</w:t>
      </w:r>
    </w:p>
    <w:p w14:paraId="1D9EE693" w14:textId="77777777" w:rsidR="0034510E" w:rsidRPr="002F30C9" w:rsidRDefault="0034510E" w:rsidP="002F30C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4B90A96" w14:textId="55EB5D9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Corresponding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Author's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Membership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in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Professional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Societies: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American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College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of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Obstetricians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Gynecologists,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B200AD">
        <w:rPr>
          <w:rFonts w:ascii="Book Antiqua" w:eastAsia="Book Antiqua" w:hAnsi="Book Antiqua" w:cs="Book Antiqua"/>
          <w:color w:val="000000"/>
        </w:rPr>
        <w:t>No.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001114728I.</w:t>
      </w:r>
    </w:p>
    <w:p w14:paraId="49D7D3B7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E1E84C" w14:textId="15107F2F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Peer-review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started: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March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9,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2020</w:t>
      </w:r>
    </w:p>
    <w:p w14:paraId="30999D21" w14:textId="03A2E4AB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First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decision: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September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21,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2020</w:t>
      </w:r>
    </w:p>
    <w:p w14:paraId="102DB5A9" w14:textId="7C063617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Article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in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press: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7D67" w:rsidRPr="00081228">
        <w:rPr>
          <w:rFonts w:ascii="Book Antiqua" w:eastAsia="Book Antiqua" w:hAnsi="Book Antiqua" w:cs="Book Antiqua"/>
          <w:bCs/>
          <w:color w:val="000000"/>
        </w:rPr>
        <w:t>October</w:t>
      </w:r>
      <w:r w:rsidR="00247D6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47D67" w:rsidRPr="00081228">
        <w:rPr>
          <w:rFonts w:ascii="Book Antiqua" w:eastAsia="Book Antiqua" w:hAnsi="Book Antiqua" w:cs="Book Antiqua"/>
          <w:bCs/>
          <w:color w:val="000000"/>
        </w:rPr>
        <w:t>13,</w:t>
      </w:r>
      <w:r w:rsidR="00247D6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47D67" w:rsidRPr="00081228">
        <w:rPr>
          <w:rFonts w:ascii="Book Antiqua" w:eastAsia="Book Antiqua" w:hAnsi="Book Antiqua" w:cs="Book Antiqua"/>
          <w:bCs/>
          <w:color w:val="000000"/>
        </w:rPr>
        <w:t>2020</w:t>
      </w:r>
    </w:p>
    <w:p w14:paraId="449ED07D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B118D0" w14:textId="023372B2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Specialty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type: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Obstetrics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and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8966B3" w:rsidRPr="002F30C9">
        <w:rPr>
          <w:rFonts w:ascii="Book Antiqua" w:eastAsia="Book Antiqua" w:hAnsi="Book Antiqua" w:cs="Book Antiqua"/>
          <w:color w:val="000000"/>
        </w:rPr>
        <w:t>g</w:t>
      </w:r>
      <w:r w:rsidRPr="002F30C9">
        <w:rPr>
          <w:rFonts w:ascii="Book Antiqua" w:eastAsia="Book Antiqua" w:hAnsi="Book Antiqua" w:cs="Book Antiqua"/>
          <w:color w:val="000000"/>
        </w:rPr>
        <w:t>ynecology</w:t>
      </w:r>
    </w:p>
    <w:p w14:paraId="7411AF63" w14:textId="30CB8218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Country/Territory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of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origin: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United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States</w:t>
      </w:r>
    </w:p>
    <w:p w14:paraId="65826246" w14:textId="680416B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b/>
          <w:color w:val="000000"/>
        </w:rPr>
        <w:t>Peer-review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report’s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scientific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quality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00F444" w14:textId="285F686E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Grade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0C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(Excellent):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</w:t>
      </w:r>
    </w:p>
    <w:p w14:paraId="7DA7B090" w14:textId="393F56F9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Grade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(Very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good):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</w:t>
      </w:r>
    </w:p>
    <w:p w14:paraId="252D78AE" w14:textId="057F9841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Grade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(Good):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C</w:t>
      </w:r>
    </w:p>
    <w:p w14:paraId="5C7B6222" w14:textId="51D94133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Grade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D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(Fair):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</w:t>
      </w:r>
    </w:p>
    <w:p w14:paraId="047091AA" w14:textId="5CB3B81C" w:rsidR="00A77B3E" w:rsidRPr="002F30C9" w:rsidRDefault="00953810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30C9">
        <w:rPr>
          <w:rFonts w:ascii="Book Antiqua" w:eastAsia="Book Antiqua" w:hAnsi="Book Antiqua" w:cs="Book Antiqua"/>
          <w:color w:val="000000"/>
        </w:rPr>
        <w:t>Grade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E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(Poor):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0</w:t>
      </w:r>
    </w:p>
    <w:p w14:paraId="6D90DC08" w14:textId="77777777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E0F21C" w14:textId="6533942E" w:rsidR="00E83311" w:rsidRPr="00485F2C" w:rsidRDefault="00953810" w:rsidP="00485F2C">
      <w:pPr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/>
          <w:lang w:eastAsia="zh-CN"/>
        </w:rPr>
        <w:sectPr w:rsidR="00E83311" w:rsidRPr="00485F2C" w:rsidSect="00604C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F30C9">
        <w:rPr>
          <w:rFonts w:ascii="Book Antiqua" w:eastAsia="Book Antiqua" w:hAnsi="Book Antiqua" w:cs="Book Antiqua"/>
          <w:b/>
          <w:color w:val="000000"/>
        </w:rPr>
        <w:t>P-Reviewer: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Borkow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G,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Bramhall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SR,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0C9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color w:val="000000"/>
        </w:rPr>
        <w:t>V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S-Editor: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5E63" w:rsidRPr="002F30C9">
        <w:rPr>
          <w:rFonts w:ascii="Book Antiqua" w:eastAsia="Book Antiqua" w:hAnsi="Book Antiqua" w:cs="Book Antiqua"/>
          <w:color w:val="000000"/>
        </w:rPr>
        <w:t>Zhang</w:t>
      </w:r>
      <w:r w:rsidR="00897CE1">
        <w:rPr>
          <w:rFonts w:ascii="Book Antiqua" w:eastAsia="Book Antiqua" w:hAnsi="Book Antiqua" w:cs="Book Antiqua"/>
          <w:color w:val="000000"/>
        </w:rPr>
        <w:t xml:space="preserve"> </w:t>
      </w:r>
      <w:r w:rsidR="006A5E63" w:rsidRPr="002F30C9">
        <w:rPr>
          <w:rFonts w:ascii="Book Antiqua" w:eastAsia="Book Antiqua" w:hAnsi="Book Antiqua" w:cs="Book Antiqua"/>
          <w:color w:val="000000"/>
        </w:rPr>
        <w:t>L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L-Editor: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2C" w:rsidRPr="00485F2C">
        <w:rPr>
          <w:rFonts w:ascii="Book Antiqua" w:hAnsi="Book Antiqua" w:cs="Book Antiqua" w:hint="eastAsia"/>
          <w:color w:val="000000"/>
          <w:lang w:eastAsia="zh-CN"/>
        </w:rPr>
        <w:t>A</w:t>
      </w:r>
      <w:r w:rsidR="00485F2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F30C9">
        <w:rPr>
          <w:rFonts w:ascii="Book Antiqua" w:eastAsia="Book Antiqua" w:hAnsi="Book Antiqua" w:cs="Book Antiqua"/>
          <w:b/>
          <w:color w:val="000000"/>
        </w:rPr>
        <w:t>P-Editor:</w:t>
      </w:r>
      <w:r w:rsidR="00897C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2C" w:rsidRPr="00485F2C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7F6408FD" w14:textId="64473C49" w:rsidR="00E83311" w:rsidRPr="002F30C9" w:rsidRDefault="00E83311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F30C9">
        <w:rPr>
          <w:rFonts w:ascii="Book Antiqua" w:hAnsi="Book Antiqua"/>
          <w:b/>
        </w:rPr>
        <w:lastRenderedPageBreak/>
        <w:t>Table</w:t>
      </w:r>
      <w:r w:rsidR="00897CE1">
        <w:rPr>
          <w:rFonts w:ascii="Book Antiqua" w:hAnsi="Book Antiqua"/>
          <w:b/>
        </w:rPr>
        <w:t xml:space="preserve"> </w:t>
      </w:r>
      <w:r w:rsidRPr="002F30C9">
        <w:rPr>
          <w:rFonts w:ascii="Book Antiqua" w:hAnsi="Book Antiqua"/>
          <w:b/>
        </w:rPr>
        <w:t>1</w:t>
      </w:r>
      <w:r w:rsidR="00897CE1">
        <w:rPr>
          <w:rFonts w:ascii="Book Antiqua" w:hAnsi="Book Antiqua"/>
          <w:b/>
        </w:rPr>
        <w:t xml:space="preserve"> </w:t>
      </w:r>
      <w:proofErr w:type="gramStart"/>
      <w:r w:rsidRPr="002F30C9">
        <w:rPr>
          <w:rFonts w:ascii="Book Antiqua" w:hAnsi="Book Antiqua"/>
          <w:b/>
          <w:bCs/>
        </w:rPr>
        <w:t>The</w:t>
      </w:r>
      <w:proofErr w:type="gramEnd"/>
      <w:r w:rsidR="00897CE1">
        <w:rPr>
          <w:rFonts w:ascii="Book Antiqua" w:hAnsi="Book Antiqua"/>
          <w:b/>
          <w:bCs/>
        </w:rPr>
        <w:t xml:space="preserve"> </w:t>
      </w:r>
      <w:r w:rsidR="002F30C9" w:rsidRPr="002F30C9">
        <w:rPr>
          <w:rFonts w:ascii="Book Antiqua" w:hAnsi="Book Antiqua"/>
          <w:b/>
          <w:bCs/>
        </w:rPr>
        <w:t>s</w:t>
      </w:r>
      <w:r w:rsidRPr="002F30C9">
        <w:rPr>
          <w:rFonts w:ascii="Book Antiqua" w:hAnsi="Book Antiqua"/>
          <w:b/>
          <w:bCs/>
        </w:rPr>
        <w:t>tony</w:t>
      </w:r>
      <w:r w:rsidR="00897CE1">
        <w:rPr>
          <w:rFonts w:ascii="Book Antiqua" w:hAnsi="Book Antiqua"/>
          <w:b/>
          <w:bCs/>
        </w:rPr>
        <w:t xml:space="preserve"> </w:t>
      </w:r>
      <w:r w:rsidR="002F30C9" w:rsidRPr="002F30C9">
        <w:rPr>
          <w:rFonts w:ascii="Book Antiqua" w:hAnsi="Book Antiqua"/>
          <w:b/>
          <w:bCs/>
        </w:rPr>
        <w:t>b</w:t>
      </w:r>
      <w:r w:rsidRPr="002F30C9">
        <w:rPr>
          <w:rFonts w:ascii="Book Antiqua" w:hAnsi="Book Antiqua"/>
          <w:b/>
          <w:bCs/>
        </w:rPr>
        <w:t>rook</w:t>
      </w:r>
      <w:r w:rsidR="00897CE1">
        <w:rPr>
          <w:rFonts w:ascii="Book Antiqua" w:hAnsi="Book Antiqua"/>
          <w:b/>
          <w:bCs/>
        </w:rPr>
        <w:t xml:space="preserve"> </w:t>
      </w:r>
      <w:r w:rsidR="002F30C9" w:rsidRPr="002F30C9">
        <w:rPr>
          <w:rFonts w:ascii="Book Antiqua" w:hAnsi="Book Antiqua"/>
          <w:b/>
          <w:bCs/>
        </w:rPr>
        <w:t>s</w:t>
      </w:r>
      <w:r w:rsidRPr="002F30C9">
        <w:rPr>
          <w:rFonts w:ascii="Book Antiqua" w:hAnsi="Book Antiqua"/>
          <w:b/>
          <w:bCs/>
        </w:rPr>
        <w:t>car</w:t>
      </w:r>
      <w:r w:rsidR="00897CE1">
        <w:rPr>
          <w:rFonts w:ascii="Book Antiqua" w:hAnsi="Book Antiqua"/>
          <w:b/>
          <w:bCs/>
        </w:rPr>
        <w:t xml:space="preserve"> </w:t>
      </w:r>
      <w:r w:rsidR="002F30C9" w:rsidRPr="002F30C9">
        <w:rPr>
          <w:rFonts w:ascii="Book Antiqua" w:hAnsi="Book Antiqua"/>
          <w:b/>
          <w:bCs/>
        </w:rPr>
        <w:t>e</w:t>
      </w:r>
      <w:r w:rsidRPr="002F30C9">
        <w:rPr>
          <w:rFonts w:ascii="Book Antiqua" w:hAnsi="Book Antiqua"/>
          <w:b/>
          <w:bCs/>
        </w:rPr>
        <w:t>valuation</w:t>
      </w:r>
      <w:r w:rsidR="00897CE1">
        <w:rPr>
          <w:rFonts w:ascii="Book Antiqua" w:hAnsi="Book Antiqua"/>
          <w:b/>
          <w:bCs/>
        </w:rPr>
        <w:t xml:space="preserve"> </w:t>
      </w:r>
      <w:r w:rsidR="002F30C9" w:rsidRPr="002F30C9">
        <w:rPr>
          <w:rFonts w:ascii="Book Antiqua" w:hAnsi="Book Antiqua"/>
          <w:b/>
          <w:bCs/>
        </w:rPr>
        <w:t>s</w:t>
      </w:r>
      <w:r w:rsidRPr="002F30C9">
        <w:rPr>
          <w:rFonts w:ascii="Book Antiqua" w:hAnsi="Book Antiqua"/>
          <w:b/>
          <w:bCs/>
        </w:rPr>
        <w:t>cale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5237"/>
        <w:gridCol w:w="910"/>
      </w:tblGrid>
      <w:tr w:rsidR="00E83311" w:rsidRPr="002F30C9" w14:paraId="1013AC4F" w14:textId="77777777" w:rsidTr="008E27D4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3BB9C59A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60DE69CE" w14:textId="13E94298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0C9">
              <w:rPr>
                <w:rFonts w:ascii="Book Antiqua" w:hAnsi="Book Antiqua"/>
                <w:b/>
                <w:bCs/>
              </w:rPr>
              <w:t>Scar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2F30C9" w:rsidRPr="002F30C9">
              <w:rPr>
                <w:rFonts w:ascii="Book Antiqua" w:hAnsi="Book Antiqua"/>
                <w:b/>
                <w:bCs/>
              </w:rPr>
              <w:t>c</w:t>
            </w:r>
            <w:r w:rsidRPr="002F30C9">
              <w:rPr>
                <w:rFonts w:ascii="Book Antiqua" w:hAnsi="Book Antiqua"/>
                <w:b/>
                <w:bCs/>
              </w:rPr>
              <w:t>ategory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F8DDAE7" w14:textId="309B7BA3" w:rsidR="00E83311" w:rsidRPr="002F30C9" w:rsidRDefault="002F30C9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0C9">
              <w:rPr>
                <w:rFonts w:ascii="Book Antiqua" w:hAnsi="Book Antiqua"/>
                <w:b/>
                <w:bCs/>
              </w:rPr>
              <w:t>P</w:t>
            </w:r>
            <w:r w:rsidR="00E83311" w:rsidRPr="002F30C9">
              <w:rPr>
                <w:rFonts w:ascii="Book Antiqua" w:hAnsi="Book Antiqua"/>
                <w:b/>
                <w:bCs/>
              </w:rPr>
              <w:t>oints</w:t>
            </w:r>
          </w:p>
        </w:tc>
      </w:tr>
      <w:tr w:rsidR="008E27D4" w:rsidRPr="002F30C9" w14:paraId="164B5999" w14:textId="77777777" w:rsidTr="008E27D4">
        <w:trPr>
          <w:trHeight w:val="486"/>
        </w:trPr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5DC604C0" w14:textId="77777777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0B1207B" w14:textId="77777777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Width</w:t>
            </w:r>
          </w:p>
        </w:tc>
        <w:tc>
          <w:tcPr>
            <w:tcW w:w="5237" w:type="dxa"/>
            <w:tcBorders>
              <w:top w:val="single" w:sz="4" w:space="0" w:color="auto"/>
              <w:bottom w:val="nil"/>
            </w:tcBorders>
          </w:tcPr>
          <w:p w14:paraId="544B8EA0" w14:textId="3B2E3381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&gt;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mm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14:paraId="5A3AA150" w14:textId="73C08153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</w:t>
            </w:r>
          </w:p>
        </w:tc>
      </w:tr>
      <w:tr w:rsidR="008E27D4" w:rsidRPr="002F30C9" w14:paraId="1F6C7A3E" w14:textId="77777777" w:rsidTr="008E27D4">
        <w:trPr>
          <w:trHeight w:val="485"/>
        </w:trPr>
        <w:tc>
          <w:tcPr>
            <w:tcW w:w="3095" w:type="dxa"/>
            <w:vMerge/>
          </w:tcPr>
          <w:p w14:paraId="5EB9D687" w14:textId="77777777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14:paraId="1A67EB9C" w14:textId="7E8E7802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≤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mm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C68F19" w14:textId="4CB91752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</w:t>
            </w:r>
          </w:p>
        </w:tc>
      </w:tr>
      <w:tr w:rsidR="00691258" w:rsidRPr="002F30C9" w14:paraId="47398619" w14:textId="77777777" w:rsidTr="008E27D4">
        <w:trPr>
          <w:trHeight w:val="349"/>
        </w:trPr>
        <w:tc>
          <w:tcPr>
            <w:tcW w:w="3095" w:type="dxa"/>
          </w:tcPr>
          <w:p w14:paraId="32B5AF55" w14:textId="77777777" w:rsidR="008E27D4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14:paraId="621B8935" w14:textId="0115400D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Elevated/depressed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relation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surrounding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skin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10" w:type="dxa"/>
            <w:tcBorders>
              <w:top w:val="nil"/>
            </w:tcBorders>
          </w:tcPr>
          <w:p w14:paraId="572BD28E" w14:textId="54EC3C15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</w:t>
            </w:r>
          </w:p>
        </w:tc>
      </w:tr>
      <w:tr w:rsidR="00691258" w:rsidRPr="002F30C9" w14:paraId="798BD966" w14:textId="77777777" w:rsidTr="00691258">
        <w:trPr>
          <w:trHeight w:val="348"/>
        </w:trPr>
        <w:tc>
          <w:tcPr>
            <w:tcW w:w="3095" w:type="dxa"/>
          </w:tcPr>
          <w:p w14:paraId="5EEC110A" w14:textId="1368D499" w:rsidR="00691258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Height</w:t>
            </w:r>
          </w:p>
        </w:tc>
        <w:tc>
          <w:tcPr>
            <w:tcW w:w="5237" w:type="dxa"/>
          </w:tcPr>
          <w:p w14:paraId="21568EFA" w14:textId="37481828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Flat</w:t>
            </w:r>
          </w:p>
        </w:tc>
        <w:tc>
          <w:tcPr>
            <w:tcW w:w="910" w:type="dxa"/>
          </w:tcPr>
          <w:p w14:paraId="10B7E2FE" w14:textId="0FAD9731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</w:t>
            </w:r>
          </w:p>
        </w:tc>
      </w:tr>
      <w:tr w:rsidR="00691258" w:rsidRPr="002F30C9" w14:paraId="394BCD0C" w14:textId="77777777" w:rsidTr="00691258">
        <w:trPr>
          <w:trHeight w:val="348"/>
        </w:trPr>
        <w:tc>
          <w:tcPr>
            <w:tcW w:w="3095" w:type="dxa"/>
          </w:tcPr>
          <w:p w14:paraId="052027ED" w14:textId="77777777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37" w:type="dxa"/>
          </w:tcPr>
          <w:p w14:paraId="3DA86AF7" w14:textId="745605B8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Darker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surrounding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skin</w:t>
            </w:r>
          </w:p>
        </w:tc>
        <w:tc>
          <w:tcPr>
            <w:tcW w:w="910" w:type="dxa"/>
          </w:tcPr>
          <w:p w14:paraId="011C6498" w14:textId="13516BFD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</w:t>
            </w:r>
          </w:p>
        </w:tc>
      </w:tr>
      <w:tr w:rsidR="00691258" w:rsidRPr="002F30C9" w14:paraId="1CE4732D" w14:textId="77777777" w:rsidTr="00691258">
        <w:trPr>
          <w:trHeight w:val="348"/>
        </w:trPr>
        <w:tc>
          <w:tcPr>
            <w:tcW w:w="3095" w:type="dxa"/>
          </w:tcPr>
          <w:p w14:paraId="2C06172F" w14:textId="4633012F" w:rsidR="00691258" w:rsidRPr="002F30C9" w:rsidRDefault="008E27D4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Color</w:t>
            </w:r>
          </w:p>
        </w:tc>
        <w:tc>
          <w:tcPr>
            <w:tcW w:w="5237" w:type="dxa"/>
          </w:tcPr>
          <w:p w14:paraId="00B43281" w14:textId="4EE9F97E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Same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color/lighter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surrounding</w:t>
            </w:r>
            <w:r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skin</w:t>
            </w:r>
          </w:p>
        </w:tc>
        <w:tc>
          <w:tcPr>
            <w:tcW w:w="910" w:type="dxa"/>
          </w:tcPr>
          <w:p w14:paraId="1C023CD5" w14:textId="0DFD993C" w:rsidR="00691258" w:rsidRPr="002F30C9" w:rsidRDefault="00691258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</w:t>
            </w:r>
          </w:p>
        </w:tc>
      </w:tr>
      <w:tr w:rsidR="00E83311" w:rsidRPr="002F30C9" w14:paraId="74395D0C" w14:textId="77777777" w:rsidTr="00691258">
        <w:tc>
          <w:tcPr>
            <w:tcW w:w="3095" w:type="dxa"/>
          </w:tcPr>
          <w:p w14:paraId="04DA583C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37" w:type="dxa"/>
          </w:tcPr>
          <w:p w14:paraId="47779F88" w14:textId="765E59C1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Present</w:t>
            </w:r>
          </w:p>
        </w:tc>
        <w:tc>
          <w:tcPr>
            <w:tcW w:w="910" w:type="dxa"/>
          </w:tcPr>
          <w:p w14:paraId="533004EA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</w:t>
            </w:r>
          </w:p>
        </w:tc>
      </w:tr>
      <w:tr w:rsidR="00E83311" w:rsidRPr="002F30C9" w14:paraId="756CAFC8" w14:textId="77777777" w:rsidTr="00691258">
        <w:tc>
          <w:tcPr>
            <w:tcW w:w="3095" w:type="dxa"/>
          </w:tcPr>
          <w:p w14:paraId="57B37F9B" w14:textId="2C98BA59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Hatch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marks/Suture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marks</w:t>
            </w:r>
          </w:p>
        </w:tc>
        <w:tc>
          <w:tcPr>
            <w:tcW w:w="5237" w:type="dxa"/>
          </w:tcPr>
          <w:p w14:paraId="1C334D07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Absent</w:t>
            </w:r>
          </w:p>
        </w:tc>
        <w:tc>
          <w:tcPr>
            <w:tcW w:w="910" w:type="dxa"/>
          </w:tcPr>
          <w:p w14:paraId="771ED8B6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</w:t>
            </w:r>
          </w:p>
        </w:tc>
      </w:tr>
      <w:tr w:rsidR="00E83311" w:rsidRPr="002F30C9" w14:paraId="4D9E3227" w14:textId="77777777" w:rsidTr="00691258">
        <w:tc>
          <w:tcPr>
            <w:tcW w:w="3095" w:type="dxa"/>
          </w:tcPr>
          <w:p w14:paraId="65A07AA0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37" w:type="dxa"/>
          </w:tcPr>
          <w:p w14:paraId="588D266A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Poor</w:t>
            </w:r>
          </w:p>
        </w:tc>
        <w:tc>
          <w:tcPr>
            <w:tcW w:w="910" w:type="dxa"/>
          </w:tcPr>
          <w:p w14:paraId="3A0785A1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</w:t>
            </w:r>
          </w:p>
        </w:tc>
      </w:tr>
      <w:tr w:rsidR="00E83311" w:rsidRPr="002F30C9" w14:paraId="7043EE4A" w14:textId="77777777" w:rsidTr="00691258">
        <w:tc>
          <w:tcPr>
            <w:tcW w:w="3095" w:type="dxa"/>
          </w:tcPr>
          <w:p w14:paraId="48F6D2A4" w14:textId="60DC1033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Overall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appearance</w:t>
            </w:r>
          </w:p>
        </w:tc>
        <w:tc>
          <w:tcPr>
            <w:tcW w:w="5237" w:type="dxa"/>
          </w:tcPr>
          <w:p w14:paraId="3FFBBA91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Good</w:t>
            </w:r>
          </w:p>
        </w:tc>
        <w:tc>
          <w:tcPr>
            <w:tcW w:w="910" w:type="dxa"/>
          </w:tcPr>
          <w:p w14:paraId="3731101D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</w:t>
            </w:r>
          </w:p>
        </w:tc>
      </w:tr>
    </w:tbl>
    <w:p w14:paraId="79199134" w14:textId="64004E56" w:rsidR="00E83311" w:rsidRPr="002F30C9" w:rsidRDefault="00E83311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F30C9">
        <w:rPr>
          <w:rFonts w:ascii="Book Antiqua" w:hAnsi="Book Antiqua"/>
          <w:lang w:eastAsia="zh-CN"/>
        </w:rPr>
        <w:t>(Table</w:t>
      </w:r>
      <w:r w:rsidR="00897CE1">
        <w:rPr>
          <w:rFonts w:ascii="Book Antiqua" w:hAnsi="Book Antiqua"/>
          <w:lang w:eastAsia="zh-CN"/>
        </w:rPr>
        <w:t xml:space="preserve"> </w:t>
      </w:r>
      <w:r w:rsidRPr="002F30C9">
        <w:rPr>
          <w:rFonts w:ascii="Book Antiqua" w:hAnsi="Book Antiqua"/>
          <w:lang w:eastAsia="zh-CN"/>
        </w:rPr>
        <w:t>reprinted</w:t>
      </w:r>
      <w:r w:rsidR="00897CE1">
        <w:rPr>
          <w:rFonts w:ascii="Book Antiqua" w:hAnsi="Book Antiqua"/>
          <w:lang w:eastAsia="zh-CN"/>
        </w:rPr>
        <w:t xml:space="preserve"> </w:t>
      </w:r>
      <w:r w:rsidRPr="002F30C9">
        <w:rPr>
          <w:rFonts w:ascii="Book Antiqua" w:hAnsi="Book Antiqua"/>
          <w:lang w:eastAsia="zh-CN"/>
        </w:rPr>
        <w:t>from</w:t>
      </w:r>
      <w:r w:rsidR="00897CE1">
        <w:rPr>
          <w:rFonts w:ascii="Book Antiqua" w:hAnsi="Book Antiqua"/>
          <w:lang w:eastAsia="zh-CN"/>
        </w:rPr>
        <w:t xml:space="preserve"> </w:t>
      </w:r>
      <w:proofErr w:type="spellStart"/>
      <w:r w:rsidRPr="002F30C9">
        <w:rPr>
          <w:rFonts w:ascii="Book Antiqua" w:hAnsi="Book Antiqua"/>
          <w:lang w:eastAsia="zh-CN"/>
        </w:rPr>
        <w:t>Fearmonti</w:t>
      </w:r>
      <w:proofErr w:type="spellEnd"/>
      <w:r w:rsidRPr="002F30C9">
        <w:rPr>
          <w:rFonts w:ascii="Book Antiqua" w:hAnsi="Book Antiqua"/>
          <w:lang w:eastAsia="zh-CN"/>
        </w:rPr>
        <w:t>,</w:t>
      </w:r>
      <w:r w:rsidR="00897CE1">
        <w:rPr>
          <w:rFonts w:ascii="Book Antiqua" w:hAnsi="Book Antiqua"/>
          <w:lang w:eastAsia="zh-CN"/>
        </w:rPr>
        <w:t xml:space="preserve"> </w:t>
      </w:r>
      <w:r w:rsidRPr="002F30C9">
        <w:rPr>
          <w:rFonts w:ascii="Book Antiqua" w:hAnsi="Book Antiqua"/>
          <w:lang w:eastAsia="zh-CN"/>
        </w:rPr>
        <w:t>20</w:t>
      </w:r>
      <w:r w:rsidR="00707ACE" w:rsidRPr="002F30C9">
        <w:rPr>
          <w:rFonts w:ascii="Book Antiqua" w:hAnsi="Book Antiqua"/>
          <w:lang w:eastAsia="zh-CN"/>
        </w:rPr>
        <w:t>1</w:t>
      </w:r>
      <w:r w:rsidRPr="002F30C9">
        <w:rPr>
          <w:rFonts w:ascii="Book Antiqua" w:hAnsi="Book Antiqua"/>
          <w:lang w:eastAsia="zh-CN"/>
        </w:rPr>
        <w:t>0)</w:t>
      </w:r>
      <w:r w:rsidR="002F30C9" w:rsidRPr="002F30C9">
        <w:rPr>
          <w:rFonts w:ascii="Book Antiqua" w:hAnsi="Book Antiqua"/>
          <w:lang w:eastAsia="zh-CN"/>
        </w:rPr>
        <w:t>.</w:t>
      </w:r>
    </w:p>
    <w:p w14:paraId="34DEB89C" w14:textId="77777777" w:rsidR="002F30C9" w:rsidRPr="002F30C9" w:rsidRDefault="002F30C9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2F30C9" w:rsidRPr="002F30C9" w:rsidSect="00B76632">
          <w:pgSz w:w="11906" w:h="16838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64E46FB3" w14:textId="0266051A" w:rsidR="00E83311" w:rsidRPr="002F30C9" w:rsidRDefault="00604C77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F30C9">
        <w:rPr>
          <w:rFonts w:ascii="Book Antiqua" w:hAnsi="Book Antiqua"/>
          <w:b/>
          <w:bCs/>
        </w:rPr>
        <w:lastRenderedPageBreak/>
        <w:br w:type="page"/>
      </w:r>
      <w:r w:rsidR="00E83311" w:rsidRPr="002F30C9">
        <w:rPr>
          <w:rFonts w:ascii="Book Antiqua" w:hAnsi="Book Antiqua"/>
          <w:b/>
          <w:bCs/>
        </w:rPr>
        <w:lastRenderedPageBreak/>
        <w:t>Table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2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Patient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characteristics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stratified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by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subcuticular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skin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closure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and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tissue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adhesive</w:t>
      </w:r>
      <w:r w:rsidR="00897CE1">
        <w:rPr>
          <w:rFonts w:ascii="Book Antiqua" w:hAnsi="Book Antiqua"/>
          <w:b/>
          <w:bCs/>
        </w:rPr>
        <w:t xml:space="preserve"> </w:t>
      </w:r>
      <w:r w:rsidR="00E83311" w:rsidRPr="002F30C9">
        <w:rPr>
          <w:rFonts w:ascii="Book Antiqua" w:hAnsi="Book Antiqua"/>
          <w:b/>
          <w:bCs/>
        </w:rPr>
        <w:t>closure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59"/>
        <w:gridCol w:w="4100"/>
        <w:gridCol w:w="2135"/>
      </w:tblGrid>
      <w:tr w:rsidR="00E83311" w:rsidRPr="002F30C9" w14:paraId="1F445513" w14:textId="77777777" w:rsidTr="002F30C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A9E10F4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0C9">
              <w:rPr>
                <w:rFonts w:ascii="Book Antiqua" w:hAnsi="Book Antiqua"/>
                <w:b/>
                <w:bCs/>
              </w:rPr>
              <w:t>Demographics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14:paraId="0CFD1BD6" w14:textId="625E3C4E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0C9">
              <w:rPr>
                <w:rFonts w:ascii="Book Antiqua" w:hAnsi="Book Antiqua"/>
                <w:b/>
                <w:bCs/>
              </w:rPr>
              <w:t>Tissue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adhesive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=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23</w:t>
            </w:r>
            <w:r w:rsidR="002F30C9" w:rsidRPr="002F30C9">
              <w:rPr>
                <w:rFonts w:ascii="Book Antiqua" w:hAnsi="Book Antiqua"/>
                <w:b/>
                <w:bCs/>
              </w:rPr>
              <w:t>,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1456D0" w:rsidRPr="002F30C9">
              <w:rPr>
                <w:rFonts w:ascii="Book Antiqua" w:hAnsi="Book Antiqua"/>
                <w:b/>
                <w:bCs/>
              </w:rPr>
              <w:t>m</w:t>
            </w:r>
            <w:r w:rsidRPr="002F30C9">
              <w:rPr>
                <w:rFonts w:ascii="Book Antiqua" w:hAnsi="Book Antiqua"/>
                <w:b/>
                <w:bCs/>
              </w:rPr>
              <w:t>ean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1456D0" w:rsidRPr="001456D0">
              <w:rPr>
                <w:rFonts w:ascii="Book Antiqua" w:hAnsi="Book Antiqua"/>
                <w:b/>
                <w:bCs/>
              </w:rPr>
              <w:t>±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SD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or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6521A73F" w14:textId="76808482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0C9">
              <w:rPr>
                <w:rFonts w:ascii="Book Antiqua" w:hAnsi="Book Antiqua"/>
                <w:b/>
                <w:bCs/>
              </w:rPr>
              <w:t>Subcuticular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2F30C9" w:rsidRPr="002F30C9">
              <w:rPr>
                <w:rFonts w:ascii="Book Antiqua" w:hAnsi="Book Antiqua"/>
                <w:b/>
                <w:bCs/>
              </w:rPr>
              <w:t>s</w:t>
            </w:r>
            <w:r w:rsidRPr="002F30C9">
              <w:rPr>
                <w:rFonts w:ascii="Book Antiqua" w:hAnsi="Book Antiqua"/>
                <w:b/>
                <w:bCs/>
              </w:rPr>
              <w:t>uture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=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24</w:t>
            </w:r>
            <w:r w:rsidR="002F30C9" w:rsidRPr="002F30C9">
              <w:rPr>
                <w:rFonts w:ascii="Book Antiqua" w:hAnsi="Book Antiqua"/>
                <w:b/>
                <w:bCs/>
              </w:rPr>
              <w:t>,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07027E" w:rsidRPr="002F30C9">
              <w:rPr>
                <w:rFonts w:ascii="Book Antiqua" w:hAnsi="Book Antiqua"/>
                <w:b/>
                <w:bCs/>
              </w:rPr>
              <w:t>m</w:t>
            </w:r>
            <w:r w:rsidRPr="002F30C9">
              <w:rPr>
                <w:rFonts w:ascii="Book Antiqua" w:hAnsi="Book Antiqua"/>
                <w:b/>
                <w:bCs/>
              </w:rPr>
              <w:t>ean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="001456D0" w:rsidRPr="001456D0">
              <w:rPr>
                <w:rFonts w:ascii="Book Antiqua" w:hAnsi="Book Antiqua"/>
                <w:b/>
                <w:bCs/>
              </w:rPr>
              <w:t>±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SD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or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897CE1">
              <w:rPr>
                <w:rFonts w:ascii="Book Antiqua" w:hAnsi="Book Antiqua"/>
                <w:b/>
                <w:bCs/>
              </w:rPr>
              <w:t xml:space="preserve"> </w:t>
            </w:r>
            <w:r w:rsidRPr="002F30C9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71A192A" w14:textId="2CD02B71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2F30C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897CE1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2F30C9" w:rsidRPr="002F30C9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E83311" w:rsidRPr="002F30C9" w14:paraId="0FFC308C" w14:textId="77777777" w:rsidTr="002F30C9">
        <w:tc>
          <w:tcPr>
            <w:tcW w:w="2660" w:type="dxa"/>
            <w:tcBorders>
              <w:top w:val="single" w:sz="4" w:space="0" w:color="auto"/>
            </w:tcBorders>
          </w:tcPr>
          <w:p w14:paraId="1B807433" w14:textId="5243A5A2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Age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(</w:t>
            </w:r>
            <w:proofErr w:type="spellStart"/>
            <w:r w:rsidRPr="002F30C9">
              <w:rPr>
                <w:rFonts w:ascii="Book Antiqua" w:hAnsi="Book Antiqua"/>
              </w:rPr>
              <w:t>yr</w:t>
            </w:r>
            <w:proofErr w:type="spellEnd"/>
            <w:r w:rsidRPr="002F30C9">
              <w:rPr>
                <w:rFonts w:ascii="Book Antiqua" w:hAnsi="Book Antiqua"/>
              </w:rPr>
              <w:t>)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29F68825" w14:textId="3B9FADE2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58.3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9.9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71D1AF15" w14:textId="2F4EAC0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56.8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Pr="002F30C9">
              <w:rPr>
                <w:rFonts w:ascii="Book Antiqua" w:hAnsi="Book Antiqua"/>
              </w:rPr>
              <w:t>13.2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1436A8F3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0.659</w:t>
            </w:r>
          </w:p>
        </w:tc>
      </w:tr>
      <w:tr w:rsidR="00E83311" w:rsidRPr="002F30C9" w14:paraId="39385E36" w14:textId="77777777" w:rsidTr="002F30C9">
        <w:tc>
          <w:tcPr>
            <w:tcW w:w="2660" w:type="dxa"/>
          </w:tcPr>
          <w:p w14:paraId="58DF1C29" w14:textId="01679096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Body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mass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index</w:t>
            </w:r>
          </w:p>
        </w:tc>
        <w:tc>
          <w:tcPr>
            <w:tcW w:w="4559" w:type="dxa"/>
          </w:tcPr>
          <w:p w14:paraId="02483EAB" w14:textId="62BF784B" w:rsidR="00E83311" w:rsidRPr="002F30C9" w:rsidRDefault="00E83311" w:rsidP="006662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27.9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5.8</w:t>
            </w:r>
          </w:p>
        </w:tc>
        <w:tc>
          <w:tcPr>
            <w:tcW w:w="4100" w:type="dxa"/>
          </w:tcPr>
          <w:p w14:paraId="2898DD92" w14:textId="383D7444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28.7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4.6</w:t>
            </w:r>
          </w:p>
        </w:tc>
        <w:tc>
          <w:tcPr>
            <w:tcW w:w="2135" w:type="dxa"/>
          </w:tcPr>
          <w:p w14:paraId="0B78ED68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0.60</w:t>
            </w:r>
          </w:p>
        </w:tc>
      </w:tr>
      <w:tr w:rsidR="00E83311" w:rsidRPr="002F30C9" w14:paraId="0401472A" w14:textId="77777777" w:rsidTr="002F30C9">
        <w:tc>
          <w:tcPr>
            <w:tcW w:w="2660" w:type="dxa"/>
          </w:tcPr>
          <w:p w14:paraId="428316A2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Parity</w:t>
            </w:r>
          </w:p>
        </w:tc>
        <w:tc>
          <w:tcPr>
            <w:tcW w:w="4559" w:type="dxa"/>
          </w:tcPr>
          <w:p w14:paraId="3A081699" w14:textId="61C606EF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2.6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1.5</w:t>
            </w:r>
          </w:p>
        </w:tc>
        <w:tc>
          <w:tcPr>
            <w:tcW w:w="4100" w:type="dxa"/>
          </w:tcPr>
          <w:p w14:paraId="6357CBF0" w14:textId="09EADB2F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2.5</w:t>
            </w:r>
            <w:r w:rsidR="00897CE1">
              <w:rPr>
                <w:rFonts w:ascii="Book Antiqua" w:hAnsi="Book Antiqua"/>
              </w:rPr>
              <w:t xml:space="preserve"> </w:t>
            </w:r>
            <w:r w:rsidR="001456D0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897CE1">
              <w:rPr>
                <w:rFonts w:ascii="Book Antiqua" w:hAnsi="Book Antiqua"/>
              </w:rPr>
              <w:t xml:space="preserve"> </w:t>
            </w:r>
            <w:r w:rsidRPr="002F30C9">
              <w:rPr>
                <w:rFonts w:ascii="Book Antiqua" w:hAnsi="Book Antiqua"/>
              </w:rPr>
              <w:t>1.2</w:t>
            </w:r>
          </w:p>
        </w:tc>
        <w:tc>
          <w:tcPr>
            <w:tcW w:w="2135" w:type="dxa"/>
          </w:tcPr>
          <w:p w14:paraId="3A37A6A8" w14:textId="77777777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0.954</w:t>
            </w:r>
          </w:p>
        </w:tc>
      </w:tr>
      <w:tr w:rsidR="00E83311" w:rsidRPr="002F30C9" w14:paraId="5885D88C" w14:textId="77777777" w:rsidTr="002F30C9">
        <w:trPr>
          <w:trHeight w:val="372"/>
        </w:trPr>
        <w:tc>
          <w:tcPr>
            <w:tcW w:w="2660" w:type="dxa"/>
          </w:tcPr>
          <w:p w14:paraId="00C1C6DB" w14:textId="51C9FEEF" w:rsidR="00E83311" w:rsidRPr="00B76632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6632">
              <w:rPr>
                <w:rFonts w:ascii="Book Antiqua" w:hAnsi="Book Antiqua"/>
                <w:b/>
              </w:rPr>
              <w:t>Race</w:t>
            </w:r>
          </w:p>
        </w:tc>
        <w:tc>
          <w:tcPr>
            <w:tcW w:w="4559" w:type="dxa"/>
          </w:tcPr>
          <w:p w14:paraId="74EF3141" w14:textId="610708ED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00" w:type="dxa"/>
          </w:tcPr>
          <w:p w14:paraId="7925697D" w14:textId="6B09E69B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</w:tcPr>
          <w:p w14:paraId="40996A0A" w14:textId="064603EA" w:rsidR="00E83311" w:rsidRPr="002F30C9" w:rsidRDefault="00E8331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0C9" w:rsidRPr="002F30C9" w14:paraId="1B17CBFC" w14:textId="77777777" w:rsidTr="002F30C9">
        <w:trPr>
          <w:trHeight w:val="396"/>
        </w:trPr>
        <w:tc>
          <w:tcPr>
            <w:tcW w:w="2660" w:type="dxa"/>
          </w:tcPr>
          <w:p w14:paraId="12CA4124" w14:textId="50340E89" w:rsidR="002F30C9" w:rsidRPr="002F30C9" w:rsidRDefault="002F30C9" w:rsidP="002F30C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Caucasian</w:t>
            </w:r>
          </w:p>
        </w:tc>
        <w:tc>
          <w:tcPr>
            <w:tcW w:w="4559" w:type="dxa"/>
          </w:tcPr>
          <w:p w14:paraId="7431CEF4" w14:textId="797B98BC" w:rsidR="002F30C9" w:rsidRPr="002F30C9" w:rsidRDefault="00897CE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19</w:t>
            </w: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(83)</w:t>
            </w:r>
          </w:p>
        </w:tc>
        <w:tc>
          <w:tcPr>
            <w:tcW w:w="4100" w:type="dxa"/>
          </w:tcPr>
          <w:p w14:paraId="35DD4E6B" w14:textId="48190D95" w:rsidR="002F30C9" w:rsidRPr="002F30C9" w:rsidRDefault="00897CE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(83)</w:t>
            </w:r>
          </w:p>
        </w:tc>
        <w:tc>
          <w:tcPr>
            <w:tcW w:w="2135" w:type="dxa"/>
          </w:tcPr>
          <w:p w14:paraId="06162861" w14:textId="7566DD55" w:rsidR="002F30C9" w:rsidRPr="002F30C9" w:rsidRDefault="002F30C9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1.0</w:t>
            </w:r>
          </w:p>
        </w:tc>
      </w:tr>
      <w:tr w:rsidR="002F30C9" w:rsidRPr="002F30C9" w14:paraId="64211397" w14:textId="77777777" w:rsidTr="002F30C9">
        <w:trPr>
          <w:trHeight w:val="438"/>
        </w:trPr>
        <w:tc>
          <w:tcPr>
            <w:tcW w:w="2660" w:type="dxa"/>
          </w:tcPr>
          <w:p w14:paraId="31F671B5" w14:textId="781E81CC" w:rsidR="002F30C9" w:rsidRPr="002F30C9" w:rsidRDefault="002F30C9" w:rsidP="002F30C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F30C9">
              <w:rPr>
                <w:rFonts w:ascii="Book Antiqua" w:hAnsi="Book Antiqua"/>
              </w:rPr>
              <w:t>Black</w:t>
            </w:r>
          </w:p>
        </w:tc>
        <w:tc>
          <w:tcPr>
            <w:tcW w:w="4559" w:type="dxa"/>
          </w:tcPr>
          <w:p w14:paraId="5674F189" w14:textId="1F2AF8D3" w:rsidR="002F30C9" w:rsidRPr="002F30C9" w:rsidRDefault="00897CE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(17)</w:t>
            </w:r>
          </w:p>
        </w:tc>
        <w:tc>
          <w:tcPr>
            <w:tcW w:w="4100" w:type="dxa"/>
          </w:tcPr>
          <w:p w14:paraId="5F630B3B" w14:textId="6DD424E1" w:rsidR="002F30C9" w:rsidRPr="002F30C9" w:rsidRDefault="00897CE1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 xml:space="preserve"> </w:t>
            </w:r>
            <w:r w:rsidR="002F30C9" w:rsidRPr="002F30C9">
              <w:rPr>
                <w:rFonts w:ascii="Book Antiqua" w:hAnsi="Book Antiqua"/>
              </w:rPr>
              <w:t>(17)</w:t>
            </w:r>
          </w:p>
        </w:tc>
        <w:tc>
          <w:tcPr>
            <w:tcW w:w="2135" w:type="dxa"/>
          </w:tcPr>
          <w:p w14:paraId="75B2B6F0" w14:textId="77777777" w:rsidR="002F30C9" w:rsidRPr="002F30C9" w:rsidRDefault="002F30C9" w:rsidP="002F30C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6955FE5D" w14:textId="0283F880" w:rsidR="00A77B3E" w:rsidRPr="002F30C9" w:rsidRDefault="00A77B3E" w:rsidP="002F30C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2F30C9" w:rsidSect="00B76632">
      <w:pgSz w:w="16838" w:h="11906" w:orient="landscape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558C" w14:textId="77777777" w:rsidR="009819E7" w:rsidRDefault="009819E7" w:rsidP="00496C88">
      <w:r>
        <w:separator/>
      </w:r>
    </w:p>
  </w:endnote>
  <w:endnote w:type="continuationSeparator" w:id="0">
    <w:p w14:paraId="6B54D7AC" w14:textId="77777777" w:rsidR="009819E7" w:rsidRDefault="009819E7" w:rsidP="004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5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EC79DA" w14:textId="7C3BC99D" w:rsidR="00EE5316" w:rsidRDefault="00EE531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0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02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5B5704" w14:textId="77777777" w:rsidR="00EE5316" w:rsidRDefault="00EE5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53E4" w14:textId="77777777" w:rsidR="009819E7" w:rsidRDefault="009819E7" w:rsidP="00496C88">
      <w:r>
        <w:separator/>
      </w:r>
    </w:p>
  </w:footnote>
  <w:footnote w:type="continuationSeparator" w:id="0">
    <w:p w14:paraId="23A840B0" w14:textId="77777777" w:rsidR="009819E7" w:rsidRDefault="009819E7" w:rsidP="0049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BB1"/>
    <w:multiLevelType w:val="multilevel"/>
    <w:tmpl w:val="920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3A19"/>
    <w:rsid w:val="00026A6A"/>
    <w:rsid w:val="0007027E"/>
    <w:rsid w:val="00081228"/>
    <w:rsid w:val="000956CF"/>
    <w:rsid w:val="000F2EDC"/>
    <w:rsid w:val="001456D0"/>
    <w:rsid w:val="00167946"/>
    <w:rsid w:val="001D034B"/>
    <w:rsid w:val="00247D67"/>
    <w:rsid w:val="002F2BD0"/>
    <w:rsid w:val="002F30C9"/>
    <w:rsid w:val="00305E89"/>
    <w:rsid w:val="0034510E"/>
    <w:rsid w:val="00357542"/>
    <w:rsid w:val="0037091F"/>
    <w:rsid w:val="004172BA"/>
    <w:rsid w:val="004453AF"/>
    <w:rsid w:val="0044712E"/>
    <w:rsid w:val="00467DBE"/>
    <w:rsid w:val="00485F2C"/>
    <w:rsid w:val="00496C88"/>
    <w:rsid w:val="004C1A6F"/>
    <w:rsid w:val="004C28E1"/>
    <w:rsid w:val="004E3C59"/>
    <w:rsid w:val="00533C65"/>
    <w:rsid w:val="005A211B"/>
    <w:rsid w:val="005B046B"/>
    <w:rsid w:val="005B60AB"/>
    <w:rsid w:val="005B7283"/>
    <w:rsid w:val="00604C77"/>
    <w:rsid w:val="006200EC"/>
    <w:rsid w:val="0062045B"/>
    <w:rsid w:val="006662C3"/>
    <w:rsid w:val="00691258"/>
    <w:rsid w:val="006A2026"/>
    <w:rsid w:val="006A5E63"/>
    <w:rsid w:val="006F729E"/>
    <w:rsid w:val="00707ACE"/>
    <w:rsid w:val="00767A3E"/>
    <w:rsid w:val="00796EEA"/>
    <w:rsid w:val="00803719"/>
    <w:rsid w:val="00803DFA"/>
    <w:rsid w:val="00823C24"/>
    <w:rsid w:val="008966B3"/>
    <w:rsid w:val="00897482"/>
    <w:rsid w:val="00897CE1"/>
    <w:rsid w:val="008B7449"/>
    <w:rsid w:val="008D7036"/>
    <w:rsid w:val="008E27D4"/>
    <w:rsid w:val="00901F4C"/>
    <w:rsid w:val="009270A2"/>
    <w:rsid w:val="00935D09"/>
    <w:rsid w:val="00953810"/>
    <w:rsid w:val="009765EA"/>
    <w:rsid w:val="009819E7"/>
    <w:rsid w:val="009B7F03"/>
    <w:rsid w:val="009D3FE8"/>
    <w:rsid w:val="009E4983"/>
    <w:rsid w:val="009F4E0A"/>
    <w:rsid w:val="00A37647"/>
    <w:rsid w:val="00A77B3E"/>
    <w:rsid w:val="00AA278D"/>
    <w:rsid w:val="00AB7D1A"/>
    <w:rsid w:val="00B200AD"/>
    <w:rsid w:val="00B47002"/>
    <w:rsid w:val="00B74A54"/>
    <w:rsid w:val="00B76632"/>
    <w:rsid w:val="00B8135C"/>
    <w:rsid w:val="00B86075"/>
    <w:rsid w:val="00BD6150"/>
    <w:rsid w:val="00BE2813"/>
    <w:rsid w:val="00C12659"/>
    <w:rsid w:val="00C574C2"/>
    <w:rsid w:val="00C61B58"/>
    <w:rsid w:val="00C674EB"/>
    <w:rsid w:val="00C73051"/>
    <w:rsid w:val="00C80573"/>
    <w:rsid w:val="00CA2A55"/>
    <w:rsid w:val="00CA7FAC"/>
    <w:rsid w:val="00CF6549"/>
    <w:rsid w:val="00D25563"/>
    <w:rsid w:val="00D33BAA"/>
    <w:rsid w:val="00D43F7D"/>
    <w:rsid w:val="00DD3193"/>
    <w:rsid w:val="00DE19CF"/>
    <w:rsid w:val="00DE6A2F"/>
    <w:rsid w:val="00E07E6C"/>
    <w:rsid w:val="00E32463"/>
    <w:rsid w:val="00E83311"/>
    <w:rsid w:val="00E8392B"/>
    <w:rsid w:val="00EA0837"/>
    <w:rsid w:val="00EE5316"/>
    <w:rsid w:val="00EF53FE"/>
    <w:rsid w:val="00EF5C12"/>
    <w:rsid w:val="00F14C8C"/>
    <w:rsid w:val="00F2250E"/>
    <w:rsid w:val="00F331D7"/>
    <w:rsid w:val="00F56F3B"/>
    <w:rsid w:val="00F63176"/>
    <w:rsid w:val="00F73FD6"/>
    <w:rsid w:val="00F828BE"/>
    <w:rsid w:val="00FB3601"/>
    <w:rsid w:val="00FD4E0B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1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skip">
    <w:name w:val="skip"/>
    <w:basedOn w:val="a0"/>
    <w:rsid w:val="005B60AB"/>
  </w:style>
  <w:style w:type="character" w:styleId="a3">
    <w:name w:val="Hyperlink"/>
    <w:basedOn w:val="a0"/>
    <w:uiPriority w:val="99"/>
    <w:semiHidden/>
    <w:unhideWhenUsed/>
    <w:rsid w:val="005B60AB"/>
    <w:rPr>
      <w:color w:val="0000FF"/>
      <w:u w:val="single"/>
    </w:rPr>
  </w:style>
  <w:style w:type="paragraph" w:styleId="a4">
    <w:name w:val="header"/>
    <w:basedOn w:val="a"/>
    <w:link w:val="Char"/>
    <w:unhideWhenUsed/>
    <w:rsid w:val="0049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6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C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C88"/>
    <w:rPr>
      <w:sz w:val="18"/>
      <w:szCs w:val="18"/>
    </w:rPr>
  </w:style>
  <w:style w:type="table" w:styleId="a6">
    <w:name w:val="Table Grid"/>
    <w:basedOn w:val="a1"/>
    <w:uiPriority w:val="39"/>
    <w:rsid w:val="00E83311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C61B58"/>
    <w:rPr>
      <w:sz w:val="18"/>
      <w:szCs w:val="18"/>
    </w:rPr>
  </w:style>
  <w:style w:type="character" w:customStyle="1" w:styleId="Char1">
    <w:name w:val="批注框文本 Char"/>
    <w:basedOn w:val="a0"/>
    <w:link w:val="a7"/>
    <w:rsid w:val="00C61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skip">
    <w:name w:val="skip"/>
    <w:basedOn w:val="a0"/>
    <w:rsid w:val="005B60AB"/>
  </w:style>
  <w:style w:type="character" w:styleId="a3">
    <w:name w:val="Hyperlink"/>
    <w:basedOn w:val="a0"/>
    <w:uiPriority w:val="99"/>
    <w:semiHidden/>
    <w:unhideWhenUsed/>
    <w:rsid w:val="005B60AB"/>
    <w:rPr>
      <w:color w:val="0000FF"/>
      <w:u w:val="single"/>
    </w:rPr>
  </w:style>
  <w:style w:type="paragraph" w:styleId="a4">
    <w:name w:val="header"/>
    <w:basedOn w:val="a"/>
    <w:link w:val="Char"/>
    <w:unhideWhenUsed/>
    <w:rsid w:val="0049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6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C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C88"/>
    <w:rPr>
      <w:sz w:val="18"/>
      <w:szCs w:val="18"/>
    </w:rPr>
  </w:style>
  <w:style w:type="table" w:styleId="a6">
    <w:name w:val="Table Grid"/>
    <w:basedOn w:val="a1"/>
    <w:uiPriority w:val="39"/>
    <w:rsid w:val="00E83311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C61B58"/>
    <w:rPr>
      <w:sz w:val="18"/>
      <w:szCs w:val="18"/>
    </w:rPr>
  </w:style>
  <w:style w:type="character" w:customStyle="1" w:styleId="Char1">
    <w:name w:val="批注框文本 Char"/>
    <w:basedOn w:val="a0"/>
    <w:link w:val="a7"/>
    <w:rsid w:val="00C61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0469-A68C-4A3B-840D-E2D4AA3E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染奇</cp:lastModifiedBy>
  <cp:revision>33</cp:revision>
  <dcterms:created xsi:type="dcterms:W3CDTF">2020-10-13T16:51:00Z</dcterms:created>
  <dcterms:modified xsi:type="dcterms:W3CDTF">2020-10-26T01:24:00Z</dcterms:modified>
</cp:coreProperties>
</file>