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FF94"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Pharmacology and Therapeutics</w:t>
      </w:r>
    </w:p>
    <w:p w14:paraId="4311C893"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55669</w:t>
      </w:r>
    </w:p>
    <w:p w14:paraId="1C489A54"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5543B6" w14:textId="77777777" w:rsidR="00A77B3E" w:rsidRDefault="00A77B3E" w:rsidP="00BC320A">
      <w:pPr>
        <w:snapToGrid w:val="0"/>
        <w:spacing w:line="360" w:lineRule="auto"/>
        <w:jc w:val="both"/>
      </w:pPr>
    </w:p>
    <w:p w14:paraId="6A13639F" w14:textId="77777777" w:rsidR="00A77B3E" w:rsidRDefault="00332EB4" w:rsidP="00BC320A">
      <w:pPr>
        <w:snapToGrid w:val="0"/>
        <w:spacing w:line="360" w:lineRule="auto"/>
        <w:jc w:val="both"/>
      </w:pPr>
      <w:r>
        <w:rPr>
          <w:rFonts w:ascii="Book Antiqua" w:eastAsia="Book Antiqua" w:hAnsi="Book Antiqua" w:cs="Book Antiqua"/>
          <w:b/>
          <w:i/>
          <w:color w:val="000000"/>
        </w:rPr>
        <w:t>Retrospective Study</w:t>
      </w:r>
    </w:p>
    <w:p w14:paraId="04E1C80C" w14:textId="5636C1B3" w:rsidR="00A77B3E" w:rsidRDefault="00332EB4" w:rsidP="00BC320A">
      <w:pPr>
        <w:snapToGrid w:val="0"/>
        <w:spacing w:line="360" w:lineRule="auto"/>
        <w:jc w:val="both"/>
      </w:pPr>
      <w:r w:rsidRPr="00A85912">
        <w:rPr>
          <w:rFonts w:ascii="Book Antiqua" w:eastAsia="Book Antiqua" w:hAnsi="Book Antiqua" w:cs="Book Antiqua"/>
          <w:b/>
          <w:bCs/>
          <w:caps/>
          <w:color w:val="000000"/>
        </w:rPr>
        <w:t>r</w:t>
      </w:r>
      <w:r>
        <w:rPr>
          <w:rFonts w:ascii="Book Antiqua" w:eastAsia="Book Antiqua" w:hAnsi="Book Antiqua" w:cs="Book Antiqua"/>
          <w:b/>
          <w:bCs/>
          <w:color w:val="000000"/>
        </w:rPr>
        <w:t>ole of telomere shortening in anticipation of inflammatory bowel disease</w:t>
      </w:r>
    </w:p>
    <w:p w14:paraId="64C41C72" w14:textId="77777777" w:rsidR="00A77B3E" w:rsidRDefault="00A77B3E" w:rsidP="00BC320A">
      <w:pPr>
        <w:snapToGrid w:val="0"/>
        <w:spacing w:line="360" w:lineRule="auto"/>
        <w:jc w:val="both"/>
      </w:pPr>
    </w:p>
    <w:p w14:paraId="52842212" w14:textId="33C6CD08" w:rsidR="00A77B3E" w:rsidRDefault="00332EB4" w:rsidP="00BC320A">
      <w:pPr>
        <w:snapToGrid w:val="0"/>
        <w:spacing w:line="360" w:lineRule="auto"/>
        <w:jc w:val="both"/>
      </w:pPr>
      <w:proofErr w:type="spellStart"/>
      <w:r w:rsidRPr="00274E3D">
        <w:rPr>
          <w:rFonts w:ascii="Book Antiqua" w:hAnsi="Book Antiqua"/>
          <w:color w:val="1D2228"/>
        </w:rPr>
        <w:t>Truta</w:t>
      </w:r>
      <w:proofErr w:type="spellEnd"/>
      <w:r w:rsidRPr="00274E3D">
        <w:rPr>
          <w:rFonts w:ascii="Book Antiqua" w:hAnsi="Book Antiqua"/>
          <w:color w:val="1D2228"/>
        </w:rPr>
        <w:t xml:space="preserve"> B </w:t>
      </w:r>
      <w:r w:rsidRPr="00274E3D">
        <w:rPr>
          <w:rFonts w:ascii="Book Antiqua" w:hAnsi="Book Antiqua"/>
          <w:i/>
          <w:color w:val="1D2228"/>
        </w:rPr>
        <w:t>et al.</w:t>
      </w:r>
      <w:r>
        <w:rPr>
          <w:rFonts w:ascii="Book Antiqua" w:hAnsi="Book Antiqua"/>
          <w:i/>
          <w:color w:val="1D2228"/>
        </w:rPr>
        <w:t xml:space="preserve"> </w:t>
      </w:r>
      <w:r>
        <w:rPr>
          <w:rFonts w:ascii="Book Antiqua" w:eastAsia="Book Antiqua" w:hAnsi="Book Antiqua" w:cs="Book Antiqua"/>
          <w:color w:val="000000"/>
        </w:rPr>
        <w:t>Telomere and IBD</w:t>
      </w:r>
    </w:p>
    <w:p w14:paraId="321BF285" w14:textId="77777777" w:rsidR="00A77B3E" w:rsidRDefault="00A77B3E" w:rsidP="00BC320A">
      <w:pPr>
        <w:snapToGrid w:val="0"/>
        <w:spacing w:line="360" w:lineRule="auto"/>
        <w:jc w:val="both"/>
      </w:pPr>
    </w:p>
    <w:p w14:paraId="753393F5" w14:textId="77777777" w:rsidR="00A77B3E" w:rsidRDefault="00332EB4" w:rsidP="00BC320A">
      <w:pPr>
        <w:snapToGrid w:val="0"/>
        <w:spacing w:line="360" w:lineRule="auto"/>
        <w:jc w:val="both"/>
      </w:pPr>
      <w:proofErr w:type="spellStart"/>
      <w:r>
        <w:rPr>
          <w:rFonts w:ascii="Book Antiqua" w:eastAsia="Book Antiqua" w:hAnsi="Book Antiqua" w:cs="Book Antiqua"/>
          <w:color w:val="000000"/>
        </w:rPr>
        <w:t>Brindusa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Truta</w:t>
      </w:r>
      <w:proofErr w:type="spellEnd"/>
      <w:r>
        <w:rPr>
          <w:rFonts w:ascii="Book Antiqua" w:eastAsia="Book Antiqua" w:hAnsi="Book Antiqua" w:cs="Book Antiqua"/>
          <w:color w:val="000000"/>
        </w:rPr>
        <w:t xml:space="preserve">, Elizabeth Wohler, Nara </w:t>
      </w:r>
      <w:proofErr w:type="spellStart"/>
      <w:r>
        <w:rPr>
          <w:rFonts w:ascii="Book Antiqua" w:eastAsia="Book Antiqua" w:hAnsi="Book Antiqua" w:cs="Book Antiqua"/>
          <w:color w:val="000000"/>
        </w:rPr>
        <w:t>Sobreira</w:t>
      </w:r>
      <w:proofErr w:type="spellEnd"/>
      <w:r>
        <w:rPr>
          <w:rFonts w:ascii="Book Antiqua" w:eastAsia="Book Antiqua" w:hAnsi="Book Antiqua" w:cs="Book Antiqua"/>
          <w:color w:val="000000"/>
        </w:rPr>
        <w:t xml:space="preserve">, Lisa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Steven Brant</w:t>
      </w:r>
    </w:p>
    <w:p w14:paraId="56C00E52" w14:textId="77777777" w:rsidR="00A77B3E" w:rsidRDefault="00A77B3E" w:rsidP="00BC320A">
      <w:pPr>
        <w:snapToGrid w:val="0"/>
        <w:spacing w:line="360" w:lineRule="auto"/>
        <w:jc w:val="both"/>
      </w:pPr>
    </w:p>
    <w:p w14:paraId="20F2446C" w14:textId="77777777" w:rsidR="00A77B3E" w:rsidRDefault="00332EB4" w:rsidP="00BC320A">
      <w:pPr>
        <w:snapToGrid w:val="0"/>
        <w:spacing w:line="360" w:lineRule="auto"/>
        <w:jc w:val="both"/>
      </w:pPr>
      <w:proofErr w:type="spellStart"/>
      <w:r>
        <w:rPr>
          <w:rFonts w:ascii="Book Antiqua" w:eastAsia="Book Antiqua" w:hAnsi="Book Antiqua" w:cs="Book Antiqua"/>
          <w:b/>
          <w:bCs/>
          <w:color w:val="000000"/>
        </w:rPr>
        <w:t>Brindusa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Truta</w:t>
      </w:r>
      <w:proofErr w:type="spellEnd"/>
      <w:r>
        <w:rPr>
          <w:rFonts w:ascii="Book Antiqua" w:eastAsia="Book Antiqua" w:hAnsi="Book Antiqua" w:cs="Book Antiqua"/>
          <w:b/>
          <w:bCs/>
          <w:color w:val="000000"/>
        </w:rPr>
        <w:t xml:space="preserve">, Lisa </w:t>
      </w:r>
      <w:proofErr w:type="spellStart"/>
      <w:r>
        <w:rPr>
          <w:rFonts w:ascii="Book Antiqua" w:eastAsia="Book Antiqua" w:hAnsi="Book Antiqua" w:cs="Book Antiqua"/>
          <w:b/>
          <w:bCs/>
          <w:color w:val="000000"/>
        </w:rPr>
        <w:t>Datta</w:t>
      </w:r>
      <w:proofErr w:type="spellEnd"/>
      <w:r>
        <w:rPr>
          <w:rFonts w:ascii="Book Antiqua" w:eastAsia="Book Antiqua" w:hAnsi="Book Antiqua" w:cs="Book Antiqua"/>
          <w:b/>
          <w:bCs/>
          <w:color w:val="000000"/>
        </w:rPr>
        <w:t xml:space="preserve">, Steven Brant, </w:t>
      </w:r>
      <w:r>
        <w:rPr>
          <w:rFonts w:ascii="Book Antiqua" w:eastAsia="Book Antiqua" w:hAnsi="Book Antiqua" w:cs="Book Antiqua"/>
          <w:color w:val="000000"/>
        </w:rPr>
        <w:t>Division Gastroenterology &amp; Hepatology, Johns Hopkins School of Medicine, Baltimore, MD 21210, United States</w:t>
      </w:r>
    </w:p>
    <w:p w14:paraId="0937948A" w14:textId="77777777" w:rsidR="00A77B3E" w:rsidRDefault="00A77B3E" w:rsidP="00BC320A">
      <w:pPr>
        <w:snapToGrid w:val="0"/>
        <w:spacing w:line="360" w:lineRule="auto"/>
        <w:jc w:val="both"/>
      </w:pPr>
    </w:p>
    <w:p w14:paraId="344A398A"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Elizabeth Wohler, Nara </w:t>
      </w:r>
      <w:proofErr w:type="spellStart"/>
      <w:r>
        <w:rPr>
          <w:rFonts w:ascii="Book Antiqua" w:eastAsia="Book Antiqua" w:hAnsi="Book Antiqua" w:cs="Book Antiqua"/>
          <w:b/>
          <w:bCs/>
          <w:color w:val="000000"/>
        </w:rPr>
        <w:t>Sobreira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McKusick</w:t>
      </w:r>
      <w:proofErr w:type="spellEnd"/>
      <w:r>
        <w:rPr>
          <w:rFonts w:ascii="Book Antiqua" w:eastAsia="Book Antiqua" w:hAnsi="Book Antiqua" w:cs="Book Antiqua"/>
          <w:color w:val="000000"/>
        </w:rPr>
        <w:t>-Nathan Institute of Genetics, Johns Hopkins School of Medicine, Baltimore, MD 21205, United States</w:t>
      </w:r>
    </w:p>
    <w:p w14:paraId="1E8E40F2" w14:textId="77777777" w:rsidR="00A77B3E" w:rsidRDefault="00A77B3E" w:rsidP="00BC320A">
      <w:pPr>
        <w:snapToGrid w:val="0"/>
        <w:spacing w:line="360" w:lineRule="auto"/>
        <w:jc w:val="both"/>
      </w:pPr>
    </w:p>
    <w:p w14:paraId="525E4746"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Steven Brant, </w:t>
      </w:r>
      <w:r>
        <w:rPr>
          <w:rFonts w:ascii="Book Antiqua" w:eastAsia="Book Antiqua" w:hAnsi="Book Antiqua" w:cs="Book Antiqua"/>
          <w:color w:val="000000"/>
        </w:rPr>
        <w:t>SOM Gastroenterology, Rutgers-Robert Wood Johnson Medical Center, NJ , 08901, United States</w:t>
      </w:r>
    </w:p>
    <w:p w14:paraId="05E12D96" w14:textId="77777777" w:rsidR="00A77B3E" w:rsidRDefault="00A77B3E" w:rsidP="00BC320A">
      <w:pPr>
        <w:snapToGrid w:val="0"/>
        <w:spacing w:line="360" w:lineRule="auto"/>
        <w:jc w:val="both"/>
      </w:pPr>
    </w:p>
    <w:p w14:paraId="2A9E8F36"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Truta</w:t>
      </w:r>
      <w:proofErr w:type="spellEnd"/>
      <w:r>
        <w:rPr>
          <w:rFonts w:ascii="Book Antiqua" w:eastAsia="Book Antiqua" w:hAnsi="Book Antiqua" w:cs="Book Antiqua"/>
          <w:color w:val="000000"/>
        </w:rPr>
        <w:t xml:space="preserve"> B designed the study, performed analysis and wrote the manuscript; Wohler E performed genetic analysis, interpreted the results, reviewed the manuscript; </w:t>
      </w:r>
      <w:proofErr w:type="spellStart"/>
      <w:r>
        <w:rPr>
          <w:rFonts w:ascii="Book Antiqua" w:eastAsia="Book Antiqua" w:hAnsi="Book Antiqua" w:cs="Book Antiqua"/>
          <w:color w:val="000000"/>
        </w:rPr>
        <w:t>Sobreira</w:t>
      </w:r>
      <w:proofErr w:type="spellEnd"/>
      <w:r>
        <w:rPr>
          <w:rFonts w:ascii="Book Antiqua" w:eastAsia="Book Antiqua" w:hAnsi="Book Antiqua" w:cs="Book Antiqua"/>
          <w:color w:val="000000"/>
        </w:rPr>
        <w:t xml:space="preserve"> N</w:t>
      </w:r>
      <w:r>
        <w:rPr>
          <w:rFonts w:ascii="Book Antiqua" w:eastAsia="Book Antiqua" w:hAnsi="Book Antiqua" w:cs="Book Antiqua"/>
          <w:b/>
          <w:bCs/>
          <w:color w:val="000000"/>
        </w:rPr>
        <w:t xml:space="preserve"> </w:t>
      </w:r>
      <w:r>
        <w:rPr>
          <w:rFonts w:ascii="Book Antiqua" w:eastAsia="Book Antiqua" w:hAnsi="Book Antiqua" w:cs="Book Antiqua"/>
          <w:color w:val="000000"/>
        </w:rPr>
        <w:t>performed genetic analysis;</w:t>
      </w:r>
      <w:r>
        <w:rPr>
          <w:rFonts w:ascii="Book Antiqua" w:eastAsia="Book Antiqua" w:hAnsi="Book Antiqua" w:cs="Book Antiqua"/>
          <w:b/>
          <w:bCs/>
          <w:color w:val="000000"/>
        </w:rPr>
        <w:t xml:space="preserve"> </w:t>
      </w:r>
      <w:r>
        <w:rPr>
          <w:rFonts w:ascii="Book Antiqua" w:eastAsia="Book Antiqua" w:hAnsi="Book Antiqua" w:cs="Book Antiqua"/>
          <w:color w:val="000000"/>
        </w:rPr>
        <w:t>Datta L</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data collection; Brant S</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study design, data interpretation and editing the manuscript</w:t>
      </w:r>
      <w:r>
        <w:rPr>
          <w:rFonts w:ascii="Book Antiqua" w:eastAsia="Book Antiqua" w:hAnsi="Book Antiqua" w:cs="Book Antiqua"/>
          <w:color w:val="000000"/>
          <w:szCs w:val="32"/>
        </w:rPr>
        <w:t>.</w:t>
      </w:r>
    </w:p>
    <w:p w14:paraId="1FE8DB8B" w14:textId="77777777" w:rsidR="00A77B3E" w:rsidRDefault="00A77B3E" w:rsidP="00BC320A">
      <w:pPr>
        <w:snapToGrid w:val="0"/>
        <w:spacing w:line="360" w:lineRule="auto"/>
        <w:jc w:val="both"/>
      </w:pPr>
    </w:p>
    <w:p w14:paraId="433B1D91" w14:textId="6CB47209" w:rsidR="00A77B3E" w:rsidRDefault="00332EB4" w:rsidP="00BC320A">
      <w:pPr>
        <w:snapToGrid w:val="0"/>
        <w:spacing w:line="360" w:lineRule="auto"/>
        <w:jc w:val="both"/>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Atran</w:t>
      </w:r>
      <w:proofErr w:type="spellEnd"/>
      <w:r>
        <w:rPr>
          <w:rFonts w:ascii="Book Antiqua" w:eastAsia="Book Antiqua" w:hAnsi="Book Antiqua" w:cs="Book Antiqua"/>
          <w:color w:val="000000"/>
        </w:rPr>
        <w:t xml:space="preserve"> Foundation, NO. 00313651.</w:t>
      </w:r>
    </w:p>
    <w:p w14:paraId="4DEA14BF" w14:textId="77777777" w:rsidR="00A77B3E" w:rsidRDefault="00A77B3E" w:rsidP="00BC320A">
      <w:pPr>
        <w:snapToGrid w:val="0"/>
        <w:spacing w:line="360" w:lineRule="auto"/>
        <w:jc w:val="both"/>
      </w:pPr>
    </w:p>
    <w:p w14:paraId="282AD1C2" w14:textId="77777777" w:rsidR="00A77B3E" w:rsidRDefault="00332EB4" w:rsidP="00BC320A">
      <w:pPr>
        <w:snapToGrid w:val="0"/>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Brindusa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Truta</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Division Gastroenterology &amp; Hepatology, Johns Hopkins School of Medicine, 1830 E Monument Street, Room 426, Baltimore, MD 21210, United States. brindusa_73@yahoo.com</w:t>
      </w:r>
    </w:p>
    <w:p w14:paraId="0DBDC84F" w14:textId="77777777" w:rsidR="00A77B3E" w:rsidRDefault="00A77B3E" w:rsidP="00BC320A">
      <w:pPr>
        <w:snapToGrid w:val="0"/>
        <w:spacing w:line="360" w:lineRule="auto"/>
        <w:jc w:val="both"/>
      </w:pPr>
    </w:p>
    <w:p w14:paraId="44BA4774"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28, 2020</w:t>
      </w:r>
    </w:p>
    <w:p w14:paraId="3954154B"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2020</w:t>
      </w:r>
    </w:p>
    <w:p w14:paraId="69C1A427" w14:textId="386BB515" w:rsidR="00A77B3E" w:rsidRDefault="00332EB4" w:rsidP="00BC320A">
      <w:pPr>
        <w:snapToGrid w:val="0"/>
        <w:spacing w:line="360" w:lineRule="auto"/>
        <w:jc w:val="both"/>
      </w:pPr>
      <w:r>
        <w:rPr>
          <w:rFonts w:ascii="Book Antiqua" w:eastAsia="Book Antiqua" w:hAnsi="Book Antiqua" w:cs="Book Antiqua"/>
          <w:b/>
          <w:bCs/>
          <w:color w:val="000000"/>
        </w:rPr>
        <w:t xml:space="preserve">Accepted: </w:t>
      </w:r>
      <w:r w:rsidR="00111815" w:rsidRPr="00111815">
        <w:rPr>
          <w:rFonts w:ascii="Book Antiqua" w:eastAsia="Book Antiqua" w:hAnsi="Book Antiqua" w:cs="Book Antiqua"/>
          <w:bCs/>
          <w:color w:val="000000"/>
        </w:rPr>
        <w:t>August 15, 2020</w:t>
      </w:r>
    </w:p>
    <w:p w14:paraId="44C35811"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Published online: </w:t>
      </w:r>
    </w:p>
    <w:p w14:paraId="15164D3C" w14:textId="77777777" w:rsidR="00A77B3E" w:rsidRDefault="00A77B3E" w:rsidP="00BC320A">
      <w:pPr>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139DAE19" w14:textId="77777777" w:rsidR="00A77B3E" w:rsidRDefault="00332EB4" w:rsidP="00BC320A">
      <w:pPr>
        <w:snapToGrid w:val="0"/>
        <w:spacing w:line="360" w:lineRule="auto"/>
        <w:jc w:val="both"/>
      </w:pPr>
      <w:r>
        <w:rPr>
          <w:rFonts w:ascii="Book Antiqua" w:eastAsia="Book Antiqua" w:hAnsi="Book Antiqua" w:cs="Book Antiqua"/>
          <w:b/>
          <w:color w:val="000000"/>
        </w:rPr>
        <w:lastRenderedPageBreak/>
        <w:t>Abstract</w:t>
      </w:r>
    </w:p>
    <w:p w14:paraId="232CAA82" w14:textId="77777777" w:rsidR="00A77B3E" w:rsidRDefault="00332EB4" w:rsidP="00BC320A">
      <w:pPr>
        <w:snapToGrid w:val="0"/>
        <w:spacing w:line="360" w:lineRule="auto"/>
        <w:jc w:val="both"/>
      </w:pPr>
      <w:r>
        <w:rPr>
          <w:rFonts w:ascii="Book Antiqua" w:eastAsia="Book Antiqua" w:hAnsi="Book Antiqua" w:cs="Book Antiqua"/>
          <w:color w:val="000000"/>
        </w:rPr>
        <w:t>BACKGROUND</w:t>
      </w:r>
    </w:p>
    <w:p w14:paraId="03960443" w14:textId="77777777" w:rsidR="00A77B3E" w:rsidRDefault="00332EB4" w:rsidP="00BC320A">
      <w:pPr>
        <w:snapToGrid w:val="0"/>
        <w:spacing w:line="360" w:lineRule="auto"/>
        <w:jc w:val="both"/>
      </w:pPr>
      <w:r>
        <w:rPr>
          <w:rFonts w:ascii="Book Antiqua" w:eastAsia="Book Antiqua" w:hAnsi="Book Antiqua" w:cs="Book Antiqua"/>
          <w:color w:val="000000"/>
        </w:rPr>
        <w:t>The existence of genetic anticipation has been long disputed in inflammatory bowel disease (IBD) in the absence of the explanatory mechanism.</w:t>
      </w:r>
    </w:p>
    <w:p w14:paraId="2D2E394F" w14:textId="77777777" w:rsidR="00A77B3E" w:rsidRDefault="00A77B3E" w:rsidP="00BC320A">
      <w:pPr>
        <w:snapToGrid w:val="0"/>
        <w:spacing w:line="360" w:lineRule="auto"/>
        <w:jc w:val="both"/>
      </w:pPr>
    </w:p>
    <w:p w14:paraId="615963AA" w14:textId="77777777" w:rsidR="00A77B3E" w:rsidRDefault="00332EB4" w:rsidP="00BC320A">
      <w:pPr>
        <w:snapToGrid w:val="0"/>
        <w:spacing w:line="360" w:lineRule="auto"/>
        <w:jc w:val="both"/>
      </w:pPr>
      <w:r>
        <w:rPr>
          <w:rFonts w:ascii="Book Antiqua" w:eastAsia="Book Antiqua" w:hAnsi="Book Antiqua" w:cs="Book Antiqua"/>
          <w:color w:val="000000"/>
        </w:rPr>
        <w:t>AIM</w:t>
      </w:r>
    </w:p>
    <w:p w14:paraId="3D51540A" w14:textId="77777777" w:rsidR="00A77B3E" w:rsidRDefault="00332EB4" w:rsidP="00BC320A">
      <w:pPr>
        <w:snapToGrid w:val="0"/>
        <w:spacing w:line="360" w:lineRule="auto"/>
        <w:jc w:val="both"/>
      </w:pPr>
      <w:r>
        <w:rPr>
          <w:rFonts w:ascii="Book Antiqua" w:eastAsia="Book Antiqua" w:hAnsi="Book Antiqua" w:cs="Book Antiqua"/>
          <w:color w:val="000000"/>
        </w:rPr>
        <w:t>To determine whether it was predictive of genetic anticipation, we evaluated telomere length in IBD. We hypothesized that these IBD families exhibit a genetic defect impacting telomere maintenance mechanism.</w:t>
      </w:r>
    </w:p>
    <w:p w14:paraId="7411D0F5" w14:textId="77777777" w:rsidR="00A77B3E" w:rsidRDefault="00A77B3E" w:rsidP="00BC320A">
      <w:pPr>
        <w:snapToGrid w:val="0"/>
        <w:spacing w:line="360" w:lineRule="auto"/>
        <w:jc w:val="both"/>
      </w:pPr>
    </w:p>
    <w:p w14:paraId="6A8A3239" w14:textId="77777777" w:rsidR="00A77B3E" w:rsidRDefault="00332EB4" w:rsidP="00BC320A">
      <w:pPr>
        <w:snapToGrid w:val="0"/>
        <w:spacing w:line="360" w:lineRule="auto"/>
        <w:jc w:val="both"/>
      </w:pPr>
      <w:r>
        <w:rPr>
          <w:rFonts w:ascii="Book Antiqua" w:eastAsia="Book Antiqua" w:hAnsi="Book Antiqua" w:cs="Book Antiqua"/>
          <w:color w:val="000000"/>
        </w:rPr>
        <w:t>METHODS</w:t>
      </w:r>
    </w:p>
    <w:p w14:paraId="52B5B236" w14:textId="77777777" w:rsidR="00A77B3E" w:rsidRDefault="00332EB4" w:rsidP="00BC320A">
      <w:pPr>
        <w:snapToGrid w:val="0"/>
        <w:spacing w:line="360" w:lineRule="auto"/>
        <w:jc w:val="both"/>
      </w:pPr>
      <w:r>
        <w:rPr>
          <w:rFonts w:ascii="Book Antiqua" w:eastAsia="Book Antiqua" w:hAnsi="Book Antiqua" w:cs="Book Antiqua"/>
          <w:color w:val="000000"/>
        </w:rPr>
        <w:t xml:space="preserve">We studied three IBD families with multiple affected members in three successive generations. We determined telomere length (TL) in lymphocytes and granulocytes from peripheral blood of the affected members using flow cytometry and fluorescence in-situ hybridization (flow FISH). We also performed whole exome sequencing in the blood of all available family members and used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to identify potential candidate gene variants with recessive or dominant modes of inheritance.</w:t>
      </w:r>
    </w:p>
    <w:p w14:paraId="1F82A4F9" w14:textId="77777777" w:rsidR="00A77B3E" w:rsidRDefault="00A77B3E" w:rsidP="00BC320A">
      <w:pPr>
        <w:snapToGrid w:val="0"/>
        <w:spacing w:line="360" w:lineRule="auto"/>
        <w:jc w:val="both"/>
      </w:pPr>
    </w:p>
    <w:p w14:paraId="71FFB8C0" w14:textId="77777777" w:rsidR="00A77B3E" w:rsidRDefault="00332EB4" w:rsidP="00BC320A">
      <w:pPr>
        <w:snapToGrid w:val="0"/>
        <w:spacing w:line="360" w:lineRule="auto"/>
        <w:jc w:val="both"/>
      </w:pPr>
      <w:r>
        <w:rPr>
          <w:rFonts w:ascii="Book Antiqua" w:eastAsia="Book Antiqua" w:hAnsi="Book Antiqua" w:cs="Book Antiqua"/>
          <w:color w:val="000000"/>
        </w:rPr>
        <w:t>RESULTS</w:t>
      </w:r>
    </w:p>
    <w:p w14:paraId="7A5F84D9" w14:textId="77777777" w:rsidR="00A77B3E" w:rsidRDefault="00332EB4" w:rsidP="00BC320A">
      <w:pPr>
        <w:snapToGrid w:val="0"/>
        <w:spacing w:line="360" w:lineRule="auto"/>
        <w:jc w:val="both"/>
      </w:pPr>
      <w:r>
        <w:rPr>
          <w:rFonts w:ascii="Book Antiqua" w:eastAsia="Book Antiqua" w:hAnsi="Book Antiqua" w:cs="Book Antiqua"/>
          <w:color w:val="000000"/>
        </w:rPr>
        <w:t>Out of twenty-four patients of European descent selected to participate in the study, eleven patients, eight parent-child pairs affected by IBD, were included in the genetic anticipation analysis. Median difference in age at diagnosis between two successive generations was 16.5 years, with earlier age at onset in the younger generations. In most of the affected members, the disease harbored similar gastrointestinal and extraintestinal involvement but was more aggressive among the younger generations. TL was not associated with earlier age at onset or more severe disease in members of successive generations affected by IBD. NOD2 gene mutations were present in the Crohn’s affected patients of one family. However, no gene variants were identified as potential candidates for inheritance.</w:t>
      </w:r>
    </w:p>
    <w:p w14:paraId="3D7876A3" w14:textId="77777777" w:rsidR="00A77B3E" w:rsidRDefault="00A77B3E" w:rsidP="00BC320A">
      <w:pPr>
        <w:snapToGrid w:val="0"/>
        <w:spacing w:line="360" w:lineRule="auto"/>
        <w:jc w:val="both"/>
      </w:pPr>
    </w:p>
    <w:p w14:paraId="516C2427"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CONCLUSION</w:t>
      </w:r>
    </w:p>
    <w:p w14:paraId="3CB3DD4F" w14:textId="77777777" w:rsidR="00A77B3E" w:rsidRDefault="00332EB4" w:rsidP="00BC320A">
      <w:pPr>
        <w:snapToGrid w:val="0"/>
        <w:spacing w:line="360" w:lineRule="auto"/>
        <w:jc w:val="both"/>
      </w:pPr>
      <w:r>
        <w:rPr>
          <w:rFonts w:ascii="Book Antiqua" w:eastAsia="Book Antiqua" w:hAnsi="Book Antiqua" w:cs="Book Antiqua"/>
          <w:color w:val="000000"/>
        </w:rPr>
        <w:t>Telomere shortening appears unlikely to be involved in mechanisms of possible genetic anticipation in IBD. Further studies using a larger sample size are required to confirm or refute our findings.</w:t>
      </w:r>
    </w:p>
    <w:p w14:paraId="5B3E042D" w14:textId="77777777" w:rsidR="00A77B3E" w:rsidRDefault="00A77B3E" w:rsidP="00BC320A">
      <w:pPr>
        <w:snapToGrid w:val="0"/>
        <w:spacing w:line="360" w:lineRule="auto"/>
        <w:jc w:val="both"/>
      </w:pPr>
    </w:p>
    <w:p w14:paraId="75332270"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Telomere; Anticipation; Genetic; Inheritance</w:t>
      </w:r>
    </w:p>
    <w:p w14:paraId="45BD18B3" w14:textId="77777777" w:rsidR="00A77B3E" w:rsidRDefault="00A77B3E" w:rsidP="00BC320A">
      <w:pPr>
        <w:snapToGrid w:val="0"/>
        <w:spacing w:line="360" w:lineRule="auto"/>
        <w:jc w:val="both"/>
      </w:pPr>
    </w:p>
    <w:p w14:paraId="0269682B" w14:textId="629CC12A" w:rsidR="00A77B3E" w:rsidRDefault="00332EB4" w:rsidP="00BC320A">
      <w:pPr>
        <w:snapToGrid w:val="0"/>
        <w:spacing w:line="360" w:lineRule="auto"/>
        <w:jc w:val="both"/>
      </w:pPr>
      <w:proofErr w:type="spellStart"/>
      <w:r>
        <w:rPr>
          <w:rFonts w:ascii="Book Antiqua" w:eastAsia="Book Antiqua" w:hAnsi="Book Antiqua" w:cs="Book Antiqua"/>
          <w:color w:val="000000"/>
        </w:rPr>
        <w:t>Truta</w:t>
      </w:r>
      <w:proofErr w:type="spellEnd"/>
      <w:r>
        <w:rPr>
          <w:rFonts w:ascii="Book Antiqua" w:eastAsia="Book Antiqua" w:hAnsi="Book Antiqua" w:cs="Book Antiqua"/>
          <w:color w:val="000000"/>
        </w:rPr>
        <w:t xml:space="preserve"> B, Wohler E, </w:t>
      </w:r>
      <w:proofErr w:type="spellStart"/>
      <w:r>
        <w:rPr>
          <w:rFonts w:ascii="Book Antiqua" w:eastAsia="Book Antiqua" w:hAnsi="Book Antiqua" w:cs="Book Antiqua"/>
          <w:color w:val="000000"/>
        </w:rPr>
        <w:t>Sobreira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xml:space="preserve"> L, Brant S.</w:t>
      </w:r>
      <w:r w:rsidR="008110C9">
        <w:rPr>
          <w:rFonts w:ascii="Book Antiqua" w:eastAsia="Book Antiqua" w:hAnsi="Book Antiqua" w:cs="Book Antiqua"/>
          <w:color w:val="000000"/>
        </w:rPr>
        <w:t xml:space="preserve"> </w:t>
      </w:r>
      <w:r w:rsidRPr="008110C9">
        <w:rPr>
          <w:rFonts w:ascii="Book Antiqua" w:eastAsia="Book Antiqua" w:hAnsi="Book Antiqua" w:cs="Book Antiqua"/>
          <w:caps/>
          <w:color w:val="000000"/>
        </w:rPr>
        <w:t>r</w:t>
      </w:r>
      <w:r>
        <w:rPr>
          <w:rFonts w:ascii="Book Antiqua" w:eastAsia="Book Antiqua" w:hAnsi="Book Antiqua" w:cs="Book Antiqua"/>
          <w:color w:val="000000"/>
        </w:rPr>
        <w:t xml:space="preserve">ole of telomere shortening in anticipation of inflammatory bowel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In press</w:t>
      </w:r>
    </w:p>
    <w:p w14:paraId="20CDE4A2" w14:textId="77777777" w:rsidR="00A77B3E" w:rsidRDefault="00A77B3E" w:rsidP="00BC320A">
      <w:pPr>
        <w:snapToGrid w:val="0"/>
        <w:spacing w:line="360" w:lineRule="auto"/>
        <w:jc w:val="both"/>
      </w:pPr>
    </w:p>
    <w:p w14:paraId="15C8D85F" w14:textId="4B3A8AE0" w:rsidR="00332EB4" w:rsidRDefault="00332EB4" w:rsidP="00BC320A">
      <w:pPr>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retrospective study to evaluate </w:t>
      </w:r>
      <w:r>
        <w:rPr>
          <w:rFonts w:ascii="Book Antiqua" w:eastAsia="Book Antiqua" w:hAnsi="Book Antiqua" w:cs="Book Antiqua"/>
          <w:color w:val="000000"/>
          <w:shd w:val="clear" w:color="auto" w:fill="FFFFFF"/>
        </w:rPr>
        <w:t xml:space="preserve">the role of telomere shortening in genetic anticipation of inflammatory bowel disease (IBD). </w:t>
      </w:r>
      <w:r>
        <w:rPr>
          <w:rFonts w:ascii="Book Antiqua" w:eastAsia="Book Antiqua" w:hAnsi="Book Antiqua" w:cs="Book Antiqua"/>
          <w:color w:val="000000"/>
        </w:rPr>
        <w:t>Genetic anticipation is a long disputed concept in IBD and lacks an explanatory mechanism.</w:t>
      </w:r>
      <w:r>
        <w:rPr>
          <w:rFonts w:ascii="Book Antiqua" w:eastAsia="Book Antiqua" w:hAnsi="Book Antiqua" w:cs="Book Antiqua"/>
          <w:color w:val="000000"/>
          <w:shd w:val="clear" w:color="auto" w:fill="FFFFFF"/>
        </w:rPr>
        <w:t xml:space="preserve"> We analyzed generational changes in telomere length of eight parent-child pairs of three generation IBD families with anticipation and performed whole exome sequencing to identify genetic variants for autosomal inheritance. Neither telomere shortening or autosomal inheritance was associated with anticipation in our three generation IBD families, suggesting other potential mechanisms underlie this phenomenon.</w:t>
      </w:r>
    </w:p>
    <w:p w14:paraId="01CC767A" w14:textId="1BC39EA4" w:rsidR="00A77B3E" w:rsidRDefault="00332EB4" w:rsidP="00BC320A">
      <w:pPr>
        <w:snapToGrid w:val="0"/>
        <w:spacing w:line="360" w:lineRule="auto"/>
        <w:jc w:val="both"/>
      </w:pPr>
      <w:r>
        <w:rPr>
          <w:rFonts w:ascii="Book Antiqua" w:eastAsia="Book Antiqua" w:hAnsi="Book Antiqua" w:cs="Book Antiqua"/>
          <w:color w:val="000000"/>
          <w:shd w:val="clear" w:color="auto" w:fill="FFFFFF"/>
        </w:rPr>
        <w:br w:type="page"/>
      </w:r>
      <w:r>
        <w:rPr>
          <w:rFonts w:ascii="Book Antiqua" w:eastAsia="Book Antiqua" w:hAnsi="Book Antiqua" w:cs="Book Antiqua"/>
          <w:b/>
          <w:color w:val="000000"/>
          <w:u w:val="single"/>
        </w:rPr>
        <w:lastRenderedPageBreak/>
        <w:t>INTRODUCTION</w:t>
      </w:r>
    </w:p>
    <w:p w14:paraId="1BE9DAD9" w14:textId="77777777" w:rsidR="00A77B3E" w:rsidRDefault="00332EB4" w:rsidP="00BC320A">
      <w:pPr>
        <w:snapToGrid w:val="0"/>
        <w:spacing w:line="360" w:lineRule="auto"/>
        <w:jc w:val="both"/>
      </w:pPr>
      <w:r>
        <w:rPr>
          <w:rFonts w:ascii="Book Antiqua" w:eastAsia="Book Antiqua" w:hAnsi="Book Antiqua" w:cs="Book Antiqua"/>
          <w:color w:val="000000"/>
        </w:rPr>
        <w:t>Genetic anticipation is a phenomenon in which an inherited disorder manifests at a younger age and often more severely in offspring than in the affected parent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This phenomenon has been reported in over twenty monogenetic degenerative neurological disorders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some of these disorders, such as Huntington’s disease, familial Parkinson’s disease, and fragile X syndrome, the molecular base of anticipation has been linked to the expansion of unstable genomic triplet repeats, in step with the progression of the disease down through generations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757D76F8"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For inflammatory bowel disease (IBD) the involvement of genetic anticipation has been considered since the 1990’s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because of observed earlier ages at diagnosis and more severe disease among offspring of patients with IBD, mainly Crohn’s disease (CD). However, no mechanisms accounting for genetic anticipation have been identified, and many scientists have doubted genetic anticipation in IBD, attributing the observed differences in age at diagnosis and disease severity to biased observation</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p>
    <w:p w14:paraId="694A0B84" w14:textId="77777777" w:rsidR="00A77B3E" w:rsidRDefault="00332EB4" w:rsidP="00BC320A">
      <w:pPr>
        <w:snapToGrid w:val="0"/>
        <w:spacing w:line="360" w:lineRule="auto"/>
        <w:jc w:val="both"/>
      </w:pPr>
      <w:r>
        <w:rPr>
          <w:rFonts w:ascii="Book Antiqua" w:eastAsia="Book Antiqua" w:hAnsi="Book Antiqua" w:cs="Book Antiqua"/>
          <w:color w:val="000000"/>
          <w:shd w:val="clear" w:color="auto" w:fill="FFFFFF"/>
        </w:rPr>
        <w:t xml:space="preserve">The list of conditions exhibiting anticipation continues to grow. This list includes not only monogenic disease but also polygenic diseases </w:t>
      </w:r>
      <w:r>
        <w:rPr>
          <w:rFonts w:ascii="Book Antiqua" w:eastAsia="Book Antiqua" w:hAnsi="Book Antiqua" w:cs="Book Antiqua"/>
          <w:color w:val="000000"/>
        </w:rPr>
        <w:t>such as bipolar disorder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schizophrenia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rheumatoid arthritis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chronic leukemia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which the molecular mechanism is yet to be discovered.</w:t>
      </w:r>
    </w:p>
    <w:p w14:paraId="58A8B7DE"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One new cause of genetic anticipation is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which encompasses </w:t>
      </w:r>
      <w:r>
        <w:rPr>
          <w:rFonts w:ascii="Book Antiqua" w:eastAsia="Book Antiqua" w:hAnsi="Book Antiqua" w:cs="Book Antiqua"/>
          <w:color w:val="000000"/>
          <w:shd w:val="clear" w:color="auto" w:fill="FFFFFF"/>
        </w:rPr>
        <w:t>a wide variety of rare diseases caused by genetic defects in telomerase maintenance mechanisms</w:t>
      </w:r>
      <w:r>
        <w:rPr>
          <w:rFonts w:ascii="Book Antiqua" w:eastAsia="Book Antiqua" w:hAnsi="Book Antiqua" w:cs="Book Antiqua"/>
          <w:color w:val="000000"/>
          <w:szCs w:val="30"/>
          <w:shd w:val="clear" w:color="auto" w:fill="FFFFFF"/>
          <w:vertAlign w:val="superscript"/>
        </w:rPr>
        <w:t>[17,18]</w:t>
      </w:r>
      <w:r>
        <w:rPr>
          <w:rFonts w:ascii="Book Antiqua" w:eastAsia="Book Antiqua" w:hAnsi="Book Antiqua" w:cs="Book Antiqua"/>
          <w:color w:val="000000"/>
          <w:shd w:val="clear" w:color="auto" w:fill="FFFFFF"/>
        </w:rPr>
        <w:t xml:space="preserve">. Telomeres are nucleoproteins that protect chromosomal ends by counteracting the erosion caused by the problems inherent in terminal replication of the chromosomes.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mutations in the</w:t>
      </w:r>
      <w:r>
        <w:rPr>
          <w:rStyle w:val="apple-converted-space"/>
          <w:rFonts w:ascii="Book Antiqua" w:eastAsia="Book Antiqua" w:hAnsi="Book Antiqua" w:cs="Book Antiqua"/>
          <w:color w:val="000000"/>
        </w:rPr>
        <w:t xml:space="preserve"> telomerase reverse transcriptase, </w:t>
      </w:r>
      <w:r>
        <w:rPr>
          <w:rFonts w:ascii="Book Antiqua" w:eastAsia="Book Antiqua" w:hAnsi="Book Antiqua" w:cs="Book Antiqua"/>
          <w:color w:val="000000"/>
        </w:rPr>
        <w:t>the specialized polymerase that synthesizes new telomere repeats, leads to progressive telomere shortening, causing earlier onset of disease in successive generations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Families with telomere disorders, such as dyskeratosis congenita, Li-Fraumeni syndrome and Von-Hippel-Lindau disease display anticipation in generational changes, both in age at onset and in appearance of specific symptoms</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Although genetic causes have been discovered for a set of identified telomere disorders, a number of related syndromes may likewise be due to unrecognized </w:t>
      </w:r>
      <w:proofErr w:type="spellStart"/>
      <w:r>
        <w:rPr>
          <w:rFonts w:ascii="Book Antiqua" w:eastAsia="Book Antiqua" w:hAnsi="Book Antiqua" w:cs="Book Antiqua"/>
          <w:color w:val="000000"/>
          <w:shd w:val="clear" w:color="auto" w:fill="FFFFFF"/>
        </w:rPr>
        <w:t>telomeropathies</w:t>
      </w:r>
      <w:proofErr w:type="spell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w:t>
      </w:r>
    </w:p>
    <w:p w14:paraId="5BA2B596" w14:textId="77777777" w:rsidR="00A77B3E" w:rsidRDefault="00332EB4" w:rsidP="00BC320A">
      <w:pPr>
        <w:snapToGrid w:val="0"/>
        <w:spacing w:line="360" w:lineRule="auto"/>
        <w:ind w:firstLine="480"/>
        <w:jc w:val="both"/>
      </w:pPr>
      <w:r>
        <w:rPr>
          <w:rFonts w:ascii="Book Antiqua" w:eastAsia="Book Antiqua" w:hAnsi="Book Antiqua" w:cs="Book Antiqua"/>
          <w:color w:val="000000"/>
          <w:shd w:val="clear" w:color="auto" w:fill="FFFFFF"/>
        </w:rPr>
        <w:lastRenderedPageBreak/>
        <w:t>Interestingly, short telomeres were found to be associated with genetic anticipations in hereditary breast cancer (in w</w:t>
      </w:r>
      <w:r>
        <w:rPr>
          <w:rFonts w:ascii="Book Antiqua" w:eastAsia="Book Antiqua" w:hAnsi="Book Antiqua" w:cs="Book Antiqua"/>
          <w:color w:val="000000"/>
        </w:rPr>
        <w:t xml:space="preserve">omen carrying a mutation in </w:t>
      </w:r>
      <w:r>
        <w:rPr>
          <w:rFonts w:ascii="Book Antiqua" w:eastAsia="Book Antiqua" w:hAnsi="Book Antiqua" w:cs="Book Antiqua"/>
          <w:i/>
          <w:iCs/>
          <w:color w:val="000000"/>
        </w:rPr>
        <w:t>BRCA1</w:t>
      </w:r>
      <w:r>
        <w:rPr>
          <w:rFonts w:ascii="Book Antiqua" w:eastAsia="Book Antiqua" w:hAnsi="Book Antiqua" w:cs="Book Antiqua"/>
          <w:color w:val="000000"/>
        </w:rPr>
        <w:t xml:space="preserve"> or </w:t>
      </w:r>
      <w:r>
        <w:rPr>
          <w:rFonts w:ascii="Book Antiqua" w:eastAsia="Book Antiqua" w:hAnsi="Book Antiqua" w:cs="Book Antiqua"/>
          <w:i/>
          <w:iCs/>
          <w:color w:val="000000"/>
        </w:rPr>
        <w:t>BRCA2</w:t>
      </w:r>
      <w:r>
        <w:rPr>
          <w:rFonts w:ascii="Book Antiqua" w:eastAsia="Book Antiqua" w:hAnsi="Book Antiqua" w:cs="Book Antiqua"/>
          <w:color w:val="000000"/>
        </w:rPr>
        <w:t xml:space="preserve"> genes, and a subset of </w:t>
      </w:r>
      <w:r>
        <w:rPr>
          <w:rFonts w:ascii="Book Antiqua" w:eastAsia="Book Antiqua" w:hAnsi="Book Antiqua" w:cs="Book Antiqua"/>
          <w:i/>
          <w:iCs/>
          <w:color w:val="000000"/>
        </w:rPr>
        <w:t>BRCAX</w:t>
      </w:r>
      <w:r>
        <w:rPr>
          <w:rFonts w:ascii="Book Antiqua" w:eastAsia="Book Antiqua" w:hAnsi="Book Antiqua" w:cs="Book Antiqua"/>
          <w:color w:val="000000"/>
        </w:rPr>
        <w:t xml:space="preserve"> families)</w:t>
      </w:r>
      <w:r>
        <w:rPr>
          <w:rFonts w:ascii="Book Antiqua" w:eastAsia="Book Antiqua" w:hAnsi="Book Antiqua" w:cs="Book Antiqua"/>
          <w:color w:val="000000"/>
          <w:szCs w:val="30"/>
          <w:vertAlign w:val="superscript"/>
        </w:rPr>
        <w:t xml:space="preserve">[22] </w:t>
      </w:r>
      <w:r>
        <w:rPr>
          <w:rFonts w:ascii="Book Antiqua" w:eastAsia="Book Antiqua" w:hAnsi="Book Antiqua" w:cs="Book Antiqua"/>
          <w:color w:val="000000"/>
        </w:rPr>
        <w:t>and thyroid cancer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There is increased evidence suggesting that short telomeres and subsequent genomic instability contribute to malignant transformation</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Telomere shortening has been associated with dysplasia and neoplasia in the early onset of ulcerative colitis</w:t>
      </w:r>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w:t>
      </w:r>
    </w:p>
    <w:p w14:paraId="0C1D1197"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These findings generate thought-provoking questions about the possibility that telomere shortening may be the cause of genetic anticipation in other familial disorders associated with increased risk of malignancies such as IBD (which has an increased risk of cancer) - and a subset of these familial patients might result from unrecognized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particularly if there is also an accompanying identifiable genetic mutation </w:t>
      </w:r>
      <w:r>
        <w:rPr>
          <w:rFonts w:ascii="Book Antiqua" w:eastAsia="Book Antiqua" w:hAnsi="Book Antiqua" w:cs="Book Antiqua"/>
          <w:color w:val="000000"/>
          <w:shd w:val="clear" w:color="auto" w:fill="FFFFFF"/>
        </w:rPr>
        <w:t>related to telomere biology.</w:t>
      </w:r>
    </w:p>
    <w:p w14:paraId="52387604"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In our study, the primary objective was to evaluate generational changes in telomere length in parent-child pairs of familial IBD, to determine the role of telomere shortening, and its potential implication as a mechanism of anticipation in familial IBD. The secondary objective focused on investigating potential candidate gene variants for autosomal inheritance in these multi-generation IBD families.</w:t>
      </w:r>
    </w:p>
    <w:p w14:paraId="5B145F14" w14:textId="77777777" w:rsidR="00A77B3E" w:rsidRDefault="00A77B3E" w:rsidP="00BC320A">
      <w:pPr>
        <w:snapToGrid w:val="0"/>
        <w:spacing w:line="360" w:lineRule="auto"/>
        <w:ind w:firstLine="480"/>
        <w:jc w:val="both"/>
      </w:pPr>
    </w:p>
    <w:p w14:paraId="3790641F" w14:textId="77777777" w:rsidR="00A77B3E" w:rsidRDefault="00332EB4" w:rsidP="00BC320A">
      <w:pPr>
        <w:snapToGrid w:val="0"/>
        <w:spacing w:line="360" w:lineRule="auto"/>
        <w:jc w:val="both"/>
      </w:pPr>
      <w:r>
        <w:rPr>
          <w:rFonts w:ascii="Book Antiqua" w:eastAsia="Book Antiqua" w:hAnsi="Book Antiqua" w:cs="Book Antiqua"/>
          <w:b/>
          <w:color w:val="000000"/>
          <w:u w:val="single"/>
        </w:rPr>
        <w:t>MATERIALS AND METHODS</w:t>
      </w:r>
    </w:p>
    <w:p w14:paraId="395DDBA5" w14:textId="77777777" w:rsidR="00A77B3E" w:rsidRDefault="00332EB4" w:rsidP="00BC320A">
      <w:pPr>
        <w:snapToGrid w:val="0"/>
        <w:spacing w:line="360" w:lineRule="auto"/>
        <w:jc w:val="both"/>
      </w:pPr>
      <w:r>
        <w:rPr>
          <w:rFonts w:ascii="Book Antiqua" w:eastAsia="Book Antiqua" w:hAnsi="Book Antiqua" w:cs="Book Antiqua"/>
          <w:b/>
          <w:bCs/>
          <w:i/>
          <w:iCs/>
          <w:color w:val="000000"/>
        </w:rPr>
        <w:t>Study families</w:t>
      </w:r>
    </w:p>
    <w:p w14:paraId="60C00F5F" w14:textId="77777777" w:rsidR="00A77B3E" w:rsidRDefault="00332EB4" w:rsidP="00BC320A">
      <w:pPr>
        <w:snapToGrid w:val="0"/>
        <w:spacing w:line="360" w:lineRule="auto"/>
        <w:jc w:val="both"/>
      </w:pPr>
      <w:r>
        <w:rPr>
          <w:rFonts w:ascii="Book Antiqua" w:eastAsia="Book Antiqua" w:hAnsi="Book Antiqua" w:cs="Book Antiqua"/>
          <w:b/>
          <w:bCs/>
          <w:color w:val="000000"/>
        </w:rPr>
        <w:t>Study design:</w:t>
      </w:r>
      <w:r>
        <w:rPr>
          <w:rFonts w:ascii="Book Antiqua" w:eastAsia="Book Antiqua" w:hAnsi="Book Antiqua" w:cs="Book Antiqua"/>
          <w:color w:val="000000"/>
        </w:rPr>
        <w:t xml:space="preserve"> We selected three multi-generation IBD families included </w:t>
      </w:r>
      <w:r>
        <w:rPr>
          <w:rFonts w:ascii="Book Antiqua" w:eastAsia="Book Antiqua" w:hAnsi="Book Antiqua" w:cs="Book Antiqua"/>
          <w:color w:val="000000"/>
          <w:shd w:val="clear" w:color="auto" w:fill="FFFFFF"/>
        </w:rPr>
        <w:t xml:space="preserve">in the Johns Hopkins family study. </w:t>
      </w:r>
      <w:r>
        <w:rPr>
          <w:rFonts w:ascii="Book Antiqua" w:eastAsia="Book Antiqua" w:hAnsi="Book Antiqua" w:cs="Book Antiqua"/>
          <w:color w:val="000000"/>
        </w:rPr>
        <w:t xml:space="preserve">Each selected family had three or more first-degree relatives affected by IBD: either CD, ulcerative colitis (UC) or IBD-unclassified (IBD-U). Affected and non-affected individuals completed a multiple-choice questionnaire. This questionnaire interrogated patient demographics, family history of IBD, household specifics to childhood such as water source, number of people in the house, birth order, passive and active smoking; questions also inquired about disease onset, disease location, extraintestinal manifestations and complications, as well as medical and surgical therapy for IBD. </w:t>
      </w:r>
      <w:r>
        <w:rPr>
          <w:rFonts w:ascii="Book Antiqua" w:eastAsia="Book Antiqua" w:hAnsi="Book Antiqua" w:cs="Book Antiqua"/>
          <w:color w:val="000000"/>
          <w:shd w:val="clear" w:color="auto" w:fill="FFFFFF"/>
        </w:rPr>
        <w:t xml:space="preserve">We selected those families where all three affected generations had access to similar therapy to avoid the confounding factor of different classes of </w:t>
      </w:r>
      <w:r>
        <w:rPr>
          <w:rFonts w:ascii="Book Antiqua" w:eastAsia="Book Antiqua" w:hAnsi="Book Antiqua" w:cs="Book Antiqua"/>
          <w:color w:val="000000"/>
          <w:shd w:val="clear" w:color="auto" w:fill="FFFFFF"/>
        </w:rPr>
        <w:lastRenderedPageBreak/>
        <w:t>therapy on severity of the disease. Therefore, most of the patients were treated with mesalamine, thiopurine and steroids. None of the patients were treated with methotrexate. The patients were treated before biologics were commonly used as part of the IBD therapy.</w:t>
      </w:r>
    </w:p>
    <w:p w14:paraId="431AA5D3" w14:textId="77777777" w:rsidR="00A77B3E" w:rsidRDefault="00332EB4" w:rsidP="00BC320A">
      <w:pPr>
        <w:snapToGrid w:val="0"/>
        <w:spacing w:line="360" w:lineRule="auto"/>
        <w:ind w:firstLine="480"/>
        <w:jc w:val="both"/>
      </w:pPr>
      <w:r>
        <w:rPr>
          <w:rFonts w:ascii="Book Antiqua" w:eastAsia="Book Antiqua" w:hAnsi="Book Antiqua" w:cs="Book Antiqua"/>
          <w:color w:val="000000"/>
          <w:shd w:val="clear" w:color="auto" w:fill="FFFFFF"/>
        </w:rPr>
        <w:t xml:space="preserve">Blood samples also obtained from participants were used to isolate lymphocytes for storage, serum for serological analysis of antibodies and other proteins relevant to IBD and DNA for genotyping or sequencing. </w:t>
      </w:r>
    </w:p>
    <w:p w14:paraId="70586238" w14:textId="77777777" w:rsidR="00A77B3E" w:rsidRDefault="00332EB4" w:rsidP="00BC320A">
      <w:pPr>
        <w:snapToGrid w:val="0"/>
        <w:spacing w:line="360" w:lineRule="auto"/>
        <w:ind w:firstLine="480"/>
        <w:jc w:val="both"/>
      </w:pPr>
      <w:r>
        <w:rPr>
          <w:rFonts w:ascii="Book Antiqua" w:eastAsia="Book Antiqua" w:hAnsi="Book Antiqua" w:cs="Book Antiqua"/>
          <w:color w:val="000000"/>
          <w:shd w:val="clear" w:color="auto" w:fill="FFFFFF"/>
        </w:rPr>
        <w:t xml:space="preserve">The Johns Hopkins family study, conducted </w:t>
      </w:r>
      <w:r>
        <w:rPr>
          <w:rFonts w:ascii="Book Antiqua" w:eastAsia="Book Antiqua" w:hAnsi="Book Antiqua" w:cs="Book Antiqua"/>
          <w:color w:val="000000"/>
        </w:rPr>
        <w:t xml:space="preserve">with the overall goal of identifying IBD susceptibility genes, was initially approved in 1996 and </w:t>
      </w:r>
      <w:r>
        <w:rPr>
          <w:rFonts w:ascii="Book Antiqua" w:eastAsia="Book Antiqua" w:hAnsi="Book Antiqua" w:cs="Book Antiqua"/>
          <w:color w:val="000000"/>
          <w:shd w:val="clear" w:color="auto" w:fill="FFFFFF"/>
        </w:rPr>
        <w:t xml:space="preserve">later registered with clinical trials in 2010. The review of electronic and paper records and the genetic analysis for the current study was performed in 2019. </w:t>
      </w:r>
    </w:p>
    <w:p w14:paraId="09BD04FE" w14:textId="77777777" w:rsidR="00A77B3E" w:rsidRDefault="00A77B3E" w:rsidP="00BC320A">
      <w:pPr>
        <w:snapToGrid w:val="0"/>
        <w:spacing w:line="360" w:lineRule="auto"/>
        <w:ind w:firstLine="480"/>
        <w:jc w:val="both"/>
      </w:pPr>
    </w:p>
    <w:p w14:paraId="3375477C" w14:textId="6D69A9E1" w:rsidR="00A77B3E" w:rsidRDefault="00332EB4" w:rsidP="00BC320A">
      <w:pPr>
        <w:snapToGrid w:val="0"/>
        <w:spacing w:line="360" w:lineRule="auto"/>
        <w:jc w:val="both"/>
      </w:pPr>
      <w:r>
        <w:rPr>
          <w:rFonts w:ascii="Book Antiqua" w:eastAsia="Book Antiqua" w:hAnsi="Book Antiqua" w:cs="Book Antiqua"/>
          <w:b/>
          <w:bCs/>
          <w:color w:val="000000"/>
        </w:rPr>
        <w:t xml:space="preserve">IBD </w:t>
      </w:r>
      <w:r w:rsidR="00BA29C2">
        <w:rPr>
          <w:rFonts w:asciiTheme="minorEastAsia" w:hAnsiTheme="minorEastAsia" w:cs="Book Antiqua" w:hint="eastAsia"/>
          <w:b/>
          <w:bCs/>
          <w:color w:val="000000"/>
          <w:lang w:eastAsia="zh-CN"/>
        </w:rPr>
        <w:t>d</w:t>
      </w:r>
      <w:r>
        <w:rPr>
          <w:rFonts w:ascii="Book Antiqua" w:eastAsia="Book Antiqua" w:hAnsi="Book Antiqua" w:cs="Book Antiqua"/>
          <w:b/>
          <w:bCs/>
          <w:color w:val="000000"/>
        </w:rPr>
        <w:t>iagnosis</w:t>
      </w:r>
      <w:r>
        <w:rPr>
          <w:rFonts w:ascii="Book Antiqua" w:eastAsia="Book Antiqua" w:hAnsi="Book Antiqua" w:cs="Book Antiqua"/>
          <w:color w:val="000000"/>
        </w:rPr>
        <w:t>:</w:t>
      </w:r>
      <w:r w:rsidRPr="00111815">
        <w:rPr>
          <w:rFonts w:ascii="Book Antiqua" w:eastAsia="Book Antiqua" w:hAnsi="Book Antiqua" w:cs="Book Antiqua"/>
          <w:color w:val="000000"/>
        </w:rPr>
        <w:t xml:space="preserve"> </w:t>
      </w:r>
      <w:r>
        <w:rPr>
          <w:rFonts w:ascii="Book Antiqua" w:eastAsia="Book Antiqua" w:hAnsi="Book Antiqua" w:cs="Book Antiqua"/>
          <w:color w:val="000000"/>
        </w:rPr>
        <w:t xml:space="preserve">To confirm the diagnosis of IBD, define the severity of the disease, and determine current and past therapies, we reviewed electronic and paper medical records including consult notes, imaging tests (computer tomography, upper gastrointestinal, small bowel and barium enemas studies), endoscopic (upper endoscopy, colonoscopy and capsule endoscopy) and pathology reports of all available family members. </w:t>
      </w:r>
      <w:r>
        <w:rPr>
          <w:rFonts w:ascii="Book Antiqua" w:eastAsia="Book Antiqua" w:hAnsi="Book Antiqua" w:cs="Book Antiqua"/>
          <w:color w:val="000000"/>
          <w:shd w:val="clear" w:color="auto" w:fill="FFFFFF"/>
        </w:rPr>
        <w:t>We used the National Institute of Diabetes and Digestive and Kidney Disease (NIDDK) IBD Genetic Consortium phenotype operating manual (version May 10, 2006) and forms to classify of disease as either CD, UC or IBD-U (</w:t>
      </w:r>
      <w:hyperlink r:id="rId7" w:history="1">
        <w:r>
          <w:rPr>
            <w:rFonts w:ascii="Book Antiqua" w:eastAsia="Book Antiqua" w:hAnsi="Book Antiqua" w:cs="Book Antiqua"/>
            <w:color w:val="000000"/>
            <w:u w:val="single" w:color="0000FF"/>
            <w:shd w:val="clear" w:color="auto" w:fill="FFFFFF"/>
          </w:rPr>
          <w:t>https://repository.niddk.nih.gov/media/studies/ibd/ibd_phenotyping-manual.pdf)</w:t>
        </w:r>
      </w:hyperlink>
      <w:r>
        <w:rPr>
          <w:rFonts w:ascii="Book Antiqua" w:eastAsia="Book Antiqua" w:hAnsi="Book Antiqua" w:cs="Book Antiqua"/>
          <w:color w:val="000000"/>
          <w:shd w:val="clear" w:color="auto" w:fill="FFFFFF"/>
        </w:rPr>
        <w:t>.</w:t>
      </w:r>
    </w:p>
    <w:p w14:paraId="35443744" w14:textId="77777777" w:rsidR="00A77B3E" w:rsidRDefault="00A77B3E" w:rsidP="00BC320A">
      <w:pPr>
        <w:snapToGrid w:val="0"/>
        <w:spacing w:line="360" w:lineRule="auto"/>
        <w:jc w:val="both"/>
      </w:pPr>
    </w:p>
    <w:p w14:paraId="1508EFAB" w14:textId="77777777" w:rsidR="00A77B3E" w:rsidRDefault="00332EB4" w:rsidP="00BC320A">
      <w:pPr>
        <w:snapToGrid w:val="0"/>
        <w:spacing w:line="360" w:lineRule="auto"/>
        <w:jc w:val="both"/>
      </w:pPr>
      <w:r>
        <w:rPr>
          <w:rFonts w:ascii="Book Antiqua" w:eastAsia="Book Antiqua" w:hAnsi="Book Antiqua" w:cs="Book Antiqua"/>
          <w:b/>
          <w:bCs/>
          <w:i/>
          <w:iCs/>
          <w:color w:val="000000"/>
          <w:shd w:val="clear" w:color="auto" w:fill="FFFFFF"/>
        </w:rPr>
        <w:t xml:space="preserve">Genetic analysis </w:t>
      </w:r>
    </w:p>
    <w:p w14:paraId="12DF1CEF" w14:textId="58F17B43" w:rsidR="00A77B3E" w:rsidRDefault="00332EB4" w:rsidP="00BC320A">
      <w:pPr>
        <w:snapToGrid w:val="0"/>
        <w:spacing w:line="360" w:lineRule="auto"/>
        <w:jc w:val="both"/>
      </w:pPr>
      <w:r>
        <w:rPr>
          <w:rFonts w:ascii="Book Antiqua" w:eastAsia="Book Antiqua" w:hAnsi="Book Antiqua" w:cs="Book Antiqua"/>
          <w:b/>
          <w:bCs/>
          <w:color w:val="000000"/>
          <w:shd w:val="clear" w:color="auto" w:fill="FFFFFF"/>
        </w:rPr>
        <w:t xml:space="preserve">Telomere length measurement: </w:t>
      </w:r>
      <w:r>
        <w:rPr>
          <w:rFonts w:ascii="Book Antiqua" w:eastAsia="Book Antiqua" w:hAnsi="Book Antiqua" w:cs="Book Antiqua"/>
          <w:color w:val="000000"/>
          <w:shd w:val="clear" w:color="auto" w:fill="FFFFFF"/>
        </w:rPr>
        <w:t xml:space="preserve">DNA was purified from whole blood using Qiagen </w:t>
      </w:r>
      <w:proofErr w:type="spellStart"/>
      <w:r>
        <w:rPr>
          <w:rFonts w:ascii="Book Antiqua" w:eastAsia="Book Antiqua" w:hAnsi="Book Antiqua" w:cs="Book Antiqua"/>
          <w:color w:val="000000"/>
          <w:shd w:val="clear" w:color="auto" w:fill="FFFFFF"/>
        </w:rPr>
        <w:t>Puregene</w:t>
      </w:r>
      <w:proofErr w:type="spellEnd"/>
      <w:r>
        <w:rPr>
          <w:rFonts w:ascii="Book Antiqua" w:eastAsia="Book Antiqua" w:hAnsi="Book Antiqua" w:cs="Book Antiqua"/>
          <w:color w:val="000000"/>
          <w:shd w:val="clear" w:color="auto" w:fill="FFFFFF"/>
        </w:rPr>
        <w:t xml:space="preserve"> kit. To measure average length of telomere repeats in cells, we used fluorescent </w:t>
      </w:r>
      <w:r>
        <w:rPr>
          <w:rFonts w:ascii="Book Antiqua" w:eastAsia="Book Antiqua" w:hAnsi="Book Antiqua" w:cs="Book Antiqua"/>
          <w:i/>
          <w:iCs/>
          <w:color w:val="000000"/>
        </w:rPr>
        <w:t>in situ</w:t>
      </w:r>
      <w:r>
        <w:rPr>
          <w:rFonts w:ascii="Book Antiqua" w:eastAsia="Book Antiqua" w:hAnsi="Book Antiqua" w:cs="Book Antiqua"/>
          <w:color w:val="000000"/>
          <w:shd w:val="clear" w:color="auto" w:fill="FFFFFF"/>
        </w:rPr>
        <w:t> hybridization with labeled peptide nucleic acid probes specific for telomere repeats in combination with fluorescence measurements by flow cytometry (flow FISH)</w:t>
      </w:r>
      <w:r>
        <w:rPr>
          <w:rFonts w:ascii="Book Antiqua" w:eastAsia="Book Antiqua" w:hAnsi="Book Antiqua" w:cs="Book Antiqua"/>
          <w:color w:val="000000"/>
        </w:rPr>
        <w:t xml:space="preserve"> as previously described</w:t>
      </w:r>
      <w:r w:rsidR="00DE0C97">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method was developed to measure single-cell Telomere length (TL) using a fluorescently labeled probe that hybridizes to telomere DNA </w:t>
      </w:r>
      <w:r>
        <w:rPr>
          <w:rFonts w:ascii="Book Antiqua" w:eastAsia="Book Antiqua" w:hAnsi="Book Antiqua" w:cs="Book Antiqua"/>
          <w:color w:val="000000"/>
          <w:shd w:val="clear" w:color="auto" w:fill="FFFFFF"/>
        </w:rPr>
        <w:t xml:space="preserve">and has the unique advantage over other methods for measuring </w:t>
      </w:r>
      <w:r>
        <w:rPr>
          <w:rFonts w:ascii="Book Antiqua" w:eastAsia="Book Antiqua" w:hAnsi="Book Antiqua" w:cs="Book Antiqua"/>
          <w:color w:val="000000"/>
          <w:shd w:val="clear" w:color="auto" w:fill="FFFFFF"/>
        </w:rPr>
        <w:lastRenderedPageBreak/>
        <w:t>telomere length by providing multi-parameter information on the length of telomere repeats in thousands of individual cells. The accuracy and reproducibility of the measurements are augmented by the automation of most pipetting (aspiration and dispensing) steps and by including an internal standard (control cells) with a known TL in every tube. Individuals were diagnosed with short telomeres if TL was shorter than the 10th percentile of the age-matched control population. </w:t>
      </w:r>
    </w:p>
    <w:p w14:paraId="1465BDF1" w14:textId="77777777" w:rsidR="00A77B3E" w:rsidRDefault="00A77B3E" w:rsidP="00BC320A">
      <w:pPr>
        <w:snapToGrid w:val="0"/>
        <w:spacing w:line="360" w:lineRule="auto"/>
        <w:jc w:val="both"/>
      </w:pPr>
    </w:p>
    <w:p w14:paraId="1E34741C"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Whole exome sequencing: </w:t>
      </w:r>
      <w:r>
        <w:rPr>
          <w:rFonts w:ascii="Book Antiqua" w:eastAsia="Book Antiqua" w:hAnsi="Book Antiqua" w:cs="Book Antiqua"/>
          <w:color w:val="000000"/>
        </w:rPr>
        <w:t xml:space="preserve">Performed on eight individuals from the three families as part of the Baylor-Hopkins Center for Mendelian Genomics. Whole exome sequencing (WES) was performed using Agilent </w:t>
      </w:r>
      <w:proofErr w:type="spellStart"/>
      <w:r>
        <w:rPr>
          <w:rFonts w:ascii="Book Antiqua" w:eastAsia="Book Antiqua" w:hAnsi="Book Antiqua" w:cs="Book Antiqua"/>
          <w:color w:val="000000"/>
        </w:rPr>
        <w:t>SureSelect</w:t>
      </w:r>
      <w:proofErr w:type="spellEnd"/>
      <w:r>
        <w:rPr>
          <w:rFonts w:ascii="Book Antiqua" w:eastAsia="Book Antiqua" w:hAnsi="Book Antiqua" w:cs="Book Antiqua"/>
          <w:color w:val="000000"/>
        </w:rPr>
        <w:t xml:space="preserve"> HumanAllExonV5Clinicalon the Illumina HiSeq2000 platform. Libraries were sequenced on the HiSeq2500 platform with onboard clustering using 125 bp-paired end runs and sequencing chemistry kits </w:t>
      </w:r>
      <w:proofErr w:type="spellStart"/>
      <w:r>
        <w:rPr>
          <w:rFonts w:ascii="Book Antiqua" w:eastAsia="Book Antiqua" w:hAnsi="Book Antiqua" w:cs="Book Antiqua"/>
          <w:color w:val="000000"/>
        </w:rPr>
        <w:t>HiSeq</w:t>
      </w:r>
      <w:proofErr w:type="spellEnd"/>
      <w:r>
        <w:rPr>
          <w:rFonts w:ascii="Book Antiqua" w:eastAsia="Book Antiqua" w:hAnsi="Book Antiqua" w:cs="Book Antiqua"/>
          <w:color w:val="000000"/>
        </w:rPr>
        <w:t xml:space="preserve"> PE Cluster Kit v4 and </w:t>
      </w:r>
      <w:proofErr w:type="spellStart"/>
      <w:r>
        <w:rPr>
          <w:rFonts w:ascii="Book Antiqua" w:eastAsia="Book Antiqua" w:hAnsi="Book Antiqua" w:cs="Book Antiqua"/>
          <w:color w:val="000000"/>
        </w:rPr>
        <w:t>HiSeq</w:t>
      </w:r>
      <w:proofErr w:type="spellEnd"/>
      <w:r>
        <w:rPr>
          <w:rFonts w:ascii="Book Antiqua" w:eastAsia="Book Antiqua" w:hAnsi="Book Antiqua" w:cs="Book Antiqua"/>
          <w:color w:val="000000"/>
        </w:rPr>
        <w:t xml:space="preserve"> SBS Kit v4. </w:t>
      </w:r>
      <w:proofErr w:type="spellStart"/>
      <w:r>
        <w:rPr>
          <w:rFonts w:ascii="Book Antiqua" w:eastAsia="Book Antiqua" w:hAnsi="Book Antiqua" w:cs="Book Antiqua"/>
          <w:color w:val="000000"/>
        </w:rPr>
        <w:t>Fastq</w:t>
      </w:r>
      <w:proofErr w:type="spellEnd"/>
      <w:r>
        <w:rPr>
          <w:rFonts w:ascii="Book Antiqua" w:eastAsia="Book Antiqua" w:hAnsi="Book Antiqua" w:cs="Book Antiqua"/>
          <w:color w:val="000000"/>
        </w:rPr>
        <w:t xml:space="preserve"> files were aligned with BWA mem</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version 0.7.8 to the 1000 genomes phase 2 (GRCh37) human genome reference</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Duplicate molecules were flagged with Picard version 1.109(1716). Local realignment around indels and base call quality score recalibration were performed using the Genome Analysis Toolkit 26 version v3.1-1- g07a4bf8 or v3.3-0-g37228af. Variant filtering was done using the Variant Quality Score Recalibration (VQSR) method</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Variants that passed VQSR filtering were annotated using </w:t>
      </w:r>
      <w:proofErr w:type="spellStart"/>
      <w:r>
        <w:rPr>
          <w:rFonts w:ascii="Book Antiqua" w:eastAsia="Book Antiqua" w:hAnsi="Book Antiqua" w:cs="Book Antiqua"/>
          <w:color w:val="000000"/>
        </w:rPr>
        <w:t>Annovar</w:t>
      </w:r>
      <w:proofErr w:type="spellEnd"/>
      <w:r>
        <w:rPr>
          <w:rFonts w:ascii="Book Antiqua" w:eastAsia="Book Antiqua" w:hAnsi="Book Antiqua" w:cs="Book Antiqua"/>
          <w:color w:val="000000"/>
        </w:rPr>
        <w:t xml:space="preserve"> (version 2013_09_11) against a variety of data sources. Ultimately,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was used to analyze the data for coding, frameshifting, nonsense, or missense, rare (minor allele frequency &gt; 1% in </w:t>
      </w:r>
      <w:proofErr w:type="spellStart"/>
      <w:r>
        <w:rPr>
          <w:rFonts w:ascii="Book Antiqua" w:eastAsia="Book Antiqua" w:hAnsi="Book Antiqua" w:cs="Book Antiqua"/>
          <w:color w:val="000000"/>
        </w:rPr>
        <w:t>ExAC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gnomAD</w:t>
      </w:r>
      <w:proofErr w:type="spellEnd"/>
      <w:r>
        <w:rPr>
          <w:rFonts w:ascii="Book Antiqua" w:eastAsia="Book Antiqua" w:hAnsi="Book Antiqua" w:cs="Book Antiqua"/>
          <w:color w:val="000000"/>
        </w:rPr>
        <w:t>, 1000 Genomes, or Exome Variant Server) variants in genes that were shared between the three affected families based on recessive or dominant modes of inheritance.</w:t>
      </w:r>
    </w:p>
    <w:p w14:paraId="5D571A6E" w14:textId="77777777" w:rsidR="00A77B3E" w:rsidRDefault="00A77B3E" w:rsidP="00BC320A">
      <w:pPr>
        <w:snapToGrid w:val="0"/>
        <w:spacing w:line="360" w:lineRule="auto"/>
        <w:jc w:val="both"/>
      </w:pPr>
    </w:p>
    <w:p w14:paraId="719DDA01" w14:textId="77777777" w:rsidR="00A77B3E" w:rsidRDefault="00332EB4" w:rsidP="00BC320A">
      <w:pPr>
        <w:snapToGrid w:val="0"/>
        <w:spacing w:line="360" w:lineRule="auto"/>
        <w:jc w:val="both"/>
      </w:pPr>
      <w:r>
        <w:rPr>
          <w:rFonts w:ascii="Book Antiqua" w:eastAsia="Book Antiqua" w:hAnsi="Book Antiqua" w:cs="Book Antiqua"/>
          <w:b/>
          <w:bCs/>
          <w:i/>
          <w:iCs/>
          <w:color w:val="000000"/>
        </w:rPr>
        <w:t>Statistical analysis</w:t>
      </w:r>
    </w:p>
    <w:p w14:paraId="4FC155B8" w14:textId="77777777" w:rsidR="00A77B3E" w:rsidRDefault="00332EB4" w:rsidP="00BC320A">
      <w:pPr>
        <w:snapToGrid w:val="0"/>
        <w:spacing w:line="360" w:lineRule="auto"/>
        <w:jc w:val="both"/>
      </w:pPr>
      <w:r>
        <w:rPr>
          <w:rFonts w:ascii="Book Antiqua" w:eastAsia="Book Antiqua" w:hAnsi="Book Antiqua" w:cs="Book Antiqua"/>
          <w:color w:val="000000"/>
        </w:rPr>
        <w:t>Results are expressed as mean ± SD for n number of samples. Analysis of difference between groups was conducted using an analysis of variance, </w:t>
      </w:r>
      <w:r>
        <w:rPr>
          <w:rFonts w:ascii="Book Antiqua" w:eastAsia="Book Antiqua" w:hAnsi="Book Antiqua" w:cs="Book Antiqua"/>
          <w:i/>
          <w:iCs/>
          <w:color w:val="000000"/>
        </w:rPr>
        <w:t>t</w:t>
      </w:r>
      <w:r>
        <w:rPr>
          <w:rFonts w:ascii="Book Antiqua" w:eastAsia="Book Antiqua" w:hAnsi="Book Antiqua" w:cs="Book Antiqua"/>
          <w:color w:val="000000"/>
        </w:rPr>
        <w:t> test, or Fisher exact test, as appropriate. A two-sided </w:t>
      </w:r>
      <w:r>
        <w:rPr>
          <w:rFonts w:ascii="Book Antiqua" w:eastAsia="Book Antiqua" w:hAnsi="Book Antiqua" w:cs="Book Antiqua"/>
          <w:i/>
          <w:iCs/>
          <w:color w:val="000000"/>
        </w:rPr>
        <w:t>P</w:t>
      </w:r>
      <w:r>
        <w:rPr>
          <w:rFonts w:ascii="Book Antiqua" w:eastAsia="Book Antiqua" w:hAnsi="Book Antiqua" w:cs="Book Antiqua"/>
          <w:color w:val="000000"/>
        </w:rPr>
        <w:t> value &lt; 0.05 was used for statistical significance. All analysis was done using GraphPad Prism software (GraphPad 5.0).</w:t>
      </w:r>
    </w:p>
    <w:p w14:paraId="47024956" w14:textId="77777777" w:rsidR="00A77B3E" w:rsidRDefault="00332EB4" w:rsidP="00BC320A">
      <w:pPr>
        <w:snapToGrid w:val="0"/>
        <w:spacing w:line="360" w:lineRule="auto"/>
        <w:ind w:firstLine="480"/>
        <w:jc w:val="both"/>
      </w:pPr>
      <w:r>
        <w:rPr>
          <w:rFonts w:ascii="Book Antiqua" w:eastAsia="Book Antiqua" w:hAnsi="Book Antiqua" w:cs="Book Antiqua"/>
          <w:color w:val="000000"/>
        </w:rPr>
        <w:lastRenderedPageBreak/>
        <w:t>Approval of the study was obtained from the Institutional Review Board of Johns Hopkins University.</w:t>
      </w:r>
    </w:p>
    <w:p w14:paraId="3DC44BBF" w14:textId="77777777" w:rsidR="00A77B3E" w:rsidRDefault="00A77B3E" w:rsidP="00BC320A">
      <w:pPr>
        <w:snapToGrid w:val="0"/>
        <w:spacing w:line="360" w:lineRule="auto"/>
        <w:ind w:firstLine="480"/>
        <w:jc w:val="both"/>
      </w:pPr>
    </w:p>
    <w:p w14:paraId="2E9AC09E" w14:textId="77777777" w:rsidR="00A77B3E" w:rsidRDefault="00332EB4" w:rsidP="00BC320A">
      <w:pPr>
        <w:snapToGrid w:val="0"/>
        <w:spacing w:line="360" w:lineRule="auto"/>
        <w:jc w:val="both"/>
      </w:pPr>
      <w:r>
        <w:rPr>
          <w:rFonts w:ascii="Book Antiqua" w:eastAsia="Book Antiqua" w:hAnsi="Book Antiqua" w:cs="Book Antiqua"/>
          <w:b/>
          <w:color w:val="000000"/>
          <w:u w:val="single"/>
        </w:rPr>
        <w:t>RESULTS</w:t>
      </w:r>
    </w:p>
    <w:p w14:paraId="01DC4C43" w14:textId="77777777" w:rsidR="00A77B3E" w:rsidRDefault="00332EB4" w:rsidP="00BC320A">
      <w:pPr>
        <w:snapToGrid w:val="0"/>
        <w:spacing w:line="360" w:lineRule="auto"/>
        <w:jc w:val="both"/>
      </w:pPr>
      <w:r>
        <w:rPr>
          <w:rFonts w:ascii="Book Antiqua" w:eastAsia="Book Antiqua" w:hAnsi="Book Antiqua" w:cs="Book Antiqua"/>
          <w:b/>
          <w:bCs/>
          <w:i/>
          <w:iCs/>
          <w:color w:val="000000"/>
        </w:rPr>
        <w:t>Clinical characteristics of patient population</w:t>
      </w:r>
    </w:p>
    <w:p w14:paraId="7B66582A" w14:textId="77777777" w:rsidR="00A77B3E" w:rsidRDefault="00332EB4" w:rsidP="00BC320A">
      <w:pPr>
        <w:snapToGrid w:val="0"/>
        <w:spacing w:line="360" w:lineRule="auto"/>
        <w:jc w:val="both"/>
      </w:pPr>
      <w:r>
        <w:rPr>
          <w:rFonts w:ascii="Book Antiqua" w:eastAsia="Book Antiqua" w:hAnsi="Book Antiqua" w:cs="Book Antiqua"/>
          <w:color w:val="000000"/>
        </w:rPr>
        <w:t>There were twenty-four individuals selected to participate in the study. Only eleven out of the twenty-four were eligible (successive generations affected by IBD) for genetic anticipation analysis: five patients with UC, four patients with CD and two patients with IBD</w:t>
      </w:r>
      <w:r>
        <w:rPr>
          <w:rFonts w:ascii="Book Antiqua" w:eastAsia="Book Antiqua" w:hAnsi="Book Antiqua" w:cs="Book Antiqua"/>
          <w:color w:val="000000"/>
          <w:shd w:val="clear" w:color="auto" w:fill="FFFFFF"/>
        </w:rPr>
        <w:t xml:space="preserve">-U. These represent eight parent-child pairs from the three families studied (Table 1). </w:t>
      </w:r>
    </w:p>
    <w:p w14:paraId="20513B73" w14:textId="77777777" w:rsidR="00A77B3E" w:rsidRDefault="00A77B3E" w:rsidP="00BC320A">
      <w:pPr>
        <w:snapToGrid w:val="0"/>
        <w:spacing w:line="360" w:lineRule="auto"/>
        <w:jc w:val="both"/>
      </w:pPr>
    </w:p>
    <w:p w14:paraId="67625C74" w14:textId="77777777" w:rsidR="00A77B3E" w:rsidRDefault="00332EB4" w:rsidP="00BC320A">
      <w:pPr>
        <w:snapToGrid w:val="0"/>
        <w:spacing w:line="360" w:lineRule="auto"/>
        <w:jc w:val="both"/>
      </w:pPr>
      <w:r>
        <w:rPr>
          <w:rFonts w:ascii="Book Antiqua" w:eastAsia="Book Antiqua" w:hAnsi="Book Antiqua" w:cs="Book Antiqua"/>
          <w:b/>
          <w:bCs/>
          <w:color w:val="000000"/>
          <w:shd w:val="clear" w:color="auto" w:fill="FFFFFF"/>
        </w:rPr>
        <w:t>IBD diagnos</w:t>
      </w:r>
      <w:r>
        <w:rPr>
          <w:rFonts w:ascii="Book Antiqua" w:eastAsia="Book Antiqua" w:hAnsi="Book Antiqua" w:cs="Book Antiqua"/>
          <w:b/>
          <w:bCs/>
          <w:color w:val="000000"/>
        </w:rPr>
        <w:t>is was confirmed:</w:t>
      </w:r>
      <w:r>
        <w:rPr>
          <w:rFonts w:ascii="Book Antiqua" w:eastAsia="Book Antiqua" w:hAnsi="Book Antiqua" w:cs="Book Antiqua"/>
          <w:color w:val="000000"/>
        </w:rPr>
        <w:t xml:space="preserve"> Through electronic and paper medical records review and the IBD phenotype was defined per </w:t>
      </w:r>
      <w:r>
        <w:rPr>
          <w:rFonts w:ascii="Book Antiqua" w:eastAsia="Book Antiqua" w:hAnsi="Book Antiqua" w:cs="Book Antiqua"/>
          <w:color w:val="000000"/>
          <w:shd w:val="clear" w:color="auto" w:fill="FFFFFF"/>
        </w:rPr>
        <w:t>NIDDK IBD Genetic Consortium phenotype operating manual (version May 10, 2006) to classify of disease as either CD, UC or IBD-U.</w:t>
      </w:r>
    </w:p>
    <w:p w14:paraId="4381B864" w14:textId="77777777" w:rsidR="00A77B3E" w:rsidRDefault="00A77B3E" w:rsidP="00BC320A">
      <w:pPr>
        <w:snapToGrid w:val="0"/>
        <w:spacing w:line="360" w:lineRule="auto"/>
        <w:jc w:val="both"/>
      </w:pPr>
    </w:p>
    <w:p w14:paraId="628B9D88" w14:textId="77777777" w:rsidR="00A77B3E" w:rsidRDefault="00332EB4" w:rsidP="00BC320A">
      <w:pPr>
        <w:snapToGrid w:val="0"/>
        <w:spacing w:line="360" w:lineRule="auto"/>
        <w:jc w:val="both"/>
      </w:pPr>
      <w:r>
        <w:rPr>
          <w:rFonts w:ascii="Book Antiqua" w:eastAsia="Book Antiqua" w:hAnsi="Book Antiqua" w:cs="Book Antiqua"/>
          <w:b/>
          <w:bCs/>
          <w:color w:val="000000"/>
        </w:rPr>
        <w:t>Children’s age at diagnosis:</w:t>
      </w:r>
      <w:r>
        <w:rPr>
          <w:rFonts w:ascii="Book Antiqua" w:eastAsia="Book Antiqua" w:hAnsi="Book Antiqua" w:cs="Book Antiqua"/>
          <w:color w:val="000000"/>
        </w:rPr>
        <w:t xml:space="preserve"> The median age of parents at diagnosis was 16.5 year older than that of the children affected by IBD and the median age at blood draw was 39.6 ± 23 years for the entire group. The mean age of parents at diagnosis was 40 ± 17 and the mean age of children was 21 ± 13,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0.0014. Two out three families were of Ashkenazi Jewish descent. The UC families were of mixed descent Italian/Irish/Japanese and Poland/Russian/Puerto Rican while the CD family was of European descent (Polish/Russian).</w:t>
      </w:r>
    </w:p>
    <w:p w14:paraId="21275601" w14:textId="77777777" w:rsidR="00A77B3E" w:rsidRDefault="00A77B3E" w:rsidP="00BC320A">
      <w:pPr>
        <w:snapToGrid w:val="0"/>
        <w:spacing w:line="360" w:lineRule="auto"/>
        <w:jc w:val="both"/>
      </w:pPr>
    </w:p>
    <w:p w14:paraId="7D1B37E8" w14:textId="77777777" w:rsidR="00A77B3E" w:rsidRDefault="00332EB4" w:rsidP="00BC320A">
      <w:pPr>
        <w:snapToGrid w:val="0"/>
        <w:spacing w:line="360" w:lineRule="auto"/>
        <w:jc w:val="both"/>
      </w:pPr>
      <w:r>
        <w:rPr>
          <w:rFonts w:ascii="Book Antiqua" w:eastAsia="Book Antiqua" w:hAnsi="Book Antiqua" w:cs="Book Antiqua"/>
          <w:b/>
          <w:bCs/>
          <w:color w:val="000000"/>
        </w:rPr>
        <w:t>Disease extent and severity in parent-child pairs:</w:t>
      </w:r>
      <w:r>
        <w:rPr>
          <w:rFonts w:ascii="Book Antiqua" w:eastAsia="Book Antiqua" w:hAnsi="Book Antiqua" w:cs="Book Antiqua"/>
          <w:color w:val="000000"/>
        </w:rPr>
        <w:t xml:space="preserve"> Table 1 shows the extent of disease involvement in the CD, UC and mixed families. Similar extent of the disease was noted in either parents or their children. In the family with CD, the disease extended into the large and small intestine in all three generations of affected individuals. All four affected members had a penetrating form (entero-enteral fistula, anal fistulas) of the disease. Arthropathy was the most common extraintestinal manifestation of IBD. In UC </w:t>
      </w:r>
      <w:r>
        <w:rPr>
          <w:rFonts w:ascii="Book Antiqua" w:eastAsia="Book Antiqua" w:hAnsi="Book Antiqua" w:cs="Book Antiqua"/>
          <w:color w:val="000000"/>
        </w:rPr>
        <w:lastRenderedPageBreak/>
        <w:t xml:space="preserve">patients, the disease involved mainly the rectum and sigmoid colon (left side disease) and showed increasing severity as the disease was passed to the subsequent generation. All the affected members of second family underwent total colectomy for disease refractory to medical therapy with the youngest member requiring surgery at only 6 years of age. </w:t>
      </w:r>
    </w:p>
    <w:p w14:paraId="183CAD6E" w14:textId="77777777" w:rsidR="00A77B3E" w:rsidRDefault="00A77B3E" w:rsidP="00BC320A">
      <w:pPr>
        <w:snapToGrid w:val="0"/>
        <w:spacing w:line="360" w:lineRule="auto"/>
        <w:jc w:val="both"/>
      </w:pPr>
    </w:p>
    <w:p w14:paraId="6AD60909" w14:textId="77777777" w:rsidR="00A77B3E" w:rsidRDefault="00332EB4" w:rsidP="00BC320A">
      <w:pPr>
        <w:snapToGrid w:val="0"/>
        <w:spacing w:line="360" w:lineRule="auto"/>
        <w:jc w:val="both"/>
      </w:pPr>
      <w:r>
        <w:rPr>
          <w:rFonts w:ascii="Book Antiqua" w:eastAsia="Book Antiqua" w:hAnsi="Book Antiqua" w:cs="Book Antiqua"/>
          <w:b/>
          <w:bCs/>
          <w:i/>
          <w:iCs/>
          <w:color w:val="000000"/>
        </w:rPr>
        <w:t>Results of genetic analysis</w:t>
      </w:r>
    </w:p>
    <w:p w14:paraId="30258153" w14:textId="77777777" w:rsidR="00A77B3E" w:rsidRDefault="00332EB4" w:rsidP="00BC320A">
      <w:pPr>
        <w:snapToGrid w:val="0"/>
        <w:spacing w:line="360" w:lineRule="auto"/>
        <w:jc w:val="both"/>
      </w:pPr>
      <w:r>
        <w:rPr>
          <w:rFonts w:ascii="Book Antiqua" w:eastAsia="Book Antiqua" w:hAnsi="Book Antiqua" w:cs="Book Antiqua"/>
          <w:b/>
          <w:bCs/>
          <w:color w:val="000000"/>
        </w:rPr>
        <w:t>TL in successive generations:</w:t>
      </w:r>
      <w:r>
        <w:rPr>
          <w:rFonts w:ascii="Book Antiqua" w:eastAsia="Book Antiqua" w:hAnsi="Book Antiqua" w:cs="Book Antiqua"/>
          <w:color w:val="000000"/>
        </w:rPr>
        <w:t xml:space="preserve"> In order to evaluate the hypothesis that telomere shortening may be associated with the earlier onset of the disease, we investigated the mean relative TL of blood lymphocytes and granulocytes (Figure 1). </w:t>
      </w:r>
      <w:r>
        <w:rPr>
          <w:rFonts w:ascii="Book Antiqua" w:eastAsia="Book Antiqua" w:hAnsi="Book Antiqua" w:cs="Book Antiqua"/>
          <w:color w:val="000000"/>
          <w:shd w:val="clear" w:color="auto" w:fill="FFFFFF"/>
        </w:rPr>
        <w:t>Individuals were diagnosed with short telomeres if their telomere length was shorter than the 10</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percentile of the age matched control population</w:t>
      </w:r>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No associations were found between TL in lymphocytes and granulocytes and anticipation of the age at onset observed in successive generations.</w:t>
      </w:r>
    </w:p>
    <w:p w14:paraId="29DF2C17" w14:textId="77777777" w:rsidR="00A77B3E" w:rsidRDefault="00A77B3E" w:rsidP="00BC320A">
      <w:pPr>
        <w:snapToGrid w:val="0"/>
        <w:spacing w:line="360" w:lineRule="auto"/>
        <w:jc w:val="both"/>
      </w:pPr>
    </w:p>
    <w:p w14:paraId="71AB2726"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WES for genetic inheritance: </w:t>
      </w:r>
      <w:r>
        <w:rPr>
          <w:rFonts w:ascii="Book Antiqua" w:eastAsia="Book Antiqua" w:hAnsi="Book Antiqua" w:cs="Book Antiqua"/>
          <w:color w:val="000000"/>
        </w:rPr>
        <w:t xml:space="preserve">Finally, we explore the possibility of a gene variant with potential for autosomal inheritance in these Mendelian families. We use WES and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to identify a genetic variant common to all three IBD families. NOD2 gene mutations were present in the CD affected patients of one family. WES did not detect any rare frameshift, nonsense or missense coding variants in genes shared by these three families for either dominant or recessive modes of inheritance. NOD2 gene mutations were present in the Crohn’s affected patients of one family.</w:t>
      </w:r>
    </w:p>
    <w:p w14:paraId="4E09D0DE" w14:textId="77777777" w:rsidR="00A77B3E" w:rsidRDefault="00A77B3E" w:rsidP="00BC320A">
      <w:pPr>
        <w:snapToGrid w:val="0"/>
        <w:spacing w:line="360" w:lineRule="auto"/>
        <w:jc w:val="both"/>
      </w:pPr>
    </w:p>
    <w:p w14:paraId="699EBC6C" w14:textId="77777777" w:rsidR="00A77B3E" w:rsidRDefault="00332EB4" w:rsidP="00BC320A">
      <w:pPr>
        <w:snapToGrid w:val="0"/>
        <w:spacing w:line="360" w:lineRule="auto"/>
        <w:jc w:val="both"/>
      </w:pPr>
      <w:r>
        <w:rPr>
          <w:rFonts w:ascii="Book Antiqua" w:eastAsia="Book Antiqua" w:hAnsi="Book Antiqua" w:cs="Book Antiqua"/>
          <w:b/>
          <w:color w:val="000000"/>
          <w:u w:val="single"/>
        </w:rPr>
        <w:t>DISCUSSION</w:t>
      </w:r>
    </w:p>
    <w:p w14:paraId="09AF6B08" w14:textId="77777777" w:rsidR="00A77B3E" w:rsidRDefault="00332EB4" w:rsidP="00BC320A">
      <w:pPr>
        <w:snapToGrid w:val="0"/>
        <w:spacing w:line="360" w:lineRule="auto"/>
        <w:jc w:val="both"/>
      </w:pPr>
      <w:r>
        <w:rPr>
          <w:rFonts w:ascii="Book Antiqua" w:eastAsia="Book Antiqua" w:hAnsi="Book Antiqua" w:cs="Book Antiqua"/>
          <w:color w:val="000000"/>
        </w:rPr>
        <w:t xml:space="preserve">Awareness of the changing of disease pattern in IBD families with multi affected generations not only has implications for genetic counseling and surveillance of at-risk members but also for implementation of correct treatment strategies. Genetic anticipation in IBD, although observed in most studies, has been questioned by many scientists due to lack of evidence for a molecular mechanism to explain this phenomenon. It has been suggested that anticipation may result from observation </w:t>
      </w:r>
      <w:r>
        <w:rPr>
          <w:rFonts w:ascii="Book Antiqua" w:eastAsia="Book Antiqua" w:hAnsi="Book Antiqua" w:cs="Book Antiqua"/>
          <w:color w:val="000000"/>
        </w:rPr>
        <w:lastRenderedPageBreak/>
        <w:t>bias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Recently, a Bayesian method (that corrects for random effects, isolating the confounding effect of changes in secular trends, screening and medical practices, and adjusts for changes in age-specific incidence across birth cohorts), confirmed anticipation observed among successive generations of Lynch Syndrome families, a syndrome that likewise had controversy regarding genetic anticipation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Nevertheless, the molecular mechanism of genetic anticipation in Lynch Syndrome has not been identified. It is therefore possible, that genetic anticipation in IBD may be demonstrated using an optimal study design and statistical methods and/ or evidence of a molecular mechanism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
    <w:p w14:paraId="29A9C5AF"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In several monogenetic diseases, including Huntington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myotonic dystrophy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and Friedreich ataxia</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biological basis for genetic anticipation resides in expansion of unstable genomic triple repeats. In polygenic diseases, the complexity of multifactorial inheritance makes the identification of such molecular mechanism very challenging. In IBD, genomic imprinting of age at diagnosis has been proposed but when tested in 137 affected parent-child pairs from 96 families, it was not observed</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711191C1"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The patterns of genetic anticipation discovered for some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generated the question of whether a similar defect in telomere maintenance mechanisms may have a role in IBD. The TL has been studied in IBD in association with colon cancer</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and severity of inflammation in UC but not in the context of genetic anticipation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vertAlign w:val="superscript"/>
        </w:rPr>
        <w:t>6-28,40]</w:t>
      </w:r>
      <w:r>
        <w:rPr>
          <w:rFonts w:ascii="Book Antiqua" w:eastAsia="Book Antiqua" w:hAnsi="Book Antiqua" w:cs="Book Antiqua"/>
          <w:color w:val="000000"/>
        </w:rPr>
        <w:t xml:space="preserve">. In particular, we have questioned if these familial forms of IBD with observed anticipation might be due to unrecognized </w:t>
      </w:r>
      <w:proofErr w:type="spellStart"/>
      <w:r>
        <w:rPr>
          <w:rFonts w:ascii="Book Antiqua" w:eastAsia="Book Antiqua" w:hAnsi="Book Antiqua" w:cs="Book Antiqua"/>
          <w:color w:val="000000"/>
        </w:rPr>
        <w:t>telomerophaties</w:t>
      </w:r>
      <w:proofErr w:type="spellEnd"/>
      <w:r>
        <w:rPr>
          <w:rFonts w:ascii="Book Antiqua" w:eastAsia="Book Antiqua" w:hAnsi="Book Antiqua" w:cs="Book Antiqua"/>
          <w:color w:val="000000"/>
        </w:rPr>
        <w:t>.</w:t>
      </w:r>
    </w:p>
    <w:p w14:paraId="4A118862"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In our study, we examined three IBD families with clinical features of genetic anticipation. In all three families, the disease onset was reported at an early age (median 16.5) and became more severe in successive generations. In order to encompass three successive generations, we reviewed the disease history of families who received care at our center as early as 1996. Confusion related to the potential impact of newer therapy on the severity of the disease was avoided since all the recruited affected members had to receive treatment before the introduction of the biologics. Since population genetic </w:t>
      </w:r>
      <w:r>
        <w:rPr>
          <w:rFonts w:ascii="Book Antiqua" w:eastAsia="Book Antiqua" w:hAnsi="Book Antiqua" w:cs="Book Antiqua"/>
          <w:color w:val="000000"/>
        </w:rPr>
        <w:lastRenderedPageBreak/>
        <w:t>has temporal stability, the recruitment methodology did not influence the results of the study which remain valid today despite the age of our families.</w:t>
      </w:r>
    </w:p>
    <w:p w14:paraId="1DA9E767" w14:textId="77777777" w:rsidR="00A77B3E" w:rsidRDefault="00332EB4" w:rsidP="00BC320A">
      <w:pPr>
        <w:snapToGrid w:val="0"/>
        <w:spacing w:line="360" w:lineRule="auto"/>
        <w:ind w:firstLine="480"/>
        <w:jc w:val="both"/>
      </w:pPr>
      <w:r>
        <w:rPr>
          <w:rFonts w:ascii="Book Antiqua" w:eastAsia="Book Antiqua" w:hAnsi="Book Antiqua" w:cs="Book Antiqua"/>
          <w:color w:val="000000"/>
        </w:rPr>
        <w:t xml:space="preserve">We have shown that when controlling for age, no association exists between TL and age at disease onset among members of successive generations affected by IBD. </w:t>
      </w:r>
      <w:r>
        <w:rPr>
          <w:rFonts w:ascii="Book Antiqua" w:eastAsia="Book Antiqua" w:hAnsi="Book Antiqua" w:cs="Book Antiqua"/>
          <w:color w:val="000000"/>
          <w:shd w:val="clear" w:color="auto" w:fill="FFFFFF"/>
        </w:rPr>
        <w:t>Genetic anticipation is unlikely to be the result of telomere shortening and other mechanism should be explored.</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We also investigated the potential for these IBD families with Mendelian pattern of inheritance to represent a monogenic form of IBD similar to Very Early Onset IBD</w:t>
      </w:r>
      <w:r>
        <w:rPr>
          <w:rFonts w:ascii="Book Antiqua" w:eastAsia="Book Antiqua" w:hAnsi="Book Antiqua" w:cs="Book Antiqua"/>
          <w:color w:val="000000"/>
          <w:szCs w:val="20"/>
          <w:vertAlign w:val="superscript"/>
        </w:rPr>
        <w:t xml:space="preserve"> [41]</w:t>
      </w:r>
      <w:r>
        <w:rPr>
          <w:rFonts w:ascii="Book Antiqua" w:eastAsia="Book Antiqua" w:hAnsi="Book Antiqua" w:cs="Book Antiqua"/>
          <w:color w:val="000000"/>
        </w:rPr>
        <w:t xml:space="preserve">. In particular, we wanted to learn if there is an accompanying identifiable genetic mutation </w:t>
      </w:r>
      <w:r>
        <w:rPr>
          <w:rFonts w:ascii="Book Antiqua" w:eastAsia="Book Antiqua" w:hAnsi="Book Antiqua" w:cs="Book Antiqua"/>
          <w:color w:val="000000"/>
          <w:shd w:val="clear" w:color="auto" w:fill="FFFFFF"/>
        </w:rPr>
        <w:t>related to telomere biology</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shd w:val="clear" w:color="auto" w:fill="FFFFFF"/>
        </w:rPr>
        <w:t xml:space="preserve"> in these families and if its effects were overlooked due to our study sample size. Moreover, in some monogenic diseases, genetic anticipation </w:t>
      </w:r>
      <w:r>
        <w:rPr>
          <w:rFonts w:ascii="Book Antiqua" w:eastAsia="Book Antiqua" w:hAnsi="Book Antiqua" w:cs="Book Antiqua"/>
          <w:color w:val="000000"/>
        </w:rPr>
        <w:t>has been linked to the expansion of unstable genomic triplet repeats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shd w:val="clear" w:color="auto" w:fill="FFFFFF"/>
        </w:rPr>
        <w:t xml:space="preserve">, a mechanism that we would have explored in IBD had it been monogenetic. However, besides the </w:t>
      </w:r>
      <w:r>
        <w:rPr>
          <w:rFonts w:ascii="Book Antiqua" w:eastAsia="Book Antiqua" w:hAnsi="Book Antiqua" w:cs="Book Antiqua"/>
          <w:i/>
          <w:iCs/>
          <w:color w:val="000000"/>
        </w:rPr>
        <w:t xml:space="preserve">NOD2 </w:t>
      </w:r>
      <w:r>
        <w:rPr>
          <w:rFonts w:ascii="Book Antiqua" w:eastAsia="Book Antiqua" w:hAnsi="Book Antiqua" w:cs="Book Antiqua"/>
          <w:color w:val="000000"/>
        </w:rPr>
        <w:t xml:space="preserve">mutations identified among the affected members one of the CD families, WES did not detect any rare frameshift, nonsense or missense coding variants in genes shared by these three families for either dominant or recessive modes of inheritance. In adults, </w:t>
      </w:r>
      <w:r>
        <w:rPr>
          <w:rFonts w:ascii="Book Antiqua" w:eastAsia="Book Antiqua" w:hAnsi="Book Antiqua" w:cs="Book Antiqua"/>
          <w:i/>
          <w:iCs/>
          <w:color w:val="000000"/>
        </w:rPr>
        <w:t>NOD2</w:t>
      </w:r>
      <w:r>
        <w:rPr>
          <w:rFonts w:ascii="Book Antiqua" w:eastAsia="Book Antiqua" w:hAnsi="Book Antiqua" w:cs="Book Antiqua"/>
          <w:color w:val="000000"/>
        </w:rPr>
        <w:t xml:space="preserve"> is typically the most highly penetrant established gene associated with CD but the population attributable risk of </w:t>
      </w:r>
      <w:r>
        <w:rPr>
          <w:rFonts w:ascii="Book Antiqua" w:eastAsia="Book Antiqua" w:hAnsi="Book Antiqua" w:cs="Book Antiqua"/>
          <w:i/>
          <w:iCs/>
          <w:color w:val="000000"/>
        </w:rPr>
        <w:t>NOD2</w:t>
      </w:r>
      <w:r>
        <w:rPr>
          <w:rFonts w:ascii="Book Antiqua" w:eastAsia="Book Antiqua" w:hAnsi="Book Antiqua" w:cs="Book Antiqua"/>
          <w:color w:val="000000"/>
        </w:rPr>
        <w:t xml:space="preserve"> variance to CD is only 26%</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No mutation in genes involved in the telomere maintenance mechanism were detected. </w:t>
      </w:r>
    </w:p>
    <w:p w14:paraId="1A1F1F0E" w14:textId="77777777" w:rsidR="00A77B3E" w:rsidRDefault="00A77B3E" w:rsidP="00BC320A">
      <w:pPr>
        <w:snapToGrid w:val="0"/>
        <w:spacing w:line="360" w:lineRule="auto"/>
        <w:ind w:firstLine="480"/>
        <w:jc w:val="both"/>
      </w:pPr>
    </w:p>
    <w:p w14:paraId="36F71E40" w14:textId="77777777" w:rsidR="00A77B3E" w:rsidRDefault="00332EB4" w:rsidP="00BC320A">
      <w:pPr>
        <w:snapToGrid w:val="0"/>
        <w:spacing w:line="360" w:lineRule="auto"/>
        <w:jc w:val="both"/>
      </w:pPr>
      <w:r>
        <w:rPr>
          <w:rFonts w:ascii="Book Antiqua" w:eastAsia="Book Antiqua" w:hAnsi="Book Antiqua" w:cs="Book Antiqua"/>
          <w:b/>
          <w:bCs/>
          <w:i/>
          <w:iCs/>
          <w:color w:val="000000"/>
        </w:rPr>
        <w:t xml:space="preserve">Strengths and limitations </w:t>
      </w:r>
    </w:p>
    <w:p w14:paraId="41503FA3" w14:textId="77777777" w:rsidR="00A77B3E" w:rsidRDefault="00332EB4" w:rsidP="00BC320A">
      <w:pPr>
        <w:snapToGrid w:val="0"/>
        <w:spacing w:line="360" w:lineRule="auto"/>
        <w:jc w:val="both"/>
      </w:pPr>
      <w:r>
        <w:rPr>
          <w:rFonts w:ascii="Book Antiqua" w:eastAsia="Book Antiqua" w:hAnsi="Book Antiqua" w:cs="Book Antiqua"/>
          <w:color w:val="000000"/>
        </w:rPr>
        <w:t>The study represents the first evaluation of TL defects in genetic anticipation of IBD. Even though no association was found between TL and age at disease onset among members of successive generations, this pilot study is very valuable as an attempt to find the molecular mechanism of genetic anticipation in IBD.</w:t>
      </w:r>
      <w:r>
        <w:rPr>
          <w:rFonts w:ascii="Book Antiqua" w:eastAsia="Book Antiqua" w:hAnsi="Book Antiqua" w:cs="Book Antiqua"/>
          <w:color w:val="000000"/>
          <w:szCs w:val="17"/>
        </w:rPr>
        <w:t xml:space="preserve"> </w:t>
      </w:r>
      <w:r>
        <w:rPr>
          <w:rFonts w:ascii="Book Antiqua" w:eastAsia="Book Antiqua" w:hAnsi="Book Antiqua" w:cs="Book Antiqua"/>
          <w:color w:val="000000"/>
        </w:rPr>
        <w:t xml:space="preserve">While we have shown that </w:t>
      </w:r>
      <w:r>
        <w:rPr>
          <w:rFonts w:ascii="Book Antiqua" w:eastAsia="Book Antiqua" w:hAnsi="Book Antiqua" w:cs="Book Antiqua"/>
          <w:color w:val="000000"/>
          <w:shd w:val="clear" w:color="auto" w:fill="FFFFFF"/>
        </w:rPr>
        <w:t>genetic anticipation is unlikely to be the result of telomere shortening, our results do point the way to explore other mechanisms</w:t>
      </w:r>
      <w:r>
        <w:rPr>
          <w:rFonts w:ascii="Book Antiqua" w:eastAsia="Book Antiqua" w:hAnsi="Book Antiqua" w:cs="Book Antiqua"/>
          <w:i/>
          <w:iCs/>
          <w:color w:val="000000"/>
          <w:shd w:val="clear" w:color="auto" w:fill="FFFFFF"/>
        </w:rPr>
        <w:t>.</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rPr>
        <w:t xml:space="preserve">Nonetheless, the sample size may be too small to rule out whether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may play a role in other families with similar strong evidence for anticipation. Further studies to confirm our findings should address </w:t>
      </w:r>
      <w:r>
        <w:rPr>
          <w:rFonts w:ascii="Book Antiqua" w:eastAsia="Book Antiqua" w:hAnsi="Book Antiqua" w:cs="Book Antiqua"/>
          <w:color w:val="000000"/>
        </w:rPr>
        <w:lastRenderedPageBreak/>
        <w:t>a larger population of familial IBD that likewise have strong evidence for anticipation among successive generations.</w:t>
      </w:r>
    </w:p>
    <w:p w14:paraId="3EA62782" w14:textId="77777777" w:rsidR="00A77B3E" w:rsidRDefault="00A77B3E" w:rsidP="00BC320A">
      <w:pPr>
        <w:snapToGrid w:val="0"/>
        <w:spacing w:line="360" w:lineRule="auto"/>
        <w:jc w:val="both"/>
      </w:pPr>
    </w:p>
    <w:p w14:paraId="07467129" w14:textId="77777777" w:rsidR="00A77B3E" w:rsidRDefault="00332EB4" w:rsidP="00BC320A">
      <w:pPr>
        <w:snapToGrid w:val="0"/>
        <w:spacing w:line="360" w:lineRule="auto"/>
        <w:jc w:val="both"/>
      </w:pPr>
      <w:r>
        <w:rPr>
          <w:rFonts w:ascii="Book Antiqua" w:eastAsia="Book Antiqua" w:hAnsi="Book Antiqua" w:cs="Book Antiqua"/>
          <w:b/>
          <w:color w:val="000000"/>
          <w:u w:val="single"/>
        </w:rPr>
        <w:t>ARTICLE HIGHLIGHTS</w:t>
      </w:r>
    </w:p>
    <w:p w14:paraId="346FD796" w14:textId="77777777" w:rsidR="00A77B3E" w:rsidRDefault="00332EB4" w:rsidP="00BC320A">
      <w:pPr>
        <w:snapToGrid w:val="0"/>
        <w:spacing w:line="360" w:lineRule="auto"/>
        <w:jc w:val="both"/>
      </w:pPr>
      <w:r>
        <w:rPr>
          <w:rFonts w:ascii="Book Antiqua" w:eastAsia="Book Antiqua" w:hAnsi="Book Antiqua" w:cs="Book Antiqua"/>
          <w:b/>
          <w:i/>
          <w:color w:val="000000"/>
        </w:rPr>
        <w:t>Research background</w:t>
      </w:r>
    </w:p>
    <w:p w14:paraId="41AE56FB" w14:textId="77777777" w:rsidR="00A77B3E" w:rsidRDefault="00332EB4" w:rsidP="00BC320A">
      <w:pPr>
        <w:snapToGrid w:val="0"/>
        <w:spacing w:line="360" w:lineRule="auto"/>
        <w:jc w:val="both"/>
      </w:pPr>
      <w:r>
        <w:rPr>
          <w:rFonts w:ascii="Book Antiqua" w:eastAsia="Book Antiqua" w:hAnsi="Book Antiqua" w:cs="Book Antiqua"/>
          <w:color w:val="000000"/>
        </w:rPr>
        <w:t>The existence of genetic anticipation, a phenomenon in which an inherited disorder manifests at a younger age and often more severely in offspring than in the affected parent, has been long disputed in inflammatory bowel disease (IBD). In the absence of the explanatory mechanism, it has been suggested that anticipation may result from observation bias. In monogenetic degenerative neurological disorders the mechanism for genetic anticipation was identified as unstable genomic triple repeats. In polygenic diseases, such as IBD, the complexity of multifactorial inheritance makes the identification of genetic mechanism very challenging. I Most recently, mutations in the</w:t>
      </w:r>
      <w:r>
        <w:rPr>
          <w:rStyle w:val="apple-converted-space"/>
          <w:rFonts w:ascii="Book Antiqua" w:eastAsia="Book Antiqua" w:hAnsi="Book Antiqua" w:cs="Book Antiqua"/>
          <w:color w:val="000000"/>
        </w:rPr>
        <w:t> telomerase reverse transcriptase</w:t>
      </w:r>
      <w:r>
        <w:rPr>
          <w:rFonts w:ascii="Book Antiqua" w:eastAsia="Book Antiqua" w:hAnsi="Book Antiqua" w:cs="Book Antiqua"/>
          <w:color w:val="000000"/>
        </w:rPr>
        <w:t xml:space="preserve">, have been shown to lead to progressive telomere shortening, causing earlier onset of disease in successive generations with </w:t>
      </w:r>
      <w:proofErr w:type="spellStart"/>
      <w:r>
        <w:rPr>
          <w:rFonts w:ascii="Book Antiqua" w:eastAsia="Book Antiqua" w:hAnsi="Book Antiqua" w:cs="Book Antiqua"/>
          <w:color w:val="000000"/>
        </w:rPr>
        <w:t>telemeropahities</w:t>
      </w:r>
      <w:proofErr w:type="spellEnd"/>
      <w:r>
        <w:rPr>
          <w:rFonts w:ascii="Book Antiqua" w:eastAsia="Book Antiqua" w:hAnsi="Book Antiqua" w:cs="Book Antiqua"/>
          <w:color w:val="000000"/>
        </w:rPr>
        <w:t>. The telomere length (TL) has also been found to be associated with severity of inflammation and colon cancer in IBD.</w:t>
      </w:r>
    </w:p>
    <w:p w14:paraId="584BAB95" w14:textId="77777777" w:rsidR="00A77B3E" w:rsidRDefault="00A77B3E" w:rsidP="00BC320A">
      <w:pPr>
        <w:snapToGrid w:val="0"/>
        <w:spacing w:line="360" w:lineRule="auto"/>
        <w:jc w:val="both"/>
      </w:pPr>
    </w:p>
    <w:p w14:paraId="6A024925" w14:textId="77777777" w:rsidR="00A77B3E" w:rsidRDefault="00332EB4" w:rsidP="00BC320A">
      <w:pPr>
        <w:snapToGrid w:val="0"/>
        <w:spacing w:line="360" w:lineRule="auto"/>
        <w:jc w:val="both"/>
      </w:pPr>
      <w:r>
        <w:rPr>
          <w:rFonts w:ascii="Book Antiqua" w:eastAsia="Book Antiqua" w:hAnsi="Book Antiqua" w:cs="Book Antiqua"/>
          <w:b/>
          <w:i/>
          <w:color w:val="000000"/>
        </w:rPr>
        <w:t>Research motivation</w:t>
      </w:r>
    </w:p>
    <w:p w14:paraId="74BCFE5C" w14:textId="77777777" w:rsidR="00A77B3E" w:rsidRDefault="00332EB4" w:rsidP="00BC320A">
      <w:pPr>
        <w:snapToGrid w:val="0"/>
        <w:spacing w:line="360" w:lineRule="auto"/>
        <w:jc w:val="both"/>
      </w:pPr>
      <w:r>
        <w:rPr>
          <w:rFonts w:ascii="Book Antiqua" w:eastAsia="Book Antiqua" w:hAnsi="Book Antiqua" w:cs="Book Antiqua"/>
          <w:color w:val="000000"/>
        </w:rPr>
        <w:t xml:space="preserve">The role of TL in genetic anticipation of patients with IBD has not been studied. </w:t>
      </w:r>
    </w:p>
    <w:p w14:paraId="1176FB2C" w14:textId="77777777" w:rsidR="00A77B3E" w:rsidRDefault="00A77B3E" w:rsidP="00BC320A">
      <w:pPr>
        <w:snapToGrid w:val="0"/>
        <w:spacing w:line="360" w:lineRule="auto"/>
        <w:jc w:val="both"/>
      </w:pPr>
    </w:p>
    <w:p w14:paraId="1C8E8241" w14:textId="77777777" w:rsidR="00A77B3E" w:rsidRDefault="00332EB4" w:rsidP="00BC320A">
      <w:pPr>
        <w:snapToGrid w:val="0"/>
        <w:spacing w:line="360" w:lineRule="auto"/>
        <w:jc w:val="both"/>
      </w:pPr>
      <w:r>
        <w:rPr>
          <w:rFonts w:ascii="Book Antiqua" w:eastAsia="Book Antiqua" w:hAnsi="Book Antiqua" w:cs="Book Antiqua"/>
          <w:b/>
          <w:i/>
          <w:color w:val="000000"/>
        </w:rPr>
        <w:t>Research objectives</w:t>
      </w:r>
    </w:p>
    <w:p w14:paraId="2227C517" w14:textId="77777777" w:rsidR="00A77B3E" w:rsidRDefault="00332EB4" w:rsidP="00BC320A">
      <w:pPr>
        <w:snapToGrid w:val="0"/>
        <w:spacing w:line="360" w:lineRule="auto"/>
        <w:jc w:val="both"/>
      </w:pPr>
      <w:r>
        <w:rPr>
          <w:rFonts w:ascii="Book Antiqua" w:eastAsia="Book Antiqua" w:hAnsi="Book Antiqua" w:cs="Book Antiqua"/>
          <w:color w:val="000000"/>
        </w:rPr>
        <w:t>In our study, the primary objective was to evaluate generational changes in TL in parent-child pairs of familial IBD, to determine the role of telomere shortening, and its potential implication as a mechanism of anticipation in familial IBD. The secondary objective focused on investigating potential candidate gene variants for autosomal inheritance in these multi-generation IBD families.</w:t>
      </w:r>
    </w:p>
    <w:p w14:paraId="6AC0D626" w14:textId="77777777" w:rsidR="00A77B3E" w:rsidRDefault="00A77B3E" w:rsidP="00BC320A">
      <w:pPr>
        <w:snapToGrid w:val="0"/>
        <w:spacing w:line="360" w:lineRule="auto"/>
        <w:jc w:val="both"/>
      </w:pPr>
    </w:p>
    <w:p w14:paraId="02E464FF" w14:textId="77777777" w:rsidR="00A77B3E" w:rsidRDefault="00332EB4" w:rsidP="00BC320A">
      <w:pPr>
        <w:snapToGrid w:val="0"/>
        <w:spacing w:line="360" w:lineRule="auto"/>
        <w:jc w:val="both"/>
      </w:pPr>
      <w:r>
        <w:rPr>
          <w:rFonts w:ascii="Book Antiqua" w:eastAsia="Book Antiqua" w:hAnsi="Book Antiqua" w:cs="Book Antiqua"/>
          <w:b/>
          <w:i/>
          <w:color w:val="000000"/>
        </w:rPr>
        <w:t>Research methods</w:t>
      </w:r>
    </w:p>
    <w:p w14:paraId="0F03416A"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We studied three IBD families with multiple affected members in three successive generations. We determined TL in lymphocytes and granulocytes from peripheral blood of the affected members using flow cytometry and fluorescence in-situ hybridization (flow FISH). We also performed whole exome sequencing (WES) in the blood of all available family members and used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to identify potential candidate gene variants for recessive or dominant modes of inheritance.</w:t>
      </w:r>
    </w:p>
    <w:p w14:paraId="0AF12A86" w14:textId="77777777" w:rsidR="00A77B3E" w:rsidRDefault="00A77B3E" w:rsidP="00BC320A">
      <w:pPr>
        <w:snapToGrid w:val="0"/>
        <w:spacing w:line="360" w:lineRule="auto"/>
        <w:jc w:val="both"/>
      </w:pPr>
    </w:p>
    <w:p w14:paraId="60F904D5" w14:textId="77777777" w:rsidR="00A77B3E" w:rsidRDefault="00332EB4" w:rsidP="00BC320A">
      <w:pPr>
        <w:snapToGrid w:val="0"/>
        <w:spacing w:line="360" w:lineRule="auto"/>
        <w:jc w:val="both"/>
      </w:pPr>
      <w:r>
        <w:rPr>
          <w:rFonts w:ascii="Book Antiqua" w:eastAsia="Book Antiqua" w:hAnsi="Book Antiqua" w:cs="Book Antiqua"/>
          <w:b/>
          <w:i/>
          <w:color w:val="000000"/>
        </w:rPr>
        <w:t>Research results</w:t>
      </w:r>
    </w:p>
    <w:p w14:paraId="4C3B5B63" w14:textId="77777777" w:rsidR="00A77B3E" w:rsidRDefault="00332EB4" w:rsidP="00BC320A">
      <w:pPr>
        <w:snapToGrid w:val="0"/>
        <w:spacing w:line="360" w:lineRule="auto"/>
        <w:jc w:val="both"/>
      </w:pPr>
      <w:r>
        <w:rPr>
          <w:rFonts w:ascii="Book Antiqua" w:eastAsia="Book Antiqua" w:hAnsi="Book Antiqua" w:cs="Book Antiqua"/>
          <w:color w:val="000000"/>
        </w:rPr>
        <w:t>Out of</w:t>
      </w:r>
      <w:r>
        <w:rPr>
          <w:rFonts w:ascii="Book Antiqua" w:eastAsia="Book Antiqua" w:hAnsi="Book Antiqua" w:cs="Book Antiqua"/>
          <w:b/>
          <w:bCs/>
          <w:color w:val="000000"/>
        </w:rPr>
        <w:t xml:space="preserve"> </w:t>
      </w:r>
      <w:r>
        <w:rPr>
          <w:rFonts w:ascii="Book Antiqua" w:eastAsia="Book Antiqua" w:hAnsi="Book Antiqua" w:cs="Book Antiqua"/>
          <w:color w:val="000000"/>
        </w:rPr>
        <w:t>twenty-four patients of European descent selected to participate in the study, eleven patients, eight parent-child pairs affected by IBD, were included in the genetic anticipation analysis. Median difference in age at diagnosis between two successive generations was 16.5 years, with earlier age at onset in the younger generations. Five patients were affected by ulcerative colitis, four patients by Crohn’s disease and two patients by IBD-Unclassified. In most of the affected members, the disease harbored similar gastrointestinal and extraintestinal involvement but was more aggressive among the younger generations. TL was not associated with earlier age at onset or with more severe disease in members of successive generations affected by IBD. NOD2 gene mutations were present in the Crohn’s affected patients of one family. However, no gene variants were identified as potential candidates for Mendelian inheritance.</w:t>
      </w:r>
    </w:p>
    <w:p w14:paraId="1C2DB00C" w14:textId="77777777" w:rsidR="00A77B3E" w:rsidRDefault="00A77B3E" w:rsidP="00BC320A">
      <w:pPr>
        <w:snapToGrid w:val="0"/>
        <w:spacing w:line="360" w:lineRule="auto"/>
        <w:jc w:val="both"/>
      </w:pPr>
    </w:p>
    <w:p w14:paraId="1FC76FFD" w14:textId="77777777" w:rsidR="00A77B3E" w:rsidRDefault="00332EB4" w:rsidP="00BC320A">
      <w:pPr>
        <w:snapToGrid w:val="0"/>
        <w:spacing w:line="360" w:lineRule="auto"/>
        <w:jc w:val="both"/>
      </w:pPr>
      <w:r>
        <w:rPr>
          <w:rFonts w:ascii="Book Antiqua" w:eastAsia="Book Antiqua" w:hAnsi="Book Antiqua" w:cs="Book Antiqua"/>
          <w:b/>
          <w:i/>
          <w:color w:val="000000"/>
        </w:rPr>
        <w:t>Research conclusions</w:t>
      </w:r>
    </w:p>
    <w:p w14:paraId="411FF628" w14:textId="77777777" w:rsidR="00A77B3E" w:rsidRDefault="00332EB4" w:rsidP="00BC320A">
      <w:pPr>
        <w:snapToGrid w:val="0"/>
        <w:spacing w:line="360" w:lineRule="auto"/>
        <w:jc w:val="both"/>
      </w:pPr>
      <w:r>
        <w:rPr>
          <w:rFonts w:ascii="Book Antiqua" w:eastAsia="Book Antiqua" w:hAnsi="Book Antiqua" w:cs="Book Antiqua"/>
          <w:color w:val="000000"/>
        </w:rPr>
        <w:t xml:space="preserve">The study represents the first evaluation of TL defects in genetic anticipation of IBD. Even though no association was found between TL and age at disease onset among members of successive generations, this pilot study is very valuable as an attempt to find the molecular mechanism of genetic anticipation in IBD. </w:t>
      </w:r>
    </w:p>
    <w:p w14:paraId="02332DAF" w14:textId="77777777" w:rsidR="00A77B3E" w:rsidRDefault="00A77B3E" w:rsidP="00BC320A">
      <w:pPr>
        <w:snapToGrid w:val="0"/>
        <w:spacing w:line="360" w:lineRule="auto"/>
        <w:jc w:val="both"/>
      </w:pPr>
    </w:p>
    <w:p w14:paraId="006C3B31" w14:textId="77777777" w:rsidR="00A77B3E" w:rsidRDefault="00332EB4" w:rsidP="00BC320A">
      <w:pPr>
        <w:snapToGrid w:val="0"/>
        <w:spacing w:line="360" w:lineRule="auto"/>
        <w:jc w:val="both"/>
      </w:pPr>
      <w:r>
        <w:rPr>
          <w:rFonts w:ascii="Book Antiqua" w:eastAsia="Book Antiqua" w:hAnsi="Book Antiqua" w:cs="Book Antiqua"/>
          <w:b/>
          <w:i/>
          <w:color w:val="000000"/>
        </w:rPr>
        <w:t>Research perspectives</w:t>
      </w:r>
    </w:p>
    <w:p w14:paraId="53276526" w14:textId="77777777" w:rsidR="00A77B3E" w:rsidRDefault="00332EB4" w:rsidP="00BC320A">
      <w:pPr>
        <w:snapToGrid w:val="0"/>
        <w:spacing w:line="360" w:lineRule="auto"/>
        <w:jc w:val="both"/>
      </w:pPr>
      <w:r>
        <w:rPr>
          <w:rFonts w:ascii="Book Antiqua" w:eastAsia="Book Antiqua" w:hAnsi="Book Antiqua" w:cs="Book Antiqua"/>
          <w:color w:val="000000"/>
        </w:rPr>
        <w:t xml:space="preserve">While we have shown that </w:t>
      </w:r>
      <w:r>
        <w:rPr>
          <w:rFonts w:ascii="Book Antiqua" w:eastAsia="Book Antiqua" w:hAnsi="Book Antiqua" w:cs="Book Antiqua"/>
          <w:color w:val="000000"/>
          <w:shd w:val="clear" w:color="auto" w:fill="FFFFFF"/>
        </w:rPr>
        <w:t>genetic anticipation is unlikely to be the result of telomere shortening, our results do point the way to exploration of other mechanisms</w:t>
      </w:r>
      <w:r>
        <w:rPr>
          <w:rFonts w:ascii="Book Antiqua" w:eastAsia="Book Antiqua" w:hAnsi="Book Antiqua" w:cs="Book Antiqua"/>
          <w:i/>
          <w:iCs/>
          <w:color w:val="000000"/>
          <w:shd w:val="clear" w:color="auto" w:fill="FFFFFF"/>
        </w:rPr>
        <w:t>.</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rPr>
        <w:t xml:space="preserve">Further </w:t>
      </w:r>
      <w:r>
        <w:rPr>
          <w:rFonts w:ascii="Book Antiqua" w:eastAsia="Book Antiqua" w:hAnsi="Book Antiqua" w:cs="Book Antiqua"/>
          <w:color w:val="000000"/>
        </w:rPr>
        <w:lastRenderedPageBreak/>
        <w:t>studies to confirm our findings should address a larger population of familial IBD that likewise have strong evidence for anticipation among successive generations.</w:t>
      </w:r>
    </w:p>
    <w:p w14:paraId="296042EF" w14:textId="77777777" w:rsidR="00A77B3E" w:rsidRDefault="00A77B3E" w:rsidP="00BC320A">
      <w:pPr>
        <w:snapToGrid w:val="0"/>
        <w:spacing w:line="360" w:lineRule="auto"/>
        <w:jc w:val="both"/>
      </w:pPr>
    </w:p>
    <w:p w14:paraId="6CF49347" w14:textId="77777777" w:rsidR="00A77B3E" w:rsidRDefault="00332EB4" w:rsidP="00BC320A">
      <w:pPr>
        <w:snapToGrid w:val="0"/>
        <w:spacing w:line="360" w:lineRule="auto"/>
        <w:jc w:val="both"/>
      </w:pPr>
      <w:r>
        <w:rPr>
          <w:rFonts w:ascii="Book Antiqua" w:eastAsia="Book Antiqua" w:hAnsi="Book Antiqua" w:cs="Book Antiqua"/>
          <w:b/>
          <w:color w:val="000000"/>
          <w:u w:val="single"/>
        </w:rPr>
        <w:t>ACKNOWLEDGEMENTS</w:t>
      </w:r>
    </w:p>
    <w:p w14:paraId="7DC2FD6E" w14:textId="77777777" w:rsidR="00A77B3E" w:rsidRDefault="00332EB4" w:rsidP="00BC320A">
      <w:pPr>
        <w:snapToGrid w:val="0"/>
        <w:spacing w:line="360" w:lineRule="auto"/>
        <w:jc w:val="both"/>
      </w:pPr>
      <w:r>
        <w:rPr>
          <w:rFonts w:ascii="Book Antiqua" w:eastAsia="Book Antiqua" w:hAnsi="Book Antiqua" w:cs="Book Antiqua"/>
          <w:color w:val="000000"/>
        </w:rPr>
        <w:t xml:space="preserve">The authors thank Professor Mary </w:t>
      </w:r>
      <w:proofErr w:type="spellStart"/>
      <w:r>
        <w:rPr>
          <w:rFonts w:ascii="Book Antiqua" w:eastAsia="Book Antiqua" w:hAnsi="Book Antiqua" w:cs="Book Antiqua"/>
          <w:color w:val="000000"/>
        </w:rPr>
        <w:t>Armanios</w:t>
      </w:r>
      <w:proofErr w:type="spellEnd"/>
      <w:r>
        <w:rPr>
          <w:rFonts w:ascii="Book Antiqua" w:eastAsia="Book Antiqua" w:hAnsi="Book Antiqua" w:cs="Book Antiqua"/>
          <w:color w:val="000000"/>
        </w:rPr>
        <w:t xml:space="preserve"> for assistance with telomere analysis. The authors would like to dedicate this paper in memoriam to Dr. Theodore Bayless, a great mentor and a believer in genetic anticipation in inflammatory bowel disease. </w:t>
      </w:r>
    </w:p>
    <w:p w14:paraId="3C8161DE" w14:textId="77777777" w:rsidR="00A77B3E" w:rsidRDefault="00A77B3E" w:rsidP="00BC320A">
      <w:pPr>
        <w:snapToGrid w:val="0"/>
        <w:spacing w:line="360" w:lineRule="auto"/>
        <w:jc w:val="both"/>
      </w:pPr>
    </w:p>
    <w:p w14:paraId="4A9453B2" w14:textId="77777777" w:rsidR="00A77B3E" w:rsidRDefault="00332EB4" w:rsidP="00BC320A">
      <w:pPr>
        <w:snapToGrid w:val="0"/>
        <w:spacing w:line="360" w:lineRule="auto"/>
        <w:jc w:val="both"/>
      </w:pPr>
      <w:r>
        <w:rPr>
          <w:rFonts w:ascii="Book Antiqua" w:eastAsia="Book Antiqua" w:hAnsi="Book Antiqua" w:cs="Book Antiqua"/>
          <w:b/>
          <w:color w:val="000000"/>
        </w:rPr>
        <w:t>REFERENCES</w:t>
      </w:r>
    </w:p>
    <w:p w14:paraId="375BA988" w14:textId="77777777" w:rsidR="00A77B3E" w:rsidRDefault="00332EB4" w:rsidP="00BC320A">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McInnis MG</w:t>
      </w:r>
      <w:r>
        <w:rPr>
          <w:rFonts w:ascii="Book Antiqua" w:eastAsia="Book Antiqua" w:hAnsi="Book Antiqua" w:cs="Book Antiqua"/>
          <w:color w:val="000000"/>
        </w:rPr>
        <w:t xml:space="preserve">. Anticipation: an old idea in new genes.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1996; </w:t>
      </w:r>
      <w:r>
        <w:rPr>
          <w:rFonts w:ascii="Book Antiqua" w:eastAsia="Book Antiqua" w:hAnsi="Book Antiqua" w:cs="Book Antiqua"/>
          <w:b/>
          <w:bCs/>
          <w:color w:val="000000"/>
        </w:rPr>
        <w:t>59</w:t>
      </w:r>
      <w:r>
        <w:rPr>
          <w:rFonts w:ascii="Book Antiqua" w:eastAsia="Book Antiqua" w:hAnsi="Book Antiqua" w:cs="Book Antiqua"/>
          <w:color w:val="000000"/>
        </w:rPr>
        <w:t>: 973-979 [PMID: 8900222]</w:t>
      </w:r>
    </w:p>
    <w:p w14:paraId="5283A663" w14:textId="77777777" w:rsidR="00A77B3E" w:rsidRDefault="00332EB4" w:rsidP="00BC320A">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McMurray CT</w:t>
      </w:r>
      <w:r>
        <w:rPr>
          <w:rFonts w:ascii="Book Antiqua" w:eastAsia="Book Antiqua" w:hAnsi="Book Antiqua" w:cs="Book Antiqua"/>
          <w:color w:val="000000"/>
        </w:rPr>
        <w:t xml:space="preserve">. Mechanisms of trinucleotide repeat instability during human development.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786-799 [PMID: 20953213 DOI: 10.1038/nrg2828]</w:t>
      </w:r>
    </w:p>
    <w:p w14:paraId="1F9317F5" w14:textId="77777777" w:rsidR="00A77B3E" w:rsidRDefault="00332EB4" w:rsidP="00BC320A">
      <w:pPr>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Khristich</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Mirkin</w:t>
      </w:r>
      <w:proofErr w:type="spellEnd"/>
      <w:r>
        <w:rPr>
          <w:rFonts w:ascii="Book Antiqua" w:eastAsia="Book Antiqua" w:hAnsi="Book Antiqua" w:cs="Book Antiqua"/>
          <w:color w:val="000000"/>
        </w:rPr>
        <w:t xml:space="preserve"> SM. On the wrong DNA track: Molecular mechanisms of repeat-mediated genome instability.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4134-4170 [PMID: 32060097 DOI: 10.1074/jbc.REV119.007678]</w:t>
      </w:r>
    </w:p>
    <w:p w14:paraId="690ACC5F" w14:textId="77777777" w:rsidR="00A77B3E" w:rsidRDefault="00332EB4" w:rsidP="00BC320A">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Rosenberg RN</w:t>
      </w:r>
      <w:r>
        <w:rPr>
          <w:rFonts w:ascii="Book Antiqua" w:eastAsia="Book Antiqua" w:hAnsi="Book Antiqua" w:cs="Book Antiqua"/>
          <w:color w:val="000000"/>
        </w:rPr>
        <w:t xml:space="preserve">. DNA triplet repeats and neurologic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1222-1224 [PMID: 8815946 DOI: 10.1056/NEJM199610173351609]</w:t>
      </w:r>
    </w:p>
    <w:p w14:paraId="5E4F4575" w14:textId="77777777" w:rsidR="00A77B3E" w:rsidRDefault="00332EB4" w:rsidP="00BC320A">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Y</w:t>
      </w:r>
      <w:r>
        <w:rPr>
          <w:rFonts w:ascii="Book Antiqua" w:eastAsia="Book Antiqua" w:hAnsi="Book Antiqua" w:cs="Book Antiqua"/>
          <w:color w:val="000000"/>
        </w:rPr>
        <w:t xml:space="preserve">, Wilson SH. DNA base excision repair: a mechanism of trinucleotide repeat expansion.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162-172 [PMID: 22285516 DOI: 10.1016/j.tibs.2011.12.002]</w:t>
      </w:r>
    </w:p>
    <w:p w14:paraId="22287764" w14:textId="77777777" w:rsidR="00A77B3E" w:rsidRDefault="00332EB4" w:rsidP="00BC320A">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Everett CM</w:t>
      </w:r>
      <w:r>
        <w:rPr>
          <w:rFonts w:ascii="Book Antiqua" w:eastAsia="Book Antiqua" w:hAnsi="Book Antiqua" w:cs="Book Antiqua"/>
          <w:color w:val="000000"/>
        </w:rPr>
        <w:t xml:space="preserve">, Wood NW. Trinucleotide repeats and neurodegenerative disease.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2385-2405 [PMID: 15329351 DOI: 10.1093/brain/awh278]</w:t>
      </w:r>
    </w:p>
    <w:p w14:paraId="057901A9" w14:textId="77777777" w:rsidR="00A77B3E" w:rsidRDefault="00332EB4" w:rsidP="00BC320A">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Ashley CT Jr</w:t>
      </w:r>
      <w:r>
        <w:rPr>
          <w:rFonts w:ascii="Book Antiqua" w:eastAsia="Book Antiqua" w:hAnsi="Book Antiqua" w:cs="Book Antiqua"/>
          <w:color w:val="000000"/>
        </w:rPr>
        <w:t xml:space="preserve">, Warren ST. Trinucleotide repeat expansion and human disease.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29</w:t>
      </w:r>
      <w:r>
        <w:rPr>
          <w:rFonts w:ascii="Book Antiqua" w:eastAsia="Book Antiqua" w:hAnsi="Book Antiqua" w:cs="Book Antiqua"/>
          <w:color w:val="000000"/>
        </w:rPr>
        <w:t>: 703-728 [PMID: 8825491 DOI: 10.1146/annurev.ge.29.120195.003415]</w:t>
      </w:r>
    </w:p>
    <w:p w14:paraId="0E416B11" w14:textId="77777777" w:rsidR="00A77B3E" w:rsidRDefault="00332EB4" w:rsidP="00BC320A">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Bayless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Picco</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LaBuda</w:t>
      </w:r>
      <w:proofErr w:type="spellEnd"/>
      <w:r>
        <w:rPr>
          <w:rFonts w:ascii="Book Antiqua" w:eastAsia="Book Antiqua" w:hAnsi="Book Antiqua" w:cs="Book Antiqua"/>
          <w:color w:val="000000"/>
        </w:rPr>
        <w:t xml:space="preserve"> MC. Genetic anticipation in Crohn's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2322-2325 [PMID: 9860387 DOI: 10.1111/j.1572-0241.1998.02322.x]</w:t>
      </w:r>
    </w:p>
    <w:p w14:paraId="7EB52744" w14:textId="77777777" w:rsidR="00A77B3E" w:rsidRDefault="00332EB4" w:rsidP="00BC320A">
      <w:pPr>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Polito</w:t>
      </w:r>
      <w:proofErr w:type="spellEnd"/>
      <w:r>
        <w:rPr>
          <w:rFonts w:ascii="Book Antiqua" w:eastAsia="Book Antiqua" w:hAnsi="Book Antiqua" w:cs="Book Antiqua"/>
          <w:b/>
          <w:bCs/>
          <w:color w:val="000000"/>
        </w:rPr>
        <w:t xml:space="preserve"> JM 2nd</w:t>
      </w:r>
      <w:r>
        <w:rPr>
          <w:rFonts w:ascii="Book Antiqua" w:eastAsia="Book Antiqua" w:hAnsi="Book Antiqua" w:cs="Book Antiqua"/>
          <w:color w:val="000000"/>
        </w:rPr>
        <w:t xml:space="preserve">, Rees RC, Childs B, </w:t>
      </w:r>
      <w:proofErr w:type="spellStart"/>
      <w:r>
        <w:rPr>
          <w:rFonts w:ascii="Book Antiqua" w:eastAsia="Book Antiqua" w:hAnsi="Book Antiqua" w:cs="Book Antiqua"/>
          <w:color w:val="000000"/>
        </w:rPr>
        <w:t>Mendeloff</w:t>
      </w:r>
      <w:proofErr w:type="spellEnd"/>
      <w:r>
        <w:rPr>
          <w:rFonts w:ascii="Book Antiqua" w:eastAsia="Book Antiqua" w:hAnsi="Book Antiqua" w:cs="Book Antiqua"/>
          <w:color w:val="000000"/>
        </w:rPr>
        <w:t xml:space="preserve"> AI, Harris ML, Bayless TM. Preliminary evidence for genetic anticipation in Crohn's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1996; </w:t>
      </w:r>
      <w:r>
        <w:rPr>
          <w:rFonts w:ascii="Book Antiqua" w:eastAsia="Book Antiqua" w:hAnsi="Book Antiqua" w:cs="Book Antiqua"/>
          <w:b/>
          <w:bCs/>
          <w:color w:val="000000"/>
        </w:rPr>
        <w:t>347</w:t>
      </w:r>
      <w:r>
        <w:rPr>
          <w:rFonts w:ascii="Book Antiqua" w:eastAsia="Book Antiqua" w:hAnsi="Book Antiqua" w:cs="Book Antiqua"/>
          <w:color w:val="000000"/>
        </w:rPr>
        <w:t>: 798-800 [PMID: 8622336 DOI: 10.1016/s0140-6736(96)90870-3]</w:t>
      </w:r>
    </w:p>
    <w:p w14:paraId="06B04F79"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Picco</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Goodman S, Reed J, Bayless TM. Methodologic pitfalls in the determination of genetic anticipation: the case of Crohn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134</w:t>
      </w:r>
      <w:r>
        <w:rPr>
          <w:rFonts w:ascii="Book Antiqua" w:eastAsia="Book Antiqua" w:hAnsi="Book Antiqua" w:cs="Book Antiqua"/>
          <w:color w:val="000000"/>
        </w:rPr>
        <w:t>: 1124-1129 [PMID: 11412053 DOI: 10.7326/0003-4819-134-12-200106190-00013]</w:t>
      </w:r>
    </w:p>
    <w:p w14:paraId="34E57A7F" w14:textId="77777777" w:rsidR="00A77B3E" w:rsidRDefault="00332EB4" w:rsidP="00BC320A">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JC</w:t>
      </w:r>
      <w:r>
        <w:rPr>
          <w:rFonts w:ascii="Book Antiqua" w:eastAsia="Book Antiqua" w:hAnsi="Book Antiqua" w:cs="Book Antiqua"/>
          <w:color w:val="000000"/>
        </w:rPr>
        <w:t xml:space="preserve">, Bridger S, McGregor C, Macpherson AJ, Jones JE. Why children with inflammatory bowel disease are diagnosed at a younger age than their affected parent.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808-811 [PMID: 10323881 DOI: 10.1136/gut.44.6.808]</w:t>
      </w:r>
    </w:p>
    <w:p w14:paraId="6299340D" w14:textId="77777777" w:rsidR="00A77B3E" w:rsidRDefault="00332EB4" w:rsidP="00BC320A">
      <w:pPr>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Faybush</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Blanchard JF, </w:t>
      </w:r>
      <w:proofErr w:type="spellStart"/>
      <w:r>
        <w:rPr>
          <w:rFonts w:ascii="Book Antiqua" w:eastAsia="Book Antiqua" w:hAnsi="Book Antiqua" w:cs="Book Antiqua"/>
          <w:color w:val="000000"/>
        </w:rPr>
        <w:t>Rawsthorne</w:t>
      </w:r>
      <w:proofErr w:type="spellEnd"/>
      <w:r>
        <w:rPr>
          <w:rFonts w:ascii="Book Antiqua" w:eastAsia="Book Antiqua" w:hAnsi="Book Antiqua" w:cs="Book Antiqua"/>
          <w:color w:val="000000"/>
        </w:rPr>
        <w:t xml:space="preserve"> P, Bernstein CN. Generational differences in the age at diagnosis with </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 xml:space="preserve">: genetic anticipation, bias, or temporal effects.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97</w:t>
      </w:r>
      <w:r>
        <w:rPr>
          <w:rFonts w:ascii="Book Antiqua" w:eastAsia="Book Antiqua" w:hAnsi="Book Antiqua" w:cs="Book Antiqua"/>
          <w:color w:val="000000"/>
        </w:rPr>
        <w:t>: 636-640 [PMID: 11922559 DOI: 10.1111/j.1572-0241.2002.05542.x]</w:t>
      </w:r>
    </w:p>
    <w:p w14:paraId="2A6EAF5D" w14:textId="77777777" w:rsidR="00A77B3E" w:rsidRDefault="00332EB4" w:rsidP="00BC320A">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McInnis MG</w:t>
      </w:r>
      <w:r>
        <w:rPr>
          <w:rFonts w:ascii="Book Antiqua" w:eastAsia="Book Antiqua" w:hAnsi="Book Antiqua" w:cs="Book Antiqua"/>
          <w:color w:val="000000"/>
        </w:rPr>
        <w:t xml:space="preserve">, McMahon FJ, Chase GA, Simpson SG, Ross CA, DePaulo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Anticipation in bipolar affective disorder.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1993; </w:t>
      </w:r>
      <w:r>
        <w:rPr>
          <w:rFonts w:ascii="Book Antiqua" w:eastAsia="Book Antiqua" w:hAnsi="Book Antiqua" w:cs="Book Antiqua"/>
          <w:b/>
          <w:bCs/>
          <w:color w:val="000000"/>
        </w:rPr>
        <w:t>53</w:t>
      </w:r>
      <w:r>
        <w:rPr>
          <w:rFonts w:ascii="Book Antiqua" w:eastAsia="Book Antiqua" w:hAnsi="Book Antiqua" w:cs="Book Antiqua"/>
          <w:color w:val="000000"/>
        </w:rPr>
        <w:t>: 385-390 [PMID: 8328456]</w:t>
      </w:r>
    </w:p>
    <w:p w14:paraId="734A580D" w14:textId="77777777" w:rsidR="00A77B3E" w:rsidRDefault="00332EB4" w:rsidP="00BC320A">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Bassett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Honer</w:t>
      </w:r>
      <w:proofErr w:type="spellEnd"/>
      <w:r>
        <w:rPr>
          <w:rFonts w:ascii="Book Antiqua" w:eastAsia="Book Antiqua" w:hAnsi="Book Antiqua" w:cs="Book Antiqua"/>
          <w:color w:val="000000"/>
        </w:rPr>
        <w:t xml:space="preserve"> WG. Evidence for anticipation in schizophrenia.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1994; </w:t>
      </w:r>
      <w:r>
        <w:rPr>
          <w:rFonts w:ascii="Book Antiqua" w:eastAsia="Book Antiqua" w:hAnsi="Book Antiqua" w:cs="Book Antiqua"/>
          <w:b/>
          <w:bCs/>
          <w:color w:val="000000"/>
        </w:rPr>
        <w:t>54</w:t>
      </w:r>
      <w:r>
        <w:rPr>
          <w:rFonts w:ascii="Book Antiqua" w:eastAsia="Book Antiqua" w:hAnsi="Book Antiqua" w:cs="Book Antiqua"/>
          <w:color w:val="000000"/>
        </w:rPr>
        <w:t>: 864-870 [PMID: 8178826]</w:t>
      </w:r>
    </w:p>
    <w:p w14:paraId="0620DFB1" w14:textId="77777777" w:rsidR="00A77B3E" w:rsidRDefault="00332EB4" w:rsidP="00BC320A">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McDermott E</w:t>
      </w:r>
      <w:r>
        <w:rPr>
          <w:rFonts w:ascii="Book Antiqua" w:eastAsia="Book Antiqua" w:hAnsi="Book Antiqua" w:cs="Book Antiqua"/>
          <w:color w:val="000000"/>
        </w:rPr>
        <w:t xml:space="preserve">, Khan MA, Deighton C. Further evidence for genetic anticipation in familial rheumatoid arthritis.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1996; </w:t>
      </w:r>
      <w:r>
        <w:rPr>
          <w:rFonts w:ascii="Book Antiqua" w:eastAsia="Book Antiqua" w:hAnsi="Book Antiqua" w:cs="Book Antiqua"/>
          <w:b/>
          <w:bCs/>
          <w:color w:val="000000"/>
        </w:rPr>
        <w:t>55</w:t>
      </w:r>
      <w:r>
        <w:rPr>
          <w:rFonts w:ascii="Book Antiqua" w:eastAsia="Book Antiqua" w:hAnsi="Book Antiqua" w:cs="Book Antiqua"/>
          <w:color w:val="000000"/>
        </w:rPr>
        <w:t>: 475-477 [PMID: 8774167 DOI: 10.1136/ard.55.7.475]</w:t>
      </w:r>
    </w:p>
    <w:p w14:paraId="36322B3F" w14:textId="77777777" w:rsidR="00A77B3E" w:rsidRDefault="00332EB4" w:rsidP="00BC320A">
      <w:pPr>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Fresko</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Soy M, </w:t>
      </w:r>
      <w:proofErr w:type="spellStart"/>
      <w:r>
        <w:rPr>
          <w:rFonts w:ascii="Book Antiqua" w:eastAsia="Book Antiqua" w:hAnsi="Book Antiqua" w:cs="Book Antiqua"/>
          <w:color w:val="000000"/>
        </w:rPr>
        <w:t>Hamuryudan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Yurdakul</w:t>
      </w:r>
      <w:proofErr w:type="spellEnd"/>
      <w:r>
        <w:rPr>
          <w:rFonts w:ascii="Book Antiqua" w:eastAsia="Book Antiqua" w:hAnsi="Book Antiqua" w:cs="Book Antiqua"/>
          <w:color w:val="000000"/>
        </w:rPr>
        <w:t xml:space="preserve"> S, Yavuz S, </w:t>
      </w:r>
      <w:proofErr w:type="spellStart"/>
      <w:r>
        <w:rPr>
          <w:rFonts w:ascii="Book Antiqua" w:eastAsia="Book Antiqua" w:hAnsi="Book Antiqua" w:cs="Book Antiqua"/>
          <w:color w:val="000000"/>
        </w:rPr>
        <w:t>Tümer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Genetic anticipation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1998; </w:t>
      </w:r>
      <w:r>
        <w:rPr>
          <w:rFonts w:ascii="Book Antiqua" w:eastAsia="Book Antiqua" w:hAnsi="Book Antiqua" w:cs="Book Antiqua"/>
          <w:b/>
          <w:bCs/>
          <w:color w:val="000000"/>
        </w:rPr>
        <w:t>57</w:t>
      </w:r>
      <w:r>
        <w:rPr>
          <w:rFonts w:ascii="Book Antiqua" w:eastAsia="Book Antiqua" w:hAnsi="Book Antiqua" w:cs="Book Antiqua"/>
          <w:color w:val="000000"/>
        </w:rPr>
        <w:t>: 45-48 [PMID: 9536823 DOI: 10.1136/ard.57.1.45]</w:t>
      </w:r>
    </w:p>
    <w:p w14:paraId="3DB1CE3A" w14:textId="77777777" w:rsidR="00A77B3E" w:rsidRDefault="00332EB4" w:rsidP="00BC320A">
      <w:pPr>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Wiernik</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Ashwin M, Hu XP, </w:t>
      </w:r>
      <w:proofErr w:type="spellStart"/>
      <w:r>
        <w:rPr>
          <w:rFonts w:ascii="Book Antiqua" w:eastAsia="Book Antiqua" w:hAnsi="Book Antiqua" w:cs="Book Antiqua"/>
          <w:color w:val="000000"/>
        </w:rPr>
        <w:t>Paietta</w:t>
      </w:r>
      <w:proofErr w:type="spellEnd"/>
      <w:r>
        <w:rPr>
          <w:rFonts w:ascii="Book Antiqua" w:eastAsia="Book Antiqua" w:hAnsi="Book Antiqua" w:cs="Book Antiqua"/>
          <w:color w:val="000000"/>
        </w:rPr>
        <w:t xml:space="preserve"> E, Brown K. Anticipation in familial chronic lymphocytic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113</w:t>
      </w:r>
      <w:r>
        <w:rPr>
          <w:rFonts w:ascii="Book Antiqua" w:eastAsia="Book Antiqua" w:hAnsi="Book Antiqua" w:cs="Book Antiqua"/>
          <w:color w:val="000000"/>
        </w:rPr>
        <w:t>: 407-414 [PMID: 11380406 DOI: 10.1046/j.1365-2141.2001.02773.x]</w:t>
      </w:r>
    </w:p>
    <w:p w14:paraId="694165B4" w14:textId="77777777" w:rsidR="00A77B3E" w:rsidRDefault="00332EB4" w:rsidP="00BC320A">
      <w:pPr>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Armanios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Telomeres and age-related disease: how telomere biology informs clinical paradigms.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996-1002 [PMID: 23454763 DOI: 10.1172/JCI66370]</w:t>
      </w:r>
    </w:p>
    <w:p w14:paraId="0CE7940B" w14:textId="77777777" w:rsidR="00A77B3E" w:rsidRDefault="00332EB4" w:rsidP="00BC320A">
      <w:pPr>
        <w:snapToGrid w:val="0"/>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Armanios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Telomerase and idiopathic pulmonary fibrosis.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730</w:t>
      </w:r>
      <w:r>
        <w:rPr>
          <w:rFonts w:ascii="Book Antiqua" w:eastAsia="Book Antiqua" w:hAnsi="Book Antiqua" w:cs="Book Antiqua"/>
          <w:color w:val="000000"/>
        </w:rPr>
        <w:t>: 52-58 [PMID: 22079513 DOI: 10.1016/j.mrfmmm.2011.10.013]</w:t>
      </w:r>
    </w:p>
    <w:p w14:paraId="2B2721D2" w14:textId="77777777" w:rsidR="00A77B3E" w:rsidRDefault="00332EB4" w:rsidP="00BC320A">
      <w:pPr>
        <w:snapToGrid w:val="0"/>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Armanios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Blackburn EH. The telomere syndromes.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693-704 [PMID: 22965356 DOI: 10.1038/nrg3246]</w:t>
      </w:r>
    </w:p>
    <w:p w14:paraId="17493521"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Peng X, Chen C, Ning X, Peng S, Li T, Liu S, Hong B, Zhou J, Ma K, Cai L, Gong K. Intra-Familial Phenotypic Heterogeneity and Telomere Abnormality in von Hippel- Lindau Disease: Implications for Personalized Surveillance Plan and Pathogenesis of VHL-Associated Tumors.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358 [PMID: 31068970 DOI: 10.3389/fgene.2019.00358]</w:t>
      </w:r>
    </w:p>
    <w:p w14:paraId="6E880389" w14:textId="77777777" w:rsidR="00A77B3E" w:rsidRDefault="00332EB4" w:rsidP="00BC320A">
      <w:pPr>
        <w:snapToGrid w:val="0"/>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Holohan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Wright WE, Shay JW. Cell biology of disease: </w:t>
      </w:r>
      <w:proofErr w:type="spellStart"/>
      <w:r>
        <w:rPr>
          <w:rFonts w:ascii="Book Antiqua" w:eastAsia="Book Antiqua" w:hAnsi="Book Antiqua" w:cs="Book Antiqua"/>
          <w:color w:val="000000"/>
        </w:rPr>
        <w:t>Telomeropathies</w:t>
      </w:r>
      <w:proofErr w:type="spellEnd"/>
      <w:r>
        <w:rPr>
          <w:rFonts w:ascii="Book Antiqua" w:eastAsia="Book Antiqua" w:hAnsi="Book Antiqua" w:cs="Book Antiqua"/>
          <w:color w:val="000000"/>
        </w:rPr>
        <w:t xml:space="preserve">: an emerging spectrum disorder.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205</w:t>
      </w:r>
      <w:r>
        <w:rPr>
          <w:rFonts w:ascii="Book Antiqua" w:eastAsia="Book Antiqua" w:hAnsi="Book Antiqua" w:cs="Book Antiqua"/>
          <w:color w:val="000000"/>
        </w:rPr>
        <w:t>: 289-299 [PMID: 24821837 DOI: 10.1083/jcb.201401012]</w:t>
      </w:r>
    </w:p>
    <w:p w14:paraId="72FC82B9" w14:textId="77777777" w:rsidR="00A77B3E" w:rsidRDefault="00332EB4" w:rsidP="00BC320A">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Martinez-Delgado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Yanowsky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Inglada</w:t>
      </w:r>
      <w:proofErr w:type="spellEnd"/>
      <w:r>
        <w:rPr>
          <w:rFonts w:ascii="Book Antiqua" w:eastAsia="Book Antiqua" w:hAnsi="Book Antiqua" w:cs="Book Antiqua"/>
          <w:color w:val="000000"/>
        </w:rPr>
        <w:t xml:space="preserve">-Perez L, Domingo S, </w:t>
      </w:r>
      <w:proofErr w:type="spellStart"/>
      <w:r>
        <w:rPr>
          <w:rFonts w:ascii="Book Antiqua" w:eastAsia="Book Antiqua" w:hAnsi="Book Antiqua" w:cs="Book Antiqua"/>
          <w:color w:val="000000"/>
        </w:rPr>
        <w:t>Urioste</w:t>
      </w:r>
      <w:proofErr w:type="spellEnd"/>
      <w:r>
        <w:rPr>
          <w:rFonts w:ascii="Book Antiqua" w:eastAsia="Book Antiqua" w:hAnsi="Book Antiqua" w:cs="Book Antiqua"/>
          <w:color w:val="000000"/>
        </w:rPr>
        <w:t xml:space="preserve"> M, Osorio A, Benitez J. Genetic anticipation is associated with telomere shortening in hereditary breast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e1002182 [PMID: 21829373 DOI: 10.1371/journal.pgen.1002182]</w:t>
      </w:r>
    </w:p>
    <w:p w14:paraId="5C2FD908" w14:textId="77777777" w:rsidR="00A77B3E" w:rsidRDefault="00332EB4" w:rsidP="00BC320A">
      <w:pPr>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Yashima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Vuitch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Gazdar</w:t>
      </w:r>
      <w:proofErr w:type="spellEnd"/>
      <w:r>
        <w:rPr>
          <w:rFonts w:ascii="Book Antiqua" w:eastAsia="Book Antiqua" w:hAnsi="Book Antiqua" w:cs="Book Antiqua"/>
          <w:color w:val="000000"/>
        </w:rPr>
        <w:t xml:space="preserve"> AF, Fahey TJ 3rd. Telomerase activity in benign and malignant thyroid diseases.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1997; </w:t>
      </w:r>
      <w:r>
        <w:rPr>
          <w:rFonts w:ascii="Book Antiqua" w:eastAsia="Book Antiqua" w:hAnsi="Book Antiqua" w:cs="Book Antiqua"/>
          <w:b/>
          <w:bCs/>
          <w:color w:val="000000"/>
        </w:rPr>
        <w:t>122</w:t>
      </w:r>
      <w:r>
        <w:rPr>
          <w:rFonts w:ascii="Book Antiqua" w:eastAsia="Book Antiqua" w:hAnsi="Book Antiqua" w:cs="Book Antiqua"/>
          <w:color w:val="000000"/>
        </w:rPr>
        <w:t>: 1141-5; discussion 1145-6 [PMID: 9426431 DOI: 10.1016/s0039-6060(97)90220-8]</w:t>
      </w:r>
    </w:p>
    <w:p w14:paraId="32A6026A" w14:textId="77777777" w:rsidR="00A77B3E" w:rsidRDefault="00332EB4" w:rsidP="00BC320A">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Wu X</w:t>
      </w:r>
      <w:r>
        <w:rPr>
          <w:rFonts w:ascii="Book Antiqua" w:eastAsia="Book Antiqua" w:hAnsi="Book Antiqua" w:cs="Book Antiqua"/>
          <w:color w:val="000000"/>
        </w:rPr>
        <w:t xml:space="preserve">, Amos CI, Zhu Y, Zhao H, Grossman BH, Shay JW, Luo S, Hong WK, Spitz MR. Telomere dysfunction: a potential cancer predisposition factor.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1211-1218 [PMID: 12928346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/djg011]</w:t>
      </w:r>
    </w:p>
    <w:p w14:paraId="25B775AD" w14:textId="77777777" w:rsidR="00A77B3E" w:rsidRDefault="00332EB4" w:rsidP="00BC320A">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Srinivas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Rachakonda</w:t>
      </w:r>
      <w:proofErr w:type="spellEnd"/>
      <w:r>
        <w:rPr>
          <w:rFonts w:ascii="Book Antiqua" w:eastAsia="Book Antiqua" w:hAnsi="Book Antiqua" w:cs="Book Antiqua"/>
          <w:color w:val="000000"/>
        </w:rPr>
        <w:t xml:space="preserve"> S, Kumar R. Telomeres and Telomere Length: A General Overview.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558 [PMID: 32121056 DOI: 10.3390/cancers12030558]</w:t>
      </w:r>
    </w:p>
    <w:p w14:paraId="0A2A272C" w14:textId="77777777" w:rsidR="00A77B3E" w:rsidRDefault="00332EB4" w:rsidP="00BC320A">
      <w:pPr>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Risques</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Lai LA, Brentnall TA, Li L, Feng Z, Gallaher J, Mandelson MT, Potter JD, Bronner MP, Rabinovitch PS. Ulcerative colitis is a disease of accelerated colon aging: evidence from telomere attrition and DNA damage.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410-418 [PMID: 18519043 DOI: 10.1053/j.gastro.2008.04.008]</w:t>
      </w:r>
    </w:p>
    <w:p w14:paraId="0E2D74BD" w14:textId="77777777" w:rsidR="00A77B3E" w:rsidRDefault="00332EB4" w:rsidP="00BC320A">
      <w:pPr>
        <w:snapToGrid w:val="0"/>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Friis-Ottessen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Bendix L, </w:t>
      </w:r>
      <w:proofErr w:type="spellStart"/>
      <w:r>
        <w:rPr>
          <w:rFonts w:ascii="Book Antiqua" w:eastAsia="Book Antiqua" w:hAnsi="Book Antiqua" w:cs="Book Antiqua"/>
          <w:color w:val="000000"/>
        </w:rPr>
        <w:t>Kølvraa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Norheim</w:t>
      </w:r>
      <w:proofErr w:type="spellEnd"/>
      <w:r>
        <w:rPr>
          <w:rFonts w:ascii="Book Antiqua" w:eastAsia="Book Antiqua" w:hAnsi="Book Antiqua" w:cs="Book Antiqua"/>
          <w:color w:val="000000"/>
        </w:rPr>
        <w:t xml:space="preserve">-Andersen S, De Angelis PM, Clausen OP. Telomere shortening correlates to dysplasia but not to DNA aneuploidy in longstanding ulcerative colitis.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8 [PMID: 24405569 DOI: 10.1186/1471-230X-14-8]</w:t>
      </w:r>
    </w:p>
    <w:p w14:paraId="00E44185" w14:textId="77777777" w:rsidR="00A77B3E" w:rsidRDefault="00332EB4" w:rsidP="00BC320A">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Salk JJ</w:t>
      </w:r>
      <w:r>
        <w:rPr>
          <w:rFonts w:ascii="Book Antiqua" w:eastAsia="Book Antiqua" w:hAnsi="Book Antiqua" w:cs="Book Antiqua"/>
          <w:color w:val="000000"/>
        </w:rPr>
        <w:t xml:space="preserve">, Bansal A, Lai LA, Crispin DA, </w:t>
      </w:r>
      <w:proofErr w:type="spellStart"/>
      <w:r>
        <w:rPr>
          <w:rFonts w:ascii="Book Antiqua" w:eastAsia="Book Antiqua" w:hAnsi="Book Antiqua" w:cs="Book Antiqua"/>
          <w:color w:val="000000"/>
        </w:rPr>
        <w:t>Ussakli</w:t>
      </w:r>
      <w:proofErr w:type="spellEnd"/>
      <w:r>
        <w:rPr>
          <w:rFonts w:ascii="Book Antiqua" w:eastAsia="Book Antiqua" w:hAnsi="Book Antiqua" w:cs="Book Antiqua"/>
          <w:color w:val="000000"/>
        </w:rPr>
        <w:t xml:space="preserve"> CH, Horwitz MS, Bronner MP, Brentnall TA, Loeb LA, Rabinovitch PS, </w:t>
      </w:r>
      <w:proofErr w:type="spellStart"/>
      <w:r>
        <w:rPr>
          <w:rFonts w:ascii="Book Antiqua" w:eastAsia="Book Antiqua" w:hAnsi="Book Antiqua" w:cs="Book Antiqua"/>
          <w:color w:val="000000"/>
        </w:rPr>
        <w:t>Risques</w:t>
      </w:r>
      <w:proofErr w:type="spellEnd"/>
      <w:r>
        <w:rPr>
          <w:rFonts w:ascii="Book Antiqua" w:eastAsia="Book Antiqua" w:hAnsi="Book Antiqua" w:cs="Book Antiqua"/>
          <w:color w:val="000000"/>
        </w:rPr>
        <w:t xml:space="preserve"> RA. Clonal expansions and short </w:t>
      </w:r>
      <w:r>
        <w:rPr>
          <w:rFonts w:ascii="Book Antiqua" w:eastAsia="Book Antiqua" w:hAnsi="Book Antiqua" w:cs="Book Antiqua"/>
          <w:color w:val="000000"/>
        </w:rPr>
        <w:lastRenderedPageBreak/>
        <w:t xml:space="preserve">telomeres are associated with neoplasia in early-onset, but not late-onset,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2593-2602 [PMID: 24097228 DOI: 10.1097/MIB.0b013e3182a87640]</w:t>
      </w:r>
    </w:p>
    <w:p w14:paraId="4FB22A09" w14:textId="77777777" w:rsidR="00A77B3E" w:rsidRDefault="00332EB4" w:rsidP="00BC320A">
      <w:pPr>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Baerlocher</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Vulto</w:t>
      </w:r>
      <w:proofErr w:type="spellEnd"/>
      <w:r>
        <w:rPr>
          <w:rFonts w:ascii="Book Antiqua" w:eastAsia="Book Antiqua" w:hAnsi="Book Antiqua" w:cs="Book Antiqua"/>
          <w:color w:val="000000"/>
        </w:rPr>
        <w:t xml:space="preserve"> I, de Jong G, </w:t>
      </w:r>
      <w:proofErr w:type="spellStart"/>
      <w:r>
        <w:rPr>
          <w:rFonts w:ascii="Book Antiqua" w:eastAsia="Book Antiqua" w:hAnsi="Book Antiqua" w:cs="Book Antiqua"/>
          <w:color w:val="000000"/>
        </w:rPr>
        <w:t>Lansdorp</w:t>
      </w:r>
      <w:proofErr w:type="spellEnd"/>
      <w:r>
        <w:rPr>
          <w:rFonts w:ascii="Book Antiqua" w:eastAsia="Book Antiqua" w:hAnsi="Book Antiqua" w:cs="Book Antiqua"/>
          <w:color w:val="000000"/>
        </w:rPr>
        <w:t xml:space="preserve"> PM. Flow cytometry and FISH to measure the average length of telomeres (flow FISH).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2365-2376 [PMID: 17406480 DOI: 10.1038/nprot.2006.263]</w:t>
      </w:r>
    </w:p>
    <w:p w14:paraId="0103873F" w14:textId="77777777" w:rsidR="00A77B3E" w:rsidRDefault="00332EB4" w:rsidP="00BC320A">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Alder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Hanumanthu</w:t>
      </w:r>
      <w:proofErr w:type="spellEnd"/>
      <w:r>
        <w:rPr>
          <w:rFonts w:ascii="Book Antiqua" w:eastAsia="Book Antiqua" w:hAnsi="Book Antiqua" w:cs="Book Antiqua"/>
          <w:color w:val="000000"/>
        </w:rPr>
        <w:t xml:space="preserve"> VS, Strong MA, </w:t>
      </w:r>
      <w:proofErr w:type="spellStart"/>
      <w:r>
        <w:rPr>
          <w:rFonts w:ascii="Book Antiqua" w:eastAsia="Book Antiqua" w:hAnsi="Book Antiqua" w:cs="Book Antiqua"/>
          <w:color w:val="000000"/>
        </w:rPr>
        <w:t>DeZern</w:t>
      </w:r>
      <w:proofErr w:type="spellEnd"/>
      <w:r>
        <w:rPr>
          <w:rFonts w:ascii="Book Antiqua" w:eastAsia="Book Antiqua" w:hAnsi="Book Antiqua" w:cs="Book Antiqua"/>
          <w:color w:val="000000"/>
        </w:rPr>
        <w:t xml:space="preserve"> AE, Stanley SE, Takemoto CM, Danilova L, Applegate CD, Bolton SG, Mohr DW, Brodsky RA, Casella JF, </w:t>
      </w:r>
      <w:proofErr w:type="spellStart"/>
      <w:r>
        <w:rPr>
          <w:rFonts w:ascii="Book Antiqua" w:eastAsia="Book Antiqua" w:hAnsi="Book Antiqua" w:cs="Book Antiqua"/>
          <w:color w:val="000000"/>
        </w:rPr>
        <w:t>Greider</w:t>
      </w:r>
      <w:proofErr w:type="spellEnd"/>
      <w:r>
        <w:rPr>
          <w:rFonts w:ascii="Book Antiqua" w:eastAsia="Book Antiqua" w:hAnsi="Book Antiqua" w:cs="Book Antiqua"/>
          <w:color w:val="000000"/>
        </w:rPr>
        <w:t xml:space="preserve"> CW, Jackson JB, </w:t>
      </w:r>
      <w:proofErr w:type="spellStart"/>
      <w:r>
        <w:rPr>
          <w:rFonts w:ascii="Book Antiqua" w:eastAsia="Book Antiqua" w:hAnsi="Book Antiqua" w:cs="Book Antiqua"/>
          <w:color w:val="000000"/>
        </w:rPr>
        <w:t>Armanios</w:t>
      </w:r>
      <w:proofErr w:type="spellEnd"/>
      <w:r>
        <w:rPr>
          <w:rFonts w:ascii="Book Antiqua" w:eastAsia="Book Antiqua" w:hAnsi="Book Antiqua" w:cs="Book Antiqua"/>
          <w:color w:val="000000"/>
        </w:rPr>
        <w:t xml:space="preserve"> M. Diagnostic utility of telomere length testing in a hospital-based setting.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E2358-E2365 [PMID: 29463756 DOI: 10.1073/pnas.1720427115]</w:t>
      </w:r>
    </w:p>
    <w:p w14:paraId="7F683102" w14:textId="77777777" w:rsidR="00A77B3E" w:rsidRDefault="00332EB4" w:rsidP="00BC320A">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Li H</w:t>
      </w:r>
      <w:r>
        <w:rPr>
          <w:rFonts w:ascii="Book Antiqua" w:eastAsia="Book Antiqua" w:hAnsi="Book Antiqua" w:cs="Book Antiqua"/>
          <w:color w:val="000000"/>
        </w:rPr>
        <w:t xml:space="preserve">, Durbin R. Fast and accurate short read alignment with Burrows-Wheeler transform.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1754-1760 [PMID: 19451168 DOI: 10.1093/bioinformatics/btp324]</w:t>
      </w:r>
    </w:p>
    <w:p w14:paraId="5B2D119D" w14:textId="77777777" w:rsidR="00A77B3E" w:rsidRDefault="00332EB4" w:rsidP="00BC320A">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Church DM</w:t>
      </w:r>
      <w:r>
        <w:rPr>
          <w:rFonts w:ascii="Book Antiqua" w:eastAsia="Book Antiqua" w:hAnsi="Book Antiqua" w:cs="Book Antiqua"/>
          <w:color w:val="000000"/>
        </w:rPr>
        <w:t xml:space="preserve">, Schneider VA, Graves T, Auger K, Cunningham F, </w:t>
      </w:r>
      <w:proofErr w:type="spellStart"/>
      <w:r>
        <w:rPr>
          <w:rFonts w:ascii="Book Antiqua" w:eastAsia="Book Antiqua" w:hAnsi="Book Antiqua" w:cs="Book Antiqua"/>
          <w:color w:val="000000"/>
        </w:rPr>
        <w:t>Bouk</w:t>
      </w:r>
      <w:proofErr w:type="spellEnd"/>
      <w:r>
        <w:rPr>
          <w:rFonts w:ascii="Book Antiqua" w:eastAsia="Book Antiqua" w:hAnsi="Book Antiqua" w:cs="Book Antiqua"/>
          <w:color w:val="000000"/>
        </w:rPr>
        <w:t xml:space="preserve"> N, Chen HC, </w:t>
      </w:r>
      <w:proofErr w:type="spellStart"/>
      <w:r>
        <w:rPr>
          <w:rFonts w:ascii="Book Antiqua" w:eastAsia="Book Antiqua" w:hAnsi="Book Antiqua" w:cs="Book Antiqua"/>
          <w:color w:val="000000"/>
        </w:rPr>
        <w:t>Agarwala</w:t>
      </w:r>
      <w:proofErr w:type="spellEnd"/>
      <w:r>
        <w:rPr>
          <w:rFonts w:ascii="Book Antiqua" w:eastAsia="Book Antiqua" w:hAnsi="Book Antiqua" w:cs="Book Antiqua"/>
          <w:color w:val="000000"/>
        </w:rPr>
        <w:t xml:space="preserve"> R, McLaren WM, Ritchie GR, </w:t>
      </w:r>
      <w:proofErr w:type="spellStart"/>
      <w:r>
        <w:rPr>
          <w:rFonts w:ascii="Book Antiqua" w:eastAsia="Book Antiqua" w:hAnsi="Book Antiqua" w:cs="Book Antiqua"/>
          <w:color w:val="000000"/>
        </w:rPr>
        <w:t>Albracht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Kremitzki</w:t>
      </w:r>
      <w:proofErr w:type="spellEnd"/>
      <w:r>
        <w:rPr>
          <w:rFonts w:ascii="Book Antiqua" w:eastAsia="Book Antiqua" w:hAnsi="Book Antiqua" w:cs="Book Antiqua"/>
          <w:color w:val="000000"/>
        </w:rPr>
        <w:t xml:space="preserve"> M, Rock S, </w:t>
      </w:r>
      <w:proofErr w:type="spellStart"/>
      <w:r>
        <w:rPr>
          <w:rFonts w:ascii="Book Antiqua" w:eastAsia="Book Antiqua" w:hAnsi="Book Antiqua" w:cs="Book Antiqua"/>
          <w:color w:val="000000"/>
        </w:rPr>
        <w:t>Kotkiewicz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Kremitzki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Wollam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Trani</w:t>
      </w:r>
      <w:proofErr w:type="spellEnd"/>
      <w:r>
        <w:rPr>
          <w:rFonts w:ascii="Book Antiqua" w:eastAsia="Book Antiqua" w:hAnsi="Book Antiqua" w:cs="Book Antiqua"/>
          <w:color w:val="000000"/>
        </w:rPr>
        <w:t xml:space="preserve"> L, Fulton L, Fulton R, Matthews L, Whitehead S, Chow W, Torrance J, Dunn M, Harden G, Threadgold G, Wood J, Collins J, Heath P, Griffiths G, Pelan S, </w:t>
      </w:r>
      <w:proofErr w:type="spellStart"/>
      <w:r>
        <w:rPr>
          <w:rFonts w:ascii="Book Antiqua" w:eastAsia="Book Antiqua" w:hAnsi="Book Antiqua" w:cs="Book Antiqua"/>
          <w:color w:val="000000"/>
        </w:rPr>
        <w:t>Grafham</w:t>
      </w:r>
      <w:proofErr w:type="spellEnd"/>
      <w:r>
        <w:rPr>
          <w:rFonts w:ascii="Book Antiqua" w:eastAsia="Book Antiqua" w:hAnsi="Book Antiqua" w:cs="Book Antiqua"/>
          <w:color w:val="000000"/>
        </w:rPr>
        <w:t xml:space="preserve"> D, Eichler EE, Weinstock G, </w:t>
      </w:r>
      <w:proofErr w:type="spellStart"/>
      <w:r>
        <w:rPr>
          <w:rFonts w:ascii="Book Antiqua" w:eastAsia="Book Antiqua" w:hAnsi="Book Antiqua" w:cs="Book Antiqua"/>
          <w:color w:val="000000"/>
        </w:rPr>
        <w:t>Mardis</w:t>
      </w:r>
      <w:proofErr w:type="spellEnd"/>
      <w:r>
        <w:rPr>
          <w:rFonts w:ascii="Book Antiqua" w:eastAsia="Book Antiqua" w:hAnsi="Book Antiqua" w:cs="Book Antiqua"/>
          <w:color w:val="000000"/>
        </w:rPr>
        <w:t xml:space="preserve"> ER, Wilson RK, Howe K, </w:t>
      </w:r>
      <w:proofErr w:type="spellStart"/>
      <w:r>
        <w:rPr>
          <w:rFonts w:ascii="Book Antiqua" w:eastAsia="Book Antiqua" w:hAnsi="Book Antiqua" w:cs="Book Antiqua"/>
          <w:color w:val="000000"/>
        </w:rPr>
        <w:t>Flicek</w:t>
      </w:r>
      <w:proofErr w:type="spellEnd"/>
      <w:r>
        <w:rPr>
          <w:rFonts w:ascii="Book Antiqua" w:eastAsia="Book Antiqua" w:hAnsi="Book Antiqua" w:cs="Book Antiqua"/>
          <w:color w:val="000000"/>
        </w:rPr>
        <w:t xml:space="preserve"> P, Hubbard T. Modernizing reference genome assemblies.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e1001091 [PMID: 21750661 DOI: 10.1371/journal.pbio.1001091]</w:t>
      </w:r>
    </w:p>
    <w:p w14:paraId="6B098B06" w14:textId="77777777" w:rsidR="00A77B3E" w:rsidRDefault="00332EB4" w:rsidP="00BC320A">
      <w:pPr>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Puchner T</w:t>
      </w:r>
      <w:r>
        <w:rPr>
          <w:rFonts w:ascii="Book Antiqua" w:eastAsia="Book Antiqua" w:hAnsi="Book Antiqua" w:cs="Book Antiqua"/>
          <w:color w:val="000000"/>
        </w:rPr>
        <w:t xml:space="preserve">. [Infections of the lower genital tract in asymptomatic pregnant women--a prospective study]. </w:t>
      </w:r>
      <w:r>
        <w:rPr>
          <w:rFonts w:ascii="Book Antiqua" w:eastAsia="Book Antiqua" w:hAnsi="Book Antiqua" w:cs="Book Antiqua"/>
          <w:i/>
          <w:iCs/>
          <w:color w:val="000000"/>
        </w:rPr>
        <w:t xml:space="preserve">Z </w:t>
      </w:r>
      <w:proofErr w:type="spellStart"/>
      <w:r>
        <w:rPr>
          <w:rFonts w:ascii="Book Antiqua" w:eastAsia="Book Antiqua" w:hAnsi="Book Antiqua" w:cs="Book Antiqua"/>
          <w:i/>
          <w:iCs/>
          <w:color w:val="000000"/>
        </w:rPr>
        <w:t>Geburtshilfe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196</w:t>
      </w:r>
      <w:r>
        <w:rPr>
          <w:rFonts w:ascii="Book Antiqua" w:eastAsia="Book Antiqua" w:hAnsi="Book Antiqua" w:cs="Book Antiqua"/>
          <w:color w:val="000000"/>
        </w:rPr>
        <w:t>: 1-6 [PMID: 1549913 DOI: 10.1038/nature03001]</w:t>
      </w:r>
    </w:p>
    <w:p w14:paraId="682760F6" w14:textId="77777777" w:rsidR="00A77B3E" w:rsidRDefault="00332EB4" w:rsidP="00BC320A">
      <w:pPr>
        <w:snapToGrid w:val="0"/>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DePristo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Banks E, Poplin R, </w:t>
      </w:r>
      <w:proofErr w:type="spellStart"/>
      <w:r>
        <w:rPr>
          <w:rFonts w:ascii="Book Antiqua" w:eastAsia="Book Antiqua" w:hAnsi="Book Antiqua" w:cs="Book Antiqua"/>
          <w:color w:val="000000"/>
        </w:rPr>
        <w:t>Garimella</w:t>
      </w:r>
      <w:proofErr w:type="spellEnd"/>
      <w:r>
        <w:rPr>
          <w:rFonts w:ascii="Book Antiqua" w:eastAsia="Book Antiqua" w:hAnsi="Book Antiqua" w:cs="Book Antiqua"/>
          <w:color w:val="000000"/>
        </w:rPr>
        <w:t xml:space="preserve"> KV, Maguire JR,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Philippakis</w:t>
      </w:r>
      <w:proofErr w:type="spellEnd"/>
      <w:r>
        <w:rPr>
          <w:rFonts w:ascii="Book Antiqua" w:eastAsia="Book Antiqua" w:hAnsi="Book Antiqua" w:cs="Book Antiqua"/>
          <w:color w:val="000000"/>
        </w:rPr>
        <w:t xml:space="preserve"> AA, del Angel G, Rivas MA, Hanna M, McKenna A, Fennell TJ, </w:t>
      </w:r>
      <w:proofErr w:type="spellStart"/>
      <w:r>
        <w:rPr>
          <w:rFonts w:ascii="Book Antiqua" w:eastAsia="Book Antiqua" w:hAnsi="Book Antiqua" w:cs="Book Antiqua"/>
          <w:color w:val="000000"/>
        </w:rPr>
        <w:t>Kernytsky</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Sivachenko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Cibulskis</w:t>
      </w:r>
      <w:proofErr w:type="spellEnd"/>
      <w:r>
        <w:rPr>
          <w:rFonts w:ascii="Book Antiqua" w:eastAsia="Book Antiqua" w:hAnsi="Book Antiqua" w:cs="Book Antiqua"/>
          <w:color w:val="000000"/>
        </w:rPr>
        <w:t xml:space="preserve"> K, Gabriel SB,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D, Daly MJ. A framework for variation discovery and genotyping using next-generation DNA sequencing data.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491-498 [PMID: 21478889 DOI: 10.1038/ng.806]</w:t>
      </w:r>
    </w:p>
    <w:p w14:paraId="49BF99E7"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Sobreira</w:t>
      </w:r>
      <w:proofErr w:type="spellEnd"/>
      <w:r>
        <w:rPr>
          <w:rFonts w:ascii="Book Antiqua" w:eastAsia="Book Antiqua" w:hAnsi="Book Antiqua" w:cs="Book Antiqua"/>
          <w:b/>
          <w:bCs/>
          <w:color w:val="000000"/>
        </w:rPr>
        <w:t xml:space="preserve"> N, </w:t>
      </w:r>
      <w:proofErr w:type="spellStart"/>
      <w:r>
        <w:rPr>
          <w:rFonts w:ascii="Book Antiqua" w:eastAsia="Book Antiqua" w:hAnsi="Book Antiqua" w:cs="Book Antiqua"/>
          <w:color w:val="000000"/>
        </w:rPr>
        <w:t>Schiettecatte</w:t>
      </w:r>
      <w:proofErr w:type="spellEnd"/>
      <w:r>
        <w:rPr>
          <w:rFonts w:ascii="Book Antiqua" w:eastAsia="Book Antiqua" w:hAnsi="Book Antiqua" w:cs="Book Antiqua"/>
          <w:color w:val="000000"/>
        </w:rPr>
        <w:t xml:space="preserve"> F, Boehm C, Valle D, </w:t>
      </w:r>
      <w:proofErr w:type="spellStart"/>
      <w:r>
        <w:rPr>
          <w:rFonts w:ascii="Book Antiqua" w:eastAsia="Book Antiqua" w:hAnsi="Book Antiqua" w:cs="Book Antiqua"/>
          <w:color w:val="000000"/>
        </w:rPr>
        <w:t>Hamosh</w:t>
      </w:r>
      <w:proofErr w:type="spellEnd"/>
      <w:r>
        <w:rPr>
          <w:rFonts w:ascii="Book Antiqua" w:eastAsia="Book Antiqua" w:hAnsi="Book Antiqua" w:cs="Book Antiqua"/>
          <w:color w:val="000000"/>
        </w:rPr>
        <w:t xml:space="preserve"> A. New tools for Mendelian disease gene identification: </w:t>
      </w:r>
      <w:proofErr w:type="spellStart"/>
      <w:r>
        <w:rPr>
          <w:rFonts w:ascii="Book Antiqua" w:eastAsia="Book Antiqua" w:hAnsi="Book Antiqua" w:cs="Book Antiqua"/>
          <w:color w:val="000000"/>
        </w:rPr>
        <w:t>PhenoDB</w:t>
      </w:r>
      <w:proofErr w:type="spellEnd"/>
      <w:r>
        <w:rPr>
          <w:rFonts w:ascii="Book Antiqua" w:eastAsia="Book Antiqua" w:hAnsi="Book Antiqua" w:cs="Book Antiqua"/>
          <w:color w:val="000000"/>
        </w:rPr>
        <w:t xml:space="preserve"> variant analysis module; and </w:t>
      </w:r>
      <w:proofErr w:type="spellStart"/>
      <w:r>
        <w:rPr>
          <w:rFonts w:ascii="Book Antiqua" w:eastAsia="Book Antiqua" w:hAnsi="Book Antiqua" w:cs="Book Antiqua"/>
          <w:color w:val="000000"/>
        </w:rPr>
        <w:t>GeneMatcher</w:t>
      </w:r>
      <w:proofErr w:type="spellEnd"/>
      <w:r>
        <w:rPr>
          <w:rFonts w:ascii="Book Antiqua" w:eastAsia="Book Antiqua" w:hAnsi="Book Antiqua" w:cs="Book Antiqua"/>
          <w:color w:val="000000"/>
        </w:rPr>
        <w:t xml:space="preserve">, a web-based tool for linking investigators with an interest in the same gene.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425-431</w:t>
      </w:r>
      <w:r>
        <w:rPr>
          <w:rFonts w:ascii="Book Antiqua" w:eastAsia="Book Antiqua" w:hAnsi="Book Antiqua" w:cs="Book Antiqua"/>
          <w:b/>
          <w:bCs/>
          <w:color w:val="000000"/>
        </w:rPr>
        <w:t xml:space="preserve"> </w:t>
      </w:r>
      <w:r>
        <w:rPr>
          <w:rFonts w:ascii="Book Antiqua" w:eastAsia="Book Antiqua" w:hAnsi="Book Antiqua" w:cs="Book Antiqua"/>
          <w:color w:val="000000"/>
        </w:rPr>
        <w:t>[PMID: 25684268 DOI: 10.1002/humu.22769]</w:t>
      </w:r>
    </w:p>
    <w:p w14:paraId="56801945" w14:textId="77777777" w:rsidR="00A77B3E" w:rsidRDefault="00332EB4" w:rsidP="00BC320A">
      <w:pPr>
        <w:snapToGrid w:val="0"/>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Boonstra</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Mukherjee B, Taylor JM, </w:t>
      </w:r>
      <w:proofErr w:type="spellStart"/>
      <w:r>
        <w:rPr>
          <w:rFonts w:ascii="Book Antiqua" w:eastAsia="Book Antiqua" w:hAnsi="Book Antiqua" w:cs="Book Antiqua"/>
          <w:color w:val="000000"/>
        </w:rPr>
        <w:t>Nilbert</w:t>
      </w:r>
      <w:proofErr w:type="spellEnd"/>
      <w:r>
        <w:rPr>
          <w:rFonts w:ascii="Book Antiqua" w:eastAsia="Book Antiqua" w:hAnsi="Book Antiqua" w:cs="Book Antiqua"/>
          <w:color w:val="000000"/>
        </w:rPr>
        <w:t xml:space="preserve"> M, Moreno V, Gruber SB. Bayesian modeling for genetic anticipation in presence of mutational heterogeneity: a case study in Lynch syndrome.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1627-1637 [PMID: 21627626 DOI: 10.1111/j.1541-0420.2011.01607.x]</w:t>
      </w:r>
    </w:p>
    <w:p w14:paraId="0B564A8E" w14:textId="77777777" w:rsidR="00A77B3E" w:rsidRDefault="00332EB4" w:rsidP="00BC320A">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Ellis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Churilov</w:t>
      </w:r>
      <w:proofErr w:type="spellEnd"/>
      <w:r>
        <w:rPr>
          <w:rFonts w:ascii="Book Antiqua" w:eastAsia="Book Antiqua" w:hAnsi="Book Antiqua" w:cs="Book Antiqua"/>
          <w:color w:val="000000"/>
        </w:rPr>
        <w:t xml:space="preserve"> L, Epstein MP,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SX, Bellows ST, </w:t>
      </w:r>
      <w:proofErr w:type="spellStart"/>
      <w:r>
        <w:rPr>
          <w:rFonts w:ascii="Book Antiqua" w:eastAsia="Book Antiqua" w:hAnsi="Book Antiqua" w:cs="Book Antiqua"/>
          <w:color w:val="000000"/>
        </w:rPr>
        <w:t>Ottman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SF; Epi4K Consortium. Epilepsy in families: Age at onset is a familial trait, independent of syndrome.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91-98 [PMID: 31050039 DOI: 10.1002/ana.25499]</w:t>
      </w:r>
    </w:p>
    <w:p w14:paraId="0876DEF0" w14:textId="77777777" w:rsidR="00A77B3E" w:rsidRDefault="00332EB4" w:rsidP="00BC320A">
      <w:pPr>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Lanni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Pearson CE. Molecular genetics of congenital myotonic dystrophy.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104533 [PMID: 31326502 DOI: 10.1016/j.nbd.2019.104533]</w:t>
      </w:r>
    </w:p>
    <w:p w14:paraId="53535D40" w14:textId="77777777" w:rsidR="00A77B3E" w:rsidRDefault="00332EB4" w:rsidP="00BC320A">
      <w:pPr>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Cahn S</w:t>
      </w:r>
      <w:r>
        <w:rPr>
          <w:rFonts w:ascii="Book Antiqua" w:eastAsia="Book Antiqua" w:hAnsi="Book Antiqua" w:cs="Book Antiqua"/>
          <w:color w:val="000000"/>
        </w:rPr>
        <w:t xml:space="preserve">, Rosen A, Wilmot G. Spinocerebellar Ataxia Patient Perceptions Regarding Reproductive Options.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37-44 [PMID: 31970210 DOI: 10.1002/mdc3.12859]</w:t>
      </w:r>
    </w:p>
    <w:p w14:paraId="402D45B4" w14:textId="77777777" w:rsidR="00A77B3E" w:rsidRDefault="00332EB4" w:rsidP="00BC320A">
      <w:pPr>
        <w:snapToGrid w:val="0"/>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Shibata T, Okubo M, Kawamura T, Sumi K, Ishizuka T, Nakamura M,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M, Nakagawa Y,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Arisawa</w:t>
      </w:r>
      <w:proofErr w:type="spellEnd"/>
      <w:r>
        <w:rPr>
          <w:rFonts w:ascii="Book Antiqua" w:eastAsia="Book Antiqua" w:hAnsi="Book Antiqua" w:cs="Book Antiqua"/>
          <w:color w:val="000000"/>
        </w:rPr>
        <w:t xml:space="preserve"> T, Hirata I. Telomere length in non-neoplastic colonic mucosa in ulcerative colitis (UC) and its relationship to the severe clinical phenotypes.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327-332 [PMID: 24925640 DOI: 10.1007/s10238-014-0295-4]</w:t>
      </w:r>
    </w:p>
    <w:p w14:paraId="23D7E1FC" w14:textId="77777777" w:rsidR="00A77B3E" w:rsidRDefault="00332EB4" w:rsidP="00BC320A">
      <w:pPr>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Moran CJ</w:t>
      </w:r>
      <w:r>
        <w:rPr>
          <w:rFonts w:ascii="Book Antiqua" w:eastAsia="Book Antiqua" w:hAnsi="Book Antiqua" w:cs="Book Antiqua"/>
          <w:color w:val="000000"/>
        </w:rPr>
        <w:t xml:space="preserve">, Klein C, Muise AM, Snapper SB. Very early-onset inflammatory bowel disease: gaining insight through focused discovery.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1166-1175 [PMID: 25895007 DOI: 10.1097/MIB.0000000000000329]</w:t>
      </w:r>
    </w:p>
    <w:p w14:paraId="2C0540FD" w14:textId="77777777" w:rsidR="00A77B3E" w:rsidRDefault="00332EB4" w:rsidP="00BC320A">
      <w:pPr>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Trotta L</w:t>
      </w:r>
      <w:r>
        <w:rPr>
          <w:rFonts w:ascii="Book Antiqua" w:eastAsia="Book Antiqua" w:hAnsi="Book Antiqua" w:cs="Book Antiqua"/>
          <w:color w:val="000000"/>
        </w:rPr>
        <w:t xml:space="preserve">, Norberg A, </w:t>
      </w:r>
      <w:proofErr w:type="spellStart"/>
      <w:r>
        <w:rPr>
          <w:rFonts w:ascii="Book Antiqua" w:eastAsia="Book Antiqua" w:hAnsi="Book Antiqua" w:cs="Book Antiqua"/>
          <w:color w:val="000000"/>
        </w:rPr>
        <w:t>Taskinen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Béziat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Degerman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Wartiovaara-Kautto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Välimaa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Jahnukainen</w:t>
      </w:r>
      <w:proofErr w:type="spellEnd"/>
      <w:r>
        <w:rPr>
          <w:rFonts w:ascii="Book Antiqua" w:eastAsia="Book Antiqua" w:hAnsi="Book Antiqua" w:cs="Book Antiqua"/>
          <w:color w:val="000000"/>
        </w:rPr>
        <w:t xml:space="preserve"> K, Casanova JL, </w:t>
      </w:r>
      <w:proofErr w:type="spellStart"/>
      <w:r>
        <w:rPr>
          <w:rFonts w:ascii="Book Antiqua" w:eastAsia="Book Antiqua" w:hAnsi="Book Antiqua" w:cs="Book Antiqua"/>
          <w:color w:val="000000"/>
        </w:rPr>
        <w:t>Seppänen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Saarela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Koskenvuo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Martelius</w:t>
      </w:r>
      <w:proofErr w:type="spellEnd"/>
      <w:r>
        <w:rPr>
          <w:rFonts w:ascii="Book Antiqua" w:eastAsia="Book Antiqua" w:hAnsi="Book Antiqua" w:cs="Book Antiqua"/>
          <w:color w:val="000000"/>
        </w:rPr>
        <w:t xml:space="preserve"> T. Diagnostics of rare disorders: whole-exome sequencing deciphering locus heterogeneity in telomere biology disorders.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139 [PMID: 30115091 DOI: 10.1186/s13023-018-0864-9]</w:t>
      </w:r>
    </w:p>
    <w:p w14:paraId="609AE57A"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Cuthbert AP</w:t>
      </w:r>
      <w:r>
        <w:rPr>
          <w:rFonts w:ascii="Book Antiqua" w:eastAsia="Book Antiqua" w:hAnsi="Book Antiqua" w:cs="Book Antiqua"/>
          <w:color w:val="000000"/>
        </w:rPr>
        <w:t xml:space="preserve">, Fisher SA, Mirza MM, King K, </w:t>
      </w:r>
      <w:proofErr w:type="spellStart"/>
      <w:r>
        <w:rPr>
          <w:rFonts w:ascii="Book Antiqua" w:eastAsia="Book Antiqua" w:hAnsi="Book Antiqua" w:cs="Book Antiqua"/>
          <w:color w:val="000000"/>
        </w:rPr>
        <w:t>Hampe</w:t>
      </w:r>
      <w:proofErr w:type="spellEnd"/>
      <w:r>
        <w:rPr>
          <w:rFonts w:ascii="Book Antiqua" w:eastAsia="Book Antiqua" w:hAnsi="Book Antiqua" w:cs="Book Antiqua"/>
          <w:color w:val="000000"/>
        </w:rPr>
        <w:t xml:space="preserve"> J, Croucher PJ, </w:t>
      </w:r>
      <w:proofErr w:type="spellStart"/>
      <w:r>
        <w:rPr>
          <w:rFonts w:ascii="Book Antiqua" w:eastAsia="Book Antiqua" w:hAnsi="Book Antiqua" w:cs="Book Antiqua"/>
          <w:color w:val="000000"/>
        </w:rPr>
        <w:t>Mascheretti</w:t>
      </w:r>
      <w:proofErr w:type="spellEnd"/>
      <w:r>
        <w:rPr>
          <w:rFonts w:ascii="Book Antiqua" w:eastAsia="Book Antiqua" w:hAnsi="Book Antiqua" w:cs="Book Antiqua"/>
          <w:color w:val="000000"/>
        </w:rPr>
        <w:t xml:space="preserve"> S, Sanderson J, Forbes A, Mansfield J, Schreiber S, Lewis CM, Mathew CG. The contribution of NOD2 gene mutations to the risk and site of disease in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867-874 [PMID: 11910337 DOI: 10.1053/gast.2002.32415]</w:t>
      </w:r>
    </w:p>
    <w:p w14:paraId="316262AC" w14:textId="77777777" w:rsidR="00A77B3E" w:rsidRDefault="00A77B3E" w:rsidP="00BC320A">
      <w:pPr>
        <w:snapToGrid w:val="0"/>
        <w:spacing w:line="360" w:lineRule="auto"/>
        <w:jc w:val="both"/>
        <w:sectPr w:rsidR="00A77B3E">
          <w:pgSz w:w="12240" w:h="15840"/>
          <w:pgMar w:top="1440" w:right="1440" w:bottom="1440" w:left="1440" w:header="720" w:footer="720" w:gutter="0"/>
          <w:cols w:space="720"/>
          <w:docGrid w:linePitch="360"/>
        </w:sectPr>
      </w:pPr>
    </w:p>
    <w:p w14:paraId="267022CC" w14:textId="77777777" w:rsidR="00A77B3E" w:rsidRDefault="00332EB4" w:rsidP="00BC320A">
      <w:pPr>
        <w:snapToGrid w:val="0"/>
        <w:spacing w:line="360" w:lineRule="auto"/>
        <w:jc w:val="both"/>
      </w:pPr>
      <w:r>
        <w:rPr>
          <w:rFonts w:ascii="Book Antiqua" w:eastAsia="Book Antiqua" w:hAnsi="Book Antiqua" w:cs="Book Antiqua"/>
          <w:b/>
          <w:color w:val="000000"/>
        </w:rPr>
        <w:lastRenderedPageBreak/>
        <w:t>Footnotes</w:t>
      </w:r>
    </w:p>
    <w:p w14:paraId="36F3BC6F"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Johns Hopkins School of Medicine.</w:t>
      </w:r>
    </w:p>
    <w:p w14:paraId="3F90BD60" w14:textId="77777777" w:rsidR="00A77B3E" w:rsidRDefault="00A77B3E" w:rsidP="00BC320A">
      <w:pPr>
        <w:snapToGrid w:val="0"/>
        <w:spacing w:line="360" w:lineRule="auto"/>
        <w:jc w:val="both"/>
      </w:pPr>
    </w:p>
    <w:p w14:paraId="2EBDD78E"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w:t>
      </w:r>
    </w:p>
    <w:p w14:paraId="44032798" w14:textId="77777777" w:rsidR="00A77B3E" w:rsidRDefault="00A77B3E" w:rsidP="00BC320A">
      <w:pPr>
        <w:snapToGrid w:val="0"/>
        <w:spacing w:line="360" w:lineRule="auto"/>
        <w:jc w:val="both"/>
      </w:pPr>
    </w:p>
    <w:p w14:paraId="4812D739"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15D779DB" w14:textId="77777777" w:rsidR="00A77B3E" w:rsidRDefault="00A77B3E" w:rsidP="00BC320A">
      <w:pPr>
        <w:snapToGrid w:val="0"/>
        <w:spacing w:line="360" w:lineRule="auto"/>
        <w:jc w:val="both"/>
      </w:pPr>
    </w:p>
    <w:p w14:paraId="066A795D"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DBE9E1B" w14:textId="77777777" w:rsidR="00A77B3E" w:rsidRDefault="00A77B3E" w:rsidP="00BC320A">
      <w:pPr>
        <w:snapToGrid w:val="0"/>
        <w:spacing w:line="360" w:lineRule="auto"/>
        <w:jc w:val="both"/>
      </w:pPr>
    </w:p>
    <w:p w14:paraId="54C449EC" w14:textId="77777777" w:rsidR="00A77B3E" w:rsidRDefault="00332EB4" w:rsidP="00BC320A">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54D3F4" w14:textId="77777777" w:rsidR="00A77B3E" w:rsidRDefault="00A77B3E" w:rsidP="00BC320A">
      <w:pPr>
        <w:snapToGrid w:val="0"/>
        <w:spacing w:line="360" w:lineRule="auto"/>
        <w:jc w:val="both"/>
      </w:pPr>
    </w:p>
    <w:p w14:paraId="1653FCBA" w14:textId="3CCA24AF" w:rsidR="00A77B3E" w:rsidRDefault="00332EB4" w:rsidP="00BC320A">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E0C97">
        <w:rPr>
          <w:rFonts w:ascii="Book Antiqua" w:eastAsia="Book Antiqua" w:hAnsi="Book Antiqua" w:cs="Book Antiqua"/>
          <w:color w:val="000000"/>
        </w:rPr>
        <w:t>m</w:t>
      </w:r>
      <w:r>
        <w:rPr>
          <w:rFonts w:ascii="Book Antiqua" w:eastAsia="Book Antiqua" w:hAnsi="Book Antiqua" w:cs="Book Antiqua"/>
          <w:color w:val="000000"/>
        </w:rPr>
        <w:t>anuscript</w:t>
      </w:r>
    </w:p>
    <w:p w14:paraId="2F13312E" w14:textId="77777777" w:rsidR="00A77B3E" w:rsidRDefault="00A77B3E" w:rsidP="00BC320A">
      <w:pPr>
        <w:snapToGrid w:val="0"/>
        <w:spacing w:line="360" w:lineRule="auto"/>
        <w:jc w:val="both"/>
      </w:pPr>
    </w:p>
    <w:p w14:paraId="0E5281BD"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28, 2020</w:t>
      </w:r>
    </w:p>
    <w:p w14:paraId="0E47E2D7"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2020</w:t>
      </w:r>
    </w:p>
    <w:p w14:paraId="76D607E7"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Article in press: </w:t>
      </w:r>
    </w:p>
    <w:p w14:paraId="0BFA12CC" w14:textId="77777777" w:rsidR="00A77B3E" w:rsidRDefault="00A77B3E" w:rsidP="00BC320A">
      <w:pPr>
        <w:snapToGrid w:val="0"/>
        <w:spacing w:line="360" w:lineRule="auto"/>
        <w:jc w:val="both"/>
      </w:pPr>
    </w:p>
    <w:p w14:paraId="13AFC28D" w14:textId="155FE23B" w:rsidR="00A77B3E" w:rsidRDefault="00332EB4" w:rsidP="00BC320A">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DE0C97">
        <w:rPr>
          <w:rFonts w:ascii="Book Antiqua" w:eastAsia="Book Antiqua" w:hAnsi="Book Antiqua" w:cs="Book Antiqua"/>
          <w:color w:val="000000"/>
        </w:rPr>
        <w:t>h</w:t>
      </w:r>
      <w:r>
        <w:rPr>
          <w:rFonts w:ascii="Book Antiqua" w:eastAsia="Book Antiqua" w:hAnsi="Book Antiqua" w:cs="Book Antiqua"/>
          <w:color w:val="000000"/>
        </w:rPr>
        <w:t>epatology</w:t>
      </w:r>
    </w:p>
    <w:p w14:paraId="58C755AA" w14:textId="77777777" w:rsidR="00A77B3E" w:rsidRDefault="00332EB4" w:rsidP="00BC320A">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2E4EAB" w14:textId="77777777" w:rsidR="00A77B3E" w:rsidRDefault="00332EB4" w:rsidP="00BC320A">
      <w:pPr>
        <w:snapToGrid w:val="0"/>
        <w:spacing w:line="360" w:lineRule="auto"/>
        <w:jc w:val="both"/>
      </w:pPr>
      <w:r>
        <w:rPr>
          <w:rFonts w:ascii="Book Antiqua" w:eastAsia="Book Antiqua" w:hAnsi="Book Antiqua" w:cs="Book Antiqua"/>
          <w:b/>
          <w:color w:val="000000"/>
        </w:rPr>
        <w:t>Peer-review report’s scientific quality classification</w:t>
      </w:r>
    </w:p>
    <w:p w14:paraId="758CF63F" w14:textId="77777777" w:rsidR="00A77B3E" w:rsidRDefault="00332EB4" w:rsidP="00BC320A">
      <w:pPr>
        <w:snapToGrid w:val="0"/>
        <w:spacing w:line="360" w:lineRule="auto"/>
        <w:jc w:val="both"/>
      </w:pPr>
      <w:r>
        <w:rPr>
          <w:rFonts w:ascii="Book Antiqua" w:eastAsia="Book Antiqua" w:hAnsi="Book Antiqua" w:cs="Book Antiqua"/>
          <w:color w:val="000000"/>
        </w:rPr>
        <w:t>Grade A (Excellent): 0</w:t>
      </w:r>
    </w:p>
    <w:p w14:paraId="3BCFC01B" w14:textId="77777777" w:rsidR="00A77B3E" w:rsidRDefault="00332EB4" w:rsidP="00BC320A">
      <w:pPr>
        <w:snapToGrid w:val="0"/>
        <w:spacing w:line="360" w:lineRule="auto"/>
        <w:jc w:val="both"/>
      </w:pPr>
      <w:r>
        <w:rPr>
          <w:rFonts w:ascii="Book Antiqua" w:eastAsia="Book Antiqua" w:hAnsi="Book Antiqua" w:cs="Book Antiqua"/>
          <w:color w:val="000000"/>
        </w:rPr>
        <w:t>Grade B (Very good): 0</w:t>
      </w:r>
    </w:p>
    <w:p w14:paraId="2C0990F8" w14:textId="77777777" w:rsidR="00A77B3E" w:rsidRDefault="00332EB4" w:rsidP="00BC320A">
      <w:pPr>
        <w:snapToGrid w:val="0"/>
        <w:spacing w:line="360" w:lineRule="auto"/>
        <w:jc w:val="both"/>
      </w:pPr>
      <w:r>
        <w:rPr>
          <w:rFonts w:ascii="Book Antiqua" w:eastAsia="Book Antiqua" w:hAnsi="Book Antiqua" w:cs="Book Antiqua"/>
          <w:color w:val="000000"/>
        </w:rPr>
        <w:lastRenderedPageBreak/>
        <w:t>Grade C (Good): C</w:t>
      </w:r>
    </w:p>
    <w:p w14:paraId="060B46AD" w14:textId="77777777" w:rsidR="00A77B3E" w:rsidRDefault="00332EB4" w:rsidP="00BC320A">
      <w:pPr>
        <w:snapToGrid w:val="0"/>
        <w:spacing w:line="360" w:lineRule="auto"/>
        <w:jc w:val="both"/>
      </w:pPr>
      <w:r>
        <w:rPr>
          <w:rFonts w:ascii="Book Antiqua" w:eastAsia="Book Antiqua" w:hAnsi="Book Antiqua" w:cs="Book Antiqua"/>
          <w:color w:val="000000"/>
        </w:rPr>
        <w:t>Grade D (Fair): 0</w:t>
      </w:r>
    </w:p>
    <w:p w14:paraId="79A30062" w14:textId="77777777" w:rsidR="00A77B3E" w:rsidRDefault="00332EB4" w:rsidP="00BC320A">
      <w:pPr>
        <w:snapToGrid w:val="0"/>
        <w:spacing w:line="360" w:lineRule="auto"/>
        <w:jc w:val="both"/>
      </w:pPr>
      <w:r>
        <w:rPr>
          <w:rFonts w:ascii="Book Antiqua" w:eastAsia="Book Antiqua" w:hAnsi="Book Antiqua" w:cs="Book Antiqua"/>
          <w:color w:val="000000"/>
        </w:rPr>
        <w:t>Grade E (Poor): E</w:t>
      </w:r>
    </w:p>
    <w:p w14:paraId="7D52AFE0" w14:textId="77777777" w:rsidR="00A77B3E" w:rsidRDefault="00A77B3E" w:rsidP="00BC320A">
      <w:pPr>
        <w:snapToGrid w:val="0"/>
        <w:spacing w:line="360" w:lineRule="auto"/>
        <w:jc w:val="both"/>
      </w:pPr>
    </w:p>
    <w:p w14:paraId="68322360" w14:textId="2036EED4" w:rsidR="00332EB4" w:rsidRDefault="00332EB4" w:rsidP="00BC320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bookmarkStart w:id="0" w:name="_Hlk47625126"/>
      <w:r>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Serban</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Triantafillidis</w:t>
      </w:r>
      <w:proofErr w:type="spellEnd"/>
      <w:r>
        <w:rPr>
          <w:rFonts w:ascii="Book Antiqua" w:eastAsia="Book Antiqua" w:hAnsi="Book Antiqua" w:cs="Book Antiqua"/>
          <w:color w:val="000000"/>
        </w:rPr>
        <w:t xml:space="preserve"> J</w:t>
      </w:r>
      <w:bookmarkEnd w:id="0"/>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875AA2" w:rsidRPr="00C240B2">
        <w:rPr>
          <w:rFonts w:ascii="Book Antiqua" w:hAnsi="Book Antiqua" w:cs="Book Antiqua"/>
          <w:b/>
          <w:color w:val="000000"/>
          <w:lang w:eastAsia="zh-CN"/>
        </w:rPr>
        <w:t>P</w:t>
      </w:r>
      <w:r>
        <w:rPr>
          <w:rFonts w:ascii="Book Antiqua" w:eastAsia="Book Antiqua" w:hAnsi="Book Antiqua" w:cs="Book Antiqua"/>
          <w:b/>
          <w:color w:val="000000"/>
        </w:rPr>
        <w:t xml:space="preserve">-Editor: </w:t>
      </w:r>
    </w:p>
    <w:p w14:paraId="1B4B4A72" w14:textId="77777777" w:rsidR="00BA29C2" w:rsidRPr="00274E3D" w:rsidRDefault="00332EB4" w:rsidP="00BC320A">
      <w:pPr>
        <w:pStyle w:val="Caption"/>
        <w:keepNext/>
        <w:adjustRightInd w:val="0"/>
        <w:snapToGrid w:val="0"/>
        <w:spacing w:after="0" w:line="360" w:lineRule="auto"/>
        <w:jc w:val="both"/>
        <w:rPr>
          <w:rFonts w:ascii="Book Antiqua" w:hAnsi="Book Antiqua"/>
          <w:b/>
          <w:i w:val="0"/>
          <w:sz w:val="24"/>
          <w:szCs w:val="24"/>
        </w:rPr>
      </w:pPr>
      <w:r>
        <w:rPr>
          <w:rFonts w:ascii="Book Antiqua" w:eastAsia="Book Antiqua" w:hAnsi="Book Antiqua" w:cs="Book Antiqua"/>
          <w:b/>
          <w:color w:val="000000"/>
        </w:rPr>
        <w:br w:type="page"/>
      </w:r>
      <w:r w:rsidR="00BA29C2" w:rsidRPr="00397642">
        <w:rPr>
          <w:rFonts w:ascii="Book Antiqua" w:hAnsi="Book Antiqua"/>
          <w:b/>
          <w:i w:val="0"/>
          <w:color w:val="000000" w:themeColor="text1"/>
          <w:sz w:val="24"/>
          <w:szCs w:val="24"/>
        </w:rPr>
        <w:lastRenderedPageBreak/>
        <w:t>Figure Legends</w:t>
      </w:r>
    </w:p>
    <w:p w14:paraId="3273C424" w14:textId="60BC1AE5" w:rsidR="00BA29C2" w:rsidRPr="00274E3D" w:rsidRDefault="0060688F" w:rsidP="00BC320A">
      <w:pPr>
        <w:pStyle w:val="Caption"/>
        <w:keepNext/>
        <w:adjustRightInd w:val="0"/>
        <w:snapToGrid w:val="0"/>
        <w:spacing w:after="0" w:line="360" w:lineRule="auto"/>
        <w:jc w:val="both"/>
        <w:rPr>
          <w:rFonts w:ascii="Book Antiqua" w:hAnsi="Book Antiqua"/>
        </w:rPr>
      </w:pPr>
      <w:r>
        <w:rPr>
          <w:noProof/>
          <w:lang w:eastAsia="zh-CN"/>
        </w:rPr>
        <w:drawing>
          <wp:inline distT="0" distB="0" distL="0" distR="0" wp14:anchorId="2B60A56D" wp14:editId="694C7AEE">
            <wp:extent cx="5943600" cy="2190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90115"/>
                    </a:xfrm>
                    <a:prstGeom prst="rect">
                      <a:avLst/>
                    </a:prstGeom>
                  </pic:spPr>
                </pic:pic>
              </a:graphicData>
            </a:graphic>
          </wp:inline>
        </w:drawing>
      </w:r>
    </w:p>
    <w:p w14:paraId="0071849B" w14:textId="106ED6BA" w:rsidR="00BA29C2" w:rsidRDefault="00BA29C2" w:rsidP="00BC320A">
      <w:pPr>
        <w:adjustRightInd w:val="0"/>
        <w:snapToGrid w:val="0"/>
        <w:spacing w:line="360" w:lineRule="auto"/>
        <w:jc w:val="both"/>
        <w:rPr>
          <w:rFonts w:ascii="Book Antiqua" w:hAnsi="Book Antiqua"/>
          <w:b/>
          <w:iCs/>
          <w:color w:val="1F497D" w:themeColor="text2"/>
        </w:rPr>
      </w:pPr>
      <w:r w:rsidRPr="00274E3D">
        <w:rPr>
          <w:rFonts w:ascii="Book Antiqua" w:hAnsi="Book Antiqua"/>
          <w:b/>
          <w:iCs/>
        </w:rPr>
        <w:t xml:space="preserve">Figure 1 Telomeres length in the granulocytes </w:t>
      </w:r>
      <w:r>
        <w:rPr>
          <w:rFonts w:ascii="Book Antiqua" w:hAnsi="Book Antiqua"/>
          <w:b/>
          <w:iCs/>
        </w:rPr>
        <w:t xml:space="preserve">and </w:t>
      </w:r>
      <w:r w:rsidRPr="00274E3D">
        <w:rPr>
          <w:rFonts w:ascii="Book Antiqua" w:hAnsi="Book Antiqua"/>
          <w:b/>
          <w:iCs/>
        </w:rPr>
        <w:t xml:space="preserve">lymphocytes of affected member from the three </w:t>
      </w:r>
      <w:r w:rsidRPr="00A371B6">
        <w:rPr>
          <w:rFonts w:ascii="Book Antiqua" w:hAnsi="Book Antiqua"/>
          <w:b/>
          <w:iCs/>
        </w:rPr>
        <w:t>inflammatory bowel disease</w:t>
      </w:r>
      <w:r w:rsidRPr="00274E3D">
        <w:rPr>
          <w:rFonts w:ascii="Book Antiqua" w:hAnsi="Book Antiqua"/>
          <w:b/>
          <w:iCs/>
        </w:rPr>
        <w:t xml:space="preserve"> families. </w:t>
      </w:r>
      <w:r w:rsidRPr="00274E3D">
        <w:rPr>
          <w:rFonts w:ascii="Book Antiqua" w:hAnsi="Book Antiqua"/>
        </w:rPr>
        <w:t>Telomere length measured by flow cytometry with fluorescence in situ hybridization in affected individuals of Family 1, Family 2 and Family 3 plotted against nomogram from Johns Hopkins controls are within normal age adjusted range.</w:t>
      </w:r>
      <w:r w:rsidRPr="00274E3D">
        <w:rPr>
          <w:rFonts w:ascii="Book Antiqua" w:hAnsi="Book Antiqua"/>
          <w:b/>
          <w:iCs/>
          <w:color w:val="1F497D" w:themeColor="text2"/>
        </w:rPr>
        <w:t xml:space="preserve"> </w:t>
      </w:r>
    </w:p>
    <w:p w14:paraId="211FD449" w14:textId="075E462F" w:rsidR="00BC320A" w:rsidRDefault="00BC320A" w:rsidP="00BC320A">
      <w:pPr>
        <w:snapToGrid w:val="0"/>
        <w:spacing w:line="360" w:lineRule="auto"/>
      </w:pPr>
      <w:r>
        <w:br w:type="page"/>
      </w:r>
      <w:r w:rsidRPr="00274E3D">
        <w:rPr>
          <w:rFonts w:ascii="Book Antiqua" w:hAnsi="Book Antiqua" w:cs="Times"/>
          <w:b/>
        </w:rPr>
        <w:lastRenderedPageBreak/>
        <w:t>Table 1 Patient included in genetic anticipation analysis- characteristics and disease severity</w:t>
      </w:r>
    </w:p>
    <w:tbl>
      <w:tblPr>
        <w:tblStyle w:val="TableGrid"/>
        <w:tblW w:w="10624" w:type="dxa"/>
        <w:jc w:val="center"/>
        <w:tblLayout w:type="fixed"/>
        <w:tblLook w:val="04A0" w:firstRow="1" w:lastRow="0" w:firstColumn="1" w:lastColumn="0" w:noHBand="0" w:noVBand="1"/>
      </w:tblPr>
      <w:tblGrid>
        <w:gridCol w:w="725"/>
        <w:gridCol w:w="1440"/>
        <w:gridCol w:w="900"/>
        <w:gridCol w:w="1080"/>
        <w:gridCol w:w="810"/>
        <w:gridCol w:w="900"/>
        <w:gridCol w:w="1165"/>
        <w:gridCol w:w="1170"/>
        <w:gridCol w:w="1440"/>
        <w:gridCol w:w="994"/>
      </w:tblGrid>
      <w:tr w:rsidR="00BA29C2" w:rsidRPr="00274E3D" w14:paraId="5B1B7934" w14:textId="77777777" w:rsidTr="00BA29C2">
        <w:trPr>
          <w:jc w:val="center"/>
        </w:trPr>
        <w:tc>
          <w:tcPr>
            <w:tcW w:w="725" w:type="dxa"/>
            <w:tcBorders>
              <w:top w:val="single" w:sz="4" w:space="0" w:color="auto"/>
              <w:left w:val="nil"/>
              <w:bottom w:val="single" w:sz="4" w:space="0" w:color="auto"/>
              <w:right w:val="nil"/>
            </w:tcBorders>
            <w:vAlign w:val="center"/>
          </w:tcPr>
          <w:p w14:paraId="5D898D6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ID</w:t>
            </w:r>
          </w:p>
        </w:tc>
        <w:tc>
          <w:tcPr>
            <w:tcW w:w="1440" w:type="dxa"/>
            <w:tcBorders>
              <w:top w:val="single" w:sz="4" w:space="0" w:color="auto"/>
              <w:left w:val="nil"/>
              <w:bottom w:val="single" w:sz="4" w:space="0" w:color="auto"/>
              <w:right w:val="nil"/>
            </w:tcBorders>
            <w:vAlign w:val="center"/>
          </w:tcPr>
          <w:p w14:paraId="0103567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Member</w:t>
            </w:r>
          </w:p>
        </w:tc>
        <w:tc>
          <w:tcPr>
            <w:tcW w:w="900" w:type="dxa"/>
            <w:tcBorders>
              <w:top w:val="single" w:sz="4" w:space="0" w:color="auto"/>
              <w:left w:val="nil"/>
              <w:bottom w:val="single" w:sz="4" w:space="0" w:color="auto"/>
              <w:right w:val="nil"/>
            </w:tcBorders>
            <w:vAlign w:val="center"/>
          </w:tcPr>
          <w:p w14:paraId="7818816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IBD</w:t>
            </w:r>
          </w:p>
        </w:tc>
        <w:tc>
          <w:tcPr>
            <w:tcW w:w="1080" w:type="dxa"/>
            <w:tcBorders>
              <w:top w:val="single" w:sz="4" w:space="0" w:color="auto"/>
              <w:left w:val="nil"/>
              <w:bottom w:val="single" w:sz="4" w:space="0" w:color="auto"/>
              <w:right w:val="nil"/>
            </w:tcBorders>
            <w:vAlign w:val="center"/>
          </w:tcPr>
          <w:p w14:paraId="5F28F70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Tobacco</w:t>
            </w:r>
          </w:p>
        </w:tc>
        <w:tc>
          <w:tcPr>
            <w:tcW w:w="810" w:type="dxa"/>
            <w:tcBorders>
              <w:top w:val="single" w:sz="4" w:space="0" w:color="auto"/>
              <w:left w:val="nil"/>
              <w:bottom w:val="single" w:sz="4" w:space="0" w:color="auto"/>
              <w:right w:val="nil"/>
            </w:tcBorders>
            <w:vAlign w:val="center"/>
          </w:tcPr>
          <w:p w14:paraId="419AA0B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AOD</w:t>
            </w:r>
          </w:p>
        </w:tc>
        <w:tc>
          <w:tcPr>
            <w:tcW w:w="900" w:type="dxa"/>
            <w:tcBorders>
              <w:top w:val="single" w:sz="4" w:space="0" w:color="auto"/>
              <w:left w:val="nil"/>
              <w:bottom w:val="single" w:sz="4" w:space="0" w:color="auto"/>
              <w:right w:val="nil"/>
            </w:tcBorders>
            <w:vAlign w:val="center"/>
          </w:tcPr>
          <w:p w14:paraId="6415458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NOD2</w:t>
            </w:r>
          </w:p>
        </w:tc>
        <w:tc>
          <w:tcPr>
            <w:tcW w:w="1165" w:type="dxa"/>
            <w:tcBorders>
              <w:top w:val="single" w:sz="4" w:space="0" w:color="auto"/>
              <w:left w:val="nil"/>
              <w:bottom w:val="single" w:sz="4" w:space="0" w:color="auto"/>
              <w:right w:val="nil"/>
            </w:tcBorders>
            <w:vAlign w:val="center"/>
          </w:tcPr>
          <w:p w14:paraId="1F19483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Extent</w:t>
            </w:r>
          </w:p>
        </w:tc>
        <w:tc>
          <w:tcPr>
            <w:tcW w:w="1170" w:type="dxa"/>
            <w:tcBorders>
              <w:top w:val="single" w:sz="4" w:space="0" w:color="auto"/>
              <w:left w:val="nil"/>
              <w:bottom w:val="single" w:sz="4" w:space="0" w:color="auto"/>
              <w:right w:val="nil"/>
            </w:tcBorders>
            <w:vAlign w:val="center"/>
          </w:tcPr>
          <w:p w14:paraId="27F3A58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Behavior</w:t>
            </w:r>
          </w:p>
        </w:tc>
        <w:tc>
          <w:tcPr>
            <w:tcW w:w="1440" w:type="dxa"/>
            <w:tcBorders>
              <w:top w:val="single" w:sz="4" w:space="0" w:color="auto"/>
              <w:left w:val="nil"/>
              <w:bottom w:val="single" w:sz="4" w:space="0" w:color="auto"/>
              <w:right w:val="nil"/>
            </w:tcBorders>
            <w:vAlign w:val="center"/>
          </w:tcPr>
          <w:p w14:paraId="4922973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Medications</w:t>
            </w:r>
          </w:p>
        </w:tc>
        <w:tc>
          <w:tcPr>
            <w:tcW w:w="994" w:type="dxa"/>
            <w:tcBorders>
              <w:top w:val="single" w:sz="4" w:space="0" w:color="auto"/>
              <w:left w:val="nil"/>
              <w:bottom w:val="single" w:sz="4" w:space="0" w:color="auto"/>
              <w:right w:val="nil"/>
            </w:tcBorders>
            <w:vAlign w:val="center"/>
          </w:tcPr>
          <w:p w14:paraId="4F1105E1"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b/>
                <w:bCs/>
              </w:rPr>
            </w:pPr>
            <w:r w:rsidRPr="00274E3D">
              <w:rPr>
                <w:rFonts w:ascii="Book Antiqua" w:hAnsi="Book Antiqua" w:cs="Times"/>
                <w:b/>
                <w:bCs/>
              </w:rPr>
              <w:t>Surgery</w:t>
            </w:r>
          </w:p>
        </w:tc>
      </w:tr>
      <w:tr w:rsidR="00BA29C2" w:rsidRPr="00274E3D" w14:paraId="0CE13C8F" w14:textId="77777777" w:rsidTr="00BA29C2">
        <w:trPr>
          <w:jc w:val="center"/>
        </w:trPr>
        <w:tc>
          <w:tcPr>
            <w:tcW w:w="725" w:type="dxa"/>
            <w:tcBorders>
              <w:top w:val="single" w:sz="4" w:space="0" w:color="auto"/>
              <w:left w:val="nil"/>
              <w:bottom w:val="nil"/>
              <w:right w:val="nil"/>
            </w:tcBorders>
            <w:vAlign w:val="center"/>
          </w:tcPr>
          <w:p w14:paraId="4805B26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1-01</w:t>
            </w:r>
          </w:p>
        </w:tc>
        <w:tc>
          <w:tcPr>
            <w:tcW w:w="1440" w:type="dxa"/>
            <w:tcBorders>
              <w:top w:val="single" w:sz="4" w:space="0" w:color="auto"/>
              <w:left w:val="nil"/>
              <w:bottom w:val="nil"/>
              <w:right w:val="nil"/>
            </w:tcBorders>
            <w:vAlign w:val="center"/>
          </w:tcPr>
          <w:p w14:paraId="1D99220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M</w:t>
            </w:r>
            <w:r w:rsidRPr="00274E3D">
              <w:rPr>
                <w:rFonts w:ascii="Book Antiqua" w:hAnsi="Book Antiqua" w:cs="Times"/>
              </w:rPr>
              <w:t>other</w:t>
            </w:r>
          </w:p>
        </w:tc>
        <w:tc>
          <w:tcPr>
            <w:tcW w:w="900" w:type="dxa"/>
            <w:tcBorders>
              <w:top w:val="single" w:sz="4" w:space="0" w:color="auto"/>
              <w:left w:val="nil"/>
              <w:bottom w:val="nil"/>
              <w:right w:val="nil"/>
            </w:tcBorders>
            <w:vAlign w:val="center"/>
          </w:tcPr>
          <w:p w14:paraId="16BC65B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single" w:sz="4" w:space="0" w:color="auto"/>
              <w:left w:val="nil"/>
              <w:bottom w:val="nil"/>
              <w:right w:val="nil"/>
            </w:tcBorders>
            <w:vAlign w:val="center"/>
          </w:tcPr>
          <w:p w14:paraId="549766F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single" w:sz="4" w:space="0" w:color="auto"/>
              <w:left w:val="nil"/>
              <w:bottom w:val="nil"/>
              <w:right w:val="nil"/>
            </w:tcBorders>
            <w:vAlign w:val="center"/>
          </w:tcPr>
          <w:p w14:paraId="4F55D5C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21</w:t>
            </w:r>
          </w:p>
        </w:tc>
        <w:tc>
          <w:tcPr>
            <w:tcW w:w="900" w:type="dxa"/>
            <w:tcBorders>
              <w:top w:val="single" w:sz="4" w:space="0" w:color="auto"/>
              <w:left w:val="nil"/>
              <w:bottom w:val="nil"/>
              <w:right w:val="nil"/>
            </w:tcBorders>
            <w:vAlign w:val="center"/>
          </w:tcPr>
          <w:p w14:paraId="2AF6975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single" w:sz="4" w:space="0" w:color="auto"/>
              <w:left w:val="nil"/>
              <w:bottom w:val="nil"/>
              <w:right w:val="nil"/>
            </w:tcBorders>
            <w:vAlign w:val="center"/>
          </w:tcPr>
          <w:p w14:paraId="5118EE5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colon</w:t>
            </w:r>
          </w:p>
        </w:tc>
        <w:tc>
          <w:tcPr>
            <w:tcW w:w="1170" w:type="dxa"/>
            <w:tcBorders>
              <w:top w:val="single" w:sz="4" w:space="0" w:color="auto"/>
              <w:left w:val="nil"/>
              <w:bottom w:val="nil"/>
              <w:right w:val="nil"/>
            </w:tcBorders>
            <w:vAlign w:val="center"/>
          </w:tcPr>
          <w:p w14:paraId="447BBA7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B2</w:t>
            </w:r>
          </w:p>
        </w:tc>
        <w:tc>
          <w:tcPr>
            <w:tcW w:w="1440" w:type="dxa"/>
            <w:tcBorders>
              <w:top w:val="single" w:sz="4" w:space="0" w:color="auto"/>
              <w:left w:val="nil"/>
              <w:bottom w:val="nil"/>
              <w:right w:val="nil"/>
            </w:tcBorders>
            <w:vAlign w:val="center"/>
          </w:tcPr>
          <w:p w14:paraId="59AC8E8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w:t>
            </w:r>
            <w:r>
              <w:rPr>
                <w:rFonts w:ascii="Book Antiqua" w:hAnsi="Book Antiqua" w:cs="Times"/>
              </w:rPr>
              <w:t xml:space="preserve"> </w:t>
            </w:r>
            <w:r w:rsidRPr="00274E3D">
              <w:rPr>
                <w:rFonts w:ascii="Book Antiqua" w:hAnsi="Book Antiqua" w:cs="Times"/>
              </w:rPr>
              <w:t xml:space="preserve">      5-ASA</w:t>
            </w:r>
          </w:p>
        </w:tc>
        <w:tc>
          <w:tcPr>
            <w:tcW w:w="994" w:type="dxa"/>
            <w:tcBorders>
              <w:top w:val="single" w:sz="4" w:space="0" w:color="auto"/>
              <w:left w:val="nil"/>
              <w:bottom w:val="nil"/>
              <w:right w:val="nil"/>
            </w:tcBorders>
            <w:vAlign w:val="center"/>
          </w:tcPr>
          <w:p w14:paraId="4BE4356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w:t>
            </w:r>
            <w:r w:rsidRPr="00274E3D">
              <w:rPr>
                <w:rFonts w:ascii="Book Antiqua" w:hAnsi="Book Antiqua" w:cs="Times"/>
              </w:rPr>
              <w:t>es</w:t>
            </w:r>
          </w:p>
        </w:tc>
      </w:tr>
      <w:tr w:rsidR="00BA29C2" w:rsidRPr="00274E3D" w14:paraId="3AACE77E" w14:textId="77777777" w:rsidTr="00BA29C2">
        <w:trPr>
          <w:jc w:val="center"/>
        </w:trPr>
        <w:tc>
          <w:tcPr>
            <w:tcW w:w="725" w:type="dxa"/>
            <w:tcBorders>
              <w:top w:val="nil"/>
              <w:left w:val="nil"/>
              <w:bottom w:val="nil"/>
              <w:right w:val="nil"/>
            </w:tcBorders>
            <w:vAlign w:val="center"/>
          </w:tcPr>
          <w:p w14:paraId="37DCFDC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1-02</w:t>
            </w:r>
          </w:p>
        </w:tc>
        <w:tc>
          <w:tcPr>
            <w:tcW w:w="1440" w:type="dxa"/>
            <w:tcBorders>
              <w:top w:val="nil"/>
              <w:left w:val="nil"/>
              <w:bottom w:val="nil"/>
              <w:right w:val="nil"/>
            </w:tcBorders>
            <w:vAlign w:val="center"/>
          </w:tcPr>
          <w:p w14:paraId="33FFE41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P</w:t>
            </w:r>
            <w:r w:rsidRPr="00274E3D">
              <w:rPr>
                <w:rFonts w:ascii="Book Antiqua" w:hAnsi="Book Antiqua" w:cs="Times"/>
              </w:rPr>
              <w:t>roband/F</w:t>
            </w:r>
          </w:p>
        </w:tc>
        <w:tc>
          <w:tcPr>
            <w:tcW w:w="900" w:type="dxa"/>
            <w:tcBorders>
              <w:top w:val="nil"/>
              <w:left w:val="nil"/>
              <w:bottom w:val="nil"/>
              <w:right w:val="nil"/>
            </w:tcBorders>
            <w:vAlign w:val="center"/>
          </w:tcPr>
          <w:p w14:paraId="7ADD9C9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nil"/>
              <w:left w:val="nil"/>
              <w:bottom w:val="nil"/>
              <w:right w:val="nil"/>
            </w:tcBorders>
            <w:vAlign w:val="center"/>
          </w:tcPr>
          <w:p w14:paraId="22CE52E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F</w:t>
            </w:r>
            <w:r w:rsidRPr="00274E3D">
              <w:rPr>
                <w:rFonts w:ascii="Book Antiqua" w:hAnsi="Book Antiqua" w:cs="Times"/>
              </w:rPr>
              <w:t>ormer</w:t>
            </w:r>
          </w:p>
        </w:tc>
        <w:tc>
          <w:tcPr>
            <w:tcW w:w="810" w:type="dxa"/>
            <w:tcBorders>
              <w:top w:val="nil"/>
              <w:left w:val="nil"/>
              <w:bottom w:val="nil"/>
              <w:right w:val="nil"/>
            </w:tcBorders>
            <w:vAlign w:val="center"/>
          </w:tcPr>
          <w:p w14:paraId="6050664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9</w:t>
            </w:r>
          </w:p>
        </w:tc>
        <w:tc>
          <w:tcPr>
            <w:tcW w:w="900" w:type="dxa"/>
            <w:tcBorders>
              <w:top w:val="nil"/>
              <w:left w:val="nil"/>
              <w:bottom w:val="nil"/>
              <w:right w:val="nil"/>
            </w:tcBorders>
            <w:vAlign w:val="center"/>
          </w:tcPr>
          <w:p w14:paraId="0770884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nil"/>
              <w:left w:val="nil"/>
              <w:bottom w:val="nil"/>
              <w:right w:val="nil"/>
            </w:tcBorders>
            <w:vAlign w:val="center"/>
          </w:tcPr>
          <w:p w14:paraId="03283D5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jejunum, colon</w:t>
            </w:r>
          </w:p>
        </w:tc>
        <w:tc>
          <w:tcPr>
            <w:tcW w:w="1170" w:type="dxa"/>
            <w:tcBorders>
              <w:top w:val="nil"/>
              <w:left w:val="nil"/>
              <w:bottom w:val="nil"/>
              <w:right w:val="nil"/>
            </w:tcBorders>
            <w:vAlign w:val="center"/>
          </w:tcPr>
          <w:p w14:paraId="39C62BF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B3p</w:t>
            </w:r>
          </w:p>
        </w:tc>
        <w:tc>
          <w:tcPr>
            <w:tcW w:w="1440" w:type="dxa"/>
            <w:tcBorders>
              <w:top w:val="nil"/>
              <w:left w:val="nil"/>
              <w:bottom w:val="nil"/>
              <w:right w:val="nil"/>
            </w:tcBorders>
            <w:vAlign w:val="center"/>
          </w:tcPr>
          <w:p w14:paraId="02926CA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465EB75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w:t>
            </w:r>
            <w:r w:rsidRPr="00274E3D">
              <w:rPr>
                <w:rFonts w:ascii="Book Antiqua" w:hAnsi="Book Antiqua" w:cs="Times"/>
              </w:rPr>
              <w:t>o</w:t>
            </w:r>
          </w:p>
        </w:tc>
      </w:tr>
      <w:tr w:rsidR="00BA29C2" w:rsidRPr="00274E3D" w14:paraId="145C85BE" w14:textId="77777777" w:rsidTr="00BA29C2">
        <w:trPr>
          <w:jc w:val="center"/>
        </w:trPr>
        <w:tc>
          <w:tcPr>
            <w:tcW w:w="725" w:type="dxa"/>
            <w:tcBorders>
              <w:top w:val="nil"/>
              <w:left w:val="nil"/>
              <w:bottom w:val="nil"/>
              <w:right w:val="nil"/>
            </w:tcBorders>
            <w:vAlign w:val="center"/>
          </w:tcPr>
          <w:p w14:paraId="1639978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1-05</w:t>
            </w:r>
          </w:p>
        </w:tc>
        <w:tc>
          <w:tcPr>
            <w:tcW w:w="1440" w:type="dxa"/>
            <w:tcBorders>
              <w:top w:val="nil"/>
              <w:left w:val="nil"/>
              <w:bottom w:val="nil"/>
              <w:right w:val="nil"/>
            </w:tcBorders>
            <w:vAlign w:val="center"/>
          </w:tcPr>
          <w:p w14:paraId="3A77E0B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S</w:t>
            </w:r>
            <w:r w:rsidRPr="00274E3D">
              <w:rPr>
                <w:rFonts w:ascii="Book Antiqua" w:hAnsi="Book Antiqua" w:cs="Times"/>
              </w:rPr>
              <w:t>ister</w:t>
            </w:r>
          </w:p>
        </w:tc>
        <w:tc>
          <w:tcPr>
            <w:tcW w:w="900" w:type="dxa"/>
            <w:tcBorders>
              <w:top w:val="nil"/>
              <w:left w:val="nil"/>
              <w:bottom w:val="nil"/>
              <w:right w:val="nil"/>
            </w:tcBorders>
            <w:vAlign w:val="center"/>
          </w:tcPr>
          <w:p w14:paraId="23F4231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nil"/>
              <w:left w:val="nil"/>
              <w:bottom w:val="nil"/>
              <w:right w:val="nil"/>
            </w:tcBorders>
            <w:vAlign w:val="center"/>
          </w:tcPr>
          <w:p w14:paraId="67F42BE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nil"/>
              <w:left w:val="nil"/>
              <w:bottom w:val="nil"/>
              <w:right w:val="nil"/>
            </w:tcBorders>
            <w:vAlign w:val="center"/>
          </w:tcPr>
          <w:p w14:paraId="1D4566B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14</w:t>
            </w:r>
          </w:p>
        </w:tc>
        <w:tc>
          <w:tcPr>
            <w:tcW w:w="900" w:type="dxa"/>
            <w:tcBorders>
              <w:top w:val="nil"/>
              <w:left w:val="nil"/>
              <w:bottom w:val="nil"/>
              <w:right w:val="nil"/>
            </w:tcBorders>
            <w:vAlign w:val="center"/>
          </w:tcPr>
          <w:p w14:paraId="0A81F82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nil"/>
              <w:left w:val="nil"/>
              <w:bottom w:val="nil"/>
              <w:right w:val="nil"/>
            </w:tcBorders>
            <w:vAlign w:val="center"/>
          </w:tcPr>
          <w:p w14:paraId="3719FE8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colon</w:t>
            </w:r>
          </w:p>
        </w:tc>
        <w:tc>
          <w:tcPr>
            <w:tcW w:w="1170" w:type="dxa"/>
            <w:tcBorders>
              <w:top w:val="nil"/>
              <w:left w:val="nil"/>
              <w:bottom w:val="nil"/>
              <w:right w:val="nil"/>
            </w:tcBorders>
            <w:vAlign w:val="center"/>
          </w:tcPr>
          <w:p w14:paraId="7B4685B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B2</w:t>
            </w:r>
          </w:p>
        </w:tc>
        <w:tc>
          <w:tcPr>
            <w:tcW w:w="1440" w:type="dxa"/>
            <w:tcBorders>
              <w:top w:val="nil"/>
              <w:left w:val="nil"/>
              <w:bottom w:val="nil"/>
              <w:right w:val="nil"/>
            </w:tcBorders>
            <w:vAlign w:val="center"/>
          </w:tcPr>
          <w:p w14:paraId="5B8597C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 thiopurine</w:t>
            </w:r>
          </w:p>
        </w:tc>
        <w:tc>
          <w:tcPr>
            <w:tcW w:w="994" w:type="dxa"/>
            <w:tcBorders>
              <w:top w:val="nil"/>
              <w:left w:val="nil"/>
              <w:bottom w:val="nil"/>
              <w:right w:val="nil"/>
            </w:tcBorders>
            <w:vAlign w:val="center"/>
          </w:tcPr>
          <w:p w14:paraId="2F1D5BE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r w:rsidR="00BA29C2" w:rsidRPr="00274E3D" w14:paraId="79A02D38" w14:textId="77777777" w:rsidTr="00BA29C2">
        <w:trPr>
          <w:jc w:val="center"/>
        </w:trPr>
        <w:tc>
          <w:tcPr>
            <w:tcW w:w="725" w:type="dxa"/>
            <w:tcBorders>
              <w:top w:val="nil"/>
              <w:left w:val="nil"/>
              <w:bottom w:val="nil"/>
              <w:right w:val="nil"/>
            </w:tcBorders>
            <w:vAlign w:val="center"/>
          </w:tcPr>
          <w:p w14:paraId="3C837A0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1-07</w:t>
            </w:r>
          </w:p>
        </w:tc>
        <w:tc>
          <w:tcPr>
            <w:tcW w:w="1440" w:type="dxa"/>
            <w:tcBorders>
              <w:top w:val="nil"/>
              <w:left w:val="nil"/>
              <w:bottom w:val="nil"/>
              <w:right w:val="nil"/>
            </w:tcBorders>
            <w:vAlign w:val="center"/>
          </w:tcPr>
          <w:p w14:paraId="1AEE2F2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sz w:val="22"/>
                <w:szCs w:val="22"/>
              </w:rPr>
            </w:pPr>
            <w:r>
              <w:rPr>
                <w:rFonts w:ascii="Book Antiqua" w:hAnsi="Book Antiqua" w:cs="Times"/>
                <w:sz w:val="22"/>
                <w:szCs w:val="22"/>
              </w:rPr>
              <w:t>G</w:t>
            </w:r>
            <w:r w:rsidRPr="00274E3D">
              <w:rPr>
                <w:rFonts w:ascii="Book Antiqua" w:hAnsi="Book Antiqua" w:cs="Times"/>
                <w:sz w:val="22"/>
                <w:szCs w:val="22"/>
              </w:rPr>
              <w:t>randmother</w:t>
            </w:r>
          </w:p>
        </w:tc>
        <w:tc>
          <w:tcPr>
            <w:tcW w:w="900" w:type="dxa"/>
            <w:tcBorders>
              <w:top w:val="nil"/>
              <w:left w:val="nil"/>
              <w:bottom w:val="nil"/>
              <w:right w:val="nil"/>
            </w:tcBorders>
            <w:vAlign w:val="center"/>
          </w:tcPr>
          <w:p w14:paraId="3E928F6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CD</w:t>
            </w:r>
          </w:p>
        </w:tc>
        <w:tc>
          <w:tcPr>
            <w:tcW w:w="1080" w:type="dxa"/>
            <w:tcBorders>
              <w:top w:val="nil"/>
              <w:left w:val="nil"/>
              <w:bottom w:val="nil"/>
              <w:right w:val="nil"/>
            </w:tcBorders>
            <w:vAlign w:val="center"/>
          </w:tcPr>
          <w:p w14:paraId="179445C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P</w:t>
            </w:r>
            <w:r w:rsidRPr="00274E3D">
              <w:rPr>
                <w:rFonts w:ascii="Book Antiqua" w:hAnsi="Book Antiqua" w:cs="Times"/>
              </w:rPr>
              <w:t>assive</w:t>
            </w:r>
          </w:p>
        </w:tc>
        <w:tc>
          <w:tcPr>
            <w:tcW w:w="810" w:type="dxa"/>
            <w:tcBorders>
              <w:top w:val="nil"/>
              <w:left w:val="nil"/>
              <w:bottom w:val="nil"/>
              <w:right w:val="nil"/>
            </w:tcBorders>
            <w:vAlign w:val="center"/>
          </w:tcPr>
          <w:p w14:paraId="2E45913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42</w:t>
            </w:r>
          </w:p>
        </w:tc>
        <w:tc>
          <w:tcPr>
            <w:tcW w:w="900" w:type="dxa"/>
            <w:tcBorders>
              <w:top w:val="nil"/>
              <w:left w:val="nil"/>
              <w:bottom w:val="nil"/>
              <w:right w:val="nil"/>
            </w:tcBorders>
            <w:vAlign w:val="center"/>
          </w:tcPr>
          <w:p w14:paraId="3DE11EC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w:t>
            </w:r>
          </w:p>
        </w:tc>
        <w:tc>
          <w:tcPr>
            <w:tcW w:w="1165" w:type="dxa"/>
            <w:tcBorders>
              <w:top w:val="nil"/>
              <w:left w:val="nil"/>
              <w:bottom w:val="nil"/>
              <w:right w:val="nil"/>
            </w:tcBorders>
            <w:vAlign w:val="center"/>
          </w:tcPr>
          <w:p w14:paraId="0067C2A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Ileum, colon</w:t>
            </w:r>
          </w:p>
        </w:tc>
        <w:tc>
          <w:tcPr>
            <w:tcW w:w="1170" w:type="dxa"/>
            <w:tcBorders>
              <w:top w:val="nil"/>
              <w:left w:val="nil"/>
              <w:bottom w:val="nil"/>
              <w:right w:val="nil"/>
            </w:tcBorders>
            <w:vAlign w:val="center"/>
          </w:tcPr>
          <w:p w14:paraId="27A2E67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B2</w:t>
            </w:r>
          </w:p>
        </w:tc>
        <w:tc>
          <w:tcPr>
            <w:tcW w:w="1440" w:type="dxa"/>
            <w:tcBorders>
              <w:top w:val="nil"/>
              <w:left w:val="nil"/>
              <w:bottom w:val="nil"/>
              <w:right w:val="nil"/>
            </w:tcBorders>
            <w:vAlign w:val="center"/>
          </w:tcPr>
          <w:p w14:paraId="2F6F673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5-asa</w:t>
            </w:r>
          </w:p>
        </w:tc>
        <w:tc>
          <w:tcPr>
            <w:tcW w:w="994" w:type="dxa"/>
            <w:tcBorders>
              <w:top w:val="nil"/>
              <w:left w:val="nil"/>
              <w:bottom w:val="nil"/>
              <w:right w:val="nil"/>
            </w:tcBorders>
            <w:vAlign w:val="center"/>
          </w:tcPr>
          <w:p w14:paraId="5FD7ECB1"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7027AFAF" w14:textId="77777777" w:rsidTr="00BA29C2">
        <w:trPr>
          <w:jc w:val="center"/>
        </w:trPr>
        <w:tc>
          <w:tcPr>
            <w:tcW w:w="725" w:type="dxa"/>
            <w:tcBorders>
              <w:top w:val="nil"/>
              <w:left w:val="nil"/>
              <w:bottom w:val="nil"/>
              <w:right w:val="nil"/>
            </w:tcBorders>
            <w:vAlign w:val="center"/>
          </w:tcPr>
          <w:p w14:paraId="10F3C54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2-01</w:t>
            </w:r>
          </w:p>
        </w:tc>
        <w:tc>
          <w:tcPr>
            <w:tcW w:w="1440" w:type="dxa"/>
            <w:tcBorders>
              <w:top w:val="nil"/>
              <w:left w:val="nil"/>
              <w:bottom w:val="nil"/>
              <w:right w:val="nil"/>
            </w:tcBorders>
            <w:vAlign w:val="center"/>
          </w:tcPr>
          <w:p w14:paraId="72E3885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F</w:t>
            </w:r>
            <w:r w:rsidRPr="00274E3D">
              <w:rPr>
                <w:rFonts w:ascii="Book Antiqua" w:hAnsi="Book Antiqua" w:cs="Times"/>
              </w:rPr>
              <w:t>ather</w:t>
            </w:r>
          </w:p>
        </w:tc>
        <w:tc>
          <w:tcPr>
            <w:tcW w:w="900" w:type="dxa"/>
            <w:tcBorders>
              <w:top w:val="nil"/>
              <w:left w:val="nil"/>
              <w:bottom w:val="nil"/>
              <w:right w:val="nil"/>
            </w:tcBorders>
            <w:vAlign w:val="center"/>
          </w:tcPr>
          <w:p w14:paraId="1DF3164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IBD-U</w:t>
            </w:r>
          </w:p>
        </w:tc>
        <w:tc>
          <w:tcPr>
            <w:tcW w:w="1080" w:type="dxa"/>
            <w:tcBorders>
              <w:top w:val="nil"/>
              <w:left w:val="nil"/>
              <w:bottom w:val="nil"/>
              <w:right w:val="nil"/>
            </w:tcBorders>
            <w:vAlign w:val="center"/>
          </w:tcPr>
          <w:p w14:paraId="11AA682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A</w:t>
            </w:r>
            <w:r w:rsidRPr="00274E3D">
              <w:rPr>
                <w:rFonts w:ascii="Book Antiqua" w:hAnsi="Book Antiqua" w:cs="Times"/>
              </w:rPr>
              <w:t>ctive</w:t>
            </w:r>
          </w:p>
        </w:tc>
        <w:tc>
          <w:tcPr>
            <w:tcW w:w="810" w:type="dxa"/>
            <w:tcBorders>
              <w:top w:val="nil"/>
              <w:left w:val="nil"/>
              <w:bottom w:val="nil"/>
              <w:right w:val="nil"/>
            </w:tcBorders>
            <w:vAlign w:val="center"/>
          </w:tcPr>
          <w:p w14:paraId="516A692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21</w:t>
            </w:r>
          </w:p>
        </w:tc>
        <w:tc>
          <w:tcPr>
            <w:tcW w:w="900" w:type="dxa"/>
            <w:tcBorders>
              <w:top w:val="nil"/>
              <w:left w:val="nil"/>
              <w:bottom w:val="nil"/>
              <w:right w:val="nil"/>
            </w:tcBorders>
            <w:vAlign w:val="center"/>
          </w:tcPr>
          <w:p w14:paraId="7A50AD7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041CC10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5E26B00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0D3B6E4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5-ASA, thiopurine</w:t>
            </w:r>
          </w:p>
        </w:tc>
        <w:tc>
          <w:tcPr>
            <w:tcW w:w="994" w:type="dxa"/>
            <w:tcBorders>
              <w:top w:val="nil"/>
              <w:left w:val="nil"/>
              <w:bottom w:val="nil"/>
              <w:right w:val="nil"/>
            </w:tcBorders>
            <w:vAlign w:val="center"/>
          </w:tcPr>
          <w:p w14:paraId="3C0392E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399B3EC2" w14:textId="77777777" w:rsidTr="00BA29C2">
        <w:trPr>
          <w:jc w:val="center"/>
        </w:trPr>
        <w:tc>
          <w:tcPr>
            <w:tcW w:w="725" w:type="dxa"/>
            <w:tcBorders>
              <w:top w:val="nil"/>
              <w:left w:val="nil"/>
              <w:bottom w:val="nil"/>
              <w:right w:val="nil"/>
            </w:tcBorders>
            <w:vAlign w:val="center"/>
          </w:tcPr>
          <w:p w14:paraId="3D8BD1D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2-02</w:t>
            </w:r>
          </w:p>
        </w:tc>
        <w:tc>
          <w:tcPr>
            <w:tcW w:w="1440" w:type="dxa"/>
            <w:tcBorders>
              <w:top w:val="nil"/>
              <w:left w:val="nil"/>
              <w:bottom w:val="nil"/>
              <w:right w:val="nil"/>
            </w:tcBorders>
            <w:vAlign w:val="center"/>
          </w:tcPr>
          <w:p w14:paraId="37FF373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P</w:t>
            </w:r>
            <w:r w:rsidRPr="00274E3D">
              <w:rPr>
                <w:rFonts w:ascii="Book Antiqua" w:hAnsi="Book Antiqua" w:cs="Times"/>
              </w:rPr>
              <w:t>roband/F</w:t>
            </w:r>
          </w:p>
        </w:tc>
        <w:tc>
          <w:tcPr>
            <w:tcW w:w="900" w:type="dxa"/>
            <w:tcBorders>
              <w:top w:val="nil"/>
              <w:left w:val="nil"/>
              <w:bottom w:val="nil"/>
              <w:right w:val="nil"/>
            </w:tcBorders>
            <w:vAlign w:val="center"/>
          </w:tcPr>
          <w:p w14:paraId="54F7408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2C746B2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A</w:t>
            </w:r>
            <w:r w:rsidRPr="00274E3D">
              <w:rPr>
                <w:rFonts w:ascii="Book Antiqua" w:hAnsi="Book Antiqua" w:cs="Times"/>
              </w:rPr>
              <w:t>ctive</w:t>
            </w:r>
          </w:p>
        </w:tc>
        <w:tc>
          <w:tcPr>
            <w:tcW w:w="810" w:type="dxa"/>
            <w:tcBorders>
              <w:top w:val="nil"/>
              <w:left w:val="nil"/>
              <w:bottom w:val="nil"/>
              <w:right w:val="nil"/>
            </w:tcBorders>
            <w:vAlign w:val="center"/>
          </w:tcPr>
          <w:p w14:paraId="0940137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w:t>
            </w:r>
          </w:p>
        </w:tc>
        <w:tc>
          <w:tcPr>
            <w:tcW w:w="900" w:type="dxa"/>
            <w:tcBorders>
              <w:top w:val="nil"/>
              <w:left w:val="nil"/>
              <w:bottom w:val="nil"/>
              <w:right w:val="nil"/>
            </w:tcBorders>
            <w:vAlign w:val="center"/>
          </w:tcPr>
          <w:p w14:paraId="7A374A3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3628051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385811C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25AFEC7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 thiopurine</w:t>
            </w:r>
          </w:p>
        </w:tc>
        <w:tc>
          <w:tcPr>
            <w:tcW w:w="994" w:type="dxa"/>
            <w:tcBorders>
              <w:top w:val="nil"/>
              <w:left w:val="nil"/>
              <w:bottom w:val="nil"/>
              <w:right w:val="nil"/>
            </w:tcBorders>
            <w:vAlign w:val="center"/>
          </w:tcPr>
          <w:p w14:paraId="691083C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433953C5" w14:textId="77777777" w:rsidTr="00BA29C2">
        <w:trPr>
          <w:jc w:val="center"/>
        </w:trPr>
        <w:tc>
          <w:tcPr>
            <w:tcW w:w="725" w:type="dxa"/>
            <w:tcBorders>
              <w:top w:val="nil"/>
              <w:left w:val="nil"/>
              <w:bottom w:val="nil"/>
              <w:right w:val="nil"/>
            </w:tcBorders>
            <w:vAlign w:val="center"/>
          </w:tcPr>
          <w:p w14:paraId="13C3626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2-03</w:t>
            </w:r>
          </w:p>
        </w:tc>
        <w:tc>
          <w:tcPr>
            <w:tcW w:w="1440" w:type="dxa"/>
            <w:tcBorders>
              <w:top w:val="nil"/>
              <w:left w:val="nil"/>
              <w:bottom w:val="nil"/>
              <w:right w:val="nil"/>
            </w:tcBorders>
            <w:vAlign w:val="center"/>
          </w:tcPr>
          <w:p w14:paraId="49A3FA8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Grandfather</w:t>
            </w:r>
          </w:p>
        </w:tc>
        <w:tc>
          <w:tcPr>
            <w:tcW w:w="900" w:type="dxa"/>
            <w:tcBorders>
              <w:top w:val="nil"/>
              <w:left w:val="nil"/>
              <w:bottom w:val="nil"/>
              <w:right w:val="nil"/>
            </w:tcBorders>
            <w:vAlign w:val="center"/>
          </w:tcPr>
          <w:p w14:paraId="32CE6AA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33DE543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Former</w:t>
            </w:r>
          </w:p>
        </w:tc>
        <w:tc>
          <w:tcPr>
            <w:tcW w:w="810" w:type="dxa"/>
            <w:tcBorders>
              <w:top w:val="nil"/>
              <w:left w:val="nil"/>
              <w:bottom w:val="nil"/>
              <w:right w:val="nil"/>
            </w:tcBorders>
            <w:vAlign w:val="center"/>
          </w:tcPr>
          <w:p w14:paraId="7350DF9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63</w:t>
            </w:r>
          </w:p>
        </w:tc>
        <w:tc>
          <w:tcPr>
            <w:tcW w:w="900" w:type="dxa"/>
            <w:tcBorders>
              <w:top w:val="nil"/>
              <w:left w:val="nil"/>
              <w:bottom w:val="nil"/>
              <w:right w:val="nil"/>
            </w:tcBorders>
            <w:vAlign w:val="center"/>
          </w:tcPr>
          <w:p w14:paraId="009EDDD5"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69B0E18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41CA191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0131937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65F3560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77E1AA71" w14:textId="77777777" w:rsidTr="00BA29C2">
        <w:trPr>
          <w:jc w:val="center"/>
        </w:trPr>
        <w:tc>
          <w:tcPr>
            <w:tcW w:w="725" w:type="dxa"/>
            <w:tcBorders>
              <w:top w:val="nil"/>
              <w:left w:val="nil"/>
              <w:bottom w:val="nil"/>
              <w:right w:val="nil"/>
            </w:tcBorders>
            <w:vAlign w:val="center"/>
          </w:tcPr>
          <w:p w14:paraId="094F751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3-01</w:t>
            </w:r>
          </w:p>
        </w:tc>
        <w:tc>
          <w:tcPr>
            <w:tcW w:w="1440" w:type="dxa"/>
            <w:tcBorders>
              <w:top w:val="nil"/>
              <w:left w:val="nil"/>
              <w:bottom w:val="nil"/>
              <w:right w:val="nil"/>
            </w:tcBorders>
            <w:vAlign w:val="center"/>
          </w:tcPr>
          <w:p w14:paraId="484C135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Mother</w:t>
            </w:r>
          </w:p>
        </w:tc>
        <w:tc>
          <w:tcPr>
            <w:tcW w:w="900" w:type="dxa"/>
            <w:tcBorders>
              <w:top w:val="nil"/>
              <w:left w:val="nil"/>
              <w:bottom w:val="nil"/>
              <w:right w:val="nil"/>
            </w:tcBorders>
            <w:vAlign w:val="center"/>
          </w:tcPr>
          <w:p w14:paraId="298E4FC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5397BCC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nil"/>
              <w:left w:val="nil"/>
              <w:bottom w:val="nil"/>
              <w:right w:val="nil"/>
            </w:tcBorders>
            <w:vAlign w:val="center"/>
          </w:tcPr>
          <w:p w14:paraId="7F328B5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40</w:t>
            </w:r>
          </w:p>
        </w:tc>
        <w:tc>
          <w:tcPr>
            <w:tcW w:w="900" w:type="dxa"/>
            <w:tcBorders>
              <w:top w:val="nil"/>
              <w:left w:val="nil"/>
              <w:bottom w:val="nil"/>
              <w:right w:val="nil"/>
            </w:tcBorders>
            <w:vAlign w:val="center"/>
          </w:tcPr>
          <w:p w14:paraId="511963E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561A44CC"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48CE2292"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27111A6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562F83D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Yes</w:t>
            </w:r>
          </w:p>
        </w:tc>
      </w:tr>
      <w:tr w:rsidR="00BA29C2" w:rsidRPr="00274E3D" w14:paraId="0FBC0399" w14:textId="77777777" w:rsidTr="00BA29C2">
        <w:trPr>
          <w:jc w:val="center"/>
        </w:trPr>
        <w:tc>
          <w:tcPr>
            <w:tcW w:w="725" w:type="dxa"/>
            <w:tcBorders>
              <w:top w:val="nil"/>
              <w:left w:val="nil"/>
              <w:bottom w:val="nil"/>
              <w:right w:val="nil"/>
            </w:tcBorders>
            <w:vAlign w:val="center"/>
          </w:tcPr>
          <w:p w14:paraId="27549B0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3-03</w:t>
            </w:r>
          </w:p>
        </w:tc>
        <w:tc>
          <w:tcPr>
            <w:tcW w:w="1440" w:type="dxa"/>
            <w:tcBorders>
              <w:top w:val="nil"/>
              <w:left w:val="nil"/>
              <w:bottom w:val="nil"/>
              <w:right w:val="nil"/>
            </w:tcBorders>
            <w:vAlign w:val="center"/>
          </w:tcPr>
          <w:p w14:paraId="73CB22D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Proband/M</w:t>
            </w:r>
          </w:p>
        </w:tc>
        <w:tc>
          <w:tcPr>
            <w:tcW w:w="900" w:type="dxa"/>
            <w:tcBorders>
              <w:top w:val="nil"/>
              <w:left w:val="nil"/>
              <w:bottom w:val="nil"/>
              <w:right w:val="nil"/>
            </w:tcBorders>
            <w:vAlign w:val="center"/>
          </w:tcPr>
          <w:p w14:paraId="53049C1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72E6419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r w:rsidRPr="00274E3D">
              <w:rPr>
                <w:rFonts w:ascii="Book Antiqua" w:hAnsi="Book Antiqua" w:cs="Times"/>
              </w:rPr>
              <w:t>ne</w:t>
            </w:r>
          </w:p>
        </w:tc>
        <w:tc>
          <w:tcPr>
            <w:tcW w:w="810" w:type="dxa"/>
            <w:tcBorders>
              <w:top w:val="nil"/>
              <w:left w:val="nil"/>
              <w:bottom w:val="nil"/>
              <w:right w:val="nil"/>
            </w:tcBorders>
            <w:vAlign w:val="center"/>
          </w:tcPr>
          <w:p w14:paraId="066EAF5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19</w:t>
            </w:r>
          </w:p>
        </w:tc>
        <w:tc>
          <w:tcPr>
            <w:tcW w:w="900" w:type="dxa"/>
            <w:tcBorders>
              <w:top w:val="nil"/>
              <w:left w:val="nil"/>
              <w:bottom w:val="nil"/>
              <w:right w:val="nil"/>
            </w:tcBorders>
            <w:vAlign w:val="center"/>
          </w:tcPr>
          <w:p w14:paraId="5F48ADA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023A1FA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0ADE2B68"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0833FC6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w:t>
            </w:r>
          </w:p>
        </w:tc>
        <w:tc>
          <w:tcPr>
            <w:tcW w:w="994" w:type="dxa"/>
            <w:tcBorders>
              <w:top w:val="nil"/>
              <w:left w:val="nil"/>
              <w:bottom w:val="nil"/>
              <w:right w:val="nil"/>
            </w:tcBorders>
            <w:vAlign w:val="center"/>
          </w:tcPr>
          <w:p w14:paraId="4D6751D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r w:rsidR="00BA29C2" w:rsidRPr="00274E3D" w14:paraId="258FF99B" w14:textId="77777777" w:rsidTr="00BA29C2">
        <w:trPr>
          <w:jc w:val="center"/>
        </w:trPr>
        <w:tc>
          <w:tcPr>
            <w:tcW w:w="725" w:type="dxa"/>
            <w:tcBorders>
              <w:top w:val="nil"/>
              <w:left w:val="nil"/>
              <w:bottom w:val="nil"/>
              <w:right w:val="nil"/>
            </w:tcBorders>
            <w:vAlign w:val="center"/>
          </w:tcPr>
          <w:p w14:paraId="3AE2CAA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3-04</w:t>
            </w:r>
          </w:p>
        </w:tc>
        <w:tc>
          <w:tcPr>
            <w:tcW w:w="1440" w:type="dxa"/>
            <w:tcBorders>
              <w:top w:val="nil"/>
              <w:left w:val="nil"/>
              <w:bottom w:val="nil"/>
              <w:right w:val="nil"/>
            </w:tcBorders>
            <w:vAlign w:val="center"/>
          </w:tcPr>
          <w:p w14:paraId="2984C90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 xml:space="preserve">Uncle </w:t>
            </w:r>
          </w:p>
        </w:tc>
        <w:tc>
          <w:tcPr>
            <w:tcW w:w="900" w:type="dxa"/>
            <w:tcBorders>
              <w:top w:val="nil"/>
              <w:left w:val="nil"/>
              <w:bottom w:val="nil"/>
              <w:right w:val="nil"/>
            </w:tcBorders>
            <w:vAlign w:val="center"/>
          </w:tcPr>
          <w:p w14:paraId="6621B889"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UC</w:t>
            </w:r>
          </w:p>
        </w:tc>
        <w:tc>
          <w:tcPr>
            <w:tcW w:w="1080" w:type="dxa"/>
            <w:tcBorders>
              <w:top w:val="nil"/>
              <w:left w:val="nil"/>
              <w:bottom w:val="nil"/>
              <w:right w:val="nil"/>
            </w:tcBorders>
            <w:vAlign w:val="center"/>
          </w:tcPr>
          <w:p w14:paraId="36B13E2E"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Active</w:t>
            </w:r>
          </w:p>
        </w:tc>
        <w:tc>
          <w:tcPr>
            <w:tcW w:w="810" w:type="dxa"/>
            <w:tcBorders>
              <w:top w:val="nil"/>
              <w:left w:val="nil"/>
              <w:bottom w:val="nil"/>
              <w:right w:val="nil"/>
            </w:tcBorders>
            <w:vAlign w:val="center"/>
          </w:tcPr>
          <w:p w14:paraId="48AB3F7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41</w:t>
            </w:r>
          </w:p>
        </w:tc>
        <w:tc>
          <w:tcPr>
            <w:tcW w:w="900" w:type="dxa"/>
            <w:tcBorders>
              <w:top w:val="nil"/>
              <w:left w:val="nil"/>
              <w:bottom w:val="nil"/>
              <w:right w:val="nil"/>
            </w:tcBorders>
            <w:vAlign w:val="center"/>
          </w:tcPr>
          <w:p w14:paraId="6CAE2FB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nil"/>
              <w:right w:val="nil"/>
            </w:tcBorders>
            <w:vAlign w:val="center"/>
          </w:tcPr>
          <w:p w14:paraId="7168580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Left colon</w:t>
            </w:r>
          </w:p>
        </w:tc>
        <w:tc>
          <w:tcPr>
            <w:tcW w:w="1170" w:type="dxa"/>
            <w:tcBorders>
              <w:top w:val="nil"/>
              <w:left w:val="nil"/>
              <w:bottom w:val="nil"/>
              <w:right w:val="nil"/>
            </w:tcBorders>
            <w:vAlign w:val="center"/>
          </w:tcPr>
          <w:p w14:paraId="4B056CA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nil"/>
              <w:right w:val="nil"/>
            </w:tcBorders>
            <w:vAlign w:val="center"/>
          </w:tcPr>
          <w:p w14:paraId="2A25ABA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       5-ASA</w:t>
            </w:r>
          </w:p>
        </w:tc>
        <w:tc>
          <w:tcPr>
            <w:tcW w:w="994" w:type="dxa"/>
            <w:tcBorders>
              <w:top w:val="nil"/>
              <w:left w:val="nil"/>
              <w:bottom w:val="nil"/>
              <w:right w:val="nil"/>
            </w:tcBorders>
            <w:vAlign w:val="center"/>
          </w:tcPr>
          <w:p w14:paraId="02377BAB"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r w:rsidR="00BA29C2" w:rsidRPr="00274E3D" w14:paraId="5A6F1657" w14:textId="77777777" w:rsidTr="00BA29C2">
        <w:trPr>
          <w:jc w:val="center"/>
        </w:trPr>
        <w:tc>
          <w:tcPr>
            <w:tcW w:w="725" w:type="dxa"/>
            <w:tcBorders>
              <w:top w:val="nil"/>
              <w:left w:val="nil"/>
              <w:bottom w:val="single" w:sz="4" w:space="0" w:color="auto"/>
              <w:right w:val="nil"/>
            </w:tcBorders>
            <w:vAlign w:val="center"/>
          </w:tcPr>
          <w:p w14:paraId="1F6788C7"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3-05</w:t>
            </w:r>
          </w:p>
        </w:tc>
        <w:tc>
          <w:tcPr>
            <w:tcW w:w="1440" w:type="dxa"/>
            <w:tcBorders>
              <w:top w:val="nil"/>
              <w:left w:val="nil"/>
              <w:bottom w:val="single" w:sz="4" w:space="0" w:color="auto"/>
              <w:right w:val="nil"/>
            </w:tcBorders>
            <w:vAlign w:val="center"/>
          </w:tcPr>
          <w:p w14:paraId="61F70020"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Grandfather</w:t>
            </w:r>
          </w:p>
        </w:tc>
        <w:tc>
          <w:tcPr>
            <w:tcW w:w="900" w:type="dxa"/>
            <w:tcBorders>
              <w:top w:val="nil"/>
              <w:left w:val="nil"/>
              <w:bottom w:val="single" w:sz="4" w:space="0" w:color="auto"/>
              <w:right w:val="nil"/>
            </w:tcBorders>
            <w:vAlign w:val="center"/>
          </w:tcPr>
          <w:p w14:paraId="5BCCB08D"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IBD-U</w:t>
            </w:r>
          </w:p>
        </w:tc>
        <w:tc>
          <w:tcPr>
            <w:tcW w:w="1080" w:type="dxa"/>
            <w:tcBorders>
              <w:top w:val="nil"/>
              <w:left w:val="nil"/>
              <w:bottom w:val="single" w:sz="4" w:space="0" w:color="auto"/>
              <w:right w:val="nil"/>
            </w:tcBorders>
            <w:vAlign w:val="center"/>
          </w:tcPr>
          <w:p w14:paraId="569E04C3"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Former</w:t>
            </w:r>
          </w:p>
        </w:tc>
        <w:tc>
          <w:tcPr>
            <w:tcW w:w="810" w:type="dxa"/>
            <w:tcBorders>
              <w:top w:val="nil"/>
              <w:left w:val="nil"/>
              <w:bottom w:val="single" w:sz="4" w:space="0" w:color="auto"/>
              <w:right w:val="nil"/>
            </w:tcBorders>
            <w:vAlign w:val="center"/>
          </w:tcPr>
          <w:p w14:paraId="07298A21"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56</w:t>
            </w:r>
          </w:p>
        </w:tc>
        <w:tc>
          <w:tcPr>
            <w:tcW w:w="900" w:type="dxa"/>
            <w:tcBorders>
              <w:top w:val="nil"/>
              <w:left w:val="nil"/>
              <w:bottom w:val="single" w:sz="4" w:space="0" w:color="auto"/>
              <w:right w:val="nil"/>
            </w:tcBorders>
            <w:vAlign w:val="center"/>
          </w:tcPr>
          <w:p w14:paraId="5FA4CCEF"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_</w:t>
            </w:r>
          </w:p>
        </w:tc>
        <w:tc>
          <w:tcPr>
            <w:tcW w:w="1165" w:type="dxa"/>
            <w:tcBorders>
              <w:top w:val="nil"/>
              <w:left w:val="nil"/>
              <w:bottom w:val="single" w:sz="4" w:space="0" w:color="auto"/>
              <w:right w:val="nil"/>
            </w:tcBorders>
            <w:vAlign w:val="center"/>
          </w:tcPr>
          <w:p w14:paraId="5056C876"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Pancolitis</w:t>
            </w:r>
          </w:p>
        </w:tc>
        <w:tc>
          <w:tcPr>
            <w:tcW w:w="1170" w:type="dxa"/>
            <w:tcBorders>
              <w:top w:val="nil"/>
              <w:left w:val="nil"/>
              <w:bottom w:val="single" w:sz="4" w:space="0" w:color="auto"/>
              <w:right w:val="nil"/>
            </w:tcBorders>
            <w:vAlign w:val="center"/>
          </w:tcPr>
          <w:p w14:paraId="2C553654"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NA</w:t>
            </w:r>
          </w:p>
        </w:tc>
        <w:tc>
          <w:tcPr>
            <w:tcW w:w="1440" w:type="dxa"/>
            <w:tcBorders>
              <w:top w:val="nil"/>
              <w:left w:val="nil"/>
              <w:bottom w:val="single" w:sz="4" w:space="0" w:color="auto"/>
              <w:right w:val="nil"/>
            </w:tcBorders>
            <w:vAlign w:val="center"/>
          </w:tcPr>
          <w:p w14:paraId="5C11F7B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sidRPr="00274E3D">
              <w:rPr>
                <w:rFonts w:ascii="Book Antiqua" w:hAnsi="Book Antiqua" w:cs="Times"/>
              </w:rPr>
              <w:t>Steroids</w:t>
            </w:r>
          </w:p>
        </w:tc>
        <w:tc>
          <w:tcPr>
            <w:tcW w:w="994" w:type="dxa"/>
            <w:tcBorders>
              <w:top w:val="nil"/>
              <w:left w:val="nil"/>
              <w:bottom w:val="single" w:sz="4" w:space="0" w:color="auto"/>
              <w:right w:val="nil"/>
            </w:tcBorders>
            <w:vAlign w:val="center"/>
          </w:tcPr>
          <w:p w14:paraId="385971CA" w14:textId="77777777" w:rsidR="00BA29C2" w:rsidRPr="00274E3D" w:rsidRDefault="00BA29C2" w:rsidP="00BC320A">
            <w:pPr>
              <w:widowControl w:val="0"/>
              <w:autoSpaceDE w:val="0"/>
              <w:autoSpaceDN w:val="0"/>
              <w:adjustRightInd w:val="0"/>
              <w:snapToGrid w:val="0"/>
              <w:spacing w:after="0" w:line="360" w:lineRule="auto"/>
              <w:jc w:val="both"/>
              <w:rPr>
                <w:rFonts w:ascii="Book Antiqua" w:hAnsi="Book Antiqua" w:cs="Times"/>
              </w:rPr>
            </w:pPr>
            <w:r>
              <w:rPr>
                <w:rFonts w:ascii="Book Antiqua" w:hAnsi="Book Antiqua" w:cs="Times"/>
              </w:rPr>
              <w:t>No</w:t>
            </w:r>
          </w:p>
        </w:tc>
      </w:tr>
    </w:tbl>
    <w:p w14:paraId="1BD0B335" w14:textId="6F15839E" w:rsidR="00A77B3E" w:rsidRDefault="0024038F" w:rsidP="00BC320A">
      <w:pPr>
        <w:snapToGrid w:val="0"/>
        <w:spacing w:line="360" w:lineRule="auto"/>
        <w:jc w:val="both"/>
      </w:pPr>
      <w:r w:rsidRPr="00274E3D">
        <w:rPr>
          <w:rFonts w:ascii="Book Antiqua" w:hAnsi="Book Antiqua" w:cs="Times"/>
        </w:rPr>
        <w:lastRenderedPageBreak/>
        <w:t>There was no available TL data for the member 3-05.</w:t>
      </w:r>
      <w:r>
        <w:rPr>
          <w:rFonts w:ascii="Book Antiqua" w:hAnsi="Book Antiqua" w:cs="Times" w:hint="eastAsia"/>
          <w:lang w:eastAsia="zh-CN"/>
        </w:rPr>
        <w:t xml:space="preserve"> </w:t>
      </w:r>
      <w:r w:rsidRPr="00274E3D">
        <w:rPr>
          <w:rFonts w:ascii="Book Antiqua" w:hAnsi="Book Antiqua" w:cs="Times"/>
        </w:rPr>
        <w:t xml:space="preserve">B2: </w:t>
      </w:r>
      <w:proofErr w:type="spellStart"/>
      <w:r>
        <w:rPr>
          <w:rFonts w:ascii="Book Antiqua" w:hAnsi="Book Antiqua" w:cs="Times"/>
        </w:rPr>
        <w:t>S</w:t>
      </w:r>
      <w:r w:rsidRPr="00274E3D">
        <w:rPr>
          <w:rFonts w:ascii="Book Antiqua" w:hAnsi="Book Antiqua" w:cs="Times"/>
        </w:rPr>
        <w:t>tricturing</w:t>
      </w:r>
      <w:proofErr w:type="spellEnd"/>
      <w:r w:rsidRPr="00274E3D">
        <w:rPr>
          <w:rFonts w:ascii="Book Antiqua" w:hAnsi="Book Antiqua" w:cs="Times"/>
        </w:rPr>
        <w:t xml:space="preserve"> disease</w:t>
      </w:r>
      <w:r>
        <w:rPr>
          <w:rFonts w:ascii="Book Antiqua" w:hAnsi="Book Antiqua" w:cs="Times"/>
        </w:rPr>
        <w:t>; and</w:t>
      </w:r>
      <w:r w:rsidRPr="00274E3D">
        <w:rPr>
          <w:rFonts w:ascii="Book Antiqua" w:hAnsi="Book Antiqua" w:cs="Times"/>
        </w:rPr>
        <w:t xml:space="preserve"> B3: </w:t>
      </w:r>
      <w:r>
        <w:rPr>
          <w:rFonts w:ascii="Book Antiqua" w:hAnsi="Book Antiqua" w:cs="Times"/>
        </w:rPr>
        <w:t>P</w:t>
      </w:r>
      <w:r w:rsidRPr="00274E3D">
        <w:rPr>
          <w:rFonts w:ascii="Book Antiqua" w:hAnsi="Book Antiqua" w:cs="Times"/>
        </w:rPr>
        <w:t>enetrating disease, as per Montreal Classification;</w:t>
      </w:r>
      <w:r>
        <w:rPr>
          <w:rFonts w:ascii="Book Antiqua" w:hAnsi="Book Antiqua" w:cs="Times"/>
        </w:rPr>
        <w:t xml:space="preserve"> </w:t>
      </w:r>
      <w:r w:rsidRPr="00274E3D">
        <w:rPr>
          <w:rFonts w:ascii="Book Antiqua" w:hAnsi="Book Antiqua" w:cs="Times"/>
        </w:rPr>
        <w:t xml:space="preserve">Steroids: </w:t>
      </w:r>
      <w:r>
        <w:rPr>
          <w:rFonts w:ascii="Book Antiqua" w:hAnsi="Book Antiqua" w:cs="Times"/>
        </w:rPr>
        <w:t>R</w:t>
      </w:r>
      <w:r w:rsidRPr="00274E3D">
        <w:rPr>
          <w:rFonts w:ascii="Book Antiqua" w:hAnsi="Book Antiqua" w:cs="Times"/>
        </w:rPr>
        <w:t xml:space="preserve">efers to prednisone, </w:t>
      </w:r>
      <w:r>
        <w:rPr>
          <w:rFonts w:ascii="Book Antiqua" w:hAnsi="Book Antiqua" w:cs="Times"/>
        </w:rPr>
        <w:t>S</w:t>
      </w:r>
      <w:r w:rsidRPr="00274E3D">
        <w:rPr>
          <w:rFonts w:ascii="Book Antiqua" w:hAnsi="Book Antiqua" w:cs="Times"/>
        </w:rPr>
        <w:t xml:space="preserve">urgery: </w:t>
      </w:r>
      <w:r>
        <w:rPr>
          <w:rFonts w:ascii="Book Antiqua" w:hAnsi="Book Antiqua" w:cs="Times"/>
        </w:rPr>
        <w:t>R</w:t>
      </w:r>
      <w:r w:rsidRPr="00274E3D">
        <w:rPr>
          <w:rFonts w:ascii="Book Antiqua" w:hAnsi="Book Antiqua" w:cs="Times"/>
        </w:rPr>
        <w:t>efers to total colectomy for ulcerative colitis and segmental bowel resection for Crohn’s disease</w:t>
      </w:r>
      <w:r>
        <w:rPr>
          <w:rFonts w:ascii="Book Antiqua" w:hAnsi="Book Antiqua" w:cs="Times"/>
        </w:rPr>
        <w:t>.</w:t>
      </w:r>
      <w:r w:rsidRPr="00274E3D">
        <w:rPr>
          <w:rFonts w:ascii="Book Antiqua" w:hAnsi="Book Antiqua" w:cs="Times"/>
        </w:rPr>
        <w:t xml:space="preserve"> F: </w:t>
      </w:r>
      <w:r w:rsidR="00111815">
        <w:rPr>
          <w:rFonts w:ascii="Book Antiqua" w:hAnsi="Book Antiqua" w:cs="Times"/>
        </w:rPr>
        <w:t>F</w:t>
      </w:r>
      <w:r w:rsidRPr="00274E3D">
        <w:rPr>
          <w:rFonts w:ascii="Book Antiqua" w:hAnsi="Book Antiqua" w:cs="Times"/>
        </w:rPr>
        <w:t xml:space="preserve">emale; M: </w:t>
      </w:r>
      <w:r w:rsidR="00111815">
        <w:rPr>
          <w:rFonts w:ascii="Book Antiqua" w:hAnsi="Book Antiqua" w:cs="Times"/>
        </w:rPr>
        <w:t>M</w:t>
      </w:r>
      <w:bookmarkStart w:id="1" w:name="_GoBack"/>
      <w:bookmarkEnd w:id="1"/>
      <w:r w:rsidRPr="00274E3D">
        <w:rPr>
          <w:rFonts w:ascii="Book Antiqua" w:hAnsi="Book Antiqua" w:cs="Times"/>
        </w:rPr>
        <w:t xml:space="preserve">ale; CD: Crohn’s disease; UC: </w:t>
      </w:r>
      <w:r>
        <w:rPr>
          <w:rFonts w:ascii="Book Antiqua" w:hAnsi="Book Antiqua" w:cs="Times"/>
        </w:rPr>
        <w:t>U</w:t>
      </w:r>
      <w:r w:rsidRPr="00274E3D">
        <w:rPr>
          <w:rFonts w:ascii="Book Antiqua" w:hAnsi="Book Antiqua" w:cs="Times"/>
        </w:rPr>
        <w:t xml:space="preserve">lcerative colitis; IBD-U: </w:t>
      </w:r>
      <w:r>
        <w:rPr>
          <w:rFonts w:ascii="Book Antiqua" w:hAnsi="Book Antiqua" w:cs="Times"/>
        </w:rPr>
        <w:t>I</w:t>
      </w:r>
      <w:r w:rsidRPr="00274E3D">
        <w:rPr>
          <w:rFonts w:ascii="Book Antiqua" w:hAnsi="Book Antiqua" w:cs="Times"/>
        </w:rPr>
        <w:t>ndeterminate colitis; 5-ASA: 5–</w:t>
      </w:r>
      <w:proofErr w:type="spellStart"/>
      <w:r w:rsidRPr="00274E3D">
        <w:rPr>
          <w:rFonts w:ascii="Book Antiqua" w:hAnsi="Book Antiqua" w:cs="Times"/>
        </w:rPr>
        <w:t>aminosalicilates</w:t>
      </w:r>
      <w:proofErr w:type="spellEnd"/>
      <w:r w:rsidRPr="00274E3D">
        <w:rPr>
          <w:rFonts w:ascii="Book Antiqua" w:hAnsi="Book Antiqua" w:cs="Times"/>
        </w:rPr>
        <w:t>;</w:t>
      </w:r>
      <w:r>
        <w:rPr>
          <w:rFonts w:ascii="Book Antiqua" w:hAnsi="Book Antiqua" w:cs="Times"/>
        </w:rPr>
        <w:t xml:space="preserve"> </w:t>
      </w:r>
      <w:r w:rsidRPr="00274E3D">
        <w:rPr>
          <w:rFonts w:ascii="Book Antiqua" w:hAnsi="Book Antiqua" w:cs="Times"/>
        </w:rPr>
        <w:t xml:space="preserve">AOD: </w:t>
      </w:r>
      <w:r>
        <w:rPr>
          <w:rFonts w:ascii="Book Antiqua" w:hAnsi="Book Antiqua" w:cs="Times"/>
        </w:rPr>
        <w:t>A</w:t>
      </w:r>
      <w:r w:rsidRPr="00274E3D">
        <w:rPr>
          <w:rFonts w:ascii="Book Antiqua" w:hAnsi="Book Antiqua" w:cs="Times"/>
        </w:rPr>
        <w:t xml:space="preserve">ge at diagnosis; TL: </w:t>
      </w:r>
      <w:r>
        <w:rPr>
          <w:rFonts w:ascii="Book Antiqua" w:hAnsi="Book Antiqua" w:cs="Times"/>
        </w:rPr>
        <w:t>T</w:t>
      </w:r>
      <w:r w:rsidRPr="00274E3D">
        <w:rPr>
          <w:rFonts w:ascii="Book Antiqua" w:hAnsi="Book Antiqua" w:cs="Times"/>
        </w:rPr>
        <w:t xml:space="preserve">elomere length; NOD2: NOD2 gene; NA: </w:t>
      </w:r>
      <w:r>
        <w:rPr>
          <w:rFonts w:ascii="Book Antiqua" w:hAnsi="Book Antiqua" w:cs="Times"/>
        </w:rPr>
        <w:t>N</w:t>
      </w:r>
      <w:r w:rsidRPr="00274E3D">
        <w:rPr>
          <w:rFonts w:ascii="Book Antiqua" w:hAnsi="Book Antiqua" w:cs="Times"/>
        </w:rPr>
        <w:t>ot applicable.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F9310" w14:textId="77777777" w:rsidR="006E61EB" w:rsidRDefault="006E61EB" w:rsidP="00BA29C2">
      <w:r>
        <w:separator/>
      </w:r>
    </w:p>
  </w:endnote>
  <w:endnote w:type="continuationSeparator" w:id="0">
    <w:p w14:paraId="746C7C44" w14:textId="77777777" w:rsidR="006E61EB" w:rsidRDefault="006E61EB" w:rsidP="00BA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755331"/>
      <w:docPartObj>
        <w:docPartGallery w:val="Page Numbers (Bottom of Page)"/>
        <w:docPartUnique/>
      </w:docPartObj>
    </w:sdtPr>
    <w:sdtEndPr/>
    <w:sdtContent>
      <w:sdt>
        <w:sdtPr>
          <w:id w:val="-1705238520"/>
          <w:docPartObj>
            <w:docPartGallery w:val="Page Numbers (Top of Page)"/>
            <w:docPartUnique/>
          </w:docPartObj>
        </w:sdtPr>
        <w:sdtEndPr/>
        <w:sdtContent>
          <w:p w14:paraId="53017C60" w14:textId="462FF739" w:rsidR="000F58B6" w:rsidRDefault="000F58B6" w:rsidP="000F58B6">
            <w:pPr>
              <w:pStyle w:val="Footer"/>
              <w:jc w:val="right"/>
            </w:pPr>
            <w:r w:rsidRPr="000F58B6">
              <w:rPr>
                <w:rFonts w:ascii="Book Antiqua" w:hAnsi="Book Antiqua"/>
                <w:sz w:val="24"/>
                <w:szCs w:val="24"/>
                <w:lang w:val="zh-CN" w:eastAsia="zh-CN"/>
              </w:rPr>
              <w:t xml:space="preserve"> </w:t>
            </w:r>
            <w:r w:rsidRPr="000F58B6">
              <w:rPr>
                <w:rFonts w:ascii="Book Antiqua" w:hAnsi="Book Antiqua"/>
                <w:b/>
                <w:bCs/>
                <w:sz w:val="24"/>
                <w:szCs w:val="24"/>
              </w:rPr>
              <w:fldChar w:fldCharType="begin"/>
            </w:r>
            <w:r w:rsidRPr="000F58B6">
              <w:rPr>
                <w:rFonts w:ascii="Book Antiqua" w:hAnsi="Book Antiqua"/>
                <w:b/>
                <w:bCs/>
                <w:sz w:val="24"/>
                <w:szCs w:val="24"/>
              </w:rPr>
              <w:instrText>PAGE</w:instrText>
            </w:r>
            <w:r w:rsidRPr="000F58B6">
              <w:rPr>
                <w:rFonts w:ascii="Book Antiqua" w:hAnsi="Book Antiqua"/>
                <w:b/>
                <w:bCs/>
                <w:sz w:val="24"/>
                <w:szCs w:val="24"/>
              </w:rPr>
              <w:fldChar w:fldCharType="separate"/>
            </w:r>
            <w:r w:rsidR="008110C9">
              <w:rPr>
                <w:rFonts w:ascii="Book Antiqua" w:hAnsi="Book Antiqua"/>
                <w:b/>
                <w:bCs/>
                <w:noProof/>
                <w:sz w:val="24"/>
                <w:szCs w:val="24"/>
              </w:rPr>
              <w:t>5</w:t>
            </w:r>
            <w:r w:rsidRPr="000F58B6">
              <w:rPr>
                <w:rFonts w:ascii="Book Antiqua" w:hAnsi="Book Antiqua"/>
                <w:b/>
                <w:bCs/>
                <w:sz w:val="24"/>
                <w:szCs w:val="24"/>
              </w:rPr>
              <w:fldChar w:fldCharType="end"/>
            </w:r>
            <w:r w:rsidRPr="000F58B6">
              <w:rPr>
                <w:rFonts w:ascii="Book Antiqua" w:hAnsi="Book Antiqua"/>
                <w:sz w:val="24"/>
                <w:szCs w:val="24"/>
                <w:lang w:val="zh-CN" w:eastAsia="zh-CN"/>
              </w:rPr>
              <w:t xml:space="preserve"> / </w:t>
            </w:r>
            <w:r w:rsidRPr="000F58B6">
              <w:rPr>
                <w:rFonts w:ascii="Book Antiqua" w:hAnsi="Book Antiqua"/>
                <w:b/>
                <w:bCs/>
                <w:sz w:val="24"/>
                <w:szCs w:val="24"/>
              </w:rPr>
              <w:fldChar w:fldCharType="begin"/>
            </w:r>
            <w:r w:rsidRPr="000F58B6">
              <w:rPr>
                <w:rFonts w:ascii="Book Antiqua" w:hAnsi="Book Antiqua"/>
                <w:b/>
                <w:bCs/>
                <w:sz w:val="24"/>
                <w:szCs w:val="24"/>
              </w:rPr>
              <w:instrText>NUMPAGES</w:instrText>
            </w:r>
            <w:r w:rsidRPr="000F58B6">
              <w:rPr>
                <w:rFonts w:ascii="Book Antiqua" w:hAnsi="Book Antiqua"/>
                <w:b/>
                <w:bCs/>
                <w:sz w:val="24"/>
                <w:szCs w:val="24"/>
              </w:rPr>
              <w:fldChar w:fldCharType="separate"/>
            </w:r>
            <w:r w:rsidR="008110C9">
              <w:rPr>
                <w:rFonts w:ascii="Book Antiqua" w:hAnsi="Book Antiqua"/>
                <w:b/>
                <w:bCs/>
                <w:noProof/>
                <w:sz w:val="24"/>
                <w:szCs w:val="24"/>
              </w:rPr>
              <w:t>25</w:t>
            </w:r>
            <w:r w:rsidRPr="000F58B6">
              <w:rPr>
                <w:rFonts w:ascii="Book Antiqua" w:hAnsi="Book Antiqua"/>
                <w:b/>
                <w:bCs/>
                <w:sz w:val="24"/>
                <w:szCs w:val="24"/>
              </w:rPr>
              <w:fldChar w:fldCharType="end"/>
            </w:r>
          </w:p>
        </w:sdtContent>
      </w:sdt>
    </w:sdtContent>
  </w:sdt>
  <w:p w14:paraId="5B51E43D" w14:textId="77777777" w:rsidR="000F58B6" w:rsidRDefault="000F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0202" w14:textId="77777777" w:rsidR="006E61EB" w:rsidRDefault="006E61EB" w:rsidP="00BA29C2">
      <w:r>
        <w:separator/>
      </w:r>
    </w:p>
  </w:footnote>
  <w:footnote w:type="continuationSeparator" w:id="0">
    <w:p w14:paraId="36E765AE" w14:textId="77777777" w:rsidR="006E61EB" w:rsidRDefault="006E61EB" w:rsidP="00BA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E06"/>
    <w:rsid w:val="000F58B6"/>
    <w:rsid w:val="00111815"/>
    <w:rsid w:val="00135673"/>
    <w:rsid w:val="00150B44"/>
    <w:rsid w:val="0024038F"/>
    <w:rsid w:val="00332EB4"/>
    <w:rsid w:val="0057447F"/>
    <w:rsid w:val="0060688F"/>
    <w:rsid w:val="006E61EB"/>
    <w:rsid w:val="008110C9"/>
    <w:rsid w:val="00875AA2"/>
    <w:rsid w:val="00A77B3E"/>
    <w:rsid w:val="00A85912"/>
    <w:rsid w:val="00BA29C2"/>
    <w:rsid w:val="00BC320A"/>
    <w:rsid w:val="00C240B2"/>
    <w:rsid w:val="00CA2A55"/>
    <w:rsid w:val="00CC4D6B"/>
    <w:rsid w:val="00D07A25"/>
    <w:rsid w:val="00D6690A"/>
    <w:rsid w:val="00DE0C97"/>
    <w:rsid w:val="00FF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CCAB2"/>
  <w15:docId w15:val="{EB7194DD-A16C-4D53-95FD-8B9E8A75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nhideWhenUsed/>
    <w:rsid w:val="00BA29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29C2"/>
    <w:rPr>
      <w:sz w:val="18"/>
      <w:szCs w:val="18"/>
    </w:rPr>
  </w:style>
  <w:style w:type="paragraph" w:styleId="Footer">
    <w:name w:val="footer"/>
    <w:basedOn w:val="Normal"/>
    <w:link w:val="FooterChar"/>
    <w:uiPriority w:val="99"/>
    <w:unhideWhenUsed/>
    <w:rsid w:val="00BA29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29C2"/>
    <w:rPr>
      <w:sz w:val="18"/>
      <w:szCs w:val="18"/>
    </w:rPr>
  </w:style>
  <w:style w:type="table" w:styleId="TableGrid">
    <w:name w:val="Table Grid"/>
    <w:basedOn w:val="TableNormal"/>
    <w:uiPriority w:val="39"/>
    <w:rsid w:val="00BA29C2"/>
    <w:pPr>
      <w:spacing w:after="160" w:line="480" w:lineRule="auto"/>
    </w:pPr>
    <w:rPr>
      <w:rFonts w:asciiTheme="minorHAnsi" w:eastAsia="SimSun"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A29C2"/>
    <w:pPr>
      <w:spacing w:after="200" w:line="480" w:lineRule="auto"/>
    </w:pPr>
    <w:rPr>
      <w:rFonts w:eastAsia="SimSun"/>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repository.niddk.nih.gov/media/studies/ibd/ibd_phenotyping-man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2020-08-16T17:48:00Z</dcterms:created>
  <dcterms:modified xsi:type="dcterms:W3CDTF">2020-08-16T17:48:00Z</dcterms:modified>
</cp:coreProperties>
</file>