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76" w:rsidRPr="00CD3D64" w:rsidRDefault="00457876" w:rsidP="00CD3D64">
      <w:pPr>
        <w:adjustRightInd w:val="0"/>
        <w:snapToGrid w:val="0"/>
        <w:spacing w:line="360" w:lineRule="auto"/>
        <w:rPr>
          <w:rFonts w:ascii="Book Antiqua" w:hAnsi="Book Antiqua"/>
          <w:bCs/>
          <w:color w:val="000000"/>
        </w:rPr>
      </w:pPr>
      <w:r w:rsidRPr="00CD3D64">
        <w:rPr>
          <w:rFonts w:ascii="Book Antiqua" w:hAnsi="Book Antiqua"/>
          <w:b/>
          <w:bCs/>
          <w:color w:val="000000"/>
        </w:rPr>
        <w:t xml:space="preserve">Name of Journal: </w:t>
      </w:r>
      <w:r w:rsidRPr="00CD3D64">
        <w:rPr>
          <w:rFonts w:ascii="Book Antiqua" w:hAnsi="Book Antiqua"/>
          <w:bCs/>
          <w:i/>
          <w:iCs/>
          <w:color w:val="000000"/>
        </w:rPr>
        <w:t xml:space="preserve">World Journal of </w:t>
      </w:r>
      <w:proofErr w:type="spellStart"/>
      <w:r w:rsidRPr="00CD3D64">
        <w:rPr>
          <w:rFonts w:ascii="Book Antiqua" w:hAnsi="Book Antiqua"/>
          <w:bCs/>
          <w:i/>
          <w:iCs/>
          <w:color w:val="000000"/>
        </w:rPr>
        <w:t>Hepatology</w:t>
      </w:r>
      <w:proofErr w:type="spellEnd"/>
    </w:p>
    <w:p w:rsidR="00457876" w:rsidRPr="00CD3D64" w:rsidRDefault="00457876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CD3D64">
        <w:rPr>
          <w:rFonts w:ascii="Book Antiqua" w:hAnsi="Book Antiqua"/>
          <w:b/>
          <w:bCs/>
          <w:color w:val="000000"/>
        </w:rPr>
        <w:t xml:space="preserve">Manuscript </w:t>
      </w:r>
      <w:proofErr w:type="gramStart"/>
      <w:r w:rsidR="00BE08E9" w:rsidRPr="00CD3D64">
        <w:rPr>
          <w:rFonts w:ascii="Book Antiqua" w:hAnsi="Book Antiqua"/>
          <w:b/>
          <w:bCs/>
          <w:color w:val="000000"/>
        </w:rPr>
        <w:t>N</w:t>
      </w:r>
      <w:r w:rsidR="00CD3D64">
        <w:rPr>
          <w:rFonts w:ascii="Book Antiqua" w:hAnsi="Book Antiqua"/>
          <w:b/>
          <w:bCs/>
          <w:color w:val="000000"/>
        </w:rPr>
        <w:t>O</w:t>
      </w:r>
      <w:r w:rsidRPr="00CD3D64">
        <w:rPr>
          <w:rFonts w:ascii="Book Antiqua" w:hAnsi="Book Antiqua"/>
          <w:b/>
          <w:bCs/>
          <w:color w:val="000000"/>
        </w:rPr>
        <w:t>:</w:t>
      </w:r>
      <w:proofErr w:type="gramEnd"/>
      <w:r w:rsidRPr="00CD3D64">
        <w:rPr>
          <w:rFonts w:ascii="Book Antiqua" w:hAnsi="Book Antiqua"/>
          <w:b/>
          <w:bCs/>
          <w:color w:val="000000"/>
        </w:rPr>
        <w:t xml:space="preserve"> </w:t>
      </w:r>
      <w:r w:rsidR="008600E0" w:rsidRPr="00CD3D64">
        <w:rPr>
          <w:rFonts w:ascii="Book Antiqua" w:hAnsi="Book Antiqua"/>
          <w:color w:val="000000"/>
        </w:rPr>
        <w:t>55718</w:t>
      </w:r>
    </w:p>
    <w:p w:rsidR="00C93FE2" w:rsidRPr="00CD3D64" w:rsidRDefault="00457876" w:rsidP="00CD3D64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</w:rPr>
      </w:pPr>
      <w:r w:rsidRPr="00CD3D64">
        <w:rPr>
          <w:rFonts w:ascii="Book Antiqua" w:hAnsi="Book Antiqua"/>
          <w:b/>
          <w:bCs/>
          <w:color w:val="000000"/>
        </w:rPr>
        <w:t xml:space="preserve">Manuscript Type: </w:t>
      </w:r>
      <w:r w:rsidRPr="00CD3D64">
        <w:rPr>
          <w:rFonts w:ascii="Book Antiqua" w:hAnsi="Book Antiqua"/>
          <w:bCs/>
          <w:color w:val="000000"/>
        </w:rPr>
        <w:t>ORIGINAL ARTICLE</w:t>
      </w:r>
    </w:p>
    <w:p w:rsidR="00457876" w:rsidRPr="00CD3D64" w:rsidRDefault="00457876" w:rsidP="00CD3D64">
      <w:pPr>
        <w:adjustRightInd w:val="0"/>
        <w:snapToGrid w:val="0"/>
        <w:spacing w:line="360" w:lineRule="auto"/>
        <w:rPr>
          <w:rFonts w:ascii="Book Antiqua" w:hAnsi="Book Antiqua"/>
          <w:b/>
          <w:bCs/>
          <w:color w:val="000000"/>
        </w:rPr>
      </w:pPr>
      <w:bookmarkStart w:id="0" w:name="_Hlk6177994"/>
    </w:p>
    <w:p w:rsidR="00457876" w:rsidRPr="00CD3D64" w:rsidRDefault="00457876" w:rsidP="00CD3D64">
      <w:pPr>
        <w:adjustRightInd w:val="0"/>
        <w:snapToGrid w:val="0"/>
        <w:spacing w:line="360" w:lineRule="auto"/>
        <w:rPr>
          <w:rFonts w:ascii="Book Antiqua" w:hAnsi="Book Antiqua"/>
          <w:b/>
          <w:bCs/>
          <w:i/>
          <w:iCs/>
          <w:color w:val="000000"/>
        </w:rPr>
      </w:pPr>
      <w:r w:rsidRPr="00CD3D64">
        <w:rPr>
          <w:rFonts w:ascii="Book Antiqua" w:hAnsi="Book Antiqua"/>
          <w:b/>
          <w:bCs/>
          <w:i/>
          <w:iCs/>
          <w:color w:val="000000"/>
        </w:rPr>
        <w:t>Prospective Study</w:t>
      </w:r>
    </w:p>
    <w:p w:rsidR="00BB39FB" w:rsidRPr="00CD3D64" w:rsidRDefault="00155FD0" w:rsidP="00CD3D64">
      <w:pPr>
        <w:adjustRightInd w:val="0"/>
        <w:snapToGrid w:val="0"/>
        <w:spacing w:line="360" w:lineRule="auto"/>
        <w:rPr>
          <w:rFonts w:ascii="Book Antiqua" w:hAnsi="Book Antiqua"/>
          <w:b/>
          <w:bCs/>
          <w:color w:val="000000"/>
        </w:rPr>
      </w:pPr>
      <w:bookmarkStart w:id="1" w:name="_Hlk35597364"/>
      <w:bookmarkStart w:id="2" w:name="OLE_LINK5"/>
      <w:bookmarkEnd w:id="0"/>
      <w:proofErr w:type="spellStart"/>
      <w:r w:rsidRPr="00CD3D64">
        <w:rPr>
          <w:rFonts w:ascii="Book Antiqua" w:hAnsi="Book Antiqua"/>
          <w:b/>
          <w:bCs/>
          <w:color w:val="000000"/>
        </w:rPr>
        <w:t>S</w:t>
      </w:r>
      <w:r w:rsidR="00BB39FB" w:rsidRPr="00CD3D64">
        <w:rPr>
          <w:rFonts w:ascii="Book Antiqua" w:hAnsi="Book Antiqua"/>
          <w:b/>
          <w:bCs/>
          <w:color w:val="000000"/>
        </w:rPr>
        <w:t>ofosbuvir</w:t>
      </w:r>
      <w:proofErr w:type="spellEnd"/>
      <w:r w:rsidR="00BB39FB" w:rsidRPr="00CD3D64">
        <w:rPr>
          <w:rFonts w:ascii="Book Antiqua" w:hAnsi="Book Antiqua"/>
          <w:b/>
          <w:bCs/>
          <w:color w:val="000000"/>
        </w:rPr>
        <w:t xml:space="preserve"> </w:t>
      </w:r>
      <w:r w:rsidRPr="00CD3D64">
        <w:rPr>
          <w:rFonts w:ascii="Book Antiqua" w:hAnsi="Book Antiqua"/>
          <w:b/>
          <w:bCs/>
          <w:color w:val="000000"/>
        </w:rPr>
        <w:t>plus</w:t>
      </w:r>
      <w:r w:rsidR="00BB39FB" w:rsidRPr="00CD3D64">
        <w:rPr>
          <w:rFonts w:ascii="Book Antiqua" w:hAnsi="Book Antiqua"/>
          <w:b/>
          <w:bCs/>
          <w:color w:val="000000"/>
        </w:rPr>
        <w:t xml:space="preserve"> ribavirin is tolerable and effective even in elderly patients 75</w:t>
      </w:r>
      <w:r w:rsidR="00CD3D64">
        <w:rPr>
          <w:rFonts w:ascii="Book Antiqua" w:hAnsi="Book Antiqua"/>
          <w:b/>
          <w:bCs/>
          <w:color w:val="000000"/>
        </w:rPr>
        <w:t>-</w:t>
      </w:r>
      <w:r w:rsidR="00BB39FB" w:rsidRPr="00CD3D64">
        <w:rPr>
          <w:rFonts w:ascii="Book Antiqua" w:hAnsi="Book Antiqua"/>
          <w:b/>
          <w:bCs/>
          <w:color w:val="000000"/>
        </w:rPr>
        <w:t>years</w:t>
      </w:r>
      <w:r w:rsidR="00CD3D64">
        <w:rPr>
          <w:rFonts w:ascii="Book Antiqua" w:hAnsi="Book Antiqua"/>
          <w:b/>
          <w:bCs/>
          <w:color w:val="000000"/>
        </w:rPr>
        <w:t>-</w:t>
      </w:r>
      <w:r w:rsidR="00BB39FB" w:rsidRPr="00CD3D64">
        <w:rPr>
          <w:rFonts w:ascii="Book Antiqua" w:hAnsi="Book Antiqua"/>
          <w:b/>
          <w:bCs/>
          <w:color w:val="000000"/>
        </w:rPr>
        <w:t>old</w:t>
      </w:r>
      <w:r w:rsidR="00F87809" w:rsidRPr="00CD3D64">
        <w:rPr>
          <w:rFonts w:ascii="Book Antiqua" w:hAnsi="Book Antiqua"/>
          <w:b/>
          <w:bCs/>
          <w:color w:val="000000"/>
        </w:rPr>
        <w:t xml:space="preserve"> and over</w:t>
      </w:r>
    </w:p>
    <w:bookmarkEnd w:id="1"/>
    <w:bookmarkEnd w:id="2"/>
    <w:p w:rsidR="00292567" w:rsidRPr="00CD3D64" w:rsidRDefault="00292567" w:rsidP="00CD3D64">
      <w:pPr>
        <w:adjustRightInd w:val="0"/>
        <w:snapToGrid w:val="0"/>
        <w:spacing w:line="360" w:lineRule="auto"/>
        <w:rPr>
          <w:rFonts w:ascii="Book Antiqua" w:hAnsi="Book Antiqua"/>
          <w:b/>
          <w:bCs/>
          <w:color w:val="000000"/>
        </w:rPr>
      </w:pPr>
    </w:p>
    <w:p w:rsidR="00457876" w:rsidRPr="00CD3D64" w:rsidRDefault="00DE3766" w:rsidP="00CD3D64">
      <w:pPr>
        <w:adjustRightInd w:val="0"/>
        <w:snapToGrid w:val="0"/>
        <w:spacing w:line="360" w:lineRule="auto"/>
        <w:rPr>
          <w:rFonts w:ascii="Book Antiqua" w:hAnsi="Book Antiqua"/>
          <w:b/>
          <w:bCs/>
          <w:color w:val="000000"/>
        </w:rPr>
      </w:pPr>
      <w:proofErr w:type="spellStart"/>
      <w:r w:rsidRPr="00CD3D64">
        <w:rPr>
          <w:rFonts w:ascii="Book Antiqua" w:hAnsi="Book Antiqua"/>
          <w:color w:val="000000"/>
        </w:rPr>
        <w:t>Tamai</w:t>
      </w:r>
      <w:proofErr w:type="spellEnd"/>
      <w:r w:rsidRPr="00CD3D64">
        <w:rPr>
          <w:rFonts w:ascii="Book Antiqua" w:hAnsi="Book Antiqua"/>
          <w:color w:val="000000"/>
        </w:rPr>
        <w:t xml:space="preserve"> H</w:t>
      </w:r>
      <w:r w:rsidR="002E6515" w:rsidRPr="00CD3D64">
        <w:rPr>
          <w:rFonts w:ascii="Book Antiqua" w:hAnsi="Book Antiqua"/>
          <w:color w:val="000000"/>
        </w:rPr>
        <w:t xml:space="preserve"> </w:t>
      </w:r>
      <w:r w:rsidR="00457876" w:rsidRPr="00CD3D64">
        <w:rPr>
          <w:rFonts w:ascii="Book Antiqua" w:hAnsi="Book Antiqua"/>
          <w:i/>
          <w:color w:val="000000"/>
        </w:rPr>
        <w:t>et al</w:t>
      </w:r>
      <w:r w:rsidR="00457876" w:rsidRPr="00CD3D64">
        <w:rPr>
          <w:rFonts w:ascii="Book Antiqua" w:hAnsi="Book Antiqua"/>
          <w:color w:val="000000"/>
        </w:rPr>
        <w:t xml:space="preserve">. </w:t>
      </w:r>
      <w:bookmarkStart w:id="3" w:name="OLE_LINK6"/>
      <w:proofErr w:type="spellStart"/>
      <w:r w:rsidR="00457876" w:rsidRPr="00CD3D64">
        <w:rPr>
          <w:rFonts w:ascii="Book Antiqua" w:hAnsi="Book Antiqua"/>
          <w:bCs/>
          <w:color w:val="000000"/>
        </w:rPr>
        <w:t>Sofosbuvir</w:t>
      </w:r>
      <w:proofErr w:type="spellEnd"/>
      <w:r w:rsidR="00457876" w:rsidRPr="00CD3D64">
        <w:rPr>
          <w:rFonts w:ascii="Book Antiqua" w:hAnsi="Book Antiqua"/>
          <w:bCs/>
          <w:color w:val="000000"/>
        </w:rPr>
        <w:t xml:space="preserve"> and ribavirin for</w:t>
      </w:r>
      <w:r w:rsidR="00457876" w:rsidRPr="00CD3D64">
        <w:rPr>
          <w:rFonts w:ascii="Book Antiqua" w:hAnsi="Book Antiqua"/>
          <w:color w:val="000000"/>
        </w:rPr>
        <w:t xml:space="preserve"> elderly patients</w:t>
      </w:r>
      <w:bookmarkEnd w:id="3"/>
    </w:p>
    <w:p w:rsidR="00457876" w:rsidRPr="00CD3D64" w:rsidRDefault="00457876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bookmarkStart w:id="4" w:name="_Hlk6178165"/>
    </w:p>
    <w:p w:rsidR="004A5C12" w:rsidRPr="00CD3D64" w:rsidRDefault="00DE3766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CD3D64">
        <w:rPr>
          <w:rFonts w:ascii="Book Antiqua" w:hAnsi="Book Antiqua"/>
          <w:color w:val="000000"/>
        </w:rPr>
        <w:t xml:space="preserve">Hideyuki </w:t>
      </w:r>
      <w:proofErr w:type="spellStart"/>
      <w:r w:rsidRPr="00CD3D64">
        <w:rPr>
          <w:rFonts w:ascii="Book Antiqua" w:hAnsi="Book Antiqua"/>
          <w:color w:val="000000"/>
        </w:rPr>
        <w:t>Tamai</w:t>
      </w:r>
      <w:proofErr w:type="spellEnd"/>
      <w:r w:rsidRPr="00CD3D64">
        <w:rPr>
          <w:rFonts w:ascii="Book Antiqua" w:hAnsi="Book Antiqua"/>
          <w:color w:val="000000"/>
        </w:rPr>
        <w:t xml:space="preserve">, Naoki </w:t>
      </w:r>
      <w:proofErr w:type="spellStart"/>
      <w:r w:rsidRPr="00CD3D64">
        <w:rPr>
          <w:rFonts w:ascii="Book Antiqua" w:hAnsi="Book Antiqua"/>
          <w:color w:val="000000"/>
        </w:rPr>
        <w:t>Shingaki</w:t>
      </w:r>
      <w:proofErr w:type="spellEnd"/>
      <w:r w:rsidRPr="00CD3D64">
        <w:rPr>
          <w:rFonts w:ascii="Book Antiqua" w:hAnsi="Book Antiqua"/>
          <w:color w:val="000000"/>
        </w:rPr>
        <w:t xml:space="preserve">, Yoshiyuki Ida, Ryo Shimizu, </w:t>
      </w:r>
      <w:proofErr w:type="spellStart"/>
      <w:r w:rsidRPr="00CD3D64">
        <w:rPr>
          <w:rFonts w:ascii="Book Antiqua" w:hAnsi="Book Antiqua"/>
          <w:color w:val="000000"/>
        </w:rPr>
        <w:t>Shuya</w:t>
      </w:r>
      <w:proofErr w:type="spellEnd"/>
      <w:r w:rsidRPr="00CD3D64">
        <w:rPr>
          <w:rFonts w:ascii="Book Antiqua" w:hAnsi="Book Antiqua"/>
          <w:color w:val="000000"/>
        </w:rPr>
        <w:t xml:space="preserve"> </w:t>
      </w:r>
      <w:proofErr w:type="spellStart"/>
      <w:r w:rsidRPr="00CD3D64">
        <w:rPr>
          <w:rFonts w:ascii="Book Antiqua" w:hAnsi="Book Antiqua"/>
          <w:color w:val="000000"/>
        </w:rPr>
        <w:t>Maeshima</w:t>
      </w:r>
      <w:proofErr w:type="spellEnd"/>
      <w:r w:rsidRPr="00CD3D64">
        <w:rPr>
          <w:rFonts w:ascii="Book Antiqua" w:hAnsi="Book Antiqua"/>
          <w:color w:val="000000"/>
        </w:rPr>
        <w:t xml:space="preserve">, </w:t>
      </w:r>
      <w:proofErr w:type="spellStart"/>
      <w:r w:rsidRPr="00CD3D64">
        <w:rPr>
          <w:rFonts w:ascii="Book Antiqua" w:hAnsi="Book Antiqua"/>
          <w:color w:val="000000"/>
        </w:rPr>
        <w:t>Junpei</w:t>
      </w:r>
      <w:proofErr w:type="spellEnd"/>
      <w:r w:rsidRPr="00CD3D64">
        <w:rPr>
          <w:rFonts w:ascii="Book Antiqua" w:hAnsi="Book Antiqua"/>
          <w:color w:val="000000"/>
        </w:rPr>
        <w:t xml:space="preserve"> Okamura, Akira Kawashima, Taisei </w:t>
      </w:r>
      <w:proofErr w:type="spellStart"/>
      <w:r w:rsidRPr="00CD3D64">
        <w:rPr>
          <w:rFonts w:ascii="Book Antiqua" w:hAnsi="Book Antiqua"/>
          <w:color w:val="000000"/>
        </w:rPr>
        <w:t>Nakao</w:t>
      </w:r>
      <w:proofErr w:type="spellEnd"/>
      <w:r w:rsidRPr="00CD3D64">
        <w:rPr>
          <w:rFonts w:ascii="Book Antiqua" w:hAnsi="Book Antiqua"/>
          <w:color w:val="000000"/>
        </w:rPr>
        <w:t xml:space="preserve">, Takeshi Hara, </w:t>
      </w:r>
      <w:bookmarkStart w:id="5" w:name="_Hlk36541148"/>
      <w:proofErr w:type="spellStart"/>
      <w:r w:rsidRPr="00CD3D64">
        <w:rPr>
          <w:rFonts w:ascii="Book Antiqua" w:hAnsi="Book Antiqua"/>
          <w:color w:val="000000"/>
        </w:rPr>
        <w:t>Hiroyoshi</w:t>
      </w:r>
      <w:proofErr w:type="spellEnd"/>
      <w:r w:rsidRPr="00CD3D64">
        <w:rPr>
          <w:rFonts w:ascii="Book Antiqua" w:hAnsi="Book Antiqua"/>
          <w:color w:val="000000"/>
        </w:rPr>
        <w:t xml:space="preserve"> </w:t>
      </w:r>
      <w:proofErr w:type="spellStart"/>
      <w:r w:rsidRPr="00CD3D64">
        <w:rPr>
          <w:rFonts w:ascii="Book Antiqua" w:hAnsi="Book Antiqua"/>
          <w:color w:val="000000"/>
        </w:rPr>
        <w:t>Matsutani</w:t>
      </w:r>
      <w:bookmarkEnd w:id="5"/>
      <w:proofErr w:type="spellEnd"/>
      <w:r w:rsidRPr="00CD3D64">
        <w:rPr>
          <w:rFonts w:ascii="Book Antiqua" w:hAnsi="Book Antiqua"/>
          <w:color w:val="000000"/>
        </w:rPr>
        <w:t>, Izumi Nishikawa, Katsuhiko Higashi</w:t>
      </w:r>
    </w:p>
    <w:bookmarkEnd w:id="4"/>
    <w:p w:rsidR="004A5C12" w:rsidRPr="00CD3D64" w:rsidRDefault="004A5C12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</w:p>
    <w:p w:rsidR="00A600B5" w:rsidRPr="00CD3D64" w:rsidRDefault="00DE3766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CD3D64">
        <w:rPr>
          <w:rFonts w:ascii="Book Antiqua" w:hAnsi="Book Antiqua"/>
          <w:b/>
          <w:bCs/>
          <w:color w:val="000000"/>
        </w:rPr>
        <w:t xml:space="preserve">Hideyuki </w:t>
      </w:r>
      <w:proofErr w:type="spellStart"/>
      <w:r w:rsidRPr="00CD3D64">
        <w:rPr>
          <w:rFonts w:ascii="Book Antiqua" w:hAnsi="Book Antiqua"/>
          <w:b/>
          <w:bCs/>
          <w:color w:val="000000"/>
        </w:rPr>
        <w:t>Tamai</w:t>
      </w:r>
      <w:proofErr w:type="spellEnd"/>
      <w:r w:rsidRPr="00CD3D64">
        <w:rPr>
          <w:rFonts w:ascii="Book Antiqua" w:hAnsi="Book Antiqua"/>
          <w:b/>
          <w:bCs/>
          <w:color w:val="000000"/>
        </w:rPr>
        <w:t xml:space="preserve">, Naoki </w:t>
      </w:r>
      <w:proofErr w:type="spellStart"/>
      <w:r w:rsidRPr="00CD3D64">
        <w:rPr>
          <w:rFonts w:ascii="Book Antiqua" w:hAnsi="Book Antiqua"/>
          <w:b/>
          <w:bCs/>
          <w:color w:val="000000"/>
        </w:rPr>
        <w:t>Shingaki</w:t>
      </w:r>
      <w:proofErr w:type="spellEnd"/>
      <w:r w:rsidRPr="00F36AFC">
        <w:rPr>
          <w:rFonts w:ascii="Book Antiqua" w:hAnsi="Book Antiqua"/>
          <w:b/>
          <w:bCs/>
          <w:color w:val="000000"/>
        </w:rPr>
        <w:t>,</w:t>
      </w:r>
      <w:r w:rsidRPr="00CD3D64">
        <w:rPr>
          <w:rFonts w:ascii="Book Antiqua" w:hAnsi="Book Antiqua"/>
          <w:color w:val="000000"/>
        </w:rPr>
        <w:t xml:space="preserve"> Department of </w:t>
      </w:r>
      <w:proofErr w:type="spellStart"/>
      <w:r w:rsidRPr="00CD3D64">
        <w:rPr>
          <w:rFonts w:ascii="Book Antiqua" w:hAnsi="Book Antiqua"/>
          <w:color w:val="000000"/>
        </w:rPr>
        <w:t>Hepatology</w:t>
      </w:r>
      <w:proofErr w:type="spellEnd"/>
      <w:r w:rsidRPr="00CD3D64">
        <w:rPr>
          <w:rFonts w:ascii="Book Antiqua" w:hAnsi="Book Antiqua"/>
          <w:color w:val="000000"/>
        </w:rPr>
        <w:t xml:space="preserve">, Wakayama </w:t>
      </w:r>
      <w:proofErr w:type="spellStart"/>
      <w:r w:rsidRPr="00CD3D64">
        <w:rPr>
          <w:rFonts w:ascii="Book Antiqua" w:hAnsi="Book Antiqua"/>
          <w:color w:val="000000"/>
        </w:rPr>
        <w:t>Rosai</w:t>
      </w:r>
      <w:proofErr w:type="spellEnd"/>
      <w:r w:rsidRPr="00CD3D64">
        <w:rPr>
          <w:rFonts w:ascii="Book Antiqua" w:hAnsi="Book Antiqua"/>
          <w:color w:val="000000"/>
        </w:rPr>
        <w:t xml:space="preserve"> Hospital, </w:t>
      </w:r>
      <w:r w:rsidR="002E6515" w:rsidRPr="00CD3D64">
        <w:rPr>
          <w:rFonts w:ascii="Book Antiqua" w:hAnsi="Book Antiqua"/>
          <w:color w:val="000000"/>
        </w:rPr>
        <w:t>Wakayama 640</w:t>
      </w:r>
      <w:r w:rsidRPr="00CD3D64">
        <w:rPr>
          <w:rFonts w:ascii="Book Antiqua" w:hAnsi="Book Antiqua"/>
          <w:color w:val="000000"/>
        </w:rPr>
        <w:t>8505, Japan</w:t>
      </w:r>
    </w:p>
    <w:p w:rsidR="00A600B5" w:rsidRPr="00CD3D64" w:rsidRDefault="00A600B5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</w:p>
    <w:p w:rsidR="00A600B5" w:rsidRPr="00CD3D64" w:rsidRDefault="00DE3766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CD3D64">
        <w:rPr>
          <w:rFonts w:ascii="Book Antiqua" w:hAnsi="Book Antiqua"/>
          <w:b/>
          <w:bCs/>
          <w:color w:val="000000"/>
        </w:rPr>
        <w:t xml:space="preserve">Yoshiyuki Ida, Ryo Shimizu, </w:t>
      </w:r>
      <w:proofErr w:type="spellStart"/>
      <w:r w:rsidRPr="00CD3D64">
        <w:rPr>
          <w:rFonts w:ascii="Book Antiqua" w:hAnsi="Book Antiqua"/>
          <w:b/>
          <w:bCs/>
          <w:color w:val="000000"/>
        </w:rPr>
        <w:t>Shuya</w:t>
      </w:r>
      <w:proofErr w:type="spellEnd"/>
      <w:r w:rsidRPr="00CD3D64">
        <w:rPr>
          <w:rFonts w:ascii="Book Antiqua" w:hAnsi="Book Antiqua"/>
          <w:b/>
          <w:bCs/>
          <w:color w:val="000000"/>
        </w:rPr>
        <w:t xml:space="preserve"> </w:t>
      </w:r>
      <w:proofErr w:type="spellStart"/>
      <w:r w:rsidRPr="00CD3D64">
        <w:rPr>
          <w:rFonts w:ascii="Book Antiqua" w:hAnsi="Book Antiqua"/>
          <w:b/>
          <w:bCs/>
          <w:color w:val="000000"/>
        </w:rPr>
        <w:t>Maeshima</w:t>
      </w:r>
      <w:proofErr w:type="spellEnd"/>
      <w:r w:rsidRPr="00F36AFC">
        <w:rPr>
          <w:rFonts w:ascii="Book Antiqua" w:hAnsi="Book Antiqua"/>
          <w:b/>
          <w:bCs/>
          <w:color w:val="000000"/>
        </w:rPr>
        <w:t>,</w:t>
      </w:r>
      <w:r w:rsidRPr="00CD3D64">
        <w:rPr>
          <w:rFonts w:ascii="Book Antiqua" w:hAnsi="Book Antiqua"/>
          <w:color w:val="000000"/>
        </w:rPr>
        <w:t xml:space="preserve"> Second Department of Internal Medicine, Wakayama Medical University, Waka</w:t>
      </w:r>
      <w:r w:rsidR="002E6515" w:rsidRPr="00CD3D64">
        <w:rPr>
          <w:rFonts w:ascii="Book Antiqua" w:hAnsi="Book Antiqua"/>
          <w:color w:val="000000"/>
        </w:rPr>
        <w:t>yama 641</w:t>
      </w:r>
      <w:r w:rsidRPr="00CD3D64">
        <w:rPr>
          <w:rFonts w:ascii="Book Antiqua" w:hAnsi="Book Antiqua"/>
          <w:color w:val="000000"/>
        </w:rPr>
        <w:t>8509, Japan</w:t>
      </w:r>
    </w:p>
    <w:p w:rsidR="00A600B5" w:rsidRPr="00CD3D64" w:rsidRDefault="00A600B5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</w:p>
    <w:p w:rsidR="00A600B5" w:rsidRPr="00CD3D64" w:rsidRDefault="00DE3766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proofErr w:type="spellStart"/>
      <w:r w:rsidRPr="00CD3D64">
        <w:rPr>
          <w:rFonts w:ascii="Book Antiqua" w:hAnsi="Book Antiqua"/>
          <w:b/>
          <w:bCs/>
          <w:color w:val="000000"/>
        </w:rPr>
        <w:t>Junpei</w:t>
      </w:r>
      <w:proofErr w:type="spellEnd"/>
      <w:r w:rsidRPr="00CD3D64">
        <w:rPr>
          <w:rFonts w:ascii="Book Antiqua" w:hAnsi="Book Antiqua"/>
          <w:b/>
          <w:bCs/>
          <w:color w:val="000000"/>
        </w:rPr>
        <w:t xml:space="preserve"> Okamura, Akira Kawashima, Taisei </w:t>
      </w:r>
      <w:proofErr w:type="spellStart"/>
      <w:r w:rsidRPr="00CD3D64">
        <w:rPr>
          <w:rFonts w:ascii="Book Antiqua" w:hAnsi="Book Antiqua"/>
          <w:b/>
          <w:bCs/>
          <w:color w:val="000000"/>
        </w:rPr>
        <w:t>Nakao</w:t>
      </w:r>
      <w:proofErr w:type="spellEnd"/>
      <w:r w:rsidRPr="00F36AFC">
        <w:rPr>
          <w:rFonts w:ascii="Book Antiqua" w:hAnsi="Book Antiqua"/>
          <w:b/>
          <w:bCs/>
          <w:color w:val="000000"/>
        </w:rPr>
        <w:t>,</w:t>
      </w:r>
      <w:r w:rsidRPr="00CD3D64">
        <w:rPr>
          <w:rFonts w:ascii="Book Antiqua" w:hAnsi="Book Antiqua"/>
          <w:color w:val="000000"/>
        </w:rPr>
        <w:t xml:space="preserve"> Department of Internal Medicine, Naga Municipal Hospital, </w:t>
      </w:r>
      <w:r w:rsidR="002E6515" w:rsidRPr="00CD3D64">
        <w:rPr>
          <w:rFonts w:ascii="Book Antiqua" w:hAnsi="Book Antiqua"/>
          <w:color w:val="000000"/>
        </w:rPr>
        <w:t>Wakayama 649</w:t>
      </w:r>
      <w:r w:rsidRPr="00CD3D64">
        <w:rPr>
          <w:rFonts w:ascii="Book Antiqua" w:hAnsi="Book Antiqua"/>
          <w:color w:val="000000"/>
        </w:rPr>
        <w:t>6414, Japan</w:t>
      </w:r>
    </w:p>
    <w:p w:rsidR="00A600B5" w:rsidRPr="00CD3D64" w:rsidRDefault="00A600B5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</w:p>
    <w:p w:rsidR="00A600B5" w:rsidRPr="00CD3D64" w:rsidRDefault="00DE3766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CD3D64">
        <w:rPr>
          <w:rFonts w:ascii="Book Antiqua" w:hAnsi="Book Antiqua"/>
          <w:b/>
          <w:bCs/>
          <w:color w:val="000000"/>
        </w:rPr>
        <w:t>Takeshi Hara</w:t>
      </w:r>
      <w:r w:rsidRPr="00F36AFC">
        <w:rPr>
          <w:rFonts w:ascii="Book Antiqua" w:hAnsi="Book Antiqua"/>
          <w:b/>
          <w:bCs/>
          <w:color w:val="000000"/>
        </w:rPr>
        <w:t>,</w:t>
      </w:r>
      <w:r w:rsidRPr="00CD3D64">
        <w:rPr>
          <w:rFonts w:ascii="Book Antiqua" w:hAnsi="Book Antiqua"/>
          <w:color w:val="000000"/>
        </w:rPr>
        <w:t xml:space="preserve"> Department of Gastroenterology, Wakayama </w:t>
      </w:r>
      <w:proofErr w:type="spellStart"/>
      <w:r w:rsidRPr="00CD3D64">
        <w:rPr>
          <w:rFonts w:ascii="Book Antiqua" w:hAnsi="Book Antiqua"/>
          <w:color w:val="000000"/>
        </w:rPr>
        <w:t>Rosai</w:t>
      </w:r>
      <w:proofErr w:type="spellEnd"/>
      <w:r w:rsidRPr="00CD3D64">
        <w:rPr>
          <w:rFonts w:ascii="Book Antiqua" w:hAnsi="Book Antiqua"/>
          <w:color w:val="000000"/>
        </w:rPr>
        <w:t xml:space="preserve"> Hospital, </w:t>
      </w:r>
      <w:r w:rsidR="002E6515" w:rsidRPr="00CD3D64">
        <w:rPr>
          <w:rFonts w:ascii="Book Antiqua" w:hAnsi="Book Antiqua"/>
          <w:color w:val="000000"/>
        </w:rPr>
        <w:t>Wakayama 640</w:t>
      </w:r>
      <w:r w:rsidRPr="00CD3D64">
        <w:rPr>
          <w:rFonts w:ascii="Book Antiqua" w:hAnsi="Book Antiqua"/>
          <w:color w:val="000000"/>
        </w:rPr>
        <w:t>8505, Japan</w:t>
      </w:r>
    </w:p>
    <w:p w:rsidR="00A600B5" w:rsidRPr="00CD3D64" w:rsidRDefault="00A600B5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</w:p>
    <w:p w:rsidR="004A5C12" w:rsidRPr="00CD3D64" w:rsidRDefault="00DE3766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proofErr w:type="spellStart"/>
      <w:r w:rsidRPr="00CD3D64">
        <w:rPr>
          <w:rFonts w:ascii="Book Antiqua" w:hAnsi="Book Antiqua"/>
          <w:b/>
          <w:bCs/>
          <w:color w:val="000000"/>
        </w:rPr>
        <w:t>Hiroyoshi</w:t>
      </w:r>
      <w:proofErr w:type="spellEnd"/>
      <w:r w:rsidRPr="00CD3D64">
        <w:rPr>
          <w:rFonts w:ascii="Book Antiqua" w:hAnsi="Book Antiqua"/>
          <w:b/>
          <w:bCs/>
          <w:color w:val="000000"/>
        </w:rPr>
        <w:t xml:space="preserve"> </w:t>
      </w:r>
      <w:proofErr w:type="spellStart"/>
      <w:r w:rsidRPr="00CD3D64">
        <w:rPr>
          <w:rFonts w:ascii="Book Antiqua" w:hAnsi="Book Antiqua"/>
          <w:b/>
          <w:bCs/>
          <w:color w:val="000000"/>
        </w:rPr>
        <w:t>Matsutani</w:t>
      </w:r>
      <w:proofErr w:type="spellEnd"/>
      <w:r w:rsidRPr="00CD3D64">
        <w:rPr>
          <w:rFonts w:ascii="Book Antiqua" w:hAnsi="Book Antiqua"/>
          <w:b/>
          <w:bCs/>
          <w:color w:val="000000"/>
        </w:rPr>
        <w:t xml:space="preserve">, Izumi Nishikawa, </w:t>
      </w:r>
      <w:bookmarkStart w:id="6" w:name="OLE_LINK10"/>
      <w:bookmarkStart w:id="7" w:name="OLE_LINK11"/>
      <w:r w:rsidRPr="00CD3D64">
        <w:rPr>
          <w:rFonts w:ascii="Book Antiqua" w:hAnsi="Book Antiqua"/>
          <w:b/>
          <w:bCs/>
          <w:color w:val="000000"/>
        </w:rPr>
        <w:t>Katsuhiko Higashi</w:t>
      </w:r>
      <w:bookmarkEnd w:id="6"/>
      <w:bookmarkEnd w:id="7"/>
      <w:r w:rsidRPr="00F36AFC">
        <w:rPr>
          <w:rFonts w:ascii="Book Antiqua" w:hAnsi="Book Antiqua"/>
          <w:b/>
          <w:bCs/>
          <w:color w:val="000000"/>
        </w:rPr>
        <w:t>,</w:t>
      </w:r>
      <w:r w:rsidRPr="00CD3D64">
        <w:rPr>
          <w:rFonts w:ascii="Book Antiqua" w:hAnsi="Book Antiqua"/>
          <w:color w:val="000000"/>
        </w:rPr>
        <w:t xml:space="preserve"> First Department of Internal Medicine, Hidaka General Hospital, </w:t>
      </w:r>
      <w:r w:rsidR="002E6515" w:rsidRPr="00CD3D64">
        <w:rPr>
          <w:rFonts w:ascii="Book Antiqua" w:hAnsi="Book Antiqua"/>
          <w:color w:val="000000"/>
        </w:rPr>
        <w:t>Wakayama 644</w:t>
      </w:r>
      <w:r w:rsidRPr="00CD3D64">
        <w:rPr>
          <w:rFonts w:ascii="Book Antiqua" w:hAnsi="Book Antiqua"/>
          <w:color w:val="000000"/>
        </w:rPr>
        <w:t>0002, Japan</w:t>
      </w:r>
    </w:p>
    <w:p w:rsidR="003D208B" w:rsidRPr="00CD3D64" w:rsidRDefault="003D208B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</w:p>
    <w:p w:rsidR="00FE3463" w:rsidRPr="00CD3D64" w:rsidRDefault="00FE3463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CD3D64">
        <w:rPr>
          <w:rFonts w:ascii="Book Antiqua" w:hAnsi="Book Antiqua"/>
          <w:b/>
          <w:bCs/>
          <w:color w:val="000000"/>
        </w:rPr>
        <w:t xml:space="preserve">Author contributions: </w:t>
      </w:r>
      <w:proofErr w:type="spellStart"/>
      <w:r w:rsidR="00DE3766" w:rsidRPr="00CD3D64">
        <w:rPr>
          <w:rFonts w:ascii="Book Antiqua" w:hAnsi="Book Antiqua"/>
          <w:color w:val="000000"/>
        </w:rPr>
        <w:t>Tamai</w:t>
      </w:r>
      <w:proofErr w:type="spellEnd"/>
      <w:r w:rsidR="00DE3766" w:rsidRPr="00CD3D64">
        <w:rPr>
          <w:rFonts w:ascii="Book Antiqua" w:hAnsi="Book Antiqua"/>
          <w:color w:val="000000"/>
        </w:rPr>
        <w:t xml:space="preserve"> H</w:t>
      </w:r>
      <w:r w:rsidRPr="00CD3D64">
        <w:rPr>
          <w:rFonts w:ascii="Book Antiqua" w:hAnsi="Book Antiqua"/>
          <w:color w:val="000000"/>
        </w:rPr>
        <w:t xml:space="preserve"> drafted the manuscript</w:t>
      </w:r>
      <w:r w:rsidR="00531A2C" w:rsidRPr="00CD3D64">
        <w:rPr>
          <w:rFonts w:ascii="Book Antiqua" w:hAnsi="Book Antiqua"/>
          <w:color w:val="000000"/>
        </w:rPr>
        <w:t>,</w:t>
      </w:r>
      <w:r w:rsidRPr="00CD3D64">
        <w:rPr>
          <w:rFonts w:ascii="Book Antiqua" w:hAnsi="Book Antiqua"/>
          <w:color w:val="000000"/>
        </w:rPr>
        <w:t xml:space="preserve"> </w:t>
      </w:r>
      <w:r w:rsidR="00BE08E9" w:rsidRPr="00CD3D64">
        <w:rPr>
          <w:rFonts w:ascii="Book Antiqua" w:hAnsi="Book Antiqua"/>
          <w:color w:val="000000"/>
        </w:rPr>
        <w:t xml:space="preserve">provided </w:t>
      </w:r>
      <w:r w:rsidR="00531A2C" w:rsidRPr="00CD3D64">
        <w:rPr>
          <w:rFonts w:ascii="Book Antiqua" w:hAnsi="Book Antiqua"/>
          <w:color w:val="000000"/>
        </w:rPr>
        <w:t>oversight of the study, and performed</w:t>
      </w:r>
      <w:r w:rsidRPr="00CD3D64">
        <w:rPr>
          <w:rFonts w:ascii="Book Antiqua" w:hAnsi="Book Antiqua"/>
          <w:color w:val="000000"/>
        </w:rPr>
        <w:t xml:space="preserve"> data analysis; </w:t>
      </w:r>
      <w:proofErr w:type="spellStart"/>
      <w:r w:rsidR="00DE3766" w:rsidRPr="00CD3D64">
        <w:rPr>
          <w:rFonts w:ascii="Book Antiqua" w:hAnsi="Book Antiqua"/>
          <w:color w:val="000000"/>
        </w:rPr>
        <w:t>Shingaki</w:t>
      </w:r>
      <w:proofErr w:type="spellEnd"/>
      <w:r w:rsidR="00DE3766" w:rsidRPr="00CD3D64">
        <w:rPr>
          <w:rFonts w:ascii="Book Antiqua" w:hAnsi="Book Antiqua"/>
          <w:color w:val="000000"/>
        </w:rPr>
        <w:t xml:space="preserve"> N</w:t>
      </w:r>
      <w:r w:rsidR="00531A2C" w:rsidRPr="00CD3D64">
        <w:rPr>
          <w:rFonts w:ascii="Book Antiqua" w:hAnsi="Book Antiqua"/>
          <w:color w:val="000000"/>
        </w:rPr>
        <w:t xml:space="preserve">, </w:t>
      </w:r>
      <w:r w:rsidR="00DE3766" w:rsidRPr="00CD3D64">
        <w:rPr>
          <w:rFonts w:ascii="Book Antiqua" w:hAnsi="Book Antiqua"/>
          <w:color w:val="000000"/>
        </w:rPr>
        <w:t>Ida Y</w:t>
      </w:r>
      <w:r w:rsidR="00531A2C" w:rsidRPr="00CD3D64">
        <w:rPr>
          <w:rFonts w:ascii="Book Antiqua" w:hAnsi="Book Antiqua"/>
          <w:color w:val="000000"/>
        </w:rPr>
        <w:t xml:space="preserve">, </w:t>
      </w:r>
      <w:r w:rsidR="00DE3766" w:rsidRPr="00CD3D64">
        <w:rPr>
          <w:rFonts w:ascii="Book Antiqua" w:hAnsi="Book Antiqua"/>
          <w:color w:val="000000"/>
        </w:rPr>
        <w:t>Shimizu R</w:t>
      </w:r>
      <w:r w:rsidR="00531A2C" w:rsidRPr="00CD3D64">
        <w:rPr>
          <w:rFonts w:ascii="Book Antiqua" w:hAnsi="Book Antiqua"/>
          <w:color w:val="000000"/>
        </w:rPr>
        <w:t xml:space="preserve">, </w:t>
      </w:r>
      <w:proofErr w:type="spellStart"/>
      <w:r w:rsidR="00DE3766" w:rsidRPr="00CD3D64">
        <w:rPr>
          <w:rFonts w:ascii="Book Antiqua" w:hAnsi="Book Antiqua"/>
          <w:color w:val="000000"/>
        </w:rPr>
        <w:t>Maeshima</w:t>
      </w:r>
      <w:proofErr w:type="spellEnd"/>
      <w:r w:rsidR="00DE3766" w:rsidRPr="00CD3D64">
        <w:rPr>
          <w:rFonts w:ascii="Book Antiqua" w:hAnsi="Book Antiqua"/>
          <w:color w:val="000000"/>
        </w:rPr>
        <w:t xml:space="preserve"> S</w:t>
      </w:r>
      <w:r w:rsidR="00820320" w:rsidRPr="00CD3D64">
        <w:rPr>
          <w:rFonts w:ascii="Book Antiqua" w:hAnsi="Book Antiqua"/>
          <w:color w:val="000000"/>
        </w:rPr>
        <w:t xml:space="preserve">, </w:t>
      </w:r>
      <w:r w:rsidR="00DE3766" w:rsidRPr="00CD3D64">
        <w:rPr>
          <w:rFonts w:ascii="Book Antiqua" w:hAnsi="Book Antiqua"/>
          <w:color w:val="000000"/>
        </w:rPr>
        <w:lastRenderedPageBreak/>
        <w:t>Okamura J</w:t>
      </w:r>
      <w:r w:rsidR="00820320" w:rsidRPr="00CD3D64">
        <w:rPr>
          <w:rFonts w:ascii="Book Antiqua" w:hAnsi="Book Antiqua"/>
          <w:color w:val="000000"/>
        </w:rPr>
        <w:t xml:space="preserve">, </w:t>
      </w:r>
      <w:r w:rsidR="00DE3766" w:rsidRPr="00CD3D64">
        <w:rPr>
          <w:rFonts w:ascii="Book Antiqua" w:hAnsi="Book Antiqua"/>
          <w:color w:val="000000"/>
        </w:rPr>
        <w:t>Kawashima A</w:t>
      </w:r>
      <w:r w:rsidR="00820320" w:rsidRPr="00CD3D64">
        <w:rPr>
          <w:rFonts w:ascii="Book Antiqua" w:hAnsi="Book Antiqua"/>
          <w:color w:val="000000"/>
        </w:rPr>
        <w:t xml:space="preserve">, </w:t>
      </w:r>
      <w:proofErr w:type="spellStart"/>
      <w:r w:rsidR="00DE3766" w:rsidRPr="00CD3D64">
        <w:rPr>
          <w:rFonts w:ascii="Book Antiqua" w:hAnsi="Book Antiqua"/>
          <w:color w:val="000000"/>
        </w:rPr>
        <w:t>Nakao</w:t>
      </w:r>
      <w:proofErr w:type="spellEnd"/>
      <w:r w:rsidR="00DE3766" w:rsidRPr="00CD3D64">
        <w:rPr>
          <w:rFonts w:ascii="Book Antiqua" w:hAnsi="Book Antiqua"/>
          <w:color w:val="000000"/>
        </w:rPr>
        <w:t xml:space="preserve"> T</w:t>
      </w:r>
      <w:r w:rsidR="00820320" w:rsidRPr="00CD3D64">
        <w:rPr>
          <w:rFonts w:ascii="Book Antiqua" w:hAnsi="Book Antiqua"/>
          <w:color w:val="000000"/>
        </w:rPr>
        <w:t xml:space="preserve">, </w:t>
      </w:r>
      <w:r w:rsidR="00DE3766" w:rsidRPr="00CD3D64">
        <w:rPr>
          <w:rFonts w:ascii="Book Antiqua" w:hAnsi="Book Antiqua"/>
          <w:color w:val="000000"/>
        </w:rPr>
        <w:t>Hara T</w:t>
      </w:r>
      <w:r w:rsidR="00820320" w:rsidRPr="00CD3D64">
        <w:rPr>
          <w:rFonts w:ascii="Book Antiqua" w:hAnsi="Book Antiqua"/>
          <w:color w:val="000000"/>
        </w:rPr>
        <w:t xml:space="preserve">, </w:t>
      </w:r>
      <w:proofErr w:type="spellStart"/>
      <w:r w:rsidR="00DE3766" w:rsidRPr="00CD3D64">
        <w:rPr>
          <w:rFonts w:ascii="Book Antiqua" w:hAnsi="Book Antiqua"/>
          <w:color w:val="000000"/>
        </w:rPr>
        <w:t>Matsutani</w:t>
      </w:r>
      <w:proofErr w:type="spellEnd"/>
      <w:r w:rsidR="00DE3766" w:rsidRPr="00CD3D64">
        <w:rPr>
          <w:rFonts w:ascii="Book Antiqua" w:hAnsi="Book Antiqua"/>
          <w:color w:val="000000"/>
        </w:rPr>
        <w:t xml:space="preserve"> H</w:t>
      </w:r>
      <w:r w:rsidR="00820320" w:rsidRPr="00CD3D64">
        <w:rPr>
          <w:rFonts w:ascii="Book Antiqua" w:hAnsi="Book Antiqua"/>
          <w:color w:val="000000"/>
        </w:rPr>
        <w:t xml:space="preserve">, </w:t>
      </w:r>
      <w:proofErr w:type="spellStart"/>
      <w:r w:rsidR="00DE3766" w:rsidRPr="00CD3D64">
        <w:rPr>
          <w:rFonts w:ascii="Book Antiqua" w:hAnsi="Book Antiqua"/>
          <w:color w:val="000000"/>
        </w:rPr>
        <w:t>Nisikawa</w:t>
      </w:r>
      <w:proofErr w:type="spellEnd"/>
      <w:r w:rsidR="00DE3766" w:rsidRPr="00CD3D64">
        <w:rPr>
          <w:rFonts w:ascii="Book Antiqua" w:hAnsi="Book Antiqua"/>
          <w:color w:val="000000"/>
        </w:rPr>
        <w:t xml:space="preserve"> I</w:t>
      </w:r>
      <w:r w:rsidR="00820320" w:rsidRPr="00CD3D64">
        <w:rPr>
          <w:rFonts w:ascii="Book Antiqua" w:hAnsi="Book Antiqua"/>
          <w:color w:val="000000"/>
        </w:rPr>
        <w:t xml:space="preserve">, and </w:t>
      </w:r>
      <w:r w:rsidR="00DE3766" w:rsidRPr="00CD3D64">
        <w:rPr>
          <w:rFonts w:ascii="Book Antiqua" w:hAnsi="Book Antiqua"/>
          <w:color w:val="000000"/>
        </w:rPr>
        <w:t>Higashi K</w:t>
      </w:r>
      <w:r w:rsidR="00820320" w:rsidRPr="00CD3D64">
        <w:rPr>
          <w:rFonts w:ascii="Book Antiqua" w:hAnsi="Book Antiqua"/>
          <w:color w:val="000000"/>
        </w:rPr>
        <w:t xml:space="preserve"> </w:t>
      </w:r>
      <w:r w:rsidRPr="00CD3D64">
        <w:rPr>
          <w:rFonts w:ascii="Book Antiqua" w:hAnsi="Book Antiqua"/>
          <w:color w:val="000000"/>
        </w:rPr>
        <w:t xml:space="preserve">participated in </w:t>
      </w:r>
      <w:r w:rsidR="00BE08E9" w:rsidRPr="00CD3D64">
        <w:rPr>
          <w:rFonts w:ascii="Book Antiqua" w:hAnsi="Book Antiqua"/>
          <w:color w:val="000000"/>
        </w:rPr>
        <w:t xml:space="preserve">the </w:t>
      </w:r>
      <w:r w:rsidRPr="00CD3D64">
        <w:rPr>
          <w:rFonts w:ascii="Book Antiqua" w:hAnsi="Book Antiqua"/>
          <w:color w:val="000000"/>
        </w:rPr>
        <w:t xml:space="preserve">design and </w:t>
      </w:r>
      <w:r w:rsidR="00BE08E9" w:rsidRPr="00CD3D64">
        <w:rPr>
          <w:rFonts w:ascii="Book Antiqua" w:hAnsi="Book Antiqua"/>
          <w:color w:val="000000"/>
        </w:rPr>
        <w:t xml:space="preserve">were </w:t>
      </w:r>
      <w:r w:rsidRPr="00CD3D64">
        <w:rPr>
          <w:rFonts w:ascii="Book Antiqua" w:hAnsi="Book Antiqua"/>
          <w:color w:val="000000"/>
        </w:rPr>
        <w:t>involved with data collection</w:t>
      </w:r>
      <w:r w:rsidR="00AF108D" w:rsidRPr="00CD3D64">
        <w:rPr>
          <w:rFonts w:ascii="Book Antiqua" w:hAnsi="Book Antiqua"/>
          <w:color w:val="000000"/>
        </w:rPr>
        <w:t xml:space="preserve">; </w:t>
      </w:r>
      <w:r w:rsidR="00F36AFC">
        <w:rPr>
          <w:rFonts w:ascii="Book Antiqua" w:hAnsi="Book Antiqua"/>
          <w:color w:val="000000"/>
        </w:rPr>
        <w:t>a</w:t>
      </w:r>
      <w:r w:rsidR="00F36AFC" w:rsidRPr="00CD3D64">
        <w:rPr>
          <w:rFonts w:ascii="Book Antiqua" w:hAnsi="Book Antiqua"/>
          <w:color w:val="000000"/>
        </w:rPr>
        <w:t xml:space="preserve">ll </w:t>
      </w:r>
      <w:r w:rsidRPr="00CD3D64">
        <w:rPr>
          <w:rFonts w:ascii="Book Antiqua" w:hAnsi="Book Antiqua"/>
          <w:color w:val="000000"/>
        </w:rPr>
        <w:t>authors read and approved the final manuscript.</w:t>
      </w:r>
    </w:p>
    <w:p w:rsidR="00820320" w:rsidRPr="00CD3D64" w:rsidRDefault="00820320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</w:p>
    <w:p w:rsidR="00A600B5" w:rsidRPr="00CD3D64" w:rsidRDefault="00820320" w:rsidP="00CD3D64">
      <w:pPr>
        <w:widowControl/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proofErr w:type="gramStart"/>
      <w:r w:rsidRPr="00CD3D64">
        <w:rPr>
          <w:rFonts w:ascii="Book Antiqua" w:hAnsi="Book Antiqua"/>
          <w:b/>
          <w:bCs/>
          <w:color w:val="000000"/>
        </w:rPr>
        <w:t>Corresponding author</w:t>
      </w:r>
      <w:r w:rsidR="00B91492" w:rsidRPr="00CD3D64">
        <w:rPr>
          <w:rFonts w:ascii="Book Antiqua" w:hAnsi="Book Antiqua"/>
          <w:b/>
          <w:color w:val="000000"/>
        </w:rPr>
        <w:t>:</w:t>
      </w:r>
      <w:r w:rsidR="00B91492" w:rsidRPr="00CD3D64">
        <w:rPr>
          <w:rFonts w:ascii="Book Antiqua" w:hAnsi="Book Antiqua"/>
          <w:b/>
          <w:bCs/>
          <w:color w:val="000000"/>
        </w:rPr>
        <w:t xml:space="preserve"> </w:t>
      </w:r>
      <w:r w:rsidR="00DE3766" w:rsidRPr="00CD3D64">
        <w:rPr>
          <w:rFonts w:ascii="Book Antiqua" w:hAnsi="Book Antiqua"/>
          <w:b/>
          <w:bCs/>
          <w:color w:val="000000"/>
        </w:rPr>
        <w:t xml:space="preserve">Hideyuki </w:t>
      </w:r>
      <w:proofErr w:type="spellStart"/>
      <w:r w:rsidR="00DE3766" w:rsidRPr="00CD3D64">
        <w:rPr>
          <w:rFonts w:ascii="Book Antiqua" w:hAnsi="Book Antiqua"/>
          <w:b/>
          <w:bCs/>
          <w:color w:val="000000"/>
        </w:rPr>
        <w:t>Tamai</w:t>
      </w:r>
      <w:proofErr w:type="spellEnd"/>
      <w:r w:rsidR="00DE3766" w:rsidRPr="00CD3D64">
        <w:rPr>
          <w:rFonts w:ascii="Book Antiqua" w:hAnsi="Book Antiqua"/>
          <w:b/>
          <w:bCs/>
          <w:color w:val="000000"/>
        </w:rPr>
        <w:t xml:space="preserve">, MD, PhD, Director, </w:t>
      </w:r>
      <w:r w:rsidR="00DE3766" w:rsidRPr="00CD3D64">
        <w:rPr>
          <w:rFonts w:ascii="Book Antiqua" w:hAnsi="Book Antiqua"/>
          <w:color w:val="000000"/>
        </w:rPr>
        <w:t xml:space="preserve">Department of </w:t>
      </w:r>
      <w:proofErr w:type="spellStart"/>
      <w:r w:rsidR="00DE3766" w:rsidRPr="00CD3D64">
        <w:rPr>
          <w:rFonts w:ascii="Book Antiqua" w:hAnsi="Book Antiqua"/>
          <w:color w:val="000000"/>
        </w:rPr>
        <w:t>Hepatology</w:t>
      </w:r>
      <w:proofErr w:type="spellEnd"/>
      <w:r w:rsidR="00DE3766" w:rsidRPr="00CD3D64">
        <w:rPr>
          <w:rFonts w:ascii="Book Antiqua" w:hAnsi="Book Antiqua"/>
          <w:color w:val="000000"/>
        </w:rPr>
        <w:t xml:space="preserve">, Wakayama </w:t>
      </w:r>
      <w:proofErr w:type="spellStart"/>
      <w:r w:rsidR="00DE3766" w:rsidRPr="00CD3D64">
        <w:rPr>
          <w:rFonts w:ascii="Book Antiqua" w:hAnsi="Book Antiqua"/>
          <w:color w:val="000000"/>
        </w:rPr>
        <w:t>Rosai</w:t>
      </w:r>
      <w:proofErr w:type="spellEnd"/>
      <w:r w:rsidR="00DE3766" w:rsidRPr="00CD3D64">
        <w:rPr>
          <w:rFonts w:ascii="Book Antiqua" w:hAnsi="Book Antiqua"/>
          <w:color w:val="000000"/>
        </w:rPr>
        <w:t xml:space="preserve"> Hospital</w:t>
      </w:r>
      <w:r w:rsidR="00DE3766" w:rsidRPr="00CD3D64">
        <w:rPr>
          <w:rFonts w:ascii="Book Antiqua" w:hAnsi="Book Antiqua"/>
          <w:bCs/>
          <w:color w:val="000000"/>
        </w:rPr>
        <w:t xml:space="preserve">, </w:t>
      </w:r>
      <w:r w:rsidR="002E6515" w:rsidRPr="00CD3D64">
        <w:rPr>
          <w:rFonts w:ascii="Book Antiqua" w:hAnsi="Book Antiqua"/>
          <w:color w:val="000000"/>
        </w:rPr>
        <w:t xml:space="preserve">93-1 </w:t>
      </w:r>
      <w:proofErr w:type="spellStart"/>
      <w:r w:rsidR="002E6515" w:rsidRPr="00CD3D64">
        <w:rPr>
          <w:rFonts w:ascii="Book Antiqua" w:hAnsi="Book Antiqua"/>
          <w:color w:val="000000"/>
        </w:rPr>
        <w:t>Kinomoto</w:t>
      </w:r>
      <w:proofErr w:type="spellEnd"/>
      <w:r w:rsidR="002E6515" w:rsidRPr="00CD3D64">
        <w:rPr>
          <w:rFonts w:ascii="Book Antiqua" w:hAnsi="Book Antiqua"/>
          <w:color w:val="000000"/>
        </w:rPr>
        <w:t>, Wakayama 640</w:t>
      </w:r>
      <w:r w:rsidR="00DE3766" w:rsidRPr="00CD3D64">
        <w:rPr>
          <w:rFonts w:ascii="Book Antiqua" w:hAnsi="Book Antiqua"/>
          <w:color w:val="000000"/>
        </w:rPr>
        <w:t>8505, Japan.</w:t>
      </w:r>
      <w:proofErr w:type="gramEnd"/>
      <w:r w:rsidR="00DE3766" w:rsidRPr="00CD3D64">
        <w:rPr>
          <w:rFonts w:ascii="Book Antiqua" w:hAnsi="Book Antiqua"/>
          <w:color w:val="000000"/>
        </w:rPr>
        <w:t xml:space="preserve"> </w:t>
      </w:r>
      <w:hyperlink r:id="rId8" w:history="1">
        <w:r w:rsidR="00F52412" w:rsidRPr="00F36AFC">
          <w:rPr>
            <w:rStyle w:val="a5"/>
            <w:rFonts w:ascii="Book Antiqua" w:hAnsi="Book Antiqua"/>
            <w:color w:val="auto"/>
            <w:u w:val="none"/>
          </w:rPr>
          <w:t>hdy-tamai@wakayamah.johas.go.jp</w:t>
        </w:r>
      </w:hyperlink>
    </w:p>
    <w:p w:rsidR="00F52412" w:rsidRPr="00CD3D64" w:rsidRDefault="00F52412" w:rsidP="00CD3D64">
      <w:pPr>
        <w:widowControl/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</w:p>
    <w:p w:rsidR="00F52412" w:rsidRPr="00CD3D64" w:rsidRDefault="00F52412" w:rsidP="00CD3D64">
      <w:pPr>
        <w:adjustRightInd w:val="0"/>
        <w:snapToGrid w:val="0"/>
        <w:spacing w:line="360" w:lineRule="auto"/>
        <w:rPr>
          <w:rFonts w:ascii="Book Antiqua" w:hAnsi="Book Antiqua"/>
          <w:lang w:eastAsia="zh-CN"/>
        </w:rPr>
      </w:pPr>
      <w:bookmarkStart w:id="8" w:name="OLE_LINK75"/>
      <w:bookmarkStart w:id="9" w:name="OLE_LINK76"/>
      <w:bookmarkStart w:id="10" w:name="OLE_LINK269"/>
      <w:bookmarkStart w:id="11" w:name="OLE_LINK239"/>
      <w:r w:rsidRPr="00CD3D64">
        <w:rPr>
          <w:rFonts w:ascii="Book Antiqua" w:hAnsi="Book Antiqua"/>
          <w:b/>
          <w:lang w:eastAsia="zh-CN"/>
        </w:rPr>
        <w:t xml:space="preserve">Received: </w:t>
      </w:r>
      <w:r w:rsidRPr="00CD3D64">
        <w:rPr>
          <w:rFonts w:ascii="Book Antiqua" w:hAnsi="Book Antiqua"/>
          <w:lang w:eastAsia="zh-CN"/>
        </w:rPr>
        <w:t>April 10, 2020</w:t>
      </w:r>
    </w:p>
    <w:p w:rsidR="00F52412" w:rsidRPr="00CD3D64" w:rsidRDefault="00F52412" w:rsidP="00CD3D64">
      <w:pPr>
        <w:adjustRightInd w:val="0"/>
        <w:snapToGrid w:val="0"/>
        <w:spacing w:line="360" w:lineRule="auto"/>
        <w:rPr>
          <w:rFonts w:ascii="Book Antiqua" w:hAnsi="Book Antiqua"/>
          <w:b/>
          <w:lang w:eastAsia="zh-CN"/>
        </w:rPr>
      </w:pPr>
      <w:r w:rsidRPr="00CD3D64">
        <w:rPr>
          <w:rFonts w:ascii="Book Antiqua" w:hAnsi="Book Antiqua"/>
          <w:b/>
          <w:lang w:eastAsia="zh-CN"/>
        </w:rPr>
        <w:t xml:space="preserve">Revised: </w:t>
      </w:r>
      <w:r w:rsidRPr="00CD3D64">
        <w:rPr>
          <w:rFonts w:ascii="Book Antiqua" w:hAnsi="Book Antiqua"/>
          <w:lang w:eastAsia="zh-CN"/>
        </w:rPr>
        <w:t>July 12, 2020</w:t>
      </w:r>
    </w:p>
    <w:p w:rsidR="00F52412" w:rsidRPr="00CD3D64" w:rsidRDefault="00F52412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  <w:lang w:eastAsia="zh-CN"/>
        </w:rPr>
      </w:pPr>
      <w:r w:rsidRPr="00CD3D64">
        <w:rPr>
          <w:rFonts w:ascii="Book Antiqua" w:hAnsi="Book Antiqua"/>
          <w:b/>
          <w:lang w:eastAsia="zh-CN"/>
        </w:rPr>
        <w:t>Accepted:</w:t>
      </w:r>
      <w:r w:rsidR="00F3122E" w:rsidRPr="00CD3D64">
        <w:rPr>
          <w:rFonts w:ascii="Book Antiqua" w:hAnsi="Book Antiqua"/>
          <w:b/>
          <w:lang w:eastAsia="zh-CN"/>
        </w:rPr>
        <w:t xml:space="preserve"> </w:t>
      </w:r>
      <w:r w:rsidR="00F3122E" w:rsidRPr="00CD3D64">
        <w:rPr>
          <w:rFonts w:ascii="Book Antiqua" w:hAnsi="Book Antiqua"/>
          <w:lang w:eastAsia="zh-CN"/>
        </w:rPr>
        <w:t>July 26, 2020</w:t>
      </w:r>
      <w:r w:rsidRPr="00CD3D64">
        <w:rPr>
          <w:rFonts w:ascii="Book Antiqua" w:hAnsi="Book Antiqua"/>
        </w:rPr>
        <w:t xml:space="preserve"> </w:t>
      </w:r>
    </w:p>
    <w:p w:rsidR="00F52412" w:rsidRPr="00CD3D64" w:rsidRDefault="00F52412" w:rsidP="00CD3D64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bCs/>
          <w:color w:val="000000"/>
        </w:rPr>
      </w:pPr>
      <w:r w:rsidRPr="00CD3D64">
        <w:rPr>
          <w:rFonts w:ascii="Book Antiqua" w:hAnsi="Book Antiqua"/>
          <w:b/>
          <w:lang w:eastAsia="zh-CN"/>
        </w:rPr>
        <w:t>Published online:</w:t>
      </w:r>
      <w:bookmarkEnd w:id="8"/>
      <w:bookmarkEnd w:id="9"/>
      <w:bookmarkEnd w:id="10"/>
      <w:bookmarkEnd w:id="11"/>
      <w:r w:rsidR="001945CE" w:rsidRPr="001945CE">
        <w:rPr>
          <w:rFonts w:ascii="Book Antiqua" w:eastAsia="Times New Roman" w:hAnsi="Book Antiqua"/>
          <w:kern w:val="0"/>
          <w:lang w:val="pt-BR" w:eastAsia="pt-BR"/>
        </w:rPr>
        <w:t xml:space="preserve"> </w:t>
      </w:r>
      <w:r w:rsidR="001945CE" w:rsidRPr="004A4A6A">
        <w:rPr>
          <w:rFonts w:ascii="Book Antiqua" w:eastAsia="Times New Roman" w:hAnsi="Book Antiqua"/>
          <w:kern w:val="0"/>
          <w:lang w:val="pt-BR" w:eastAsia="pt-BR"/>
        </w:rPr>
        <w:t>September 27</w:t>
      </w:r>
      <w:r w:rsidR="001945CE" w:rsidRPr="004A4A6A">
        <w:rPr>
          <w:rFonts w:ascii="Book Antiqua" w:hAnsi="Book Antiqua" w:hint="eastAsia"/>
          <w:kern w:val="0"/>
          <w:lang w:val="pt-BR" w:eastAsia="en-US"/>
        </w:rPr>
        <w:t>, 2020</w:t>
      </w:r>
    </w:p>
    <w:p w:rsidR="00522AF8" w:rsidRPr="00CD3D64" w:rsidRDefault="0064441E" w:rsidP="00CD3D64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color w:val="000000"/>
        </w:rPr>
      </w:pPr>
      <w:r w:rsidRPr="00CD3D64">
        <w:rPr>
          <w:rFonts w:ascii="Book Antiqua" w:hAnsi="Book Antiqua"/>
          <w:b/>
          <w:color w:val="000000"/>
        </w:rPr>
        <w:br w:type="page"/>
      </w:r>
      <w:r w:rsidR="006F40C2" w:rsidRPr="00CD3D64">
        <w:rPr>
          <w:rFonts w:ascii="Book Antiqua" w:hAnsi="Book Antiqua"/>
          <w:b/>
          <w:color w:val="000000"/>
        </w:rPr>
        <w:lastRenderedPageBreak/>
        <w:t>Abstract</w:t>
      </w:r>
    </w:p>
    <w:p w:rsidR="00373404" w:rsidRPr="00CD3D64" w:rsidRDefault="00373404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CD3D64">
        <w:rPr>
          <w:rFonts w:ascii="Book Antiqua" w:hAnsi="Book Antiqua"/>
          <w:color w:val="000000"/>
        </w:rPr>
        <w:t>BACKGROUND</w:t>
      </w:r>
    </w:p>
    <w:p w:rsidR="009E0558" w:rsidRPr="00CD3D64" w:rsidRDefault="00C80D05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CD3D64">
        <w:rPr>
          <w:rFonts w:ascii="Book Antiqua" w:hAnsi="Book Antiqua"/>
          <w:color w:val="000000"/>
        </w:rPr>
        <w:t>Although c</w:t>
      </w:r>
      <w:r w:rsidR="009E0558" w:rsidRPr="00CD3D64">
        <w:rPr>
          <w:rFonts w:ascii="Book Antiqua" w:hAnsi="Book Antiqua"/>
          <w:color w:val="000000"/>
        </w:rPr>
        <w:t xml:space="preserve">linical use of </w:t>
      </w:r>
      <w:proofErr w:type="spellStart"/>
      <w:r w:rsidR="009E0558" w:rsidRPr="00CD3D64">
        <w:rPr>
          <w:rFonts w:ascii="Book Antiqua" w:hAnsi="Book Antiqua"/>
          <w:color w:val="000000"/>
        </w:rPr>
        <w:t>sofosbuvir</w:t>
      </w:r>
      <w:proofErr w:type="spellEnd"/>
      <w:r w:rsidR="009E0558" w:rsidRPr="00CD3D64">
        <w:rPr>
          <w:rFonts w:ascii="Book Antiqua" w:hAnsi="Book Antiqua"/>
          <w:color w:val="000000"/>
        </w:rPr>
        <w:t xml:space="preserve"> </w:t>
      </w:r>
      <w:r w:rsidR="0037141C" w:rsidRPr="00CD3D64">
        <w:rPr>
          <w:rFonts w:ascii="Book Antiqua" w:hAnsi="Book Antiqua"/>
          <w:color w:val="000000"/>
        </w:rPr>
        <w:t>plus</w:t>
      </w:r>
      <w:r w:rsidR="009E0558" w:rsidRPr="00CD3D64">
        <w:rPr>
          <w:rFonts w:ascii="Book Antiqua" w:hAnsi="Book Antiqua"/>
          <w:color w:val="000000"/>
        </w:rPr>
        <w:t xml:space="preserve"> ribavirin </w:t>
      </w:r>
      <w:r w:rsidR="002E6515" w:rsidRPr="00CD3D64">
        <w:rPr>
          <w:rFonts w:ascii="Book Antiqua" w:hAnsi="Book Antiqua"/>
          <w:color w:val="000000"/>
        </w:rPr>
        <w:t xml:space="preserve">has been </w:t>
      </w:r>
      <w:r w:rsidR="009E0558" w:rsidRPr="00CD3D64">
        <w:rPr>
          <w:rFonts w:ascii="Book Antiqua" w:hAnsi="Book Antiqua"/>
          <w:color w:val="000000"/>
        </w:rPr>
        <w:t xml:space="preserve">approved for patients infected with genotype 2 </w:t>
      </w:r>
      <w:bookmarkStart w:id="12" w:name="OLE_LINK1"/>
      <w:bookmarkStart w:id="13" w:name="OLE_LINK2"/>
      <w:r w:rsidR="009E0558" w:rsidRPr="00CD3D64">
        <w:rPr>
          <w:rFonts w:ascii="Book Antiqua" w:hAnsi="Book Antiqua"/>
          <w:color w:val="000000"/>
        </w:rPr>
        <w:t>hepatitis C virus</w:t>
      </w:r>
      <w:bookmarkEnd w:id="12"/>
      <w:bookmarkEnd w:id="13"/>
      <w:r w:rsidR="009E0558" w:rsidRPr="00CD3D64">
        <w:rPr>
          <w:rFonts w:ascii="Book Antiqua" w:hAnsi="Book Antiqua"/>
          <w:color w:val="000000"/>
        </w:rPr>
        <w:t xml:space="preserve">, patients </w:t>
      </w:r>
      <w:r w:rsidR="006904A5" w:rsidRPr="00CD3D64">
        <w:rPr>
          <w:rFonts w:ascii="Book Antiqua" w:hAnsi="Book Antiqua"/>
          <w:color w:val="000000"/>
        </w:rPr>
        <w:sym w:font="Symbol" w:char="F0B3"/>
      </w:r>
      <w:r w:rsidR="00373404" w:rsidRPr="00CD3D64">
        <w:rPr>
          <w:rFonts w:ascii="Book Antiqua" w:hAnsi="Book Antiqua"/>
          <w:color w:val="000000"/>
        </w:rPr>
        <w:t xml:space="preserve"> </w:t>
      </w:r>
      <w:r w:rsidR="009E0558" w:rsidRPr="00CD3D64">
        <w:rPr>
          <w:rFonts w:ascii="Book Antiqua" w:hAnsi="Book Antiqua"/>
          <w:color w:val="000000"/>
        </w:rPr>
        <w:t>75</w:t>
      </w:r>
      <w:r w:rsidR="00CD3D64">
        <w:rPr>
          <w:rFonts w:ascii="Book Antiqua" w:hAnsi="Book Antiqua"/>
          <w:color w:val="000000"/>
        </w:rPr>
        <w:t>-</w:t>
      </w:r>
      <w:r w:rsidR="009E0558" w:rsidRPr="00CD3D64">
        <w:rPr>
          <w:rFonts w:ascii="Book Antiqua" w:hAnsi="Book Antiqua"/>
          <w:color w:val="000000"/>
        </w:rPr>
        <w:t>years</w:t>
      </w:r>
      <w:r w:rsidR="00CD3D64">
        <w:rPr>
          <w:rFonts w:ascii="Book Antiqua" w:hAnsi="Book Antiqua"/>
          <w:color w:val="000000"/>
        </w:rPr>
        <w:t>-</w:t>
      </w:r>
      <w:r w:rsidR="009E0558" w:rsidRPr="00CD3D64">
        <w:rPr>
          <w:rFonts w:ascii="Book Antiqua" w:hAnsi="Book Antiqua"/>
          <w:color w:val="000000"/>
        </w:rPr>
        <w:t xml:space="preserve">old </w:t>
      </w:r>
      <w:r w:rsidR="00776DB0" w:rsidRPr="00CD3D64">
        <w:rPr>
          <w:rFonts w:ascii="Book Antiqua" w:hAnsi="Book Antiqua"/>
          <w:color w:val="000000"/>
        </w:rPr>
        <w:t xml:space="preserve">have </w:t>
      </w:r>
      <w:r w:rsidR="009E0558" w:rsidRPr="00CD3D64">
        <w:rPr>
          <w:rFonts w:ascii="Book Antiqua" w:hAnsi="Book Antiqua"/>
          <w:color w:val="000000"/>
        </w:rPr>
        <w:t xml:space="preserve">not </w:t>
      </w:r>
      <w:r w:rsidR="00776DB0" w:rsidRPr="00CD3D64">
        <w:rPr>
          <w:rFonts w:ascii="Book Antiqua" w:hAnsi="Book Antiqua"/>
          <w:color w:val="000000"/>
        </w:rPr>
        <w:t xml:space="preserve">been </w:t>
      </w:r>
      <w:r w:rsidR="009E0558" w:rsidRPr="00CD3D64">
        <w:rPr>
          <w:rFonts w:ascii="Book Antiqua" w:hAnsi="Book Antiqua"/>
          <w:color w:val="000000"/>
        </w:rPr>
        <w:t xml:space="preserve">included in </w:t>
      </w:r>
      <w:r w:rsidR="00776DB0" w:rsidRPr="00CD3D64">
        <w:rPr>
          <w:rFonts w:ascii="Book Antiqua" w:hAnsi="Book Antiqua"/>
          <w:color w:val="000000"/>
        </w:rPr>
        <w:t xml:space="preserve">previous </w:t>
      </w:r>
      <w:r w:rsidRPr="00CD3D64">
        <w:rPr>
          <w:rFonts w:ascii="Book Antiqua" w:hAnsi="Book Antiqua"/>
          <w:color w:val="000000"/>
        </w:rPr>
        <w:t xml:space="preserve">clinical </w:t>
      </w:r>
      <w:r w:rsidR="009E0558" w:rsidRPr="00CD3D64">
        <w:rPr>
          <w:rFonts w:ascii="Book Antiqua" w:hAnsi="Book Antiqua"/>
          <w:color w:val="000000"/>
        </w:rPr>
        <w:t>trial</w:t>
      </w:r>
      <w:r w:rsidRPr="00CD3D64">
        <w:rPr>
          <w:rFonts w:ascii="Book Antiqua" w:hAnsi="Book Antiqua"/>
          <w:color w:val="000000"/>
        </w:rPr>
        <w:t>s</w:t>
      </w:r>
      <w:r w:rsidR="009E0558" w:rsidRPr="00CD3D64">
        <w:rPr>
          <w:rFonts w:ascii="Book Antiqua" w:hAnsi="Book Antiqua"/>
          <w:color w:val="000000"/>
        </w:rPr>
        <w:t>.</w:t>
      </w:r>
    </w:p>
    <w:p w:rsidR="00373404" w:rsidRPr="00CD3D64" w:rsidRDefault="00373404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</w:p>
    <w:p w:rsidR="00373404" w:rsidRPr="00CD3D64" w:rsidRDefault="00373404" w:rsidP="00CD3D64">
      <w:pPr>
        <w:adjustRightInd w:val="0"/>
        <w:snapToGrid w:val="0"/>
        <w:spacing w:line="360" w:lineRule="auto"/>
        <w:rPr>
          <w:rFonts w:ascii="Book Antiqua" w:eastAsia="等线" w:hAnsi="Book Antiqua"/>
          <w:color w:val="000000"/>
          <w:lang w:eastAsia="zh-CN"/>
        </w:rPr>
      </w:pPr>
      <w:r w:rsidRPr="00CD3D64">
        <w:rPr>
          <w:rFonts w:ascii="Book Antiqua" w:hAnsi="Book Antiqua"/>
          <w:color w:val="000000"/>
        </w:rPr>
        <w:t>AIM</w:t>
      </w:r>
    </w:p>
    <w:p w:rsidR="003F4CF1" w:rsidRPr="00CD3D64" w:rsidRDefault="002F0A10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CD3D64">
        <w:rPr>
          <w:rFonts w:ascii="Book Antiqua" w:hAnsi="Book Antiqua"/>
          <w:color w:val="000000"/>
        </w:rPr>
        <w:t xml:space="preserve">To evaluate the real-world safety and efficacy of </w:t>
      </w:r>
      <w:proofErr w:type="spellStart"/>
      <w:r w:rsidRPr="00CD3D64">
        <w:rPr>
          <w:rFonts w:ascii="Book Antiqua" w:hAnsi="Book Antiqua"/>
          <w:color w:val="000000"/>
        </w:rPr>
        <w:t>sofosbuvir</w:t>
      </w:r>
      <w:proofErr w:type="spellEnd"/>
      <w:r w:rsidRPr="00CD3D64">
        <w:rPr>
          <w:rFonts w:ascii="Book Antiqua" w:hAnsi="Book Antiqua"/>
          <w:color w:val="000000"/>
        </w:rPr>
        <w:t xml:space="preserve"> plus ribavirin for elderly patients </w:t>
      </w:r>
      <w:r w:rsidR="00776DB0" w:rsidRPr="00CD3D64">
        <w:rPr>
          <w:rFonts w:ascii="Book Antiqua" w:hAnsi="Book Antiqua"/>
          <w:color w:val="000000"/>
        </w:rPr>
        <w:t>(</w:t>
      </w:r>
      <w:r w:rsidR="006904A5" w:rsidRPr="00CD3D64">
        <w:rPr>
          <w:rFonts w:ascii="Book Antiqua" w:hAnsi="Book Antiqua"/>
          <w:color w:val="000000"/>
        </w:rPr>
        <w:sym w:font="Symbol" w:char="F0B3"/>
      </w:r>
      <w:r w:rsidR="00373404" w:rsidRPr="00CD3D64">
        <w:rPr>
          <w:rFonts w:ascii="Book Antiqua" w:hAnsi="Book Antiqua"/>
          <w:color w:val="000000"/>
        </w:rPr>
        <w:t xml:space="preserve"> </w:t>
      </w:r>
      <w:r w:rsidRPr="00CD3D64">
        <w:rPr>
          <w:rFonts w:ascii="Book Antiqua" w:hAnsi="Book Antiqua"/>
          <w:color w:val="000000"/>
        </w:rPr>
        <w:t>75</w:t>
      </w:r>
      <w:r w:rsidR="00CD3D64">
        <w:rPr>
          <w:rFonts w:ascii="Book Antiqua" w:hAnsi="Book Antiqua"/>
          <w:color w:val="000000"/>
        </w:rPr>
        <w:t>-</w:t>
      </w:r>
      <w:r w:rsidRPr="00CD3D64">
        <w:rPr>
          <w:rFonts w:ascii="Book Antiqua" w:hAnsi="Book Antiqua"/>
          <w:color w:val="000000"/>
        </w:rPr>
        <w:t>years</w:t>
      </w:r>
      <w:r w:rsidR="00CD3D64">
        <w:rPr>
          <w:rFonts w:ascii="Book Antiqua" w:hAnsi="Book Antiqua"/>
          <w:color w:val="000000"/>
        </w:rPr>
        <w:t>-</w:t>
      </w:r>
      <w:r w:rsidRPr="00CD3D64">
        <w:rPr>
          <w:rFonts w:ascii="Book Antiqua" w:hAnsi="Book Antiqua"/>
          <w:color w:val="000000"/>
        </w:rPr>
        <w:t>old</w:t>
      </w:r>
      <w:r w:rsidR="00776DB0" w:rsidRPr="00CD3D64">
        <w:rPr>
          <w:rFonts w:ascii="Book Antiqua" w:hAnsi="Book Antiqua"/>
          <w:color w:val="000000"/>
        </w:rPr>
        <w:t>)</w:t>
      </w:r>
      <w:r w:rsidRPr="00CD3D64">
        <w:rPr>
          <w:rFonts w:ascii="Book Antiqua" w:hAnsi="Book Antiqua"/>
          <w:color w:val="000000"/>
        </w:rPr>
        <w:t xml:space="preserve"> compared to nonelderly patients, we conducted a post-marketing prospective cohort study.</w:t>
      </w:r>
    </w:p>
    <w:p w:rsidR="00373404" w:rsidRPr="00CD3D64" w:rsidRDefault="00373404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  <w:lang w:eastAsia="zh-CN"/>
        </w:rPr>
      </w:pPr>
    </w:p>
    <w:p w:rsidR="00373404" w:rsidRPr="00CD3D64" w:rsidRDefault="00373404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  <w:lang w:eastAsia="zh-CN"/>
        </w:rPr>
      </w:pPr>
      <w:r w:rsidRPr="00CD3D64">
        <w:rPr>
          <w:rFonts w:ascii="Book Antiqua" w:hAnsi="Book Antiqua"/>
          <w:color w:val="000000"/>
        </w:rPr>
        <w:t>METHODS</w:t>
      </w:r>
    </w:p>
    <w:p w:rsidR="003F4CF1" w:rsidRPr="00CD3D64" w:rsidRDefault="004246FA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CD3D64">
        <w:rPr>
          <w:rFonts w:ascii="Book Antiqua" w:hAnsi="Book Antiqua"/>
          <w:color w:val="000000"/>
        </w:rPr>
        <w:t xml:space="preserve">We treated 265 patients with genotype 2 </w:t>
      </w:r>
      <w:r w:rsidR="00373404" w:rsidRPr="00CD3D64">
        <w:rPr>
          <w:rFonts w:ascii="Book Antiqua" w:hAnsi="Book Antiqua"/>
          <w:color w:val="000000"/>
        </w:rPr>
        <w:t>hepatitis C virus</w:t>
      </w:r>
      <w:r w:rsidRPr="00CD3D64">
        <w:rPr>
          <w:rFonts w:ascii="Book Antiqua" w:hAnsi="Book Antiqua"/>
          <w:color w:val="000000"/>
        </w:rPr>
        <w:t xml:space="preserve"> using s</w:t>
      </w:r>
      <w:r w:rsidR="00780B85" w:rsidRPr="00CD3D64">
        <w:rPr>
          <w:rFonts w:ascii="Book Antiqua" w:hAnsi="Book Antiqua"/>
          <w:color w:val="000000"/>
        </w:rPr>
        <w:t xml:space="preserve">tandard </w:t>
      </w:r>
      <w:r w:rsidR="005D0FA0" w:rsidRPr="00CD3D64">
        <w:rPr>
          <w:rFonts w:ascii="Book Antiqua" w:hAnsi="Book Antiqua"/>
          <w:color w:val="000000"/>
        </w:rPr>
        <w:t xml:space="preserve">approved </w:t>
      </w:r>
      <w:r w:rsidR="00780B85" w:rsidRPr="00CD3D64">
        <w:rPr>
          <w:rFonts w:ascii="Book Antiqua" w:hAnsi="Book Antiqua"/>
          <w:color w:val="000000"/>
        </w:rPr>
        <w:t xml:space="preserve">doses of </w:t>
      </w:r>
      <w:proofErr w:type="spellStart"/>
      <w:r w:rsidR="00780B85" w:rsidRPr="00CD3D64">
        <w:rPr>
          <w:rFonts w:ascii="Book Antiqua" w:hAnsi="Book Antiqua"/>
          <w:color w:val="000000"/>
        </w:rPr>
        <w:t>sofosbuvir</w:t>
      </w:r>
      <w:proofErr w:type="spellEnd"/>
      <w:r w:rsidR="00780B85" w:rsidRPr="00CD3D64">
        <w:rPr>
          <w:rFonts w:ascii="Book Antiqua" w:hAnsi="Book Antiqua"/>
          <w:color w:val="000000"/>
        </w:rPr>
        <w:t xml:space="preserve"> </w:t>
      </w:r>
      <w:r w:rsidR="00E61FF3" w:rsidRPr="00CD3D64">
        <w:rPr>
          <w:rFonts w:ascii="Book Antiqua" w:hAnsi="Book Antiqua"/>
          <w:color w:val="000000"/>
        </w:rPr>
        <w:t xml:space="preserve">(400 mg/d) plus ribavirin </w:t>
      </w:r>
      <w:r w:rsidR="005D0FA0" w:rsidRPr="00CD3D64">
        <w:rPr>
          <w:rFonts w:ascii="Book Antiqua" w:hAnsi="Book Antiqua"/>
          <w:color w:val="000000"/>
        </w:rPr>
        <w:t>adjusted by body weight</w:t>
      </w:r>
      <w:r w:rsidR="00D205D0" w:rsidRPr="00CD3D64">
        <w:rPr>
          <w:rFonts w:ascii="Book Antiqua" w:hAnsi="Book Antiqua"/>
          <w:color w:val="000000"/>
        </w:rPr>
        <w:t>,</w:t>
      </w:r>
      <w:r w:rsidR="005D0FA0" w:rsidRPr="00CD3D64">
        <w:rPr>
          <w:rFonts w:ascii="Book Antiqua" w:hAnsi="Book Antiqua"/>
          <w:color w:val="000000"/>
        </w:rPr>
        <w:t xml:space="preserve"> </w:t>
      </w:r>
      <w:r w:rsidR="00780B85" w:rsidRPr="00CD3D64">
        <w:rPr>
          <w:rFonts w:ascii="Book Antiqua" w:hAnsi="Book Antiqua"/>
          <w:color w:val="000000"/>
        </w:rPr>
        <w:t xml:space="preserve">administered </w:t>
      </w:r>
      <w:r w:rsidR="00D205D0" w:rsidRPr="00CD3D64">
        <w:rPr>
          <w:rFonts w:ascii="Book Antiqua" w:hAnsi="Book Antiqua"/>
          <w:color w:val="000000"/>
        </w:rPr>
        <w:t xml:space="preserve">orally </w:t>
      </w:r>
      <w:r w:rsidR="00780B85" w:rsidRPr="00CD3D64">
        <w:rPr>
          <w:rFonts w:ascii="Book Antiqua" w:hAnsi="Book Antiqua"/>
          <w:color w:val="000000"/>
        </w:rPr>
        <w:t>for 12 wk.</w:t>
      </w:r>
    </w:p>
    <w:p w:rsidR="00FB21CB" w:rsidRPr="00CD3D64" w:rsidRDefault="00FB21CB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</w:p>
    <w:p w:rsidR="00FB21CB" w:rsidRPr="00CD3D64" w:rsidRDefault="00FB21CB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  <w:lang w:eastAsia="zh-CN"/>
        </w:rPr>
      </w:pPr>
      <w:r w:rsidRPr="00CD3D64">
        <w:rPr>
          <w:rFonts w:ascii="Book Antiqua" w:hAnsi="Book Antiqua"/>
          <w:color w:val="000000"/>
        </w:rPr>
        <w:t>RESULTS</w:t>
      </w:r>
    </w:p>
    <w:p w:rsidR="003F4CF1" w:rsidRPr="00CD3D64" w:rsidRDefault="006E70D7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CD3D64">
        <w:rPr>
          <w:rFonts w:ascii="Book Antiqua" w:hAnsi="Book Antiqua"/>
          <w:color w:val="000000"/>
        </w:rPr>
        <w:t>S</w:t>
      </w:r>
      <w:r w:rsidR="005B5388" w:rsidRPr="00CD3D64">
        <w:rPr>
          <w:rFonts w:ascii="Book Antiqua" w:hAnsi="Book Antiqua"/>
          <w:color w:val="000000"/>
        </w:rPr>
        <w:t xml:space="preserve">ustained </w:t>
      </w:r>
      <w:proofErr w:type="spellStart"/>
      <w:r w:rsidR="005B5388" w:rsidRPr="00CD3D64">
        <w:rPr>
          <w:rFonts w:ascii="Book Antiqua" w:hAnsi="Book Antiqua"/>
          <w:color w:val="000000"/>
        </w:rPr>
        <w:t>virologic</w:t>
      </w:r>
      <w:r w:rsidR="00A52B00" w:rsidRPr="00CD3D64">
        <w:rPr>
          <w:rFonts w:ascii="Book Antiqua" w:hAnsi="Book Antiqua"/>
          <w:color w:val="000000"/>
        </w:rPr>
        <w:t>al</w:t>
      </w:r>
      <w:proofErr w:type="spellEnd"/>
      <w:r w:rsidR="005B5388" w:rsidRPr="00CD3D64">
        <w:rPr>
          <w:rFonts w:ascii="Book Antiqua" w:hAnsi="Book Antiqua"/>
          <w:color w:val="000000"/>
        </w:rPr>
        <w:t xml:space="preserve"> response</w:t>
      </w:r>
      <w:r w:rsidR="00E61FF3" w:rsidRPr="00CD3D64">
        <w:rPr>
          <w:rFonts w:ascii="Book Antiqua" w:hAnsi="Book Antiqua"/>
          <w:color w:val="000000"/>
        </w:rPr>
        <w:t xml:space="preserve"> rates </w:t>
      </w:r>
      <w:r w:rsidR="00DF4D90" w:rsidRPr="00CD3D64">
        <w:rPr>
          <w:rFonts w:ascii="Book Antiqua" w:hAnsi="Book Antiqua"/>
          <w:color w:val="000000"/>
        </w:rPr>
        <w:t xml:space="preserve">for </w:t>
      </w:r>
      <w:r w:rsidR="00D205D0" w:rsidRPr="00CD3D64">
        <w:rPr>
          <w:rFonts w:ascii="Book Antiqua" w:hAnsi="Book Antiqua"/>
          <w:color w:val="000000"/>
        </w:rPr>
        <w:t xml:space="preserve">the </w:t>
      </w:r>
      <w:r w:rsidR="00DF4D90" w:rsidRPr="00CD3D64">
        <w:rPr>
          <w:rFonts w:ascii="Book Antiqua" w:hAnsi="Book Antiqua"/>
          <w:color w:val="000000"/>
        </w:rPr>
        <w:t>overall cohort, patients &lt;</w:t>
      </w:r>
      <w:r w:rsidR="00FB21CB" w:rsidRPr="00CD3D64">
        <w:rPr>
          <w:rFonts w:ascii="Book Antiqua" w:hAnsi="Book Antiqua"/>
          <w:color w:val="000000"/>
        </w:rPr>
        <w:t xml:space="preserve"> </w:t>
      </w:r>
      <w:r w:rsidR="00DF4D90" w:rsidRPr="00CD3D64">
        <w:rPr>
          <w:rFonts w:ascii="Book Antiqua" w:hAnsi="Book Antiqua"/>
          <w:color w:val="000000"/>
        </w:rPr>
        <w:t>65</w:t>
      </w:r>
      <w:r w:rsidR="00D242AF">
        <w:rPr>
          <w:rFonts w:ascii="Book Antiqua" w:hAnsi="Book Antiqua"/>
          <w:color w:val="000000"/>
        </w:rPr>
        <w:t>-years-old</w:t>
      </w:r>
      <w:r w:rsidR="00DF4D90" w:rsidRPr="00CD3D64">
        <w:rPr>
          <w:rFonts w:ascii="Book Antiqua" w:hAnsi="Book Antiqua"/>
          <w:color w:val="000000"/>
        </w:rPr>
        <w:t>, ≥</w:t>
      </w:r>
      <w:r w:rsidR="00FB21CB" w:rsidRPr="00CD3D64">
        <w:rPr>
          <w:rFonts w:ascii="Book Antiqua" w:hAnsi="Book Antiqua"/>
          <w:color w:val="000000"/>
        </w:rPr>
        <w:t xml:space="preserve"> </w:t>
      </w:r>
      <w:r w:rsidR="00DF4D90" w:rsidRPr="00CD3D64">
        <w:rPr>
          <w:rFonts w:ascii="Book Antiqua" w:hAnsi="Book Antiqua"/>
          <w:color w:val="000000"/>
        </w:rPr>
        <w:t>65</w:t>
      </w:r>
      <w:r w:rsidR="00D242AF">
        <w:rPr>
          <w:rFonts w:ascii="Book Antiqua" w:hAnsi="Book Antiqua"/>
          <w:color w:val="000000"/>
        </w:rPr>
        <w:t>-years-old</w:t>
      </w:r>
      <w:r w:rsidR="00D205D0" w:rsidRPr="00CD3D64">
        <w:rPr>
          <w:rFonts w:ascii="Book Antiqua" w:hAnsi="Book Antiqua"/>
          <w:color w:val="000000"/>
        </w:rPr>
        <w:t xml:space="preserve"> but </w:t>
      </w:r>
      <w:r w:rsidR="00DF4D90" w:rsidRPr="00CD3D64">
        <w:rPr>
          <w:rFonts w:ascii="Book Antiqua" w:hAnsi="Book Antiqua"/>
          <w:color w:val="000000"/>
        </w:rPr>
        <w:t>&lt;</w:t>
      </w:r>
      <w:r w:rsidR="00FB21CB" w:rsidRPr="00CD3D64">
        <w:rPr>
          <w:rFonts w:ascii="Book Antiqua" w:hAnsi="Book Antiqua"/>
          <w:color w:val="000000"/>
        </w:rPr>
        <w:t xml:space="preserve"> </w:t>
      </w:r>
      <w:r w:rsidR="00DF4D90" w:rsidRPr="00CD3D64">
        <w:rPr>
          <w:rFonts w:ascii="Book Antiqua" w:hAnsi="Book Antiqua"/>
          <w:color w:val="000000"/>
        </w:rPr>
        <w:t>75</w:t>
      </w:r>
      <w:r w:rsidR="00D242AF">
        <w:rPr>
          <w:rFonts w:ascii="Book Antiqua" w:hAnsi="Book Antiqua"/>
          <w:color w:val="000000"/>
        </w:rPr>
        <w:t>-years-old</w:t>
      </w:r>
      <w:r w:rsidR="00DF4D90" w:rsidRPr="00CD3D64">
        <w:rPr>
          <w:rFonts w:ascii="Book Antiqua" w:hAnsi="Book Antiqua"/>
          <w:color w:val="000000"/>
        </w:rPr>
        <w:t>, and ≥</w:t>
      </w:r>
      <w:r w:rsidR="00FB21CB" w:rsidRPr="00CD3D64">
        <w:rPr>
          <w:rFonts w:ascii="Book Antiqua" w:hAnsi="Book Antiqua"/>
          <w:color w:val="000000"/>
        </w:rPr>
        <w:t xml:space="preserve"> </w:t>
      </w:r>
      <w:r w:rsidR="00DF4D90" w:rsidRPr="00CD3D64">
        <w:rPr>
          <w:rFonts w:ascii="Book Antiqua" w:hAnsi="Book Antiqua"/>
          <w:color w:val="000000"/>
        </w:rPr>
        <w:t>75</w:t>
      </w:r>
      <w:r w:rsidR="00D242AF">
        <w:rPr>
          <w:rFonts w:ascii="Book Antiqua" w:hAnsi="Book Antiqua"/>
          <w:color w:val="000000"/>
        </w:rPr>
        <w:t>-years-old</w:t>
      </w:r>
      <w:r w:rsidR="00DF4D90" w:rsidRPr="00CD3D64">
        <w:rPr>
          <w:rFonts w:ascii="Book Antiqua" w:hAnsi="Book Antiqua"/>
          <w:color w:val="000000"/>
        </w:rPr>
        <w:t xml:space="preserve"> were 97% (258/265), 98% (93/95), 97% (84/87), and 98% (81/83), respectively</w:t>
      </w:r>
      <w:r w:rsidR="004246FA" w:rsidRPr="00CD3D64">
        <w:rPr>
          <w:rFonts w:ascii="Book Antiqua" w:hAnsi="Book Antiqua"/>
          <w:color w:val="000000"/>
        </w:rPr>
        <w:t xml:space="preserve"> </w:t>
      </w:r>
      <w:r w:rsidR="004246FA" w:rsidRPr="00CD3D64">
        <w:rPr>
          <w:rFonts w:ascii="Book Antiqua" w:hAnsi="Book Antiqua"/>
          <w:bCs/>
          <w:iCs/>
          <w:color w:val="000000"/>
        </w:rPr>
        <w:t>(</w:t>
      </w:r>
      <w:r w:rsidR="00FB21CB" w:rsidRPr="00CD3D64">
        <w:rPr>
          <w:rFonts w:ascii="Book Antiqua" w:hAnsi="Book Antiqua"/>
          <w:bCs/>
          <w:i/>
          <w:color w:val="000000"/>
        </w:rPr>
        <w:t>P</w:t>
      </w:r>
      <w:r w:rsidR="00FB21CB" w:rsidRPr="00CD3D64">
        <w:rPr>
          <w:rFonts w:ascii="Book Antiqua" w:hAnsi="Book Antiqua"/>
          <w:bCs/>
          <w:iCs/>
          <w:color w:val="000000"/>
        </w:rPr>
        <w:t xml:space="preserve"> </w:t>
      </w:r>
      <w:r w:rsidR="004246FA" w:rsidRPr="00CD3D64">
        <w:rPr>
          <w:rFonts w:ascii="Book Antiqua" w:hAnsi="Book Antiqua"/>
          <w:bCs/>
          <w:iCs/>
          <w:color w:val="000000"/>
        </w:rPr>
        <w:t>=</w:t>
      </w:r>
      <w:r w:rsidR="00FB21CB" w:rsidRPr="00CD3D64">
        <w:rPr>
          <w:rFonts w:ascii="Book Antiqua" w:hAnsi="Book Antiqua"/>
          <w:bCs/>
          <w:iCs/>
          <w:color w:val="000000"/>
        </w:rPr>
        <w:t xml:space="preserve"> </w:t>
      </w:r>
      <w:r w:rsidR="004246FA" w:rsidRPr="00CD3D64">
        <w:rPr>
          <w:rFonts w:ascii="Book Antiqua" w:hAnsi="Book Antiqua"/>
          <w:bCs/>
          <w:iCs/>
          <w:color w:val="000000"/>
        </w:rPr>
        <w:t>0.842)</w:t>
      </w:r>
      <w:r w:rsidR="00DF4D90" w:rsidRPr="00CD3D64">
        <w:rPr>
          <w:rFonts w:ascii="Book Antiqua" w:hAnsi="Book Antiqua"/>
          <w:color w:val="000000"/>
        </w:rPr>
        <w:t>.</w:t>
      </w:r>
      <w:r w:rsidR="00E61FF3" w:rsidRPr="00CD3D64">
        <w:rPr>
          <w:rFonts w:ascii="Book Antiqua" w:hAnsi="Book Antiqua"/>
          <w:color w:val="000000"/>
        </w:rPr>
        <w:t xml:space="preserve"> </w:t>
      </w:r>
      <w:r w:rsidR="00D205D0" w:rsidRPr="00CD3D64">
        <w:rPr>
          <w:rFonts w:ascii="Book Antiqua" w:hAnsi="Book Antiqua"/>
          <w:color w:val="000000"/>
        </w:rPr>
        <w:t>L</w:t>
      </w:r>
      <w:r w:rsidR="0037141C" w:rsidRPr="00CD3D64">
        <w:rPr>
          <w:rFonts w:ascii="Book Antiqua" w:hAnsi="Book Antiqua"/>
          <w:color w:val="000000"/>
        </w:rPr>
        <w:t xml:space="preserve">ogistic </w:t>
      </w:r>
      <w:r w:rsidR="00D205D0" w:rsidRPr="00CD3D64">
        <w:rPr>
          <w:rFonts w:ascii="Book Antiqua" w:hAnsi="Book Antiqua"/>
          <w:color w:val="000000"/>
        </w:rPr>
        <w:t xml:space="preserve">regression </w:t>
      </w:r>
      <w:r w:rsidR="0037141C" w:rsidRPr="00CD3D64">
        <w:rPr>
          <w:rFonts w:ascii="Book Antiqua" w:hAnsi="Book Antiqua"/>
          <w:color w:val="000000"/>
        </w:rPr>
        <w:t>analyses</w:t>
      </w:r>
      <w:r w:rsidR="00D205D0" w:rsidRPr="00CD3D64">
        <w:rPr>
          <w:rFonts w:ascii="Book Antiqua" w:hAnsi="Book Antiqua"/>
          <w:color w:val="000000"/>
        </w:rPr>
        <w:t xml:space="preserve"> identified </w:t>
      </w:r>
      <w:r w:rsidR="004F759A" w:rsidRPr="00CD3D64">
        <w:rPr>
          <w:rFonts w:ascii="Book Antiqua" w:hAnsi="Book Antiqua"/>
          <w:color w:val="000000"/>
        </w:rPr>
        <w:t xml:space="preserve">history of </w:t>
      </w:r>
      <w:r w:rsidR="00EE486D" w:rsidRPr="00CD3D64">
        <w:rPr>
          <w:rFonts w:ascii="Book Antiqua" w:hAnsi="Book Antiqua"/>
          <w:color w:val="000000"/>
        </w:rPr>
        <w:t>hepatocellular carcinoma</w:t>
      </w:r>
      <w:r w:rsidR="004F759A" w:rsidRPr="00CD3D64">
        <w:rPr>
          <w:rFonts w:ascii="Book Antiqua" w:hAnsi="Book Antiqua"/>
          <w:color w:val="000000"/>
        </w:rPr>
        <w:t xml:space="preserve"> treatment </w:t>
      </w:r>
      <w:r w:rsidR="0037141C" w:rsidRPr="00CD3D64">
        <w:rPr>
          <w:rFonts w:ascii="Book Antiqua" w:hAnsi="Book Antiqua"/>
          <w:color w:val="000000"/>
        </w:rPr>
        <w:t xml:space="preserve">and alpha-fetoprotein </w:t>
      </w:r>
      <w:r w:rsidR="00D205D0" w:rsidRPr="00CD3D64">
        <w:rPr>
          <w:rFonts w:ascii="Book Antiqua" w:hAnsi="Book Antiqua"/>
          <w:color w:val="000000"/>
        </w:rPr>
        <w:t xml:space="preserve">as </w:t>
      </w:r>
      <w:r w:rsidR="004F759A" w:rsidRPr="00CD3D64">
        <w:rPr>
          <w:rFonts w:ascii="Book Antiqua" w:hAnsi="Book Antiqua"/>
          <w:color w:val="000000"/>
        </w:rPr>
        <w:t>factor</w:t>
      </w:r>
      <w:r w:rsidR="0037141C" w:rsidRPr="00CD3D64">
        <w:rPr>
          <w:rFonts w:ascii="Book Antiqua" w:hAnsi="Book Antiqua"/>
          <w:color w:val="000000"/>
        </w:rPr>
        <w:t>s</w:t>
      </w:r>
      <w:r w:rsidR="004F759A" w:rsidRPr="00CD3D64">
        <w:rPr>
          <w:rFonts w:ascii="Book Antiqua" w:hAnsi="Book Antiqua"/>
          <w:color w:val="000000"/>
        </w:rPr>
        <w:t xml:space="preserve"> </w:t>
      </w:r>
      <w:r w:rsidR="00BE08E9" w:rsidRPr="00CD3D64">
        <w:rPr>
          <w:rFonts w:ascii="Book Antiqua" w:hAnsi="Book Antiqua"/>
          <w:color w:val="000000"/>
        </w:rPr>
        <w:t xml:space="preserve">significantly </w:t>
      </w:r>
      <w:r w:rsidR="004F759A" w:rsidRPr="00CD3D64">
        <w:rPr>
          <w:rFonts w:ascii="Book Antiqua" w:hAnsi="Book Antiqua"/>
          <w:color w:val="000000"/>
        </w:rPr>
        <w:t xml:space="preserve">associated with </w:t>
      </w:r>
      <w:r w:rsidR="002C04F0" w:rsidRPr="00CD3D64">
        <w:rPr>
          <w:rFonts w:ascii="Book Antiqua" w:hAnsi="Book Antiqua"/>
          <w:color w:val="000000"/>
        </w:rPr>
        <w:t xml:space="preserve">sustained </w:t>
      </w:r>
      <w:proofErr w:type="spellStart"/>
      <w:r w:rsidR="002C04F0" w:rsidRPr="00CD3D64">
        <w:rPr>
          <w:rFonts w:ascii="Book Antiqua" w:hAnsi="Book Antiqua"/>
          <w:color w:val="000000"/>
        </w:rPr>
        <w:t>virological</w:t>
      </w:r>
      <w:proofErr w:type="spellEnd"/>
      <w:r w:rsidR="002C04F0" w:rsidRPr="00CD3D64">
        <w:rPr>
          <w:rFonts w:ascii="Book Antiqua" w:hAnsi="Book Antiqua"/>
          <w:color w:val="000000"/>
        </w:rPr>
        <w:t xml:space="preserve"> response</w:t>
      </w:r>
      <w:r w:rsidR="00D205D0" w:rsidRPr="00CD3D64">
        <w:rPr>
          <w:rFonts w:ascii="Book Antiqua" w:hAnsi="Book Antiqua"/>
          <w:color w:val="000000"/>
        </w:rPr>
        <w:t xml:space="preserve">. </w:t>
      </w:r>
      <w:r w:rsidR="00FB21CB" w:rsidRPr="00CD3D64">
        <w:rPr>
          <w:rFonts w:ascii="Book Antiqua" w:hAnsi="Book Antiqua"/>
          <w:color w:val="000000"/>
        </w:rPr>
        <w:t>Alpha-fetoprotein</w:t>
      </w:r>
      <w:r w:rsidR="0037141C" w:rsidRPr="00CD3D64">
        <w:rPr>
          <w:rFonts w:ascii="Book Antiqua" w:hAnsi="Book Antiqua"/>
          <w:color w:val="000000"/>
        </w:rPr>
        <w:t xml:space="preserve"> was the only independent factor</w:t>
      </w:r>
      <w:r w:rsidR="00D205D0" w:rsidRPr="00CD3D64">
        <w:rPr>
          <w:rFonts w:ascii="Book Antiqua" w:hAnsi="Book Antiqua"/>
          <w:color w:val="000000"/>
        </w:rPr>
        <w:t xml:space="preserve"> identified</w:t>
      </w:r>
      <w:r w:rsidR="0037141C" w:rsidRPr="00CD3D64">
        <w:rPr>
          <w:rFonts w:ascii="Book Antiqua" w:hAnsi="Book Antiqua"/>
          <w:color w:val="000000"/>
        </w:rPr>
        <w:t xml:space="preserve">. </w:t>
      </w:r>
      <w:r w:rsidR="002C04F0" w:rsidRPr="00CD3D64">
        <w:rPr>
          <w:rFonts w:ascii="Book Antiqua" w:hAnsi="Book Antiqua"/>
          <w:color w:val="000000"/>
        </w:rPr>
        <w:t xml:space="preserve">Sustained </w:t>
      </w:r>
      <w:proofErr w:type="spellStart"/>
      <w:r w:rsidR="002C04F0" w:rsidRPr="00CD3D64">
        <w:rPr>
          <w:rFonts w:ascii="Book Antiqua" w:hAnsi="Book Antiqua"/>
          <w:color w:val="000000"/>
        </w:rPr>
        <w:t>virological</w:t>
      </w:r>
      <w:proofErr w:type="spellEnd"/>
      <w:r w:rsidR="002C04F0" w:rsidRPr="00CD3D64">
        <w:rPr>
          <w:rFonts w:ascii="Book Antiqua" w:hAnsi="Book Antiqua"/>
          <w:color w:val="000000"/>
        </w:rPr>
        <w:t xml:space="preserve"> response</w:t>
      </w:r>
      <w:r w:rsidR="00B05F55" w:rsidRPr="00CD3D64">
        <w:rPr>
          <w:rFonts w:ascii="Book Antiqua" w:hAnsi="Book Antiqua"/>
          <w:color w:val="000000"/>
        </w:rPr>
        <w:t xml:space="preserve"> rate was significantly lower for patients with</w:t>
      </w:r>
      <w:r w:rsidR="00EE486D" w:rsidRPr="00CD3D64">
        <w:rPr>
          <w:rFonts w:ascii="Book Antiqua" w:hAnsi="Book Antiqua"/>
          <w:color w:val="000000"/>
        </w:rPr>
        <w:t xml:space="preserve"> </w:t>
      </w:r>
      <w:r w:rsidR="002C04F0" w:rsidRPr="00CD3D64">
        <w:rPr>
          <w:rFonts w:ascii="Book Antiqua" w:hAnsi="Book Antiqua"/>
          <w:color w:val="000000"/>
        </w:rPr>
        <w:t>hepatocellular carcinoma</w:t>
      </w:r>
      <w:r w:rsidR="00B05F55" w:rsidRPr="00CD3D64">
        <w:rPr>
          <w:rFonts w:ascii="Book Antiqua" w:hAnsi="Book Antiqua"/>
          <w:color w:val="000000"/>
        </w:rPr>
        <w:t xml:space="preserve"> treatment </w:t>
      </w:r>
      <w:r w:rsidR="00BE08E9" w:rsidRPr="00CD3D64">
        <w:rPr>
          <w:rFonts w:ascii="Book Antiqua" w:hAnsi="Book Antiqua"/>
          <w:color w:val="000000"/>
        </w:rPr>
        <w:t xml:space="preserve">(91%) </w:t>
      </w:r>
      <w:r w:rsidR="00B05F55" w:rsidRPr="00CD3D64">
        <w:rPr>
          <w:rFonts w:ascii="Book Antiqua" w:hAnsi="Book Antiqua"/>
          <w:color w:val="000000"/>
        </w:rPr>
        <w:t xml:space="preserve">than for patients without history of </w:t>
      </w:r>
      <w:r w:rsidR="002C04F0" w:rsidRPr="00CD3D64">
        <w:rPr>
          <w:rFonts w:ascii="Book Antiqua" w:hAnsi="Book Antiqua"/>
          <w:color w:val="000000"/>
        </w:rPr>
        <w:t>hepatocellular carcinoma</w:t>
      </w:r>
      <w:r w:rsidR="00B05F55" w:rsidRPr="00CD3D64">
        <w:rPr>
          <w:rFonts w:ascii="Book Antiqua" w:hAnsi="Book Antiqua"/>
          <w:color w:val="000000"/>
        </w:rPr>
        <w:t xml:space="preserve"> treatment (98%, </w:t>
      </w:r>
      <w:r w:rsidR="00FB21CB" w:rsidRPr="00CD3D64">
        <w:rPr>
          <w:rFonts w:ascii="Book Antiqua" w:hAnsi="Book Antiqua"/>
          <w:bCs/>
          <w:i/>
          <w:color w:val="000000"/>
        </w:rPr>
        <w:t>P</w:t>
      </w:r>
      <w:r w:rsidR="00FB21CB" w:rsidRPr="00CD3D64">
        <w:rPr>
          <w:rFonts w:ascii="Book Antiqua" w:hAnsi="Book Antiqua"/>
          <w:bCs/>
          <w:iCs/>
          <w:color w:val="000000"/>
        </w:rPr>
        <w:t xml:space="preserve"> </w:t>
      </w:r>
      <w:r w:rsidR="00B05F55" w:rsidRPr="00CD3D64">
        <w:rPr>
          <w:rFonts w:ascii="Book Antiqua" w:hAnsi="Book Antiqua"/>
          <w:color w:val="000000"/>
        </w:rPr>
        <w:t>=</w:t>
      </w:r>
      <w:r w:rsidR="00FB21CB" w:rsidRPr="00CD3D64">
        <w:rPr>
          <w:rFonts w:ascii="Book Antiqua" w:hAnsi="Book Antiqua"/>
          <w:color w:val="000000"/>
        </w:rPr>
        <w:t xml:space="preserve"> </w:t>
      </w:r>
      <w:r w:rsidR="00B05F55" w:rsidRPr="00CD3D64">
        <w:rPr>
          <w:rFonts w:ascii="Book Antiqua" w:hAnsi="Book Antiqua"/>
          <w:color w:val="000000"/>
        </w:rPr>
        <w:t>0.004).</w:t>
      </w:r>
      <w:r w:rsidR="005D3DE4" w:rsidRPr="00CD3D64">
        <w:rPr>
          <w:rFonts w:ascii="Book Antiqua" w:hAnsi="Book Antiqua"/>
          <w:color w:val="000000"/>
        </w:rPr>
        <w:t xml:space="preserve"> One patient (0.4%) discontinued treatment due to drug-induced pneumonia. Dose reduction or interruption of ribavirin was required </w:t>
      </w:r>
      <w:r w:rsidR="00D205D0" w:rsidRPr="00CD3D64">
        <w:rPr>
          <w:rFonts w:ascii="Book Antiqua" w:hAnsi="Book Antiqua"/>
          <w:color w:val="000000"/>
        </w:rPr>
        <w:t xml:space="preserve">for </w:t>
      </w:r>
      <w:r w:rsidR="005D3DE4" w:rsidRPr="00CD3D64">
        <w:rPr>
          <w:rFonts w:ascii="Book Antiqua" w:hAnsi="Book Antiqua"/>
          <w:color w:val="000000"/>
        </w:rPr>
        <w:t>12.1% (32/265) of patients because of anemia, including 7.7% (14/182) of patients &lt;</w:t>
      </w:r>
      <w:r w:rsidR="00FB21CB" w:rsidRPr="00CD3D64">
        <w:rPr>
          <w:rFonts w:ascii="Book Antiqua" w:hAnsi="Book Antiqua"/>
          <w:color w:val="000000"/>
        </w:rPr>
        <w:t xml:space="preserve"> </w:t>
      </w:r>
      <w:r w:rsidR="005D3DE4" w:rsidRPr="00CD3D64">
        <w:rPr>
          <w:rFonts w:ascii="Book Antiqua" w:hAnsi="Book Antiqua"/>
          <w:color w:val="000000"/>
        </w:rPr>
        <w:t>75</w:t>
      </w:r>
      <w:r w:rsidR="00D242AF">
        <w:rPr>
          <w:rFonts w:ascii="Book Antiqua" w:hAnsi="Book Antiqua"/>
          <w:color w:val="000000"/>
        </w:rPr>
        <w:t>-years-old</w:t>
      </w:r>
      <w:r w:rsidR="005D3DE4" w:rsidRPr="00CD3D64">
        <w:rPr>
          <w:rFonts w:ascii="Book Antiqua" w:hAnsi="Book Antiqua"/>
          <w:color w:val="000000"/>
        </w:rPr>
        <w:t xml:space="preserve"> and 21.7% (18/83) of patients ≥</w:t>
      </w:r>
      <w:r w:rsidR="00FB21CB" w:rsidRPr="00CD3D64">
        <w:rPr>
          <w:rFonts w:ascii="Book Antiqua" w:hAnsi="Book Antiqua"/>
          <w:color w:val="000000"/>
        </w:rPr>
        <w:t xml:space="preserve"> </w:t>
      </w:r>
      <w:r w:rsidR="005D3DE4" w:rsidRPr="00CD3D64">
        <w:rPr>
          <w:rFonts w:ascii="Book Antiqua" w:hAnsi="Book Antiqua"/>
          <w:color w:val="000000"/>
        </w:rPr>
        <w:t>75</w:t>
      </w:r>
      <w:r w:rsidR="00D242AF">
        <w:rPr>
          <w:rFonts w:ascii="Book Antiqua" w:hAnsi="Book Antiqua"/>
          <w:color w:val="000000"/>
        </w:rPr>
        <w:t>-years-old</w:t>
      </w:r>
      <w:r w:rsidR="005D3DE4" w:rsidRPr="00CD3D64">
        <w:rPr>
          <w:rFonts w:ascii="Book Antiqua" w:hAnsi="Book Antiqua"/>
          <w:color w:val="000000"/>
        </w:rPr>
        <w:t xml:space="preserve"> (</w:t>
      </w:r>
      <w:r w:rsidR="00FB21CB" w:rsidRPr="00CD3D64">
        <w:rPr>
          <w:rFonts w:ascii="Book Antiqua" w:hAnsi="Book Antiqua"/>
          <w:bCs/>
          <w:i/>
          <w:color w:val="000000"/>
        </w:rPr>
        <w:t>P</w:t>
      </w:r>
      <w:r w:rsidR="00FB21CB" w:rsidRPr="00CD3D64">
        <w:rPr>
          <w:rFonts w:ascii="Book Antiqua" w:hAnsi="Book Antiqua"/>
          <w:bCs/>
          <w:iCs/>
          <w:color w:val="000000"/>
        </w:rPr>
        <w:t xml:space="preserve"> </w:t>
      </w:r>
      <w:r w:rsidR="005D3DE4" w:rsidRPr="00CD3D64">
        <w:rPr>
          <w:rFonts w:ascii="Book Antiqua" w:hAnsi="Book Antiqua"/>
          <w:color w:val="000000"/>
        </w:rPr>
        <w:t>=</w:t>
      </w:r>
      <w:r w:rsidR="00FB21CB" w:rsidRPr="00CD3D64">
        <w:rPr>
          <w:rFonts w:ascii="Book Antiqua" w:hAnsi="Book Antiqua"/>
          <w:color w:val="000000"/>
        </w:rPr>
        <w:t xml:space="preserve"> </w:t>
      </w:r>
      <w:r w:rsidR="005D3DE4" w:rsidRPr="00CD3D64">
        <w:rPr>
          <w:rFonts w:ascii="Book Antiqua" w:hAnsi="Book Antiqua"/>
          <w:color w:val="000000"/>
        </w:rPr>
        <w:t>0.002).</w:t>
      </w:r>
    </w:p>
    <w:p w:rsidR="00FF2371" w:rsidRPr="00CD3D64" w:rsidRDefault="00FF2371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</w:p>
    <w:p w:rsidR="00FF2371" w:rsidRPr="00CD3D64" w:rsidRDefault="00FF2371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  <w:lang w:eastAsia="zh-CN"/>
        </w:rPr>
      </w:pPr>
      <w:r w:rsidRPr="00CD3D64">
        <w:rPr>
          <w:rFonts w:ascii="Book Antiqua" w:hAnsi="Book Antiqua"/>
          <w:color w:val="000000"/>
        </w:rPr>
        <w:t>CONCLUSION</w:t>
      </w:r>
    </w:p>
    <w:p w:rsidR="00D5588B" w:rsidRPr="00CD3D64" w:rsidRDefault="00B05F55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CD3D64">
        <w:rPr>
          <w:rFonts w:ascii="Book Antiqua" w:hAnsi="Book Antiqua"/>
          <w:color w:val="000000"/>
        </w:rPr>
        <w:lastRenderedPageBreak/>
        <w:t>A</w:t>
      </w:r>
      <w:r w:rsidR="00D5588B" w:rsidRPr="00CD3D64">
        <w:rPr>
          <w:rFonts w:ascii="Book Antiqua" w:hAnsi="Book Antiqua"/>
          <w:color w:val="000000"/>
        </w:rPr>
        <w:t>lthough ribavirin dose reduction or interruption was required with advanced age,</w:t>
      </w:r>
      <w:r w:rsidR="000C4C41" w:rsidRPr="00CD3D64">
        <w:rPr>
          <w:rFonts w:ascii="Book Antiqua" w:hAnsi="Book Antiqua"/>
          <w:color w:val="000000"/>
        </w:rPr>
        <w:t xml:space="preserve"> </w:t>
      </w:r>
      <w:proofErr w:type="spellStart"/>
      <w:r w:rsidR="00771FBA" w:rsidRPr="00CD3D64">
        <w:rPr>
          <w:rFonts w:ascii="Book Antiqua" w:hAnsi="Book Antiqua"/>
          <w:color w:val="000000"/>
        </w:rPr>
        <w:t>sofosbuvir</w:t>
      </w:r>
      <w:proofErr w:type="spellEnd"/>
      <w:r w:rsidR="00771FBA" w:rsidRPr="00CD3D64">
        <w:rPr>
          <w:rFonts w:ascii="Book Antiqua" w:hAnsi="Book Antiqua"/>
          <w:color w:val="000000"/>
        </w:rPr>
        <w:t xml:space="preserve"> plus ribavirin </w:t>
      </w:r>
      <w:r w:rsidR="00D205D0" w:rsidRPr="00CD3D64">
        <w:rPr>
          <w:rFonts w:ascii="Book Antiqua" w:hAnsi="Book Antiqua"/>
          <w:color w:val="000000"/>
        </w:rPr>
        <w:t>appears</w:t>
      </w:r>
      <w:r w:rsidR="00771FBA" w:rsidRPr="00CD3D64">
        <w:rPr>
          <w:rFonts w:ascii="Book Antiqua" w:hAnsi="Book Antiqua"/>
          <w:color w:val="000000"/>
        </w:rPr>
        <w:t xml:space="preserve"> tolerable and highly effective even in </w:t>
      </w:r>
      <w:proofErr w:type="gramStart"/>
      <w:r w:rsidR="00771FBA" w:rsidRPr="00CD3D64">
        <w:rPr>
          <w:rFonts w:ascii="Book Antiqua" w:hAnsi="Book Antiqua"/>
          <w:color w:val="000000"/>
        </w:rPr>
        <w:t>patients</w:t>
      </w:r>
      <w:proofErr w:type="gramEnd"/>
      <w:r w:rsidR="00771FBA" w:rsidRPr="00CD3D64">
        <w:rPr>
          <w:rFonts w:ascii="Book Antiqua" w:hAnsi="Book Antiqua"/>
          <w:color w:val="000000"/>
        </w:rPr>
        <w:t xml:space="preserve"> </w:t>
      </w:r>
      <w:r w:rsidR="006904A5" w:rsidRPr="00CD3D64">
        <w:rPr>
          <w:rFonts w:ascii="Book Antiqua" w:hAnsi="Book Antiqua"/>
          <w:color w:val="000000"/>
        </w:rPr>
        <w:sym w:font="Symbol" w:char="F0B3"/>
      </w:r>
      <w:r w:rsidR="00FF2371" w:rsidRPr="00CD3D64">
        <w:rPr>
          <w:rFonts w:ascii="Book Antiqua" w:hAnsi="Book Antiqua"/>
          <w:color w:val="000000"/>
        </w:rPr>
        <w:t xml:space="preserve"> </w:t>
      </w:r>
      <w:r w:rsidR="00771FBA" w:rsidRPr="00CD3D64">
        <w:rPr>
          <w:rFonts w:ascii="Book Antiqua" w:hAnsi="Book Antiqua"/>
          <w:color w:val="000000"/>
        </w:rPr>
        <w:t>75</w:t>
      </w:r>
      <w:r w:rsidR="00CD3D64">
        <w:rPr>
          <w:rFonts w:ascii="Book Antiqua" w:hAnsi="Book Antiqua"/>
          <w:color w:val="000000"/>
        </w:rPr>
        <w:t>-</w:t>
      </w:r>
      <w:r w:rsidR="00771FBA" w:rsidRPr="00CD3D64">
        <w:rPr>
          <w:rFonts w:ascii="Book Antiqua" w:hAnsi="Book Antiqua"/>
          <w:color w:val="000000"/>
        </w:rPr>
        <w:t>years</w:t>
      </w:r>
      <w:r w:rsidR="00CD3D64">
        <w:rPr>
          <w:rFonts w:ascii="Book Antiqua" w:hAnsi="Book Antiqua"/>
          <w:color w:val="000000"/>
        </w:rPr>
        <w:t>-</w:t>
      </w:r>
      <w:r w:rsidR="00771FBA" w:rsidRPr="00CD3D64">
        <w:rPr>
          <w:rFonts w:ascii="Book Antiqua" w:hAnsi="Book Antiqua"/>
          <w:color w:val="000000"/>
        </w:rPr>
        <w:t>old</w:t>
      </w:r>
      <w:r w:rsidRPr="00CD3D64">
        <w:rPr>
          <w:rFonts w:ascii="Book Antiqua" w:hAnsi="Book Antiqua"/>
          <w:color w:val="000000"/>
        </w:rPr>
        <w:t>.</w:t>
      </w:r>
    </w:p>
    <w:p w:rsidR="00E33139" w:rsidRPr="00CD3D64" w:rsidRDefault="00E33139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</w:p>
    <w:p w:rsidR="009E0558" w:rsidRPr="00CD3D64" w:rsidRDefault="006F40C2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CD3D64">
        <w:rPr>
          <w:rFonts w:ascii="Book Antiqua" w:hAnsi="Book Antiqua"/>
          <w:b/>
          <w:color w:val="000000"/>
        </w:rPr>
        <w:t>Key words:</w:t>
      </w:r>
      <w:r w:rsidRPr="00CD3D64">
        <w:rPr>
          <w:rFonts w:ascii="Book Antiqua" w:hAnsi="Book Antiqua"/>
          <w:color w:val="000000"/>
        </w:rPr>
        <w:t xml:space="preserve"> </w:t>
      </w:r>
      <w:r w:rsidR="00FF2371" w:rsidRPr="00CD3D64">
        <w:rPr>
          <w:rFonts w:ascii="Book Antiqua" w:hAnsi="Book Antiqua"/>
          <w:color w:val="000000"/>
        </w:rPr>
        <w:t>H</w:t>
      </w:r>
      <w:r w:rsidR="006E70D7" w:rsidRPr="00CD3D64">
        <w:rPr>
          <w:rFonts w:ascii="Book Antiqua" w:hAnsi="Book Antiqua"/>
          <w:color w:val="000000"/>
        </w:rPr>
        <w:t xml:space="preserve">epatitis </w:t>
      </w:r>
      <w:r w:rsidRPr="00CD3D64">
        <w:rPr>
          <w:rFonts w:ascii="Book Antiqua" w:hAnsi="Book Antiqua"/>
          <w:color w:val="000000"/>
        </w:rPr>
        <w:t>C</w:t>
      </w:r>
      <w:r w:rsidR="00FC04D5" w:rsidRPr="00CD3D64">
        <w:rPr>
          <w:rFonts w:ascii="Book Antiqua" w:hAnsi="Book Antiqua"/>
          <w:color w:val="000000"/>
        </w:rPr>
        <w:t xml:space="preserve"> virus</w:t>
      </w:r>
      <w:r w:rsidR="00FF2371" w:rsidRPr="00CD3D64">
        <w:rPr>
          <w:rFonts w:ascii="Book Antiqua" w:hAnsi="Book Antiqua"/>
          <w:color w:val="000000"/>
        </w:rPr>
        <w:t>;</w:t>
      </w:r>
      <w:r w:rsidR="008C75C7" w:rsidRPr="00CD3D64">
        <w:rPr>
          <w:rFonts w:ascii="Book Antiqua" w:hAnsi="Book Antiqua"/>
          <w:color w:val="000000"/>
        </w:rPr>
        <w:t xml:space="preserve"> </w:t>
      </w:r>
      <w:r w:rsidR="00FF2371" w:rsidRPr="00CD3D64">
        <w:rPr>
          <w:rFonts w:ascii="Book Antiqua" w:hAnsi="Book Antiqua"/>
          <w:color w:val="000000"/>
        </w:rPr>
        <w:t>G</w:t>
      </w:r>
      <w:r w:rsidR="006E70D7" w:rsidRPr="00CD3D64">
        <w:rPr>
          <w:rFonts w:ascii="Book Antiqua" w:hAnsi="Book Antiqua"/>
          <w:color w:val="000000"/>
        </w:rPr>
        <w:t>enotype 2</w:t>
      </w:r>
      <w:r w:rsidR="00FF2371" w:rsidRPr="00CD3D64">
        <w:rPr>
          <w:rFonts w:ascii="Book Antiqua" w:hAnsi="Book Antiqua"/>
          <w:color w:val="000000"/>
        </w:rPr>
        <w:t xml:space="preserve">; </w:t>
      </w:r>
      <w:proofErr w:type="spellStart"/>
      <w:r w:rsidR="00FF2371" w:rsidRPr="00CD3D64">
        <w:rPr>
          <w:rFonts w:ascii="Book Antiqua" w:hAnsi="Book Antiqua"/>
          <w:color w:val="000000"/>
        </w:rPr>
        <w:t>S</w:t>
      </w:r>
      <w:r w:rsidR="006E70D7" w:rsidRPr="00CD3D64">
        <w:rPr>
          <w:rFonts w:ascii="Book Antiqua" w:hAnsi="Book Antiqua"/>
          <w:color w:val="000000"/>
        </w:rPr>
        <w:t>ofosbuvir</w:t>
      </w:r>
      <w:proofErr w:type="spellEnd"/>
      <w:r w:rsidR="00FF2371" w:rsidRPr="00CD3D64">
        <w:rPr>
          <w:rFonts w:ascii="Book Antiqua" w:hAnsi="Book Antiqua"/>
          <w:color w:val="000000"/>
        </w:rPr>
        <w:t>;</w:t>
      </w:r>
      <w:r w:rsidR="006E70D7" w:rsidRPr="00CD3D64">
        <w:rPr>
          <w:rFonts w:ascii="Book Antiqua" w:hAnsi="Book Antiqua"/>
          <w:color w:val="000000"/>
        </w:rPr>
        <w:t xml:space="preserve"> </w:t>
      </w:r>
      <w:r w:rsidR="00FF2371" w:rsidRPr="00CD3D64">
        <w:rPr>
          <w:rFonts w:ascii="Book Antiqua" w:hAnsi="Book Antiqua"/>
          <w:color w:val="000000"/>
        </w:rPr>
        <w:t>R</w:t>
      </w:r>
      <w:r w:rsidR="006E70D7" w:rsidRPr="00CD3D64">
        <w:rPr>
          <w:rFonts w:ascii="Book Antiqua" w:hAnsi="Book Antiqua"/>
          <w:color w:val="000000"/>
        </w:rPr>
        <w:t>ibavirin</w:t>
      </w:r>
      <w:r w:rsidR="00FF2371" w:rsidRPr="00CD3D64">
        <w:rPr>
          <w:rFonts w:ascii="Book Antiqua" w:hAnsi="Book Antiqua"/>
          <w:color w:val="000000"/>
        </w:rPr>
        <w:t>;</w:t>
      </w:r>
      <w:r w:rsidR="00DA70B4" w:rsidRPr="00CD3D64">
        <w:rPr>
          <w:rFonts w:ascii="Book Antiqua" w:hAnsi="Book Antiqua"/>
          <w:color w:val="000000"/>
        </w:rPr>
        <w:t xml:space="preserve"> </w:t>
      </w:r>
      <w:r w:rsidR="00FF2371" w:rsidRPr="00CD3D64">
        <w:rPr>
          <w:rFonts w:ascii="Book Antiqua" w:hAnsi="Book Antiqua"/>
          <w:color w:val="000000"/>
        </w:rPr>
        <w:t>E</w:t>
      </w:r>
      <w:r w:rsidR="00DA70B4" w:rsidRPr="00CD3D64">
        <w:rPr>
          <w:rFonts w:ascii="Book Antiqua" w:hAnsi="Book Antiqua"/>
          <w:color w:val="000000"/>
        </w:rPr>
        <w:t>lderly patients</w:t>
      </w:r>
      <w:r w:rsidR="00FF2371" w:rsidRPr="00CD3D64">
        <w:rPr>
          <w:rFonts w:ascii="Book Antiqua" w:hAnsi="Book Antiqua"/>
          <w:color w:val="000000"/>
        </w:rPr>
        <w:t>;</w:t>
      </w:r>
      <w:r w:rsidR="00DA70B4" w:rsidRPr="00CD3D64">
        <w:rPr>
          <w:rFonts w:ascii="Book Antiqua" w:hAnsi="Book Antiqua"/>
          <w:color w:val="000000"/>
        </w:rPr>
        <w:t xml:space="preserve"> </w:t>
      </w:r>
      <w:r w:rsidR="00FF2371" w:rsidRPr="00CD3D64">
        <w:rPr>
          <w:rFonts w:ascii="Book Antiqua" w:hAnsi="Book Antiqua"/>
          <w:color w:val="000000"/>
        </w:rPr>
        <w:t>C</w:t>
      </w:r>
      <w:r w:rsidR="00DA70B4" w:rsidRPr="00CD3D64">
        <w:rPr>
          <w:rFonts w:ascii="Book Antiqua" w:hAnsi="Book Antiqua"/>
          <w:color w:val="000000"/>
        </w:rPr>
        <w:t>irrhosis</w:t>
      </w:r>
    </w:p>
    <w:p w:rsidR="009E0558" w:rsidRPr="00CD3D64" w:rsidRDefault="009E0558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</w:p>
    <w:p w:rsidR="00722976" w:rsidRDefault="00722976" w:rsidP="00CD3D64">
      <w:pPr>
        <w:adjustRightInd w:val="0"/>
        <w:snapToGrid w:val="0"/>
        <w:spacing w:line="360" w:lineRule="auto"/>
        <w:rPr>
          <w:rFonts w:ascii="Book Antiqua" w:eastAsiaTheme="minorEastAsia" w:hAnsi="Book Antiqua" w:cs="Arial" w:hint="eastAsia"/>
          <w:kern w:val="0"/>
          <w:lang w:eastAsia="zh-CN"/>
        </w:rPr>
      </w:pPr>
      <w:bookmarkStart w:id="14" w:name="OLE_LINK12"/>
      <w:r w:rsidRPr="00722976">
        <w:rPr>
          <w:rFonts w:ascii="Book Antiqua" w:hAnsi="Book Antiqua" w:hint="eastAsia"/>
          <w:b/>
          <w:color w:val="000000"/>
        </w:rPr>
        <w:t>Citation:</w:t>
      </w:r>
      <w:r>
        <w:rPr>
          <w:rFonts w:asciiTheme="minorEastAsia" w:eastAsiaTheme="minorEastAsia" w:hAnsiTheme="minorEastAsia" w:hint="eastAsia"/>
          <w:color w:val="000000"/>
          <w:lang w:eastAsia="zh-CN"/>
        </w:rPr>
        <w:t xml:space="preserve"> </w:t>
      </w:r>
      <w:proofErr w:type="spellStart"/>
      <w:r w:rsidR="00DE3766" w:rsidRPr="00CD3D64">
        <w:rPr>
          <w:rFonts w:ascii="Book Antiqua" w:hAnsi="Book Antiqua"/>
          <w:color w:val="000000"/>
        </w:rPr>
        <w:t>Tamai</w:t>
      </w:r>
      <w:proofErr w:type="spellEnd"/>
      <w:r w:rsidR="00DE3766" w:rsidRPr="00CD3D64">
        <w:rPr>
          <w:rFonts w:ascii="Book Antiqua" w:hAnsi="Book Antiqua"/>
          <w:color w:val="000000"/>
        </w:rPr>
        <w:t xml:space="preserve"> H, </w:t>
      </w:r>
      <w:proofErr w:type="spellStart"/>
      <w:r w:rsidR="00DE3766" w:rsidRPr="00CD3D64">
        <w:rPr>
          <w:rFonts w:ascii="Book Antiqua" w:hAnsi="Book Antiqua"/>
          <w:color w:val="000000"/>
        </w:rPr>
        <w:t>Shingaki</w:t>
      </w:r>
      <w:proofErr w:type="spellEnd"/>
      <w:r w:rsidR="00DE3766" w:rsidRPr="00CD3D64">
        <w:rPr>
          <w:rFonts w:ascii="Book Antiqua" w:hAnsi="Book Antiqua"/>
          <w:color w:val="000000"/>
        </w:rPr>
        <w:t xml:space="preserve"> N, Ida Y, Shimizu R, </w:t>
      </w:r>
      <w:proofErr w:type="spellStart"/>
      <w:r w:rsidR="00DE3766" w:rsidRPr="00CD3D64">
        <w:rPr>
          <w:rFonts w:ascii="Book Antiqua" w:hAnsi="Book Antiqua"/>
          <w:color w:val="000000"/>
        </w:rPr>
        <w:t>Maeshima</w:t>
      </w:r>
      <w:proofErr w:type="spellEnd"/>
      <w:r w:rsidR="00DE3766" w:rsidRPr="00CD3D64">
        <w:rPr>
          <w:rFonts w:ascii="Book Antiqua" w:hAnsi="Book Antiqua"/>
          <w:color w:val="000000"/>
        </w:rPr>
        <w:t xml:space="preserve"> S, Okamura J, Kawashima A, </w:t>
      </w:r>
      <w:proofErr w:type="spellStart"/>
      <w:r w:rsidR="00DE3766" w:rsidRPr="00CD3D64">
        <w:rPr>
          <w:rFonts w:ascii="Book Antiqua" w:hAnsi="Book Antiqua"/>
          <w:color w:val="000000"/>
        </w:rPr>
        <w:t>Nakao</w:t>
      </w:r>
      <w:proofErr w:type="spellEnd"/>
      <w:r w:rsidR="00DE3766" w:rsidRPr="00CD3D64">
        <w:rPr>
          <w:rFonts w:ascii="Book Antiqua" w:hAnsi="Book Antiqua"/>
          <w:color w:val="000000"/>
        </w:rPr>
        <w:t xml:space="preserve"> T, Hara T, </w:t>
      </w:r>
      <w:proofErr w:type="spellStart"/>
      <w:r w:rsidR="00DE3766" w:rsidRPr="00CD3D64">
        <w:rPr>
          <w:rFonts w:ascii="Book Antiqua" w:hAnsi="Book Antiqua"/>
          <w:color w:val="000000"/>
        </w:rPr>
        <w:t>Matsutani</w:t>
      </w:r>
      <w:proofErr w:type="spellEnd"/>
      <w:r w:rsidR="00DE3766" w:rsidRPr="00CD3D64">
        <w:rPr>
          <w:rFonts w:ascii="Book Antiqua" w:hAnsi="Book Antiqua"/>
          <w:color w:val="000000"/>
        </w:rPr>
        <w:t xml:space="preserve"> H, Nishikawa I, Higashi K</w:t>
      </w:r>
      <w:r w:rsidR="00A600B5" w:rsidRPr="00CD3D64">
        <w:rPr>
          <w:rFonts w:ascii="Book Antiqua" w:hAnsi="Book Antiqua"/>
          <w:color w:val="000000"/>
        </w:rPr>
        <w:t>.</w:t>
      </w:r>
      <w:r w:rsidR="009E0558" w:rsidRPr="00CD3D64">
        <w:rPr>
          <w:rFonts w:ascii="Book Antiqua" w:hAnsi="Book Antiqua"/>
          <w:color w:val="000000"/>
        </w:rPr>
        <w:t xml:space="preserve"> </w:t>
      </w:r>
      <w:proofErr w:type="spellStart"/>
      <w:r w:rsidR="00500965" w:rsidRPr="00CD3D64">
        <w:rPr>
          <w:rFonts w:ascii="Book Antiqua" w:hAnsi="Book Antiqua"/>
          <w:color w:val="000000"/>
        </w:rPr>
        <w:t>Sofosbuvir</w:t>
      </w:r>
      <w:proofErr w:type="spellEnd"/>
      <w:r w:rsidR="00500965" w:rsidRPr="00CD3D64">
        <w:rPr>
          <w:rFonts w:ascii="Book Antiqua" w:hAnsi="Book Antiqua"/>
          <w:color w:val="000000"/>
        </w:rPr>
        <w:t xml:space="preserve"> plus ribavirin </w:t>
      </w:r>
      <w:proofErr w:type="gramStart"/>
      <w:r w:rsidR="00500965" w:rsidRPr="00CD3D64">
        <w:rPr>
          <w:rFonts w:ascii="Book Antiqua" w:hAnsi="Book Antiqua"/>
          <w:color w:val="000000"/>
        </w:rPr>
        <w:t>is</w:t>
      </w:r>
      <w:proofErr w:type="gramEnd"/>
      <w:r w:rsidR="00500965" w:rsidRPr="00CD3D64">
        <w:rPr>
          <w:rFonts w:ascii="Book Antiqua" w:hAnsi="Book Antiqua"/>
          <w:color w:val="000000"/>
        </w:rPr>
        <w:t xml:space="preserve"> tolerable and effective even in elderly patients 75</w:t>
      </w:r>
      <w:r w:rsidR="00301CF1">
        <w:rPr>
          <w:rFonts w:ascii="Book Antiqua" w:hAnsi="Book Antiqua"/>
          <w:color w:val="000000"/>
        </w:rPr>
        <w:t>-</w:t>
      </w:r>
      <w:r w:rsidR="00500965" w:rsidRPr="00CD3D64">
        <w:rPr>
          <w:rFonts w:ascii="Book Antiqua" w:hAnsi="Book Antiqua"/>
          <w:color w:val="000000"/>
        </w:rPr>
        <w:t>years</w:t>
      </w:r>
      <w:r w:rsidR="00301CF1">
        <w:rPr>
          <w:rFonts w:ascii="Book Antiqua" w:hAnsi="Book Antiqua"/>
          <w:color w:val="000000"/>
        </w:rPr>
        <w:t>-</w:t>
      </w:r>
      <w:r w:rsidR="00500965" w:rsidRPr="00CD3D64">
        <w:rPr>
          <w:rFonts w:ascii="Book Antiqua" w:hAnsi="Book Antiqua"/>
          <w:color w:val="000000"/>
        </w:rPr>
        <w:t>old and over</w:t>
      </w:r>
      <w:r w:rsidR="002B3A8E" w:rsidRPr="00CD3D64">
        <w:rPr>
          <w:rFonts w:ascii="Book Antiqua" w:hAnsi="Book Antiqua"/>
          <w:color w:val="000000"/>
        </w:rPr>
        <w:t>.</w:t>
      </w:r>
      <w:r w:rsidR="002B3A8E" w:rsidRPr="00CD3D64">
        <w:rPr>
          <w:rFonts w:ascii="Book Antiqua" w:hAnsi="Book Antiqua"/>
        </w:rPr>
        <w:t xml:space="preserve"> </w:t>
      </w:r>
      <w:r w:rsidR="002B3A8E" w:rsidRPr="00CD3D64">
        <w:rPr>
          <w:rFonts w:ascii="Book Antiqua" w:hAnsi="Book Antiqua"/>
          <w:i/>
          <w:iCs/>
          <w:color w:val="000000"/>
        </w:rPr>
        <w:t xml:space="preserve">World J </w:t>
      </w:r>
      <w:proofErr w:type="spellStart"/>
      <w:r w:rsidR="002B3A8E" w:rsidRPr="00CD3D64">
        <w:rPr>
          <w:rFonts w:ascii="Book Antiqua" w:hAnsi="Book Antiqua"/>
          <w:i/>
          <w:iCs/>
          <w:color w:val="000000"/>
        </w:rPr>
        <w:t>Hepatol</w:t>
      </w:r>
      <w:proofErr w:type="spellEnd"/>
      <w:r w:rsidR="002B3A8E" w:rsidRPr="00CD3D64">
        <w:rPr>
          <w:rFonts w:ascii="Book Antiqua" w:hAnsi="Book Antiqua"/>
          <w:color w:val="000000"/>
        </w:rPr>
        <w:t xml:space="preserve"> 2020; </w:t>
      </w:r>
      <w:r w:rsidR="001945CE" w:rsidRPr="004A4A6A">
        <w:rPr>
          <w:rFonts w:ascii="Book Antiqua" w:eastAsia="Arial" w:hAnsi="Book Antiqua" w:cs="Arial"/>
          <w:kern w:val="0"/>
          <w:lang w:eastAsia="pt-BR"/>
        </w:rPr>
        <w:t>12(</w:t>
      </w:r>
      <w:r w:rsidR="001945CE" w:rsidRPr="004A4A6A">
        <w:rPr>
          <w:rFonts w:ascii="Book Antiqua" w:hAnsi="Book Antiqua" w:cs="Arial" w:hint="eastAsia"/>
          <w:kern w:val="0"/>
        </w:rPr>
        <w:t>9</w:t>
      </w:r>
      <w:r w:rsidR="001945CE" w:rsidRPr="004A4A6A">
        <w:rPr>
          <w:rFonts w:ascii="Book Antiqua" w:eastAsia="Arial" w:hAnsi="Book Antiqua" w:cs="Arial"/>
          <w:kern w:val="0"/>
          <w:lang w:eastAsia="pt-BR"/>
        </w:rPr>
        <w:t xml:space="preserve">): </w:t>
      </w:r>
      <w:r>
        <w:rPr>
          <w:rFonts w:ascii="Book Antiqua" w:eastAsiaTheme="minorEastAsia" w:hAnsi="Book Antiqua" w:cs="Arial" w:hint="eastAsia"/>
          <w:kern w:val="0"/>
          <w:lang w:eastAsia="zh-CN"/>
        </w:rPr>
        <w:t>672</w:t>
      </w:r>
      <w:r w:rsidR="001945CE" w:rsidRPr="004A4A6A">
        <w:rPr>
          <w:rFonts w:ascii="Book Antiqua" w:eastAsia="Arial" w:hAnsi="Book Antiqua" w:cs="Arial"/>
          <w:kern w:val="0"/>
          <w:lang w:eastAsia="pt-BR"/>
        </w:rPr>
        <w:t>-</w:t>
      </w:r>
      <w:r>
        <w:rPr>
          <w:rFonts w:ascii="Book Antiqua" w:eastAsiaTheme="minorEastAsia" w:hAnsi="Book Antiqua" w:cs="Arial" w:hint="eastAsia"/>
          <w:kern w:val="0"/>
          <w:lang w:eastAsia="zh-CN"/>
        </w:rPr>
        <w:t>684</w:t>
      </w:r>
    </w:p>
    <w:p w:rsidR="00722976" w:rsidRDefault="001945CE" w:rsidP="00CD3D64">
      <w:pPr>
        <w:adjustRightInd w:val="0"/>
        <w:snapToGrid w:val="0"/>
        <w:spacing w:line="360" w:lineRule="auto"/>
        <w:rPr>
          <w:rFonts w:ascii="Book Antiqua" w:eastAsiaTheme="minorEastAsia" w:hAnsi="Book Antiqua" w:cs="Arial" w:hint="eastAsia"/>
          <w:kern w:val="0"/>
          <w:lang w:eastAsia="zh-CN"/>
        </w:rPr>
      </w:pPr>
      <w:r w:rsidRPr="00722976">
        <w:rPr>
          <w:rFonts w:ascii="Book Antiqua" w:eastAsia="Arial" w:hAnsi="Book Antiqua" w:cs="Arial"/>
          <w:b/>
          <w:kern w:val="0"/>
          <w:lang w:eastAsia="pt-BR"/>
        </w:rPr>
        <w:t>URL:</w:t>
      </w:r>
      <w:r w:rsidRPr="004A4A6A">
        <w:rPr>
          <w:rFonts w:ascii="Book Antiqua" w:eastAsia="Arial" w:hAnsi="Book Antiqua" w:cs="Arial"/>
          <w:kern w:val="0"/>
          <w:lang w:eastAsia="pt-BR"/>
        </w:rPr>
        <w:t xml:space="preserve"> https://www.wjgnet.com/1948-5182/full/v12/i</w:t>
      </w:r>
      <w:r w:rsidRPr="004A4A6A">
        <w:rPr>
          <w:rFonts w:ascii="Book Antiqua" w:hAnsi="Book Antiqua" w:cs="Arial" w:hint="eastAsia"/>
          <w:kern w:val="0"/>
        </w:rPr>
        <w:t>9</w:t>
      </w:r>
      <w:r w:rsidRPr="004A4A6A">
        <w:rPr>
          <w:rFonts w:ascii="Book Antiqua" w:eastAsia="Arial" w:hAnsi="Book Antiqua" w:cs="Arial"/>
          <w:kern w:val="0"/>
          <w:lang w:eastAsia="pt-BR"/>
        </w:rPr>
        <w:t>/</w:t>
      </w:r>
      <w:r w:rsidR="00722976">
        <w:rPr>
          <w:rFonts w:ascii="Book Antiqua" w:eastAsiaTheme="minorEastAsia" w:hAnsi="Book Antiqua" w:cs="Arial" w:hint="eastAsia"/>
          <w:kern w:val="0"/>
          <w:lang w:eastAsia="zh-CN"/>
        </w:rPr>
        <w:t>672</w:t>
      </w:r>
      <w:r w:rsidRPr="004A4A6A">
        <w:rPr>
          <w:rFonts w:ascii="Book Antiqua" w:eastAsia="Arial" w:hAnsi="Book Antiqua" w:cs="Arial"/>
          <w:kern w:val="0"/>
          <w:lang w:eastAsia="pt-BR"/>
        </w:rPr>
        <w:t xml:space="preserve">.htm  </w:t>
      </w:r>
    </w:p>
    <w:p w:rsidR="00500965" w:rsidRPr="00722976" w:rsidRDefault="001945CE" w:rsidP="00CD3D64">
      <w:pPr>
        <w:adjustRightInd w:val="0"/>
        <w:snapToGrid w:val="0"/>
        <w:spacing w:line="360" w:lineRule="auto"/>
        <w:rPr>
          <w:rFonts w:ascii="Book Antiqua" w:eastAsiaTheme="minorEastAsia" w:hAnsi="Book Antiqua" w:hint="eastAsia"/>
          <w:b/>
          <w:bCs/>
          <w:color w:val="000000"/>
          <w:lang w:eastAsia="zh-CN"/>
        </w:rPr>
      </w:pPr>
      <w:r w:rsidRPr="00722976">
        <w:rPr>
          <w:rFonts w:ascii="Book Antiqua" w:eastAsia="Arial" w:hAnsi="Book Antiqua" w:cs="Arial"/>
          <w:b/>
          <w:kern w:val="0"/>
          <w:lang w:eastAsia="pt-BR"/>
        </w:rPr>
        <w:t>DOI:</w:t>
      </w:r>
      <w:r w:rsidRPr="004A4A6A">
        <w:rPr>
          <w:rFonts w:ascii="Book Antiqua" w:eastAsia="Arial" w:hAnsi="Book Antiqua" w:cs="Arial"/>
          <w:kern w:val="0"/>
          <w:lang w:eastAsia="pt-BR"/>
        </w:rPr>
        <w:t xml:space="preserve"> </w:t>
      </w:r>
      <w:bookmarkStart w:id="15" w:name="_GoBack"/>
      <w:r w:rsidRPr="004A4A6A">
        <w:rPr>
          <w:rFonts w:ascii="Book Antiqua" w:eastAsia="Arial" w:hAnsi="Book Antiqua" w:cs="Arial"/>
          <w:kern w:val="0"/>
          <w:lang w:eastAsia="pt-BR"/>
        </w:rPr>
        <w:t>https://dx.doi.org/ 10.4254/wjh.v12.i</w:t>
      </w:r>
      <w:r w:rsidRPr="004A4A6A">
        <w:rPr>
          <w:rFonts w:ascii="Book Antiqua" w:hAnsi="Book Antiqua" w:cs="Arial" w:hint="eastAsia"/>
          <w:kern w:val="0"/>
        </w:rPr>
        <w:t>9</w:t>
      </w:r>
      <w:r w:rsidRPr="004A4A6A">
        <w:rPr>
          <w:rFonts w:ascii="Book Antiqua" w:eastAsia="Arial" w:hAnsi="Book Antiqua" w:cs="Arial"/>
          <w:kern w:val="0"/>
          <w:lang w:eastAsia="pt-BR"/>
        </w:rPr>
        <w:t>.</w:t>
      </w:r>
      <w:r w:rsidR="00722976">
        <w:rPr>
          <w:rFonts w:ascii="Book Antiqua" w:eastAsiaTheme="minorEastAsia" w:hAnsi="Book Antiqua" w:cs="Arial" w:hint="eastAsia"/>
          <w:kern w:val="0"/>
          <w:lang w:eastAsia="zh-CN"/>
        </w:rPr>
        <w:t>672</w:t>
      </w:r>
      <w:bookmarkEnd w:id="15"/>
    </w:p>
    <w:bookmarkEnd w:id="14"/>
    <w:p w:rsidR="006D54C3" w:rsidRPr="00CD3D64" w:rsidRDefault="006D54C3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</w:p>
    <w:p w:rsidR="009E0558" w:rsidRPr="00CD3D64" w:rsidRDefault="009E0558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CD3D64">
        <w:rPr>
          <w:rFonts w:ascii="Book Antiqua" w:hAnsi="Book Antiqua"/>
          <w:b/>
          <w:bCs/>
          <w:color w:val="000000"/>
        </w:rPr>
        <w:t>Core tip:</w:t>
      </w:r>
      <w:r w:rsidRPr="00CD3D64">
        <w:rPr>
          <w:rFonts w:ascii="Book Antiqua" w:hAnsi="Book Antiqua"/>
          <w:color w:val="000000"/>
        </w:rPr>
        <w:t xml:space="preserve"> </w:t>
      </w:r>
      <w:bookmarkStart w:id="16" w:name="OLE_LINK13"/>
      <w:r w:rsidRPr="00CD3D64">
        <w:rPr>
          <w:rFonts w:ascii="Book Antiqua" w:hAnsi="Book Antiqua"/>
          <w:color w:val="000000"/>
        </w:rPr>
        <w:t xml:space="preserve">This was a multicenter post-marketing prospective cohort study of </w:t>
      </w:r>
      <w:proofErr w:type="spellStart"/>
      <w:r w:rsidRPr="00CD3D64">
        <w:rPr>
          <w:rFonts w:ascii="Book Antiqua" w:hAnsi="Book Antiqua"/>
          <w:color w:val="000000"/>
        </w:rPr>
        <w:t>sofosbuvir</w:t>
      </w:r>
      <w:proofErr w:type="spellEnd"/>
      <w:r w:rsidRPr="00CD3D64">
        <w:rPr>
          <w:rFonts w:ascii="Book Antiqua" w:hAnsi="Book Antiqua"/>
          <w:color w:val="000000"/>
        </w:rPr>
        <w:t xml:space="preserve"> plus ribavirin therapy for patients with genotype 2 </w:t>
      </w:r>
      <w:r w:rsidR="00373404" w:rsidRPr="00CD3D64">
        <w:rPr>
          <w:rFonts w:ascii="Book Antiqua" w:hAnsi="Book Antiqua"/>
          <w:color w:val="000000"/>
        </w:rPr>
        <w:t>hepatitis C virus</w:t>
      </w:r>
      <w:r w:rsidRPr="00CD3D64">
        <w:rPr>
          <w:rFonts w:ascii="Book Antiqua" w:hAnsi="Book Antiqua"/>
          <w:color w:val="000000"/>
        </w:rPr>
        <w:t xml:space="preserve"> in </w:t>
      </w:r>
      <w:r w:rsidR="00D205D0" w:rsidRPr="00CD3D64">
        <w:rPr>
          <w:rFonts w:ascii="Book Antiqua" w:hAnsi="Book Antiqua"/>
          <w:color w:val="000000"/>
        </w:rPr>
        <w:t xml:space="preserve">a </w:t>
      </w:r>
      <w:r w:rsidRPr="00CD3D64">
        <w:rPr>
          <w:rFonts w:ascii="Book Antiqua" w:hAnsi="Book Antiqua"/>
          <w:color w:val="000000"/>
        </w:rPr>
        <w:t xml:space="preserve">real-world clinical setting. Combination therapy using </w:t>
      </w:r>
      <w:proofErr w:type="spellStart"/>
      <w:r w:rsidRPr="00CD3D64">
        <w:rPr>
          <w:rFonts w:ascii="Book Antiqua" w:hAnsi="Book Antiqua"/>
          <w:color w:val="000000"/>
        </w:rPr>
        <w:t>sofosbuvir</w:t>
      </w:r>
      <w:proofErr w:type="spellEnd"/>
      <w:r w:rsidRPr="00CD3D64">
        <w:rPr>
          <w:rFonts w:ascii="Book Antiqua" w:hAnsi="Book Antiqua"/>
          <w:color w:val="000000"/>
        </w:rPr>
        <w:t xml:space="preserve"> plus ribavirin was tolerable and highly effective even in elderly </w:t>
      </w:r>
      <w:proofErr w:type="gramStart"/>
      <w:r w:rsidRPr="00CD3D64">
        <w:rPr>
          <w:rFonts w:ascii="Book Antiqua" w:hAnsi="Book Antiqua"/>
          <w:color w:val="000000"/>
        </w:rPr>
        <w:t>patients</w:t>
      </w:r>
      <w:proofErr w:type="gramEnd"/>
      <w:r w:rsidRPr="00CD3D64">
        <w:rPr>
          <w:rFonts w:ascii="Book Antiqua" w:hAnsi="Book Antiqua"/>
          <w:color w:val="000000"/>
        </w:rPr>
        <w:t xml:space="preserve"> </w:t>
      </w:r>
      <w:r w:rsidR="006904A5" w:rsidRPr="00CD3D64">
        <w:rPr>
          <w:rFonts w:ascii="Book Antiqua" w:hAnsi="Book Antiqua"/>
          <w:color w:val="000000"/>
        </w:rPr>
        <w:sym w:font="Symbol" w:char="F0B3"/>
      </w:r>
      <w:r w:rsidR="00FF2371" w:rsidRPr="00CD3D64">
        <w:rPr>
          <w:rFonts w:ascii="Book Antiqua" w:hAnsi="Book Antiqua"/>
          <w:color w:val="000000"/>
        </w:rPr>
        <w:t xml:space="preserve"> </w:t>
      </w:r>
      <w:r w:rsidRPr="00CD3D64">
        <w:rPr>
          <w:rFonts w:ascii="Book Antiqua" w:hAnsi="Book Antiqua"/>
          <w:color w:val="000000"/>
        </w:rPr>
        <w:t>75</w:t>
      </w:r>
      <w:r w:rsidR="00301CF1">
        <w:rPr>
          <w:rFonts w:ascii="Book Antiqua" w:hAnsi="Book Antiqua"/>
          <w:color w:val="000000"/>
        </w:rPr>
        <w:t>-</w:t>
      </w:r>
      <w:r w:rsidRPr="00CD3D64">
        <w:rPr>
          <w:rFonts w:ascii="Book Antiqua" w:hAnsi="Book Antiqua"/>
          <w:color w:val="000000"/>
        </w:rPr>
        <w:t>years</w:t>
      </w:r>
      <w:r w:rsidR="00301CF1">
        <w:rPr>
          <w:rFonts w:ascii="Book Antiqua" w:hAnsi="Book Antiqua"/>
          <w:color w:val="000000"/>
        </w:rPr>
        <w:t>-</w:t>
      </w:r>
      <w:r w:rsidRPr="00CD3D64">
        <w:rPr>
          <w:rFonts w:ascii="Book Antiqua" w:hAnsi="Book Antiqua"/>
          <w:color w:val="000000"/>
        </w:rPr>
        <w:t>old.</w:t>
      </w:r>
    </w:p>
    <w:bookmarkEnd w:id="16"/>
    <w:p w:rsidR="00FF2371" w:rsidRPr="00CD3D64" w:rsidRDefault="004C42AB" w:rsidP="00CD3D64">
      <w:pPr>
        <w:adjustRightInd w:val="0"/>
        <w:snapToGrid w:val="0"/>
        <w:spacing w:line="360" w:lineRule="auto"/>
        <w:rPr>
          <w:rFonts w:ascii="Book Antiqua" w:hAnsi="Book Antiqua" w:cs="Arial"/>
          <w:b/>
          <w:color w:val="000000"/>
          <w:u w:val="single"/>
        </w:rPr>
      </w:pPr>
      <w:r w:rsidRPr="00CD3D64">
        <w:rPr>
          <w:rFonts w:ascii="Book Antiqua" w:hAnsi="Book Antiqua"/>
          <w:b/>
          <w:color w:val="000000"/>
        </w:rPr>
        <w:br w:type="page"/>
      </w:r>
      <w:r w:rsidR="00FF2371" w:rsidRPr="00CD3D64">
        <w:rPr>
          <w:rFonts w:ascii="Book Antiqua" w:hAnsi="Book Antiqua" w:cs="Arial"/>
          <w:b/>
          <w:color w:val="000000"/>
          <w:u w:val="single"/>
        </w:rPr>
        <w:lastRenderedPageBreak/>
        <w:t>INTRODUCTION</w:t>
      </w:r>
    </w:p>
    <w:p w:rsidR="00A05644" w:rsidRPr="00CD3D64" w:rsidRDefault="007B7ADE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CD3D64">
        <w:rPr>
          <w:rFonts w:ascii="Book Antiqua" w:hAnsi="Book Antiqua"/>
          <w:color w:val="000000"/>
        </w:rPr>
        <w:t>Although interferon</w:t>
      </w:r>
      <w:r w:rsidR="00543328" w:rsidRPr="00CD3D64">
        <w:rPr>
          <w:rFonts w:ascii="Book Antiqua" w:hAnsi="Book Antiqua"/>
          <w:color w:val="000000"/>
        </w:rPr>
        <w:t xml:space="preserve"> (IFN)</w:t>
      </w:r>
      <w:r w:rsidRPr="00CD3D64">
        <w:rPr>
          <w:rFonts w:ascii="Book Antiqua" w:hAnsi="Book Antiqua"/>
          <w:color w:val="000000"/>
        </w:rPr>
        <w:t xml:space="preserve">-based therapy was standard for hepatitis C virus (HCV) infection for many years, </w:t>
      </w:r>
      <w:r w:rsidR="006039C5" w:rsidRPr="00CD3D64">
        <w:rPr>
          <w:rFonts w:ascii="Book Antiqua" w:hAnsi="Book Antiqua"/>
          <w:color w:val="000000"/>
        </w:rPr>
        <w:t xml:space="preserve">clinical trials </w:t>
      </w:r>
      <w:r w:rsidR="00795176" w:rsidRPr="00CD3D64">
        <w:rPr>
          <w:rFonts w:ascii="Book Antiqua" w:hAnsi="Book Antiqua"/>
          <w:color w:val="000000"/>
        </w:rPr>
        <w:t xml:space="preserve">of </w:t>
      </w:r>
      <w:r w:rsidR="00543328" w:rsidRPr="00CD3D64">
        <w:rPr>
          <w:rFonts w:ascii="Book Antiqua" w:hAnsi="Book Antiqua"/>
          <w:color w:val="000000"/>
        </w:rPr>
        <w:t>IFN-</w:t>
      </w:r>
      <w:r w:rsidRPr="00CD3D64">
        <w:rPr>
          <w:rFonts w:ascii="Book Antiqua" w:hAnsi="Book Antiqua"/>
          <w:color w:val="000000"/>
        </w:rPr>
        <w:t xml:space="preserve">free </w:t>
      </w:r>
      <w:r w:rsidR="0087770C" w:rsidRPr="00CD3D64">
        <w:rPr>
          <w:rFonts w:ascii="Book Antiqua" w:hAnsi="Book Antiqua"/>
          <w:bCs/>
          <w:iCs/>
          <w:color w:val="000000"/>
        </w:rPr>
        <w:t>direct-acting antiviral</w:t>
      </w:r>
      <w:r w:rsidR="0087770C" w:rsidRPr="00CD3D64">
        <w:rPr>
          <w:rFonts w:ascii="Book Antiqua" w:hAnsi="Book Antiqua"/>
          <w:color w:val="000000"/>
        </w:rPr>
        <w:t xml:space="preserve"> agent (DAA) </w:t>
      </w:r>
      <w:r w:rsidRPr="00CD3D64">
        <w:rPr>
          <w:rFonts w:ascii="Book Antiqua" w:hAnsi="Book Antiqua"/>
          <w:color w:val="000000"/>
        </w:rPr>
        <w:t>regimen</w:t>
      </w:r>
      <w:r w:rsidR="00543328" w:rsidRPr="00CD3D64">
        <w:rPr>
          <w:rFonts w:ascii="Book Antiqua" w:hAnsi="Book Antiqua"/>
          <w:color w:val="000000"/>
        </w:rPr>
        <w:t>s</w:t>
      </w:r>
      <w:r w:rsidRPr="00CD3D64">
        <w:rPr>
          <w:rFonts w:ascii="Book Antiqua" w:hAnsi="Book Antiqua"/>
          <w:color w:val="000000"/>
        </w:rPr>
        <w:t xml:space="preserve"> using </w:t>
      </w:r>
      <w:proofErr w:type="spellStart"/>
      <w:r w:rsidRPr="00CD3D64">
        <w:rPr>
          <w:rFonts w:ascii="Book Antiqua" w:hAnsi="Book Antiqua"/>
          <w:color w:val="000000"/>
        </w:rPr>
        <w:t>sofosbuvir</w:t>
      </w:r>
      <w:proofErr w:type="spellEnd"/>
      <w:r w:rsidRPr="00CD3D64">
        <w:rPr>
          <w:rFonts w:ascii="Book Antiqua" w:hAnsi="Book Antiqua"/>
          <w:color w:val="000000"/>
        </w:rPr>
        <w:t xml:space="preserve"> and ribavirin for patients with genotype 2 HCV </w:t>
      </w:r>
      <w:r w:rsidR="00543328" w:rsidRPr="00CD3D64">
        <w:rPr>
          <w:rFonts w:ascii="Book Antiqua" w:hAnsi="Book Antiqua"/>
          <w:color w:val="000000"/>
        </w:rPr>
        <w:t xml:space="preserve">have been </w:t>
      </w:r>
      <w:r w:rsidR="00795176" w:rsidRPr="00CD3D64">
        <w:rPr>
          <w:rFonts w:ascii="Book Antiqua" w:hAnsi="Book Antiqua"/>
          <w:color w:val="000000"/>
        </w:rPr>
        <w:t>reported</w:t>
      </w:r>
      <w:r w:rsidRPr="00CD3D64">
        <w:rPr>
          <w:rFonts w:ascii="Book Antiqua" w:hAnsi="Book Antiqua"/>
          <w:color w:val="000000"/>
        </w:rPr>
        <w:t xml:space="preserve"> </w:t>
      </w:r>
      <w:r w:rsidR="00AA791B" w:rsidRPr="00CD3D64">
        <w:rPr>
          <w:rFonts w:ascii="Book Antiqua" w:hAnsi="Book Antiqua"/>
          <w:color w:val="000000"/>
        </w:rPr>
        <w:t xml:space="preserve">from Western countries </w:t>
      </w:r>
      <w:r w:rsidR="00543328" w:rsidRPr="00CD3D64">
        <w:rPr>
          <w:rFonts w:ascii="Book Antiqua" w:hAnsi="Book Antiqua"/>
          <w:color w:val="000000"/>
        </w:rPr>
        <w:t xml:space="preserve">since </w:t>
      </w:r>
      <w:r w:rsidR="00AA791B" w:rsidRPr="00CD3D64">
        <w:rPr>
          <w:rFonts w:ascii="Book Antiqua" w:hAnsi="Book Antiqua"/>
          <w:color w:val="000000"/>
        </w:rPr>
        <w:t>2013</w:t>
      </w:r>
      <w:r w:rsidR="00687F30" w:rsidRPr="00CD3D64">
        <w:rPr>
          <w:rFonts w:ascii="Book Antiqua" w:hAnsi="Book Antiqua"/>
          <w:color w:val="000000"/>
          <w:vertAlign w:val="superscript"/>
        </w:rPr>
        <w:t>[1-3]</w:t>
      </w:r>
      <w:r w:rsidR="00795176" w:rsidRPr="00CD3D64">
        <w:rPr>
          <w:rFonts w:ascii="Book Antiqua" w:hAnsi="Book Antiqua"/>
          <w:color w:val="000000"/>
        </w:rPr>
        <w:t>.</w:t>
      </w:r>
      <w:r w:rsidR="006039C5" w:rsidRPr="00CD3D64">
        <w:rPr>
          <w:rFonts w:ascii="Book Antiqua" w:hAnsi="Book Antiqua"/>
          <w:color w:val="000000"/>
        </w:rPr>
        <w:t xml:space="preserve"> </w:t>
      </w:r>
      <w:r w:rsidR="00543328" w:rsidRPr="00CD3D64">
        <w:rPr>
          <w:rFonts w:ascii="Book Antiqua" w:hAnsi="Book Antiqua"/>
          <w:color w:val="000000"/>
        </w:rPr>
        <w:t xml:space="preserve">Those </w:t>
      </w:r>
      <w:r w:rsidR="008F3A80" w:rsidRPr="00CD3D64">
        <w:rPr>
          <w:rFonts w:ascii="Book Antiqua" w:hAnsi="Book Antiqua"/>
          <w:color w:val="000000"/>
        </w:rPr>
        <w:t xml:space="preserve">clinical </w:t>
      </w:r>
      <w:r w:rsidR="00AA791B" w:rsidRPr="00CD3D64">
        <w:rPr>
          <w:rFonts w:ascii="Book Antiqua" w:hAnsi="Book Antiqua"/>
          <w:color w:val="000000"/>
        </w:rPr>
        <w:t>trials demonstrated</w:t>
      </w:r>
      <w:r w:rsidR="008F3A80" w:rsidRPr="00CD3D64">
        <w:rPr>
          <w:rFonts w:ascii="Book Antiqua" w:hAnsi="Book Antiqua"/>
          <w:color w:val="000000"/>
        </w:rPr>
        <w:t xml:space="preserve"> </w:t>
      </w:r>
      <w:r w:rsidR="006039C5" w:rsidRPr="00CD3D64">
        <w:rPr>
          <w:rFonts w:ascii="Book Antiqua" w:hAnsi="Book Antiqua"/>
          <w:color w:val="000000"/>
        </w:rPr>
        <w:t>high</w:t>
      </w:r>
      <w:r w:rsidR="008F3A80" w:rsidRPr="00CD3D64">
        <w:rPr>
          <w:rFonts w:ascii="Book Antiqua" w:hAnsi="Book Antiqua"/>
          <w:color w:val="000000"/>
        </w:rPr>
        <w:t>er</w:t>
      </w:r>
      <w:r w:rsidR="006039C5" w:rsidRPr="00CD3D64">
        <w:rPr>
          <w:rFonts w:ascii="Book Antiqua" w:hAnsi="Book Antiqua"/>
          <w:color w:val="000000"/>
        </w:rPr>
        <w:t xml:space="preserve"> </w:t>
      </w:r>
      <w:r w:rsidR="008168A7" w:rsidRPr="00CD3D64">
        <w:rPr>
          <w:rFonts w:ascii="Book Antiqua" w:hAnsi="Book Antiqua"/>
          <w:color w:val="000000"/>
        </w:rPr>
        <w:t>viral eradication</w:t>
      </w:r>
      <w:r w:rsidR="006039C5" w:rsidRPr="00CD3D64">
        <w:rPr>
          <w:rFonts w:ascii="Book Antiqua" w:hAnsi="Book Antiqua"/>
          <w:color w:val="000000"/>
        </w:rPr>
        <w:t xml:space="preserve"> </w:t>
      </w:r>
      <w:r w:rsidR="00543328" w:rsidRPr="00CD3D64">
        <w:rPr>
          <w:rFonts w:ascii="Book Antiqua" w:hAnsi="Book Antiqua"/>
          <w:color w:val="000000"/>
        </w:rPr>
        <w:t xml:space="preserve">rates </w:t>
      </w:r>
      <w:r w:rsidR="006039C5" w:rsidRPr="00CD3D64">
        <w:rPr>
          <w:rFonts w:ascii="Book Antiqua" w:hAnsi="Book Antiqua"/>
          <w:color w:val="000000"/>
        </w:rPr>
        <w:t>and low</w:t>
      </w:r>
      <w:r w:rsidR="008F3A80" w:rsidRPr="00CD3D64">
        <w:rPr>
          <w:rFonts w:ascii="Book Antiqua" w:hAnsi="Book Antiqua"/>
          <w:color w:val="000000"/>
        </w:rPr>
        <w:t>er</w:t>
      </w:r>
      <w:r w:rsidR="006039C5" w:rsidRPr="00CD3D64">
        <w:rPr>
          <w:rFonts w:ascii="Book Antiqua" w:hAnsi="Book Antiqua"/>
          <w:color w:val="000000"/>
        </w:rPr>
        <w:t xml:space="preserve"> </w:t>
      </w:r>
      <w:r w:rsidR="002B1FE5" w:rsidRPr="00CD3D64">
        <w:rPr>
          <w:rFonts w:ascii="Book Antiqua" w:hAnsi="Book Antiqua"/>
          <w:color w:val="000000"/>
        </w:rPr>
        <w:t xml:space="preserve">discontinuation </w:t>
      </w:r>
      <w:r w:rsidR="008168A7" w:rsidRPr="00CD3D64">
        <w:rPr>
          <w:rFonts w:ascii="Book Antiqua" w:hAnsi="Book Antiqua"/>
          <w:color w:val="000000"/>
        </w:rPr>
        <w:t xml:space="preserve">rates </w:t>
      </w:r>
      <w:r w:rsidR="008F3A80" w:rsidRPr="00CD3D64">
        <w:rPr>
          <w:rFonts w:ascii="Book Antiqua" w:hAnsi="Book Antiqua"/>
          <w:color w:val="000000"/>
        </w:rPr>
        <w:t xml:space="preserve">than </w:t>
      </w:r>
      <w:r w:rsidR="00543328" w:rsidRPr="00CD3D64">
        <w:rPr>
          <w:rFonts w:ascii="Book Antiqua" w:hAnsi="Book Antiqua"/>
          <w:color w:val="000000"/>
        </w:rPr>
        <w:t>IFN</w:t>
      </w:r>
      <w:r w:rsidR="009A0645" w:rsidRPr="00CD3D64">
        <w:rPr>
          <w:rFonts w:ascii="Book Antiqua" w:hAnsi="Book Antiqua"/>
          <w:color w:val="000000"/>
        </w:rPr>
        <w:t>-</w:t>
      </w:r>
      <w:r w:rsidR="008F3A80" w:rsidRPr="00CD3D64">
        <w:rPr>
          <w:rFonts w:ascii="Book Antiqua" w:hAnsi="Book Antiqua"/>
          <w:color w:val="000000"/>
        </w:rPr>
        <w:t>based t</w:t>
      </w:r>
      <w:r w:rsidR="009A0645" w:rsidRPr="00CD3D64">
        <w:rPr>
          <w:rFonts w:ascii="Book Antiqua" w:hAnsi="Book Antiqua"/>
          <w:color w:val="000000"/>
        </w:rPr>
        <w:t>herapies</w:t>
      </w:r>
      <w:r w:rsidR="008F3A80" w:rsidRPr="00CD3D64">
        <w:rPr>
          <w:rFonts w:ascii="Book Antiqua" w:hAnsi="Book Antiqua"/>
          <w:color w:val="000000"/>
        </w:rPr>
        <w:t xml:space="preserve">, and treatment-related health-related quality of life impairment during </w:t>
      </w:r>
      <w:r w:rsidR="00C61F66" w:rsidRPr="00CD3D64">
        <w:rPr>
          <w:rFonts w:ascii="Book Antiqua" w:hAnsi="Book Antiqua"/>
          <w:color w:val="000000"/>
        </w:rPr>
        <w:t xml:space="preserve">treatment </w:t>
      </w:r>
      <w:r w:rsidR="008F3A80" w:rsidRPr="00CD3D64">
        <w:rPr>
          <w:rFonts w:ascii="Book Antiqua" w:hAnsi="Book Antiqua"/>
          <w:color w:val="000000"/>
        </w:rPr>
        <w:t xml:space="preserve">was </w:t>
      </w:r>
      <w:r w:rsidR="00543328" w:rsidRPr="00CD3D64">
        <w:rPr>
          <w:rFonts w:ascii="Book Antiqua" w:hAnsi="Book Antiqua"/>
          <w:color w:val="000000"/>
        </w:rPr>
        <w:t xml:space="preserve">reportedly </w:t>
      </w:r>
      <w:r w:rsidR="008F3A80" w:rsidRPr="00CD3D64">
        <w:rPr>
          <w:rFonts w:ascii="Book Antiqua" w:hAnsi="Book Antiqua"/>
          <w:color w:val="000000"/>
        </w:rPr>
        <w:t>mild</w:t>
      </w:r>
      <w:r w:rsidR="009A0645" w:rsidRPr="00CD3D64">
        <w:rPr>
          <w:rFonts w:ascii="Book Antiqua" w:hAnsi="Book Antiqua"/>
          <w:color w:val="000000"/>
        </w:rPr>
        <w:t xml:space="preserve"> in these clinical </w:t>
      </w:r>
      <w:proofErr w:type="gramStart"/>
      <w:r w:rsidR="009A0645" w:rsidRPr="00CD3D64">
        <w:rPr>
          <w:rFonts w:ascii="Book Antiqua" w:hAnsi="Book Antiqua"/>
          <w:color w:val="000000"/>
        </w:rPr>
        <w:t>trials</w:t>
      </w:r>
      <w:r w:rsidR="00687F30" w:rsidRPr="00CD3D64">
        <w:rPr>
          <w:rFonts w:ascii="Book Antiqua" w:hAnsi="Book Antiqua"/>
          <w:color w:val="000000"/>
          <w:vertAlign w:val="superscript"/>
        </w:rPr>
        <w:t>[</w:t>
      </w:r>
      <w:proofErr w:type="gramEnd"/>
      <w:r w:rsidR="00687F30" w:rsidRPr="00CD3D64">
        <w:rPr>
          <w:rFonts w:ascii="Book Antiqua" w:hAnsi="Book Antiqua"/>
          <w:color w:val="000000"/>
          <w:vertAlign w:val="superscript"/>
        </w:rPr>
        <w:t>4]</w:t>
      </w:r>
      <w:r w:rsidR="008F3A80" w:rsidRPr="00CD3D64">
        <w:rPr>
          <w:rFonts w:ascii="Book Antiqua" w:hAnsi="Book Antiqua"/>
          <w:color w:val="000000"/>
        </w:rPr>
        <w:t xml:space="preserve">. </w:t>
      </w:r>
      <w:r w:rsidR="002B1FE5" w:rsidRPr="00CD3D64">
        <w:rPr>
          <w:rFonts w:ascii="Book Antiqua" w:hAnsi="Book Antiqua"/>
          <w:color w:val="000000"/>
        </w:rPr>
        <w:t xml:space="preserve">However, </w:t>
      </w:r>
      <w:proofErr w:type="gramStart"/>
      <w:r w:rsidR="00590F51" w:rsidRPr="00CD3D64">
        <w:rPr>
          <w:rFonts w:ascii="Book Antiqua" w:hAnsi="Book Antiqua"/>
          <w:color w:val="000000"/>
        </w:rPr>
        <w:t>patients</w:t>
      </w:r>
      <w:proofErr w:type="gramEnd"/>
      <w:r w:rsidR="00590F51" w:rsidRPr="00CD3D64">
        <w:rPr>
          <w:rFonts w:ascii="Book Antiqua" w:hAnsi="Book Antiqua"/>
          <w:color w:val="000000"/>
        </w:rPr>
        <w:t xml:space="preserve"> </w:t>
      </w:r>
      <w:r w:rsidR="006904A5" w:rsidRPr="00CD3D64">
        <w:rPr>
          <w:rFonts w:ascii="Book Antiqua" w:hAnsi="Book Antiqua"/>
          <w:color w:val="000000"/>
        </w:rPr>
        <w:sym w:font="Symbol" w:char="F0B3"/>
      </w:r>
      <w:r w:rsidR="00204F2E" w:rsidRPr="00CD3D64">
        <w:rPr>
          <w:rFonts w:ascii="Book Antiqua" w:hAnsi="Book Antiqua"/>
          <w:color w:val="000000"/>
        </w:rPr>
        <w:t xml:space="preserve"> </w:t>
      </w:r>
      <w:r w:rsidR="00590F51" w:rsidRPr="00CD3D64">
        <w:rPr>
          <w:rFonts w:ascii="Book Antiqua" w:hAnsi="Book Antiqua"/>
          <w:color w:val="000000"/>
        </w:rPr>
        <w:t>75</w:t>
      </w:r>
      <w:r w:rsidR="00D242AF">
        <w:rPr>
          <w:rFonts w:ascii="Book Antiqua" w:hAnsi="Book Antiqua"/>
          <w:color w:val="000000"/>
        </w:rPr>
        <w:t>-years-old</w:t>
      </w:r>
      <w:r w:rsidR="00590F51" w:rsidRPr="00CD3D64">
        <w:rPr>
          <w:rFonts w:ascii="Book Antiqua" w:hAnsi="Book Antiqua"/>
          <w:color w:val="000000"/>
        </w:rPr>
        <w:t xml:space="preserve"> were not included in </w:t>
      </w:r>
      <w:r w:rsidR="00543328" w:rsidRPr="00CD3D64">
        <w:rPr>
          <w:rFonts w:ascii="Book Antiqua" w:hAnsi="Book Antiqua"/>
          <w:color w:val="000000"/>
        </w:rPr>
        <w:t xml:space="preserve">the </w:t>
      </w:r>
      <w:proofErr w:type="spellStart"/>
      <w:r w:rsidR="008F3A80" w:rsidRPr="00CD3D64">
        <w:rPr>
          <w:rFonts w:ascii="Book Antiqua" w:hAnsi="Book Antiqua"/>
          <w:color w:val="000000"/>
        </w:rPr>
        <w:t>sofosbuvir</w:t>
      </w:r>
      <w:proofErr w:type="spellEnd"/>
      <w:r w:rsidR="008F3A80" w:rsidRPr="00CD3D64">
        <w:rPr>
          <w:rFonts w:ascii="Book Antiqua" w:hAnsi="Book Antiqua"/>
          <w:color w:val="000000"/>
        </w:rPr>
        <w:t xml:space="preserve"> </w:t>
      </w:r>
      <w:r w:rsidR="00C61F66" w:rsidRPr="00CD3D64">
        <w:rPr>
          <w:rFonts w:ascii="Book Antiqua" w:hAnsi="Book Antiqua"/>
          <w:color w:val="000000"/>
        </w:rPr>
        <w:t>plus</w:t>
      </w:r>
      <w:r w:rsidR="008F3A80" w:rsidRPr="00CD3D64">
        <w:rPr>
          <w:rFonts w:ascii="Book Antiqua" w:hAnsi="Book Antiqua"/>
          <w:color w:val="000000"/>
        </w:rPr>
        <w:t xml:space="preserve"> ribavirin regimen of </w:t>
      </w:r>
      <w:r w:rsidR="00543328" w:rsidRPr="00CD3D64">
        <w:rPr>
          <w:rFonts w:ascii="Book Antiqua" w:hAnsi="Book Antiqua"/>
          <w:color w:val="000000"/>
        </w:rPr>
        <w:t xml:space="preserve">those </w:t>
      </w:r>
      <w:r w:rsidR="008F3A80" w:rsidRPr="00CD3D64">
        <w:rPr>
          <w:rFonts w:ascii="Book Antiqua" w:hAnsi="Book Antiqua"/>
          <w:color w:val="000000"/>
        </w:rPr>
        <w:t xml:space="preserve">clinical </w:t>
      </w:r>
      <w:r w:rsidR="00590F51" w:rsidRPr="00CD3D64">
        <w:rPr>
          <w:rFonts w:ascii="Book Antiqua" w:hAnsi="Book Antiqua"/>
          <w:color w:val="000000"/>
        </w:rPr>
        <w:t xml:space="preserve">trials. </w:t>
      </w:r>
      <w:r w:rsidR="00163D48" w:rsidRPr="00CD3D64">
        <w:rPr>
          <w:rFonts w:ascii="Book Antiqua" w:hAnsi="Book Antiqua"/>
          <w:color w:val="000000"/>
        </w:rPr>
        <w:t xml:space="preserve">In May 2015, clinical use of combination therapy </w:t>
      </w:r>
      <w:r w:rsidR="00543328" w:rsidRPr="00CD3D64">
        <w:rPr>
          <w:rFonts w:ascii="Book Antiqua" w:hAnsi="Book Antiqua"/>
          <w:color w:val="000000"/>
        </w:rPr>
        <w:t xml:space="preserve">comprising </w:t>
      </w:r>
      <w:proofErr w:type="spellStart"/>
      <w:r w:rsidR="00163D48" w:rsidRPr="00CD3D64">
        <w:rPr>
          <w:rFonts w:ascii="Book Antiqua" w:hAnsi="Book Antiqua"/>
          <w:color w:val="000000"/>
        </w:rPr>
        <w:t>sofosbuvir</w:t>
      </w:r>
      <w:proofErr w:type="spellEnd"/>
      <w:r w:rsidR="00163D48" w:rsidRPr="00CD3D64">
        <w:rPr>
          <w:rFonts w:ascii="Book Antiqua" w:hAnsi="Book Antiqua"/>
          <w:color w:val="000000"/>
        </w:rPr>
        <w:t xml:space="preserve"> and ribavirin was approved </w:t>
      </w:r>
      <w:r w:rsidR="00380081" w:rsidRPr="00CD3D64">
        <w:rPr>
          <w:rFonts w:ascii="Book Antiqua" w:hAnsi="Book Antiqua"/>
          <w:color w:val="000000"/>
        </w:rPr>
        <w:t xml:space="preserve">as the first </w:t>
      </w:r>
      <w:r w:rsidR="00543328" w:rsidRPr="00CD3D64">
        <w:rPr>
          <w:rFonts w:ascii="Book Antiqua" w:hAnsi="Book Antiqua"/>
          <w:color w:val="000000"/>
        </w:rPr>
        <w:t>IFN</w:t>
      </w:r>
      <w:r w:rsidR="00380081" w:rsidRPr="00CD3D64">
        <w:rPr>
          <w:rFonts w:ascii="Book Antiqua" w:hAnsi="Book Antiqua"/>
          <w:color w:val="000000"/>
        </w:rPr>
        <w:t>-free therapy</w:t>
      </w:r>
      <w:r w:rsidR="00163D48" w:rsidRPr="00CD3D64">
        <w:rPr>
          <w:rFonts w:ascii="Book Antiqua" w:hAnsi="Book Antiqua"/>
          <w:color w:val="000000"/>
        </w:rPr>
        <w:t xml:space="preserve"> for patients infected with genotype 2</w:t>
      </w:r>
      <w:r w:rsidR="000F2220" w:rsidRPr="00CD3D64">
        <w:rPr>
          <w:rFonts w:ascii="Book Antiqua" w:hAnsi="Book Antiqua"/>
          <w:color w:val="000000"/>
        </w:rPr>
        <w:t xml:space="preserve"> </w:t>
      </w:r>
      <w:r w:rsidR="000A6CB5" w:rsidRPr="00CD3D64">
        <w:rPr>
          <w:rFonts w:ascii="Book Antiqua" w:hAnsi="Book Antiqua"/>
          <w:color w:val="000000"/>
        </w:rPr>
        <w:t>HCV</w:t>
      </w:r>
      <w:r w:rsidR="00163D48" w:rsidRPr="00CD3D64">
        <w:rPr>
          <w:rFonts w:ascii="Book Antiqua" w:hAnsi="Book Antiqua"/>
          <w:color w:val="000000"/>
        </w:rPr>
        <w:t xml:space="preserve"> </w:t>
      </w:r>
      <w:r w:rsidR="00380081" w:rsidRPr="00CD3D64">
        <w:rPr>
          <w:rFonts w:ascii="Book Antiqua" w:hAnsi="Book Antiqua"/>
          <w:color w:val="000000"/>
        </w:rPr>
        <w:t xml:space="preserve">in </w:t>
      </w:r>
      <w:proofErr w:type="gramStart"/>
      <w:r w:rsidR="00380081" w:rsidRPr="00CD3D64">
        <w:rPr>
          <w:rFonts w:ascii="Book Antiqua" w:hAnsi="Book Antiqua"/>
          <w:color w:val="000000"/>
        </w:rPr>
        <w:t>Japan</w:t>
      </w:r>
      <w:r w:rsidR="00687F30" w:rsidRPr="00CD3D64">
        <w:rPr>
          <w:rFonts w:ascii="Book Antiqua" w:hAnsi="Book Antiqua"/>
          <w:color w:val="000000"/>
          <w:vertAlign w:val="superscript"/>
        </w:rPr>
        <w:t>[</w:t>
      </w:r>
      <w:proofErr w:type="gramEnd"/>
      <w:r w:rsidR="00687F30" w:rsidRPr="00CD3D64">
        <w:rPr>
          <w:rFonts w:ascii="Book Antiqua" w:hAnsi="Book Antiqua"/>
          <w:color w:val="000000"/>
          <w:vertAlign w:val="superscript"/>
        </w:rPr>
        <w:t>5]</w:t>
      </w:r>
      <w:r w:rsidR="000B666C" w:rsidRPr="00CD3D64">
        <w:rPr>
          <w:rFonts w:ascii="Book Antiqua" w:hAnsi="Book Antiqua"/>
          <w:color w:val="000000"/>
        </w:rPr>
        <w:t>.</w:t>
      </w:r>
      <w:r w:rsidR="005B415E" w:rsidRPr="00CD3D64">
        <w:rPr>
          <w:rFonts w:ascii="Book Antiqua" w:hAnsi="Book Antiqua"/>
          <w:color w:val="000000"/>
        </w:rPr>
        <w:t xml:space="preserve"> </w:t>
      </w:r>
      <w:r w:rsidR="00163D48" w:rsidRPr="00CD3D64">
        <w:rPr>
          <w:rFonts w:ascii="Book Antiqua" w:hAnsi="Book Antiqua"/>
          <w:color w:val="000000"/>
        </w:rPr>
        <w:t>This therapy was wel</w:t>
      </w:r>
      <w:r w:rsidR="002E6515" w:rsidRPr="00CD3D64">
        <w:rPr>
          <w:rFonts w:ascii="Book Antiqua" w:hAnsi="Book Antiqua"/>
          <w:color w:val="000000"/>
        </w:rPr>
        <w:t xml:space="preserve">l tolerated and achieved a </w:t>
      </w:r>
      <w:proofErr w:type="gramStart"/>
      <w:r w:rsidR="002E6515" w:rsidRPr="00CD3D64">
        <w:rPr>
          <w:rFonts w:ascii="Book Antiqua" w:hAnsi="Book Antiqua"/>
          <w:color w:val="000000"/>
        </w:rPr>
        <w:t>high sustained</w:t>
      </w:r>
      <w:proofErr w:type="gramEnd"/>
      <w:r w:rsidR="002E6515" w:rsidRPr="00CD3D64">
        <w:rPr>
          <w:rFonts w:ascii="Book Antiqua" w:hAnsi="Book Antiqua"/>
          <w:color w:val="000000"/>
        </w:rPr>
        <w:t xml:space="preserve"> </w:t>
      </w:r>
      <w:proofErr w:type="spellStart"/>
      <w:r w:rsidR="00190DBA" w:rsidRPr="00CD3D64">
        <w:rPr>
          <w:rFonts w:ascii="Book Antiqua" w:hAnsi="Book Antiqua"/>
          <w:color w:val="000000"/>
        </w:rPr>
        <w:t>virological</w:t>
      </w:r>
      <w:proofErr w:type="spellEnd"/>
      <w:r w:rsidR="00190DBA" w:rsidRPr="00CD3D64">
        <w:rPr>
          <w:rFonts w:ascii="Book Antiqua" w:hAnsi="Book Antiqua"/>
          <w:color w:val="000000"/>
        </w:rPr>
        <w:t xml:space="preserve"> response (SVR)</w:t>
      </w:r>
      <w:r w:rsidR="00163D48" w:rsidRPr="00CD3D64">
        <w:rPr>
          <w:rFonts w:ascii="Book Antiqua" w:hAnsi="Book Antiqua"/>
          <w:color w:val="000000"/>
        </w:rPr>
        <w:t xml:space="preserve"> rate </w:t>
      </w:r>
      <w:r w:rsidR="00543328" w:rsidRPr="00CD3D64">
        <w:rPr>
          <w:rFonts w:ascii="Book Antiqua" w:hAnsi="Book Antiqua"/>
          <w:color w:val="000000"/>
        </w:rPr>
        <w:t xml:space="preserve">of </w:t>
      </w:r>
      <w:r w:rsidR="00163D48" w:rsidRPr="00CD3D64">
        <w:rPr>
          <w:rFonts w:ascii="Book Antiqua" w:hAnsi="Book Antiqua"/>
          <w:color w:val="000000"/>
        </w:rPr>
        <w:t xml:space="preserve">96% in a Japanese Phase III trial. However, </w:t>
      </w:r>
      <w:proofErr w:type="gramStart"/>
      <w:r w:rsidR="00163D48" w:rsidRPr="00CD3D64">
        <w:rPr>
          <w:rFonts w:ascii="Book Antiqua" w:hAnsi="Book Antiqua"/>
          <w:color w:val="000000"/>
        </w:rPr>
        <w:t>patients</w:t>
      </w:r>
      <w:proofErr w:type="gramEnd"/>
      <w:r w:rsidR="00163D48" w:rsidRPr="00CD3D64">
        <w:rPr>
          <w:rFonts w:ascii="Book Antiqua" w:hAnsi="Book Antiqua"/>
          <w:color w:val="000000"/>
        </w:rPr>
        <w:t xml:space="preserve"> </w:t>
      </w:r>
      <w:r w:rsidR="006904A5" w:rsidRPr="00CD3D64">
        <w:rPr>
          <w:rFonts w:ascii="Book Antiqua" w:hAnsi="Book Antiqua"/>
          <w:color w:val="000000"/>
        </w:rPr>
        <w:sym w:font="Symbol" w:char="F0B3"/>
      </w:r>
      <w:r w:rsidR="00204F2E" w:rsidRPr="00CD3D64">
        <w:rPr>
          <w:rFonts w:ascii="Book Antiqua" w:hAnsi="Book Antiqua"/>
          <w:color w:val="000000"/>
        </w:rPr>
        <w:t xml:space="preserve"> </w:t>
      </w:r>
      <w:r w:rsidR="00163D48" w:rsidRPr="00CD3D64">
        <w:rPr>
          <w:rFonts w:ascii="Book Antiqua" w:hAnsi="Book Antiqua"/>
          <w:color w:val="000000"/>
        </w:rPr>
        <w:t>75</w:t>
      </w:r>
      <w:r w:rsidR="00D242AF">
        <w:rPr>
          <w:rFonts w:ascii="Book Antiqua" w:hAnsi="Book Antiqua"/>
          <w:color w:val="000000"/>
        </w:rPr>
        <w:t>-years-old</w:t>
      </w:r>
      <w:r w:rsidR="00163D48" w:rsidRPr="00CD3D64">
        <w:rPr>
          <w:rFonts w:ascii="Book Antiqua" w:hAnsi="Book Antiqua"/>
          <w:color w:val="000000"/>
        </w:rPr>
        <w:t xml:space="preserve"> were</w:t>
      </w:r>
      <w:r w:rsidR="003A2F1C" w:rsidRPr="00CD3D64">
        <w:rPr>
          <w:rFonts w:ascii="Book Antiqua" w:hAnsi="Book Antiqua"/>
          <w:color w:val="000000"/>
        </w:rPr>
        <w:t xml:space="preserve"> </w:t>
      </w:r>
      <w:r w:rsidR="00543328" w:rsidRPr="00CD3D64">
        <w:rPr>
          <w:rFonts w:ascii="Book Antiqua" w:hAnsi="Book Antiqua"/>
          <w:color w:val="000000"/>
        </w:rPr>
        <w:t xml:space="preserve">again </w:t>
      </w:r>
      <w:r w:rsidR="003A2F1C" w:rsidRPr="00CD3D64">
        <w:rPr>
          <w:rFonts w:ascii="Book Antiqua" w:hAnsi="Book Antiqua"/>
          <w:color w:val="000000"/>
        </w:rPr>
        <w:t>not</w:t>
      </w:r>
      <w:r w:rsidR="00163D48" w:rsidRPr="00CD3D64">
        <w:rPr>
          <w:rFonts w:ascii="Book Antiqua" w:hAnsi="Book Antiqua"/>
          <w:color w:val="000000"/>
        </w:rPr>
        <w:t xml:space="preserve"> </w:t>
      </w:r>
      <w:r w:rsidR="003A2F1C" w:rsidRPr="00CD3D64">
        <w:rPr>
          <w:rFonts w:ascii="Book Antiqua" w:hAnsi="Book Antiqua"/>
          <w:color w:val="000000"/>
        </w:rPr>
        <w:t>in</w:t>
      </w:r>
      <w:r w:rsidR="00163D48" w:rsidRPr="00CD3D64">
        <w:rPr>
          <w:rFonts w:ascii="Book Antiqua" w:hAnsi="Book Antiqua"/>
          <w:color w:val="000000"/>
        </w:rPr>
        <w:t xml:space="preserve">cluded </w:t>
      </w:r>
      <w:r w:rsidR="00590F51" w:rsidRPr="00CD3D64">
        <w:rPr>
          <w:rFonts w:ascii="Book Antiqua" w:hAnsi="Book Antiqua"/>
          <w:color w:val="000000"/>
        </w:rPr>
        <w:t>in</w:t>
      </w:r>
      <w:r w:rsidR="006E70D7" w:rsidRPr="00CD3D64">
        <w:rPr>
          <w:rFonts w:ascii="Book Antiqua" w:hAnsi="Book Antiqua"/>
          <w:color w:val="000000"/>
        </w:rPr>
        <w:t xml:space="preserve"> that </w:t>
      </w:r>
      <w:r w:rsidR="00163D48" w:rsidRPr="00CD3D64">
        <w:rPr>
          <w:rFonts w:ascii="Book Antiqua" w:hAnsi="Book Antiqua"/>
          <w:color w:val="000000"/>
        </w:rPr>
        <w:t xml:space="preserve">trial. </w:t>
      </w:r>
      <w:r w:rsidR="00A05644" w:rsidRPr="00CD3D64">
        <w:rPr>
          <w:rFonts w:ascii="Book Antiqua" w:hAnsi="Book Antiqua"/>
          <w:color w:val="000000"/>
        </w:rPr>
        <w:t xml:space="preserve">The safety and effectiveness of </w:t>
      </w:r>
      <w:proofErr w:type="spellStart"/>
      <w:r w:rsidR="00A05644" w:rsidRPr="00CD3D64">
        <w:rPr>
          <w:rFonts w:ascii="Book Antiqua" w:hAnsi="Book Antiqua"/>
          <w:color w:val="000000"/>
        </w:rPr>
        <w:t>sofosbuvir</w:t>
      </w:r>
      <w:proofErr w:type="spellEnd"/>
      <w:r w:rsidR="00A05644" w:rsidRPr="00CD3D64">
        <w:rPr>
          <w:rFonts w:ascii="Book Antiqua" w:hAnsi="Book Antiqua"/>
          <w:color w:val="000000"/>
        </w:rPr>
        <w:t xml:space="preserve"> plus ribavirin for elderly </w:t>
      </w:r>
      <w:proofErr w:type="gramStart"/>
      <w:r w:rsidR="00A05644" w:rsidRPr="00CD3D64">
        <w:rPr>
          <w:rFonts w:ascii="Book Antiqua" w:hAnsi="Book Antiqua"/>
          <w:color w:val="000000"/>
        </w:rPr>
        <w:t>patients</w:t>
      </w:r>
      <w:proofErr w:type="gramEnd"/>
      <w:r w:rsidR="00A05644" w:rsidRPr="00CD3D64">
        <w:rPr>
          <w:rFonts w:ascii="Book Antiqua" w:hAnsi="Book Antiqua"/>
          <w:color w:val="000000"/>
        </w:rPr>
        <w:t xml:space="preserve"> </w:t>
      </w:r>
      <w:r w:rsidR="006904A5" w:rsidRPr="00CD3D64">
        <w:rPr>
          <w:rFonts w:ascii="Book Antiqua" w:hAnsi="Book Antiqua"/>
          <w:color w:val="000000"/>
        </w:rPr>
        <w:sym w:font="Symbol" w:char="F0B3"/>
      </w:r>
      <w:r w:rsidR="00204F2E" w:rsidRPr="00CD3D64">
        <w:rPr>
          <w:rFonts w:ascii="Book Antiqua" w:hAnsi="Book Antiqua"/>
          <w:color w:val="000000"/>
        </w:rPr>
        <w:t xml:space="preserve"> </w:t>
      </w:r>
      <w:r w:rsidR="00A05644" w:rsidRPr="00CD3D64">
        <w:rPr>
          <w:rFonts w:ascii="Book Antiqua" w:hAnsi="Book Antiqua"/>
          <w:color w:val="000000"/>
        </w:rPr>
        <w:t>75</w:t>
      </w:r>
      <w:r w:rsidR="00D242AF">
        <w:rPr>
          <w:rFonts w:ascii="Book Antiqua" w:hAnsi="Book Antiqua"/>
          <w:color w:val="000000"/>
        </w:rPr>
        <w:t>-years-old</w:t>
      </w:r>
      <w:r w:rsidR="00A05644" w:rsidRPr="00CD3D64">
        <w:rPr>
          <w:rFonts w:ascii="Book Antiqua" w:hAnsi="Book Antiqua"/>
          <w:color w:val="000000"/>
        </w:rPr>
        <w:t xml:space="preserve"> </w:t>
      </w:r>
      <w:r w:rsidR="00543328" w:rsidRPr="00CD3D64">
        <w:rPr>
          <w:rFonts w:ascii="Book Antiqua" w:hAnsi="Book Antiqua"/>
          <w:color w:val="000000"/>
        </w:rPr>
        <w:t>has thus remained unclear</w:t>
      </w:r>
      <w:r w:rsidR="00A05644" w:rsidRPr="00CD3D64">
        <w:rPr>
          <w:rFonts w:ascii="Book Antiqua" w:hAnsi="Book Antiqua"/>
          <w:color w:val="000000"/>
        </w:rPr>
        <w:t>.</w:t>
      </w:r>
    </w:p>
    <w:p w:rsidR="00163D48" w:rsidRPr="00CD3D64" w:rsidRDefault="009C138A" w:rsidP="00CD3D64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color w:val="000000"/>
        </w:rPr>
      </w:pPr>
      <w:bookmarkStart w:id="17" w:name="_Hlk45443803"/>
      <w:r w:rsidRPr="00CD3D64">
        <w:rPr>
          <w:rFonts w:ascii="Book Antiqua" w:hAnsi="Book Antiqua"/>
          <w:color w:val="000000"/>
        </w:rPr>
        <w:t>In real</w:t>
      </w:r>
      <w:r w:rsidR="0080683C" w:rsidRPr="00CD3D64">
        <w:rPr>
          <w:rFonts w:ascii="Book Antiqua" w:hAnsi="Book Antiqua"/>
          <w:color w:val="000000"/>
        </w:rPr>
        <w:t>-</w:t>
      </w:r>
      <w:r w:rsidRPr="00CD3D64">
        <w:rPr>
          <w:rFonts w:ascii="Book Antiqua" w:hAnsi="Book Antiqua"/>
          <w:color w:val="000000"/>
        </w:rPr>
        <w:t>world setting</w:t>
      </w:r>
      <w:r w:rsidR="00543328" w:rsidRPr="00CD3D64">
        <w:rPr>
          <w:rFonts w:ascii="Book Antiqua" w:hAnsi="Book Antiqua"/>
          <w:color w:val="000000"/>
        </w:rPr>
        <w:t>s</w:t>
      </w:r>
      <w:r w:rsidRPr="00CD3D64">
        <w:rPr>
          <w:rFonts w:ascii="Book Antiqua" w:hAnsi="Book Antiqua"/>
          <w:color w:val="000000"/>
        </w:rPr>
        <w:t xml:space="preserve">, elderly patients </w:t>
      </w:r>
      <w:r w:rsidR="00AE4ECB" w:rsidRPr="00CD3D64">
        <w:rPr>
          <w:rFonts w:ascii="Book Antiqua" w:hAnsi="Book Antiqua"/>
          <w:color w:val="000000"/>
        </w:rPr>
        <w:sym w:font="Symbol" w:char="F0B3"/>
      </w:r>
      <w:r w:rsidR="00204F2E" w:rsidRPr="00CD3D64">
        <w:rPr>
          <w:rFonts w:ascii="Book Antiqua" w:hAnsi="Book Antiqua"/>
          <w:color w:val="000000"/>
        </w:rPr>
        <w:t xml:space="preserve"> </w:t>
      </w:r>
      <w:r w:rsidRPr="00CD3D64">
        <w:rPr>
          <w:rFonts w:ascii="Book Antiqua" w:hAnsi="Book Antiqua"/>
          <w:color w:val="000000"/>
        </w:rPr>
        <w:t>75</w:t>
      </w:r>
      <w:r w:rsidR="00D242AF">
        <w:rPr>
          <w:rFonts w:ascii="Book Antiqua" w:hAnsi="Book Antiqua"/>
          <w:color w:val="000000"/>
        </w:rPr>
        <w:t>-years-old</w:t>
      </w:r>
      <w:r w:rsidRPr="00CD3D64">
        <w:rPr>
          <w:rFonts w:ascii="Book Antiqua" w:hAnsi="Book Antiqua"/>
          <w:color w:val="000000"/>
        </w:rPr>
        <w:t xml:space="preserve"> </w:t>
      </w:r>
      <w:r w:rsidR="00543328" w:rsidRPr="00CD3D64">
        <w:rPr>
          <w:rFonts w:ascii="Book Antiqua" w:hAnsi="Book Antiqua"/>
          <w:color w:val="000000"/>
        </w:rPr>
        <w:t>represent a substantial and growing population</w:t>
      </w:r>
      <w:r w:rsidRPr="00CD3D64">
        <w:rPr>
          <w:rFonts w:ascii="Book Antiqua" w:hAnsi="Book Antiqua"/>
          <w:color w:val="000000"/>
        </w:rPr>
        <w:t xml:space="preserve"> </w:t>
      </w:r>
      <w:r w:rsidR="0080683C" w:rsidRPr="00CD3D64">
        <w:rPr>
          <w:rFonts w:ascii="Book Antiqua" w:hAnsi="Book Antiqua"/>
          <w:color w:val="000000"/>
        </w:rPr>
        <w:t xml:space="preserve">and </w:t>
      </w:r>
      <w:r w:rsidR="006E70D7" w:rsidRPr="00CD3D64">
        <w:rPr>
          <w:rFonts w:ascii="Book Antiqua" w:hAnsi="Book Antiqua"/>
          <w:color w:val="000000"/>
        </w:rPr>
        <w:t>carry</w:t>
      </w:r>
      <w:r w:rsidR="0080683C" w:rsidRPr="00CD3D64">
        <w:rPr>
          <w:rFonts w:ascii="Book Antiqua" w:hAnsi="Book Antiqua"/>
          <w:color w:val="000000"/>
        </w:rPr>
        <w:t xml:space="preserve"> a high risk of advanced liver disease</w:t>
      </w:r>
      <w:r w:rsidR="00543328" w:rsidRPr="00CD3D64">
        <w:rPr>
          <w:rFonts w:ascii="Book Antiqua" w:hAnsi="Book Antiqua"/>
          <w:color w:val="000000"/>
        </w:rPr>
        <w:t>s</w:t>
      </w:r>
      <w:r w:rsidR="0080683C" w:rsidRPr="00CD3D64">
        <w:rPr>
          <w:rFonts w:ascii="Book Antiqua" w:hAnsi="Book Antiqua"/>
          <w:color w:val="000000"/>
        </w:rPr>
        <w:t xml:space="preserve"> such as cirrhosis </w:t>
      </w:r>
      <w:r w:rsidR="00543328" w:rsidRPr="00CD3D64">
        <w:rPr>
          <w:rFonts w:ascii="Book Antiqua" w:hAnsi="Book Antiqua"/>
          <w:color w:val="000000"/>
        </w:rPr>
        <w:t xml:space="preserve">and </w:t>
      </w:r>
      <w:r w:rsidR="0080683C" w:rsidRPr="00CD3D64">
        <w:rPr>
          <w:rFonts w:ascii="Book Antiqua" w:hAnsi="Book Antiqua"/>
          <w:color w:val="000000"/>
        </w:rPr>
        <w:t>hepatocellular carcinoma</w:t>
      </w:r>
      <w:r w:rsidR="00543328" w:rsidRPr="00CD3D64">
        <w:rPr>
          <w:rFonts w:ascii="Book Antiqua" w:hAnsi="Book Antiqua"/>
          <w:color w:val="000000"/>
        </w:rPr>
        <w:t xml:space="preserve"> (HCC)</w:t>
      </w:r>
      <w:r w:rsidR="0080683C" w:rsidRPr="00CD3D64">
        <w:rPr>
          <w:rFonts w:ascii="Book Antiqua" w:hAnsi="Book Antiqua"/>
          <w:color w:val="000000"/>
        </w:rPr>
        <w:t xml:space="preserve">. </w:t>
      </w:r>
      <w:r w:rsidR="00CE5667" w:rsidRPr="00CD3D64">
        <w:rPr>
          <w:rFonts w:ascii="Book Antiqua" w:hAnsi="Book Antiqua"/>
          <w:color w:val="000000"/>
        </w:rPr>
        <w:t>T</w:t>
      </w:r>
      <w:r w:rsidR="005C580A" w:rsidRPr="00CD3D64">
        <w:rPr>
          <w:rFonts w:ascii="Book Antiqua" w:hAnsi="Book Antiqua"/>
          <w:color w:val="000000"/>
        </w:rPr>
        <w:t>he</w:t>
      </w:r>
      <w:r w:rsidR="006E70D7" w:rsidRPr="00CD3D64">
        <w:rPr>
          <w:rFonts w:ascii="Book Antiqua" w:hAnsi="Book Antiqua"/>
          <w:color w:val="000000"/>
        </w:rPr>
        <w:t>se patients</w:t>
      </w:r>
      <w:r w:rsidR="005C580A" w:rsidRPr="00CD3D64">
        <w:rPr>
          <w:rFonts w:ascii="Book Antiqua" w:hAnsi="Book Antiqua"/>
          <w:color w:val="000000"/>
        </w:rPr>
        <w:t xml:space="preserve"> </w:t>
      </w:r>
      <w:proofErr w:type="gramStart"/>
      <w:r w:rsidR="005C580A" w:rsidRPr="00CD3D64">
        <w:rPr>
          <w:rFonts w:ascii="Book Antiqua" w:hAnsi="Book Antiqua"/>
          <w:color w:val="000000"/>
        </w:rPr>
        <w:t xml:space="preserve">should </w:t>
      </w:r>
      <w:r w:rsidR="006E70D7" w:rsidRPr="00CD3D64">
        <w:rPr>
          <w:rFonts w:ascii="Book Antiqua" w:hAnsi="Book Antiqua"/>
          <w:color w:val="000000"/>
        </w:rPr>
        <w:t xml:space="preserve">be </w:t>
      </w:r>
      <w:r w:rsidR="002E6515" w:rsidRPr="00CD3D64">
        <w:rPr>
          <w:rFonts w:ascii="Book Antiqua" w:hAnsi="Book Antiqua"/>
          <w:color w:val="000000"/>
        </w:rPr>
        <w:t>treate</w:t>
      </w:r>
      <w:r w:rsidR="00E52BF8" w:rsidRPr="00CD3D64">
        <w:rPr>
          <w:rFonts w:ascii="Book Antiqua" w:hAnsi="Book Antiqua"/>
          <w:color w:val="000000"/>
        </w:rPr>
        <w:t>d</w:t>
      </w:r>
      <w:proofErr w:type="gramEnd"/>
      <w:r w:rsidR="005C580A" w:rsidRPr="00CD3D64">
        <w:rPr>
          <w:rFonts w:ascii="Book Antiqua" w:hAnsi="Book Antiqua"/>
          <w:color w:val="000000"/>
        </w:rPr>
        <w:t xml:space="preserve"> as soon as possible. However, ribavirin has </w:t>
      </w:r>
      <w:r w:rsidR="006272E2" w:rsidRPr="00CD3D64">
        <w:rPr>
          <w:rFonts w:ascii="Book Antiqua" w:hAnsi="Book Antiqua"/>
          <w:color w:val="000000"/>
        </w:rPr>
        <w:t>various</w:t>
      </w:r>
      <w:r w:rsidR="005C580A" w:rsidRPr="00CD3D64">
        <w:rPr>
          <w:rFonts w:ascii="Book Antiqua" w:hAnsi="Book Antiqua"/>
          <w:color w:val="000000"/>
        </w:rPr>
        <w:t xml:space="preserve"> </w:t>
      </w:r>
      <w:r w:rsidR="009A0645" w:rsidRPr="00CD3D64">
        <w:rPr>
          <w:rFonts w:ascii="Book Antiqua" w:hAnsi="Book Antiqua"/>
          <w:color w:val="000000"/>
        </w:rPr>
        <w:t xml:space="preserve">specific </w:t>
      </w:r>
      <w:r w:rsidR="005C580A" w:rsidRPr="00CD3D64">
        <w:rPr>
          <w:rFonts w:ascii="Book Antiqua" w:hAnsi="Book Antiqua"/>
          <w:color w:val="000000"/>
        </w:rPr>
        <w:t>side effect</w:t>
      </w:r>
      <w:r w:rsidR="006272E2" w:rsidRPr="00CD3D64">
        <w:rPr>
          <w:rFonts w:ascii="Book Antiqua" w:hAnsi="Book Antiqua"/>
          <w:color w:val="000000"/>
        </w:rPr>
        <w:t xml:space="preserve">s </w:t>
      </w:r>
      <w:r w:rsidR="00543328" w:rsidRPr="00CD3D64">
        <w:rPr>
          <w:rFonts w:ascii="Book Antiqua" w:hAnsi="Book Antiqua"/>
          <w:color w:val="000000"/>
        </w:rPr>
        <w:t xml:space="preserve">that </w:t>
      </w:r>
      <w:r w:rsidR="006272E2" w:rsidRPr="00CD3D64">
        <w:rPr>
          <w:rFonts w:ascii="Book Antiqua" w:hAnsi="Book Antiqua"/>
          <w:color w:val="000000"/>
        </w:rPr>
        <w:t>affect tolerability</w:t>
      </w:r>
      <w:r w:rsidR="00543328" w:rsidRPr="00CD3D64">
        <w:rPr>
          <w:rFonts w:ascii="Book Antiqua" w:hAnsi="Book Antiqua"/>
          <w:color w:val="000000"/>
        </w:rPr>
        <w:t>,</w:t>
      </w:r>
      <w:r w:rsidR="005C580A" w:rsidRPr="00CD3D64">
        <w:rPr>
          <w:rFonts w:ascii="Book Antiqua" w:hAnsi="Book Antiqua"/>
          <w:color w:val="000000"/>
        </w:rPr>
        <w:t xml:space="preserve"> </w:t>
      </w:r>
      <w:bookmarkEnd w:id="17"/>
      <w:r w:rsidR="006272E2" w:rsidRPr="00CD3D64">
        <w:rPr>
          <w:rFonts w:ascii="Book Antiqua" w:hAnsi="Book Antiqua"/>
          <w:color w:val="000000"/>
        </w:rPr>
        <w:t>such as hemolytic</w:t>
      </w:r>
      <w:r w:rsidR="005C580A" w:rsidRPr="00CD3D64">
        <w:rPr>
          <w:rFonts w:ascii="Book Antiqua" w:hAnsi="Book Antiqua"/>
          <w:color w:val="000000"/>
        </w:rPr>
        <w:t xml:space="preserve"> anemia</w:t>
      </w:r>
      <w:r w:rsidR="006272E2" w:rsidRPr="00CD3D64">
        <w:rPr>
          <w:rFonts w:ascii="Book Antiqua" w:hAnsi="Book Antiqua"/>
          <w:color w:val="000000"/>
        </w:rPr>
        <w:t>, fatigue,</w:t>
      </w:r>
      <w:r w:rsidR="0087770C" w:rsidRPr="00CD3D64">
        <w:rPr>
          <w:rFonts w:ascii="Book Antiqua" w:hAnsi="Book Antiqua"/>
          <w:color w:val="000000"/>
        </w:rPr>
        <w:t xml:space="preserve"> cough, </w:t>
      </w:r>
      <w:r w:rsidR="006272E2" w:rsidRPr="00CD3D64">
        <w:rPr>
          <w:rFonts w:ascii="Book Antiqua" w:hAnsi="Book Antiqua"/>
          <w:color w:val="000000"/>
        </w:rPr>
        <w:t xml:space="preserve">depression, </w:t>
      </w:r>
      <w:r w:rsidR="00543328" w:rsidRPr="00CD3D64">
        <w:rPr>
          <w:rFonts w:ascii="Book Antiqua" w:hAnsi="Book Antiqua"/>
          <w:color w:val="000000"/>
        </w:rPr>
        <w:t xml:space="preserve">and </w:t>
      </w:r>
      <w:r w:rsidR="006272E2" w:rsidRPr="00CD3D64">
        <w:rPr>
          <w:rFonts w:ascii="Book Antiqua" w:hAnsi="Book Antiqua"/>
          <w:color w:val="000000"/>
        </w:rPr>
        <w:t>chest pain</w:t>
      </w:r>
      <w:r w:rsidR="00687F30" w:rsidRPr="00CD3D64">
        <w:rPr>
          <w:rFonts w:ascii="Book Antiqua" w:hAnsi="Book Antiqua"/>
          <w:color w:val="000000"/>
          <w:vertAlign w:val="superscript"/>
        </w:rPr>
        <w:t>[6,7]</w:t>
      </w:r>
      <w:r w:rsidR="00AA15AA" w:rsidRPr="00CD3D64">
        <w:rPr>
          <w:rFonts w:ascii="Book Antiqua" w:hAnsi="Book Antiqua"/>
          <w:color w:val="000000"/>
        </w:rPr>
        <w:t xml:space="preserve">, whereas </w:t>
      </w:r>
      <w:proofErr w:type="spellStart"/>
      <w:r w:rsidR="00AA15AA" w:rsidRPr="00CD3D64">
        <w:rPr>
          <w:rFonts w:ascii="Book Antiqua" w:hAnsi="Book Antiqua"/>
          <w:color w:val="000000"/>
        </w:rPr>
        <w:t>sofosbuvir</w:t>
      </w:r>
      <w:proofErr w:type="spellEnd"/>
      <w:r w:rsidR="00AA15AA" w:rsidRPr="00CD3D64">
        <w:rPr>
          <w:rFonts w:ascii="Book Antiqua" w:hAnsi="Book Antiqua"/>
          <w:color w:val="000000"/>
        </w:rPr>
        <w:t xml:space="preserve"> is tolerable with minimal adverse effects</w:t>
      </w:r>
      <w:r w:rsidR="00687F30" w:rsidRPr="00CD3D64">
        <w:rPr>
          <w:rFonts w:ascii="Book Antiqua" w:hAnsi="Book Antiqua"/>
          <w:color w:val="000000"/>
          <w:vertAlign w:val="superscript"/>
        </w:rPr>
        <w:t>[8]</w:t>
      </w:r>
      <w:r w:rsidR="00670F16" w:rsidRPr="00CD3D64">
        <w:rPr>
          <w:rFonts w:ascii="Book Antiqua" w:hAnsi="Book Antiqua"/>
          <w:color w:val="000000"/>
        </w:rPr>
        <w:t>.</w:t>
      </w:r>
      <w:r w:rsidR="00CE5667" w:rsidRPr="00CD3D64">
        <w:rPr>
          <w:rFonts w:ascii="Book Antiqua" w:hAnsi="Book Antiqua"/>
          <w:color w:val="000000"/>
        </w:rPr>
        <w:t xml:space="preserve"> </w:t>
      </w:r>
      <w:r w:rsidR="00190DBA" w:rsidRPr="00CD3D64">
        <w:rPr>
          <w:rFonts w:ascii="Book Antiqua" w:hAnsi="Book Antiqua"/>
          <w:color w:val="000000"/>
        </w:rPr>
        <w:t xml:space="preserve">In our previous study of low-dose </w:t>
      </w:r>
      <w:proofErr w:type="spellStart"/>
      <w:r w:rsidR="00190DBA" w:rsidRPr="00CD3D64">
        <w:rPr>
          <w:rFonts w:ascii="Book Antiqua" w:hAnsi="Book Antiqua"/>
          <w:color w:val="000000"/>
        </w:rPr>
        <w:t>pegylated</w:t>
      </w:r>
      <w:proofErr w:type="spellEnd"/>
      <w:r w:rsidR="00190DBA" w:rsidRPr="00CD3D64">
        <w:rPr>
          <w:rFonts w:ascii="Book Antiqua" w:hAnsi="Book Antiqua"/>
          <w:color w:val="000000"/>
        </w:rPr>
        <w:t xml:space="preserve"> </w:t>
      </w:r>
      <w:r w:rsidR="009B3D9F" w:rsidRPr="00CD3D64">
        <w:rPr>
          <w:rFonts w:ascii="Book Antiqua" w:hAnsi="Book Antiqua"/>
          <w:color w:val="000000"/>
        </w:rPr>
        <w:t xml:space="preserve">IFN </w:t>
      </w:r>
      <w:r w:rsidR="00190DBA" w:rsidRPr="00CD3D64">
        <w:rPr>
          <w:rFonts w:ascii="Book Antiqua" w:hAnsi="Book Antiqua"/>
          <w:color w:val="000000"/>
        </w:rPr>
        <w:t xml:space="preserve">plus ribavirin therapy for elderly and/or cirrhotic patients infected with HCV genotype 2, drug dose reduction or interruption rates </w:t>
      </w:r>
      <w:r w:rsidR="00543328" w:rsidRPr="00CD3D64">
        <w:rPr>
          <w:rFonts w:ascii="Book Antiqua" w:hAnsi="Book Antiqua"/>
          <w:color w:val="000000"/>
        </w:rPr>
        <w:t xml:space="preserve">among </w:t>
      </w:r>
      <w:r w:rsidR="00190DBA" w:rsidRPr="00CD3D64">
        <w:rPr>
          <w:rFonts w:ascii="Book Antiqua" w:hAnsi="Book Antiqua"/>
          <w:color w:val="000000"/>
        </w:rPr>
        <w:t xml:space="preserve">nonelderly cirrhotic patients, elderly </w:t>
      </w:r>
      <w:proofErr w:type="spellStart"/>
      <w:r w:rsidR="00190DBA" w:rsidRPr="00CD3D64">
        <w:rPr>
          <w:rFonts w:ascii="Book Antiqua" w:hAnsi="Book Antiqua"/>
          <w:color w:val="000000"/>
        </w:rPr>
        <w:t>noncirrhotic</w:t>
      </w:r>
      <w:proofErr w:type="spellEnd"/>
      <w:r w:rsidR="00190DBA" w:rsidRPr="00CD3D64">
        <w:rPr>
          <w:rFonts w:ascii="Book Antiqua" w:hAnsi="Book Antiqua"/>
          <w:color w:val="000000"/>
        </w:rPr>
        <w:t xml:space="preserve"> patients, and elderly cirrhotic patients were </w:t>
      </w:r>
      <w:r w:rsidR="00543328" w:rsidRPr="00CD3D64">
        <w:rPr>
          <w:rFonts w:ascii="Book Antiqua" w:hAnsi="Book Antiqua"/>
          <w:color w:val="000000"/>
        </w:rPr>
        <w:t xml:space="preserve">all relatively </w:t>
      </w:r>
      <w:r w:rsidR="00190DBA" w:rsidRPr="00CD3D64">
        <w:rPr>
          <w:rFonts w:ascii="Book Antiqua" w:hAnsi="Book Antiqua"/>
          <w:color w:val="000000"/>
        </w:rPr>
        <w:t>high (65%, 63%, and 77%, respectively)</w:t>
      </w:r>
      <w:r w:rsidR="00687F30" w:rsidRPr="00CD3D64">
        <w:rPr>
          <w:rFonts w:ascii="Book Antiqua" w:hAnsi="Book Antiqua"/>
          <w:color w:val="000000"/>
          <w:vertAlign w:val="superscript"/>
        </w:rPr>
        <w:t>[9]</w:t>
      </w:r>
      <w:r w:rsidR="00670F16" w:rsidRPr="00CD3D64">
        <w:rPr>
          <w:rFonts w:ascii="Book Antiqua" w:hAnsi="Book Antiqua"/>
          <w:color w:val="000000"/>
        </w:rPr>
        <w:t>.</w:t>
      </w:r>
      <w:r w:rsidR="005C580A" w:rsidRPr="00CD3D64">
        <w:rPr>
          <w:rFonts w:ascii="Book Antiqua" w:hAnsi="Book Antiqua"/>
          <w:color w:val="000000"/>
        </w:rPr>
        <w:t xml:space="preserve"> </w:t>
      </w:r>
      <w:r w:rsidR="006E70D7" w:rsidRPr="00CD3D64">
        <w:rPr>
          <w:rFonts w:ascii="Book Antiqua" w:hAnsi="Book Antiqua"/>
          <w:color w:val="000000"/>
        </w:rPr>
        <w:t>A</w:t>
      </w:r>
      <w:r w:rsidR="005C580A" w:rsidRPr="00CD3D64">
        <w:rPr>
          <w:rFonts w:ascii="Book Antiqua" w:hAnsi="Book Antiqua"/>
          <w:color w:val="000000"/>
        </w:rPr>
        <w:t xml:space="preserve"> high risk of </w:t>
      </w:r>
      <w:r w:rsidR="00CE5667" w:rsidRPr="00CD3D64">
        <w:rPr>
          <w:rFonts w:ascii="Book Antiqua" w:hAnsi="Book Antiqua"/>
          <w:color w:val="000000"/>
        </w:rPr>
        <w:t xml:space="preserve">ribavirin </w:t>
      </w:r>
      <w:r w:rsidR="005C580A" w:rsidRPr="00CD3D64">
        <w:rPr>
          <w:rFonts w:ascii="Book Antiqua" w:hAnsi="Book Antiqua"/>
          <w:color w:val="000000"/>
        </w:rPr>
        <w:t xml:space="preserve">dose reduction or interruption </w:t>
      </w:r>
      <w:r w:rsidR="0087770C" w:rsidRPr="00CD3D64">
        <w:rPr>
          <w:rFonts w:ascii="Book Antiqua" w:hAnsi="Book Antiqua"/>
          <w:color w:val="000000"/>
        </w:rPr>
        <w:t xml:space="preserve">and lower effectiveness </w:t>
      </w:r>
      <w:r w:rsidR="005C580A" w:rsidRPr="00CD3D64">
        <w:rPr>
          <w:rFonts w:ascii="Book Antiqua" w:hAnsi="Book Antiqua"/>
          <w:color w:val="000000"/>
        </w:rPr>
        <w:t>in elderly patients</w:t>
      </w:r>
      <w:r w:rsidR="00296FF2" w:rsidRPr="00CD3D64">
        <w:rPr>
          <w:rFonts w:ascii="Book Antiqua" w:hAnsi="Book Antiqua"/>
          <w:color w:val="000000"/>
        </w:rPr>
        <w:t xml:space="preserve"> </w:t>
      </w:r>
      <w:proofErr w:type="gramStart"/>
      <w:r w:rsidR="00296FF2" w:rsidRPr="00CD3D64">
        <w:rPr>
          <w:rFonts w:ascii="Book Antiqua" w:hAnsi="Book Antiqua"/>
          <w:color w:val="000000"/>
        </w:rPr>
        <w:t xml:space="preserve">can </w:t>
      </w:r>
      <w:r w:rsidR="006E70D7" w:rsidRPr="00CD3D64">
        <w:rPr>
          <w:rFonts w:ascii="Book Antiqua" w:hAnsi="Book Antiqua"/>
          <w:color w:val="000000"/>
        </w:rPr>
        <w:t xml:space="preserve">thus </w:t>
      </w:r>
      <w:r w:rsidR="00296FF2" w:rsidRPr="00CD3D64">
        <w:rPr>
          <w:rFonts w:ascii="Book Antiqua" w:hAnsi="Book Antiqua"/>
          <w:color w:val="000000"/>
        </w:rPr>
        <w:t>be</w:t>
      </w:r>
      <w:r w:rsidR="002E6515" w:rsidRPr="00CD3D64">
        <w:rPr>
          <w:rFonts w:ascii="Book Antiqua" w:hAnsi="Book Antiqua"/>
          <w:color w:val="000000"/>
        </w:rPr>
        <w:t xml:space="preserve"> </w:t>
      </w:r>
      <w:r w:rsidR="00296FF2" w:rsidRPr="00CD3D64">
        <w:rPr>
          <w:rFonts w:ascii="Book Antiqua" w:hAnsi="Book Antiqua"/>
          <w:color w:val="000000"/>
        </w:rPr>
        <w:t>expected</w:t>
      </w:r>
      <w:proofErr w:type="gramEnd"/>
      <w:r w:rsidR="007B101E" w:rsidRPr="00CD3D64">
        <w:rPr>
          <w:rFonts w:ascii="Book Antiqua" w:hAnsi="Book Antiqua"/>
          <w:color w:val="000000"/>
        </w:rPr>
        <w:t xml:space="preserve"> even </w:t>
      </w:r>
      <w:r w:rsidR="00543328" w:rsidRPr="00CD3D64">
        <w:rPr>
          <w:rFonts w:ascii="Book Antiqua" w:hAnsi="Book Antiqua"/>
          <w:color w:val="000000"/>
        </w:rPr>
        <w:t xml:space="preserve">with </w:t>
      </w:r>
      <w:proofErr w:type="spellStart"/>
      <w:r w:rsidR="007B101E" w:rsidRPr="00CD3D64">
        <w:rPr>
          <w:rFonts w:ascii="Book Antiqua" w:hAnsi="Book Antiqua"/>
          <w:color w:val="000000"/>
        </w:rPr>
        <w:t>sofosbuvir</w:t>
      </w:r>
      <w:proofErr w:type="spellEnd"/>
      <w:r w:rsidR="007B101E" w:rsidRPr="00CD3D64">
        <w:rPr>
          <w:rFonts w:ascii="Book Antiqua" w:hAnsi="Book Antiqua"/>
          <w:color w:val="000000"/>
        </w:rPr>
        <w:t xml:space="preserve"> plus ribavirin therapy</w:t>
      </w:r>
      <w:r w:rsidR="005C580A" w:rsidRPr="00CD3D64">
        <w:rPr>
          <w:rFonts w:ascii="Book Antiqua" w:hAnsi="Book Antiqua"/>
          <w:color w:val="000000"/>
        </w:rPr>
        <w:t>.</w:t>
      </w:r>
      <w:bookmarkStart w:id="18" w:name="_Hlk22371494"/>
      <w:r w:rsidR="0069677F" w:rsidRPr="00CD3D64">
        <w:rPr>
          <w:rFonts w:ascii="Book Antiqua" w:hAnsi="Book Antiqua"/>
          <w:color w:val="000000"/>
        </w:rPr>
        <w:t xml:space="preserve"> </w:t>
      </w:r>
      <w:r w:rsidR="006E70D7" w:rsidRPr="00CD3D64">
        <w:rPr>
          <w:rFonts w:ascii="Book Antiqua" w:hAnsi="Book Antiqua"/>
          <w:color w:val="000000"/>
        </w:rPr>
        <w:t>T</w:t>
      </w:r>
      <w:r w:rsidR="000F2220" w:rsidRPr="00CD3D64">
        <w:rPr>
          <w:rFonts w:ascii="Book Antiqua" w:hAnsi="Book Antiqua"/>
          <w:color w:val="000000"/>
        </w:rPr>
        <w:t>o</w:t>
      </w:r>
      <w:r w:rsidR="007054D1" w:rsidRPr="00CD3D64">
        <w:rPr>
          <w:rFonts w:ascii="Book Antiqua" w:hAnsi="Book Antiqua"/>
          <w:color w:val="000000"/>
        </w:rPr>
        <w:t xml:space="preserve"> evaluate the real</w:t>
      </w:r>
      <w:r w:rsidR="002F0A10" w:rsidRPr="00CD3D64">
        <w:rPr>
          <w:rFonts w:ascii="Book Antiqua" w:hAnsi="Book Antiqua"/>
          <w:color w:val="000000"/>
        </w:rPr>
        <w:t>-</w:t>
      </w:r>
      <w:r w:rsidR="007054D1" w:rsidRPr="00CD3D64">
        <w:rPr>
          <w:rFonts w:ascii="Book Antiqua" w:hAnsi="Book Antiqua"/>
          <w:color w:val="000000"/>
        </w:rPr>
        <w:t xml:space="preserve">world safety and efficacy of </w:t>
      </w:r>
      <w:proofErr w:type="spellStart"/>
      <w:r w:rsidR="007054D1" w:rsidRPr="00CD3D64">
        <w:rPr>
          <w:rFonts w:ascii="Book Antiqua" w:hAnsi="Book Antiqua"/>
          <w:color w:val="000000"/>
        </w:rPr>
        <w:t>sofosbuvir</w:t>
      </w:r>
      <w:proofErr w:type="spellEnd"/>
      <w:r w:rsidR="007054D1" w:rsidRPr="00CD3D64">
        <w:rPr>
          <w:rFonts w:ascii="Book Antiqua" w:hAnsi="Book Antiqua"/>
          <w:color w:val="000000"/>
        </w:rPr>
        <w:t xml:space="preserve"> plus ribavirin for elderly patients </w:t>
      </w:r>
      <w:r w:rsidR="00AE4ECB" w:rsidRPr="00CD3D64">
        <w:rPr>
          <w:rFonts w:ascii="Book Antiqua" w:hAnsi="Book Antiqua"/>
          <w:color w:val="000000"/>
        </w:rPr>
        <w:sym w:font="Symbol" w:char="F0B3"/>
      </w:r>
      <w:r w:rsidR="00204F2E" w:rsidRPr="00CD3D64">
        <w:rPr>
          <w:rFonts w:ascii="Book Antiqua" w:hAnsi="Book Antiqua"/>
          <w:color w:val="000000"/>
        </w:rPr>
        <w:t xml:space="preserve"> </w:t>
      </w:r>
      <w:r w:rsidR="007054D1" w:rsidRPr="00CD3D64">
        <w:rPr>
          <w:rFonts w:ascii="Book Antiqua" w:hAnsi="Book Antiqua"/>
          <w:color w:val="000000"/>
        </w:rPr>
        <w:t>75</w:t>
      </w:r>
      <w:r w:rsidR="00D242AF">
        <w:rPr>
          <w:rFonts w:ascii="Book Antiqua" w:hAnsi="Book Antiqua"/>
          <w:color w:val="000000"/>
        </w:rPr>
        <w:t>-years-old</w:t>
      </w:r>
      <w:r w:rsidR="007054D1" w:rsidRPr="00CD3D64">
        <w:rPr>
          <w:rFonts w:ascii="Book Antiqua" w:hAnsi="Book Antiqua"/>
          <w:color w:val="000000"/>
        </w:rPr>
        <w:t xml:space="preserve"> compared to nonelderly patients</w:t>
      </w:r>
      <w:bookmarkEnd w:id="18"/>
      <w:r w:rsidR="007054D1" w:rsidRPr="00CD3D64">
        <w:rPr>
          <w:rFonts w:ascii="Book Antiqua" w:hAnsi="Book Antiqua"/>
          <w:color w:val="000000"/>
        </w:rPr>
        <w:t xml:space="preserve">, </w:t>
      </w:r>
      <w:r w:rsidR="00380081" w:rsidRPr="00CD3D64">
        <w:rPr>
          <w:rFonts w:ascii="Book Antiqua" w:hAnsi="Book Antiqua"/>
          <w:color w:val="000000"/>
        </w:rPr>
        <w:t>we conducted a</w:t>
      </w:r>
      <w:r w:rsidR="000F2220" w:rsidRPr="00CD3D64">
        <w:rPr>
          <w:rFonts w:ascii="Book Antiqua" w:hAnsi="Book Antiqua"/>
          <w:color w:val="000000"/>
        </w:rPr>
        <w:t xml:space="preserve"> </w:t>
      </w:r>
      <w:r w:rsidR="00380081" w:rsidRPr="00CD3D64">
        <w:rPr>
          <w:rFonts w:ascii="Book Antiqua" w:hAnsi="Book Antiqua"/>
          <w:color w:val="000000"/>
        </w:rPr>
        <w:t>post-marketing prospective cohort study.</w:t>
      </w:r>
    </w:p>
    <w:p w:rsidR="00163D48" w:rsidRPr="00CD3D64" w:rsidRDefault="00163D48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</w:p>
    <w:p w:rsidR="00204F2E" w:rsidRPr="00CD3D64" w:rsidRDefault="00204F2E" w:rsidP="00CD3D64">
      <w:pPr>
        <w:adjustRightInd w:val="0"/>
        <w:snapToGrid w:val="0"/>
        <w:spacing w:line="360" w:lineRule="auto"/>
        <w:rPr>
          <w:rFonts w:ascii="Book Antiqua" w:hAnsi="Book Antiqua" w:cs="Arial"/>
          <w:b/>
          <w:color w:val="000000"/>
          <w:u w:val="single"/>
        </w:rPr>
      </w:pPr>
      <w:r w:rsidRPr="00CD3D64">
        <w:rPr>
          <w:rFonts w:ascii="Book Antiqua" w:hAnsi="Book Antiqua" w:cs="Arial"/>
          <w:b/>
          <w:color w:val="000000"/>
          <w:u w:val="single"/>
        </w:rPr>
        <w:t>MATERIALS AND METHODS</w:t>
      </w:r>
    </w:p>
    <w:p w:rsidR="00722770" w:rsidRPr="00CD3D64" w:rsidRDefault="006F40C2" w:rsidP="00CD3D64">
      <w:pPr>
        <w:adjustRightInd w:val="0"/>
        <w:snapToGrid w:val="0"/>
        <w:spacing w:line="360" w:lineRule="auto"/>
        <w:rPr>
          <w:rFonts w:ascii="Book Antiqua" w:hAnsi="Book Antiqua"/>
          <w:b/>
          <w:bCs/>
          <w:i/>
          <w:iCs/>
          <w:color w:val="000000"/>
        </w:rPr>
      </w:pPr>
      <w:r w:rsidRPr="00CD3D64">
        <w:rPr>
          <w:rFonts w:ascii="Book Antiqua" w:hAnsi="Book Antiqua"/>
          <w:b/>
          <w:bCs/>
          <w:i/>
          <w:iCs/>
          <w:color w:val="000000"/>
        </w:rPr>
        <w:t>Patients</w:t>
      </w:r>
    </w:p>
    <w:p w:rsidR="00722770" w:rsidRPr="00CD3D64" w:rsidRDefault="00C94CC4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CD3D64">
        <w:rPr>
          <w:rFonts w:ascii="Book Antiqua" w:hAnsi="Book Antiqua"/>
          <w:color w:val="000000"/>
        </w:rPr>
        <w:t xml:space="preserve">This was a multicenter prospective cohort study. Between June 2015 and June 2017, all patients at Wakayama Medical University Hospital, Naga Municipal Hospital, Hidaka General Hospital, and Wakayama </w:t>
      </w:r>
      <w:proofErr w:type="spellStart"/>
      <w:r w:rsidRPr="00CD3D64">
        <w:rPr>
          <w:rFonts w:ascii="Book Antiqua" w:hAnsi="Book Antiqua"/>
          <w:color w:val="000000"/>
        </w:rPr>
        <w:t>Rosai</w:t>
      </w:r>
      <w:proofErr w:type="spellEnd"/>
      <w:r w:rsidRPr="00CD3D64">
        <w:rPr>
          <w:rFonts w:ascii="Book Antiqua" w:hAnsi="Book Antiqua"/>
          <w:color w:val="000000"/>
        </w:rPr>
        <w:t xml:space="preserve"> Hospital who were eligible </w:t>
      </w:r>
      <w:proofErr w:type="gramStart"/>
      <w:r w:rsidRPr="00CD3D64">
        <w:rPr>
          <w:rFonts w:ascii="Book Antiqua" w:hAnsi="Book Antiqua"/>
          <w:color w:val="000000"/>
        </w:rPr>
        <w:t>were enrolled</w:t>
      </w:r>
      <w:proofErr w:type="gramEnd"/>
      <w:r w:rsidRPr="00CD3D64">
        <w:rPr>
          <w:rFonts w:ascii="Book Antiqua" w:hAnsi="Book Antiqua"/>
          <w:color w:val="000000"/>
        </w:rPr>
        <w:t xml:space="preserve"> in the present study. </w:t>
      </w:r>
      <w:r w:rsidR="00E73DE9" w:rsidRPr="00CD3D64">
        <w:rPr>
          <w:rFonts w:ascii="Book Antiqua" w:hAnsi="Book Antiqua"/>
          <w:color w:val="000000"/>
        </w:rPr>
        <w:t>The inclusion criterion was infect</w:t>
      </w:r>
      <w:r w:rsidR="00543328" w:rsidRPr="00CD3D64">
        <w:rPr>
          <w:rFonts w:ascii="Book Antiqua" w:hAnsi="Book Antiqua"/>
          <w:color w:val="000000"/>
        </w:rPr>
        <w:t>ion</w:t>
      </w:r>
      <w:r w:rsidR="00E73DE9" w:rsidRPr="00CD3D64">
        <w:rPr>
          <w:rFonts w:ascii="Book Antiqua" w:hAnsi="Book Antiqua"/>
          <w:color w:val="000000"/>
        </w:rPr>
        <w:t xml:space="preserve"> with </w:t>
      </w:r>
      <w:r w:rsidR="006970E2" w:rsidRPr="00CD3D64">
        <w:rPr>
          <w:rFonts w:ascii="Book Antiqua" w:hAnsi="Book Antiqua"/>
          <w:color w:val="000000"/>
        </w:rPr>
        <w:t xml:space="preserve">HCV </w:t>
      </w:r>
      <w:r w:rsidR="00E73DE9" w:rsidRPr="00CD3D64">
        <w:rPr>
          <w:rFonts w:ascii="Book Antiqua" w:hAnsi="Book Antiqua"/>
          <w:color w:val="000000"/>
        </w:rPr>
        <w:t xml:space="preserve">genotype 2. </w:t>
      </w:r>
      <w:r w:rsidR="0078225E" w:rsidRPr="00CD3D64">
        <w:rPr>
          <w:rFonts w:ascii="Book Antiqua" w:hAnsi="Book Antiqua"/>
          <w:color w:val="000000"/>
        </w:rPr>
        <w:t xml:space="preserve">Exclusion criteria were any of following: </w:t>
      </w:r>
      <w:r w:rsidR="00204F2E" w:rsidRPr="00CD3D64">
        <w:rPr>
          <w:rFonts w:ascii="Book Antiqua" w:hAnsi="Book Antiqua"/>
          <w:color w:val="000000"/>
        </w:rPr>
        <w:t>(</w:t>
      </w:r>
      <w:r w:rsidR="0078225E" w:rsidRPr="00CD3D64">
        <w:rPr>
          <w:rFonts w:ascii="Book Antiqua" w:hAnsi="Book Antiqua"/>
          <w:color w:val="000000"/>
        </w:rPr>
        <w:t xml:space="preserve">1) </w:t>
      </w:r>
      <w:r w:rsidR="00E7714E" w:rsidRPr="007608ED">
        <w:rPr>
          <w:rFonts w:ascii="Book Antiqua" w:eastAsia="宋体" w:hAnsi="Book Antiqua" w:hint="eastAsia"/>
          <w:color w:val="000000"/>
          <w:lang w:eastAsia="zh-CN"/>
        </w:rPr>
        <w:t>I</w:t>
      </w:r>
      <w:r w:rsidR="0078225E" w:rsidRPr="00CD3D64">
        <w:rPr>
          <w:rFonts w:ascii="Book Antiqua" w:hAnsi="Book Antiqua"/>
          <w:color w:val="000000"/>
        </w:rPr>
        <w:t>nfect</w:t>
      </w:r>
      <w:r w:rsidR="006E70D7" w:rsidRPr="00CD3D64">
        <w:rPr>
          <w:rFonts w:ascii="Book Antiqua" w:hAnsi="Book Antiqua"/>
          <w:color w:val="000000"/>
        </w:rPr>
        <w:t>ion</w:t>
      </w:r>
      <w:r w:rsidR="0078225E" w:rsidRPr="00CD3D64">
        <w:rPr>
          <w:rFonts w:ascii="Book Antiqua" w:hAnsi="Book Antiqua"/>
          <w:color w:val="000000"/>
        </w:rPr>
        <w:t xml:space="preserve"> with genotypes other than genotype </w:t>
      </w:r>
      <w:proofErr w:type="gramStart"/>
      <w:r w:rsidR="007910E3" w:rsidRPr="00CD3D64">
        <w:rPr>
          <w:rFonts w:ascii="Book Antiqua" w:hAnsi="Book Antiqua"/>
          <w:color w:val="000000"/>
        </w:rPr>
        <w:t>2</w:t>
      </w:r>
      <w:proofErr w:type="gramEnd"/>
      <w:r w:rsidR="006E70D7" w:rsidRPr="00CD3D64">
        <w:rPr>
          <w:rFonts w:ascii="Book Antiqua" w:hAnsi="Book Antiqua"/>
          <w:color w:val="000000"/>
        </w:rPr>
        <w:t xml:space="preserve">; </w:t>
      </w:r>
      <w:r w:rsidR="00204F2E" w:rsidRPr="00CD3D64">
        <w:rPr>
          <w:rFonts w:ascii="Book Antiqua" w:hAnsi="Book Antiqua"/>
          <w:color w:val="000000"/>
        </w:rPr>
        <w:t>(</w:t>
      </w:r>
      <w:r w:rsidR="00654F05" w:rsidRPr="00CD3D64">
        <w:rPr>
          <w:rFonts w:ascii="Book Antiqua" w:hAnsi="Book Antiqua"/>
          <w:color w:val="000000"/>
        </w:rPr>
        <w:t xml:space="preserve">2) </w:t>
      </w:r>
      <w:r w:rsidR="00E7714E" w:rsidRPr="007608ED">
        <w:rPr>
          <w:rFonts w:ascii="Book Antiqua" w:eastAsia="宋体" w:hAnsi="Book Antiqua" w:hint="eastAsia"/>
          <w:color w:val="000000"/>
          <w:lang w:eastAsia="zh-CN"/>
        </w:rPr>
        <w:t>H</w:t>
      </w:r>
      <w:r w:rsidR="00654F05" w:rsidRPr="00CD3D64">
        <w:rPr>
          <w:rFonts w:ascii="Book Antiqua" w:hAnsi="Book Antiqua"/>
          <w:color w:val="000000"/>
        </w:rPr>
        <w:t xml:space="preserve">emoglobin </w:t>
      </w:r>
      <w:r w:rsidR="006E70D7" w:rsidRPr="00CD3D64">
        <w:rPr>
          <w:rFonts w:ascii="Book Antiqua" w:hAnsi="Book Antiqua"/>
          <w:color w:val="000000"/>
        </w:rPr>
        <w:t xml:space="preserve">concentration </w:t>
      </w:r>
      <w:r w:rsidR="00654F05" w:rsidRPr="00CD3D64">
        <w:rPr>
          <w:rFonts w:ascii="Book Antiqua" w:hAnsi="Book Antiqua"/>
          <w:color w:val="000000"/>
        </w:rPr>
        <w:t>&lt;</w:t>
      </w:r>
      <w:r w:rsidR="00204F2E" w:rsidRPr="00CD3D64">
        <w:rPr>
          <w:rFonts w:ascii="Book Antiqua" w:hAnsi="Book Antiqua"/>
          <w:color w:val="000000"/>
        </w:rPr>
        <w:t xml:space="preserve"> </w:t>
      </w:r>
      <w:r w:rsidR="00654F05" w:rsidRPr="00CD3D64">
        <w:rPr>
          <w:rFonts w:ascii="Book Antiqua" w:hAnsi="Book Antiqua"/>
          <w:color w:val="000000"/>
        </w:rPr>
        <w:t>10 g/</w:t>
      </w:r>
      <w:proofErr w:type="spellStart"/>
      <w:r w:rsidR="00654F05" w:rsidRPr="00CD3D64">
        <w:rPr>
          <w:rFonts w:ascii="Book Antiqua" w:hAnsi="Book Antiqua"/>
          <w:color w:val="000000"/>
        </w:rPr>
        <w:t>dL</w:t>
      </w:r>
      <w:proofErr w:type="spellEnd"/>
      <w:r w:rsidR="006E70D7" w:rsidRPr="00CD3D64">
        <w:rPr>
          <w:rFonts w:ascii="Book Antiqua" w:hAnsi="Book Antiqua"/>
          <w:color w:val="000000"/>
        </w:rPr>
        <w:t xml:space="preserve">; </w:t>
      </w:r>
      <w:r w:rsidR="00204F2E" w:rsidRPr="00CD3D64">
        <w:rPr>
          <w:rFonts w:ascii="Book Antiqua" w:hAnsi="Book Antiqua"/>
          <w:color w:val="000000"/>
        </w:rPr>
        <w:t>(</w:t>
      </w:r>
      <w:r w:rsidR="00654F05" w:rsidRPr="00CD3D64">
        <w:rPr>
          <w:rFonts w:ascii="Book Antiqua" w:hAnsi="Book Antiqua"/>
          <w:color w:val="000000"/>
        </w:rPr>
        <w:t>3</w:t>
      </w:r>
      <w:r w:rsidR="0078225E" w:rsidRPr="00CD3D64">
        <w:rPr>
          <w:rFonts w:ascii="Book Antiqua" w:hAnsi="Book Antiqua"/>
          <w:color w:val="000000"/>
        </w:rPr>
        <w:t xml:space="preserve">) </w:t>
      </w:r>
      <w:bookmarkStart w:id="19" w:name="_Hlk22906272"/>
      <w:r w:rsidR="00E7714E" w:rsidRPr="007608ED">
        <w:rPr>
          <w:rFonts w:ascii="Book Antiqua" w:eastAsia="宋体" w:hAnsi="Book Antiqua" w:hint="eastAsia"/>
          <w:color w:val="000000"/>
          <w:lang w:eastAsia="zh-CN"/>
        </w:rPr>
        <w:t>E</w:t>
      </w:r>
      <w:r w:rsidR="0078225E" w:rsidRPr="00CD3D64">
        <w:rPr>
          <w:rFonts w:ascii="Book Antiqua" w:hAnsi="Book Antiqua"/>
          <w:color w:val="000000"/>
        </w:rPr>
        <w:t>stimated glomerular filtration rate</w:t>
      </w:r>
      <w:r w:rsidR="006E70D7" w:rsidRPr="00CD3D64">
        <w:rPr>
          <w:rFonts w:ascii="Book Antiqua" w:hAnsi="Book Antiqua"/>
          <w:color w:val="000000"/>
        </w:rPr>
        <w:t xml:space="preserve"> </w:t>
      </w:r>
      <w:r w:rsidR="0078225E" w:rsidRPr="00CD3D64">
        <w:rPr>
          <w:rFonts w:ascii="Book Antiqua" w:hAnsi="Book Antiqua"/>
          <w:color w:val="000000"/>
        </w:rPr>
        <w:t>&lt;</w:t>
      </w:r>
      <w:r w:rsidR="00204F2E" w:rsidRPr="00CD3D64">
        <w:rPr>
          <w:rFonts w:ascii="Book Antiqua" w:hAnsi="Book Antiqua"/>
          <w:color w:val="000000"/>
        </w:rPr>
        <w:t xml:space="preserve"> </w:t>
      </w:r>
      <w:r w:rsidR="0078225E" w:rsidRPr="00CD3D64">
        <w:rPr>
          <w:rFonts w:ascii="Book Antiqua" w:hAnsi="Book Antiqua"/>
          <w:color w:val="000000"/>
        </w:rPr>
        <w:t>30</w:t>
      </w:r>
      <w:r w:rsidR="00E52BF8" w:rsidRPr="00CD3D64">
        <w:rPr>
          <w:rFonts w:ascii="Book Antiqua" w:hAnsi="Book Antiqua"/>
          <w:color w:val="000000"/>
        </w:rPr>
        <w:t xml:space="preserve"> </w:t>
      </w:r>
      <w:r w:rsidR="006E70D7" w:rsidRPr="00CD3D64">
        <w:rPr>
          <w:rFonts w:ascii="Book Antiqua" w:hAnsi="Book Antiqua"/>
          <w:color w:val="000000"/>
        </w:rPr>
        <w:t>m</w:t>
      </w:r>
      <w:r w:rsidR="0062120B" w:rsidRPr="00CD3D64">
        <w:rPr>
          <w:rFonts w:ascii="Book Antiqua" w:hAnsi="Book Antiqua"/>
          <w:color w:val="000000"/>
        </w:rPr>
        <w:t>L</w:t>
      </w:r>
      <w:r w:rsidR="006E70D7" w:rsidRPr="00CD3D64">
        <w:rPr>
          <w:rFonts w:ascii="Book Antiqua" w:hAnsi="Book Antiqua"/>
          <w:color w:val="000000"/>
        </w:rPr>
        <w:t>/min/1.73</w:t>
      </w:r>
      <w:r w:rsidR="00E52BF8" w:rsidRPr="00CD3D64">
        <w:rPr>
          <w:rFonts w:ascii="Book Antiqua" w:hAnsi="Book Antiqua"/>
          <w:color w:val="000000"/>
        </w:rPr>
        <w:t xml:space="preserve"> </w:t>
      </w:r>
      <w:r w:rsidR="006E70D7" w:rsidRPr="00CD3D64">
        <w:rPr>
          <w:rFonts w:ascii="Book Antiqua" w:hAnsi="Book Antiqua"/>
          <w:color w:val="000000"/>
        </w:rPr>
        <w:t>m</w:t>
      </w:r>
      <w:r w:rsidR="006E70D7" w:rsidRPr="00CD3D64">
        <w:rPr>
          <w:rFonts w:ascii="Book Antiqua" w:hAnsi="Book Antiqua"/>
          <w:color w:val="000000"/>
          <w:vertAlign w:val="superscript"/>
        </w:rPr>
        <w:t>2</w:t>
      </w:r>
      <w:bookmarkEnd w:id="19"/>
      <w:r w:rsidR="006E70D7" w:rsidRPr="00CD3D64">
        <w:rPr>
          <w:rFonts w:ascii="Book Antiqua" w:hAnsi="Book Antiqua"/>
          <w:color w:val="000000"/>
        </w:rPr>
        <w:t xml:space="preserve">; </w:t>
      </w:r>
      <w:r w:rsidR="00204F2E" w:rsidRPr="00CD3D64">
        <w:rPr>
          <w:rFonts w:ascii="Book Antiqua" w:hAnsi="Book Antiqua"/>
          <w:color w:val="000000"/>
        </w:rPr>
        <w:t>(</w:t>
      </w:r>
      <w:r w:rsidR="00654F05" w:rsidRPr="00CD3D64">
        <w:rPr>
          <w:rFonts w:ascii="Book Antiqua" w:hAnsi="Book Antiqua"/>
          <w:color w:val="000000"/>
        </w:rPr>
        <w:t>4</w:t>
      </w:r>
      <w:r w:rsidR="0078225E" w:rsidRPr="00CD3D64">
        <w:rPr>
          <w:rFonts w:ascii="Book Antiqua" w:hAnsi="Book Antiqua"/>
          <w:color w:val="000000"/>
        </w:rPr>
        <w:t xml:space="preserve">) </w:t>
      </w:r>
      <w:r w:rsidR="00E7714E" w:rsidRPr="007608ED">
        <w:rPr>
          <w:rFonts w:ascii="Book Antiqua" w:eastAsia="宋体" w:hAnsi="Book Antiqua" w:hint="eastAsia"/>
          <w:color w:val="000000"/>
          <w:lang w:eastAsia="zh-CN"/>
        </w:rPr>
        <w:t>D</w:t>
      </w:r>
      <w:r w:rsidR="0078225E" w:rsidRPr="00CD3D64">
        <w:rPr>
          <w:rFonts w:ascii="Book Antiqua" w:hAnsi="Book Antiqua"/>
          <w:color w:val="000000"/>
        </w:rPr>
        <w:t>ecompensated cirrhosis (</w:t>
      </w:r>
      <w:bookmarkStart w:id="20" w:name="OLE_LINK7"/>
      <w:r w:rsidR="0078225E" w:rsidRPr="00CD3D64">
        <w:rPr>
          <w:rFonts w:ascii="Book Antiqua" w:hAnsi="Book Antiqua"/>
          <w:color w:val="000000"/>
        </w:rPr>
        <w:t>Child-Pugh class B or C</w:t>
      </w:r>
      <w:bookmarkEnd w:id="20"/>
      <w:r w:rsidR="006E70D7" w:rsidRPr="00CD3D64">
        <w:rPr>
          <w:rFonts w:ascii="Book Antiqua" w:hAnsi="Book Antiqua"/>
          <w:color w:val="000000"/>
        </w:rPr>
        <w:t xml:space="preserve">); </w:t>
      </w:r>
      <w:r w:rsidR="00204F2E" w:rsidRPr="00CD3D64">
        <w:rPr>
          <w:rFonts w:ascii="Book Antiqua" w:hAnsi="Book Antiqua"/>
          <w:color w:val="000000"/>
        </w:rPr>
        <w:t>and</w:t>
      </w:r>
      <w:r w:rsidR="006E70D7" w:rsidRPr="00CD3D64">
        <w:rPr>
          <w:rFonts w:ascii="Book Antiqua" w:hAnsi="Book Antiqua"/>
          <w:color w:val="000000"/>
        </w:rPr>
        <w:t xml:space="preserve"> </w:t>
      </w:r>
      <w:r w:rsidR="00204F2E" w:rsidRPr="00CD3D64">
        <w:rPr>
          <w:rFonts w:ascii="Book Antiqua" w:hAnsi="Book Antiqua"/>
          <w:color w:val="000000"/>
        </w:rPr>
        <w:t>(</w:t>
      </w:r>
      <w:r w:rsidR="00654F05" w:rsidRPr="00CD3D64">
        <w:rPr>
          <w:rFonts w:ascii="Book Antiqua" w:hAnsi="Book Antiqua"/>
          <w:color w:val="000000"/>
        </w:rPr>
        <w:t>5</w:t>
      </w:r>
      <w:r w:rsidR="0078225E" w:rsidRPr="00CD3D64">
        <w:rPr>
          <w:rFonts w:ascii="Book Antiqua" w:hAnsi="Book Antiqua"/>
          <w:color w:val="000000"/>
        </w:rPr>
        <w:t xml:space="preserve">) </w:t>
      </w:r>
      <w:r w:rsidR="00E7714E" w:rsidRPr="007608ED">
        <w:rPr>
          <w:rFonts w:ascii="Book Antiqua" w:eastAsia="宋体" w:hAnsi="Book Antiqua" w:hint="eastAsia"/>
          <w:color w:val="000000"/>
          <w:lang w:eastAsia="zh-CN"/>
        </w:rPr>
        <w:t>A</w:t>
      </w:r>
      <w:r w:rsidR="0078225E" w:rsidRPr="00CD3D64">
        <w:rPr>
          <w:rFonts w:ascii="Book Antiqua" w:hAnsi="Book Antiqua"/>
          <w:color w:val="000000"/>
        </w:rPr>
        <w:t xml:space="preserve">ny form of cancer. </w:t>
      </w:r>
      <w:bookmarkStart w:id="21" w:name="_Hlk22908976"/>
      <w:r w:rsidR="00F672C0" w:rsidRPr="00CD3D64">
        <w:rPr>
          <w:rFonts w:ascii="Book Antiqua" w:hAnsi="Book Antiqua"/>
          <w:color w:val="000000"/>
        </w:rPr>
        <w:t>However,</w:t>
      </w:r>
      <w:r w:rsidR="00893FF8" w:rsidRPr="00CD3D64">
        <w:rPr>
          <w:rFonts w:ascii="Book Antiqua" w:hAnsi="Book Antiqua"/>
          <w:color w:val="000000"/>
        </w:rPr>
        <w:t xml:space="preserve"> </w:t>
      </w:r>
      <w:r w:rsidR="00F672C0" w:rsidRPr="00CD3D64">
        <w:rPr>
          <w:rFonts w:ascii="Book Antiqua" w:hAnsi="Book Antiqua"/>
          <w:color w:val="000000"/>
        </w:rPr>
        <w:t xml:space="preserve">patients who had received </w:t>
      </w:r>
      <w:r w:rsidR="00A01958" w:rsidRPr="00CD3D64">
        <w:rPr>
          <w:rFonts w:ascii="Book Antiqua" w:hAnsi="Book Antiqua"/>
          <w:color w:val="000000"/>
        </w:rPr>
        <w:t>curative</w:t>
      </w:r>
      <w:r w:rsidR="00F672C0" w:rsidRPr="00CD3D64">
        <w:rPr>
          <w:rFonts w:ascii="Book Antiqua" w:hAnsi="Book Antiqua"/>
          <w:color w:val="000000"/>
        </w:rPr>
        <w:t xml:space="preserve"> cancer treatments </w:t>
      </w:r>
      <w:proofErr w:type="gramStart"/>
      <w:r w:rsidR="002E6515" w:rsidRPr="00CD3D64">
        <w:rPr>
          <w:rFonts w:ascii="Book Antiqua" w:hAnsi="Book Antiqua"/>
          <w:color w:val="000000"/>
        </w:rPr>
        <w:t xml:space="preserve">were </w:t>
      </w:r>
      <w:r w:rsidR="006E70D7" w:rsidRPr="00CD3D64">
        <w:rPr>
          <w:rFonts w:ascii="Book Antiqua" w:hAnsi="Book Antiqua"/>
          <w:color w:val="000000"/>
        </w:rPr>
        <w:t>not excluded</w:t>
      </w:r>
      <w:proofErr w:type="gramEnd"/>
      <w:r w:rsidR="006E70D7" w:rsidRPr="00CD3D64">
        <w:rPr>
          <w:rFonts w:ascii="Book Antiqua" w:hAnsi="Book Antiqua"/>
          <w:color w:val="000000"/>
        </w:rPr>
        <w:t xml:space="preserve"> from</w:t>
      </w:r>
      <w:r w:rsidR="00F672C0" w:rsidRPr="00CD3D64">
        <w:rPr>
          <w:rFonts w:ascii="Book Antiqua" w:hAnsi="Book Antiqua"/>
          <w:color w:val="000000"/>
        </w:rPr>
        <w:t xml:space="preserve"> this study.</w:t>
      </w:r>
      <w:r w:rsidR="00E44CA7" w:rsidRPr="00CD3D64">
        <w:rPr>
          <w:rFonts w:ascii="Book Antiqua" w:hAnsi="Book Antiqua"/>
          <w:color w:val="000000"/>
        </w:rPr>
        <w:t xml:space="preserve"> T</w:t>
      </w:r>
      <w:bookmarkStart w:id="22" w:name="_Hlk22909160"/>
      <w:r w:rsidR="00E44CA7" w:rsidRPr="00CD3D64">
        <w:rPr>
          <w:rFonts w:ascii="Book Antiqua" w:hAnsi="Book Antiqua"/>
          <w:color w:val="000000"/>
        </w:rPr>
        <w:t>herefore,</w:t>
      </w:r>
      <w:r w:rsidR="00A01958" w:rsidRPr="00CD3D64">
        <w:rPr>
          <w:rFonts w:ascii="Book Antiqua" w:hAnsi="Book Antiqua"/>
          <w:color w:val="000000"/>
        </w:rPr>
        <w:t xml:space="preserve"> </w:t>
      </w:r>
      <w:r w:rsidR="00E44CA7" w:rsidRPr="00CD3D64">
        <w:rPr>
          <w:rFonts w:ascii="Book Antiqua" w:hAnsi="Book Antiqua"/>
          <w:color w:val="000000"/>
        </w:rPr>
        <w:t xml:space="preserve">patients </w:t>
      </w:r>
      <w:r w:rsidR="00A01958" w:rsidRPr="00CD3D64">
        <w:rPr>
          <w:rFonts w:ascii="Book Antiqua" w:hAnsi="Book Antiqua"/>
          <w:color w:val="000000"/>
        </w:rPr>
        <w:t xml:space="preserve">with HCC </w:t>
      </w:r>
      <w:r w:rsidR="00E44CA7" w:rsidRPr="00CD3D64">
        <w:rPr>
          <w:rFonts w:ascii="Book Antiqua" w:hAnsi="Book Antiqua"/>
          <w:color w:val="000000"/>
        </w:rPr>
        <w:t xml:space="preserve">who </w:t>
      </w:r>
      <w:r w:rsidR="00490035" w:rsidRPr="00CD3D64">
        <w:rPr>
          <w:rFonts w:ascii="Book Antiqua" w:hAnsi="Book Antiqua"/>
          <w:color w:val="000000"/>
        </w:rPr>
        <w:t xml:space="preserve">had undergone </w:t>
      </w:r>
      <w:r w:rsidR="00E44CA7" w:rsidRPr="00CD3D64">
        <w:rPr>
          <w:rFonts w:ascii="Book Antiqua" w:hAnsi="Book Antiqua"/>
          <w:color w:val="000000"/>
        </w:rPr>
        <w:t>surgical resection or ablation therapy were included in this s</w:t>
      </w:r>
      <w:r w:rsidR="00373A82" w:rsidRPr="00CD3D64">
        <w:rPr>
          <w:rFonts w:ascii="Book Antiqua" w:hAnsi="Book Antiqua"/>
          <w:color w:val="000000"/>
        </w:rPr>
        <w:t>t</w:t>
      </w:r>
      <w:r w:rsidR="00E44CA7" w:rsidRPr="00CD3D64">
        <w:rPr>
          <w:rFonts w:ascii="Book Antiqua" w:hAnsi="Book Antiqua"/>
          <w:color w:val="000000"/>
        </w:rPr>
        <w:t>udy.</w:t>
      </w:r>
      <w:bookmarkEnd w:id="21"/>
      <w:bookmarkEnd w:id="22"/>
    </w:p>
    <w:p w:rsidR="00722770" w:rsidRPr="00CD3D64" w:rsidRDefault="00CF3F96" w:rsidP="00CD3D64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color w:val="000000"/>
        </w:rPr>
      </w:pPr>
      <w:r w:rsidRPr="00CD3D64">
        <w:rPr>
          <w:rFonts w:ascii="Book Antiqua" w:hAnsi="Book Antiqua"/>
          <w:color w:val="000000"/>
        </w:rPr>
        <w:t xml:space="preserve">Liver cirrhosis </w:t>
      </w:r>
      <w:proofErr w:type="gramStart"/>
      <w:r w:rsidRPr="00CD3D64">
        <w:rPr>
          <w:rFonts w:ascii="Book Antiqua" w:hAnsi="Book Antiqua"/>
          <w:color w:val="000000"/>
        </w:rPr>
        <w:t>was diagnosed</w:t>
      </w:r>
      <w:proofErr w:type="gramEnd"/>
      <w:r w:rsidRPr="00CD3D64">
        <w:rPr>
          <w:rFonts w:ascii="Book Antiqua" w:hAnsi="Book Antiqua"/>
          <w:color w:val="000000"/>
        </w:rPr>
        <w:t xml:space="preserve"> clinically </w:t>
      </w:r>
      <w:r w:rsidR="00543328" w:rsidRPr="00CD3D64">
        <w:rPr>
          <w:rFonts w:ascii="Book Antiqua" w:hAnsi="Book Antiqua"/>
          <w:color w:val="000000"/>
        </w:rPr>
        <w:t xml:space="preserve">from </w:t>
      </w:r>
      <w:r w:rsidR="001B3A05" w:rsidRPr="00CD3D64">
        <w:rPr>
          <w:rFonts w:ascii="Book Antiqua" w:hAnsi="Book Antiqua"/>
          <w:color w:val="000000"/>
        </w:rPr>
        <w:t xml:space="preserve">liver biopsy or </w:t>
      </w:r>
      <w:r w:rsidRPr="00CD3D64">
        <w:rPr>
          <w:rFonts w:ascii="Book Antiqua" w:hAnsi="Book Antiqua"/>
          <w:color w:val="000000"/>
        </w:rPr>
        <w:t xml:space="preserve">imaging </w:t>
      </w:r>
      <w:r w:rsidR="004E65B5" w:rsidRPr="00CD3D64">
        <w:rPr>
          <w:rFonts w:ascii="Book Antiqua" w:hAnsi="Book Antiqua"/>
          <w:color w:val="000000"/>
        </w:rPr>
        <w:t>studies</w:t>
      </w:r>
      <w:r w:rsidR="00E351C2" w:rsidRPr="00CD3D64">
        <w:rPr>
          <w:rFonts w:ascii="Book Antiqua" w:hAnsi="Book Antiqua"/>
          <w:color w:val="000000"/>
        </w:rPr>
        <w:t xml:space="preserve"> such as </w:t>
      </w:r>
      <w:r w:rsidR="00543328" w:rsidRPr="00CD3D64">
        <w:rPr>
          <w:rFonts w:ascii="Book Antiqua" w:hAnsi="Book Antiqua"/>
          <w:color w:val="000000"/>
        </w:rPr>
        <w:t>ultrasonography</w:t>
      </w:r>
      <w:r w:rsidR="00E351C2" w:rsidRPr="00CD3D64">
        <w:rPr>
          <w:rFonts w:ascii="Book Antiqua" w:hAnsi="Book Antiqua"/>
          <w:color w:val="000000"/>
        </w:rPr>
        <w:t xml:space="preserve">, </w:t>
      </w:r>
      <w:r w:rsidR="00595208" w:rsidRPr="00CD3D64">
        <w:rPr>
          <w:rFonts w:ascii="Book Antiqua" w:hAnsi="Book Antiqua"/>
          <w:color w:val="000000"/>
        </w:rPr>
        <w:t>contrast</w:t>
      </w:r>
      <w:r w:rsidR="00490035" w:rsidRPr="00CD3D64">
        <w:rPr>
          <w:rFonts w:ascii="Book Antiqua" w:hAnsi="Book Antiqua"/>
          <w:color w:val="000000"/>
        </w:rPr>
        <w:t>-enhanced</w:t>
      </w:r>
      <w:r w:rsidR="00595208" w:rsidRPr="00CD3D64">
        <w:rPr>
          <w:rFonts w:ascii="Book Antiqua" w:hAnsi="Book Antiqua"/>
          <w:color w:val="000000"/>
        </w:rPr>
        <w:t xml:space="preserve"> </w:t>
      </w:r>
      <w:r w:rsidR="00E351C2" w:rsidRPr="00CD3D64">
        <w:rPr>
          <w:rFonts w:ascii="Book Antiqua" w:hAnsi="Book Antiqua"/>
          <w:color w:val="000000"/>
        </w:rPr>
        <w:t>computed tomography</w:t>
      </w:r>
      <w:r w:rsidR="00595208" w:rsidRPr="00CD3D64">
        <w:rPr>
          <w:rFonts w:ascii="Book Antiqua" w:hAnsi="Book Antiqua"/>
          <w:color w:val="000000"/>
        </w:rPr>
        <w:t>, and/or magnetic resonance imaging</w:t>
      </w:r>
      <w:r w:rsidR="004E65B5" w:rsidRPr="00CD3D64">
        <w:rPr>
          <w:rFonts w:ascii="Book Antiqua" w:hAnsi="Book Antiqua"/>
          <w:color w:val="000000"/>
        </w:rPr>
        <w:t xml:space="preserve"> </w:t>
      </w:r>
      <w:r w:rsidRPr="00CD3D64">
        <w:rPr>
          <w:rFonts w:ascii="Book Antiqua" w:hAnsi="Book Antiqua"/>
          <w:bCs/>
          <w:color w:val="000000"/>
        </w:rPr>
        <w:t>using morphologic</w:t>
      </w:r>
      <w:r w:rsidR="00543328" w:rsidRPr="00CD3D64">
        <w:rPr>
          <w:rFonts w:ascii="Book Antiqua" w:hAnsi="Book Antiqua"/>
          <w:bCs/>
          <w:color w:val="000000"/>
        </w:rPr>
        <w:t>al</w:t>
      </w:r>
      <w:r w:rsidRPr="00CD3D64">
        <w:rPr>
          <w:rFonts w:ascii="Book Antiqua" w:hAnsi="Book Antiqua"/>
          <w:bCs/>
          <w:color w:val="000000"/>
        </w:rPr>
        <w:t xml:space="preserve"> </w:t>
      </w:r>
      <w:r w:rsidR="004E65B5" w:rsidRPr="00CD3D64">
        <w:rPr>
          <w:rFonts w:ascii="Book Antiqua" w:hAnsi="Book Antiqua"/>
          <w:bCs/>
          <w:color w:val="000000"/>
        </w:rPr>
        <w:t xml:space="preserve">signs </w:t>
      </w:r>
      <w:r w:rsidRPr="00CD3D64">
        <w:rPr>
          <w:rFonts w:ascii="Book Antiqua" w:hAnsi="Book Antiqua"/>
          <w:bCs/>
          <w:color w:val="000000"/>
        </w:rPr>
        <w:t xml:space="preserve">of cirrhosis </w:t>
      </w:r>
      <w:r w:rsidR="00D71D3F" w:rsidRPr="00CD3D64">
        <w:rPr>
          <w:rFonts w:ascii="Book Antiqua" w:hAnsi="Book Antiqua"/>
          <w:bCs/>
          <w:color w:val="000000"/>
        </w:rPr>
        <w:t xml:space="preserve">from </w:t>
      </w:r>
      <w:r w:rsidRPr="00CD3D64">
        <w:rPr>
          <w:rFonts w:ascii="Book Antiqua" w:hAnsi="Book Antiqua"/>
          <w:bCs/>
          <w:color w:val="000000"/>
        </w:rPr>
        <w:t xml:space="preserve">portal hypertension, such as </w:t>
      </w:r>
      <w:proofErr w:type="spellStart"/>
      <w:r w:rsidRPr="00CD3D64">
        <w:rPr>
          <w:rFonts w:ascii="Book Antiqua" w:hAnsi="Book Antiqua"/>
          <w:bCs/>
          <w:color w:val="000000"/>
        </w:rPr>
        <w:t>portosystemic</w:t>
      </w:r>
      <w:proofErr w:type="spellEnd"/>
      <w:r w:rsidRPr="00CD3D64">
        <w:rPr>
          <w:rFonts w:ascii="Book Antiqua" w:hAnsi="Book Antiqua"/>
          <w:bCs/>
          <w:color w:val="000000"/>
        </w:rPr>
        <w:t xml:space="preserve"> shunt or </w:t>
      </w:r>
      <w:proofErr w:type="spellStart"/>
      <w:r w:rsidRPr="00CD3D64">
        <w:rPr>
          <w:rFonts w:ascii="Book Antiqua" w:hAnsi="Book Antiqua"/>
          <w:bCs/>
          <w:color w:val="000000"/>
        </w:rPr>
        <w:t>hypersplenism</w:t>
      </w:r>
      <w:proofErr w:type="spellEnd"/>
      <w:r w:rsidRPr="00CD3D64">
        <w:rPr>
          <w:rFonts w:ascii="Book Antiqua" w:hAnsi="Book Antiqua"/>
          <w:bCs/>
          <w:color w:val="000000"/>
        </w:rPr>
        <w:t>.</w:t>
      </w:r>
      <w:r w:rsidR="00657BE2" w:rsidRPr="00CD3D64">
        <w:rPr>
          <w:rFonts w:ascii="Book Antiqua" w:hAnsi="Book Antiqua"/>
          <w:color w:val="000000"/>
        </w:rPr>
        <w:t xml:space="preserve"> </w:t>
      </w:r>
      <w:r w:rsidR="006A050E" w:rsidRPr="00CD3D64">
        <w:rPr>
          <w:rFonts w:ascii="Book Antiqua" w:hAnsi="Book Antiqua"/>
          <w:color w:val="000000"/>
        </w:rPr>
        <w:t xml:space="preserve">Sample size </w:t>
      </w:r>
      <w:r w:rsidR="00543328" w:rsidRPr="00CD3D64">
        <w:rPr>
          <w:rFonts w:ascii="Book Antiqua" w:hAnsi="Book Antiqua"/>
          <w:color w:val="000000"/>
        </w:rPr>
        <w:t xml:space="preserve">for </w:t>
      </w:r>
      <w:r w:rsidR="006A050E" w:rsidRPr="00CD3D64">
        <w:rPr>
          <w:rFonts w:ascii="Book Antiqua" w:hAnsi="Book Antiqua"/>
          <w:color w:val="000000"/>
        </w:rPr>
        <w:t>the present study was determined by practicability</w:t>
      </w:r>
      <w:r w:rsidR="00543328" w:rsidRPr="00CD3D64">
        <w:rPr>
          <w:rFonts w:ascii="Book Antiqua" w:hAnsi="Book Antiqua"/>
          <w:color w:val="000000"/>
        </w:rPr>
        <w:t xml:space="preserve"> but</w:t>
      </w:r>
      <w:r w:rsidR="006A050E" w:rsidRPr="00CD3D64">
        <w:rPr>
          <w:rFonts w:ascii="Book Antiqua" w:hAnsi="Book Antiqua"/>
          <w:color w:val="000000"/>
        </w:rPr>
        <w:t xml:space="preserve"> </w:t>
      </w:r>
      <w:r w:rsidR="00543328" w:rsidRPr="00CD3D64">
        <w:rPr>
          <w:rFonts w:ascii="Book Antiqua" w:hAnsi="Book Antiqua"/>
          <w:color w:val="000000"/>
        </w:rPr>
        <w:t xml:space="preserve">was planned to </w:t>
      </w:r>
      <w:r w:rsidR="006A050E" w:rsidRPr="00CD3D64">
        <w:rPr>
          <w:rFonts w:ascii="Book Antiqua" w:hAnsi="Book Antiqua"/>
          <w:color w:val="000000"/>
        </w:rPr>
        <w:t xml:space="preserve">exceed the number of patients analyzed in </w:t>
      </w:r>
      <w:r w:rsidR="00543328" w:rsidRPr="00CD3D64">
        <w:rPr>
          <w:rFonts w:ascii="Book Antiqua" w:hAnsi="Book Antiqua"/>
          <w:color w:val="000000"/>
        </w:rPr>
        <w:t xml:space="preserve">the </w:t>
      </w:r>
      <w:r w:rsidR="006A050E" w:rsidRPr="00CD3D64">
        <w:rPr>
          <w:rFonts w:ascii="Book Antiqua" w:hAnsi="Book Antiqua"/>
          <w:color w:val="000000"/>
        </w:rPr>
        <w:t xml:space="preserve">Japanese phase III </w:t>
      </w:r>
      <w:proofErr w:type="gramStart"/>
      <w:r w:rsidR="006A050E" w:rsidRPr="00CD3D64">
        <w:rPr>
          <w:rFonts w:ascii="Book Antiqua" w:hAnsi="Book Antiqua"/>
          <w:color w:val="000000"/>
        </w:rPr>
        <w:t>trial</w:t>
      </w:r>
      <w:r w:rsidR="00687F30" w:rsidRPr="00CD3D64">
        <w:rPr>
          <w:rFonts w:ascii="Book Antiqua" w:hAnsi="Book Antiqua"/>
          <w:color w:val="000000"/>
          <w:vertAlign w:val="superscript"/>
        </w:rPr>
        <w:t>[</w:t>
      </w:r>
      <w:proofErr w:type="gramEnd"/>
      <w:r w:rsidR="00687F30" w:rsidRPr="00CD3D64">
        <w:rPr>
          <w:rFonts w:ascii="Book Antiqua" w:hAnsi="Book Antiqua"/>
          <w:color w:val="000000"/>
          <w:vertAlign w:val="superscript"/>
        </w:rPr>
        <w:t>5]</w:t>
      </w:r>
      <w:r w:rsidR="006A050E" w:rsidRPr="00CD3D64">
        <w:rPr>
          <w:rFonts w:ascii="Book Antiqua" w:hAnsi="Book Antiqua"/>
          <w:color w:val="000000"/>
        </w:rPr>
        <w:t xml:space="preserve">. </w:t>
      </w:r>
      <w:proofErr w:type="gramStart"/>
      <w:r w:rsidR="00722770" w:rsidRPr="00CD3D64">
        <w:rPr>
          <w:rFonts w:ascii="Book Antiqua" w:hAnsi="Book Antiqua"/>
          <w:color w:val="000000"/>
        </w:rPr>
        <w:t>All study protocols were approved by the ethics committees of the participating hospitals</w:t>
      </w:r>
      <w:proofErr w:type="gramEnd"/>
      <w:r w:rsidR="00722770" w:rsidRPr="00CD3D64">
        <w:rPr>
          <w:rFonts w:ascii="Book Antiqua" w:hAnsi="Book Antiqua"/>
          <w:color w:val="000000"/>
        </w:rPr>
        <w:t xml:space="preserve">. Written informed consent </w:t>
      </w:r>
      <w:proofErr w:type="gramStart"/>
      <w:r w:rsidR="00722770" w:rsidRPr="00CD3D64">
        <w:rPr>
          <w:rFonts w:ascii="Book Antiqua" w:hAnsi="Book Antiqua"/>
          <w:color w:val="000000"/>
        </w:rPr>
        <w:t>was obtained</w:t>
      </w:r>
      <w:proofErr w:type="gramEnd"/>
      <w:r w:rsidR="00722770" w:rsidRPr="00CD3D64">
        <w:rPr>
          <w:rFonts w:ascii="Book Antiqua" w:hAnsi="Book Antiqua"/>
          <w:color w:val="000000"/>
        </w:rPr>
        <w:t xml:space="preserve"> from all patients included in this study. The present study </w:t>
      </w:r>
      <w:proofErr w:type="gramStart"/>
      <w:r w:rsidR="00722770" w:rsidRPr="00CD3D64">
        <w:rPr>
          <w:rFonts w:ascii="Book Antiqua" w:hAnsi="Book Antiqua"/>
          <w:color w:val="000000"/>
        </w:rPr>
        <w:t>was registered</w:t>
      </w:r>
      <w:proofErr w:type="gramEnd"/>
      <w:r w:rsidR="00722770" w:rsidRPr="00CD3D64">
        <w:rPr>
          <w:rFonts w:ascii="Book Antiqua" w:hAnsi="Book Antiqua"/>
          <w:color w:val="000000"/>
        </w:rPr>
        <w:t xml:space="preserve"> on the University Hospital Medical Information Network (trial ID</w:t>
      </w:r>
      <w:r w:rsidR="001F2C33" w:rsidRPr="00CD3D64">
        <w:rPr>
          <w:rFonts w:ascii="Book Antiqua" w:hAnsi="Book Antiqua"/>
          <w:color w:val="000000"/>
        </w:rPr>
        <w:t>:</w:t>
      </w:r>
      <w:r w:rsidR="00722770" w:rsidRPr="00CD3D64">
        <w:rPr>
          <w:rFonts w:ascii="Book Antiqua" w:hAnsi="Book Antiqua"/>
          <w:color w:val="000000"/>
        </w:rPr>
        <w:t xml:space="preserve"> </w:t>
      </w:r>
      <w:r w:rsidR="00893FF8" w:rsidRPr="00CD3D64">
        <w:rPr>
          <w:rFonts w:ascii="Book Antiqua" w:hAnsi="Book Antiqua"/>
          <w:color w:val="000000"/>
        </w:rPr>
        <w:t>000023269</w:t>
      </w:r>
      <w:r w:rsidR="00722770" w:rsidRPr="00CD3D64">
        <w:rPr>
          <w:rFonts w:ascii="Book Antiqua" w:hAnsi="Book Antiqua"/>
          <w:color w:val="000000"/>
        </w:rPr>
        <w:t>).</w:t>
      </w:r>
    </w:p>
    <w:p w:rsidR="00B53948" w:rsidRPr="00CD3D64" w:rsidRDefault="00B53948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</w:p>
    <w:p w:rsidR="006F40C2" w:rsidRPr="00CD3D64" w:rsidRDefault="006F40C2" w:rsidP="00CD3D64">
      <w:pPr>
        <w:adjustRightInd w:val="0"/>
        <w:snapToGrid w:val="0"/>
        <w:spacing w:line="360" w:lineRule="auto"/>
        <w:rPr>
          <w:rFonts w:ascii="Book Antiqua" w:hAnsi="Book Antiqua"/>
          <w:b/>
          <w:bCs/>
          <w:i/>
          <w:iCs/>
          <w:color w:val="000000"/>
        </w:rPr>
      </w:pPr>
      <w:r w:rsidRPr="00CD3D64">
        <w:rPr>
          <w:rFonts w:ascii="Book Antiqua" w:hAnsi="Book Antiqua"/>
          <w:b/>
          <w:bCs/>
          <w:i/>
          <w:iCs/>
          <w:color w:val="000000"/>
        </w:rPr>
        <w:t>Treatment regimens</w:t>
      </w:r>
    </w:p>
    <w:p w:rsidR="0048206F" w:rsidRPr="00CD3D64" w:rsidRDefault="002A544A" w:rsidP="00CD3D64">
      <w:pPr>
        <w:adjustRightInd w:val="0"/>
        <w:snapToGrid w:val="0"/>
        <w:spacing w:line="360" w:lineRule="auto"/>
        <w:rPr>
          <w:rFonts w:ascii="Book Antiqua" w:hAnsi="Book Antiqua"/>
          <w:bCs/>
          <w:iCs/>
          <w:color w:val="000000"/>
        </w:rPr>
      </w:pPr>
      <w:r w:rsidRPr="00CD3D64">
        <w:rPr>
          <w:rFonts w:ascii="Book Antiqua" w:hAnsi="Book Antiqua"/>
          <w:bCs/>
          <w:iCs/>
          <w:color w:val="000000"/>
        </w:rPr>
        <w:t>S</w:t>
      </w:r>
      <w:r w:rsidR="00654F05" w:rsidRPr="00CD3D64">
        <w:rPr>
          <w:rFonts w:ascii="Book Antiqua" w:hAnsi="Book Antiqua"/>
          <w:bCs/>
          <w:iCs/>
          <w:color w:val="000000"/>
        </w:rPr>
        <w:t xml:space="preserve">tandard </w:t>
      </w:r>
      <w:r w:rsidRPr="00CD3D64">
        <w:rPr>
          <w:rFonts w:ascii="Book Antiqua" w:hAnsi="Book Antiqua"/>
          <w:bCs/>
          <w:iCs/>
          <w:color w:val="000000"/>
        </w:rPr>
        <w:t xml:space="preserve">approved </w:t>
      </w:r>
      <w:r w:rsidR="00654F05" w:rsidRPr="00CD3D64">
        <w:rPr>
          <w:rFonts w:ascii="Book Antiqua" w:hAnsi="Book Antiqua"/>
          <w:bCs/>
          <w:iCs/>
          <w:color w:val="000000"/>
        </w:rPr>
        <w:t>doses of 400</w:t>
      </w:r>
      <w:r w:rsidR="006E70D7" w:rsidRPr="00CD3D64">
        <w:rPr>
          <w:rFonts w:ascii="Book Antiqua" w:hAnsi="Book Antiqua"/>
          <w:bCs/>
          <w:iCs/>
          <w:color w:val="000000"/>
        </w:rPr>
        <w:t xml:space="preserve"> </w:t>
      </w:r>
      <w:r w:rsidR="00654F05" w:rsidRPr="00CD3D64">
        <w:rPr>
          <w:rFonts w:ascii="Book Antiqua" w:hAnsi="Book Antiqua"/>
          <w:bCs/>
          <w:iCs/>
          <w:color w:val="000000"/>
        </w:rPr>
        <w:t xml:space="preserve">mg </w:t>
      </w:r>
      <w:proofErr w:type="spellStart"/>
      <w:r w:rsidR="00654F05" w:rsidRPr="00CD3D64">
        <w:rPr>
          <w:rFonts w:ascii="Book Antiqua" w:hAnsi="Book Antiqua"/>
          <w:bCs/>
          <w:iCs/>
          <w:color w:val="000000"/>
        </w:rPr>
        <w:t>sofosbuvir</w:t>
      </w:r>
      <w:proofErr w:type="spellEnd"/>
      <w:r w:rsidR="00654F05" w:rsidRPr="00CD3D64">
        <w:rPr>
          <w:rFonts w:ascii="Book Antiqua" w:hAnsi="Book Antiqua"/>
          <w:bCs/>
          <w:iCs/>
          <w:color w:val="000000"/>
        </w:rPr>
        <w:t xml:space="preserve"> </w:t>
      </w:r>
      <w:r w:rsidR="00654F05" w:rsidRPr="00CD3D64">
        <w:rPr>
          <w:rFonts w:ascii="Book Antiqua" w:hAnsi="Book Antiqua"/>
          <w:color w:val="000000"/>
        </w:rPr>
        <w:t>(</w:t>
      </w:r>
      <w:bookmarkStart w:id="23" w:name="OLE_LINK8"/>
      <w:bookmarkStart w:id="24" w:name="OLE_LINK9"/>
      <w:proofErr w:type="spellStart"/>
      <w:r w:rsidR="00654F05" w:rsidRPr="00CD3D64">
        <w:rPr>
          <w:rFonts w:ascii="Book Antiqua" w:hAnsi="Book Antiqua"/>
          <w:color w:val="000000"/>
        </w:rPr>
        <w:t>Sovardi</w:t>
      </w:r>
      <w:proofErr w:type="spellEnd"/>
      <w:r w:rsidR="003D11C8" w:rsidRPr="00CD3D64">
        <w:rPr>
          <w:rFonts w:ascii="Book Antiqua" w:hAnsi="Book Antiqua"/>
          <w:color w:val="000000"/>
        </w:rPr>
        <w:t>,</w:t>
      </w:r>
      <w:r w:rsidR="00824340" w:rsidRPr="00CD3D64">
        <w:rPr>
          <w:rFonts w:ascii="Book Antiqua" w:hAnsi="Book Antiqua"/>
          <w:color w:val="000000"/>
        </w:rPr>
        <w:t xml:space="preserve"> </w:t>
      </w:r>
      <w:r w:rsidR="00654F05" w:rsidRPr="00CD3D64">
        <w:rPr>
          <w:rFonts w:ascii="Book Antiqua" w:hAnsi="Book Antiqua"/>
          <w:color w:val="000000"/>
        </w:rPr>
        <w:t>Gilead, T</w:t>
      </w:r>
      <w:r w:rsidR="003D11C8" w:rsidRPr="00CD3D64">
        <w:rPr>
          <w:rFonts w:ascii="Book Antiqua" w:hAnsi="Book Antiqua"/>
          <w:color w:val="000000"/>
        </w:rPr>
        <w:t>K</w:t>
      </w:r>
      <w:r w:rsidR="00A578FB" w:rsidRPr="00CD3D64">
        <w:rPr>
          <w:rFonts w:ascii="Book Antiqua" w:hAnsi="Book Antiqua"/>
          <w:color w:val="000000"/>
        </w:rPr>
        <w:t>Y</w:t>
      </w:r>
      <w:r w:rsidR="003D11C8" w:rsidRPr="00CD3D64">
        <w:rPr>
          <w:rFonts w:ascii="Book Antiqua" w:hAnsi="Book Antiqua"/>
          <w:color w:val="000000"/>
        </w:rPr>
        <w:t xml:space="preserve">, </w:t>
      </w:r>
      <w:r w:rsidR="00654F05" w:rsidRPr="00CD3D64">
        <w:rPr>
          <w:rFonts w:ascii="Book Antiqua" w:hAnsi="Book Antiqua"/>
          <w:color w:val="000000"/>
        </w:rPr>
        <w:t>Japan</w:t>
      </w:r>
      <w:bookmarkEnd w:id="23"/>
      <w:bookmarkEnd w:id="24"/>
      <w:r w:rsidR="00654F05" w:rsidRPr="00CD3D64">
        <w:rPr>
          <w:rFonts w:ascii="Book Antiqua" w:hAnsi="Book Antiqua"/>
          <w:color w:val="000000"/>
        </w:rPr>
        <w:t>)</w:t>
      </w:r>
      <w:r w:rsidR="00654F05" w:rsidRPr="00CD3D64">
        <w:rPr>
          <w:rFonts w:ascii="Book Antiqua" w:hAnsi="Book Antiqua"/>
          <w:bCs/>
          <w:iCs/>
          <w:color w:val="000000"/>
        </w:rPr>
        <w:t xml:space="preserve"> plus ribavirin</w:t>
      </w:r>
      <w:r w:rsidR="00D53F10" w:rsidRPr="00CD3D64">
        <w:rPr>
          <w:rFonts w:ascii="Book Antiqua" w:hAnsi="Book Antiqua"/>
          <w:bCs/>
          <w:iCs/>
          <w:color w:val="000000"/>
        </w:rPr>
        <w:t xml:space="preserve"> (</w:t>
      </w:r>
      <w:proofErr w:type="spellStart"/>
      <w:r w:rsidR="00D53F10" w:rsidRPr="00CD3D64">
        <w:rPr>
          <w:rFonts w:ascii="Book Antiqua" w:hAnsi="Book Antiqua"/>
          <w:bCs/>
          <w:iCs/>
          <w:color w:val="000000"/>
        </w:rPr>
        <w:t>Copegus</w:t>
      </w:r>
      <w:proofErr w:type="spellEnd"/>
      <w:r w:rsidR="003D11C8" w:rsidRPr="00CD3D64">
        <w:rPr>
          <w:rFonts w:ascii="Book Antiqua" w:hAnsi="Book Antiqua"/>
          <w:bCs/>
          <w:iCs/>
          <w:color w:val="000000"/>
        </w:rPr>
        <w:t>,</w:t>
      </w:r>
      <w:r w:rsidR="00824340" w:rsidRPr="00CD3D64">
        <w:rPr>
          <w:rFonts w:ascii="Book Antiqua" w:hAnsi="Book Antiqua"/>
          <w:bCs/>
          <w:iCs/>
          <w:color w:val="000000"/>
        </w:rPr>
        <w:t xml:space="preserve"> </w:t>
      </w:r>
      <w:r w:rsidR="00D53F10" w:rsidRPr="00CD3D64">
        <w:rPr>
          <w:rFonts w:ascii="Book Antiqua" w:hAnsi="Book Antiqua"/>
          <w:bCs/>
          <w:iCs/>
          <w:color w:val="000000"/>
        </w:rPr>
        <w:t>Chugai</w:t>
      </w:r>
      <w:r w:rsidR="00D53F10" w:rsidRPr="00CD3D64">
        <w:rPr>
          <w:rFonts w:ascii="Book Antiqua" w:hAnsi="Book Antiqua"/>
          <w:color w:val="000000"/>
        </w:rPr>
        <w:t xml:space="preserve"> </w:t>
      </w:r>
      <w:r w:rsidR="00D53F10" w:rsidRPr="00CD3D64">
        <w:rPr>
          <w:rFonts w:ascii="Book Antiqua" w:hAnsi="Book Antiqua"/>
          <w:bCs/>
          <w:iCs/>
          <w:color w:val="000000"/>
        </w:rPr>
        <w:t>Pharmaceutical, T</w:t>
      </w:r>
      <w:r w:rsidR="003D11C8" w:rsidRPr="00CD3D64">
        <w:rPr>
          <w:rFonts w:ascii="Book Antiqua" w:hAnsi="Book Antiqua"/>
          <w:bCs/>
          <w:iCs/>
          <w:color w:val="000000"/>
        </w:rPr>
        <w:t>K</w:t>
      </w:r>
      <w:r w:rsidR="00592412" w:rsidRPr="00CD3D64">
        <w:rPr>
          <w:rFonts w:ascii="Book Antiqua" w:hAnsi="Book Antiqua"/>
          <w:bCs/>
          <w:iCs/>
          <w:color w:val="000000"/>
        </w:rPr>
        <w:t>Y</w:t>
      </w:r>
      <w:r w:rsidR="00D53F10" w:rsidRPr="00CD3D64">
        <w:rPr>
          <w:rFonts w:ascii="Book Antiqua" w:hAnsi="Book Antiqua"/>
          <w:bCs/>
          <w:iCs/>
          <w:color w:val="000000"/>
        </w:rPr>
        <w:t xml:space="preserve">, Japan or </w:t>
      </w:r>
      <w:proofErr w:type="spellStart"/>
      <w:r w:rsidR="00D53F10" w:rsidRPr="00CD3D64">
        <w:rPr>
          <w:rFonts w:ascii="Book Antiqua" w:hAnsi="Book Antiqua"/>
          <w:bCs/>
          <w:iCs/>
          <w:color w:val="000000"/>
        </w:rPr>
        <w:t>Rebetol</w:t>
      </w:r>
      <w:proofErr w:type="spellEnd"/>
      <w:r w:rsidR="001F2C33" w:rsidRPr="00CD3D64">
        <w:rPr>
          <w:rFonts w:ascii="Book Antiqua" w:hAnsi="Book Antiqua"/>
          <w:bCs/>
          <w:iCs/>
          <w:color w:val="000000"/>
        </w:rPr>
        <w:t>,</w:t>
      </w:r>
      <w:r w:rsidR="00824340" w:rsidRPr="00CD3D64">
        <w:rPr>
          <w:rFonts w:ascii="Book Antiqua" w:hAnsi="Book Antiqua"/>
          <w:bCs/>
          <w:iCs/>
          <w:color w:val="000000"/>
        </w:rPr>
        <w:t xml:space="preserve"> </w:t>
      </w:r>
      <w:r w:rsidR="00D53F10" w:rsidRPr="00CD3D64">
        <w:rPr>
          <w:rFonts w:ascii="Book Antiqua" w:hAnsi="Book Antiqua"/>
          <w:bCs/>
          <w:iCs/>
          <w:color w:val="000000"/>
        </w:rPr>
        <w:t>MSD, T</w:t>
      </w:r>
      <w:r w:rsidR="003D11C8" w:rsidRPr="00CD3D64">
        <w:rPr>
          <w:rFonts w:ascii="Book Antiqua" w:hAnsi="Book Antiqua"/>
          <w:bCs/>
          <w:iCs/>
          <w:color w:val="000000"/>
        </w:rPr>
        <w:t>K</w:t>
      </w:r>
      <w:r w:rsidR="00592412" w:rsidRPr="00CD3D64">
        <w:rPr>
          <w:rFonts w:ascii="Book Antiqua" w:hAnsi="Book Antiqua"/>
          <w:bCs/>
          <w:iCs/>
          <w:color w:val="000000"/>
        </w:rPr>
        <w:t>Y</w:t>
      </w:r>
      <w:r w:rsidR="00D53F10" w:rsidRPr="00CD3D64">
        <w:rPr>
          <w:rFonts w:ascii="Book Antiqua" w:hAnsi="Book Antiqua"/>
          <w:bCs/>
          <w:iCs/>
          <w:color w:val="000000"/>
        </w:rPr>
        <w:t>, Japan)</w:t>
      </w:r>
      <w:r w:rsidR="00654F05" w:rsidRPr="00CD3D64">
        <w:rPr>
          <w:rFonts w:ascii="Book Antiqua" w:hAnsi="Book Antiqua"/>
          <w:bCs/>
          <w:iCs/>
          <w:color w:val="000000"/>
        </w:rPr>
        <w:t xml:space="preserve"> </w:t>
      </w:r>
      <w:r w:rsidRPr="00CD3D64">
        <w:rPr>
          <w:rFonts w:ascii="Book Antiqua" w:hAnsi="Book Antiqua"/>
          <w:bCs/>
          <w:iCs/>
          <w:color w:val="000000"/>
        </w:rPr>
        <w:t xml:space="preserve">adjusted by body weight </w:t>
      </w:r>
      <w:r w:rsidR="00654F05" w:rsidRPr="00CD3D64">
        <w:rPr>
          <w:rFonts w:ascii="Book Antiqua" w:hAnsi="Book Antiqua"/>
          <w:bCs/>
          <w:iCs/>
          <w:color w:val="000000"/>
        </w:rPr>
        <w:t xml:space="preserve">(1000 mg/d for patients weighing </w:t>
      </w:r>
      <w:r w:rsidR="00824340" w:rsidRPr="00CD3D64">
        <w:rPr>
          <w:rFonts w:ascii="Book Antiqua" w:hAnsi="Book Antiqua"/>
          <w:bCs/>
          <w:iCs/>
          <w:color w:val="000000"/>
        </w:rPr>
        <w:t>&gt;</w:t>
      </w:r>
      <w:r w:rsidR="00592412" w:rsidRPr="00CD3D64">
        <w:rPr>
          <w:rFonts w:ascii="Book Antiqua" w:hAnsi="Book Antiqua"/>
          <w:bCs/>
          <w:iCs/>
          <w:color w:val="000000"/>
        </w:rPr>
        <w:t xml:space="preserve"> </w:t>
      </w:r>
      <w:r w:rsidR="00654F05" w:rsidRPr="00CD3D64">
        <w:rPr>
          <w:rFonts w:ascii="Book Antiqua" w:hAnsi="Book Antiqua"/>
          <w:bCs/>
          <w:iCs/>
          <w:color w:val="000000"/>
        </w:rPr>
        <w:t xml:space="preserve">80 kg, 800 mg/d for patients weighing </w:t>
      </w:r>
      <w:r w:rsidR="00824340" w:rsidRPr="00CD3D64">
        <w:rPr>
          <w:rFonts w:ascii="Book Antiqua" w:hAnsi="Book Antiqua"/>
          <w:bCs/>
          <w:iCs/>
          <w:color w:val="000000"/>
        </w:rPr>
        <w:sym w:font="Symbol" w:char="F0A3"/>
      </w:r>
      <w:r w:rsidR="00337EEA" w:rsidRPr="00CD3D64">
        <w:rPr>
          <w:rFonts w:ascii="Book Antiqua" w:hAnsi="Book Antiqua"/>
          <w:bCs/>
          <w:iCs/>
          <w:color w:val="000000"/>
        </w:rPr>
        <w:t xml:space="preserve"> </w:t>
      </w:r>
      <w:r w:rsidR="00654F05" w:rsidRPr="00CD3D64">
        <w:rPr>
          <w:rFonts w:ascii="Book Antiqua" w:hAnsi="Book Antiqua"/>
          <w:bCs/>
          <w:iCs/>
          <w:color w:val="000000"/>
        </w:rPr>
        <w:t xml:space="preserve">80 </w:t>
      </w:r>
      <w:r w:rsidR="00824340" w:rsidRPr="00CD3D64">
        <w:rPr>
          <w:rFonts w:ascii="Book Antiqua" w:hAnsi="Book Antiqua"/>
          <w:bCs/>
          <w:iCs/>
          <w:color w:val="000000"/>
        </w:rPr>
        <w:t xml:space="preserve">but </w:t>
      </w:r>
      <w:r w:rsidR="00824340" w:rsidRPr="00CD3D64">
        <w:rPr>
          <w:rFonts w:ascii="Book Antiqua" w:hAnsi="Book Antiqua"/>
          <w:bCs/>
          <w:iCs/>
          <w:color w:val="000000"/>
        </w:rPr>
        <w:sym w:font="Symbol" w:char="F0B3"/>
      </w:r>
      <w:r w:rsidR="00337EEA" w:rsidRPr="00CD3D64">
        <w:rPr>
          <w:rFonts w:ascii="Book Antiqua" w:hAnsi="Book Antiqua"/>
          <w:bCs/>
          <w:iCs/>
          <w:color w:val="000000"/>
        </w:rPr>
        <w:t xml:space="preserve"> </w:t>
      </w:r>
      <w:r w:rsidR="00654F05" w:rsidRPr="00CD3D64">
        <w:rPr>
          <w:rFonts w:ascii="Book Antiqua" w:hAnsi="Book Antiqua"/>
          <w:bCs/>
          <w:iCs/>
          <w:color w:val="000000"/>
        </w:rPr>
        <w:t xml:space="preserve">60 kg, and 600 mg/d for patients weighing </w:t>
      </w:r>
      <w:r w:rsidR="00824340" w:rsidRPr="00CD3D64">
        <w:rPr>
          <w:rFonts w:ascii="Book Antiqua" w:hAnsi="Book Antiqua"/>
          <w:bCs/>
          <w:iCs/>
          <w:color w:val="000000"/>
        </w:rPr>
        <w:t>&lt;</w:t>
      </w:r>
      <w:r w:rsidR="00337EEA" w:rsidRPr="00CD3D64">
        <w:rPr>
          <w:rFonts w:ascii="Book Antiqua" w:hAnsi="Book Antiqua"/>
          <w:bCs/>
          <w:iCs/>
          <w:color w:val="000000"/>
        </w:rPr>
        <w:t xml:space="preserve"> </w:t>
      </w:r>
      <w:r w:rsidR="00654F05" w:rsidRPr="00CD3D64">
        <w:rPr>
          <w:rFonts w:ascii="Book Antiqua" w:hAnsi="Book Antiqua"/>
          <w:bCs/>
          <w:iCs/>
          <w:color w:val="000000"/>
        </w:rPr>
        <w:t xml:space="preserve">60 kg) </w:t>
      </w:r>
      <w:r w:rsidRPr="00CD3D64">
        <w:rPr>
          <w:rFonts w:ascii="Book Antiqua" w:hAnsi="Book Antiqua"/>
          <w:color w:val="000000"/>
        </w:rPr>
        <w:t>were orally administered for 12 wk</w:t>
      </w:r>
      <w:r w:rsidR="00654F05" w:rsidRPr="00CD3D64">
        <w:rPr>
          <w:rFonts w:ascii="Book Antiqua" w:hAnsi="Book Antiqua"/>
          <w:bCs/>
          <w:iCs/>
          <w:color w:val="000000"/>
        </w:rPr>
        <w:t xml:space="preserve">. </w:t>
      </w:r>
      <w:r w:rsidR="00D32C0C" w:rsidRPr="00CD3D64">
        <w:rPr>
          <w:rFonts w:ascii="Book Antiqua" w:hAnsi="Book Antiqua"/>
          <w:color w:val="000000"/>
        </w:rPr>
        <w:t xml:space="preserve">If </w:t>
      </w:r>
      <w:bookmarkStart w:id="25" w:name="_Hlk45863257"/>
      <w:r w:rsidR="00094D5A" w:rsidRPr="00CD3D64">
        <w:rPr>
          <w:rFonts w:ascii="Book Antiqua" w:hAnsi="Book Antiqua"/>
          <w:color w:val="000000"/>
        </w:rPr>
        <w:t>hemoglobin</w:t>
      </w:r>
      <w:bookmarkEnd w:id="25"/>
      <w:r w:rsidR="00094D5A" w:rsidRPr="00CD3D64">
        <w:rPr>
          <w:rFonts w:ascii="Book Antiqua" w:hAnsi="Book Antiqua"/>
          <w:color w:val="000000"/>
        </w:rPr>
        <w:t xml:space="preserve"> </w:t>
      </w:r>
      <w:r w:rsidR="00D32C0C" w:rsidRPr="00CD3D64">
        <w:rPr>
          <w:rFonts w:ascii="Book Antiqua" w:hAnsi="Book Antiqua"/>
          <w:color w:val="000000"/>
        </w:rPr>
        <w:t xml:space="preserve">level fell </w:t>
      </w:r>
      <w:r w:rsidR="00543328" w:rsidRPr="00CD3D64">
        <w:rPr>
          <w:rFonts w:ascii="Book Antiqua" w:hAnsi="Book Antiqua"/>
          <w:color w:val="000000"/>
        </w:rPr>
        <w:t>to &lt;</w:t>
      </w:r>
      <w:r w:rsidR="00337EEA" w:rsidRPr="00CD3D64">
        <w:rPr>
          <w:rFonts w:ascii="Book Antiqua" w:hAnsi="Book Antiqua"/>
          <w:color w:val="000000"/>
        </w:rPr>
        <w:t xml:space="preserve"> </w:t>
      </w:r>
      <w:r w:rsidR="00543328" w:rsidRPr="00CD3D64">
        <w:rPr>
          <w:rFonts w:ascii="Book Antiqua" w:hAnsi="Book Antiqua"/>
          <w:color w:val="000000"/>
        </w:rPr>
        <w:t>10</w:t>
      </w:r>
      <w:r w:rsidR="001F2C33" w:rsidRPr="00CD3D64">
        <w:rPr>
          <w:rFonts w:ascii="Book Antiqua" w:hAnsi="Book Antiqua"/>
          <w:color w:val="000000"/>
        </w:rPr>
        <w:t xml:space="preserve"> </w:t>
      </w:r>
      <w:r w:rsidR="00D32C0C" w:rsidRPr="00CD3D64">
        <w:rPr>
          <w:rFonts w:ascii="Book Antiqua" w:hAnsi="Book Antiqua"/>
          <w:color w:val="000000"/>
        </w:rPr>
        <w:t>g/</w:t>
      </w:r>
      <w:proofErr w:type="spellStart"/>
      <w:r w:rsidR="00D32C0C" w:rsidRPr="00CD3D64">
        <w:rPr>
          <w:rFonts w:ascii="Book Antiqua" w:hAnsi="Book Antiqua"/>
          <w:color w:val="000000"/>
        </w:rPr>
        <w:t>dL</w:t>
      </w:r>
      <w:proofErr w:type="spellEnd"/>
      <w:r w:rsidR="00D32C0C" w:rsidRPr="00CD3D64">
        <w:rPr>
          <w:rFonts w:ascii="Book Antiqua" w:hAnsi="Book Antiqua"/>
          <w:color w:val="000000"/>
        </w:rPr>
        <w:t xml:space="preserve">, </w:t>
      </w:r>
      <w:r w:rsidR="00543328" w:rsidRPr="00CD3D64">
        <w:rPr>
          <w:rFonts w:ascii="Book Antiqua" w:hAnsi="Book Antiqua"/>
          <w:color w:val="000000"/>
        </w:rPr>
        <w:t xml:space="preserve">ribavirin dose </w:t>
      </w:r>
      <w:proofErr w:type="gramStart"/>
      <w:r w:rsidR="00543328" w:rsidRPr="00CD3D64">
        <w:rPr>
          <w:rFonts w:ascii="Book Antiqua" w:hAnsi="Book Antiqua"/>
          <w:color w:val="000000"/>
        </w:rPr>
        <w:t>was reduced</w:t>
      </w:r>
      <w:proofErr w:type="gramEnd"/>
      <w:r w:rsidR="00543328" w:rsidRPr="00CD3D64">
        <w:rPr>
          <w:rFonts w:ascii="Book Antiqua" w:hAnsi="Book Antiqua"/>
          <w:color w:val="000000"/>
        </w:rPr>
        <w:t xml:space="preserve"> to </w:t>
      </w:r>
      <w:r w:rsidR="00D32C0C" w:rsidRPr="00CD3D64">
        <w:rPr>
          <w:rFonts w:ascii="Book Antiqua" w:hAnsi="Book Antiqua"/>
          <w:color w:val="000000"/>
        </w:rPr>
        <w:t>200</w:t>
      </w:r>
      <w:r w:rsidR="00543328" w:rsidRPr="00CD3D64">
        <w:rPr>
          <w:rFonts w:ascii="Book Antiqua" w:hAnsi="Book Antiqua"/>
          <w:color w:val="000000"/>
        </w:rPr>
        <w:t xml:space="preserve"> </w:t>
      </w:r>
      <w:r w:rsidR="00D32C0C" w:rsidRPr="00CD3D64">
        <w:rPr>
          <w:rFonts w:ascii="Book Antiqua" w:hAnsi="Book Antiqua"/>
          <w:color w:val="000000"/>
        </w:rPr>
        <w:t xml:space="preserve">mg/d, and if </w:t>
      </w:r>
      <w:r w:rsidR="001F2C33" w:rsidRPr="00CD3D64">
        <w:rPr>
          <w:rFonts w:ascii="Book Antiqua" w:hAnsi="Book Antiqua"/>
          <w:color w:val="000000"/>
        </w:rPr>
        <w:t>hemoglobin</w:t>
      </w:r>
      <w:r w:rsidR="00D32C0C" w:rsidRPr="00CD3D64">
        <w:rPr>
          <w:rFonts w:ascii="Book Antiqua" w:hAnsi="Book Antiqua"/>
          <w:color w:val="000000"/>
        </w:rPr>
        <w:t xml:space="preserve"> level fell </w:t>
      </w:r>
      <w:r w:rsidR="00543328" w:rsidRPr="00CD3D64">
        <w:rPr>
          <w:rFonts w:ascii="Book Antiqua" w:hAnsi="Book Antiqua"/>
          <w:color w:val="000000"/>
        </w:rPr>
        <w:t>to &lt;</w:t>
      </w:r>
      <w:r w:rsidR="00337EEA" w:rsidRPr="00CD3D64">
        <w:rPr>
          <w:rFonts w:ascii="Book Antiqua" w:hAnsi="Book Antiqua"/>
          <w:color w:val="000000"/>
        </w:rPr>
        <w:t xml:space="preserve"> </w:t>
      </w:r>
      <w:r w:rsidR="00D32C0C" w:rsidRPr="00CD3D64">
        <w:rPr>
          <w:rFonts w:ascii="Book Antiqua" w:hAnsi="Book Antiqua"/>
          <w:color w:val="000000"/>
        </w:rPr>
        <w:t>8.</w:t>
      </w:r>
      <w:r w:rsidR="00543328" w:rsidRPr="00CD3D64">
        <w:rPr>
          <w:rFonts w:ascii="Book Antiqua" w:hAnsi="Book Antiqua"/>
          <w:color w:val="000000"/>
        </w:rPr>
        <w:t>5</w:t>
      </w:r>
      <w:r w:rsidR="001F2C33" w:rsidRPr="00CD3D64">
        <w:rPr>
          <w:rFonts w:ascii="Book Antiqua" w:hAnsi="Book Antiqua"/>
          <w:color w:val="000000"/>
        </w:rPr>
        <w:t xml:space="preserve"> </w:t>
      </w:r>
      <w:r w:rsidR="00D32C0C" w:rsidRPr="00CD3D64">
        <w:rPr>
          <w:rFonts w:ascii="Book Antiqua" w:hAnsi="Book Antiqua"/>
          <w:color w:val="000000"/>
        </w:rPr>
        <w:t>g/</w:t>
      </w:r>
      <w:proofErr w:type="spellStart"/>
      <w:r w:rsidR="00D32C0C" w:rsidRPr="00CD3D64">
        <w:rPr>
          <w:rFonts w:ascii="Book Antiqua" w:hAnsi="Book Antiqua"/>
          <w:color w:val="000000"/>
        </w:rPr>
        <w:t>dL</w:t>
      </w:r>
      <w:proofErr w:type="spellEnd"/>
      <w:r w:rsidR="00D32C0C" w:rsidRPr="00CD3D64">
        <w:rPr>
          <w:rFonts w:ascii="Book Antiqua" w:hAnsi="Book Antiqua"/>
          <w:color w:val="000000"/>
        </w:rPr>
        <w:t xml:space="preserve">, </w:t>
      </w:r>
      <w:r w:rsidR="00D32C0C" w:rsidRPr="00CD3D64">
        <w:rPr>
          <w:rFonts w:ascii="Book Antiqua" w:hAnsi="Book Antiqua"/>
          <w:color w:val="000000"/>
        </w:rPr>
        <w:lastRenderedPageBreak/>
        <w:t xml:space="preserve">ribavirin was discontinued. </w:t>
      </w:r>
      <w:r w:rsidR="00094D5A" w:rsidRPr="00CD3D64">
        <w:rPr>
          <w:rFonts w:ascii="Book Antiqua" w:hAnsi="Book Antiqua"/>
          <w:color w:val="000000"/>
        </w:rPr>
        <w:t xml:space="preserve">If the attending physician judged this treatment </w:t>
      </w:r>
      <w:r w:rsidR="00543328" w:rsidRPr="00CD3D64">
        <w:rPr>
          <w:rFonts w:ascii="Book Antiqua" w:hAnsi="Book Antiqua"/>
          <w:color w:val="000000"/>
        </w:rPr>
        <w:t xml:space="preserve">as </w:t>
      </w:r>
      <w:r w:rsidR="00094D5A" w:rsidRPr="00CD3D64">
        <w:rPr>
          <w:rFonts w:ascii="Book Antiqua" w:hAnsi="Book Antiqua"/>
          <w:color w:val="000000"/>
        </w:rPr>
        <w:t>difficult to continue due to adverse events, b</w:t>
      </w:r>
      <w:r w:rsidR="00D32C0C" w:rsidRPr="00CD3D64">
        <w:rPr>
          <w:rFonts w:ascii="Book Antiqua" w:hAnsi="Book Antiqua"/>
          <w:color w:val="000000"/>
        </w:rPr>
        <w:t xml:space="preserve">oth </w:t>
      </w:r>
      <w:proofErr w:type="spellStart"/>
      <w:r w:rsidR="00D32C0C" w:rsidRPr="00CD3D64">
        <w:rPr>
          <w:rFonts w:ascii="Book Antiqua" w:hAnsi="Book Antiqua"/>
          <w:color w:val="000000"/>
        </w:rPr>
        <w:t>sofosbuvir</w:t>
      </w:r>
      <w:proofErr w:type="spellEnd"/>
      <w:r w:rsidR="00D32C0C" w:rsidRPr="00CD3D64">
        <w:rPr>
          <w:rFonts w:ascii="Book Antiqua" w:hAnsi="Book Antiqua"/>
          <w:color w:val="000000"/>
        </w:rPr>
        <w:t xml:space="preserve"> and ribavirin </w:t>
      </w:r>
      <w:proofErr w:type="gramStart"/>
      <w:r w:rsidR="00D32C0C" w:rsidRPr="00CD3D64">
        <w:rPr>
          <w:rFonts w:ascii="Book Antiqua" w:hAnsi="Book Antiqua"/>
          <w:color w:val="000000"/>
        </w:rPr>
        <w:t>were discontinued</w:t>
      </w:r>
      <w:proofErr w:type="gramEnd"/>
      <w:r w:rsidR="00094D5A" w:rsidRPr="00CD3D64">
        <w:rPr>
          <w:rFonts w:ascii="Book Antiqua" w:hAnsi="Book Antiqua"/>
          <w:color w:val="000000"/>
        </w:rPr>
        <w:t>.</w:t>
      </w:r>
    </w:p>
    <w:p w:rsidR="00D53F10" w:rsidRPr="00CD3D64" w:rsidRDefault="00D53F10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</w:p>
    <w:p w:rsidR="00094D5A" w:rsidRPr="00CD3D64" w:rsidRDefault="00094D5A" w:rsidP="00CD3D64">
      <w:pPr>
        <w:adjustRightInd w:val="0"/>
        <w:snapToGrid w:val="0"/>
        <w:spacing w:line="360" w:lineRule="auto"/>
        <w:rPr>
          <w:rFonts w:ascii="Book Antiqua" w:hAnsi="Book Antiqua"/>
          <w:b/>
          <w:bCs/>
          <w:i/>
          <w:iCs/>
          <w:color w:val="000000"/>
        </w:rPr>
      </w:pPr>
      <w:r w:rsidRPr="00CD3D64">
        <w:rPr>
          <w:rFonts w:ascii="Book Antiqua" w:hAnsi="Book Antiqua"/>
          <w:b/>
          <w:bCs/>
          <w:i/>
          <w:iCs/>
          <w:color w:val="000000"/>
        </w:rPr>
        <w:t>Laboratory test</w:t>
      </w:r>
    </w:p>
    <w:p w:rsidR="00094D5A" w:rsidRPr="00CD3D64" w:rsidRDefault="00AA0C32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CD3D64">
        <w:rPr>
          <w:rFonts w:ascii="Book Antiqua" w:hAnsi="Book Antiqua"/>
          <w:color w:val="000000"/>
        </w:rPr>
        <w:t xml:space="preserve">HCV-RNA </w:t>
      </w:r>
      <w:r w:rsidR="006904A5" w:rsidRPr="00CD3D64">
        <w:rPr>
          <w:rFonts w:ascii="Book Antiqua" w:hAnsi="Book Antiqua"/>
          <w:color w:val="000000"/>
        </w:rPr>
        <w:t xml:space="preserve">load </w:t>
      </w:r>
      <w:r w:rsidRPr="00CD3D64">
        <w:rPr>
          <w:rFonts w:ascii="Book Antiqua" w:hAnsi="Book Antiqua"/>
          <w:color w:val="000000"/>
        </w:rPr>
        <w:t xml:space="preserve">was measured using quantitative </w:t>
      </w:r>
      <w:r w:rsidR="006904A5" w:rsidRPr="00CD3D64">
        <w:rPr>
          <w:rFonts w:ascii="Book Antiqua" w:hAnsi="Book Antiqua"/>
          <w:color w:val="000000"/>
        </w:rPr>
        <w:t>reverse transcription polymerase chain reaction</w:t>
      </w:r>
      <w:r w:rsidRPr="00CD3D64">
        <w:rPr>
          <w:rFonts w:ascii="Book Antiqua" w:hAnsi="Book Antiqua"/>
          <w:color w:val="000000"/>
        </w:rPr>
        <w:t xml:space="preserve"> (COBAS </w:t>
      </w:r>
      <w:proofErr w:type="spellStart"/>
      <w:r w:rsidRPr="00CD3D64">
        <w:rPr>
          <w:rFonts w:ascii="Book Antiqua" w:hAnsi="Book Antiqua"/>
          <w:color w:val="000000"/>
        </w:rPr>
        <w:t>TaqMan</w:t>
      </w:r>
      <w:proofErr w:type="spellEnd"/>
      <w:r w:rsidRPr="00CD3D64">
        <w:rPr>
          <w:rFonts w:ascii="Book Antiqua" w:hAnsi="Book Antiqua"/>
          <w:color w:val="000000"/>
        </w:rPr>
        <w:t xml:space="preserve"> PCR assay version 2</w:t>
      </w:r>
      <w:r w:rsidR="00301CF1">
        <w:rPr>
          <w:rFonts w:ascii="Book Antiqua" w:hAnsi="Book Antiqua"/>
          <w:color w:val="000000"/>
        </w:rPr>
        <w:t>;</w:t>
      </w:r>
      <w:r w:rsidRPr="00CD3D64">
        <w:rPr>
          <w:rFonts w:ascii="Book Antiqua" w:hAnsi="Book Antiqua"/>
          <w:color w:val="000000"/>
        </w:rPr>
        <w:t xml:space="preserve"> Roche Diagnostics, Branchburg, </w:t>
      </w:r>
      <w:r w:rsidR="00A578FB" w:rsidRPr="00CD3D64">
        <w:rPr>
          <w:rFonts w:ascii="Book Antiqua" w:hAnsi="Book Antiqua"/>
          <w:color w:val="000000"/>
        </w:rPr>
        <w:t>NJ</w:t>
      </w:r>
      <w:r w:rsidR="001F2C33" w:rsidRPr="00CD3D64">
        <w:rPr>
          <w:rFonts w:ascii="Book Antiqua" w:hAnsi="Book Antiqua"/>
          <w:color w:val="000000"/>
        </w:rPr>
        <w:t>, United States</w:t>
      </w:r>
      <w:r w:rsidRPr="00CD3D64">
        <w:rPr>
          <w:rFonts w:ascii="Book Antiqua" w:hAnsi="Book Antiqua"/>
          <w:color w:val="000000"/>
        </w:rPr>
        <w:t xml:space="preserve">). HCV genotype was determined using the antibody serotyping method (SRL, </w:t>
      </w:r>
      <w:r w:rsidR="00A578FB" w:rsidRPr="00CD3D64">
        <w:rPr>
          <w:rFonts w:ascii="Book Antiqua" w:hAnsi="Book Antiqua"/>
          <w:color w:val="000000"/>
        </w:rPr>
        <w:t>TKY</w:t>
      </w:r>
      <w:r w:rsidRPr="00CD3D64">
        <w:rPr>
          <w:rFonts w:ascii="Book Antiqua" w:hAnsi="Book Antiqua"/>
          <w:color w:val="000000"/>
        </w:rPr>
        <w:t xml:space="preserve">, </w:t>
      </w:r>
      <w:proofErr w:type="gramStart"/>
      <w:r w:rsidRPr="00CD3D64">
        <w:rPr>
          <w:rFonts w:ascii="Book Antiqua" w:hAnsi="Book Antiqua"/>
          <w:color w:val="000000"/>
        </w:rPr>
        <w:t>Japan</w:t>
      </w:r>
      <w:proofErr w:type="gramEnd"/>
      <w:r w:rsidRPr="00CD3D64">
        <w:rPr>
          <w:rFonts w:ascii="Book Antiqua" w:hAnsi="Book Antiqua"/>
          <w:color w:val="000000"/>
        </w:rPr>
        <w:t xml:space="preserve">). HCV serotypes 1 and 2 correspond to genotypes 1a/1b and 2a/2b, respectively. When HCV serotype could not be determined, genotype was examined using </w:t>
      </w:r>
      <w:r w:rsidR="006904A5" w:rsidRPr="00CD3D64">
        <w:rPr>
          <w:rFonts w:ascii="Book Antiqua" w:hAnsi="Book Antiqua"/>
          <w:color w:val="000000"/>
        </w:rPr>
        <w:t xml:space="preserve">real-time </w:t>
      </w:r>
      <w:r w:rsidR="00C9570E" w:rsidRPr="00CD3D64">
        <w:rPr>
          <w:rFonts w:ascii="Book Antiqua" w:hAnsi="Book Antiqua"/>
          <w:color w:val="000000"/>
        </w:rPr>
        <w:t>polymerase chain reaction</w:t>
      </w:r>
      <w:r w:rsidR="00C9570E" w:rsidRPr="00CD3D64" w:rsidDel="00C9570E">
        <w:rPr>
          <w:rFonts w:ascii="Book Antiqua" w:hAnsi="Book Antiqua"/>
          <w:color w:val="000000"/>
        </w:rPr>
        <w:t xml:space="preserve"> </w:t>
      </w:r>
      <w:r w:rsidRPr="00CD3D64">
        <w:rPr>
          <w:rFonts w:ascii="Book Antiqua" w:hAnsi="Book Antiqua"/>
          <w:color w:val="000000"/>
        </w:rPr>
        <w:t xml:space="preserve">assay (BML, </w:t>
      </w:r>
      <w:r w:rsidR="00A578FB" w:rsidRPr="00CD3D64">
        <w:rPr>
          <w:rFonts w:ascii="Book Antiqua" w:hAnsi="Book Antiqua"/>
          <w:color w:val="000000"/>
        </w:rPr>
        <w:t>TKY</w:t>
      </w:r>
      <w:r w:rsidRPr="00CD3D64">
        <w:rPr>
          <w:rFonts w:ascii="Book Antiqua" w:hAnsi="Book Antiqua"/>
          <w:color w:val="000000"/>
        </w:rPr>
        <w:t xml:space="preserve">, </w:t>
      </w:r>
      <w:proofErr w:type="gramStart"/>
      <w:r w:rsidRPr="00CD3D64">
        <w:rPr>
          <w:rFonts w:ascii="Book Antiqua" w:hAnsi="Book Antiqua"/>
          <w:color w:val="000000"/>
        </w:rPr>
        <w:t>Japan</w:t>
      </w:r>
      <w:proofErr w:type="gramEnd"/>
      <w:r w:rsidRPr="00CD3D64">
        <w:rPr>
          <w:rFonts w:ascii="Book Antiqua" w:hAnsi="Book Antiqua"/>
          <w:color w:val="000000"/>
        </w:rPr>
        <w:t xml:space="preserve">). HCV-RNA </w:t>
      </w:r>
      <w:proofErr w:type="gramStart"/>
      <w:r w:rsidRPr="00CD3D64">
        <w:rPr>
          <w:rFonts w:ascii="Book Antiqua" w:hAnsi="Book Antiqua"/>
          <w:color w:val="000000"/>
        </w:rPr>
        <w:t>was checked</w:t>
      </w:r>
      <w:proofErr w:type="gramEnd"/>
      <w:r w:rsidRPr="00CD3D64">
        <w:rPr>
          <w:rFonts w:ascii="Book Antiqua" w:hAnsi="Book Antiqua"/>
          <w:color w:val="000000"/>
        </w:rPr>
        <w:t xml:space="preserve"> on the day of therapy initiation and every 4 </w:t>
      </w:r>
      <w:proofErr w:type="spellStart"/>
      <w:r w:rsidRPr="00CD3D64">
        <w:rPr>
          <w:rFonts w:ascii="Book Antiqua" w:hAnsi="Book Antiqua"/>
          <w:color w:val="000000"/>
        </w:rPr>
        <w:t>wk</w:t>
      </w:r>
      <w:proofErr w:type="spellEnd"/>
      <w:r w:rsidRPr="00CD3D64">
        <w:rPr>
          <w:rFonts w:ascii="Book Antiqua" w:hAnsi="Book Antiqua"/>
          <w:color w:val="000000"/>
        </w:rPr>
        <w:t xml:space="preserve"> </w:t>
      </w:r>
      <w:r w:rsidR="00566EAD" w:rsidRPr="00CD3D64">
        <w:rPr>
          <w:rFonts w:ascii="Book Antiqua" w:hAnsi="Book Antiqua"/>
          <w:color w:val="000000"/>
        </w:rPr>
        <w:t>during treatment</w:t>
      </w:r>
      <w:r w:rsidRPr="00CD3D64">
        <w:rPr>
          <w:rFonts w:ascii="Book Antiqua" w:hAnsi="Book Antiqua"/>
          <w:color w:val="000000"/>
        </w:rPr>
        <w:t xml:space="preserve">. </w:t>
      </w:r>
      <w:r w:rsidR="009822F8" w:rsidRPr="00CD3D64">
        <w:rPr>
          <w:rFonts w:ascii="Book Antiqua" w:hAnsi="Book Antiqua"/>
          <w:color w:val="000000"/>
        </w:rPr>
        <w:t>B</w:t>
      </w:r>
      <w:r w:rsidRPr="00CD3D64">
        <w:rPr>
          <w:rFonts w:ascii="Book Antiqua" w:hAnsi="Book Antiqua"/>
          <w:color w:val="000000"/>
        </w:rPr>
        <w:t xml:space="preserve">iochemical analyses including blood </w:t>
      </w:r>
      <w:r w:rsidR="00566EAD" w:rsidRPr="00CD3D64">
        <w:rPr>
          <w:rFonts w:ascii="Book Antiqua" w:hAnsi="Book Antiqua"/>
          <w:color w:val="000000"/>
        </w:rPr>
        <w:t xml:space="preserve">cell </w:t>
      </w:r>
      <w:r w:rsidRPr="00CD3D64">
        <w:rPr>
          <w:rFonts w:ascii="Book Antiqua" w:hAnsi="Book Antiqua"/>
          <w:color w:val="000000"/>
        </w:rPr>
        <w:t xml:space="preserve">counts, </w:t>
      </w:r>
      <w:r w:rsidR="00566EAD" w:rsidRPr="00CD3D64">
        <w:rPr>
          <w:rFonts w:ascii="Book Antiqua" w:hAnsi="Book Antiqua"/>
          <w:color w:val="000000"/>
        </w:rPr>
        <w:t xml:space="preserve">C-reactive protein level, </w:t>
      </w:r>
      <w:r w:rsidRPr="00CD3D64">
        <w:rPr>
          <w:rFonts w:ascii="Book Antiqua" w:hAnsi="Book Antiqua"/>
          <w:color w:val="000000"/>
        </w:rPr>
        <w:t>blood sug</w:t>
      </w:r>
      <w:r w:rsidR="00566EAD" w:rsidRPr="00CD3D64">
        <w:rPr>
          <w:rFonts w:ascii="Book Antiqua" w:hAnsi="Book Antiqua"/>
          <w:color w:val="000000"/>
        </w:rPr>
        <w:t>a</w:t>
      </w:r>
      <w:r w:rsidRPr="00CD3D64">
        <w:rPr>
          <w:rFonts w:ascii="Book Antiqua" w:hAnsi="Book Antiqua"/>
          <w:color w:val="000000"/>
        </w:rPr>
        <w:t>r</w:t>
      </w:r>
      <w:r w:rsidR="00566EAD" w:rsidRPr="00CD3D64">
        <w:rPr>
          <w:rFonts w:ascii="Book Antiqua" w:hAnsi="Book Antiqua"/>
          <w:color w:val="000000"/>
        </w:rPr>
        <w:t xml:space="preserve"> level</w:t>
      </w:r>
      <w:r w:rsidRPr="00CD3D64">
        <w:rPr>
          <w:rFonts w:ascii="Book Antiqua" w:hAnsi="Book Antiqua"/>
          <w:color w:val="000000"/>
        </w:rPr>
        <w:t xml:space="preserve">, </w:t>
      </w:r>
      <w:r w:rsidR="006904A5" w:rsidRPr="00CD3D64">
        <w:rPr>
          <w:rFonts w:ascii="Book Antiqua" w:hAnsi="Book Antiqua"/>
          <w:color w:val="000000"/>
        </w:rPr>
        <w:t xml:space="preserve">and </w:t>
      </w:r>
      <w:r w:rsidRPr="00CD3D64">
        <w:rPr>
          <w:rFonts w:ascii="Book Antiqua" w:hAnsi="Book Antiqua"/>
          <w:color w:val="000000"/>
        </w:rPr>
        <w:t xml:space="preserve">liver and renal function tests </w:t>
      </w:r>
      <w:proofErr w:type="gramStart"/>
      <w:r w:rsidRPr="00CD3D64">
        <w:rPr>
          <w:rFonts w:ascii="Book Antiqua" w:hAnsi="Book Antiqua"/>
          <w:color w:val="000000"/>
        </w:rPr>
        <w:t>were performed</w:t>
      </w:r>
      <w:proofErr w:type="gramEnd"/>
      <w:r w:rsidRPr="00CD3D64">
        <w:rPr>
          <w:rFonts w:ascii="Book Antiqua" w:hAnsi="Book Antiqua"/>
          <w:color w:val="000000"/>
        </w:rPr>
        <w:t xml:space="preserve"> every 2 </w:t>
      </w:r>
      <w:proofErr w:type="spellStart"/>
      <w:r w:rsidRPr="00CD3D64">
        <w:rPr>
          <w:rFonts w:ascii="Book Antiqua" w:hAnsi="Book Antiqua"/>
          <w:color w:val="000000"/>
        </w:rPr>
        <w:t>wk</w:t>
      </w:r>
      <w:proofErr w:type="spellEnd"/>
      <w:r w:rsidRPr="00CD3D64">
        <w:rPr>
          <w:rFonts w:ascii="Book Antiqua" w:hAnsi="Book Antiqua"/>
          <w:color w:val="000000"/>
        </w:rPr>
        <w:t xml:space="preserve"> during treatment</w:t>
      </w:r>
      <w:r w:rsidR="009822F8" w:rsidRPr="00CD3D64">
        <w:rPr>
          <w:rFonts w:ascii="Book Antiqua" w:hAnsi="Book Antiqua"/>
          <w:color w:val="000000"/>
        </w:rPr>
        <w:t>.</w:t>
      </w:r>
    </w:p>
    <w:p w:rsidR="00AA0C32" w:rsidRPr="00CD3D64" w:rsidRDefault="00AA0C32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</w:p>
    <w:p w:rsidR="006F40C2" w:rsidRPr="00CD3D64" w:rsidRDefault="006F40C2" w:rsidP="00CD3D64">
      <w:pPr>
        <w:adjustRightInd w:val="0"/>
        <w:snapToGrid w:val="0"/>
        <w:spacing w:line="360" w:lineRule="auto"/>
        <w:rPr>
          <w:rFonts w:ascii="Book Antiqua" w:hAnsi="Book Antiqua"/>
          <w:b/>
          <w:bCs/>
          <w:i/>
          <w:iCs/>
          <w:color w:val="000000"/>
        </w:rPr>
      </w:pPr>
      <w:r w:rsidRPr="00CD3D64">
        <w:rPr>
          <w:rFonts w:ascii="Book Antiqua" w:hAnsi="Book Antiqua"/>
          <w:b/>
          <w:bCs/>
          <w:i/>
          <w:color w:val="000000"/>
        </w:rPr>
        <w:t xml:space="preserve">Assessment of </w:t>
      </w:r>
      <w:r w:rsidRPr="00CD3D64">
        <w:rPr>
          <w:rFonts w:ascii="Book Antiqua" w:hAnsi="Book Antiqua"/>
          <w:b/>
          <w:bCs/>
          <w:i/>
          <w:iCs/>
          <w:color w:val="000000"/>
        </w:rPr>
        <w:t>effectiveness</w:t>
      </w:r>
    </w:p>
    <w:p w:rsidR="00C642FE" w:rsidRPr="00CD3D64" w:rsidRDefault="00D43C4A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CD3D64">
        <w:rPr>
          <w:rFonts w:ascii="Book Antiqua" w:hAnsi="Book Antiqua"/>
          <w:color w:val="000000"/>
        </w:rPr>
        <w:t xml:space="preserve">Rapid </w:t>
      </w:r>
      <w:proofErr w:type="spellStart"/>
      <w:r w:rsidRPr="00CD3D64">
        <w:rPr>
          <w:rFonts w:ascii="Book Antiqua" w:hAnsi="Book Antiqua"/>
          <w:color w:val="000000"/>
        </w:rPr>
        <w:t>virological</w:t>
      </w:r>
      <w:proofErr w:type="spellEnd"/>
      <w:r w:rsidRPr="00CD3D64">
        <w:rPr>
          <w:rFonts w:ascii="Book Antiqua" w:hAnsi="Book Antiqua"/>
          <w:color w:val="000000"/>
        </w:rPr>
        <w:t xml:space="preserve"> response (RVR) </w:t>
      </w:r>
      <w:proofErr w:type="gramStart"/>
      <w:r w:rsidRPr="00CD3D64">
        <w:rPr>
          <w:rFonts w:ascii="Book Antiqua" w:hAnsi="Book Antiqua"/>
          <w:color w:val="000000"/>
        </w:rPr>
        <w:t>was defined</w:t>
      </w:r>
      <w:proofErr w:type="gramEnd"/>
      <w:r w:rsidRPr="00CD3D64">
        <w:rPr>
          <w:rFonts w:ascii="Book Antiqua" w:hAnsi="Book Antiqua"/>
          <w:color w:val="000000"/>
        </w:rPr>
        <w:t xml:space="preserve"> as serum HCV-RNA negativity </w:t>
      </w:r>
      <w:r w:rsidR="006904A5" w:rsidRPr="00CD3D64">
        <w:rPr>
          <w:rFonts w:ascii="Book Antiqua" w:hAnsi="Book Antiqua"/>
          <w:color w:val="000000"/>
        </w:rPr>
        <w:t>in</w:t>
      </w:r>
      <w:r w:rsidR="00500965" w:rsidRPr="00CD3D64">
        <w:rPr>
          <w:rFonts w:ascii="Book Antiqua" w:hAnsi="Book Antiqua"/>
          <w:b/>
          <w:bCs/>
          <w:color w:val="000000"/>
        </w:rPr>
        <w:t xml:space="preserve"> </w:t>
      </w:r>
      <w:r w:rsidRPr="00CD3D64">
        <w:rPr>
          <w:rFonts w:ascii="Book Antiqua" w:hAnsi="Book Antiqua"/>
          <w:color w:val="000000"/>
        </w:rPr>
        <w:t>week 4 after therapy initiation. End</w:t>
      </w:r>
      <w:r w:rsidR="006904A5" w:rsidRPr="00CD3D64">
        <w:rPr>
          <w:rFonts w:ascii="Book Antiqua" w:hAnsi="Book Antiqua"/>
          <w:color w:val="000000"/>
        </w:rPr>
        <w:t>-</w:t>
      </w:r>
      <w:r w:rsidRPr="00CD3D64">
        <w:rPr>
          <w:rFonts w:ascii="Book Antiqua" w:hAnsi="Book Antiqua"/>
          <w:color w:val="000000"/>
        </w:rPr>
        <w:t>of</w:t>
      </w:r>
      <w:r w:rsidR="006904A5" w:rsidRPr="00CD3D64">
        <w:rPr>
          <w:rFonts w:ascii="Book Antiqua" w:hAnsi="Book Antiqua"/>
          <w:color w:val="000000"/>
        </w:rPr>
        <w:t>-</w:t>
      </w:r>
      <w:r w:rsidRPr="00CD3D64">
        <w:rPr>
          <w:rFonts w:ascii="Book Antiqua" w:hAnsi="Book Antiqua"/>
          <w:color w:val="000000"/>
        </w:rPr>
        <w:t xml:space="preserve">treatment response </w:t>
      </w:r>
      <w:proofErr w:type="gramStart"/>
      <w:r w:rsidRPr="00CD3D64">
        <w:rPr>
          <w:rFonts w:ascii="Book Antiqua" w:hAnsi="Book Antiqua"/>
          <w:color w:val="000000"/>
        </w:rPr>
        <w:t>was defined</w:t>
      </w:r>
      <w:proofErr w:type="gramEnd"/>
      <w:r w:rsidRPr="00CD3D64">
        <w:rPr>
          <w:rFonts w:ascii="Book Antiqua" w:hAnsi="Book Antiqua"/>
          <w:color w:val="000000"/>
        </w:rPr>
        <w:t xml:space="preserve"> as serum HCV-RNA negativity </w:t>
      </w:r>
      <w:r w:rsidR="006904A5" w:rsidRPr="00CD3D64">
        <w:rPr>
          <w:rFonts w:ascii="Book Antiqua" w:hAnsi="Book Antiqua"/>
          <w:color w:val="000000"/>
        </w:rPr>
        <w:t xml:space="preserve">in </w:t>
      </w:r>
      <w:r w:rsidRPr="00CD3D64">
        <w:rPr>
          <w:rFonts w:ascii="Book Antiqua" w:hAnsi="Book Antiqua"/>
          <w:color w:val="000000"/>
        </w:rPr>
        <w:t>week 12 after therapy initiation.</w:t>
      </w:r>
      <w:r w:rsidR="006904A5" w:rsidRPr="00CD3D64">
        <w:rPr>
          <w:rFonts w:ascii="Book Antiqua" w:hAnsi="Book Antiqua"/>
          <w:color w:val="000000"/>
        </w:rPr>
        <w:t xml:space="preserve"> </w:t>
      </w:r>
      <w:r w:rsidR="00E8235D" w:rsidRPr="00CD3D64">
        <w:rPr>
          <w:rFonts w:ascii="Book Antiqua" w:hAnsi="Book Antiqua"/>
          <w:color w:val="000000"/>
        </w:rPr>
        <w:t xml:space="preserve">SVR </w:t>
      </w:r>
      <w:proofErr w:type="gramStart"/>
      <w:r w:rsidR="00E8235D" w:rsidRPr="00CD3D64">
        <w:rPr>
          <w:rFonts w:ascii="Book Antiqua" w:hAnsi="Book Antiqua"/>
          <w:color w:val="000000"/>
        </w:rPr>
        <w:t>was defined</w:t>
      </w:r>
      <w:proofErr w:type="gramEnd"/>
      <w:r w:rsidR="00E8235D" w:rsidRPr="00CD3D64">
        <w:rPr>
          <w:rFonts w:ascii="Book Antiqua" w:hAnsi="Book Antiqua"/>
          <w:color w:val="000000"/>
        </w:rPr>
        <w:t xml:space="preserve"> as</w:t>
      </w:r>
      <w:r w:rsidR="00490035" w:rsidRPr="00CD3D64">
        <w:rPr>
          <w:rFonts w:ascii="Book Antiqua" w:hAnsi="Book Antiqua"/>
          <w:color w:val="000000"/>
        </w:rPr>
        <w:t xml:space="preserve"> </w:t>
      </w:r>
      <w:r w:rsidR="00E8235D" w:rsidRPr="00CD3D64">
        <w:rPr>
          <w:rFonts w:ascii="Book Antiqua" w:hAnsi="Book Antiqua"/>
          <w:color w:val="000000"/>
        </w:rPr>
        <w:t>HCV</w:t>
      </w:r>
      <w:r w:rsidR="009822F8" w:rsidRPr="00CD3D64">
        <w:rPr>
          <w:rFonts w:ascii="Book Antiqua" w:hAnsi="Book Antiqua"/>
          <w:color w:val="000000"/>
        </w:rPr>
        <w:t>-</w:t>
      </w:r>
      <w:r w:rsidR="00E8235D" w:rsidRPr="00CD3D64">
        <w:rPr>
          <w:rFonts w:ascii="Book Antiqua" w:hAnsi="Book Antiqua"/>
          <w:color w:val="000000"/>
        </w:rPr>
        <w:t xml:space="preserve">RNA </w:t>
      </w:r>
      <w:r w:rsidR="009822F8" w:rsidRPr="00CD3D64">
        <w:rPr>
          <w:rFonts w:ascii="Book Antiqua" w:hAnsi="Book Antiqua"/>
          <w:color w:val="000000"/>
        </w:rPr>
        <w:t xml:space="preserve">negativity </w:t>
      </w:r>
      <w:r w:rsidR="00E8235D" w:rsidRPr="00CD3D64">
        <w:rPr>
          <w:rFonts w:ascii="Book Antiqua" w:hAnsi="Book Antiqua"/>
          <w:color w:val="000000"/>
        </w:rPr>
        <w:t xml:space="preserve">at </w:t>
      </w:r>
      <w:r w:rsidR="00521ED6" w:rsidRPr="00CD3D64">
        <w:rPr>
          <w:rFonts w:ascii="Book Antiqua" w:hAnsi="Book Antiqua"/>
          <w:color w:val="000000"/>
        </w:rPr>
        <w:t>24</w:t>
      </w:r>
      <w:r w:rsidR="00E8235D" w:rsidRPr="00CD3D64">
        <w:rPr>
          <w:rFonts w:ascii="Book Antiqua" w:hAnsi="Book Antiqua"/>
          <w:color w:val="000000"/>
        </w:rPr>
        <w:t xml:space="preserve"> </w:t>
      </w:r>
      <w:proofErr w:type="spellStart"/>
      <w:r w:rsidR="00E8235D" w:rsidRPr="00CD3D64">
        <w:rPr>
          <w:rFonts w:ascii="Book Antiqua" w:hAnsi="Book Antiqua"/>
          <w:color w:val="000000"/>
        </w:rPr>
        <w:t>wk</w:t>
      </w:r>
      <w:proofErr w:type="spellEnd"/>
      <w:r w:rsidR="00E8235D" w:rsidRPr="00CD3D64">
        <w:rPr>
          <w:rFonts w:ascii="Book Antiqua" w:hAnsi="Book Antiqua"/>
          <w:color w:val="000000"/>
        </w:rPr>
        <w:t xml:space="preserve"> after the end of therapy. </w:t>
      </w:r>
      <w:r w:rsidR="00521ED6" w:rsidRPr="00CD3D64">
        <w:rPr>
          <w:rFonts w:ascii="Book Antiqua" w:hAnsi="Book Antiqua"/>
          <w:color w:val="000000"/>
        </w:rPr>
        <w:t xml:space="preserve">The primary </w:t>
      </w:r>
      <w:proofErr w:type="gramStart"/>
      <w:r w:rsidR="00521ED6" w:rsidRPr="00CD3D64">
        <w:rPr>
          <w:rFonts w:ascii="Book Antiqua" w:hAnsi="Book Antiqua"/>
          <w:color w:val="000000"/>
        </w:rPr>
        <w:t>end point</w:t>
      </w:r>
      <w:proofErr w:type="gramEnd"/>
      <w:r w:rsidR="00521ED6" w:rsidRPr="00CD3D64">
        <w:rPr>
          <w:rFonts w:ascii="Book Antiqua" w:hAnsi="Book Antiqua"/>
          <w:color w:val="000000"/>
        </w:rPr>
        <w:t xml:space="preserve"> of this study was SVR at 24 </w:t>
      </w:r>
      <w:proofErr w:type="spellStart"/>
      <w:r w:rsidR="00521ED6" w:rsidRPr="00CD3D64">
        <w:rPr>
          <w:rFonts w:ascii="Book Antiqua" w:hAnsi="Book Antiqua"/>
          <w:color w:val="000000"/>
        </w:rPr>
        <w:t>wk</w:t>
      </w:r>
      <w:proofErr w:type="spellEnd"/>
      <w:r w:rsidR="00521ED6" w:rsidRPr="00CD3D64">
        <w:rPr>
          <w:rFonts w:ascii="Book Antiqua" w:hAnsi="Book Antiqua"/>
          <w:color w:val="000000"/>
        </w:rPr>
        <w:t xml:space="preserve"> after the end of therapy.</w:t>
      </w:r>
      <w:r w:rsidR="00D22B6F" w:rsidRPr="00CD3D64">
        <w:rPr>
          <w:rFonts w:ascii="Book Antiqua" w:hAnsi="Book Antiqua"/>
          <w:color w:val="000000"/>
        </w:rPr>
        <w:t xml:space="preserve"> Treatment failure </w:t>
      </w:r>
      <w:proofErr w:type="gramStart"/>
      <w:r w:rsidR="00D22B6F" w:rsidRPr="00CD3D64">
        <w:rPr>
          <w:rFonts w:ascii="Book Antiqua" w:hAnsi="Book Antiqua"/>
          <w:color w:val="000000"/>
        </w:rPr>
        <w:t>was defined</w:t>
      </w:r>
      <w:proofErr w:type="gramEnd"/>
      <w:r w:rsidR="00D22B6F" w:rsidRPr="00CD3D64">
        <w:rPr>
          <w:rFonts w:ascii="Book Antiqua" w:hAnsi="Book Antiqua"/>
          <w:color w:val="000000"/>
        </w:rPr>
        <w:t xml:space="preserve"> as non-SVR.</w:t>
      </w:r>
    </w:p>
    <w:p w:rsidR="00722770" w:rsidRPr="00CD3D64" w:rsidRDefault="00722770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</w:p>
    <w:p w:rsidR="008B3460" w:rsidRPr="00CD3D64" w:rsidRDefault="008B3460" w:rsidP="00CD3D64">
      <w:pPr>
        <w:adjustRightInd w:val="0"/>
        <w:snapToGrid w:val="0"/>
        <w:spacing w:line="360" w:lineRule="auto"/>
        <w:rPr>
          <w:rFonts w:ascii="Book Antiqua" w:hAnsi="Book Antiqua"/>
          <w:b/>
          <w:i/>
          <w:color w:val="000000"/>
        </w:rPr>
      </w:pPr>
      <w:r w:rsidRPr="00CD3D64">
        <w:rPr>
          <w:rFonts w:ascii="Book Antiqua" w:hAnsi="Book Antiqua"/>
          <w:b/>
          <w:i/>
          <w:color w:val="000000"/>
        </w:rPr>
        <w:t>Assessment of safety and tolerability</w:t>
      </w:r>
    </w:p>
    <w:p w:rsidR="008B3460" w:rsidRPr="00CD3D64" w:rsidRDefault="00D53F10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CD3D64">
        <w:rPr>
          <w:rFonts w:ascii="Book Antiqua" w:hAnsi="Book Antiqua"/>
          <w:color w:val="000000"/>
        </w:rPr>
        <w:t xml:space="preserve">Patients were assessed for </w:t>
      </w:r>
      <w:r w:rsidR="00B81977" w:rsidRPr="00CD3D64">
        <w:rPr>
          <w:rFonts w:ascii="Book Antiqua" w:hAnsi="Book Antiqua"/>
          <w:color w:val="000000"/>
        </w:rPr>
        <w:t xml:space="preserve">the </w:t>
      </w:r>
      <w:r w:rsidRPr="00CD3D64">
        <w:rPr>
          <w:rFonts w:ascii="Book Antiqua" w:hAnsi="Book Antiqua"/>
          <w:color w:val="000000"/>
        </w:rPr>
        <w:t xml:space="preserve">safety and tolerability </w:t>
      </w:r>
      <w:r w:rsidR="00B81977" w:rsidRPr="00CD3D64">
        <w:rPr>
          <w:rFonts w:ascii="Book Antiqua" w:hAnsi="Book Antiqua"/>
          <w:color w:val="000000"/>
        </w:rPr>
        <w:t xml:space="preserve">of </w:t>
      </w:r>
      <w:r w:rsidRPr="00CD3D64">
        <w:rPr>
          <w:rFonts w:ascii="Book Antiqua" w:hAnsi="Book Antiqua"/>
          <w:color w:val="000000"/>
        </w:rPr>
        <w:t xml:space="preserve">treatment by attending physicians who monitored adverse events and laboratory parameters such as blood cell counts and liver and renal function tests every 2 wk. </w:t>
      </w:r>
      <w:proofErr w:type="gramStart"/>
      <w:r w:rsidRPr="00CD3D64">
        <w:rPr>
          <w:rFonts w:ascii="Book Antiqua" w:hAnsi="Book Antiqua"/>
          <w:color w:val="000000"/>
        </w:rPr>
        <w:t>Adverse</w:t>
      </w:r>
      <w:proofErr w:type="gramEnd"/>
      <w:r w:rsidRPr="00CD3D64">
        <w:rPr>
          <w:rFonts w:ascii="Book Antiqua" w:hAnsi="Book Antiqua"/>
          <w:color w:val="000000"/>
        </w:rPr>
        <w:t xml:space="preserve"> events were assessed according to Common Terminology Criteria for Adverse Events version 4.0. The incidence of and reasons for therapy discontinuation or interruption due to adverse events were analyzed.</w:t>
      </w:r>
    </w:p>
    <w:p w:rsidR="00FC5069" w:rsidRPr="00CD3D64" w:rsidRDefault="00FC5069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</w:p>
    <w:p w:rsidR="006F40C2" w:rsidRPr="00CD3D64" w:rsidRDefault="006F40C2" w:rsidP="00CD3D64">
      <w:pPr>
        <w:adjustRightInd w:val="0"/>
        <w:snapToGrid w:val="0"/>
        <w:spacing w:line="360" w:lineRule="auto"/>
        <w:rPr>
          <w:rFonts w:ascii="Book Antiqua" w:hAnsi="Book Antiqua"/>
          <w:b/>
          <w:bCs/>
          <w:i/>
          <w:iCs/>
          <w:color w:val="000000"/>
        </w:rPr>
      </w:pPr>
      <w:r w:rsidRPr="00CD3D64">
        <w:rPr>
          <w:rFonts w:ascii="Book Antiqua" w:hAnsi="Book Antiqua"/>
          <w:b/>
          <w:bCs/>
          <w:i/>
          <w:iCs/>
          <w:color w:val="000000"/>
        </w:rPr>
        <w:t>Statistical analysis</w:t>
      </w:r>
    </w:p>
    <w:p w:rsidR="00B76973" w:rsidRPr="00CD3D64" w:rsidRDefault="002E6515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CD3D64">
        <w:rPr>
          <w:rFonts w:ascii="Book Antiqua" w:hAnsi="Book Antiqua"/>
          <w:color w:val="000000"/>
        </w:rPr>
        <w:t xml:space="preserve">Therapeutic efficacy </w:t>
      </w:r>
      <w:proofErr w:type="gramStart"/>
      <w:r w:rsidRPr="00CD3D64">
        <w:rPr>
          <w:rFonts w:ascii="Book Antiqua" w:hAnsi="Book Antiqua"/>
          <w:color w:val="000000"/>
        </w:rPr>
        <w:t xml:space="preserve">was </w:t>
      </w:r>
      <w:r w:rsidR="00D53F10" w:rsidRPr="00CD3D64">
        <w:rPr>
          <w:rFonts w:ascii="Book Antiqua" w:hAnsi="Book Antiqua"/>
          <w:color w:val="000000"/>
        </w:rPr>
        <w:t>evaluated</w:t>
      </w:r>
      <w:proofErr w:type="gramEnd"/>
      <w:r w:rsidR="00D53F10" w:rsidRPr="00CD3D64">
        <w:rPr>
          <w:rFonts w:ascii="Book Antiqua" w:hAnsi="Book Antiqua"/>
          <w:color w:val="000000"/>
        </w:rPr>
        <w:t xml:space="preserve"> using a</w:t>
      </w:r>
      <w:r w:rsidR="00B81977" w:rsidRPr="00CD3D64">
        <w:rPr>
          <w:rFonts w:ascii="Book Antiqua" w:hAnsi="Book Antiqua"/>
          <w:color w:val="000000"/>
        </w:rPr>
        <w:t>n</w:t>
      </w:r>
      <w:r w:rsidR="00D53F10" w:rsidRPr="00CD3D64">
        <w:rPr>
          <w:rFonts w:ascii="Book Antiqua" w:hAnsi="Book Antiqua"/>
          <w:color w:val="000000"/>
        </w:rPr>
        <w:t xml:space="preserve"> intention-to-treat analysis. The Mann</w:t>
      </w:r>
      <w:r w:rsidR="00B81977" w:rsidRPr="00CD3D64">
        <w:rPr>
          <w:rFonts w:ascii="Book Antiqua" w:hAnsi="Book Antiqua"/>
          <w:color w:val="000000"/>
        </w:rPr>
        <w:t>-</w:t>
      </w:r>
      <w:r w:rsidR="00D53F10" w:rsidRPr="00CD3D64">
        <w:rPr>
          <w:rFonts w:ascii="Book Antiqua" w:hAnsi="Book Antiqua"/>
          <w:color w:val="000000"/>
        </w:rPr>
        <w:t xml:space="preserve">Whitney </w:t>
      </w:r>
      <w:r w:rsidR="00D53F10" w:rsidRPr="00CD3D64">
        <w:rPr>
          <w:rFonts w:ascii="Book Antiqua" w:hAnsi="Book Antiqua"/>
          <w:i/>
          <w:color w:val="000000"/>
        </w:rPr>
        <w:t>U</w:t>
      </w:r>
      <w:r w:rsidR="00D53F10" w:rsidRPr="00CD3D64">
        <w:rPr>
          <w:rFonts w:ascii="Book Antiqua" w:hAnsi="Book Antiqua"/>
          <w:color w:val="000000"/>
        </w:rPr>
        <w:t xml:space="preserve"> test or the </w:t>
      </w:r>
      <w:r w:rsidR="00D53F10" w:rsidRPr="00CD3D64">
        <w:rPr>
          <w:rFonts w:ascii="Book Antiqua" w:hAnsi="Book Antiqua"/>
          <w:i/>
          <w:color w:val="000000"/>
        </w:rPr>
        <w:t>t</w:t>
      </w:r>
      <w:r w:rsidR="00D53F10" w:rsidRPr="00CD3D64">
        <w:rPr>
          <w:rFonts w:ascii="Book Antiqua" w:hAnsi="Book Antiqua"/>
          <w:color w:val="000000"/>
        </w:rPr>
        <w:t xml:space="preserve">-test </w:t>
      </w:r>
      <w:proofErr w:type="gramStart"/>
      <w:r w:rsidR="00D53F10" w:rsidRPr="00CD3D64">
        <w:rPr>
          <w:rFonts w:ascii="Book Antiqua" w:hAnsi="Book Antiqua"/>
          <w:color w:val="000000"/>
        </w:rPr>
        <w:t>was used</w:t>
      </w:r>
      <w:proofErr w:type="gramEnd"/>
      <w:r w:rsidR="00D53F10" w:rsidRPr="00CD3D64">
        <w:rPr>
          <w:rFonts w:ascii="Book Antiqua" w:hAnsi="Book Antiqua"/>
          <w:color w:val="000000"/>
        </w:rPr>
        <w:t xml:space="preserve"> to analyze continuous variables. Fisher’s exact test or the chi-square test </w:t>
      </w:r>
      <w:proofErr w:type="gramStart"/>
      <w:r w:rsidR="00D53F10" w:rsidRPr="00CD3D64">
        <w:rPr>
          <w:rFonts w:ascii="Book Antiqua" w:hAnsi="Book Antiqua"/>
          <w:color w:val="000000"/>
        </w:rPr>
        <w:t>was used</w:t>
      </w:r>
      <w:proofErr w:type="gramEnd"/>
      <w:r w:rsidR="00D53F10" w:rsidRPr="00CD3D64">
        <w:rPr>
          <w:rFonts w:ascii="Book Antiqua" w:hAnsi="Book Antiqua"/>
          <w:color w:val="000000"/>
        </w:rPr>
        <w:t xml:space="preserve"> to analyze categorical</w:t>
      </w:r>
      <w:r w:rsidR="000D73F5" w:rsidRPr="00CD3D64">
        <w:rPr>
          <w:rFonts w:ascii="Book Antiqua" w:hAnsi="Book Antiqua"/>
          <w:color w:val="000000"/>
        </w:rPr>
        <w:t xml:space="preserve"> </w:t>
      </w:r>
      <w:r w:rsidR="00D53F10" w:rsidRPr="00CD3D64">
        <w:rPr>
          <w:rFonts w:ascii="Book Antiqua" w:hAnsi="Book Antiqua"/>
          <w:color w:val="000000"/>
        </w:rPr>
        <w:t xml:space="preserve">variables. </w:t>
      </w:r>
      <w:r w:rsidR="00E33506" w:rsidRPr="00CD3D64">
        <w:rPr>
          <w:rFonts w:ascii="Book Antiqua" w:hAnsi="Book Antiqua"/>
          <w:color w:val="000000"/>
        </w:rPr>
        <w:t xml:space="preserve">Logistic regression analysis for </w:t>
      </w:r>
      <w:proofErr w:type="spellStart"/>
      <w:r w:rsidR="00E33506" w:rsidRPr="00CD3D64">
        <w:rPr>
          <w:rFonts w:ascii="Book Antiqua" w:hAnsi="Book Antiqua"/>
          <w:color w:val="000000"/>
        </w:rPr>
        <w:t>univariate</w:t>
      </w:r>
      <w:proofErr w:type="spellEnd"/>
      <w:r w:rsidR="00E33506" w:rsidRPr="00CD3D64">
        <w:rPr>
          <w:rFonts w:ascii="Book Antiqua" w:hAnsi="Book Antiqua"/>
          <w:color w:val="000000"/>
        </w:rPr>
        <w:t xml:space="preserve"> comparison</w:t>
      </w:r>
      <w:r w:rsidR="006904A5" w:rsidRPr="00CD3D64">
        <w:rPr>
          <w:rFonts w:ascii="Book Antiqua" w:hAnsi="Book Antiqua"/>
          <w:color w:val="000000"/>
        </w:rPr>
        <w:t>s</w:t>
      </w:r>
      <w:r w:rsidR="00E33506" w:rsidRPr="00CD3D64">
        <w:rPr>
          <w:rFonts w:ascii="Book Antiqua" w:hAnsi="Book Antiqua"/>
          <w:color w:val="000000"/>
        </w:rPr>
        <w:t xml:space="preserve"> </w:t>
      </w:r>
      <w:proofErr w:type="gramStart"/>
      <w:r w:rsidR="00E33506" w:rsidRPr="00CD3D64">
        <w:rPr>
          <w:rFonts w:ascii="Book Antiqua" w:hAnsi="Book Antiqua"/>
          <w:color w:val="000000"/>
        </w:rPr>
        <w:t>was performed</w:t>
      </w:r>
      <w:proofErr w:type="gramEnd"/>
      <w:r w:rsidR="00E33506" w:rsidRPr="00CD3D64">
        <w:rPr>
          <w:rFonts w:ascii="Book Antiqua" w:hAnsi="Book Antiqua"/>
          <w:color w:val="000000"/>
        </w:rPr>
        <w:t xml:space="preserve"> to investigate factors contributing to SVR. When multiple factors were significant </w:t>
      </w:r>
      <w:r w:rsidR="006904A5" w:rsidRPr="00CD3D64">
        <w:rPr>
          <w:rFonts w:ascii="Book Antiqua" w:hAnsi="Book Antiqua"/>
          <w:color w:val="000000"/>
        </w:rPr>
        <w:t xml:space="preserve">from </w:t>
      </w:r>
      <w:proofErr w:type="spellStart"/>
      <w:r w:rsidR="00E33506" w:rsidRPr="00CD3D64">
        <w:rPr>
          <w:rFonts w:ascii="Book Antiqua" w:hAnsi="Book Antiqua"/>
          <w:color w:val="000000"/>
        </w:rPr>
        <w:t>univariate</w:t>
      </w:r>
      <w:proofErr w:type="spellEnd"/>
      <w:r w:rsidR="00E33506" w:rsidRPr="00CD3D64">
        <w:rPr>
          <w:rFonts w:ascii="Book Antiqua" w:hAnsi="Book Antiqua"/>
          <w:color w:val="000000"/>
        </w:rPr>
        <w:t xml:space="preserve"> </w:t>
      </w:r>
      <w:r w:rsidR="006904A5" w:rsidRPr="00CD3D64">
        <w:rPr>
          <w:rFonts w:ascii="Book Antiqua" w:hAnsi="Book Antiqua"/>
          <w:color w:val="000000"/>
        </w:rPr>
        <w:t>analyses</w:t>
      </w:r>
      <w:r w:rsidR="00E33506" w:rsidRPr="00CD3D64">
        <w:rPr>
          <w:rFonts w:ascii="Book Antiqua" w:hAnsi="Book Antiqua"/>
          <w:color w:val="000000"/>
        </w:rPr>
        <w:t xml:space="preserve">, multivariate analysis </w:t>
      </w:r>
      <w:proofErr w:type="gramStart"/>
      <w:r w:rsidR="00E33506" w:rsidRPr="00CD3D64">
        <w:rPr>
          <w:rFonts w:ascii="Book Antiqua" w:hAnsi="Book Antiqua"/>
          <w:color w:val="000000"/>
        </w:rPr>
        <w:t>was also performed</w:t>
      </w:r>
      <w:proofErr w:type="gramEnd"/>
      <w:r w:rsidR="00E33506" w:rsidRPr="00CD3D64">
        <w:rPr>
          <w:rFonts w:ascii="Book Antiqua" w:hAnsi="Book Antiqua"/>
          <w:color w:val="000000"/>
        </w:rPr>
        <w:t xml:space="preserve"> to identify independent factors. </w:t>
      </w:r>
      <w:r w:rsidR="00D53F10" w:rsidRPr="00CD3D64">
        <w:rPr>
          <w:rFonts w:ascii="Book Antiqua" w:hAnsi="Book Antiqua"/>
          <w:color w:val="000000"/>
        </w:rPr>
        <w:t xml:space="preserve">Values of </w:t>
      </w:r>
      <w:r w:rsidR="00A578FB" w:rsidRPr="00CD3D64">
        <w:rPr>
          <w:rFonts w:ascii="Book Antiqua" w:hAnsi="Book Antiqua"/>
          <w:i/>
          <w:iCs/>
          <w:color w:val="000000"/>
        </w:rPr>
        <w:t xml:space="preserve">P </w:t>
      </w:r>
      <w:r w:rsidR="00D53F10" w:rsidRPr="00CD3D64">
        <w:rPr>
          <w:rFonts w:ascii="Book Antiqua" w:hAnsi="Book Antiqua"/>
          <w:color w:val="000000"/>
        </w:rPr>
        <w:t>&lt;</w:t>
      </w:r>
      <w:r w:rsidR="00A578FB" w:rsidRPr="00CD3D64">
        <w:rPr>
          <w:rFonts w:ascii="Book Antiqua" w:hAnsi="Book Antiqua"/>
          <w:color w:val="000000"/>
        </w:rPr>
        <w:t xml:space="preserve"> </w:t>
      </w:r>
      <w:r w:rsidR="00D53F10" w:rsidRPr="00CD3D64">
        <w:rPr>
          <w:rFonts w:ascii="Book Antiqua" w:hAnsi="Book Antiqua"/>
          <w:color w:val="000000"/>
        </w:rPr>
        <w:t xml:space="preserve">0.05 </w:t>
      </w:r>
      <w:proofErr w:type="gramStart"/>
      <w:r w:rsidR="00D53F10" w:rsidRPr="00CD3D64">
        <w:rPr>
          <w:rFonts w:ascii="Book Antiqua" w:hAnsi="Book Antiqua"/>
          <w:color w:val="000000"/>
        </w:rPr>
        <w:t>were considered</w:t>
      </w:r>
      <w:proofErr w:type="gramEnd"/>
      <w:r w:rsidR="00D53F10" w:rsidRPr="00CD3D64">
        <w:rPr>
          <w:rFonts w:ascii="Book Antiqua" w:hAnsi="Book Antiqua"/>
          <w:color w:val="000000"/>
        </w:rPr>
        <w:t xml:space="preserve"> statistically significant.</w:t>
      </w:r>
      <w:r w:rsidR="000D73F5" w:rsidRPr="00CD3D64">
        <w:rPr>
          <w:rFonts w:ascii="Book Antiqua" w:hAnsi="Book Antiqua"/>
          <w:color w:val="000000"/>
        </w:rPr>
        <w:t xml:space="preserve"> </w:t>
      </w:r>
      <w:r w:rsidR="00D53F10" w:rsidRPr="00CD3D64">
        <w:rPr>
          <w:rFonts w:ascii="Book Antiqua" w:hAnsi="Book Antiqua"/>
          <w:color w:val="000000"/>
        </w:rPr>
        <w:t>SPSS for Windows version 24J statistical software (SPSS,</w:t>
      </w:r>
      <w:r w:rsidR="000D73F5" w:rsidRPr="00CD3D64">
        <w:rPr>
          <w:rFonts w:ascii="Book Antiqua" w:hAnsi="Book Antiqua"/>
          <w:color w:val="000000"/>
        </w:rPr>
        <w:t xml:space="preserve"> </w:t>
      </w:r>
      <w:r w:rsidR="00A578FB" w:rsidRPr="00CD3D64">
        <w:rPr>
          <w:rFonts w:ascii="Book Antiqua" w:hAnsi="Book Antiqua"/>
          <w:color w:val="000000"/>
        </w:rPr>
        <w:t>TKY</w:t>
      </w:r>
      <w:r w:rsidR="00D53F10" w:rsidRPr="00CD3D64">
        <w:rPr>
          <w:rFonts w:ascii="Book Antiqua" w:hAnsi="Book Antiqua"/>
          <w:color w:val="000000"/>
        </w:rPr>
        <w:t xml:space="preserve">, </w:t>
      </w:r>
      <w:proofErr w:type="gramStart"/>
      <w:r w:rsidR="00D53F10" w:rsidRPr="00CD3D64">
        <w:rPr>
          <w:rFonts w:ascii="Book Antiqua" w:hAnsi="Book Antiqua"/>
          <w:color w:val="000000"/>
        </w:rPr>
        <w:t>Japan</w:t>
      </w:r>
      <w:proofErr w:type="gramEnd"/>
      <w:r w:rsidR="00D53F10" w:rsidRPr="00CD3D64">
        <w:rPr>
          <w:rFonts w:ascii="Book Antiqua" w:hAnsi="Book Antiqua"/>
          <w:color w:val="000000"/>
        </w:rPr>
        <w:t>) was used for all data analyses.</w:t>
      </w:r>
    </w:p>
    <w:p w:rsidR="002926E1" w:rsidRPr="00CD3D64" w:rsidRDefault="002926E1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</w:p>
    <w:p w:rsidR="00A578FB" w:rsidRPr="00CD3D64" w:rsidRDefault="00A578FB" w:rsidP="00CD3D64">
      <w:pPr>
        <w:adjustRightInd w:val="0"/>
        <w:snapToGrid w:val="0"/>
        <w:spacing w:line="360" w:lineRule="auto"/>
        <w:rPr>
          <w:rFonts w:ascii="Book Antiqua" w:hAnsi="Book Antiqua" w:cs="Arial"/>
          <w:color w:val="000000"/>
          <w:u w:val="single"/>
        </w:rPr>
      </w:pPr>
      <w:r w:rsidRPr="00CD3D64">
        <w:rPr>
          <w:rFonts w:ascii="Book Antiqua" w:hAnsi="Book Antiqua" w:cs="Arial"/>
          <w:b/>
          <w:color w:val="000000"/>
          <w:u w:val="single"/>
        </w:rPr>
        <w:t>RESULTS</w:t>
      </w:r>
    </w:p>
    <w:p w:rsidR="006F40C2" w:rsidRPr="00CD3D64" w:rsidRDefault="00B81977" w:rsidP="00CD3D64">
      <w:pPr>
        <w:adjustRightInd w:val="0"/>
        <w:snapToGrid w:val="0"/>
        <w:spacing w:line="360" w:lineRule="auto"/>
        <w:rPr>
          <w:rFonts w:ascii="Book Antiqua" w:hAnsi="Book Antiqua"/>
          <w:b/>
          <w:i/>
          <w:color w:val="000000"/>
        </w:rPr>
      </w:pPr>
      <w:r w:rsidRPr="00CD3D64">
        <w:rPr>
          <w:rFonts w:ascii="Book Antiqua" w:hAnsi="Book Antiqua"/>
          <w:b/>
          <w:i/>
          <w:color w:val="000000"/>
        </w:rPr>
        <w:t xml:space="preserve">Baseline </w:t>
      </w:r>
      <w:r w:rsidR="006F40C2" w:rsidRPr="00CD3D64">
        <w:rPr>
          <w:rFonts w:ascii="Book Antiqua" w:hAnsi="Book Antiqua"/>
          <w:b/>
          <w:i/>
          <w:color w:val="000000"/>
        </w:rPr>
        <w:t>characteristics</w:t>
      </w:r>
      <w:r w:rsidRPr="00CD3D64">
        <w:rPr>
          <w:rFonts w:ascii="Book Antiqua" w:hAnsi="Book Antiqua"/>
          <w:b/>
          <w:i/>
          <w:color w:val="000000"/>
        </w:rPr>
        <w:t xml:space="preserve"> of patients</w:t>
      </w:r>
    </w:p>
    <w:p w:rsidR="00200F64" w:rsidRPr="00CD3D64" w:rsidRDefault="000D73F5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proofErr w:type="gramStart"/>
      <w:r w:rsidRPr="00CD3D64">
        <w:rPr>
          <w:rFonts w:ascii="Book Antiqua" w:hAnsi="Book Antiqua"/>
          <w:color w:val="000000"/>
        </w:rPr>
        <w:t>A total of</w:t>
      </w:r>
      <w:r w:rsidR="00DD25C6" w:rsidRPr="00CD3D64">
        <w:rPr>
          <w:rFonts w:ascii="Book Antiqua" w:hAnsi="Book Antiqua"/>
          <w:color w:val="000000"/>
        </w:rPr>
        <w:t xml:space="preserve"> </w:t>
      </w:r>
      <w:r w:rsidRPr="00CD3D64">
        <w:rPr>
          <w:rFonts w:ascii="Book Antiqua" w:hAnsi="Book Antiqua"/>
          <w:color w:val="000000"/>
        </w:rPr>
        <w:t>265</w:t>
      </w:r>
      <w:proofErr w:type="gramEnd"/>
      <w:r w:rsidRPr="00CD3D64">
        <w:rPr>
          <w:rFonts w:ascii="Book Antiqua" w:hAnsi="Book Antiqua"/>
          <w:color w:val="000000"/>
        </w:rPr>
        <w:t xml:space="preserve"> patients </w:t>
      </w:r>
      <w:r w:rsidR="006904A5" w:rsidRPr="00CD3D64">
        <w:rPr>
          <w:rFonts w:ascii="Book Antiqua" w:hAnsi="Book Antiqua"/>
          <w:color w:val="000000"/>
        </w:rPr>
        <w:t>met the</w:t>
      </w:r>
      <w:r w:rsidR="007824E1" w:rsidRPr="00CD3D64">
        <w:rPr>
          <w:rFonts w:ascii="Book Antiqua" w:hAnsi="Book Antiqua"/>
          <w:color w:val="000000"/>
        </w:rPr>
        <w:t xml:space="preserve"> inclusion and exclusion criteria</w:t>
      </w:r>
      <w:r w:rsidR="006904A5" w:rsidRPr="00CD3D64">
        <w:rPr>
          <w:rFonts w:ascii="Book Antiqua" w:hAnsi="Book Antiqua"/>
          <w:color w:val="000000"/>
        </w:rPr>
        <w:t xml:space="preserve"> and </w:t>
      </w:r>
      <w:r w:rsidRPr="00CD3D64">
        <w:rPr>
          <w:rFonts w:ascii="Book Antiqua" w:hAnsi="Book Antiqua"/>
          <w:color w:val="000000"/>
        </w:rPr>
        <w:t>were enrolled in the present study.</w:t>
      </w:r>
      <w:r w:rsidR="00B12487" w:rsidRPr="00CD3D64">
        <w:rPr>
          <w:rFonts w:ascii="Book Antiqua" w:hAnsi="Book Antiqua"/>
          <w:color w:val="000000"/>
        </w:rPr>
        <w:t xml:space="preserve"> </w:t>
      </w:r>
      <w:r w:rsidR="009D56ED" w:rsidRPr="00CD3D64">
        <w:rPr>
          <w:rFonts w:ascii="Book Antiqua" w:hAnsi="Book Antiqua"/>
          <w:color w:val="000000"/>
        </w:rPr>
        <w:t xml:space="preserve">Although </w:t>
      </w:r>
      <w:r w:rsidR="00A25BFD" w:rsidRPr="00CD3D64">
        <w:rPr>
          <w:rFonts w:ascii="Book Antiqua" w:hAnsi="Book Antiqua"/>
          <w:color w:val="000000"/>
        </w:rPr>
        <w:t>one</w:t>
      </w:r>
      <w:r w:rsidR="009D56ED" w:rsidRPr="00CD3D64">
        <w:rPr>
          <w:rFonts w:ascii="Book Antiqua" w:hAnsi="Book Antiqua"/>
          <w:color w:val="000000"/>
        </w:rPr>
        <w:t xml:space="preserve"> patient discontinued treatment due to </w:t>
      </w:r>
      <w:r w:rsidR="006904A5" w:rsidRPr="00CD3D64">
        <w:rPr>
          <w:rFonts w:ascii="Book Antiqua" w:hAnsi="Book Antiqua"/>
          <w:color w:val="000000"/>
        </w:rPr>
        <w:t xml:space="preserve">an </w:t>
      </w:r>
      <w:r w:rsidR="009D56ED" w:rsidRPr="00CD3D64">
        <w:rPr>
          <w:rFonts w:ascii="Book Antiqua" w:hAnsi="Book Antiqua"/>
          <w:color w:val="000000"/>
        </w:rPr>
        <w:t>adverse event, all enrolled patients complete</w:t>
      </w:r>
      <w:r w:rsidR="006904A5" w:rsidRPr="00CD3D64">
        <w:rPr>
          <w:rFonts w:ascii="Book Antiqua" w:hAnsi="Book Antiqua"/>
          <w:color w:val="000000"/>
        </w:rPr>
        <w:t>d</w:t>
      </w:r>
      <w:r w:rsidR="009D56ED" w:rsidRPr="00CD3D64">
        <w:rPr>
          <w:rFonts w:ascii="Book Antiqua" w:hAnsi="Book Antiqua"/>
          <w:color w:val="000000"/>
        </w:rPr>
        <w:t xml:space="preserve"> follow</w:t>
      </w:r>
      <w:r w:rsidR="006904A5" w:rsidRPr="00CD3D64">
        <w:rPr>
          <w:rFonts w:ascii="Book Antiqua" w:hAnsi="Book Antiqua"/>
          <w:color w:val="000000"/>
        </w:rPr>
        <w:t>-</w:t>
      </w:r>
      <w:r w:rsidR="009D56ED" w:rsidRPr="00CD3D64">
        <w:rPr>
          <w:rFonts w:ascii="Book Antiqua" w:hAnsi="Book Antiqua"/>
          <w:color w:val="000000"/>
        </w:rPr>
        <w:t xml:space="preserve">up </w:t>
      </w:r>
      <w:r w:rsidR="006904A5" w:rsidRPr="00CD3D64">
        <w:rPr>
          <w:rFonts w:ascii="Book Antiqua" w:hAnsi="Book Antiqua"/>
          <w:color w:val="000000"/>
        </w:rPr>
        <w:t xml:space="preserve">for evaluation of </w:t>
      </w:r>
      <w:r w:rsidR="009D56ED" w:rsidRPr="00CD3D64">
        <w:rPr>
          <w:rFonts w:ascii="Book Antiqua" w:hAnsi="Book Antiqua"/>
          <w:color w:val="000000"/>
        </w:rPr>
        <w:t xml:space="preserve">safety and effectiveness. </w:t>
      </w:r>
      <w:r w:rsidRPr="00CD3D64">
        <w:rPr>
          <w:rFonts w:ascii="Book Antiqua" w:hAnsi="Book Antiqua"/>
          <w:color w:val="000000"/>
        </w:rPr>
        <w:t>Patient characteristics</w:t>
      </w:r>
      <w:r w:rsidR="00B81977" w:rsidRPr="00CD3D64">
        <w:rPr>
          <w:rFonts w:ascii="Book Antiqua" w:hAnsi="Book Antiqua"/>
          <w:color w:val="000000"/>
        </w:rPr>
        <w:t xml:space="preserve"> </w:t>
      </w:r>
      <w:proofErr w:type="gramStart"/>
      <w:r w:rsidRPr="00CD3D64">
        <w:rPr>
          <w:rFonts w:ascii="Book Antiqua" w:hAnsi="Book Antiqua"/>
          <w:color w:val="000000"/>
        </w:rPr>
        <w:t>are summarized</w:t>
      </w:r>
      <w:proofErr w:type="gramEnd"/>
      <w:r w:rsidR="006F40C2" w:rsidRPr="00CD3D64">
        <w:rPr>
          <w:rFonts w:ascii="Book Antiqua" w:hAnsi="Book Antiqua"/>
          <w:color w:val="000000"/>
        </w:rPr>
        <w:t xml:space="preserve"> in Table 1</w:t>
      </w:r>
      <w:r w:rsidR="0003671E" w:rsidRPr="00CD3D64">
        <w:rPr>
          <w:rFonts w:ascii="Book Antiqua" w:hAnsi="Book Antiqua"/>
          <w:bCs/>
          <w:color w:val="000000"/>
        </w:rPr>
        <w:t>.</w:t>
      </w:r>
      <w:r w:rsidR="00583697" w:rsidRPr="00CD3D64">
        <w:rPr>
          <w:rFonts w:ascii="Book Antiqua" w:eastAsia="HGIIK G+ Gulliver RM" w:hAnsi="Book Antiqua"/>
          <w:color w:val="000000"/>
          <w:kern w:val="0"/>
        </w:rPr>
        <w:t xml:space="preserve"> Median age was</w:t>
      </w:r>
      <w:r w:rsidR="00583697" w:rsidRPr="00CD3D64">
        <w:rPr>
          <w:rFonts w:ascii="Book Antiqua" w:hAnsi="Book Antiqua"/>
          <w:bCs/>
          <w:color w:val="000000"/>
        </w:rPr>
        <w:t xml:space="preserve"> 68</w:t>
      </w:r>
      <w:r w:rsidR="00D242AF">
        <w:rPr>
          <w:rFonts w:ascii="Book Antiqua" w:hAnsi="Book Antiqua"/>
          <w:bCs/>
          <w:color w:val="000000"/>
        </w:rPr>
        <w:t>-years-old</w:t>
      </w:r>
      <w:r w:rsidR="00A76062" w:rsidRPr="00CD3D64">
        <w:rPr>
          <w:rFonts w:ascii="Book Antiqua" w:hAnsi="Book Antiqua"/>
          <w:bCs/>
          <w:color w:val="000000"/>
        </w:rPr>
        <w:t xml:space="preserve"> </w:t>
      </w:r>
      <w:r w:rsidR="00583697" w:rsidRPr="00CD3D64">
        <w:rPr>
          <w:rFonts w:ascii="Book Antiqua" w:hAnsi="Book Antiqua"/>
          <w:bCs/>
          <w:color w:val="000000"/>
        </w:rPr>
        <w:t>(range, 17</w:t>
      </w:r>
      <w:r w:rsidR="00B00A44" w:rsidRPr="00CD3D64">
        <w:rPr>
          <w:rFonts w:ascii="Book Antiqua" w:hAnsi="Book Antiqua"/>
          <w:bCs/>
          <w:color w:val="000000"/>
        </w:rPr>
        <w:t>-</w:t>
      </w:r>
      <w:r w:rsidR="00583697" w:rsidRPr="00CD3D64">
        <w:rPr>
          <w:rFonts w:ascii="Book Antiqua" w:hAnsi="Book Antiqua"/>
          <w:bCs/>
          <w:color w:val="000000"/>
        </w:rPr>
        <w:t>86 years</w:t>
      </w:r>
      <w:r w:rsidR="006904A5" w:rsidRPr="00CD3D64">
        <w:rPr>
          <w:rFonts w:ascii="Book Antiqua" w:hAnsi="Book Antiqua"/>
          <w:bCs/>
          <w:color w:val="000000"/>
        </w:rPr>
        <w:t xml:space="preserve">), and the cohort </w:t>
      </w:r>
      <w:r w:rsidR="00A25BFD" w:rsidRPr="00CD3D64">
        <w:rPr>
          <w:rFonts w:ascii="Book Antiqua" w:hAnsi="Book Antiqua"/>
          <w:bCs/>
          <w:color w:val="000000"/>
        </w:rPr>
        <w:t xml:space="preserve">was </w:t>
      </w:r>
      <w:r w:rsidR="006904A5" w:rsidRPr="00CD3D64">
        <w:rPr>
          <w:rFonts w:ascii="Book Antiqua" w:hAnsi="Book Antiqua"/>
          <w:bCs/>
          <w:color w:val="000000"/>
        </w:rPr>
        <w:t xml:space="preserve">comprised </w:t>
      </w:r>
      <w:r w:rsidR="00A25BFD" w:rsidRPr="00CD3D64">
        <w:rPr>
          <w:rFonts w:ascii="Book Antiqua" w:hAnsi="Book Antiqua"/>
          <w:bCs/>
          <w:color w:val="000000"/>
        </w:rPr>
        <w:t xml:space="preserve">of </w:t>
      </w:r>
      <w:r w:rsidR="00583697" w:rsidRPr="00CD3D64">
        <w:rPr>
          <w:rFonts w:ascii="Book Antiqua" w:eastAsia="HGIIK G+ Gulliver RM" w:hAnsi="Book Antiqua"/>
          <w:color w:val="000000"/>
          <w:kern w:val="0"/>
        </w:rPr>
        <w:t xml:space="preserve">150 male and 115 female patients. </w:t>
      </w:r>
      <w:r w:rsidR="00583697" w:rsidRPr="00CD3D64">
        <w:rPr>
          <w:rFonts w:ascii="Book Antiqua" w:hAnsi="Book Antiqua"/>
          <w:bCs/>
          <w:color w:val="000000"/>
        </w:rPr>
        <w:t xml:space="preserve">Patients </w:t>
      </w:r>
      <w:r w:rsidR="00AE4ECB" w:rsidRPr="00CD3D64">
        <w:rPr>
          <w:rFonts w:ascii="Book Antiqua" w:hAnsi="Book Antiqua"/>
          <w:color w:val="000000"/>
        </w:rPr>
        <w:sym w:font="Symbol" w:char="F0B3"/>
      </w:r>
      <w:r w:rsidR="00D31160" w:rsidRPr="00CD3D64">
        <w:rPr>
          <w:rFonts w:ascii="Book Antiqua" w:hAnsi="Book Antiqua"/>
          <w:color w:val="000000"/>
        </w:rPr>
        <w:t xml:space="preserve"> </w:t>
      </w:r>
      <w:r w:rsidR="00583697" w:rsidRPr="00CD3D64">
        <w:rPr>
          <w:rFonts w:ascii="Book Antiqua" w:hAnsi="Book Antiqua"/>
          <w:bCs/>
          <w:color w:val="000000"/>
        </w:rPr>
        <w:t>75</w:t>
      </w:r>
      <w:r w:rsidR="00D242AF">
        <w:rPr>
          <w:rFonts w:ascii="Book Antiqua" w:hAnsi="Book Antiqua"/>
          <w:bCs/>
          <w:color w:val="000000"/>
        </w:rPr>
        <w:t>-years-old</w:t>
      </w:r>
      <w:r w:rsidR="00B1167F" w:rsidRPr="00CD3D64">
        <w:rPr>
          <w:rFonts w:ascii="Book Antiqua" w:hAnsi="Book Antiqua"/>
          <w:bCs/>
          <w:color w:val="000000"/>
        </w:rPr>
        <w:t xml:space="preserve">, cirrhotic patients, patients with moderate chronic kidney disease </w:t>
      </w:r>
      <w:r w:rsidR="00AE4ECB" w:rsidRPr="00CD3D64">
        <w:rPr>
          <w:rFonts w:ascii="Book Antiqua" w:hAnsi="Book Antiqua"/>
          <w:bCs/>
          <w:color w:val="000000"/>
        </w:rPr>
        <w:t xml:space="preserve">(defined as </w:t>
      </w:r>
      <w:r w:rsidR="00E52BF8" w:rsidRPr="00CD3D64">
        <w:rPr>
          <w:rFonts w:ascii="Book Antiqua" w:hAnsi="Book Antiqua"/>
          <w:color w:val="000000"/>
        </w:rPr>
        <w:t>estimated glomerular filtration rate</w:t>
      </w:r>
      <w:r w:rsidR="00B1167F" w:rsidRPr="00CD3D64">
        <w:rPr>
          <w:rFonts w:ascii="Book Antiqua" w:hAnsi="Book Antiqua"/>
          <w:bCs/>
          <w:color w:val="000000"/>
        </w:rPr>
        <w:t xml:space="preserve"> &lt;</w:t>
      </w:r>
      <w:r w:rsidR="00D31160" w:rsidRPr="00CD3D64">
        <w:rPr>
          <w:rFonts w:ascii="Book Antiqua" w:hAnsi="Book Antiqua"/>
          <w:bCs/>
          <w:color w:val="000000"/>
        </w:rPr>
        <w:t xml:space="preserve"> </w:t>
      </w:r>
      <w:r w:rsidR="00B1167F" w:rsidRPr="00CD3D64">
        <w:rPr>
          <w:rFonts w:ascii="Book Antiqua" w:hAnsi="Book Antiqua"/>
          <w:bCs/>
          <w:color w:val="000000"/>
        </w:rPr>
        <w:t>60</w:t>
      </w:r>
      <w:r w:rsidR="00A25BFD" w:rsidRPr="00CD3D64">
        <w:rPr>
          <w:rFonts w:ascii="Book Antiqua" w:hAnsi="Book Antiqua"/>
          <w:bCs/>
          <w:color w:val="000000"/>
        </w:rPr>
        <w:t xml:space="preserve"> </w:t>
      </w:r>
      <w:r w:rsidR="006904A5" w:rsidRPr="00CD3D64">
        <w:rPr>
          <w:rFonts w:ascii="Book Antiqua" w:hAnsi="Book Antiqua"/>
          <w:color w:val="000000"/>
        </w:rPr>
        <w:t>mL/min/1.73</w:t>
      </w:r>
      <w:r w:rsidR="00A25BFD" w:rsidRPr="00CD3D64">
        <w:rPr>
          <w:rFonts w:ascii="Book Antiqua" w:hAnsi="Book Antiqua"/>
          <w:color w:val="000000"/>
        </w:rPr>
        <w:t xml:space="preserve"> </w:t>
      </w:r>
      <w:r w:rsidR="006904A5" w:rsidRPr="00CD3D64">
        <w:rPr>
          <w:rFonts w:ascii="Book Antiqua" w:hAnsi="Book Antiqua"/>
          <w:color w:val="000000"/>
        </w:rPr>
        <w:t>m</w:t>
      </w:r>
      <w:r w:rsidR="006904A5" w:rsidRPr="00CD3D64">
        <w:rPr>
          <w:rFonts w:ascii="Book Antiqua" w:hAnsi="Book Antiqua"/>
          <w:color w:val="000000"/>
          <w:vertAlign w:val="superscript"/>
        </w:rPr>
        <w:t>2</w:t>
      </w:r>
      <w:r w:rsidR="00B1167F" w:rsidRPr="00CD3D64">
        <w:rPr>
          <w:rFonts w:ascii="Book Antiqua" w:hAnsi="Book Antiqua"/>
          <w:bCs/>
          <w:color w:val="000000"/>
        </w:rPr>
        <w:t xml:space="preserve">), patients with a history of HCC treatment, and patients with </w:t>
      </w:r>
      <w:r w:rsidR="00A76062" w:rsidRPr="00CD3D64">
        <w:rPr>
          <w:rFonts w:ascii="Book Antiqua" w:hAnsi="Book Antiqua"/>
          <w:bCs/>
          <w:color w:val="000000"/>
        </w:rPr>
        <w:t xml:space="preserve">a history of </w:t>
      </w:r>
      <w:proofErr w:type="spellStart"/>
      <w:r w:rsidR="00A76062" w:rsidRPr="00CD3D64">
        <w:rPr>
          <w:rFonts w:ascii="Book Antiqua" w:hAnsi="Book Antiqua"/>
          <w:bCs/>
          <w:color w:val="000000"/>
        </w:rPr>
        <w:t>pegylated</w:t>
      </w:r>
      <w:proofErr w:type="spellEnd"/>
      <w:r w:rsidR="00A76062" w:rsidRPr="00CD3D64">
        <w:rPr>
          <w:rFonts w:ascii="Book Antiqua" w:hAnsi="Book Antiqua"/>
          <w:bCs/>
          <w:color w:val="000000"/>
        </w:rPr>
        <w:t xml:space="preserve"> </w:t>
      </w:r>
      <w:r w:rsidR="006904A5" w:rsidRPr="00CD3D64">
        <w:rPr>
          <w:rFonts w:ascii="Book Antiqua" w:hAnsi="Book Antiqua"/>
          <w:bCs/>
          <w:color w:val="000000"/>
        </w:rPr>
        <w:t xml:space="preserve">IFN </w:t>
      </w:r>
      <w:r w:rsidR="00A76062" w:rsidRPr="00F36AFC">
        <w:rPr>
          <w:rFonts w:ascii="Book Antiqua" w:hAnsi="Book Antiqua"/>
        </w:rPr>
        <w:t>plus ribavirin</w:t>
      </w:r>
      <w:r w:rsidR="00A76062" w:rsidRPr="00CD3D64">
        <w:rPr>
          <w:rFonts w:ascii="Book Antiqua" w:hAnsi="Book Antiqua"/>
          <w:bCs/>
          <w:color w:val="000000"/>
        </w:rPr>
        <w:t xml:space="preserve"> therapy</w:t>
      </w:r>
      <w:r w:rsidR="00583697" w:rsidRPr="00CD3D64">
        <w:rPr>
          <w:rFonts w:ascii="Book Antiqua" w:hAnsi="Book Antiqua"/>
          <w:bCs/>
          <w:color w:val="000000"/>
        </w:rPr>
        <w:t xml:space="preserve"> accounted for </w:t>
      </w:r>
      <w:r w:rsidR="00B1167F" w:rsidRPr="00CD3D64">
        <w:rPr>
          <w:rFonts w:ascii="Book Antiqua" w:hAnsi="Book Antiqua"/>
          <w:bCs/>
          <w:color w:val="000000"/>
        </w:rPr>
        <w:t>31</w:t>
      </w:r>
      <w:r w:rsidR="00583697" w:rsidRPr="00CD3D64">
        <w:rPr>
          <w:rFonts w:ascii="Book Antiqua" w:hAnsi="Book Antiqua"/>
          <w:bCs/>
          <w:color w:val="000000"/>
        </w:rPr>
        <w:t>%</w:t>
      </w:r>
      <w:r w:rsidR="00A76062" w:rsidRPr="00CD3D64">
        <w:rPr>
          <w:rFonts w:ascii="Book Antiqua" w:hAnsi="Book Antiqua"/>
          <w:bCs/>
          <w:color w:val="000000"/>
        </w:rPr>
        <w:t>, 34%, 20%, 12%, and 15%, respectively</w:t>
      </w:r>
      <w:r w:rsidR="00B1167F" w:rsidRPr="00CD3D64">
        <w:rPr>
          <w:rFonts w:ascii="Book Antiqua" w:hAnsi="Book Antiqua"/>
          <w:bCs/>
          <w:color w:val="000000"/>
        </w:rPr>
        <w:t>.</w:t>
      </w:r>
      <w:r w:rsidR="00583697" w:rsidRPr="00CD3D64">
        <w:rPr>
          <w:rFonts w:ascii="Book Antiqua" w:hAnsi="Book Antiqua"/>
          <w:bCs/>
          <w:color w:val="000000"/>
        </w:rPr>
        <w:t xml:space="preserve"> </w:t>
      </w:r>
      <w:proofErr w:type="gramStart"/>
      <w:r w:rsidR="00A76062" w:rsidRPr="00CD3D64">
        <w:rPr>
          <w:rFonts w:ascii="Book Antiqua" w:hAnsi="Book Antiqua"/>
          <w:bCs/>
          <w:color w:val="000000"/>
        </w:rPr>
        <w:t>Median b</w:t>
      </w:r>
      <w:r w:rsidR="00583697" w:rsidRPr="00CD3D64">
        <w:rPr>
          <w:rFonts w:ascii="Book Antiqua" w:hAnsi="Book Antiqua"/>
          <w:bCs/>
          <w:color w:val="000000"/>
        </w:rPr>
        <w:t>aseline hemoglobin level</w:t>
      </w:r>
      <w:proofErr w:type="gramEnd"/>
      <w:r w:rsidR="00A76062" w:rsidRPr="00CD3D64">
        <w:rPr>
          <w:rFonts w:ascii="Book Antiqua" w:hAnsi="Book Antiqua"/>
          <w:bCs/>
          <w:color w:val="000000"/>
        </w:rPr>
        <w:t xml:space="preserve"> </w:t>
      </w:r>
      <w:r w:rsidR="00583697" w:rsidRPr="00CD3D64">
        <w:rPr>
          <w:rFonts w:ascii="Book Antiqua" w:hAnsi="Book Antiqua"/>
          <w:bCs/>
          <w:color w:val="000000"/>
        </w:rPr>
        <w:t>w</w:t>
      </w:r>
      <w:r w:rsidR="00A76062" w:rsidRPr="00CD3D64">
        <w:rPr>
          <w:rFonts w:ascii="Book Antiqua" w:hAnsi="Book Antiqua"/>
          <w:bCs/>
          <w:color w:val="000000"/>
        </w:rPr>
        <w:t>as</w:t>
      </w:r>
      <w:r w:rsidR="00583697" w:rsidRPr="00CD3D64">
        <w:rPr>
          <w:rFonts w:ascii="Book Antiqua" w:hAnsi="Book Antiqua"/>
          <w:bCs/>
          <w:color w:val="000000"/>
        </w:rPr>
        <w:t xml:space="preserve"> 13.</w:t>
      </w:r>
      <w:r w:rsidR="00A76062" w:rsidRPr="00CD3D64">
        <w:rPr>
          <w:rFonts w:ascii="Book Antiqua" w:hAnsi="Book Antiqua"/>
          <w:bCs/>
          <w:color w:val="000000"/>
        </w:rPr>
        <w:t>6</w:t>
      </w:r>
      <w:r w:rsidR="00583697" w:rsidRPr="00CD3D64">
        <w:rPr>
          <w:rFonts w:ascii="Book Antiqua" w:hAnsi="Book Antiqua"/>
          <w:bCs/>
          <w:color w:val="000000"/>
        </w:rPr>
        <w:t xml:space="preserve"> g/</w:t>
      </w:r>
      <w:proofErr w:type="spellStart"/>
      <w:r w:rsidR="00583697" w:rsidRPr="00CD3D64">
        <w:rPr>
          <w:rFonts w:ascii="Book Antiqua" w:hAnsi="Book Antiqua"/>
          <w:bCs/>
          <w:color w:val="000000"/>
        </w:rPr>
        <w:t>dL</w:t>
      </w:r>
      <w:proofErr w:type="spellEnd"/>
      <w:r w:rsidR="00583697" w:rsidRPr="00CD3D64">
        <w:rPr>
          <w:rFonts w:ascii="Book Antiqua" w:hAnsi="Book Antiqua"/>
          <w:bCs/>
          <w:color w:val="000000"/>
        </w:rPr>
        <w:t xml:space="preserve"> (range, </w:t>
      </w:r>
      <w:r w:rsidR="00A76062" w:rsidRPr="00CD3D64">
        <w:rPr>
          <w:rFonts w:ascii="Book Antiqua" w:hAnsi="Book Antiqua"/>
          <w:bCs/>
          <w:color w:val="000000"/>
        </w:rPr>
        <w:t>10.2</w:t>
      </w:r>
      <w:r w:rsidR="00B00A44" w:rsidRPr="00CD3D64">
        <w:rPr>
          <w:rFonts w:ascii="Book Antiqua" w:hAnsi="Book Antiqua"/>
          <w:bCs/>
          <w:color w:val="000000"/>
        </w:rPr>
        <w:t>-</w:t>
      </w:r>
      <w:r w:rsidR="00A76062" w:rsidRPr="00CD3D64">
        <w:rPr>
          <w:rFonts w:ascii="Book Antiqua" w:hAnsi="Book Antiqua"/>
          <w:bCs/>
          <w:color w:val="000000"/>
        </w:rPr>
        <w:t>20</w:t>
      </w:r>
      <w:r w:rsidR="00583697" w:rsidRPr="00CD3D64">
        <w:rPr>
          <w:rFonts w:ascii="Book Antiqua" w:hAnsi="Book Antiqua"/>
          <w:bCs/>
          <w:color w:val="000000"/>
        </w:rPr>
        <w:t>.</w:t>
      </w:r>
      <w:r w:rsidR="00A76062" w:rsidRPr="00CD3D64">
        <w:rPr>
          <w:rFonts w:ascii="Book Antiqua" w:hAnsi="Book Antiqua"/>
          <w:bCs/>
          <w:color w:val="000000"/>
        </w:rPr>
        <w:t>1</w:t>
      </w:r>
      <w:r w:rsidR="006904A5" w:rsidRPr="00CD3D64">
        <w:rPr>
          <w:rFonts w:ascii="Book Antiqua" w:hAnsi="Book Antiqua"/>
          <w:bCs/>
          <w:color w:val="000000"/>
        </w:rPr>
        <w:t xml:space="preserve"> g/</w:t>
      </w:r>
      <w:proofErr w:type="spellStart"/>
      <w:r w:rsidR="006904A5" w:rsidRPr="00CD3D64">
        <w:rPr>
          <w:rFonts w:ascii="Book Antiqua" w:hAnsi="Book Antiqua"/>
          <w:bCs/>
          <w:color w:val="000000"/>
        </w:rPr>
        <w:t>dL</w:t>
      </w:r>
      <w:proofErr w:type="spellEnd"/>
      <w:r w:rsidR="00583697" w:rsidRPr="00CD3D64">
        <w:rPr>
          <w:rFonts w:ascii="Book Antiqua" w:hAnsi="Book Antiqua"/>
          <w:bCs/>
          <w:color w:val="000000"/>
        </w:rPr>
        <w:t>)</w:t>
      </w:r>
      <w:r w:rsidR="00A76062" w:rsidRPr="00CD3D64">
        <w:rPr>
          <w:rFonts w:ascii="Book Antiqua" w:hAnsi="Book Antiqua"/>
          <w:bCs/>
          <w:color w:val="000000"/>
        </w:rPr>
        <w:t>.</w:t>
      </w:r>
    </w:p>
    <w:p w:rsidR="00646EF9" w:rsidRPr="00CD3D64" w:rsidRDefault="00646EF9" w:rsidP="00CD3D64">
      <w:pPr>
        <w:adjustRightInd w:val="0"/>
        <w:snapToGrid w:val="0"/>
        <w:spacing w:line="360" w:lineRule="auto"/>
        <w:rPr>
          <w:rFonts w:ascii="Book Antiqua" w:hAnsi="Book Antiqua"/>
          <w:bCs/>
          <w:color w:val="000000"/>
        </w:rPr>
      </w:pPr>
    </w:p>
    <w:p w:rsidR="00646EF9" w:rsidRPr="00CD3D64" w:rsidRDefault="00646EF9" w:rsidP="00CD3D64">
      <w:pPr>
        <w:adjustRightInd w:val="0"/>
        <w:snapToGrid w:val="0"/>
        <w:spacing w:line="360" w:lineRule="auto"/>
        <w:rPr>
          <w:rFonts w:ascii="Book Antiqua" w:hAnsi="Book Antiqua"/>
          <w:b/>
          <w:bCs/>
          <w:i/>
          <w:color w:val="000000"/>
        </w:rPr>
      </w:pPr>
      <w:r w:rsidRPr="00CD3D64">
        <w:rPr>
          <w:rFonts w:ascii="Book Antiqua" w:hAnsi="Book Antiqua"/>
          <w:b/>
          <w:bCs/>
          <w:i/>
          <w:color w:val="000000"/>
        </w:rPr>
        <w:t xml:space="preserve">Comparison of pre-treatment factors between </w:t>
      </w:r>
      <w:proofErr w:type="gramStart"/>
      <w:r w:rsidR="008834CD" w:rsidRPr="00CD3D64">
        <w:rPr>
          <w:rFonts w:ascii="Book Antiqua" w:hAnsi="Book Antiqua"/>
          <w:b/>
          <w:bCs/>
          <w:i/>
          <w:color w:val="000000"/>
        </w:rPr>
        <w:t>patients</w:t>
      </w:r>
      <w:proofErr w:type="gramEnd"/>
      <w:r w:rsidR="008834CD" w:rsidRPr="00CD3D64">
        <w:rPr>
          <w:rFonts w:ascii="Book Antiqua" w:hAnsi="Book Antiqua"/>
          <w:b/>
          <w:bCs/>
          <w:i/>
          <w:color w:val="000000"/>
        </w:rPr>
        <w:t xml:space="preserve"> ≥</w:t>
      </w:r>
      <w:r w:rsidR="00D31160" w:rsidRPr="00CD3D64">
        <w:rPr>
          <w:rFonts w:ascii="Book Antiqua" w:hAnsi="Book Antiqua"/>
          <w:b/>
          <w:bCs/>
          <w:i/>
          <w:color w:val="000000"/>
        </w:rPr>
        <w:t xml:space="preserve"> </w:t>
      </w:r>
      <w:r w:rsidR="008834CD" w:rsidRPr="00CD3D64">
        <w:rPr>
          <w:rFonts w:ascii="Book Antiqua" w:hAnsi="Book Antiqua"/>
          <w:b/>
          <w:bCs/>
          <w:i/>
          <w:color w:val="000000"/>
        </w:rPr>
        <w:t>75</w:t>
      </w:r>
      <w:r w:rsidR="00E5329F">
        <w:rPr>
          <w:rFonts w:ascii="Book Antiqua" w:hAnsi="Book Antiqua"/>
          <w:b/>
          <w:bCs/>
          <w:i/>
          <w:color w:val="000000"/>
        </w:rPr>
        <w:t>-years-old</w:t>
      </w:r>
      <w:r w:rsidRPr="00CD3D64">
        <w:rPr>
          <w:rFonts w:ascii="Book Antiqua" w:hAnsi="Book Antiqua"/>
          <w:b/>
          <w:bCs/>
          <w:i/>
          <w:color w:val="000000"/>
        </w:rPr>
        <w:t xml:space="preserve"> and </w:t>
      </w:r>
      <w:r w:rsidR="008834CD" w:rsidRPr="00CD3D64">
        <w:rPr>
          <w:rFonts w:ascii="Book Antiqua" w:hAnsi="Book Antiqua"/>
          <w:b/>
          <w:bCs/>
          <w:i/>
          <w:color w:val="000000"/>
        </w:rPr>
        <w:t>&lt;</w:t>
      </w:r>
      <w:r w:rsidR="00D31160" w:rsidRPr="00CD3D64">
        <w:rPr>
          <w:rFonts w:ascii="Book Antiqua" w:hAnsi="Book Antiqua"/>
          <w:b/>
          <w:bCs/>
          <w:i/>
          <w:color w:val="000000"/>
        </w:rPr>
        <w:t xml:space="preserve"> </w:t>
      </w:r>
      <w:r w:rsidR="008834CD" w:rsidRPr="00CD3D64">
        <w:rPr>
          <w:rFonts w:ascii="Book Antiqua" w:hAnsi="Book Antiqua"/>
          <w:b/>
          <w:bCs/>
          <w:i/>
          <w:color w:val="000000"/>
        </w:rPr>
        <w:t>75</w:t>
      </w:r>
      <w:r w:rsidR="00E5329F">
        <w:rPr>
          <w:rFonts w:ascii="Book Antiqua" w:hAnsi="Book Antiqua"/>
          <w:b/>
          <w:bCs/>
          <w:i/>
          <w:color w:val="000000"/>
        </w:rPr>
        <w:t>-</w:t>
      </w:r>
      <w:r w:rsidR="008834CD" w:rsidRPr="00CD3D64">
        <w:rPr>
          <w:rFonts w:ascii="Book Antiqua" w:hAnsi="Book Antiqua"/>
          <w:b/>
          <w:bCs/>
          <w:i/>
          <w:color w:val="000000"/>
        </w:rPr>
        <w:t>years</w:t>
      </w:r>
      <w:r w:rsidR="00E5329F">
        <w:rPr>
          <w:rFonts w:ascii="Book Antiqua" w:hAnsi="Book Antiqua"/>
          <w:b/>
          <w:bCs/>
          <w:i/>
          <w:color w:val="000000"/>
        </w:rPr>
        <w:t>-</w:t>
      </w:r>
      <w:r w:rsidR="00B81977" w:rsidRPr="00CD3D64">
        <w:rPr>
          <w:rFonts w:ascii="Book Antiqua" w:hAnsi="Book Antiqua"/>
          <w:b/>
          <w:bCs/>
          <w:i/>
          <w:color w:val="000000"/>
        </w:rPr>
        <w:t>old</w:t>
      </w:r>
    </w:p>
    <w:p w:rsidR="00637EAF" w:rsidRPr="00CD3D64" w:rsidRDefault="00B81977" w:rsidP="00CD3D64">
      <w:pPr>
        <w:adjustRightInd w:val="0"/>
        <w:snapToGrid w:val="0"/>
        <w:spacing w:line="360" w:lineRule="auto"/>
        <w:rPr>
          <w:rFonts w:ascii="Book Antiqua" w:hAnsi="Book Antiqua"/>
          <w:b/>
          <w:bCs/>
          <w:i/>
          <w:color w:val="000000"/>
        </w:rPr>
      </w:pPr>
      <w:r w:rsidRPr="00CD3D64">
        <w:rPr>
          <w:rFonts w:ascii="Book Antiqua" w:hAnsi="Book Antiqua"/>
          <w:color w:val="000000"/>
        </w:rPr>
        <w:t>A c</w:t>
      </w:r>
      <w:r w:rsidR="00646EF9" w:rsidRPr="00CD3D64">
        <w:rPr>
          <w:rFonts w:ascii="Book Antiqua" w:hAnsi="Book Antiqua"/>
          <w:color w:val="000000"/>
        </w:rPr>
        <w:t xml:space="preserve">omparison of pre-treatment factors between </w:t>
      </w:r>
      <w:proofErr w:type="gramStart"/>
      <w:r w:rsidR="008834CD" w:rsidRPr="00CD3D64">
        <w:rPr>
          <w:rFonts w:ascii="Book Antiqua" w:hAnsi="Book Antiqua"/>
          <w:color w:val="000000"/>
        </w:rPr>
        <w:t>patients</w:t>
      </w:r>
      <w:proofErr w:type="gramEnd"/>
      <w:r w:rsidR="008834CD" w:rsidRPr="00CD3D64">
        <w:rPr>
          <w:rFonts w:ascii="Book Antiqua" w:hAnsi="Book Antiqua"/>
          <w:color w:val="000000"/>
        </w:rPr>
        <w:t xml:space="preserve"> </w:t>
      </w:r>
      <w:r w:rsidR="008834CD" w:rsidRPr="00CD3D64">
        <w:rPr>
          <w:rFonts w:ascii="Book Antiqua" w:hAnsi="Book Antiqua"/>
          <w:bCs/>
          <w:color w:val="000000"/>
        </w:rPr>
        <w:t>≥</w:t>
      </w:r>
      <w:r w:rsidR="00D31160" w:rsidRPr="00CD3D64">
        <w:rPr>
          <w:rFonts w:ascii="Book Antiqua" w:hAnsi="Book Antiqua"/>
          <w:bCs/>
          <w:color w:val="000000"/>
        </w:rPr>
        <w:t xml:space="preserve"> </w:t>
      </w:r>
      <w:r w:rsidR="008834CD" w:rsidRPr="00CD3D64">
        <w:rPr>
          <w:rFonts w:ascii="Book Antiqua" w:hAnsi="Book Antiqua"/>
          <w:color w:val="000000"/>
        </w:rPr>
        <w:t>75</w:t>
      </w:r>
      <w:r w:rsidR="00E5329F">
        <w:rPr>
          <w:rFonts w:ascii="Book Antiqua" w:hAnsi="Book Antiqua"/>
          <w:color w:val="000000"/>
        </w:rPr>
        <w:t>-years-old</w:t>
      </w:r>
      <w:r w:rsidR="00646EF9" w:rsidRPr="00CD3D64">
        <w:rPr>
          <w:rFonts w:ascii="Book Antiqua" w:hAnsi="Book Antiqua"/>
          <w:color w:val="000000"/>
        </w:rPr>
        <w:t xml:space="preserve"> and</w:t>
      </w:r>
      <w:r w:rsidR="008834CD" w:rsidRPr="00CD3D64">
        <w:rPr>
          <w:rFonts w:ascii="Book Antiqua" w:hAnsi="Book Antiqua"/>
          <w:color w:val="000000"/>
        </w:rPr>
        <w:t xml:space="preserve"> &lt;</w:t>
      </w:r>
      <w:r w:rsidR="00D31160" w:rsidRPr="00CD3D64">
        <w:rPr>
          <w:rFonts w:ascii="Book Antiqua" w:hAnsi="Book Antiqua"/>
          <w:color w:val="000000"/>
        </w:rPr>
        <w:t xml:space="preserve"> </w:t>
      </w:r>
      <w:r w:rsidR="008834CD" w:rsidRPr="00CD3D64">
        <w:rPr>
          <w:rFonts w:ascii="Book Antiqua" w:hAnsi="Book Antiqua"/>
          <w:color w:val="000000"/>
        </w:rPr>
        <w:t>75</w:t>
      </w:r>
      <w:r w:rsidR="00E5329F">
        <w:rPr>
          <w:rFonts w:ascii="Book Antiqua" w:hAnsi="Book Antiqua"/>
          <w:color w:val="000000"/>
        </w:rPr>
        <w:t>-</w:t>
      </w:r>
      <w:r w:rsidR="008834CD" w:rsidRPr="00CD3D64">
        <w:rPr>
          <w:rFonts w:ascii="Book Antiqua" w:hAnsi="Book Antiqua"/>
          <w:color w:val="000000"/>
        </w:rPr>
        <w:t>years</w:t>
      </w:r>
      <w:r w:rsidR="00E5329F">
        <w:rPr>
          <w:rFonts w:ascii="Book Antiqua" w:hAnsi="Book Antiqua"/>
          <w:color w:val="000000"/>
        </w:rPr>
        <w:t>-</w:t>
      </w:r>
      <w:r w:rsidRPr="00CD3D64">
        <w:rPr>
          <w:rFonts w:ascii="Book Antiqua" w:hAnsi="Book Antiqua"/>
          <w:color w:val="000000"/>
        </w:rPr>
        <w:t xml:space="preserve">old </w:t>
      </w:r>
      <w:r w:rsidR="00FA072C" w:rsidRPr="00CD3D64">
        <w:rPr>
          <w:rFonts w:ascii="Book Antiqua" w:hAnsi="Book Antiqua"/>
          <w:color w:val="000000"/>
        </w:rPr>
        <w:t>is</w:t>
      </w:r>
      <w:r w:rsidR="00646EF9" w:rsidRPr="00CD3D64">
        <w:rPr>
          <w:rFonts w:ascii="Book Antiqua" w:hAnsi="Book Antiqua"/>
          <w:color w:val="000000"/>
        </w:rPr>
        <w:t xml:space="preserve"> shown in </w:t>
      </w:r>
      <w:r w:rsidR="00646EF9" w:rsidRPr="00CD3D64">
        <w:rPr>
          <w:rFonts w:ascii="Book Antiqua" w:hAnsi="Book Antiqua"/>
          <w:bCs/>
          <w:color w:val="000000"/>
        </w:rPr>
        <w:t xml:space="preserve">Table </w:t>
      </w:r>
      <w:r w:rsidR="00A6679D" w:rsidRPr="00CD3D64">
        <w:rPr>
          <w:rFonts w:ascii="Book Antiqua" w:hAnsi="Book Antiqua"/>
          <w:bCs/>
          <w:color w:val="000000"/>
        </w:rPr>
        <w:t>2</w:t>
      </w:r>
      <w:r w:rsidR="00646EF9" w:rsidRPr="00CD3D64">
        <w:rPr>
          <w:rFonts w:ascii="Book Antiqua" w:hAnsi="Book Antiqua"/>
          <w:bCs/>
          <w:color w:val="000000"/>
        </w:rPr>
        <w:t>.</w:t>
      </w:r>
      <w:r w:rsidR="00637EAF" w:rsidRPr="00CD3D64">
        <w:rPr>
          <w:rFonts w:ascii="Book Antiqua" w:hAnsi="Book Antiqua"/>
          <w:color w:val="000000"/>
        </w:rPr>
        <w:t xml:space="preserve"> Significant differences </w:t>
      </w:r>
      <w:proofErr w:type="gramStart"/>
      <w:r w:rsidR="00637EAF" w:rsidRPr="00CD3D64">
        <w:rPr>
          <w:rFonts w:ascii="Book Antiqua" w:hAnsi="Book Antiqua"/>
          <w:color w:val="000000"/>
        </w:rPr>
        <w:t>were seen</w:t>
      </w:r>
      <w:proofErr w:type="gramEnd"/>
      <w:r w:rsidR="00637EAF" w:rsidRPr="00CD3D64">
        <w:rPr>
          <w:rFonts w:ascii="Book Antiqua" w:hAnsi="Book Antiqua"/>
          <w:color w:val="000000"/>
        </w:rPr>
        <w:t xml:space="preserve"> in height, weight, body mass index, cirrhosis, chronic kidney disease, history of HCC treatment, white blood cells, hemoglobin, platelets, alanine aminotransferase, γ-</w:t>
      </w:r>
      <w:proofErr w:type="spellStart"/>
      <w:r w:rsidR="00637EAF" w:rsidRPr="00CD3D64">
        <w:rPr>
          <w:rFonts w:ascii="Book Antiqua" w:hAnsi="Book Antiqua"/>
          <w:color w:val="000000"/>
        </w:rPr>
        <w:t>glutamyl</w:t>
      </w:r>
      <w:proofErr w:type="spellEnd"/>
      <w:r w:rsidR="00637EAF" w:rsidRPr="00CD3D64">
        <w:rPr>
          <w:rFonts w:ascii="Book Antiqua" w:hAnsi="Book Antiqua"/>
          <w:color w:val="000000"/>
        </w:rPr>
        <w:t xml:space="preserve"> </w:t>
      </w:r>
      <w:proofErr w:type="spellStart"/>
      <w:r w:rsidR="00637EAF" w:rsidRPr="00CD3D64">
        <w:rPr>
          <w:rFonts w:ascii="Book Antiqua" w:hAnsi="Book Antiqua"/>
          <w:color w:val="000000"/>
        </w:rPr>
        <w:t>transferase</w:t>
      </w:r>
      <w:proofErr w:type="spellEnd"/>
      <w:r w:rsidR="00637EAF" w:rsidRPr="00CD3D64">
        <w:rPr>
          <w:rFonts w:ascii="Book Antiqua" w:hAnsi="Book Antiqua"/>
          <w:color w:val="000000"/>
        </w:rPr>
        <w:t>,</w:t>
      </w:r>
      <w:r w:rsidR="006904A5" w:rsidRPr="00CD3D64">
        <w:rPr>
          <w:rFonts w:ascii="Book Antiqua" w:hAnsi="Book Antiqua"/>
          <w:color w:val="000000"/>
        </w:rPr>
        <w:t xml:space="preserve"> </w:t>
      </w:r>
      <w:r w:rsidR="00637EAF" w:rsidRPr="00CD3D64">
        <w:rPr>
          <w:rFonts w:ascii="Book Antiqua" w:hAnsi="Book Antiqua"/>
          <w:color w:val="000000"/>
        </w:rPr>
        <w:lastRenderedPageBreak/>
        <w:t>alpha-fetoprotein</w:t>
      </w:r>
      <w:r w:rsidR="00AD5F4C" w:rsidRPr="00CD3D64">
        <w:rPr>
          <w:rFonts w:ascii="Book Antiqua" w:hAnsi="Book Antiqua"/>
          <w:color w:val="000000"/>
        </w:rPr>
        <w:t xml:space="preserve"> (AFP)</w:t>
      </w:r>
      <w:r w:rsidR="006904A5" w:rsidRPr="00CD3D64">
        <w:rPr>
          <w:rFonts w:ascii="Book Antiqua" w:hAnsi="Book Antiqua"/>
          <w:color w:val="000000"/>
        </w:rPr>
        <w:t xml:space="preserve"> levels</w:t>
      </w:r>
      <w:r w:rsidR="00637EAF" w:rsidRPr="00CD3D64">
        <w:rPr>
          <w:rFonts w:ascii="Book Antiqua" w:hAnsi="Book Antiqua"/>
          <w:color w:val="000000"/>
        </w:rPr>
        <w:t xml:space="preserve">, and </w:t>
      </w:r>
      <w:r w:rsidR="00E52BF8" w:rsidRPr="00CD3D64">
        <w:rPr>
          <w:rFonts w:ascii="Book Antiqua" w:hAnsi="Book Antiqua"/>
          <w:color w:val="000000"/>
        </w:rPr>
        <w:t>estimated glomerular filtration rate</w:t>
      </w:r>
      <w:r w:rsidR="00637EAF" w:rsidRPr="00CD3D64">
        <w:rPr>
          <w:rFonts w:ascii="Book Antiqua" w:hAnsi="Book Antiqua"/>
          <w:color w:val="000000"/>
        </w:rPr>
        <w:t>.</w:t>
      </w:r>
    </w:p>
    <w:p w:rsidR="00A4072F" w:rsidRPr="00CD3D64" w:rsidRDefault="00A4072F" w:rsidP="00CD3D64">
      <w:pPr>
        <w:adjustRightInd w:val="0"/>
        <w:snapToGrid w:val="0"/>
        <w:spacing w:line="360" w:lineRule="auto"/>
        <w:rPr>
          <w:rFonts w:ascii="Book Antiqua" w:hAnsi="Book Antiqua"/>
          <w:b/>
          <w:bCs/>
          <w:i/>
          <w:iCs/>
          <w:color w:val="000000"/>
        </w:rPr>
      </w:pPr>
    </w:p>
    <w:p w:rsidR="006F40C2" w:rsidRPr="00CD3D64" w:rsidRDefault="00882F7D" w:rsidP="00CD3D64">
      <w:pPr>
        <w:adjustRightInd w:val="0"/>
        <w:snapToGrid w:val="0"/>
        <w:spacing w:line="360" w:lineRule="auto"/>
        <w:rPr>
          <w:rFonts w:ascii="Book Antiqua" w:hAnsi="Book Antiqua"/>
          <w:b/>
          <w:bCs/>
          <w:i/>
          <w:iCs/>
          <w:color w:val="000000"/>
        </w:rPr>
      </w:pPr>
      <w:r w:rsidRPr="00CD3D64">
        <w:rPr>
          <w:rFonts w:ascii="Book Antiqua" w:hAnsi="Book Antiqua"/>
          <w:b/>
          <w:bCs/>
          <w:i/>
          <w:iCs/>
          <w:color w:val="000000"/>
        </w:rPr>
        <w:t>Treatment response</w:t>
      </w:r>
    </w:p>
    <w:p w:rsidR="00581FD3" w:rsidRPr="00CD3D64" w:rsidRDefault="00581FD3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CD3D64">
        <w:rPr>
          <w:rFonts w:ascii="Book Antiqua" w:hAnsi="Book Antiqua"/>
          <w:bCs/>
          <w:iCs/>
          <w:color w:val="000000"/>
        </w:rPr>
        <w:t xml:space="preserve">SVR rates overall and according to age groups </w:t>
      </w:r>
      <w:proofErr w:type="gramStart"/>
      <w:r w:rsidRPr="00CD3D64">
        <w:rPr>
          <w:rFonts w:ascii="Book Antiqua" w:hAnsi="Book Antiqua"/>
          <w:bCs/>
          <w:iCs/>
          <w:color w:val="000000"/>
        </w:rPr>
        <w:t>are shown</w:t>
      </w:r>
      <w:proofErr w:type="gramEnd"/>
      <w:r w:rsidRPr="00CD3D64">
        <w:rPr>
          <w:rFonts w:ascii="Book Antiqua" w:hAnsi="Book Antiqua"/>
          <w:bCs/>
          <w:iCs/>
          <w:color w:val="000000"/>
        </w:rPr>
        <w:t xml:space="preserve"> in Figure 1. </w:t>
      </w:r>
      <w:r w:rsidR="00F80441" w:rsidRPr="00CD3D64">
        <w:rPr>
          <w:rFonts w:ascii="Book Antiqua" w:hAnsi="Book Antiqua"/>
          <w:color w:val="000000"/>
        </w:rPr>
        <w:t xml:space="preserve">SVR rates for </w:t>
      </w:r>
      <w:r w:rsidR="006904A5" w:rsidRPr="00CD3D64">
        <w:rPr>
          <w:rFonts w:ascii="Book Antiqua" w:hAnsi="Book Antiqua"/>
          <w:color w:val="000000"/>
        </w:rPr>
        <w:t xml:space="preserve">the </w:t>
      </w:r>
      <w:r w:rsidR="00F80441" w:rsidRPr="00CD3D64">
        <w:rPr>
          <w:rFonts w:ascii="Book Antiqua" w:hAnsi="Book Antiqua"/>
          <w:color w:val="000000"/>
        </w:rPr>
        <w:t>overall cohort, patients &lt;</w:t>
      </w:r>
      <w:r w:rsidR="00D31160" w:rsidRPr="00CD3D64">
        <w:rPr>
          <w:rFonts w:ascii="Book Antiqua" w:hAnsi="Book Antiqua"/>
          <w:color w:val="000000"/>
        </w:rPr>
        <w:t xml:space="preserve"> </w:t>
      </w:r>
      <w:r w:rsidR="00F80441" w:rsidRPr="00CD3D64">
        <w:rPr>
          <w:rFonts w:ascii="Book Antiqua" w:hAnsi="Book Antiqua"/>
          <w:color w:val="000000"/>
        </w:rPr>
        <w:t>65</w:t>
      </w:r>
      <w:r w:rsidR="00D242AF">
        <w:rPr>
          <w:rFonts w:ascii="Book Antiqua" w:hAnsi="Book Antiqua"/>
          <w:color w:val="000000"/>
        </w:rPr>
        <w:t>-years-old</w:t>
      </w:r>
      <w:r w:rsidR="00F80441" w:rsidRPr="00CD3D64">
        <w:rPr>
          <w:rFonts w:ascii="Book Antiqua" w:hAnsi="Book Antiqua"/>
          <w:color w:val="000000"/>
        </w:rPr>
        <w:t xml:space="preserve">, </w:t>
      </w:r>
      <w:r w:rsidR="006904A5" w:rsidRPr="00CD3D64">
        <w:rPr>
          <w:rFonts w:ascii="Book Antiqua" w:hAnsi="Book Antiqua"/>
          <w:color w:val="000000"/>
        </w:rPr>
        <w:t xml:space="preserve">patients </w:t>
      </w:r>
      <w:r w:rsidR="00F80441" w:rsidRPr="00CD3D64">
        <w:rPr>
          <w:rFonts w:ascii="Book Antiqua" w:hAnsi="Book Antiqua"/>
          <w:color w:val="000000"/>
        </w:rPr>
        <w:t>≥</w:t>
      </w:r>
      <w:r w:rsidR="00D31160" w:rsidRPr="00CD3D64">
        <w:rPr>
          <w:rFonts w:ascii="Book Antiqua" w:hAnsi="Book Antiqua"/>
          <w:color w:val="000000"/>
        </w:rPr>
        <w:t xml:space="preserve"> </w:t>
      </w:r>
      <w:r w:rsidR="00F80441" w:rsidRPr="00CD3D64">
        <w:rPr>
          <w:rFonts w:ascii="Book Antiqua" w:hAnsi="Book Antiqua"/>
          <w:color w:val="000000"/>
        </w:rPr>
        <w:t>65</w:t>
      </w:r>
      <w:r w:rsidR="00E5329F">
        <w:rPr>
          <w:rFonts w:ascii="Book Antiqua" w:hAnsi="Book Antiqua"/>
          <w:color w:val="000000"/>
        </w:rPr>
        <w:t xml:space="preserve">-years-old </w:t>
      </w:r>
      <w:r w:rsidR="006904A5" w:rsidRPr="00CD3D64">
        <w:rPr>
          <w:rFonts w:ascii="Book Antiqua" w:hAnsi="Book Antiqua"/>
          <w:color w:val="000000"/>
        </w:rPr>
        <w:t xml:space="preserve">but </w:t>
      </w:r>
      <w:r w:rsidR="00F80441" w:rsidRPr="00CD3D64">
        <w:rPr>
          <w:rFonts w:ascii="Book Antiqua" w:hAnsi="Book Antiqua"/>
          <w:color w:val="000000"/>
        </w:rPr>
        <w:t>&lt;</w:t>
      </w:r>
      <w:r w:rsidR="00D31160" w:rsidRPr="00CD3D64">
        <w:rPr>
          <w:rFonts w:ascii="Book Antiqua" w:hAnsi="Book Antiqua"/>
          <w:color w:val="000000"/>
        </w:rPr>
        <w:t xml:space="preserve"> </w:t>
      </w:r>
      <w:r w:rsidR="00F80441" w:rsidRPr="00CD3D64">
        <w:rPr>
          <w:rFonts w:ascii="Book Antiqua" w:hAnsi="Book Antiqua"/>
          <w:color w:val="000000"/>
        </w:rPr>
        <w:t>75</w:t>
      </w:r>
      <w:r w:rsidR="00E5329F">
        <w:rPr>
          <w:rFonts w:ascii="Book Antiqua" w:hAnsi="Book Antiqua"/>
          <w:color w:val="000000"/>
        </w:rPr>
        <w:t>-</w:t>
      </w:r>
      <w:r w:rsidR="00F80441" w:rsidRPr="00CD3D64">
        <w:rPr>
          <w:rFonts w:ascii="Book Antiqua" w:hAnsi="Book Antiqua"/>
          <w:color w:val="000000"/>
        </w:rPr>
        <w:t>years</w:t>
      </w:r>
      <w:r w:rsidR="00E5329F">
        <w:rPr>
          <w:rFonts w:ascii="Book Antiqua" w:hAnsi="Book Antiqua"/>
          <w:color w:val="000000"/>
        </w:rPr>
        <w:t>-</w:t>
      </w:r>
      <w:r w:rsidR="00F80441" w:rsidRPr="00CD3D64">
        <w:rPr>
          <w:rFonts w:ascii="Book Antiqua" w:hAnsi="Book Antiqua"/>
          <w:color w:val="000000"/>
        </w:rPr>
        <w:t xml:space="preserve">old, and </w:t>
      </w:r>
      <w:r w:rsidR="006904A5" w:rsidRPr="00CD3D64">
        <w:rPr>
          <w:rFonts w:ascii="Book Antiqua" w:hAnsi="Book Antiqua"/>
          <w:color w:val="000000"/>
        </w:rPr>
        <w:t xml:space="preserve">patients </w:t>
      </w:r>
      <w:r w:rsidR="00F80441" w:rsidRPr="00CD3D64">
        <w:rPr>
          <w:rFonts w:ascii="Book Antiqua" w:hAnsi="Book Antiqua"/>
          <w:color w:val="000000"/>
        </w:rPr>
        <w:t>≥</w:t>
      </w:r>
      <w:r w:rsidR="00D31160" w:rsidRPr="00CD3D64">
        <w:rPr>
          <w:rFonts w:ascii="Book Antiqua" w:hAnsi="Book Antiqua"/>
          <w:color w:val="000000"/>
        </w:rPr>
        <w:t xml:space="preserve"> </w:t>
      </w:r>
      <w:r w:rsidR="00F80441" w:rsidRPr="00CD3D64">
        <w:rPr>
          <w:rFonts w:ascii="Book Antiqua" w:hAnsi="Book Antiqua"/>
          <w:color w:val="000000"/>
        </w:rPr>
        <w:t>75</w:t>
      </w:r>
      <w:r w:rsidR="00D242AF">
        <w:rPr>
          <w:rFonts w:ascii="Book Antiqua" w:hAnsi="Book Antiqua"/>
          <w:color w:val="000000"/>
        </w:rPr>
        <w:t>-years-old</w:t>
      </w:r>
      <w:r w:rsidR="00F80441" w:rsidRPr="00CD3D64">
        <w:rPr>
          <w:rFonts w:ascii="Book Antiqua" w:hAnsi="Book Antiqua"/>
          <w:color w:val="000000"/>
        </w:rPr>
        <w:t xml:space="preserve"> were 97% (258/265), 98% (93/95), 97% (84/87), and 98% (81/83), respectively. </w:t>
      </w:r>
      <w:r w:rsidRPr="00CD3D64">
        <w:rPr>
          <w:rFonts w:ascii="Book Antiqua" w:hAnsi="Book Antiqua"/>
          <w:bCs/>
          <w:iCs/>
          <w:color w:val="000000"/>
        </w:rPr>
        <w:t>No significant difference</w:t>
      </w:r>
      <w:r w:rsidR="00AE4ECB" w:rsidRPr="00CD3D64">
        <w:rPr>
          <w:rFonts w:ascii="Book Antiqua" w:hAnsi="Book Antiqua"/>
          <w:bCs/>
          <w:iCs/>
          <w:color w:val="000000"/>
        </w:rPr>
        <w:t>s</w:t>
      </w:r>
      <w:r w:rsidRPr="00CD3D64">
        <w:rPr>
          <w:rFonts w:ascii="Book Antiqua" w:hAnsi="Book Antiqua"/>
          <w:bCs/>
          <w:iCs/>
          <w:color w:val="000000"/>
        </w:rPr>
        <w:t xml:space="preserve"> w</w:t>
      </w:r>
      <w:r w:rsidR="00AE4ECB" w:rsidRPr="00CD3D64">
        <w:rPr>
          <w:rFonts w:ascii="Book Antiqua" w:hAnsi="Book Antiqua"/>
          <w:bCs/>
          <w:iCs/>
          <w:color w:val="000000"/>
        </w:rPr>
        <w:t>ere</w:t>
      </w:r>
      <w:r w:rsidRPr="00CD3D64">
        <w:rPr>
          <w:rFonts w:ascii="Book Antiqua" w:hAnsi="Book Antiqua"/>
          <w:bCs/>
          <w:iCs/>
          <w:color w:val="000000"/>
        </w:rPr>
        <w:t xml:space="preserve"> observed among age groups (</w:t>
      </w:r>
      <w:r w:rsidR="00D31160" w:rsidRPr="00CD3D64">
        <w:rPr>
          <w:rFonts w:ascii="Book Antiqua" w:hAnsi="Book Antiqua"/>
          <w:bCs/>
          <w:i/>
          <w:color w:val="000000"/>
        </w:rPr>
        <w:t xml:space="preserve">P </w:t>
      </w:r>
      <w:r w:rsidRPr="00CD3D64">
        <w:rPr>
          <w:rFonts w:ascii="Book Antiqua" w:hAnsi="Book Antiqua"/>
          <w:bCs/>
          <w:iCs/>
          <w:color w:val="000000"/>
        </w:rPr>
        <w:t>=</w:t>
      </w:r>
      <w:r w:rsidR="00D31160" w:rsidRPr="00CD3D64">
        <w:rPr>
          <w:rFonts w:ascii="Book Antiqua" w:hAnsi="Book Antiqua"/>
          <w:bCs/>
          <w:iCs/>
          <w:color w:val="000000"/>
        </w:rPr>
        <w:t xml:space="preserve"> </w:t>
      </w:r>
      <w:r w:rsidRPr="00CD3D64">
        <w:rPr>
          <w:rFonts w:ascii="Book Antiqua" w:hAnsi="Book Antiqua"/>
          <w:bCs/>
          <w:iCs/>
          <w:color w:val="000000"/>
        </w:rPr>
        <w:t>0.842).</w:t>
      </w:r>
    </w:p>
    <w:p w:rsidR="00581FD3" w:rsidRPr="00CD3D64" w:rsidRDefault="000B480F" w:rsidP="00CD3D64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color w:val="000000"/>
        </w:rPr>
      </w:pPr>
      <w:r w:rsidRPr="00CD3D64">
        <w:rPr>
          <w:rFonts w:ascii="Book Antiqua" w:hAnsi="Book Antiqua"/>
          <w:color w:val="000000"/>
        </w:rPr>
        <w:t xml:space="preserve">A comparison </w:t>
      </w:r>
      <w:r w:rsidR="000930DB" w:rsidRPr="00CD3D64">
        <w:rPr>
          <w:rFonts w:ascii="Book Antiqua" w:hAnsi="Book Antiqua"/>
          <w:color w:val="000000"/>
        </w:rPr>
        <w:t xml:space="preserve">of the viral negativity rate between </w:t>
      </w:r>
      <w:proofErr w:type="gramStart"/>
      <w:r w:rsidR="000930DB" w:rsidRPr="00CD3D64">
        <w:rPr>
          <w:rFonts w:ascii="Book Antiqua" w:hAnsi="Book Antiqua"/>
          <w:color w:val="000000"/>
        </w:rPr>
        <w:t>patients</w:t>
      </w:r>
      <w:proofErr w:type="gramEnd"/>
      <w:r w:rsidR="000930DB" w:rsidRPr="00CD3D64">
        <w:rPr>
          <w:rFonts w:ascii="Book Antiqua" w:hAnsi="Book Antiqua"/>
          <w:color w:val="000000"/>
        </w:rPr>
        <w:t xml:space="preserve"> ≥</w:t>
      </w:r>
      <w:r w:rsidR="00D31160" w:rsidRPr="00CD3D64">
        <w:rPr>
          <w:rFonts w:ascii="Book Antiqua" w:hAnsi="Book Antiqua"/>
          <w:color w:val="000000"/>
        </w:rPr>
        <w:t xml:space="preserve"> </w:t>
      </w:r>
      <w:r w:rsidR="000930DB" w:rsidRPr="00CD3D64">
        <w:rPr>
          <w:rFonts w:ascii="Book Antiqua" w:hAnsi="Book Antiqua"/>
          <w:color w:val="000000"/>
        </w:rPr>
        <w:t>75</w:t>
      </w:r>
      <w:r w:rsidR="00E5329F">
        <w:rPr>
          <w:rFonts w:ascii="Book Antiqua" w:hAnsi="Book Antiqua"/>
          <w:color w:val="000000"/>
        </w:rPr>
        <w:t>-years-old</w:t>
      </w:r>
      <w:r w:rsidR="000930DB" w:rsidRPr="00CD3D64">
        <w:rPr>
          <w:rFonts w:ascii="Book Antiqua" w:hAnsi="Book Antiqua"/>
          <w:color w:val="000000"/>
        </w:rPr>
        <w:t xml:space="preserve"> and &lt;</w:t>
      </w:r>
      <w:r w:rsidR="00D31160" w:rsidRPr="00CD3D64">
        <w:rPr>
          <w:rFonts w:ascii="Book Antiqua" w:hAnsi="Book Antiqua"/>
          <w:color w:val="000000"/>
        </w:rPr>
        <w:t xml:space="preserve"> </w:t>
      </w:r>
      <w:r w:rsidR="000930DB" w:rsidRPr="00CD3D64">
        <w:rPr>
          <w:rFonts w:ascii="Book Antiqua" w:hAnsi="Book Antiqua"/>
          <w:color w:val="000000"/>
        </w:rPr>
        <w:t>75</w:t>
      </w:r>
      <w:r w:rsidR="00D242AF">
        <w:rPr>
          <w:rFonts w:ascii="Book Antiqua" w:hAnsi="Book Antiqua"/>
          <w:color w:val="000000"/>
        </w:rPr>
        <w:t>-years-old</w:t>
      </w:r>
      <w:r w:rsidRPr="00CD3D64">
        <w:rPr>
          <w:rFonts w:ascii="Book Antiqua" w:hAnsi="Book Antiqua"/>
          <w:color w:val="000000"/>
        </w:rPr>
        <w:t xml:space="preserve"> </w:t>
      </w:r>
      <w:r w:rsidR="000930DB" w:rsidRPr="00CD3D64">
        <w:rPr>
          <w:rFonts w:ascii="Book Antiqua" w:hAnsi="Book Antiqua"/>
          <w:color w:val="000000"/>
        </w:rPr>
        <w:t xml:space="preserve">during treatment is shown in Figure </w:t>
      </w:r>
      <w:r w:rsidR="00581FD3" w:rsidRPr="00CD3D64">
        <w:rPr>
          <w:rFonts w:ascii="Book Antiqua" w:hAnsi="Book Antiqua"/>
          <w:color w:val="000000"/>
        </w:rPr>
        <w:t>2</w:t>
      </w:r>
      <w:r w:rsidR="000930DB" w:rsidRPr="00CD3D64">
        <w:rPr>
          <w:rFonts w:ascii="Book Antiqua" w:hAnsi="Book Antiqua"/>
          <w:color w:val="000000"/>
        </w:rPr>
        <w:t xml:space="preserve">. </w:t>
      </w:r>
      <w:r w:rsidR="00D22B6F" w:rsidRPr="00CD3D64">
        <w:rPr>
          <w:rFonts w:ascii="Book Antiqua" w:hAnsi="Book Antiqua"/>
          <w:color w:val="000000"/>
        </w:rPr>
        <w:t xml:space="preserve">RVR rates </w:t>
      </w:r>
      <w:r w:rsidR="00AE4ECB" w:rsidRPr="00CD3D64">
        <w:rPr>
          <w:rFonts w:ascii="Book Antiqua" w:hAnsi="Book Antiqua"/>
          <w:color w:val="000000"/>
        </w:rPr>
        <w:t xml:space="preserve">for </w:t>
      </w:r>
      <w:proofErr w:type="gramStart"/>
      <w:r w:rsidR="00D22B6F" w:rsidRPr="00CD3D64">
        <w:rPr>
          <w:rFonts w:ascii="Book Antiqua" w:hAnsi="Book Antiqua"/>
          <w:color w:val="000000"/>
        </w:rPr>
        <w:t>patients</w:t>
      </w:r>
      <w:proofErr w:type="gramEnd"/>
      <w:r w:rsidR="00D22B6F" w:rsidRPr="00CD3D64">
        <w:rPr>
          <w:rFonts w:ascii="Book Antiqua" w:hAnsi="Book Antiqua"/>
          <w:color w:val="000000"/>
        </w:rPr>
        <w:t xml:space="preserve"> ≥</w:t>
      </w:r>
      <w:r w:rsidR="00D31160" w:rsidRPr="00CD3D64">
        <w:rPr>
          <w:rFonts w:ascii="Book Antiqua" w:hAnsi="Book Antiqua"/>
          <w:color w:val="000000"/>
        </w:rPr>
        <w:t xml:space="preserve"> </w:t>
      </w:r>
      <w:r w:rsidR="00D22B6F" w:rsidRPr="00CD3D64">
        <w:rPr>
          <w:rFonts w:ascii="Book Antiqua" w:hAnsi="Book Antiqua"/>
          <w:color w:val="000000"/>
        </w:rPr>
        <w:t>75</w:t>
      </w:r>
      <w:r w:rsidR="00E5329F">
        <w:rPr>
          <w:rFonts w:ascii="Book Antiqua" w:hAnsi="Book Antiqua"/>
          <w:color w:val="000000"/>
        </w:rPr>
        <w:t>-years-old</w:t>
      </w:r>
      <w:r w:rsidR="00D22B6F" w:rsidRPr="00CD3D64">
        <w:rPr>
          <w:rFonts w:ascii="Book Antiqua" w:hAnsi="Book Antiqua"/>
          <w:color w:val="000000"/>
        </w:rPr>
        <w:t xml:space="preserve"> and &lt;</w:t>
      </w:r>
      <w:r w:rsidR="00D31160" w:rsidRPr="00CD3D64">
        <w:rPr>
          <w:rFonts w:ascii="Book Antiqua" w:hAnsi="Book Antiqua"/>
          <w:color w:val="000000"/>
        </w:rPr>
        <w:t xml:space="preserve"> </w:t>
      </w:r>
      <w:r w:rsidR="00D22B6F" w:rsidRPr="00CD3D64">
        <w:rPr>
          <w:rFonts w:ascii="Book Antiqua" w:hAnsi="Book Antiqua"/>
          <w:color w:val="000000"/>
        </w:rPr>
        <w:t>75</w:t>
      </w:r>
      <w:r w:rsidR="00D242AF">
        <w:rPr>
          <w:rFonts w:ascii="Book Antiqua" w:hAnsi="Book Antiqua"/>
          <w:color w:val="000000"/>
        </w:rPr>
        <w:t>-years-old</w:t>
      </w:r>
      <w:r w:rsidR="00D22B6F" w:rsidRPr="00CD3D64">
        <w:rPr>
          <w:rFonts w:ascii="Book Antiqua" w:hAnsi="Book Antiqua"/>
          <w:color w:val="000000"/>
        </w:rPr>
        <w:t xml:space="preserve"> groups were 84% and 89%, respectively. </w:t>
      </w:r>
      <w:r w:rsidR="000930DB" w:rsidRPr="00CD3D64">
        <w:rPr>
          <w:rFonts w:ascii="Book Antiqua" w:hAnsi="Book Antiqua"/>
          <w:color w:val="000000"/>
        </w:rPr>
        <w:t xml:space="preserve">Although </w:t>
      </w:r>
      <w:r w:rsidR="00D22B6F" w:rsidRPr="00CD3D64">
        <w:rPr>
          <w:rFonts w:ascii="Book Antiqua" w:hAnsi="Book Antiqua"/>
          <w:color w:val="000000"/>
        </w:rPr>
        <w:t>RVR rate</w:t>
      </w:r>
      <w:r w:rsidR="000930DB" w:rsidRPr="00CD3D64">
        <w:rPr>
          <w:rFonts w:ascii="Book Antiqua" w:hAnsi="Book Antiqua"/>
          <w:color w:val="000000"/>
        </w:rPr>
        <w:t xml:space="preserve"> </w:t>
      </w:r>
      <w:r w:rsidRPr="00CD3D64">
        <w:rPr>
          <w:rFonts w:ascii="Book Antiqua" w:hAnsi="Book Antiqua"/>
          <w:color w:val="000000"/>
        </w:rPr>
        <w:t>tended to be higher in</w:t>
      </w:r>
      <w:r w:rsidR="000930DB" w:rsidRPr="00CD3D64">
        <w:rPr>
          <w:rFonts w:ascii="Book Antiqua" w:hAnsi="Book Antiqua"/>
          <w:color w:val="000000"/>
        </w:rPr>
        <w:t xml:space="preserve"> patients ≥</w:t>
      </w:r>
      <w:r w:rsidR="00D31160" w:rsidRPr="00CD3D64">
        <w:rPr>
          <w:rFonts w:ascii="Book Antiqua" w:hAnsi="Book Antiqua"/>
          <w:color w:val="000000"/>
        </w:rPr>
        <w:t xml:space="preserve"> </w:t>
      </w:r>
      <w:r w:rsidR="000930DB" w:rsidRPr="00CD3D64">
        <w:rPr>
          <w:rFonts w:ascii="Book Antiqua" w:hAnsi="Book Antiqua"/>
          <w:color w:val="000000"/>
        </w:rPr>
        <w:t>75</w:t>
      </w:r>
      <w:r w:rsidR="00D242AF">
        <w:rPr>
          <w:rFonts w:ascii="Book Antiqua" w:hAnsi="Book Antiqua"/>
          <w:color w:val="000000"/>
        </w:rPr>
        <w:t>-years-old</w:t>
      </w:r>
      <w:r w:rsidRPr="00CD3D64">
        <w:rPr>
          <w:rFonts w:ascii="Book Antiqua" w:hAnsi="Book Antiqua"/>
          <w:color w:val="000000"/>
        </w:rPr>
        <w:t xml:space="preserve"> </w:t>
      </w:r>
      <w:r w:rsidR="000930DB" w:rsidRPr="00CD3D64">
        <w:rPr>
          <w:rFonts w:ascii="Book Antiqua" w:hAnsi="Book Antiqua"/>
          <w:color w:val="000000"/>
        </w:rPr>
        <w:t xml:space="preserve">than </w:t>
      </w:r>
      <w:r w:rsidRPr="00CD3D64">
        <w:rPr>
          <w:rFonts w:ascii="Book Antiqua" w:hAnsi="Book Antiqua"/>
          <w:color w:val="000000"/>
        </w:rPr>
        <w:t>in</w:t>
      </w:r>
      <w:r w:rsidR="000930DB" w:rsidRPr="00CD3D64">
        <w:rPr>
          <w:rFonts w:ascii="Book Antiqua" w:hAnsi="Book Antiqua"/>
          <w:color w:val="000000"/>
        </w:rPr>
        <w:t xml:space="preserve"> patients &lt;</w:t>
      </w:r>
      <w:r w:rsidR="00D31160" w:rsidRPr="00CD3D64">
        <w:rPr>
          <w:rFonts w:ascii="Book Antiqua" w:hAnsi="Book Antiqua"/>
          <w:color w:val="000000"/>
        </w:rPr>
        <w:t xml:space="preserve"> </w:t>
      </w:r>
      <w:r w:rsidR="000930DB" w:rsidRPr="00CD3D64">
        <w:rPr>
          <w:rFonts w:ascii="Book Antiqua" w:hAnsi="Book Antiqua"/>
          <w:color w:val="000000"/>
        </w:rPr>
        <w:t>75</w:t>
      </w:r>
      <w:r w:rsidR="00D242AF">
        <w:rPr>
          <w:rFonts w:ascii="Book Antiqua" w:hAnsi="Book Antiqua"/>
          <w:color w:val="000000"/>
        </w:rPr>
        <w:t>-years-old</w:t>
      </w:r>
      <w:r w:rsidR="000930DB" w:rsidRPr="00CD3D64">
        <w:rPr>
          <w:rFonts w:ascii="Book Antiqua" w:hAnsi="Book Antiqua"/>
          <w:color w:val="000000"/>
        </w:rPr>
        <w:t xml:space="preserve">, </w:t>
      </w:r>
      <w:r w:rsidRPr="00CD3D64">
        <w:rPr>
          <w:rFonts w:ascii="Book Antiqua" w:hAnsi="Book Antiqua"/>
          <w:color w:val="000000"/>
        </w:rPr>
        <w:t xml:space="preserve">the </w:t>
      </w:r>
      <w:r w:rsidR="000930DB" w:rsidRPr="00CD3D64">
        <w:rPr>
          <w:rFonts w:ascii="Book Antiqua" w:hAnsi="Book Antiqua"/>
          <w:color w:val="000000"/>
        </w:rPr>
        <w:t xml:space="preserve">difference was </w:t>
      </w:r>
      <w:r w:rsidRPr="00CD3D64">
        <w:rPr>
          <w:rFonts w:ascii="Book Antiqua" w:hAnsi="Book Antiqua"/>
          <w:color w:val="000000"/>
        </w:rPr>
        <w:t xml:space="preserve">not significant </w:t>
      </w:r>
      <w:r w:rsidR="000930DB" w:rsidRPr="00CD3D64">
        <w:rPr>
          <w:rFonts w:ascii="Book Antiqua" w:hAnsi="Book Antiqua"/>
          <w:color w:val="000000"/>
        </w:rPr>
        <w:t>(</w:t>
      </w:r>
      <w:r w:rsidR="00D31160" w:rsidRPr="00CD3D64">
        <w:rPr>
          <w:rFonts w:ascii="Book Antiqua" w:hAnsi="Book Antiqua"/>
          <w:i/>
          <w:iCs/>
          <w:color w:val="000000"/>
        </w:rPr>
        <w:t xml:space="preserve">P </w:t>
      </w:r>
      <w:r w:rsidR="000930DB" w:rsidRPr="00CD3D64">
        <w:rPr>
          <w:rFonts w:ascii="Book Antiqua" w:hAnsi="Book Antiqua"/>
          <w:color w:val="000000"/>
        </w:rPr>
        <w:t>=</w:t>
      </w:r>
      <w:r w:rsidR="00D31160" w:rsidRPr="00CD3D64">
        <w:rPr>
          <w:rFonts w:ascii="Book Antiqua" w:hAnsi="Book Antiqua"/>
          <w:color w:val="000000"/>
        </w:rPr>
        <w:t xml:space="preserve"> </w:t>
      </w:r>
      <w:r w:rsidR="000930DB" w:rsidRPr="00CD3D64">
        <w:rPr>
          <w:rFonts w:ascii="Book Antiqua" w:hAnsi="Book Antiqua"/>
          <w:color w:val="000000"/>
        </w:rPr>
        <w:t xml:space="preserve">0.266). </w:t>
      </w:r>
      <w:r w:rsidR="00A578FB" w:rsidRPr="00CD3D64">
        <w:rPr>
          <w:rFonts w:ascii="Book Antiqua" w:hAnsi="Book Antiqua"/>
          <w:color w:val="000000"/>
        </w:rPr>
        <w:t>End-of-treatment response</w:t>
      </w:r>
      <w:r w:rsidR="00D22B6F" w:rsidRPr="00CD3D64">
        <w:rPr>
          <w:rFonts w:ascii="Book Antiqua" w:hAnsi="Book Antiqua"/>
          <w:bCs/>
          <w:iCs/>
          <w:color w:val="000000"/>
        </w:rPr>
        <w:t xml:space="preserve"> rates of </w:t>
      </w:r>
      <w:proofErr w:type="gramStart"/>
      <w:r w:rsidR="00C129D7" w:rsidRPr="00CD3D64">
        <w:rPr>
          <w:rFonts w:ascii="Book Antiqua" w:hAnsi="Book Antiqua"/>
          <w:color w:val="000000"/>
        </w:rPr>
        <w:t>patients</w:t>
      </w:r>
      <w:proofErr w:type="gramEnd"/>
      <w:r w:rsidR="00C129D7" w:rsidRPr="00CD3D64">
        <w:rPr>
          <w:rFonts w:ascii="Book Antiqua" w:hAnsi="Book Antiqua"/>
          <w:color w:val="000000"/>
        </w:rPr>
        <w:t xml:space="preserve"> ≥</w:t>
      </w:r>
      <w:r w:rsidR="00D31160" w:rsidRPr="00CD3D64">
        <w:rPr>
          <w:rFonts w:ascii="Book Antiqua" w:hAnsi="Book Antiqua"/>
          <w:color w:val="000000"/>
        </w:rPr>
        <w:t xml:space="preserve"> </w:t>
      </w:r>
      <w:r w:rsidR="00C129D7" w:rsidRPr="00CD3D64">
        <w:rPr>
          <w:rFonts w:ascii="Book Antiqua" w:hAnsi="Book Antiqua"/>
          <w:color w:val="000000"/>
        </w:rPr>
        <w:t>75</w:t>
      </w:r>
      <w:r w:rsidR="00E5329F">
        <w:rPr>
          <w:rFonts w:ascii="Book Antiqua" w:hAnsi="Book Antiqua"/>
          <w:color w:val="000000"/>
        </w:rPr>
        <w:t>-years-old</w:t>
      </w:r>
      <w:r w:rsidR="00C129D7" w:rsidRPr="00CD3D64">
        <w:rPr>
          <w:rFonts w:ascii="Book Antiqua" w:hAnsi="Book Antiqua"/>
          <w:color w:val="000000"/>
        </w:rPr>
        <w:t xml:space="preserve"> and &lt;</w:t>
      </w:r>
      <w:r w:rsidR="00D31160" w:rsidRPr="00CD3D64">
        <w:rPr>
          <w:rFonts w:ascii="Book Antiqua" w:hAnsi="Book Antiqua"/>
          <w:color w:val="000000"/>
        </w:rPr>
        <w:t xml:space="preserve"> </w:t>
      </w:r>
      <w:r w:rsidR="00C129D7" w:rsidRPr="00CD3D64">
        <w:rPr>
          <w:rFonts w:ascii="Book Antiqua" w:hAnsi="Book Antiqua"/>
          <w:color w:val="000000"/>
        </w:rPr>
        <w:t>75</w:t>
      </w:r>
      <w:r w:rsidR="00D242AF">
        <w:rPr>
          <w:rFonts w:ascii="Book Antiqua" w:hAnsi="Book Antiqua"/>
          <w:color w:val="000000"/>
        </w:rPr>
        <w:t>-years-old</w:t>
      </w:r>
      <w:r w:rsidR="00C129D7" w:rsidRPr="00CD3D64">
        <w:rPr>
          <w:rFonts w:ascii="Book Antiqua" w:hAnsi="Book Antiqua"/>
          <w:color w:val="000000"/>
        </w:rPr>
        <w:t xml:space="preserve"> were 99% and 100%, respectively. No significant difference was </w:t>
      </w:r>
      <w:r w:rsidR="00AE4ECB" w:rsidRPr="00CD3D64">
        <w:rPr>
          <w:rFonts w:ascii="Book Antiqua" w:hAnsi="Book Antiqua"/>
          <w:color w:val="000000"/>
        </w:rPr>
        <w:t xml:space="preserve">apparent </w:t>
      </w:r>
      <w:r w:rsidR="00C129D7" w:rsidRPr="00CD3D64">
        <w:rPr>
          <w:rFonts w:ascii="Book Antiqua" w:hAnsi="Book Antiqua"/>
          <w:color w:val="000000"/>
        </w:rPr>
        <w:t>between groups (</w:t>
      </w:r>
      <w:r w:rsidR="00D31160" w:rsidRPr="00CD3D64">
        <w:rPr>
          <w:rFonts w:ascii="Book Antiqua" w:hAnsi="Book Antiqua"/>
          <w:i/>
          <w:iCs/>
          <w:color w:val="000000"/>
        </w:rPr>
        <w:t xml:space="preserve">P </w:t>
      </w:r>
      <w:r w:rsidR="00C129D7" w:rsidRPr="00CD3D64">
        <w:rPr>
          <w:rFonts w:ascii="Book Antiqua" w:hAnsi="Book Antiqua"/>
          <w:color w:val="000000"/>
        </w:rPr>
        <w:t>=</w:t>
      </w:r>
      <w:r w:rsidR="00D31160" w:rsidRPr="00CD3D64">
        <w:rPr>
          <w:rFonts w:ascii="Book Antiqua" w:hAnsi="Book Antiqua"/>
          <w:color w:val="000000"/>
        </w:rPr>
        <w:t xml:space="preserve"> </w:t>
      </w:r>
      <w:r w:rsidR="000A6A08" w:rsidRPr="00CD3D64">
        <w:rPr>
          <w:rFonts w:ascii="Book Antiqua" w:hAnsi="Book Antiqua"/>
          <w:color w:val="000000"/>
        </w:rPr>
        <w:t>1.000</w:t>
      </w:r>
      <w:r w:rsidR="00C129D7" w:rsidRPr="00CD3D64">
        <w:rPr>
          <w:rFonts w:ascii="Book Antiqua" w:hAnsi="Book Antiqua"/>
          <w:color w:val="000000"/>
        </w:rPr>
        <w:t>).</w:t>
      </w:r>
    </w:p>
    <w:p w:rsidR="006F40C2" w:rsidRPr="00CD3D64" w:rsidRDefault="00B74FFB" w:rsidP="00CD3D64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bCs/>
          <w:iCs/>
          <w:color w:val="000000"/>
        </w:rPr>
      </w:pPr>
      <w:r w:rsidRPr="00CD3D64">
        <w:rPr>
          <w:rFonts w:ascii="Book Antiqua" w:hAnsi="Book Antiqua"/>
          <w:bCs/>
          <w:iCs/>
          <w:color w:val="000000"/>
        </w:rPr>
        <w:t>SVR rates according to</w:t>
      </w:r>
      <w:r w:rsidR="00B40524" w:rsidRPr="00CD3D64">
        <w:rPr>
          <w:rFonts w:ascii="Book Antiqua" w:hAnsi="Book Antiqua"/>
          <w:bCs/>
          <w:iCs/>
          <w:color w:val="000000"/>
        </w:rPr>
        <w:t xml:space="preserve"> background</w:t>
      </w:r>
      <w:r w:rsidRPr="00CD3D64">
        <w:rPr>
          <w:rFonts w:ascii="Book Antiqua" w:hAnsi="Book Antiqua"/>
          <w:bCs/>
          <w:iCs/>
          <w:color w:val="000000"/>
        </w:rPr>
        <w:t xml:space="preserve"> factors </w:t>
      </w:r>
      <w:proofErr w:type="gramStart"/>
      <w:r w:rsidR="00F907B5" w:rsidRPr="00CD3D64">
        <w:rPr>
          <w:rFonts w:ascii="Book Antiqua" w:hAnsi="Book Antiqua"/>
          <w:bCs/>
          <w:iCs/>
          <w:color w:val="000000"/>
        </w:rPr>
        <w:t xml:space="preserve">are </w:t>
      </w:r>
      <w:r w:rsidRPr="00CD3D64">
        <w:rPr>
          <w:rFonts w:ascii="Book Antiqua" w:hAnsi="Book Antiqua"/>
          <w:bCs/>
          <w:iCs/>
          <w:color w:val="000000"/>
        </w:rPr>
        <w:t>summarized</w:t>
      </w:r>
      <w:proofErr w:type="gramEnd"/>
      <w:r w:rsidRPr="00CD3D64">
        <w:rPr>
          <w:rFonts w:ascii="Book Antiqua" w:hAnsi="Book Antiqua"/>
          <w:bCs/>
          <w:iCs/>
          <w:color w:val="000000"/>
        </w:rPr>
        <w:t xml:space="preserve"> in </w:t>
      </w:r>
      <w:r w:rsidR="00D4299C" w:rsidRPr="00CD3D64">
        <w:rPr>
          <w:rFonts w:ascii="Book Antiqua" w:hAnsi="Book Antiqua"/>
          <w:bCs/>
          <w:iCs/>
          <w:color w:val="000000"/>
        </w:rPr>
        <w:t xml:space="preserve">Figure </w:t>
      </w:r>
      <w:r w:rsidR="000930DB" w:rsidRPr="00CD3D64">
        <w:rPr>
          <w:rFonts w:ascii="Book Antiqua" w:hAnsi="Book Antiqua"/>
          <w:bCs/>
          <w:iCs/>
          <w:color w:val="000000"/>
        </w:rPr>
        <w:t>3</w:t>
      </w:r>
      <w:r w:rsidRPr="00CD3D64">
        <w:rPr>
          <w:rFonts w:ascii="Book Antiqua" w:hAnsi="Book Antiqua"/>
          <w:bCs/>
          <w:iCs/>
          <w:color w:val="000000"/>
        </w:rPr>
        <w:t>.</w:t>
      </w:r>
      <w:r w:rsidR="00D4299C" w:rsidRPr="00CD3D64">
        <w:rPr>
          <w:rFonts w:ascii="Book Antiqua" w:hAnsi="Book Antiqua"/>
          <w:bCs/>
          <w:iCs/>
          <w:color w:val="000000"/>
        </w:rPr>
        <w:t xml:space="preserve"> </w:t>
      </w:r>
      <w:r w:rsidR="008101EF" w:rsidRPr="00CD3D64">
        <w:rPr>
          <w:rFonts w:ascii="Book Antiqua" w:hAnsi="Book Antiqua"/>
          <w:bCs/>
          <w:iCs/>
          <w:color w:val="000000"/>
        </w:rPr>
        <w:t>Although no significant difference was seen in comparisons of SVR rates according to sex, cirrhosis, elderly cirrhosis, IFN plus ribavirin therapy, anemia (</w:t>
      </w:r>
      <w:r w:rsidR="001F2C33" w:rsidRPr="00CD3D64">
        <w:rPr>
          <w:rFonts w:ascii="Book Antiqua" w:hAnsi="Book Antiqua"/>
          <w:color w:val="000000"/>
        </w:rPr>
        <w:t>hemoglobin</w:t>
      </w:r>
      <w:r w:rsidR="008101EF" w:rsidRPr="00CD3D64">
        <w:rPr>
          <w:rFonts w:ascii="Book Antiqua" w:hAnsi="Book Antiqua"/>
          <w:bCs/>
          <w:iCs/>
          <w:color w:val="000000"/>
        </w:rPr>
        <w:t xml:space="preserve"> &lt;</w:t>
      </w:r>
      <w:r w:rsidR="00D31160" w:rsidRPr="00CD3D64">
        <w:rPr>
          <w:rFonts w:ascii="Book Antiqua" w:hAnsi="Book Antiqua"/>
          <w:bCs/>
          <w:iCs/>
          <w:color w:val="000000"/>
        </w:rPr>
        <w:t xml:space="preserve"> </w:t>
      </w:r>
      <w:r w:rsidR="008101EF" w:rsidRPr="00CD3D64">
        <w:rPr>
          <w:rFonts w:ascii="Book Antiqua" w:hAnsi="Book Antiqua"/>
          <w:bCs/>
          <w:iCs/>
          <w:color w:val="000000"/>
        </w:rPr>
        <w:t>12 g/</w:t>
      </w:r>
      <w:proofErr w:type="spellStart"/>
      <w:r w:rsidR="008101EF" w:rsidRPr="00CD3D64">
        <w:rPr>
          <w:rFonts w:ascii="Book Antiqua" w:hAnsi="Book Antiqua"/>
          <w:bCs/>
          <w:iCs/>
          <w:color w:val="000000"/>
        </w:rPr>
        <w:t>dL</w:t>
      </w:r>
      <w:proofErr w:type="spellEnd"/>
      <w:r w:rsidR="008101EF" w:rsidRPr="00CD3D64">
        <w:rPr>
          <w:rFonts w:ascii="Book Antiqua" w:hAnsi="Book Antiqua"/>
          <w:bCs/>
          <w:iCs/>
          <w:color w:val="000000"/>
        </w:rPr>
        <w:t xml:space="preserve">), </w:t>
      </w:r>
      <w:r w:rsidR="00AE4ECB" w:rsidRPr="00CD3D64">
        <w:rPr>
          <w:rFonts w:ascii="Book Antiqua" w:hAnsi="Book Antiqua"/>
          <w:bCs/>
          <w:iCs/>
          <w:color w:val="000000"/>
        </w:rPr>
        <w:t xml:space="preserve">or </w:t>
      </w:r>
      <w:r w:rsidR="00A25BFD" w:rsidRPr="00CD3D64">
        <w:rPr>
          <w:rFonts w:ascii="Book Antiqua" w:hAnsi="Book Antiqua"/>
          <w:bCs/>
          <w:color w:val="000000"/>
        </w:rPr>
        <w:t>chronic kidney disease</w:t>
      </w:r>
      <w:r w:rsidR="008101EF" w:rsidRPr="00CD3D64">
        <w:rPr>
          <w:rFonts w:ascii="Book Antiqua" w:hAnsi="Book Antiqua"/>
          <w:bCs/>
          <w:iCs/>
          <w:color w:val="000000"/>
        </w:rPr>
        <w:t>, a significant difference was seen between patients with and without a history of HCC treatment (</w:t>
      </w:r>
      <w:r w:rsidR="00D31160" w:rsidRPr="00CD3D64">
        <w:rPr>
          <w:rFonts w:ascii="Book Antiqua" w:hAnsi="Book Antiqua"/>
          <w:bCs/>
          <w:i/>
          <w:color w:val="000000"/>
        </w:rPr>
        <w:t xml:space="preserve">P </w:t>
      </w:r>
      <w:r w:rsidR="008101EF" w:rsidRPr="00CD3D64">
        <w:rPr>
          <w:rFonts w:ascii="Book Antiqua" w:hAnsi="Book Antiqua"/>
          <w:bCs/>
          <w:iCs/>
          <w:color w:val="000000"/>
        </w:rPr>
        <w:t>=</w:t>
      </w:r>
      <w:r w:rsidR="00D31160" w:rsidRPr="00CD3D64">
        <w:rPr>
          <w:rFonts w:ascii="Book Antiqua" w:hAnsi="Book Antiqua"/>
          <w:bCs/>
          <w:iCs/>
          <w:color w:val="000000"/>
        </w:rPr>
        <w:t xml:space="preserve"> </w:t>
      </w:r>
      <w:r w:rsidR="008101EF" w:rsidRPr="00CD3D64">
        <w:rPr>
          <w:rFonts w:ascii="Book Antiqua" w:hAnsi="Book Antiqua"/>
          <w:bCs/>
          <w:iCs/>
          <w:color w:val="000000"/>
        </w:rPr>
        <w:t xml:space="preserve">0.004). </w:t>
      </w:r>
      <w:r w:rsidR="001B2DAC" w:rsidRPr="00CD3D64">
        <w:rPr>
          <w:rFonts w:ascii="Book Antiqua" w:hAnsi="Book Antiqua"/>
          <w:bCs/>
          <w:iCs/>
          <w:color w:val="000000"/>
        </w:rPr>
        <w:t xml:space="preserve">In patients </w:t>
      </w:r>
      <w:r w:rsidR="001B2DAC" w:rsidRPr="00CD3D64">
        <w:rPr>
          <w:rFonts w:ascii="Book Antiqua" w:hAnsi="Book Antiqua"/>
          <w:color w:val="000000"/>
        </w:rPr>
        <w:t>≥</w:t>
      </w:r>
      <w:r w:rsidR="00D31160" w:rsidRPr="00CD3D64">
        <w:rPr>
          <w:rFonts w:ascii="Book Antiqua" w:hAnsi="Book Antiqua"/>
          <w:color w:val="000000"/>
        </w:rPr>
        <w:t xml:space="preserve"> </w:t>
      </w:r>
      <w:r w:rsidR="001B2DAC" w:rsidRPr="00CD3D64">
        <w:rPr>
          <w:rFonts w:ascii="Book Antiqua" w:hAnsi="Book Antiqua"/>
          <w:color w:val="000000"/>
        </w:rPr>
        <w:t>75</w:t>
      </w:r>
      <w:r w:rsidR="00D242AF">
        <w:rPr>
          <w:rFonts w:ascii="Book Antiqua" w:hAnsi="Book Antiqua"/>
          <w:bCs/>
          <w:iCs/>
          <w:color w:val="000000"/>
        </w:rPr>
        <w:t>-years-old</w:t>
      </w:r>
      <w:r w:rsidR="00B81977" w:rsidRPr="00CD3D64">
        <w:rPr>
          <w:rFonts w:ascii="Book Antiqua" w:hAnsi="Book Antiqua"/>
          <w:bCs/>
          <w:iCs/>
          <w:color w:val="000000"/>
        </w:rPr>
        <w:t xml:space="preserve"> </w:t>
      </w:r>
      <w:r w:rsidR="001B2DAC" w:rsidRPr="00CD3D64">
        <w:rPr>
          <w:rFonts w:ascii="Book Antiqua" w:hAnsi="Book Antiqua"/>
          <w:bCs/>
          <w:iCs/>
          <w:color w:val="000000"/>
        </w:rPr>
        <w:t xml:space="preserve">with a history of IFN plus ribavirin therapy, all patients achieved </w:t>
      </w:r>
      <w:r w:rsidR="00B81977" w:rsidRPr="00CD3D64">
        <w:rPr>
          <w:rFonts w:ascii="Book Antiqua" w:hAnsi="Book Antiqua"/>
          <w:bCs/>
          <w:iCs/>
          <w:color w:val="000000"/>
        </w:rPr>
        <w:t xml:space="preserve">SVR </w:t>
      </w:r>
      <w:r w:rsidR="00FC0C50" w:rsidRPr="00CD3D64">
        <w:rPr>
          <w:rFonts w:ascii="Book Antiqua" w:hAnsi="Book Antiqua"/>
          <w:bCs/>
          <w:iCs/>
          <w:color w:val="000000"/>
        </w:rPr>
        <w:t>(</w:t>
      </w:r>
      <w:r w:rsidR="001B2DAC" w:rsidRPr="00CD3D64">
        <w:rPr>
          <w:rFonts w:ascii="Book Antiqua" w:hAnsi="Book Antiqua"/>
          <w:bCs/>
          <w:iCs/>
          <w:color w:val="000000"/>
        </w:rPr>
        <w:t>100%</w:t>
      </w:r>
      <w:r w:rsidR="00FC0C50" w:rsidRPr="00CD3D64">
        <w:rPr>
          <w:rFonts w:ascii="Book Antiqua" w:hAnsi="Book Antiqua"/>
          <w:bCs/>
          <w:iCs/>
          <w:color w:val="000000"/>
        </w:rPr>
        <w:t>;</w:t>
      </w:r>
      <w:r w:rsidR="001B2DAC" w:rsidRPr="00CD3D64">
        <w:rPr>
          <w:rFonts w:ascii="Book Antiqua" w:hAnsi="Book Antiqua"/>
          <w:bCs/>
          <w:iCs/>
          <w:color w:val="000000"/>
        </w:rPr>
        <w:t xml:space="preserve"> 14/14). In </w:t>
      </w:r>
      <w:proofErr w:type="gramStart"/>
      <w:r w:rsidR="001B2DAC" w:rsidRPr="00CD3D64">
        <w:rPr>
          <w:rFonts w:ascii="Book Antiqua" w:hAnsi="Book Antiqua"/>
          <w:bCs/>
          <w:iCs/>
          <w:color w:val="000000"/>
        </w:rPr>
        <w:t>patients</w:t>
      </w:r>
      <w:proofErr w:type="gramEnd"/>
      <w:r w:rsidR="001B2DAC" w:rsidRPr="00CD3D64">
        <w:rPr>
          <w:rFonts w:ascii="Book Antiqua" w:hAnsi="Book Antiqua"/>
          <w:bCs/>
          <w:iCs/>
          <w:color w:val="000000"/>
        </w:rPr>
        <w:t xml:space="preserve"> </w:t>
      </w:r>
      <w:r w:rsidR="001B2DAC" w:rsidRPr="00CD3D64">
        <w:rPr>
          <w:rFonts w:ascii="Book Antiqua" w:hAnsi="Book Antiqua"/>
          <w:color w:val="000000"/>
        </w:rPr>
        <w:t>≥</w:t>
      </w:r>
      <w:r w:rsidR="00D31160" w:rsidRPr="00CD3D64">
        <w:rPr>
          <w:rFonts w:ascii="Book Antiqua" w:hAnsi="Book Antiqua"/>
          <w:color w:val="000000"/>
        </w:rPr>
        <w:t xml:space="preserve"> </w:t>
      </w:r>
      <w:r w:rsidR="001B2DAC" w:rsidRPr="00CD3D64">
        <w:rPr>
          <w:rFonts w:ascii="Book Antiqua" w:hAnsi="Book Antiqua"/>
          <w:color w:val="000000"/>
        </w:rPr>
        <w:t>75</w:t>
      </w:r>
      <w:r w:rsidR="00D242AF">
        <w:rPr>
          <w:rFonts w:ascii="Book Antiqua" w:hAnsi="Book Antiqua"/>
          <w:bCs/>
          <w:iCs/>
          <w:color w:val="000000"/>
        </w:rPr>
        <w:t>-years-old</w:t>
      </w:r>
      <w:r w:rsidR="00B81977" w:rsidRPr="00CD3D64">
        <w:rPr>
          <w:rFonts w:ascii="Book Antiqua" w:hAnsi="Book Antiqua"/>
          <w:bCs/>
          <w:iCs/>
          <w:color w:val="000000"/>
        </w:rPr>
        <w:t xml:space="preserve"> </w:t>
      </w:r>
      <w:r w:rsidR="001B2DAC" w:rsidRPr="00CD3D64">
        <w:rPr>
          <w:rFonts w:ascii="Book Antiqua" w:hAnsi="Book Antiqua"/>
          <w:bCs/>
          <w:iCs/>
          <w:color w:val="000000"/>
        </w:rPr>
        <w:t>with cirrhosis, the SVR rate was 98% (40/41).</w:t>
      </w:r>
    </w:p>
    <w:p w:rsidR="00987793" w:rsidRPr="00CD3D64" w:rsidRDefault="00987793" w:rsidP="00CD3D64">
      <w:pPr>
        <w:adjustRightInd w:val="0"/>
        <w:snapToGrid w:val="0"/>
        <w:spacing w:line="360" w:lineRule="auto"/>
        <w:rPr>
          <w:rFonts w:ascii="Book Antiqua" w:hAnsi="Book Antiqua"/>
          <w:bCs/>
          <w:iCs/>
          <w:color w:val="000000"/>
        </w:rPr>
      </w:pPr>
    </w:p>
    <w:p w:rsidR="00987793" w:rsidRPr="00CD3D64" w:rsidRDefault="00987793" w:rsidP="00CD3D64">
      <w:pPr>
        <w:adjustRightInd w:val="0"/>
        <w:snapToGrid w:val="0"/>
        <w:spacing w:line="360" w:lineRule="auto"/>
        <w:rPr>
          <w:rFonts w:ascii="Book Antiqua" w:hAnsi="Book Antiqua"/>
          <w:b/>
          <w:bCs/>
          <w:i/>
          <w:iCs/>
          <w:color w:val="000000"/>
        </w:rPr>
      </w:pPr>
      <w:r w:rsidRPr="00CD3D64">
        <w:rPr>
          <w:rFonts w:ascii="Book Antiqua" w:hAnsi="Book Antiqua"/>
          <w:b/>
          <w:bCs/>
          <w:i/>
          <w:iCs/>
          <w:color w:val="000000"/>
        </w:rPr>
        <w:t>Factors contributing to SVR</w:t>
      </w:r>
    </w:p>
    <w:p w:rsidR="00987793" w:rsidRPr="00CD3D64" w:rsidRDefault="00987793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CD3D64">
        <w:rPr>
          <w:rFonts w:ascii="Book Antiqua" w:hAnsi="Book Antiqua"/>
          <w:color w:val="000000"/>
        </w:rPr>
        <w:t xml:space="preserve">Results of logistic </w:t>
      </w:r>
      <w:r w:rsidR="00AE4ECB" w:rsidRPr="00CD3D64">
        <w:rPr>
          <w:rFonts w:ascii="Book Antiqua" w:hAnsi="Book Antiqua"/>
          <w:color w:val="000000"/>
        </w:rPr>
        <w:t xml:space="preserve">regression </w:t>
      </w:r>
      <w:r w:rsidRPr="00CD3D64">
        <w:rPr>
          <w:rFonts w:ascii="Book Antiqua" w:hAnsi="Book Antiqua"/>
          <w:color w:val="000000"/>
        </w:rPr>
        <w:t xml:space="preserve">analysis to investigate factors contributing to SVR </w:t>
      </w:r>
      <w:proofErr w:type="gramStart"/>
      <w:r w:rsidR="00AE4ECB" w:rsidRPr="00CD3D64">
        <w:rPr>
          <w:rFonts w:ascii="Book Antiqua" w:hAnsi="Book Antiqua"/>
          <w:color w:val="000000"/>
        </w:rPr>
        <w:t xml:space="preserve">are </w:t>
      </w:r>
      <w:r w:rsidRPr="00CD3D64">
        <w:rPr>
          <w:rFonts w:ascii="Book Antiqua" w:hAnsi="Book Antiqua"/>
          <w:color w:val="000000"/>
        </w:rPr>
        <w:t>shown</w:t>
      </w:r>
      <w:proofErr w:type="gramEnd"/>
      <w:r w:rsidRPr="00CD3D64">
        <w:rPr>
          <w:rFonts w:ascii="Book Antiqua" w:hAnsi="Book Antiqua"/>
          <w:color w:val="000000"/>
        </w:rPr>
        <w:t xml:space="preserve"> in Table 3. </w:t>
      </w:r>
      <w:r w:rsidR="0034019F" w:rsidRPr="00CD3D64">
        <w:rPr>
          <w:rFonts w:ascii="Book Antiqua" w:hAnsi="Book Antiqua"/>
          <w:color w:val="000000"/>
        </w:rPr>
        <w:t xml:space="preserve">On </w:t>
      </w:r>
      <w:proofErr w:type="spellStart"/>
      <w:r w:rsidR="0034019F" w:rsidRPr="00CD3D64">
        <w:rPr>
          <w:rFonts w:ascii="Book Antiqua" w:hAnsi="Book Antiqua"/>
          <w:color w:val="000000"/>
        </w:rPr>
        <w:t>univariate</w:t>
      </w:r>
      <w:proofErr w:type="spellEnd"/>
      <w:r w:rsidR="0034019F" w:rsidRPr="00CD3D64">
        <w:rPr>
          <w:rFonts w:ascii="Book Antiqua" w:hAnsi="Book Antiqua"/>
          <w:color w:val="000000"/>
        </w:rPr>
        <w:t xml:space="preserve"> analyses, </w:t>
      </w:r>
      <w:r w:rsidR="00C61F66" w:rsidRPr="00CD3D64">
        <w:rPr>
          <w:rFonts w:ascii="Book Antiqua" w:hAnsi="Book Antiqua"/>
          <w:color w:val="000000"/>
        </w:rPr>
        <w:t xml:space="preserve">a </w:t>
      </w:r>
      <w:r w:rsidR="0034019F" w:rsidRPr="00CD3D64">
        <w:rPr>
          <w:rFonts w:ascii="Book Antiqua" w:hAnsi="Book Antiqua"/>
          <w:color w:val="000000"/>
        </w:rPr>
        <w:t>h</w:t>
      </w:r>
      <w:r w:rsidRPr="00CD3D64">
        <w:rPr>
          <w:rFonts w:ascii="Book Antiqua" w:hAnsi="Book Antiqua"/>
          <w:color w:val="000000"/>
        </w:rPr>
        <w:t xml:space="preserve">istory of HCC treatment </w:t>
      </w:r>
      <w:r w:rsidR="0034019F" w:rsidRPr="00CD3D64">
        <w:rPr>
          <w:rFonts w:ascii="Book Antiqua" w:hAnsi="Book Antiqua"/>
          <w:color w:val="000000"/>
        </w:rPr>
        <w:t xml:space="preserve">and AFP </w:t>
      </w:r>
      <w:r w:rsidRPr="00CD3D64">
        <w:rPr>
          <w:rFonts w:ascii="Book Antiqua" w:hAnsi="Book Antiqua"/>
          <w:color w:val="000000"/>
        </w:rPr>
        <w:t>w</w:t>
      </w:r>
      <w:r w:rsidR="0034019F" w:rsidRPr="00CD3D64">
        <w:rPr>
          <w:rFonts w:ascii="Book Antiqua" w:hAnsi="Book Antiqua"/>
          <w:color w:val="000000"/>
        </w:rPr>
        <w:t>ere</w:t>
      </w:r>
      <w:r w:rsidRPr="00CD3D64">
        <w:rPr>
          <w:rFonts w:ascii="Book Antiqua" w:hAnsi="Book Antiqua"/>
          <w:color w:val="000000"/>
        </w:rPr>
        <w:t xml:space="preserve"> </w:t>
      </w:r>
      <w:r w:rsidR="0034019F" w:rsidRPr="00CD3D64">
        <w:rPr>
          <w:rFonts w:ascii="Book Antiqua" w:hAnsi="Book Antiqua"/>
          <w:color w:val="000000"/>
        </w:rPr>
        <w:t>factors</w:t>
      </w:r>
      <w:r w:rsidRPr="00CD3D64">
        <w:rPr>
          <w:rFonts w:ascii="Book Antiqua" w:hAnsi="Book Antiqua"/>
          <w:color w:val="000000"/>
        </w:rPr>
        <w:t xml:space="preserve"> </w:t>
      </w:r>
      <w:r w:rsidR="00AE4ECB" w:rsidRPr="00CD3D64">
        <w:rPr>
          <w:rFonts w:ascii="Book Antiqua" w:hAnsi="Book Antiqua"/>
          <w:color w:val="000000"/>
        </w:rPr>
        <w:t xml:space="preserve">significantly </w:t>
      </w:r>
      <w:r w:rsidRPr="00CD3D64">
        <w:rPr>
          <w:rFonts w:ascii="Book Antiqua" w:hAnsi="Book Antiqua"/>
          <w:color w:val="000000"/>
        </w:rPr>
        <w:t xml:space="preserve">contributing </w:t>
      </w:r>
      <w:r w:rsidR="002F7E30" w:rsidRPr="00CD3D64">
        <w:rPr>
          <w:rFonts w:ascii="Book Antiqua" w:hAnsi="Book Antiqua"/>
          <w:color w:val="000000"/>
        </w:rPr>
        <w:t xml:space="preserve">to </w:t>
      </w:r>
      <w:proofErr w:type="gramStart"/>
      <w:r w:rsidRPr="00CD3D64">
        <w:rPr>
          <w:rFonts w:ascii="Book Antiqua" w:hAnsi="Book Antiqua"/>
          <w:color w:val="000000"/>
        </w:rPr>
        <w:t>SVR.</w:t>
      </w:r>
      <w:proofErr w:type="gramEnd"/>
      <w:r w:rsidR="0034019F" w:rsidRPr="00CD3D64">
        <w:rPr>
          <w:rFonts w:ascii="Book Antiqua" w:hAnsi="Book Antiqua"/>
          <w:color w:val="000000"/>
        </w:rPr>
        <w:t xml:space="preserve"> Multivariate analyses revealed AFP as the only factor</w:t>
      </w:r>
      <w:r w:rsidR="00AE4ECB" w:rsidRPr="00CD3D64">
        <w:rPr>
          <w:rFonts w:ascii="Book Antiqua" w:hAnsi="Book Antiqua"/>
          <w:color w:val="000000"/>
        </w:rPr>
        <w:t xml:space="preserve"> independently associated with SVR</w:t>
      </w:r>
      <w:r w:rsidR="0034019F" w:rsidRPr="00CD3D64">
        <w:rPr>
          <w:rFonts w:ascii="Book Antiqua" w:hAnsi="Book Antiqua"/>
          <w:color w:val="000000"/>
        </w:rPr>
        <w:t>.</w:t>
      </w:r>
    </w:p>
    <w:p w:rsidR="00987793" w:rsidRPr="00CD3D64" w:rsidRDefault="00987793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</w:p>
    <w:p w:rsidR="006F40C2" w:rsidRPr="00CD3D64" w:rsidRDefault="00B74FFB" w:rsidP="00CD3D64">
      <w:pPr>
        <w:adjustRightInd w:val="0"/>
        <w:snapToGrid w:val="0"/>
        <w:spacing w:line="360" w:lineRule="auto"/>
        <w:rPr>
          <w:rFonts w:ascii="Book Antiqua" w:hAnsi="Book Antiqua"/>
          <w:b/>
          <w:bCs/>
          <w:i/>
          <w:iCs/>
          <w:color w:val="000000"/>
        </w:rPr>
      </w:pPr>
      <w:r w:rsidRPr="00CD3D64">
        <w:rPr>
          <w:rFonts w:ascii="Book Antiqua" w:hAnsi="Book Antiqua"/>
          <w:b/>
          <w:bCs/>
          <w:i/>
          <w:iCs/>
          <w:color w:val="000000"/>
        </w:rPr>
        <w:t>Treatment failure</w:t>
      </w:r>
    </w:p>
    <w:p w:rsidR="00D554A3" w:rsidRPr="00CD3D64" w:rsidRDefault="0033638A" w:rsidP="00CD3D64">
      <w:pPr>
        <w:adjustRightInd w:val="0"/>
        <w:snapToGrid w:val="0"/>
        <w:spacing w:line="360" w:lineRule="auto"/>
        <w:rPr>
          <w:rFonts w:ascii="Book Antiqua" w:hAnsi="Book Antiqua"/>
          <w:bCs/>
          <w:iCs/>
          <w:color w:val="000000"/>
        </w:rPr>
      </w:pPr>
      <w:r w:rsidRPr="00CD3D64">
        <w:rPr>
          <w:rFonts w:ascii="Book Antiqua" w:hAnsi="Book Antiqua"/>
          <w:bCs/>
          <w:iCs/>
          <w:color w:val="000000"/>
        </w:rPr>
        <w:t xml:space="preserve">Non-SVR </w:t>
      </w:r>
      <w:proofErr w:type="gramStart"/>
      <w:r w:rsidRPr="00CD3D64">
        <w:rPr>
          <w:rFonts w:ascii="Book Antiqua" w:hAnsi="Book Antiqua"/>
          <w:bCs/>
          <w:iCs/>
          <w:color w:val="000000"/>
        </w:rPr>
        <w:t>was sho</w:t>
      </w:r>
      <w:r w:rsidR="00061C69" w:rsidRPr="00CD3D64">
        <w:rPr>
          <w:rFonts w:ascii="Book Antiqua" w:hAnsi="Book Antiqua"/>
          <w:bCs/>
          <w:iCs/>
          <w:color w:val="000000"/>
        </w:rPr>
        <w:t>wn</w:t>
      </w:r>
      <w:proofErr w:type="gramEnd"/>
      <w:r w:rsidR="00061C69" w:rsidRPr="00CD3D64">
        <w:rPr>
          <w:rFonts w:ascii="Book Antiqua" w:hAnsi="Book Antiqua"/>
          <w:bCs/>
          <w:iCs/>
          <w:color w:val="000000"/>
        </w:rPr>
        <w:t xml:space="preserve"> in </w:t>
      </w:r>
      <w:r w:rsidR="00F26E6E" w:rsidRPr="00CD3D64">
        <w:rPr>
          <w:rFonts w:ascii="Book Antiqua" w:hAnsi="Book Antiqua"/>
          <w:bCs/>
          <w:iCs/>
          <w:color w:val="000000"/>
        </w:rPr>
        <w:t>seven</w:t>
      </w:r>
      <w:r w:rsidR="00061C69" w:rsidRPr="00CD3D64">
        <w:rPr>
          <w:rFonts w:ascii="Book Antiqua" w:hAnsi="Book Antiqua"/>
          <w:bCs/>
          <w:iCs/>
          <w:color w:val="000000"/>
        </w:rPr>
        <w:t xml:space="preserve"> patients</w:t>
      </w:r>
      <w:r w:rsidR="00F907B5" w:rsidRPr="00CD3D64">
        <w:rPr>
          <w:rFonts w:ascii="Book Antiqua" w:hAnsi="Book Antiqua"/>
          <w:bCs/>
          <w:iCs/>
          <w:color w:val="000000"/>
        </w:rPr>
        <w:t xml:space="preserve"> </w:t>
      </w:r>
      <w:r w:rsidR="003B01E0" w:rsidRPr="00CD3D64">
        <w:rPr>
          <w:rFonts w:ascii="Book Antiqua" w:hAnsi="Book Antiqua"/>
          <w:bCs/>
          <w:iCs/>
          <w:color w:val="000000"/>
        </w:rPr>
        <w:t>(</w:t>
      </w:r>
      <w:r w:rsidR="009A176C" w:rsidRPr="00CD3D64">
        <w:rPr>
          <w:rFonts w:ascii="Book Antiqua" w:hAnsi="Book Antiqua"/>
          <w:bCs/>
          <w:iCs/>
          <w:color w:val="000000"/>
        </w:rPr>
        <w:t>3</w:t>
      </w:r>
      <w:r w:rsidR="003B01E0" w:rsidRPr="00CD3D64">
        <w:rPr>
          <w:rFonts w:ascii="Book Antiqua" w:hAnsi="Book Antiqua"/>
          <w:bCs/>
          <w:iCs/>
          <w:color w:val="000000"/>
        </w:rPr>
        <w:t>%)</w:t>
      </w:r>
      <w:r w:rsidR="00077C96" w:rsidRPr="00CD3D64">
        <w:rPr>
          <w:rFonts w:ascii="Book Antiqua" w:hAnsi="Book Antiqua"/>
          <w:bCs/>
          <w:iCs/>
          <w:color w:val="000000"/>
        </w:rPr>
        <w:t>.</w:t>
      </w:r>
      <w:r w:rsidR="00EE0313" w:rsidRPr="00CD3D64">
        <w:rPr>
          <w:rFonts w:ascii="Book Antiqua" w:hAnsi="Book Antiqua"/>
          <w:bCs/>
          <w:iCs/>
          <w:color w:val="000000"/>
        </w:rPr>
        <w:t xml:space="preserve"> </w:t>
      </w:r>
      <w:r w:rsidR="000869D4" w:rsidRPr="00CD3D64">
        <w:rPr>
          <w:rFonts w:ascii="Book Antiqua" w:hAnsi="Book Antiqua"/>
          <w:bCs/>
          <w:iCs/>
          <w:color w:val="000000"/>
        </w:rPr>
        <w:t xml:space="preserve">Factors between patients with and </w:t>
      </w:r>
      <w:r w:rsidR="000869D4" w:rsidRPr="00CD3D64">
        <w:rPr>
          <w:rFonts w:ascii="Book Antiqua" w:hAnsi="Book Antiqua"/>
          <w:bCs/>
          <w:iCs/>
          <w:color w:val="000000"/>
        </w:rPr>
        <w:lastRenderedPageBreak/>
        <w:t xml:space="preserve">without SVR </w:t>
      </w:r>
      <w:proofErr w:type="gramStart"/>
      <w:r w:rsidR="000869D4" w:rsidRPr="00CD3D64">
        <w:rPr>
          <w:rFonts w:ascii="Book Antiqua" w:hAnsi="Book Antiqua"/>
          <w:bCs/>
          <w:iCs/>
          <w:color w:val="000000"/>
        </w:rPr>
        <w:t>are compared</w:t>
      </w:r>
      <w:proofErr w:type="gramEnd"/>
      <w:r w:rsidR="000869D4" w:rsidRPr="00CD3D64">
        <w:rPr>
          <w:rFonts w:ascii="Book Antiqua" w:hAnsi="Book Antiqua"/>
          <w:bCs/>
          <w:iCs/>
          <w:color w:val="000000"/>
        </w:rPr>
        <w:t xml:space="preserve"> in Table </w:t>
      </w:r>
      <w:r w:rsidR="0034019F" w:rsidRPr="00CD3D64">
        <w:rPr>
          <w:rFonts w:ascii="Book Antiqua" w:hAnsi="Book Antiqua"/>
          <w:bCs/>
          <w:iCs/>
          <w:color w:val="000000"/>
        </w:rPr>
        <w:t>4</w:t>
      </w:r>
      <w:r w:rsidR="000869D4" w:rsidRPr="00CD3D64">
        <w:rPr>
          <w:rFonts w:ascii="Book Antiqua" w:hAnsi="Book Antiqua"/>
          <w:bCs/>
          <w:iCs/>
          <w:color w:val="000000"/>
        </w:rPr>
        <w:t xml:space="preserve">. </w:t>
      </w:r>
      <w:r w:rsidR="006A4B00" w:rsidRPr="00CD3D64">
        <w:rPr>
          <w:rFonts w:ascii="Book Antiqua" w:hAnsi="Book Antiqua"/>
          <w:bCs/>
          <w:iCs/>
          <w:color w:val="000000"/>
        </w:rPr>
        <w:t xml:space="preserve">When </w:t>
      </w:r>
      <w:r w:rsidR="006A4B00" w:rsidRPr="00CD3D64">
        <w:rPr>
          <w:rFonts w:ascii="Book Antiqua" w:hAnsi="Book Antiqua"/>
          <w:color w:val="000000"/>
        </w:rPr>
        <w:t xml:space="preserve">drug adherence </w:t>
      </w:r>
      <w:proofErr w:type="gramStart"/>
      <w:r w:rsidR="006A4B00" w:rsidRPr="00CD3D64">
        <w:rPr>
          <w:rFonts w:ascii="Book Antiqua" w:hAnsi="Book Antiqua"/>
          <w:color w:val="000000"/>
        </w:rPr>
        <w:t>was defined</w:t>
      </w:r>
      <w:proofErr w:type="gramEnd"/>
      <w:r w:rsidR="006A4B00" w:rsidRPr="00CD3D64">
        <w:rPr>
          <w:rFonts w:ascii="Book Antiqua" w:hAnsi="Book Antiqua"/>
          <w:color w:val="000000"/>
        </w:rPr>
        <w:t xml:space="preserve"> as a percentage of </w:t>
      </w:r>
      <w:r w:rsidR="00E8590C" w:rsidRPr="00CD3D64">
        <w:rPr>
          <w:rFonts w:ascii="Book Antiqua" w:hAnsi="Book Antiqua"/>
          <w:color w:val="000000"/>
        </w:rPr>
        <w:t xml:space="preserve">the </w:t>
      </w:r>
      <w:r w:rsidR="006A4B00" w:rsidRPr="00CD3D64">
        <w:rPr>
          <w:rFonts w:ascii="Book Antiqua" w:hAnsi="Book Antiqua"/>
          <w:color w:val="000000"/>
        </w:rPr>
        <w:t xml:space="preserve">actual administered dose to </w:t>
      </w:r>
      <w:r w:rsidR="00E8590C" w:rsidRPr="00CD3D64">
        <w:rPr>
          <w:rFonts w:ascii="Book Antiqua" w:hAnsi="Book Antiqua"/>
          <w:color w:val="000000"/>
        </w:rPr>
        <w:t xml:space="preserve">the </w:t>
      </w:r>
      <w:r w:rsidR="006A4B00" w:rsidRPr="00CD3D64">
        <w:rPr>
          <w:rFonts w:ascii="Book Antiqua" w:hAnsi="Book Antiqua"/>
          <w:color w:val="000000"/>
        </w:rPr>
        <w:t>pla</w:t>
      </w:r>
      <w:r w:rsidR="00E8590C" w:rsidRPr="00CD3D64">
        <w:rPr>
          <w:rFonts w:ascii="Book Antiqua" w:hAnsi="Book Antiqua"/>
          <w:color w:val="000000"/>
        </w:rPr>
        <w:t>n</w:t>
      </w:r>
      <w:r w:rsidR="006A4B00" w:rsidRPr="00CD3D64">
        <w:rPr>
          <w:rFonts w:ascii="Book Antiqua" w:hAnsi="Book Antiqua"/>
          <w:color w:val="000000"/>
        </w:rPr>
        <w:t xml:space="preserve">ned dose, </w:t>
      </w:r>
      <w:r w:rsidR="00D31160" w:rsidRPr="00CD3D64">
        <w:rPr>
          <w:rFonts w:ascii="Book Antiqua" w:hAnsi="Book Antiqua"/>
          <w:color w:val="000000"/>
        </w:rPr>
        <w:t>RVR</w:t>
      </w:r>
      <w:r w:rsidR="006A4B00" w:rsidRPr="00CD3D64">
        <w:rPr>
          <w:rFonts w:ascii="Book Antiqua" w:hAnsi="Book Antiqua"/>
          <w:color w:val="000000"/>
        </w:rPr>
        <w:t xml:space="preserve"> adherence was</w:t>
      </w:r>
      <w:r w:rsidR="0069677F" w:rsidRPr="00CD3D64">
        <w:rPr>
          <w:rFonts w:ascii="Book Antiqua" w:hAnsi="Book Antiqua"/>
          <w:color w:val="000000"/>
        </w:rPr>
        <w:t xml:space="preserve"> not </w:t>
      </w:r>
      <w:r w:rsidR="00E8590C" w:rsidRPr="00CD3D64">
        <w:rPr>
          <w:rFonts w:ascii="Book Antiqua" w:hAnsi="Book Antiqua"/>
          <w:color w:val="000000"/>
        </w:rPr>
        <w:t xml:space="preserve">identified as significantly </w:t>
      </w:r>
      <w:r w:rsidR="0069677F" w:rsidRPr="00CD3D64">
        <w:rPr>
          <w:rFonts w:ascii="Book Antiqua" w:hAnsi="Book Antiqua"/>
          <w:color w:val="000000"/>
        </w:rPr>
        <w:t xml:space="preserve">related to </w:t>
      </w:r>
      <w:r w:rsidR="00CF0A8B" w:rsidRPr="00CD3D64">
        <w:rPr>
          <w:rFonts w:ascii="Book Antiqua" w:hAnsi="Book Antiqua"/>
          <w:color w:val="000000"/>
        </w:rPr>
        <w:t>non-</w:t>
      </w:r>
      <w:r w:rsidR="0069677F" w:rsidRPr="00CD3D64">
        <w:rPr>
          <w:rFonts w:ascii="Book Antiqua" w:hAnsi="Book Antiqua"/>
          <w:color w:val="000000"/>
        </w:rPr>
        <w:t xml:space="preserve">SVR. </w:t>
      </w:r>
      <w:r w:rsidR="000869D4" w:rsidRPr="00CD3D64">
        <w:rPr>
          <w:rFonts w:ascii="Book Antiqua" w:hAnsi="Book Antiqua"/>
          <w:bCs/>
          <w:iCs/>
          <w:color w:val="000000"/>
        </w:rPr>
        <w:t>H</w:t>
      </w:r>
      <w:r w:rsidR="00AE7CC8" w:rsidRPr="00CD3D64">
        <w:rPr>
          <w:rFonts w:ascii="Book Antiqua" w:hAnsi="Book Antiqua"/>
          <w:bCs/>
          <w:iCs/>
          <w:color w:val="000000"/>
        </w:rPr>
        <w:t xml:space="preserve">istory of HCC treatment was the only factor </w:t>
      </w:r>
      <w:r w:rsidR="00E8590C" w:rsidRPr="00CD3D64">
        <w:rPr>
          <w:rFonts w:ascii="Book Antiqua" w:hAnsi="Book Antiqua"/>
          <w:bCs/>
          <w:iCs/>
          <w:color w:val="000000"/>
        </w:rPr>
        <w:t xml:space="preserve">significantly </w:t>
      </w:r>
      <w:r w:rsidR="00AE7CC8" w:rsidRPr="00CD3D64">
        <w:rPr>
          <w:rFonts w:ascii="Book Antiqua" w:hAnsi="Book Antiqua"/>
          <w:bCs/>
          <w:iCs/>
          <w:color w:val="000000"/>
        </w:rPr>
        <w:t xml:space="preserve">related to </w:t>
      </w:r>
      <w:r w:rsidR="00CF0A8B" w:rsidRPr="00CD3D64">
        <w:rPr>
          <w:rFonts w:ascii="Book Antiqua" w:hAnsi="Book Antiqua"/>
          <w:bCs/>
          <w:iCs/>
          <w:color w:val="000000"/>
        </w:rPr>
        <w:t>non-</w:t>
      </w:r>
      <w:r w:rsidR="00AE7CC8" w:rsidRPr="00CD3D64">
        <w:rPr>
          <w:rFonts w:ascii="Book Antiqua" w:hAnsi="Book Antiqua"/>
          <w:bCs/>
          <w:iCs/>
          <w:color w:val="000000"/>
        </w:rPr>
        <w:t>SVR.</w:t>
      </w:r>
    </w:p>
    <w:p w:rsidR="007824E1" w:rsidRPr="00CD3D64" w:rsidRDefault="007824E1" w:rsidP="00CD3D64">
      <w:pPr>
        <w:adjustRightInd w:val="0"/>
        <w:snapToGrid w:val="0"/>
        <w:spacing w:line="360" w:lineRule="auto"/>
        <w:rPr>
          <w:rFonts w:ascii="Book Antiqua" w:hAnsi="Book Antiqua"/>
          <w:bCs/>
          <w:iCs/>
          <w:color w:val="000000"/>
        </w:rPr>
      </w:pPr>
    </w:p>
    <w:p w:rsidR="007824E1" w:rsidRPr="00CD3D64" w:rsidRDefault="007824E1" w:rsidP="00CD3D64">
      <w:pPr>
        <w:adjustRightInd w:val="0"/>
        <w:snapToGrid w:val="0"/>
        <w:spacing w:line="360" w:lineRule="auto"/>
        <w:rPr>
          <w:rFonts w:ascii="Book Antiqua" w:hAnsi="Book Antiqua"/>
          <w:b/>
          <w:bCs/>
          <w:i/>
          <w:color w:val="000000"/>
        </w:rPr>
      </w:pPr>
      <w:r w:rsidRPr="00CD3D64">
        <w:rPr>
          <w:rFonts w:ascii="Book Antiqua" w:hAnsi="Book Antiqua"/>
          <w:b/>
          <w:bCs/>
          <w:i/>
          <w:color w:val="000000"/>
        </w:rPr>
        <w:t>Safety and tolerability</w:t>
      </w:r>
    </w:p>
    <w:p w:rsidR="007824E1" w:rsidRPr="00CD3D64" w:rsidRDefault="007824E1" w:rsidP="00CD3D64">
      <w:pPr>
        <w:adjustRightInd w:val="0"/>
        <w:snapToGrid w:val="0"/>
        <w:spacing w:line="360" w:lineRule="auto"/>
        <w:rPr>
          <w:rFonts w:ascii="Book Antiqua" w:hAnsi="Book Antiqua"/>
          <w:bCs/>
          <w:iCs/>
          <w:color w:val="000000"/>
        </w:rPr>
      </w:pPr>
      <w:r w:rsidRPr="00CD3D64">
        <w:rPr>
          <w:rFonts w:ascii="Book Antiqua" w:hAnsi="Book Antiqua"/>
          <w:color w:val="000000"/>
        </w:rPr>
        <w:t xml:space="preserve">The </w:t>
      </w:r>
      <w:r w:rsidRPr="00CD3D64">
        <w:rPr>
          <w:rFonts w:ascii="Book Antiqua" w:hAnsi="Book Antiqua"/>
          <w:bCs/>
          <w:iCs/>
          <w:color w:val="000000"/>
        </w:rPr>
        <w:t xml:space="preserve">discontinuation rate due to adverse events was 0.4% (1/256). The reason for discontinuation was drug-induced pneumonitis with positive results for </w:t>
      </w:r>
      <w:proofErr w:type="spellStart"/>
      <w:r w:rsidRPr="00CD3D64">
        <w:rPr>
          <w:rFonts w:ascii="Book Antiqua" w:hAnsi="Book Antiqua"/>
          <w:bCs/>
          <w:iCs/>
          <w:color w:val="000000"/>
        </w:rPr>
        <w:t>sofosbuvir</w:t>
      </w:r>
      <w:proofErr w:type="spellEnd"/>
      <w:r w:rsidRPr="00CD3D64">
        <w:rPr>
          <w:rFonts w:ascii="Book Antiqua" w:hAnsi="Book Antiqua"/>
          <w:bCs/>
          <w:iCs/>
          <w:color w:val="000000"/>
        </w:rPr>
        <w:t xml:space="preserve"> on drug-induced lymphocyte stimulation testing. </w:t>
      </w:r>
      <w:r w:rsidRPr="00CD3D64">
        <w:rPr>
          <w:rFonts w:ascii="Book Antiqua" w:hAnsi="Book Antiqua"/>
          <w:color w:val="000000"/>
        </w:rPr>
        <w:t>A</w:t>
      </w:r>
      <w:r w:rsidRPr="00CD3D64">
        <w:rPr>
          <w:rFonts w:ascii="Book Antiqua" w:hAnsi="Book Antiqua"/>
          <w:bCs/>
          <w:iCs/>
          <w:color w:val="000000"/>
        </w:rPr>
        <w:t xml:space="preserve">dverse event profiles for the overall cohort, </w:t>
      </w:r>
      <w:proofErr w:type="gramStart"/>
      <w:r w:rsidRPr="00CD3D64">
        <w:rPr>
          <w:rFonts w:ascii="Book Antiqua" w:hAnsi="Book Antiqua"/>
          <w:bCs/>
          <w:iCs/>
          <w:color w:val="000000"/>
        </w:rPr>
        <w:t>patients</w:t>
      </w:r>
      <w:proofErr w:type="gramEnd"/>
      <w:r w:rsidRPr="00CD3D64">
        <w:rPr>
          <w:rFonts w:ascii="Book Antiqua" w:hAnsi="Book Antiqua"/>
          <w:bCs/>
          <w:iCs/>
          <w:color w:val="000000"/>
        </w:rPr>
        <w:t xml:space="preserve"> </w:t>
      </w:r>
      <w:r w:rsidRPr="00CD3D64">
        <w:rPr>
          <w:rFonts w:ascii="Book Antiqua" w:hAnsi="Book Antiqua"/>
          <w:color w:val="000000"/>
        </w:rPr>
        <w:t>≥</w:t>
      </w:r>
      <w:r w:rsidR="00D31160" w:rsidRPr="00CD3D64">
        <w:rPr>
          <w:rFonts w:ascii="Book Antiqua" w:hAnsi="Book Antiqua"/>
          <w:color w:val="000000"/>
        </w:rPr>
        <w:t xml:space="preserve"> </w:t>
      </w:r>
      <w:r w:rsidRPr="00CD3D64">
        <w:rPr>
          <w:rFonts w:ascii="Book Antiqua" w:hAnsi="Book Antiqua"/>
          <w:bCs/>
          <w:iCs/>
          <w:color w:val="000000"/>
        </w:rPr>
        <w:t>75</w:t>
      </w:r>
      <w:r w:rsidR="00E5329F">
        <w:rPr>
          <w:rFonts w:ascii="Book Antiqua" w:hAnsi="Book Antiqua"/>
          <w:color w:val="000000"/>
        </w:rPr>
        <w:t>-years-old</w:t>
      </w:r>
      <w:r w:rsidR="00F26E6E" w:rsidRPr="00CD3D64">
        <w:rPr>
          <w:rFonts w:ascii="Book Antiqua" w:hAnsi="Book Antiqua"/>
          <w:bCs/>
          <w:iCs/>
          <w:color w:val="000000"/>
        </w:rPr>
        <w:t>,</w:t>
      </w:r>
      <w:r w:rsidRPr="00CD3D64">
        <w:rPr>
          <w:rFonts w:ascii="Book Antiqua" w:hAnsi="Book Antiqua"/>
          <w:bCs/>
          <w:iCs/>
          <w:color w:val="000000"/>
        </w:rPr>
        <w:t xml:space="preserve"> and patients &lt;</w:t>
      </w:r>
      <w:r w:rsidR="00D31160" w:rsidRPr="00CD3D64">
        <w:rPr>
          <w:rFonts w:ascii="Book Antiqua" w:hAnsi="Book Antiqua"/>
          <w:bCs/>
          <w:iCs/>
          <w:color w:val="000000"/>
        </w:rPr>
        <w:t xml:space="preserve"> </w:t>
      </w:r>
      <w:r w:rsidRPr="00CD3D64">
        <w:rPr>
          <w:rFonts w:ascii="Book Antiqua" w:hAnsi="Book Antiqua"/>
          <w:bCs/>
          <w:iCs/>
          <w:color w:val="000000"/>
        </w:rPr>
        <w:t>75</w:t>
      </w:r>
      <w:r w:rsidR="00D242AF">
        <w:rPr>
          <w:rFonts w:ascii="Book Antiqua" w:hAnsi="Book Antiqua"/>
          <w:bCs/>
          <w:iCs/>
          <w:color w:val="000000"/>
        </w:rPr>
        <w:t>-years-old</w:t>
      </w:r>
      <w:r w:rsidRPr="00CD3D64">
        <w:rPr>
          <w:rFonts w:ascii="Book Antiqua" w:hAnsi="Book Antiqua"/>
          <w:bCs/>
          <w:iCs/>
          <w:color w:val="000000"/>
        </w:rPr>
        <w:t xml:space="preserve"> are shown in </w:t>
      </w:r>
      <w:r w:rsidRPr="00CD3D64">
        <w:rPr>
          <w:rFonts w:ascii="Book Antiqua" w:hAnsi="Book Antiqua"/>
          <w:iCs/>
          <w:color w:val="000000"/>
        </w:rPr>
        <w:t xml:space="preserve">Table </w:t>
      </w:r>
      <w:r w:rsidR="0034019F" w:rsidRPr="00CD3D64">
        <w:rPr>
          <w:rFonts w:ascii="Book Antiqua" w:hAnsi="Book Antiqua"/>
          <w:iCs/>
          <w:color w:val="000000"/>
        </w:rPr>
        <w:t>5</w:t>
      </w:r>
      <w:r w:rsidRPr="00CD3D64">
        <w:rPr>
          <w:rFonts w:ascii="Book Antiqua" w:hAnsi="Book Antiqua"/>
          <w:bCs/>
          <w:iCs/>
          <w:color w:val="000000"/>
        </w:rPr>
        <w:t xml:space="preserve">. The most frequent adverse event </w:t>
      </w:r>
      <w:r w:rsidR="00AE4ECB" w:rsidRPr="00CD3D64">
        <w:rPr>
          <w:rFonts w:ascii="Book Antiqua" w:hAnsi="Book Antiqua"/>
          <w:bCs/>
          <w:iCs/>
          <w:color w:val="000000"/>
        </w:rPr>
        <w:t>other than</w:t>
      </w:r>
      <w:r w:rsidRPr="00CD3D64">
        <w:rPr>
          <w:rFonts w:ascii="Book Antiqua" w:hAnsi="Book Antiqua"/>
          <w:bCs/>
          <w:iCs/>
          <w:color w:val="000000"/>
        </w:rPr>
        <w:t xml:space="preserve"> anemia was </w:t>
      </w:r>
      <w:r w:rsidR="00AE4ECB" w:rsidRPr="00CD3D64">
        <w:rPr>
          <w:rFonts w:ascii="Book Antiqua" w:hAnsi="Book Antiqua"/>
          <w:bCs/>
          <w:iCs/>
          <w:color w:val="000000"/>
        </w:rPr>
        <w:t xml:space="preserve">elevated </w:t>
      </w:r>
      <w:r w:rsidRPr="00CD3D64">
        <w:rPr>
          <w:rFonts w:ascii="Book Antiqua" w:hAnsi="Book Antiqua"/>
          <w:bCs/>
          <w:iCs/>
          <w:color w:val="000000"/>
        </w:rPr>
        <w:t xml:space="preserve">uric acid level (Grade 1). No severe liver injury or exacerbation of renal dysfunction </w:t>
      </w:r>
      <w:proofErr w:type="gramStart"/>
      <w:r w:rsidRPr="00CD3D64">
        <w:rPr>
          <w:rFonts w:ascii="Book Antiqua" w:hAnsi="Book Antiqua"/>
          <w:bCs/>
          <w:iCs/>
          <w:color w:val="000000"/>
        </w:rPr>
        <w:t>was seen</w:t>
      </w:r>
      <w:proofErr w:type="gramEnd"/>
      <w:r w:rsidRPr="00CD3D64">
        <w:rPr>
          <w:rFonts w:ascii="Book Antiqua" w:hAnsi="Book Antiqua"/>
          <w:bCs/>
          <w:iCs/>
          <w:color w:val="000000"/>
        </w:rPr>
        <w:t xml:space="preserve">. </w:t>
      </w:r>
      <w:r w:rsidRPr="00CD3D64">
        <w:rPr>
          <w:rFonts w:ascii="Book Antiqua" w:hAnsi="Book Antiqua"/>
          <w:color w:val="000000"/>
        </w:rPr>
        <w:t xml:space="preserve">A similar safety profile was observed between </w:t>
      </w:r>
      <w:proofErr w:type="gramStart"/>
      <w:r w:rsidRPr="00CD3D64">
        <w:rPr>
          <w:rFonts w:ascii="Book Antiqua" w:hAnsi="Book Antiqua"/>
          <w:color w:val="000000"/>
        </w:rPr>
        <w:t>patients</w:t>
      </w:r>
      <w:proofErr w:type="gramEnd"/>
      <w:r w:rsidRPr="00CD3D64">
        <w:rPr>
          <w:rFonts w:ascii="Book Antiqua" w:hAnsi="Book Antiqua"/>
          <w:color w:val="000000"/>
        </w:rPr>
        <w:t xml:space="preserve"> </w:t>
      </w:r>
      <w:r w:rsidRPr="00CD3D64">
        <w:rPr>
          <w:rFonts w:ascii="Book Antiqua" w:hAnsi="Book Antiqua"/>
          <w:bCs/>
          <w:color w:val="000000"/>
        </w:rPr>
        <w:t>≥</w:t>
      </w:r>
      <w:r w:rsidR="00D31160" w:rsidRPr="00CD3D64">
        <w:rPr>
          <w:rFonts w:ascii="Book Antiqua" w:hAnsi="Book Antiqua"/>
          <w:bCs/>
          <w:color w:val="000000"/>
        </w:rPr>
        <w:t xml:space="preserve"> </w:t>
      </w:r>
      <w:r w:rsidRPr="00CD3D64">
        <w:rPr>
          <w:rFonts w:ascii="Book Antiqua" w:hAnsi="Book Antiqua"/>
          <w:color w:val="000000"/>
        </w:rPr>
        <w:t>75</w:t>
      </w:r>
      <w:r w:rsidR="00E5329F">
        <w:rPr>
          <w:rFonts w:ascii="Book Antiqua" w:hAnsi="Book Antiqua"/>
          <w:color w:val="000000"/>
        </w:rPr>
        <w:t>-years-old</w:t>
      </w:r>
      <w:r w:rsidRPr="00CD3D64">
        <w:rPr>
          <w:rFonts w:ascii="Book Antiqua" w:hAnsi="Book Antiqua"/>
          <w:color w:val="000000"/>
        </w:rPr>
        <w:t xml:space="preserve"> and &lt;</w:t>
      </w:r>
      <w:r w:rsidR="00D31160" w:rsidRPr="00CD3D64">
        <w:rPr>
          <w:rFonts w:ascii="Book Antiqua" w:hAnsi="Book Antiqua"/>
          <w:color w:val="000000"/>
        </w:rPr>
        <w:t xml:space="preserve"> </w:t>
      </w:r>
      <w:r w:rsidRPr="00CD3D64">
        <w:rPr>
          <w:rFonts w:ascii="Book Antiqua" w:hAnsi="Book Antiqua"/>
          <w:color w:val="000000"/>
        </w:rPr>
        <w:t>75</w:t>
      </w:r>
      <w:r w:rsidR="00D242AF">
        <w:rPr>
          <w:rFonts w:ascii="Book Antiqua" w:hAnsi="Book Antiqua"/>
          <w:color w:val="000000"/>
        </w:rPr>
        <w:t>-years-old</w:t>
      </w:r>
      <w:r w:rsidRPr="00CD3D64">
        <w:rPr>
          <w:rFonts w:ascii="Book Antiqua" w:hAnsi="Book Antiqua"/>
          <w:color w:val="000000"/>
        </w:rPr>
        <w:t xml:space="preserve">, except for ribavirin dose reduction or interruption due to anemia. </w:t>
      </w:r>
      <w:r w:rsidRPr="00CD3D64">
        <w:rPr>
          <w:rFonts w:ascii="Book Antiqua" w:hAnsi="Book Antiqua"/>
          <w:bCs/>
          <w:iCs/>
          <w:color w:val="000000"/>
        </w:rPr>
        <w:t>Median ribavirin adherence was significantly lower for patients</w:t>
      </w:r>
      <w:r w:rsidRPr="00CD3D64">
        <w:rPr>
          <w:rFonts w:ascii="Book Antiqua" w:hAnsi="Book Antiqua"/>
          <w:color w:val="000000"/>
        </w:rPr>
        <w:t xml:space="preserve"> </w:t>
      </w:r>
      <w:bookmarkStart w:id="26" w:name="_Hlk23676596"/>
      <w:r w:rsidRPr="00CD3D64">
        <w:rPr>
          <w:rFonts w:ascii="Book Antiqua" w:hAnsi="Book Antiqua"/>
          <w:bCs/>
          <w:color w:val="000000"/>
        </w:rPr>
        <w:t>≥</w:t>
      </w:r>
      <w:r w:rsidR="00D31160" w:rsidRPr="00CD3D64">
        <w:rPr>
          <w:rFonts w:ascii="Book Antiqua" w:hAnsi="Book Antiqua"/>
          <w:bCs/>
          <w:color w:val="000000"/>
        </w:rPr>
        <w:t xml:space="preserve"> </w:t>
      </w:r>
      <w:r w:rsidRPr="00CD3D64">
        <w:rPr>
          <w:rFonts w:ascii="Book Antiqua" w:hAnsi="Book Antiqua"/>
          <w:bCs/>
          <w:iCs/>
          <w:color w:val="000000"/>
        </w:rPr>
        <w:t>75</w:t>
      </w:r>
      <w:bookmarkEnd w:id="26"/>
      <w:r w:rsidR="00D242AF">
        <w:rPr>
          <w:rFonts w:ascii="Book Antiqua" w:hAnsi="Book Antiqua"/>
          <w:bCs/>
          <w:iCs/>
          <w:color w:val="000000"/>
        </w:rPr>
        <w:t>-years-old</w:t>
      </w:r>
      <w:r w:rsidRPr="00CD3D64">
        <w:rPr>
          <w:rFonts w:ascii="Book Antiqua" w:hAnsi="Book Antiqua"/>
          <w:bCs/>
          <w:iCs/>
          <w:color w:val="000000"/>
        </w:rPr>
        <w:t xml:space="preserve"> (96.8%) than for patients </w:t>
      </w:r>
      <w:bookmarkStart w:id="27" w:name="_Hlk23676613"/>
      <w:r w:rsidRPr="00CD3D64">
        <w:rPr>
          <w:rFonts w:ascii="Book Antiqua" w:hAnsi="Book Antiqua"/>
          <w:bCs/>
          <w:iCs/>
          <w:color w:val="000000"/>
        </w:rPr>
        <w:t>&lt;</w:t>
      </w:r>
      <w:r w:rsidR="00D31160" w:rsidRPr="00CD3D64">
        <w:rPr>
          <w:rFonts w:ascii="Book Antiqua" w:hAnsi="Book Antiqua"/>
          <w:bCs/>
          <w:iCs/>
          <w:color w:val="000000"/>
        </w:rPr>
        <w:t xml:space="preserve"> </w:t>
      </w:r>
      <w:r w:rsidRPr="00CD3D64">
        <w:rPr>
          <w:rFonts w:ascii="Book Antiqua" w:hAnsi="Book Antiqua"/>
          <w:bCs/>
          <w:iCs/>
          <w:color w:val="000000"/>
        </w:rPr>
        <w:t>75</w:t>
      </w:r>
      <w:r w:rsidR="00D242AF">
        <w:rPr>
          <w:rFonts w:ascii="Book Antiqua" w:hAnsi="Book Antiqua"/>
          <w:bCs/>
          <w:iCs/>
          <w:color w:val="000000"/>
        </w:rPr>
        <w:t>-years-old</w:t>
      </w:r>
      <w:r w:rsidRPr="00CD3D64">
        <w:rPr>
          <w:rFonts w:ascii="Book Antiqua" w:hAnsi="Book Antiqua"/>
          <w:bCs/>
          <w:iCs/>
          <w:color w:val="000000"/>
        </w:rPr>
        <w:t xml:space="preserve"> </w:t>
      </w:r>
      <w:bookmarkEnd w:id="27"/>
      <w:r w:rsidRPr="00CD3D64">
        <w:rPr>
          <w:rFonts w:ascii="Book Antiqua" w:hAnsi="Book Antiqua"/>
          <w:bCs/>
          <w:iCs/>
          <w:color w:val="000000"/>
        </w:rPr>
        <w:t xml:space="preserve">(100%, </w:t>
      </w:r>
      <w:r w:rsidR="00D31160" w:rsidRPr="00CD3D64">
        <w:rPr>
          <w:rFonts w:ascii="Book Antiqua" w:hAnsi="Book Antiqua"/>
          <w:bCs/>
          <w:i/>
          <w:color w:val="000000"/>
        </w:rPr>
        <w:t xml:space="preserve">P </w:t>
      </w:r>
      <w:r w:rsidRPr="00CD3D64">
        <w:rPr>
          <w:rFonts w:ascii="Book Antiqua" w:hAnsi="Book Antiqua"/>
          <w:bCs/>
          <w:iCs/>
          <w:color w:val="000000"/>
        </w:rPr>
        <w:t>=</w:t>
      </w:r>
      <w:r w:rsidR="00D31160" w:rsidRPr="00CD3D64">
        <w:rPr>
          <w:rFonts w:ascii="Book Antiqua" w:hAnsi="Book Antiqua"/>
          <w:bCs/>
          <w:iCs/>
          <w:color w:val="000000"/>
        </w:rPr>
        <w:t xml:space="preserve"> </w:t>
      </w:r>
      <w:r w:rsidRPr="00CD3D64">
        <w:rPr>
          <w:rFonts w:ascii="Book Antiqua" w:hAnsi="Book Antiqua"/>
          <w:bCs/>
          <w:iCs/>
          <w:color w:val="000000"/>
        </w:rPr>
        <w:t>0.001). Ribavirin dose</w:t>
      </w:r>
      <w:r w:rsidRPr="00CD3D64">
        <w:rPr>
          <w:rFonts w:ascii="Book Antiqua" w:hAnsi="Book Antiqua"/>
          <w:color w:val="000000"/>
        </w:rPr>
        <w:t xml:space="preserve"> reduction or interruption was required in 12.1% (32/265) of patients because of anemia, and anemia appeared in 7.7% (14/182) of </w:t>
      </w:r>
      <w:proofErr w:type="gramStart"/>
      <w:r w:rsidRPr="00CD3D64">
        <w:rPr>
          <w:rFonts w:ascii="Book Antiqua" w:hAnsi="Book Antiqua"/>
          <w:color w:val="000000"/>
        </w:rPr>
        <w:t>patients</w:t>
      </w:r>
      <w:proofErr w:type="gramEnd"/>
      <w:r w:rsidRPr="00CD3D64">
        <w:rPr>
          <w:rFonts w:ascii="Book Antiqua" w:hAnsi="Book Antiqua"/>
          <w:color w:val="000000"/>
        </w:rPr>
        <w:t xml:space="preserve"> &lt;</w:t>
      </w:r>
      <w:r w:rsidR="00D31160" w:rsidRPr="00CD3D64">
        <w:rPr>
          <w:rFonts w:ascii="Book Antiqua" w:hAnsi="Book Antiqua"/>
          <w:color w:val="000000"/>
        </w:rPr>
        <w:t xml:space="preserve"> </w:t>
      </w:r>
      <w:r w:rsidRPr="00CD3D64">
        <w:rPr>
          <w:rFonts w:ascii="Book Antiqua" w:hAnsi="Book Antiqua"/>
          <w:color w:val="000000"/>
        </w:rPr>
        <w:t>75</w:t>
      </w:r>
      <w:r w:rsidR="00D242AF">
        <w:rPr>
          <w:rFonts w:ascii="Book Antiqua" w:hAnsi="Book Antiqua"/>
          <w:color w:val="000000"/>
        </w:rPr>
        <w:t>-years-old</w:t>
      </w:r>
      <w:r w:rsidRPr="00CD3D64">
        <w:rPr>
          <w:rFonts w:ascii="Book Antiqua" w:hAnsi="Book Antiqua"/>
          <w:color w:val="000000"/>
        </w:rPr>
        <w:t>, and 21.7% (18/83) of patients ≥</w:t>
      </w:r>
      <w:r w:rsidR="00D31160" w:rsidRPr="00CD3D64">
        <w:rPr>
          <w:rFonts w:ascii="Book Antiqua" w:hAnsi="Book Antiqua"/>
          <w:color w:val="000000"/>
        </w:rPr>
        <w:t xml:space="preserve"> </w:t>
      </w:r>
      <w:r w:rsidRPr="00CD3D64">
        <w:rPr>
          <w:rFonts w:ascii="Book Antiqua" w:hAnsi="Book Antiqua"/>
          <w:color w:val="000000"/>
        </w:rPr>
        <w:t>75</w:t>
      </w:r>
      <w:r w:rsidR="00D242AF">
        <w:rPr>
          <w:rFonts w:ascii="Book Antiqua" w:hAnsi="Book Antiqua"/>
          <w:color w:val="000000"/>
        </w:rPr>
        <w:t>-years-old</w:t>
      </w:r>
      <w:r w:rsidRPr="00CD3D64">
        <w:rPr>
          <w:rFonts w:ascii="Book Antiqua" w:hAnsi="Book Antiqua"/>
          <w:color w:val="000000"/>
        </w:rPr>
        <w:t>. A significant difference in ribavirin dose reduction or interruption rate was also seen between groups (</w:t>
      </w:r>
      <w:r w:rsidR="00D31160" w:rsidRPr="00CD3D64">
        <w:rPr>
          <w:rFonts w:ascii="Book Antiqua" w:hAnsi="Book Antiqua"/>
          <w:i/>
          <w:iCs/>
          <w:color w:val="000000"/>
        </w:rPr>
        <w:t>P</w:t>
      </w:r>
      <w:r w:rsidR="00D31160" w:rsidRPr="00CD3D64">
        <w:rPr>
          <w:rFonts w:ascii="Book Antiqua" w:hAnsi="Book Antiqua"/>
          <w:color w:val="000000"/>
        </w:rPr>
        <w:t xml:space="preserve"> </w:t>
      </w:r>
      <w:r w:rsidRPr="00CD3D64">
        <w:rPr>
          <w:rFonts w:ascii="Book Antiqua" w:hAnsi="Book Antiqua"/>
          <w:color w:val="000000"/>
        </w:rPr>
        <w:t>=</w:t>
      </w:r>
      <w:r w:rsidR="00D31160" w:rsidRPr="00CD3D64">
        <w:rPr>
          <w:rFonts w:ascii="Book Antiqua" w:hAnsi="Book Antiqua"/>
          <w:color w:val="000000"/>
        </w:rPr>
        <w:t xml:space="preserve"> </w:t>
      </w:r>
      <w:r w:rsidRPr="00CD3D64">
        <w:rPr>
          <w:rFonts w:ascii="Book Antiqua" w:hAnsi="Book Antiqua"/>
          <w:color w:val="000000"/>
        </w:rPr>
        <w:t>0.002).</w:t>
      </w:r>
    </w:p>
    <w:p w:rsidR="007824E1" w:rsidRPr="00CD3D64" w:rsidRDefault="007824E1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</w:p>
    <w:p w:rsidR="00D31160" w:rsidRPr="00CD3D64" w:rsidRDefault="00D31160" w:rsidP="00CD3D64">
      <w:pPr>
        <w:adjustRightInd w:val="0"/>
        <w:snapToGrid w:val="0"/>
        <w:spacing w:line="360" w:lineRule="auto"/>
        <w:rPr>
          <w:rFonts w:ascii="Book Antiqua" w:hAnsi="Book Antiqua" w:cs="Arial"/>
          <w:color w:val="000000"/>
          <w:u w:val="single"/>
        </w:rPr>
      </w:pPr>
      <w:r w:rsidRPr="00CD3D64">
        <w:rPr>
          <w:rFonts w:ascii="Book Antiqua" w:hAnsi="Book Antiqua" w:cs="Arial"/>
          <w:b/>
          <w:color w:val="000000"/>
          <w:u w:val="single"/>
        </w:rPr>
        <w:t>DISCUSSION</w:t>
      </w:r>
    </w:p>
    <w:p w:rsidR="00E57253" w:rsidRPr="00CD3D64" w:rsidRDefault="001E2D8B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CD3D64">
        <w:rPr>
          <w:rFonts w:ascii="Book Antiqua" w:hAnsi="Book Antiqua"/>
          <w:color w:val="000000"/>
        </w:rPr>
        <w:t xml:space="preserve">This was a </w:t>
      </w:r>
      <w:r w:rsidR="00872D35" w:rsidRPr="00CD3D64">
        <w:rPr>
          <w:rFonts w:ascii="Book Antiqua" w:hAnsi="Book Antiqua"/>
          <w:color w:val="000000"/>
        </w:rPr>
        <w:t xml:space="preserve">multicenter </w:t>
      </w:r>
      <w:r w:rsidRPr="00CD3D64">
        <w:rPr>
          <w:rFonts w:ascii="Book Antiqua" w:hAnsi="Book Antiqua"/>
          <w:color w:val="000000"/>
        </w:rPr>
        <w:t xml:space="preserve">post-marketing prospective cohort study </w:t>
      </w:r>
      <w:r w:rsidR="001118EE" w:rsidRPr="00CD3D64">
        <w:rPr>
          <w:rFonts w:ascii="Book Antiqua" w:hAnsi="Book Antiqua"/>
          <w:color w:val="000000"/>
        </w:rPr>
        <w:t xml:space="preserve">of </w:t>
      </w:r>
      <w:proofErr w:type="spellStart"/>
      <w:r w:rsidR="001118EE" w:rsidRPr="00CD3D64">
        <w:rPr>
          <w:rFonts w:ascii="Book Antiqua" w:hAnsi="Book Antiqua"/>
          <w:color w:val="000000"/>
        </w:rPr>
        <w:t>sofosbuvir</w:t>
      </w:r>
      <w:proofErr w:type="spellEnd"/>
      <w:r w:rsidR="001118EE" w:rsidRPr="00CD3D64">
        <w:rPr>
          <w:rFonts w:ascii="Book Antiqua" w:hAnsi="Book Antiqua"/>
          <w:color w:val="000000"/>
        </w:rPr>
        <w:t xml:space="preserve"> </w:t>
      </w:r>
      <w:proofErr w:type="gramStart"/>
      <w:r w:rsidR="001118EE" w:rsidRPr="00CD3D64">
        <w:rPr>
          <w:rFonts w:ascii="Book Antiqua" w:hAnsi="Book Antiqua"/>
          <w:color w:val="000000"/>
        </w:rPr>
        <w:t>plus</w:t>
      </w:r>
      <w:proofErr w:type="gramEnd"/>
      <w:r w:rsidR="001118EE" w:rsidRPr="00CD3D64">
        <w:rPr>
          <w:rFonts w:ascii="Book Antiqua" w:hAnsi="Book Antiqua"/>
          <w:color w:val="000000"/>
        </w:rPr>
        <w:t xml:space="preserve"> ribavirin therapy for patients infected with genotype 2 HCV </w:t>
      </w:r>
      <w:r w:rsidRPr="00CD3D64">
        <w:rPr>
          <w:rFonts w:ascii="Book Antiqua" w:hAnsi="Book Antiqua"/>
          <w:color w:val="000000"/>
        </w:rPr>
        <w:t xml:space="preserve">in </w:t>
      </w:r>
      <w:r w:rsidR="00F7257B" w:rsidRPr="00CD3D64">
        <w:rPr>
          <w:rFonts w:ascii="Book Antiqua" w:hAnsi="Book Antiqua"/>
          <w:color w:val="000000"/>
        </w:rPr>
        <w:t xml:space="preserve">a </w:t>
      </w:r>
      <w:r w:rsidRPr="00CD3D64">
        <w:rPr>
          <w:rFonts w:ascii="Book Antiqua" w:hAnsi="Book Antiqua"/>
          <w:color w:val="000000"/>
        </w:rPr>
        <w:t xml:space="preserve">real-world </w:t>
      </w:r>
      <w:r w:rsidR="00872D35" w:rsidRPr="00CD3D64">
        <w:rPr>
          <w:rFonts w:ascii="Book Antiqua" w:hAnsi="Book Antiqua"/>
          <w:color w:val="000000"/>
        </w:rPr>
        <w:t xml:space="preserve">clinical </w:t>
      </w:r>
      <w:r w:rsidRPr="00CD3D64">
        <w:rPr>
          <w:rFonts w:ascii="Book Antiqua" w:hAnsi="Book Antiqua"/>
          <w:color w:val="000000"/>
        </w:rPr>
        <w:t>setting.</w:t>
      </w:r>
      <w:r w:rsidR="00CF0A8B" w:rsidRPr="00CD3D64">
        <w:rPr>
          <w:rFonts w:ascii="Book Antiqua" w:hAnsi="Book Antiqua"/>
          <w:color w:val="000000"/>
        </w:rPr>
        <w:t xml:space="preserve"> In the present study,</w:t>
      </w:r>
      <w:r w:rsidR="00AD7ADC" w:rsidRPr="00CD3D64">
        <w:rPr>
          <w:rFonts w:ascii="Book Antiqua" w:hAnsi="Book Antiqua"/>
          <w:color w:val="000000"/>
        </w:rPr>
        <w:t xml:space="preserve"> </w:t>
      </w:r>
      <w:r w:rsidR="001118EE" w:rsidRPr="00CD3D64">
        <w:rPr>
          <w:rFonts w:ascii="Book Antiqua" w:hAnsi="Book Antiqua"/>
          <w:color w:val="000000"/>
        </w:rPr>
        <w:t>31</w:t>
      </w:r>
      <w:r w:rsidR="00AD7ADC" w:rsidRPr="00CD3D64">
        <w:rPr>
          <w:rFonts w:ascii="Book Antiqua" w:hAnsi="Book Antiqua"/>
          <w:color w:val="000000"/>
        </w:rPr>
        <w:t xml:space="preserve">% of patients </w:t>
      </w:r>
      <w:r w:rsidR="00B81977" w:rsidRPr="00CD3D64">
        <w:rPr>
          <w:rFonts w:ascii="Book Antiqua" w:hAnsi="Book Antiqua"/>
          <w:color w:val="000000"/>
        </w:rPr>
        <w:t xml:space="preserve">were </w:t>
      </w:r>
      <w:r w:rsidR="00F7257B" w:rsidRPr="00CD3D64">
        <w:rPr>
          <w:rFonts w:ascii="Book Antiqua" w:hAnsi="Book Antiqua"/>
          <w:color w:val="000000"/>
        </w:rPr>
        <w:sym w:font="Symbol" w:char="F0B3"/>
      </w:r>
      <w:r w:rsidR="00D31160" w:rsidRPr="00CD3D64">
        <w:rPr>
          <w:rFonts w:ascii="Book Antiqua" w:hAnsi="Book Antiqua"/>
          <w:color w:val="000000"/>
        </w:rPr>
        <w:t xml:space="preserve"> </w:t>
      </w:r>
      <w:r w:rsidR="001118EE" w:rsidRPr="00CD3D64">
        <w:rPr>
          <w:rFonts w:ascii="Book Antiqua" w:hAnsi="Book Antiqua"/>
          <w:color w:val="000000"/>
        </w:rPr>
        <w:t>75</w:t>
      </w:r>
      <w:r w:rsidR="00D242AF">
        <w:rPr>
          <w:rFonts w:ascii="Book Antiqua" w:hAnsi="Book Antiqua"/>
          <w:color w:val="000000"/>
        </w:rPr>
        <w:t>-years-old</w:t>
      </w:r>
      <w:r w:rsidR="001118EE" w:rsidRPr="00CD3D64">
        <w:rPr>
          <w:rFonts w:ascii="Book Antiqua" w:hAnsi="Book Antiqua"/>
          <w:color w:val="000000"/>
        </w:rPr>
        <w:t>, and 12% had a history of HCC treatment.</w:t>
      </w:r>
      <w:r w:rsidR="00AD7ADC" w:rsidRPr="00CD3D64">
        <w:rPr>
          <w:rFonts w:ascii="Book Antiqua" w:hAnsi="Book Antiqua"/>
          <w:color w:val="000000"/>
        </w:rPr>
        <w:t xml:space="preserve"> </w:t>
      </w:r>
      <w:r w:rsidR="001118EE" w:rsidRPr="00CD3D64">
        <w:rPr>
          <w:rFonts w:ascii="Book Antiqua" w:hAnsi="Book Antiqua"/>
          <w:color w:val="000000"/>
        </w:rPr>
        <w:t>Furthermore, 34</w:t>
      </w:r>
      <w:r w:rsidR="00AD7ADC" w:rsidRPr="00CD3D64">
        <w:rPr>
          <w:rFonts w:ascii="Book Antiqua" w:hAnsi="Book Antiqua"/>
          <w:color w:val="000000"/>
        </w:rPr>
        <w:t xml:space="preserve">% </w:t>
      </w:r>
      <w:r w:rsidR="001118EE" w:rsidRPr="00CD3D64">
        <w:rPr>
          <w:rFonts w:ascii="Book Antiqua" w:hAnsi="Book Antiqua"/>
          <w:color w:val="000000"/>
        </w:rPr>
        <w:t xml:space="preserve">of enrolled patients </w:t>
      </w:r>
      <w:r w:rsidR="00AD7ADC" w:rsidRPr="00CD3D64">
        <w:rPr>
          <w:rFonts w:ascii="Book Antiqua" w:hAnsi="Book Antiqua"/>
          <w:color w:val="000000"/>
        </w:rPr>
        <w:t xml:space="preserve">had cirrhosis, </w:t>
      </w:r>
      <w:r w:rsidR="004A1973" w:rsidRPr="00CD3D64">
        <w:rPr>
          <w:rFonts w:ascii="Book Antiqua" w:hAnsi="Book Antiqua"/>
          <w:color w:val="000000"/>
        </w:rPr>
        <w:t xml:space="preserve">and </w:t>
      </w:r>
      <w:r w:rsidR="00AD7ADC" w:rsidRPr="00CD3D64">
        <w:rPr>
          <w:rFonts w:ascii="Book Antiqua" w:hAnsi="Book Antiqua"/>
          <w:color w:val="000000"/>
        </w:rPr>
        <w:t>2</w:t>
      </w:r>
      <w:r w:rsidR="001118EE" w:rsidRPr="00CD3D64">
        <w:rPr>
          <w:rFonts w:ascii="Book Antiqua" w:hAnsi="Book Antiqua"/>
          <w:color w:val="000000"/>
        </w:rPr>
        <w:t>0</w:t>
      </w:r>
      <w:r w:rsidR="00AD7ADC" w:rsidRPr="00CD3D64">
        <w:rPr>
          <w:rFonts w:ascii="Book Antiqua" w:hAnsi="Book Antiqua"/>
          <w:color w:val="000000"/>
        </w:rPr>
        <w:t xml:space="preserve">% had moderate </w:t>
      </w:r>
      <w:r w:rsidR="00A25BFD" w:rsidRPr="00CD3D64">
        <w:rPr>
          <w:rFonts w:ascii="Book Antiqua" w:hAnsi="Book Antiqua"/>
          <w:bCs/>
          <w:color w:val="000000"/>
        </w:rPr>
        <w:t>chronic kidney disease</w:t>
      </w:r>
      <w:r w:rsidR="00AD7ADC" w:rsidRPr="00CD3D64">
        <w:rPr>
          <w:rFonts w:ascii="Book Antiqua" w:hAnsi="Book Antiqua"/>
          <w:color w:val="000000"/>
        </w:rPr>
        <w:t>.</w:t>
      </w:r>
    </w:p>
    <w:p w:rsidR="001A533F" w:rsidRPr="00CD3D64" w:rsidRDefault="00E838FE" w:rsidP="00CD3D64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bCs/>
          <w:iCs/>
          <w:color w:val="000000"/>
        </w:rPr>
      </w:pPr>
      <w:r w:rsidRPr="00CD3D64">
        <w:rPr>
          <w:rFonts w:ascii="Book Antiqua" w:hAnsi="Book Antiqua"/>
          <w:color w:val="000000"/>
        </w:rPr>
        <w:t xml:space="preserve">Although some real-world data based on post-marketing cohort studies of </w:t>
      </w:r>
      <w:proofErr w:type="spellStart"/>
      <w:r w:rsidRPr="00CD3D64">
        <w:rPr>
          <w:rFonts w:ascii="Book Antiqua" w:hAnsi="Book Antiqua"/>
          <w:color w:val="000000"/>
        </w:rPr>
        <w:t>sofosbuvir</w:t>
      </w:r>
      <w:proofErr w:type="spellEnd"/>
      <w:r w:rsidRPr="00CD3D64">
        <w:rPr>
          <w:rFonts w:ascii="Book Antiqua" w:hAnsi="Book Antiqua"/>
          <w:color w:val="000000"/>
        </w:rPr>
        <w:t xml:space="preserve"> plus ribavirin have been reported, few reports have evaluated </w:t>
      </w:r>
      <w:r w:rsidR="001A533F" w:rsidRPr="00CD3D64">
        <w:rPr>
          <w:rFonts w:ascii="Book Antiqua" w:hAnsi="Book Antiqua"/>
          <w:color w:val="000000"/>
        </w:rPr>
        <w:t xml:space="preserve">safety and </w:t>
      </w:r>
      <w:r w:rsidRPr="00CD3D64">
        <w:rPr>
          <w:rFonts w:ascii="Book Antiqua" w:hAnsi="Book Antiqua"/>
          <w:color w:val="000000"/>
        </w:rPr>
        <w:t xml:space="preserve">efficacy for </w:t>
      </w:r>
      <w:proofErr w:type="gramStart"/>
      <w:r w:rsidRPr="00CD3D64">
        <w:rPr>
          <w:rFonts w:ascii="Book Antiqua" w:hAnsi="Book Antiqua"/>
          <w:color w:val="000000"/>
        </w:rPr>
        <w:t>patients</w:t>
      </w:r>
      <w:proofErr w:type="gramEnd"/>
      <w:r w:rsidRPr="00CD3D64">
        <w:rPr>
          <w:rFonts w:ascii="Book Antiqua" w:hAnsi="Book Antiqua"/>
          <w:color w:val="000000"/>
        </w:rPr>
        <w:t xml:space="preserve"> ≥</w:t>
      </w:r>
      <w:r w:rsidR="00D31160" w:rsidRPr="00CD3D64">
        <w:rPr>
          <w:rFonts w:ascii="Book Antiqua" w:hAnsi="Book Antiqua"/>
          <w:color w:val="000000"/>
        </w:rPr>
        <w:t xml:space="preserve"> </w:t>
      </w:r>
      <w:r w:rsidRPr="00CD3D64">
        <w:rPr>
          <w:rFonts w:ascii="Book Antiqua" w:hAnsi="Book Antiqua"/>
          <w:color w:val="000000"/>
        </w:rPr>
        <w:t>75</w:t>
      </w:r>
      <w:r w:rsidR="00D242AF">
        <w:rPr>
          <w:rFonts w:ascii="Book Antiqua" w:hAnsi="Book Antiqua"/>
          <w:color w:val="000000"/>
        </w:rPr>
        <w:t>-years-old</w:t>
      </w:r>
      <w:r w:rsidRPr="00CD3D64">
        <w:rPr>
          <w:rFonts w:ascii="Book Antiqua" w:hAnsi="Book Antiqua"/>
          <w:color w:val="000000"/>
        </w:rPr>
        <w:t xml:space="preserve">. </w:t>
      </w:r>
      <w:r w:rsidR="001A533F" w:rsidRPr="00CD3D64">
        <w:rPr>
          <w:rFonts w:ascii="Book Antiqua" w:hAnsi="Book Antiqua"/>
          <w:color w:val="000000"/>
        </w:rPr>
        <w:t>Regarding safety, Ogawa</w:t>
      </w:r>
      <w:bookmarkStart w:id="28" w:name="_Hlk45809173"/>
      <w:r w:rsidR="001A533F" w:rsidRPr="00CD3D64">
        <w:rPr>
          <w:rFonts w:ascii="Book Antiqua" w:hAnsi="Book Antiqua"/>
          <w:color w:val="000000"/>
        </w:rPr>
        <w:t xml:space="preserve"> </w:t>
      </w:r>
      <w:r w:rsidR="001A533F" w:rsidRPr="00CD3D64">
        <w:rPr>
          <w:rFonts w:ascii="Book Antiqua" w:hAnsi="Book Antiqua"/>
          <w:i/>
          <w:iCs/>
          <w:color w:val="000000"/>
        </w:rPr>
        <w:t xml:space="preserve">et </w:t>
      </w:r>
      <w:proofErr w:type="gramStart"/>
      <w:r w:rsidR="001A533F" w:rsidRPr="00CD3D64">
        <w:rPr>
          <w:rFonts w:ascii="Book Antiqua" w:hAnsi="Book Antiqua"/>
          <w:i/>
          <w:iCs/>
          <w:color w:val="000000"/>
        </w:rPr>
        <w:t>al</w:t>
      </w:r>
      <w:r w:rsidR="003B3572" w:rsidRPr="00CD3D64">
        <w:rPr>
          <w:rFonts w:ascii="Book Antiqua" w:hAnsi="Book Antiqua"/>
          <w:color w:val="000000"/>
          <w:vertAlign w:val="superscript"/>
        </w:rPr>
        <w:t>[</w:t>
      </w:r>
      <w:proofErr w:type="gramEnd"/>
      <w:r w:rsidR="003B3572" w:rsidRPr="00CD3D64">
        <w:rPr>
          <w:rFonts w:ascii="Book Antiqua" w:hAnsi="Book Antiqua"/>
          <w:color w:val="000000"/>
          <w:vertAlign w:val="superscript"/>
        </w:rPr>
        <w:t>10]</w:t>
      </w:r>
      <w:bookmarkEnd w:id="28"/>
      <w:r w:rsidR="001A533F" w:rsidRPr="00CD3D64">
        <w:rPr>
          <w:rFonts w:ascii="Book Antiqua" w:hAnsi="Book Antiqua"/>
          <w:color w:val="000000"/>
        </w:rPr>
        <w:t xml:space="preserve"> indicated that the frequency of adverse effects was higher for </w:t>
      </w:r>
      <w:r w:rsidR="00F7257B" w:rsidRPr="00CD3D64">
        <w:rPr>
          <w:rFonts w:ascii="Book Antiqua" w:hAnsi="Book Antiqua"/>
          <w:color w:val="000000"/>
        </w:rPr>
        <w:t xml:space="preserve">a </w:t>
      </w:r>
      <w:r w:rsidR="00500965" w:rsidRPr="00CD3D64">
        <w:rPr>
          <w:rFonts w:ascii="Book Antiqua" w:hAnsi="Book Antiqua"/>
          <w:color w:val="000000"/>
        </w:rPr>
        <w:t>≥</w:t>
      </w:r>
      <w:r w:rsidR="005A78E0" w:rsidRPr="00CD3D64">
        <w:rPr>
          <w:rFonts w:ascii="Book Antiqua" w:hAnsi="Book Antiqua"/>
          <w:color w:val="000000"/>
        </w:rPr>
        <w:t xml:space="preserve"> </w:t>
      </w:r>
      <w:r w:rsidR="001A533F" w:rsidRPr="00CD3D64">
        <w:rPr>
          <w:rFonts w:ascii="Book Antiqua" w:hAnsi="Book Antiqua"/>
          <w:color w:val="000000"/>
        </w:rPr>
        <w:t xml:space="preserve">65-year-old group </w:t>
      </w:r>
      <w:r w:rsidR="00FB7190" w:rsidRPr="00CD3D64">
        <w:rPr>
          <w:rFonts w:ascii="Book Antiqua" w:hAnsi="Book Antiqua"/>
          <w:color w:val="000000"/>
        </w:rPr>
        <w:t xml:space="preserve">(18.9%) </w:t>
      </w:r>
      <w:r w:rsidR="001A533F" w:rsidRPr="00CD3D64">
        <w:rPr>
          <w:rFonts w:ascii="Book Antiqua" w:hAnsi="Book Antiqua"/>
          <w:color w:val="000000"/>
        </w:rPr>
        <w:t xml:space="preserve">than </w:t>
      </w:r>
      <w:r w:rsidR="001A533F" w:rsidRPr="00CD3D64">
        <w:rPr>
          <w:rFonts w:ascii="Book Antiqua" w:hAnsi="Book Antiqua"/>
          <w:color w:val="000000"/>
        </w:rPr>
        <w:lastRenderedPageBreak/>
        <w:t>for the &lt;</w:t>
      </w:r>
      <w:r w:rsidR="005A78E0" w:rsidRPr="00CD3D64">
        <w:rPr>
          <w:rFonts w:ascii="Book Antiqua" w:hAnsi="Book Antiqua"/>
          <w:color w:val="000000"/>
        </w:rPr>
        <w:t xml:space="preserve"> </w:t>
      </w:r>
      <w:r w:rsidR="001A533F" w:rsidRPr="00CD3D64">
        <w:rPr>
          <w:rFonts w:ascii="Book Antiqua" w:hAnsi="Book Antiqua"/>
          <w:color w:val="000000"/>
        </w:rPr>
        <w:t xml:space="preserve">65-year-old group (4.3%, </w:t>
      </w:r>
      <w:r w:rsidR="005A78E0" w:rsidRPr="00CD3D64">
        <w:rPr>
          <w:rFonts w:ascii="Book Antiqua" w:hAnsi="Book Antiqua"/>
          <w:i/>
          <w:iCs/>
          <w:color w:val="000000"/>
        </w:rPr>
        <w:t xml:space="preserve">P </w:t>
      </w:r>
      <w:r w:rsidR="001A533F" w:rsidRPr="00CD3D64">
        <w:rPr>
          <w:rFonts w:ascii="Book Antiqua" w:hAnsi="Book Antiqua"/>
          <w:color w:val="000000"/>
        </w:rPr>
        <w:t>&lt;</w:t>
      </w:r>
      <w:r w:rsidR="005A78E0" w:rsidRPr="00CD3D64">
        <w:rPr>
          <w:rFonts w:ascii="Book Antiqua" w:hAnsi="Book Antiqua"/>
          <w:color w:val="000000"/>
        </w:rPr>
        <w:t xml:space="preserve"> </w:t>
      </w:r>
      <w:r w:rsidR="001A533F" w:rsidRPr="00CD3D64">
        <w:rPr>
          <w:rFonts w:ascii="Book Antiqua" w:hAnsi="Book Antiqua"/>
          <w:color w:val="000000"/>
        </w:rPr>
        <w:t>0.001)</w:t>
      </w:r>
      <w:r w:rsidR="009E1F08" w:rsidRPr="00CD3D64">
        <w:rPr>
          <w:rFonts w:ascii="Book Antiqua" w:hAnsi="Book Antiqua"/>
          <w:color w:val="000000"/>
        </w:rPr>
        <w:t>.</w:t>
      </w:r>
      <w:r w:rsidR="001A533F" w:rsidRPr="00CD3D64">
        <w:rPr>
          <w:rFonts w:ascii="Book Antiqua" w:hAnsi="Book Antiqua"/>
          <w:color w:val="000000"/>
        </w:rPr>
        <w:t xml:space="preserve"> However, discontinuation </w:t>
      </w:r>
      <w:r w:rsidR="00F7257B" w:rsidRPr="00CD3D64">
        <w:rPr>
          <w:rFonts w:ascii="Book Antiqua" w:hAnsi="Book Antiqua"/>
          <w:color w:val="000000"/>
        </w:rPr>
        <w:t xml:space="preserve">of all drugs </w:t>
      </w:r>
      <w:r w:rsidR="001A533F" w:rsidRPr="00CD3D64">
        <w:rPr>
          <w:rFonts w:ascii="Book Antiqua" w:hAnsi="Book Antiqua"/>
          <w:color w:val="000000"/>
        </w:rPr>
        <w:t xml:space="preserve">was required for only 3 of </w:t>
      </w:r>
      <w:r w:rsidR="00F7257B" w:rsidRPr="00CD3D64">
        <w:rPr>
          <w:rFonts w:ascii="Book Antiqua" w:hAnsi="Book Antiqua"/>
          <w:color w:val="000000"/>
        </w:rPr>
        <w:t xml:space="preserve">the </w:t>
      </w:r>
      <w:r w:rsidR="001A533F" w:rsidRPr="00CD3D64">
        <w:rPr>
          <w:rFonts w:ascii="Book Antiqua" w:hAnsi="Book Antiqua"/>
          <w:color w:val="000000"/>
        </w:rPr>
        <w:t>446 patients (0.7%</w:t>
      </w:r>
      <w:proofErr w:type="gramStart"/>
      <w:r w:rsidR="001A533F" w:rsidRPr="00CD3D64">
        <w:rPr>
          <w:rFonts w:ascii="Book Antiqua" w:hAnsi="Book Antiqua"/>
          <w:color w:val="000000"/>
        </w:rPr>
        <w:t>)</w:t>
      </w:r>
      <w:r w:rsidR="00687F30" w:rsidRPr="00CD3D64">
        <w:rPr>
          <w:rFonts w:ascii="Book Antiqua" w:hAnsi="Book Antiqua"/>
          <w:color w:val="000000"/>
          <w:vertAlign w:val="superscript"/>
        </w:rPr>
        <w:t>[</w:t>
      </w:r>
      <w:proofErr w:type="gramEnd"/>
      <w:r w:rsidR="00687F30" w:rsidRPr="00CD3D64">
        <w:rPr>
          <w:rFonts w:ascii="Book Antiqua" w:hAnsi="Book Antiqua"/>
          <w:color w:val="000000"/>
          <w:vertAlign w:val="superscript"/>
        </w:rPr>
        <w:t>10]</w:t>
      </w:r>
      <w:r w:rsidR="00670F16" w:rsidRPr="00CD3D64">
        <w:rPr>
          <w:rFonts w:ascii="Book Antiqua" w:hAnsi="Book Antiqua"/>
          <w:color w:val="000000"/>
        </w:rPr>
        <w:t>.</w:t>
      </w:r>
      <w:r w:rsidR="001A533F" w:rsidRPr="00CD3D64">
        <w:rPr>
          <w:rFonts w:ascii="Book Antiqua" w:hAnsi="Book Antiqua"/>
          <w:color w:val="000000"/>
        </w:rPr>
        <w:t xml:space="preserve"> </w:t>
      </w:r>
      <w:proofErr w:type="spellStart"/>
      <w:r w:rsidR="001A533F" w:rsidRPr="00CD3D64">
        <w:rPr>
          <w:rFonts w:ascii="Book Antiqua" w:hAnsi="Book Antiqua"/>
          <w:color w:val="000000"/>
        </w:rPr>
        <w:t>Atsukawa</w:t>
      </w:r>
      <w:proofErr w:type="spellEnd"/>
      <w:r w:rsidR="001A533F" w:rsidRPr="00CD3D64">
        <w:rPr>
          <w:rFonts w:ascii="Book Antiqua" w:hAnsi="Book Antiqua"/>
          <w:color w:val="000000"/>
        </w:rPr>
        <w:t xml:space="preserve"> </w:t>
      </w:r>
      <w:r w:rsidR="005A78E0" w:rsidRPr="00CD3D64">
        <w:rPr>
          <w:rFonts w:ascii="Book Antiqua" w:hAnsi="Book Antiqua"/>
          <w:i/>
          <w:iCs/>
          <w:color w:val="000000"/>
        </w:rPr>
        <w:t xml:space="preserve">et </w:t>
      </w:r>
      <w:proofErr w:type="gramStart"/>
      <w:r w:rsidR="005A78E0" w:rsidRPr="00CD3D64">
        <w:rPr>
          <w:rFonts w:ascii="Book Antiqua" w:hAnsi="Book Antiqua"/>
          <w:i/>
          <w:iCs/>
          <w:color w:val="000000"/>
        </w:rPr>
        <w:t>al</w:t>
      </w:r>
      <w:r w:rsidR="002E6515" w:rsidRPr="00CD3D64">
        <w:rPr>
          <w:rFonts w:ascii="Book Antiqua" w:hAnsi="Book Antiqua"/>
          <w:iCs/>
          <w:color w:val="000000"/>
          <w:vertAlign w:val="superscript"/>
        </w:rPr>
        <w:t>[</w:t>
      </w:r>
      <w:proofErr w:type="gramEnd"/>
      <w:r w:rsidR="002E6515" w:rsidRPr="00CD3D64">
        <w:rPr>
          <w:rFonts w:ascii="Book Antiqua" w:hAnsi="Book Antiqua"/>
          <w:iCs/>
          <w:color w:val="000000"/>
          <w:vertAlign w:val="superscript"/>
        </w:rPr>
        <w:t>11]</w:t>
      </w:r>
      <w:r w:rsidR="002E6515" w:rsidRPr="00CD3D64">
        <w:rPr>
          <w:rFonts w:ascii="Book Antiqua" w:hAnsi="Book Antiqua"/>
          <w:color w:val="000000"/>
        </w:rPr>
        <w:t xml:space="preserve"> </w:t>
      </w:r>
      <w:r w:rsidR="001A533F" w:rsidRPr="00CD3D64">
        <w:rPr>
          <w:rFonts w:ascii="Book Antiqua" w:hAnsi="Book Antiqua"/>
          <w:color w:val="000000"/>
        </w:rPr>
        <w:t>indicated that the incidence of anemia increased significantly with age, and ribavirin dose reduction rate increased sharply in patients &gt;</w:t>
      </w:r>
      <w:r w:rsidR="005A78E0" w:rsidRPr="00CD3D64">
        <w:rPr>
          <w:rFonts w:ascii="Book Antiqua" w:hAnsi="Book Antiqua"/>
          <w:color w:val="000000"/>
        </w:rPr>
        <w:t xml:space="preserve"> </w:t>
      </w:r>
      <w:r w:rsidR="001A533F" w:rsidRPr="00CD3D64">
        <w:rPr>
          <w:rFonts w:ascii="Book Antiqua" w:hAnsi="Book Antiqua"/>
          <w:color w:val="000000"/>
        </w:rPr>
        <w:t>70</w:t>
      </w:r>
      <w:r w:rsidR="00D242AF">
        <w:rPr>
          <w:rFonts w:ascii="Book Antiqua" w:hAnsi="Book Antiqua"/>
          <w:color w:val="000000"/>
        </w:rPr>
        <w:t>-years-old</w:t>
      </w:r>
      <w:r w:rsidR="00687F30" w:rsidRPr="00CD3D64">
        <w:rPr>
          <w:rFonts w:ascii="Book Antiqua" w:hAnsi="Book Antiqua"/>
          <w:color w:val="000000"/>
          <w:vertAlign w:val="superscript"/>
        </w:rPr>
        <w:t>[11]</w:t>
      </w:r>
      <w:r w:rsidR="00670F16" w:rsidRPr="00CD3D64">
        <w:rPr>
          <w:rFonts w:ascii="Book Antiqua" w:hAnsi="Book Antiqua"/>
          <w:color w:val="000000"/>
        </w:rPr>
        <w:t>.</w:t>
      </w:r>
      <w:r w:rsidR="001A533F" w:rsidRPr="00CD3D64">
        <w:rPr>
          <w:rFonts w:ascii="Book Antiqua" w:hAnsi="Book Antiqua"/>
          <w:color w:val="000000"/>
        </w:rPr>
        <w:t xml:space="preserve"> Anemia during treatment occurred in 10.6% (23/218) of patients &lt;</w:t>
      </w:r>
      <w:r w:rsidR="005A78E0" w:rsidRPr="00CD3D64">
        <w:rPr>
          <w:rFonts w:ascii="Book Antiqua" w:hAnsi="Book Antiqua"/>
          <w:color w:val="000000"/>
        </w:rPr>
        <w:t xml:space="preserve"> </w:t>
      </w:r>
      <w:r w:rsidR="001A533F" w:rsidRPr="00CD3D64">
        <w:rPr>
          <w:rFonts w:ascii="Book Antiqua" w:hAnsi="Book Antiqua"/>
          <w:color w:val="000000"/>
        </w:rPr>
        <w:t>75</w:t>
      </w:r>
      <w:r w:rsidR="00D242AF">
        <w:rPr>
          <w:rFonts w:ascii="Book Antiqua" w:hAnsi="Book Antiqua"/>
          <w:color w:val="000000"/>
        </w:rPr>
        <w:t>-years-old</w:t>
      </w:r>
      <w:r w:rsidR="001A533F" w:rsidRPr="00CD3D64">
        <w:rPr>
          <w:rFonts w:ascii="Book Antiqua" w:hAnsi="Book Antiqua"/>
          <w:color w:val="000000"/>
        </w:rPr>
        <w:t>, and in 48.1% (25/52) of patients ≥</w:t>
      </w:r>
      <w:r w:rsidR="005A78E0" w:rsidRPr="00CD3D64">
        <w:rPr>
          <w:rFonts w:ascii="Book Antiqua" w:hAnsi="Book Antiqua"/>
          <w:color w:val="000000"/>
        </w:rPr>
        <w:t xml:space="preserve"> </w:t>
      </w:r>
      <w:r w:rsidR="001A533F" w:rsidRPr="00CD3D64">
        <w:rPr>
          <w:rFonts w:ascii="Book Antiqua" w:hAnsi="Book Antiqua"/>
          <w:color w:val="000000"/>
        </w:rPr>
        <w:t>75</w:t>
      </w:r>
      <w:r w:rsidR="00D242AF">
        <w:rPr>
          <w:rFonts w:ascii="Book Antiqua" w:hAnsi="Book Antiqua"/>
          <w:color w:val="000000"/>
        </w:rPr>
        <w:t>-years-</w:t>
      </w:r>
      <w:proofErr w:type="gramStart"/>
      <w:r w:rsidR="00D242AF">
        <w:rPr>
          <w:rFonts w:ascii="Book Antiqua" w:hAnsi="Book Antiqua"/>
          <w:color w:val="000000"/>
        </w:rPr>
        <w:t>old</w:t>
      </w:r>
      <w:r w:rsidR="00687F30" w:rsidRPr="00CD3D64">
        <w:rPr>
          <w:rFonts w:ascii="Book Antiqua" w:hAnsi="Book Antiqua"/>
          <w:color w:val="000000"/>
          <w:vertAlign w:val="superscript"/>
        </w:rPr>
        <w:t>[</w:t>
      </w:r>
      <w:proofErr w:type="gramEnd"/>
      <w:r w:rsidR="00687F30" w:rsidRPr="00CD3D64">
        <w:rPr>
          <w:rFonts w:ascii="Book Antiqua" w:hAnsi="Book Antiqua"/>
          <w:color w:val="000000"/>
          <w:vertAlign w:val="superscript"/>
        </w:rPr>
        <w:t>11]</w:t>
      </w:r>
      <w:r w:rsidR="00670F16" w:rsidRPr="00CD3D64">
        <w:rPr>
          <w:rFonts w:ascii="Book Antiqua" w:hAnsi="Book Antiqua"/>
          <w:color w:val="000000"/>
        </w:rPr>
        <w:t>.</w:t>
      </w:r>
      <w:r w:rsidR="001A533F" w:rsidRPr="00CD3D64">
        <w:rPr>
          <w:rFonts w:ascii="Book Antiqua" w:hAnsi="Book Antiqua"/>
          <w:color w:val="000000"/>
        </w:rPr>
        <w:t xml:space="preserve"> However, no</w:t>
      </w:r>
      <w:r w:rsidR="00ED194F" w:rsidRPr="00CD3D64">
        <w:rPr>
          <w:rFonts w:ascii="Book Antiqua" w:hAnsi="Book Antiqua"/>
          <w:color w:val="000000"/>
        </w:rPr>
        <w:t>ne of th</w:t>
      </w:r>
      <w:r w:rsidR="00F7257B" w:rsidRPr="00CD3D64">
        <w:rPr>
          <w:rFonts w:ascii="Book Antiqua" w:hAnsi="Book Antiqua"/>
          <w:color w:val="000000"/>
        </w:rPr>
        <w:t>os</w:t>
      </w:r>
      <w:r w:rsidR="00ED194F" w:rsidRPr="00CD3D64">
        <w:rPr>
          <w:rFonts w:ascii="Book Antiqua" w:hAnsi="Book Antiqua"/>
          <w:color w:val="000000"/>
        </w:rPr>
        <w:t>e 270</w:t>
      </w:r>
      <w:r w:rsidR="001A533F" w:rsidRPr="00CD3D64">
        <w:rPr>
          <w:rFonts w:ascii="Book Antiqua" w:hAnsi="Book Antiqua"/>
          <w:color w:val="000000"/>
        </w:rPr>
        <w:t xml:space="preserve"> patients discontinued use of either ribavirin or </w:t>
      </w:r>
      <w:proofErr w:type="spellStart"/>
      <w:proofErr w:type="gramStart"/>
      <w:r w:rsidR="001A533F" w:rsidRPr="00CD3D64">
        <w:rPr>
          <w:rFonts w:ascii="Book Antiqua" w:hAnsi="Book Antiqua"/>
          <w:color w:val="000000"/>
        </w:rPr>
        <w:t>sofosbuvir</w:t>
      </w:r>
      <w:proofErr w:type="spellEnd"/>
      <w:r w:rsidR="00687F30" w:rsidRPr="00CD3D64">
        <w:rPr>
          <w:rFonts w:ascii="Book Antiqua" w:hAnsi="Book Antiqua"/>
          <w:color w:val="000000"/>
          <w:vertAlign w:val="superscript"/>
        </w:rPr>
        <w:t>[</w:t>
      </w:r>
      <w:proofErr w:type="gramEnd"/>
      <w:r w:rsidR="00687F30" w:rsidRPr="00CD3D64">
        <w:rPr>
          <w:rFonts w:ascii="Book Antiqua" w:hAnsi="Book Antiqua"/>
          <w:color w:val="000000"/>
          <w:vertAlign w:val="superscript"/>
        </w:rPr>
        <w:t>11]</w:t>
      </w:r>
      <w:r w:rsidR="00670F16" w:rsidRPr="00CD3D64">
        <w:rPr>
          <w:rFonts w:ascii="Book Antiqua" w:hAnsi="Book Antiqua"/>
          <w:color w:val="000000"/>
        </w:rPr>
        <w:t>.</w:t>
      </w:r>
      <w:r w:rsidR="001A533F" w:rsidRPr="00CD3D64">
        <w:rPr>
          <w:rFonts w:ascii="Book Antiqua" w:hAnsi="Book Antiqua"/>
          <w:color w:val="000000"/>
        </w:rPr>
        <w:t xml:space="preserve"> In the present study, although </w:t>
      </w:r>
      <w:r w:rsidR="001A533F" w:rsidRPr="00CD3D64">
        <w:rPr>
          <w:rFonts w:ascii="Book Antiqua" w:hAnsi="Book Antiqua"/>
          <w:bCs/>
          <w:iCs/>
          <w:color w:val="000000"/>
        </w:rPr>
        <w:t xml:space="preserve">dose reduction or interruption of ribavirin due to anemia was required in 21.7% of </w:t>
      </w:r>
      <w:proofErr w:type="gramStart"/>
      <w:r w:rsidR="001A533F" w:rsidRPr="00CD3D64">
        <w:rPr>
          <w:rFonts w:ascii="Book Antiqua" w:hAnsi="Book Antiqua"/>
          <w:bCs/>
          <w:iCs/>
          <w:color w:val="000000"/>
        </w:rPr>
        <w:t>patients</w:t>
      </w:r>
      <w:proofErr w:type="gramEnd"/>
      <w:r w:rsidR="001A533F" w:rsidRPr="00CD3D64">
        <w:rPr>
          <w:rFonts w:ascii="Book Antiqua" w:hAnsi="Book Antiqua"/>
          <w:bCs/>
          <w:iCs/>
          <w:color w:val="000000"/>
        </w:rPr>
        <w:t xml:space="preserve"> </w:t>
      </w:r>
      <w:r w:rsidR="001A533F" w:rsidRPr="00CD3D64">
        <w:rPr>
          <w:rFonts w:ascii="Book Antiqua" w:hAnsi="Book Antiqua"/>
          <w:color w:val="000000"/>
        </w:rPr>
        <w:t>≥</w:t>
      </w:r>
      <w:r w:rsidR="005A78E0" w:rsidRPr="00CD3D64">
        <w:rPr>
          <w:rFonts w:ascii="Book Antiqua" w:hAnsi="Book Antiqua"/>
          <w:color w:val="000000"/>
        </w:rPr>
        <w:t xml:space="preserve"> </w:t>
      </w:r>
      <w:r w:rsidR="001A533F" w:rsidRPr="00CD3D64">
        <w:rPr>
          <w:rFonts w:ascii="Book Antiqua" w:hAnsi="Book Antiqua"/>
          <w:color w:val="000000"/>
        </w:rPr>
        <w:t>75</w:t>
      </w:r>
      <w:r w:rsidR="00D242AF">
        <w:rPr>
          <w:rFonts w:ascii="Book Antiqua" w:hAnsi="Book Antiqua"/>
          <w:color w:val="000000"/>
        </w:rPr>
        <w:t>-years-old</w:t>
      </w:r>
      <w:r w:rsidR="001A533F" w:rsidRPr="00CD3D64">
        <w:rPr>
          <w:rFonts w:ascii="Book Antiqua" w:hAnsi="Book Antiqua"/>
          <w:color w:val="000000"/>
        </w:rPr>
        <w:t xml:space="preserve"> and 7.7% of patients &lt;</w:t>
      </w:r>
      <w:r w:rsidR="005A78E0" w:rsidRPr="00CD3D64">
        <w:rPr>
          <w:rFonts w:ascii="Book Antiqua" w:hAnsi="Book Antiqua"/>
          <w:color w:val="000000"/>
        </w:rPr>
        <w:t xml:space="preserve"> </w:t>
      </w:r>
      <w:r w:rsidR="001A533F" w:rsidRPr="00CD3D64">
        <w:rPr>
          <w:rFonts w:ascii="Book Antiqua" w:hAnsi="Book Antiqua"/>
          <w:color w:val="000000"/>
        </w:rPr>
        <w:t>75</w:t>
      </w:r>
      <w:r w:rsidR="00D242AF">
        <w:rPr>
          <w:rFonts w:ascii="Book Antiqua" w:hAnsi="Book Antiqua"/>
          <w:color w:val="000000"/>
        </w:rPr>
        <w:t>-years-old</w:t>
      </w:r>
      <w:r w:rsidR="001A533F" w:rsidRPr="00CD3D64">
        <w:rPr>
          <w:rFonts w:ascii="Book Antiqua" w:hAnsi="Book Antiqua"/>
          <w:color w:val="000000"/>
        </w:rPr>
        <w:t xml:space="preserve">, treatment discontinuation was </w:t>
      </w:r>
      <w:r w:rsidR="00F7257B" w:rsidRPr="00CD3D64">
        <w:rPr>
          <w:rFonts w:ascii="Book Antiqua" w:hAnsi="Book Antiqua"/>
          <w:color w:val="000000"/>
        </w:rPr>
        <w:t xml:space="preserve">required for </w:t>
      </w:r>
      <w:r w:rsidR="001A533F" w:rsidRPr="00CD3D64">
        <w:rPr>
          <w:rFonts w:ascii="Book Antiqua" w:hAnsi="Book Antiqua"/>
          <w:color w:val="000000"/>
        </w:rPr>
        <w:t xml:space="preserve">only </w:t>
      </w:r>
      <w:r w:rsidR="00FD3D9D" w:rsidRPr="00CD3D64">
        <w:rPr>
          <w:rFonts w:ascii="Book Antiqua" w:hAnsi="Book Antiqua"/>
          <w:color w:val="000000"/>
        </w:rPr>
        <w:t>one</w:t>
      </w:r>
      <w:r w:rsidR="00ED194F" w:rsidRPr="00CD3D64">
        <w:rPr>
          <w:rFonts w:ascii="Book Antiqua" w:hAnsi="Book Antiqua"/>
          <w:color w:val="000000"/>
        </w:rPr>
        <w:t xml:space="preserve"> </w:t>
      </w:r>
      <w:r w:rsidR="001A533F" w:rsidRPr="00CD3D64">
        <w:rPr>
          <w:rFonts w:ascii="Book Antiqua" w:hAnsi="Book Antiqua"/>
          <w:color w:val="000000"/>
        </w:rPr>
        <w:t>patient (0.4%)</w:t>
      </w:r>
      <w:r w:rsidR="001A533F" w:rsidRPr="00CD3D64">
        <w:rPr>
          <w:rFonts w:ascii="Book Antiqua" w:hAnsi="Book Antiqua"/>
          <w:bCs/>
          <w:iCs/>
          <w:color w:val="000000"/>
        </w:rPr>
        <w:t xml:space="preserve">. </w:t>
      </w:r>
      <w:r w:rsidR="009049B3" w:rsidRPr="00CD3D64">
        <w:rPr>
          <w:rFonts w:ascii="Book Antiqua" w:hAnsi="Book Antiqua"/>
          <w:bCs/>
          <w:iCs/>
          <w:color w:val="000000"/>
        </w:rPr>
        <w:t>Therefore, a</w:t>
      </w:r>
      <w:r w:rsidR="001A533F" w:rsidRPr="00CD3D64">
        <w:rPr>
          <w:rFonts w:ascii="Book Antiqua" w:hAnsi="Book Antiqua"/>
          <w:bCs/>
          <w:iCs/>
          <w:color w:val="000000"/>
        </w:rPr>
        <w:t xml:space="preserve">lthough careful monitoring of anemia and ribavirin dose adjustment is necessary to avoid discontinuation of therapy, </w:t>
      </w:r>
      <w:r w:rsidR="001A533F" w:rsidRPr="00CD3D64">
        <w:rPr>
          <w:rFonts w:ascii="Book Antiqua" w:hAnsi="Book Antiqua"/>
          <w:color w:val="000000"/>
        </w:rPr>
        <w:t>t</w:t>
      </w:r>
      <w:r w:rsidR="001A533F" w:rsidRPr="00CD3D64">
        <w:rPr>
          <w:rFonts w:ascii="Book Antiqua" w:hAnsi="Book Antiqua"/>
          <w:bCs/>
          <w:iCs/>
          <w:color w:val="000000"/>
        </w:rPr>
        <w:t xml:space="preserve">his treatment </w:t>
      </w:r>
      <w:r w:rsidR="00F7257B" w:rsidRPr="00CD3D64">
        <w:rPr>
          <w:rFonts w:ascii="Book Antiqua" w:hAnsi="Book Antiqua"/>
          <w:bCs/>
          <w:iCs/>
          <w:color w:val="000000"/>
        </w:rPr>
        <w:t>appears</w:t>
      </w:r>
      <w:r w:rsidR="001A533F" w:rsidRPr="00CD3D64">
        <w:rPr>
          <w:rFonts w:ascii="Book Antiqua" w:hAnsi="Book Antiqua"/>
          <w:bCs/>
          <w:iCs/>
          <w:color w:val="000000"/>
        </w:rPr>
        <w:t xml:space="preserve"> </w:t>
      </w:r>
      <w:r w:rsidR="00F7257B" w:rsidRPr="00CD3D64">
        <w:rPr>
          <w:rFonts w:ascii="Book Antiqua" w:hAnsi="Book Antiqua"/>
          <w:bCs/>
          <w:iCs/>
          <w:color w:val="000000"/>
        </w:rPr>
        <w:t>tolerable</w:t>
      </w:r>
      <w:r w:rsidR="001A533F" w:rsidRPr="00CD3D64">
        <w:rPr>
          <w:rFonts w:ascii="Book Antiqua" w:hAnsi="Book Antiqua"/>
          <w:bCs/>
          <w:iCs/>
          <w:color w:val="000000"/>
        </w:rPr>
        <w:t xml:space="preserve"> even in </w:t>
      </w:r>
      <w:proofErr w:type="gramStart"/>
      <w:r w:rsidR="001A533F" w:rsidRPr="00CD3D64">
        <w:rPr>
          <w:rFonts w:ascii="Book Antiqua" w:hAnsi="Book Antiqua"/>
          <w:bCs/>
          <w:iCs/>
          <w:color w:val="000000"/>
        </w:rPr>
        <w:t>patients</w:t>
      </w:r>
      <w:proofErr w:type="gramEnd"/>
      <w:r w:rsidR="001A533F" w:rsidRPr="00CD3D64">
        <w:rPr>
          <w:rFonts w:ascii="Book Antiqua" w:hAnsi="Book Antiqua"/>
          <w:bCs/>
          <w:iCs/>
          <w:color w:val="000000"/>
        </w:rPr>
        <w:t xml:space="preserve"> </w:t>
      </w:r>
      <w:r w:rsidR="001A533F" w:rsidRPr="00CD3D64">
        <w:rPr>
          <w:rFonts w:ascii="Book Antiqua" w:hAnsi="Book Antiqua"/>
          <w:color w:val="000000"/>
        </w:rPr>
        <w:t>≥</w:t>
      </w:r>
      <w:r w:rsidR="005A78E0" w:rsidRPr="00CD3D64">
        <w:rPr>
          <w:rFonts w:ascii="Book Antiqua" w:hAnsi="Book Antiqua"/>
          <w:color w:val="000000"/>
        </w:rPr>
        <w:t xml:space="preserve"> </w:t>
      </w:r>
      <w:r w:rsidR="001A533F" w:rsidRPr="00CD3D64">
        <w:rPr>
          <w:rFonts w:ascii="Book Antiqua" w:hAnsi="Book Antiqua"/>
          <w:color w:val="000000"/>
        </w:rPr>
        <w:t>75</w:t>
      </w:r>
      <w:r w:rsidR="00D242AF">
        <w:rPr>
          <w:rFonts w:ascii="Book Antiqua" w:hAnsi="Book Antiqua"/>
          <w:color w:val="000000"/>
        </w:rPr>
        <w:t>-years-old</w:t>
      </w:r>
      <w:r w:rsidR="001A533F" w:rsidRPr="00CD3D64">
        <w:rPr>
          <w:rFonts w:ascii="Book Antiqua" w:hAnsi="Book Antiqua"/>
          <w:bCs/>
          <w:iCs/>
          <w:color w:val="000000"/>
        </w:rPr>
        <w:t>.</w:t>
      </w:r>
    </w:p>
    <w:p w:rsidR="00722B03" w:rsidRPr="00CD3D64" w:rsidRDefault="001A533F" w:rsidP="00CD3D64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color w:val="000000"/>
        </w:rPr>
      </w:pPr>
      <w:r w:rsidRPr="00CD3D64">
        <w:rPr>
          <w:rFonts w:ascii="Book Antiqua" w:hAnsi="Book Antiqua"/>
          <w:color w:val="000000"/>
        </w:rPr>
        <w:t xml:space="preserve">Regarding efficacy, </w:t>
      </w:r>
      <w:r w:rsidR="005064CD" w:rsidRPr="00CD3D64">
        <w:rPr>
          <w:rFonts w:ascii="Book Antiqua" w:hAnsi="Book Antiqua"/>
          <w:color w:val="000000"/>
        </w:rPr>
        <w:t xml:space="preserve">Nishida </w:t>
      </w:r>
      <w:r w:rsidR="002E6515" w:rsidRPr="00CD3D64">
        <w:rPr>
          <w:rFonts w:ascii="Book Antiqua" w:hAnsi="Book Antiqua"/>
          <w:i/>
          <w:iCs/>
          <w:color w:val="000000"/>
        </w:rPr>
        <w:t>et al</w:t>
      </w:r>
      <w:r w:rsidR="002E6515" w:rsidRPr="00CD3D64">
        <w:rPr>
          <w:rFonts w:ascii="Book Antiqua" w:hAnsi="Book Antiqua"/>
          <w:iCs/>
          <w:color w:val="000000"/>
          <w:vertAlign w:val="superscript"/>
        </w:rPr>
        <w:t>[12]</w:t>
      </w:r>
      <w:r w:rsidR="005A78E0" w:rsidRPr="00CD3D64">
        <w:rPr>
          <w:rFonts w:ascii="Book Antiqua" w:hAnsi="Book Antiqua"/>
          <w:i/>
          <w:iCs/>
          <w:color w:val="000000"/>
        </w:rPr>
        <w:t xml:space="preserve"> </w:t>
      </w:r>
      <w:r w:rsidR="005064CD" w:rsidRPr="00CD3D64">
        <w:rPr>
          <w:rFonts w:ascii="Book Antiqua" w:hAnsi="Book Antiqua"/>
          <w:color w:val="000000"/>
        </w:rPr>
        <w:t xml:space="preserve">reported that although </w:t>
      </w:r>
      <w:r w:rsidR="00F7257B" w:rsidRPr="00CD3D64">
        <w:rPr>
          <w:rFonts w:ascii="Book Antiqua" w:hAnsi="Book Antiqua"/>
          <w:color w:val="000000"/>
        </w:rPr>
        <w:t xml:space="preserve">the difference was </w:t>
      </w:r>
      <w:r w:rsidR="005064CD" w:rsidRPr="00CD3D64">
        <w:rPr>
          <w:rFonts w:ascii="Book Antiqua" w:hAnsi="Book Antiqua"/>
          <w:color w:val="000000"/>
        </w:rPr>
        <w:t xml:space="preserve">not significant, patients </w:t>
      </w:r>
      <w:r w:rsidR="00B06398" w:rsidRPr="00CD3D64">
        <w:rPr>
          <w:rFonts w:ascii="Book Antiqua" w:hAnsi="Book Antiqua"/>
          <w:color w:val="000000"/>
        </w:rPr>
        <w:t>≥</w:t>
      </w:r>
      <w:r w:rsidR="005A78E0" w:rsidRPr="00CD3D64">
        <w:rPr>
          <w:rFonts w:ascii="Book Antiqua" w:hAnsi="Book Antiqua"/>
          <w:color w:val="000000"/>
        </w:rPr>
        <w:t xml:space="preserve"> </w:t>
      </w:r>
      <w:r w:rsidR="005064CD" w:rsidRPr="00CD3D64">
        <w:rPr>
          <w:rFonts w:ascii="Book Antiqua" w:hAnsi="Book Antiqua"/>
          <w:color w:val="000000"/>
        </w:rPr>
        <w:t>75</w:t>
      </w:r>
      <w:r w:rsidR="00D242AF">
        <w:rPr>
          <w:rFonts w:ascii="Book Antiqua" w:hAnsi="Book Antiqua"/>
          <w:color w:val="000000"/>
        </w:rPr>
        <w:t>-years-old</w:t>
      </w:r>
      <w:r w:rsidR="005064CD" w:rsidRPr="00CD3D64">
        <w:rPr>
          <w:rFonts w:ascii="Book Antiqua" w:hAnsi="Book Antiqua"/>
          <w:color w:val="000000"/>
        </w:rPr>
        <w:t xml:space="preserve"> </w:t>
      </w:r>
      <w:r w:rsidR="00F7257B" w:rsidRPr="00CD3D64">
        <w:rPr>
          <w:rFonts w:ascii="Book Antiqua" w:hAnsi="Book Antiqua"/>
          <w:color w:val="000000"/>
        </w:rPr>
        <w:t xml:space="preserve">tended to show </w:t>
      </w:r>
      <w:r w:rsidR="00B81977" w:rsidRPr="00CD3D64">
        <w:rPr>
          <w:rFonts w:ascii="Book Antiqua" w:hAnsi="Book Antiqua"/>
          <w:color w:val="000000"/>
        </w:rPr>
        <w:t xml:space="preserve">a </w:t>
      </w:r>
      <w:r w:rsidR="005064CD" w:rsidRPr="00CD3D64">
        <w:rPr>
          <w:rFonts w:ascii="Book Antiqua" w:hAnsi="Book Antiqua"/>
          <w:color w:val="000000"/>
        </w:rPr>
        <w:t xml:space="preserve">lower SVR rate than patients </w:t>
      </w:r>
      <w:r w:rsidR="00B81977" w:rsidRPr="00CD3D64">
        <w:rPr>
          <w:rFonts w:ascii="Book Antiqua" w:hAnsi="Book Antiqua"/>
          <w:color w:val="000000"/>
        </w:rPr>
        <w:t>&lt;</w:t>
      </w:r>
      <w:r w:rsidR="005A78E0" w:rsidRPr="00CD3D64">
        <w:rPr>
          <w:rFonts w:ascii="Book Antiqua" w:hAnsi="Book Antiqua"/>
          <w:color w:val="000000"/>
        </w:rPr>
        <w:t xml:space="preserve"> </w:t>
      </w:r>
      <w:r w:rsidR="005064CD" w:rsidRPr="00CD3D64">
        <w:rPr>
          <w:rFonts w:ascii="Book Antiqua" w:hAnsi="Book Antiqua"/>
          <w:color w:val="000000"/>
        </w:rPr>
        <w:t>75</w:t>
      </w:r>
      <w:r w:rsidR="00D242AF">
        <w:rPr>
          <w:rFonts w:ascii="Book Antiqua" w:hAnsi="Book Antiqua"/>
          <w:color w:val="000000"/>
        </w:rPr>
        <w:t>-years-old</w:t>
      </w:r>
      <w:r w:rsidR="005064CD" w:rsidRPr="00CD3D64">
        <w:rPr>
          <w:rFonts w:ascii="Book Antiqua" w:hAnsi="Book Antiqua"/>
          <w:color w:val="000000"/>
        </w:rPr>
        <w:t xml:space="preserve"> (81.3%, 13/16 for patients</w:t>
      </w:r>
      <w:r w:rsidR="001D520A" w:rsidRPr="00CD3D64">
        <w:rPr>
          <w:rFonts w:ascii="Book Antiqua" w:hAnsi="Book Antiqua"/>
          <w:color w:val="000000"/>
        </w:rPr>
        <w:t xml:space="preserve"> ≥</w:t>
      </w:r>
      <w:r w:rsidR="005A78E0" w:rsidRPr="00CD3D64">
        <w:rPr>
          <w:rFonts w:ascii="Book Antiqua" w:hAnsi="Book Antiqua"/>
          <w:color w:val="000000"/>
        </w:rPr>
        <w:t xml:space="preserve"> </w:t>
      </w:r>
      <w:r w:rsidR="005064CD" w:rsidRPr="00CD3D64">
        <w:rPr>
          <w:rFonts w:ascii="Book Antiqua" w:hAnsi="Book Antiqua"/>
          <w:color w:val="000000"/>
        </w:rPr>
        <w:t>75</w:t>
      </w:r>
      <w:r w:rsidR="00D242AF">
        <w:rPr>
          <w:rFonts w:ascii="Book Antiqua" w:hAnsi="Book Antiqua"/>
          <w:color w:val="000000"/>
        </w:rPr>
        <w:t>-years-old</w:t>
      </w:r>
      <w:r w:rsidR="00B81977" w:rsidRPr="00CD3D64">
        <w:rPr>
          <w:rFonts w:ascii="Book Antiqua" w:hAnsi="Book Antiqua"/>
          <w:color w:val="000000"/>
        </w:rPr>
        <w:t>;</w:t>
      </w:r>
      <w:r w:rsidR="005064CD" w:rsidRPr="00CD3D64">
        <w:rPr>
          <w:rFonts w:ascii="Book Antiqua" w:hAnsi="Book Antiqua"/>
          <w:color w:val="000000"/>
        </w:rPr>
        <w:t xml:space="preserve"> 96.0%, 24/25 for patients &lt;</w:t>
      </w:r>
      <w:r w:rsidR="005A78E0" w:rsidRPr="00CD3D64">
        <w:rPr>
          <w:rFonts w:ascii="Book Antiqua" w:hAnsi="Book Antiqua"/>
          <w:color w:val="000000"/>
        </w:rPr>
        <w:t xml:space="preserve"> </w:t>
      </w:r>
      <w:r w:rsidR="005064CD" w:rsidRPr="00CD3D64">
        <w:rPr>
          <w:rFonts w:ascii="Book Antiqua" w:hAnsi="Book Antiqua"/>
          <w:color w:val="000000"/>
        </w:rPr>
        <w:t>75</w:t>
      </w:r>
      <w:r w:rsidR="00D242AF">
        <w:rPr>
          <w:rFonts w:ascii="Book Antiqua" w:hAnsi="Book Antiqua"/>
          <w:color w:val="000000"/>
        </w:rPr>
        <w:t>-years-old</w:t>
      </w:r>
      <w:r w:rsidR="005064CD" w:rsidRPr="00CD3D64">
        <w:rPr>
          <w:rFonts w:ascii="Book Antiqua" w:hAnsi="Book Antiqua"/>
          <w:color w:val="000000"/>
        </w:rPr>
        <w:t>)</w:t>
      </w:r>
      <w:r w:rsidR="00687F30" w:rsidRPr="00CD3D64">
        <w:rPr>
          <w:rFonts w:ascii="Book Antiqua" w:hAnsi="Book Antiqua"/>
          <w:color w:val="000000"/>
          <w:vertAlign w:val="superscript"/>
        </w:rPr>
        <w:t>[12]</w:t>
      </w:r>
      <w:r w:rsidR="00670F16" w:rsidRPr="00CD3D64">
        <w:rPr>
          <w:rFonts w:ascii="Book Antiqua" w:hAnsi="Book Antiqua"/>
          <w:color w:val="000000"/>
        </w:rPr>
        <w:t>.</w:t>
      </w:r>
      <w:r w:rsidR="003B3525" w:rsidRPr="00CD3D64">
        <w:rPr>
          <w:rFonts w:ascii="Book Antiqua" w:hAnsi="Book Antiqua"/>
          <w:color w:val="000000"/>
        </w:rPr>
        <w:t xml:space="preserve"> </w:t>
      </w:r>
      <w:proofErr w:type="spellStart"/>
      <w:r w:rsidR="009B1230" w:rsidRPr="00CD3D64">
        <w:rPr>
          <w:rFonts w:ascii="Book Antiqua" w:hAnsi="Book Antiqua"/>
          <w:color w:val="000000"/>
        </w:rPr>
        <w:t>Atsukawa</w:t>
      </w:r>
      <w:proofErr w:type="spellEnd"/>
      <w:r w:rsidR="009B1230" w:rsidRPr="00CD3D64">
        <w:rPr>
          <w:rFonts w:ascii="Book Antiqua" w:hAnsi="Book Antiqua"/>
          <w:color w:val="000000"/>
        </w:rPr>
        <w:t xml:space="preserve"> </w:t>
      </w:r>
      <w:r w:rsidR="005A78E0" w:rsidRPr="00CD3D64">
        <w:rPr>
          <w:rFonts w:ascii="Book Antiqua" w:hAnsi="Book Antiqua"/>
          <w:i/>
          <w:iCs/>
          <w:color w:val="000000"/>
        </w:rPr>
        <w:t xml:space="preserve">et </w:t>
      </w:r>
      <w:proofErr w:type="gramStart"/>
      <w:r w:rsidR="005A78E0" w:rsidRPr="00CD3D64">
        <w:rPr>
          <w:rFonts w:ascii="Book Antiqua" w:hAnsi="Book Antiqua"/>
          <w:i/>
          <w:iCs/>
          <w:color w:val="000000"/>
        </w:rPr>
        <w:t>al</w:t>
      </w:r>
      <w:r w:rsidR="002E6515" w:rsidRPr="00CD3D64">
        <w:rPr>
          <w:rFonts w:ascii="Book Antiqua" w:hAnsi="Book Antiqua"/>
          <w:iCs/>
          <w:color w:val="000000"/>
          <w:vertAlign w:val="superscript"/>
        </w:rPr>
        <w:t>[</w:t>
      </w:r>
      <w:proofErr w:type="gramEnd"/>
      <w:r w:rsidR="002E6515" w:rsidRPr="00CD3D64">
        <w:rPr>
          <w:rFonts w:ascii="Book Antiqua" w:hAnsi="Book Antiqua"/>
          <w:iCs/>
          <w:color w:val="000000"/>
          <w:vertAlign w:val="superscript"/>
        </w:rPr>
        <w:t>11]</w:t>
      </w:r>
      <w:r w:rsidR="009B1230" w:rsidRPr="00CD3D64">
        <w:rPr>
          <w:rFonts w:ascii="Book Antiqua" w:hAnsi="Book Antiqua"/>
          <w:color w:val="000000"/>
          <w:vertAlign w:val="superscript"/>
        </w:rPr>
        <w:t xml:space="preserve"> </w:t>
      </w:r>
      <w:r w:rsidR="00F17FBF" w:rsidRPr="00CD3D64">
        <w:rPr>
          <w:rFonts w:ascii="Book Antiqua" w:hAnsi="Book Antiqua"/>
          <w:color w:val="000000"/>
        </w:rPr>
        <w:t>show</w:t>
      </w:r>
      <w:r w:rsidR="009B1230" w:rsidRPr="00CD3D64">
        <w:rPr>
          <w:rFonts w:ascii="Book Antiqua" w:hAnsi="Book Antiqua"/>
          <w:color w:val="000000"/>
        </w:rPr>
        <w:t>ed SVR rates of 98.1% (51/51) for patients ≥</w:t>
      </w:r>
      <w:r w:rsidR="005A78E0" w:rsidRPr="00CD3D64">
        <w:rPr>
          <w:rFonts w:ascii="Book Antiqua" w:hAnsi="Book Antiqua"/>
          <w:color w:val="000000"/>
        </w:rPr>
        <w:t xml:space="preserve"> </w:t>
      </w:r>
      <w:r w:rsidR="009B1230" w:rsidRPr="00CD3D64">
        <w:rPr>
          <w:rFonts w:ascii="Book Antiqua" w:hAnsi="Book Antiqua"/>
          <w:color w:val="000000"/>
        </w:rPr>
        <w:t>75</w:t>
      </w:r>
      <w:r w:rsidR="00D242AF">
        <w:rPr>
          <w:rFonts w:ascii="Book Antiqua" w:hAnsi="Book Antiqua"/>
          <w:color w:val="000000"/>
        </w:rPr>
        <w:t>-years-old</w:t>
      </w:r>
      <w:r w:rsidR="009B1230" w:rsidRPr="00CD3D64">
        <w:rPr>
          <w:rFonts w:ascii="Book Antiqua" w:hAnsi="Book Antiqua"/>
          <w:color w:val="000000"/>
        </w:rPr>
        <w:t xml:space="preserve"> and 96.8% (211/218) for </w:t>
      </w:r>
      <w:r w:rsidR="00F7257B" w:rsidRPr="00CD3D64">
        <w:rPr>
          <w:rFonts w:ascii="Book Antiqua" w:hAnsi="Book Antiqua"/>
          <w:color w:val="000000"/>
        </w:rPr>
        <w:t xml:space="preserve">patients </w:t>
      </w:r>
      <w:r w:rsidR="009B1230" w:rsidRPr="00CD3D64">
        <w:rPr>
          <w:rFonts w:ascii="Book Antiqua" w:hAnsi="Book Antiqua"/>
          <w:color w:val="000000"/>
        </w:rPr>
        <w:t>&lt;</w:t>
      </w:r>
      <w:r w:rsidR="005A78E0" w:rsidRPr="00CD3D64">
        <w:rPr>
          <w:rFonts w:ascii="Book Antiqua" w:hAnsi="Book Antiqua"/>
          <w:color w:val="000000"/>
        </w:rPr>
        <w:t xml:space="preserve"> </w:t>
      </w:r>
      <w:r w:rsidR="009B1230" w:rsidRPr="00CD3D64">
        <w:rPr>
          <w:rFonts w:ascii="Book Antiqua" w:hAnsi="Book Antiqua"/>
          <w:color w:val="000000"/>
        </w:rPr>
        <w:t>75</w:t>
      </w:r>
      <w:r w:rsidR="00D242AF">
        <w:rPr>
          <w:rFonts w:ascii="Book Antiqua" w:hAnsi="Book Antiqua"/>
          <w:color w:val="000000"/>
        </w:rPr>
        <w:t>-years-old</w:t>
      </w:r>
      <w:r w:rsidR="009B1230" w:rsidRPr="00CD3D64">
        <w:rPr>
          <w:rFonts w:ascii="Book Antiqua" w:hAnsi="Book Antiqua"/>
          <w:color w:val="000000"/>
        </w:rPr>
        <w:t xml:space="preserve"> (</w:t>
      </w:r>
      <w:r w:rsidR="005A78E0" w:rsidRPr="00CD3D64">
        <w:rPr>
          <w:rFonts w:ascii="Book Antiqua" w:hAnsi="Book Antiqua"/>
          <w:i/>
          <w:iCs/>
          <w:color w:val="000000"/>
        </w:rPr>
        <w:t xml:space="preserve">P </w:t>
      </w:r>
      <w:r w:rsidR="009B1230" w:rsidRPr="00CD3D64">
        <w:rPr>
          <w:rFonts w:ascii="Book Antiqua" w:hAnsi="Book Antiqua"/>
          <w:color w:val="000000"/>
        </w:rPr>
        <w:t>=</w:t>
      </w:r>
      <w:r w:rsidR="005A78E0" w:rsidRPr="00CD3D64">
        <w:rPr>
          <w:rFonts w:ascii="Book Antiqua" w:hAnsi="Book Antiqua"/>
          <w:color w:val="000000"/>
        </w:rPr>
        <w:t xml:space="preserve"> </w:t>
      </w:r>
      <w:r w:rsidR="009B1230" w:rsidRPr="00CD3D64">
        <w:rPr>
          <w:rFonts w:ascii="Book Antiqua" w:hAnsi="Book Antiqua"/>
          <w:color w:val="000000"/>
        </w:rPr>
        <w:t>0.999)</w:t>
      </w:r>
      <w:r w:rsidR="00687F30" w:rsidRPr="00CD3D64">
        <w:rPr>
          <w:rFonts w:ascii="Book Antiqua" w:hAnsi="Book Antiqua"/>
          <w:color w:val="000000"/>
          <w:vertAlign w:val="superscript"/>
        </w:rPr>
        <w:t>[11]</w:t>
      </w:r>
      <w:r w:rsidR="00670F16" w:rsidRPr="00CD3D64">
        <w:rPr>
          <w:rFonts w:ascii="Book Antiqua" w:hAnsi="Book Antiqua"/>
          <w:color w:val="000000"/>
        </w:rPr>
        <w:t>.</w:t>
      </w:r>
      <w:r w:rsidR="009B1230" w:rsidRPr="00CD3D64">
        <w:rPr>
          <w:rFonts w:ascii="Book Antiqua" w:hAnsi="Book Antiqua"/>
          <w:color w:val="000000"/>
        </w:rPr>
        <w:t xml:space="preserve"> </w:t>
      </w:r>
      <w:r w:rsidR="00EA51FD" w:rsidRPr="00CD3D64">
        <w:rPr>
          <w:rFonts w:ascii="Book Antiqua" w:hAnsi="Book Antiqua"/>
          <w:color w:val="000000"/>
        </w:rPr>
        <w:t xml:space="preserve">Ogawa </w:t>
      </w:r>
      <w:r w:rsidR="00EA51FD" w:rsidRPr="00CD3D64">
        <w:rPr>
          <w:rFonts w:ascii="Book Antiqua" w:hAnsi="Book Antiqua"/>
          <w:i/>
          <w:iCs/>
          <w:color w:val="000000"/>
        </w:rPr>
        <w:t>et al</w:t>
      </w:r>
      <w:r w:rsidR="002E6515" w:rsidRPr="00CD3D64">
        <w:rPr>
          <w:rFonts w:ascii="Book Antiqua" w:hAnsi="Book Antiqua"/>
          <w:iCs/>
          <w:color w:val="000000"/>
          <w:vertAlign w:val="superscript"/>
        </w:rPr>
        <w:t>[10]</w:t>
      </w:r>
      <w:r w:rsidR="00EA51FD" w:rsidRPr="00CD3D64">
        <w:rPr>
          <w:rFonts w:ascii="Book Antiqua" w:hAnsi="Book Antiqua"/>
          <w:color w:val="000000"/>
        </w:rPr>
        <w:t xml:space="preserve"> reported that </w:t>
      </w:r>
      <w:r w:rsidR="00073D2D" w:rsidRPr="00CD3D64">
        <w:rPr>
          <w:rFonts w:ascii="Book Antiqua" w:hAnsi="Book Antiqua"/>
          <w:color w:val="000000"/>
        </w:rPr>
        <w:t xml:space="preserve">although SVR12 was achieved by </w:t>
      </w:r>
      <w:r w:rsidR="001D520A" w:rsidRPr="00CD3D64">
        <w:rPr>
          <w:rFonts w:ascii="Book Antiqua" w:hAnsi="Book Antiqua"/>
          <w:color w:val="000000"/>
        </w:rPr>
        <w:t>95</w:t>
      </w:r>
      <w:r w:rsidR="00073D2D" w:rsidRPr="00CD3D64">
        <w:rPr>
          <w:rFonts w:ascii="Book Antiqua" w:hAnsi="Book Antiqua"/>
          <w:color w:val="000000"/>
        </w:rPr>
        <w:t>% (</w:t>
      </w:r>
      <w:r w:rsidR="001D520A" w:rsidRPr="00CD3D64">
        <w:rPr>
          <w:rFonts w:ascii="Book Antiqua" w:hAnsi="Book Antiqua"/>
          <w:color w:val="000000"/>
        </w:rPr>
        <w:t>69</w:t>
      </w:r>
      <w:r w:rsidR="00073D2D" w:rsidRPr="00CD3D64">
        <w:rPr>
          <w:rFonts w:ascii="Book Antiqua" w:hAnsi="Book Antiqua"/>
          <w:color w:val="000000"/>
        </w:rPr>
        <w:t>/</w:t>
      </w:r>
      <w:r w:rsidR="001D520A" w:rsidRPr="00CD3D64">
        <w:rPr>
          <w:rFonts w:ascii="Book Antiqua" w:hAnsi="Book Antiqua"/>
          <w:color w:val="000000"/>
        </w:rPr>
        <w:t>73</w:t>
      </w:r>
      <w:r w:rsidR="00073D2D" w:rsidRPr="00CD3D64">
        <w:rPr>
          <w:rFonts w:ascii="Book Antiqua" w:hAnsi="Book Antiqua"/>
          <w:color w:val="000000"/>
        </w:rPr>
        <w:t xml:space="preserve">) of patients </w:t>
      </w:r>
      <w:r w:rsidR="001D520A" w:rsidRPr="00CD3D64">
        <w:rPr>
          <w:rFonts w:ascii="Book Antiqua" w:hAnsi="Book Antiqua"/>
          <w:color w:val="000000"/>
        </w:rPr>
        <w:t>&gt;</w:t>
      </w:r>
      <w:r w:rsidR="005A78E0" w:rsidRPr="00CD3D64">
        <w:rPr>
          <w:rFonts w:ascii="Book Antiqua" w:hAnsi="Book Antiqua"/>
          <w:color w:val="000000"/>
        </w:rPr>
        <w:t xml:space="preserve"> </w:t>
      </w:r>
      <w:r w:rsidR="00073D2D" w:rsidRPr="00CD3D64">
        <w:rPr>
          <w:rFonts w:ascii="Book Antiqua" w:hAnsi="Book Antiqua"/>
          <w:color w:val="000000"/>
        </w:rPr>
        <w:t>75</w:t>
      </w:r>
      <w:r w:rsidR="00D242AF">
        <w:rPr>
          <w:rFonts w:ascii="Book Antiqua" w:hAnsi="Book Antiqua"/>
          <w:color w:val="000000"/>
        </w:rPr>
        <w:t>-years-old</w:t>
      </w:r>
      <w:r w:rsidR="00073D2D" w:rsidRPr="00CD3D64">
        <w:rPr>
          <w:rFonts w:ascii="Book Antiqua" w:hAnsi="Book Antiqua"/>
          <w:color w:val="000000"/>
        </w:rPr>
        <w:t xml:space="preserve">, the SVR12 rate was significantly lower </w:t>
      </w:r>
      <w:r w:rsidR="00722B03" w:rsidRPr="00CD3D64">
        <w:rPr>
          <w:rFonts w:ascii="Book Antiqua" w:hAnsi="Book Antiqua"/>
          <w:color w:val="000000"/>
        </w:rPr>
        <w:t xml:space="preserve">in cirrhotic patients </w:t>
      </w:r>
      <w:r w:rsidR="009049B3" w:rsidRPr="00CD3D64">
        <w:rPr>
          <w:rFonts w:ascii="Book Antiqua" w:hAnsi="Book Antiqua"/>
          <w:color w:val="000000"/>
        </w:rPr>
        <w:t>&gt;</w:t>
      </w:r>
      <w:r w:rsidR="005A78E0" w:rsidRPr="00CD3D64">
        <w:rPr>
          <w:rFonts w:ascii="Book Antiqua" w:hAnsi="Book Antiqua"/>
          <w:color w:val="000000"/>
        </w:rPr>
        <w:t xml:space="preserve"> </w:t>
      </w:r>
      <w:r w:rsidR="009049B3" w:rsidRPr="00CD3D64">
        <w:rPr>
          <w:rFonts w:ascii="Book Antiqua" w:hAnsi="Book Antiqua"/>
          <w:color w:val="000000"/>
        </w:rPr>
        <w:t>75</w:t>
      </w:r>
      <w:r w:rsidR="00D242AF">
        <w:rPr>
          <w:rFonts w:ascii="Book Antiqua" w:hAnsi="Book Antiqua"/>
          <w:color w:val="000000"/>
        </w:rPr>
        <w:t>-years-old</w:t>
      </w:r>
      <w:r w:rsidR="009049B3" w:rsidRPr="00CD3D64">
        <w:rPr>
          <w:rFonts w:ascii="Book Antiqua" w:hAnsi="Book Antiqua"/>
          <w:color w:val="000000"/>
        </w:rPr>
        <w:t xml:space="preserve"> </w:t>
      </w:r>
      <w:r w:rsidR="00722B03" w:rsidRPr="00CD3D64">
        <w:rPr>
          <w:rFonts w:ascii="Book Antiqua" w:hAnsi="Book Antiqua"/>
          <w:color w:val="000000"/>
        </w:rPr>
        <w:t xml:space="preserve">with a </w:t>
      </w:r>
      <w:r w:rsidR="004E0AE1" w:rsidRPr="00CD3D64">
        <w:rPr>
          <w:rFonts w:ascii="Book Antiqua" w:hAnsi="Book Antiqua"/>
          <w:color w:val="000000"/>
        </w:rPr>
        <w:t xml:space="preserve">history of </w:t>
      </w:r>
      <w:r w:rsidR="007B6E86" w:rsidRPr="00CD3D64">
        <w:rPr>
          <w:rFonts w:ascii="Book Antiqua" w:hAnsi="Book Antiqua"/>
          <w:color w:val="000000"/>
        </w:rPr>
        <w:t xml:space="preserve">IFN </w:t>
      </w:r>
      <w:r w:rsidR="00722B03" w:rsidRPr="00CD3D64">
        <w:rPr>
          <w:rFonts w:ascii="Book Antiqua" w:hAnsi="Book Antiqua"/>
          <w:color w:val="000000"/>
        </w:rPr>
        <w:t xml:space="preserve">treatment (73.3%, 11/15) </w:t>
      </w:r>
      <w:r w:rsidR="00073D2D" w:rsidRPr="00CD3D64">
        <w:rPr>
          <w:rFonts w:ascii="Book Antiqua" w:hAnsi="Book Antiqua"/>
          <w:color w:val="000000"/>
        </w:rPr>
        <w:t xml:space="preserve">than </w:t>
      </w:r>
      <w:r w:rsidR="004E0AE1" w:rsidRPr="00CD3D64">
        <w:rPr>
          <w:rFonts w:ascii="Book Antiqua" w:hAnsi="Book Antiqua"/>
          <w:color w:val="000000"/>
        </w:rPr>
        <w:t xml:space="preserve">in </w:t>
      </w:r>
      <w:proofErr w:type="spellStart"/>
      <w:r w:rsidR="004E0AE1" w:rsidRPr="00CD3D64">
        <w:rPr>
          <w:rFonts w:ascii="Book Antiqua" w:hAnsi="Book Antiqua"/>
          <w:color w:val="000000"/>
        </w:rPr>
        <w:t>noncirrhotic</w:t>
      </w:r>
      <w:proofErr w:type="spellEnd"/>
      <w:r w:rsidR="004E0AE1" w:rsidRPr="00CD3D64">
        <w:rPr>
          <w:rFonts w:ascii="Book Antiqua" w:hAnsi="Book Antiqua"/>
          <w:color w:val="000000"/>
        </w:rPr>
        <w:t xml:space="preserve"> </w:t>
      </w:r>
      <w:r w:rsidR="009049B3" w:rsidRPr="00CD3D64">
        <w:rPr>
          <w:rFonts w:ascii="Book Antiqua" w:hAnsi="Book Antiqua"/>
          <w:color w:val="000000"/>
        </w:rPr>
        <w:t>patients &gt;</w:t>
      </w:r>
      <w:r w:rsidR="005A78E0" w:rsidRPr="00CD3D64">
        <w:rPr>
          <w:rFonts w:ascii="Book Antiqua" w:hAnsi="Book Antiqua"/>
          <w:color w:val="000000"/>
        </w:rPr>
        <w:t xml:space="preserve"> </w:t>
      </w:r>
      <w:r w:rsidR="009049B3" w:rsidRPr="00CD3D64">
        <w:rPr>
          <w:rFonts w:ascii="Book Antiqua" w:hAnsi="Book Antiqua"/>
          <w:color w:val="000000"/>
        </w:rPr>
        <w:t>75</w:t>
      </w:r>
      <w:r w:rsidR="00D242AF">
        <w:rPr>
          <w:rFonts w:ascii="Book Antiqua" w:hAnsi="Book Antiqua"/>
          <w:color w:val="000000"/>
        </w:rPr>
        <w:t>-years-old</w:t>
      </w:r>
      <w:r w:rsidR="00073D2D" w:rsidRPr="00CD3D64">
        <w:rPr>
          <w:rFonts w:ascii="Book Antiqua" w:hAnsi="Book Antiqua"/>
          <w:color w:val="000000"/>
        </w:rPr>
        <w:t xml:space="preserve"> (100%, 17/17</w:t>
      </w:r>
      <w:r w:rsidR="00B81977" w:rsidRPr="00CD3D64">
        <w:rPr>
          <w:rFonts w:ascii="Book Antiqua" w:hAnsi="Book Antiqua"/>
          <w:color w:val="000000"/>
        </w:rPr>
        <w:t xml:space="preserve">; </w:t>
      </w:r>
      <w:r w:rsidR="005A78E0" w:rsidRPr="00CD3D64">
        <w:rPr>
          <w:rFonts w:ascii="Book Antiqua" w:hAnsi="Book Antiqua"/>
          <w:i/>
          <w:iCs/>
          <w:color w:val="000000"/>
        </w:rPr>
        <w:t xml:space="preserve">P </w:t>
      </w:r>
      <w:r w:rsidR="00073D2D" w:rsidRPr="00CD3D64">
        <w:rPr>
          <w:rFonts w:ascii="Book Antiqua" w:hAnsi="Book Antiqua"/>
          <w:color w:val="000000"/>
        </w:rPr>
        <w:t>&lt;</w:t>
      </w:r>
      <w:r w:rsidR="005A78E0" w:rsidRPr="00CD3D64">
        <w:rPr>
          <w:rFonts w:ascii="Book Antiqua" w:hAnsi="Book Antiqua"/>
          <w:color w:val="000000"/>
        </w:rPr>
        <w:t xml:space="preserve"> </w:t>
      </w:r>
      <w:r w:rsidR="00073D2D" w:rsidRPr="00CD3D64">
        <w:rPr>
          <w:rFonts w:ascii="Book Antiqua" w:hAnsi="Book Antiqua"/>
          <w:color w:val="000000"/>
        </w:rPr>
        <w:t>0.01)</w:t>
      </w:r>
      <w:r w:rsidR="00687F30" w:rsidRPr="00CD3D64">
        <w:rPr>
          <w:rFonts w:ascii="Book Antiqua" w:hAnsi="Book Antiqua"/>
          <w:color w:val="000000"/>
          <w:vertAlign w:val="superscript"/>
        </w:rPr>
        <w:t>[10]</w:t>
      </w:r>
      <w:r w:rsidR="00670F16" w:rsidRPr="00CD3D64">
        <w:rPr>
          <w:rFonts w:ascii="Book Antiqua" w:hAnsi="Book Antiqua"/>
          <w:color w:val="000000"/>
        </w:rPr>
        <w:t>.</w:t>
      </w:r>
      <w:r w:rsidR="00B61544" w:rsidRPr="00CD3D64">
        <w:rPr>
          <w:rFonts w:ascii="Book Antiqua" w:hAnsi="Book Antiqua"/>
          <w:color w:val="000000"/>
        </w:rPr>
        <w:t xml:space="preserve"> </w:t>
      </w:r>
      <w:r w:rsidR="00C20AA1" w:rsidRPr="00CD3D64">
        <w:rPr>
          <w:rFonts w:ascii="Book Antiqua" w:hAnsi="Book Antiqua"/>
          <w:color w:val="000000"/>
        </w:rPr>
        <w:t xml:space="preserve">In the present study, </w:t>
      </w:r>
      <w:r w:rsidR="003B3525" w:rsidRPr="00CD3D64">
        <w:rPr>
          <w:rFonts w:ascii="Book Antiqua" w:hAnsi="Book Antiqua"/>
          <w:color w:val="000000"/>
        </w:rPr>
        <w:t xml:space="preserve">the SVR rate of </w:t>
      </w:r>
      <w:proofErr w:type="gramStart"/>
      <w:r w:rsidR="003B3525" w:rsidRPr="00CD3D64">
        <w:rPr>
          <w:rFonts w:ascii="Book Antiqua" w:hAnsi="Book Antiqua"/>
          <w:color w:val="000000"/>
        </w:rPr>
        <w:t>patients</w:t>
      </w:r>
      <w:proofErr w:type="gramEnd"/>
      <w:r w:rsidR="003B3525" w:rsidRPr="00CD3D64">
        <w:rPr>
          <w:rFonts w:ascii="Book Antiqua" w:hAnsi="Book Antiqua"/>
          <w:color w:val="000000"/>
        </w:rPr>
        <w:t xml:space="preserve"> ≥</w:t>
      </w:r>
      <w:r w:rsidR="002B3A8E" w:rsidRPr="00CD3D64">
        <w:rPr>
          <w:rFonts w:ascii="Book Antiqua" w:hAnsi="Book Antiqua"/>
          <w:color w:val="000000"/>
        </w:rPr>
        <w:t xml:space="preserve"> </w:t>
      </w:r>
      <w:r w:rsidR="003B3525" w:rsidRPr="00CD3D64">
        <w:rPr>
          <w:rFonts w:ascii="Book Antiqua" w:hAnsi="Book Antiqua"/>
          <w:color w:val="000000"/>
        </w:rPr>
        <w:t>75</w:t>
      </w:r>
      <w:r w:rsidR="00D242AF">
        <w:rPr>
          <w:rFonts w:ascii="Book Antiqua" w:hAnsi="Book Antiqua"/>
          <w:color w:val="000000"/>
        </w:rPr>
        <w:t>-years-old</w:t>
      </w:r>
      <w:r w:rsidR="00B81977" w:rsidRPr="00CD3D64">
        <w:rPr>
          <w:rFonts w:ascii="Book Antiqua" w:hAnsi="Book Antiqua"/>
          <w:color w:val="000000"/>
        </w:rPr>
        <w:t xml:space="preserve"> was</w:t>
      </w:r>
      <w:r w:rsidR="003B3525" w:rsidRPr="00CD3D64">
        <w:rPr>
          <w:rFonts w:ascii="Book Antiqua" w:hAnsi="Book Antiqua"/>
          <w:color w:val="000000"/>
        </w:rPr>
        <w:t xml:space="preserve"> 98% (81/83). </w:t>
      </w:r>
      <w:r w:rsidR="007B6E86" w:rsidRPr="00CD3D64">
        <w:rPr>
          <w:rFonts w:ascii="Book Antiqua" w:hAnsi="Book Antiqua"/>
          <w:bCs/>
          <w:iCs/>
          <w:color w:val="000000"/>
        </w:rPr>
        <w:t xml:space="preserve">Among patients </w:t>
      </w:r>
      <w:r w:rsidR="007B6E86" w:rsidRPr="00CD3D64">
        <w:rPr>
          <w:rFonts w:ascii="Book Antiqua" w:hAnsi="Book Antiqua"/>
          <w:color w:val="000000"/>
        </w:rPr>
        <w:t>≥</w:t>
      </w:r>
      <w:r w:rsidR="005A78E0" w:rsidRPr="00CD3D64">
        <w:rPr>
          <w:rFonts w:ascii="Book Antiqua" w:hAnsi="Book Antiqua"/>
          <w:color w:val="000000"/>
        </w:rPr>
        <w:t xml:space="preserve"> </w:t>
      </w:r>
      <w:r w:rsidR="007B6E86" w:rsidRPr="00CD3D64">
        <w:rPr>
          <w:rFonts w:ascii="Book Antiqua" w:hAnsi="Book Antiqua"/>
          <w:color w:val="000000"/>
        </w:rPr>
        <w:t>75</w:t>
      </w:r>
      <w:r w:rsidR="00D242AF">
        <w:rPr>
          <w:rFonts w:ascii="Book Antiqua" w:hAnsi="Book Antiqua"/>
          <w:bCs/>
          <w:iCs/>
          <w:color w:val="000000"/>
        </w:rPr>
        <w:t>-years-old</w:t>
      </w:r>
      <w:r w:rsidR="007B6E86" w:rsidRPr="00CD3D64">
        <w:rPr>
          <w:rFonts w:ascii="Book Antiqua" w:hAnsi="Book Antiqua"/>
          <w:bCs/>
          <w:iCs/>
          <w:color w:val="000000"/>
        </w:rPr>
        <w:t xml:space="preserve"> with a history of IFN plus ribavirin therapy, the SVR rate was 100% (14/14). Furthermore, the SVR rate of cirrhotic </w:t>
      </w:r>
      <w:proofErr w:type="gramStart"/>
      <w:r w:rsidR="007B6E86" w:rsidRPr="00CD3D64">
        <w:rPr>
          <w:rFonts w:ascii="Book Antiqua" w:hAnsi="Book Antiqua"/>
          <w:bCs/>
          <w:iCs/>
          <w:color w:val="000000"/>
        </w:rPr>
        <w:t>patients</w:t>
      </w:r>
      <w:proofErr w:type="gramEnd"/>
      <w:r w:rsidR="007B6E86" w:rsidRPr="00CD3D64">
        <w:rPr>
          <w:rFonts w:ascii="Book Antiqua" w:hAnsi="Book Antiqua"/>
          <w:bCs/>
          <w:iCs/>
          <w:color w:val="000000"/>
        </w:rPr>
        <w:t xml:space="preserve"> </w:t>
      </w:r>
      <w:r w:rsidR="007B6E86" w:rsidRPr="00CD3D64">
        <w:rPr>
          <w:rFonts w:ascii="Book Antiqua" w:hAnsi="Book Antiqua"/>
          <w:color w:val="000000"/>
        </w:rPr>
        <w:t>≥</w:t>
      </w:r>
      <w:r w:rsidR="005A78E0" w:rsidRPr="00CD3D64">
        <w:rPr>
          <w:rFonts w:ascii="Book Antiqua" w:hAnsi="Book Antiqua"/>
          <w:color w:val="000000"/>
        </w:rPr>
        <w:t xml:space="preserve"> </w:t>
      </w:r>
      <w:r w:rsidR="007B6E86" w:rsidRPr="00CD3D64">
        <w:rPr>
          <w:rFonts w:ascii="Book Antiqua" w:hAnsi="Book Antiqua"/>
          <w:color w:val="000000"/>
        </w:rPr>
        <w:t>75</w:t>
      </w:r>
      <w:r w:rsidR="00D242AF">
        <w:rPr>
          <w:rFonts w:ascii="Book Antiqua" w:hAnsi="Book Antiqua"/>
          <w:bCs/>
          <w:iCs/>
          <w:color w:val="000000"/>
        </w:rPr>
        <w:t>-</w:t>
      </w:r>
      <w:r w:rsidR="007B6E86" w:rsidRPr="00CD3D64">
        <w:rPr>
          <w:rFonts w:ascii="Book Antiqua" w:hAnsi="Book Antiqua"/>
          <w:bCs/>
          <w:iCs/>
          <w:color w:val="000000"/>
        </w:rPr>
        <w:t>years</w:t>
      </w:r>
      <w:r w:rsidR="00D242AF">
        <w:rPr>
          <w:rFonts w:ascii="Book Antiqua" w:hAnsi="Book Antiqua"/>
          <w:bCs/>
          <w:iCs/>
          <w:color w:val="000000"/>
        </w:rPr>
        <w:t>-old</w:t>
      </w:r>
      <w:r w:rsidR="007B6E86" w:rsidRPr="00CD3D64">
        <w:rPr>
          <w:rFonts w:ascii="Book Antiqua" w:hAnsi="Book Antiqua"/>
          <w:bCs/>
          <w:iCs/>
          <w:color w:val="000000"/>
        </w:rPr>
        <w:t xml:space="preserve"> was also extremely high (98%, 40/41).</w:t>
      </w:r>
      <w:r w:rsidR="00464232" w:rsidRPr="00CD3D64">
        <w:rPr>
          <w:rFonts w:ascii="Book Antiqua" w:hAnsi="Book Antiqua"/>
          <w:bCs/>
          <w:iCs/>
          <w:color w:val="000000"/>
        </w:rPr>
        <w:t xml:space="preserve"> </w:t>
      </w:r>
      <w:r w:rsidR="00722B03" w:rsidRPr="00CD3D64">
        <w:rPr>
          <w:rFonts w:ascii="Book Antiqua" w:hAnsi="Book Antiqua"/>
          <w:bCs/>
          <w:iCs/>
          <w:color w:val="000000"/>
        </w:rPr>
        <w:t xml:space="preserve">From </w:t>
      </w:r>
      <w:r w:rsidRPr="00CD3D64">
        <w:rPr>
          <w:rFonts w:ascii="Book Antiqua" w:hAnsi="Book Antiqua"/>
          <w:bCs/>
          <w:iCs/>
          <w:color w:val="000000"/>
        </w:rPr>
        <w:t>the</w:t>
      </w:r>
      <w:r w:rsidR="004E0AE1" w:rsidRPr="00CD3D64">
        <w:rPr>
          <w:rFonts w:ascii="Book Antiqua" w:hAnsi="Book Antiqua"/>
          <w:bCs/>
          <w:iCs/>
          <w:color w:val="000000"/>
        </w:rPr>
        <w:t>se</w:t>
      </w:r>
      <w:r w:rsidRPr="00CD3D64">
        <w:rPr>
          <w:rFonts w:ascii="Book Antiqua" w:hAnsi="Book Antiqua"/>
          <w:bCs/>
          <w:iCs/>
          <w:color w:val="000000"/>
        </w:rPr>
        <w:t xml:space="preserve"> results</w:t>
      </w:r>
      <w:r w:rsidR="00722B03" w:rsidRPr="00CD3D64">
        <w:rPr>
          <w:rFonts w:ascii="Book Antiqua" w:hAnsi="Book Antiqua"/>
          <w:bCs/>
          <w:iCs/>
          <w:color w:val="000000"/>
        </w:rPr>
        <w:t xml:space="preserve">, </w:t>
      </w:r>
      <w:r w:rsidR="00FC0C50" w:rsidRPr="00CD3D64">
        <w:rPr>
          <w:rFonts w:ascii="Book Antiqua" w:hAnsi="Book Antiqua"/>
          <w:bCs/>
          <w:iCs/>
          <w:color w:val="000000"/>
        </w:rPr>
        <w:t xml:space="preserve">a </w:t>
      </w:r>
      <w:r w:rsidR="00722B03" w:rsidRPr="00CD3D64">
        <w:rPr>
          <w:rFonts w:ascii="Book Antiqua" w:hAnsi="Book Antiqua"/>
          <w:bCs/>
          <w:iCs/>
          <w:color w:val="000000"/>
        </w:rPr>
        <w:t>high SVR rate (</w:t>
      </w:r>
      <w:r w:rsidR="00FC0C50" w:rsidRPr="00CD3D64">
        <w:rPr>
          <w:rFonts w:ascii="Book Antiqua" w:hAnsi="Book Antiqua"/>
          <w:bCs/>
          <w:iCs/>
          <w:color w:val="000000"/>
        </w:rPr>
        <w:t>&gt;</w:t>
      </w:r>
      <w:r w:rsidR="005A78E0" w:rsidRPr="00CD3D64">
        <w:rPr>
          <w:rFonts w:ascii="Book Antiqua" w:hAnsi="Book Antiqua"/>
          <w:bCs/>
          <w:iCs/>
          <w:color w:val="000000"/>
        </w:rPr>
        <w:t xml:space="preserve"> </w:t>
      </w:r>
      <w:proofErr w:type="gramStart"/>
      <w:r w:rsidR="00722B03" w:rsidRPr="00CD3D64">
        <w:rPr>
          <w:rFonts w:ascii="Book Antiqua" w:hAnsi="Book Antiqua"/>
          <w:bCs/>
          <w:iCs/>
          <w:color w:val="000000"/>
        </w:rPr>
        <w:t>95%</w:t>
      </w:r>
      <w:proofErr w:type="gramEnd"/>
      <w:r w:rsidR="00722B03" w:rsidRPr="00CD3D64">
        <w:rPr>
          <w:rFonts w:ascii="Book Antiqua" w:hAnsi="Book Antiqua"/>
          <w:bCs/>
          <w:iCs/>
          <w:color w:val="000000"/>
        </w:rPr>
        <w:t xml:space="preserve">) would be expected even in patients </w:t>
      </w:r>
      <w:r w:rsidR="00722B03" w:rsidRPr="00CD3D64">
        <w:rPr>
          <w:rFonts w:ascii="Book Antiqua" w:hAnsi="Book Antiqua"/>
          <w:color w:val="000000"/>
        </w:rPr>
        <w:t>≥</w:t>
      </w:r>
      <w:r w:rsidR="005A78E0" w:rsidRPr="00CD3D64">
        <w:rPr>
          <w:rFonts w:ascii="Book Antiqua" w:hAnsi="Book Antiqua"/>
          <w:color w:val="000000"/>
        </w:rPr>
        <w:t xml:space="preserve"> </w:t>
      </w:r>
      <w:r w:rsidR="00722B03" w:rsidRPr="00CD3D64">
        <w:rPr>
          <w:rFonts w:ascii="Book Antiqua" w:hAnsi="Book Antiqua"/>
          <w:color w:val="000000"/>
        </w:rPr>
        <w:t>75</w:t>
      </w:r>
      <w:r w:rsidR="00D242AF">
        <w:rPr>
          <w:rFonts w:ascii="Book Antiqua" w:hAnsi="Book Antiqua"/>
          <w:color w:val="000000"/>
        </w:rPr>
        <w:t>-years-old</w:t>
      </w:r>
      <w:r w:rsidR="004E0AE1" w:rsidRPr="00CD3D64">
        <w:rPr>
          <w:rFonts w:ascii="Book Antiqua" w:hAnsi="Book Antiqua"/>
          <w:color w:val="000000"/>
        </w:rPr>
        <w:t>, irrespective of</w:t>
      </w:r>
      <w:r w:rsidR="009B1230" w:rsidRPr="00CD3D64">
        <w:rPr>
          <w:rFonts w:ascii="Book Antiqua" w:hAnsi="Book Antiqua"/>
          <w:color w:val="000000"/>
        </w:rPr>
        <w:t xml:space="preserve"> cirrhosis or history of IFN treatment</w:t>
      </w:r>
      <w:r w:rsidR="00722B03" w:rsidRPr="00CD3D64">
        <w:rPr>
          <w:rFonts w:ascii="Book Antiqua" w:hAnsi="Book Antiqua"/>
          <w:color w:val="000000"/>
        </w:rPr>
        <w:t>.</w:t>
      </w:r>
    </w:p>
    <w:p w:rsidR="00460EA7" w:rsidRPr="00CD3D64" w:rsidRDefault="004E0AE1" w:rsidP="00CD3D64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bCs/>
          <w:iCs/>
          <w:color w:val="000000"/>
          <w:vertAlign w:val="superscript"/>
        </w:rPr>
      </w:pPr>
      <w:r w:rsidRPr="00CD3D64">
        <w:rPr>
          <w:rFonts w:ascii="Book Antiqua" w:hAnsi="Book Antiqua"/>
          <w:bCs/>
          <w:iCs/>
          <w:color w:val="000000"/>
        </w:rPr>
        <w:t>Discontinuation of pharmaco</w:t>
      </w:r>
      <w:r w:rsidR="006778DC" w:rsidRPr="00CD3D64">
        <w:rPr>
          <w:rFonts w:ascii="Book Antiqua" w:hAnsi="Book Antiqua"/>
          <w:bCs/>
          <w:iCs/>
          <w:color w:val="000000"/>
        </w:rPr>
        <w:t>therapy</w:t>
      </w:r>
      <w:r w:rsidR="00687F30" w:rsidRPr="00CD3D64">
        <w:rPr>
          <w:rFonts w:ascii="Book Antiqua" w:hAnsi="Book Antiqua"/>
          <w:bCs/>
          <w:iCs/>
          <w:color w:val="000000"/>
          <w:vertAlign w:val="superscript"/>
        </w:rPr>
        <w:t>[13]</w:t>
      </w:r>
      <w:r w:rsidR="00670F16" w:rsidRPr="00CD3D64">
        <w:rPr>
          <w:rFonts w:ascii="Book Antiqua" w:hAnsi="Book Antiqua"/>
          <w:bCs/>
          <w:iCs/>
          <w:color w:val="000000"/>
        </w:rPr>
        <w:t>,</w:t>
      </w:r>
      <w:r w:rsidR="006778DC" w:rsidRPr="00CD3D64">
        <w:rPr>
          <w:rFonts w:ascii="Book Antiqua" w:hAnsi="Book Antiqua"/>
          <w:bCs/>
          <w:iCs/>
          <w:color w:val="000000"/>
        </w:rPr>
        <w:t xml:space="preserve"> </w:t>
      </w:r>
      <w:r w:rsidR="008961F2" w:rsidRPr="00CD3D64">
        <w:rPr>
          <w:rFonts w:ascii="Book Antiqua" w:hAnsi="Book Antiqua"/>
          <w:bCs/>
          <w:iCs/>
          <w:color w:val="000000"/>
        </w:rPr>
        <w:t xml:space="preserve">history of </w:t>
      </w:r>
      <w:r w:rsidR="00310C0D" w:rsidRPr="00CD3D64">
        <w:rPr>
          <w:rFonts w:ascii="Book Antiqua" w:hAnsi="Book Antiqua"/>
          <w:bCs/>
          <w:iCs/>
          <w:color w:val="000000"/>
        </w:rPr>
        <w:t>HCC</w:t>
      </w:r>
      <w:r w:rsidR="00687F30" w:rsidRPr="00CD3D64">
        <w:rPr>
          <w:rFonts w:ascii="Book Antiqua" w:hAnsi="Book Antiqua"/>
          <w:bCs/>
          <w:iCs/>
          <w:color w:val="000000"/>
          <w:vertAlign w:val="superscript"/>
        </w:rPr>
        <w:t>[10,13]</w:t>
      </w:r>
      <w:r w:rsidR="00670F16" w:rsidRPr="00CD3D64">
        <w:rPr>
          <w:rFonts w:ascii="Book Antiqua" w:hAnsi="Book Antiqua"/>
          <w:bCs/>
          <w:iCs/>
          <w:color w:val="000000"/>
        </w:rPr>
        <w:t>,</w:t>
      </w:r>
      <w:r w:rsidR="008961F2" w:rsidRPr="00CD3D64">
        <w:rPr>
          <w:rFonts w:ascii="Book Antiqua" w:hAnsi="Book Antiqua"/>
          <w:bCs/>
          <w:iCs/>
          <w:color w:val="000000"/>
        </w:rPr>
        <w:t xml:space="preserve"> cirrhosis</w:t>
      </w:r>
      <w:r w:rsidR="00CD1588" w:rsidRPr="00CD3D64">
        <w:rPr>
          <w:rFonts w:ascii="Book Antiqua" w:hAnsi="Book Antiqua"/>
          <w:bCs/>
          <w:iCs/>
          <w:color w:val="000000"/>
        </w:rPr>
        <w:t xml:space="preserve"> (advanced fibrosis)</w:t>
      </w:r>
      <w:r w:rsidR="00687F30" w:rsidRPr="00CD3D64">
        <w:rPr>
          <w:rFonts w:ascii="Book Antiqua" w:hAnsi="Book Antiqua"/>
          <w:bCs/>
          <w:iCs/>
          <w:color w:val="000000"/>
          <w:vertAlign w:val="superscript"/>
        </w:rPr>
        <w:t>[10,14,15]</w:t>
      </w:r>
      <w:r w:rsidR="00670F16" w:rsidRPr="00CD3D64">
        <w:rPr>
          <w:rFonts w:ascii="Book Antiqua" w:hAnsi="Book Antiqua"/>
          <w:bCs/>
          <w:iCs/>
          <w:color w:val="000000"/>
        </w:rPr>
        <w:t>,</w:t>
      </w:r>
      <w:r w:rsidR="008961F2" w:rsidRPr="00CD3D64">
        <w:rPr>
          <w:rFonts w:ascii="Book Antiqua" w:hAnsi="Book Antiqua"/>
          <w:bCs/>
          <w:iCs/>
          <w:color w:val="000000"/>
        </w:rPr>
        <w:t xml:space="preserve"> </w:t>
      </w:r>
      <w:r w:rsidR="00CD1588" w:rsidRPr="00CD3D64">
        <w:rPr>
          <w:rFonts w:ascii="Book Antiqua" w:hAnsi="Book Antiqua"/>
          <w:bCs/>
          <w:iCs/>
          <w:color w:val="000000"/>
        </w:rPr>
        <w:t>renal dysfunction</w:t>
      </w:r>
      <w:r w:rsidR="00687F30" w:rsidRPr="00CD3D64">
        <w:rPr>
          <w:rFonts w:ascii="Book Antiqua" w:hAnsi="Book Antiqua"/>
          <w:bCs/>
          <w:iCs/>
          <w:color w:val="000000"/>
          <w:vertAlign w:val="superscript"/>
        </w:rPr>
        <w:t>[16]</w:t>
      </w:r>
      <w:r w:rsidR="00670F16" w:rsidRPr="00CD3D64">
        <w:rPr>
          <w:rFonts w:ascii="Book Antiqua" w:hAnsi="Book Antiqua"/>
          <w:bCs/>
          <w:iCs/>
          <w:color w:val="000000"/>
        </w:rPr>
        <w:t>,</w:t>
      </w:r>
      <w:r w:rsidR="008961F2" w:rsidRPr="00CD3D64">
        <w:rPr>
          <w:rFonts w:ascii="Book Antiqua" w:hAnsi="Book Antiqua"/>
          <w:bCs/>
          <w:iCs/>
          <w:color w:val="000000"/>
        </w:rPr>
        <w:t xml:space="preserve"> history of IFN</w:t>
      </w:r>
      <w:r w:rsidR="00FC0C50" w:rsidRPr="00CD3D64">
        <w:rPr>
          <w:rFonts w:ascii="Book Antiqua" w:hAnsi="Book Antiqua"/>
          <w:bCs/>
          <w:iCs/>
          <w:color w:val="000000"/>
        </w:rPr>
        <w:t>-</w:t>
      </w:r>
      <w:r w:rsidR="008961F2" w:rsidRPr="00CD3D64">
        <w:rPr>
          <w:rFonts w:ascii="Book Antiqua" w:hAnsi="Book Antiqua"/>
          <w:bCs/>
          <w:iCs/>
          <w:color w:val="000000"/>
        </w:rPr>
        <w:t>based treatment</w:t>
      </w:r>
      <w:r w:rsidR="00687F30" w:rsidRPr="00CD3D64">
        <w:rPr>
          <w:rFonts w:ascii="Book Antiqua" w:hAnsi="Book Antiqua"/>
          <w:bCs/>
          <w:iCs/>
          <w:color w:val="000000"/>
          <w:vertAlign w:val="superscript"/>
        </w:rPr>
        <w:t>[10</w:t>
      </w:r>
      <w:r w:rsidR="002E6515" w:rsidRPr="00CD3D64">
        <w:rPr>
          <w:rFonts w:ascii="Book Antiqua" w:hAnsi="Book Antiqua"/>
          <w:bCs/>
          <w:iCs/>
          <w:color w:val="000000"/>
          <w:vertAlign w:val="superscript"/>
        </w:rPr>
        <w:t>,</w:t>
      </w:r>
      <w:r w:rsidR="00687F30" w:rsidRPr="00CD3D64">
        <w:rPr>
          <w:rFonts w:ascii="Book Antiqua" w:hAnsi="Book Antiqua"/>
          <w:bCs/>
          <w:iCs/>
          <w:color w:val="000000"/>
          <w:vertAlign w:val="superscript"/>
        </w:rPr>
        <w:t>15]</w:t>
      </w:r>
      <w:r w:rsidR="00670F16" w:rsidRPr="00CD3D64">
        <w:rPr>
          <w:rFonts w:ascii="Book Antiqua" w:hAnsi="Book Antiqua"/>
          <w:bCs/>
          <w:iCs/>
          <w:color w:val="000000"/>
        </w:rPr>
        <w:t>,</w:t>
      </w:r>
      <w:r w:rsidR="005B415E" w:rsidRPr="00CD3D64">
        <w:rPr>
          <w:rFonts w:ascii="Book Antiqua" w:hAnsi="Book Antiqua"/>
          <w:bCs/>
          <w:iCs/>
          <w:color w:val="000000"/>
        </w:rPr>
        <w:t xml:space="preserve"> </w:t>
      </w:r>
      <w:r w:rsidR="00A30553" w:rsidRPr="00CD3D64">
        <w:rPr>
          <w:rFonts w:ascii="Book Antiqua" w:hAnsi="Book Antiqua"/>
          <w:bCs/>
          <w:iCs/>
          <w:color w:val="000000"/>
        </w:rPr>
        <w:t>lower serum albumin</w:t>
      </w:r>
      <w:r w:rsidR="00733023" w:rsidRPr="00CD3D64">
        <w:rPr>
          <w:rFonts w:ascii="Book Antiqua" w:hAnsi="Book Antiqua"/>
          <w:bCs/>
          <w:iCs/>
          <w:color w:val="000000"/>
        </w:rPr>
        <w:t>,</w:t>
      </w:r>
      <w:r w:rsidR="00A30553" w:rsidRPr="00CD3D64">
        <w:rPr>
          <w:rFonts w:ascii="Book Antiqua" w:hAnsi="Book Antiqua"/>
          <w:bCs/>
          <w:iCs/>
          <w:color w:val="000000"/>
        </w:rPr>
        <w:t xml:space="preserve"> and ribavirin dose at baseline</w:t>
      </w:r>
      <w:r w:rsidR="00687F30" w:rsidRPr="00CD3D64">
        <w:rPr>
          <w:rFonts w:ascii="Book Antiqua" w:hAnsi="Book Antiqua"/>
          <w:bCs/>
          <w:iCs/>
          <w:color w:val="000000"/>
          <w:vertAlign w:val="superscript"/>
        </w:rPr>
        <w:t>[14]</w:t>
      </w:r>
      <w:r w:rsidR="00A30553" w:rsidRPr="00CD3D64">
        <w:rPr>
          <w:rFonts w:ascii="Book Antiqua" w:hAnsi="Book Antiqua"/>
          <w:bCs/>
          <w:iCs/>
          <w:color w:val="000000"/>
        </w:rPr>
        <w:t xml:space="preserve"> </w:t>
      </w:r>
      <w:r w:rsidR="00CD1588" w:rsidRPr="00CD3D64">
        <w:rPr>
          <w:rFonts w:ascii="Book Antiqua" w:hAnsi="Book Antiqua"/>
          <w:bCs/>
          <w:iCs/>
          <w:color w:val="000000"/>
        </w:rPr>
        <w:t xml:space="preserve">have </w:t>
      </w:r>
      <w:r w:rsidRPr="00CD3D64">
        <w:rPr>
          <w:rFonts w:ascii="Book Antiqua" w:hAnsi="Book Antiqua"/>
          <w:bCs/>
          <w:iCs/>
          <w:color w:val="000000"/>
        </w:rPr>
        <w:t xml:space="preserve">all </w:t>
      </w:r>
      <w:r w:rsidR="00CD1588" w:rsidRPr="00CD3D64">
        <w:rPr>
          <w:rFonts w:ascii="Book Antiqua" w:hAnsi="Book Antiqua"/>
          <w:bCs/>
          <w:iCs/>
          <w:color w:val="000000"/>
        </w:rPr>
        <w:t>been reported</w:t>
      </w:r>
      <w:r w:rsidRPr="00CD3D64">
        <w:rPr>
          <w:rFonts w:ascii="Book Antiqua" w:hAnsi="Book Antiqua"/>
          <w:bCs/>
          <w:iCs/>
          <w:color w:val="000000"/>
        </w:rPr>
        <w:t xml:space="preserve"> as factors associated with non-SVR of </w:t>
      </w:r>
      <w:proofErr w:type="spellStart"/>
      <w:r w:rsidRPr="00CD3D64">
        <w:rPr>
          <w:rFonts w:ascii="Book Antiqua" w:hAnsi="Book Antiqua"/>
          <w:bCs/>
          <w:iCs/>
          <w:color w:val="000000"/>
        </w:rPr>
        <w:t>sofosbuvir</w:t>
      </w:r>
      <w:proofErr w:type="spellEnd"/>
      <w:r w:rsidRPr="00CD3D64">
        <w:rPr>
          <w:rFonts w:ascii="Book Antiqua" w:hAnsi="Book Antiqua"/>
          <w:bCs/>
          <w:iCs/>
          <w:color w:val="000000"/>
        </w:rPr>
        <w:t xml:space="preserve"> plus ribavirin</w:t>
      </w:r>
      <w:r w:rsidR="00CD1588" w:rsidRPr="00CD3D64">
        <w:rPr>
          <w:rFonts w:ascii="Book Antiqua" w:hAnsi="Book Antiqua"/>
          <w:bCs/>
          <w:iCs/>
          <w:color w:val="000000"/>
        </w:rPr>
        <w:t xml:space="preserve">. </w:t>
      </w:r>
      <w:proofErr w:type="spellStart"/>
      <w:r w:rsidR="006778DC" w:rsidRPr="00CD3D64">
        <w:rPr>
          <w:rFonts w:ascii="Book Antiqua" w:hAnsi="Book Antiqua"/>
          <w:bCs/>
          <w:iCs/>
          <w:color w:val="000000"/>
        </w:rPr>
        <w:t>Hirosawa</w:t>
      </w:r>
      <w:proofErr w:type="spellEnd"/>
      <w:r w:rsidR="006778DC" w:rsidRPr="00CD3D64">
        <w:rPr>
          <w:rFonts w:ascii="Book Antiqua" w:hAnsi="Book Antiqua"/>
          <w:bCs/>
          <w:iCs/>
          <w:color w:val="000000"/>
        </w:rPr>
        <w:t xml:space="preserve"> </w:t>
      </w:r>
      <w:r w:rsidR="005A78E0" w:rsidRPr="00CD3D64">
        <w:rPr>
          <w:rFonts w:ascii="Book Antiqua" w:hAnsi="Book Antiqua"/>
          <w:i/>
          <w:iCs/>
          <w:color w:val="000000"/>
        </w:rPr>
        <w:t xml:space="preserve">et </w:t>
      </w:r>
      <w:proofErr w:type="gramStart"/>
      <w:r w:rsidR="005A78E0" w:rsidRPr="00CD3D64">
        <w:rPr>
          <w:rFonts w:ascii="Book Antiqua" w:hAnsi="Book Antiqua"/>
          <w:i/>
          <w:iCs/>
          <w:color w:val="000000"/>
        </w:rPr>
        <w:t>a</w:t>
      </w:r>
      <w:r w:rsidR="002E6515" w:rsidRPr="00CD3D64">
        <w:rPr>
          <w:rFonts w:ascii="Book Antiqua" w:hAnsi="Book Antiqua"/>
          <w:i/>
          <w:iCs/>
          <w:color w:val="000000"/>
        </w:rPr>
        <w:t>l</w:t>
      </w:r>
      <w:r w:rsidR="002E6515" w:rsidRPr="00CD3D64">
        <w:rPr>
          <w:rFonts w:ascii="Book Antiqua" w:hAnsi="Book Antiqua"/>
          <w:iCs/>
          <w:color w:val="000000"/>
          <w:vertAlign w:val="superscript"/>
        </w:rPr>
        <w:t>[</w:t>
      </w:r>
      <w:proofErr w:type="gramEnd"/>
      <w:r w:rsidR="002E6515" w:rsidRPr="00CD3D64">
        <w:rPr>
          <w:rFonts w:ascii="Book Antiqua" w:hAnsi="Book Antiqua"/>
          <w:iCs/>
          <w:color w:val="000000"/>
          <w:vertAlign w:val="superscript"/>
        </w:rPr>
        <w:t>13]</w:t>
      </w:r>
      <w:r w:rsidR="006778DC" w:rsidRPr="00CD3D64">
        <w:rPr>
          <w:rFonts w:ascii="Book Antiqua" w:hAnsi="Book Antiqua"/>
          <w:bCs/>
          <w:iCs/>
          <w:color w:val="000000"/>
        </w:rPr>
        <w:t xml:space="preserve"> indicated that </w:t>
      </w:r>
      <w:r w:rsidR="00D226FA" w:rsidRPr="00CD3D64">
        <w:rPr>
          <w:rFonts w:ascii="Book Antiqua" w:hAnsi="Book Antiqua"/>
          <w:bCs/>
          <w:iCs/>
          <w:color w:val="000000"/>
        </w:rPr>
        <w:t xml:space="preserve">the risk factor </w:t>
      </w:r>
      <w:r w:rsidRPr="00CD3D64">
        <w:rPr>
          <w:rFonts w:ascii="Book Antiqua" w:hAnsi="Book Antiqua"/>
          <w:bCs/>
          <w:iCs/>
          <w:color w:val="000000"/>
        </w:rPr>
        <w:t xml:space="preserve">most strongly </w:t>
      </w:r>
      <w:r w:rsidR="00D226FA" w:rsidRPr="00CD3D64">
        <w:rPr>
          <w:rFonts w:ascii="Book Antiqua" w:hAnsi="Book Antiqua"/>
          <w:bCs/>
          <w:iCs/>
          <w:color w:val="000000"/>
        </w:rPr>
        <w:t xml:space="preserve">associated with non-SVR was a history of HCC </w:t>
      </w:r>
      <w:r w:rsidR="00D226FA" w:rsidRPr="00CD3D64">
        <w:rPr>
          <w:rFonts w:ascii="Book Antiqua" w:hAnsi="Book Antiqua"/>
          <w:bCs/>
          <w:iCs/>
          <w:color w:val="000000"/>
        </w:rPr>
        <w:lastRenderedPageBreak/>
        <w:t>treatment (</w:t>
      </w:r>
      <w:r w:rsidR="00C107CE" w:rsidRPr="00CD3D64">
        <w:rPr>
          <w:rFonts w:ascii="Book Antiqua" w:hAnsi="Book Antiqua"/>
          <w:bCs/>
          <w:iCs/>
          <w:color w:val="000000"/>
        </w:rPr>
        <w:t>odds ratio:</w:t>
      </w:r>
      <w:r w:rsidR="00D226FA" w:rsidRPr="00CD3D64">
        <w:rPr>
          <w:rFonts w:ascii="Book Antiqua" w:hAnsi="Book Antiqua"/>
          <w:bCs/>
          <w:iCs/>
          <w:color w:val="000000"/>
        </w:rPr>
        <w:t xml:space="preserve"> 9.29)</w:t>
      </w:r>
      <w:r w:rsidR="00687F30" w:rsidRPr="00CD3D64">
        <w:rPr>
          <w:rFonts w:ascii="Book Antiqua" w:hAnsi="Book Antiqua"/>
          <w:bCs/>
          <w:iCs/>
          <w:color w:val="000000"/>
          <w:vertAlign w:val="superscript"/>
        </w:rPr>
        <w:t>[13]</w:t>
      </w:r>
      <w:r w:rsidR="00670F16" w:rsidRPr="00CD3D64">
        <w:rPr>
          <w:rFonts w:ascii="Book Antiqua" w:hAnsi="Book Antiqua"/>
          <w:bCs/>
          <w:iCs/>
          <w:color w:val="000000"/>
        </w:rPr>
        <w:t>.</w:t>
      </w:r>
      <w:r w:rsidR="00D226FA" w:rsidRPr="00CD3D64">
        <w:rPr>
          <w:rFonts w:ascii="Book Antiqua" w:hAnsi="Book Antiqua"/>
          <w:bCs/>
          <w:iCs/>
          <w:color w:val="000000"/>
        </w:rPr>
        <w:t xml:space="preserve"> </w:t>
      </w:r>
      <w:r w:rsidR="00DC18C7" w:rsidRPr="00CD3D64">
        <w:rPr>
          <w:rFonts w:ascii="Book Antiqua" w:hAnsi="Book Antiqua"/>
          <w:bCs/>
          <w:iCs/>
          <w:color w:val="000000"/>
        </w:rPr>
        <w:t xml:space="preserve">In the present study, </w:t>
      </w:r>
      <w:r w:rsidR="007F68D3" w:rsidRPr="00CD3D64">
        <w:rPr>
          <w:rFonts w:ascii="Book Antiqua" w:hAnsi="Book Antiqua"/>
          <w:bCs/>
          <w:iCs/>
          <w:color w:val="000000"/>
        </w:rPr>
        <w:t xml:space="preserve">a </w:t>
      </w:r>
      <w:r w:rsidR="00DC18C7" w:rsidRPr="00CD3D64">
        <w:rPr>
          <w:rFonts w:ascii="Book Antiqua" w:hAnsi="Book Antiqua"/>
          <w:color w:val="000000"/>
        </w:rPr>
        <w:t xml:space="preserve">history of HCC treatment and AFP were factors </w:t>
      </w:r>
      <w:r w:rsidRPr="00CD3D64">
        <w:rPr>
          <w:rFonts w:ascii="Book Antiqua" w:hAnsi="Book Antiqua"/>
          <w:color w:val="000000"/>
        </w:rPr>
        <w:t xml:space="preserve">significantly </w:t>
      </w:r>
      <w:r w:rsidR="00DC18C7" w:rsidRPr="00CD3D64">
        <w:rPr>
          <w:rFonts w:ascii="Book Antiqua" w:hAnsi="Book Antiqua"/>
          <w:color w:val="000000"/>
        </w:rPr>
        <w:t xml:space="preserve">associated with SVR on </w:t>
      </w:r>
      <w:proofErr w:type="spellStart"/>
      <w:r w:rsidR="00DC18C7" w:rsidRPr="00CD3D64">
        <w:rPr>
          <w:rFonts w:ascii="Book Antiqua" w:hAnsi="Book Antiqua"/>
          <w:color w:val="000000"/>
        </w:rPr>
        <w:t>univariate</w:t>
      </w:r>
      <w:proofErr w:type="spellEnd"/>
      <w:r w:rsidR="00DC18C7" w:rsidRPr="00CD3D64">
        <w:rPr>
          <w:rFonts w:ascii="Book Antiqua" w:hAnsi="Book Antiqua"/>
          <w:color w:val="000000"/>
        </w:rPr>
        <w:t xml:space="preserve"> analysis, </w:t>
      </w:r>
      <w:r w:rsidR="00B93CF6" w:rsidRPr="00CD3D64">
        <w:rPr>
          <w:rFonts w:ascii="Book Antiqua" w:hAnsi="Book Antiqua"/>
          <w:color w:val="000000"/>
        </w:rPr>
        <w:t xml:space="preserve">and </w:t>
      </w:r>
      <w:r w:rsidR="00DC18C7" w:rsidRPr="00CD3D64">
        <w:rPr>
          <w:rFonts w:ascii="Book Antiqua" w:hAnsi="Book Antiqua"/>
          <w:color w:val="000000"/>
        </w:rPr>
        <w:t xml:space="preserve">AFP was the only independent factor on multivariate analyses. </w:t>
      </w:r>
      <w:r w:rsidRPr="00CD3D64">
        <w:rPr>
          <w:rFonts w:ascii="Book Antiqua" w:hAnsi="Book Antiqua"/>
          <w:color w:val="000000"/>
        </w:rPr>
        <w:t>H</w:t>
      </w:r>
      <w:r w:rsidR="00DC18C7" w:rsidRPr="00CD3D64">
        <w:rPr>
          <w:rFonts w:ascii="Book Antiqua" w:hAnsi="Book Antiqua"/>
          <w:color w:val="000000"/>
        </w:rPr>
        <w:t>igh s</w:t>
      </w:r>
      <w:r w:rsidR="00DC18C7" w:rsidRPr="00CD3D64">
        <w:rPr>
          <w:rFonts w:ascii="Book Antiqua" w:hAnsi="Book Antiqua"/>
          <w:bCs/>
          <w:iCs/>
          <w:color w:val="000000"/>
        </w:rPr>
        <w:t xml:space="preserve">erum AFP levels </w:t>
      </w:r>
      <w:r w:rsidRPr="00CD3D64">
        <w:rPr>
          <w:rFonts w:ascii="Book Antiqua" w:hAnsi="Book Antiqua"/>
          <w:bCs/>
          <w:iCs/>
          <w:color w:val="000000"/>
        </w:rPr>
        <w:t xml:space="preserve">in </w:t>
      </w:r>
      <w:r w:rsidR="00DC18C7" w:rsidRPr="00CD3D64">
        <w:rPr>
          <w:rFonts w:ascii="Book Antiqua" w:hAnsi="Book Antiqua"/>
          <w:bCs/>
          <w:iCs/>
          <w:color w:val="000000"/>
        </w:rPr>
        <w:t xml:space="preserve">patients without HCC </w:t>
      </w:r>
      <w:r w:rsidRPr="00CD3D64">
        <w:rPr>
          <w:rFonts w:ascii="Book Antiqua" w:hAnsi="Book Antiqua"/>
          <w:bCs/>
          <w:iCs/>
          <w:color w:val="000000"/>
        </w:rPr>
        <w:t xml:space="preserve">have been </w:t>
      </w:r>
      <w:r w:rsidR="00DC18C7" w:rsidRPr="00CD3D64">
        <w:rPr>
          <w:rFonts w:ascii="Book Antiqua" w:hAnsi="Book Antiqua"/>
          <w:bCs/>
          <w:iCs/>
          <w:color w:val="000000"/>
        </w:rPr>
        <w:t xml:space="preserve">associated with advanced </w:t>
      </w:r>
      <w:r w:rsidR="007F68D3" w:rsidRPr="00CD3D64">
        <w:rPr>
          <w:rFonts w:ascii="Book Antiqua" w:hAnsi="Book Antiqua"/>
          <w:bCs/>
          <w:iCs/>
          <w:color w:val="000000"/>
        </w:rPr>
        <w:t xml:space="preserve">liver </w:t>
      </w:r>
      <w:r w:rsidR="00DC18C7" w:rsidRPr="00CD3D64">
        <w:rPr>
          <w:rFonts w:ascii="Book Antiqua" w:hAnsi="Book Antiqua"/>
          <w:bCs/>
          <w:iCs/>
          <w:color w:val="000000"/>
        </w:rPr>
        <w:t xml:space="preserve">fibrosis and a risk of HCC </w:t>
      </w:r>
      <w:proofErr w:type="gramStart"/>
      <w:r w:rsidR="00DC18C7" w:rsidRPr="00CD3D64">
        <w:rPr>
          <w:rFonts w:ascii="Book Antiqua" w:hAnsi="Book Antiqua"/>
          <w:bCs/>
          <w:iCs/>
          <w:color w:val="000000"/>
        </w:rPr>
        <w:t>occurrence</w:t>
      </w:r>
      <w:r w:rsidR="00687F30" w:rsidRPr="00CD3D64">
        <w:rPr>
          <w:rFonts w:ascii="Book Antiqua" w:hAnsi="Book Antiqua"/>
          <w:color w:val="000000"/>
          <w:vertAlign w:val="superscript"/>
        </w:rPr>
        <w:t>[</w:t>
      </w:r>
      <w:proofErr w:type="gramEnd"/>
      <w:r w:rsidR="00687F30" w:rsidRPr="00CD3D64">
        <w:rPr>
          <w:rFonts w:ascii="Book Antiqua" w:hAnsi="Book Antiqua"/>
          <w:color w:val="000000"/>
          <w:vertAlign w:val="superscript"/>
        </w:rPr>
        <w:t>17,18]</w:t>
      </w:r>
      <w:r w:rsidR="00DC18C7" w:rsidRPr="00CD3D64">
        <w:rPr>
          <w:rFonts w:ascii="Book Antiqua" w:hAnsi="Book Antiqua"/>
          <w:bCs/>
          <w:iCs/>
          <w:color w:val="000000"/>
        </w:rPr>
        <w:t xml:space="preserve">. </w:t>
      </w:r>
      <w:proofErr w:type="spellStart"/>
      <w:r w:rsidRPr="00CD3D64">
        <w:rPr>
          <w:rFonts w:ascii="Book Antiqua" w:hAnsi="Book Antiqua"/>
          <w:bCs/>
          <w:iCs/>
          <w:color w:val="000000"/>
        </w:rPr>
        <w:t>S</w:t>
      </w:r>
      <w:r w:rsidR="00DC18C7" w:rsidRPr="00CD3D64">
        <w:rPr>
          <w:rFonts w:ascii="Book Antiqua" w:hAnsi="Book Antiqua"/>
          <w:bCs/>
          <w:iCs/>
          <w:color w:val="000000"/>
        </w:rPr>
        <w:t>ofosbuvir</w:t>
      </w:r>
      <w:proofErr w:type="spellEnd"/>
      <w:r w:rsidR="00DC18C7" w:rsidRPr="00CD3D64">
        <w:rPr>
          <w:rFonts w:ascii="Book Antiqua" w:hAnsi="Book Antiqua"/>
          <w:bCs/>
          <w:iCs/>
          <w:color w:val="000000"/>
        </w:rPr>
        <w:t xml:space="preserve"> plus ribavirin </w:t>
      </w:r>
      <w:r w:rsidR="00D036D5" w:rsidRPr="00CD3D64">
        <w:rPr>
          <w:rFonts w:ascii="Book Antiqua" w:hAnsi="Book Antiqua"/>
          <w:bCs/>
          <w:iCs/>
          <w:color w:val="000000"/>
        </w:rPr>
        <w:t xml:space="preserve">might </w:t>
      </w:r>
      <w:r w:rsidRPr="00CD3D64">
        <w:rPr>
          <w:rFonts w:ascii="Book Antiqua" w:hAnsi="Book Antiqua"/>
          <w:bCs/>
          <w:iCs/>
          <w:color w:val="000000"/>
        </w:rPr>
        <w:t xml:space="preserve">thus </w:t>
      </w:r>
      <w:r w:rsidR="00D036D5" w:rsidRPr="00CD3D64">
        <w:rPr>
          <w:rFonts w:ascii="Book Antiqua" w:hAnsi="Book Antiqua"/>
          <w:bCs/>
          <w:iCs/>
          <w:color w:val="000000"/>
        </w:rPr>
        <w:t xml:space="preserve">be less effective </w:t>
      </w:r>
      <w:r w:rsidRPr="00CD3D64">
        <w:rPr>
          <w:rFonts w:ascii="Book Antiqua" w:hAnsi="Book Antiqua"/>
          <w:bCs/>
          <w:iCs/>
          <w:color w:val="000000"/>
        </w:rPr>
        <w:t xml:space="preserve">in cases showing </w:t>
      </w:r>
      <w:r w:rsidR="003F1B5C" w:rsidRPr="00CD3D64">
        <w:rPr>
          <w:rFonts w:ascii="Book Antiqua" w:hAnsi="Book Antiqua"/>
          <w:bCs/>
          <w:iCs/>
          <w:color w:val="000000"/>
        </w:rPr>
        <w:t>advance</w:t>
      </w:r>
      <w:r w:rsidRPr="00CD3D64">
        <w:rPr>
          <w:rFonts w:ascii="Book Antiqua" w:hAnsi="Book Antiqua"/>
          <w:bCs/>
          <w:iCs/>
          <w:color w:val="000000"/>
        </w:rPr>
        <w:t>d</w:t>
      </w:r>
      <w:r w:rsidR="003F1B5C" w:rsidRPr="00CD3D64">
        <w:rPr>
          <w:rFonts w:ascii="Book Antiqua" w:hAnsi="Book Antiqua"/>
          <w:bCs/>
          <w:iCs/>
          <w:color w:val="000000"/>
        </w:rPr>
        <w:t xml:space="preserve"> liver fibrosis</w:t>
      </w:r>
      <w:r w:rsidR="00D036D5" w:rsidRPr="00CD3D64">
        <w:rPr>
          <w:rFonts w:ascii="Book Antiqua" w:hAnsi="Book Antiqua"/>
          <w:bCs/>
          <w:iCs/>
          <w:color w:val="000000"/>
        </w:rPr>
        <w:t>.</w:t>
      </w:r>
      <w:r w:rsidR="00DC18C7" w:rsidRPr="00CD3D64">
        <w:rPr>
          <w:rFonts w:ascii="Book Antiqua" w:hAnsi="Book Antiqua"/>
          <w:bCs/>
          <w:iCs/>
          <w:color w:val="000000"/>
        </w:rPr>
        <w:t xml:space="preserve"> </w:t>
      </w:r>
      <w:r w:rsidR="007B70D4" w:rsidRPr="00CD3D64">
        <w:rPr>
          <w:rFonts w:ascii="Book Antiqua" w:hAnsi="Book Antiqua"/>
          <w:bCs/>
          <w:iCs/>
          <w:color w:val="000000"/>
        </w:rPr>
        <w:t xml:space="preserve">Patients with </w:t>
      </w:r>
      <w:r w:rsidR="00460EA7" w:rsidRPr="00CD3D64">
        <w:rPr>
          <w:rFonts w:ascii="Book Antiqua" w:hAnsi="Book Antiqua"/>
          <w:bCs/>
          <w:iCs/>
          <w:color w:val="000000"/>
        </w:rPr>
        <w:t xml:space="preserve">a history of HCC treatment </w:t>
      </w:r>
      <w:r w:rsidR="00D036D5" w:rsidRPr="00CD3D64">
        <w:rPr>
          <w:rFonts w:ascii="Book Antiqua" w:hAnsi="Book Antiqua"/>
          <w:bCs/>
          <w:iCs/>
          <w:color w:val="000000"/>
        </w:rPr>
        <w:t xml:space="preserve">or high AFP level </w:t>
      </w:r>
      <w:proofErr w:type="gramStart"/>
      <w:r w:rsidR="00834E4A" w:rsidRPr="00CD3D64">
        <w:rPr>
          <w:rFonts w:ascii="Book Antiqua" w:hAnsi="Book Antiqua"/>
          <w:bCs/>
          <w:iCs/>
          <w:color w:val="000000"/>
        </w:rPr>
        <w:t xml:space="preserve">should probably </w:t>
      </w:r>
      <w:r w:rsidRPr="00CD3D64">
        <w:rPr>
          <w:rFonts w:ascii="Book Antiqua" w:hAnsi="Book Antiqua"/>
          <w:bCs/>
          <w:iCs/>
          <w:color w:val="000000"/>
        </w:rPr>
        <w:t xml:space="preserve">be </w:t>
      </w:r>
      <w:r w:rsidR="00834E4A" w:rsidRPr="00CD3D64">
        <w:rPr>
          <w:rFonts w:ascii="Book Antiqua" w:hAnsi="Book Antiqua"/>
          <w:bCs/>
          <w:iCs/>
          <w:color w:val="000000"/>
        </w:rPr>
        <w:t>treated</w:t>
      </w:r>
      <w:proofErr w:type="gramEnd"/>
      <w:r w:rsidR="00834E4A" w:rsidRPr="00CD3D64">
        <w:rPr>
          <w:rFonts w:ascii="Book Antiqua" w:hAnsi="Book Antiqua"/>
          <w:bCs/>
          <w:iCs/>
          <w:color w:val="000000"/>
        </w:rPr>
        <w:t xml:space="preserve"> </w:t>
      </w:r>
      <w:r w:rsidR="00ED194F" w:rsidRPr="00CD3D64">
        <w:rPr>
          <w:rFonts w:ascii="Book Antiqua" w:hAnsi="Book Antiqua"/>
          <w:bCs/>
          <w:iCs/>
          <w:color w:val="000000"/>
        </w:rPr>
        <w:t xml:space="preserve">using some </w:t>
      </w:r>
      <w:r w:rsidR="00834E4A" w:rsidRPr="00CD3D64">
        <w:rPr>
          <w:rFonts w:ascii="Book Antiqua" w:hAnsi="Book Antiqua"/>
          <w:bCs/>
          <w:iCs/>
          <w:color w:val="000000"/>
        </w:rPr>
        <w:t>other ribavirin</w:t>
      </w:r>
      <w:r w:rsidR="00FC0C50" w:rsidRPr="00CD3D64">
        <w:rPr>
          <w:rFonts w:ascii="Book Antiqua" w:hAnsi="Book Antiqua"/>
          <w:bCs/>
          <w:iCs/>
          <w:color w:val="000000"/>
        </w:rPr>
        <w:t>-</w:t>
      </w:r>
      <w:r w:rsidR="00834E4A" w:rsidRPr="00CD3D64">
        <w:rPr>
          <w:rFonts w:ascii="Book Antiqua" w:hAnsi="Book Antiqua"/>
          <w:bCs/>
          <w:iCs/>
          <w:color w:val="000000"/>
        </w:rPr>
        <w:t xml:space="preserve">free </w:t>
      </w:r>
      <w:r w:rsidR="0087770C" w:rsidRPr="00CD3D64">
        <w:rPr>
          <w:rFonts w:ascii="Book Antiqua" w:hAnsi="Book Antiqua"/>
          <w:bCs/>
          <w:iCs/>
          <w:color w:val="000000"/>
        </w:rPr>
        <w:t xml:space="preserve">DAA </w:t>
      </w:r>
      <w:r w:rsidR="00834E4A" w:rsidRPr="00CD3D64">
        <w:rPr>
          <w:rFonts w:ascii="Book Antiqua" w:hAnsi="Book Antiqua"/>
          <w:bCs/>
          <w:iCs/>
          <w:color w:val="000000"/>
        </w:rPr>
        <w:t>therapy.</w:t>
      </w:r>
    </w:p>
    <w:p w:rsidR="006F5128" w:rsidRPr="00CD3D64" w:rsidRDefault="006778DC" w:rsidP="00CD3D64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bCs/>
          <w:iCs/>
          <w:color w:val="000000"/>
        </w:rPr>
      </w:pPr>
      <w:r w:rsidRPr="00CD3D64">
        <w:rPr>
          <w:rFonts w:ascii="Book Antiqua" w:hAnsi="Book Antiqua"/>
          <w:bCs/>
          <w:iCs/>
          <w:color w:val="000000"/>
        </w:rPr>
        <w:t xml:space="preserve">In </w:t>
      </w:r>
      <w:r w:rsidR="00010A84" w:rsidRPr="00CD3D64">
        <w:rPr>
          <w:rFonts w:ascii="Book Antiqua" w:hAnsi="Book Antiqua"/>
          <w:bCs/>
          <w:iCs/>
          <w:color w:val="000000"/>
        </w:rPr>
        <w:t xml:space="preserve">recent HCV treatment guidelines </w:t>
      </w:r>
      <w:r w:rsidR="00ED194F" w:rsidRPr="00CD3D64">
        <w:rPr>
          <w:rFonts w:ascii="Book Antiqua" w:hAnsi="Book Antiqua"/>
          <w:bCs/>
          <w:iCs/>
          <w:color w:val="000000"/>
        </w:rPr>
        <w:t xml:space="preserve">from Western </w:t>
      </w:r>
      <w:r w:rsidR="00460EA7" w:rsidRPr="00CD3D64">
        <w:rPr>
          <w:rFonts w:ascii="Book Antiqua" w:hAnsi="Book Antiqua"/>
          <w:bCs/>
          <w:iCs/>
          <w:color w:val="000000"/>
        </w:rPr>
        <w:t>countries</w:t>
      </w:r>
      <w:r w:rsidRPr="00CD3D64">
        <w:rPr>
          <w:rFonts w:ascii="Book Antiqua" w:hAnsi="Book Antiqua"/>
          <w:bCs/>
          <w:iCs/>
          <w:color w:val="000000"/>
        </w:rPr>
        <w:t xml:space="preserve">, </w:t>
      </w:r>
      <w:proofErr w:type="spellStart"/>
      <w:r w:rsidRPr="00CD3D64">
        <w:rPr>
          <w:rFonts w:ascii="Book Antiqua" w:hAnsi="Book Antiqua"/>
          <w:bCs/>
          <w:iCs/>
          <w:color w:val="000000"/>
        </w:rPr>
        <w:t>sofosbuvir</w:t>
      </w:r>
      <w:proofErr w:type="spellEnd"/>
      <w:r w:rsidRPr="00CD3D64">
        <w:rPr>
          <w:rFonts w:ascii="Book Antiqua" w:hAnsi="Book Antiqua"/>
          <w:bCs/>
          <w:iCs/>
          <w:color w:val="000000"/>
        </w:rPr>
        <w:t xml:space="preserve"> </w:t>
      </w:r>
      <w:r w:rsidR="007F68D3" w:rsidRPr="00CD3D64">
        <w:rPr>
          <w:rFonts w:ascii="Book Antiqua" w:hAnsi="Book Antiqua"/>
          <w:bCs/>
          <w:iCs/>
          <w:color w:val="000000"/>
        </w:rPr>
        <w:t>plus</w:t>
      </w:r>
      <w:r w:rsidRPr="00CD3D64">
        <w:rPr>
          <w:rFonts w:ascii="Book Antiqua" w:hAnsi="Book Antiqua"/>
          <w:bCs/>
          <w:iCs/>
          <w:color w:val="000000"/>
        </w:rPr>
        <w:t xml:space="preserve"> ribavirin therapy</w:t>
      </w:r>
      <w:r w:rsidR="00BB4627" w:rsidRPr="00CD3D64">
        <w:rPr>
          <w:rFonts w:ascii="Book Antiqua" w:hAnsi="Book Antiqua"/>
          <w:bCs/>
          <w:iCs/>
          <w:color w:val="000000"/>
        </w:rPr>
        <w:t xml:space="preserve"> is no longer recommended because of </w:t>
      </w:r>
      <w:r w:rsidR="00FC0C50" w:rsidRPr="00CD3D64">
        <w:rPr>
          <w:rFonts w:ascii="Book Antiqua" w:hAnsi="Book Antiqua"/>
          <w:bCs/>
          <w:iCs/>
          <w:color w:val="000000"/>
        </w:rPr>
        <w:t xml:space="preserve">the </w:t>
      </w:r>
      <w:r w:rsidR="00BB4627" w:rsidRPr="00CD3D64">
        <w:rPr>
          <w:rFonts w:ascii="Book Antiqua" w:hAnsi="Book Antiqua"/>
          <w:bCs/>
          <w:iCs/>
          <w:color w:val="000000"/>
        </w:rPr>
        <w:t xml:space="preserve">adverse effects of ribavirin and </w:t>
      </w:r>
      <w:r w:rsidR="00FC0C50" w:rsidRPr="00CD3D64">
        <w:rPr>
          <w:rFonts w:ascii="Book Antiqua" w:hAnsi="Book Antiqua"/>
          <w:bCs/>
          <w:iCs/>
          <w:color w:val="000000"/>
        </w:rPr>
        <w:t xml:space="preserve">the </w:t>
      </w:r>
      <w:r w:rsidR="00BB4627" w:rsidRPr="00CD3D64">
        <w:rPr>
          <w:rFonts w:ascii="Book Antiqua" w:hAnsi="Book Antiqua"/>
          <w:bCs/>
          <w:iCs/>
          <w:color w:val="000000"/>
        </w:rPr>
        <w:t>relatively lower SVR rate</w:t>
      </w:r>
      <w:r w:rsidR="00FC0C50" w:rsidRPr="00CD3D64">
        <w:rPr>
          <w:rFonts w:ascii="Book Antiqua" w:hAnsi="Book Antiqua"/>
          <w:bCs/>
          <w:iCs/>
          <w:color w:val="000000"/>
        </w:rPr>
        <w:t xml:space="preserve"> compared to </w:t>
      </w:r>
      <w:r w:rsidR="00BB4627" w:rsidRPr="00CD3D64">
        <w:rPr>
          <w:rFonts w:ascii="Book Antiqua" w:hAnsi="Book Antiqua"/>
          <w:bCs/>
          <w:iCs/>
          <w:color w:val="000000"/>
        </w:rPr>
        <w:t xml:space="preserve">other DAA </w:t>
      </w:r>
      <w:proofErr w:type="gramStart"/>
      <w:r w:rsidR="00FC0C50" w:rsidRPr="00CD3D64">
        <w:rPr>
          <w:rFonts w:ascii="Book Antiqua" w:hAnsi="Book Antiqua"/>
          <w:bCs/>
          <w:iCs/>
          <w:color w:val="000000"/>
        </w:rPr>
        <w:t>therapies</w:t>
      </w:r>
      <w:r w:rsidR="00687F30" w:rsidRPr="00CD3D64">
        <w:rPr>
          <w:rFonts w:ascii="Book Antiqua" w:hAnsi="Book Antiqua"/>
          <w:bCs/>
          <w:iCs/>
          <w:color w:val="000000"/>
          <w:vertAlign w:val="superscript"/>
        </w:rPr>
        <w:t>[</w:t>
      </w:r>
      <w:proofErr w:type="gramEnd"/>
      <w:r w:rsidR="00687F30" w:rsidRPr="00CD3D64">
        <w:rPr>
          <w:rFonts w:ascii="Book Antiqua" w:hAnsi="Book Antiqua"/>
          <w:bCs/>
          <w:iCs/>
          <w:color w:val="000000"/>
          <w:vertAlign w:val="superscript"/>
        </w:rPr>
        <w:t>14,19,20]</w:t>
      </w:r>
      <w:r w:rsidR="00670F16" w:rsidRPr="00CD3D64">
        <w:rPr>
          <w:rFonts w:ascii="Book Antiqua" w:hAnsi="Book Antiqua"/>
          <w:bCs/>
          <w:iCs/>
          <w:color w:val="000000"/>
        </w:rPr>
        <w:t>.</w:t>
      </w:r>
      <w:r w:rsidR="005D4893" w:rsidRPr="00CD3D64">
        <w:rPr>
          <w:rFonts w:ascii="Book Antiqua" w:hAnsi="Book Antiqua"/>
          <w:bCs/>
          <w:iCs/>
          <w:color w:val="000000"/>
        </w:rPr>
        <w:t xml:space="preserve"> </w:t>
      </w:r>
      <w:r w:rsidR="00F37BA9" w:rsidRPr="00CD3D64">
        <w:rPr>
          <w:rFonts w:ascii="Book Antiqua" w:hAnsi="Book Antiqua"/>
          <w:bCs/>
          <w:iCs/>
          <w:color w:val="000000"/>
        </w:rPr>
        <w:t xml:space="preserve">In fact, </w:t>
      </w:r>
      <w:r w:rsidR="00B16251" w:rsidRPr="00CD3D64">
        <w:rPr>
          <w:rFonts w:ascii="Book Antiqua" w:hAnsi="Book Antiqua"/>
          <w:bCs/>
          <w:iCs/>
          <w:color w:val="000000"/>
        </w:rPr>
        <w:t xml:space="preserve">the </w:t>
      </w:r>
      <w:r w:rsidR="00EF27E6" w:rsidRPr="00CD3D64">
        <w:rPr>
          <w:rFonts w:ascii="Book Antiqua" w:hAnsi="Book Antiqua"/>
          <w:bCs/>
          <w:iCs/>
          <w:color w:val="000000"/>
        </w:rPr>
        <w:t>real</w:t>
      </w:r>
      <w:r w:rsidR="00FC0C50" w:rsidRPr="00CD3D64">
        <w:rPr>
          <w:rFonts w:ascii="Book Antiqua" w:hAnsi="Book Antiqua"/>
          <w:bCs/>
          <w:iCs/>
          <w:color w:val="000000"/>
        </w:rPr>
        <w:t>-</w:t>
      </w:r>
      <w:r w:rsidR="00EF27E6" w:rsidRPr="00CD3D64">
        <w:rPr>
          <w:rFonts w:ascii="Book Antiqua" w:hAnsi="Book Antiqua"/>
          <w:bCs/>
          <w:iCs/>
          <w:color w:val="000000"/>
        </w:rPr>
        <w:t xml:space="preserve">life </w:t>
      </w:r>
      <w:r w:rsidR="00B16251" w:rsidRPr="00CD3D64">
        <w:rPr>
          <w:rFonts w:ascii="Book Antiqua" w:hAnsi="Book Antiqua"/>
          <w:bCs/>
          <w:iCs/>
          <w:color w:val="000000"/>
        </w:rPr>
        <w:t xml:space="preserve">SVR rate </w:t>
      </w:r>
      <w:r w:rsidR="00FC0C50" w:rsidRPr="00CD3D64">
        <w:rPr>
          <w:rFonts w:ascii="Book Antiqua" w:hAnsi="Book Antiqua"/>
          <w:bCs/>
          <w:iCs/>
          <w:color w:val="000000"/>
        </w:rPr>
        <w:t>from</w:t>
      </w:r>
      <w:r w:rsidR="00B16251" w:rsidRPr="00CD3D64">
        <w:rPr>
          <w:rFonts w:ascii="Book Antiqua" w:hAnsi="Book Antiqua"/>
          <w:bCs/>
          <w:iCs/>
          <w:color w:val="000000"/>
        </w:rPr>
        <w:t xml:space="preserve"> nationwide German data was lower</w:t>
      </w:r>
      <w:r w:rsidR="00500965" w:rsidRPr="00CD3D64">
        <w:rPr>
          <w:rFonts w:ascii="Book Antiqua" w:hAnsi="Book Antiqua"/>
          <w:bCs/>
          <w:iCs/>
          <w:color w:val="000000"/>
        </w:rPr>
        <w:t xml:space="preserve"> compared to SVR rates of clinical trials</w:t>
      </w:r>
      <w:r w:rsidR="00500965" w:rsidRPr="00CD3D64">
        <w:rPr>
          <w:rFonts w:ascii="Book Antiqua" w:hAnsi="Book Antiqua"/>
          <w:b/>
          <w:iCs/>
          <w:color w:val="000000"/>
        </w:rPr>
        <w:t xml:space="preserve"> </w:t>
      </w:r>
      <w:r w:rsidR="00B16251" w:rsidRPr="00CD3D64">
        <w:rPr>
          <w:rFonts w:ascii="Book Antiqua" w:hAnsi="Book Antiqua"/>
          <w:bCs/>
          <w:iCs/>
          <w:color w:val="000000"/>
        </w:rPr>
        <w:t>(83% in intention</w:t>
      </w:r>
      <w:r w:rsidR="00FC0C50" w:rsidRPr="00CD3D64">
        <w:rPr>
          <w:rFonts w:ascii="Book Antiqua" w:hAnsi="Book Antiqua"/>
          <w:bCs/>
          <w:iCs/>
          <w:color w:val="000000"/>
        </w:rPr>
        <w:t>-</w:t>
      </w:r>
      <w:r w:rsidR="00B16251" w:rsidRPr="00CD3D64">
        <w:rPr>
          <w:rFonts w:ascii="Book Antiqua" w:hAnsi="Book Antiqua"/>
          <w:bCs/>
          <w:iCs/>
          <w:color w:val="000000"/>
        </w:rPr>
        <w:t>to</w:t>
      </w:r>
      <w:r w:rsidR="00FC0C50" w:rsidRPr="00CD3D64">
        <w:rPr>
          <w:rFonts w:ascii="Book Antiqua" w:hAnsi="Book Antiqua"/>
          <w:bCs/>
          <w:iCs/>
          <w:color w:val="000000"/>
        </w:rPr>
        <w:t>-</w:t>
      </w:r>
      <w:r w:rsidR="00B16251" w:rsidRPr="00CD3D64">
        <w:rPr>
          <w:rFonts w:ascii="Book Antiqua" w:hAnsi="Book Antiqua"/>
          <w:bCs/>
          <w:iCs/>
          <w:color w:val="000000"/>
        </w:rPr>
        <w:t>treat analysis</w:t>
      </w:r>
      <w:proofErr w:type="gramStart"/>
      <w:r w:rsidR="00B16251" w:rsidRPr="00CD3D64">
        <w:rPr>
          <w:rFonts w:ascii="Book Antiqua" w:hAnsi="Book Antiqua"/>
          <w:bCs/>
          <w:iCs/>
          <w:color w:val="000000"/>
        </w:rPr>
        <w:t>)</w:t>
      </w:r>
      <w:r w:rsidR="00687F30" w:rsidRPr="00CD3D64">
        <w:rPr>
          <w:rFonts w:ascii="Book Antiqua" w:hAnsi="Book Antiqua"/>
          <w:bCs/>
          <w:iCs/>
          <w:color w:val="000000"/>
          <w:vertAlign w:val="superscript"/>
        </w:rPr>
        <w:t>[</w:t>
      </w:r>
      <w:proofErr w:type="gramEnd"/>
      <w:r w:rsidR="00687F30" w:rsidRPr="00CD3D64">
        <w:rPr>
          <w:rFonts w:ascii="Book Antiqua" w:hAnsi="Book Antiqua"/>
          <w:bCs/>
          <w:iCs/>
          <w:color w:val="000000"/>
          <w:vertAlign w:val="superscript"/>
        </w:rPr>
        <w:t>21]</w:t>
      </w:r>
      <w:r w:rsidR="00670F16" w:rsidRPr="00CD3D64">
        <w:rPr>
          <w:rFonts w:ascii="Book Antiqua" w:hAnsi="Book Antiqua"/>
          <w:bCs/>
          <w:iCs/>
          <w:color w:val="000000"/>
        </w:rPr>
        <w:t>.</w:t>
      </w:r>
      <w:r w:rsidR="00B16251" w:rsidRPr="00CD3D64">
        <w:rPr>
          <w:rFonts w:ascii="Book Antiqua" w:hAnsi="Book Antiqua"/>
          <w:bCs/>
          <w:iCs/>
          <w:color w:val="000000"/>
        </w:rPr>
        <w:t xml:space="preserve"> </w:t>
      </w:r>
      <w:r w:rsidR="00BB4627" w:rsidRPr="00CD3D64">
        <w:rPr>
          <w:rFonts w:ascii="Book Antiqua" w:hAnsi="Book Antiqua"/>
          <w:bCs/>
          <w:iCs/>
          <w:color w:val="000000"/>
        </w:rPr>
        <w:t xml:space="preserve">Recently, </w:t>
      </w:r>
      <w:r w:rsidR="00834E4A" w:rsidRPr="00CD3D64">
        <w:rPr>
          <w:rFonts w:ascii="Book Antiqua" w:hAnsi="Book Antiqua"/>
          <w:bCs/>
          <w:iCs/>
          <w:color w:val="000000"/>
        </w:rPr>
        <w:t>ribavirin</w:t>
      </w:r>
      <w:r w:rsidR="00FC0C50" w:rsidRPr="00CD3D64">
        <w:rPr>
          <w:rFonts w:ascii="Book Antiqua" w:hAnsi="Book Antiqua"/>
          <w:bCs/>
          <w:iCs/>
          <w:color w:val="000000"/>
        </w:rPr>
        <w:t>-</w:t>
      </w:r>
      <w:r w:rsidR="00834E4A" w:rsidRPr="00CD3D64">
        <w:rPr>
          <w:rFonts w:ascii="Book Antiqua" w:hAnsi="Book Antiqua"/>
          <w:bCs/>
          <w:iCs/>
          <w:color w:val="000000"/>
        </w:rPr>
        <w:t xml:space="preserve">free DAA therapies such as </w:t>
      </w:r>
      <w:proofErr w:type="spellStart"/>
      <w:r w:rsidR="00D2089D" w:rsidRPr="00CD3D64">
        <w:rPr>
          <w:rFonts w:ascii="Book Antiqua" w:hAnsi="Book Antiqua"/>
          <w:bCs/>
          <w:iCs/>
          <w:color w:val="000000"/>
        </w:rPr>
        <w:t>glecaprevir</w:t>
      </w:r>
      <w:proofErr w:type="spellEnd"/>
      <w:r w:rsidR="00D2089D" w:rsidRPr="00CD3D64">
        <w:rPr>
          <w:rFonts w:ascii="Book Antiqua" w:hAnsi="Book Antiqua"/>
          <w:bCs/>
          <w:iCs/>
          <w:color w:val="000000"/>
        </w:rPr>
        <w:t xml:space="preserve"> plus </w:t>
      </w:r>
      <w:proofErr w:type="spellStart"/>
      <w:r w:rsidR="00D2089D" w:rsidRPr="00CD3D64">
        <w:rPr>
          <w:rFonts w:ascii="Book Antiqua" w:hAnsi="Book Antiqua"/>
          <w:bCs/>
          <w:iCs/>
          <w:color w:val="000000"/>
        </w:rPr>
        <w:t>pibrentasvir</w:t>
      </w:r>
      <w:proofErr w:type="spellEnd"/>
      <w:r w:rsidR="00D2089D" w:rsidRPr="00CD3D64">
        <w:rPr>
          <w:rFonts w:ascii="Book Antiqua" w:hAnsi="Book Antiqua"/>
          <w:bCs/>
          <w:iCs/>
          <w:color w:val="000000"/>
        </w:rPr>
        <w:t xml:space="preserve">, and </w:t>
      </w:r>
      <w:proofErr w:type="spellStart"/>
      <w:r w:rsidR="00D2089D" w:rsidRPr="00CD3D64">
        <w:rPr>
          <w:rFonts w:ascii="Book Antiqua" w:hAnsi="Book Antiqua"/>
          <w:color w:val="000000"/>
        </w:rPr>
        <w:t>sofosbuvir</w:t>
      </w:r>
      <w:proofErr w:type="spellEnd"/>
      <w:r w:rsidR="00D2089D" w:rsidRPr="00CD3D64">
        <w:rPr>
          <w:rFonts w:ascii="Book Antiqua" w:hAnsi="Book Antiqua"/>
          <w:bCs/>
          <w:iCs/>
          <w:color w:val="000000"/>
        </w:rPr>
        <w:t xml:space="preserve"> plus </w:t>
      </w:r>
      <w:proofErr w:type="spellStart"/>
      <w:r w:rsidR="00D2089D" w:rsidRPr="00CD3D64">
        <w:rPr>
          <w:rFonts w:ascii="Book Antiqua" w:hAnsi="Book Antiqua"/>
          <w:bCs/>
          <w:iCs/>
          <w:color w:val="000000"/>
        </w:rPr>
        <w:t>ledipasvir</w:t>
      </w:r>
      <w:proofErr w:type="spellEnd"/>
      <w:r w:rsidR="00D2089D" w:rsidRPr="00CD3D64">
        <w:rPr>
          <w:rFonts w:ascii="Book Antiqua" w:hAnsi="Book Antiqua"/>
          <w:bCs/>
          <w:iCs/>
          <w:color w:val="000000"/>
        </w:rPr>
        <w:t xml:space="preserve"> </w:t>
      </w:r>
      <w:r w:rsidR="00834E4A" w:rsidRPr="00CD3D64">
        <w:rPr>
          <w:rFonts w:ascii="Book Antiqua" w:hAnsi="Book Antiqua"/>
          <w:bCs/>
          <w:iCs/>
          <w:color w:val="000000"/>
        </w:rPr>
        <w:t xml:space="preserve">have </w:t>
      </w:r>
      <w:r w:rsidR="00BB4627" w:rsidRPr="00CD3D64">
        <w:rPr>
          <w:rFonts w:ascii="Book Antiqua" w:hAnsi="Book Antiqua"/>
          <w:bCs/>
          <w:iCs/>
          <w:color w:val="000000"/>
        </w:rPr>
        <w:t xml:space="preserve">also </w:t>
      </w:r>
      <w:r w:rsidR="00ED194F" w:rsidRPr="00CD3D64">
        <w:rPr>
          <w:rFonts w:ascii="Book Antiqua" w:hAnsi="Book Antiqua"/>
          <w:bCs/>
          <w:iCs/>
          <w:color w:val="000000"/>
        </w:rPr>
        <w:t xml:space="preserve">been </w:t>
      </w:r>
      <w:r w:rsidR="00834E4A" w:rsidRPr="00CD3D64">
        <w:rPr>
          <w:rFonts w:ascii="Book Antiqua" w:hAnsi="Book Antiqua"/>
          <w:bCs/>
          <w:iCs/>
          <w:color w:val="000000"/>
        </w:rPr>
        <w:t xml:space="preserve">approved </w:t>
      </w:r>
      <w:r w:rsidR="00D2089D" w:rsidRPr="00CD3D64">
        <w:rPr>
          <w:rFonts w:ascii="Book Antiqua" w:hAnsi="Book Antiqua"/>
          <w:bCs/>
          <w:iCs/>
          <w:color w:val="000000"/>
        </w:rPr>
        <w:t xml:space="preserve">for </w:t>
      </w:r>
      <w:r w:rsidR="00FC0C50" w:rsidRPr="00CD3D64">
        <w:rPr>
          <w:rFonts w:ascii="Book Antiqua" w:hAnsi="Book Antiqua"/>
          <w:bCs/>
          <w:iCs/>
          <w:color w:val="000000"/>
        </w:rPr>
        <w:t xml:space="preserve">use in </w:t>
      </w:r>
      <w:r w:rsidR="00D2089D" w:rsidRPr="00CD3D64">
        <w:rPr>
          <w:rFonts w:ascii="Book Antiqua" w:hAnsi="Book Antiqua"/>
          <w:bCs/>
          <w:iCs/>
          <w:color w:val="000000"/>
        </w:rPr>
        <w:t xml:space="preserve">patients with HCV genotype 2 </w:t>
      </w:r>
      <w:r w:rsidR="00834E4A" w:rsidRPr="00CD3D64">
        <w:rPr>
          <w:rFonts w:ascii="Book Antiqua" w:hAnsi="Book Antiqua"/>
          <w:bCs/>
          <w:iCs/>
          <w:color w:val="000000"/>
        </w:rPr>
        <w:t xml:space="preserve">in </w:t>
      </w:r>
      <w:proofErr w:type="gramStart"/>
      <w:r w:rsidR="00834E4A" w:rsidRPr="00CD3D64">
        <w:rPr>
          <w:rFonts w:ascii="Book Antiqua" w:hAnsi="Book Antiqua"/>
          <w:bCs/>
          <w:iCs/>
          <w:color w:val="000000"/>
        </w:rPr>
        <w:t>Japan</w:t>
      </w:r>
      <w:r w:rsidR="00687F30" w:rsidRPr="00CD3D64">
        <w:rPr>
          <w:rFonts w:ascii="Book Antiqua" w:hAnsi="Book Antiqua"/>
          <w:bCs/>
          <w:iCs/>
          <w:color w:val="000000"/>
          <w:vertAlign w:val="superscript"/>
        </w:rPr>
        <w:t>[</w:t>
      </w:r>
      <w:proofErr w:type="gramEnd"/>
      <w:r w:rsidR="00687F30" w:rsidRPr="00CD3D64">
        <w:rPr>
          <w:rFonts w:ascii="Book Antiqua" w:hAnsi="Book Antiqua"/>
          <w:bCs/>
          <w:iCs/>
          <w:color w:val="000000"/>
          <w:vertAlign w:val="superscript"/>
        </w:rPr>
        <w:t>22,23]</w:t>
      </w:r>
      <w:r w:rsidR="00670F16" w:rsidRPr="00CD3D64">
        <w:rPr>
          <w:rFonts w:ascii="Book Antiqua" w:hAnsi="Book Antiqua"/>
          <w:bCs/>
          <w:iCs/>
          <w:color w:val="000000"/>
        </w:rPr>
        <w:t>.</w:t>
      </w:r>
      <w:r w:rsidR="005B415E" w:rsidRPr="00CD3D64">
        <w:rPr>
          <w:rFonts w:ascii="Book Antiqua" w:hAnsi="Book Antiqua"/>
          <w:bCs/>
          <w:iCs/>
          <w:color w:val="000000"/>
        </w:rPr>
        <w:t xml:space="preserve"> </w:t>
      </w:r>
      <w:r w:rsidR="00FC0C50" w:rsidRPr="00CD3D64">
        <w:rPr>
          <w:rFonts w:ascii="Book Antiqua" w:hAnsi="Book Antiqua"/>
          <w:bCs/>
          <w:iCs/>
          <w:color w:val="000000"/>
        </w:rPr>
        <w:t>T</w:t>
      </w:r>
      <w:r w:rsidRPr="00CD3D64">
        <w:rPr>
          <w:rFonts w:ascii="Book Antiqua" w:hAnsi="Book Antiqua"/>
          <w:bCs/>
          <w:iCs/>
          <w:color w:val="000000"/>
        </w:rPr>
        <w:t>hese therap</w:t>
      </w:r>
      <w:r w:rsidR="00BB4627" w:rsidRPr="00CD3D64">
        <w:rPr>
          <w:rFonts w:ascii="Book Antiqua" w:hAnsi="Book Antiqua"/>
          <w:bCs/>
          <w:iCs/>
          <w:color w:val="000000"/>
        </w:rPr>
        <w:t>ies</w:t>
      </w:r>
      <w:r w:rsidRPr="00CD3D64">
        <w:rPr>
          <w:rFonts w:ascii="Book Antiqua" w:hAnsi="Book Antiqua"/>
          <w:bCs/>
          <w:iCs/>
          <w:color w:val="000000"/>
        </w:rPr>
        <w:t xml:space="preserve"> have </w:t>
      </w:r>
      <w:r w:rsidR="00ED194F" w:rsidRPr="00CD3D64">
        <w:rPr>
          <w:rFonts w:ascii="Book Antiqua" w:hAnsi="Book Antiqua"/>
          <w:bCs/>
          <w:iCs/>
          <w:color w:val="000000"/>
        </w:rPr>
        <w:t xml:space="preserve">shown </w:t>
      </w:r>
      <w:r w:rsidRPr="00CD3D64">
        <w:rPr>
          <w:rFonts w:ascii="Book Antiqua" w:hAnsi="Book Antiqua"/>
          <w:bCs/>
          <w:iCs/>
          <w:color w:val="000000"/>
        </w:rPr>
        <w:t xml:space="preserve">no adverse effects due to ribavirin </w:t>
      </w:r>
      <w:r w:rsidR="00FC0C50" w:rsidRPr="00CD3D64">
        <w:rPr>
          <w:rFonts w:ascii="Book Antiqua" w:hAnsi="Book Antiqua"/>
          <w:bCs/>
          <w:iCs/>
          <w:color w:val="000000"/>
        </w:rPr>
        <w:t xml:space="preserve">and </w:t>
      </w:r>
      <w:r w:rsidR="004E0AE1" w:rsidRPr="00CD3D64">
        <w:rPr>
          <w:rFonts w:ascii="Book Antiqua" w:hAnsi="Book Antiqua"/>
          <w:bCs/>
          <w:iCs/>
          <w:color w:val="000000"/>
        </w:rPr>
        <w:t xml:space="preserve">have </w:t>
      </w:r>
      <w:r w:rsidR="00FC0C50" w:rsidRPr="00CD3D64">
        <w:rPr>
          <w:rFonts w:ascii="Book Antiqua" w:hAnsi="Book Antiqua"/>
          <w:bCs/>
          <w:iCs/>
          <w:color w:val="000000"/>
        </w:rPr>
        <w:t xml:space="preserve">thus </w:t>
      </w:r>
      <w:r w:rsidRPr="00CD3D64">
        <w:rPr>
          <w:rFonts w:ascii="Book Antiqua" w:hAnsi="Book Antiqua"/>
          <w:bCs/>
          <w:iCs/>
          <w:color w:val="000000"/>
        </w:rPr>
        <w:t>become first-line treatments.</w:t>
      </w:r>
      <w:r w:rsidR="0010244A" w:rsidRPr="00CD3D64">
        <w:rPr>
          <w:rFonts w:ascii="Book Antiqua" w:hAnsi="Book Antiqua"/>
          <w:bCs/>
          <w:iCs/>
          <w:color w:val="000000"/>
        </w:rPr>
        <w:t xml:space="preserve"> </w:t>
      </w:r>
      <w:r w:rsidR="00FC0C50" w:rsidRPr="00CD3D64">
        <w:rPr>
          <w:rFonts w:ascii="Book Antiqua" w:hAnsi="Book Antiqua"/>
          <w:bCs/>
          <w:iCs/>
          <w:color w:val="000000"/>
        </w:rPr>
        <w:t>T</w:t>
      </w:r>
      <w:r w:rsidR="0010244A" w:rsidRPr="00CD3D64">
        <w:rPr>
          <w:rFonts w:ascii="Book Antiqua" w:hAnsi="Book Antiqua"/>
          <w:bCs/>
          <w:iCs/>
          <w:color w:val="000000"/>
        </w:rPr>
        <w:t xml:space="preserve">hese therapies also </w:t>
      </w:r>
      <w:r w:rsidR="00FC0C50" w:rsidRPr="00CD3D64">
        <w:rPr>
          <w:rFonts w:ascii="Book Antiqua" w:hAnsi="Book Antiqua"/>
          <w:bCs/>
          <w:iCs/>
          <w:color w:val="000000"/>
        </w:rPr>
        <w:t xml:space="preserve">represent </w:t>
      </w:r>
      <w:r w:rsidR="0010244A" w:rsidRPr="00CD3D64">
        <w:rPr>
          <w:rFonts w:ascii="Book Antiqua" w:hAnsi="Book Antiqua"/>
          <w:bCs/>
          <w:iCs/>
          <w:color w:val="000000"/>
        </w:rPr>
        <w:t>rescue treatment</w:t>
      </w:r>
      <w:r w:rsidR="00FC0C50" w:rsidRPr="00CD3D64">
        <w:rPr>
          <w:rFonts w:ascii="Book Antiqua" w:hAnsi="Book Antiqua"/>
          <w:bCs/>
          <w:iCs/>
          <w:color w:val="000000"/>
        </w:rPr>
        <w:t>s</w:t>
      </w:r>
      <w:r w:rsidR="0010244A" w:rsidRPr="00CD3D64">
        <w:rPr>
          <w:rFonts w:ascii="Book Antiqua" w:hAnsi="Book Antiqua"/>
          <w:bCs/>
          <w:iCs/>
          <w:color w:val="000000"/>
        </w:rPr>
        <w:t xml:space="preserve"> for patients with </w:t>
      </w:r>
      <w:proofErr w:type="spellStart"/>
      <w:r w:rsidR="0010244A" w:rsidRPr="00CD3D64">
        <w:rPr>
          <w:rFonts w:ascii="Book Antiqua" w:hAnsi="Book Antiqua"/>
          <w:bCs/>
          <w:iCs/>
          <w:color w:val="000000"/>
        </w:rPr>
        <w:t>sofosbuvir</w:t>
      </w:r>
      <w:proofErr w:type="spellEnd"/>
      <w:r w:rsidR="0010244A" w:rsidRPr="00CD3D64">
        <w:rPr>
          <w:rFonts w:ascii="Book Antiqua" w:hAnsi="Book Antiqua"/>
          <w:bCs/>
          <w:iCs/>
          <w:color w:val="000000"/>
        </w:rPr>
        <w:t xml:space="preserve"> plus ribavirin failure. </w:t>
      </w:r>
      <w:r w:rsidR="00BB4627" w:rsidRPr="00CD3D64">
        <w:rPr>
          <w:rFonts w:ascii="Book Antiqua" w:hAnsi="Book Antiqua"/>
          <w:bCs/>
          <w:iCs/>
          <w:color w:val="000000"/>
        </w:rPr>
        <w:t xml:space="preserve">However, </w:t>
      </w:r>
      <w:r w:rsidR="002C3A68" w:rsidRPr="00CD3D64">
        <w:rPr>
          <w:rFonts w:ascii="Book Antiqua" w:hAnsi="Book Antiqua"/>
          <w:bCs/>
          <w:iCs/>
          <w:color w:val="000000"/>
        </w:rPr>
        <w:t>in consensus statements and recommendation</w:t>
      </w:r>
      <w:r w:rsidR="00ED194F" w:rsidRPr="00CD3D64">
        <w:rPr>
          <w:rFonts w:ascii="Book Antiqua" w:hAnsi="Book Antiqua"/>
          <w:bCs/>
          <w:iCs/>
          <w:color w:val="000000"/>
        </w:rPr>
        <w:t>s</w:t>
      </w:r>
      <w:r w:rsidR="002C3A68" w:rsidRPr="00CD3D64">
        <w:rPr>
          <w:rFonts w:ascii="Book Antiqua" w:hAnsi="Book Antiqua"/>
          <w:bCs/>
          <w:iCs/>
          <w:color w:val="000000"/>
        </w:rPr>
        <w:t xml:space="preserve"> on </w:t>
      </w:r>
      <w:r w:rsidR="00ED194F" w:rsidRPr="00CD3D64">
        <w:rPr>
          <w:rFonts w:ascii="Book Antiqua" w:hAnsi="Book Antiqua"/>
          <w:bCs/>
          <w:iCs/>
          <w:color w:val="000000"/>
        </w:rPr>
        <w:t xml:space="preserve">the </w:t>
      </w:r>
      <w:r w:rsidR="002C3A68" w:rsidRPr="00CD3D64">
        <w:rPr>
          <w:rFonts w:ascii="Book Antiqua" w:hAnsi="Book Antiqua"/>
          <w:bCs/>
          <w:iCs/>
          <w:color w:val="000000"/>
        </w:rPr>
        <w:t xml:space="preserve">treatment of hepatitis C </w:t>
      </w:r>
      <w:r w:rsidR="00ED194F" w:rsidRPr="00CD3D64">
        <w:rPr>
          <w:rFonts w:ascii="Book Antiqua" w:hAnsi="Book Antiqua"/>
          <w:bCs/>
          <w:iCs/>
          <w:color w:val="000000"/>
        </w:rPr>
        <w:t xml:space="preserve">from </w:t>
      </w:r>
      <w:r w:rsidR="002C3A68" w:rsidRPr="00CD3D64">
        <w:rPr>
          <w:rFonts w:ascii="Book Antiqua" w:hAnsi="Book Antiqua"/>
          <w:bCs/>
          <w:iCs/>
          <w:color w:val="000000"/>
        </w:rPr>
        <w:t xml:space="preserve">the Asian-Paciﬁc Association for the Study of the Liver, </w:t>
      </w:r>
      <w:proofErr w:type="spellStart"/>
      <w:r w:rsidR="00010A84" w:rsidRPr="00CD3D64">
        <w:rPr>
          <w:rFonts w:ascii="Book Antiqua" w:hAnsi="Book Antiqua"/>
          <w:bCs/>
          <w:iCs/>
          <w:color w:val="000000"/>
        </w:rPr>
        <w:t>sofosbuvir</w:t>
      </w:r>
      <w:proofErr w:type="spellEnd"/>
      <w:r w:rsidR="00010A84" w:rsidRPr="00CD3D64">
        <w:rPr>
          <w:rFonts w:ascii="Book Antiqua" w:hAnsi="Book Antiqua"/>
          <w:bCs/>
          <w:iCs/>
          <w:color w:val="000000"/>
        </w:rPr>
        <w:t xml:space="preserve"> plus weight-based ribavirin for 12 </w:t>
      </w:r>
      <w:proofErr w:type="spellStart"/>
      <w:r w:rsidR="00010A84" w:rsidRPr="00CD3D64">
        <w:rPr>
          <w:rFonts w:ascii="Book Antiqua" w:hAnsi="Book Antiqua"/>
          <w:bCs/>
          <w:iCs/>
          <w:color w:val="000000"/>
        </w:rPr>
        <w:t>wk</w:t>
      </w:r>
      <w:proofErr w:type="spellEnd"/>
      <w:r w:rsidR="00010A84" w:rsidRPr="00CD3D64">
        <w:rPr>
          <w:rFonts w:ascii="Book Antiqua" w:hAnsi="Book Antiqua"/>
          <w:bCs/>
          <w:iCs/>
          <w:color w:val="000000"/>
        </w:rPr>
        <w:t xml:space="preserve"> is recommended </w:t>
      </w:r>
      <w:r w:rsidR="00F37BA9" w:rsidRPr="00CD3D64">
        <w:rPr>
          <w:rFonts w:ascii="Book Antiqua" w:hAnsi="Book Antiqua"/>
          <w:bCs/>
          <w:iCs/>
          <w:color w:val="000000"/>
        </w:rPr>
        <w:t>as a first-line treatment</w:t>
      </w:r>
      <w:r w:rsidR="002C3A68" w:rsidRPr="00CD3D64">
        <w:rPr>
          <w:rFonts w:ascii="Book Antiqua" w:hAnsi="Book Antiqua"/>
          <w:bCs/>
          <w:iCs/>
          <w:color w:val="000000"/>
        </w:rPr>
        <w:t xml:space="preserve">, and </w:t>
      </w:r>
      <w:proofErr w:type="spellStart"/>
      <w:r w:rsidR="002C3A68" w:rsidRPr="00CD3D64">
        <w:rPr>
          <w:rFonts w:ascii="Book Antiqua" w:hAnsi="Book Antiqua"/>
          <w:bCs/>
          <w:iCs/>
          <w:color w:val="000000"/>
        </w:rPr>
        <w:t>ledipasvir</w:t>
      </w:r>
      <w:proofErr w:type="spellEnd"/>
      <w:r w:rsidR="002C3A68" w:rsidRPr="00CD3D64">
        <w:rPr>
          <w:rFonts w:ascii="Book Antiqua" w:hAnsi="Book Antiqua"/>
          <w:bCs/>
          <w:iCs/>
          <w:color w:val="000000"/>
        </w:rPr>
        <w:t xml:space="preserve"> and </w:t>
      </w:r>
      <w:proofErr w:type="spellStart"/>
      <w:r w:rsidR="002C3A68" w:rsidRPr="00CD3D64">
        <w:rPr>
          <w:rFonts w:ascii="Book Antiqua" w:hAnsi="Book Antiqua"/>
          <w:bCs/>
          <w:iCs/>
          <w:color w:val="000000"/>
        </w:rPr>
        <w:t>sofosbuvir</w:t>
      </w:r>
      <w:proofErr w:type="spellEnd"/>
      <w:r w:rsidR="002C3A68" w:rsidRPr="00CD3D64">
        <w:rPr>
          <w:rFonts w:ascii="Book Antiqua" w:hAnsi="Book Antiqua"/>
          <w:bCs/>
          <w:iCs/>
          <w:color w:val="000000"/>
        </w:rPr>
        <w:t xml:space="preserve"> for 12 </w:t>
      </w:r>
      <w:proofErr w:type="spellStart"/>
      <w:r w:rsidR="002C3A68" w:rsidRPr="00CD3D64">
        <w:rPr>
          <w:rFonts w:ascii="Book Antiqua" w:hAnsi="Book Antiqua"/>
          <w:bCs/>
          <w:iCs/>
          <w:color w:val="000000"/>
        </w:rPr>
        <w:t>wk</w:t>
      </w:r>
      <w:proofErr w:type="spellEnd"/>
      <w:r w:rsidR="002C3A68" w:rsidRPr="00CD3D64">
        <w:rPr>
          <w:rFonts w:ascii="Book Antiqua" w:hAnsi="Book Antiqua"/>
          <w:bCs/>
          <w:iCs/>
          <w:color w:val="000000"/>
        </w:rPr>
        <w:t xml:space="preserve"> is recommended for treatment-naïve </w:t>
      </w:r>
      <w:r w:rsidR="00ED194F" w:rsidRPr="00CD3D64">
        <w:rPr>
          <w:rFonts w:ascii="Book Antiqua" w:hAnsi="Book Antiqua"/>
          <w:bCs/>
          <w:iCs/>
          <w:color w:val="000000"/>
        </w:rPr>
        <w:t>HCV genotype 2 patients</w:t>
      </w:r>
      <w:r w:rsidR="002C3A68" w:rsidRPr="00CD3D64">
        <w:rPr>
          <w:rFonts w:ascii="Book Antiqua" w:hAnsi="Book Antiqua"/>
          <w:bCs/>
          <w:iCs/>
          <w:color w:val="000000"/>
        </w:rPr>
        <w:t xml:space="preserve"> who cannot tolerate ribavirin</w:t>
      </w:r>
      <w:r w:rsidR="00687F30" w:rsidRPr="00CD3D64">
        <w:rPr>
          <w:rFonts w:ascii="Book Antiqua" w:hAnsi="Book Antiqua"/>
          <w:bCs/>
          <w:iCs/>
          <w:color w:val="000000"/>
          <w:vertAlign w:val="superscript"/>
        </w:rPr>
        <w:t>[24]</w:t>
      </w:r>
      <w:r w:rsidR="00670F16" w:rsidRPr="00CD3D64">
        <w:rPr>
          <w:rFonts w:ascii="Book Antiqua" w:hAnsi="Book Antiqua"/>
          <w:bCs/>
          <w:iCs/>
          <w:color w:val="000000"/>
        </w:rPr>
        <w:t>.</w:t>
      </w:r>
      <w:r w:rsidR="00010A84" w:rsidRPr="00CD3D64">
        <w:rPr>
          <w:rFonts w:ascii="Book Antiqua" w:hAnsi="Book Antiqua"/>
          <w:bCs/>
          <w:iCs/>
          <w:color w:val="000000"/>
        </w:rPr>
        <w:t xml:space="preserve"> </w:t>
      </w:r>
      <w:bookmarkStart w:id="29" w:name="_Hlk45445727"/>
      <w:r w:rsidR="00AB1701" w:rsidRPr="00CD3D64">
        <w:rPr>
          <w:rFonts w:ascii="Book Antiqua" w:hAnsi="Book Antiqua"/>
          <w:bCs/>
          <w:iCs/>
          <w:color w:val="000000"/>
        </w:rPr>
        <w:t xml:space="preserve">In addition, SVR rates from Asian real-world data were similar to those of </w:t>
      </w:r>
      <w:r w:rsidR="00ED194F" w:rsidRPr="00CD3D64">
        <w:rPr>
          <w:rFonts w:ascii="Book Antiqua" w:hAnsi="Book Antiqua"/>
          <w:bCs/>
          <w:iCs/>
          <w:color w:val="000000"/>
        </w:rPr>
        <w:t xml:space="preserve">the </w:t>
      </w:r>
      <w:r w:rsidR="00AB1701" w:rsidRPr="00CD3D64">
        <w:rPr>
          <w:rFonts w:ascii="Book Antiqua" w:hAnsi="Book Antiqua"/>
          <w:bCs/>
          <w:iCs/>
          <w:color w:val="000000"/>
        </w:rPr>
        <w:t xml:space="preserve">phase III </w:t>
      </w:r>
      <w:proofErr w:type="gramStart"/>
      <w:r w:rsidR="00AB1701" w:rsidRPr="00CD3D64">
        <w:rPr>
          <w:rFonts w:ascii="Book Antiqua" w:hAnsi="Book Antiqua"/>
          <w:bCs/>
          <w:iCs/>
          <w:color w:val="000000"/>
        </w:rPr>
        <w:t>trial</w:t>
      </w:r>
      <w:r w:rsidR="00687F30" w:rsidRPr="00CD3D64">
        <w:rPr>
          <w:rFonts w:ascii="Book Antiqua" w:hAnsi="Book Antiqua"/>
          <w:bCs/>
          <w:iCs/>
          <w:color w:val="000000"/>
          <w:vertAlign w:val="superscript"/>
        </w:rPr>
        <w:t>[</w:t>
      </w:r>
      <w:proofErr w:type="gramEnd"/>
      <w:r w:rsidR="00687F30" w:rsidRPr="00CD3D64">
        <w:rPr>
          <w:rFonts w:ascii="Book Antiqua" w:hAnsi="Book Antiqua"/>
          <w:bCs/>
          <w:iCs/>
          <w:color w:val="000000"/>
          <w:vertAlign w:val="superscript"/>
        </w:rPr>
        <w:t>25]</w:t>
      </w:r>
      <w:r w:rsidR="00670F16" w:rsidRPr="00CD3D64">
        <w:rPr>
          <w:rFonts w:ascii="Book Antiqua" w:hAnsi="Book Antiqua"/>
          <w:bCs/>
          <w:iCs/>
          <w:color w:val="000000"/>
        </w:rPr>
        <w:t>.</w:t>
      </w:r>
      <w:r w:rsidR="00AB1701" w:rsidRPr="00CD3D64">
        <w:rPr>
          <w:rFonts w:ascii="Book Antiqua" w:hAnsi="Book Antiqua"/>
          <w:bCs/>
          <w:iCs/>
          <w:color w:val="000000"/>
        </w:rPr>
        <w:t xml:space="preserve"> </w:t>
      </w:r>
      <w:proofErr w:type="spellStart"/>
      <w:r w:rsidR="00F37BA9" w:rsidRPr="00CD3D64">
        <w:rPr>
          <w:rFonts w:ascii="Book Antiqua" w:hAnsi="Book Antiqua"/>
          <w:bCs/>
          <w:iCs/>
          <w:color w:val="000000"/>
        </w:rPr>
        <w:t>S</w:t>
      </w:r>
      <w:r w:rsidR="00BB4627" w:rsidRPr="00CD3D64">
        <w:rPr>
          <w:rFonts w:ascii="Book Antiqua" w:hAnsi="Book Antiqua"/>
          <w:bCs/>
          <w:iCs/>
          <w:color w:val="000000"/>
        </w:rPr>
        <w:t>ofosbuvir</w:t>
      </w:r>
      <w:proofErr w:type="spellEnd"/>
      <w:r w:rsidR="00BB4627" w:rsidRPr="00CD3D64">
        <w:rPr>
          <w:rFonts w:ascii="Book Antiqua" w:hAnsi="Book Antiqua"/>
          <w:bCs/>
          <w:iCs/>
          <w:color w:val="000000"/>
        </w:rPr>
        <w:t xml:space="preserve"> </w:t>
      </w:r>
      <w:r w:rsidR="007F68D3" w:rsidRPr="00CD3D64">
        <w:rPr>
          <w:rFonts w:ascii="Book Antiqua" w:hAnsi="Book Antiqua"/>
          <w:bCs/>
          <w:iCs/>
          <w:color w:val="000000"/>
        </w:rPr>
        <w:t>plus</w:t>
      </w:r>
      <w:r w:rsidR="00BB4627" w:rsidRPr="00CD3D64">
        <w:rPr>
          <w:rFonts w:ascii="Book Antiqua" w:hAnsi="Book Antiqua"/>
          <w:bCs/>
          <w:iCs/>
          <w:color w:val="000000"/>
        </w:rPr>
        <w:t xml:space="preserve"> ribavirin therapy </w:t>
      </w:r>
      <w:r w:rsidR="004E0AE1" w:rsidRPr="00CD3D64">
        <w:rPr>
          <w:rFonts w:ascii="Book Antiqua" w:hAnsi="Book Antiqua"/>
          <w:bCs/>
          <w:iCs/>
          <w:color w:val="000000"/>
        </w:rPr>
        <w:t xml:space="preserve">offers </w:t>
      </w:r>
      <w:r w:rsidR="00BB4627" w:rsidRPr="00CD3D64">
        <w:rPr>
          <w:rFonts w:ascii="Book Antiqua" w:hAnsi="Book Antiqua"/>
          <w:bCs/>
          <w:iCs/>
          <w:color w:val="000000"/>
        </w:rPr>
        <w:t xml:space="preserve">advantages in </w:t>
      </w:r>
      <w:r w:rsidR="00FC0C50" w:rsidRPr="00CD3D64">
        <w:rPr>
          <w:rFonts w:ascii="Book Antiqua" w:hAnsi="Book Antiqua"/>
          <w:bCs/>
          <w:iCs/>
          <w:color w:val="000000"/>
        </w:rPr>
        <w:t xml:space="preserve">terms of both </w:t>
      </w:r>
      <w:r w:rsidR="00BB4627" w:rsidRPr="00CD3D64">
        <w:rPr>
          <w:rFonts w:ascii="Book Antiqua" w:hAnsi="Book Antiqua"/>
          <w:bCs/>
          <w:iCs/>
          <w:color w:val="000000"/>
        </w:rPr>
        <w:t>cost and real-</w:t>
      </w:r>
      <w:r w:rsidR="007F3837" w:rsidRPr="00CD3D64">
        <w:rPr>
          <w:rFonts w:ascii="Book Antiqua" w:hAnsi="Book Antiqua"/>
          <w:bCs/>
          <w:iCs/>
          <w:color w:val="000000"/>
        </w:rPr>
        <w:t>world</w:t>
      </w:r>
      <w:r w:rsidR="00BB4627" w:rsidRPr="00CD3D64">
        <w:rPr>
          <w:rFonts w:ascii="Book Antiqua" w:hAnsi="Book Antiqua"/>
          <w:bCs/>
          <w:iCs/>
          <w:color w:val="000000"/>
        </w:rPr>
        <w:t xml:space="preserve"> evidence.</w:t>
      </w:r>
    </w:p>
    <w:bookmarkEnd w:id="29"/>
    <w:p w:rsidR="00EE3ECF" w:rsidRPr="00CD3D64" w:rsidRDefault="00FC0C50" w:rsidP="00CD3D64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color w:val="000000"/>
        </w:rPr>
      </w:pPr>
      <w:r w:rsidRPr="00CD3D64">
        <w:rPr>
          <w:rFonts w:ascii="Book Antiqua" w:hAnsi="Book Antiqua"/>
          <w:color w:val="000000"/>
        </w:rPr>
        <w:t>S</w:t>
      </w:r>
      <w:r w:rsidR="006F5128" w:rsidRPr="00CD3D64">
        <w:rPr>
          <w:rFonts w:ascii="Book Antiqua" w:hAnsi="Book Antiqua"/>
          <w:color w:val="000000"/>
        </w:rPr>
        <w:t xml:space="preserve">ome limitations </w:t>
      </w:r>
      <w:r w:rsidRPr="00CD3D64">
        <w:rPr>
          <w:rFonts w:ascii="Book Antiqua" w:hAnsi="Book Antiqua"/>
          <w:color w:val="000000"/>
        </w:rPr>
        <w:t xml:space="preserve">need to </w:t>
      </w:r>
      <w:proofErr w:type="gramStart"/>
      <w:r w:rsidRPr="00CD3D64">
        <w:rPr>
          <w:rFonts w:ascii="Book Antiqua" w:hAnsi="Book Antiqua"/>
          <w:color w:val="000000"/>
        </w:rPr>
        <w:t>be considered</w:t>
      </w:r>
      <w:proofErr w:type="gramEnd"/>
      <w:r w:rsidRPr="00CD3D64">
        <w:rPr>
          <w:rFonts w:ascii="Book Antiqua" w:hAnsi="Book Antiqua"/>
          <w:color w:val="000000"/>
        </w:rPr>
        <w:t xml:space="preserve"> for </w:t>
      </w:r>
      <w:r w:rsidR="006F5128" w:rsidRPr="00CD3D64">
        <w:rPr>
          <w:rFonts w:ascii="Book Antiqua" w:hAnsi="Book Antiqua"/>
          <w:color w:val="000000"/>
        </w:rPr>
        <w:t>th</w:t>
      </w:r>
      <w:r w:rsidR="00D3728F" w:rsidRPr="00CD3D64">
        <w:rPr>
          <w:rFonts w:ascii="Book Antiqua" w:hAnsi="Book Antiqua"/>
          <w:color w:val="000000"/>
        </w:rPr>
        <w:t>e present</w:t>
      </w:r>
      <w:r w:rsidR="006F5128" w:rsidRPr="00CD3D64">
        <w:rPr>
          <w:rFonts w:ascii="Book Antiqua" w:hAnsi="Book Antiqua"/>
          <w:color w:val="000000"/>
        </w:rPr>
        <w:t xml:space="preserve"> study.</w:t>
      </w:r>
      <w:r w:rsidR="00871C3C" w:rsidRPr="00CD3D64">
        <w:rPr>
          <w:rFonts w:ascii="Book Antiqua" w:hAnsi="Book Antiqua"/>
          <w:color w:val="000000"/>
        </w:rPr>
        <w:t xml:space="preserve"> </w:t>
      </w:r>
      <w:r w:rsidR="00EE6637" w:rsidRPr="00CD3D64">
        <w:rPr>
          <w:rFonts w:ascii="Book Antiqua" w:hAnsi="Book Antiqua"/>
          <w:color w:val="000000"/>
        </w:rPr>
        <w:t xml:space="preserve">First, </w:t>
      </w:r>
      <w:r w:rsidR="008B7B17" w:rsidRPr="00CD3D64">
        <w:rPr>
          <w:rFonts w:ascii="Book Antiqua" w:hAnsi="Book Antiqua"/>
          <w:color w:val="000000"/>
        </w:rPr>
        <w:t>some selection biases</w:t>
      </w:r>
      <w:r w:rsidRPr="00CD3D64">
        <w:rPr>
          <w:rFonts w:ascii="Book Antiqua" w:hAnsi="Book Antiqua"/>
          <w:color w:val="000000"/>
        </w:rPr>
        <w:t xml:space="preserve"> </w:t>
      </w:r>
      <w:r w:rsidR="00E75BA0" w:rsidRPr="00CD3D64">
        <w:rPr>
          <w:rFonts w:ascii="Book Antiqua" w:hAnsi="Book Antiqua"/>
          <w:color w:val="000000"/>
        </w:rPr>
        <w:t>would be</w:t>
      </w:r>
      <w:r w:rsidRPr="00CD3D64">
        <w:rPr>
          <w:rFonts w:ascii="Book Antiqua" w:hAnsi="Book Antiqua"/>
          <w:color w:val="000000"/>
        </w:rPr>
        <w:t xml:space="preserve"> present</w:t>
      </w:r>
      <w:r w:rsidR="008B7B17" w:rsidRPr="00CD3D64">
        <w:rPr>
          <w:rFonts w:ascii="Book Antiqua" w:hAnsi="Book Antiqua"/>
          <w:color w:val="000000"/>
        </w:rPr>
        <w:t>.</w:t>
      </w:r>
      <w:r w:rsidR="00F258C2" w:rsidRPr="00CD3D64">
        <w:rPr>
          <w:rFonts w:ascii="Book Antiqua" w:hAnsi="Book Antiqua"/>
          <w:color w:val="000000"/>
        </w:rPr>
        <w:t xml:space="preserve"> </w:t>
      </w:r>
      <w:r w:rsidR="00EE6637" w:rsidRPr="00CD3D64">
        <w:rPr>
          <w:rFonts w:ascii="Book Antiqua" w:hAnsi="Book Antiqua"/>
          <w:color w:val="000000"/>
        </w:rPr>
        <w:t>Second</w:t>
      </w:r>
      <w:r w:rsidR="00697C5F" w:rsidRPr="00CD3D64">
        <w:rPr>
          <w:rFonts w:ascii="Book Antiqua" w:hAnsi="Book Antiqua"/>
          <w:color w:val="000000"/>
        </w:rPr>
        <w:t xml:space="preserve">, </w:t>
      </w:r>
      <w:r w:rsidR="00003997" w:rsidRPr="00CD3D64">
        <w:rPr>
          <w:rFonts w:ascii="Book Antiqua" w:hAnsi="Book Antiqua"/>
          <w:color w:val="000000"/>
        </w:rPr>
        <w:t xml:space="preserve">the number of patients </w:t>
      </w:r>
      <w:r w:rsidR="005431AE" w:rsidRPr="00CD3D64">
        <w:rPr>
          <w:rFonts w:ascii="Book Antiqua" w:hAnsi="Book Antiqua"/>
          <w:color w:val="000000"/>
        </w:rPr>
        <w:t xml:space="preserve">may </w:t>
      </w:r>
      <w:r w:rsidR="000F2222" w:rsidRPr="00CD3D64">
        <w:rPr>
          <w:rFonts w:ascii="Book Antiqua" w:hAnsi="Book Antiqua"/>
          <w:color w:val="000000"/>
        </w:rPr>
        <w:t xml:space="preserve">not </w:t>
      </w:r>
      <w:r w:rsidR="004E0AE1" w:rsidRPr="00CD3D64">
        <w:rPr>
          <w:rFonts w:ascii="Book Antiqua" w:hAnsi="Book Antiqua"/>
          <w:color w:val="000000"/>
        </w:rPr>
        <w:t xml:space="preserve">have </w:t>
      </w:r>
      <w:r w:rsidR="005431AE" w:rsidRPr="00CD3D64">
        <w:rPr>
          <w:rFonts w:ascii="Book Antiqua" w:hAnsi="Book Antiqua"/>
          <w:color w:val="000000"/>
        </w:rPr>
        <w:t>be</w:t>
      </w:r>
      <w:r w:rsidR="004E0AE1" w:rsidRPr="00CD3D64">
        <w:rPr>
          <w:rFonts w:ascii="Book Antiqua" w:hAnsi="Book Antiqua"/>
          <w:color w:val="000000"/>
        </w:rPr>
        <w:t>en</w:t>
      </w:r>
      <w:r w:rsidRPr="00CD3D64">
        <w:rPr>
          <w:rFonts w:ascii="Book Antiqua" w:hAnsi="Book Antiqua"/>
          <w:color w:val="000000"/>
        </w:rPr>
        <w:t xml:space="preserve"> </w:t>
      </w:r>
      <w:r w:rsidR="000E3B64" w:rsidRPr="00CD3D64">
        <w:rPr>
          <w:rFonts w:ascii="Book Antiqua" w:hAnsi="Book Antiqua"/>
          <w:color w:val="000000"/>
        </w:rPr>
        <w:t xml:space="preserve">sufficient </w:t>
      </w:r>
      <w:r w:rsidR="00003997" w:rsidRPr="00CD3D64">
        <w:rPr>
          <w:rFonts w:ascii="Book Antiqua" w:hAnsi="Book Antiqua"/>
          <w:color w:val="000000"/>
        </w:rPr>
        <w:t xml:space="preserve">to </w:t>
      </w:r>
      <w:r w:rsidRPr="00CD3D64">
        <w:rPr>
          <w:rFonts w:ascii="Book Antiqua" w:hAnsi="Book Antiqua"/>
          <w:color w:val="000000"/>
        </w:rPr>
        <w:t>reach</w:t>
      </w:r>
      <w:r w:rsidR="005431AE" w:rsidRPr="00CD3D64">
        <w:rPr>
          <w:rFonts w:ascii="Book Antiqua" w:hAnsi="Book Antiqua"/>
          <w:color w:val="000000"/>
        </w:rPr>
        <w:t xml:space="preserve"> </w:t>
      </w:r>
      <w:r w:rsidR="004E0AE1" w:rsidRPr="00CD3D64">
        <w:rPr>
          <w:rFonts w:ascii="Book Antiqua" w:hAnsi="Book Antiqua"/>
          <w:color w:val="000000"/>
        </w:rPr>
        <w:t xml:space="preserve">definitive </w:t>
      </w:r>
      <w:r w:rsidRPr="00CD3D64">
        <w:rPr>
          <w:rFonts w:ascii="Book Antiqua" w:hAnsi="Book Antiqua"/>
          <w:color w:val="000000"/>
        </w:rPr>
        <w:t xml:space="preserve">conclusions regarding </w:t>
      </w:r>
      <w:r w:rsidR="00003997" w:rsidRPr="00CD3D64">
        <w:rPr>
          <w:rFonts w:ascii="Book Antiqua" w:hAnsi="Book Antiqua"/>
          <w:color w:val="000000"/>
        </w:rPr>
        <w:t>safety and eff</w:t>
      </w:r>
      <w:r w:rsidR="005B415E" w:rsidRPr="00CD3D64">
        <w:rPr>
          <w:rFonts w:ascii="Book Antiqua" w:hAnsi="Book Antiqua"/>
          <w:color w:val="000000"/>
        </w:rPr>
        <w:t>ectiveness</w:t>
      </w:r>
      <w:r w:rsidR="00003997" w:rsidRPr="00CD3D64">
        <w:rPr>
          <w:rFonts w:ascii="Book Antiqua" w:hAnsi="Book Antiqua"/>
          <w:color w:val="000000"/>
        </w:rPr>
        <w:t xml:space="preserve"> </w:t>
      </w:r>
      <w:r w:rsidRPr="00CD3D64">
        <w:rPr>
          <w:rFonts w:ascii="Book Antiqua" w:hAnsi="Book Antiqua"/>
          <w:color w:val="000000"/>
        </w:rPr>
        <w:t xml:space="preserve">in </w:t>
      </w:r>
      <w:proofErr w:type="gramStart"/>
      <w:r w:rsidR="00003997" w:rsidRPr="00CD3D64">
        <w:rPr>
          <w:rFonts w:ascii="Book Antiqua" w:hAnsi="Book Antiqua"/>
          <w:color w:val="000000"/>
        </w:rPr>
        <w:t>patients</w:t>
      </w:r>
      <w:proofErr w:type="gramEnd"/>
      <w:r w:rsidR="00E6144E" w:rsidRPr="00CD3D64">
        <w:rPr>
          <w:rFonts w:ascii="Book Antiqua" w:hAnsi="Book Antiqua"/>
          <w:color w:val="000000"/>
        </w:rPr>
        <w:t xml:space="preserve"> </w:t>
      </w:r>
      <w:r w:rsidR="004E0AE1" w:rsidRPr="00CD3D64">
        <w:rPr>
          <w:rFonts w:ascii="Book Antiqua" w:hAnsi="Book Antiqua"/>
          <w:color w:val="000000"/>
        </w:rPr>
        <w:sym w:font="Symbol" w:char="F0B3"/>
      </w:r>
      <w:r w:rsidR="005A78E0" w:rsidRPr="00CD3D64">
        <w:rPr>
          <w:rFonts w:ascii="Book Antiqua" w:hAnsi="Book Antiqua"/>
          <w:color w:val="000000"/>
        </w:rPr>
        <w:t xml:space="preserve"> </w:t>
      </w:r>
      <w:r w:rsidR="00E6144E" w:rsidRPr="00CD3D64">
        <w:rPr>
          <w:rFonts w:ascii="Book Antiqua" w:hAnsi="Book Antiqua"/>
          <w:color w:val="000000"/>
        </w:rPr>
        <w:t>75</w:t>
      </w:r>
      <w:r w:rsidR="00D242AF">
        <w:rPr>
          <w:rFonts w:ascii="Book Antiqua" w:hAnsi="Book Antiqua"/>
          <w:color w:val="000000"/>
        </w:rPr>
        <w:t>-years-old</w:t>
      </w:r>
      <w:r w:rsidR="00003997" w:rsidRPr="00CD3D64">
        <w:rPr>
          <w:rFonts w:ascii="Book Antiqua" w:hAnsi="Book Antiqua"/>
          <w:bCs/>
          <w:iCs/>
          <w:color w:val="000000"/>
        </w:rPr>
        <w:t xml:space="preserve">. Third, </w:t>
      </w:r>
      <w:r w:rsidR="00EE6637" w:rsidRPr="00CD3D64">
        <w:rPr>
          <w:rFonts w:ascii="Book Antiqua" w:hAnsi="Book Antiqua"/>
          <w:color w:val="000000"/>
        </w:rPr>
        <w:t>reason</w:t>
      </w:r>
      <w:r w:rsidR="000E3B64" w:rsidRPr="00CD3D64">
        <w:rPr>
          <w:rFonts w:ascii="Book Antiqua" w:hAnsi="Book Antiqua"/>
          <w:color w:val="000000"/>
        </w:rPr>
        <w:t>s</w:t>
      </w:r>
      <w:r w:rsidR="00EE6637" w:rsidRPr="00CD3D64">
        <w:rPr>
          <w:rFonts w:ascii="Book Antiqua" w:hAnsi="Book Antiqua"/>
          <w:color w:val="000000"/>
        </w:rPr>
        <w:t xml:space="preserve"> for failure of this the</w:t>
      </w:r>
      <w:r w:rsidR="003F577D" w:rsidRPr="00CD3D64">
        <w:rPr>
          <w:rFonts w:ascii="Book Antiqua" w:hAnsi="Book Antiqua"/>
          <w:color w:val="000000"/>
        </w:rPr>
        <w:t xml:space="preserve">rapy </w:t>
      </w:r>
      <w:proofErr w:type="gramStart"/>
      <w:r w:rsidR="003F577D" w:rsidRPr="00CD3D64">
        <w:rPr>
          <w:rFonts w:ascii="Book Antiqua" w:hAnsi="Book Antiqua"/>
          <w:color w:val="000000"/>
        </w:rPr>
        <w:t>could not be clarified</w:t>
      </w:r>
      <w:proofErr w:type="gramEnd"/>
      <w:r w:rsidR="003F577D" w:rsidRPr="00CD3D64">
        <w:rPr>
          <w:rFonts w:ascii="Book Antiqua" w:hAnsi="Book Antiqua"/>
          <w:color w:val="000000"/>
        </w:rPr>
        <w:t xml:space="preserve"> by</w:t>
      </w:r>
      <w:r w:rsidR="00EE6637" w:rsidRPr="00CD3D64">
        <w:rPr>
          <w:rFonts w:ascii="Book Antiqua" w:hAnsi="Book Antiqua"/>
          <w:color w:val="000000"/>
        </w:rPr>
        <w:t xml:space="preserve"> our analysis</w:t>
      </w:r>
      <w:r w:rsidR="00B91777" w:rsidRPr="00CD3D64">
        <w:rPr>
          <w:rFonts w:ascii="Book Antiqua" w:hAnsi="Book Antiqua"/>
          <w:color w:val="000000"/>
        </w:rPr>
        <w:t xml:space="preserve"> because the number of patients who did not achieve SVR was too small</w:t>
      </w:r>
      <w:r w:rsidR="00EE6637" w:rsidRPr="00CD3D64">
        <w:rPr>
          <w:rFonts w:ascii="Book Antiqua" w:hAnsi="Book Antiqua"/>
          <w:color w:val="000000"/>
        </w:rPr>
        <w:t xml:space="preserve">. </w:t>
      </w:r>
      <w:r w:rsidR="000F2222" w:rsidRPr="00CD3D64">
        <w:rPr>
          <w:rFonts w:ascii="Book Antiqua" w:hAnsi="Book Antiqua"/>
          <w:color w:val="000000"/>
        </w:rPr>
        <w:t>Fu</w:t>
      </w:r>
      <w:r w:rsidR="00E75BA0" w:rsidRPr="00CD3D64">
        <w:rPr>
          <w:rFonts w:ascii="Book Antiqua" w:hAnsi="Book Antiqua"/>
          <w:color w:val="000000"/>
        </w:rPr>
        <w:t>rthermore</w:t>
      </w:r>
      <w:r w:rsidR="00A236E2" w:rsidRPr="00CD3D64">
        <w:rPr>
          <w:rFonts w:ascii="Book Antiqua" w:hAnsi="Book Antiqua"/>
          <w:color w:val="000000"/>
        </w:rPr>
        <w:t xml:space="preserve">, </w:t>
      </w:r>
      <w:proofErr w:type="spellStart"/>
      <w:r w:rsidR="00A236E2" w:rsidRPr="00CD3D64">
        <w:rPr>
          <w:rFonts w:ascii="Book Antiqua" w:hAnsi="Book Antiqua"/>
          <w:color w:val="000000"/>
        </w:rPr>
        <w:t>sofosbuvir</w:t>
      </w:r>
      <w:proofErr w:type="spellEnd"/>
      <w:r w:rsidR="00A236E2" w:rsidRPr="00CD3D64">
        <w:rPr>
          <w:rFonts w:ascii="Book Antiqua" w:hAnsi="Book Antiqua"/>
          <w:color w:val="000000"/>
        </w:rPr>
        <w:t xml:space="preserve">-speciﬁc </w:t>
      </w:r>
      <w:r w:rsidR="005D0F46" w:rsidRPr="00CD3D64">
        <w:rPr>
          <w:rFonts w:ascii="Book Antiqua" w:hAnsi="Book Antiqua"/>
          <w:color w:val="000000"/>
        </w:rPr>
        <w:t xml:space="preserve">resistance-associated substitutions </w:t>
      </w:r>
      <w:r w:rsidR="005D0F46" w:rsidRPr="00CD3D64">
        <w:rPr>
          <w:rFonts w:ascii="Book Antiqua" w:hAnsi="Book Antiqua"/>
          <w:color w:val="000000"/>
        </w:rPr>
        <w:lastRenderedPageBreak/>
        <w:t>(</w:t>
      </w:r>
      <w:r w:rsidR="00A236E2" w:rsidRPr="00CD3D64">
        <w:rPr>
          <w:rFonts w:ascii="Book Antiqua" w:hAnsi="Book Antiqua"/>
          <w:color w:val="000000"/>
        </w:rPr>
        <w:t>RASs</w:t>
      </w:r>
      <w:r w:rsidR="005D0F46" w:rsidRPr="00CD3D64">
        <w:rPr>
          <w:rFonts w:ascii="Book Antiqua" w:hAnsi="Book Antiqua"/>
          <w:color w:val="000000"/>
        </w:rPr>
        <w:t>)</w:t>
      </w:r>
      <w:r w:rsidR="00A236E2" w:rsidRPr="00CD3D64">
        <w:rPr>
          <w:rFonts w:ascii="Book Antiqua" w:hAnsi="Book Antiqua"/>
          <w:color w:val="000000"/>
        </w:rPr>
        <w:t xml:space="preserve"> </w:t>
      </w:r>
      <w:proofErr w:type="gramStart"/>
      <w:r w:rsidR="000E3B64" w:rsidRPr="00CD3D64">
        <w:rPr>
          <w:rFonts w:ascii="Book Antiqua" w:hAnsi="Book Antiqua"/>
          <w:color w:val="000000"/>
        </w:rPr>
        <w:t xml:space="preserve">were </w:t>
      </w:r>
      <w:r w:rsidR="00DA4923" w:rsidRPr="00CD3D64">
        <w:rPr>
          <w:rFonts w:ascii="Book Antiqua" w:hAnsi="Book Antiqua"/>
          <w:color w:val="000000"/>
        </w:rPr>
        <w:t>not tested</w:t>
      </w:r>
      <w:proofErr w:type="gramEnd"/>
      <w:r w:rsidR="00DA4923" w:rsidRPr="00CD3D64">
        <w:rPr>
          <w:rFonts w:ascii="Book Antiqua" w:hAnsi="Book Antiqua"/>
          <w:color w:val="000000"/>
        </w:rPr>
        <w:t xml:space="preserve"> </w:t>
      </w:r>
      <w:r w:rsidR="000E3B64" w:rsidRPr="00CD3D64">
        <w:rPr>
          <w:rFonts w:ascii="Book Antiqua" w:hAnsi="Book Antiqua"/>
          <w:color w:val="000000"/>
        </w:rPr>
        <w:t xml:space="preserve">for </w:t>
      </w:r>
      <w:r w:rsidR="00DA4923" w:rsidRPr="00CD3D64">
        <w:rPr>
          <w:rFonts w:ascii="Book Antiqua" w:hAnsi="Book Antiqua"/>
          <w:color w:val="000000"/>
        </w:rPr>
        <w:t xml:space="preserve">in this study. </w:t>
      </w:r>
      <w:r w:rsidR="000E3B64" w:rsidRPr="00CD3D64">
        <w:rPr>
          <w:rFonts w:ascii="Book Antiqua" w:hAnsi="Book Antiqua"/>
          <w:color w:val="000000"/>
        </w:rPr>
        <w:t xml:space="preserve">The </w:t>
      </w:r>
      <w:r w:rsidR="007E003A" w:rsidRPr="00CD3D64">
        <w:rPr>
          <w:rFonts w:ascii="Book Antiqua" w:hAnsi="Book Antiqua"/>
          <w:color w:val="000000"/>
        </w:rPr>
        <w:t>p</w:t>
      </w:r>
      <w:r w:rsidR="00DA4923" w:rsidRPr="00CD3D64">
        <w:rPr>
          <w:rFonts w:ascii="Book Antiqua" w:hAnsi="Book Antiqua"/>
          <w:color w:val="000000"/>
        </w:rPr>
        <w:t xml:space="preserve">revalence of </w:t>
      </w:r>
      <w:r w:rsidR="004E0AE1" w:rsidRPr="00CD3D64">
        <w:rPr>
          <w:rFonts w:ascii="Book Antiqua" w:hAnsi="Book Antiqua"/>
          <w:color w:val="000000"/>
        </w:rPr>
        <w:t xml:space="preserve">the </w:t>
      </w:r>
      <w:r w:rsidR="00DA4923" w:rsidRPr="00CD3D64">
        <w:rPr>
          <w:rFonts w:ascii="Book Antiqua" w:hAnsi="Book Antiqua"/>
          <w:color w:val="000000"/>
        </w:rPr>
        <w:t>naturally occurring RAS</w:t>
      </w:r>
      <w:r w:rsidR="000E3B64" w:rsidRPr="00CD3D64">
        <w:rPr>
          <w:rFonts w:ascii="Book Antiqua" w:hAnsi="Book Antiqua"/>
          <w:color w:val="000000"/>
        </w:rPr>
        <w:t>·</w:t>
      </w:r>
      <w:r w:rsidR="005D0F46" w:rsidRPr="00CD3D64">
        <w:rPr>
          <w:rFonts w:ascii="Book Antiqua" w:hAnsi="Book Antiqua"/>
          <w:color w:val="000000"/>
        </w:rPr>
        <w:t xml:space="preserve">S282T, </w:t>
      </w:r>
      <w:r w:rsidR="000E3B64" w:rsidRPr="00CD3D64">
        <w:rPr>
          <w:rFonts w:ascii="Book Antiqua" w:hAnsi="Book Antiqua"/>
          <w:color w:val="000000"/>
        </w:rPr>
        <w:t xml:space="preserve">as </w:t>
      </w:r>
      <w:r w:rsidR="005D0F46" w:rsidRPr="00CD3D64">
        <w:rPr>
          <w:rFonts w:ascii="Book Antiqua" w:hAnsi="Book Antiqua"/>
          <w:color w:val="000000"/>
        </w:rPr>
        <w:t xml:space="preserve">the only known variant conferring </w:t>
      </w:r>
      <w:proofErr w:type="spellStart"/>
      <w:r w:rsidR="005D0F46" w:rsidRPr="00CD3D64">
        <w:rPr>
          <w:rFonts w:ascii="Book Antiqua" w:hAnsi="Book Antiqua"/>
          <w:color w:val="000000"/>
        </w:rPr>
        <w:t>sofosbuvir</w:t>
      </w:r>
      <w:proofErr w:type="spellEnd"/>
      <w:r w:rsidR="005D0F46" w:rsidRPr="00CD3D64">
        <w:rPr>
          <w:rFonts w:ascii="Book Antiqua" w:hAnsi="Book Antiqua"/>
          <w:color w:val="000000"/>
        </w:rPr>
        <w:t xml:space="preserve"> resistance </w:t>
      </w:r>
      <w:r w:rsidR="005D0F46" w:rsidRPr="00F36AFC">
        <w:rPr>
          <w:rFonts w:ascii="Book Antiqua" w:hAnsi="Book Antiqua"/>
          <w:i/>
          <w:iCs/>
          <w:color w:val="000000"/>
        </w:rPr>
        <w:t>in vitro</w:t>
      </w:r>
      <w:r w:rsidR="005D0F46" w:rsidRPr="00CD3D64">
        <w:rPr>
          <w:rFonts w:ascii="Book Antiqua" w:hAnsi="Book Antiqua"/>
          <w:color w:val="000000"/>
        </w:rPr>
        <w:t xml:space="preserve">, </w:t>
      </w:r>
      <w:r w:rsidR="000E3B64" w:rsidRPr="00CD3D64">
        <w:rPr>
          <w:rFonts w:ascii="Book Antiqua" w:hAnsi="Book Antiqua"/>
          <w:color w:val="000000"/>
        </w:rPr>
        <w:t xml:space="preserve">is reportedly </w:t>
      </w:r>
      <w:r w:rsidR="007E003A" w:rsidRPr="00CD3D64">
        <w:rPr>
          <w:rFonts w:ascii="Book Antiqua" w:hAnsi="Book Antiqua"/>
          <w:color w:val="000000"/>
        </w:rPr>
        <w:t>rare</w:t>
      </w:r>
      <w:r w:rsidR="005D0F46" w:rsidRPr="00CD3D64">
        <w:rPr>
          <w:rFonts w:ascii="Book Antiqua" w:hAnsi="Book Antiqua"/>
          <w:color w:val="000000"/>
        </w:rPr>
        <w:t xml:space="preserve"> in </w:t>
      </w:r>
      <w:r w:rsidR="007E003A" w:rsidRPr="00CD3D64">
        <w:rPr>
          <w:rFonts w:ascii="Book Antiqua" w:hAnsi="Book Antiqua"/>
          <w:color w:val="000000"/>
        </w:rPr>
        <w:t xml:space="preserve">genotype </w:t>
      </w:r>
      <w:r w:rsidR="005D0F46" w:rsidRPr="00CD3D64">
        <w:rPr>
          <w:rFonts w:ascii="Book Antiqua" w:hAnsi="Book Antiqua"/>
          <w:color w:val="000000"/>
        </w:rPr>
        <w:t>2 (0.22%</w:t>
      </w:r>
      <w:proofErr w:type="gramStart"/>
      <w:r w:rsidR="005D0F46" w:rsidRPr="00CD3D64">
        <w:rPr>
          <w:rFonts w:ascii="Book Antiqua" w:hAnsi="Book Antiqua"/>
          <w:color w:val="000000"/>
        </w:rPr>
        <w:t>)</w:t>
      </w:r>
      <w:r w:rsidR="00687F30" w:rsidRPr="00CD3D64">
        <w:rPr>
          <w:rFonts w:ascii="Book Antiqua" w:hAnsi="Book Antiqua"/>
          <w:color w:val="000000"/>
          <w:vertAlign w:val="superscript"/>
        </w:rPr>
        <w:t>[</w:t>
      </w:r>
      <w:proofErr w:type="gramEnd"/>
      <w:r w:rsidR="00687F30" w:rsidRPr="00CD3D64">
        <w:rPr>
          <w:rFonts w:ascii="Book Antiqua" w:hAnsi="Book Antiqua"/>
          <w:color w:val="000000"/>
          <w:vertAlign w:val="superscript"/>
        </w:rPr>
        <w:t>26]</w:t>
      </w:r>
      <w:r w:rsidR="00670F16" w:rsidRPr="00CD3D64">
        <w:rPr>
          <w:rFonts w:ascii="Book Antiqua" w:hAnsi="Book Antiqua"/>
          <w:color w:val="000000"/>
        </w:rPr>
        <w:t>.</w:t>
      </w:r>
      <w:r w:rsidR="00CC06C5" w:rsidRPr="00CD3D64">
        <w:rPr>
          <w:rFonts w:ascii="Book Antiqua" w:hAnsi="Book Antiqua"/>
          <w:color w:val="000000"/>
        </w:rPr>
        <w:t xml:space="preserve"> </w:t>
      </w:r>
      <w:r w:rsidR="007E003A" w:rsidRPr="00CD3D64">
        <w:rPr>
          <w:rFonts w:ascii="Book Antiqua" w:hAnsi="Book Antiqua"/>
          <w:color w:val="000000"/>
        </w:rPr>
        <w:t>However, RAS</w:t>
      </w:r>
      <w:r w:rsidR="000E3B64" w:rsidRPr="00CD3D64">
        <w:rPr>
          <w:rFonts w:ascii="Book Antiqua" w:hAnsi="Book Antiqua"/>
          <w:color w:val="000000"/>
        </w:rPr>
        <w:t>·</w:t>
      </w:r>
      <w:r w:rsidR="00A236E2" w:rsidRPr="00CD3D64">
        <w:rPr>
          <w:rFonts w:ascii="Book Antiqua" w:hAnsi="Book Antiqua"/>
          <w:color w:val="000000"/>
        </w:rPr>
        <w:t xml:space="preserve">A150V has recently been found to be associated with reduced response to treatment with </w:t>
      </w:r>
      <w:proofErr w:type="spellStart"/>
      <w:r w:rsidR="00A236E2" w:rsidRPr="00CD3D64">
        <w:rPr>
          <w:rFonts w:ascii="Book Antiqua" w:hAnsi="Book Antiqua"/>
          <w:color w:val="000000"/>
        </w:rPr>
        <w:t>sofosbuvir</w:t>
      </w:r>
      <w:proofErr w:type="spellEnd"/>
      <w:r w:rsidR="00A236E2" w:rsidRPr="00CD3D64">
        <w:rPr>
          <w:rFonts w:ascii="Book Antiqua" w:hAnsi="Book Antiqua"/>
          <w:color w:val="000000"/>
        </w:rPr>
        <w:t xml:space="preserve"> and ribavirin</w:t>
      </w:r>
      <w:r w:rsidR="000E3B64" w:rsidRPr="00CD3D64">
        <w:rPr>
          <w:rFonts w:ascii="Book Antiqua" w:hAnsi="Book Antiqua"/>
          <w:color w:val="000000"/>
        </w:rPr>
        <w:t xml:space="preserve"> and</w:t>
      </w:r>
      <w:r w:rsidR="00CC06C5" w:rsidRPr="00CD3D64">
        <w:rPr>
          <w:rFonts w:ascii="Book Antiqua" w:hAnsi="Book Antiqua"/>
          <w:color w:val="000000"/>
        </w:rPr>
        <w:t xml:space="preserve"> has appeared in genotype</w:t>
      </w:r>
      <w:r w:rsidR="00692360" w:rsidRPr="00CD3D64">
        <w:rPr>
          <w:rFonts w:ascii="Book Antiqua" w:hAnsi="Book Antiqua"/>
          <w:color w:val="000000"/>
        </w:rPr>
        <w:t xml:space="preserve"> </w:t>
      </w:r>
      <w:r w:rsidR="00037857" w:rsidRPr="00CD3D64">
        <w:rPr>
          <w:rFonts w:ascii="Book Antiqua" w:hAnsi="Book Antiqua"/>
          <w:color w:val="000000"/>
        </w:rPr>
        <w:t>2a (13.8%) and genotype 2b (1.03%</w:t>
      </w:r>
      <w:proofErr w:type="gramStart"/>
      <w:r w:rsidR="00037857" w:rsidRPr="00CD3D64">
        <w:rPr>
          <w:rFonts w:ascii="Book Antiqua" w:hAnsi="Book Antiqua"/>
          <w:color w:val="000000"/>
        </w:rPr>
        <w:t>)</w:t>
      </w:r>
      <w:r w:rsidR="00687F30" w:rsidRPr="00CD3D64">
        <w:rPr>
          <w:rFonts w:ascii="Book Antiqua" w:hAnsi="Book Antiqua"/>
          <w:color w:val="000000"/>
          <w:vertAlign w:val="superscript"/>
        </w:rPr>
        <w:t>[</w:t>
      </w:r>
      <w:proofErr w:type="gramEnd"/>
      <w:r w:rsidR="00687F30" w:rsidRPr="00CD3D64">
        <w:rPr>
          <w:rFonts w:ascii="Book Antiqua" w:hAnsi="Book Antiqua"/>
          <w:color w:val="000000"/>
          <w:vertAlign w:val="superscript"/>
        </w:rPr>
        <w:t>26]</w:t>
      </w:r>
      <w:r w:rsidR="00670F16" w:rsidRPr="00CD3D64">
        <w:rPr>
          <w:rFonts w:ascii="Book Antiqua" w:hAnsi="Book Antiqua"/>
          <w:color w:val="000000"/>
        </w:rPr>
        <w:t>.</w:t>
      </w:r>
      <w:r w:rsidR="00CC06C5" w:rsidRPr="00CD3D64">
        <w:rPr>
          <w:rFonts w:ascii="Book Antiqua" w:hAnsi="Book Antiqua"/>
          <w:color w:val="000000"/>
        </w:rPr>
        <w:t xml:space="preserve"> </w:t>
      </w:r>
      <w:r w:rsidR="00802D45" w:rsidRPr="00CD3D64">
        <w:rPr>
          <w:rFonts w:ascii="Book Antiqua" w:hAnsi="Book Antiqua"/>
          <w:color w:val="000000"/>
        </w:rPr>
        <w:t xml:space="preserve">In addition, </w:t>
      </w:r>
      <w:r w:rsidR="004E0AE1" w:rsidRPr="00CD3D64">
        <w:rPr>
          <w:rFonts w:ascii="Book Antiqua" w:hAnsi="Book Antiqua"/>
          <w:color w:val="000000"/>
        </w:rPr>
        <w:t xml:space="preserve">the </w:t>
      </w:r>
      <w:r w:rsidR="00802D45" w:rsidRPr="00CD3D64">
        <w:rPr>
          <w:rFonts w:ascii="Book Antiqua" w:hAnsi="Book Antiqua"/>
          <w:color w:val="000000"/>
        </w:rPr>
        <w:t xml:space="preserve">naturally occurring nucleoside </w:t>
      </w:r>
      <w:r w:rsidR="000E3B64" w:rsidRPr="00CD3D64">
        <w:rPr>
          <w:rFonts w:ascii="Book Antiqua" w:hAnsi="Book Antiqua"/>
          <w:color w:val="000000"/>
        </w:rPr>
        <w:t>inhibitor-</w:t>
      </w:r>
      <w:r w:rsidR="00802D45" w:rsidRPr="00CD3D64">
        <w:rPr>
          <w:rFonts w:ascii="Book Antiqua" w:hAnsi="Book Antiqua"/>
          <w:color w:val="000000"/>
        </w:rPr>
        <w:t>specific RASs</w:t>
      </w:r>
      <w:r w:rsidR="004E0AE1" w:rsidRPr="00CD3D64">
        <w:rPr>
          <w:rFonts w:ascii="Book Antiqua" w:hAnsi="Book Antiqua"/>
          <w:color w:val="000000"/>
        </w:rPr>
        <w:t xml:space="preserve"> (</w:t>
      </w:r>
      <w:r w:rsidR="00037857" w:rsidRPr="00CD3D64">
        <w:rPr>
          <w:rFonts w:ascii="Book Antiqua" w:hAnsi="Book Antiqua"/>
          <w:color w:val="000000"/>
        </w:rPr>
        <w:t xml:space="preserve">E237G, M289I/L, L320 F, </w:t>
      </w:r>
      <w:r w:rsidR="00802D45" w:rsidRPr="00CD3D64">
        <w:rPr>
          <w:rFonts w:ascii="Book Antiqua" w:hAnsi="Book Antiqua"/>
          <w:color w:val="000000"/>
        </w:rPr>
        <w:t xml:space="preserve">and </w:t>
      </w:r>
      <w:r w:rsidR="00037857" w:rsidRPr="00CD3D64">
        <w:rPr>
          <w:rFonts w:ascii="Book Antiqua" w:hAnsi="Book Antiqua"/>
          <w:color w:val="000000"/>
        </w:rPr>
        <w:t>V321A</w:t>
      </w:r>
      <w:r w:rsidR="005A7047" w:rsidRPr="00CD3D64">
        <w:rPr>
          <w:rFonts w:ascii="Book Antiqua" w:hAnsi="Book Antiqua"/>
          <w:color w:val="000000"/>
        </w:rPr>
        <w:t>/</w:t>
      </w:r>
      <w:r w:rsidR="00037857" w:rsidRPr="00CD3D64">
        <w:rPr>
          <w:rFonts w:ascii="Book Antiqua" w:hAnsi="Book Antiqua"/>
          <w:color w:val="000000"/>
        </w:rPr>
        <w:t>I</w:t>
      </w:r>
      <w:r w:rsidR="004E0AE1" w:rsidRPr="00CD3D64">
        <w:rPr>
          <w:rFonts w:ascii="Book Antiqua" w:hAnsi="Book Antiqua"/>
          <w:color w:val="000000"/>
        </w:rPr>
        <w:t xml:space="preserve">) </w:t>
      </w:r>
      <w:proofErr w:type="gramStart"/>
      <w:r w:rsidR="004E0AE1" w:rsidRPr="00CD3D64">
        <w:rPr>
          <w:rFonts w:ascii="Book Antiqua" w:hAnsi="Book Antiqua"/>
          <w:color w:val="000000"/>
        </w:rPr>
        <w:t xml:space="preserve">are </w:t>
      </w:r>
      <w:r w:rsidR="00802D45" w:rsidRPr="00CD3D64">
        <w:rPr>
          <w:rFonts w:ascii="Book Antiqua" w:hAnsi="Book Antiqua"/>
          <w:color w:val="000000"/>
        </w:rPr>
        <w:t>also found</w:t>
      </w:r>
      <w:proofErr w:type="gramEnd"/>
      <w:r w:rsidR="00360711" w:rsidRPr="00CD3D64">
        <w:rPr>
          <w:rFonts w:ascii="Book Antiqua" w:hAnsi="Book Antiqua"/>
          <w:color w:val="000000"/>
        </w:rPr>
        <w:t xml:space="preserve"> in genotype 2</w:t>
      </w:r>
      <w:r w:rsidR="00687F30" w:rsidRPr="00CD3D64">
        <w:rPr>
          <w:rFonts w:ascii="Book Antiqua" w:hAnsi="Book Antiqua"/>
          <w:color w:val="000000"/>
          <w:vertAlign w:val="superscript"/>
        </w:rPr>
        <w:t>[26]</w:t>
      </w:r>
      <w:r w:rsidR="00670F16" w:rsidRPr="00CD3D64">
        <w:rPr>
          <w:rFonts w:ascii="Book Antiqua" w:hAnsi="Book Antiqua"/>
          <w:color w:val="000000"/>
        </w:rPr>
        <w:t>.</w:t>
      </w:r>
      <w:r w:rsidR="00360711" w:rsidRPr="00CD3D64">
        <w:rPr>
          <w:rFonts w:ascii="Book Antiqua" w:hAnsi="Book Antiqua"/>
          <w:color w:val="000000"/>
        </w:rPr>
        <w:t xml:space="preserve"> The influence of these preexisting RASs </w:t>
      </w:r>
      <w:r w:rsidR="000E3B64" w:rsidRPr="00CD3D64">
        <w:rPr>
          <w:rFonts w:ascii="Book Antiqua" w:hAnsi="Book Antiqua"/>
          <w:color w:val="000000"/>
        </w:rPr>
        <w:t xml:space="preserve">on SVR </w:t>
      </w:r>
      <w:proofErr w:type="gramStart"/>
      <w:r w:rsidR="00360711" w:rsidRPr="00CD3D64">
        <w:rPr>
          <w:rFonts w:ascii="Book Antiqua" w:hAnsi="Book Antiqua"/>
          <w:color w:val="000000"/>
        </w:rPr>
        <w:t>should be analyzed</w:t>
      </w:r>
      <w:proofErr w:type="gramEnd"/>
      <w:r w:rsidR="00360711" w:rsidRPr="00CD3D64">
        <w:rPr>
          <w:rFonts w:ascii="Book Antiqua" w:hAnsi="Book Antiqua"/>
          <w:color w:val="000000"/>
        </w:rPr>
        <w:t xml:space="preserve"> using </w:t>
      </w:r>
      <w:r w:rsidR="000E3B64" w:rsidRPr="00CD3D64">
        <w:rPr>
          <w:rFonts w:ascii="Book Antiqua" w:hAnsi="Book Antiqua"/>
          <w:color w:val="000000"/>
        </w:rPr>
        <w:t xml:space="preserve">a </w:t>
      </w:r>
      <w:r w:rsidR="00360711" w:rsidRPr="00CD3D64">
        <w:rPr>
          <w:rFonts w:ascii="Book Antiqua" w:hAnsi="Book Antiqua"/>
          <w:color w:val="000000"/>
        </w:rPr>
        <w:t>large</w:t>
      </w:r>
      <w:r w:rsidR="004E0AE1" w:rsidRPr="00CD3D64">
        <w:rPr>
          <w:rFonts w:ascii="Book Antiqua" w:hAnsi="Book Antiqua"/>
          <w:color w:val="000000"/>
        </w:rPr>
        <w:t>r</w:t>
      </w:r>
      <w:r w:rsidR="00360711" w:rsidRPr="00CD3D64">
        <w:rPr>
          <w:rFonts w:ascii="Book Antiqua" w:hAnsi="Book Antiqua"/>
          <w:color w:val="000000"/>
        </w:rPr>
        <w:t xml:space="preserve"> number of cases with treatment failure.</w:t>
      </w:r>
    </w:p>
    <w:p w:rsidR="00D941E5" w:rsidRPr="00CD3D64" w:rsidRDefault="004A688D" w:rsidP="00CD3D64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color w:val="000000"/>
        </w:rPr>
      </w:pPr>
      <w:proofErr w:type="spellStart"/>
      <w:r w:rsidRPr="00CD3D64">
        <w:rPr>
          <w:rFonts w:ascii="Book Antiqua" w:hAnsi="Book Antiqua"/>
          <w:color w:val="000000"/>
        </w:rPr>
        <w:t>Sofosbuvir</w:t>
      </w:r>
      <w:proofErr w:type="spellEnd"/>
      <w:r w:rsidRPr="00CD3D64">
        <w:rPr>
          <w:rFonts w:ascii="Book Antiqua" w:hAnsi="Book Antiqua"/>
          <w:color w:val="000000"/>
        </w:rPr>
        <w:t xml:space="preserve"> and ribavirin represent an acceptable and effective treatment even for </w:t>
      </w:r>
      <w:proofErr w:type="gramStart"/>
      <w:r w:rsidRPr="00CD3D64">
        <w:rPr>
          <w:rFonts w:ascii="Book Antiqua" w:hAnsi="Book Antiqua"/>
          <w:color w:val="000000"/>
        </w:rPr>
        <w:t>patients</w:t>
      </w:r>
      <w:proofErr w:type="gramEnd"/>
      <w:r w:rsidRPr="00CD3D64">
        <w:rPr>
          <w:rFonts w:ascii="Book Antiqua" w:hAnsi="Book Antiqua"/>
          <w:color w:val="000000"/>
        </w:rPr>
        <w:t xml:space="preserve"> ≥</w:t>
      </w:r>
      <w:r w:rsidR="00B7734E" w:rsidRPr="00CD3D64">
        <w:rPr>
          <w:rFonts w:ascii="Book Antiqua" w:hAnsi="Book Antiqua"/>
          <w:color w:val="000000"/>
        </w:rPr>
        <w:t xml:space="preserve"> </w:t>
      </w:r>
      <w:r w:rsidRPr="00CD3D64">
        <w:rPr>
          <w:rFonts w:ascii="Book Antiqua" w:hAnsi="Book Antiqua"/>
          <w:color w:val="000000"/>
        </w:rPr>
        <w:t>75</w:t>
      </w:r>
      <w:r w:rsidR="00D242AF">
        <w:rPr>
          <w:rFonts w:ascii="Book Antiqua" w:hAnsi="Book Antiqua"/>
          <w:color w:val="000000"/>
        </w:rPr>
        <w:t>-years-old</w:t>
      </w:r>
      <w:r w:rsidRPr="00CD3D64">
        <w:rPr>
          <w:rFonts w:ascii="Book Antiqua" w:hAnsi="Book Antiqua"/>
          <w:color w:val="000000"/>
        </w:rPr>
        <w:t xml:space="preserve"> in a real-world setting. </w:t>
      </w:r>
      <w:r w:rsidR="00ED7836" w:rsidRPr="00CD3D64">
        <w:rPr>
          <w:rFonts w:ascii="Book Antiqua" w:hAnsi="Book Antiqua"/>
          <w:color w:val="000000"/>
        </w:rPr>
        <w:t xml:space="preserve">An extremely high SVR rate </w:t>
      </w:r>
      <w:proofErr w:type="gramStart"/>
      <w:r w:rsidR="00ED7836" w:rsidRPr="00CD3D64">
        <w:rPr>
          <w:rFonts w:ascii="Book Antiqua" w:hAnsi="Book Antiqua"/>
          <w:color w:val="000000"/>
        </w:rPr>
        <w:t>can be achieved</w:t>
      </w:r>
      <w:proofErr w:type="gramEnd"/>
      <w:r w:rsidR="00ED7836" w:rsidRPr="00CD3D64">
        <w:rPr>
          <w:rFonts w:ascii="Book Antiqua" w:hAnsi="Book Antiqua"/>
          <w:color w:val="000000"/>
        </w:rPr>
        <w:t xml:space="preserve"> when </w:t>
      </w:r>
      <w:r w:rsidRPr="00CD3D64">
        <w:rPr>
          <w:rFonts w:ascii="Book Antiqua" w:hAnsi="Book Antiqua"/>
          <w:color w:val="000000"/>
        </w:rPr>
        <w:t>adequate management for adverse effects is performed to avoid discontinuation of treatment, irrespective of age.</w:t>
      </w:r>
    </w:p>
    <w:p w:rsidR="00CB09F1" w:rsidRPr="00CD3D64" w:rsidRDefault="00CB09F1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</w:p>
    <w:p w:rsidR="00B7734E" w:rsidRPr="00CD3D64" w:rsidRDefault="00B7734E" w:rsidP="00CD3D64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  <w:u w:val="single"/>
          <w:lang w:eastAsia="zh-CN"/>
        </w:rPr>
      </w:pPr>
      <w:r w:rsidRPr="00CD3D64">
        <w:rPr>
          <w:rFonts w:ascii="Book Antiqua" w:hAnsi="Book Antiqua"/>
          <w:b/>
          <w:color w:val="000000"/>
          <w:u w:val="single"/>
        </w:rPr>
        <w:t>ARTICLE HIGHLIGHTS</w:t>
      </w:r>
    </w:p>
    <w:p w:rsidR="008600E0" w:rsidRPr="00CD3D64" w:rsidRDefault="008600E0" w:rsidP="00CD3D64">
      <w:pPr>
        <w:adjustRightInd w:val="0"/>
        <w:snapToGrid w:val="0"/>
        <w:spacing w:line="360" w:lineRule="auto"/>
        <w:rPr>
          <w:rFonts w:ascii="Book Antiqua" w:hAnsi="Book Antiqua"/>
          <w:b/>
          <w:i/>
          <w:color w:val="000000"/>
        </w:rPr>
      </w:pPr>
      <w:r w:rsidRPr="00CD3D64">
        <w:rPr>
          <w:rFonts w:ascii="Book Antiqua" w:hAnsi="Book Antiqua"/>
          <w:b/>
          <w:i/>
          <w:color w:val="000000"/>
        </w:rPr>
        <w:t>Research background</w:t>
      </w:r>
    </w:p>
    <w:p w:rsidR="008600E0" w:rsidRPr="00CD3D64" w:rsidRDefault="008600E0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CD3D64">
        <w:rPr>
          <w:rFonts w:ascii="Book Antiqua" w:hAnsi="Book Antiqua"/>
          <w:color w:val="000000"/>
        </w:rPr>
        <w:t xml:space="preserve">In real-world settings, elderly patients infected with hepatitis C virus </w:t>
      </w:r>
      <w:r w:rsidR="000C3B9B" w:rsidRPr="00CD3D64">
        <w:rPr>
          <w:rFonts w:ascii="Book Antiqua" w:hAnsi="Book Antiqua"/>
          <w:color w:val="000000"/>
        </w:rPr>
        <w:t xml:space="preserve">(HCV) </w:t>
      </w:r>
      <w:r w:rsidRPr="00CD3D64">
        <w:rPr>
          <w:rFonts w:ascii="Book Antiqua" w:hAnsi="Book Antiqua"/>
          <w:color w:val="000000"/>
        </w:rPr>
        <w:t xml:space="preserve">represent a substantial and growing population and carry a high risk of advanced liver diseases such as cirrhosis and hepatocellular carcinoma. </w:t>
      </w:r>
      <w:r w:rsidR="0008319F" w:rsidRPr="00CD3D64">
        <w:rPr>
          <w:rFonts w:ascii="Book Antiqua" w:hAnsi="Book Antiqua"/>
          <w:color w:val="000000"/>
        </w:rPr>
        <w:t>Therefore, t</w:t>
      </w:r>
      <w:r w:rsidRPr="00CD3D64">
        <w:rPr>
          <w:rFonts w:ascii="Book Antiqua" w:hAnsi="Book Antiqua"/>
          <w:color w:val="000000"/>
        </w:rPr>
        <w:t xml:space="preserve">hese patients </w:t>
      </w:r>
      <w:proofErr w:type="gramStart"/>
      <w:r w:rsidRPr="00CD3D64">
        <w:rPr>
          <w:rFonts w:ascii="Book Antiqua" w:hAnsi="Book Antiqua"/>
          <w:color w:val="000000"/>
        </w:rPr>
        <w:t>should be treated</w:t>
      </w:r>
      <w:proofErr w:type="gramEnd"/>
      <w:r w:rsidRPr="00CD3D64">
        <w:rPr>
          <w:rFonts w:ascii="Book Antiqua" w:hAnsi="Book Antiqua"/>
          <w:color w:val="000000"/>
        </w:rPr>
        <w:t xml:space="preserve"> as soon as possible. </w:t>
      </w:r>
      <w:r w:rsidR="000C3B9B" w:rsidRPr="00CD3D64">
        <w:rPr>
          <w:rFonts w:ascii="Book Antiqua" w:hAnsi="Book Antiqua"/>
          <w:color w:val="000000"/>
        </w:rPr>
        <w:t xml:space="preserve">Clinical trials of interferon-free </w:t>
      </w:r>
      <w:r w:rsidR="000C3B9B" w:rsidRPr="00CD3D64">
        <w:rPr>
          <w:rFonts w:ascii="Book Antiqua" w:hAnsi="Book Antiqua"/>
          <w:bCs/>
          <w:iCs/>
          <w:color w:val="000000"/>
        </w:rPr>
        <w:t>direct-acting antiviral</w:t>
      </w:r>
      <w:r w:rsidR="000C3B9B" w:rsidRPr="00CD3D64">
        <w:rPr>
          <w:rFonts w:ascii="Book Antiqua" w:hAnsi="Book Antiqua"/>
          <w:color w:val="000000"/>
        </w:rPr>
        <w:t xml:space="preserve"> agent regimens using </w:t>
      </w:r>
      <w:proofErr w:type="spellStart"/>
      <w:r w:rsidR="000C3B9B" w:rsidRPr="00CD3D64">
        <w:rPr>
          <w:rFonts w:ascii="Book Antiqua" w:hAnsi="Book Antiqua"/>
          <w:color w:val="000000"/>
        </w:rPr>
        <w:t>sofosbuvir</w:t>
      </w:r>
      <w:proofErr w:type="spellEnd"/>
      <w:r w:rsidR="000C3B9B" w:rsidRPr="00CD3D64">
        <w:rPr>
          <w:rFonts w:ascii="Book Antiqua" w:hAnsi="Book Antiqua"/>
          <w:color w:val="000000"/>
        </w:rPr>
        <w:t xml:space="preserve"> and ribavirin for patients with genotype 2 HCV </w:t>
      </w:r>
      <w:proofErr w:type="gramStart"/>
      <w:r w:rsidR="000C3B9B" w:rsidRPr="00CD3D64">
        <w:rPr>
          <w:rFonts w:ascii="Book Antiqua" w:hAnsi="Book Antiqua"/>
          <w:color w:val="000000"/>
        </w:rPr>
        <w:t>have been reported</w:t>
      </w:r>
      <w:proofErr w:type="gramEnd"/>
      <w:r w:rsidR="000C3B9B" w:rsidRPr="00CD3D64">
        <w:rPr>
          <w:rFonts w:ascii="Book Antiqua" w:hAnsi="Book Antiqua"/>
          <w:color w:val="000000"/>
        </w:rPr>
        <w:t xml:space="preserve"> since 2013. However, </w:t>
      </w:r>
      <w:proofErr w:type="gramStart"/>
      <w:r w:rsidR="000C3B9B" w:rsidRPr="00CD3D64">
        <w:rPr>
          <w:rFonts w:ascii="Book Antiqua" w:hAnsi="Book Antiqua"/>
          <w:color w:val="000000"/>
        </w:rPr>
        <w:t>patients</w:t>
      </w:r>
      <w:proofErr w:type="gramEnd"/>
      <w:r w:rsidR="000C3B9B" w:rsidRPr="00CD3D64">
        <w:rPr>
          <w:rFonts w:ascii="Book Antiqua" w:hAnsi="Book Antiqua"/>
          <w:color w:val="000000"/>
        </w:rPr>
        <w:t xml:space="preserve"> </w:t>
      </w:r>
      <w:r w:rsidR="000C3B9B" w:rsidRPr="00CD3D64">
        <w:rPr>
          <w:rFonts w:ascii="Book Antiqua" w:hAnsi="Book Antiqua"/>
          <w:color w:val="000000"/>
        </w:rPr>
        <w:sym w:font="Symbol" w:char="F0B3"/>
      </w:r>
      <w:r w:rsidR="00B7734E" w:rsidRPr="00CD3D64">
        <w:rPr>
          <w:rFonts w:ascii="Book Antiqua" w:hAnsi="Book Antiqua"/>
          <w:color w:val="000000"/>
        </w:rPr>
        <w:t xml:space="preserve"> </w:t>
      </w:r>
      <w:r w:rsidR="000C3B9B" w:rsidRPr="00CD3D64">
        <w:rPr>
          <w:rFonts w:ascii="Book Antiqua" w:hAnsi="Book Antiqua"/>
          <w:color w:val="000000"/>
        </w:rPr>
        <w:t>75</w:t>
      </w:r>
      <w:r w:rsidR="00D242AF">
        <w:rPr>
          <w:rFonts w:ascii="Book Antiqua" w:hAnsi="Book Antiqua"/>
          <w:color w:val="000000"/>
        </w:rPr>
        <w:t>-years-old</w:t>
      </w:r>
      <w:r w:rsidR="000C3B9B" w:rsidRPr="00CD3D64">
        <w:rPr>
          <w:rFonts w:ascii="Book Antiqua" w:hAnsi="Book Antiqua"/>
          <w:color w:val="000000"/>
        </w:rPr>
        <w:t xml:space="preserve"> were not included in the </w:t>
      </w:r>
      <w:proofErr w:type="spellStart"/>
      <w:r w:rsidR="000C3B9B" w:rsidRPr="00CD3D64">
        <w:rPr>
          <w:rFonts w:ascii="Book Antiqua" w:hAnsi="Book Antiqua"/>
          <w:color w:val="000000"/>
        </w:rPr>
        <w:t>sofosbuvir</w:t>
      </w:r>
      <w:proofErr w:type="spellEnd"/>
      <w:r w:rsidR="000C3B9B" w:rsidRPr="00CD3D64">
        <w:rPr>
          <w:rFonts w:ascii="Book Antiqua" w:hAnsi="Book Antiqua"/>
          <w:color w:val="000000"/>
        </w:rPr>
        <w:t xml:space="preserve"> plus ribavirin regimen of those clinical trials. The safety and effectiveness of </w:t>
      </w:r>
      <w:proofErr w:type="spellStart"/>
      <w:r w:rsidR="000C3B9B" w:rsidRPr="00CD3D64">
        <w:rPr>
          <w:rFonts w:ascii="Book Antiqua" w:hAnsi="Book Antiqua"/>
          <w:color w:val="000000"/>
        </w:rPr>
        <w:t>sofosbuvir</w:t>
      </w:r>
      <w:proofErr w:type="spellEnd"/>
      <w:r w:rsidR="000C3B9B" w:rsidRPr="00CD3D64">
        <w:rPr>
          <w:rFonts w:ascii="Book Antiqua" w:hAnsi="Book Antiqua"/>
          <w:color w:val="000000"/>
        </w:rPr>
        <w:t xml:space="preserve"> plus ribavirin for elderly </w:t>
      </w:r>
      <w:proofErr w:type="gramStart"/>
      <w:r w:rsidR="000C3B9B" w:rsidRPr="00CD3D64">
        <w:rPr>
          <w:rFonts w:ascii="Book Antiqua" w:hAnsi="Book Antiqua"/>
          <w:color w:val="000000"/>
        </w:rPr>
        <w:t>patients</w:t>
      </w:r>
      <w:proofErr w:type="gramEnd"/>
      <w:r w:rsidR="000C3B9B" w:rsidRPr="00CD3D64">
        <w:rPr>
          <w:rFonts w:ascii="Book Antiqua" w:hAnsi="Book Antiqua"/>
          <w:color w:val="000000"/>
        </w:rPr>
        <w:t xml:space="preserve"> </w:t>
      </w:r>
      <w:r w:rsidR="000C3B9B" w:rsidRPr="00CD3D64">
        <w:rPr>
          <w:rFonts w:ascii="Book Antiqua" w:hAnsi="Book Antiqua"/>
          <w:color w:val="000000"/>
        </w:rPr>
        <w:sym w:font="Symbol" w:char="F0B3"/>
      </w:r>
      <w:r w:rsidR="00B7734E" w:rsidRPr="00CD3D64">
        <w:rPr>
          <w:rFonts w:ascii="Book Antiqua" w:hAnsi="Book Antiqua"/>
          <w:color w:val="000000"/>
        </w:rPr>
        <w:t xml:space="preserve"> </w:t>
      </w:r>
      <w:r w:rsidR="000C3B9B" w:rsidRPr="00CD3D64">
        <w:rPr>
          <w:rFonts w:ascii="Book Antiqua" w:hAnsi="Book Antiqua"/>
          <w:color w:val="000000"/>
        </w:rPr>
        <w:t>75</w:t>
      </w:r>
      <w:r w:rsidR="00D242AF">
        <w:rPr>
          <w:rFonts w:ascii="Book Antiqua" w:hAnsi="Book Antiqua"/>
          <w:color w:val="000000"/>
        </w:rPr>
        <w:t>-years-old</w:t>
      </w:r>
      <w:r w:rsidR="000C3B9B" w:rsidRPr="00CD3D64">
        <w:rPr>
          <w:rFonts w:ascii="Book Antiqua" w:hAnsi="Book Antiqua"/>
          <w:color w:val="000000"/>
        </w:rPr>
        <w:t xml:space="preserve"> has thus remained unclear.</w:t>
      </w:r>
    </w:p>
    <w:p w:rsidR="001D792B" w:rsidRPr="00CD3D64" w:rsidRDefault="001D792B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</w:p>
    <w:p w:rsidR="008600E0" w:rsidRPr="00CD3D64" w:rsidRDefault="008600E0" w:rsidP="00CD3D64">
      <w:pPr>
        <w:adjustRightInd w:val="0"/>
        <w:snapToGrid w:val="0"/>
        <w:spacing w:line="360" w:lineRule="auto"/>
        <w:rPr>
          <w:rFonts w:ascii="Book Antiqua" w:hAnsi="Book Antiqua"/>
          <w:b/>
          <w:i/>
          <w:color w:val="000000"/>
        </w:rPr>
      </w:pPr>
      <w:r w:rsidRPr="00CD3D64">
        <w:rPr>
          <w:rFonts w:ascii="Book Antiqua" w:hAnsi="Book Antiqua"/>
          <w:b/>
          <w:i/>
          <w:color w:val="000000"/>
        </w:rPr>
        <w:t>Research motivation</w:t>
      </w:r>
    </w:p>
    <w:p w:rsidR="000C3B9B" w:rsidRPr="00CD3D64" w:rsidRDefault="001D792B" w:rsidP="00CD3D64">
      <w:pPr>
        <w:adjustRightInd w:val="0"/>
        <w:snapToGrid w:val="0"/>
        <w:spacing w:line="360" w:lineRule="auto"/>
        <w:rPr>
          <w:rFonts w:ascii="Book Antiqua" w:hAnsi="Book Antiqua"/>
          <w:bCs/>
          <w:iCs/>
          <w:color w:val="000000"/>
        </w:rPr>
      </w:pPr>
      <w:r w:rsidRPr="00CD3D64">
        <w:rPr>
          <w:rFonts w:ascii="Book Antiqua" w:hAnsi="Book Antiqua"/>
          <w:bCs/>
          <w:iCs/>
          <w:color w:val="000000"/>
        </w:rPr>
        <w:t xml:space="preserve">In recent HCV treatment guidelines from Western countries, </w:t>
      </w:r>
      <w:proofErr w:type="spellStart"/>
      <w:r w:rsidRPr="00CD3D64">
        <w:rPr>
          <w:rFonts w:ascii="Book Antiqua" w:hAnsi="Book Antiqua"/>
          <w:bCs/>
          <w:iCs/>
          <w:color w:val="000000"/>
        </w:rPr>
        <w:t>sofosbuvir</w:t>
      </w:r>
      <w:proofErr w:type="spellEnd"/>
      <w:r w:rsidRPr="00CD3D64">
        <w:rPr>
          <w:rFonts w:ascii="Book Antiqua" w:hAnsi="Book Antiqua"/>
          <w:bCs/>
          <w:iCs/>
          <w:color w:val="000000"/>
        </w:rPr>
        <w:t xml:space="preserve"> plus ribavirin therapy </w:t>
      </w:r>
      <w:proofErr w:type="gramStart"/>
      <w:r w:rsidRPr="00CD3D64">
        <w:rPr>
          <w:rFonts w:ascii="Book Antiqua" w:hAnsi="Book Antiqua"/>
          <w:bCs/>
          <w:iCs/>
          <w:color w:val="000000"/>
        </w:rPr>
        <w:t>is no longer recommended</w:t>
      </w:r>
      <w:proofErr w:type="gramEnd"/>
      <w:r w:rsidRPr="00CD3D64">
        <w:rPr>
          <w:rFonts w:ascii="Book Antiqua" w:hAnsi="Book Antiqua"/>
          <w:bCs/>
          <w:iCs/>
          <w:color w:val="000000"/>
        </w:rPr>
        <w:t xml:space="preserve"> because of the adverse effects of ribavirin and the relatively lower </w:t>
      </w:r>
      <w:r w:rsidR="00184099" w:rsidRPr="00CD3D64">
        <w:rPr>
          <w:rFonts w:ascii="Book Antiqua" w:hAnsi="Book Antiqua"/>
          <w:bCs/>
          <w:iCs/>
          <w:color w:val="000000"/>
        </w:rPr>
        <w:t>sustained viral response (SVR)</w:t>
      </w:r>
      <w:r w:rsidRPr="00CD3D64">
        <w:rPr>
          <w:rFonts w:ascii="Book Antiqua" w:hAnsi="Book Antiqua"/>
          <w:bCs/>
          <w:iCs/>
          <w:color w:val="000000"/>
        </w:rPr>
        <w:t xml:space="preserve"> rate compared to other </w:t>
      </w:r>
      <w:r w:rsidR="00184099" w:rsidRPr="00CD3D64">
        <w:rPr>
          <w:rFonts w:ascii="Book Antiqua" w:hAnsi="Book Antiqua"/>
          <w:bCs/>
          <w:iCs/>
          <w:color w:val="000000"/>
        </w:rPr>
        <w:t>direct-acting antiviral</w:t>
      </w:r>
      <w:r w:rsidR="00184099" w:rsidRPr="00CD3D64">
        <w:rPr>
          <w:rFonts w:ascii="Book Antiqua" w:hAnsi="Book Antiqua"/>
          <w:color w:val="000000"/>
        </w:rPr>
        <w:t xml:space="preserve"> agent</w:t>
      </w:r>
      <w:r w:rsidR="00184099" w:rsidRPr="00CD3D64">
        <w:rPr>
          <w:rFonts w:ascii="Book Antiqua" w:hAnsi="Book Antiqua"/>
          <w:bCs/>
          <w:iCs/>
          <w:color w:val="000000"/>
        </w:rPr>
        <w:t xml:space="preserve"> </w:t>
      </w:r>
      <w:r w:rsidRPr="00CD3D64">
        <w:rPr>
          <w:rFonts w:ascii="Book Antiqua" w:hAnsi="Book Antiqua"/>
          <w:bCs/>
          <w:iCs/>
          <w:color w:val="000000"/>
        </w:rPr>
        <w:t xml:space="preserve">therapies. However, </w:t>
      </w:r>
      <w:r w:rsidR="00184099" w:rsidRPr="00CD3D64">
        <w:rPr>
          <w:rFonts w:ascii="Book Antiqua" w:hAnsi="Book Antiqua"/>
          <w:bCs/>
          <w:iCs/>
          <w:color w:val="000000"/>
        </w:rPr>
        <w:t xml:space="preserve">in consensus statements and </w:t>
      </w:r>
      <w:r w:rsidR="00184099" w:rsidRPr="00CD3D64">
        <w:rPr>
          <w:rFonts w:ascii="Book Antiqua" w:hAnsi="Book Antiqua"/>
          <w:bCs/>
          <w:iCs/>
          <w:color w:val="000000"/>
        </w:rPr>
        <w:lastRenderedPageBreak/>
        <w:t xml:space="preserve">recommendations on the treatment of hepatitis C from the Asian-Paciﬁc Association for the Study of the Liver, </w:t>
      </w:r>
      <w:proofErr w:type="spellStart"/>
      <w:r w:rsidR="00184099" w:rsidRPr="00CD3D64">
        <w:rPr>
          <w:rFonts w:ascii="Book Antiqua" w:hAnsi="Book Antiqua"/>
          <w:bCs/>
          <w:iCs/>
          <w:color w:val="000000"/>
        </w:rPr>
        <w:t>sofosbuvir</w:t>
      </w:r>
      <w:proofErr w:type="spellEnd"/>
      <w:r w:rsidR="00184099" w:rsidRPr="00CD3D64">
        <w:rPr>
          <w:rFonts w:ascii="Book Antiqua" w:hAnsi="Book Antiqua"/>
          <w:bCs/>
          <w:iCs/>
          <w:color w:val="000000"/>
        </w:rPr>
        <w:t xml:space="preserve"> plus weight-based ribavirin for 12 </w:t>
      </w:r>
      <w:proofErr w:type="spellStart"/>
      <w:r w:rsidR="00184099" w:rsidRPr="00CD3D64">
        <w:rPr>
          <w:rFonts w:ascii="Book Antiqua" w:hAnsi="Book Antiqua"/>
          <w:bCs/>
          <w:iCs/>
          <w:color w:val="000000"/>
        </w:rPr>
        <w:t>wk</w:t>
      </w:r>
      <w:proofErr w:type="spellEnd"/>
      <w:r w:rsidR="00184099" w:rsidRPr="00CD3D64">
        <w:rPr>
          <w:rFonts w:ascii="Book Antiqua" w:hAnsi="Book Antiqua"/>
          <w:bCs/>
          <w:iCs/>
          <w:color w:val="000000"/>
        </w:rPr>
        <w:t xml:space="preserve"> </w:t>
      </w:r>
      <w:proofErr w:type="gramStart"/>
      <w:r w:rsidR="00184099" w:rsidRPr="00CD3D64">
        <w:rPr>
          <w:rFonts w:ascii="Book Antiqua" w:hAnsi="Book Antiqua"/>
          <w:bCs/>
          <w:iCs/>
          <w:color w:val="000000"/>
        </w:rPr>
        <w:t>is recommended</w:t>
      </w:r>
      <w:proofErr w:type="gramEnd"/>
      <w:r w:rsidR="00184099" w:rsidRPr="00CD3D64">
        <w:rPr>
          <w:rFonts w:ascii="Book Antiqua" w:hAnsi="Book Antiqua"/>
          <w:bCs/>
          <w:iCs/>
          <w:color w:val="000000"/>
        </w:rPr>
        <w:t xml:space="preserve"> as a first-line treatment, and SVR rates from Asian real-world data were similar to those of the phase III trial. </w:t>
      </w:r>
      <w:proofErr w:type="spellStart"/>
      <w:r w:rsidR="00184099" w:rsidRPr="00CD3D64">
        <w:rPr>
          <w:rFonts w:ascii="Book Antiqua" w:hAnsi="Book Antiqua"/>
          <w:bCs/>
          <w:iCs/>
          <w:color w:val="000000"/>
        </w:rPr>
        <w:t>Sofosbuvir</w:t>
      </w:r>
      <w:proofErr w:type="spellEnd"/>
      <w:r w:rsidR="00184099" w:rsidRPr="00CD3D64">
        <w:rPr>
          <w:rFonts w:ascii="Book Antiqua" w:hAnsi="Book Antiqua"/>
          <w:bCs/>
          <w:iCs/>
          <w:color w:val="000000"/>
        </w:rPr>
        <w:t xml:space="preserve"> plus ribavirin therapy </w:t>
      </w:r>
      <w:r w:rsidR="0008319F" w:rsidRPr="00CD3D64">
        <w:rPr>
          <w:rFonts w:ascii="Book Antiqua" w:hAnsi="Book Antiqua"/>
          <w:bCs/>
          <w:iCs/>
          <w:color w:val="000000"/>
        </w:rPr>
        <w:t xml:space="preserve">also </w:t>
      </w:r>
      <w:r w:rsidR="00184099" w:rsidRPr="00CD3D64">
        <w:rPr>
          <w:rFonts w:ascii="Book Antiqua" w:hAnsi="Book Antiqua"/>
          <w:bCs/>
          <w:iCs/>
          <w:color w:val="000000"/>
        </w:rPr>
        <w:t>offers advantages in terms of both cost and real-world evidence.</w:t>
      </w:r>
      <w:r w:rsidR="00C65BAC" w:rsidRPr="00CD3D64">
        <w:rPr>
          <w:rFonts w:ascii="Book Antiqua" w:hAnsi="Book Antiqua"/>
          <w:color w:val="000000"/>
        </w:rPr>
        <w:t xml:space="preserve"> The real-world safety and efficacy of </w:t>
      </w:r>
      <w:proofErr w:type="spellStart"/>
      <w:r w:rsidR="00C65BAC" w:rsidRPr="00CD3D64">
        <w:rPr>
          <w:rFonts w:ascii="Book Antiqua" w:hAnsi="Book Antiqua"/>
          <w:color w:val="000000"/>
        </w:rPr>
        <w:t>sofosbuvir</w:t>
      </w:r>
      <w:proofErr w:type="spellEnd"/>
      <w:r w:rsidR="00C65BAC" w:rsidRPr="00CD3D64">
        <w:rPr>
          <w:rFonts w:ascii="Book Antiqua" w:hAnsi="Book Antiqua"/>
          <w:color w:val="000000"/>
        </w:rPr>
        <w:t xml:space="preserve"> plus ribavirin for elderly </w:t>
      </w:r>
      <w:proofErr w:type="gramStart"/>
      <w:r w:rsidR="00C65BAC" w:rsidRPr="00CD3D64">
        <w:rPr>
          <w:rFonts w:ascii="Book Antiqua" w:hAnsi="Book Antiqua"/>
          <w:color w:val="000000"/>
        </w:rPr>
        <w:t>patients</w:t>
      </w:r>
      <w:proofErr w:type="gramEnd"/>
      <w:r w:rsidR="0008319F" w:rsidRPr="00CD3D64">
        <w:rPr>
          <w:rFonts w:ascii="Book Antiqua" w:eastAsia="MS PMincho" w:hAnsi="Book Antiqua"/>
          <w:bCs/>
          <w:color w:val="000000"/>
          <w:kern w:val="0"/>
        </w:rPr>
        <w:t xml:space="preserve"> </w:t>
      </w:r>
      <w:r w:rsidR="00C65BAC" w:rsidRPr="00CD3D64">
        <w:rPr>
          <w:rFonts w:ascii="Book Antiqua" w:hAnsi="Book Antiqua"/>
          <w:color w:val="000000"/>
        </w:rPr>
        <w:sym w:font="Symbol" w:char="F0B3"/>
      </w:r>
      <w:r w:rsidR="00B7734E" w:rsidRPr="00CD3D64">
        <w:rPr>
          <w:rFonts w:ascii="Book Antiqua" w:hAnsi="Book Antiqua"/>
          <w:color w:val="000000"/>
        </w:rPr>
        <w:t xml:space="preserve"> </w:t>
      </w:r>
      <w:r w:rsidR="00C65BAC" w:rsidRPr="00CD3D64">
        <w:rPr>
          <w:rFonts w:ascii="Book Antiqua" w:hAnsi="Book Antiqua"/>
          <w:color w:val="000000"/>
        </w:rPr>
        <w:t>75</w:t>
      </w:r>
      <w:r w:rsidR="00D242AF">
        <w:rPr>
          <w:rFonts w:ascii="Book Antiqua" w:hAnsi="Book Antiqua"/>
          <w:color w:val="000000"/>
        </w:rPr>
        <w:t>-years-old</w:t>
      </w:r>
      <w:r w:rsidR="00C65BAC" w:rsidRPr="00CD3D64">
        <w:rPr>
          <w:rFonts w:ascii="Book Antiqua" w:eastAsia="MS PMincho" w:hAnsi="Book Antiqua"/>
          <w:bCs/>
          <w:color w:val="000000"/>
          <w:kern w:val="0"/>
        </w:rPr>
        <w:t xml:space="preserve"> </w:t>
      </w:r>
      <w:r w:rsidR="0008319F" w:rsidRPr="00CD3D64">
        <w:rPr>
          <w:rFonts w:ascii="Book Antiqua" w:eastAsia="MS PMincho" w:hAnsi="Book Antiqua"/>
          <w:bCs/>
          <w:color w:val="000000"/>
          <w:kern w:val="0"/>
        </w:rPr>
        <w:t>can provide useful information regarding treatment strategy for elderly patients with HCV in the Asia-Pacific region.</w:t>
      </w:r>
    </w:p>
    <w:p w:rsidR="00184099" w:rsidRPr="00CD3D64" w:rsidRDefault="00184099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</w:p>
    <w:p w:rsidR="001D792B" w:rsidRPr="00CD3D64" w:rsidRDefault="001D792B" w:rsidP="00CD3D64">
      <w:pPr>
        <w:adjustRightInd w:val="0"/>
        <w:snapToGrid w:val="0"/>
        <w:spacing w:line="360" w:lineRule="auto"/>
        <w:rPr>
          <w:rFonts w:ascii="Book Antiqua" w:hAnsi="Book Antiqua"/>
          <w:b/>
          <w:i/>
          <w:iCs/>
          <w:color w:val="000000"/>
        </w:rPr>
      </w:pPr>
      <w:r w:rsidRPr="00CD3D64">
        <w:rPr>
          <w:rFonts w:ascii="Book Antiqua" w:hAnsi="Book Antiqua"/>
          <w:b/>
          <w:i/>
          <w:iCs/>
          <w:color w:val="000000"/>
        </w:rPr>
        <w:t>Research objectives</w:t>
      </w:r>
    </w:p>
    <w:p w:rsidR="001D792B" w:rsidRPr="00CD3D64" w:rsidRDefault="001D792B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CD3D64">
        <w:rPr>
          <w:rFonts w:ascii="Book Antiqua" w:hAnsi="Book Antiqua"/>
          <w:color w:val="000000"/>
        </w:rPr>
        <w:t>T</w:t>
      </w:r>
      <w:r w:rsidR="00C65BAC" w:rsidRPr="00CD3D64">
        <w:rPr>
          <w:rFonts w:ascii="Book Antiqua" w:hAnsi="Book Antiqua"/>
          <w:color w:val="000000"/>
        </w:rPr>
        <w:t xml:space="preserve">he aim of the present study is to </w:t>
      </w:r>
      <w:r w:rsidRPr="00CD3D64">
        <w:rPr>
          <w:rFonts w:ascii="Book Antiqua" w:hAnsi="Book Antiqua"/>
          <w:color w:val="000000"/>
        </w:rPr>
        <w:t xml:space="preserve">evaluate the real-world safety and efficacy of </w:t>
      </w:r>
      <w:proofErr w:type="spellStart"/>
      <w:r w:rsidRPr="00CD3D64">
        <w:rPr>
          <w:rFonts w:ascii="Book Antiqua" w:hAnsi="Book Antiqua"/>
          <w:color w:val="000000"/>
        </w:rPr>
        <w:t>sofosbuvir</w:t>
      </w:r>
      <w:proofErr w:type="spellEnd"/>
      <w:r w:rsidRPr="00CD3D64">
        <w:rPr>
          <w:rFonts w:ascii="Book Antiqua" w:hAnsi="Book Antiqua"/>
          <w:color w:val="000000"/>
        </w:rPr>
        <w:t xml:space="preserve"> plus ribavirin for elderly patients </w:t>
      </w:r>
      <w:r w:rsidRPr="00CD3D64">
        <w:rPr>
          <w:rFonts w:ascii="Book Antiqua" w:hAnsi="Book Antiqua"/>
          <w:color w:val="000000"/>
        </w:rPr>
        <w:sym w:font="Symbol" w:char="F0B3"/>
      </w:r>
      <w:r w:rsidR="00B7734E" w:rsidRPr="00CD3D64">
        <w:rPr>
          <w:rFonts w:ascii="Book Antiqua" w:hAnsi="Book Antiqua"/>
          <w:color w:val="000000"/>
        </w:rPr>
        <w:t xml:space="preserve"> </w:t>
      </w:r>
      <w:r w:rsidRPr="00CD3D64">
        <w:rPr>
          <w:rFonts w:ascii="Book Antiqua" w:hAnsi="Book Antiqua"/>
          <w:color w:val="000000"/>
        </w:rPr>
        <w:t>75</w:t>
      </w:r>
      <w:r w:rsidR="00D242AF">
        <w:rPr>
          <w:rFonts w:ascii="Book Antiqua" w:hAnsi="Book Antiqua"/>
          <w:color w:val="000000"/>
        </w:rPr>
        <w:t>-years-old</w:t>
      </w:r>
      <w:r w:rsidRPr="00CD3D64">
        <w:rPr>
          <w:rFonts w:ascii="Book Antiqua" w:hAnsi="Book Antiqua"/>
          <w:color w:val="000000"/>
        </w:rPr>
        <w:t xml:space="preserve"> compared to non-elderly patients</w:t>
      </w:r>
    </w:p>
    <w:p w:rsidR="001D792B" w:rsidRPr="00CD3D64" w:rsidRDefault="001D792B" w:rsidP="00CD3D64">
      <w:pPr>
        <w:adjustRightInd w:val="0"/>
        <w:snapToGrid w:val="0"/>
        <w:spacing w:line="360" w:lineRule="auto"/>
        <w:rPr>
          <w:rFonts w:ascii="Book Antiqua" w:hAnsi="Book Antiqua"/>
          <w:b/>
          <w:iCs/>
          <w:color w:val="000000"/>
        </w:rPr>
      </w:pPr>
    </w:p>
    <w:p w:rsidR="008600E0" w:rsidRPr="00CD3D64" w:rsidRDefault="008600E0" w:rsidP="00CD3D64">
      <w:pPr>
        <w:adjustRightInd w:val="0"/>
        <w:snapToGrid w:val="0"/>
        <w:spacing w:line="360" w:lineRule="auto"/>
        <w:rPr>
          <w:rFonts w:ascii="Book Antiqua" w:hAnsi="Book Antiqua"/>
          <w:b/>
          <w:i/>
          <w:color w:val="000000"/>
        </w:rPr>
      </w:pPr>
      <w:r w:rsidRPr="00CD3D64">
        <w:rPr>
          <w:rFonts w:ascii="Book Antiqua" w:hAnsi="Book Antiqua"/>
          <w:b/>
          <w:i/>
          <w:color w:val="000000"/>
        </w:rPr>
        <w:t>Research methods</w:t>
      </w:r>
    </w:p>
    <w:p w:rsidR="00C65BAC" w:rsidRPr="00CD3D64" w:rsidRDefault="00C65BAC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CD3D64">
        <w:rPr>
          <w:rFonts w:ascii="Book Antiqua" w:hAnsi="Book Antiqua"/>
          <w:color w:val="000000"/>
        </w:rPr>
        <w:t xml:space="preserve">This is a multicenter post-marketing prospective cohort study of </w:t>
      </w:r>
      <w:proofErr w:type="spellStart"/>
      <w:r w:rsidRPr="00CD3D64">
        <w:rPr>
          <w:rFonts w:ascii="Book Antiqua" w:hAnsi="Book Antiqua"/>
          <w:color w:val="000000"/>
        </w:rPr>
        <w:t>sofosbuvir</w:t>
      </w:r>
      <w:proofErr w:type="spellEnd"/>
      <w:r w:rsidRPr="00CD3D64">
        <w:rPr>
          <w:rFonts w:ascii="Book Antiqua" w:hAnsi="Book Antiqua"/>
          <w:color w:val="000000"/>
        </w:rPr>
        <w:t xml:space="preserve"> </w:t>
      </w:r>
      <w:proofErr w:type="gramStart"/>
      <w:r w:rsidRPr="00CD3D64">
        <w:rPr>
          <w:rFonts w:ascii="Book Antiqua" w:hAnsi="Book Antiqua"/>
          <w:color w:val="000000"/>
        </w:rPr>
        <w:t>plus</w:t>
      </w:r>
      <w:proofErr w:type="gramEnd"/>
      <w:r w:rsidRPr="00CD3D64">
        <w:rPr>
          <w:rFonts w:ascii="Book Antiqua" w:hAnsi="Book Antiqua"/>
          <w:color w:val="000000"/>
        </w:rPr>
        <w:t xml:space="preserve"> ribavirin therapy for patients infected with genotype 2 HCV in a real-world clinical setting. We treated 265 patients with genotype 2 HCV using standard approved doses of </w:t>
      </w:r>
      <w:proofErr w:type="spellStart"/>
      <w:r w:rsidRPr="00CD3D64">
        <w:rPr>
          <w:rFonts w:ascii="Book Antiqua" w:hAnsi="Book Antiqua"/>
          <w:color w:val="000000"/>
        </w:rPr>
        <w:t>sofosbuvir</w:t>
      </w:r>
      <w:proofErr w:type="spellEnd"/>
      <w:r w:rsidRPr="00CD3D64">
        <w:rPr>
          <w:rFonts w:ascii="Book Antiqua" w:hAnsi="Book Antiqua"/>
          <w:color w:val="000000"/>
        </w:rPr>
        <w:t xml:space="preserve"> (400 mg/d) plus ribavirin adjusted by body weight, administered orally for 12 wk. In the present study, 31% of patients were </w:t>
      </w:r>
      <w:r w:rsidRPr="00CD3D64">
        <w:rPr>
          <w:rFonts w:ascii="Book Antiqua" w:hAnsi="Book Antiqua"/>
          <w:color w:val="000000"/>
        </w:rPr>
        <w:sym w:font="Symbol" w:char="F0B3"/>
      </w:r>
      <w:r w:rsidR="00B7734E" w:rsidRPr="00CD3D64">
        <w:rPr>
          <w:rFonts w:ascii="Book Antiqua" w:hAnsi="Book Antiqua"/>
          <w:color w:val="000000"/>
        </w:rPr>
        <w:t xml:space="preserve"> </w:t>
      </w:r>
      <w:r w:rsidRPr="00CD3D64">
        <w:rPr>
          <w:rFonts w:ascii="Book Antiqua" w:hAnsi="Book Antiqua"/>
          <w:color w:val="000000"/>
        </w:rPr>
        <w:t>75</w:t>
      </w:r>
      <w:r w:rsidR="00D242AF">
        <w:rPr>
          <w:rFonts w:ascii="Book Antiqua" w:hAnsi="Book Antiqua"/>
          <w:color w:val="000000"/>
        </w:rPr>
        <w:t>-years-old</w:t>
      </w:r>
      <w:r w:rsidRPr="00CD3D64">
        <w:rPr>
          <w:rFonts w:ascii="Book Antiqua" w:hAnsi="Book Antiqua"/>
          <w:color w:val="000000"/>
        </w:rPr>
        <w:t xml:space="preserve">, and 12% had a history of </w:t>
      </w:r>
      <w:r w:rsidR="00B7734E" w:rsidRPr="00CD3D64">
        <w:rPr>
          <w:rFonts w:ascii="Book Antiqua" w:hAnsi="Book Antiqua"/>
          <w:color w:val="000000"/>
        </w:rPr>
        <w:t>hepatocellular carcinoma (</w:t>
      </w:r>
      <w:r w:rsidRPr="00CD3D64">
        <w:rPr>
          <w:rFonts w:ascii="Book Antiqua" w:hAnsi="Book Antiqua"/>
          <w:color w:val="000000"/>
        </w:rPr>
        <w:t>HCC</w:t>
      </w:r>
      <w:r w:rsidR="00B7734E" w:rsidRPr="00CD3D64">
        <w:rPr>
          <w:rFonts w:ascii="Book Antiqua" w:hAnsi="Book Antiqua"/>
          <w:color w:val="000000"/>
        </w:rPr>
        <w:t>)</w:t>
      </w:r>
      <w:r w:rsidRPr="00CD3D64">
        <w:rPr>
          <w:rFonts w:ascii="Book Antiqua" w:hAnsi="Book Antiqua"/>
          <w:color w:val="000000"/>
        </w:rPr>
        <w:t xml:space="preserve"> treatment. Furthermore, 34% of enrolled patients had cirrhosis, and 20% had moderate chronic kidney disease.</w:t>
      </w:r>
      <w:r w:rsidR="00AC0306" w:rsidRPr="00CD3D64">
        <w:rPr>
          <w:rFonts w:ascii="Book Antiqua" w:hAnsi="Book Antiqua"/>
          <w:color w:val="000000"/>
        </w:rPr>
        <w:t xml:space="preserve"> The primary </w:t>
      </w:r>
      <w:proofErr w:type="gramStart"/>
      <w:r w:rsidR="00AC0306" w:rsidRPr="00CD3D64">
        <w:rPr>
          <w:rFonts w:ascii="Book Antiqua" w:hAnsi="Book Antiqua"/>
          <w:color w:val="000000"/>
        </w:rPr>
        <w:t>end point</w:t>
      </w:r>
      <w:proofErr w:type="gramEnd"/>
      <w:r w:rsidR="00AC0306" w:rsidRPr="00CD3D64">
        <w:rPr>
          <w:rFonts w:ascii="Book Antiqua" w:hAnsi="Book Antiqua"/>
          <w:color w:val="000000"/>
        </w:rPr>
        <w:t xml:space="preserve"> of the present study was SVR at 24 </w:t>
      </w:r>
      <w:proofErr w:type="spellStart"/>
      <w:r w:rsidR="00AC0306" w:rsidRPr="00CD3D64">
        <w:rPr>
          <w:rFonts w:ascii="Book Antiqua" w:hAnsi="Book Antiqua"/>
          <w:color w:val="000000"/>
        </w:rPr>
        <w:t>wk</w:t>
      </w:r>
      <w:proofErr w:type="spellEnd"/>
      <w:r w:rsidR="00AC0306" w:rsidRPr="00CD3D64">
        <w:rPr>
          <w:rFonts w:ascii="Book Antiqua" w:hAnsi="Book Antiqua"/>
          <w:color w:val="000000"/>
        </w:rPr>
        <w:t xml:space="preserve"> after the end of therapy.</w:t>
      </w:r>
    </w:p>
    <w:p w:rsidR="001D792B" w:rsidRPr="00CD3D64" w:rsidRDefault="001D792B" w:rsidP="00CD3D64">
      <w:pPr>
        <w:adjustRightInd w:val="0"/>
        <w:snapToGrid w:val="0"/>
        <w:spacing w:line="360" w:lineRule="auto"/>
        <w:rPr>
          <w:rFonts w:ascii="Book Antiqua" w:hAnsi="Book Antiqua"/>
          <w:b/>
          <w:i/>
          <w:color w:val="000000"/>
        </w:rPr>
      </w:pPr>
    </w:p>
    <w:p w:rsidR="008600E0" w:rsidRPr="00CD3D64" w:rsidRDefault="008600E0" w:rsidP="00CD3D64">
      <w:pPr>
        <w:adjustRightInd w:val="0"/>
        <w:snapToGrid w:val="0"/>
        <w:spacing w:line="360" w:lineRule="auto"/>
        <w:rPr>
          <w:rFonts w:ascii="Book Antiqua" w:hAnsi="Book Antiqua"/>
          <w:b/>
          <w:i/>
          <w:color w:val="000000"/>
        </w:rPr>
      </w:pPr>
      <w:r w:rsidRPr="00CD3D64">
        <w:rPr>
          <w:rFonts w:ascii="Book Antiqua" w:hAnsi="Book Antiqua"/>
          <w:b/>
          <w:i/>
          <w:color w:val="000000"/>
        </w:rPr>
        <w:t>Research results</w:t>
      </w:r>
    </w:p>
    <w:p w:rsidR="00AC0306" w:rsidRPr="00CD3D64" w:rsidRDefault="00AC0306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CD3D64">
        <w:rPr>
          <w:rFonts w:ascii="Book Antiqua" w:hAnsi="Book Antiqua"/>
          <w:color w:val="000000"/>
        </w:rPr>
        <w:t>Regarding efficacy,</w:t>
      </w:r>
      <w:r w:rsidR="004E3D0A" w:rsidRPr="00CD3D64">
        <w:rPr>
          <w:rFonts w:ascii="Book Antiqua" w:hAnsi="Book Antiqua"/>
          <w:color w:val="000000"/>
        </w:rPr>
        <w:t xml:space="preserve"> SVR rates for the overall cohort, patients &lt;</w:t>
      </w:r>
      <w:r w:rsidR="00B7734E" w:rsidRPr="00CD3D64">
        <w:rPr>
          <w:rFonts w:ascii="Book Antiqua" w:hAnsi="Book Antiqua"/>
          <w:color w:val="000000"/>
        </w:rPr>
        <w:t xml:space="preserve"> </w:t>
      </w:r>
      <w:r w:rsidR="004E3D0A" w:rsidRPr="00CD3D64">
        <w:rPr>
          <w:rFonts w:ascii="Book Antiqua" w:hAnsi="Book Antiqua"/>
          <w:color w:val="000000"/>
        </w:rPr>
        <w:t>65</w:t>
      </w:r>
      <w:r w:rsidR="00D242AF">
        <w:rPr>
          <w:rFonts w:ascii="Book Antiqua" w:hAnsi="Book Antiqua"/>
          <w:color w:val="000000"/>
        </w:rPr>
        <w:t>-years-old</w:t>
      </w:r>
      <w:r w:rsidR="004E3D0A" w:rsidRPr="00CD3D64">
        <w:rPr>
          <w:rFonts w:ascii="Book Antiqua" w:hAnsi="Book Antiqua"/>
          <w:color w:val="000000"/>
        </w:rPr>
        <w:t>, ≥</w:t>
      </w:r>
      <w:r w:rsidR="00B7734E" w:rsidRPr="00CD3D64">
        <w:rPr>
          <w:rFonts w:ascii="Book Antiqua" w:hAnsi="Book Antiqua"/>
          <w:color w:val="000000"/>
        </w:rPr>
        <w:t xml:space="preserve"> </w:t>
      </w:r>
      <w:r w:rsidR="004E3D0A" w:rsidRPr="00CD3D64">
        <w:rPr>
          <w:rFonts w:ascii="Book Antiqua" w:hAnsi="Book Antiqua"/>
          <w:color w:val="000000"/>
        </w:rPr>
        <w:t>65</w:t>
      </w:r>
      <w:r w:rsidR="00D242AF">
        <w:rPr>
          <w:rFonts w:ascii="Book Antiqua" w:hAnsi="Book Antiqua"/>
          <w:color w:val="000000"/>
        </w:rPr>
        <w:t>-years-old</w:t>
      </w:r>
      <w:r w:rsidR="004E3D0A" w:rsidRPr="00CD3D64">
        <w:rPr>
          <w:rFonts w:ascii="Book Antiqua" w:hAnsi="Book Antiqua"/>
          <w:color w:val="000000"/>
        </w:rPr>
        <w:t xml:space="preserve"> but &lt;</w:t>
      </w:r>
      <w:r w:rsidR="00B7734E" w:rsidRPr="00CD3D64">
        <w:rPr>
          <w:rFonts w:ascii="Book Antiqua" w:hAnsi="Book Antiqua"/>
          <w:color w:val="000000"/>
        </w:rPr>
        <w:t xml:space="preserve"> </w:t>
      </w:r>
      <w:r w:rsidR="004E3D0A" w:rsidRPr="00CD3D64">
        <w:rPr>
          <w:rFonts w:ascii="Book Antiqua" w:hAnsi="Book Antiqua"/>
          <w:color w:val="000000"/>
        </w:rPr>
        <w:t>75</w:t>
      </w:r>
      <w:r w:rsidR="00D242AF">
        <w:rPr>
          <w:rFonts w:ascii="Book Antiqua" w:hAnsi="Book Antiqua"/>
          <w:color w:val="000000"/>
        </w:rPr>
        <w:t>-years-old</w:t>
      </w:r>
      <w:r w:rsidR="004E3D0A" w:rsidRPr="00CD3D64">
        <w:rPr>
          <w:rFonts w:ascii="Book Antiqua" w:hAnsi="Book Antiqua"/>
          <w:color w:val="000000"/>
        </w:rPr>
        <w:t>, and ≥</w:t>
      </w:r>
      <w:r w:rsidR="00B7734E" w:rsidRPr="00CD3D64">
        <w:rPr>
          <w:rFonts w:ascii="Book Antiqua" w:hAnsi="Book Antiqua"/>
          <w:color w:val="000000"/>
        </w:rPr>
        <w:t xml:space="preserve"> </w:t>
      </w:r>
      <w:r w:rsidR="004E3D0A" w:rsidRPr="00CD3D64">
        <w:rPr>
          <w:rFonts w:ascii="Book Antiqua" w:hAnsi="Book Antiqua"/>
          <w:color w:val="000000"/>
        </w:rPr>
        <w:t>75</w:t>
      </w:r>
      <w:r w:rsidR="00D242AF">
        <w:rPr>
          <w:rFonts w:ascii="Book Antiqua" w:hAnsi="Book Antiqua"/>
          <w:color w:val="000000"/>
        </w:rPr>
        <w:t>-years-old</w:t>
      </w:r>
      <w:r w:rsidR="004E3D0A" w:rsidRPr="00CD3D64">
        <w:rPr>
          <w:rFonts w:ascii="Book Antiqua" w:hAnsi="Book Antiqua"/>
          <w:color w:val="000000"/>
        </w:rPr>
        <w:t xml:space="preserve"> were 97% (258/265), 98% (93/95), 97% (84/87), and 98% (81/83), respectively </w:t>
      </w:r>
      <w:r w:rsidR="004E3D0A" w:rsidRPr="00CD3D64">
        <w:rPr>
          <w:rFonts w:ascii="Book Antiqua" w:hAnsi="Book Antiqua"/>
          <w:bCs/>
          <w:iCs/>
          <w:color w:val="000000"/>
        </w:rPr>
        <w:t>(</w:t>
      </w:r>
      <w:r w:rsidR="00B7734E" w:rsidRPr="00CD3D64">
        <w:rPr>
          <w:rFonts w:ascii="Book Antiqua" w:hAnsi="Book Antiqua"/>
          <w:bCs/>
          <w:i/>
          <w:color w:val="000000"/>
        </w:rPr>
        <w:t xml:space="preserve">P </w:t>
      </w:r>
      <w:r w:rsidR="004E3D0A" w:rsidRPr="00CD3D64">
        <w:rPr>
          <w:rFonts w:ascii="Book Antiqua" w:hAnsi="Book Antiqua"/>
          <w:bCs/>
          <w:iCs/>
          <w:color w:val="000000"/>
        </w:rPr>
        <w:t>=</w:t>
      </w:r>
      <w:r w:rsidR="00B7734E" w:rsidRPr="00CD3D64">
        <w:rPr>
          <w:rFonts w:ascii="Book Antiqua" w:hAnsi="Book Antiqua"/>
          <w:bCs/>
          <w:iCs/>
          <w:color w:val="000000"/>
        </w:rPr>
        <w:t xml:space="preserve"> </w:t>
      </w:r>
      <w:r w:rsidR="004E3D0A" w:rsidRPr="00CD3D64">
        <w:rPr>
          <w:rFonts w:ascii="Book Antiqua" w:hAnsi="Book Antiqua"/>
          <w:bCs/>
          <w:iCs/>
          <w:color w:val="000000"/>
        </w:rPr>
        <w:t>0.842)</w:t>
      </w:r>
      <w:r w:rsidR="004E3D0A" w:rsidRPr="00CD3D64">
        <w:rPr>
          <w:rFonts w:ascii="Book Antiqua" w:hAnsi="Book Antiqua"/>
          <w:color w:val="000000"/>
        </w:rPr>
        <w:t xml:space="preserve">. </w:t>
      </w:r>
      <w:r w:rsidR="004E3D0A" w:rsidRPr="00CD3D64">
        <w:rPr>
          <w:rFonts w:ascii="Book Antiqua" w:hAnsi="Book Antiqua"/>
          <w:bCs/>
          <w:iCs/>
          <w:color w:val="000000"/>
        </w:rPr>
        <w:t xml:space="preserve">Among patients </w:t>
      </w:r>
      <w:r w:rsidR="004E3D0A" w:rsidRPr="00CD3D64">
        <w:rPr>
          <w:rFonts w:ascii="Book Antiqua" w:hAnsi="Book Antiqua"/>
          <w:color w:val="000000"/>
        </w:rPr>
        <w:t>≥</w:t>
      </w:r>
      <w:r w:rsidR="00B7734E" w:rsidRPr="00CD3D64">
        <w:rPr>
          <w:rFonts w:ascii="Book Antiqua" w:hAnsi="Book Antiqua"/>
          <w:color w:val="000000"/>
        </w:rPr>
        <w:t xml:space="preserve"> </w:t>
      </w:r>
      <w:r w:rsidR="004E3D0A" w:rsidRPr="00CD3D64">
        <w:rPr>
          <w:rFonts w:ascii="Book Antiqua" w:hAnsi="Book Antiqua"/>
          <w:color w:val="000000"/>
        </w:rPr>
        <w:t>75</w:t>
      </w:r>
      <w:r w:rsidR="00D242AF">
        <w:rPr>
          <w:rFonts w:ascii="Book Antiqua" w:hAnsi="Book Antiqua"/>
          <w:bCs/>
          <w:iCs/>
          <w:color w:val="000000"/>
        </w:rPr>
        <w:t>-years-old</w:t>
      </w:r>
      <w:r w:rsidR="004E3D0A" w:rsidRPr="00CD3D64">
        <w:rPr>
          <w:rFonts w:ascii="Book Antiqua" w:hAnsi="Book Antiqua"/>
          <w:bCs/>
          <w:iCs/>
          <w:color w:val="000000"/>
        </w:rPr>
        <w:t xml:space="preserve"> with a history of </w:t>
      </w:r>
      <w:r w:rsidR="00B7734E" w:rsidRPr="00CD3D64">
        <w:rPr>
          <w:rFonts w:ascii="Book Antiqua" w:hAnsi="Book Antiqua"/>
          <w:color w:val="000000"/>
        </w:rPr>
        <w:t>interferon</w:t>
      </w:r>
      <w:r w:rsidR="004E3D0A" w:rsidRPr="00CD3D64">
        <w:rPr>
          <w:rFonts w:ascii="Book Antiqua" w:hAnsi="Book Antiqua"/>
          <w:bCs/>
          <w:iCs/>
          <w:color w:val="000000"/>
        </w:rPr>
        <w:t xml:space="preserve"> plus ribavirin therapy, the SVR rate was 100% (14/14). Furthermore, the SVR rate of cirrhotic </w:t>
      </w:r>
      <w:proofErr w:type="gramStart"/>
      <w:r w:rsidR="004E3D0A" w:rsidRPr="00CD3D64">
        <w:rPr>
          <w:rFonts w:ascii="Book Antiqua" w:hAnsi="Book Antiqua"/>
          <w:bCs/>
          <w:iCs/>
          <w:color w:val="000000"/>
        </w:rPr>
        <w:t>patients</w:t>
      </w:r>
      <w:proofErr w:type="gramEnd"/>
      <w:r w:rsidR="004E3D0A" w:rsidRPr="00CD3D64">
        <w:rPr>
          <w:rFonts w:ascii="Book Antiqua" w:hAnsi="Book Antiqua"/>
          <w:bCs/>
          <w:iCs/>
          <w:color w:val="000000"/>
        </w:rPr>
        <w:t xml:space="preserve"> </w:t>
      </w:r>
      <w:r w:rsidR="004E3D0A" w:rsidRPr="00CD3D64">
        <w:rPr>
          <w:rFonts w:ascii="Book Antiqua" w:hAnsi="Book Antiqua"/>
          <w:color w:val="000000"/>
        </w:rPr>
        <w:t>≥</w:t>
      </w:r>
      <w:r w:rsidR="00B7734E" w:rsidRPr="00CD3D64">
        <w:rPr>
          <w:rFonts w:ascii="Book Antiqua" w:hAnsi="Book Antiqua"/>
          <w:color w:val="000000"/>
        </w:rPr>
        <w:t xml:space="preserve"> </w:t>
      </w:r>
      <w:r w:rsidR="004E3D0A" w:rsidRPr="00CD3D64">
        <w:rPr>
          <w:rFonts w:ascii="Book Antiqua" w:hAnsi="Book Antiqua"/>
          <w:color w:val="000000"/>
        </w:rPr>
        <w:t>75</w:t>
      </w:r>
      <w:r w:rsidR="00D242AF">
        <w:rPr>
          <w:rFonts w:ascii="Book Antiqua" w:hAnsi="Book Antiqua"/>
          <w:bCs/>
          <w:iCs/>
          <w:color w:val="000000"/>
        </w:rPr>
        <w:t>-</w:t>
      </w:r>
      <w:r w:rsidR="004E3D0A" w:rsidRPr="00CD3D64">
        <w:rPr>
          <w:rFonts w:ascii="Book Antiqua" w:hAnsi="Book Antiqua"/>
          <w:bCs/>
          <w:iCs/>
          <w:color w:val="000000"/>
        </w:rPr>
        <w:t>years</w:t>
      </w:r>
      <w:r w:rsidR="00D242AF">
        <w:rPr>
          <w:rFonts w:ascii="Book Antiqua" w:hAnsi="Book Antiqua"/>
          <w:bCs/>
          <w:iCs/>
          <w:color w:val="000000"/>
        </w:rPr>
        <w:t>-old</w:t>
      </w:r>
      <w:r w:rsidR="004E3D0A" w:rsidRPr="00CD3D64">
        <w:rPr>
          <w:rFonts w:ascii="Book Antiqua" w:hAnsi="Book Antiqua"/>
          <w:bCs/>
          <w:iCs/>
          <w:color w:val="000000"/>
        </w:rPr>
        <w:t xml:space="preserve"> was also </w:t>
      </w:r>
      <w:r w:rsidR="004E3D0A" w:rsidRPr="00CD3D64">
        <w:rPr>
          <w:rFonts w:ascii="Book Antiqua" w:hAnsi="Book Antiqua"/>
          <w:bCs/>
          <w:iCs/>
          <w:color w:val="000000"/>
        </w:rPr>
        <w:lastRenderedPageBreak/>
        <w:t>extremely high (98%, 40/41). From these results, a high SVR rate (&gt;</w:t>
      </w:r>
      <w:r w:rsidR="00B7734E" w:rsidRPr="00CD3D64">
        <w:rPr>
          <w:rFonts w:ascii="Book Antiqua" w:hAnsi="Book Antiqua"/>
          <w:bCs/>
          <w:iCs/>
          <w:color w:val="000000"/>
        </w:rPr>
        <w:t xml:space="preserve"> </w:t>
      </w:r>
      <w:proofErr w:type="gramStart"/>
      <w:r w:rsidR="004E3D0A" w:rsidRPr="00CD3D64">
        <w:rPr>
          <w:rFonts w:ascii="Book Antiqua" w:hAnsi="Book Antiqua"/>
          <w:bCs/>
          <w:iCs/>
          <w:color w:val="000000"/>
        </w:rPr>
        <w:t>95%</w:t>
      </w:r>
      <w:proofErr w:type="gramEnd"/>
      <w:r w:rsidR="004E3D0A" w:rsidRPr="00CD3D64">
        <w:rPr>
          <w:rFonts w:ascii="Book Antiqua" w:hAnsi="Book Antiqua"/>
          <w:bCs/>
          <w:iCs/>
          <w:color w:val="000000"/>
        </w:rPr>
        <w:t xml:space="preserve">) would be expected even in patients </w:t>
      </w:r>
      <w:r w:rsidR="004E3D0A" w:rsidRPr="00CD3D64">
        <w:rPr>
          <w:rFonts w:ascii="Book Antiqua" w:hAnsi="Book Antiqua"/>
          <w:color w:val="000000"/>
        </w:rPr>
        <w:t>≥</w:t>
      </w:r>
      <w:r w:rsidR="00B7734E" w:rsidRPr="00CD3D64">
        <w:rPr>
          <w:rFonts w:ascii="Book Antiqua" w:hAnsi="Book Antiqua"/>
          <w:color w:val="000000"/>
        </w:rPr>
        <w:t xml:space="preserve"> </w:t>
      </w:r>
      <w:r w:rsidR="004E3D0A" w:rsidRPr="00CD3D64">
        <w:rPr>
          <w:rFonts w:ascii="Book Antiqua" w:hAnsi="Book Antiqua"/>
          <w:color w:val="000000"/>
        </w:rPr>
        <w:t>75</w:t>
      </w:r>
      <w:r w:rsidR="00D242AF">
        <w:rPr>
          <w:rFonts w:ascii="Book Antiqua" w:hAnsi="Book Antiqua"/>
          <w:color w:val="000000"/>
        </w:rPr>
        <w:t>-years-old</w:t>
      </w:r>
      <w:r w:rsidR="004E3D0A" w:rsidRPr="00CD3D64">
        <w:rPr>
          <w:rFonts w:ascii="Book Antiqua" w:hAnsi="Book Antiqua"/>
          <w:color w:val="000000"/>
        </w:rPr>
        <w:t xml:space="preserve">, irrespective of cirrhosis or history of </w:t>
      </w:r>
      <w:r w:rsidR="00B7734E" w:rsidRPr="00CD3D64">
        <w:rPr>
          <w:rFonts w:ascii="Book Antiqua" w:hAnsi="Book Antiqua"/>
          <w:color w:val="000000"/>
        </w:rPr>
        <w:t>interferon</w:t>
      </w:r>
      <w:r w:rsidR="004E3D0A" w:rsidRPr="00CD3D64">
        <w:rPr>
          <w:rFonts w:ascii="Book Antiqua" w:hAnsi="Book Antiqua"/>
          <w:color w:val="000000"/>
        </w:rPr>
        <w:t xml:space="preserve"> treatment. </w:t>
      </w:r>
      <w:r w:rsidRPr="00CD3D64">
        <w:rPr>
          <w:rFonts w:ascii="Book Antiqua" w:hAnsi="Book Antiqua"/>
          <w:color w:val="000000"/>
        </w:rPr>
        <w:t>Logistic regression analyses identified history of</w:t>
      </w:r>
      <w:r w:rsidR="004E3D0A" w:rsidRPr="00CD3D64">
        <w:rPr>
          <w:rFonts w:ascii="Book Antiqua" w:hAnsi="Book Antiqua"/>
          <w:color w:val="000000"/>
        </w:rPr>
        <w:t xml:space="preserve"> </w:t>
      </w:r>
      <w:r w:rsidRPr="00CD3D64">
        <w:rPr>
          <w:rFonts w:ascii="Book Antiqua" w:hAnsi="Book Antiqua"/>
          <w:color w:val="000000"/>
        </w:rPr>
        <w:t>HCC treatment and alpha-fetoprotein</w:t>
      </w:r>
      <w:r w:rsidR="005D607B" w:rsidRPr="00CD3D64">
        <w:rPr>
          <w:rFonts w:ascii="Book Antiqua" w:hAnsi="Book Antiqua"/>
          <w:color w:val="000000"/>
        </w:rPr>
        <w:t xml:space="preserve"> </w:t>
      </w:r>
      <w:r w:rsidRPr="00CD3D64">
        <w:rPr>
          <w:rFonts w:ascii="Book Antiqua" w:hAnsi="Book Antiqua"/>
          <w:color w:val="000000"/>
        </w:rPr>
        <w:t xml:space="preserve">as factors significantly associated with SVR. SVR rate was significantly lower for patients with HCC treatment (91%) than for patients without history of HCC treatment (98%, </w:t>
      </w:r>
      <w:r w:rsidR="00B7734E" w:rsidRPr="00CD3D64">
        <w:rPr>
          <w:rFonts w:ascii="Book Antiqua" w:hAnsi="Book Antiqua"/>
          <w:i/>
          <w:iCs/>
          <w:color w:val="000000"/>
        </w:rPr>
        <w:t xml:space="preserve">P </w:t>
      </w:r>
      <w:r w:rsidRPr="00CD3D64">
        <w:rPr>
          <w:rFonts w:ascii="Book Antiqua" w:hAnsi="Book Antiqua"/>
          <w:color w:val="000000"/>
        </w:rPr>
        <w:t>=</w:t>
      </w:r>
      <w:r w:rsidR="00B7734E" w:rsidRPr="00CD3D64">
        <w:rPr>
          <w:rFonts w:ascii="Book Antiqua" w:hAnsi="Book Antiqua"/>
          <w:color w:val="000000"/>
        </w:rPr>
        <w:t xml:space="preserve"> </w:t>
      </w:r>
      <w:r w:rsidRPr="00CD3D64">
        <w:rPr>
          <w:rFonts w:ascii="Book Antiqua" w:hAnsi="Book Antiqua"/>
          <w:color w:val="000000"/>
        </w:rPr>
        <w:t xml:space="preserve">0.004). </w:t>
      </w:r>
      <w:r w:rsidR="004E3D0A" w:rsidRPr="00CD3D64">
        <w:rPr>
          <w:rFonts w:ascii="Book Antiqua" w:hAnsi="Book Antiqua"/>
          <w:color w:val="000000"/>
        </w:rPr>
        <w:t>Regarding safety, a</w:t>
      </w:r>
      <w:r w:rsidRPr="00CD3D64">
        <w:rPr>
          <w:rFonts w:ascii="Book Antiqua" w:hAnsi="Book Antiqua"/>
          <w:color w:val="000000"/>
        </w:rPr>
        <w:t xml:space="preserve">lthough </w:t>
      </w:r>
      <w:r w:rsidRPr="00CD3D64">
        <w:rPr>
          <w:rFonts w:ascii="Book Antiqua" w:hAnsi="Book Antiqua"/>
          <w:bCs/>
          <w:iCs/>
          <w:color w:val="000000"/>
        </w:rPr>
        <w:t xml:space="preserve">dose reduction or interruption of ribavirin due to anemia was required in 21.7% of </w:t>
      </w:r>
      <w:proofErr w:type="gramStart"/>
      <w:r w:rsidRPr="00CD3D64">
        <w:rPr>
          <w:rFonts w:ascii="Book Antiqua" w:hAnsi="Book Antiqua"/>
          <w:bCs/>
          <w:iCs/>
          <w:color w:val="000000"/>
        </w:rPr>
        <w:t>patients</w:t>
      </w:r>
      <w:proofErr w:type="gramEnd"/>
      <w:r w:rsidRPr="00CD3D64">
        <w:rPr>
          <w:rFonts w:ascii="Book Antiqua" w:hAnsi="Book Antiqua"/>
          <w:bCs/>
          <w:iCs/>
          <w:color w:val="000000"/>
        </w:rPr>
        <w:t xml:space="preserve"> </w:t>
      </w:r>
      <w:r w:rsidRPr="00CD3D64">
        <w:rPr>
          <w:rFonts w:ascii="Book Antiqua" w:hAnsi="Book Antiqua"/>
          <w:color w:val="000000"/>
        </w:rPr>
        <w:t>≥</w:t>
      </w:r>
      <w:r w:rsidR="00B7734E" w:rsidRPr="00CD3D64">
        <w:rPr>
          <w:rFonts w:ascii="Book Antiqua" w:hAnsi="Book Antiqua"/>
          <w:color w:val="000000"/>
        </w:rPr>
        <w:t xml:space="preserve"> </w:t>
      </w:r>
      <w:r w:rsidRPr="00CD3D64">
        <w:rPr>
          <w:rFonts w:ascii="Book Antiqua" w:hAnsi="Book Antiqua"/>
          <w:color w:val="000000"/>
        </w:rPr>
        <w:t>75</w:t>
      </w:r>
      <w:r w:rsidR="00D242AF">
        <w:rPr>
          <w:rFonts w:ascii="Book Antiqua" w:hAnsi="Book Antiqua"/>
          <w:color w:val="000000"/>
        </w:rPr>
        <w:t>-years-old</w:t>
      </w:r>
      <w:r w:rsidRPr="00CD3D64">
        <w:rPr>
          <w:rFonts w:ascii="Book Antiqua" w:hAnsi="Book Antiqua"/>
          <w:color w:val="000000"/>
        </w:rPr>
        <w:t xml:space="preserve"> and 7.7% of patients &lt;</w:t>
      </w:r>
      <w:r w:rsidR="00B7734E" w:rsidRPr="00CD3D64">
        <w:rPr>
          <w:rFonts w:ascii="Book Antiqua" w:hAnsi="Book Antiqua"/>
          <w:color w:val="000000"/>
        </w:rPr>
        <w:t xml:space="preserve"> </w:t>
      </w:r>
      <w:r w:rsidRPr="00CD3D64">
        <w:rPr>
          <w:rFonts w:ascii="Book Antiqua" w:hAnsi="Book Antiqua"/>
          <w:color w:val="000000"/>
        </w:rPr>
        <w:t>75</w:t>
      </w:r>
      <w:r w:rsidR="00D242AF">
        <w:rPr>
          <w:rFonts w:ascii="Book Antiqua" w:hAnsi="Book Antiqua"/>
          <w:color w:val="000000"/>
        </w:rPr>
        <w:t>-years-old</w:t>
      </w:r>
      <w:r w:rsidRPr="00CD3D64">
        <w:rPr>
          <w:rFonts w:ascii="Book Antiqua" w:hAnsi="Book Antiqua"/>
          <w:color w:val="000000"/>
        </w:rPr>
        <w:t xml:space="preserve">, treatment discontinuation was required for only </w:t>
      </w:r>
      <w:r w:rsidR="00F503BC" w:rsidRPr="00CD3D64">
        <w:rPr>
          <w:rFonts w:ascii="Book Antiqua" w:hAnsi="Book Antiqua"/>
          <w:color w:val="000000"/>
        </w:rPr>
        <w:t>one</w:t>
      </w:r>
      <w:r w:rsidRPr="00CD3D64">
        <w:rPr>
          <w:rFonts w:ascii="Book Antiqua" w:hAnsi="Book Antiqua"/>
          <w:color w:val="000000"/>
        </w:rPr>
        <w:t xml:space="preserve"> patient (0.4%)</w:t>
      </w:r>
      <w:r w:rsidRPr="00CD3D64">
        <w:rPr>
          <w:rFonts w:ascii="Book Antiqua" w:hAnsi="Book Antiqua"/>
          <w:bCs/>
          <w:iCs/>
          <w:color w:val="000000"/>
        </w:rPr>
        <w:t xml:space="preserve">. Therefore, </w:t>
      </w:r>
      <w:r w:rsidRPr="00CD3D64">
        <w:rPr>
          <w:rFonts w:ascii="Book Antiqua" w:hAnsi="Book Antiqua"/>
          <w:color w:val="000000"/>
        </w:rPr>
        <w:t>t</w:t>
      </w:r>
      <w:r w:rsidRPr="00CD3D64">
        <w:rPr>
          <w:rFonts w:ascii="Book Antiqua" w:hAnsi="Book Antiqua"/>
          <w:bCs/>
          <w:iCs/>
          <w:color w:val="000000"/>
        </w:rPr>
        <w:t xml:space="preserve">his treatment appears tolerable even in </w:t>
      </w:r>
      <w:proofErr w:type="gramStart"/>
      <w:r w:rsidRPr="00CD3D64">
        <w:rPr>
          <w:rFonts w:ascii="Book Antiqua" w:hAnsi="Book Antiqua"/>
          <w:bCs/>
          <w:iCs/>
          <w:color w:val="000000"/>
        </w:rPr>
        <w:t>patients</w:t>
      </w:r>
      <w:proofErr w:type="gramEnd"/>
      <w:r w:rsidRPr="00CD3D64">
        <w:rPr>
          <w:rFonts w:ascii="Book Antiqua" w:hAnsi="Book Antiqua"/>
          <w:bCs/>
          <w:iCs/>
          <w:color w:val="000000"/>
        </w:rPr>
        <w:t xml:space="preserve"> </w:t>
      </w:r>
      <w:r w:rsidRPr="00CD3D64">
        <w:rPr>
          <w:rFonts w:ascii="Book Antiqua" w:hAnsi="Book Antiqua"/>
          <w:color w:val="000000"/>
        </w:rPr>
        <w:t>≥</w:t>
      </w:r>
      <w:r w:rsidR="00B7734E" w:rsidRPr="00CD3D64">
        <w:rPr>
          <w:rFonts w:ascii="Book Antiqua" w:hAnsi="Book Antiqua"/>
          <w:color w:val="000000"/>
        </w:rPr>
        <w:t xml:space="preserve"> </w:t>
      </w:r>
      <w:r w:rsidRPr="00CD3D64">
        <w:rPr>
          <w:rFonts w:ascii="Book Antiqua" w:hAnsi="Book Antiqua"/>
          <w:color w:val="000000"/>
        </w:rPr>
        <w:t>75</w:t>
      </w:r>
      <w:r w:rsidR="00D242AF">
        <w:rPr>
          <w:rFonts w:ascii="Book Antiqua" w:hAnsi="Book Antiqua"/>
          <w:color w:val="000000"/>
        </w:rPr>
        <w:t>-years-old</w:t>
      </w:r>
      <w:r w:rsidRPr="00CD3D64">
        <w:rPr>
          <w:rFonts w:ascii="Book Antiqua" w:hAnsi="Book Antiqua"/>
          <w:bCs/>
          <w:iCs/>
          <w:color w:val="000000"/>
        </w:rPr>
        <w:t>.</w:t>
      </w:r>
    </w:p>
    <w:p w:rsidR="001D792B" w:rsidRPr="00CD3D64" w:rsidRDefault="001D792B" w:rsidP="00CD3D64">
      <w:pPr>
        <w:adjustRightInd w:val="0"/>
        <w:snapToGrid w:val="0"/>
        <w:spacing w:line="360" w:lineRule="auto"/>
        <w:rPr>
          <w:rFonts w:ascii="Book Antiqua" w:hAnsi="Book Antiqua"/>
          <w:b/>
          <w:i/>
          <w:color w:val="000000"/>
        </w:rPr>
      </w:pPr>
    </w:p>
    <w:p w:rsidR="008600E0" w:rsidRPr="00CD3D64" w:rsidRDefault="008600E0" w:rsidP="00CD3D64">
      <w:pPr>
        <w:adjustRightInd w:val="0"/>
        <w:snapToGrid w:val="0"/>
        <w:spacing w:line="360" w:lineRule="auto"/>
        <w:rPr>
          <w:rFonts w:ascii="Book Antiqua" w:hAnsi="Book Antiqua"/>
          <w:b/>
          <w:i/>
          <w:color w:val="000000"/>
        </w:rPr>
      </w:pPr>
      <w:r w:rsidRPr="00CD3D64">
        <w:rPr>
          <w:rFonts w:ascii="Book Antiqua" w:hAnsi="Book Antiqua"/>
          <w:b/>
          <w:i/>
          <w:color w:val="000000"/>
        </w:rPr>
        <w:t>Research conclusions</w:t>
      </w:r>
    </w:p>
    <w:p w:rsidR="004E3D0A" w:rsidRPr="00CD3D64" w:rsidRDefault="004E3D0A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proofErr w:type="spellStart"/>
      <w:r w:rsidRPr="00CD3D64">
        <w:rPr>
          <w:rFonts w:ascii="Book Antiqua" w:hAnsi="Book Antiqua"/>
          <w:color w:val="000000"/>
        </w:rPr>
        <w:t>Sofosbuvir</w:t>
      </w:r>
      <w:proofErr w:type="spellEnd"/>
      <w:r w:rsidRPr="00CD3D64">
        <w:rPr>
          <w:rFonts w:ascii="Book Antiqua" w:hAnsi="Book Antiqua"/>
          <w:color w:val="000000"/>
        </w:rPr>
        <w:t xml:space="preserve"> and ribavirin represent an acceptable and effective treatment even for </w:t>
      </w:r>
      <w:proofErr w:type="gramStart"/>
      <w:r w:rsidRPr="00CD3D64">
        <w:rPr>
          <w:rFonts w:ascii="Book Antiqua" w:hAnsi="Book Antiqua"/>
          <w:color w:val="000000"/>
        </w:rPr>
        <w:t>patients</w:t>
      </w:r>
      <w:proofErr w:type="gramEnd"/>
      <w:r w:rsidRPr="00CD3D64">
        <w:rPr>
          <w:rFonts w:ascii="Book Antiqua" w:hAnsi="Book Antiqua"/>
          <w:color w:val="000000"/>
        </w:rPr>
        <w:t xml:space="preserve"> ≥</w:t>
      </w:r>
      <w:r w:rsidR="00B7734E" w:rsidRPr="00CD3D64">
        <w:rPr>
          <w:rFonts w:ascii="Book Antiqua" w:hAnsi="Book Antiqua"/>
          <w:color w:val="000000"/>
        </w:rPr>
        <w:t xml:space="preserve"> </w:t>
      </w:r>
      <w:r w:rsidRPr="00CD3D64">
        <w:rPr>
          <w:rFonts w:ascii="Book Antiqua" w:hAnsi="Book Antiqua"/>
          <w:color w:val="000000"/>
        </w:rPr>
        <w:t>75</w:t>
      </w:r>
      <w:r w:rsidR="00D242AF">
        <w:rPr>
          <w:rFonts w:ascii="Book Antiqua" w:hAnsi="Book Antiqua"/>
          <w:color w:val="000000"/>
        </w:rPr>
        <w:t>-years-old</w:t>
      </w:r>
      <w:r w:rsidRPr="00CD3D64">
        <w:rPr>
          <w:rFonts w:ascii="Book Antiqua" w:hAnsi="Book Antiqua"/>
          <w:color w:val="000000"/>
        </w:rPr>
        <w:t xml:space="preserve"> in a real-world setting. An extremely high SVR rate </w:t>
      </w:r>
      <w:proofErr w:type="gramStart"/>
      <w:r w:rsidRPr="00CD3D64">
        <w:rPr>
          <w:rFonts w:ascii="Book Antiqua" w:hAnsi="Book Antiqua"/>
          <w:color w:val="000000"/>
        </w:rPr>
        <w:t>can be achieved</w:t>
      </w:r>
      <w:proofErr w:type="gramEnd"/>
      <w:r w:rsidRPr="00CD3D64">
        <w:rPr>
          <w:rFonts w:ascii="Book Antiqua" w:hAnsi="Book Antiqua"/>
          <w:color w:val="000000"/>
        </w:rPr>
        <w:t xml:space="preserve"> when adequate management for adverse effects is performed to avoid discontinuation of treatment, irrespective of age.</w:t>
      </w:r>
    </w:p>
    <w:p w:rsidR="004E3D0A" w:rsidRPr="00CD3D64" w:rsidRDefault="004E3D0A" w:rsidP="00CD3D64">
      <w:pPr>
        <w:adjustRightInd w:val="0"/>
        <w:snapToGrid w:val="0"/>
        <w:spacing w:line="360" w:lineRule="auto"/>
        <w:rPr>
          <w:rFonts w:ascii="Book Antiqua" w:hAnsi="Book Antiqua"/>
          <w:b/>
          <w:i/>
          <w:color w:val="000000"/>
        </w:rPr>
      </w:pPr>
    </w:p>
    <w:p w:rsidR="008600E0" w:rsidRPr="00CD3D64" w:rsidRDefault="008600E0" w:rsidP="00CD3D64">
      <w:pPr>
        <w:adjustRightInd w:val="0"/>
        <w:snapToGrid w:val="0"/>
        <w:spacing w:line="360" w:lineRule="auto"/>
        <w:rPr>
          <w:rFonts w:ascii="Book Antiqua" w:hAnsi="Book Antiqua"/>
          <w:b/>
          <w:i/>
          <w:color w:val="000000"/>
        </w:rPr>
      </w:pPr>
      <w:r w:rsidRPr="00CD3D64">
        <w:rPr>
          <w:rFonts w:ascii="Book Antiqua" w:hAnsi="Book Antiqua"/>
          <w:b/>
          <w:i/>
          <w:color w:val="000000"/>
        </w:rPr>
        <w:t>Research perspectives</w:t>
      </w:r>
    </w:p>
    <w:p w:rsidR="005D607B" w:rsidRPr="00CD3D64" w:rsidRDefault="005D607B" w:rsidP="00CD3D64">
      <w:pPr>
        <w:adjustRightInd w:val="0"/>
        <w:snapToGrid w:val="0"/>
        <w:spacing w:line="360" w:lineRule="auto"/>
        <w:rPr>
          <w:rFonts w:ascii="Book Antiqua" w:hAnsi="Book Antiqua"/>
          <w:bCs/>
          <w:iCs/>
          <w:color w:val="000000"/>
        </w:rPr>
      </w:pPr>
      <w:proofErr w:type="spellStart"/>
      <w:r w:rsidRPr="00CD3D64">
        <w:rPr>
          <w:rFonts w:ascii="Book Antiqua" w:hAnsi="Book Antiqua"/>
          <w:bCs/>
          <w:iCs/>
          <w:color w:val="000000"/>
        </w:rPr>
        <w:t>Sofosbuvir</w:t>
      </w:r>
      <w:proofErr w:type="spellEnd"/>
      <w:r w:rsidRPr="00CD3D64">
        <w:rPr>
          <w:rFonts w:ascii="Book Antiqua" w:hAnsi="Book Antiqua"/>
          <w:bCs/>
          <w:iCs/>
          <w:color w:val="000000"/>
        </w:rPr>
        <w:t xml:space="preserve"> plus ribavirin might be less effective in patients with a history of HCC treatment or high </w:t>
      </w:r>
      <w:r w:rsidR="00B7734E" w:rsidRPr="00CD3D64">
        <w:rPr>
          <w:rFonts w:ascii="Book Antiqua" w:hAnsi="Book Antiqua"/>
          <w:color w:val="000000"/>
        </w:rPr>
        <w:t>alpha-fetoprotein</w:t>
      </w:r>
      <w:r w:rsidRPr="00CD3D64">
        <w:rPr>
          <w:rFonts w:ascii="Book Antiqua" w:hAnsi="Book Antiqua"/>
          <w:bCs/>
          <w:iCs/>
          <w:color w:val="000000"/>
        </w:rPr>
        <w:t xml:space="preserve"> level</w:t>
      </w:r>
      <w:r w:rsidR="000C4423" w:rsidRPr="00CD3D64">
        <w:rPr>
          <w:rFonts w:ascii="Book Antiqua" w:hAnsi="Book Antiqua"/>
          <w:bCs/>
          <w:iCs/>
          <w:color w:val="000000"/>
        </w:rPr>
        <w:t xml:space="preserve">, </w:t>
      </w:r>
      <w:r w:rsidR="000C4423" w:rsidRPr="00CD3D64">
        <w:rPr>
          <w:rFonts w:ascii="Book Antiqua" w:hAnsi="Book Antiqua"/>
          <w:color w:val="000000"/>
        </w:rPr>
        <w:t>irrespective of age</w:t>
      </w:r>
      <w:r w:rsidR="00C107CE" w:rsidRPr="00CD3D64">
        <w:rPr>
          <w:rFonts w:ascii="Book Antiqua" w:hAnsi="Book Antiqua"/>
          <w:bCs/>
          <w:iCs/>
          <w:color w:val="000000"/>
        </w:rPr>
        <w:t xml:space="preserve">. These patients </w:t>
      </w:r>
      <w:proofErr w:type="gramStart"/>
      <w:r w:rsidR="00C107CE" w:rsidRPr="00CD3D64">
        <w:rPr>
          <w:rFonts w:ascii="Book Antiqua" w:hAnsi="Book Antiqua"/>
          <w:bCs/>
          <w:iCs/>
          <w:color w:val="000000"/>
        </w:rPr>
        <w:t xml:space="preserve">should </w:t>
      </w:r>
      <w:r w:rsidRPr="00CD3D64">
        <w:rPr>
          <w:rFonts w:ascii="Book Antiqua" w:hAnsi="Book Antiqua"/>
          <w:bCs/>
          <w:iCs/>
          <w:color w:val="000000"/>
        </w:rPr>
        <w:t>probably be treated</w:t>
      </w:r>
      <w:proofErr w:type="gramEnd"/>
      <w:r w:rsidRPr="00CD3D64">
        <w:rPr>
          <w:rFonts w:ascii="Book Antiqua" w:hAnsi="Book Antiqua"/>
          <w:bCs/>
          <w:iCs/>
          <w:color w:val="000000"/>
        </w:rPr>
        <w:t xml:space="preserve"> using some other ribavirin-free </w:t>
      </w:r>
      <w:r w:rsidR="00B7734E" w:rsidRPr="00CD3D64">
        <w:rPr>
          <w:rFonts w:ascii="Book Antiqua" w:hAnsi="Book Antiqua"/>
          <w:bCs/>
          <w:iCs/>
          <w:color w:val="000000"/>
        </w:rPr>
        <w:t>direct-acting antiviral</w:t>
      </w:r>
      <w:r w:rsidR="00B7734E" w:rsidRPr="00CD3D64">
        <w:rPr>
          <w:rFonts w:ascii="Book Antiqua" w:hAnsi="Book Antiqua"/>
          <w:color w:val="000000"/>
        </w:rPr>
        <w:t xml:space="preserve"> agent</w:t>
      </w:r>
      <w:r w:rsidRPr="00CD3D64">
        <w:rPr>
          <w:rFonts w:ascii="Book Antiqua" w:hAnsi="Book Antiqua"/>
          <w:bCs/>
          <w:iCs/>
          <w:color w:val="000000"/>
        </w:rPr>
        <w:t xml:space="preserve"> therapy.</w:t>
      </w:r>
    </w:p>
    <w:p w:rsidR="008600E0" w:rsidRPr="00CD3D64" w:rsidRDefault="008600E0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</w:p>
    <w:p w:rsidR="00B7734E" w:rsidRPr="00CD3D64" w:rsidRDefault="00B7734E" w:rsidP="00CD3D64">
      <w:pPr>
        <w:adjustRightInd w:val="0"/>
        <w:snapToGrid w:val="0"/>
        <w:spacing w:line="360" w:lineRule="auto"/>
        <w:rPr>
          <w:rFonts w:ascii="Book Antiqua" w:hAnsi="Book Antiqua" w:cs="Arial"/>
          <w:b/>
        </w:rPr>
      </w:pPr>
      <w:r w:rsidRPr="00CD3D64">
        <w:rPr>
          <w:rFonts w:ascii="Book Antiqua" w:hAnsi="Book Antiqua" w:cs="Arial"/>
          <w:b/>
        </w:rPr>
        <w:t>REFERENCES</w:t>
      </w:r>
    </w:p>
    <w:p w:rsidR="00C107CE" w:rsidRPr="00CD3D64" w:rsidRDefault="00C107CE" w:rsidP="00CD3D64">
      <w:pPr>
        <w:adjustRightInd w:val="0"/>
        <w:snapToGrid w:val="0"/>
        <w:spacing w:line="360" w:lineRule="auto"/>
        <w:rPr>
          <w:rFonts w:ascii="Book Antiqua" w:hAnsi="Book Antiqua"/>
        </w:rPr>
      </w:pPr>
      <w:r w:rsidRPr="00CD3D64">
        <w:rPr>
          <w:rFonts w:ascii="Book Antiqua" w:hAnsi="Book Antiqua"/>
        </w:rPr>
        <w:t xml:space="preserve">1 </w:t>
      </w:r>
      <w:proofErr w:type="spellStart"/>
      <w:r w:rsidRPr="00CD3D64">
        <w:rPr>
          <w:rFonts w:ascii="Book Antiqua" w:hAnsi="Book Antiqua"/>
          <w:b/>
        </w:rPr>
        <w:t>Lawitz</w:t>
      </w:r>
      <w:proofErr w:type="spellEnd"/>
      <w:r w:rsidRPr="00CD3D64">
        <w:rPr>
          <w:rFonts w:ascii="Book Antiqua" w:hAnsi="Book Antiqua"/>
          <w:b/>
        </w:rPr>
        <w:t xml:space="preserve"> E</w:t>
      </w:r>
      <w:r w:rsidRPr="00CD3D64">
        <w:rPr>
          <w:rFonts w:ascii="Book Antiqua" w:hAnsi="Book Antiqua"/>
        </w:rPr>
        <w:t xml:space="preserve">, </w:t>
      </w:r>
      <w:proofErr w:type="spellStart"/>
      <w:r w:rsidRPr="00CD3D64">
        <w:rPr>
          <w:rFonts w:ascii="Book Antiqua" w:hAnsi="Book Antiqua"/>
        </w:rPr>
        <w:t>Mangia</w:t>
      </w:r>
      <w:proofErr w:type="spellEnd"/>
      <w:r w:rsidRPr="00CD3D64">
        <w:rPr>
          <w:rFonts w:ascii="Book Antiqua" w:hAnsi="Book Antiqua"/>
        </w:rPr>
        <w:t xml:space="preserve"> A, </w:t>
      </w:r>
      <w:proofErr w:type="spellStart"/>
      <w:r w:rsidRPr="00CD3D64">
        <w:rPr>
          <w:rFonts w:ascii="Book Antiqua" w:hAnsi="Book Antiqua"/>
        </w:rPr>
        <w:t>Wyles</w:t>
      </w:r>
      <w:proofErr w:type="spellEnd"/>
      <w:r w:rsidRPr="00CD3D64">
        <w:rPr>
          <w:rFonts w:ascii="Book Antiqua" w:hAnsi="Book Antiqua"/>
        </w:rPr>
        <w:t xml:space="preserve"> D, Rodriguez-Torres M, </w:t>
      </w:r>
      <w:proofErr w:type="spellStart"/>
      <w:r w:rsidRPr="00CD3D64">
        <w:rPr>
          <w:rFonts w:ascii="Book Antiqua" w:hAnsi="Book Antiqua"/>
        </w:rPr>
        <w:t>Hassanein</w:t>
      </w:r>
      <w:proofErr w:type="spellEnd"/>
      <w:r w:rsidRPr="00CD3D64">
        <w:rPr>
          <w:rFonts w:ascii="Book Antiqua" w:hAnsi="Book Antiqua"/>
        </w:rPr>
        <w:t xml:space="preserve"> T, Gordon SC, Schultz M, Davis MN, </w:t>
      </w:r>
      <w:proofErr w:type="spellStart"/>
      <w:r w:rsidRPr="00CD3D64">
        <w:rPr>
          <w:rFonts w:ascii="Book Antiqua" w:hAnsi="Book Antiqua"/>
        </w:rPr>
        <w:t>Kayali</w:t>
      </w:r>
      <w:proofErr w:type="spellEnd"/>
      <w:r w:rsidRPr="00CD3D64">
        <w:rPr>
          <w:rFonts w:ascii="Book Antiqua" w:hAnsi="Book Antiqua"/>
        </w:rPr>
        <w:t xml:space="preserve"> Z, Reddy KR, Jacobson IM, </w:t>
      </w:r>
      <w:proofErr w:type="spellStart"/>
      <w:r w:rsidRPr="00CD3D64">
        <w:rPr>
          <w:rFonts w:ascii="Book Antiqua" w:hAnsi="Book Antiqua"/>
        </w:rPr>
        <w:t>Kowdley</w:t>
      </w:r>
      <w:proofErr w:type="spellEnd"/>
      <w:r w:rsidRPr="00CD3D64">
        <w:rPr>
          <w:rFonts w:ascii="Book Antiqua" w:hAnsi="Book Antiqua"/>
        </w:rPr>
        <w:t xml:space="preserve"> KV, Nyberg L, Subramanian GM, Hyland RH, </w:t>
      </w:r>
      <w:proofErr w:type="spellStart"/>
      <w:r w:rsidRPr="00CD3D64">
        <w:rPr>
          <w:rFonts w:ascii="Book Antiqua" w:hAnsi="Book Antiqua"/>
        </w:rPr>
        <w:t>Arterburn</w:t>
      </w:r>
      <w:proofErr w:type="spellEnd"/>
      <w:r w:rsidRPr="00CD3D64">
        <w:rPr>
          <w:rFonts w:ascii="Book Antiqua" w:hAnsi="Book Antiqua"/>
        </w:rPr>
        <w:t xml:space="preserve"> S, Jiang D, McNally J, </w:t>
      </w:r>
      <w:proofErr w:type="spellStart"/>
      <w:r w:rsidRPr="00CD3D64">
        <w:rPr>
          <w:rFonts w:ascii="Book Antiqua" w:hAnsi="Book Antiqua"/>
        </w:rPr>
        <w:t>Brainard</w:t>
      </w:r>
      <w:proofErr w:type="spellEnd"/>
      <w:r w:rsidRPr="00CD3D64">
        <w:rPr>
          <w:rFonts w:ascii="Book Antiqua" w:hAnsi="Book Antiqua"/>
        </w:rPr>
        <w:t xml:space="preserve"> D, Symonds WT, </w:t>
      </w:r>
      <w:proofErr w:type="spellStart"/>
      <w:r w:rsidRPr="00CD3D64">
        <w:rPr>
          <w:rFonts w:ascii="Book Antiqua" w:hAnsi="Book Antiqua"/>
        </w:rPr>
        <w:t>McHutchison</w:t>
      </w:r>
      <w:proofErr w:type="spellEnd"/>
      <w:r w:rsidRPr="00CD3D64">
        <w:rPr>
          <w:rFonts w:ascii="Book Antiqua" w:hAnsi="Book Antiqua"/>
        </w:rPr>
        <w:t xml:space="preserve"> JG, Sheikh AM, </w:t>
      </w:r>
      <w:proofErr w:type="spellStart"/>
      <w:r w:rsidRPr="00CD3D64">
        <w:rPr>
          <w:rFonts w:ascii="Book Antiqua" w:hAnsi="Book Antiqua"/>
        </w:rPr>
        <w:t>Younossi</w:t>
      </w:r>
      <w:proofErr w:type="spellEnd"/>
      <w:r w:rsidRPr="00CD3D64">
        <w:rPr>
          <w:rFonts w:ascii="Book Antiqua" w:hAnsi="Book Antiqua"/>
        </w:rPr>
        <w:t xml:space="preserve"> Z, </w:t>
      </w:r>
      <w:proofErr w:type="spellStart"/>
      <w:r w:rsidRPr="00CD3D64">
        <w:rPr>
          <w:rFonts w:ascii="Book Antiqua" w:hAnsi="Book Antiqua"/>
        </w:rPr>
        <w:t>Gane</w:t>
      </w:r>
      <w:proofErr w:type="spellEnd"/>
      <w:r w:rsidRPr="00CD3D64">
        <w:rPr>
          <w:rFonts w:ascii="Book Antiqua" w:hAnsi="Book Antiqua"/>
        </w:rPr>
        <w:t xml:space="preserve"> EJ. </w:t>
      </w:r>
      <w:proofErr w:type="spellStart"/>
      <w:proofErr w:type="gramStart"/>
      <w:r w:rsidRPr="00CD3D64">
        <w:rPr>
          <w:rFonts w:ascii="Book Antiqua" w:hAnsi="Book Antiqua"/>
        </w:rPr>
        <w:t>Sofosbuvir</w:t>
      </w:r>
      <w:proofErr w:type="spellEnd"/>
      <w:r w:rsidRPr="00CD3D64">
        <w:rPr>
          <w:rFonts w:ascii="Book Antiqua" w:hAnsi="Book Antiqua"/>
        </w:rPr>
        <w:t xml:space="preserve"> for previously untreated chronic hepatitis C infection.</w:t>
      </w:r>
      <w:proofErr w:type="gramEnd"/>
      <w:r w:rsidRPr="00CD3D64">
        <w:rPr>
          <w:rFonts w:ascii="Book Antiqua" w:hAnsi="Book Antiqua"/>
        </w:rPr>
        <w:t xml:space="preserve"> </w:t>
      </w:r>
      <w:r w:rsidRPr="00CD3D64">
        <w:rPr>
          <w:rFonts w:ascii="Book Antiqua" w:hAnsi="Book Antiqua"/>
          <w:i/>
        </w:rPr>
        <w:t xml:space="preserve">N </w:t>
      </w:r>
      <w:proofErr w:type="spellStart"/>
      <w:r w:rsidRPr="00CD3D64">
        <w:rPr>
          <w:rFonts w:ascii="Book Antiqua" w:hAnsi="Book Antiqua"/>
          <w:i/>
        </w:rPr>
        <w:t>Engl</w:t>
      </w:r>
      <w:proofErr w:type="spellEnd"/>
      <w:r w:rsidRPr="00CD3D64">
        <w:rPr>
          <w:rFonts w:ascii="Book Antiqua" w:hAnsi="Book Antiqua"/>
          <w:i/>
        </w:rPr>
        <w:t xml:space="preserve"> J Med</w:t>
      </w:r>
      <w:r w:rsidRPr="00CD3D64">
        <w:rPr>
          <w:rFonts w:ascii="Book Antiqua" w:hAnsi="Book Antiqua"/>
        </w:rPr>
        <w:t xml:space="preserve"> 2013; </w:t>
      </w:r>
      <w:r w:rsidRPr="00CD3D64">
        <w:rPr>
          <w:rFonts w:ascii="Book Antiqua" w:hAnsi="Book Antiqua"/>
          <w:b/>
        </w:rPr>
        <w:t>368</w:t>
      </w:r>
      <w:r w:rsidRPr="00CD3D64">
        <w:rPr>
          <w:rFonts w:ascii="Book Antiqua" w:hAnsi="Book Antiqua"/>
        </w:rPr>
        <w:t>: 1878-1887 [PMID: 23607594 DOI: 10.1056/NEJMoa1214853]</w:t>
      </w:r>
    </w:p>
    <w:p w:rsidR="00C107CE" w:rsidRPr="00CD3D64" w:rsidRDefault="00C107CE" w:rsidP="00CD3D64">
      <w:pPr>
        <w:adjustRightInd w:val="0"/>
        <w:snapToGrid w:val="0"/>
        <w:spacing w:line="360" w:lineRule="auto"/>
        <w:rPr>
          <w:rFonts w:ascii="Book Antiqua" w:hAnsi="Book Antiqua"/>
        </w:rPr>
      </w:pPr>
      <w:r w:rsidRPr="00CD3D64">
        <w:rPr>
          <w:rFonts w:ascii="Book Antiqua" w:hAnsi="Book Antiqua"/>
        </w:rPr>
        <w:t xml:space="preserve">2 </w:t>
      </w:r>
      <w:r w:rsidRPr="00CD3D64">
        <w:rPr>
          <w:rFonts w:ascii="Book Antiqua" w:hAnsi="Book Antiqua"/>
          <w:b/>
        </w:rPr>
        <w:t>Jacobson IM</w:t>
      </w:r>
      <w:r w:rsidRPr="00CD3D64">
        <w:rPr>
          <w:rFonts w:ascii="Book Antiqua" w:hAnsi="Book Antiqua"/>
        </w:rPr>
        <w:t xml:space="preserve">, Gordon SC, </w:t>
      </w:r>
      <w:proofErr w:type="spellStart"/>
      <w:r w:rsidRPr="00CD3D64">
        <w:rPr>
          <w:rFonts w:ascii="Book Antiqua" w:hAnsi="Book Antiqua"/>
        </w:rPr>
        <w:t>Kowdley</w:t>
      </w:r>
      <w:proofErr w:type="spellEnd"/>
      <w:r w:rsidRPr="00CD3D64">
        <w:rPr>
          <w:rFonts w:ascii="Book Antiqua" w:hAnsi="Book Antiqua"/>
        </w:rPr>
        <w:t xml:space="preserve"> KV, Yoshida EM, Rodriguez-Torres M, </w:t>
      </w:r>
      <w:proofErr w:type="spellStart"/>
      <w:r w:rsidRPr="00CD3D64">
        <w:rPr>
          <w:rFonts w:ascii="Book Antiqua" w:hAnsi="Book Antiqua"/>
        </w:rPr>
        <w:lastRenderedPageBreak/>
        <w:t>Sulkowski</w:t>
      </w:r>
      <w:proofErr w:type="spellEnd"/>
      <w:r w:rsidRPr="00CD3D64">
        <w:rPr>
          <w:rFonts w:ascii="Book Antiqua" w:hAnsi="Book Antiqua"/>
        </w:rPr>
        <w:t xml:space="preserve"> MS, </w:t>
      </w:r>
      <w:proofErr w:type="spellStart"/>
      <w:r w:rsidRPr="00CD3D64">
        <w:rPr>
          <w:rFonts w:ascii="Book Antiqua" w:hAnsi="Book Antiqua"/>
        </w:rPr>
        <w:t>Shiffman</w:t>
      </w:r>
      <w:proofErr w:type="spellEnd"/>
      <w:r w:rsidRPr="00CD3D64">
        <w:rPr>
          <w:rFonts w:ascii="Book Antiqua" w:hAnsi="Book Antiqua"/>
        </w:rPr>
        <w:t xml:space="preserve"> ML, </w:t>
      </w:r>
      <w:proofErr w:type="spellStart"/>
      <w:r w:rsidRPr="00CD3D64">
        <w:rPr>
          <w:rFonts w:ascii="Book Antiqua" w:hAnsi="Book Antiqua"/>
        </w:rPr>
        <w:t>Lawitz</w:t>
      </w:r>
      <w:proofErr w:type="spellEnd"/>
      <w:r w:rsidRPr="00CD3D64">
        <w:rPr>
          <w:rFonts w:ascii="Book Antiqua" w:hAnsi="Book Antiqua"/>
        </w:rPr>
        <w:t xml:space="preserve"> E, Everson G, Bennett M, Schiff E, Al-</w:t>
      </w:r>
      <w:proofErr w:type="spellStart"/>
      <w:r w:rsidRPr="00CD3D64">
        <w:rPr>
          <w:rFonts w:ascii="Book Antiqua" w:hAnsi="Book Antiqua"/>
        </w:rPr>
        <w:t>Assi</w:t>
      </w:r>
      <w:proofErr w:type="spellEnd"/>
      <w:r w:rsidRPr="00CD3D64">
        <w:rPr>
          <w:rFonts w:ascii="Book Antiqua" w:hAnsi="Book Antiqua"/>
        </w:rPr>
        <w:t xml:space="preserve"> MT, Subramanian GM, An D, Lin M, McNally J, </w:t>
      </w:r>
      <w:proofErr w:type="spellStart"/>
      <w:r w:rsidRPr="00CD3D64">
        <w:rPr>
          <w:rFonts w:ascii="Book Antiqua" w:hAnsi="Book Antiqua"/>
        </w:rPr>
        <w:t>Brainard</w:t>
      </w:r>
      <w:proofErr w:type="spellEnd"/>
      <w:r w:rsidRPr="00CD3D64">
        <w:rPr>
          <w:rFonts w:ascii="Book Antiqua" w:hAnsi="Book Antiqua"/>
        </w:rPr>
        <w:t xml:space="preserve"> D, Symonds WT, </w:t>
      </w:r>
      <w:proofErr w:type="spellStart"/>
      <w:r w:rsidRPr="00CD3D64">
        <w:rPr>
          <w:rFonts w:ascii="Book Antiqua" w:hAnsi="Book Antiqua"/>
        </w:rPr>
        <w:t>McHutchison</w:t>
      </w:r>
      <w:proofErr w:type="spellEnd"/>
      <w:r w:rsidRPr="00CD3D64">
        <w:rPr>
          <w:rFonts w:ascii="Book Antiqua" w:hAnsi="Book Antiqua"/>
        </w:rPr>
        <w:t xml:space="preserve"> JG, Patel K, Feld J, </w:t>
      </w:r>
      <w:proofErr w:type="spellStart"/>
      <w:r w:rsidRPr="00CD3D64">
        <w:rPr>
          <w:rFonts w:ascii="Book Antiqua" w:hAnsi="Book Antiqua"/>
        </w:rPr>
        <w:t>Pianko</w:t>
      </w:r>
      <w:proofErr w:type="spellEnd"/>
      <w:r w:rsidRPr="00CD3D64">
        <w:rPr>
          <w:rFonts w:ascii="Book Antiqua" w:hAnsi="Book Antiqua"/>
        </w:rPr>
        <w:t xml:space="preserve"> S, Nelson DR; POSITRON Study; FUSION Study. </w:t>
      </w:r>
      <w:proofErr w:type="spellStart"/>
      <w:proofErr w:type="gramStart"/>
      <w:r w:rsidRPr="00CD3D64">
        <w:rPr>
          <w:rFonts w:ascii="Book Antiqua" w:hAnsi="Book Antiqua"/>
        </w:rPr>
        <w:t>Sofosbuvir</w:t>
      </w:r>
      <w:proofErr w:type="spellEnd"/>
      <w:r w:rsidRPr="00CD3D64">
        <w:rPr>
          <w:rFonts w:ascii="Book Antiqua" w:hAnsi="Book Antiqua"/>
        </w:rPr>
        <w:t xml:space="preserve"> for hepatitis C genotype 2 or 3 in patients without treatment options.</w:t>
      </w:r>
      <w:proofErr w:type="gramEnd"/>
      <w:r w:rsidRPr="00CD3D64">
        <w:rPr>
          <w:rFonts w:ascii="Book Antiqua" w:hAnsi="Book Antiqua"/>
        </w:rPr>
        <w:t xml:space="preserve"> </w:t>
      </w:r>
      <w:r w:rsidRPr="00CD3D64">
        <w:rPr>
          <w:rFonts w:ascii="Book Antiqua" w:hAnsi="Book Antiqua"/>
          <w:i/>
        </w:rPr>
        <w:t xml:space="preserve">N </w:t>
      </w:r>
      <w:proofErr w:type="spellStart"/>
      <w:r w:rsidRPr="00CD3D64">
        <w:rPr>
          <w:rFonts w:ascii="Book Antiqua" w:hAnsi="Book Antiqua"/>
          <w:i/>
        </w:rPr>
        <w:t>Engl</w:t>
      </w:r>
      <w:proofErr w:type="spellEnd"/>
      <w:r w:rsidRPr="00CD3D64">
        <w:rPr>
          <w:rFonts w:ascii="Book Antiqua" w:hAnsi="Book Antiqua"/>
          <w:i/>
        </w:rPr>
        <w:t xml:space="preserve"> J Med</w:t>
      </w:r>
      <w:r w:rsidRPr="00CD3D64">
        <w:rPr>
          <w:rFonts w:ascii="Book Antiqua" w:hAnsi="Book Antiqua"/>
        </w:rPr>
        <w:t xml:space="preserve"> 2013; </w:t>
      </w:r>
      <w:r w:rsidRPr="00CD3D64">
        <w:rPr>
          <w:rFonts w:ascii="Book Antiqua" w:hAnsi="Book Antiqua"/>
          <w:b/>
        </w:rPr>
        <w:t>368</w:t>
      </w:r>
      <w:r w:rsidRPr="00CD3D64">
        <w:rPr>
          <w:rFonts w:ascii="Book Antiqua" w:hAnsi="Book Antiqua"/>
        </w:rPr>
        <w:t>: 1867-1877 [PMID: 23607593 DOI: 10.1056/NEJMoa1214854]</w:t>
      </w:r>
    </w:p>
    <w:p w:rsidR="00C107CE" w:rsidRPr="00CD3D64" w:rsidRDefault="00C107CE" w:rsidP="00CD3D64">
      <w:pPr>
        <w:adjustRightInd w:val="0"/>
        <w:snapToGrid w:val="0"/>
        <w:spacing w:line="360" w:lineRule="auto"/>
        <w:rPr>
          <w:rFonts w:ascii="Book Antiqua" w:hAnsi="Book Antiqua"/>
        </w:rPr>
      </w:pPr>
      <w:r w:rsidRPr="00CD3D64">
        <w:rPr>
          <w:rFonts w:ascii="Book Antiqua" w:hAnsi="Book Antiqua"/>
        </w:rPr>
        <w:t xml:space="preserve">3 </w:t>
      </w:r>
      <w:proofErr w:type="spellStart"/>
      <w:r w:rsidRPr="00CD3D64">
        <w:rPr>
          <w:rFonts w:ascii="Book Antiqua" w:hAnsi="Book Antiqua"/>
          <w:b/>
        </w:rPr>
        <w:t>Zeuzem</w:t>
      </w:r>
      <w:proofErr w:type="spellEnd"/>
      <w:r w:rsidRPr="00CD3D64">
        <w:rPr>
          <w:rFonts w:ascii="Book Antiqua" w:hAnsi="Book Antiqua"/>
          <w:b/>
        </w:rPr>
        <w:t xml:space="preserve"> S</w:t>
      </w:r>
      <w:r w:rsidRPr="00CD3D64">
        <w:rPr>
          <w:rFonts w:ascii="Book Antiqua" w:hAnsi="Book Antiqua"/>
        </w:rPr>
        <w:t xml:space="preserve">, </w:t>
      </w:r>
      <w:proofErr w:type="spellStart"/>
      <w:r w:rsidRPr="00CD3D64">
        <w:rPr>
          <w:rFonts w:ascii="Book Antiqua" w:hAnsi="Book Antiqua"/>
        </w:rPr>
        <w:t>Dusheiko</w:t>
      </w:r>
      <w:proofErr w:type="spellEnd"/>
      <w:r w:rsidRPr="00CD3D64">
        <w:rPr>
          <w:rFonts w:ascii="Book Antiqua" w:hAnsi="Book Antiqua"/>
        </w:rPr>
        <w:t xml:space="preserve"> GM, </w:t>
      </w:r>
      <w:proofErr w:type="spellStart"/>
      <w:r w:rsidRPr="00CD3D64">
        <w:rPr>
          <w:rFonts w:ascii="Book Antiqua" w:hAnsi="Book Antiqua"/>
        </w:rPr>
        <w:t>Salupere</w:t>
      </w:r>
      <w:proofErr w:type="spellEnd"/>
      <w:r w:rsidRPr="00CD3D64">
        <w:rPr>
          <w:rFonts w:ascii="Book Antiqua" w:hAnsi="Book Antiqua"/>
        </w:rPr>
        <w:t xml:space="preserve"> R, </w:t>
      </w:r>
      <w:proofErr w:type="spellStart"/>
      <w:r w:rsidRPr="00CD3D64">
        <w:rPr>
          <w:rFonts w:ascii="Book Antiqua" w:hAnsi="Book Antiqua"/>
        </w:rPr>
        <w:t>Mangia</w:t>
      </w:r>
      <w:proofErr w:type="spellEnd"/>
      <w:r w:rsidRPr="00CD3D64">
        <w:rPr>
          <w:rFonts w:ascii="Book Antiqua" w:hAnsi="Book Antiqua"/>
        </w:rPr>
        <w:t xml:space="preserve"> A, </w:t>
      </w:r>
      <w:proofErr w:type="spellStart"/>
      <w:r w:rsidRPr="00CD3D64">
        <w:rPr>
          <w:rFonts w:ascii="Book Antiqua" w:hAnsi="Book Antiqua"/>
        </w:rPr>
        <w:t>Flisiak</w:t>
      </w:r>
      <w:proofErr w:type="spellEnd"/>
      <w:r w:rsidRPr="00CD3D64">
        <w:rPr>
          <w:rFonts w:ascii="Book Antiqua" w:hAnsi="Book Antiqua"/>
        </w:rPr>
        <w:t xml:space="preserve"> R, Hyland RH, </w:t>
      </w:r>
      <w:proofErr w:type="spellStart"/>
      <w:r w:rsidRPr="00CD3D64">
        <w:rPr>
          <w:rFonts w:ascii="Book Antiqua" w:hAnsi="Book Antiqua"/>
        </w:rPr>
        <w:t>Illeperuma</w:t>
      </w:r>
      <w:proofErr w:type="spellEnd"/>
      <w:r w:rsidRPr="00CD3D64">
        <w:rPr>
          <w:rFonts w:ascii="Book Antiqua" w:hAnsi="Book Antiqua"/>
        </w:rPr>
        <w:t xml:space="preserve"> A, </w:t>
      </w:r>
      <w:proofErr w:type="spellStart"/>
      <w:r w:rsidRPr="00CD3D64">
        <w:rPr>
          <w:rFonts w:ascii="Book Antiqua" w:hAnsi="Book Antiqua"/>
        </w:rPr>
        <w:t>Svarovskaia</w:t>
      </w:r>
      <w:proofErr w:type="spellEnd"/>
      <w:r w:rsidRPr="00CD3D64">
        <w:rPr>
          <w:rFonts w:ascii="Book Antiqua" w:hAnsi="Book Antiqua"/>
        </w:rPr>
        <w:t xml:space="preserve"> E, </w:t>
      </w:r>
      <w:proofErr w:type="spellStart"/>
      <w:r w:rsidRPr="00CD3D64">
        <w:rPr>
          <w:rFonts w:ascii="Book Antiqua" w:hAnsi="Book Antiqua"/>
        </w:rPr>
        <w:t>Brainard</w:t>
      </w:r>
      <w:proofErr w:type="spellEnd"/>
      <w:r w:rsidRPr="00CD3D64">
        <w:rPr>
          <w:rFonts w:ascii="Book Antiqua" w:hAnsi="Book Antiqua"/>
        </w:rPr>
        <w:t xml:space="preserve"> DM, Symonds WT, Subramanian GM, </w:t>
      </w:r>
      <w:proofErr w:type="spellStart"/>
      <w:r w:rsidRPr="00CD3D64">
        <w:rPr>
          <w:rFonts w:ascii="Book Antiqua" w:hAnsi="Book Antiqua"/>
        </w:rPr>
        <w:t>McHutchison</w:t>
      </w:r>
      <w:proofErr w:type="spellEnd"/>
      <w:r w:rsidRPr="00CD3D64">
        <w:rPr>
          <w:rFonts w:ascii="Book Antiqua" w:hAnsi="Book Antiqua"/>
        </w:rPr>
        <w:t xml:space="preserve"> JG, </w:t>
      </w:r>
      <w:proofErr w:type="spellStart"/>
      <w:r w:rsidRPr="00CD3D64">
        <w:rPr>
          <w:rFonts w:ascii="Book Antiqua" w:hAnsi="Book Antiqua"/>
        </w:rPr>
        <w:t>Weiland</w:t>
      </w:r>
      <w:proofErr w:type="spellEnd"/>
      <w:r w:rsidRPr="00CD3D64">
        <w:rPr>
          <w:rFonts w:ascii="Book Antiqua" w:hAnsi="Book Antiqua"/>
        </w:rPr>
        <w:t xml:space="preserve"> O, </w:t>
      </w:r>
      <w:proofErr w:type="spellStart"/>
      <w:r w:rsidRPr="00CD3D64">
        <w:rPr>
          <w:rFonts w:ascii="Book Antiqua" w:hAnsi="Book Antiqua"/>
        </w:rPr>
        <w:t>Reesink</w:t>
      </w:r>
      <w:proofErr w:type="spellEnd"/>
      <w:r w:rsidRPr="00CD3D64">
        <w:rPr>
          <w:rFonts w:ascii="Book Antiqua" w:hAnsi="Book Antiqua"/>
        </w:rPr>
        <w:t xml:space="preserve"> HW, </w:t>
      </w:r>
      <w:proofErr w:type="spellStart"/>
      <w:r w:rsidRPr="00CD3D64">
        <w:rPr>
          <w:rFonts w:ascii="Book Antiqua" w:hAnsi="Book Antiqua"/>
        </w:rPr>
        <w:t>Ferenci</w:t>
      </w:r>
      <w:proofErr w:type="spellEnd"/>
      <w:r w:rsidRPr="00CD3D64">
        <w:rPr>
          <w:rFonts w:ascii="Book Antiqua" w:hAnsi="Book Antiqua"/>
        </w:rPr>
        <w:t xml:space="preserve"> P, </w:t>
      </w:r>
      <w:proofErr w:type="spellStart"/>
      <w:r w:rsidRPr="00CD3D64">
        <w:rPr>
          <w:rFonts w:ascii="Book Antiqua" w:hAnsi="Book Antiqua"/>
        </w:rPr>
        <w:t>Hézode</w:t>
      </w:r>
      <w:proofErr w:type="spellEnd"/>
      <w:r w:rsidRPr="00CD3D64">
        <w:rPr>
          <w:rFonts w:ascii="Book Antiqua" w:hAnsi="Book Antiqua"/>
        </w:rPr>
        <w:t xml:space="preserve"> C, Esteban R; VALENCE Investigators. </w:t>
      </w:r>
      <w:proofErr w:type="spellStart"/>
      <w:proofErr w:type="gramStart"/>
      <w:r w:rsidRPr="00CD3D64">
        <w:rPr>
          <w:rFonts w:ascii="Book Antiqua" w:hAnsi="Book Antiqua"/>
        </w:rPr>
        <w:t>Sofosbuvir</w:t>
      </w:r>
      <w:proofErr w:type="spellEnd"/>
      <w:r w:rsidRPr="00CD3D64">
        <w:rPr>
          <w:rFonts w:ascii="Book Antiqua" w:hAnsi="Book Antiqua"/>
        </w:rPr>
        <w:t xml:space="preserve"> and ribavirin in HCV genotypes 2 and 3.</w:t>
      </w:r>
      <w:proofErr w:type="gramEnd"/>
      <w:r w:rsidRPr="00CD3D64">
        <w:rPr>
          <w:rFonts w:ascii="Book Antiqua" w:hAnsi="Book Antiqua"/>
        </w:rPr>
        <w:t xml:space="preserve"> </w:t>
      </w:r>
      <w:r w:rsidRPr="00CD3D64">
        <w:rPr>
          <w:rFonts w:ascii="Book Antiqua" w:hAnsi="Book Antiqua"/>
          <w:i/>
        </w:rPr>
        <w:t xml:space="preserve">N </w:t>
      </w:r>
      <w:proofErr w:type="spellStart"/>
      <w:r w:rsidRPr="00CD3D64">
        <w:rPr>
          <w:rFonts w:ascii="Book Antiqua" w:hAnsi="Book Antiqua"/>
          <w:i/>
        </w:rPr>
        <w:t>Engl</w:t>
      </w:r>
      <w:proofErr w:type="spellEnd"/>
      <w:r w:rsidRPr="00CD3D64">
        <w:rPr>
          <w:rFonts w:ascii="Book Antiqua" w:hAnsi="Book Antiqua"/>
          <w:i/>
        </w:rPr>
        <w:t xml:space="preserve"> J Med</w:t>
      </w:r>
      <w:r w:rsidRPr="00CD3D64">
        <w:rPr>
          <w:rFonts w:ascii="Book Antiqua" w:hAnsi="Book Antiqua"/>
        </w:rPr>
        <w:t xml:space="preserve"> 2014; </w:t>
      </w:r>
      <w:r w:rsidRPr="00CD3D64">
        <w:rPr>
          <w:rFonts w:ascii="Book Antiqua" w:hAnsi="Book Antiqua"/>
          <w:b/>
        </w:rPr>
        <w:t>370</w:t>
      </w:r>
      <w:r w:rsidRPr="00CD3D64">
        <w:rPr>
          <w:rFonts w:ascii="Book Antiqua" w:hAnsi="Book Antiqua"/>
        </w:rPr>
        <w:t>: 1993-2001 [PMID: 24795201 DOI: 10.1056/NEJMoa1316145]</w:t>
      </w:r>
    </w:p>
    <w:p w:rsidR="00C107CE" w:rsidRPr="00CD3D64" w:rsidRDefault="00C107CE" w:rsidP="00CD3D64">
      <w:pPr>
        <w:adjustRightInd w:val="0"/>
        <w:snapToGrid w:val="0"/>
        <w:spacing w:line="360" w:lineRule="auto"/>
        <w:rPr>
          <w:rFonts w:ascii="Book Antiqua" w:hAnsi="Book Antiqua"/>
        </w:rPr>
      </w:pPr>
      <w:r w:rsidRPr="00CD3D64">
        <w:rPr>
          <w:rFonts w:ascii="Book Antiqua" w:hAnsi="Book Antiqua"/>
        </w:rPr>
        <w:t xml:space="preserve">4 </w:t>
      </w:r>
      <w:proofErr w:type="spellStart"/>
      <w:r w:rsidRPr="00CD3D64">
        <w:rPr>
          <w:rFonts w:ascii="Book Antiqua" w:hAnsi="Book Antiqua"/>
          <w:b/>
        </w:rPr>
        <w:t>Younossi</w:t>
      </w:r>
      <w:proofErr w:type="spellEnd"/>
      <w:r w:rsidRPr="00CD3D64">
        <w:rPr>
          <w:rFonts w:ascii="Book Antiqua" w:hAnsi="Book Antiqua"/>
          <w:b/>
        </w:rPr>
        <w:t xml:space="preserve"> ZM</w:t>
      </w:r>
      <w:r w:rsidRPr="00CD3D64">
        <w:rPr>
          <w:rFonts w:ascii="Book Antiqua" w:hAnsi="Book Antiqua"/>
        </w:rPr>
        <w:t xml:space="preserve">, </w:t>
      </w:r>
      <w:proofErr w:type="spellStart"/>
      <w:r w:rsidRPr="00CD3D64">
        <w:rPr>
          <w:rFonts w:ascii="Book Antiqua" w:hAnsi="Book Antiqua"/>
        </w:rPr>
        <w:t>Stepanova</w:t>
      </w:r>
      <w:proofErr w:type="spellEnd"/>
      <w:r w:rsidRPr="00CD3D64">
        <w:rPr>
          <w:rFonts w:ascii="Book Antiqua" w:hAnsi="Book Antiqua"/>
        </w:rPr>
        <w:t xml:space="preserve"> M, Henry L, </w:t>
      </w:r>
      <w:proofErr w:type="spellStart"/>
      <w:r w:rsidRPr="00CD3D64">
        <w:rPr>
          <w:rFonts w:ascii="Book Antiqua" w:hAnsi="Book Antiqua"/>
        </w:rPr>
        <w:t>Gane</w:t>
      </w:r>
      <w:proofErr w:type="spellEnd"/>
      <w:r w:rsidRPr="00CD3D64">
        <w:rPr>
          <w:rFonts w:ascii="Book Antiqua" w:hAnsi="Book Antiqua"/>
        </w:rPr>
        <w:t xml:space="preserve"> E, Jacobson IM, </w:t>
      </w:r>
      <w:proofErr w:type="spellStart"/>
      <w:r w:rsidRPr="00CD3D64">
        <w:rPr>
          <w:rFonts w:ascii="Book Antiqua" w:hAnsi="Book Antiqua"/>
        </w:rPr>
        <w:t>Lawitz</w:t>
      </w:r>
      <w:proofErr w:type="spellEnd"/>
      <w:r w:rsidRPr="00CD3D64">
        <w:rPr>
          <w:rFonts w:ascii="Book Antiqua" w:hAnsi="Book Antiqua"/>
        </w:rPr>
        <w:t xml:space="preserve"> E, Nelson D, Nader F, Hunt S. Minimal impact of </w:t>
      </w:r>
      <w:proofErr w:type="spellStart"/>
      <w:r w:rsidRPr="00CD3D64">
        <w:rPr>
          <w:rFonts w:ascii="Book Antiqua" w:hAnsi="Book Antiqua"/>
        </w:rPr>
        <w:t>sofosbuvir</w:t>
      </w:r>
      <w:proofErr w:type="spellEnd"/>
      <w:r w:rsidRPr="00CD3D64">
        <w:rPr>
          <w:rFonts w:ascii="Book Antiqua" w:hAnsi="Book Antiqua"/>
        </w:rPr>
        <w:t xml:space="preserve"> and ribavirin on health related quality of life in chronic hepatitis C (CH-C). </w:t>
      </w:r>
      <w:r w:rsidRPr="00CD3D64">
        <w:rPr>
          <w:rFonts w:ascii="Book Antiqua" w:hAnsi="Book Antiqua"/>
          <w:i/>
        </w:rPr>
        <w:t xml:space="preserve">J </w:t>
      </w:r>
      <w:proofErr w:type="spellStart"/>
      <w:r w:rsidRPr="00CD3D64">
        <w:rPr>
          <w:rFonts w:ascii="Book Antiqua" w:hAnsi="Book Antiqua"/>
          <w:i/>
        </w:rPr>
        <w:t>Hepatol</w:t>
      </w:r>
      <w:proofErr w:type="spellEnd"/>
      <w:r w:rsidRPr="00CD3D64">
        <w:rPr>
          <w:rFonts w:ascii="Book Antiqua" w:hAnsi="Book Antiqua"/>
        </w:rPr>
        <w:t xml:space="preserve"> 2014; </w:t>
      </w:r>
      <w:r w:rsidRPr="00CD3D64">
        <w:rPr>
          <w:rFonts w:ascii="Book Antiqua" w:hAnsi="Book Antiqua"/>
          <w:b/>
        </w:rPr>
        <w:t>60</w:t>
      </w:r>
      <w:r w:rsidRPr="00CD3D64">
        <w:rPr>
          <w:rFonts w:ascii="Book Antiqua" w:hAnsi="Book Antiqua"/>
        </w:rPr>
        <w:t>: 741-747 [PMID: 24333184 DOI: 10.1016/j.jhep.2013.12.006]</w:t>
      </w:r>
    </w:p>
    <w:p w:rsidR="00C107CE" w:rsidRPr="00CD3D64" w:rsidRDefault="00C107CE" w:rsidP="00CD3D64">
      <w:pPr>
        <w:adjustRightInd w:val="0"/>
        <w:snapToGrid w:val="0"/>
        <w:spacing w:line="360" w:lineRule="auto"/>
        <w:rPr>
          <w:rFonts w:ascii="Book Antiqua" w:hAnsi="Book Antiqua"/>
        </w:rPr>
      </w:pPr>
      <w:proofErr w:type="gramStart"/>
      <w:r w:rsidRPr="00CD3D64">
        <w:rPr>
          <w:rFonts w:ascii="Book Antiqua" w:hAnsi="Book Antiqua"/>
        </w:rPr>
        <w:t xml:space="preserve">5 </w:t>
      </w:r>
      <w:proofErr w:type="spellStart"/>
      <w:r w:rsidRPr="00CD3D64">
        <w:rPr>
          <w:rFonts w:ascii="Book Antiqua" w:hAnsi="Book Antiqua"/>
          <w:b/>
        </w:rPr>
        <w:t>Omata</w:t>
      </w:r>
      <w:proofErr w:type="spellEnd"/>
      <w:r w:rsidRPr="00CD3D64">
        <w:rPr>
          <w:rFonts w:ascii="Book Antiqua" w:hAnsi="Book Antiqua"/>
          <w:b/>
        </w:rPr>
        <w:t xml:space="preserve"> M</w:t>
      </w:r>
      <w:r w:rsidRPr="00CD3D64">
        <w:rPr>
          <w:rFonts w:ascii="Book Antiqua" w:hAnsi="Book Antiqua"/>
        </w:rPr>
        <w:t xml:space="preserve">, </w:t>
      </w:r>
      <w:proofErr w:type="spellStart"/>
      <w:r w:rsidRPr="00CD3D64">
        <w:rPr>
          <w:rFonts w:ascii="Book Antiqua" w:hAnsi="Book Antiqua"/>
        </w:rPr>
        <w:t>Nishiguchi</w:t>
      </w:r>
      <w:proofErr w:type="spellEnd"/>
      <w:r w:rsidRPr="00CD3D64">
        <w:rPr>
          <w:rFonts w:ascii="Book Antiqua" w:hAnsi="Book Antiqua"/>
        </w:rPr>
        <w:t xml:space="preserve"> S, Ueno Y, Mochizuki H, Izumi N, Ikeda F, Toyoda H, Yokosuka O, </w:t>
      </w:r>
      <w:proofErr w:type="spellStart"/>
      <w:r w:rsidRPr="00CD3D64">
        <w:rPr>
          <w:rFonts w:ascii="Book Antiqua" w:hAnsi="Book Antiqua"/>
        </w:rPr>
        <w:t>Nirei</w:t>
      </w:r>
      <w:proofErr w:type="spellEnd"/>
      <w:r w:rsidRPr="00CD3D64">
        <w:rPr>
          <w:rFonts w:ascii="Book Antiqua" w:hAnsi="Book Antiqua"/>
        </w:rPr>
        <w:t xml:space="preserve"> K, </w:t>
      </w:r>
      <w:proofErr w:type="spellStart"/>
      <w:r w:rsidRPr="00CD3D64">
        <w:rPr>
          <w:rFonts w:ascii="Book Antiqua" w:hAnsi="Book Antiqua"/>
        </w:rPr>
        <w:t>Genda</w:t>
      </w:r>
      <w:proofErr w:type="spellEnd"/>
      <w:r w:rsidRPr="00CD3D64">
        <w:rPr>
          <w:rFonts w:ascii="Book Antiqua" w:hAnsi="Book Antiqua"/>
        </w:rPr>
        <w:t xml:space="preserve"> T, </w:t>
      </w:r>
      <w:proofErr w:type="spellStart"/>
      <w:r w:rsidRPr="00CD3D64">
        <w:rPr>
          <w:rFonts w:ascii="Book Antiqua" w:hAnsi="Book Antiqua"/>
        </w:rPr>
        <w:t>Umemura</w:t>
      </w:r>
      <w:proofErr w:type="spellEnd"/>
      <w:r w:rsidRPr="00CD3D64">
        <w:rPr>
          <w:rFonts w:ascii="Book Antiqua" w:hAnsi="Book Antiqua"/>
        </w:rPr>
        <w:t xml:space="preserve"> T, </w:t>
      </w:r>
      <w:proofErr w:type="spellStart"/>
      <w:r w:rsidRPr="00CD3D64">
        <w:rPr>
          <w:rFonts w:ascii="Book Antiqua" w:hAnsi="Book Antiqua"/>
        </w:rPr>
        <w:t>Takehara</w:t>
      </w:r>
      <w:proofErr w:type="spellEnd"/>
      <w:r w:rsidRPr="00CD3D64">
        <w:rPr>
          <w:rFonts w:ascii="Book Antiqua" w:hAnsi="Book Antiqua"/>
        </w:rPr>
        <w:t xml:space="preserve"> T, Sakamoto N, </w:t>
      </w:r>
      <w:proofErr w:type="spellStart"/>
      <w:r w:rsidRPr="00CD3D64">
        <w:rPr>
          <w:rFonts w:ascii="Book Antiqua" w:hAnsi="Book Antiqua"/>
        </w:rPr>
        <w:t>Nishigaki</w:t>
      </w:r>
      <w:proofErr w:type="spellEnd"/>
      <w:r w:rsidRPr="00CD3D64">
        <w:rPr>
          <w:rFonts w:ascii="Book Antiqua" w:hAnsi="Book Antiqua"/>
        </w:rPr>
        <w:t xml:space="preserve"> Y, </w:t>
      </w:r>
      <w:proofErr w:type="spellStart"/>
      <w:r w:rsidRPr="00CD3D64">
        <w:rPr>
          <w:rFonts w:ascii="Book Antiqua" w:hAnsi="Book Antiqua"/>
        </w:rPr>
        <w:t>Nakane</w:t>
      </w:r>
      <w:proofErr w:type="spellEnd"/>
      <w:r w:rsidRPr="00CD3D64">
        <w:rPr>
          <w:rFonts w:ascii="Book Antiqua" w:hAnsi="Book Antiqua"/>
        </w:rPr>
        <w:t xml:space="preserve"> K, Toda N, Ide T, </w:t>
      </w:r>
      <w:proofErr w:type="spellStart"/>
      <w:r w:rsidRPr="00CD3D64">
        <w:rPr>
          <w:rFonts w:ascii="Book Antiqua" w:hAnsi="Book Antiqua"/>
        </w:rPr>
        <w:t>Yanase</w:t>
      </w:r>
      <w:proofErr w:type="spellEnd"/>
      <w:r w:rsidRPr="00CD3D64">
        <w:rPr>
          <w:rFonts w:ascii="Book Antiqua" w:hAnsi="Book Antiqua"/>
        </w:rPr>
        <w:t xml:space="preserve"> M, Hino K, </w:t>
      </w:r>
      <w:proofErr w:type="spellStart"/>
      <w:r w:rsidRPr="00CD3D64">
        <w:rPr>
          <w:rFonts w:ascii="Book Antiqua" w:hAnsi="Book Antiqua"/>
        </w:rPr>
        <w:t>Gao</w:t>
      </w:r>
      <w:proofErr w:type="spellEnd"/>
      <w:r w:rsidRPr="00CD3D64">
        <w:rPr>
          <w:rFonts w:ascii="Book Antiqua" w:hAnsi="Book Antiqua"/>
        </w:rPr>
        <w:t xml:space="preserve"> B, Garrison KL, </w:t>
      </w:r>
      <w:proofErr w:type="spellStart"/>
      <w:r w:rsidRPr="00CD3D64">
        <w:rPr>
          <w:rFonts w:ascii="Book Antiqua" w:hAnsi="Book Antiqua"/>
        </w:rPr>
        <w:t>Dvory-Sobol</w:t>
      </w:r>
      <w:proofErr w:type="spellEnd"/>
      <w:r w:rsidRPr="00CD3D64">
        <w:rPr>
          <w:rFonts w:ascii="Book Antiqua" w:hAnsi="Book Antiqua"/>
        </w:rPr>
        <w:t xml:space="preserve"> H, </w:t>
      </w:r>
      <w:proofErr w:type="spellStart"/>
      <w:r w:rsidRPr="00CD3D64">
        <w:rPr>
          <w:rFonts w:ascii="Book Antiqua" w:hAnsi="Book Antiqua"/>
        </w:rPr>
        <w:t>Ishizaki</w:t>
      </w:r>
      <w:proofErr w:type="spellEnd"/>
      <w:r w:rsidRPr="00CD3D64">
        <w:rPr>
          <w:rFonts w:ascii="Book Antiqua" w:hAnsi="Book Antiqua"/>
        </w:rPr>
        <w:t xml:space="preserve"> A, </w:t>
      </w:r>
      <w:proofErr w:type="spellStart"/>
      <w:r w:rsidRPr="00CD3D64">
        <w:rPr>
          <w:rFonts w:ascii="Book Antiqua" w:hAnsi="Book Antiqua"/>
        </w:rPr>
        <w:t>Omote</w:t>
      </w:r>
      <w:proofErr w:type="spellEnd"/>
      <w:r w:rsidRPr="00CD3D64">
        <w:rPr>
          <w:rFonts w:ascii="Book Antiqua" w:hAnsi="Book Antiqua"/>
        </w:rPr>
        <w:t xml:space="preserve"> M, </w:t>
      </w:r>
      <w:proofErr w:type="spellStart"/>
      <w:r w:rsidRPr="00CD3D64">
        <w:rPr>
          <w:rFonts w:ascii="Book Antiqua" w:hAnsi="Book Antiqua"/>
        </w:rPr>
        <w:t>Brainard</w:t>
      </w:r>
      <w:proofErr w:type="spellEnd"/>
      <w:r w:rsidRPr="00CD3D64">
        <w:rPr>
          <w:rFonts w:ascii="Book Antiqua" w:hAnsi="Book Antiqua"/>
        </w:rPr>
        <w:t xml:space="preserve"> D, Knox S, Symonds WT, </w:t>
      </w:r>
      <w:proofErr w:type="spellStart"/>
      <w:r w:rsidRPr="00CD3D64">
        <w:rPr>
          <w:rFonts w:ascii="Book Antiqua" w:hAnsi="Book Antiqua"/>
        </w:rPr>
        <w:t>McHutchison</w:t>
      </w:r>
      <w:proofErr w:type="spellEnd"/>
      <w:r w:rsidRPr="00CD3D64">
        <w:rPr>
          <w:rFonts w:ascii="Book Antiqua" w:hAnsi="Book Antiqua"/>
        </w:rPr>
        <w:t xml:space="preserve"> JG, </w:t>
      </w:r>
      <w:proofErr w:type="spellStart"/>
      <w:r w:rsidRPr="00CD3D64">
        <w:rPr>
          <w:rFonts w:ascii="Book Antiqua" w:hAnsi="Book Antiqua"/>
        </w:rPr>
        <w:t>Yatsuhashi</w:t>
      </w:r>
      <w:proofErr w:type="spellEnd"/>
      <w:r w:rsidRPr="00CD3D64">
        <w:rPr>
          <w:rFonts w:ascii="Book Antiqua" w:hAnsi="Book Antiqua"/>
        </w:rPr>
        <w:t xml:space="preserve"> H, </w:t>
      </w:r>
      <w:proofErr w:type="spellStart"/>
      <w:r w:rsidRPr="00CD3D64">
        <w:rPr>
          <w:rFonts w:ascii="Book Antiqua" w:hAnsi="Book Antiqua"/>
        </w:rPr>
        <w:t>Mizokami</w:t>
      </w:r>
      <w:proofErr w:type="spellEnd"/>
      <w:r w:rsidRPr="00CD3D64">
        <w:rPr>
          <w:rFonts w:ascii="Book Antiqua" w:hAnsi="Book Antiqua"/>
        </w:rPr>
        <w:t xml:space="preserve"> M. </w:t>
      </w:r>
      <w:proofErr w:type="spellStart"/>
      <w:r w:rsidRPr="00CD3D64">
        <w:rPr>
          <w:rFonts w:ascii="Book Antiqua" w:hAnsi="Book Antiqua"/>
        </w:rPr>
        <w:t>Sofosbuvir</w:t>
      </w:r>
      <w:proofErr w:type="spellEnd"/>
      <w:r w:rsidRPr="00CD3D64">
        <w:rPr>
          <w:rFonts w:ascii="Book Antiqua" w:hAnsi="Book Antiqua"/>
        </w:rPr>
        <w:t xml:space="preserve"> plus ribavirin in Japanese patients with chronic genotype 2 HCV infection: an open-label, phase 3 trial.</w:t>
      </w:r>
      <w:proofErr w:type="gramEnd"/>
      <w:r w:rsidRPr="00CD3D64">
        <w:rPr>
          <w:rFonts w:ascii="Book Antiqua" w:hAnsi="Book Antiqua"/>
        </w:rPr>
        <w:t xml:space="preserve"> </w:t>
      </w:r>
      <w:r w:rsidRPr="00CD3D64">
        <w:rPr>
          <w:rFonts w:ascii="Book Antiqua" w:hAnsi="Book Antiqua"/>
          <w:i/>
        </w:rPr>
        <w:t xml:space="preserve">J Viral </w:t>
      </w:r>
      <w:proofErr w:type="spellStart"/>
      <w:r w:rsidRPr="00CD3D64">
        <w:rPr>
          <w:rFonts w:ascii="Book Antiqua" w:hAnsi="Book Antiqua"/>
          <w:i/>
        </w:rPr>
        <w:t>Hepat</w:t>
      </w:r>
      <w:proofErr w:type="spellEnd"/>
      <w:r w:rsidRPr="00CD3D64">
        <w:rPr>
          <w:rFonts w:ascii="Book Antiqua" w:hAnsi="Book Antiqua"/>
        </w:rPr>
        <w:t xml:space="preserve"> 2014; </w:t>
      </w:r>
      <w:r w:rsidRPr="00CD3D64">
        <w:rPr>
          <w:rFonts w:ascii="Book Antiqua" w:hAnsi="Book Antiqua"/>
          <w:b/>
        </w:rPr>
        <w:t>21</w:t>
      </w:r>
      <w:r w:rsidRPr="00CD3D64">
        <w:rPr>
          <w:rFonts w:ascii="Book Antiqua" w:hAnsi="Book Antiqua"/>
        </w:rPr>
        <w:t>: 762-768 [PMID: 25196837 DOI: 10.1111/jvh.12312]</w:t>
      </w:r>
    </w:p>
    <w:p w:rsidR="00C107CE" w:rsidRPr="00CD3D64" w:rsidRDefault="00C107CE" w:rsidP="00CD3D64">
      <w:pPr>
        <w:adjustRightInd w:val="0"/>
        <w:snapToGrid w:val="0"/>
        <w:spacing w:line="360" w:lineRule="auto"/>
        <w:rPr>
          <w:rFonts w:ascii="Book Antiqua" w:hAnsi="Book Antiqua"/>
        </w:rPr>
      </w:pPr>
      <w:r w:rsidRPr="00CD3D64">
        <w:rPr>
          <w:rFonts w:ascii="Book Antiqua" w:hAnsi="Book Antiqua"/>
        </w:rPr>
        <w:t xml:space="preserve">6 </w:t>
      </w:r>
      <w:proofErr w:type="spellStart"/>
      <w:r w:rsidRPr="00CD3D64">
        <w:rPr>
          <w:rFonts w:ascii="Book Antiqua" w:hAnsi="Book Antiqua"/>
          <w:b/>
        </w:rPr>
        <w:t>Dusheiko</w:t>
      </w:r>
      <w:proofErr w:type="spellEnd"/>
      <w:r w:rsidRPr="00CD3D64">
        <w:rPr>
          <w:rFonts w:ascii="Book Antiqua" w:hAnsi="Book Antiqua"/>
          <w:b/>
        </w:rPr>
        <w:t xml:space="preserve"> G</w:t>
      </w:r>
      <w:r w:rsidRPr="00CD3D64">
        <w:rPr>
          <w:rFonts w:ascii="Book Antiqua" w:hAnsi="Book Antiqua"/>
        </w:rPr>
        <w:t xml:space="preserve">, Main J, Thomas H, </w:t>
      </w:r>
      <w:proofErr w:type="spellStart"/>
      <w:r w:rsidRPr="00CD3D64">
        <w:rPr>
          <w:rFonts w:ascii="Book Antiqua" w:hAnsi="Book Antiqua"/>
        </w:rPr>
        <w:t>Reichard</w:t>
      </w:r>
      <w:proofErr w:type="spellEnd"/>
      <w:r w:rsidRPr="00CD3D64">
        <w:rPr>
          <w:rFonts w:ascii="Book Antiqua" w:hAnsi="Book Antiqua"/>
        </w:rPr>
        <w:t xml:space="preserve"> O, Lee C, </w:t>
      </w:r>
      <w:proofErr w:type="spellStart"/>
      <w:r w:rsidRPr="00CD3D64">
        <w:rPr>
          <w:rFonts w:ascii="Book Antiqua" w:hAnsi="Book Antiqua"/>
        </w:rPr>
        <w:t>Dhillon</w:t>
      </w:r>
      <w:proofErr w:type="spellEnd"/>
      <w:r w:rsidRPr="00CD3D64">
        <w:rPr>
          <w:rFonts w:ascii="Book Antiqua" w:hAnsi="Book Antiqua"/>
        </w:rPr>
        <w:t xml:space="preserve"> A, </w:t>
      </w:r>
      <w:proofErr w:type="spellStart"/>
      <w:r w:rsidRPr="00CD3D64">
        <w:rPr>
          <w:rFonts w:ascii="Book Antiqua" w:hAnsi="Book Antiqua"/>
        </w:rPr>
        <w:t>Rassam</w:t>
      </w:r>
      <w:proofErr w:type="spellEnd"/>
      <w:r w:rsidRPr="00CD3D64">
        <w:rPr>
          <w:rFonts w:ascii="Book Antiqua" w:hAnsi="Book Antiqua"/>
        </w:rPr>
        <w:t xml:space="preserve"> S, </w:t>
      </w:r>
      <w:proofErr w:type="spellStart"/>
      <w:r w:rsidRPr="00CD3D64">
        <w:rPr>
          <w:rFonts w:ascii="Book Antiqua" w:hAnsi="Book Antiqua"/>
        </w:rPr>
        <w:t>Fryden</w:t>
      </w:r>
      <w:proofErr w:type="spellEnd"/>
      <w:r w:rsidRPr="00CD3D64">
        <w:rPr>
          <w:rFonts w:ascii="Book Antiqua" w:hAnsi="Book Antiqua"/>
        </w:rPr>
        <w:t xml:space="preserve"> A, </w:t>
      </w:r>
      <w:proofErr w:type="spellStart"/>
      <w:r w:rsidRPr="00CD3D64">
        <w:rPr>
          <w:rFonts w:ascii="Book Antiqua" w:hAnsi="Book Antiqua"/>
        </w:rPr>
        <w:t>Reesink</w:t>
      </w:r>
      <w:proofErr w:type="spellEnd"/>
      <w:r w:rsidRPr="00CD3D64">
        <w:rPr>
          <w:rFonts w:ascii="Book Antiqua" w:hAnsi="Book Antiqua"/>
        </w:rPr>
        <w:t xml:space="preserve"> H, </w:t>
      </w:r>
      <w:proofErr w:type="spellStart"/>
      <w:r w:rsidRPr="00CD3D64">
        <w:rPr>
          <w:rFonts w:ascii="Book Antiqua" w:hAnsi="Book Antiqua"/>
        </w:rPr>
        <w:t>Bassendine</w:t>
      </w:r>
      <w:proofErr w:type="spellEnd"/>
      <w:r w:rsidRPr="00CD3D64">
        <w:rPr>
          <w:rFonts w:ascii="Book Antiqua" w:hAnsi="Book Antiqua"/>
        </w:rPr>
        <w:t xml:space="preserve"> M, </w:t>
      </w:r>
      <w:proofErr w:type="spellStart"/>
      <w:r w:rsidRPr="00CD3D64">
        <w:rPr>
          <w:rFonts w:ascii="Book Antiqua" w:hAnsi="Book Antiqua"/>
        </w:rPr>
        <w:t>Norkrans</w:t>
      </w:r>
      <w:proofErr w:type="spellEnd"/>
      <w:r w:rsidRPr="00CD3D64">
        <w:rPr>
          <w:rFonts w:ascii="Book Antiqua" w:hAnsi="Book Antiqua"/>
        </w:rPr>
        <w:t xml:space="preserve"> G, </w:t>
      </w:r>
      <w:proofErr w:type="spellStart"/>
      <w:r w:rsidRPr="00CD3D64">
        <w:rPr>
          <w:rFonts w:ascii="Book Antiqua" w:hAnsi="Book Antiqua"/>
        </w:rPr>
        <w:t>Cuypers</w:t>
      </w:r>
      <w:proofErr w:type="spellEnd"/>
      <w:r w:rsidRPr="00CD3D64">
        <w:rPr>
          <w:rFonts w:ascii="Book Antiqua" w:hAnsi="Book Antiqua"/>
        </w:rPr>
        <w:t xml:space="preserve"> T, </w:t>
      </w:r>
      <w:proofErr w:type="spellStart"/>
      <w:r w:rsidRPr="00CD3D64">
        <w:rPr>
          <w:rFonts w:ascii="Book Antiqua" w:hAnsi="Book Antiqua"/>
        </w:rPr>
        <w:t>Lelie</w:t>
      </w:r>
      <w:proofErr w:type="spellEnd"/>
      <w:r w:rsidRPr="00CD3D64">
        <w:rPr>
          <w:rFonts w:ascii="Book Antiqua" w:hAnsi="Book Antiqua"/>
        </w:rPr>
        <w:t xml:space="preserve"> N, </w:t>
      </w:r>
      <w:proofErr w:type="spellStart"/>
      <w:r w:rsidRPr="00CD3D64">
        <w:rPr>
          <w:rFonts w:ascii="Book Antiqua" w:hAnsi="Book Antiqua"/>
        </w:rPr>
        <w:t>Telfer</w:t>
      </w:r>
      <w:proofErr w:type="spellEnd"/>
      <w:r w:rsidRPr="00CD3D64">
        <w:rPr>
          <w:rFonts w:ascii="Book Antiqua" w:hAnsi="Book Antiqua"/>
        </w:rPr>
        <w:t xml:space="preserve"> P, Watson J, </w:t>
      </w:r>
      <w:proofErr w:type="spellStart"/>
      <w:r w:rsidRPr="00CD3D64">
        <w:rPr>
          <w:rFonts w:ascii="Book Antiqua" w:hAnsi="Book Antiqua"/>
        </w:rPr>
        <w:t>Weegink</w:t>
      </w:r>
      <w:proofErr w:type="spellEnd"/>
      <w:r w:rsidRPr="00CD3D64">
        <w:rPr>
          <w:rFonts w:ascii="Book Antiqua" w:hAnsi="Book Antiqua"/>
        </w:rPr>
        <w:t xml:space="preserve"> C, </w:t>
      </w:r>
      <w:proofErr w:type="spellStart"/>
      <w:r w:rsidRPr="00CD3D64">
        <w:rPr>
          <w:rFonts w:ascii="Book Antiqua" w:hAnsi="Book Antiqua"/>
        </w:rPr>
        <w:t>Sillikens</w:t>
      </w:r>
      <w:proofErr w:type="spellEnd"/>
      <w:r w:rsidRPr="00CD3D64">
        <w:rPr>
          <w:rFonts w:ascii="Book Antiqua" w:hAnsi="Book Antiqua"/>
        </w:rPr>
        <w:t xml:space="preserve"> P, </w:t>
      </w:r>
      <w:proofErr w:type="spellStart"/>
      <w:r w:rsidRPr="00CD3D64">
        <w:rPr>
          <w:rFonts w:ascii="Book Antiqua" w:hAnsi="Book Antiqua"/>
        </w:rPr>
        <w:t>Weiland</w:t>
      </w:r>
      <w:proofErr w:type="spellEnd"/>
      <w:r w:rsidRPr="00CD3D64">
        <w:rPr>
          <w:rFonts w:ascii="Book Antiqua" w:hAnsi="Book Antiqua"/>
        </w:rPr>
        <w:t xml:space="preserve"> O. Ribavirin treatment for patients with chronic hepatitis C: results of a placebo-controlled study. </w:t>
      </w:r>
      <w:r w:rsidRPr="00CD3D64">
        <w:rPr>
          <w:rFonts w:ascii="Book Antiqua" w:hAnsi="Book Antiqua"/>
          <w:i/>
        </w:rPr>
        <w:t xml:space="preserve">J </w:t>
      </w:r>
      <w:proofErr w:type="spellStart"/>
      <w:r w:rsidRPr="00CD3D64">
        <w:rPr>
          <w:rFonts w:ascii="Book Antiqua" w:hAnsi="Book Antiqua"/>
          <w:i/>
        </w:rPr>
        <w:t>Hepatol</w:t>
      </w:r>
      <w:proofErr w:type="spellEnd"/>
      <w:r w:rsidRPr="00CD3D64">
        <w:rPr>
          <w:rFonts w:ascii="Book Antiqua" w:hAnsi="Book Antiqua"/>
        </w:rPr>
        <w:t xml:space="preserve"> 1996; </w:t>
      </w:r>
      <w:r w:rsidRPr="00CD3D64">
        <w:rPr>
          <w:rFonts w:ascii="Book Antiqua" w:hAnsi="Book Antiqua"/>
          <w:b/>
        </w:rPr>
        <w:t>25</w:t>
      </w:r>
      <w:r w:rsidRPr="00CD3D64">
        <w:rPr>
          <w:rFonts w:ascii="Book Antiqua" w:hAnsi="Book Antiqua"/>
        </w:rPr>
        <w:t>: 591-598 [PMID: 8938532 DOI: 10.1016/s0168-8278(96)80225-x]</w:t>
      </w:r>
    </w:p>
    <w:p w:rsidR="00C107CE" w:rsidRPr="00CD3D64" w:rsidRDefault="00C107CE" w:rsidP="00CD3D64">
      <w:pPr>
        <w:adjustRightInd w:val="0"/>
        <w:snapToGrid w:val="0"/>
        <w:spacing w:line="360" w:lineRule="auto"/>
        <w:rPr>
          <w:rFonts w:ascii="Book Antiqua" w:hAnsi="Book Antiqua"/>
        </w:rPr>
      </w:pPr>
      <w:r w:rsidRPr="00CD3D64">
        <w:rPr>
          <w:rFonts w:ascii="Book Antiqua" w:hAnsi="Book Antiqua"/>
        </w:rPr>
        <w:t xml:space="preserve">7 </w:t>
      </w:r>
      <w:proofErr w:type="spellStart"/>
      <w:r w:rsidRPr="00CD3D64">
        <w:rPr>
          <w:rFonts w:ascii="Book Antiqua" w:hAnsi="Book Antiqua"/>
          <w:b/>
        </w:rPr>
        <w:t>Bodenheimer</w:t>
      </w:r>
      <w:proofErr w:type="spellEnd"/>
      <w:r w:rsidRPr="00CD3D64">
        <w:rPr>
          <w:rFonts w:ascii="Book Antiqua" w:hAnsi="Book Antiqua"/>
          <w:b/>
        </w:rPr>
        <w:t xml:space="preserve"> HC </w:t>
      </w:r>
      <w:proofErr w:type="spellStart"/>
      <w:r w:rsidRPr="00CD3D64">
        <w:rPr>
          <w:rFonts w:ascii="Book Antiqua" w:hAnsi="Book Antiqua"/>
          <w:b/>
        </w:rPr>
        <w:t>Jr</w:t>
      </w:r>
      <w:proofErr w:type="spellEnd"/>
      <w:r w:rsidRPr="00CD3D64">
        <w:rPr>
          <w:rFonts w:ascii="Book Antiqua" w:hAnsi="Book Antiqua"/>
        </w:rPr>
        <w:t xml:space="preserve">, Lindsay KL, Davis GL, Lewis JH, </w:t>
      </w:r>
      <w:proofErr w:type="spellStart"/>
      <w:r w:rsidRPr="00CD3D64">
        <w:rPr>
          <w:rFonts w:ascii="Book Antiqua" w:hAnsi="Book Antiqua"/>
        </w:rPr>
        <w:t>Thung</w:t>
      </w:r>
      <w:proofErr w:type="spellEnd"/>
      <w:r w:rsidRPr="00CD3D64">
        <w:rPr>
          <w:rFonts w:ascii="Book Antiqua" w:hAnsi="Book Antiqua"/>
        </w:rPr>
        <w:t xml:space="preserve"> SN, </w:t>
      </w:r>
      <w:proofErr w:type="spellStart"/>
      <w:r w:rsidRPr="00CD3D64">
        <w:rPr>
          <w:rFonts w:ascii="Book Antiqua" w:hAnsi="Book Antiqua"/>
        </w:rPr>
        <w:t>Seeff</w:t>
      </w:r>
      <w:proofErr w:type="spellEnd"/>
      <w:r w:rsidRPr="00CD3D64">
        <w:rPr>
          <w:rFonts w:ascii="Book Antiqua" w:hAnsi="Book Antiqua"/>
        </w:rPr>
        <w:t xml:space="preserve"> LB. Tolerance and efficacy of oral ribavirin treatment of chronic hepatitis C: a multicenter trial. </w:t>
      </w:r>
      <w:proofErr w:type="spellStart"/>
      <w:r w:rsidRPr="00CD3D64">
        <w:rPr>
          <w:rFonts w:ascii="Book Antiqua" w:hAnsi="Book Antiqua"/>
          <w:i/>
        </w:rPr>
        <w:t>Hepatology</w:t>
      </w:r>
      <w:proofErr w:type="spellEnd"/>
      <w:r w:rsidRPr="00CD3D64">
        <w:rPr>
          <w:rFonts w:ascii="Book Antiqua" w:hAnsi="Book Antiqua"/>
        </w:rPr>
        <w:t xml:space="preserve"> 1997; </w:t>
      </w:r>
      <w:r w:rsidRPr="00CD3D64">
        <w:rPr>
          <w:rFonts w:ascii="Book Antiqua" w:hAnsi="Book Antiqua"/>
          <w:b/>
        </w:rPr>
        <w:t>26</w:t>
      </w:r>
      <w:r w:rsidRPr="00CD3D64">
        <w:rPr>
          <w:rFonts w:ascii="Book Antiqua" w:hAnsi="Book Antiqua"/>
        </w:rPr>
        <w:t>: 473-477 [PMID: 9252161 DOI: 10.1002/hep.510260231]</w:t>
      </w:r>
    </w:p>
    <w:p w:rsidR="00C107CE" w:rsidRPr="00CD3D64" w:rsidRDefault="00C107CE" w:rsidP="00CD3D64">
      <w:pPr>
        <w:adjustRightInd w:val="0"/>
        <w:snapToGrid w:val="0"/>
        <w:spacing w:line="360" w:lineRule="auto"/>
        <w:rPr>
          <w:rFonts w:ascii="Book Antiqua" w:hAnsi="Book Antiqua"/>
        </w:rPr>
      </w:pPr>
      <w:proofErr w:type="gramStart"/>
      <w:r w:rsidRPr="00CD3D64">
        <w:rPr>
          <w:rFonts w:ascii="Book Antiqua" w:hAnsi="Book Antiqua"/>
        </w:rPr>
        <w:t>8</w:t>
      </w:r>
      <w:proofErr w:type="gramEnd"/>
      <w:r w:rsidRPr="00CD3D64">
        <w:rPr>
          <w:rFonts w:ascii="Book Antiqua" w:hAnsi="Book Antiqua"/>
        </w:rPr>
        <w:t xml:space="preserve"> </w:t>
      </w:r>
      <w:r w:rsidRPr="00CD3D64">
        <w:rPr>
          <w:rFonts w:ascii="Book Antiqua" w:hAnsi="Book Antiqua"/>
          <w:b/>
        </w:rPr>
        <w:t>Rose L</w:t>
      </w:r>
      <w:r w:rsidRPr="00CD3D64">
        <w:rPr>
          <w:rFonts w:ascii="Book Antiqua" w:hAnsi="Book Antiqua"/>
        </w:rPr>
        <w:t xml:space="preserve">, Bias TE, Mathias CB, </w:t>
      </w:r>
      <w:proofErr w:type="spellStart"/>
      <w:r w:rsidRPr="00CD3D64">
        <w:rPr>
          <w:rFonts w:ascii="Book Antiqua" w:hAnsi="Book Antiqua"/>
        </w:rPr>
        <w:t>Trooskin</w:t>
      </w:r>
      <w:proofErr w:type="spellEnd"/>
      <w:r w:rsidRPr="00CD3D64">
        <w:rPr>
          <w:rFonts w:ascii="Book Antiqua" w:hAnsi="Book Antiqua"/>
        </w:rPr>
        <w:t xml:space="preserve"> SB, Fong JJ. </w:t>
      </w:r>
      <w:proofErr w:type="spellStart"/>
      <w:proofErr w:type="gramStart"/>
      <w:r w:rsidRPr="00CD3D64">
        <w:rPr>
          <w:rFonts w:ascii="Book Antiqua" w:hAnsi="Book Antiqua"/>
        </w:rPr>
        <w:t>Sofosbuvir</w:t>
      </w:r>
      <w:proofErr w:type="spellEnd"/>
      <w:r w:rsidRPr="00CD3D64">
        <w:rPr>
          <w:rFonts w:ascii="Book Antiqua" w:hAnsi="Book Antiqua"/>
        </w:rPr>
        <w:t xml:space="preserve">: A Nucleotide NS5B </w:t>
      </w:r>
      <w:r w:rsidRPr="00CD3D64">
        <w:rPr>
          <w:rFonts w:ascii="Book Antiqua" w:hAnsi="Book Antiqua"/>
        </w:rPr>
        <w:lastRenderedPageBreak/>
        <w:t>Inhibitor for the Treatment of Chronic Hepatitis C Infection.</w:t>
      </w:r>
      <w:proofErr w:type="gramEnd"/>
      <w:r w:rsidRPr="00CD3D64">
        <w:rPr>
          <w:rFonts w:ascii="Book Antiqua" w:hAnsi="Book Antiqua"/>
        </w:rPr>
        <w:t xml:space="preserve"> </w:t>
      </w:r>
      <w:r w:rsidRPr="00CD3D64">
        <w:rPr>
          <w:rFonts w:ascii="Book Antiqua" w:hAnsi="Book Antiqua"/>
          <w:i/>
        </w:rPr>
        <w:t xml:space="preserve">Ann </w:t>
      </w:r>
      <w:proofErr w:type="spellStart"/>
      <w:r w:rsidRPr="00CD3D64">
        <w:rPr>
          <w:rFonts w:ascii="Book Antiqua" w:hAnsi="Book Antiqua"/>
          <w:i/>
        </w:rPr>
        <w:t>Pharmacother</w:t>
      </w:r>
      <w:proofErr w:type="spellEnd"/>
      <w:r w:rsidRPr="00CD3D64">
        <w:rPr>
          <w:rFonts w:ascii="Book Antiqua" w:hAnsi="Book Antiqua"/>
        </w:rPr>
        <w:t xml:space="preserve"> 2014; </w:t>
      </w:r>
      <w:r w:rsidRPr="00CD3D64">
        <w:rPr>
          <w:rFonts w:ascii="Book Antiqua" w:hAnsi="Book Antiqua"/>
          <w:b/>
        </w:rPr>
        <w:t>48</w:t>
      </w:r>
      <w:r w:rsidRPr="00CD3D64">
        <w:rPr>
          <w:rFonts w:ascii="Book Antiqua" w:hAnsi="Book Antiqua"/>
        </w:rPr>
        <w:t>: 1019-1029 [PMID: 24811396 DOI: 10.1177/1060028014534194]</w:t>
      </w:r>
    </w:p>
    <w:p w:rsidR="00C107CE" w:rsidRPr="00CD3D64" w:rsidRDefault="00C107CE" w:rsidP="00CD3D64">
      <w:pPr>
        <w:adjustRightInd w:val="0"/>
        <w:snapToGrid w:val="0"/>
        <w:spacing w:line="360" w:lineRule="auto"/>
        <w:rPr>
          <w:rFonts w:ascii="Book Antiqua" w:hAnsi="Book Antiqua"/>
        </w:rPr>
      </w:pPr>
      <w:r w:rsidRPr="00CD3D64">
        <w:rPr>
          <w:rFonts w:ascii="Book Antiqua" w:hAnsi="Book Antiqua"/>
        </w:rPr>
        <w:t xml:space="preserve">9 </w:t>
      </w:r>
      <w:proofErr w:type="spellStart"/>
      <w:r w:rsidRPr="00CD3D64">
        <w:rPr>
          <w:rFonts w:ascii="Book Antiqua" w:hAnsi="Book Antiqua"/>
          <w:b/>
        </w:rPr>
        <w:t>Tamai</w:t>
      </w:r>
      <w:proofErr w:type="spellEnd"/>
      <w:r w:rsidRPr="00CD3D64">
        <w:rPr>
          <w:rFonts w:ascii="Book Antiqua" w:hAnsi="Book Antiqua"/>
          <w:b/>
        </w:rPr>
        <w:t xml:space="preserve"> H</w:t>
      </w:r>
      <w:r w:rsidRPr="00CD3D64">
        <w:rPr>
          <w:rFonts w:ascii="Book Antiqua" w:hAnsi="Book Antiqua"/>
        </w:rPr>
        <w:t xml:space="preserve">, </w:t>
      </w:r>
      <w:proofErr w:type="spellStart"/>
      <w:r w:rsidRPr="00CD3D64">
        <w:rPr>
          <w:rFonts w:ascii="Book Antiqua" w:hAnsi="Book Antiqua"/>
        </w:rPr>
        <w:t>Shingaki</w:t>
      </w:r>
      <w:proofErr w:type="spellEnd"/>
      <w:r w:rsidRPr="00CD3D64">
        <w:rPr>
          <w:rFonts w:ascii="Book Antiqua" w:hAnsi="Book Antiqua"/>
        </w:rPr>
        <w:t xml:space="preserve"> N, Mori Y, </w:t>
      </w:r>
      <w:proofErr w:type="spellStart"/>
      <w:r w:rsidRPr="00CD3D64">
        <w:rPr>
          <w:rFonts w:ascii="Book Antiqua" w:hAnsi="Book Antiqua"/>
        </w:rPr>
        <w:t>Moribata</w:t>
      </w:r>
      <w:proofErr w:type="spellEnd"/>
      <w:r w:rsidRPr="00CD3D64">
        <w:rPr>
          <w:rFonts w:ascii="Book Antiqua" w:hAnsi="Book Antiqua"/>
        </w:rPr>
        <w:t xml:space="preserve"> K, Kawashima A, Maeda Y, </w:t>
      </w:r>
      <w:proofErr w:type="spellStart"/>
      <w:r w:rsidRPr="00CD3D64">
        <w:rPr>
          <w:rFonts w:ascii="Book Antiqua" w:hAnsi="Book Antiqua"/>
        </w:rPr>
        <w:t>Niwa</w:t>
      </w:r>
      <w:proofErr w:type="spellEnd"/>
      <w:r w:rsidRPr="00CD3D64">
        <w:rPr>
          <w:rFonts w:ascii="Book Antiqua" w:hAnsi="Book Antiqua"/>
        </w:rPr>
        <w:t xml:space="preserve"> T, </w:t>
      </w:r>
      <w:proofErr w:type="spellStart"/>
      <w:r w:rsidRPr="00CD3D64">
        <w:rPr>
          <w:rFonts w:ascii="Book Antiqua" w:hAnsi="Book Antiqua"/>
        </w:rPr>
        <w:t>Deguchi</w:t>
      </w:r>
      <w:proofErr w:type="spellEnd"/>
      <w:r w:rsidRPr="00CD3D64">
        <w:rPr>
          <w:rFonts w:ascii="Book Antiqua" w:hAnsi="Book Antiqua"/>
        </w:rPr>
        <w:t xml:space="preserve"> H, Inoue I, </w:t>
      </w:r>
      <w:proofErr w:type="spellStart"/>
      <w:r w:rsidRPr="00CD3D64">
        <w:rPr>
          <w:rFonts w:ascii="Book Antiqua" w:hAnsi="Book Antiqua"/>
        </w:rPr>
        <w:t>Maekita</w:t>
      </w:r>
      <w:proofErr w:type="spellEnd"/>
      <w:r w:rsidRPr="00CD3D64">
        <w:rPr>
          <w:rFonts w:ascii="Book Antiqua" w:hAnsi="Book Antiqua"/>
        </w:rPr>
        <w:t xml:space="preserve"> T, Iguchi M, Kato J, Ichinose M. Low-Dose </w:t>
      </w:r>
      <w:proofErr w:type="spellStart"/>
      <w:r w:rsidRPr="00CD3D64">
        <w:rPr>
          <w:rFonts w:ascii="Book Antiqua" w:hAnsi="Book Antiqua"/>
        </w:rPr>
        <w:t>Pegylated</w:t>
      </w:r>
      <w:proofErr w:type="spellEnd"/>
      <w:r w:rsidRPr="00CD3D64">
        <w:rPr>
          <w:rFonts w:ascii="Book Antiqua" w:hAnsi="Book Antiqua"/>
        </w:rPr>
        <w:t xml:space="preserve"> Interferon α-2b Plus Ribavirin for Elderly and/or Cirrhotic Patients with Genotype 2 Hepatitis C Virus. </w:t>
      </w:r>
      <w:r w:rsidRPr="00CD3D64">
        <w:rPr>
          <w:rFonts w:ascii="Book Antiqua" w:hAnsi="Book Antiqua"/>
          <w:i/>
        </w:rPr>
        <w:t>Gut Liver</w:t>
      </w:r>
      <w:r w:rsidRPr="00CD3D64">
        <w:rPr>
          <w:rFonts w:ascii="Book Antiqua" w:hAnsi="Book Antiqua"/>
        </w:rPr>
        <w:t xml:space="preserve"> 2016</w:t>
      </w:r>
      <w:proofErr w:type="gramStart"/>
      <w:r w:rsidRPr="00CD3D64">
        <w:rPr>
          <w:rFonts w:ascii="Book Antiqua" w:hAnsi="Book Antiqua"/>
        </w:rPr>
        <w:t>;</w:t>
      </w:r>
      <w:proofErr w:type="gramEnd"/>
      <w:r w:rsidRPr="00CD3D64">
        <w:rPr>
          <w:rFonts w:ascii="Book Antiqua" w:hAnsi="Book Antiqua"/>
        </w:rPr>
        <w:t xml:space="preserve"> </w:t>
      </w:r>
      <w:r w:rsidRPr="00CD3D64">
        <w:rPr>
          <w:rFonts w:ascii="Book Antiqua" w:hAnsi="Book Antiqua"/>
          <w:b/>
        </w:rPr>
        <w:t>10</w:t>
      </w:r>
      <w:r w:rsidRPr="00CD3D64">
        <w:rPr>
          <w:rFonts w:ascii="Book Antiqua" w:hAnsi="Book Antiqua"/>
        </w:rPr>
        <w:t>: 617-623 [PMID: 26601828 DOI: 10.5009/gnl15193]</w:t>
      </w:r>
    </w:p>
    <w:p w:rsidR="00C107CE" w:rsidRPr="00CD3D64" w:rsidRDefault="00C107CE" w:rsidP="00CD3D64">
      <w:pPr>
        <w:adjustRightInd w:val="0"/>
        <w:snapToGrid w:val="0"/>
        <w:spacing w:line="360" w:lineRule="auto"/>
        <w:rPr>
          <w:rFonts w:ascii="Book Antiqua" w:hAnsi="Book Antiqua"/>
        </w:rPr>
      </w:pPr>
      <w:r w:rsidRPr="00CD3D64">
        <w:rPr>
          <w:rFonts w:ascii="Book Antiqua" w:hAnsi="Book Antiqua"/>
        </w:rPr>
        <w:t xml:space="preserve">10 </w:t>
      </w:r>
      <w:r w:rsidRPr="00CD3D64">
        <w:rPr>
          <w:rFonts w:ascii="Book Antiqua" w:hAnsi="Book Antiqua"/>
          <w:b/>
        </w:rPr>
        <w:t>Ogawa E</w:t>
      </w:r>
      <w:r w:rsidRPr="00CD3D64">
        <w:rPr>
          <w:rFonts w:ascii="Book Antiqua" w:hAnsi="Book Antiqua"/>
        </w:rPr>
        <w:t xml:space="preserve">, </w:t>
      </w:r>
      <w:proofErr w:type="spellStart"/>
      <w:r w:rsidRPr="00CD3D64">
        <w:rPr>
          <w:rFonts w:ascii="Book Antiqua" w:hAnsi="Book Antiqua"/>
        </w:rPr>
        <w:t>Furusyo</w:t>
      </w:r>
      <w:proofErr w:type="spellEnd"/>
      <w:r w:rsidRPr="00CD3D64">
        <w:rPr>
          <w:rFonts w:ascii="Book Antiqua" w:hAnsi="Book Antiqua"/>
        </w:rPr>
        <w:t xml:space="preserve"> N, Nomura H, Takahashi K, Higashi N, Kawano A, </w:t>
      </w:r>
      <w:proofErr w:type="spellStart"/>
      <w:r w:rsidRPr="00CD3D64">
        <w:rPr>
          <w:rFonts w:ascii="Book Antiqua" w:hAnsi="Book Antiqua"/>
        </w:rPr>
        <w:t>Dohmen</w:t>
      </w:r>
      <w:proofErr w:type="spellEnd"/>
      <w:r w:rsidRPr="00CD3D64">
        <w:rPr>
          <w:rFonts w:ascii="Book Antiqua" w:hAnsi="Book Antiqua"/>
        </w:rPr>
        <w:t xml:space="preserve"> K, Satoh T, Azuma K, </w:t>
      </w:r>
      <w:proofErr w:type="spellStart"/>
      <w:r w:rsidRPr="00CD3D64">
        <w:rPr>
          <w:rFonts w:ascii="Book Antiqua" w:hAnsi="Book Antiqua"/>
        </w:rPr>
        <w:t>Nakamuta</w:t>
      </w:r>
      <w:proofErr w:type="spellEnd"/>
      <w:r w:rsidRPr="00CD3D64">
        <w:rPr>
          <w:rFonts w:ascii="Book Antiqua" w:hAnsi="Book Antiqua"/>
        </w:rPr>
        <w:t xml:space="preserve"> M, </w:t>
      </w:r>
      <w:proofErr w:type="spellStart"/>
      <w:r w:rsidRPr="00CD3D64">
        <w:rPr>
          <w:rFonts w:ascii="Book Antiqua" w:hAnsi="Book Antiqua"/>
        </w:rPr>
        <w:t>Koyanagi</w:t>
      </w:r>
      <w:proofErr w:type="spellEnd"/>
      <w:r w:rsidRPr="00CD3D64">
        <w:rPr>
          <w:rFonts w:ascii="Book Antiqua" w:hAnsi="Book Antiqua"/>
        </w:rPr>
        <w:t xml:space="preserve"> T, Kato M, </w:t>
      </w:r>
      <w:proofErr w:type="spellStart"/>
      <w:r w:rsidRPr="00CD3D64">
        <w:rPr>
          <w:rFonts w:ascii="Book Antiqua" w:hAnsi="Book Antiqua"/>
        </w:rPr>
        <w:t>Shimoda</w:t>
      </w:r>
      <w:proofErr w:type="spellEnd"/>
      <w:r w:rsidRPr="00CD3D64">
        <w:rPr>
          <w:rFonts w:ascii="Book Antiqua" w:hAnsi="Book Antiqua"/>
        </w:rPr>
        <w:t xml:space="preserve"> S, </w:t>
      </w:r>
      <w:proofErr w:type="spellStart"/>
      <w:r w:rsidRPr="00CD3D64">
        <w:rPr>
          <w:rFonts w:ascii="Book Antiqua" w:hAnsi="Book Antiqua"/>
        </w:rPr>
        <w:t>Kajiwara</w:t>
      </w:r>
      <w:proofErr w:type="spellEnd"/>
      <w:r w:rsidRPr="00CD3D64">
        <w:rPr>
          <w:rFonts w:ascii="Book Antiqua" w:hAnsi="Book Antiqua"/>
        </w:rPr>
        <w:t xml:space="preserve"> E, Hayashi J; Kyushu University Liver Disease Study (KULDS) Group. </w:t>
      </w:r>
      <w:proofErr w:type="gramStart"/>
      <w:r w:rsidRPr="00CD3D64">
        <w:rPr>
          <w:rFonts w:ascii="Book Antiqua" w:hAnsi="Book Antiqua"/>
        </w:rPr>
        <w:t xml:space="preserve">Effectiveness and safety of </w:t>
      </w:r>
      <w:proofErr w:type="spellStart"/>
      <w:r w:rsidRPr="00CD3D64">
        <w:rPr>
          <w:rFonts w:ascii="Book Antiqua" w:hAnsi="Book Antiqua"/>
        </w:rPr>
        <w:t>sofosbuvir</w:t>
      </w:r>
      <w:proofErr w:type="spellEnd"/>
      <w:r w:rsidRPr="00CD3D64">
        <w:rPr>
          <w:rFonts w:ascii="Book Antiqua" w:hAnsi="Book Antiqua"/>
        </w:rPr>
        <w:t xml:space="preserve"> plus ribavirin for HCV genotype 2 patients 65 and over with or without cirrhosis.</w:t>
      </w:r>
      <w:proofErr w:type="gramEnd"/>
      <w:r w:rsidRPr="00CD3D64">
        <w:rPr>
          <w:rFonts w:ascii="Book Antiqua" w:hAnsi="Book Antiqua"/>
        </w:rPr>
        <w:t xml:space="preserve"> </w:t>
      </w:r>
      <w:r w:rsidRPr="00CD3D64">
        <w:rPr>
          <w:rFonts w:ascii="Book Antiqua" w:hAnsi="Book Antiqua"/>
          <w:i/>
        </w:rPr>
        <w:t>Antiviral Res</w:t>
      </w:r>
      <w:r w:rsidRPr="00CD3D64">
        <w:rPr>
          <w:rFonts w:ascii="Book Antiqua" w:hAnsi="Book Antiqua"/>
        </w:rPr>
        <w:t xml:space="preserve"> 2016; </w:t>
      </w:r>
      <w:r w:rsidRPr="00CD3D64">
        <w:rPr>
          <w:rFonts w:ascii="Book Antiqua" w:hAnsi="Book Antiqua"/>
          <w:b/>
        </w:rPr>
        <w:t>136</w:t>
      </w:r>
      <w:r w:rsidRPr="00CD3D64">
        <w:rPr>
          <w:rFonts w:ascii="Book Antiqua" w:hAnsi="Book Antiqua"/>
        </w:rPr>
        <w:t>: 37-44 [PMID: 27789224 DOI: 10.1016/j.antiviral.2016.10.012]</w:t>
      </w:r>
    </w:p>
    <w:p w:rsidR="00C107CE" w:rsidRPr="00CD3D64" w:rsidRDefault="00C107CE" w:rsidP="00CD3D64">
      <w:pPr>
        <w:adjustRightInd w:val="0"/>
        <w:snapToGrid w:val="0"/>
        <w:spacing w:line="360" w:lineRule="auto"/>
        <w:rPr>
          <w:rFonts w:ascii="Book Antiqua" w:hAnsi="Book Antiqua"/>
        </w:rPr>
      </w:pPr>
      <w:r w:rsidRPr="00CD3D64">
        <w:rPr>
          <w:rFonts w:ascii="Book Antiqua" w:hAnsi="Book Antiqua"/>
        </w:rPr>
        <w:t xml:space="preserve">11 </w:t>
      </w:r>
      <w:proofErr w:type="spellStart"/>
      <w:r w:rsidRPr="00CD3D64">
        <w:rPr>
          <w:rFonts w:ascii="Book Antiqua" w:hAnsi="Book Antiqua"/>
          <w:b/>
        </w:rPr>
        <w:t>Atsukawa</w:t>
      </w:r>
      <w:proofErr w:type="spellEnd"/>
      <w:r w:rsidRPr="00CD3D64">
        <w:rPr>
          <w:rFonts w:ascii="Book Antiqua" w:hAnsi="Book Antiqua"/>
          <w:b/>
        </w:rPr>
        <w:t xml:space="preserve"> M</w:t>
      </w:r>
      <w:r w:rsidRPr="00CD3D64">
        <w:rPr>
          <w:rFonts w:ascii="Book Antiqua" w:hAnsi="Book Antiqua"/>
        </w:rPr>
        <w:t xml:space="preserve">, </w:t>
      </w:r>
      <w:proofErr w:type="spellStart"/>
      <w:r w:rsidRPr="00CD3D64">
        <w:rPr>
          <w:rFonts w:ascii="Book Antiqua" w:hAnsi="Book Antiqua"/>
        </w:rPr>
        <w:t>Tsubota</w:t>
      </w:r>
      <w:proofErr w:type="spellEnd"/>
      <w:r w:rsidRPr="00CD3D64">
        <w:rPr>
          <w:rFonts w:ascii="Book Antiqua" w:hAnsi="Book Antiqua"/>
        </w:rPr>
        <w:t xml:space="preserve"> A, Kondo C, Shimada N, Abe H, Kato K, Okubo T, Arai T, </w:t>
      </w:r>
      <w:proofErr w:type="spellStart"/>
      <w:r w:rsidRPr="00CD3D64">
        <w:rPr>
          <w:rFonts w:ascii="Book Antiqua" w:hAnsi="Book Antiqua"/>
        </w:rPr>
        <w:t>Itokawa</w:t>
      </w:r>
      <w:proofErr w:type="spellEnd"/>
      <w:r w:rsidRPr="00CD3D64">
        <w:rPr>
          <w:rFonts w:ascii="Book Antiqua" w:hAnsi="Book Antiqua"/>
        </w:rPr>
        <w:t xml:space="preserve"> N, </w:t>
      </w:r>
      <w:proofErr w:type="spellStart"/>
      <w:r w:rsidRPr="00CD3D64">
        <w:rPr>
          <w:rFonts w:ascii="Book Antiqua" w:hAnsi="Book Antiqua"/>
        </w:rPr>
        <w:t>Iio</w:t>
      </w:r>
      <w:proofErr w:type="spellEnd"/>
      <w:r w:rsidRPr="00CD3D64">
        <w:rPr>
          <w:rFonts w:ascii="Book Antiqua" w:hAnsi="Book Antiqua"/>
        </w:rPr>
        <w:t xml:space="preserve"> E, Tanaka Y, </w:t>
      </w:r>
      <w:proofErr w:type="spellStart"/>
      <w:r w:rsidRPr="00CD3D64">
        <w:rPr>
          <w:rFonts w:ascii="Book Antiqua" w:hAnsi="Book Antiqua"/>
        </w:rPr>
        <w:t>Iwakiri</w:t>
      </w:r>
      <w:proofErr w:type="spellEnd"/>
      <w:r w:rsidRPr="00CD3D64">
        <w:rPr>
          <w:rFonts w:ascii="Book Antiqua" w:hAnsi="Book Antiqua"/>
        </w:rPr>
        <w:t xml:space="preserve"> K. Effectiveness and safety of community-based treatment with </w:t>
      </w:r>
      <w:proofErr w:type="spellStart"/>
      <w:r w:rsidRPr="00CD3D64">
        <w:rPr>
          <w:rFonts w:ascii="Book Antiqua" w:hAnsi="Book Antiqua"/>
        </w:rPr>
        <w:t>sofosbuvir</w:t>
      </w:r>
      <w:proofErr w:type="spellEnd"/>
      <w:r w:rsidRPr="00CD3D64">
        <w:rPr>
          <w:rFonts w:ascii="Book Antiqua" w:hAnsi="Book Antiqua"/>
        </w:rPr>
        <w:t xml:space="preserve"> plus ribavirin for elderly patients with genotype 2 chronic hepatitis C. </w:t>
      </w:r>
      <w:r w:rsidRPr="00CD3D64">
        <w:rPr>
          <w:rFonts w:ascii="Book Antiqua" w:hAnsi="Book Antiqua"/>
          <w:i/>
        </w:rPr>
        <w:t>Dig Liver Dis</w:t>
      </w:r>
      <w:r w:rsidRPr="00CD3D64">
        <w:rPr>
          <w:rFonts w:ascii="Book Antiqua" w:hAnsi="Book Antiqua"/>
        </w:rPr>
        <w:t xml:space="preserve"> 2017; </w:t>
      </w:r>
      <w:r w:rsidRPr="00CD3D64">
        <w:rPr>
          <w:rFonts w:ascii="Book Antiqua" w:hAnsi="Book Antiqua"/>
          <w:b/>
        </w:rPr>
        <w:t>49</w:t>
      </w:r>
      <w:r w:rsidRPr="00CD3D64">
        <w:rPr>
          <w:rFonts w:ascii="Book Antiqua" w:hAnsi="Book Antiqua"/>
        </w:rPr>
        <w:t>: 1029-1035 [PMID: 28499694 DOI: 10.1016/j.dld.2017.04.012]</w:t>
      </w:r>
    </w:p>
    <w:p w:rsidR="00C107CE" w:rsidRPr="00CD3D64" w:rsidRDefault="00C107CE" w:rsidP="00CD3D64">
      <w:pPr>
        <w:adjustRightInd w:val="0"/>
        <w:snapToGrid w:val="0"/>
        <w:spacing w:line="360" w:lineRule="auto"/>
        <w:rPr>
          <w:rFonts w:ascii="Book Antiqua" w:hAnsi="Book Antiqua"/>
        </w:rPr>
      </w:pPr>
      <w:r w:rsidRPr="00CD3D64">
        <w:rPr>
          <w:rFonts w:ascii="Book Antiqua" w:hAnsi="Book Antiqua"/>
        </w:rPr>
        <w:t xml:space="preserve">12 </w:t>
      </w:r>
      <w:r w:rsidRPr="00CD3D64">
        <w:rPr>
          <w:rFonts w:ascii="Book Antiqua" w:hAnsi="Book Antiqua"/>
          <w:b/>
        </w:rPr>
        <w:t>Nishida N</w:t>
      </w:r>
      <w:r w:rsidRPr="00CD3D64">
        <w:rPr>
          <w:rFonts w:ascii="Book Antiqua" w:hAnsi="Book Antiqua"/>
        </w:rPr>
        <w:t xml:space="preserve">, </w:t>
      </w:r>
      <w:proofErr w:type="spellStart"/>
      <w:r w:rsidRPr="00CD3D64">
        <w:rPr>
          <w:rFonts w:ascii="Book Antiqua" w:hAnsi="Book Antiqua"/>
        </w:rPr>
        <w:t>Kono</w:t>
      </w:r>
      <w:proofErr w:type="spellEnd"/>
      <w:r w:rsidRPr="00CD3D64">
        <w:rPr>
          <w:rFonts w:ascii="Book Antiqua" w:hAnsi="Book Antiqua"/>
        </w:rPr>
        <w:t xml:space="preserve"> M, Minami T, </w:t>
      </w:r>
      <w:proofErr w:type="spellStart"/>
      <w:r w:rsidRPr="00CD3D64">
        <w:rPr>
          <w:rFonts w:ascii="Book Antiqua" w:hAnsi="Book Antiqua"/>
        </w:rPr>
        <w:t>Chishina</w:t>
      </w:r>
      <w:proofErr w:type="spellEnd"/>
      <w:r w:rsidRPr="00CD3D64">
        <w:rPr>
          <w:rFonts w:ascii="Book Antiqua" w:hAnsi="Book Antiqua"/>
        </w:rPr>
        <w:t xml:space="preserve"> H, </w:t>
      </w:r>
      <w:proofErr w:type="spellStart"/>
      <w:r w:rsidRPr="00CD3D64">
        <w:rPr>
          <w:rFonts w:ascii="Book Antiqua" w:hAnsi="Book Antiqua"/>
        </w:rPr>
        <w:t>Arizumi</w:t>
      </w:r>
      <w:proofErr w:type="spellEnd"/>
      <w:r w:rsidRPr="00CD3D64">
        <w:rPr>
          <w:rFonts w:ascii="Book Antiqua" w:hAnsi="Book Antiqua"/>
        </w:rPr>
        <w:t xml:space="preserve"> T, </w:t>
      </w:r>
      <w:proofErr w:type="spellStart"/>
      <w:r w:rsidRPr="00CD3D64">
        <w:rPr>
          <w:rFonts w:ascii="Book Antiqua" w:hAnsi="Book Antiqua"/>
        </w:rPr>
        <w:t>Takita</w:t>
      </w:r>
      <w:proofErr w:type="spellEnd"/>
      <w:r w:rsidRPr="00CD3D64">
        <w:rPr>
          <w:rFonts w:ascii="Book Antiqua" w:hAnsi="Book Antiqua"/>
        </w:rPr>
        <w:t xml:space="preserve"> M, </w:t>
      </w:r>
      <w:proofErr w:type="spellStart"/>
      <w:r w:rsidRPr="00CD3D64">
        <w:rPr>
          <w:rFonts w:ascii="Book Antiqua" w:hAnsi="Book Antiqua"/>
        </w:rPr>
        <w:t>Yada</w:t>
      </w:r>
      <w:proofErr w:type="spellEnd"/>
      <w:r w:rsidRPr="00CD3D64">
        <w:rPr>
          <w:rFonts w:ascii="Book Antiqua" w:hAnsi="Book Antiqua"/>
        </w:rPr>
        <w:t xml:space="preserve"> N, Ida H, Hagiwara S, Minami Y, </w:t>
      </w:r>
      <w:proofErr w:type="spellStart"/>
      <w:r w:rsidRPr="00CD3D64">
        <w:rPr>
          <w:rFonts w:ascii="Book Antiqua" w:hAnsi="Book Antiqua"/>
        </w:rPr>
        <w:t>Ueshima</w:t>
      </w:r>
      <w:proofErr w:type="spellEnd"/>
      <w:r w:rsidRPr="00CD3D64">
        <w:rPr>
          <w:rFonts w:ascii="Book Antiqua" w:hAnsi="Book Antiqua"/>
        </w:rPr>
        <w:t xml:space="preserve"> K, Sakurai T, </w:t>
      </w:r>
      <w:proofErr w:type="spellStart"/>
      <w:r w:rsidRPr="00CD3D64">
        <w:rPr>
          <w:rFonts w:ascii="Book Antiqua" w:hAnsi="Book Antiqua"/>
        </w:rPr>
        <w:t>Kudo</w:t>
      </w:r>
      <w:proofErr w:type="spellEnd"/>
      <w:r w:rsidRPr="00CD3D64">
        <w:rPr>
          <w:rFonts w:ascii="Book Antiqua" w:hAnsi="Book Antiqua"/>
        </w:rPr>
        <w:t xml:space="preserve"> M. Safety, Tolerability, and Efficacy of </w:t>
      </w:r>
      <w:proofErr w:type="spellStart"/>
      <w:r w:rsidRPr="00CD3D64">
        <w:rPr>
          <w:rFonts w:ascii="Book Antiqua" w:hAnsi="Book Antiqua"/>
        </w:rPr>
        <w:t>Sofosbuvir</w:t>
      </w:r>
      <w:proofErr w:type="spellEnd"/>
      <w:r w:rsidRPr="00CD3D64">
        <w:rPr>
          <w:rFonts w:ascii="Book Antiqua" w:hAnsi="Book Antiqua"/>
        </w:rPr>
        <w:t xml:space="preserve"> Plus Ribavirin in Elderly Patients Infected with Hepatitis C Virus Genotype 2. </w:t>
      </w:r>
      <w:r w:rsidRPr="00CD3D64">
        <w:rPr>
          <w:rFonts w:ascii="Book Antiqua" w:hAnsi="Book Antiqua"/>
          <w:i/>
        </w:rPr>
        <w:t>Dig Dis</w:t>
      </w:r>
      <w:r w:rsidRPr="00CD3D64">
        <w:rPr>
          <w:rFonts w:ascii="Book Antiqua" w:hAnsi="Book Antiqua"/>
        </w:rPr>
        <w:t xml:space="preserve"> 2016; </w:t>
      </w:r>
      <w:r w:rsidRPr="00CD3D64">
        <w:rPr>
          <w:rFonts w:ascii="Book Antiqua" w:hAnsi="Book Antiqua"/>
          <w:b/>
        </w:rPr>
        <w:t>34</w:t>
      </w:r>
      <w:r w:rsidRPr="00CD3D64">
        <w:rPr>
          <w:rFonts w:ascii="Book Antiqua" w:hAnsi="Book Antiqua"/>
        </w:rPr>
        <w:t>: 632-639 [PMID: 27750230 DOI: 10.1159/000448824]</w:t>
      </w:r>
    </w:p>
    <w:p w:rsidR="00C107CE" w:rsidRPr="00CD3D64" w:rsidRDefault="00C107CE" w:rsidP="00CD3D64">
      <w:pPr>
        <w:adjustRightInd w:val="0"/>
        <w:snapToGrid w:val="0"/>
        <w:spacing w:line="360" w:lineRule="auto"/>
        <w:rPr>
          <w:rFonts w:ascii="Book Antiqua" w:hAnsi="Book Antiqua"/>
        </w:rPr>
      </w:pPr>
      <w:r w:rsidRPr="00CD3D64">
        <w:rPr>
          <w:rFonts w:ascii="Book Antiqua" w:hAnsi="Book Antiqua"/>
        </w:rPr>
        <w:t xml:space="preserve">13 </w:t>
      </w:r>
      <w:proofErr w:type="spellStart"/>
      <w:r w:rsidRPr="00CD3D64">
        <w:rPr>
          <w:rFonts w:ascii="Book Antiqua" w:hAnsi="Book Antiqua"/>
          <w:b/>
        </w:rPr>
        <w:t>Hirosawa</w:t>
      </w:r>
      <w:proofErr w:type="spellEnd"/>
      <w:r w:rsidRPr="00CD3D64">
        <w:rPr>
          <w:rFonts w:ascii="Book Antiqua" w:hAnsi="Book Antiqua"/>
          <w:b/>
        </w:rPr>
        <w:t xml:space="preserve"> T</w:t>
      </w:r>
      <w:r w:rsidRPr="00CD3D64">
        <w:rPr>
          <w:rFonts w:ascii="Book Antiqua" w:hAnsi="Book Antiqua"/>
        </w:rPr>
        <w:t xml:space="preserve">, Morimoto N, Miura K, </w:t>
      </w:r>
      <w:proofErr w:type="spellStart"/>
      <w:r w:rsidRPr="00CD3D64">
        <w:rPr>
          <w:rFonts w:ascii="Book Antiqua" w:hAnsi="Book Antiqua"/>
        </w:rPr>
        <w:t>Tahara</w:t>
      </w:r>
      <w:proofErr w:type="spellEnd"/>
      <w:r w:rsidRPr="00CD3D64">
        <w:rPr>
          <w:rFonts w:ascii="Book Antiqua" w:hAnsi="Book Antiqua"/>
        </w:rPr>
        <w:t xml:space="preserve"> T, </w:t>
      </w:r>
      <w:proofErr w:type="spellStart"/>
      <w:r w:rsidRPr="00CD3D64">
        <w:rPr>
          <w:rFonts w:ascii="Book Antiqua" w:hAnsi="Book Antiqua"/>
        </w:rPr>
        <w:t>Murohisa</w:t>
      </w:r>
      <w:proofErr w:type="spellEnd"/>
      <w:r w:rsidRPr="00CD3D64">
        <w:rPr>
          <w:rFonts w:ascii="Book Antiqua" w:hAnsi="Book Antiqua"/>
        </w:rPr>
        <w:t xml:space="preserve"> T, Okamura Y, Sato T, </w:t>
      </w:r>
      <w:proofErr w:type="spellStart"/>
      <w:r w:rsidRPr="00CD3D64">
        <w:rPr>
          <w:rFonts w:ascii="Book Antiqua" w:hAnsi="Book Antiqua"/>
        </w:rPr>
        <w:t>Numao</w:t>
      </w:r>
      <w:proofErr w:type="spellEnd"/>
      <w:r w:rsidRPr="00CD3D64">
        <w:rPr>
          <w:rFonts w:ascii="Book Antiqua" w:hAnsi="Book Antiqua"/>
        </w:rPr>
        <w:t xml:space="preserve"> N, Imai M, </w:t>
      </w:r>
      <w:proofErr w:type="spellStart"/>
      <w:r w:rsidRPr="00CD3D64">
        <w:rPr>
          <w:rFonts w:ascii="Book Antiqua" w:hAnsi="Book Antiqua"/>
        </w:rPr>
        <w:t>Tano</w:t>
      </w:r>
      <w:proofErr w:type="spellEnd"/>
      <w:r w:rsidRPr="00CD3D64">
        <w:rPr>
          <w:rFonts w:ascii="Book Antiqua" w:hAnsi="Book Antiqua"/>
        </w:rPr>
        <w:t xml:space="preserve"> S, Murayama K, </w:t>
      </w:r>
      <w:proofErr w:type="spellStart"/>
      <w:r w:rsidRPr="00CD3D64">
        <w:rPr>
          <w:rFonts w:ascii="Book Antiqua" w:hAnsi="Book Antiqua"/>
        </w:rPr>
        <w:t>Kurata</w:t>
      </w:r>
      <w:proofErr w:type="spellEnd"/>
      <w:r w:rsidRPr="00CD3D64">
        <w:rPr>
          <w:rFonts w:ascii="Book Antiqua" w:hAnsi="Book Antiqua"/>
        </w:rPr>
        <w:t xml:space="preserve"> H, Ozawa I, </w:t>
      </w:r>
      <w:proofErr w:type="spellStart"/>
      <w:r w:rsidRPr="00CD3D64">
        <w:rPr>
          <w:rFonts w:ascii="Book Antiqua" w:hAnsi="Book Antiqua"/>
        </w:rPr>
        <w:t>Fukaya</w:t>
      </w:r>
      <w:proofErr w:type="spellEnd"/>
      <w:r w:rsidRPr="00CD3D64">
        <w:rPr>
          <w:rFonts w:ascii="Book Antiqua" w:hAnsi="Book Antiqua"/>
        </w:rPr>
        <w:t xml:space="preserve"> Y, </w:t>
      </w:r>
      <w:proofErr w:type="spellStart"/>
      <w:r w:rsidRPr="00CD3D64">
        <w:rPr>
          <w:rFonts w:ascii="Book Antiqua" w:hAnsi="Book Antiqua"/>
        </w:rPr>
        <w:t>Yoshizumi</w:t>
      </w:r>
      <w:proofErr w:type="spellEnd"/>
      <w:r w:rsidRPr="00CD3D64">
        <w:rPr>
          <w:rFonts w:ascii="Book Antiqua" w:hAnsi="Book Antiqua"/>
        </w:rPr>
        <w:t xml:space="preserve"> H, Watanabe S, </w:t>
      </w:r>
      <w:proofErr w:type="spellStart"/>
      <w:r w:rsidRPr="00CD3D64">
        <w:rPr>
          <w:rFonts w:ascii="Book Antiqua" w:hAnsi="Book Antiqua"/>
        </w:rPr>
        <w:t>Tsukui</w:t>
      </w:r>
      <w:proofErr w:type="spellEnd"/>
      <w:r w:rsidRPr="00CD3D64">
        <w:rPr>
          <w:rFonts w:ascii="Book Antiqua" w:hAnsi="Book Antiqua"/>
        </w:rPr>
        <w:t xml:space="preserve"> M, Takaoka Y, </w:t>
      </w:r>
      <w:proofErr w:type="spellStart"/>
      <w:r w:rsidRPr="00CD3D64">
        <w:rPr>
          <w:rFonts w:ascii="Book Antiqua" w:hAnsi="Book Antiqua"/>
        </w:rPr>
        <w:t>Nomoto</w:t>
      </w:r>
      <w:proofErr w:type="spellEnd"/>
      <w:r w:rsidRPr="00CD3D64">
        <w:rPr>
          <w:rFonts w:ascii="Book Antiqua" w:hAnsi="Book Antiqua"/>
        </w:rPr>
        <w:t xml:space="preserve"> H, </w:t>
      </w:r>
      <w:proofErr w:type="spellStart"/>
      <w:r w:rsidRPr="00CD3D64">
        <w:rPr>
          <w:rFonts w:ascii="Book Antiqua" w:hAnsi="Book Antiqua"/>
        </w:rPr>
        <w:t>Isoda</w:t>
      </w:r>
      <w:proofErr w:type="spellEnd"/>
      <w:r w:rsidRPr="00CD3D64">
        <w:rPr>
          <w:rFonts w:ascii="Book Antiqua" w:hAnsi="Book Antiqua"/>
        </w:rPr>
        <w:t xml:space="preserve"> N, Yamamoto H. No Regional Disparities in </w:t>
      </w:r>
      <w:proofErr w:type="spellStart"/>
      <w:r w:rsidRPr="00CD3D64">
        <w:rPr>
          <w:rFonts w:ascii="Book Antiqua" w:hAnsi="Book Antiqua"/>
        </w:rPr>
        <w:t>Sofosbuvir</w:t>
      </w:r>
      <w:proofErr w:type="spellEnd"/>
      <w:r w:rsidRPr="00CD3D64">
        <w:rPr>
          <w:rFonts w:ascii="Book Antiqua" w:hAnsi="Book Antiqua"/>
        </w:rPr>
        <w:t xml:space="preserve"> </w:t>
      </w:r>
      <w:proofErr w:type="gramStart"/>
      <w:r w:rsidRPr="00CD3D64">
        <w:rPr>
          <w:rFonts w:ascii="Book Antiqua" w:hAnsi="Book Antiqua"/>
        </w:rPr>
        <w:t>Plus</w:t>
      </w:r>
      <w:proofErr w:type="gramEnd"/>
      <w:r w:rsidRPr="00CD3D64">
        <w:rPr>
          <w:rFonts w:ascii="Book Antiqua" w:hAnsi="Book Antiqua"/>
        </w:rPr>
        <w:t xml:space="preserve"> Ribavirin Therapy for HCV Genotype 2 Infection in Tochigi Prefecture and Its Vicinity. </w:t>
      </w:r>
      <w:r w:rsidRPr="00CD3D64">
        <w:rPr>
          <w:rFonts w:ascii="Book Antiqua" w:hAnsi="Book Antiqua"/>
          <w:i/>
        </w:rPr>
        <w:t>Intern Med</w:t>
      </w:r>
      <w:r w:rsidRPr="00CD3D64">
        <w:rPr>
          <w:rFonts w:ascii="Book Antiqua" w:hAnsi="Book Antiqua"/>
        </w:rPr>
        <w:t xml:space="preserve"> 2019</w:t>
      </w:r>
      <w:proofErr w:type="gramStart"/>
      <w:r w:rsidRPr="00CD3D64">
        <w:rPr>
          <w:rFonts w:ascii="Book Antiqua" w:hAnsi="Book Antiqua"/>
        </w:rPr>
        <w:t>;</w:t>
      </w:r>
      <w:proofErr w:type="gramEnd"/>
      <w:r w:rsidRPr="00CD3D64">
        <w:rPr>
          <w:rFonts w:ascii="Book Antiqua" w:hAnsi="Book Antiqua"/>
        </w:rPr>
        <w:t xml:space="preserve"> </w:t>
      </w:r>
      <w:r w:rsidRPr="00CD3D64">
        <w:rPr>
          <w:rFonts w:ascii="Book Antiqua" w:hAnsi="Book Antiqua"/>
          <w:b/>
        </w:rPr>
        <w:t>58</w:t>
      </w:r>
      <w:r w:rsidRPr="00CD3D64">
        <w:rPr>
          <w:rFonts w:ascii="Book Antiqua" w:hAnsi="Book Antiqua"/>
        </w:rPr>
        <w:t>: 477-485 [PMID: 30333396 DOI: 10.2169/internalmedicine.1194-18]</w:t>
      </w:r>
    </w:p>
    <w:p w:rsidR="00C107CE" w:rsidRPr="00CD3D64" w:rsidRDefault="00C107CE" w:rsidP="00CD3D64">
      <w:pPr>
        <w:adjustRightInd w:val="0"/>
        <w:snapToGrid w:val="0"/>
        <w:spacing w:line="360" w:lineRule="auto"/>
        <w:rPr>
          <w:rFonts w:ascii="Book Antiqua" w:hAnsi="Book Antiqua"/>
        </w:rPr>
      </w:pPr>
      <w:r w:rsidRPr="00CD3D64">
        <w:rPr>
          <w:rFonts w:ascii="Book Antiqua" w:hAnsi="Book Antiqua"/>
        </w:rPr>
        <w:t xml:space="preserve">14 </w:t>
      </w:r>
      <w:proofErr w:type="spellStart"/>
      <w:r w:rsidRPr="00CD3D64">
        <w:rPr>
          <w:rFonts w:ascii="Book Antiqua" w:hAnsi="Book Antiqua"/>
          <w:b/>
        </w:rPr>
        <w:t>Welzel</w:t>
      </w:r>
      <w:proofErr w:type="spellEnd"/>
      <w:r w:rsidRPr="00CD3D64">
        <w:rPr>
          <w:rFonts w:ascii="Book Antiqua" w:hAnsi="Book Antiqua"/>
          <w:b/>
        </w:rPr>
        <w:t xml:space="preserve"> TM</w:t>
      </w:r>
      <w:r w:rsidRPr="00CD3D64">
        <w:rPr>
          <w:rFonts w:ascii="Book Antiqua" w:hAnsi="Book Antiqua"/>
        </w:rPr>
        <w:t xml:space="preserve">, Nelson DR, </w:t>
      </w:r>
      <w:proofErr w:type="spellStart"/>
      <w:r w:rsidRPr="00CD3D64">
        <w:rPr>
          <w:rFonts w:ascii="Book Antiqua" w:hAnsi="Book Antiqua"/>
        </w:rPr>
        <w:t>Morelli</w:t>
      </w:r>
      <w:proofErr w:type="spellEnd"/>
      <w:r w:rsidRPr="00CD3D64">
        <w:rPr>
          <w:rFonts w:ascii="Book Antiqua" w:hAnsi="Book Antiqua"/>
        </w:rPr>
        <w:t xml:space="preserve"> G, Di </w:t>
      </w:r>
      <w:proofErr w:type="spellStart"/>
      <w:r w:rsidRPr="00CD3D64">
        <w:rPr>
          <w:rFonts w:ascii="Book Antiqua" w:hAnsi="Book Antiqua"/>
        </w:rPr>
        <w:t>Bisceglie</w:t>
      </w:r>
      <w:proofErr w:type="spellEnd"/>
      <w:r w:rsidRPr="00CD3D64">
        <w:rPr>
          <w:rFonts w:ascii="Book Antiqua" w:hAnsi="Book Antiqua"/>
        </w:rPr>
        <w:t xml:space="preserve"> A, Reddy RK, </w:t>
      </w:r>
      <w:proofErr w:type="spellStart"/>
      <w:r w:rsidRPr="00CD3D64">
        <w:rPr>
          <w:rFonts w:ascii="Book Antiqua" w:hAnsi="Book Antiqua"/>
        </w:rPr>
        <w:t>Kuo</w:t>
      </w:r>
      <w:proofErr w:type="spellEnd"/>
      <w:r w:rsidRPr="00CD3D64">
        <w:rPr>
          <w:rFonts w:ascii="Book Antiqua" w:hAnsi="Book Antiqua"/>
        </w:rPr>
        <w:t xml:space="preserve"> A, Lim JK, Darling J, </w:t>
      </w:r>
      <w:proofErr w:type="spellStart"/>
      <w:r w:rsidRPr="00CD3D64">
        <w:rPr>
          <w:rFonts w:ascii="Book Antiqua" w:hAnsi="Book Antiqua"/>
        </w:rPr>
        <w:t>Pockros</w:t>
      </w:r>
      <w:proofErr w:type="spellEnd"/>
      <w:r w:rsidRPr="00CD3D64">
        <w:rPr>
          <w:rFonts w:ascii="Book Antiqua" w:hAnsi="Book Antiqua"/>
        </w:rPr>
        <w:t xml:space="preserve"> P, Galati JS, Frazier LM, </w:t>
      </w:r>
      <w:proofErr w:type="spellStart"/>
      <w:r w:rsidRPr="00CD3D64">
        <w:rPr>
          <w:rFonts w:ascii="Book Antiqua" w:hAnsi="Book Antiqua"/>
        </w:rPr>
        <w:t>Alqahtani</w:t>
      </w:r>
      <w:proofErr w:type="spellEnd"/>
      <w:r w:rsidRPr="00CD3D64">
        <w:rPr>
          <w:rFonts w:ascii="Book Antiqua" w:hAnsi="Book Antiqua"/>
        </w:rPr>
        <w:t xml:space="preserve"> S, </w:t>
      </w:r>
      <w:proofErr w:type="spellStart"/>
      <w:r w:rsidRPr="00CD3D64">
        <w:rPr>
          <w:rFonts w:ascii="Book Antiqua" w:hAnsi="Book Antiqua"/>
        </w:rPr>
        <w:t>Sulkowski</w:t>
      </w:r>
      <w:proofErr w:type="spellEnd"/>
      <w:r w:rsidRPr="00CD3D64">
        <w:rPr>
          <w:rFonts w:ascii="Book Antiqua" w:hAnsi="Book Antiqua"/>
        </w:rPr>
        <w:t xml:space="preserve"> MS, </w:t>
      </w:r>
      <w:proofErr w:type="spellStart"/>
      <w:r w:rsidRPr="00CD3D64">
        <w:rPr>
          <w:rFonts w:ascii="Book Antiqua" w:hAnsi="Book Antiqua"/>
        </w:rPr>
        <w:t>Vainorius</w:t>
      </w:r>
      <w:proofErr w:type="spellEnd"/>
      <w:r w:rsidRPr="00CD3D64">
        <w:rPr>
          <w:rFonts w:ascii="Book Antiqua" w:hAnsi="Book Antiqua"/>
        </w:rPr>
        <w:t xml:space="preserve"> M, </w:t>
      </w:r>
      <w:proofErr w:type="spellStart"/>
      <w:r w:rsidRPr="00CD3D64">
        <w:rPr>
          <w:rFonts w:ascii="Book Antiqua" w:hAnsi="Book Antiqua"/>
        </w:rPr>
        <w:lastRenderedPageBreak/>
        <w:t>Akushevich</w:t>
      </w:r>
      <w:proofErr w:type="spellEnd"/>
      <w:r w:rsidRPr="00CD3D64">
        <w:rPr>
          <w:rFonts w:ascii="Book Antiqua" w:hAnsi="Book Antiqua"/>
        </w:rPr>
        <w:t xml:space="preserve"> L, Fried MW, </w:t>
      </w:r>
      <w:proofErr w:type="spellStart"/>
      <w:r w:rsidRPr="00CD3D64">
        <w:rPr>
          <w:rFonts w:ascii="Book Antiqua" w:hAnsi="Book Antiqua"/>
        </w:rPr>
        <w:t>Zeuzem</w:t>
      </w:r>
      <w:proofErr w:type="spellEnd"/>
      <w:r w:rsidRPr="00CD3D64">
        <w:rPr>
          <w:rFonts w:ascii="Book Antiqua" w:hAnsi="Book Antiqua"/>
        </w:rPr>
        <w:t xml:space="preserve"> S; HCV-TARGET Study Group. Effectiveness and safety of </w:t>
      </w:r>
      <w:proofErr w:type="spellStart"/>
      <w:r w:rsidRPr="00CD3D64">
        <w:rPr>
          <w:rFonts w:ascii="Book Antiqua" w:hAnsi="Book Antiqua"/>
        </w:rPr>
        <w:t>sofosbuvir</w:t>
      </w:r>
      <w:proofErr w:type="spellEnd"/>
      <w:r w:rsidRPr="00CD3D64">
        <w:rPr>
          <w:rFonts w:ascii="Book Antiqua" w:hAnsi="Book Antiqua"/>
        </w:rPr>
        <w:t xml:space="preserve"> plus ribavirin for the treatment of HCV genotype 2 infection: results of the </w:t>
      </w:r>
      <w:proofErr w:type="gramStart"/>
      <w:r w:rsidRPr="00CD3D64">
        <w:rPr>
          <w:rFonts w:ascii="Book Antiqua" w:hAnsi="Book Antiqua"/>
        </w:rPr>
        <w:t>real-world</w:t>
      </w:r>
      <w:proofErr w:type="gramEnd"/>
      <w:r w:rsidRPr="00CD3D64">
        <w:rPr>
          <w:rFonts w:ascii="Book Antiqua" w:hAnsi="Book Antiqua"/>
        </w:rPr>
        <w:t xml:space="preserve">, clinical practice HCV-TARGET study. </w:t>
      </w:r>
      <w:r w:rsidRPr="00CD3D64">
        <w:rPr>
          <w:rFonts w:ascii="Book Antiqua" w:hAnsi="Book Antiqua"/>
          <w:i/>
        </w:rPr>
        <w:t>Gut</w:t>
      </w:r>
      <w:r w:rsidRPr="00CD3D64">
        <w:rPr>
          <w:rFonts w:ascii="Book Antiqua" w:hAnsi="Book Antiqua"/>
        </w:rPr>
        <w:t xml:space="preserve"> 2017; </w:t>
      </w:r>
      <w:r w:rsidRPr="00CD3D64">
        <w:rPr>
          <w:rFonts w:ascii="Book Antiqua" w:hAnsi="Book Antiqua"/>
          <w:b/>
        </w:rPr>
        <w:t>66</w:t>
      </w:r>
      <w:r w:rsidRPr="00CD3D64">
        <w:rPr>
          <w:rFonts w:ascii="Book Antiqua" w:hAnsi="Book Antiqua"/>
        </w:rPr>
        <w:t>: 1844-1852 [PMID: 27418632 DOI: 10.1136/gutjnl-2016-311609]</w:t>
      </w:r>
    </w:p>
    <w:p w:rsidR="00C107CE" w:rsidRPr="00CD3D64" w:rsidRDefault="00C107CE" w:rsidP="00CD3D64">
      <w:pPr>
        <w:adjustRightInd w:val="0"/>
        <w:snapToGrid w:val="0"/>
        <w:spacing w:line="360" w:lineRule="auto"/>
        <w:rPr>
          <w:rFonts w:ascii="Book Antiqua" w:hAnsi="Book Antiqua"/>
        </w:rPr>
      </w:pPr>
      <w:proofErr w:type="gramStart"/>
      <w:r w:rsidRPr="00CD3D64">
        <w:rPr>
          <w:rFonts w:ascii="Book Antiqua" w:hAnsi="Book Antiqua"/>
        </w:rPr>
        <w:t xml:space="preserve">15 </w:t>
      </w:r>
      <w:proofErr w:type="spellStart"/>
      <w:r w:rsidRPr="00CD3D64">
        <w:rPr>
          <w:rFonts w:ascii="Book Antiqua" w:hAnsi="Book Antiqua"/>
          <w:b/>
        </w:rPr>
        <w:t>Akahane</w:t>
      </w:r>
      <w:proofErr w:type="spellEnd"/>
      <w:r w:rsidRPr="00CD3D64">
        <w:rPr>
          <w:rFonts w:ascii="Book Antiqua" w:hAnsi="Book Antiqua"/>
          <w:b/>
        </w:rPr>
        <w:t xml:space="preserve"> T</w:t>
      </w:r>
      <w:r w:rsidRPr="00CD3D64">
        <w:rPr>
          <w:rFonts w:ascii="Book Antiqua" w:hAnsi="Book Antiqua"/>
        </w:rPr>
        <w:t xml:space="preserve">, Kurosaki M, </w:t>
      </w:r>
      <w:proofErr w:type="spellStart"/>
      <w:r w:rsidRPr="00CD3D64">
        <w:rPr>
          <w:rFonts w:ascii="Book Antiqua" w:hAnsi="Book Antiqua"/>
        </w:rPr>
        <w:t>Itakura</w:t>
      </w:r>
      <w:proofErr w:type="spellEnd"/>
      <w:r w:rsidRPr="00CD3D64">
        <w:rPr>
          <w:rFonts w:ascii="Book Antiqua" w:hAnsi="Book Antiqua"/>
        </w:rPr>
        <w:t xml:space="preserve"> J, Tsuji K, </w:t>
      </w:r>
      <w:proofErr w:type="spellStart"/>
      <w:r w:rsidRPr="00CD3D64">
        <w:rPr>
          <w:rFonts w:ascii="Book Antiqua" w:hAnsi="Book Antiqua"/>
        </w:rPr>
        <w:t>Joko</w:t>
      </w:r>
      <w:proofErr w:type="spellEnd"/>
      <w:r w:rsidRPr="00CD3D64">
        <w:rPr>
          <w:rFonts w:ascii="Book Antiqua" w:hAnsi="Book Antiqua"/>
        </w:rPr>
        <w:t xml:space="preserve"> K, Kimura H, </w:t>
      </w:r>
      <w:proofErr w:type="spellStart"/>
      <w:r w:rsidRPr="00CD3D64">
        <w:rPr>
          <w:rFonts w:ascii="Book Antiqua" w:hAnsi="Book Antiqua"/>
        </w:rPr>
        <w:t>Nasu</w:t>
      </w:r>
      <w:proofErr w:type="spellEnd"/>
      <w:r w:rsidRPr="00CD3D64">
        <w:rPr>
          <w:rFonts w:ascii="Book Antiqua" w:hAnsi="Book Antiqua"/>
        </w:rPr>
        <w:t xml:space="preserve"> A, Ogawa C, Kojima Y, </w:t>
      </w:r>
      <w:proofErr w:type="spellStart"/>
      <w:r w:rsidRPr="00CD3D64">
        <w:rPr>
          <w:rFonts w:ascii="Book Antiqua" w:hAnsi="Book Antiqua"/>
        </w:rPr>
        <w:t>Hasebe</w:t>
      </w:r>
      <w:proofErr w:type="spellEnd"/>
      <w:r w:rsidRPr="00CD3D64">
        <w:rPr>
          <w:rFonts w:ascii="Book Antiqua" w:hAnsi="Book Antiqua"/>
        </w:rPr>
        <w:t xml:space="preserve"> C, Wada S, Uchida Y, </w:t>
      </w:r>
      <w:proofErr w:type="spellStart"/>
      <w:r w:rsidRPr="00CD3D64">
        <w:rPr>
          <w:rFonts w:ascii="Book Antiqua" w:hAnsi="Book Antiqua"/>
        </w:rPr>
        <w:t>Sohda</w:t>
      </w:r>
      <w:proofErr w:type="spellEnd"/>
      <w:r w:rsidRPr="00CD3D64">
        <w:rPr>
          <w:rFonts w:ascii="Book Antiqua" w:hAnsi="Book Antiqua"/>
        </w:rPr>
        <w:t xml:space="preserve"> T, Suzuki H, Yoshida H, </w:t>
      </w:r>
      <w:proofErr w:type="spellStart"/>
      <w:r w:rsidRPr="00CD3D64">
        <w:rPr>
          <w:rFonts w:ascii="Book Antiqua" w:hAnsi="Book Antiqua"/>
        </w:rPr>
        <w:t>Kusakabe</w:t>
      </w:r>
      <w:proofErr w:type="spellEnd"/>
      <w:r w:rsidRPr="00CD3D64">
        <w:rPr>
          <w:rFonts w:ascii="Book Antiqua" w:hAnsi="Book Antiqua"/>
        </w:rPr>
        <w:t xml:space="preserve"> A, </w:t>
      </w:r>
      <w:proofErr w:type="spellStart"/>
      <w:r w:rsidRPr="00CD3D64">
        <w:rPr>
          <w:rFonts w:ascii="Book Antiqua" w:hAnsi="Book Antiqua"/>
        </w:rPr>
        <w:t>Tamada</w:t>
      </w:r>
      <w:proofErr w:type="spellEnd"/>
      <w:r w:rsidRPr="00CD3D64">
        <w:rPr>
          <w:rFonts w:ascii="Book Antiqua" w:hAnsi="Book Antiqua"/>
        </w:rPr>
        <w:t xml:space="preserve"> T, </w:t>
      </w:r>
      <w:proofErr w:type="spellStart"/>
      <w:r w:rsidRPr="00CD3D64">
        <w:rPr>
          <w:rFonts w:ascii="Book Antiqua" w:hAnsi="Book Antiqua"/>
        </w:rPr>
        <w:t>Kobashi</w:t>
      </w:r>
      <w:proofErr w:type="spellEnd"/>
      <w:r w:rsidRPr="00CD3D64">
        <w:rPr>
          <w:rFonts w:ascii="Book Antiqua" w:hAnsi="Book Antiqua"/>
        </w:rPr>
        <w:t xml:space="preserve"> H, </w:t>
      </w:r>
      <w:proofErr w:type="spellStart"/>
      <w:r w:rsidRPr="00CD3D64">
        <w:rPr>
          <w:rFonts w:ascii="Book Antiqua" w:hAnsi="Book Antiqua"/>
        </w:rPr>
        <w:t>Mitsuda</w:t>
      </w:r>
      <w:proofErr w:type="spellEnd"/>
      <w:r w:rsidRPr="00CD3D64">
        <w:rPr>
          <w:rFonts w:ascii="Book Antiqua" w:hAnsi="Book Antiqua"/>
        </w:rPr>
        <w:t xml:space="preserve"> A, Kondo M, </w:t>
      </w:r>
      <w:proofErr w:type="spellStart"/>
      <w:r w:rsidRPr="00CD3D64">
        <w:rPr>
          <w:rFonts w:ascii="Book Antiqua" w:hAnsi="Book Antiqua"/>
        </w:rPr>
        <w:t>Shigeno</w:t>
      </w:r>
      <w:proofErr w:type="spellEnd"/>
      <w:r w:rsidRPr="00CD3D64">
        <w:rPr>
          <w:rFonts w:ascii="Book Antiqua" w:hAnsi="Book Antiqua"/>
        </w:rPr>
        <w:t xml:space="preserve"> M, Ide Y, Morita A, Kitamura T, Abe T, Izumi N. Real-world efficacy and safety of </w:t>
      </w:r>
      <w:proofErr w:type="spellStart"/>
      <w:r w:rsidRPr="00CD3D64">
        <w:rPr>
          <w:rFonts w:ascii="Book Antiqua" w:hAnsi="Book Antiqua"/>
        </w:rPr>
        <w:t>sofosbuvir</w:t>
      </w:r>
      <w:proofErr w:type="spellEnd"/>
      <w:r w:rsidRPr="00CD3D64">
        <w:rPr>
          <w:rFonts w:ascii="Book Antiqua" w:hAnsi="Book Antiqua"/>
        </w:rPr>
        <w:t xml:space="preserve"> + ribavirin for hepatitis C genotype 2: A nationwide multicenter study by the Japanese Red Cross Liver Study Group.</w:t>
      </w:r>
      <w:proofErr w:type="gramEnd"/>
      <w:r w:rsidRPr="00CD3D64">
        <w:rPr>
          <w:rFonts w:ascii="Book Antiqua" w:hAnsi="Book Antiqua"/>
        </w:rPr>
        <w:t xml:space="preserve"> </w:t>
      </w:r>
      <w:proofErr w:type="spellStart"/>
      <w:r w:rsidRPr="00CD3D64">
        <w:rPr>
          <w:rFonts w:ascii="Book Antiqua" w:hAnsi="Book Antiqua"/>
          <w:i/>
        </w:rPr>
        <w:t>Hepatol</w:t>
      </w:r>
      <w:proofErr w:type="spellEnd"/>
      <w:r w:rsidRPr="00CD3D64">
        <w:rPr>
          <w:rFonts w:ascii="Book Antiqua" w:hAnsi="Book Antiqua"/>
          <w:i/>
        </w:rPr>
        <w:t xml:space="preserve"> Res</w:t>
      </w:r>
      <w:r w:rsidRPr="00CD3D64">
        <w:rPr>
          <w:rFonts w:ascii="Book Antiqua" w:hAnsi="Book Antiqua"/>
        </w:rPr>
        <w:t xml:space="preserve"> 2019; </w:t>
      </w:r>
      <w:r w:rsidRPr="00CD3D64">
        <w:rPr>
          <w:rFonts w:ascii="Book Antiqua" w:hAnsi="Book Antiqua"/>
          <w:b/>
        </w:rPr>
        <w:t>49</w:t>
      </w:r>
      <w:r w:rsidRPr="00CD3D64">
        <w:rPr>
          <w:rFonts w:ascii="Book Antiqua" w:hAnsi="Book Antiqua"/>
        </w:rPr>
        <w:t>: 264-270 [PMID: 30171740 DOI: 10.1111/hepr.13246]</w:t>
      </w:r>
    </w:p>
    <w:p w:rsidR="00C107CE" w:rsidRPr="00CD3D64" w:rsidRDefault="00C107CE" w:rsidP="00CD3D64">
      <w:pPr>
        <w:adjustRightInd w:val="0"/>
        <w:snapToGrid w:val="0"/>
        <w:spacing w:line="360" w:lineRule="auto"/>
        <w:rPr>
          <w:rFonts w:ascii="Book Antiqua" w:hAnsi="Book Antiqua"/>
        </w:rPr>
      </w:pPr>
      <w:r w:rsidRPr="00CD3D64">
        <w:rPr>
          <w:rFonts w:ascii="Book Antiqua" w:hAnsi="Book Antiqua"/>
        </w:rPr>
        <w:t xml:space="preserve">16 </w:t>
      </w:r>
      <w:proofErr w:type="spellStart"/>
      <w:r w:rsidRPr="00CD3D64">
        <w:rPr>
          <w:rFonts w:ascii="Book Antiqua" w:hAnsi="Book Antiqua"/>
          <w:b/>
        </w:rPr>
        <w:t>Sho</w:t>
      </w:r>
      <w:proofErr w:type="spellEnd"/>
      <w:r w:rsidRPr="00CD3D64">
        <w:rPr>
          <w:rFonts w:ascii="Book Antiqua" w:hAnsi="Book Antiqua"/>
          <w:b/>
        </w:rPr>
        <w:t xml:space="preserve"> T</w:t>
      </w:r>
      <w:r w:rsidRPr="00CD3D64">
        <w:rPr>
          <w:rFonts w:ascii="Book Antiqua" w:hAnsi="Book Antiqua"/>
        </w:rPr>
        <w:t xml:space="preserve">, </w:t>
      </w:r>
      <w:proofErr w:type="spellStart"/>
      <w:r w:rsidRPr="00CD3D64">
        <w:rPr>
          <w:rFonts w:ascii="Book Antiqua" w:hAnsi="Book Antiqua"/>
        </w:rPr>
        <w:t>Suda</w:t>
      </w:r>
      <w:proofErr w:type="spellEnd"/>
      <w:r w:rsidRPr="00CD3D64">
        <w:rPr>
          <w:rFonts w:ascii="Book Antiqua" w:hAnsi="Book Antiqua"/>
        </w:rPr>
        <w:t xml:space="preserve"> G, </w:t>
      </w:r>
      <w:proofErr w:type="spellStart"/>
      <w:r w:rsidRPr="00CD3D64">
        <w:rPr>
          <w:rFonts w:ascii="Book Antiqua" w:hAnsi="Book Antiqua"/>
        </w:rPr>
        <w:t>Nagasaka</w:t>
      </w:r>
      <w:proofErr w:type="spellEnd"/>
      <w:r w:rsidRPr="00CD3D64">
        <w:rPr>
          <w:rFonts w:ascii="Book Antiqua" w:hAnsi="Book Antiqua"/>
        </w:rPr>
        <w:t xml:space="preserve"> A, Yamamoto Y, </w:t>
      </w:r>
      <w:proofErr w:type="spellStart"/>
      <w:r w:rsidRPr="00CD3D64">
        <w:rPr>
          <w:rFonts w:ascii="Book Antiqua" w:hAnsi="Book Antiqua"/>
        </w:rPr>
        <w:t>Furuya</w:t>
      </w:r>
      <w:proofErr w:type="spellEnd"/>
      <w:r w:rsidRPr="00CD3D64">
        <w:rPr>
          <w:rFonts w:ascii="Book Antiqua" w:hAnsi="Book Antiqua"/>
        </w:rPr>
        <w:t xml:space="preserve"> K, </w:t>
      </w:r>
      <w:proofErr w:type="spellStart"/>
      <w:r w:rsidRPr="00CD3D64">
        <w:rPr>
          <w:rFonts w:ascii="Book Antiqua" w:hAnsi="Book Antiqua"/>
        </w:rPr>
        <w:t>Kumagai</w:t>
      </w:r>
      <w:proofErr w:type="spellEnd"/>
      <w:r w:rsidRPr="00CD3D64">
        <w:rPr>
          <w:rFonts w:ascii="Book Antiqua" w:hAnsi="Book Antiqua"/>
        </w:rPr>
        <w:t xml:space="preserve"> K, </w:t>
      </w:r>
      <w:proofErr w:type="spellStart"/>
      <w:r w:rsidRPr="00CD3D64">
        <w:rPr>
          <w:rFonts w:ascii="Book Antiqua" w:hAnsi="Book Antiqua"/>
        </w:rPr>
        <w:t>Uebayashi</w:t>
      </w:r>
      <w:proofErr w:type="spellEnd"/>
      <w:r w:rsidRPr="00CD3D64">
        <w:rPr>
          <w:rFonts w:ascii="Book Antiqua" w:hAnsi="Book Antiqua"/>
        </w:rPr>
        <w:t xml:space="preserve"> M, </w:t>
      </w:r>
      <w:proofErr w:type="spellStart"/>
      <w:r w:rsidRPr="00CD3D64">
        <w:rPr>
          <w:rFonts w:ascii="Book Antiqua" w:hAnsi="Book Antiqua"/>
        </w:rPr>
        <w:t>Terashita</w:t>
      </w:r>
      <w:proofErr w:type="spellEnd"/>
      <w:r w:rsidRPr="00CD3D64">
        <w:rPr>
          <w:rFonts w:ascii="Book Antiqua" w:hAnsi="Book Antiqua"/>
        </w:rPr>
        <w:t xml:space="preserve"> K, Kobayashi T, </w:t>
      </w:r>
      <w:proofErr w:type="spellStart"/>
      <w:r w:rsidRPr="00CD3D64">
        <w:rPr>
          <w:rFonts w:ascii="Book Antiqua" w:hAnsi="Book Antiqua"/>
        </w:rPr>
        <w:t>Tsunematsu</w:t>
      </w:r>
      <w:proofErr w:type="spellEnd"/>
      <w:r w:rsidRPr="00CD3D64">
        <w:rPr>
          <w:rFonts w:ascii="Book Antiqua" w:hAnsi="Book Antiqua"/>
        </w:rPr>
        <w:t xml:space="preserve"> I, Onodera M, Meguro T, Kimura M, Ito J, </w:t>
      </w:r>
      <w:proofErr w:type="spellStart"/>
      <w:r w:rsidRPr="00CD3D64">
        <w:rPr>
          <w:rFonts w:ascii="Book Antiqua" w:hAnsi="Book Antiqua"/>
        </w:rPr>
        <w:t>Umemura</w:t>
      </w:r>
      <w:proofErr w:type="spellEnd"/>
      <w:r w:rsidRPr="00CD3D64">
        <w:rPr>
          <w:rFonts w:ascii="Book Antiqua" w:hAnsi="Book Antiqua"/>
        </w:rPr>
        <w:t xml:space="preserve"> M, Izumi T, </w:t>
      </w:r>
      <w:proofErr w:type="spellStart"/>
      <w:r w:rsidRPr="00CD3D64">
        <w:rPr>
          <w:rFonts w:ascii="Book Antiqua" w:hAnsi="Book Antiqua"/>
        </w:rPr>
        <w:t>Kawagishi</w:t>
      </w:r>
      <w:proofErr w:type="spellEnd"/>
      <w:r w:rsidRPr="00CD3D64">
        <w:rPr>
          <w:rFonts w:ascii="Book Antiqua" w:hAnsi="Book Antiqua"/>
        </w:rPr>
        <w:t xml:space="preserve"> N, </w:t>
      </w:r>
      <w:proofErr w:type="spellStart"/>
      <w:r w:rsidRPr="00CD3D64">
        <w:rPr>
          <w:rFonts w:ascii="Book Antiqua" w:hAnsi="Book Antiqua"/>
        </w:rPr>
        <w:t>Ohara</w:t>
      </w:r>
      <w:proofErr w:type="spellEnd"/>
      <w:r w:rsidRPr="00CD3D64">
        <w:rPr>
          <w:rFonts w:ascii="Book Antiqua" w:hAnsi="Book Antiqua"/>
        </w:rPr>
        <w:t xml:space="preserve"> M, Ono Y, </w:t>
      </w:r>
      <w:proofErr w:type="spellStart"/>
      <w:r w:rsidRPr="00CD3D64">
        <w:rPr>
          <w:rFonts w:ascii="Book Antiqua" w:hAnsi="Book Antiqua"/>
        </w:rPr>
        <w:t>Nakai</w:t>
      </w:r>
      <w:proofErr w:type="spellEnd"/>
      <w:r w:rsidRPr="00CD3D64">
        <w:rPr>
          <w:rFonts w:ascii="Book Antiqua" w:hAnsi="Book Antiqua"/>
        </w:rPr>
        <w:t xml:space="preserve"> M, </w:t>
      </w:r>
      <w:proofErr w:type="spellStart"/>
      <w:r w:rsidRPr="00CD3D64">
        <w:rPr>
          <w:rFonts w:ascii="Book Antiqua" w:hAnsi="Book Antiqua"/>
        </w:rPr>
        <w:t>Natsuizaka</w:t>
      </w:r>
      <w:proofErr w:type="spellEnd"/>
      <w:r w:rsidRPr="00CD3D64">
        <w:rPr>
          <w:rFonts w:ascii="Book Antiqua" w:hAnsi="Book Antiqua"/>
        </w:rPr>
        <w:t xml:space="preserve"> M, </w:t>
      </w:r>
      <w:proofErr w:type="spellStart"/>
      <w:r w:rsidRPr="00CD3D64">
        <w:rPr>
          <w:rFonts w:ascii="Book Antiqua" w:hAnsi="Book Antiqua"/>
        </w:rPr>
        <w:t>Morikawa</w:t>
      </w:r>
      <w:proofErr w:type="spellEnd"/>
      <w:r w:rsidRPr="00CD3D64">
        <w:rPr>
          <w:rFonts w:ascii="Book Antiqua" w:hAnsi="Book Antiqua"/>
        </w:rPr>
        <w:t xml:space="preserve"> K, Ogawa K, Sakamoto N; NORTE Study Group. </w:t>
      </w:r>
      <w:proofErr w:type="gramStart"/>
      <w:r w:rsidRPr="00CD3D64">
        <w:rPr>
          <w:rFonts w:ascii="Book Antiqua" w:hAnsi="Book Antiqua"/>
        </w:rPr>
        <w:t xml:space="preserve">Safety and efficacy of </w:t>
      </w:r>
      <w:proofErr w:type="spellStart"/>
      <w:r w:rsidRPr="00CD3D64">
        <w:rPr>
          <w:rFonts w:ascii="Book Antiqua" w:hAnsi="Book Antiqua"/>
        </w:rPr>
        <w:t>sofosbuvir</w:t>
      </w:r>
      <w:proofErr w:type="spellEnd"/>
      <w:r w:rsidRPr="00CD3D64">
        <w:rPr>
          <w:rFonts w:ascii="Book Antiqua" w:hAnsi="Book Antiqua"/>
        </w:rPr>
        <w:t xml:space="preserve"> and ribavirin for genotype 2 hepatitis C Japanese patients with renal dysfunction.</w:t>
      </w:r>
      <w:proofErr w:type="gramEnd"/>
      <w:r w:rsidRPr="00CD3D64">
        <w:rPr>
          <w:rFonts w:ascii="Book Antiqua" w:hAnsi="Book Antiqua"/>
        </w:rPr>
        <w:t xml:space="preserve"> </w:t>
      </w:r>
      <w:proofErr w:type="spellStart"/>
      <w:r w:rsidRPr="00CD3D64">
        <w:rPr>
          <w:rFonts w:ascii="Book Antiqua" w:hAnsi="Book Antiqua"/>
          <w:i/>
        </w:rPr>
        <w:t>Hepatol</w:t>
      </w:r>
      <w:proofErr w:type="spellEnd"/>
      <w:r w:rsidRPr="00CD3D64">
        <w:rPr>
          <w:rFonts w:ascii="Book Antiqua" w:hAnsi="Book Antiqua"/>
          <w:i/>
        </w:rPr>
        <w:t xml:space="preserve"> Res</w:t>
      </w:r>
      <w:r w:rsidRPr="00CD3D64">
        <w:rPr>
          <w:rFonts w:ascii="Book Antiqua" w:hAnsi="Book Antiqua"/>
        </w:rPr>
        <w:t xml:space="preserve"> 2018; </w:t>
      </w:r>
      <w:r w:rsidRPr="00CD3D64">
        <w:rPr>
          <w:rFonts w:ascii="Book Antiqua" w:hAnsi="Book Antiqua"/>
          <w:b/>
        </w:rPr>
        <w:t>48</w:t>
      </w:r>
      <w:r w:rsidRPr="00CD3D64">
        <w:rPr>
          <w:rFonts w:ascii="Book Antiqua" w:hAnsi="Book Antiqua"/>
        </w:rPr>
        <w:t>: 529-538 [PMID: 29316051 DOI: 10.1111/hepr.13056]</w:t>
      </w:r>
    </w:p>
    <w:p w:rsidR="00C107CE" w:rsidRPr="00CD3D64" w:rsidRDefault="00C107CE" w:rsidP="00CD3D64">
      <w:pPr>
        <w:adjustRightInd w:val="0"/>
        <w:snapToGrid w:val="0"/>
        <w:spacing w:line="360" w:lineRule="auto"/>
        <w:rPr>
          <w:rFonts w:ascii="Book Antiqua" w:hAnsi="Book Antiqua"/>
        </w:rPr>
      </w:pPr>
      <w:r w:rsidRPr="00CD3D64">
        <w:rPr>
          <w:rFonts w:ascii="Book Antiqua" w:hAnsi="Book Antiqua"/>
        </w:rPr>
        <w:t xml:space="preserve">17 </w:t>
      </w:r>
      <w:r w:rsidRPr="00CD3D64">
        <w:rPr>
          <w:rFonts w:ascii="Book Antiqua" w:hAnsi="Book Antiqua"/>
          <w:b/>
        </w:rPr>
        <w:t>Hu KQ</w:t>
      </w:r>
      <w:r w:rsidRPr="00CD3D64">
        <w:rPr>
          <w:rFonts w:ascii="Book Antiqua" w:hAnsi="Book Antiqua"/>
        </w:rPr>
        <w:t xml:space="preserve">, </w:t>
      </w:r>
      <w:proofErr w:type="spellStart"/>
      <w:r w:rsidRPr="00CD3D64">
        <w:rPr>
          <w:rFonts w:ascii="Book Antiqua" w:hAnsi="Book Antiqua"/>
        </w:rPr>
        <w:t>Kyulo</w:t>
      </w:r>
      <w:proofErr w:type="spellEnd"/>
      <w:r w:rsidRPr="00CD3D64">
        <w:rPr>
          <w:rFonts w:ascii="Book Antiqua" w:hAnsi="Book Antiqua"/>
        </w:rPr>
        <w:t xml:space="preserve"> NL, Lim N, </w:t>
      </w:r>
      <w:proofErr w:type="spellStart"/>
      <w:r w:rsidRPr="00CD3D64">
        <w:rPr>
          <w:rFonts w:ascii="Book Antiqua" w:hAnsi="Book Antiqua"/>
        </w:rPr>
        <w:t>Elhazin</w:t>
      </w:r>
      <w:proofErr w:type="spellEnd"/>
      <w:r w:rsidRPr="00CD3D64">
        <w:rPr>
          <w:rFonts w:ascii="Book Antiqua" w:hAnsi="Book Antiqua"/>
        </w:rPr>
        <w:t xml:space="preserve"> B, </w:t>
      </w:r>
      <w:proofErr w:type="spellStart"/>
      <w:r w:rsidRPr="00CD3D64">
        <w:rPr>
          <w:rFonts w:ascii="Book Antiqua" w:hAnsi="Book Antiqua"/>
        </w:rPr>
        <w:t>Hillebrand</w:t>
      </w:r>
      <w:proofErr w:type="spellEnd"/>
      <w:r w:rsidRPr="00CD3D64">
        <w:rPr>
          <w:rFonts w:ascii="Book Antiqua" w:hAnsi="Book Antiqua"/>
        </w:rPr>
        <w:t xml:space="preserve"> DJ, Bock T. Clinical significance of elevated alpha-fetoprotein (AFP) in patients with chronic hepatitis C, but not hepatocellular carcinoma. </w:t>
      </w:r>
      <w:r w:rsidRPr="00CD3D64">
        <w:rPr>
          <w:rFonts w:ascii="Book Antiqua" w:hAnsi="Book Antiqua"/>
          <w:i/>
        </w:rPr>
        <w:t xml:space="preserve">Am J </w:t>
      </w:r>
      <w:proofErr w:type="spellStart"/>
      <w:r w:rsidRPr="00CD3D64">
        <w:rPr>
          <w:rFonts w:ascii="Book Antiqua" w:hAnsi="Book Antiqua"/>
          <w:i/>
        </w:rPr>
        <w:t>Gastroenterol</w:t>
      </w:r>
      <w:proofErr w:type="spellEnd"/>
      <w:r w:rsidRPr="00CD3D64">
        <w:rPr>
          <w:rFonts w:ascii="Book Antiqua" w:hAnsi="Book Antiqua"/>
        </w:rPr>
        <w:t xml:space="preserve"> 2004</w:t>
      </w:r>
      <w:proofErr w:type="gramStart"/>
      <w:r w:rsidRPr="00CD3D64">
        <w:rPr>
          <w:rFonts w:ascii="Book Antiqua" w:hAnsi="Book Antiqua"/>
        </w:rPr>
        <w:t>;</w:t>
      </w:r>
      <w:proofErr w:type="gramEnd"/>
      <w:r w:rsidRPr="00CD3D64">
        <w:rPr>
          <w:rFonts w:ascii="Book Antiqua" w:hAnsi="Book Antiqua"/>
        </w:rPr>
        <w:t xml:space="preserve"> </w:t>
      </w:r>
      <w:r w:rsidRPr="00CD3D64">
        <w:rPr>
          <w:rFonts w:ascii="Book Antiqua" w:hAnsi="Book Antiqua"/>
          <w:b/>
        </w:rPr>
        <w:t>99</w:t>
      </w:r>
      <w:r w:rsidRPr="00CD3D64">
        <w:rPr>
          <w:rFonts w:ascii="Book Antiqua" w:hAnsi="Book Antiqua"/>
        </w:rPr>
        <w:t>: 860-865 [PMID: 15128351 DOI: 10.1111/j.1572-0241.2004.04152.x]</w:t>
      </w:r>
    </w:p>
    <w:p w:rsidR="00C107CE" w:rsidRPr="00CD3D64" w:rsidRDefault="00C107CE" w:rsidP="00CD3D64">
      <w:pPr>
        <w:adjustRightInd w:val="0"/>
        <w:snapToGrid w:val="0"/>
        <w:spacing w:line="360" w:lineRule="auto"/>
        <w:rPr>
          <w:rFonts w:ascii="Book Antiqua" w:hAnsi="Book Antiqua"/>
        </w:rPr>
      </w:pPr>
      <w:r w:rsidRPr="00CD3D64">
        <w:rPr>
          <w:rFonts w:ascii="Book Antiqua" w:hAnsi="Book Antiqua"/>
        </w:rPr>
        <w:t xml:space="preserve">18 </w:t>
      </w:r>
      <w:proofErr w:type="spellStart"/>
      <w:r w:rsidRPr="00CD3D64">
        <w:rPr>
          <w:rFonts w:ascii="Book Antiqua" w:hAnsi="Book Antiqua"/>
          <w:b/>
        </w:rPr>
        <w:t>Kumada</w:t>
      </w:r>
      <w:proofErr w:type="spellEnd"/>
      <w:r w:rsidRPr="00CD3D64">
        <w:rPr>
          <w:rFonts w:ascii="Book Antiqua" w:hAnsi="Book Antiqua"/>
          <w:b/>
        </w:rPr>
        <w:t xml:space="preserve"> T</w:t>
      </w:r>
      <w:r w:rsidRPr="00CD3D64">
        <w:rPr>
          <w:rFonts w:ascii="Book Antiqua" w:hAnsi="Book Antiqua"/>
        </w:rPr>
        <w:t xml:space="preserve">, Toyoda H, </w:t>
      </w:r>
      <w:proofErr w:type="spellStart"/>
      <w:r w:rsidRPr="00CD3D64">
        <w:rPr>
          <w:rFonts w:ascii="Book Antiqua" w:hAnsi="Book Antiqua"/>
        </w:rPr>
        <w:t>Kiriyama</w:t>
      </w:r>
      <w:proofErr w:type="spellEnd"/>
      <w:r w:rsidRPr="00CD3D64">
        <w:rPr>
          <w:rFonts w:ascii="Book Antiqua" w:hAnsi="Book Antiqua"/>
        </w:rPr>
        <w:t xml:space="preserve"> S, </w:t>
      </w:r>
      <w:proofErr w:type="spellStart"/>
      <w:r w:rsidRPr="00CD3D64">
        <w:rPr>
          <w:rFonts w:ascii="Book Antiqua" w:hAnsi="Book Antiqua"/>
        </w:rPr>
        <w:t>Tanikawa</w:t>
      </w:r>
      <w:proofErr w:type="spellEnd"/>
      <w:r w:rsidRPr="00CD3D64">
        <w:rPr>
          <w:rFonts w:ascii="Book Antiqua" w:hAnsi="Book Antiqua"/>
        </w:rPr>
        <w:t xml:space="preserve"> M, </w:t>
      </w:r>
      <w:proofErr w:type="spellStart"/>
      <w:r w:rsidRPr="00CD3D64">
        <w:rPr>
          <w:rFonts w:ascii="Book Antiqua" w:hAnsi="Book Antiqua"/>
        </w:rPr>
        <w:t>Hisanaga</w:t>
      </w:r>
      <w:proofErr w:type="spellEnd"/>
      <w:r w:rsidRPr="00CD3D64">
        <w:rPr>
          <w:rFonts w:ascii="Book Antiqua" w:hAnsi="Book Antiqua"/>
        </w:rPr>
        <w:t xml:space="preserve"> Y, </w:t>
      </w:r>
      <w:proofErr w:type="spellStart"/>
      <w:r w:rsidRPr="00CD3D64">
        <w:rPr>
          <w:rFonts w:ascii="Book Antiqua" w:hAnsi="Book Antiqua"/>
        </w:rPr>
        <w:t>Kanamori</w:t>
      </w:r>
      <w:proofErr w:type="spellEnd"/>
      <w:r w:rsidRPr="00CD3D64">
        <w:rPr>
          <w:rFonts w:ascii="Book Antiqua" w:hAnsi="Book Antiqua"/>
        </w:rPr>
        <w:t xml:space="preserve"> A, Tada T, Tanaka J, </w:t>
      </w:r>
      <w:proofErr w:type="spellStart"/>
      <w:r w:rsidRPr="00CD3D64">
        <w:rPr>
          <w:rFonts w:ascii="Book Antiqua" w:hAnsi="Book Antiqua"/>
        </w:rPr>
        <w:t>Yoshizawa</w:t>
      </w:r>
      <w:proofErr w:type="spellEnd"/>
      <w:r w:rsidRPr="00CD3D64">
        <w:rPr>
          <w:rFonts w:ascii="Book Antiqua" w:hAnsi="Book Antiqua"/>
        </w:rPr>
        <w:t xml:space="preserve"> H. Predictive value of tumor markers for </w:t>
      </w:r>
      <w:proofErr w:type="spellStart"/>
      <w:r w:rsidRPr="00CD3D64">
        <w:rPr>
          <w:rFonts w:ascii="Book Antiqua" w:hAnsi="Book Antiqua"/>
        </w:rPr>
        <w:t>hepatocarcinogenesis</w:t>
      </w:r>
      <w:proofErr w:type="spellEnd"/>
      <w:r w:rsidRPr="00CD3D64">
        <w:rPr>
          <w:rFonts w:ascii="Book Antiqua" w:hAnsi="Book Antiqua"/>
        </w:rPr>
        <w:t xml:space="preserve"> in patients with hepatitis C virus. </w:t>
      </w:r>
      <w:r w:rsidRPr="00CD3D64">
        <w:rPr>
          <w:rFonts w:ascii="Book Antiqua" w:hAnsi="Book Antiqua"/>
          <w:i/>
        </w:rPr>
        <w:t xml:space="preserve">J </w:t>
      </w:r>
      <w:proofErr w:type="spellStart"/>
      <w:r w:rsidRPr="00CD3D64">
        <w:rPr>
          <w:rFonts w:ascii="Book Antiqua" w:hAnsi="Book Antiqua"/>
          <w:i/>
        </w:rPr>
        <w:t>Gastroenterol</w:t>
      </w:r>
      <w:proofErr w:type="spellEnd"/>
      <w:r w:rsidRPr="00CD3D64">
        <w:rPr>
          <w:rFonts w:ascii="Book Antiqua" w:hAnsi="Book Antiqua"/>
        </w:rPr>
        <w:t xml:space="preserve"> 2011; </w:t>
      </w:r>
      <w:r w:rsidRPr="00CD3D64">
        <w:rPr>
          <w:rFonts w:ascii="Book Antiqua" w:hAnsi="Book Antiqua"/>
          <w:b/>
        </w:rPr>
        <w:t>46</w:t>
      </w:r>
      <w:r w:rsidRPr="00CD3D64">
        <w:rPr>
          <w:rFonts w:ascii="Book Antiqua" w:hAnsi="Book Antiqua"/>
        </w:rPr>
        <w:t>: 536-544 [PMID: 21132575 DOI: 10.1007/s00535-010-0349-7]</w:t>
      </w:r>
    </w:p>
    <w:p w:rsidR="00C107CE" w:rsidRPr="00CD3D64" w:rsidRDefault="00C107CE" w:rsidP="00CD3D64">
      <w:pPr>
        <w:adjustRightInd w:val="0"/>
        <w:snapToGrid w:val="0"/>
        <w:spacing w:line="360" w:lineRule="auto"/>
        <w:rPr>
          <w:rFonts w:ascii="Book Antiqua" w:hAnsi="Book Antiqua"/>
        </w:rPr>
      </w:pPr>
      <w:r w:rsidRPr="00CD3D64">
        <w:rPr>
          <w:rFonts w:ascii="Book Antiqua" w:hAnsi="Book Antiqua"/>
        </w:rPr>
        <w:t xml:space="preserve">19 </w:t>
      </w:r>
      <w:r w:rsidRPr="00CD3D64">
        <w:rPr>
          <w:rFonts w:ascii="Book Antiqua" w:hAnsi="Book Antiqua"/>
          <w:b/>
        </w:rPr>
        <w:t>AASLD/IDSA HCV Guidance Panel</w:t>
      </w:r>
      <w:proofErr w:type="gramStart"/>
      <w:r w:rsidRPr="00CD3D64">
        <w:rPr>
          <w:rFonts w:ascii="Book Antiqua" w:hAnsi="Book Antiqua"/>
          <w:b/>
        </w:rPr>
        <w:t>.</w:t>
      </w:r>
      <w:r w:rsidRPr="00CD3D64">
        <w:rPr>
          <w:rFonts w:ascii="Book Antiqua" w:hAnsi="Book Antiqua"/>
        </w:rPr>
        <w:t>.</w:t>
      </w:r>
      <w:proofErr w:type="gramEnd"/>
      <w:r w:rsidRPr="00CD3D64">
        <w:rPr>
          <w:rFonts w:ascii="Book Antiqua" w:hAnsi="Book Antiqua"/>
        </w:rPr>
        <w:t xml:space="preserve"> Hepatitis C guidance: AASLD-IDSA recommendations for testing, managing, and treating adults infected with hepatitis C virus. </w:t>
      </w:r>
      <w:proofErr w:type="spellStart"/>
      <w:r w:rsidRPr="00CD3D64">
        <w:rPr>
          <w:rFonts w:ascii="Book Antiqua" w:hAnsi="Book Antiqua"/>
          <w:i/>
        </w:rPr>
        <w:t>Hepatology</w:t>
      </w:r>
      <w:proofErr w:type="spellEnd"/>
      <w:r w:rsidRPr="00CD3D64">
        <w:rPr>
          <w:rFonts w:ascii="Book Antiqua" w:hAnsi="Book Antiqua"/>
        </w:rPr>
        <w:t xml:space="preserve"> 2015; </w:t>
      </w:r>
      <w:r w:rsidRPr="00CD3D64">
        <w:rPr>
          <w:rFonts w:ascii="Book Antiqua" w:hAnsi="Book Antiqua"/>
          <w:b/>
        </w:rPr>
        <w:t>62</w:t>
      </w:r>
      <w:r w:rsidRPr="00CD3D64">
        <w:rPr>
          <w:rFonts w:ascii="Book Antiqua" w:hAnsi="Book Antiqua"/>
        </w:rPr>
        <w:t>: 932-954 [PMID: 26111063 DOI: 10.1002/hep.27950]</w:t>
      </w:r>
    </w:p>
    <w:p w:rsidR="00C107CE" w:rsidRPr="00CD3D64" w:rsidRDefault="00C107CE" w:rsidP="00CD3D64">
      <w:pPr>
        <w:adjustRightInd w:val="0"/>
        <w:snapToGrid w:val="0"/>
        <w:spacing w:line="360" w:lineRule="auto"/>
        <w:rPr>
          <w:rFonts w:ascii="Book Antiqua" w:hAnsi="Book Antiqua"/>
        </w:rPr>
      </w:pPr>
      <w:r w:rsidRPr="00CD3D64">
        <w:rPr>
          <w:rFonts w:ascii="Book Antiqua" w:hAnsi="Book Antiqua"/>
        </w:rPr>
        <w:t xml:space="preserve">20 </w:t>
      </w:r>
      <w:r w:rsidRPr="00CD3D64">
        <w:rPr>
          <w:rFonts w:ascii="Book Antiqua" w:hAnsi="Book Antiqua"/>
          <w:b/>
        </w:rPr>
        <w:t xml:space="preserve">European </w:t>
      </w:r>
      <w:proofErr w:type="gramStart"/>
      <w:r w:rsidRPr="00CD3D64">
        <w:rPr>
          <w:rFonts w:ascii="Book Antiqua" w:hAnsi="Book Antiqua"/>
          <w:b/>
        </w:rPr>
        <w:t>Association</w:t>
      </w:r>
      <w:proofErr w:type="gramEnd"/>
      <w:r w:rsidRPr="00CD3D64">
        <w:rPr>
          <w:rFonts w:ascii="Book Antiqua" w:hAnsi="Book Antiqua"/>
          <w:b/>
        </w:rPr>
        <w:t xml:space="preserve"> for the Study of the Liver.</w:t>
      </w:r>
      <w:r w:rsidR="00B00A44" w:rsidRPr="00CD3D64">
        <w:rPr>
          <w:rFonts w:ascii="Book Antiqua" w:hAnsi="Book Antiqua"/>
        </w:rPr>
        <w:t xml:space="preserve"> </w:t>
      </w:r>
      <w:proofErr w:type="gramStart"/>
      <w:r w:rsidRPr="00CD3D64">
        <w:rPr>
          <w:rFonts w:ascii="Book Antiqua" w:hAnsi="Book Antiqua"/>
        </w:rPr>
        <w:t>EASL Recommendations on Treatment of Hepatitis C 2018.</w:t>
      </w:r>
      <w:proofErr w:type="gramEnd"/>
      <w:r w:rsidRPr="00CD3D64">
        <w:rPr>
          <w:rFonts w:ascii="Book Antiqua" w:hAnsi="Book Antiqua"/>
        </w:rPr>
        <w:t xml:space="preserve"> </w:t>
      </w:r>
      <w:r w:rsidRPr="00CD3D64">
        <w:rPr>
          <w:rFonts w:ascii="Book Antiqua" w:hAnsi="Book Antiqua"/>
          <w:i/>
        </w:rPr>
        <w:t xml:space="preserve">J </w:t>
      </w:r>
      <w:proofErr w:type="spellStart"/>
      <w:r w:rsidRPr="00CD3D64">
        <w:rPr>
          <w:rFonts w:ascii="Book Antiqua" w:hAnsi="Book Antiqua"/>
          <w:i/>
        </w:rPr>
        <w:t>Hepatol</w:t>
      </w:r>
      <w:proofErr w:type="spellEnd"/>
      <w:r w:rsidRPr="00CD3D64">
        <w:rPr>
          <w:rFonts w:ascii="Book Antiqua" w:hAnsi="Book Antiqua"/>
        </w:rPr>
        <w:t xml:space="preserve"> 2018; </w:t>
      </w:r>
      <w:r w:rsidRPr="00CD3D64">
        <w:rPr>
          <w:rFonts w:ascii="Book Antiqua" w:hAnsi="Book Antiqua"/>
          <w:b/>
        </w:rPr>
        <w:t>69</w:t>
      </w:r>
      <w:r w:rsidRPr="00CD3D64">
        <w:rPr>
          <w:rFonts w:ascii="Book Antiqua" w:hAnsi="Book Antiqua"/>
        </w:rPr>
        <w:t xml:space="preserve">: 461-511 [PMID: 29650333 DOI: </w:t>
      </w:r>
      <w:r w:rsidRPr="00CD3D64">
        <w:rPr>
          <w:rFonts w:ascii="Book Antiqua" w:hAnsi="Book Antiqua"/>
        </w:rPr>
        <w:lastRenderedPageBreak/>
        <w:t>10.1016/j.jhep.2018.03.026]</w:t>
      </w:r>
    </w:p>
    <w:p w:rsidR="00C107CE" w:rsidRPr="00CD3D64" w:rsidRDefault="00C107CE" w:rsidP="00CD3D64">
      <w:pPr>
        <w:adjustRightInd w:val="0"/>
        <w:snapToGrid w:val="0"/>
        <w:spacing w:line="360" w:lineRule="auto"/>
        <w:rPr>
          <w:rFonts w:ascii="Book Antiqua" w:hAnsi="Book Antiqua"/>
        </w:rPr>
      </w:pPr>
      <w:r w:rsidRPr="00CD3D64">
        <w:rPr>
          <w:rFonts w:ascii="Book Antiqua" w:hAnsi="Book Antiqua"/>
        </w:rPr>
        <w:t xml:space="preserve">21 </w:t>
      </w:r>
      <w:proofErr w:type="spellStart"/>
      <w:r w:rsidRPr="00CD3D64">
        <w:rPr>
          <w:rFonts w:ascii="Book Antiqua" w:hAnsi="Book Antiqua"/>
          <w:b/>
        </w:rPr>
        <w:t>Tacke</w:t>
      </w:r>
      <w:proofErr w:type="spellEnd"/>
      <w:r w:rsidRPr="00CD3D64">
        <w:rPr>
          <w:rFonts w:ascii="Book Antiqua" w:hAnsi="Book Antiqua"/>
          <w:b/>
        </w:rPr>
        <w:t xml:space="preserve"> F</w:t>
      </w:r>
      <w:r w:rsidRPr="00CD3D64">
        <w:rPr>
          <w:rFonts w:ascii="Book Antiqua" w:hAnsi="Book Antiqua"/>
        </w:rPr>
        <w:t xml:space="preserve">, </w:t>
      </w:r>
      <w:proofErr w:type="spellStart"/>
      <w:r w:rsidRPr="00CD3D64">
        <w:rPr>
          <w:rFonts w:ascii="Book Antiqua" w:hAnsi="Book Antiqua"/>
        </w:rPr>
        <w:t>Günther</w:t>
      </w:r>
      <w:proofErr w:type="spellEnd"/>
      <w:r w:rsidRPr="00CD3D64">
        <w:rPr>
          <w:rFonts w:ascii="Book Antiqua" w:hAnsi="Book Antiqua"/>
        </w:rPr>
        <w:t xml:space="preserve"> R, </w:t>
      </w:r>
      <w:proofErr w:type="spellStart"/>
      <w:r w:rsidRPr="00CD3D64">
        <w:rPr>
          <w:rFonts w:ascii="Book Antiqua" w:hAnsi="Book Antiqua"/>
        </w:rPr>
        <w:t>Buggisch</w:t>
      </w:r>
      <w:proofErr w:type="spellEnd"/>
      <w:r w:rsidRPr="00CD3D64">
        <w:rPr>
          <w:rFonts w:ascii="Book Antiqua" w:hAnsi="Book Antiqua"/>
        </w:rPr>
        <w:t xml:space="preserve"> P, </w:t>
      </w:r>
      <w:proofErr w:type="spellStart"/>
      <w:r w:rsidRPr="00CD3D64">
        <w:rPr>
          <w:rFonts w:ascii="Book Antiqua" w:hAnsi="Book Antiqua"/>
        </w:rPr>
        <w:t>Klinker</w:t>
      </w:r>
      <w:proofErr w:type="spellEnd"/>
      <w:r w:rsidRPr="00CD3D64">
        <w:rPr>
          <w:rFonts w:ascii="Book Antiqua" w:hAnsi="Book Antiqua"/>
        </w:rPr>
        <w:t xml:space="preserve"> H, </w:t>
      </w:r>
      <w:proofErr w:type="spellStart"/>
      <w:r w:rsidRPr="00CD3D64">
        <w:rPr>
          <w:rFonts w:ascii="Book Antiqua" w:hAnsi="Book Antiqua"/>
        </w:rPr>
        <w:t>Schober</w:t>
      </w:r>
      <w:proofErr w:type="spellEnd"/>
      <w:r w:rsidRPr="00CD3D64">
        <w:rPr>
          <w:rFonts w:ascii="Book Antiqua" w:hAnsi="Book Antiqua"/>
        </w:rPr>
        <w:t xml:space="preserve"> A, John C, Lutz T, Pfeiffer-</w:t>
      </w:r>
      <w:proofErr w:type="spellStart"/>
      <w:r w:rsidRPr="00CD3D64">
        <w:rPr>
          <w:rFonts w:ascii="Book Antiqua" w:hAnsi="Book Antiqua"/>
        </w:rPr>
        <w:t>Vornkahl</w:t>
      </w:r>
      <w:proofErr w:type="spellEnd"/>
      <w:r w:rsidRPr="00CD3D64">
        <w:rPr>
          <w:rFonts w:ascii="Book Antiqua" w:hAnsi="Book Antiqua"/>
        </w:rPr>
        <w:t xml:space="preserve"> H, </w:t>
      </w:r>
      <w:proofErr w:type="spellStart"/>
      <w:r w:rsidRPr="00CD3D64">
        <w:rPr>
          <w:rFonts w:ascii="Book Antiqua" w:hAnsi="Book Antiqua"/>
        </w:rPr>
        <w:t>Niederau</w:t>
      </w:r>
      <w:proofErr w:type="spellEnd"/>
      <w:r w:rsidRPr="00CD3D64">
        <w:rPr>
          <w:rFonts w:ascii="Book Antiqua" w:hAnsi="Book Antiqua"/>
        </w:rPr>
        <w:t xml:space="preserve"> C, </w:t>
      </w:r>
      <w:proofErr w:type="spellStart"/>
      <w:r w:rsidRPr="00CD3D64">
        <w:rPr>
          <w:rFonts w:ascii="Book Antiqua" w:hAnsi="Book Antiqua"/>
        </w:rPr>
        <w:t>Cornberg</w:t>
      </w:r>
      <w:proofErr w:type="spellEnd"/>
      <w:r w:rsidRPr="00CD3D64">
        <w:rPr>
          <w:rFonts w:ascii="Book Antiqua" w:hAnsi="Book Antiqua"/>
        </w:rPr>
        <w:t xml:space="preserve"> M, </w:t>
      </w:r>
      <w:proofErr w:type="spellStart"/>
      <w:r w:rsidRPr="00CD3D64">
        <w:rPr>
          <w:rFonts w:ascii="Book Antiqua" w:hAnsi="Book Antiqua"/>
        </w:rPr>
        <w:t>Sarrazin</w:t>
      </w:r>
      <w:proofErr w:type="spellEnd"/>
      <w:r w:rsidRPr="00CD3D64">
        <w:rPr>
          <w:rFonts w:ascii="Book Antiqua" w:hAnsi="Book Antiqua"/>
        </w:rPr>
        <w:t xml:space="preserve"> C, </w:t>
      </w:r>
      <w:proofErr w:type="spellStart"/>
      <w:r w:rsidRPr="00CD3D64">
        <w:rPr>
          <w:rFonts w:ascii="Book Antiqua" w:hAnsi="Book Antiqua"/>
        </w:rPr>
        <w:t>Mauss</w:t>
      </w:r>
      <w:proofErr w:type="spellEnd"/>
      <w:r w:rsidRPr="00CD3D64">
        <w:rPr>
          <w:rFonts w:ascii="Book Antiqua" w:hAnsi="Book Antiqua"/>
        </w:rPr>
        <w:t xml:space="preserve"> S. Treatment of HCV genotype 2 with </w:t>
      </w:r>
      <w:proofErr w:type="spellStart"/>
      <w:r w:rsidRPr="00CD3D64">
        <w:rPr>
          <w:rFonts w:ascii="Book Antiqua" w:hAnsi="Book Antiqua"/>
        </w:rPr>
        <w:t>sofosbuvir</w:t>
      </w:r>
      <w:proofErr w:type="spellEnd"/>
      <w:r w:rsidRPr="00CD3D64">
        <w:rPr>
          <w:rFonts w:ascii="Book Antiqua" w:hAnsi="Book Antiqua"/>
        </w:rPr>
        <w:t xml:space="preserve"> and ribavirin results in lower sustained </w:t>
      </w:r>
      <w:proofErr w:type="spellStart"/>
      <w:r w:rsidRPr="00CD3D64">
        <w:rPr>
          <w:rFonts w:ascii="Book Antiqua" w:hAnsi="Book Antiqua"/>
        </w:rPr>
        <w:t>virological</w:t>
      </w:r>
      <w:proofErr w:type="spellEnd"/>
      <w:r w:rsidRPr="00CD3D64">
        <w:rPr>
          <w:rFonts w:ascii="Book Antiqua" w:hAnsi="Book Antiqua"/>
        </w:rPr>
        <w:t xml:space="preserve"> response rates in real life than expected from clinical trials. </w:t>
      </w:r>
      <w:r w:rsidRPr="00CD3D64">
        <w:rPr>
          <w:rFonts w:ascii="Book Antiqua" w:hAnsi="Book Antiqua"/>
          <w:i/>
        </w:rPr>
        <w:t xml:space="preserve">Liver </w:t>
      </w:r>
      <w:proofErr w:type="spellStart"/>
      <w:r w:rsidRPr="00CD3D64">
        <w:rPr>
          <w:rFonts w:ascii="Book Antiqua" w:hAnsi="Book Antiqua"/>
          <w:i/>
        </w:rPr>
        <w:t>Int</w:t>
      </w:r>
      <w:proofErr w:type="spellEnd"/>
      <w:r w:rsidRPr="00CD3D64">
        <w:rPr>
          <w:rFonts w:ascii="Book Antiqua" w:hAnsi="Book Antiqua"/>
        </w:rPr>
        <w:t xml:space="preserve"> 2017; </w:t>
      </w:r>
      <w:r w:rsidRPr="00CD3D64">
        <w:rPr>
          <w:rFonts w:ascii="Book Antiqua" w:hAnsi="Book Antiqua"/>
          <w:b/>
        </w:rPr>
        <w:t>37</w:t>
      </w:r>
      <w:r w:rsidRPr="00CD3D64">
        <w:rPr>
          <w:rFonts w:ascii="Book Antiqua" w:hAnsi="Book Antiqua"/>
        </w:rPr>
        <w:t>: 205-211 [PMID: 27428297 DOI: 10.1111/liv.13206]</w:t>
      </w:r>
    </w:p>
    <w:p w:rsidR="00C107CE" w:rsidRPr="00CD3D64" w:rsidRDefault="00C107CE" w:rsidP="00CD3D64">
      <w:pPr>
        <w:adjustRightInd w:val="0"/>
        <w:snapToGrid w:val="0"/>
        <w:spacing w:line="360" w:lineRule="auto"/>
        <w:rPr>
          <w:rFonts w:ascii="Book Antiqua" w:hAnsi="Book Antiqua"/>
        </w:rPr>
      </w:pPr>
      <w:proofErr w:type="gramStart"/>
      <w:r w:rsidRPr="00CD3D64">
        <w:rPr>
          <w:rFonts w:ascii="Book Antiqua" w:hAnsi="Book Antiqua"/>
        </w:rPr>
        <w:t xml:space="preserve">22 </w:t>
      </w:r>
      <w:r w:rsidRPr="00CD3D64">
        <w:rPr>
          <w:rFonts w:ascii="Book Antiqua" w:hAnsi="Book Antiqua"/>
          <w:b/>
        </w:rPr>
        <w:t>Toyoda H</w:t>
      </w:r>
      <w:r w:rsidRPr="00CD3D64">
        <w:rPr>
          <w:rFonts w:ascii="Book Antiqua" w:hAnsi="Book Antiqua"/>
        </w:rPr>
        <w:t xml:space="preserve">, </w:t>
      </w:r>
      <w:proofErr w:type="spellStart"/>
      <w:r w:rsidRPr="00CD3D64">
        <w:rPr>
          <w:rFonts w:ascii="Book Antiqua" w:hAnsi="Book Antiqua"/>
        </w:rPr>
        <w:t>Chayama</w:t>
      </w:r>
      <w:proofErr w:type="spellEnd"/>
      <w:r w:rsidRPr="00CD3D64">
        <w:rPr>
          <w:rFonts w:ascii="Book Antiqua" w:hAnsi="Book Antiqua"/>
        </w:rPr>
        <w:t xml:space="preserve"> K, Suzuki F, Sato K, </w:t>
      </w:r>
      <w:proofErr w:type="spellStart"/>
      <w:r w:rsidRPr="00CD3D64">
        <w:rPr>
          <w:rFonts w:ascii="Book Antiqua" w:hAnsi="Book Antiqua"/>
        </w:rPr>
        <w:t>Atarashi</w:t>
      </w:r>
      <w:proofErr w:type="spellEnd"/>
      <w:r w:rsidRPr="00CD3D64">
        <w:rPr>
          <w:rFonts w:ascii="Book Antiqua" w:hAnsi="Book Antiqua"/>
        </w:rPr>
        <w:t xml:space="preserve"> T, Watanabe T, </w:t>
      </w:r>
      <w:proofErr w:type="spellStart"/>
      <w:r w:rsidRPr="00CD3D64">
        <w:rPr>
          <w:rFonts w:ascii="Book Antiqua" w:hAnsi="Book Antiqua"/>
        </w:rPr>
        <w:t>Atsukawa</w:t>
      </w:r>
      <w:proofErr w:type="spellEnd"/>
      <w:r w:rsidRPr="00CD3D64">
        <w:rPr>
          <w:rFonts w:ascii="Book Antiqua" w:hAnsi="Book Antiqua"/>
        </w:rPr>
        <w:t xml:space="preserve"> M, </w:t>
      </w:r>
      <w:proofErr w:type="spellStart"/>
      <w:r w:rsidRPr="00CD3D64">
        <w:rPr>
          <w:rFonts w:ascii="Book Antiqua" w:hAnsi="Book Antiqua"/>
        </w:rPr>
        <w:t>Naganuma</w:t>
      </w:r>
      <w:proofErr w:type="spellEnd"/>
      <w:r w:rsidRPr="00CD3D64">
        <w:rPr>
          <w:rFonts w:ascii="Book Antiqua" w:hAnsi="Book Antiqua"/>
        </w:rPr>
        <w:t xml:space="preserve"> A, </w:t>
      </w:r>
      <w:proofErr w:type="spellStart"/>
      <w:r w:rsidRPr="00CD3D64">
        <w:rPr>
          <w:rFonts w:ascii="Book Antiqua" w:hAnsi="Book Antiqua"/>
        </w:rPr>
        <w:t>Notsumata</w:t>
      </w:r>
      <w:proofErr w:type="spellEnd"/>
      <w:r w:rsidRPr="00CD3D64">
        <w:rPr>
          <w:rFonts w:ascii="Book Antiqua" w:hAnsi="Book Antiqua"/>
        </w:rPr>
        <w:t xml:space="preserve"> K, Osaki Y, </w:t>
      </w:r>
      <w:proofErr w:type="spellStart"/>
      <w:r w:rsidRPr="00CD3D64">
        <w:rPr>
          <w:rFonts w:ascii="Book Antiqua" w:hAnsi="Book Antiqua"/>
        </w:rPr>
        <w:t>Nakamuta</w:t>
      </w:r>
      <w:proofErr w:type="spellEnd"/>
      <w:r w:rsidRPr="00CD3D64">
        <w:rPr>
          <w:rFonts w:ascii="Book Antiqua" w:hAnsi="Book Antiqua"/>
        </w:rPr>
        <w:t xml:space="preserve"> M, </w:t>
      </w:r>
      <w:proofErr w:type="spellStart"/>
      <w:r w:rsidRPr="00CD3D64">
        <w:rPr>
          <w:rFonts w:ascii="Book Antiqua" w:hAnsi="Book Antiqua"/>
        </w:rPr>
        <w:t>Takaguchi</w:t>
      </w:r>
      <w:proofErr w:type="spellEnd"/>
      <w:r w:rsidRPr="00CD3D64">
        <w:rPr>
          <w:rFonts w:ascii="Book Antiqua" w:hAnsi="Book Antiqua"/>
        </w:rPr>
        <w:t xml:space="preserve"> K, Saito S, Kato K, </w:t>
      </w:r>
      <w:proofErr w:type="spellStart"/>
      <w:r w:rsidRPr="00CD3D64">
        <w:rPr>
          <w:rFonts w:ascii="Book Antiqua" w:hAnsi="Book Antiqua"/>
        </w:rPr>
        <w:t>Pugatch</w:t>
      </w:r>
      <w:proofErr w:type="spellEnd"/>
      <w:r w:rsidRPr="00CD3D64">
        <w:rPr>
          <w:rFonts w:ascii="Book Antiqua" w:hAnsi="Book Antiqua"/>
        </w:rPr>
        <w:t xml:space="preserve"> D, Burroughs M, Redman R, </w:t>
      </w:r>
      <w:proofErr w:type="spellStart"/>
      <w:r w:rsidRPr="00CD3D64">
        <w:rPr>
          <w:rFonts w:ascii="Book Antiqua" w:hAnsi="Book Antiqua"/>
        </w:rPr>
        <w:t>Alves</w:t>
      </w:r>
      <w:proofErr w:type="spellEnd"/>
      <w:r w:rsidRPr="00CD3D64">
        <w:rPr>
          <w:rFonts w:ascii="Book Antiqua" w:hAnsi="Book Antiqua"/>
        </w:rPr>
        <w:t xml:space="preserve"> K, Pilot-</w:t>
      </w:r>
      <w:proofErr w:type="spellStart"/>
      <w:r w:rsidRPr="00CD3D64">
        <w:rPr>
          <w:rFonts w:ascii="Book Antiqua" w:hAnsi="Book Antiqua"/>
        </w:rPr>
        <w:t>Matias</w:t>
      </w:r>
      <w:proofErr w:type="spellEnd"/>
      <w:r w:rsidRPr="00CD3D64">
        <w:rPr>
          <w:rFonts w:ascii="Book Antiqua" w:hAnsi="Book Antiqua"/>
        </w:rPr>
        <w:t xml:space="preserve"> TJ, </w:t>
      </w:r>
      <w:proofErr w:type="spellStart"/>
      <w:r w:rsidRPr="00CD3D64">
        <w:rPr>
          <w:rFonts w:ascii="Book Antiqua" w:hAnsi="Book Antiqua"/>
        </w:rPr>
        <w:t>Oberoi</w:t>
      </w:r>
      <w:proofErr w:type="spellEnd"/>
      <w:r w:rsidRPr="00CD3D64">
        <w:rPr>
          <w:rFonts w:ascii="Book Antiqua" w:hAnsi="Book Antiqua"/>
        </w:rPr>
        <w:t xml:space="preserve"> RK, Fu B, </w:t>
      </w:r>
      <w:proofErr w:type="spellStart"/>
      <w:r w:rsidRPr="00CD3D64">
        <w:rPr>
          <w:rFonts w:ascii="Book Antiqua" w:hAnsi="Book Antiqua"/>
        </w:rPr>
        <w:t>Kumada</w:t>
      </w:r>
      <w:proofErr w:type="spellEnd"/>
      <w:r w:rsidRPr="00CD3D64">
        <w:rPr>
          <w:rFonts w:ascii="Book Antiqua" w:hAnsi="Book Antiqua"/>
        </w:rPr>
        <w:t xml:space="preserve"> H. Efficacy and safety of </w:t>
      </w:r>
      <w:proofErr w:type="spellStart"/>
      <w:r w:rsidRPr="00CD3D64">
        <w:rPr>
          <w:rFonts w:ascii="Book Antiqua" w:hAnsi="Book Antiqua"/>
        </w:rPr>
        <w:t>glecaprevir</w:t>
      </w:r>
      <w:proofErr w:type="spellEnd"/>
      <w:r w:rsidRPr="00CD3D64">
        <w:rPr>
          <w:rFonts w:ascii="Book Antiqua" w:hAnsi="Book Antiqua"/>
        </w:rPr>
        <w:t>/</w:t>
      </w:r>
      <w:proofErr w:type="spellStart"/>
      <w:r w:rsidRPr="00CD3D64">
        <w:rPr>
          <w:rFonts w:ascii="Book Antiqua" w:hAnsi="Book Antiqua"/>
        </w:rPr>
        <w:t>pibrentasvir</w:t>
      </w:r>
      <w:proofErr w:type="spellEnd"/>
      <w:r w:rsidRPr="00CD3D64">
        <w:rPr>
          <w:rFonts w:ascii="Book Antiqua" w:hAnsi="Book Antiqua"/>
        </w:rPr>
        <w:t xml:space="preserve"> in Japanese patients with chronic genotype 2 hepatitis C virus infection.</w:t>
      </w:r>
      <w:proofErr w:type="gramEnd"/>
      <w:r w:rsidRPr="00CD3D64">
        <w:rPr>
          <w:rFonts w:ascii="Book Antiqua" w:hAnsi="Book Antiqua"/>
        </w:rPr>
        <w:t xml:space="preserve"> </w:t>
      </w:r>
      <w:proofErr w:type="spellStart"/>
      <w:r w:rsidRPr="00CD3D64">
        <w:rPr>
          <w:rFonts w:ascii="Book Antiqua" w:hAnsi="Book Antiqua"/>
          <w:i/>
        </w:rPr>
        <w:t>Hepatology</w:t>
      </w:r>
      <w:proofErr w:type="spellEnd"/>
      <w:r w:rsidRPr="00CD3D64">
        <w:rPr>
          <w:rFonts w:ascii="Book Antiqua" w:hAnsi="Book Antiqua"/>
        </w:rPr>
        <w:t xml:space="preserve"> 2018; </w:t>
      </w:r>
      <w:r w:rsidRPr="00CD3D64">
        <w:rPr>
          <w:rFonts w:ascii="Book Antiqua" w:hAnsi="Book Antiqua"/>
          <w:b/>
        </w:rPr>
        <w:t>67</w:t>
      </w:r>
      <w:r w:rsidRPr="00CD3D64">
        <w:rPr>
          <w:rFonts w:ascii="Book Antiqua" w:hAnsi="Book Antiqua"/>
        </w:rPr>
        <w:t>: 505-513 [PMID: 28865152 DOI: 10.1002/hep.29510]</w:t>
      </w:r>
    </w:p>
    <w:p w:rsidR="00C107CE" w:rsidRPr="00CD3D64" w:rsidRDefault="00C107CE" w:rsidP="00CD3D64">
      <w:pPr>
        <w:adjustRightInd w:val="0"/>
        <w:snapToGrid w:val="0"/>
        <w:spacing w:line="360" w:lineRule="auto"/>
        <w:rPr>
          <w:rFonts w:ascii="Book Antiqua" w:hAnsi="Book Antiqua"/>
        </w:rPr>
      </w:pPr>
      <w:r w:rsidRPr="00CD3D64">
        <w:rPr>
          <w:rFonts w:ascii="Book Antiqua" w:hAnsi="Book Antiqua"/>
        </w:rPr>
        <w:t xml:space="preserve">23 </w:t>
      </w:r>
      <w:proofErr w:type="spellStart"/>
      <w:r w:rsidRPr="00CD3D64">
        <w:rPr>
          <w:rFonts w:ascii="Book Antiqua" w:hAnsi="Book Antiqua"/>
          <w:b/>
        </w:rPr>
        <w:t>Asahina</w:t>
      </w:r>
      <w:proofErr w:type="spellEnd"/>
      <w:r w:rsidRPr="00CD3D64">
        <w:rPr>
          <w:rFonts w:ascii="Book Antiqua" w:hAnsi="Book Antiqua"/>
          <w:b/>
        </w:rPr>
        <w:t xml:space="preserve"> Y</w:t>
      </w:r>
      <w:r w:rsidRPr="00CD3D64">
        <w:rPr>
          <w:rFonts w:ascii="Book Antiqua" w:hAnsi="Book Antiqua"/>
        </w:rPr>
        <w:t xml:space="preserve">, </w:t>
      </w:r>
      <w:proofErr w:type="spellStart"/>
      <w:r w:rsidRPr="00CD3D64">
        <w:rPr>
          <w:rFonts w:ascii="Book Antiqua" w:hAnsi="Book Antiqua"/>
        </w:rPr>
        <w:t>Itoh</w:t>
      </w:r>
      <w:proofErr w:type="spellEnd"/>
      <w:r w:rsidRPr="00CD3D64">
        <w:rPr>
          <w:rFonts w:ascii="Book Antiqua" w:hAnsi="Book Antiqua"/>
        </w:rPr>
        <w:t xml:space="preserve"> Y, Ueno Y, </w:t>
      </w:r>
      <w:proofErr w:type="spellStart"/>
      <w:r w:rsidRPr="00CD3D64">
        <w:rPr>
          <w:rFonts w:ascii="Book Antiqua" w:hAnsi="Book Antiqua"/>
        </w:rPr>
        <w:t>Matsuzaki</w:t>
      </w:r>
      <w:proofErr w:type="spellEnd"/>
      <w:r w:rsidRPr="00CD3D64">
        <w:rPr>
          <w:rFonts w:ascii="Book Antiqua" w:hAnsi="Book Antiqua"/>
        </w:rPr>
        <w:t xml:space="preserve"> Y, </w:t>
      </w:r>
      <w:proofErr w:type="spellStart"/>
      <w:r w:rsidRPr="00CD3D64">
        <w:rPr>
          <w:rFonts w:ascii="Book Antiqua" w:hAnsi="Book Antiqua"/>
        </w:rPr>
        <w:t>Takikawa</w:t>
      </w:r>
      <w:proofErr w:type="spellEnd"/>
      <w:r w:rsidRPr="00CD3D64">
        <w:rPr>
          <w:rFonts w:ascii="Book Antiqua" w:hAnsi="Book Antiqua"/>
        </w:rPr>
        <w:t xml:space="preserve"> Y, </w:t>
      </w:r>
      <w:proofErr w:type="spellStart"/>
      <w:r w:rsidRPr="00CD3D64">
        <w:rPr>
          <w:rFonts w:ascii="Book Antiqua" w:hAnsi="Book Antiqua"/>
        </w:rPr>
        <w:t>Yatsuhashi</w:t>
      </w:r>
      <w:proofErr w:type="spellEnd"/>
      <w:r w:rsidRPr="00CD3D64">
        <w:rPr>
          <w:rFonts w:ascii="Book Antiqua" w:hAnsi="Book Antiqua"/>
        </w:rPr>
        <w:t xml:space="preserve"> H, </w:t>
      </w:r>
      <w:proofErr w:type="spellStart"/>
      <w:r w:rsidRPr="00CD3D64">
        <w:rPr>
          <w:rFonts w:ascii="Book Antiqua" w:hAnsi="Book Antiqua"/>
        </w:rPr>
        <w:t>Genda</w:t>
      </w:r>
      <w:proofErr w:type="spellEnd"/>
      <w:r w:rsidRPr="00CD3D64">
        <w:rPr>
          <w:rFonts w:ascii="Book Antiqua" w:hAnsi="Book Antiqua"/>
        </w:rPr>
        <w:t xml:space="preserve"> T, Ikeda F, Matsuda T, </w:t>
      </w:r>
      <w:proofErr w:type="spellStart"/>
      <w:r w:rsidRPr="00CD3D64">
        <w:rPr>
          <w:rFonts w:ascii="Book Antiqua" w:hAnsi="Book Antiqua"/>
        </w:rPr>
        <w:t>Dvory-Sobol</w:t>
      </w:r>
      <w:proofErr w:type="spellEnd"/>
      <w:r w:rsidRPr="00CD3D64">
        <w:rPr>
          <w:rFonts w:ascii="Book Antiqua" w:hAnsi="Book Antiqua"/>
        </w:rPr>
        <w:t xml:space="preserve"> H, Jiang D, </w:t>
      </w:r>
      <w:proofErr w:type="spellStart"/>
      <w:r w:rsidRPr="00CD3D64">
        <w:rPr>
          <w:rFonts w:ascii="Book Antiqua" w:hAnsi="Book Antiqua"/>
        </w:rPr>
        <w:t>Massetto</w:t>
      </w:r>
      <w:proofErr w:type="spellEnd"/>
      <w:r w:rsidRPr="00CD3D64">
        <w:rPr>
          <w:rFonts w:ascii="Book Antiqua" w:hAnsi="Book Antiqua"/>
        </w:rPr>
        <w:t xml:space="preserve"> B, </w:t>
      </w:r>
      <w:proofErr w:type="spellStart"/>
      <w:r w:rsidRPr="00CD3D64">
        <w:rPr>
          <w:rFonts w:ascii="Book Antiqua" w:hAnsi="Book Antiqua"/>
        </w:rPr>
        <w:t>Osinusi</w:t>
      </w:r>
      <w:proofErr w:type="spellEnd"/>
      <w:r w:rsidRPr="00CD3D64">
        <w:rPr>
          <w:rFonts w:ascii="Book Antiqua" w:hAnsi="Book Antiqua"/>
        </w:rPr>
        <w:t xml:space="preserve"> AO, </w:t>
      </w:r>
      <w:proofErr w:type="spellStart"/>
      <w:r w:rsidRPr="00CD3D64">
        <w:rPr>
          <w:rFonts w:ascii="Book Antiqua" w:hAnsi="Book Antiqua"/>
        </w:rPr>
        <w:t>Brainard</w:t>
      </w:r>
      <w:proofErr w:type="spellEnd"/>
      <w:r w:rsidRPr="00CD3D64">
        <w:rPr>
          <w:rFonts w:ascii="Book Antiqua" w:hAnsi="Book Antiqua"/>
        </w:rPr>
        <w:t xml:space="preserve"> DM, </w:t>
      </w:r>
      <w:proofErr w:type="spellStart"/>
      <w:r w:rsidRPr="00CD3D64">
        <w:rPr>
          <w:rFonts w:ascii="Book Antiqua" w:hAnsi="Book Antiqua"/>
        </w:rPr>
        <w:t>McHutchison</w:t>
      </w:r>
      <w:proofErr w:type="spellEnd"/>
      <w:r w:rsidRPr="00CD3D64">
        <w:rPr>
          <w:rFonts w:ascii="Book Antiqua" w:hAnsi="Book Antiqua"/>
        </w:rPr>
        <w:t xml:space="preserve"> JG, Kawada N, </w:t>
      </w:r>
      <w:proofErr w:type="spellStart"/>
      <w:r w:rsidRPr="00CD3D64">
        <w:rPr>
          <w:rFonts w:ascii="Book Antiqua" w:hAnsi="Book Antiqua"/>
        </w:rPr>
        <w:t>Enomoto</w:t>
      </w:r>
      <w:proofErr w:type="spellEnd"/>
      <w:r w:rsidRPr="00CD3D64">
        <w:rPr>
          <w:rFonts w:ascii="Book Antiqua" w:hAnsi="Book Antiqua"/>
        </w:rPr>
        <w:t xml:space="preserve"> N. </w:t>
      </w:r>
      <w:proofErr w:type="spellStart"/>
      <w:r w:rsidRPr="00CD3D64">
        <w:rPr>
          <w:rFonts w:ascii="Book Antiqua" w:hAnsi="Book Antiqua"/>
        </w:rPr>
        <w:t>Ledipasvir-sofosbuvir</w:t>
      </w:r>
      <w:proofErr w:type="spellEnd"/>
      <w:r w:rsidRPr="00CD3D64">
        <w:rPr>
          <w:rFonts w:ascii="Book Antiqua" w:hAnsi="Book Antiqua"/>
        </w:rPr>
        <w:t xml:space="preserve"> for treating Japanese patients with chronic hepatitis C virus genotype 2 infection. </w:t>
      </w:r>
      <w:r w:rsidRPr="00CD3D64">
        <w:rPr>
          <w:rFonts w:ascii="Book Antiqua" w:hAnsi="Book Antiqua"/>
          <w:i/>
        </w:rPr>
        <w:t xml:space="preserve">Liver </w:t>
      </w:r>
      <w:proofErr w:type="spellStart"/>
      <w:r w:rsidRPr="00CD3D64">
        <w:rPr>
          <w:rFonts w:ascii="Book Antiqua" w:hAnsi="Book Antiqua"/>
          <w:i/>
        </w:rPr>
        <w:t>Int</w:t>
      </w:r>
      <w:proofErr w:type="spellEnd"/>
      <w:r w:rsidRPr="00CD3D64">
        <w:rPr>
          <w:rFonts w:ascii="Book Antiqua" w:hAnsi="Book Antiqua"/>
        </w:rPr>
        <w:t xml:space="preserve"> 2018; </w:t>
      </w:r>
      <w:r w:rsidRPr="00CD3D64">
        <w:rPr>
          <w:rFonts w:ascii="Book Antiqua" w:hAnsi="Book Antiqua"/>
          <w:b/>
        </w:rPr>
        <w:t>38</w:t>
      </w:r>
      <w:r w:rsidRPr="00CD3D64">
        <w:rPr>
          <w:rFonts w:ascii="Book Antiqua" w:hAnsi="Book Antiqua"/>
        </w:rPr>
        <w:t>: 1552-1561 [PMID: 29297980 DOI: 10.1111/liv.13685]</w:t>
      </w:r>
    </w:p>
    <w:p w:rsidR="00C107CE" w:rsidRPr="00CD3D64" w:rsidRDefault="00C107CE" w:rsidP="00CD3D64">
      <w:pPr>
        <w:adjustRightInd w:val="0"/>
        <w:snapToGrid w:val="0"/>
        <w:spacing w:line="360" w:lineRule="auto"/>
        <w:rPr>
          <w:rFonts w:ascii="Book Antiqua" w:hAnsi="Book Antiqua"/>
        </w:rPr>
      </w:pPr>
      <w:proofErr w:type="gramStart"/>
      <w:r w:rsidRPr="00CD3D64">
        <w:rPr>
          <w:rFonts w:ascii="Book Antiqua" w:hAnsi="Book Antiqua"/>
        </w:rPr>
        <w:t xml:space="preserve">24 </w:t>
      </w:r>
      <w:proofErr w:type="spellStart"/>
      <w:r w:rsidRPr="00CD3D64">
        <w:rPr>
          <w:rFonts w:ascii="Book Antiqua" w:hAnsi="Book Antiqua"/>
          <w:b/>
        </w:rPr>
        <w:t>Omata</w:t>
      </w:r>
      <w:proofErr w:type="spellEnd"/>
      <w:r w:rsidRPr="00CD3D64">
        <w:rPr>
          <w:rFonts w:ascii="Book Antiqua" w:hAnsi="Book Antiqua"/>
          <w:b/>
        </w:rPr>
        <w:t xml:space="preserve"> M</w:t>
      </w:r>
      <w:r w:rsidRPr="00CD3D64">
        <w:rPr>
          <w:rFonts w:ascii="Book Antiqua" w:hAnsi="Book Antiqua"/>
        </w:rPr>
        <w:t xml:space="preserve">, Kanda T, Wei L, Yu ML, Chuang WL, Ibrahim A, </w:t>
      </w:r>
      <w:proofErr w:type="spellStart"/>
      <w:r w:rsidRPr="00CD3D64">
        <w:rPr>
          <w:rFonts w:ascii="Book Antiqua" w:hAnsi="Book Antiqua"/>
        </w:rPr>
        <w:t>Lesmana</w:t>
      </w:r>
      <w:proofErr w:type="spellEnd"/>
      <w:r w:rsidRPr="00CD3D64">
        <w:rPr>
          <w:rFonts w:ascii="Book Antiqua" w:hAnsi="Book Antiqua"/>
        </w:rPr>
        <w:t xml:space="preserve"> CR, </w:t>
      </w:r>
      <w:proofErr w:type="spellStart"/>
      <w:r w:rsidRPr="00CD3D64">
        <w:rPr>
          <w:rFonts w:ascii="Book Antiqua" w:hAnsi="Book Antiqua"/>
        </w:rPr>
        <w:t>Sollano</w:t>
      </w:r>
      <w:proofErr w:type="spellEnd"/>
      <w:r w:rsidRPr="00CD3D64">
        <w:rPr>
          <w:rFonts w:ascii="Book Antiqua" w:hAnsi="Book Antiqua"/>
        </w:rPr>
        <w:t xml:space="preserve"> J, Kumar M, Jindal A, Sharma BC, Hamid SS, </w:t>
      </w:r>
      <w:proofErr w:type="spellStart"/>
      <w:r w:rsidRPr="00CD3D64">
        <w:rPr>
          <w:rFonts w:ascii="Book Antiqua" w:hAnsi="Book Antiqua"/>
        </w:rPr>
        <w:t>Dokmeci</w:t>
      </w:r>
      <w:proofErr w:type="spellEnd"/>
      <w:r w:rsidRPr="00CD3D64">
        <w:rPr>
          <w:rFonts w:ascii="Book Antiqua" w:hAnsi="Book Antiqua"/>
        </w:rPr>
        <w:t xml:space="preserve"> AK, </w:t>
      </w:r>
      <w:proofErr w:type="spellStart"/>
      <w:r w:rsidRPr="00CD3D64">
        <w:rPr>
          <w:rFonts w:ascii="Book Antiqua" w:hAnsi="Book Antiqua"/>
        </w:rPr>
        <w:t>Mamun</w:t>
      </w:r>
      <w:proofErr w:type="spellEnd"/>
      <w:r w:rsidRPr="00CD3D64">
        <w:rPr>
          <w:rFonts w:ascii="Book Antiqua" w:hAnsi="Book Antiqua"/>
        </w:rPr>
        <w:t>-Al-</w:t>
      </w:r>
      <w:proofErr w:type="spellStart"/>
      <w:r w:rsidRPr="00CD3D64">
        <w:rPr>
          <w:rFonts w:ascii="Book Antiqua" w:hAnsi="Book Antiqua"/>
        </w:rPr>
        <w:t>Mahtab</w:t>
      </w:r>
      <w:proofErr w:type="spellEnd"/>
      <w:r w:rsidRPr="00CD3D64">
        <w:rPr>
          <w:rFonts w:ascii="Book Antiqua" w:hAnsi="Book Antiqua"/>
        </w:rPr>
        <w:t xml:space="preserve">, </w:t>
      </w:r>
      <w:proofErr w:type="spellStart"/>
      <w:r w:rsidRPr="00CD3D64">
        <w:rPr>
          <w:rFonts w:ascii="Book Antiqua" w:hAnsi="Book Antiqua"/>
        </w:rPr>
        <w:t>McCaughan</w:t>
      </w:r>
      <w:proofErr w:type="spellEnd"/>
      <w:r w:rsidRPr="00CD3D64">
        <w:rPr>
          <w:rFonts w:ascii="Book Antiqua" w:hAnsi="Book Antiqua"/>
        </w:rPr>
        <w:t xml:space="preserve"> GW, </w:t>
      </w:r>
      <w:proofErr w:type="spellStart"/>
      <w:r w:rsidRPr="00CD3D64">
        <w:rPr>
          <w:rFonts w:ascii="Book Antiqua" w:hAnsi="Book Antiqua"/>
        </w:rPr>
        <w:t>Wasim</w:t>
      </w:r>
      <w:proofErr w:type="spellEnd"/>
      <w:r w:rsidRPr="00CD3D64">
        <w:rPr>
          <w:rFonts w:ascii="Book Antiqua" w:hAnsi="Book Antiqua"/>
        </w:rPr>
        <w:t xml:space="preserve"> J, Crawford DH, Kao JH, Yokosuka O, Lau GK, </w:t>
      </w:r>
      <w:proofErr w:type="spellStart"/>
      <w:r w:rsidRPr="00CD3D64">
        <w:rPr>
          <w:rFonts w:ascii="Book Antiqua" w:hAnsi="Book Antiqua"/>
        </w:rPr>
        <w:t>Sarin</w:t>
      </w:r>
      <w:proofErr w:type="spellEnd"/>
      <w:r w:rsidRPr="00CD3D64">
        <w:rPr>
          <w:rFonts w:ascii="Book Antiqua" w:hAnsi="Book Antiqua"/>
        </w:rPr>
        <w:t xml:space="preserve"> SK. APASL consensus statements and recommendation on treatment of hepatitis C. </w:t>
      </w:r>
      <w:proofErr w:type="spellStart"/>
      <w:r w:rsidRPr="00CD3D64">
        <w:rPr>
          <w:rFonts w:ascii="Book Antiqua" w:hAnsi="Book Antiqua"/>
          <w:i/>
        </w:rPr>
        <w:t>Hepatol</w:t>
      </w:r>
      <w:proofErr w:type="spellEnd"/>
      <w:r w:rsidRPr="00CD3D64">
        <w:rPr>
          <w:rFonts w:ascii="Book Antiqua" w:hAnsi="Book Antiqua"/>
          <w:i/>
        </w:rPr>
        <w:t xml:space="preserve"> </w:t>
      </w:r>
      <w:proofErr w:type="spellStart"/>
      <w:r w:rsidRPr="00CD3D64">
        <w:rPr>
          <w:rFonts w:ascii="Book Antiqua" w:hAnsi="Book Antiqua"/>
          <w:i/>
        </w:rPr>
        <w:t>Int</w:t>
      </w:r>
      <w:proofErr w:type="spellEnd"/>
      <w:r w:rsidRPr="00CD3D64">
        <w:rPr>
          <w:rFonts w:ascii="Book Antiqua" w:hAnsi="Book Antiqua"/>
        </w:rPr>
        <w:t xml:space="preserve"> 2016; </w:t>
      </w:r>
      <w:r w:rsidRPr="00CD3D64">
        <w:rPr>
          <w:rFonts w:ascii="Book Antiqua" w:hAnsi="Book Antiqua"/>
          <w:b/>
        </w:rPr>
        <w:t>10</w:t>
      </w:r>
      <w:r w:rsidRPr="00CD3D64">
        <w:rPr>
          <w:rFonts w:ascii="Book Antiqua" w:hAnsi="Book Antiqua"/>
        </w:rPr>
        <w:t>: 702-726 [PMID: 27130427 DOI: 10.1007/s12072-016-9717-6]</w:t>
      </w:r>
      <w:proofErr w:type="gramEnd"/>
    </w:p>
    <w:p w:rsidR="00C107CE" w:rsidRPr="00CD3D64" w:rsidRDefault="00C107CE" w:rsidP="00CD3D64">
      <w:pPr>
        <w:adjustRightInd w:val="0"/>
        <w:snapToGrid w:val="0"/>
        <w:spacing w:line="360" w:lineRule="auto"/>
        <w:rPr>
          <w:rFonts w:ascii="Book Antiqua" w:hAnsi="Book Antiqua"/>
        </w:rPr>
      </w:pPr>
      <w:r w:rsidRPr="00CD3D64">
        <w:rPr>
          <w:rFonts w:ascii="Book Antiqua" w:hAnsi="Book Antiqua"/>
        </w:rPr>
        <w:t xml:space="preserve">25 </w:t>
      </w:r>
      <w:r w:rsidRPr="00CD3D64">
        <w:rPr>
          <w:rFonts w:ascii="Book Antiqua" w:hAnsi="Book Antiqua"/>
          <w:b/>
        </w:rPr>
        <w:t>Wei B</w:t>
      </w:r>
      <w:r w:rsidRPr="00CD3D64">
        <w:rPr>
          <w:rFonts w:ascii="Book Antiqua" w:hAnsi="Book Antiqua"/>
        </w:rPr>
        <w:t xml:space="preserve">, </w:t>
      </w:r>
      <w:proofErr w:type="spellStart"/>
      <w:r w:rsidRPr="00CD3D64">
        <w:rPr>
          <w:rFonts w:ascii="Book Antiqua" w:hAnsi="Book Antiqua"/>
        </w:rPr>
        <w:t>Ji</w:t>
      </w:r>
      <w:proofErr w:type="spellEnd"/>
      <w:r w:rsidRPr="00CD3D64">
        <w:rPr>
          <w:rFonts w:ascii="Book Antiqua" w:hAnsi="Book Antiqua"/>
        </w:rPr>
        <w:t xml:space="preserve"> F, Yeo YH, Ogawa E, </w:t>
      </w:r>
      <w:proofErr w:type="spellStart"/>
      <w:r w:rsidRPr="00CD3D64">
        <w:rPr>
          <w:rFonts w:ascii="Book Antiqua" w:hAnsi="Book Antiqua"/>
        </w:rPr>
        <w:t>Zou</w:t>
      </w:r>
      <w:proofErr w:type="spellEnd"/>
      <w:r w:rsidRPr="00CD3D64">
        <w:rPr>
          <w:rFonts w:ascii="Book Antiqua" w:hAnsi="Book Antiqua"/>
        </w:rPr>
        <w:t xml:space="preserve"> B, Stave CD, Dang S, Li Z, </w:t>
      </w:r>
      <w:proofErr w:type="spellStart"/>
      <w:r w:rsidRPr="00CD3D64">
        <w:rPr>
          <w:rFonts w:ascii="Book Antiqua" w:hAnsi="Book Antiqua"/>
        </w:rPr>
        <w:t>Furusyo</w:t>
      </w:r>
      <w:proofErr w:type="spellEnd"/>
      <w:r w:rsidRPr="00CD3D64">
        <w:rPr>
          <w:rFonts w:ascii="Book Antiqua" w:hAnsi="Book Antiqua"/>
        </w:rPr>
        <w:t xml:space="preserve"> N, Cheung RC, Nguyen MH. </w:t>
      </w:r>
      <w:proofErr w:type="gramStart"/>
      <w:r w:rsidRPr="00CD3D64">
        <w:rPr>
          <w:rFonts w:ascii="Book Antiqua" w:hAnsi="Book Antiqua"/>
        </w:rPr>
        <w:t xml:space="preserve">Real-world effectiveness of </w:t>
      </w:r>
      <w:proofErr w:type="spellStart"/>
      <w:r w:rsidRPr="00CD3D64">
        <w:rPr>
          <w:rFonts w:ascii="Book Antiqua" w:hAnsi="Book Antiqua"/>
        </w:rPr>
        <w:t>sofosbuvir</w:t>
      </w:r>
      <w:proofErr w:type="spellEnd"/>
      <w:r w:rsidRPr="00CD3D64">
        <w:rPr>
          <w:rFonts w:ascii="Book Antiqua" w:hAnsi="Book Antiqua"/>
        </w:rPr>
        <w:t xml:space="preserve"> plus ribavirin for chronic hepatitis C genotype 2 in Asia: a systematic review and meta-analysis.</w:t>
      </w:r>
      <w:proofErr w:type="gramEnd"/>
      <w:r w:rsidRPr="00CD3D64">
        <w:rPr>
          <w:rFonts w:ascii="Book Antiqua" w:hAnsi="Book Antiqua"/>
        </w:rPr>
        <w:t xml:space="preserve"> </w:t>
      </w:r>
      <w:r w:rsidRPr="00CD3D64">
        <w:rPr>
          <w:rFonts w:ascii="Book Antiqua" w:hAnsi="Book Antiqua"/>
          <w:i/>
        </w:rPr>
        <w:t xml:space="preserve">BMJ Open </w:t>
      </w:r>
      <w:proofErr w:type="spellStart"/>
      <w:r w:rsidRPr="00CD3D64">
        <w:rPr>
          <w:rFonts w:ascii="Book Antiqua" w:hAnsi="Book Antiqua"/>
          <w:i/>
        </w:rPr>
        <w:t>Gastroenterol</w:t>
      </w:r>
      <w:proofErr w:type="spellEnd"/>
      <w:r w:rsidRPr="00CD3D64">
        <w:rPr>
          <w:rFonts w:ascii="Book Antiqua" w:hAnsi="Book Antiqua"/>
        </w:rPr>
        <w:t xml:space="preserve"> 2018; </w:t>
      </w:r>
      <w:r w:rsidRPr="00CD3D64">
        <w:rPr>
          <w:rFonts w:ascii="Book Antiqua" w:hAnsi="Book Antiqua"/>
          <w:b/>
        </w:rPr>
        <w:t>5</w:t>
      </w:r>
      <w:r w:rsidRPr="00CD3D64">
        <w:rPr>
          <w:rFonts w:ascii="Book Antiqua" w:hAnsi="Book Antiqua"/>
        </w:rPr>
        <w:t>: e000207 [PMID: 30002863 DOI: 10.1136/bmjgast-2018-000207]</w:t>
      </w:r>
    </w:p>
    <w:p w:rsidR="00C107CE" w:rsidRPr="00CD3D64" w:rsidRDefault="00C107CE" w:rsidP="00CD3D64">
      <w:pPr>
        <w:adjustRightInd w:val="0"/>
        <w:snapToGrid w:val="0"/>
        <w:spacing w:line="360" w:lineRule="auto"/>
        <w:rPr>
          <w:rFonts w:ascii="Book Antiqua" w:hAnsi="Book Antiqua"/>
        </w:rPr>
      </w:pPr>
      <w:r w:rsidRPr="00CD3D64">
        <w:rPr>
          <w:rFonts w:ascii="Book Antiqua" w:hAnsi="Book Antiqua"/>
        </w:rPr>
        <w:t xml:space="preserve">26 </w:t>
      </w:r>
      <w:r w:rsidRPr="00CD3D64">
        <w:rPr>
          <w:rFonts w:ascii="Book Antiqua" w:hAnsi="Book Antiqua"/>
          <w:b/>
        </w:rPr>
        <w:t>Wu R</w:t>
      </w:r>
      <w:r w:rsidRPr="00CD3D64">
        <w:rPr>
          <w:rFonts w:ascii="Book Antiqua" w:hAnsi="Book Antiqua"/>
        </w:rPr>
        <w:t xml:space="preserve">, </w:t>
      </w:r>
      <w:proofErr w:type="spellStart"/>
      <w:r w:rsidRPr="00CD3D64">
        <w:rPr>
          <w:rFonts w:ascii="Book Antiqua" w:hAnsi="Book Antiqua"/>
        </w:rPr>
        <w:t>Geng</w:t>
      </w:r>
      <w:proofErr w:type="spellEnd"/>
      <w:r w:rsidRPr="00CD3D64">
        <w:rPr>
          <w:rFonts w:ascii="Book Antiqua" w:hAnsi="Book Antiqua"/>
        </w:rPr>
        <w:t xml:space="preserve"> D, Chi X, Wang X, </w:t>
      </w:r>
      <w:proofErr w:type="spellStart"/>
      <w:r w:rsidRPr="00CD3D64">
        <w:rPr>
          <w:rFonts w:ascii="Book Antiqua" w:hAnsi="Book Antiqua"/>
        </w:rPr>
        <w:t>Gao</w:t>
      </w:r>
      <w:proofErr w:type="spellEnd"/>
      <w:r w:rsidRPr="00CD3D64">
        <w:rPr>
          <w:rFonts w:ascii="Book Antiqua" w:hAnsi="Book Antiqua"/>
        </w:rPr>
        <w:t xml:space="preserve"> X, </w:t>
      </w:r>
      <w:proofErr w:type="spellStart"/>
      <w:r w:rsidRPr="00CD3D64">
        <w:rPr>
          <w:rFonts w:ascii="Book Antiqua" w:hAnsi="Book Antiqua"/>
        </w:rPr>
        <w:t>Xu</w:t>
      </w:r>
      <w:proofErr w:type="spellEnd"/>
      <w:r w:rsidRPr="00CD3D64">
        <w:rPr>
          <w:rFonts w:ascii="Book Antiqua" w:hAnsi="Book Antiqua"/>
        </w:rPr>
        <w:t xml:space="preserve"> H, Shi Y, Guan Y, Wang Y, Jin J, Ding Y, </w:t>
      </w:r>
      <w:proofErr w:type="spellStart"/>
      <w:r w:rsidRPr="00CD3D64">
        <w:rPr>
          <w:rFonts w:ascii="Book Antiqua" w:hAnsi="Book Antiqua"/>
        </w:rPr>
        <w:t>Niu</w:t>
      </w:r>
      <w:proofErr w:type="spellEnd"/>
      <w:r w:rsidRPr="00CD3D64">
        <w:rPr>
          <w:rFonts w:ascii="Book Antiqua" w:hAnsi="Book Antiqua"/>
        </w:rPr>
        <w:t xml:space="preserve"> J. Computational analysis of naturally occurring resistance-associated substitutions in genes </w:t>
      </w:r>
      <w:r w:rsidRPr="00CD3D64">
        <w:rPr>
          <w:rFonts w:ascii="Book Antiqua" w:hAnsi="Book Antiqua"/>
          <w:i/>
        </w:rPr>
        <w:t>NS3</w:t>
      </w:r>
      <w:r w:rsidRPr="00CD3D64">
        <w:rPr>
          <w:rFonts w:ascii="Book Antiqua" w:hAnsi="Book Antiqua"/>
        </w:rPr>
        <w:t xml:space="preserve">, </w:t>
      </w:r>
      <w:r w:rsidRPr="00CD3D64">
        <w:rPr>
          <w:rFonts w:ascii="Book Antiqua" w:hAnsi="Book Antiqua"/>
          <w:i/>
        </w:rPr>
        <w:t>NS5A</w:t>
      </w:r>
      <w:r w:rsidRPr="00CD3D64">
        <w:rPr>
          <w:rFonts w:ascii="Book Antiqua" w:hAnsi="Book Antiqua"/>
        </w:rPr>
        <w:t xml:space="preserve">, and </w:t>
      </w:r>
      <w:r w:rsidRPr="00CD3D64">
        <w:rPr>
          <w:rFonts w:ascii="Book Antiqua" w:hAnsi="Book Antiqua"/>
          <w:i/>
        </w:rPr>
        <w:t>NS5B</w:t>
      </w:r>
      <w:r w:rsidRPr="00CD3D64">
        <w:rPr>
          <w:rFonts w:ascii="Book Antiqua" w:hAnsi="Book Antiqua"/>
        </w:rPr>
        <w:t xml:space="preserve"> among 86 subtypes of hepatitis C virus worldwide. </w:t>
      </w:r>
      <w:r w:rsidRPr="00CD3D64">
        <w:rPr>
          <w:rFonts w:ascii="Book Antiqua" w:hAnsi="Book Antiqua"/>
          <w:i/>
        </w:rPr>
        <w:t>Infect Drug Resist</w:t>
      </w:r>
      <w:r w:rsidRPr="00CD3D64">
        <w:rPr>
          <w:rFonts w:ascii="Book Antiqua" w:hAnsi="Book Antiqua"/>
        </w:rPr>
        <w:t xml:space="preserve"> 2019</w:t>
      </w:r>
      <w:proofErr w:type="gramStart"/>
      <w:r w:rsidRPr="00CD3D64">
        <w:rPr>
          <w:rFonts w:ascii="Book Antiqua" w:hAnsi="Book Antiqua"/>
        </w:rPr>
        <w:t>;</w:t>
      </w:r>
      <w:proofErr w:type="gramEnd"/>
      <w:r w:rsidRPr="00CD3D64">
        <w:rPr>
          <w:rFonts w:ascii="Book Antiqua" w:hAnsi="Book Antiqua"/>
        </w:rPr>
        <w:t xml:space="preserve"> </w:t>
      </w:r>
      <w:r w:rsidRPr="00CD3D64">
        <w:rPr>
          <w:rFonts w:ascii="Book Antiqua" w:hAnsi="Book Antiqua"/>
          <w:b/>
        </w:rPr>
        <w:t>12</w:t>
      </w:r>
      <w:r w:rsidRPr="00CD3D64">
        <w:rPr>
          <w:rFonts w:ascii="Book Antiqua" w:hAnsi="Book Antiqua"/>
        </w:rPr>
        <w:t>: 2987-3015 [PMID: 31571951 DOI: 10.2147/IDR.S218584]</w:t>
      </w:r>
    </w:p>
    <w:p w:rsidR="00C107CE" w:rsidRPr="00CD3D64" w:rsidRDefault="00C107CE" w:rsidP="00CD3D64">
      <w:pPr>
        <w:adjustRightInd w:val="0"/>
        <w:snapToGrid w:val="0"/>
        <w:spacing w:line="360" w:lineRule="auto"/>
        <w:rPr>
          <w:rFonts w:ascii="Book Antiqua" w:hAnsi="Book Antiqua" w:cs="Arial"/>
          <w:b/>
        </w:rPr>
      </w:pPr>
    </w:p>
    <w:p w:rsidR="00B7734E" w:rsidRPr="00CD3D64" w:rsidRDefault="00670F16" w:rsidP="00CD3D64">
      <w:pPr>
        <w:adjustRightInd w:val="0"/>
        <w:snapToGrid w:val="0"/>
        <w:spacing w:line="360" w:lineRule="auto"/>
        <w:rPr>
          <w:rFonts w:ascii="Book Antiqua" w:hAnsi="Book Antiqua"/>
          <w:b/>
        </w:rPr>
      </w:pPr>
      <w:r w:rsidRPr="00CD3D64">
        <w:rPr>
          <w:rFonts w:ascii="Book Antiqua" w:hAnsi="Book Antiqua"/>
          <w:b/>
          <w:bCs/>
          <w:iCs/>
          <w:color w:val="000000"/>
        </w:rPr>
        <w:br w:type="page"/>
      </w:r>
      <w:r w:rsidR="00B7734E" w:rsidRPr="00CD3D64">
        <w:rPr>
          <w:rFonts w:ascii="Book Antiqua" w:hAnsi="Book Antiqua"/>
          <w:b/>
        </w:rPr>
        <w:lastRenderedPageBreak/>
        <w:t>Footnotes</w:t>
      </w:r>
    </w:p>
    <w:p w:rsidR="00C82C4C" w:rsidRPr="00CD3D64" w:rsidRDefault="009E1F08" w:rsidP="00CD3D64">
      <w:pPr>
        <w:widowControl/>
        <w:adjustRightInd w:val="0"/>
        <w:snapToGrid w:val="0"/>
        <w:spacing w:line="360" w:lineRule="auto"/>
        <w:rPr>
          <w:rFonts w:ascii="Book Antiqua" w:hAnsi="Book Antiqua"/>
          <w:iCs/>
          <w:color w:val="000000"/>
        </w:rPr>
      </w:pPr>
      <w:r w:rsidRPr="00CD3D64">
        <w:rPr>
          <w:rFonts w:ascii="Book Antiqua" w:hAnsi="Book Antiqua"/>
          <w:b/>
          <w:bCs/>
          <w:iCs/>
          <w:color w:val="000000"/>
        </w:rPr>
        <w:t xml:space="preserve">Institutional review board statement: </w:t>
      </w:r>
      <w:proofErr w:type="gramStart"/>
      <w:r w:rsidR="00C82C4C" w:rsidRPr="00CD3D64">
        <w:rPr>
          <w:rFonts w:ascii="Book Antiqua" w:hAnsi="Book Antiqua"/>
          <w:iCs/>
          <w:color w:val="000000"/>
        </w:rPr>
        <w:t>All study protocols were approved by the ethics committees of the participating hospitals</w:t>
      </w:r>
      <w:proofErr w:type="gramEnd"/>
      <w:r w:rsidR="00C82C4C" w:rsidRPr="00CD3D64">
        <w:rPr>
          <w:rFonts w:ascii="Book Antiqua" w:hAnsi="Book Antiqua"/>
          <w:iCs/>
          <w:color w:val="000000"/>
        </w:rPr>
        <w:t>.</w:t>
      </w:r>
    </w:p>
    <w:p w:rsidR="00C82C4C" w:rsidRPr="00CD3D64" w:rsidRDefault="00C82C4C" w:rsidP="00CD3D64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bCs/>
          <w:iCs/>
          <w:color w:val="000000"/>
        </w:rPr>
      </w:pPr>
    </w:p>
    <w:p w:rsidR="009E1F08" w:rsidRPr="00CD3D64" w:rsidRDefault="009E1F08" w:rsidP="00CD3D64">
      <w:pPr>
        <w:widowControl/>
        <w:adjustRightInd w:val="0"/>
        <w:snapToGrid w:val="0"/>
        <w:spacing w:line="360" w:lineRule="auto"/>
        <w:rPr>
          <w:rFonts w:ascii="Book Antiqua" w:hAnsi="Book Antiqua"/>
          <w:iCs/>
          <w:color w:val="000000"/>
        </w:rPr>
      </w:pPr>
      <w:r w:rsidRPr="00CD3D64">
        <w:rPr>
          <w:rFonts w:ascii="Book Antiqua" w:hAnsi="Book Antiqua"/>
          <w:b/>
          <w:bCs/>
          <w:iCs/>
          <w:color w:val="000000"/>
        </w:rPr>
        <w:t xml:space="preserve">Informed consent statement: </w:t>
      </w:r>
      <w:r w:rsidR="00C82C4C" w:rsidRPr="00CD3D64">
        <w:rPr>
          <w:rFonts w:ascii="Book Antiqua" w:hAnsi="Book Antiqua"/>
          <w:iCs/>
          <w:color w:val="000000"/>
        </w:rPr>
        <w:t xml:space="preserve">Written informed consent </w:t>
      </w:r>
      <w:proofErr w:type="gramStart"/>
      <w:r w:rsidR="00C82C4C" w:rsidRPr="00CD3D64">
        <w:rPr>
          <w:rFonts w:ascii="Book Antiqua" w:hAnsi="Book Antiqua"/>
          <w:iCs/>
          <w:color w:val="000000"/>
        </w:rPr>
        <w:t>was obtained</w:t>
      </w:r>
      <w:proofErr w:type="gramEnd"/>
      <w:r w:rsidR="00C82C4C" w:rsidRPr="00CD3D64">
        <w:rPr>
          <w:rFonts w:ascii="Book Antiqua" w:hAnsi="Book Antiqua"/>
          <w:iCs/>
          <w:color w:val="000000"/>
        </w:rPr>
        <w:t xml:space="preserve"> from all patients included in this study.</w:t>
      </w:r>
    </w:p>
    <w:p w:rsidR="00C82C4C" w:rsidRPr="00CD3D64" w:rsidRDefault="00C82C4C" w:rsidP="00CD3D64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bCs/>
          <w:iCs/>
          <w:color w:val="000000"/>
        </w:rPr>
      </w:pPr>
    </w:p>
    <w:p w:rsidR="009E1F08" w:rsidRPr="00CD3D64" w:rsidRDefault="009E1F08" w:rsidP="00CD3D64">
      <w:pPr>
        <w:widowControl/>
        <w:adjustRightInd w:val="0"/>
        <w:snapToGrid w:val="0"/>
        <w:spacing w:line="360" w:lineRule="auto"/>
        <w:rPr>
          <w:rFonts w:ascii="Book Antiqua" w:hAnsi="Book Antiqua"/>
          <w:iCs/>
          <w:color w:val="000000"/>
        </w:rPr>
      </w:pPr>
      <w:r w:rsidRPr="00CD3D64">
        <w:rPr>
          <w:rFonts w:ascii="Book Antiqua" w:hAnsi="Book Antiqua"/>
          <w:b/>
          <w:bCs/>
          <w:iCs/>
          <w:color w:val="000000"/>
        </w:rPr>
        <w:t xml:space="preserve">Conflict-of-interest statement: </w:t>
      </w:r>
      <w:r w:rsidRPr="00CD3D64">
        <w:rPr>
          <w:rFonts w:ascii="Book Antiqua" w:hAnsi="Book Antiqua"/>
          <w:iCs/>
          <w:color w:val="000000"/>
        </w:rPr>
        <w:t xml:space="preserve">The authors of this manuscript </w:t>
      </w:r>
      <w:r w:rsidR="000E3B64" w:rsidRPr="00CD3D64">
        <w:rPr>
          <w:rFonts w:ascii="Book Antiqua" w:hAnsi="Book Antiqua"/>
          <w:iCs/>
          <w:color w:val="000000"/>
        </w:rPr>
        <w:t xml:space="preserve">have </w:t>
      </w:r>
      <w:r w:rsidRPr="00CD3D64">
        <w:rPr>
          <w:rFonts w:ascii="Book Antiqua" w:hAnsi="Book Antiqua"/>
          <w:iCs/>
          <w:color w:val="000000"/>
        </w:rPr>
        <w:t>no conflicts of interest to disclose.</w:t>
      </w:r>
    </w:p>
    <w:p w:rsidR="00C82C4C" w:rsidRPr="00CD3D64" w:rsidRDefault="00C82C4C" w:rsidP="00CD3D64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bCs/>
          <w:iCs/>
          <w:color w:val="000000"/>
        </w:rPr>
      </w:pPr>
    </w:p>
    <w:p w:rsidR="009E1F08" w:rsidRPr="00CD3D64" w:rsidRDefault="009E1F08" w:rsidP="00CD3D64">
      <w:pPr>
        <w:widowControl/>
        <w:adjustRightInd w:val="0"/>
        <w:snapToGrid w:val="0"/>
        <w:spacing w:line="360" w:lineRule="auto"/>
        <w:rPr>
          <w:rFonts w:ascii="Book Antiqua" w:hAnsi="Book Antiqua"/>
          <w:iCs/>
          <w:color w:val="000000"/>
        </w:rPr>
      </w:pPr>
      <w:r w:rsidRPr="00CD3D64">
        <w:rPr>
          <w:rFonts w:ascii="Book Antiqua" w:hAnsi="Book Antiqua"/>
          <w:b/>
          <w:bCs/>
          <w:iCs/>
          <w:color w:val="000000"/>
        </w:rPr>
        <w:t xml:space="preserve">Data sharing statement: </w:t>
      </w:r>
      <w:r w:rsidRPr="00CD3D64">
        <w:rPr>
          <w:rFonts w:ascii="Book Antiqua" w:hAnsi="Book Antiqua"/>
          <w:iCs/>
          <w:color w:val="000000"/>
        </w:rPr>
        <w:t>There is no additional data available.</w:t>
      </w:r>
    </w:p>
    <w:p w:rsidR="00CB09F1" w:rsidRPr="00CD3D64" w:rsidRDefault="00CB09F1" w:rsidP="00CD3D64">
      <w:pPr>
        <w:widowControl/>
        <w:adjustRightInd w:val="0"/>
        <w:snapToGrid w:val="0"/>
        <w:spacing w:line="360" w:lineRule="auto"/>
        <w:rPr>
          <w:rFonts w:ascii="Book Antiqua" w:hAnsi="Book Antiqua"/>
          <w:iCs/>
          <w:color w:val="000000"/>
        </w:rPr>
      </w:pPr>
    </w:p>
    <w:p w:rsidR="00CB09F1" w:rsidRPr="00CD3D64" w:rsidRDefault="00CB09F1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CD3D64">
        <w:rPr>
          <w:rFonts w:ascii="Book Antiqua" w:hAnsi="Book Antiqua"/>
          <w:b/>
          <w:color w:val="000000"/>
        </w:rPr>
        <w:t>Open-Access:</w:t>
      </w:r>
      <w:r w:rsidRPr="00CD3D64">
        <w:rPr>
          <w:rFonts w:ascii="Book Antiqua" w:hAnsi="Book Antiqua"/>
          <w:color w:val="000000"/>
        </w:rPr>
        <w:t xml:space="preserve"> This article is an open-access </w:t>
      </w:r>
      <w:r w:rsidRPr="00CD3D64">
        <w:rPr>
          <w:rFonts w:ascii="Book Antiqua" w:hAnsi="Book Antiqua"/>
        </w:rPr>
        <w:t xml:space="preserve">article that was selected </w:t>
      </w:r>
      <w:r w:rsidRPr="00CD3D64">
        <w:rPr>
          <w:rFonts w:ascii="Book Antiqua" w:hAnsi="Book Antiqua"/>
          <w:color w:val="000000"/>
        </w:rPr>
        <w:t xml:space="preserve">by an in-house editor and fully peer-reviewed by external reviewers. It is distributed in accordance with the Creative Commons Attribution </w:t>
      </w:r>
      <w:proofErr w:type="spellStart"/>
      <w:r w:rsidRPr="00CD3D64">
        <w:rPr>
          <w:rFonts w:ascii="Book Antiqua" w:hAnsi="Book Antiqua"/>
          <w:color w:val="000000"/>
        </w:rPr>
        <w:t>NonCommercial</w:t>
      </w:r>
      <w:proofErr w:type="spellEnd"/>
      <w:r w:rsidRPr="00CD3D64">
        <w:rPr>
          <w:rFonts w:ascii="Book Antiqua" w:hAnsi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CD3D64">
          <w:rPr>
            <w:rStyle w:val="a5"/>
            <w:rFonts w:ascii="Book Antiqua" w:hAnsi="Book Antiqua"/>
          </w:rPr>
          <w:t>http://creativecommons.org/licenses/by-nc/4.0/</w:t>
        </w:r>
      </w:hyperlink>
    </w:p>
    <w:p w:rsidR="00CB09F1" w:rsidRPr="00CD3D64" w:rsidRDefault="00CB09F1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</w:p>
    <w:p w:rsidR="00CB09F1" w:rsidRPr="00CD3D64" w:rsidRDefault="00CB09F1" w:rsidP="00CD3D64">
      <w:pPr>
        <w:adjustRightInd w:val="0"/>
        <w:snapToGrid w:val="0"/>
        <w:spacing w:line="360" w:lineRule="auto"/>
        <w:rPr>
          <w:rFonts w:ascii="Book Antiqua" w:hAnsi="Book Antiqua"/>
          <w:b/>
          <w:bCs/>
          <w:color w:val="000000"/>
          <w:lang w:eastAsia="zh-CN"/>
        </w:rPr>
      </w:pPr>
      <w:r w:rsidRPr="00CD3D64">
        <w:rPr>
          <w:rFonts w:ascii="Book Antiqua" w:hAnsi="Book Antiqua"/>
          <w:b/>
          <w:bCs/>
          <w:color w:val="000000"/>
          <w:lang w:eastAsia="pl-PL"/>
        </w:rPr>
        <w:t>Manuscript</w:t>
      </w:r>
      <w:r w:rsidR="00E24DB9" w:rsidRPr="00CD3D64">
        <w:rPr>
          <w:rFonts w:ascii="Book Antiqua" w:hAnsi="Book Antiqua"/>
          <w:b/>
          <w:bCs/>
          <w:color w:val="000000"/>
          <w:lang w:eastAsia="pl-PL"/>
        </w:rPr>
        <w:t xml:space="preserve"> </w:t>
      </w:r>
      <w:r w:rsidRPr="00CD3D64">
        <w:rPr>
          <w:rFonts w:ascii="Book Antiqua" w:hAnsi="Book Antiqua"/>
          <w:b/>
          <w:bCs/>
          <w:color w:val="000000"/>
          <w:lang w:eastAsia="pl-PL"/>
        </w:rPr>
        <w:t>source:</w:t>
      </w:r>
      <w:r w:rsidRPr="00CD3D64">
        <w:rPr>
          <w:rFonts w:ascii="Book Antiqua" w:hAnsi="Book Antiqua"/>
          <w:b/>
          <w:bCs/>
          <w:color w:val="000000"/>
          <w:lang w:eastAsia="zh-CN"/>
        </w:rPr>
        <w:t xml:space="preserve"> </w:t>
      </w:r>
      <w:r w:rsidRPr="00CD3D64">
        <w:rPr>
          <w:rFonts w:ascii="Book Antiqua" w:hAnsi="Book Antiqua"/>
          <w:bCs/>
          <w:color w:val="000000"/>
          <w:lang w:eastAsia="pl-PL"/>
        </w:rPr>
        <w:t>Invited</w:t>
      </w:r>
      <w:r w:rsidR="00E24DB9" w:rsidRPr="00CD3D64">
        <w:rPr>
          <w:rFonts w:ascii="Book Antiqua" w:hAnsi="Book Antiqua"/>
          <w:bCs/>
          <w:color w:val="000000"/>
          <w:lang w:eastAsia="pl-PL"/>
        </w:rPr>
        <w:t xml:space="preserve"> </w:t>
      </w:r>
      <w:r w:rsidRPr="00CD3D64">
        <w:rPr>
          <w:rFonts w:ascii="Book Antiqua" w:hAnsi="Book Antiqua"/>
          <w:bCs/>
          <w:color w:val="000000"/>
          <w:lang w:eastAsia="pl-PL"/>
        </w:rPr>
        <w:t>manuscript</w:t>
      </w:r>
    </w:p>
    <w:p w:rsidR="00CB09F1" w:rsidRPr="00CD3D64" w:rsidRDefault="00CB09F1" w:rsidP="00CD3D64">
      <w:pPr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lang w:eastAsia="zh-CN"/>
        </w:rPr>
      </w:pPr>
    </w:p>
    <w:p w:rsidR="00DD2E2E" w:rsidRPr="00CD3D64" w:rsidRDefault="00DD2E2E" w:rsidP="00CD3D64">
      <w:pPr>
        <w:adjustRightInd w:val="0"/>
        <w:snapToGrid w:val="0"/>
        <w:spacing w:line="360" w:lineRule="auto"/>
        <w:rPr>
          <w:rFonts w:ascii="Book Antiqua" w:hAnsi="Book Antiqua"/>
          <w:b/>
          <w:lang w:eastAsia="zh-CN"/>
        </w:rPr>
      </w:pPr>
      <w:r w:rsidRPr="00CD3D64">
        <w:rPr>
          <w:rFonts w:ascii="Book Antiqua" w:hAnsi="Book Antiqua"/>
          <w:b/>
          <w:lang w:eastAsia="zh-CN"/>
        </w:rPr>
        <w:t xml:space="preserve">Peer-review </w:t>
      </w:r>
      <w:proofErr w:type="gramStart"/>
      <w:r w:rsidRPr="00CD3D64">
        <w:rPr>
          <w:rFonts w:ascii="Book Antiqua" w:hAnsi="Book Antiqua"/>
          <w:b/>
          <w:lang w:eastAsia="zh-CN"/>
        </w:rPr>
        <w:t>started:</w:t>
      </w:r>
      <w:proofErr w:type="gramEnd"/>
      <w:r w:rsidRPr="00CD3D64">
        <w:rPr>
          <w:rFonts w:ascii="Book Antiqua" w:hAnsi="Book Antiqua"/>
          <w:b/>
          <w:lang w:eastAsia="zh-CN"/>
        </w:rPr>
        <w:t xml:space="preserve"> </w:t>
      </w:r>
      <w:r w:rsidRPr="00CD3D64">
        <w:rPr>
          <w:rFonts w:ascii="Book Antiqua" w:hAnsi="Book Antiqua"/>
          <w:lang w:eastAsia="zh-CN"/>
        </w:rPr>
        <w:t>April 10, 2020</w:t>
      </w:r>
    </w:p>
    <w:p w:rsidR="00DD2E2E" w:rsidRPr="00CD3D64" w:rsidRDefault="00DD2E2E" w:rsidP="00CD3D64">
      <w:pPr>
        <w:adjustRightInd w:val="0"/>
        <w:snapToGrid w:val="0"/>
        <w:spacing w:line="360" w:lineRule="auto"/>
        <w:rPr>
          <w:rFonts w:ascii="Book Antiqua" w:hAnsi="Book Antiqua"/>
          <w:b/>
          <w:lang w:eastAsia="zh-CN"/>
        </w:rPr>
      </w:pPr>
      <w:r w:rsidRPr="00CD3D64">
        <w:rPr>
          <w:rFonts w:ascii="Book Antiqua" w:hAnsi="Book Antiqua"/>
          <w:b/>
          <w:lang w:eastAsia="zh-CN"/>
        </w:rPr>
        <w:t xml:space="preserve">First decision: </w:t>
      </w:r>
      <w:r w:rsidRPr="00CD3D64">
        <w:rPr>
          <w:rFonts w:ascii="Book Antiqua" w:hAnsi="Book Antiqua"/>
          <w:lang w:eastAsia="zh-CN"/>
        </w:rPr>
        <w:t>April 26, 2020</w:t>
      </w:r>
    </w:p>
    <w:p w:rsidR="00DD2E2E" w:rsidRPr="00CD3D64" w:rsidRDefault="00DD2E2E" w:rsidP="00CD3D64">
      <w:pPr>
        <w:adjustRightInd w:val="0"/>
        <w:snapToGrid w:val="0"/>
        <w:spacing w:line="360" w:lineRule="auto"/>
        <w:rPr>
          <w:rFonts w:ascii="Book Antiqua" w:hAnsi="Book Antiqua"/>
          <w:b/>
          <w:lang w:eastAsia="zh-CN"/>
        </w:rPr>
      </w:pPr>
      <w:r w:rsidRPr="00CD3D64">
        <w:rPr>
          <w:rFonts w:ascii="Book Antiqua" w:hAnsi="Book Antiqua"/>
          <w:b/>
          <w:lang w:eastAsia="zh-CN"/>
        </w:rPr>
        <w:t>Article in press:</w:t>
      </w:r>
      <w:r w:rsidR="001945CE" w:rsidRPr="001945CE">
        <w:rPr>
          <w:rFonts w:ascii="Book Antiqua" w:hAnsi="Book Antiqua"/>
          <w:lang w:eastAsia="zh-CN"/>
        </w:rPr>
        <w:t xml:space="preserve"> </w:t>
      </w:r>
      <w:r w:rsidR="001945CE" w:rsidRPr="00CD3D64">
        <w:rPr>
          <w:rFonts w:ascii="Book Antiqua" w:hAnsi="Book Antiqua"/>
          <w:lang w:eastAsia="zh-CN"/>
        </w:rPr>
        <w:t>July 26, 2020</w:t>
      </w:r>
    </w:p>
    <w:p w:rsidR="00DD2E2E" w:rsidRPr="00CD3D64" w:rsidRDefault="00DD2E2E" w:rsidP="00CD3D64">
      <w:pPr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lang w:eastAsia="zh-CN"/>
        </w:rPr>
      </w:pPr>
    </w:p>
    <w:p w:rsidR="00DD2E2E" w:rsidRPr="00CD3D64" w:rsidRDefault="00DD2E2E" w:rsidP="00CD3D64">
      <w:pPr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lang w:eastAsia="zh-CN"/>
        </w:rPr>
      </w:pPr>
      <w:r w:rsidRPr="00CD3D64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Specialty type: </w:t>
      </w:r>
      <w:r w:rsidRPr="00CD3D64">
        <w:rPr>
          <w:rFonts w:ascii="Book Antiqua" w:eastAsia="微软雅黑" w:hAnsi="Book Antiqua" w:cs="宋体"/>
          <w:kern w:val="0"/>
        </w:rPr>
        <w:t xml:space="preserve">Gastroenterology and </w:t>
      </w:r>
      <w:proofErr w:type="spellStart"/>
      <w:r w:rsidRPr="00CD3D64">
        <w:rPr>
          <w:rFonts w:ascii="Book Antiqua" w:eastAsia="微软雅黑" w:hAnsi="Book Antiqua" w:cs="宋体"/>
          <w:kern w:val="0"/>
        </w:rPr>
        <w:t>hepatology</w:t>
      </w:r>
      <w:proofErr w:type="spellEnd"/>
    </w:p>
    <w:p w:rsidR="00DD2E2E" w:rsidRPr="00CD3D64" w:rsidRDefault="00DD2E2E" w:rsidP="00CD3D64">
      <w:pPr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lang w:eastAsia="zh-CN"/>
        </w:rPr>
      </w:pPr>
      <w:r w:rsidRPr="00CD3D64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Country/Territory of origin: </w:t>
      </w:r>
      <w:r w:rsidRPr="00CD3D64">
        <w:rPr>
          <w:rFonts w:ascii="Book Antiqua" w:eastAsia="宋体" w:hAnsi="Book Antiqua" w:cs="宋体"/>
          <w:color w:val="000000"/>
          <w:lang w:eastAsia="zh-CN"/>
        </w:rPr>
        <w:t>Japan</w:t>
      </w:r>
    </w:p>
    <w:p w:rsidR="00DD2E2E" w:rsidRPr="00CD3D64" w:rsidRDefault="00DD2E2E" w:rsidP="00CD3D64">
      <w:pPr>
        <w:adjustRightInd w:val="0"/>
        <w:snapToGrid w:val="0"/>
        <w:spacing w:line="360" w:lineRule="auto"/>
        <w:rPr>
          <w:rFonts w:ascii="Book Antiqua" w:eastAsia="宋体" w:hAnsi="Book Antiqua" w:cs="宋体"/>
          <w:b/>
          <w:bCs/>
          <w:color w:val="000000"/>
          <w:lang w:eastAsia="zh-CN"/>
        </w:rPr>
      </w:pPr>
      <w:r w:rsidRPr="00CD3D64">
        <w:rPr>
          <w:rFonts w:ascii="Book Antiqua" w:eastAsia="宋体" w:hAnsi="Book Antiqua" w:cs="宋体"/>
          <w:b/>
          <w:bCs/>
          <w:color w:val="000000"/>
          <w:lang w:eastAsia="zh-CN"/>
        </w:rPr>
        <w:t>Peer-review report’s scientific quality classification</w:t>
      </w:r>
    </w:p>
    <w:p w:rsidR="00DD2E2E" w:rsidRPr="00CD3D64" w:rsidRDefault="00DD2E2E" w:rsidP="00CD3D64">
      <w:pPr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lang w:eastAsia="zh-CN"/>
        </w:rPr>
      </w:pPr>
      <w:r w:rsidRPr="00CD3D64">
        <w:rPr>
          <w:rFonts w:ascii="Book Antiqua" w:eastAsia="宋体" w:hAnsi="Book Antiqua" w:cs="宋体"/>
          <w:color w:val="000000"/>
          <w:lang w:eastAsia="zh-CN"/>
        </w:rPr>
        <w:t xml:space="preserve">Grade </w:t>
      </w:r>
      <w:proofErr w:type="gramStart"/>
      <w:r w:rsidRPr="00CD3D64">
        <w:rPr>
          <w:rFonts w:ascii="Book Antiqua" w:eastAsia="宋体" w:hAnsi="Book Antiqua" w:cs="宋体"/>
          <w:color w:val="000000"/>
          <w:lang w:eastAsia="zh-CN"/>
        </w:rPr>
        <w:t>A</w:t>
      </w:r>
      <w:proofErr w:type="gramEnd"/>
      <w:r w:rsidRPr="00CD3D64">
        <w:rPr>
          <w:rFonts w:ascii="Book Antiqua" w:eastAsia="宋体" w:hAnsi="Book Antiqua" w:cs="宋体"/>
          <w:color w:val="000000"/>
          <w:lang w:eastAsia="zh-CN"/>
        </w:rPr>
        <w:t xml:space="preserve"> (Excellent): 0</w:t>
      </w:r>
    </w:p>
    <w:p w:rsidR="00DD2E2E" w:rsidRPr="00CD3D64" w:rsidRDefault="00DD2E2E" w:rsidP="00CD3D64">
      <w:pPr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lang w:eastAsia="zh-CN"/>
        </w:rPr>
      </w:pPr>
      <w:r w:rsidRPr="00CD3D64">
        <w:rPr>
          <w:rFonts w:ascii="Book Antiqua" w:eastAsia="宋体" w:hAnsi="Book Antiqua" w:cs="宋体"/>
          <w:color w:val="000000"/>
          <w:lang w:eastAsia="zh-CN"/>
        </w:rPr>
        <w:t xml:space="preserve">Grade B (Very good): </w:t>
      </w:r>
      <w:r w:rsidR="00291AA9" w:rsidRPr="00CD3D64">
        <w:rPr>
          <w:rFonts w:ascii="Book Antiqua" w:eastAsia="宋体" w:hAnsi="Book Antiqua" w:cs="宋体"/>
          <w:color w:val="000000"/>
          <w:lang w:eastAsia="zh-CN"/>
        </w:rPr>
        <w:t>B</w:t>
      </w:r>
    </w:p>
    <w:p w:rsidR="00DD2E2E" w:rsidRPr="00CD3D64" w:rsidRDefault="00DD2E2E" w:rsidP="00CD3D64">
      <w:pPr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lang w:eastAsia="zh-CN"/>
        </w:rPr>
      </w:pPr>
      <w:r w:rsidRPr="00CD3D64">
        <w:rPr>
          <w:rFonts w:ascii="Book Antiqua" w:eastAsia="宋体" w:hAnsi="Book Antiqua" w:cs="宋体"/>
          <w:color w:val="000000"/>
          <w:lang w:eastAsia="zh-CN"/>
        </w:rPr>
        <w:lastRenderedPageBreak/>
        <w:t>Grade C (Good): C, C</w:t>
      </w:r>
    </w:p>
    <w:p w:rsidR="00DD2E2E" w:rsidRPr="00CD3D64" w:rsidRDefault="00DD2E2E" w:rsidP="00CD3D64">
      <w:pPr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lang w:eastAsia="zh-CN"/>
        </w:rPr>
      </w:pPr>
      <w:r w:rsidRPr="00CD3D64">
        <w:rPr>
          <w:rFonts w:ascii="Book Antiqua" w:eastAsia="宋体" w:hAnsi="Book Antiqua" w:cs="宋体"/>
          <w:color w:val="000000"/>
          <w:lang w:eastAsia="zh-CN"/>
        </w:rPr>
        <w:t xml:space="preserve">Grade D (Fair): </w:t>
      </w:r>
      <w:proofErr w:type="gramStart"/>
      <w:r w:rsidRPr="00CD3D64">
        <w:rPr>
          <w:rFonts w:ascii="Book Antiqua" w:eastAsia="宋体" w:hAnsi="Book Antiqua" w:cs="宋体"/>
          <w:color w:val="000000"/>
          <w:lang w:eastAsia="zh-CN"/>
        </w:rPr>
        <w:t>0</w:t>
      </w:r>
      <w:proofErr w:type="gramEnd"/>
    </w:p>
    <w:p w:rsidR="00DD2E2E" w:rsidRPr="00CD3D64" w:rsidRDefault="00291AA9" w:rsidP="00CD3D64">
      <w:pPr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lang w:eastAsia="zh-CN"/>
        </w:rPr>
      </w:pPr>
      <w:r w:rsidRPr="00CD3D64">
        <w:rPr>
          <w:rFonts w:ascii="Book Antiqua" w:eastAsia="宋体" w:hAnsi="Book Antiqua" w:cs="宋体"/>
          <w:color w:val="000000"/>
          <w:lang w:eastAsia="zh-CN"/>
        </w:rPr>
        <w:t xml:space="preserve">Grade E (Poor): </w:t>
      </w:r>
      <w:proofErr w:type="gramStart"/>
      <w:r w:rsidRPr="00CD3D64">
        <w:rPr>
          <w:rFonts w:ascii="Book Antiqua" w:eastAsia="宋体" w:hAnsi="Book Antiqua" w:cs="宋体"/>
          <w:color w:val="000000"/>
          <w:lang w:eastAsia="zh-CN"/>
        </w:rPr>
        <w:t>0</w:t>
      </w:r>
      <w:proofErr w:type="gramEnd"/>
    </w:p>
    <w:p w:rsidR="00DD2E2E" w:rsidRPr="00CD3D64" w:rsidRDefault="00DD2E2E" w:rsidP="00CD3D64">
      <w:pPr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lang w:eastAsia="zh-CN"/>
        </w:rPr>
      </w:pPr>
    </w:p>
    <w:p w:rsidR="00DD2E2E" w:rsidRPr="00CD3D64" w:rsidRDefault="00DD2E2E" w:rsidP="00CD3D64">
      <w:pPr>
        <w:adjustRightInd w:val="0"/>
        <w:snapToGrid w:val="0"/>
        <w:spacing w:line="360" w:lineRule="auto"/>
        <w:rPr>
          <w:rFonts w:ascii="Book Antiqua" w:eastAsia="宋体" w:hAnsi="Book Antiqua" w:cs="宋体"/>
          <w:color w:val="000000"/>
          <w:lang w:eastAsia="zh-CN"/>
        </w:rPr>
      </w:pPr>
      <w:r w:rsidRPr="00CD3D64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P-Reviewer: </w:t>
      </w:r>
      <w:r w:rsidRPr="00CD3D64">
        <w:rPr>
          <w:rFonts w:ascii="Book Antiqua" w:eastAsia="宋体" w:hAnsi="Book Antiqua" w:cs="宋体"/>
          <w:color w:val="000000"/>
          <w:lang w:eastAsia="zh-CN"/>
        </w:rPr>
        <w:t>Ali F</w:t>
      </w:r>
      <w:r w:rsidR="00291AA9" w:rsidRPr="00CD3D64">
        <w:rPr>
          <w:rFonts w:ascii="Book Antiqua" w:eastAsia="宋体" w:hAnsi="Book Antiqua" w:cs="宋体"/>
          <w:color w:val="000000"/>
          <w:lang w:eastAsia="zh-CN"/>
        </w:rPr>
        <w:t>EM</w:t>
      </w:r>
      <w:r w:rsidRPr="00CD3D64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CD3D64">
        <w:rPr>
          <w:rFonts w:ascii="Book Antiqua" w:eastAsia="宋体" w:hAnsi="Book Antiqua" w:cs="宋体"/>
          <w:color w:val="000000"/>
          <w:lang w:eastAsia="zh-CN"/>
        </w:rPr>
        <w:t>Hussien</w:t>
      </w:r>
      <w:proofErr w:type="spellEnd"/>
      <w:r w:rsidRPr="00CD3D64">
        <w:rPr>
          <w:rFonts w:ascii="Book Antiqua" w:eastAsia="宋体" w:hAnsi="Book Antiqua" w:cs="宋体"/>
          <w:color w:val="000000"/>
          <w:lang w:eastAsia="zh-CN"/>
        </w:rPr>
        <w:t xml:space="preserve"> A, Tuna N </w:t>
      </w:r>
      <w:r w:rsidRPr="00CD3D64">
        <w:rPr>
          <w:rFonts w:ascii="Book Antiqua" w:eastAsia="宋体" w:hAnsi="Book Antiqua" w:cs="宋体"/>
          <w:b/>
          <w:bCs/>
          <w:color w:val="000000"/>
          <w:lang w:eastAsia="zh-CN"/>
        </w:rPr>
        <w:t>S-Editor:</w:t>
      </w:r>
      <w:r w:rsidRPr="00CD3D64">
        <w:rPr>
          <w:rFonts w:ascii="Book Antiqua" w:eastAsia="宋体" w:hAnsi="Book Antiqua" w:cs="宋体"/>
          <w:color w:val="000000"/>
          <w:lang w:eastAsia="zh-CN"/>
        </w:rPr>
        <w:t xml:space="preserve"> Zhang L </w:t>
      </w:r>
      <w:r w:rsidRPr="00CD3D64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L-Editor: </w:t>
      </w:r>
      <w:proofErr w:type="spellStart"/>
      <w:r w:rsidR="005811F7" w:rsidRPr="00CD3D64">
        <w:rPr>
          <w:rFonts w:ascii="Book Antiqua" w:eastAsia="宋体" w:hAnsi="Book Antiqua" w:cs="宋体"/>
          <w:color w:val="000000"/>
          <w:lang w:eastAsia="zh-CN"/>
        </w:rPr>
        <w:t>Filipodia</w:t>
      </w:r>
      <w:proofErr w:type="spellEnd"/>
      <w:r w:rsidR="005811F7" w:rsidRPr="00CD3D64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Pr="00CD3D64">
        <w:rPr>
          <w:rFonts w:ascii="Book Antiqua" w:eastAsia="宋体" w:hAnsi="Book Antiqua" w:cs="宋体"/>
          <w:b/>
          <w:bCs/>
          <w:color w:val="000000"/>
          <w:lang w:eastAsia="zh-CN"/>
        </w:rPr>
        <w:t>E-Editor:</w:t>
      </w:r>
      <w:r w:rsidR="001945CE">
        <w:rPr>
          <w:rFonts w:ascii="Book Antiqua" w:eastAsia="宋体" w:hAnsi="Book Antiqua" w:cs="宋体" w:hint="eastAsia"/>
          <w:b/>
          <w:bCs/>
          <w:color w:val="000000"/>
          <w:lang w:eastAsia="zh-CN"/>
        </w:rPr>
        <w:t xml:space="preserve"> </w:t>
      </w:r>
      <w:r w:rsidR="001945CE" w:rsidRPr="001945CE">
        <w:rPr>
          <w:rFonts w:ascii="Book Antiqua" w:eastAsia="宋体" w:hAnsi="Book Antiqua" w:cs="宋体" w:hint="eastAsia"/>
          <w:bCs/>
          <w:color w:val="000000"/>
          <w:lang w:eastAsia="zh-CN"/>
        </w:rPr>
        <w:t>Wang LL</w:t>
      </w:r>
    </w:p>
    <w:p w:rsidR="00F41395" w:rsidRPr="00CD3D64" w:rsidRDefault="00C57235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CD3D64">
        <w:rPr>
          <w:rFonts w:ascii="Book Antiqua" w:hAnsi="Book Antiqua"/>
          <w:iCs/>
          <w:color w:val="000000"/>
        </w:rPr>
        <w:br w:type="page"/>
      </w:r>
      <w:r w:rsidR="00064E74">
        <w:rPr>
          <w:rFonts w:ascii="Book Antiqua" w:hAnsi="Book Antiqua"/>
          <w:noProof/>
          <w:color w:val="000000"/>
          <w:lang w:eastAsia="zh-CN"/>
        </w:rPr>
        <w:lastRenderedPageBreak/>
        <w:drawing>
          <wp:inline distT="0" distB="0" distL="0" distR="0">
            <wp:extent cx="5398135" cy="3598545"/>
            <wp:effectExtent l="0" t="0" r="0" b="1905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359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395" w:rsidRPr="00CD3D64" w:rsidRDefault="00F41395" w:rsidP="00CD3D64">
      <w:pPr>
        <w:adjustRightInd w:val="0"/>
        <w:snapToGrid w:val="0"/>
        <w:spacing w:line="360" w:lineRule="auto"/>
        <w:rPr>
          <w:rFonts w:ascii="Book Antiqua" w:hAnsi="Book Antiqua"/>
          <w:b/>
          <w:bCs/>
          <w:iCs/>
          <w:color w:val="000000"/>
        </w:rPr>
      </w:pPr>
      <w:r w:rsidRPr="00CD3D64">
        <w:rPr>
          <w:rFonts w:ascii="Book Antiqua" w:hAnsi="Book Antiqua"/>
          <w:b/>
          <w:bCs/>
          <w:iCs/>
          <w:color w:val="000000"/>
        </w:rPr>
        <w:t xml:space="preserve">Figure </w:t>
      </w:r>
      <w:proofErr w:type="gramStart"/>
      <w:r w:rsidRPr="00CD3D64">
        <w:rPr>
          <w:rFonts w:ascii="Book Antiqua" w:hAnsi="Book Antiqua"/>
          <w:b/>
          <w:bCs/>
          <w:iCs/>
          <w:color w:val="000000"/>
        </w:rPr>
        <w:t>1</w:t>
      </w:r>
      <w:proofErr w:type="gramEnd"/>
      <w:r w:rsidRPr="00CD3D64">
        <w:rPr>
          <w:rFonts w:ascii="Book Antiqua" w:hAnsi="Book Antiqua"/>
          <w:b/>
          <w:bCs/>
          <w:iCs/>
          <w:color w:val="000000"/>
        </w:rPr>
        <w:t xml:space="preserve"> Sustained </w:t>
      </w:r>
      <w:proofErr w:type="spellStart"/>
      <w:r w:rsidRPr="00CD3D64">
        <w:rPr>
          <w:rFonts w:ascii="Book Antiqua" w:hAnsi="Book Antiqua"/>
          <w:b/>
          <w:bCs/>
          <w:iCs/>
          <w:color w:val="000000"/>
        </w:rPr>
        <w:t>virological</w:t>
      </w:r>
      <w:proofErr w:type="spellEnd"/>
      <w:r w:rsidRPr="00CD3D64">
        <w:rPr>
          <w:rFonts w:ascii="Book Antiqua" w:hAnsi="Book Antiqua"/>
          <w:b/>
          <w:bCs/>
          <w:iCs/>
          <w:color w:val="000000"/>
        </w:rPr>
        <w:t xml:space="preserve"> response rates according to age groups. </w:t>
      </w:r>
      <w:r w:rsidR="00F80441" w:rsidRPr="00CD3D64">
        <w:rPr>
          <w:rFonts w:ascii="Book Antiqua" w:hAnsi="Book Antiqua"/>
          <w:color w:val="000000"/>
        </w:rPr>
        <w:t xml:space="preserve">The </w:t>
      </w:r>
      <w:r w:rsidR="0041543C" w:rsidRPr="00CD3D64">
        <w:rPr>
          <w:rFonts w:ascii="Book Antiqua" w:hAnsi="Book Antiqua"/>
          <w:color w:val="000000"/>
        </w:rPr>
        <w:t xml:space="preserve">sustained </w:t>
      </w:r>
      <w:proofErr w:type="spellStart"/>
      <w:r w:rsidR="0041543C" w:rsidRPr="00CD3D64">
        <w:rPr>
          <w:rFonts w:ascii="Book Antiqua" w:hAnsi="Book Antiqua"/>
          <w:color w:val="000000"/>
        </w:rPr>
        <w:t>virological</w:t>
      </w:r>
      <w:proofErr w:type="spellEnd"/>
      <w:r w:rsidR="0041543C" w:rsidRPr="00CD3D64">
        <w:rPr>
          <w:rFonts w:ascii="Book Antiqua" w:hAnsi="Book Antiqua"/>
          <w:color w:val="000000"/>
        </w:rPr>
        <w:t xml:space="preserve"> response </w:t>
      </w:r>
      <w:r w:rsidR="00F80441" w:rsidRPr="00CD3D64">
        <w:rPr>
          <w:rFonts w:ascii="Book Antiqua" w:hAnsi="Book Antiqua"/>
          <w:color w:val="000000"/>
        </w:rPr>
        <w:t xml:space="preserve">rates for </w:t>
      </w:r>
      <w:r w:rsidR="00955E71" w:rsidRPr="00CD3D64">
        <w:rPr>
          <w:rFonts w:ascii="Book Antiqua" w:hAnsi="Book Antiqua"/>
          <w:color w:val="000000"/>
        </w:rPr>
        <w:t xml:space="preserve">the </w:t>
      </w:r>
      <w:r w:rsidR="00F80441" w:rsidRPr="00CD3D64">
        <w:rPr>
          <w:rFonts w:ascii="Book Antiqua" w:hAnsi="Book Antiqua"/>
          <w:color w:val="000000"/>
        </w:rPr>
        <w:t>overall cohort, patients &lt;</w:t>
      </w:r>
      <w:r w:rsidR="00363C8A" w:rsidRPr="00CD3D64">
        <w:rPr>
          <w:rFonts w:ascii="Book Antiqua" w:hAnsi="Book Antiqua"/>
          <w:color w:val="000000"/>
        </w:rPr>
        <w:t xml:space="preserve"> </w:t>
      </w:r>
      <w:r w:rsidR="00F80441" w:rsidRPr="00CD3D64">
        <w:rPr>
          <w:rFonts w:ascii="Book Antiqua" w:hAnsi="Book Antiqua"/>
          <w:color w:val="000000"/>
        </w:rPr>
        <w:t>65</w:t>
      </w:r>
      <w:r w:rsidR="00E5329F">
        <w:rPr>
          <w:rFonts w:ascii="Book Antiqua" w:hAnsi="Book Antiqua"/>
          <w:color w:val="000000"/>
        </w:rPr>
        <w:t>-</w:t>
      </w:r>
      <w:r w:rsidR="00F80441" w:rsidRPr="00CD3D64">
        <w:rPr>
          <w:rFonts w:ascii="Book Antiqua" w:hAnsi="Book Antiqua"/>
          <w:color w:val="000000"/>
        </w:rPr>
        <w:t>y</w:t>
      </w:r>
      <w:r w:rsidR="00291AA9" w:rsidRPr="00CD3D64">
        <w:rPr>
          <w:rFonts w:ascii="Book Antiqua" w:hAnsi="Book Antiqua"/>
          <w:color w:val="000000"/>
        </w:rPr>
        <w:t>ea</w:t>
      </w:r>
      <w:r w:rsidR="00F80441" w:rsidRPr="00CD3D64">
        <w:rPr>
          <w:rFonts w:ascii="Book Antiqua" w:hAnsi="Book Antiqua"/>
          <w:color w:val="000000"/>
        </w:rPr>
        <w:t>r</w:t>
      </w:r>
      <w:r w:rsidR="00E5329F">
        <w:rPr>
          <w:rFonts w:ascii="Book Antiqua" w:hAnsi="Book Antiqua"/>
          <w:color w:val="000000"/>
        </w:rPr>
        <w:t>s-</w:t>
      </w:r>
      <w:r w:rsidR="00F80441" w:rsidRPr="00CD3D64">
        <w:rPr>
          <w:rFonts w:ascii="Book Antiqua" w:hAnsi="Book Antiqua"/>
          <w:color w:val="000000"/>
        </w:rPr>
        <w:t xml:space="preserve">old, </w:t>
      </w:r>
      <w:r w:rsidR="00955E71" w:rsidRPr="00CD3D64">
        <w:rPr>
          <w:rFonts w:ascii="Book Antiqua" w:hAnsi="Book Antiqua"/>
          <w:color w:val="000000"/>
        </w:rPr>
        <w:t xml:space="preserve">patients </w:t>
      </w:r>
      <w:r w:rsidR="00F80441" w:rsidRPr="00CD3D64">
        <w:rPr>
          <w:rFonts w:ascii="Book Antiqua" w:hAnsi="Book Antiqua"/>
          <w:color w:val="000000"/>
        </w:rPr>
        <w:t>≥</w:t>
      </w:r>
      <w:r w:rsidR="00363C8A" w:rsidRPr="00CD3D64">
        <w:rPr>
          <w:rFonts w:ascii="Book Antiqua" w:hAnsi="Book Antiqua"/>
          <w:color w:val="000000"/>
        </w:rPr>
        <w:t xml:space="preserve"> </w:t>
      </w:r>
      <w:r w:rsidR="00F80441" w:rsidRPr="00CD3D64">
        <w:rPr>
          <w:rFonts w:ascii="Book Antiqua" w:hAnsi="Book Antiqua"/>
          <w:color w:val="000000"/>
        </w:rPr>
        <w:t>65</w:t>
      </w:r>
      <w:r w:rsidR="00E5329F">
        <w:rPr>
          <w:rFonts w:ascii="Book Antiqua" w:hAnsi="Book Antiqua"/>
          <w:color w:val="000000"/>
        </w:rPr>
        <w:t>-years-old</w:t>
      </w:r>
      <w:r w:rsidR="00F80441" w:rsidRPr="00CD3D64">
        <w:rPr>
          <w:rFonts w:ascii="Book Antiqua" w:hAnsi="Book Antiqua"/>
          <w:color w:val="000000"/>
        </w:rPr>
        <w:t xml:space="preserve"> </w:t>
      </w:r>
      <w:r w:rsidR="00955E71" w:rsidRPr="00CD3D64">
        <w:rPr>
          <w:rFonts w:ascii="Book Antiqua" w:hAnsi="Book Antiqua"/>
          <w:color w:val="000000"/>
        </w:rPr>
        <w:t xml:space="preserve">but </w:t>
      </w:r>
      <w:r w:rsidR="00F80441" w:rsidRPr="00CD3D64">
        <w:rPr>
          <w:rFonts w:ascii="Book Antiqua" w:hAnsi="Book Antiqua"/>
          <w:color w:val="000000"/>
        </w:rPr>
        <w:t>&lt;</w:t>
      </w:r>
      <w:r w:rsidR="00363C8A" w:rsidRPr="00CD3D64">
        <w:rPr>
          <w:rFonts w:ascii="Book Antiqua" w:hAnsi="Book Antiqua"/>
          <w:color w:val="000000"/>
        </w:rPr>
        <w:t xml:space="preserve"> </w:t>
      </w:r>
      <w:r w:rsidR="00F80441" w:rsidRPr="00CD3D64">
        <w:rPr>
          <w:rFonts w:ascii="Book Antiqua" w:hAnsi="Book Antiqua"/>
          <w:color w:val="000000"/>
        </w:rPr>
        <w:t>75</w:t>
      </w:r>
      <w:r w:rsidR="00E5329F">
        <w:rPr>
          <w:rFonts w:ascii="Book Antiqua" w:hAnsi="Book Antiqua"/>
          <w:color w:val="000000"/>
        </w:rPr>
        <w:t>-</w:t>
      </w:r>
      <w:r w:rsidR="00F80441" w:rsidRPr="00CD3D64">
        <w:rPr>
          <w:rFonts w:ascii="Book Antiqua" w:hAnsi="Book Antiqua"/>
          <w:color w:val="000000"/>
        </w:rPr>
        <w:t>y</w:t>
      </w:r>
      <w:r w:rsidR="00291AA9" w:rsidRPr="00CD3D64">
        <w:rPr>
          <w:rFonts w:ascii="Book Antiqua" w:hAnsi="Book Antiqua"/>
          <w:color w:val="000000"/>
        </w:rPr>
        <w:t>ea</w:t>
      </w:r>
      <w:r w:rsidR="00F80441" w:rsidRPr="00CD3D64">
        <w:rPr>
          <w:rFonts w:ascii="Book Antiqua" w:hAnsi="Book Antiqua"/>
          <w:color w:val="000000"/>
        </w:rPr>
        <w:t>r</w:t>
      </w:r>
      <w:r w:rsidR="00E5329F">
        <w:rPr>
          <w:rFonts w:ascii="Book Antiqua" w:hAnsi="Book Antiqua"/>
          <w:color w:val="000000"/>
        </w:rPr>
        <w:t>s-</w:t>
      </w:r>
      <w:r w:rsidR="00F80441" w:rsidRPr="00CD3D64">
        <w:rPr>
          <w:rFonts w:ascii="Book Antiqua" w:hAnsi="Book Antiqua"/>
          <w:color w:val="000000"/>
        </w:rPr>
        <w:t xml:space="preserve">old, and </w:t>
      </w:r>
      <w:r w:rsidR="00955E71" w:rsidRPr="00CD3D64">
        <w:rPr>
          <w:rFonts w:ascii="Book Antiqua" w:hAnsi="Book Antiqua"/>
          <w:color w:val="000000"/>
        </w:rPr>
        <w:t xml:space="preserve">patients </w:t>
      </w:r>
      <w:r w:rsidR="00F80441" w:rsidRPr="00CD3D64">
        <w:rPr>
          <w:rFonts w:ascii="Book Antiqua" w:hAnsi="Book Antiqua"/>
          <w:color w:val="000000"/>
        </w:rPr>
        <w:t>≥</w:t>
      </w:r>
      <w:r w:rsidR="00363C8A" w:rsidRPr="00CD3D64">
        <w:rPr>
          <w:rFonts w:ascii="Book Antiqua" w:hAnsi="Book Antiqua"/>
          <w:color w:val="000000"/>
        </w:rPr>
        <w:t xml:space="preserve"> </w:t>
      </w:r>
      <w:r w:rsidR="00F80441" w:rsidRPr="00CD3D64">
        <w:rPr>
          <w:rFonts w:ascii="Book Antiqua" w:hAnsi="Book Antiqua"/>
          <w:color w:val="000000"/>
        </w:rPr>
        <w:t>75</w:t>
      </w:r>
      <w:r w:rsidR="00E5329F">
        <w:rPr>
          <w:rFonts w:ascii="Book Antiqua" w:hAnsi="Book Antiqua"/>
          <w:color w:val="000000"/>
        </w:rPr>
        <w:t>-</w:t>
      </w:r>
      <w:r w:rsidR="00F80441" w:rsidRPr="00CD3D64">
        <w:rPr>
          <w:rFonts w:ascii="Book Antiqua" w:hAnsi="Book Antiqua"/>
          <w:color w:val="000000"/>
        </w:rPr>
        <w:t>y</w:t>
      </w:r>
      <w:r w:rsidR="00291AA9" w:rsidRPr="00CD3D64">
        <w:rPr>
          <w:rFonts w:ascii="Book Antiqua" w:hAnsi="Book Antiqua"/>
          <w:color w:val="000000"/>
        </w:rPr>
        <w:t>ea</w:t>
      </w:r>
      <w:r w:rsidR="00F80441" w:rsidRPr="00CD3D64">
        <w:rPr>
          <w:rFonts w:ascii="Book Antiqua" w:hAnsi="Book Antiqua"/>
          <w:color w:val="000000"/>
        </w:rPr>
        <w:t>r</w:t>
      </w:r>
      <w:r w:rsidR="00E5329F">
        <w:rPr>
          <w:rFonts w:ascii="Book Antiqua" w:hAnsi="Book Antiqua"/>
          <w:color w:val="000000"/>
        </w:rPr>
        <w:t>s-</w:t>
      </w:r>
      <w:r w:rsidR="00F80441" w:rsidRPr="00CD3D64">
        <w:rPr>
          <w:rFonts w:ascii="Book Antiqua" w:hAnsi="Book Antiqua"/>
          <w:color w:val="000000"/>
        </w:rPr>
        <w:t xml:space="preserve">old </w:t>
      </w:r>
      <w:r w:rsidR="00955E71" w:rsidRPr="00CD3D64">
        <w:rPr>
          <w:rFonts w:ascii="Book Antiqua" w:hAnsi="Book Antiqua"/>
          <w:color w:val="000000"/>
        </w:rPr>
        <w:t xml:space="preserve">are </w:t>
      </w:r>
      <w:r w:rsidR="00F80441" w:rsidRPr="00CD3D64">
        <w:rPr>
          <w:rFonts w:ascii="Book Antiqua" w:hAnsi="Book Antiqua"/>
          <w:color w:val="000000"/>
        </w:rPr>
        <w:t xml:space="preserve">97% (258/265), 98% (93/95), 97% (84/87), and 98% (81/83), respectively. </w:t>
      </w:r>
      <w:r w:rsidR="00F80441" w:rsidRPr="00CD3D64">
        <w:rPr>
          <w:rFonts w:ascii="Book Antiqua" w:hAnsi="Book Antiqua"/>
          <w:bCs/>
          <w:iCs/>
          <w:color w:val="000000"/>
        </w:rPr>
        <w:t>No significant difference</w:t>
      </w:r>
      <w:r w:rsidR="00955E71" w:rsidRPr="00CD3D64">
        <w:rPr>
          <w:rFonts w:ascii="Book Antiqua" w:hAnsi="Book Antiqua"/>
          <w:bCs/>
          <w:iCs/>
          <w:color w:val="000000"/>
        </w:rPr>
        <w:t>s</w:t>
      </w:r>
      <w:r w:rsidR="00F80441" w:rsidRPr="00CD3D64">
        <w:rPr>
          <w:rFonts w:ascii="Book Antiqua" w:hAnsi="Book Antiqua"/>
          <w:bCs/>
          <w:iCs/>
          <w:color w:val="000000"/>
        </w:rPr>
        <w:t xml:space="preserve"> </w:t>
      </w:r>
      <w:r w:rsidR="00955E71" w:rsidRPr="00CD3D64">
        <w:rPr>
          <w:rFonts w:ascii="Book Antiqua" w:hAnsi="Book Antiqua"/>
          <w:bCs/>
          <w:iCs/>
          <w:color w:val="000000"/>
        </w:rPr>
        <w:t xml:space="preserve">are apparent </w:t>
      </w:r>
      <w:r w:rsidR="00F80441" w:rsidRPr="00CD3D64">
        <w:rPr>
          <w:rFonts w:ascii="Book Antiqua" w:hAnsi="Book Antiqua"/>
          <w:bCs/>
          <w:iCs/>
          <w:color w:val="000000"/>
        </w:rPr>
        <w:t>among age groups (</w:t>
      </w:r>
      <w:r w:rsidR="00363C8A" w:rsidRPr="00CD3D64">
        <w:rPr>
          <w:rFonts w:ascii="Book Antiqua" w:hAnsi="Book Antiqua"/>
          <w:bCs/>
          <w:i/>
          <w:color w:val="000000"/>
        </w:rPr>
        <w:t>P</w:t>
      </w:r>
      <w:r w:rsidR="00363C8A" w:rsidRPr="00CD3D64">
        <w:rPr>
          <w:rFonts w:ascii="Book Antiqua" w:hAnsi="Book Antiqua"/>
          <w:bCs/>
          <w:iCs/>
          <w:color w:val="000000"/>
        </w:rPr>
        <w:t xml:space="preserve"> </w:t>
      </w:r>
      <w:r w:rsidR="00F80441" w:rsidRPr="00CD3D64">
        <w:rPr>
          <w:rFonts w:ascii="Book Antiqua" w:hAnsi="Book Antiqua"/>
          <w:bCs/>
          <w:iCs/>
          <w:color w:val="000000"/>
        </w:rPr>
        <w:t>=</w:t>
      </w:r>
      <w:r w:rsidR="00363C8A" w:rsidRPr="00CD3D64">
        <w:rPr>
          <w:rFonts w:ascii="Book Antiqua" w:hAnsi="Book Antiqua"/>
          <w:bCs/>
          <w:iCs/>
          <w:color w:val="000000"/>
        </w:rPr>
        <w:t xml:space="preserve"> </w:t>
      </w:r>
      <w:r w:rsidR="00291AA9" w:rsidRPr="00CD3D64">
        <w:rPr>
          <w:rFonts w:ascii="Book Antiqua" w:hAnsi="Book Antiqua"/>
          <w:bCs/>
          <w:iCs/>
          <w:color w:val="000000"/>
        </w:rPr>
        <w:t>0.842).</w:t>
      </w:r>
    </w:p>
    <w:p w:rsidR="00C57235" w:rsidRPr="00CD3D64" w:rsidRDefault="00F41395" w:rsidP="00CD3D64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bCs/>
          <w:iCs/>
          <w:color w:val="000000"/>
        </w:rPr>
      </w:pPr>
      <w:r w:rsidRPr="00CD3D64">
        <w:rPr>
          <w:rFonts w:ascii="Book Antiqua" w:hAnsi="Book Antiqua"/>
          <w:b/>
          <w:bCs/>
          <w:iCs/>
          <w:color w:val="000000"/>
        </w:rPr>
        <w:br w:type="page"/>
      </w:r>
      <w:r w:rsidR="00064E74">
        <w:rPr>
          <w:rFonts w:ascii="Book Antiqua" w:hAnsi="Book Antiqua"/>
          <w:b/>
          <w:bCs/>
          <w:iCs/>
          <w:noProof/>
          <w:color w:val="000000"/>
          <w:lang w:eastAsia="zh-CN"/>
        </w:rPr>
        <w:lastRenderedPageBreak/>
        <w:drawing>
          <wp:inline distT="0" distB="0" distL="0" distR="0">
            <wp:extent cx="5398135" cy="2766695"/>
            <wp:effectExtent l="0" t="0" r="0" b="0"/>
            <wp:docPr id="2" name="图片 2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27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AD6" w:rsidRPr="00CD3D64" w:rsidRDefault="000930DB" w:rsidP="00CD3D64">
      <w:pPr>
        <w:adjustRightInd w:val="0"/>
        <w:snapToGrid w:val="0"/>
        <w:spacing w:line="360" w:lineRule="auto"/>
        <w:rPr>
          <w:rFonts w:ascii="Book Antiqua" w:hAnsi="Book Antiqua"/>
          <w:b/>
          <w:bCs/>
          <w:color w:val="000000"/>
        </w:rPr>
      </w:pPr>
      <w:r w:rsidRPr="00CD3D64">
        <w:rPr>
          <w:rFonts w:ascii="Book Antiqua" w:hAnsi="Book Antiqua"/>
          <w:b/>
          <w:bCs/>
          <w:color w:val="000000"/>
        </w:rPr>
        <w:t xml:space="preserve">Figure </w:t>
      </w:r>
      <w:proofErr w:type="gramStart"/>
      <w:r w:rsidR="00F80441" w:rsidRPr="00CD3D64">
        <w:rPr>
          <w:rFonts w:ascii="Book Antiqua" w:hAnsi="Book Antiqua"/>
          <w:b/>
          <w:bCs/>
          <w:color w:val="000000"/>
        </w:rPr>
        <w:t>2</w:t>
      </w:r>
      <w:proofErr w:type="gramEnd"/>
      <w:r w:rsidRPr="00CD3D64">
        <w:rPr>
          <w:rFonts w:ascii="Book Antiqua" w:hAnsi="Book Antiqua"/>
          <w:b/>
          <w:bCs/>
          <w:color w:val="000000"/>
        </w:rPr>
        <w:t xml:space="preserve"> Comparison of viral negativity rate</w:t>
      </w:r>
      <w:r w:rsidR="000E3B64" w:rsidRPr="00CD3D64">
        <w:rPr>
          <w:rFonts w:ascii="Book Antiqua" w:hAnsi="Book Antiqua"/>
          <w:b/>
          <w:bCs/>
          <w:color w:val="000000"/>
        </w:rPr>
        <w:t>s</w:t>
      </w:r>
      <w:r w:rsidRPr="00CD3D64">
        <w:rPr>
          <w:rFonts w:ascii="Book Antiqua" w:hAnsi="Book Antiqua"/>
          <w:b/>
          <w:bCs/>
          <w:color w:val="000000"/>
        </w:rPr>
        <w:t xml:space="preserve"> between patients ≥</w:t>
      </w:r>
      <w:r w:rsidR="00363C8A" w:rsidRPr="00CD3D64">
        <w:rPr>
          <w:rFonts w:ascii="Book Antiqua" w:hAnsi="Book Antiqua"/>
          <w:b/>
          <w:bCs/>
          <w:color w:val="000000"/>
        </w:rPr>
        <w:t xml:space="preserve"> </w:t>
      </w:r>
      <w:r w:rsidRPr="00CD3D64">
        <w:rPr>
          <w:rFonts w:ascii="Book Antiqua" w:hAnsi="Book Antiqua"/>
          <w:b/>
          <w:bCs/>
          <w:color w:val="000000"/>
        </w:rPr>
        <w:t>75</w:t>
      </w:r>
      <w:r w:rsidR="00D242AF">
        <w:rPr>
          <w:rFonts w:ascii="Book Antiqua" w:hAnsi="Book Antiqua"/>
          <w:b/>
          <w:bCs/>
          <w:color w:val="000000"/>
        </w:rPr>
        <w:t>-years-old</w:t>
      </w:r>
      <w:r w:rsidR="00955E71" w:rsidRPr="00CD3D64">
        <w:rPr>
          <w:rFonts w:ascii="Book Antiqua" w:hAnsi="Book Antiqua"/>
          <w:b/>
          <w:bCs/>
          <w:color w:val="000000"/>
        </w:rPr>
        <w:t xml:space="preserve"> </w:t>
      </w:r>
      <w:r w:rsidRPr="00CD3D64">
        <w:rPr>
          <w:rFonts w:ascii="Book Antiqua" w:hAnsi="Book Antiqua"/>
          <w:b/>
          <w:bCs/>
          <w:color w:val="000000"/>
        </w:rPr>
        <w:t>and &lt;</w:t>
      </w:r>
      <w:r w:rsidR="00363C8A" w:rsidRPr="00CD3D64">
        <w:rPr>
          <w:rFonts w:ascii="Book Antiqua" w:hAnsi="Book Antiqua"/>
          <w:b/>
          <w:bCs/>
          <w:color w:val="000000"/>
        </w:rPr>
        <w:t xml:space="preserve"> </w:t>
      </w:r>
      <w:r w:rsidRPr="00CD3D64">
        <w:rPr>
          <w:rFonts w:ascii="Book Antiqua" w:hAnsi="Book Antiqua"/>
          <w:b/>
          <w:bCs/>
          <w:color w:val="000000"/>
        </w:rPr>
        <w:t>75</w:t>
      </w:r>
      <w:r w:rsidR="00D242AF">
        <w:rPr>
          <w:rFonts w:ascii="Book Antiqua" w:hAnsi="Book Antiqua"/>
          <w:b/>
          <w:bCs/>
          <w:color w:val="000000"/>
        </w:rPr>
        <w:t>-years-old</w:t>
      </w:r>
      <w:r w:rsidR="000E3B64" w:rsidRPr="00CD3D64">
        <w:rPr>
          <w:rFonts w:ascii="Book Antiqua" w:hAnsi="Book Antiqua"/>
          <w:b/>
          <w:bCs/>
          <w:color w:val="000000"/>
        </w:rPr>
        <w:t xml:space="preserve"> </w:t>
      </w:r>
      <w:r w:rsidRPr="00CD3D64">
        <w:rPr>
          <w:rFonts w:ascii="Book Antiqua" w:hAnsi="Book Antiqua"/>
          <w:b/>
          <w:bCs/>
          <w:color w:val="000000"/>
        </w:rPr>
        <w:t>during treatment</w:t>
      </w:r>
      <w:r w:rsidR="0075413D" w:rsidRPr="00CD3D64">
        <w:rPr>
          <w:rFonts w:ascii="Book Antiqua" w:hAnsi="Book Antiqua"/>
          <w:b/>
          <w:bCs/>
          <w:color w:val="000000"/>
        </w:rPr>
        <w:t>.</w:t>
      </w:r>
      <w:r w:rsidR="0075413D" w:rsidRPr="00CD3D64">
        <w:rPr>
          <w:rFonts w:ascii="Book Antiqua" w:eastAsia="等线" w:hAnsi="Book Antiqua"/>
          <w:b/>
          <w:bCs/>
          <w:color w:val="000000"/>
          <w:lang w:eastAsia="zh-CN"/>
        </w:rPr>
        <w:t xml:space="preserve"> </w:t>
      </w:r>
      <w:r w:rsidR="00F80441" w:rsidRPr="00CD3D64">
        <w:rPr>
          <w:rFonts w:ascii="Book Antiqua" w:hAnsi="Book Antiqua"/>
          <w:color w:val="000000"/>
        </w:rPr>
        <w:t xml:space="preserve">Rapid </w:t>
      </w:r>
      <w:proofErr w:type="spellStart"/>
      <w:r w:rsidR="00F80441" w:rsidRPr="00CD3D64">
        <w:rPr>
          <w:rFonts w:ascii="Book Antiqua" w:hAnsi="Book Antiqua"/>
          <w:color w:val="000000"/>
        </w:rPr>
        <w:t>virological</w:t>
      </w:r>
      <w:proofErr w:type="spellEnd"/>
      <w:r w:rsidR="00F80441" w:rsidRPr="00CD3D64">
        <w:rPr>
          <w:rFonts w:ascii="Book Antiqua" w:hAnsi="Book Antiqua"/>
          <w:color w:val="000000"/>
        </w:rPr>
        <w:t xml:space="preserve"> response rates of </w:t>
      </w:r>
      <w:proofErr w:type="gramStart"/>
      <w:r w:rsidR="00F80441" w:rsidRPr="00CD3D64">
        <w:rPr>
          <w:rFonts w:ascii="Book Antiqua" w:hAnsi="Book Antiqua"/>
          <w:color w:val="000000"/>
        </w:rPr>
        <w:t>patients</w:t>
      </w:r>
      <w:proofErr w:type="gramEnd"/>
      <w:r w:rsidR="00F80441" w:rsidRPr="00CD3D64">
        <w:rPr>
          <w:rFonts w:ascii="Book Antiqua" w:hAnsi="Book Antiqua"/>
          <w:color w:val="000000"/>
        </w:rPr>
        <w:t xml:space="preserve"> ≥</w:t>
      </w:r>
      <w:r w:rsidR="00923AE0" w:rsidRPr="00CD3D64">
        <w:rPr>
          <w:rFonts w:ascii="Book Antiqua" w:hAnsi="Book Antiqua"/>
          <w:color w:val="000000"/>
        </w:rPr>
        <w:t xml:space="preserve"> </w:t>
      </w:r>
      <w:r w:rsidR="00F80441" w:rsidRPr="00CD3D64">
        <w:rPr>
          <w:rFonts w:ascii="Book Antiqua" w:hAnsi="Book Antiqua"/>
          <w:color w:val="000000"/>
        </w:rPr>
        <w:t>75</w:t>
      </w:r>
      <w:r w:rsidR="00E5329F">
        <w:rPr>
          <w:rFonts w:ascii="Book Antiqua" w:hAnsi="Book Antiqua"/>
          <w:color w:val="000000"/>
        </w:rPr>
        <w:t>-</w:t>
      </w:r>
      <w:r w:rsidR="00955E71" w:rsidRPr="00CD3D64">
        <w:rPr>
          <w:rFonts w:ascii="Book Antiqua" w:hAnsi="Book Antiqua"/>
          <w:color w:val="000000"/>
        </w:rPr>
        <w:t>y</w:t>
      </w:r>
      <w:r w:rsidR="00291AA9" w:rsidRPr="00CD3D64">
        <w:rPr>
          <w:rFonts w:ascii="Book Antiqua" w:hAnsi="Book Antiqua"/>
          <w:color w:val="000000"/>
        </w:rPr>
        <w:t>ea</w:t>
      </w:r>
      <w:r w:rsidR="00955E71" w:rsidRPr="00CD3D64">
        <w:rPr>
          <w:rFonts w:ascii="Book Antiqua" w:hAnsi="Book Antiqua"/>
          <w:color w:val="000000"/>
        </w:rPr>
        <w:t>r</w:t>
      </w:r>
      <w:r w:rsidR="00E5329F">
        <w:rPr>
          <w:rFonts w:ascii="Book Antiqua" w:hAnsi="Book Antiqua"/>
          <w:color w:val="000000"/>
        </w:rPr>
        <w:t>s-</w:t>
      </w:r>
      <w:r w:rsidR="00955E71" w:rsidRPr="00CD3D64">
        <w:rPr>
          <w:rFonts w:ascii="Book Antiqua" w:hAnsi="Book Antiqua"/>
          <w:color w:val="000000"/>
        </w:rPr>
        <w:t xml:space="preserve">old </w:t>
      </w:r>
      <w:r w:rsidR="00F80441" w:rsidRPr="00CD3D64">
        <w:rPr>
          <w:rFonts w:ascii="Book Antiqua" w:hAnsi="Book Antiqua"/>
          <w:color w:val="000000"/>
        </w:rPr>
        <w:t>and &lt;</w:t>
      </w:r>
      <w:r w:rsidR="00923AE0" w:rsidRPr="00CD3D64">
        <w:rPr>
          <w:rFonts w:ascii="Book Antiqua" w:hAnsi="Book Antiqua"/>
          <w:color w:val="000000"/>
        </w:rPr>
        <w:t xml:space="preserve"> </w:t>
      </w:r>
      <w:r w:rsidR="00F80441" w:rsidRPr="00CD3D64">
        <w:rPr>
          <w:rFonts w:ascii="Book Antiqua" w:hAnsi="Book Antiqua"/>
          <w:color w:val="000000"/>
        </w:rPr>
        <w:t>75</w:t>
      </w:r>
      <w:r w:rsidR="00D242AF">
        <w:rPr>
          <w:rFonts w:ascii="Book Antiqua" w:hAnsi="Book Antiqua"/>
          <w:color w:val="000000"/>
        </w:rPr>
        <w:t>-years-old</w:t>
      </w:r>
      <w:r w:rsidR="00F80441" w:rsidRPr="00CD3D64">
        <w:rPr>
          <w:rFonts w:ascii="Book Antiqua" w:hAnsi="Book Antiqua"/>
          <w:color w:val="000000"/>
        </w:rPr>
        <w:t xml:space="preserve"> </w:t>
      </w:r>
      <w:r w:rsidR="00955E71" w:rsidRPr="00CD3D64">
        <w:rPr>
          <w:rFonts w:ascii="Book Antiqua" w:hAnsi="Book Antiqua"/>
          <w:color w:val="000000"/>
        </w:rPr>
        <w:t>a</w:t>
      </w:r>
      <w:r w:rsidR="00F80441" w:rsidRPr="00CD3D64">
        <w:rPr>
          <w:rFonts w:ascii="Book Antiqua" w:hAnsi="Book Antiqua"/>
          <w:color w:val="000000"/>
        </w:rPr>
        <w:t xml:space="preserve">re 84% and 89%, respectively. Although </w:t>
      </w:r>
      <w:r w:rsidR="0041543C" w:rsidRPr="00CD3D64">
        <w:rPr>
          <w:rFonts w:ascii="Book Antiqua" w:hAnsi="Book Antiqua"/>
          <w:color w:val="000000"/>
        </w:rPr>
        <w:t xml:space="preserve">rapid </w:t>
      </w:r>
      <w:proofErr w:type="spellStart"/>
      <w:r w:rsidR="0041543C" w:rsidRPr="00CD3D64">
        <w:rPr>
          <w:rFonts w:ascii="Book Antiqua" w:hAnsi="Book Antiqua"/>
          <w:color w:val="000000"/>
        </w:rPr>
        <w:t>virological</w:t>
      </w:r>
      <w:proofErr w:type="spellEnd"/>
      <w:r w:rsidR="0041543C" w:rsidRPr="00CD3D64">
        <w:rPr>
          <w:rFonts w:ascii="Book Antiqua" w:hAnsi="Book Antiqua"/>
          <w:color w:val="000000"/>
        </w:rPr>
        <w:t xml:space="preserve"> response rates</w:t>
      </w:r>
      <w:r w:rsidR="00F80441" w:rsidRPr="00CD3D64">
        <w:rPr>
          <w:rFonts w:ascii="Book Antiqua" w:hAnsi="Book Antiqua"/>
          <w:color w:val="000000"/>
        </w:rPr>
        <w:t xml:space="preserve"> </w:t>
      </w:r>
      <w:r w:rsidR="00955E71" w:rsidRPr="00CD3D64">
        <w:rPr>
          <w:rFonts w:ascii="Book Antiqua" w:hAnsi="Book Antiqua"/>
          <w:color w:val="000000"/>
        </w:rPr>
        <w:t xml:space="preserve">tend </w:t>
      </w:r>
      <w:r w:rsidR="00F80441" w:rsidRPr="00CD3D64">
        <w:rPr>
          <w:rFonts w:ascii="Book Antiqua" w:hAnsi="Book Antiqua"/>
          <w:color w:val="000000"/>
        </w:rPr>
        <w:t>to be higher in patients ≥</w:t>
      </w:r>
      <w:r w:rsidR="00923AE0" w:rsidRPr="00CD3D64">
        <w:rPr>
          <w:rFonts w:ascii="Book Antiqua" w:hAnsi="Book Antiqua"/>
          <w:color w:val="000000"/>
        </w:rPr>
        <w:t xml:space="preserve"> </w:t>
      </w:r>
      <w:r w:rsidR="00F80441" w:rsidRPr="00CD3D64">
        <w:rPr>
          <w:rFonts w:ascii="Book Antiqua" w:hAnsi="Book Antiqua"/>
          <w:color w:val="000000"/>
        </w:rPr>
        <w:t>75</w:t>
      </w:r>
      <w:r w:rsidR="00E5329F">
        <w:rPr>
          <w:rFonts w:ascii="Book Antiqua" w:hAnsi="Book Antiqua"/>
          <w:color w:val="000000"/>
        </w:rPr>
        <w:t>-</w:t>
      </w:r>
      <w:r w:rsidR="00812A7A" w:rsidRPr="00CD3D64">
        <w:rPr>
          <w:rFonts w:ascii="Book Antiqua" w:hAnsi="Book Antiqua"/>
          <w:color w:val="000000"/>
        </w:rPr>
        <w:t>y</w:t>
      </w:r>
      <w:r w:rsidR="00291AA9" w:rsidRPr="00CD3D64">
        <w:rPr>
          <w:rFonts w:ascii="Book Antiqua" w:hAnsi="Book Antiqua"/>
          <w:color w:val="000000"/>
        </w:rPr>
        <w:t>ea</w:t>
      </w:r>
      <w:r w:rsidR="00812A7A" w:rsidRPr="00CD3D64">
        <w:rPr>
          <w:rFonts w:ascii="Book Antiqua" w:hAnsi="Book Antiqua"/>
          <w:color w:val="000000"/>
        </w:rPr>
        <w:t>r</w:t>
      </w:r>
      <w:r w:rsidR="00E5329F">
        <w:rPr>
          <w:rFonts w:ascii="Book Antiqua" w:hAnsi="Book Antiqua"/>
          <w:color w:val="000000"/>
        </w:rPr>
        <w:t>s-</w:t>
      </w:r>
      <w:r w:rsidR="00F80441" w:rsidRPr="00CD3D64">
        <w:rPr>
          <w:rFonts w:ascii="Book Antiqua" w:hAnsi="Book Antiqua"/>
          <w:color w:val="000000"/>
        </w:rPr>
        <w:t>old than in patients &lt;</w:t>
      </w:r>
      <w:r w:rsidR="00923AE0" w:rsidRPr="00CD3D64">
        <w:rPr>
          <w:rFonts w:ascii="Book Antiqua" w:hAnsi="Book Antiqua"/>
          <w:color w:val="000000"/>
        </w:rPr>
        <w:t xml:space="preserve"> </w:t>
      </w:r>
      <w:r w:rsidR="00F80441" w:rsidRPr="00CD3D64">
        <w:rPr>
          <w:rFonts w:ascii="Book Antiqua" w:hAnsi="Book Antiqua"/>
          <w:color w:val="000000"/>
        </w:rPr>
        <w:t>75</w:t>
      </w:r>
      <w:r w:rsidR="00E5329F">
        <w:rPr>
          <w:rFonts w:ascii="Book Antiqua" w:hAnsi="Book Antiqua"/>
          <w:color w:val="000000"/>
        </w:rPr>
        <w:t>-</w:t>
      </w:r>
      <w:r w:rsidR="00812A7A" w:rsidRPr="00CD3D64">
        <w:rPr>
          <w:rFonts w:ascii="Book Antiqua" w:hAnsi="Book Antiqua"/>
          <w:color w:val="000000"/>
        </w:rPr>
        <w:t>y</w:t>
      </w:r>
      <w:r w:rsidR="00291AA9" w:rsidRPr="00CD3D64">
        <w:rPr>
          <w:rFonts w:ascii="Book Antiqua" w:hAnsi="Book Antiqua"/>
          <w:color w:val="000000"/>
        </w:rPr>
        <w:t>ea</w:t>
      </w:r>
      <w:r w:rsidR="00812A7A" w:rsidRPr="00CD3D64">
        <w:rPr>
          <w:rFonts w:ascii="Book Antiqua" w:hAnsi="Book Antiqua"/>
          <w:color w:val="000000"/>
        </w:rPr>
        <w:t>r</w:t>
      </w:r>
      <w:r w:rsidR="00E5329F">
        <w:rPr>
          <w:rFonts w:ascii="Book Antiqua" w:hAnsi="Book Antiqua"/>
          <w:color w:val="000000"/>
        </w:rPr>
        <w:t>s-</w:t>
      </w:r>
      <w:r w:rsidR="00F80441" w:rsidRPr="00CD3D64">
        <w:rPr>
          <w:rFonts w:ascii="Book Antiqua" w:hAnsi="Book Antiqua"/>
          <w:color w:val="000000"/>
        </w:rPr>
        <w:t xml:space="preserve">old, the difference </w:t>
      </w:r>
      <w:r w:rsidR="00955E71" w:rsidRPr="00CD3D64">
        <w:rPr>
          <w:rFonts w:ascii="Book Antiqua" w:hAnsi="Book Antiqua"/>
          <w:color w:val="000000"/>
        </w:rPr>
        <w:t xml:space="preserve">is </w:t>
      </w:r>
      <w:r w:rsidR="00F80441" w:rsidRPr="00CD3D64">
        <w:rPr>
          <w:rFonts w:ascii="Book Antiqua" w:hAnsi="Book Antiqua"/>
          <w:color w:val="000000"/>
        </w:rPr>
        <w:t>not significant (</w:t>
      </w:r>
      <w:r w:rsidR="00923AE0" w:rsidRPr="00CD3D64">
        <w:rPr>
          <w:rFonts w:ascii="Book Antiqua" w:hAnsi="Book Antiqua"/>
          <w:i/>
          <w:iCs/>
          <w:color w:val="000000"/>
        </w:rPr>
        <w:t xml:space="preserve">P </w:t>
      </w:r>
      <w:r w:rsidR="00F80441" w:rsidRPr="00CD3D64">
        <w:rPr>
          <w:rFonts w:ascii="Book Antiqua" w:hAnsi="Book Antiqua"/>
          <w:color w:val="000000"/>
        </w:rPr>
        <w:t>=</w:t>
      </w:r>
      <w:r w:rsidR="00923AE0" w:rsidRPr="00CD3D64">
        <w:rPr>
          <w:rFonts w:ascii="Book Antiqua" w:hAnsi="Book Antiqua"/>
          <w:color w:val="000000"/>
        </w:rPr>
        <w:t xml:space="preserve"> </w:t>
      </w:r>
      <w:r w:rsidR="00F80441" w:rsidRPr="00CD3D64">
        <w:rPr>
          <w:rFonts w:ascii="Book Antiqua" w:hAnsi="Book Antiqua"/>
          <w:color w:val="000000"/>
        </w:rPr>
        <w:t xml:space="preserve">0.266). </w:t>
      </w:r>
      <w:r w:rsidR="00987CA7" w:rsidRPr="00CD3D64">
        <w:rPr>
          <w:rFonts w:ascii="Book Antiqua" w:hAnsi="Book Antiqua"/>
          <w:color w:val="000000"/>
        </w:rPr>
        <w:t>End</w:t>
      </w:r>
      <w:r w:rsidR="00955E71" w:rsidRPr="00CD3D64">
        <w:rPr>
          <w:rFonts w:ascii="Book Antiqua" w:hAnsi="Book Antiqua"/>
          <w:color w:val="000000"/>
        </w:rPr>
        <w:t>-</w:t>
      </w:r>
      <w:r w:rsidR="00987CA7" w:rsidRPr="00CD3D64">
        <w:rPr>
          <w:rFonts w:ascii="Book Antiqua" w:hAnsi="Book Antiqua"/>
          <w:color w:val="000000"/>
        </w:rPr>
        <w:t>of</w:t>
      </w:r>
      <w:r w:rsidR="00955E71" w:rsidRPr="00CD3D64">
        <w:rPr>
          <w:rFonts w:ascii="Book Antiqua" w:hAnsi="Book Antiqua"/>
          <w:color w:val="000000"/>
        </w:rPr>
        <w:t>-</w:t>
      </w:r>
      <w:r w:rsidR="00987CA7" w:rsidRPr="00CD3D64">
        <w:rPr>
          <w:rFonts w:ascii="Book Antiqua" w:hAnsi="Book Antiqua"/>
          <w:color w:val="000000"/>
        </w:rPr>
        <w:t>treatment response rate</w:t>
      </w:r>
      <w:r w:rsidR="00955E71" w:rsidRPr="00CD3D64">
        <w:rPr>
          <w:rFonts w:ascii="Book Antiqua" w:hAnsi="Book Antiqua"/>
          <w:color w:val="000000"/>
        </w:rPr>
        <w:t>s</w:t>
      </w:r>
      <w:r w:rsidR="00987CA7" w:rsidRPr="00CD3D64">
        <w:rPr>
          <w:rFonts w:ascii="Book Antiqua" w:hAnsi="Book Antiqua"/>
          <w:color w:val="000000"/>
        </w:rPr>
        <w:t xml:space="preserve"> </w:t>
      </w:r>
      <w:r w:rsidR="00955E71" w:rsidRPr="00CD3D64">
        <w:rPr>
          <w:rFonts w:ascii="Book Antiqua" w:hAnsi="Book Antiqua"/>
          <w:bCs/>
          <w:iCs/>
          <w:color w:val="000000"/>
        </w:rPr>
        <w:t xml:space="preserve">for </w:t>
      </w:r>
      <w:proofErr w:type="gramStart"/>
      <w:r w:rsidR="00F80441" w:rsidRPr="00CD3D64">
        <w:rPr>
          <w:rFonts w:ascii="Book Antiqua" w:hAnsi="Book Antiqua"/>
          <w:color w:val="000000"/>
        </w:rPr>
        <w:t>patients</w:t>
      </w:r>
      <w:proofErr w:type="gramEnd"/>
      <w:r w:rsidR="00F80441" w:rsidRPr="00CD3D64">
        <w:rPr>
          <w:rFonts w:ascii="Book Antiqua" w:hAnsi="Book Antiqua"/>
          <w:color w:val="000000"/>
        </w:rPr>
        <w:t xml:space="preserve"> ≥</w:t>
      </w:r>
      <w:r w:rsidR="00923AE0" w:rsidRPr="00CD3D64">
        <w:rPr>
          <w:rFonts w:ascii="Book Antiqua" w:hAnsi="Book Antiqua"/>
          <w:color w:val="000000"/>
        </w:rPr>
        <w:t xml:space="preserve"> </w:t>
      </w:r>
      <w:r w:rsidR="00F80441" w:rsidRPr="00CD3D64">
        <w:rPr>
          <w:rFonts w:ascii="Book Antiqua" w:hAnsi="Book Antiqua"/>
          <w:color w:val="000000"/>
        </w:rPr>
        <w:t>75</w:t>
      </w:r>
      <w:r w:rsidR="00E5329F">
        <w:rPr>
          <w:rFonts w:ascii="Book Antiqua" w:hAnsi="Book Antiqua"/>
          <w:color w:val="000000"/>
        </w:rPr>
        <w:t>-</w:t>
      </w:r>
      <w:r w:rsidR="00812A7A" w:rsidRPr="00CD3D64">
        <w:rPr>
          <w:rFonts w:ascii="Book Antiqua" w:hAnsi="Book Antiqua"/>
          <w:color w:val="000000"/>
        </w:rPr>
        <w:t>y</w:t>
      </w:r>
      <w:r w:rsidR="00291AA9" w:rsidRPr="00CD3D64">
        <w:rPr>
          <w:rFonts w:ascii="Book Antiqua" w:hAnsi="Book Antiqua"/>
          <w:color w:val="000000"/>
        </w:rPr>
        <w:t>ea</w:t>
      </w:r>
      <w:r w:rsidR="00812A7A" w:rsidRPr="00CD3D64">
        <w:rPr>
          <w:rFonts w:ascii="Book Antiqua" w:hAnsi="Book Antiqua"/>
          <w:color w:val="000000"/>
        </w:rPr>
        <w:t>r</w:t>
      </w:r>
      <w:r w:rsidR="00E5329F">
        <w:rPr>
          <w:rFonts w:ascii="Book Antiqua" w:hAnsi="Book Antiqua"/>
          <w:color w:val="000000"/>
        </w:rPr>
        <w:t>s-</w:t>
      </w:r>
      <w:r w:rsidR="00955E71" w:rsidRPr="00CD3D64">
        <w:rPr>
          <w:rFonts w:ascii="Book Antiqua" w:hAnsi="Book Antiqua"/>
          <w:color w:val="000000"/>
        </w:rPr>
        <w:t xml:space="preserve">old </w:t>
      </w:r>
      <w:r w:rsidR="00F80441" w:rsidRPr="00CD3D64">
        <w:rPr>
          <w:rFonts w:ascii="Book Antiqua" w:hAnsi="Book Antiqua"/>
          <w:color w:val="000000"/>
        </w:rPr>
        <w:t>and &lt;</w:t>
      </w:r>
      <w:r w:rsidR="00923AE0" w:rsidRPr="00CD3D64">
        <w:rPr>
          <w:rFonts w:ascii="Book Antiqua" w:hAnsi="Book Antiqua"/>
          <w:color w:val="000000"/>
        </w:rPr>
        <w:t xml:space="preserve"> </w:t>
      </w:r>
      <w:r w:rsidR="00F80441" w:rsidRPr="00CD3D64">
        <w:rPr>
          <w:rFonts w:ascii="Book Antiqua" w:hAnsi="Book Antiqua"/>
          <w:color w:val="000000"/>
        </w:rPr>
        <w:t>75</w:t>
      </w:r>
      <w:r w:rsidR="00E5329F">
        <w:rPr>
          <w:rFonts w:ascii="Book Antiqua" w:hAnsi="Book Antiqua"/>
          <w:color w:val="000000"/>
        </w:rPr>
        <w:t>-</w:t>
      </w:r>
      <w:r w:rsidR="00812A7A" w:rsidRPr="00CD3D64">
        <w:rPr>
          <w:rFonts w:ascii="Book Antiqua" w:hAnsi="Book Antiqua"/>
          <w:color w:val="000000"/>
        </w:rPr>
        <w:t>y</w:t>
      </w:r>
      <w:r w:rsidR="00291AA9" w:rsidRPr="00CD3D64">
        <w:rPr>
          <w:rFonts w:ascii="Book Antiqua" w:hAnsi="Book Antiqua"/>
          <w:color w:val="000000"/>
        </w:rPr>
        <w:t>ea</w:t>
      </w:r>
      <w:r w:rsidR="00812A7A" w:rsidRPr="00CD3D64">
        <w:rPr>
          <w:rFonts w:ascii="Book Antiqua" w:hAnsi="Book Antiqua"/>
          <w:color w:val="000000"/>
        </w:rPr>
        <w:t>r</w:t>
      </w:r>
      <w:r w:rsidR="00E5329F">
        <w:rPr>
          <w:rFonts w:ascii="Book Antiqua" w:hAnsi="Book Antiqua"/>
          <w:color w:val="000000"/>
        </w:rPr>
        <w:t>s-</w:t>
      </w:r>
      <w:r w:rsidR="00F80441" w:rsidRPr="00CD3D64">
        <w:rPr>
          <w:rFonts w:ascii="Book Antiqua" w:hAnsi="Book Antiqua"/>
          <w:color w:val="000000"/>
        </w:rPr>
        <w:t xml:space="preserve">old </w:t>
      </w:r>
      <w:r w:rsidR="00955E71" w:rsidRPr="00CD3D64">
        <w:rPr>
          <w:rFonts w:ascii="Book Antiqua" w:hAnsi="Book Antiqua"/>
          <w:color w:val="000000"/>
        </w:rPr>
        <w:t>a</w:t>
      </w:r>
      <w:r w:rsidR="00F80441" w:rsidRPr="00CD3D64">
        <w:rPr>
          <w:rFonts w:ascii="Book Antiqua" w:hAnsi="Book Antiqua"/>
          <w:color w:val="000000"/>
        </w:rPr>
        <w:t xml:space="preserve">re 99% and 100%, respectively. No significant difference </w:t>
      </w:r>
      <w:r w:rsidR="00955E71" w:rsidRPr="00CD3D64">
        <w:rPr>
          <w:rFonts w:ascii="Book Antiqua" w:hAnsi="Book Antiqua"/>
          <w:color w:val="000000"/>
        </w:rPr>
        <w:t xml:space="preserve">is </w:t>
      </w:r>
      <w:r w:rsidR="00F80441" w:rsidRPr="00CD3D64">
        <w:rPr>
          <w:rFonts w:ascii="Book Antiqua" w:hAnsi="Book Antiqua"/>
          <w:color w:val="000000"/>
        </w:rPr>
        <w:t>seen between groups (</w:t>
      </w:r>
      <w:r w:rsidR="00923AE0" w:rsidRPr="00CD3D64">
        <w:rPr>
          <w:rFonts w:ascii="Book Antiqua" w:hAnsi="Book Antiqua"/>
          <w:i/>
          <w:iCs/>
          <w:color w:val="000000"/>
        </w:rPr>
        <w:t xml:space="preserve">P </w:t>
      </w:r>
      <w:r w:rsidR="00F80441" w:rsidRPr="00CD3D64">
        <w:rPr>
          <w:rFonts w:ascii="Book Antiqua" w:hAnsi="Book Antiqua"/>
          <w:color w:val="000000"/>
        </w:rPr>
        <w:t>=</w:t>
      </w:r>
      <w:r w:rsidR="00923AE0" w:rsidRPr="00CD3D64">
        <w:rPr>
          <w:rFonts w:ascii="Book Antiqua" w:hAnsi="Book Antiqua"/>
          <w:color w:val="000000"/>
        </w:rPr>
        <w:t xml:space="preserve"> </w:t>
      </w:r>
      <w:r w:rsidR="00987CA7" w:rsidRPr="00CD3D64">
        <w:rPr>
          <w:rFonts w:ascii="Book Antiqua" w:hAnsi="Book Antiqua"/>
          <w:color w:val="000000"/>
        </w:rPr>
        <w:t>1.000</w:t>
      </w:r>
      <w:r w:rsidR="00F80441" w:rsidRPr="00CD3D64">
        <w:rPr>
          <w:rFonts w:ascii="Book Antiqua" w:hAnsi="Book Antiqua"/>
          <w:color w:val="000000"/>
        </w:rPr>
        <w:t>).</w:t>
      </w:r>
    </w:p>
    <w:p w:rsidR="00291AA9" w:rsidRPr="00CD3D64" w:rsidRDefault="00C57235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CD3D64">
        <w:rPr>
          <w:rFonts w:ascii="Book Antiqua" w:hAnsi="Book Antiqua"/>
          <w:b/>
          <w:bCs/>
          <w:iCs/>
          <w:color w:val="000000"/>
        </w:rPr>
        <w:br w:type="page"/>
      </w:r>
      <w:r w:rsidR="00064E74">
        <w:rPr>
          <w:rFonts w:ascii="Book Antiqua" w:hAnsi="Book Antiqua"/>
          <w:b/>
          <w:bCs/>
          <w:iCs/>
          <w:noProof/>
          <w:color w:val="000000"/>
          <w:lang w:eastAsia="zh-CN"/>
        </w:rPr>
        <w:lastRenderedPageBreak/>
        <w:drawing>
          <wp:inline distT="0" distB="0" distL="0" distR="0">
            <wp:extent cx="5398135" cy="3469005"/>
            <wp:effectExtent l="0" t="0" r="0" b="0"/>
            <wp:docPr id="3" name="图片 3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346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32" w:rsidRPr="00CD3D64" w:rsidRDefault="00A361F8" w:rsidP="00CD3D64">
      <w:pPr>
        <w:adjustRightInd w:val="0"/>
        <w:snapToGrid w:val="0"/>
        <w:spacing w:line="360" w:lineRule="auto"/>
        <w:rPr>
          <w:rFonts w:ascii="Book Antiqua" w:hAnsi="Book Antiqua"/>
          <w:b/>
          <w:bCs/>
          <w:iCs/>
          <w:color w:val="000000"/>
        </w:rPr>
      </w:pPr>
      <w:r w:rsidRPr="00CD3D64">
        <w:rPr>
          <w:rFonts w:ascii="Book Antiqua" w:hAnsi="Book Antiqua"/>
          <w:b/>
          <w:bCs/>
          <w:iCs/>
          <w:color w:val="000000"/>
        </w:rPr>
        <w:t xml:space="preserve">Figure </w:t>
      </w:r>
      <w:proofErr w:type="gramStart"/>
      <w:r w:rsidR="000930DB" w:rsidRPr="00CD3D64">
        <w:rPr>
          <w:rFonts w:ascii="Book Antiqua" w:hAnsi="Book Antiqua"/>
          <w:b/>
          <w:bCs/>
          <w:iCs/>
          <w:color w:val="000000"/>
        </w:rPr>
        <w:t>3</w:t>
      </w:r>
      <w:proofErr w:type="gramEnd"/>
      <w:r w:rsidR="00B46E46" w:rsidRPr="00CD3D64">
        <w:rPr>
          <w:rFonts w:ascii="Book Antiqua" w:hAnsi="Book Antiqua"/>
          <w:b/>
          <w:bCs/>
          <w:iCs/>
          <w:color w:val="000000"/>
        </w:rPr>
        <w:t xml:space="preserve"> </w:t>
      </w:r>
      <w:r w:rsidR="00724AD6" w:rsidRPr="00CD3D64">
        <w:rPr>
          <w:rFonts w:ascii="Book Antiqua" w:hAnsi="Book Antiqua"/>
          <w:b/>
          <w:bCs/>
          <w:iCs/>
          <w:color w:val="000000"/>
        </w:rPr>
        <w:t xml:space="preserve">Sustained </w:t>
      </w:r>
      <w:proofErr w:type="spellStart"/>
      <w:r w:rsidR="00724AD6" w:rsidRPr="00CD3D64">
        <w:rPr>
          <w:rFonts w:ascii="Book Antiqua" w:hAnsi="Book Antiqua"/>
          <w:b/>
          <w:bCs/>
          <w:iCs/>
          <w:color w:val="000000"/>
        </w:rPr>
        <w:t>virological</w:t>
      </w:r>
      <w:proofErr w:type="spellEnd"/>
      <w:r w:rsidR="00724AD6" w:rsidRPr="00CD3D64">
        <w:rPr>
          <w:rFonts w:ascii="Book Antiqua" w:hAnsi="Book Antiqua"/>
          <w:b/>
          <w:bCs/>
          <w:iCs/>
          <w:color w:val="000000"/>
        </w:rPr>
        <w:t xml:space="preserve"> response rates according to background factors.</w:t>
      </w:r>
      <w:r w:rsidR="0075413D" w:rsidRPr="00CD3D64">
        <w:rPr>
          <w:rFonts w:ascii="Book Antiqua" w:eastAsia="等线" w:hAnsi="Book Antiqua"/>
          <w:b/>
          <w:bCs/>
          <w:iCs/>
          <w:color w:val="000000"/>
          <w:lang w:eastAsia="zh-CN"/>
        </w:rPr>
        <w:t xml:space="preserve"> </w:t>
      </w:r>
      <w:r w:rsidR="008101EF" w:rsidRPr="00CD3D64">
        <w:rPr>
          <w:rFonts w:ascii="Book Antiqua" w:hAnsi="Book Antiqua"/>
          <w:bCs/>
          <w:iCs/>
          <w:color w:val="000000"/>
        </w:rPr>
        <w:t>Although no significant difference</w:t>
      </w:r>
      <w:r w:rsidR="000077F3" w:rsidRPr="00CD3D64">
        <w:rPr>
          <w:rFonts w:ascii="Book Antiqua" w:hAnsi="Book Antiqua"/>
          <w:bCs/>
          <w:iCs/>
          <w:color w:val="000000"/>
        </w:rPr>
        <w:t>s</w:t>
      </w:r>
      <w:r w:rsidR="008101EF" w:rsidRPr="00CD3D64">
        <w:rPr>
          <w:rFonts w:ascii="Book Antiqua" w:hAnsi="Book Antiqua"/>
          <w:bCs/>
          <w:iCs/>
          <w:color w:val="000000"/>
        </w:rPr>
        <w:t xml:space="preserve"> </w:t>
      </w:r>
      <w:r w:rsidR="00955E71" w:rsidRPr="00CD3D64">
        <w:rPr>
          <w:rFonts w:ascii="Book Antiqua" w:hAnsi="Book Antiqua"/>
          <w:bCs/>
          <w:iCs/>
          <w:color w:val="000000"/>
        </w:rPr>
        <w:t xml:space="preserve">are </w:t>
      </w:r>
      <w:r w:rsidR="008101EF" w:rsidRPr="00CD3D64">
        <w:rPr>
          <w:rFonts w:ascii="Book Antiqua" w:hAnsi="Book Antiqua"/>
          <w:bCs/>
          <w:iCs/>
          <w:color w:val="000000"/>
        </w:rPr>
        <w:t xml:space="preserve">seen in comparisons of sustained </w:t>
      </w:r>
      <w:proofErr w:type="spellStart"/>
      <w:r w:rsidR="008101EF" w:rsidRPr="00CD3D64">
        <w:rPr>
          <w:rFonts w:ascii="Book Antiqua" w:hAnsi="Book Antiqua"/>
          <w:bCs/>
          <w:iCs/>
          <w:color w:val="000000"/>
        </w:rPr>
        <w:t>virological</w:t>
      </w:r>
      <w:proofErr w:type="spellEnd"/>
      <w:r w:rsidR="008101EF" w:rsidRPr="00CD3D64">
        <w:rPr>
          <w:rFonts w:ascii="Book Antiqua" w:hAnsi="Book Antiqua"/>
          <w:bCs/>
          <w:iCs/>
          <w:color w:val="000000"/>
        </w:rPr>
        <w:t xml:space="preserve"> response rates according to sex, cirrhosis, elderly cirrhosis, interferon plus ribavirin therapy, anemia (</w:t>
      </w:r>
      <w:r w:rsidR="00631761" w:rsidRPr="00CD3D64">
        <w:rPr>
          <w:rFonts w:ascii="Book Antiqua" w:hAnsi="Book Antiqua"/>
          <w:color w:val="000000"/>
        </w:rPr>
        <w:t>hemoglobin</w:t>
      </w:r>
      <w:r w:rsidR="00631761" w:rsidRPr="00CD3D64">
        <w:rPr>
          <w:rFonts w:ascii="Book Antiqua" w:hAnsi="Book Antiqua"/>
          <w:bCs/>
          <w:iCs/>
          <w:color w:val="000000"/>
        </w:rPr>
        <w:t xml:space="preserve"> </w:t>
      </w:r>
      <w:r w:rsidR="008101EF" w:rsidRPr="00CD3D64">
        <w:rPr>
          <w:rFonts w:ascii="Book Antiqua" w:hAnsi="Book Antiqua"/>
          <w:bCs/>
          <w:iCs/>
          <w:color w:val="000000"/>
        </w:rPr>
        <w:t>&lt;</w:t>
      </w:r>
      <w:r w:rsidR="00923AE0" w:rsidRPr="00CD3D64">
        <w:rPr>
          <w:rFonts w:ascii="Book Antiqua" w:hAnsi="Book Antiqua"/>
          <w:bCs/>
          <w:iCs/>
          <w:color w:val="000000"/>
        </w:rPr>
        <w:t xml:space="preserve"> </w:t>
      </w:r>
      <w:r w:rsidR="008101EF" w:rsidRPr="00CD3D64">
        <w:rPr>
          <w:rFonts w:ascii="Book Antiqua" w:hAnsi="Book Antiqua"/>
          <w:bCs/>
          <w:iCs/>
          <w:color w:val="000000"/>
        </w:rPr>
        <w:t>12 g/</w:t>
      </w:r>
      <w:proofErr w:type="spellStart"/>
      <w:r w:rsidR="008101EF" w:rsidRPr="00CD3D64">
        <w:rPr>
          <w:rFonts w:ascii="Book Antiqua" w:hAnsi="Book Antiqua"/>
          <w:bCs/>
          <w:iCs/>
          <w:color w:val="000000"/>
        </w:rPr>
        <w:t>dL</w:t>
      </w:r>
      <w:proofErr w:type="spellEnd"/>
      <w:r w:rsidR="008101EF" w:rsidRPr="00CD3D64">
        <w:rPr>
          <w:rFonts w:ascii="Book Antiqua" w:hAnsi="Book Antiqua"/>
          <w:bCs/>
          <w:iCs/>
          <w:color w:val="000000"/>
        </w:rPr>
        <w:t xml:space="preserve">), </w:t>
      </w:r>
      <w:r w:rsidR="00955E71" w:rsidRPr="00CD3D64">
        <w:rPr>
          <w:rFonts w:ascii="Book Antiqua" w:hAnsi="Book Antiqua"/>
          <w:bCs/>
          <w:iCs/>
          <w:color w:val="000000"/>
        </w:rPr>
        <w:t xml:space="preserve">or </w:t>
      </w:r>
      <w:r w:rsidR="008101EF" w:rsidRPr="00CD3D64">
        <w:rPr>
          <w:rFonts w:ascii="Book Antiqua" w:hAnsi="Book Antiqua"/>
          <w:bCs/>
          <w:iCs/>
          <w:color w:val="000000"/>
        </w:rPr>
        <w:t>chronic kidney disease (</w:t>
      </w:r>
      <w:r w:rsidR="00631761" w:rsidRPr="00CD3D64">
        <w:rPr>
          <w:rFonts w:ascii="Book Antiqua" w:hAnsi="Book Antiqua"/>
          <w:color w:val="000000"/>
        </w:rPr>
        <w:t>estimated glomerular filtration rate</w:t>
      </w:r>
      <w:r w:rsidR="00955E71" w:rsidRPr="00CD3D64">
        <w:rPr>
          <w:rFonts w:ascii="Book Antiqua" w:hAnsi="Book Antiqua"/>
          <w:bCs/>
          <w:iCs/>
          <w:color w:val="000000"/>
        </w:rPr>
        <w:t xml:space="preserve"> </w:t>
      </w:r>
      <w:r w:rsidR="008101EF" w:rsidRPr="00CD3D64">
        <w:rPr>
          <w:rFonts w:ascii="Book Antiqua" w:hAnsi="Book Antiqua"/>
          <w:bCs/>
          <w:iCs/>
          <w:color w:val="000000"/>
        </w:rPr>
        <w:t>&lt;</w:t>
      </w:r>
      <w:r w:rsidR="00923AE0" w:rsidRPr="00CD3D64">
        <w:rPr>
          <w:rFonts w:ascii="Book Antiqua" w:hAnsi="Book Antiqua"/>
          <w:bCs/>
          <w:iCs/>
          <w:color w:val="000000"/>
        </w:rPr>
        <w:t xml:space="preserve"> </w:t>
      </w:r>
      <w:r w:rsidR="008101EF" w:rsidRPr="00CD3D64">
        <w:rPr>
          <w:rFonts w:ascii="Book Antiqua" w:hAnsi="Book Antiqua"/>
          <w:bCs/>
          <w:iCs/>
          <w:color w:val="000000"/>
        </w:rPr>
        <w:t>60</w:t>
      </w:r>
      <w:r w:rsidR="00955E71" w:rsidRPr="00CD3D64">
        <w:rPr>
          <w:rFonts w:ascii="Book Antiqua" w:hAnsi="Book Antiqua"/>
          <w:bCs/>
          <w:iCs/>
          <w:color w:val="000000"/>
        </w:rPr>
        <w:t xml:space="preserve"> </w:t>
      </w:r>
      <w:r w:rsidR="00955E71" w:rsidRPr="00CD3D64">
        <w:rPr>
          <w:rFonts w:ascii="Book Antiqua" w:hAnsi="Book Antiqua"/>
          <w:color w:val="000000"/>
        </w:rPr>
        <w:t>mL/min/1.73</w:t>
      </w:r>
      <w:r w:rsidR="00CB18B3" w:rsidRPr="00CD3D64">
        <w:rPr>
          <w:rFonts w:ascii="Book Antiqua" w:hAnsi="Book Antiqua"/>
          <w:color w:val="000000"/>
        </w:rPr>
        <w:t xml:space="preserve"> </w:t>
      </w:r>
      <w:r w:rsidR="00955E71" w:rsidRPr="00CD3D64">
        <w:rPr>
          <w:rFonts w:ascii="Book Antiqua" w:hAnsi="Book Antiqua"/>
          <w:color w:val="000000"/>
        </w:rPr>
        <w:t>m</w:t>
      </w:r>
      <w:r w:rsidR="00955E71" w:rsidRPr="00CD3D64">
        <w:rPr>
          <w:rFonts w:ascii="Book Antiqua" w:hAnsi="Book Antiqua"/>
          <w:color w:val="000000"/>
          <w:vertAlign w:val="superscript"/>
        </w:rPr>
        <w:t>2</w:t>
      </w:r>
      <w:r w:rsidR="008101EF" w:rsidRPr="00CD3D64">
        <w:rPr>
          <w:rFonts w:ascii="Book Antiqua" w:hAnsi="Book Antiqua"/>
          <w:bCs/>
          <w:iCs/>
          <w:color w:val="000000"/>
        </w:rPr>
        <w:t xml:space="preserve">), a significant difference </w:t>
      </w:r>
      <w:r w:rsidR="00955E71" w:rsidRPr="00CD3D64">
        <w:rPr>
          <w:rFonts w:ascii="Book Antiqua" w:hAnsi="Book Antiqua"/>
          <w:bCs/>
          <w:iCs/>
          <w:color w:val="000000"/>
        </w:rPr>
        <w:t xml:space="preserve">is evident </w:t>
      </w:r>
      <w:r w:rsidR="008101EF" w:rsidRPr="00CD3D64">
        <w:rPr>
          <w:rFonts w:ascii="Book Antiqua" w:hAnsi="Book Antiqua"/>
          <w:bCs/>
          <w:iCs/>
          <w:color w:val="000000"/>
        </w:rPr>
        <w:t xml:space="preserve">between patients with and without a history of </w:t>
      </w:r>
      <w:r w:rsidR="00631761" w:rsidRPr="00CD3D64">
        <w:rPr>
          <w:rFonts w:ascii="Book Antiqua" w:hAnsi="Book Antiqua"/>
          <w:bCs/>
          <w:iCs/>
          <w:color w:val="000000"/>
        </w:rPr>
        <w:t>hepatocellular carcinoma</w:t>
      </w:r>
      <w:r w:rsidR="008101EF" w:rsidRPr="00CD3D64">
        <w:rPr>
          <w:rFonts w:ascii="Book Antiqua" w:hAnsi="Book Antiqua"/>
          <w:bCs/>
          <w:iCs/>
          <w:color w:val="000000"/>
        </w:rPr>
        <w:t xml:space="preserve"> treatment (</w:t>
      </w:r>
      <w:r w:rsidR="00923AE0" w:rsidRPr="00CD3D64">
        <w:rPr>
          <w:rFonts w:ascii="Book Antiqua" w:hAnsi="Book Antiqua"/>
          <w:bCs/>
          <w:i/>
          <w:color w:val="000000"/>
        </w:rPr>
        <w:t xml:space="preserve">P </w:t>
      </w:r>
      <w:r w:rsidR="008101EF" w:rsidRPr="00CD3D64">
        <w:rPr>
          <w:rFonts w:ascii="Book Antiqua" w:hAnsi="Book Antiqua"/>
          <w:bCs/>
          <w:iCs/>
          <w:color w:val="000000"/>
        </w:rPr>
        <w:t>=</w:t>
      </w:r>
      <w:r w:rsidR="00923AE0" w:rsidRPr="00CD3D64">
        <w:rPr>
          <w:rFonts w:ascii="Book Antiqua" w:hAnsi="Book Antiqua"/>
          <w:bCs/>
          <w:iCs/>
          <w:color w:val="000000"/>
        </w:rPr>
        <w:t xml:space="preserve"> </w:t>
      </w:r>
      <w:r w:rsidR="008101EF" w:rsidRPr="00CD3D64">
        <w:rPr>
          <w:rFonts w:ascii="Book Antiqua" w:hAnsi="Book Antiqua"/>
          <w:bCs/>
          <w:iCs/>
          <w:color w:val="000000"/>
        </w:rPr>
        <w:t xml:space="preserve">0.004). </w:t>
      </w:r>
      <w:r w:rsidR="00291AA9" w:rsidRPr="00CD3D64">
        <w:rPr>
          <w:rFonts w:ascii="Book Antiqua" w:hAnsi="Book Antiqua"/>
          <w:bCs/>
          <w:iCs/>
          <w:color w:val="000000"/>
        </w:rPr>
        <w:t>CKD:</w:t>
      </w:r>
      <w:r w:rsidR="00724AD6" w:rsidRPr="00CD3D64">
        <w:rPr>
          <w:rFonts w:ascii="Book Antiqua" w:hAnsi="Book Antiqua"/>
          <w:bCs/>
          <w:iCs/>
          <w:color w:val="000000"/>
        </w:rPr>
        <w:t xml:space="preserve"> </w:t>
      </w:r>
      <w:r w:rsidR="00291AA9" w:rsidRPr="00CD3D64">
        <w:rPr>
          <w:rFonts w:ascii="Book Antiqua" w:hAnsi="Book Antiqua"/>
          <w:bCs/>
          <w:iCs/>
          <w:color w:val="000000"/>
        </w:rPr>
        <w:t xml:space="preserve">Chronic </w:t>
      </w:r>
      <w:r w:rsidR="00724AD6" w:rsidRPr="00CD3D64">
        <w:rPr>
          <w:rFonts w:ascii="Book Antiqua" w:hAnsi="Book Antiqua"/>
          <w:bCs/>
          <w:iCs/>
          <w:color w:val="000000"/>
        </w:rPr>
        <w:t>kidney di</w:t>
      </w:r>
      <w:r w:rsidR="00291AA9" w:rsidRPr="00CD3D64">
        <w:rPr>
          <w:rFonts w:ascii="Book Antiqua" w:hAnsi="Book Antiqua"/>
          <w:bCs/>
          <w:iCs/>
          <w:color w:val="000000"/>
        </w:rPr>
        <w:t xml:space="preserve">sease; </w:t>
      </w:r>
      <w:proofErr w:type="spellStart"/>
      <w:r w:rsidR="00291AA9" w:rsidRPr="00CD3D64">
        <w:rPr>
          <w:rFonts w:ascii="Book Antiqua" w:hAnsi="Book Antiqua"/>
          <w:bCs/>
          <w:iCs/>
          <w:color w:val="000000"/>
        </w:rPr>
        <w:t>eGFR</w:t>
      </w:r>
      <w:proofErr w:type="spellEnd"/>
      <w:r w:rsidR="00291AA9" w:rsidRPr="00CD3D64">
        <w:rPr>
          <w:rFonts w:ascii="Book Antiqua" w:hAnsi="Book Antiqua"/>
          <w:bCs/>
          <w:iCs/>
          <w:color w:val="000000"/>
        </w:rPr>
        <w:t>:</w:t>
      </w:r>
      <w:r w:rsidR="00724AD6" w:rsidRPr="00CD3D64">
        <w:rPr>
          <w:rFonts w:ascii="Book Antiqua" w:hAnsi="Book Antiqua"/>
          <w:bCs/>
          <w:iCs/>
          <w:color w:val="000000"/>
        </w:rPr>
        <w:t xml:space="preserve"> </w:t>
      </w:r>
      <w:r w:rsidR="00291AA9" w:rsidRPr="00CD3D64">
        <w:rPr>
          <w:rFonts w:ascii="Book Antiqua" w:hAnsi="Book Antiqua"/>
          <w:bCs/>
          <w:iCs/>
          <w:color w:val="000000"/>
        </w:rPr>
        <w:t xml:space="preserve">Estimated </w:t>
      </w:r>
      <w:r w:rsidR="00724AD6" w:rsidRPr="00CD3D64">
        <w:rPr>
          <w:rFonts w:ascii="Book Antiqua" w:hAnsi="Book Antiqua"/>
          <w:bCs/>
          <w:iCs/>
          <w:color w:val="000000"/>
        </w:rPr>
        <w:t>glomerular filtration rate</w:t>
      </w:r>
      <w:r w:rsidR="00291AA9" w:rsidRPr="00CD3D64">
        <w:rPr>
          <w:rFonts w:ascii="Book Antiqua" w:hAnsi="Book Antiqua"/>
          <w:bCs/>
          <w:iCs/>
          <w:color w:val="000000"/>
        </w:rPr>
        <w:t xml:space="preserve">; </w:t>
      </w:r>
      <w:proofErr w:type="spellStart"/>
      <w:r w:rsidR="00E5329F" w:rsidRPr="00CD3D64">
        <w:rPr>
          <w:rFonts w:ascii="Book Antiqua" w:hAnsi="Book Antiqua"/>
          <w:bCs/>
          <w:iCs/>
          <w:color w:val="000000"/>
        </w:rPr>
        <w:t>Hb</w:t>
      </w:r>
      <w:proofErr w:type="spellEnd"/>
      <w:r w:rsidR="00E5329F" w:rsidRPr="00CD3D64">
        <w:rPr>
          <w:rFonts w:ascii="Book Antiqua" w:hAnsi="Book Antiqua"/>
          <w:bCs/>
          <w:iCs/>
          <w:color w:val="000000"/>
        </w:rPr>
        <w:t xml:space="preserve">: </w:t>
      </w:r>
      <w:r w:rsidR="00E5329F" w:rsidRPr="00CD3D64">
        <w:rPr>
          <w:rFonts w:ascii="Book Antiqua" w:eastAsia="等线" w:hAnsi="Book Antiqua"/>
          <w:bCs/>
          <w:iCs/>
          <w:color w:val="000000"/>
          <w:lang w:eastAsia="zh-CN"/>
        </w:rPr>
        <w:t>Hemoglobin</w:t>
      </w:r>
      <w:r w:rsidR="00E5329F">
        <w:rPr>
          <w:rFonts w:ascii="Book Antiqua" w:eastAsia="等线" w:hAnsi="Book Antiqua"/>
          <w:bCs/>
          <w:iCs/>
          <w:color w:val="000000"/>
          <w:lang w:eastAsia="zh-CN"/>
        </w:rPr>
        <w:t>; HCC:</w:t>
      </w:r>
      <w:r w:rsidR="00E5329F" w:rsidRPr="00CD3D64">
        <w:rPr>
          <w:rFonts w:ascii="Book Antiqua" w:hAnsi="Book Antiqua"/>
          <w:bCs/>
          <w:iCs/>
          <w:color w:val="000000"/>
        </w:rPr>
        <w:t xml:space="preserve"> </w:t>
      </w:r>
      <w:r w:rsidR="00291AA9" w:rsidRPr="00CD3D64">
        <w:rPr>
          <w:rFonts w:ascii="Book Antiqua" w:hAnsi="Book Antiqua"/>
          <w:bCs/>
          <w:iCs/>
          <w:color w:val="000000"/>
        </w:rPr>
        <w:t xml:space="preserve">Hepatocellular </w:t>
      </w:r>
      <w:r w:rsidR="0081053D" w:rsidRPr="00CD3D64">
        <w:rPr>
          <w:rFonts w:ascii="Book Antiqua" w:hAnsi="Book Antiqua"/>
          <w:bCs/>
          <w:iCs/>
          <w:color w:val="000000"/>
        </w:rPr>
        <w:t>carcinoma</w:t>
      </w:r>
      <w:r w:rsidR="00631761" w:rsidRPr="00E5329F">
        <w:rPr>
          <w:rFonts w:ascii="Book Antiqua" w:hAnsi="Book Antiqua"/>
          <w:b/>
          <w:iCs/>
          <w:color w:val="000000"/>
        </w:rPr>
        <w:t>.</w:t>
      </w:r>
      <w:r w:rsidR="007F5632" w:rsidRPr="00CD3D64">
        <w:rPr>
          <w:rFonts w:ascii="Book Antiqua" w:eastAsia="MS PMincho" w:hAnsi="Book Antiqua"/>
          <w:color w:val="000000"/>
        </w:rPr>
        <w:br w:type="page"/>
      </w:r>
      <w:r w:rsidR="007F5632" w:rsidRPr="00CD3D64">
        <w:rPr>
          <w:rFonts w:ascii="Book Antiqua" w:hAnsi="Book Antiqua"/>
          <w:b/>
          <w:color w:val="000000"/>
        </w:rPr>
        <w:lastRenderedPageBreak/>
        <w:t>Table 1 Patient characteristics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6460"/>
        <w:gridCol w:w="2260"/>
      </w:tblGrid>
      <w:tr w:rsidR="00812A7A" w:rsidRPr="00CD3D64" w:rsidTr="00812A7A">
        <w:trPr>
          <w:trHeight w:val="326"/>
        </w:trPr>
        <w:tc>
          <w:tcPr>
            <w:tcW w:w="6460" w:type="dxa"/>
            <w:tcBorders>
              <w:top w:val="single" w:sz="8" w:space="0" w:color="auto"/>
              <w:bottom w:val="nil"/>
            </w:tcBorders>
            <w:shd w:val="clear" w:color="auto" w:fill="FFFFFF"/>
          </w:tcPr>
          <w:p w:rsidR="007F5632" w:rsidRPr="00CD3D64" w:rsidRDefault="007F5632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MS PGothic"/>
                <w:b/>
                <w:color w:val="000000"/>
                <w:kern w:val="0"/>
              </w:rPr>
            </w:pPr>
          </w:p>
        </w:tc>
        <w:tc>
          <w:tcPr>
            <w:tcW w:w="2260" w:type="dxa"/>
            <w:tcBorders>
              <w:top w:val="single" w:sz="8" w:space="0" w:color="auto"/>
              <w:bottom w:val="nil"/>
            </w:tcBorders>
            <w:shd w:val="clear" w:color="auto" w:fill="FFFFFF"/>
          </w:tcPr>
          <w:p w:rsidR="007F5632" w:rsidRPr="00CD3D64" w:rsidRDefault="00812A7A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MS PGothic"/>
                <w:b/>
                <w:color w:val="000000"/>
                <w:kern w:val="0"/>
              </w:rPr>
            </w:pPr>
            <w:r w:rsidRPr="00CD3D64">
              <w:rPr>
                <w:rFonts w:ascii="Book Antiqua" w:eastAsia="MS PGothic" w:hAnsi="Book Antiqua" w:cs="MS PGothic"/>
                <w:b/>
                <w:i/>
                <w:iCs/>
                <w:color w:val="000000"/>
                <w:kern w:val="0"/>
              </w:rPr>
              <w:t>n</w:t>
            </w:r>
            <w:r w:rsidRPr="00CD3D64">
              <w:rPr>
                <w:rFonts w:ascii="Book Antiqua" w:eastAsia="MS PGothic" w:hAnsi="Book Antiqua" w:cs="MS PGothic"/>
                <w:b/>
                <w:color w:val="000000"/>
                <w:kern w:val="0"/>
              </w:rPr>
              <w:t xml:space="preserve"> </w:t>
            </w:r>
            <w:r w:rsidR="007F5632" w:rsidRPr="00CD3D64">
              <w:rPr>
                <w:rFonts w:ascii="Book Antiqua" w:eastAsia="MS PGothic" w:hAnsi="Book Antiqua" w:cs="MS PGothic"/>
                <w:b/>
                <w:color w:val="000000"/>
                <w:kern w:val="0"/>
              </w:rPr>
              <w:t>=</w:t>
            </w:r>
            <w:r w:rsidRPr="00CD3D64">
              <w:rPr>
                <w:rFonts w:ascii="Book Antiqua" w:eastAsia="MS PGothic" w:hAnsi="Book Antiqua" w:cs="MS PGothic"/>
                <w:b/>
                <w:color w:val="000000"/>
                <w:kern w:val="0"/>
              </w:rPr>
              <w:t xml:space="preserve"> </w:t>
            </w:r>
            <w:r w:rsidR="007F5632" w:rsidRPr="00CD3D64">
              <w:rPr>
                <w:rFonts w:ascii="Book Antiqua" w:eastAsia="MS PGothic" w:hAnsi="Book Antiqua" w:cs="MS PGothic"/>
                <w:b/>
                <w:color w:val="000000"/>
                <w:kern w:val="0"/>
              </w:rPr>
              <w:t>265</w:t>
            </w:r>
          </w:p>
        </w:tc>
      </w:tr>
      <w:tr w:rsidR="00812A7A" w:rsidRPr="00CD3D64" w:rsidTr="00812A7A">
        <w:trPr>
          <w:trHeight w:val="326"/>
        </w:trPr>
        <w:tc>
          <w:tcPr>
            <w:tcW w:w="6460" w:type="dxa"/>
            <w:tcBorders>
              <w:top w:val="single" w:sz="8" w:space="0" w:color="auto"/>
              <w:bottom w:val="nil"/>
            </w:tcBorders>
            <w:shd w:val="clear" w:color="auto" w:fill="FFFFFF"/>
          </w:tcPr>
          <w:p w:rsidR="007F5632" w:rsidRPr="00CD3D64" w:rsidRDefault="007F5632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MS PGothic"/>
                <w:bCs/>
                <w:color w:val="000000"/>
                <w:kern w:val="0"/>
              </w:rPr>
            </w:pPr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 xml:space="preserve">Age </w:t>
            </w:r>
            <w:r w:rsidR="00E5329F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 xml:space="preserve">in </w:t>
            </w:r>
            <w:proofErr w:type="spellStart"/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>yr</w:t>
            </w:r>
            <w:proofErr w:type="spellEnd"/>
          </w:p>
        </w:tc>
        <w:tc>
          <w:tcPr>
            <w:tcW w:w="2260" w:type="dxa"/>
            <w:tcBorders>
              <w:top w:val="single" w:sz="8" w:space="0" w:color="auto"/>
              <w:bottom w:val="nil"/>
            </w:tcBorders>
            <w:shd w:val="clear" w:color="auto" w:fill="FFFFFF"/>
          </w:tcPr>
          <w:p w:rsidR="007F5632" w:rsidRPr="00CD3D64" w:rsidRDefault="007F5632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MS PGothic"/>
                <w:bCs/>
                <w:color w:val="000000"/>
                <w:kern w:val="0"/>
              </w:rPr>
            </w:pPr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>68 (17-86)</w:t>
            </w:r>
          </w:p>
        </w:tc>
      </w:tr>
      <w:tr w:rsidR="00812A7A" w:rsidRPr="00CD3D64" w:rsidTr="00812A7A">
        <w:trPr>
          <w:trHeight w:val="326"/>
        </w:trPr>
        <w:tc>
          <w:tcPr>
            <w:tcW w:w="6460" w:type="dxa"/>
            <w:tcBorders>
              <w:top w:val="nil"/>
              <w:bottom w:val="nil"/>
            </w:tcBorders>
            <w:shd w:val="clear" w:color="auto" w:fill="FFFFFF"/>
          </w:tcPr>
          <w:p w:rsidR="007F5632" w:rsidRPr="00CD3D64" w:rsidRDefault="007F5632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MS PGothic"/>
                <w:bCs/>
                <w:color w:val="000000"/>
                <w:kern w:val="0"/>
              </w:rPr>
            </w:pPr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sym w:font="Symbol" w:char="F0B3"/>
            </w:r>
            <w:r w:rsidR="00812A7A"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 xml:space="preserve"> </w:t>
            </w:r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 xml:space="preserve">75 </w:t>
            </w:r>
            <w:proofErr w:type="spellStart"/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>yr</w:t>
            </w:r>
            <w:proofErr w:type="spellEnd"/>
          </w:p>
        </w:tc>
        <w:tc>
          <w:tcPr>
            <w:tcW w:w="2260" w:type="dxa"/>
            <w:tcBorders>
              <w:top w:val="nil"/>
              <w:bottom w:val="nil"/>
            </w:tcBorders>
            <w:shd w:val="clear" w:color="auto" w:fill="FFFFFF"/>
          </w:tcPr>
          <w:p w:rsidR="007F5632" w:rsidRPr="00CD3D64" w:rsidRDefault="007F5632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MS PGothic"/>
                <w:bCs/>
                <w:color w:val="000000"/>
                <w:kern w:val="0"/>
              </w:rPr>
            </w:pPr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>83 (31%)</w:t>
            </w:r>
          </w:p>
        </w:tc>
      </w:tr>
      <w:tr w:rsidR="00812A7A" w:rsidRPr="00CD3D64" w:rsidTr="00812A7A">
        <w:trPr>
          <w:trHeight w:val="326"/>
        </w:trPr>
        <w:tc>
          <w:tcPr>
            <w:tcW w:w="6460" w:type="dxa"/>
            <w:tcBorders>
              <w:top w:val="nil"/>
              <w:bottom w:val="nil"/>
            </w:tcBorders>
            <w:shd w:val="clear" w:color="auto" w:fill="FFFFFF"/>
          </w:tcPr>
          <w:p w:rsidR="007F5632" w:rsidRPr="00CD3D64" w:rsidRDefault="007F5632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MS PGothic"/>
                <w:bCs/>
                <w:color w:val="000000"/>
                <w:kern w:val="0"/>
              </w:rPr>
            </w:pPr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 xml:space="preserve">Sex </w:t>
            </w:r>
            <w:r w:rsidR="00E5329F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 xml:space="preserve">as </w:t>
            </w:r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>male/female</w:t>
            </w:r>
          </w:p>
        </w:tc>
        <w:tc>
          <w:tcPr>
            <w:tcW w:w="2260" w:type="dxa"/>
            <w:tcBorders>
              <w:top w:val="nil"/>
              <w:bottom w:val="nil"/>
            </w:tcBorders>
            <w:shd w:val="clear" w:color="auto" w:fill="FFFFFF"/>
          </w:tcPr>
          <w:p w:rsidR="007F5632" w:rsidRPr="00CD3D64" w:rsidRDefault="007F5632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MS PGothic"/>
                <w:bCs/>
                <w:color w:val="000000"/>
                <w:kern w:val="0"/>
              </w:rPr>
            </w:pPr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>150/115 (57%/43%)</w:t>
            </w:r>
          </w:p>
        </w:tc>
      </w:tr>
      <w:tr w:rsidR="00812A7A" w:rsidRPr="00CD3D64" w:rsidTr="00812A7A">
        <w:trPr>
          <w:trHeight w:val="326"/>
        </w:trPr>
        <w:tc>
          <w:tcPr>
            <w:tcW w:w="6460" w:type="dxa"/>
            <w:tcBorders>
              <w:top w:val="nil"/>
              <w:bottom w:val="nil"/>
            </w:tcBorders>
            <w:shd w:val="clear" w:color="auto" w:fill="FFFFFF"/>
          </w:tcPr>
          <w:p w:rsidR="007F5632" w:rsidRPr="00CD3D64" w:rsidRDefault="007F5632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MS PGothic"/>
                <w:bCs/>
                <w:color w:val="000000"/>
                <w:kern w:val="0"/>
              </w:rPr>
            </w:pPr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>Cirrhosis</w:t>
            </w:r>
          </w:p>
        </w:tc>
        <w:tc>
          <w:tcPr>
            <w:tcW w:w="2260" w:type="dxa"/>
            <w:tcBorders>
              <w:top w:val="nil"/>
              <w:bottom w:val="nil"/>
            </w:tcBorders>
            <w:shd w:val="clear" w:color="auto" w:fill="FFFFFF"/>
          </w:tcPr>
          <w:p w:rsidR="007F5632" w:rsidRPr="00CD3D64" w:rsidRDefault="007F5632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MS PGothic"/>
                <w:bCs/>
                <w:color w:val="000000"/>
                <w:kern w:val="0"/>
              </w:rPr>
            </w:pPr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>91 (34%)</w:t>
            </w:r>
          </w:p>
        </w:tc>
      </w:tr>
      <w:tr w:rsidR="00812A7A" w:rsidRPr="00CD3D64" w:rsidTr="00812A7A">
        <w:trPr>
          <w:trHeight w:val="326"/>
        </w:trPr>
        <w:tc>
          <w:tcPr>
            <w:tcW w:w="6460" w:type="dxa"/>
            <w:tcBorders>
              <w:top w:val="nil"/>
              <w:bottom w:val="nil"/>
            </w:tcBorders>
            <w:shd w:val="clear" w:color="auto" w:fill="FFFFFF"/>
          </w:tcPr>
          <w:p w:rsidR="007F5632" w:rsidRPr="00CD3D64" w:rsidRDefault="007F5632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MS PGothic"/>
                <w:bCs/>
                <w:color w:val="000000"/>
                <w:kern w:val="0"/>
              </w:rPr>
            </w:pPr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>Moderate chronic kidney disease</w:t>
            </w:r>
            <w:r w:rsidR="00E5329F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>,</w:t>
            </w:r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 xml:space="preserve"> </w:t>
            </w:r>
            <w:proofErr w:type="spellStart"/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>eGFR</w:t>
            </w:r>
            <w:proofErr w:type="spellEnd"/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 xml:space="preserve"> &lt;</w:t>
            </w:r>
            <w:r w:rsidR="00812A7A"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 xml:space="preserve"> </w:t>
            </w:r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>60</w:t>
            </w:r>
            <w:r w:rsidR="00C12E5F"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 xml:space="preserve"> mL/min/1.73 m</w:t>
            </w:r>
            <w:r w:rsidR="00C12E5F" w:rsidRPr="00CD3D64">
              <w:rPr>
                <w:rFonts w:ascii="Book Antiqua" w:eastAsia="MS PGothic" w:hAnsi="Book Antiqua" w:cs="MS PGothic"/>
                <w:bCs/>
                <w:color w:val="000000"/>
                <w:kern w:val="0"/>
                <w:vertAlign w:val="superscript"/>
              </w:rPr>
              <w:t>2</w:t>
            </w:r>
          </w:p>
        </w:tc>
        <w:tc>
          <w:tcPr>
            <w:tcW w:w="2260" w:type="dxa"/>
            <w:tcBorders>
              <w:top w:val="nil"/>
              <w:bottom w:val="nil"/>
            </w:tcBorders>
            <w:shd w:val="clear" w:color="auto" w:fill="FFFFFF"/>
          </w:tcPr>
          <w:p w:rsidR="007F5632" w:rsidRPr="00CD3D64" w:rsidRDefault="007F5632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MS PGothic"/>
                <w:bCs/>
                <w:color w:val="000000"/>
                <w:kern w:val="0"/>
              </w:rPr>
            </w:pPr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>53 (20%)</w:t>
            </w:r>
          </w:p>
        </w:tc>
      </w:tr>
      <w:tr w:rsidR="00812A7A" w:rsidRPr="00CD3D64" w:rsidTr="00812A7A">
        <w:trPr>
          <w:trHeight w:val="326"/>
        </w:trPr>
        <w:tc>
          <w:tcPr>
            <w:tcW w:w="6460" w:type="dxa"/>
            <w:tcBorders>
              <w:top w:val="nil"/>
              <w:bottom w:val="nil"/>
            </w:tcBorders>
            <w:shd w:val="clear" w:color="auto" w:fill="FFFFFF"/>
          </w:tcPr>
          <w:p w:rsidR="007F5632" w:rsidRPr="00CD3D64" w:rsidRDefault="007F5632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MS PGothic"/>
                <w:bCs/>
                <w:color w:val="000000"/>
                <w:kern w:val="0"/>
              </w:rPr>
            </w:pPr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>History of HCC treatment</w:t>
            </w:r>
          </w:p>
        </w:tc>
        <w:tc>
          <w:tcPr>
            <w:tcW w:w="2260" w:type="dxa"/>
            <w:tcBorders>
              <w:top w:val="nil"/>
              <w:bottom w:val="nil"/>
            </w:tcBorders>
            <w:shd w:val="clear" w:color="auto" w:fill="FFFFFF"/>
          </w:tcPr>
          <w:p w:rsidR="007F5632" w:rsidRPr="00CD3D64" w:rsidRDefault="007F5632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MS PGothic"/>
                <w:bCs/>
                <w:color w:val="000000"/>
                <w:kern w:val="0"/>
              </w:rPr>
            </w:pPr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>33 (12%)</w:t>
            </w:r>
          </w:p>
        </w:tc>
      </w:tr>
      <w:tr w:rsidR="00812A7A" w:rsidRPr="00CD3D64" w:rsidTr="00812A7A">
        <w:trPr>
          <w:trHeight w:val="326"/>
        </w:trPr>
        <w:tc>
          <w:tcPr>
            <w:tcW w:w="6460" w:type="dxa"/>
            <w:tcBorders>
              <w:top w:val="nil"/>
              <w:bottom w:val="nil"/>
            </w:tcBorders>
            <w:shd w:val="clear" w:color="auto" w:fill="FFFFFF"/>
          </w:tcPr>
          <w:p w:rsidR="007F5632" w:rsidRPr="00CD3D64" w:rsidRDefault="007F5632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MS PGothic"/>
                <w:bCs/>
                <w:color w:val="000000"/>
                <w:kern w:val="0"/>
              </w:rPr>
            </w:pPr>
            <w:bookmarkStart w:id="30" w:name="_Hlk23089607"/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 xml:space="preserve">History of </w:t>
            </w:r>
            <w:proofErr w:type="spellStart"/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>pegylated</w:t>
            </w:r>
            <w:proofErr w:type="spellEnd"/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 xml:space="preserve"> IFN + ribavirin therapy</w:t>
            </w:r>
            <w:bookmarkEnd w:id="30"/>
          </w:p>
        </w:tc>
        <w:tc>
          <w:tcPr>
            <w:tcW w:w="2260" w:type="dxa"/>
            <w:tcBorders>
              <w:top w:val="nil"/>
              <w:bottom w:val="nil"/>
            </w:tcBorders>
            <w:shd w:val="clear" w:color="auto" w:fill="FFFFFF"/>
          </w:tcPr>
          <w:p w:rsidR="007F5632" w:rsidRPr="00CD3D64" w:rsidRDefault="007F5632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MS PGothic"/>
                <w:bCs/>
                <w:color w:val="000000"/>
                <w:kern w:val="0"/>
              </w:rPr>
            </w:pPr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>39 (15%)</w:t>
            </w:r>
          </w:p>
        </w:tc>
      </w:tr>
      <w:tr w:rsidR="00812A7A" w:rsidRPr="00CD3D64" w:rsidTr="00812A7A">
        <w:trPr>
          <w:trHeight w:val="326"/>
        </w:trPr>
        <w:tc>
          <w:tcPr>
            <w:tcW w:w="6460" w:type="dxa"/>
            <w:tcBorders>
              <w:top w:val="nil"/>
              <w:bottom w:val="nil"/>
            </w:tcBorders>
            <w:shd w:val="clear" w:color="auto" w:fill="FFFFFF"/>
          </w:tcPr>
          <w:p w:rsidR="007F5632" w:rsidRPr="00CD3D64" w:rsidRDefault="007F5632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MS PGothic"/>
                <w:bCs/>
                <w:color w:val="000000"/>
                <w:kern w:val="0"/>
              </w:rPr>
            </w:pPr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 xml:space="preserve">Height </w:t>
            </w:r>
            <w:r w:rsidR="00E5329F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 xml:space="preserve">in </w:t>
            </w:r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>cm</w:t>
            </w:r>
          </w:p>
        </w:tc>
        <w:tc>
          <w:tcPr>
            <w:tcW w:w="2260" w:type="dxa"/>
            <w:tcBorders>
              <w:top w:val="nil"/>
              <w:bottom w:val="nil"/>
            </w:tcBorders>
            <w:shd w:val="clear" w:color="auto" w:fill="FFFFFF"/>
          </w:tcPr>
          <w:p w:rsidR="007F5632" w:rsidRPr="00CD3D64" w:rsidRDefault="007F5632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MS PGothic"/>
                <w:bCs/>
                <w:color w:val="000000"/>
                <w:kern w:val="0"/>
              </w:rPr>
            </w:pPr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>160.2 (134.0-182.0)</w:t>
            </w:r>
          </w:p>
        </w:tc>
      </w:tr>
      <w:tr w:rsidR="00812A7A" w:rsidRPr="00CD3D64" w:rsidTr="00812A7A">
        <w:trPr>
          <w:trHeight w:val="326"/>
        </w:trPr>
        <w:tc>
          <w:tcPr>
            <w:tcW w:w="6460" w:type="dxa"/>
            <w:tcBorders>
              <w:top w:val="nil"/>
              <w:bottom w:val="nil"/>
            </w:tcBorders>
            <w:shd w:val="clear" w:color="auto" w:fill="FFFFFF"/>
          </w:tcPr>
          <w:p w:rsidR="007F5632" w:rsidRPr="00CD3D64" w:rsidRDefault="007F5632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MS PGothic"/>
                <w:bCs/>
                <w:color w:val="000000"/>
                <w:kern w:val="0"/>
              </w:rPr>
            </w:pPr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 xml:space="preserve">Weight </w:t>
            </w:r>
            <w:r w:rsidR="00E5329F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 xml:space="preserve">in </w:t>
            </w:r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>kg</w:t>
            </w:r>
          </w:p>
        </w:tc>
        <w:tc>
          <w:tcPr>
            <w:tcW w:w="2260" w:type="dxa"/>
            <w:tcBorders>
              <w:top w:val="nil"/>
              <w:bottom w:val="nil"/>
            </w:tcBorders>
            <w:shd w:val="clear" w:color="auto" w:fill="FFFFFF"/>
          </w:tcPr>
          <w:p w:rsidR="007F5632" w:rsidRPr="00CD3D64" w:rsidRDefault="007F5632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MS PGothic"/>
                <w:bCs/>
                <w:color w:val="000000"/>
                <w:kern w:val="0"/>
              </w:rPr>
            </w:pPr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>58.0 (32.3-99.3)</w:t>
            </w:r>
          </w:p>
        </w:tc>
      </w:tr>
      <w:tr w:rsidR="00812A7A" w:rsidRPr="00CD3D64" w:rsidTr="00812A7A">
        <w:trPr>
          <w:trHeight w:val="326"/>
        </w:trPr>
        <w:tc>
          <w:tcPr>
            <w:tcW w:w="6460" w:type="dxa"/>
            <w:tcBorders>
              <w:top w:val="nil"/>
              <w:bottom w:val="nil"/>
            </w:tcBorders>
            <w:shd w:val="clear" w:color="auto" w:fill="FFFFFF"/>
          </w:tcPr>
          <w:p w:rsidR="007F5632" w:rsidRPr="00CD3D64" w:rsidRDefault="007F5632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MS PGothic"/>
                <w:bCs/>
                <w:color w:val="000000"/>
                <w:kern w:val="0"/>
              </w:rPr>
            </w:pPr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 xml:space="preserve">BMI </w:t>
            </w:r>
            <w:r w:rsidR="00E5329F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 xml:space="preserve">in </w:t>
            </w:r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>kg/m</w:t>
            </w:r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  <w:vertAlign w:val="superscript"/>
              </w:rPr>
              <w:t>2</w:t>
            </w:r>
          </w:p>
        </w:tc>
        <w:tc>
          <w:tcPr>
            <w:tcW w:w="2260" w:type="dxa"/>
            <w:tcBorders>
              <w:top w:val="nil"/>
              <w:bottom w:val="nil"/>
            </w:tcBorders>
            <w:shd w:val="clear" w:color="auto" w:fill="FFFFFF"/>
          </w:tcPr>
          <w:p w:rsidR="007F5632" w:rsidRPr="00CD3D64" w:rsidRDefault="007F5632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MS PGothic"/>
                <w:bCs/>
                <w:color w:val="000000"/>
                <w:kern w:val="0"/>
              </w:rPr>
            </w:pPr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>22.6 (15.5-35.0)</w:t>
            </w:r>
          </w:p>
        </w:tc>
      </w:tr>
      <w:tr w:rsidR="00812A7A" w:rsidRPr="00CD3D64" w:rsidTr="00812A7A">
        <w:trPr>
          <w:trHeight w:val="326"/>
        </w:trPr>
        <w:tc>
          <w:tcPr>
            <w:tcW w:w="6460" w:type="dxa"/>
            <w:tcBorders>
              <w:top w:val="nil"/>
              <w:bottom w:val="nil"/>
            </w:tcBorders>
            <w:shd w:val="clear" w:color="auto" w:fill="FFFFFF"/>
          </w:tcPr>
          <w:p w:rsidR="007F5632" w:rsidRPr="00CD3D64" w:rsidRDefault="007F5632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MS PGothic"/>
                <w:bCs/>
                <w:color w:val="000000"/>
                <w:kern w:val="0"/>
              </w:rPr>
            </w:pPr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 xml:space="preserve">Baseline HCV-RNA </w:t>
            </w:r>
            <w:r w:rsidR="00E5329F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 xml:space="preserve">in </w:t>
            </w:r>
            <w:proofErr w:type="spellStart"/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>logIU</w:t>
            </w:r>
            <w:proofErr w:type="spellEnd"/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>/mL</w:t>
            </w:r>
          </w:p>
        </w:tc>
        <w:tc>
          <w:tcPr>
            <w:tcW w:w="2260" w:type="dxa"/>
            <w:tcBorders>
              <w:top w:val="nil"/>
              <w:bottom w:val="nil"/>
            </w:tcBorders>
            <w:shd w:val="clear" w:color="auto" w:fill="FFFFFF"/>
          </w:tcPr>
          <w:p w:rsidR="007F5632" w:rsidRPr="00CD3D64" w:rsidRDefault="007F5632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MS PGothic"/>
                <w:bCs/>
                <w:color w:val="000000"/>
                <w:kern w:val="0"/>
              </w:rPr>
            </w:pPr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>6.0 (1.4-7.4)</w:t>
            </w:r>
          </w:p>
        </w:tc>
      </w:tr>
      <w:tr w:rsidR="00812A7A" w:rsidRPr="00CD3D64" w:rsidTr="00812A7A">
        <w:trPr>
          <w:trHeight w:val="326"/>
        </w:trPr>
        <w:tc>
          <w:tcPr>
            <w:tcW w:w="6460" w:type="dxa"/>
            <w:tcBorders>
              <w:top w:val="nil"/>
              <w:bottom w:val="nil"/>
            </w:tcBorders>
            <w:shd w:val="clear" w:color="auto" w:fill="FFFFFF"/>
          </w:tcPr>
          <w:p w:rsidR="007F5632" w:rsidRPr="00CD3D64" w:rsidRDefault="007F5632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MS PGothic"/>
                <w:bCs/>
                <w:color w:val="000000"/>
                <w:kern w:val="0"/>
              </w:rPr>
            </w:pPr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 xml:space="preserve">WBC </w:t>
            </w:r>
            <w:r w:rsidR="00E5329F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 xml:space="preserve">as </w:t>
            </w:r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>/mm</w:t>
            </w:r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  <w:vertAlign w:val="superscript"/>
              </w:rPr>
              <w:t>3</w:t>
            </w:r>
          </w:p>
        </w:tc>
        <w:tc>
          <w:tcPr>
            <w:tcW w:w="2260" w:type="dxa"/>
            <w:tcBorders>
              <w:top w:val="nil"/>
              <w:bottom w:val="nil"/>
            </w:tcBorders>
            <w:shd w:val="clear" w:color="auto" w:fill="FFFFFF"/>
          </w:tcPr>
          <w:p w:rsidR="007F5632" w:rsidRPr="00CD3D64" w:rsidRDefault="007F5632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MS PGothic"/>
                <w:bCs/>
                <w:color w:val="000000"/>
                <w:kern w:val="0"/>
              </w:rPr>
            </w:pPr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>5000 (1810-13260)</w:t>
            </w:r>
          </w:p>
        </w:tc>
      </w:tr>
      <w:tr w:rsidR="00812A7A" w:rsidRPr="00CD3D64" w:rsidTr="00812A7A">
        <w:trPr>
          <w:trHeight w:val="326"/>
        </w:trPr>
        <w:tc>
          <w:tcPr>
            <w:tcW w:w="6460" w:type="dxa"/>
            <w:tcBorders>
              <w:top w:val="nil"/>
              <w:bottom w:val="nil"/>
            </w:tcBorders>
            <w:shd w:val="clear" w:color="auto" w:fill="FFFFFF"/>
          </w:tcPr>
          <w:p w:rsidR="007F5632" w:rsidRPr="00CD3D64" w:rsidRDefault="007F5632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MS PGothic"/>
                <w:bCs/>
                <w:color w:val="000000"/>
                <w:kern w:val="0"/>
              </w:rPr>
            </w:pPr>
            <w:proofErr w:type="spellStart"/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>Hb</w:t>
            </w:r>
            <w:proofErr w:type="spellEnd"/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 xml:space="preserve"> </w:t>
            </w:r>
            <w:r w:rsidR="00E5329F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 xml:space="preserve">in </w:t>
            </w:r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>g/</w:t>
            </w:r>
            <w:proofErr w:type="spellStart"/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>dL</w:t>
            </w:r>
            <w:proofErr w:type="spellEnd"/>
          </w:p>
        </w:tc>
        <w:tc>
          <w:tcPr>
            <w:tcW w:w="2260" w:type="dxa"/>
            <w:tcBorders>
              <w:top w:val="nil"/>
              <w:bottom w:val="nil"/>
            </w:tcBorders>
            <w:shd w:val="clear" w:color="auto" w:fill="FFFFFF"/>
          </w:tcPr>
          <w:p w:rsidR="007F5632" w:rsidRPr="00CD3D64" w:rsidRDefault="007F5632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MS PGothic"/>
                <w:bCs/>
                <w:color w:val="000000"/>
                <w:kern w:val="0"/>
              </w:rPr>
            </w:pPr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>13.6 (10.2-20.1)</w:t>
            </w:r>
          </w:p>
        </w:tc>
      </w:tr>
      <w:tr w:rsidR="00812A7A" w:rsidRPr="00CD3D64" w:rsidTr="00812A7A">
        <w:trPr>
          <w:trHeight w:val="326"/>
        </w:trPr>
        <w:tc>
          <w:tcPr>
            <w:tcW w:w="6460" w:type="dxa"/>
            <w:tcBorders>
              <w:top w:val="nil"/>
              <w:bottom w:val="nil"/>
            </w:tcBorders>
            <w:shd w:val="clear" w:color="auto" w:fill="FFFFFF"/>
          </w:tcPr>
          <w:p w:rsidR="007F5632" w:rsidRPr="00CD3D64" w:rsidRDefault="007F5632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MS PGothic"/>
                <w:bCs/>
                <w:color w:val="000000"/>
                <w:kern w:val="0"/>
              </w:rPr>
            </w:pPr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 xml:space="preserve">Platelets </w:t>
            </w:r>
            <w:r w:rsidR="00E5329F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 xml:space="preserve">as </w:t>
            </w:r>
            <w:r w:rsidR="00326F84"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sym w:font="Symbol" w:char="F0B4"/>
            </w:r>
            <w:r w:rsidR="00812A7A"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 xml:space="preserve"> </w:t>
            </w:r>
            <w:r w:rsidRPr="00CD3D64">
              <w:rPr>
                <w:rFonts w:ascii="Book Antiqua" w:eastAsia="MS PGothic" w:hAnsi="Book Antiqua" w:cs="MS PGothic"/>
                <w:color w:val="000000"/>
                <w:kern w:val="0"/>
              </w:rPr>
              <w:t>10</w:t>
            </w:r>
            <w:r w:rsidRPr="00CD3D64">
              <w:rPr>
                <w:rFonts w:ascii="Book Antiqua" w:eastAsia="MS PGothic" w:hAnsi="Book Antiqua" w:cs="MS PGothic"/>
                <w:color w:val="000000"/>
                <w:kern w:val="0"/>
                <w:vertAlign w:val="superscript"/>
              </w:rPr>
              <w:t>4</w:t>
            </w:r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>/mm</w:t>
            </w:r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  <w:vertAlign w:val="superscript"/>
              </w:rPr>
              <w:t>3</w:t>
            </w:r>
          </w:p>
        </w:tc>
        <w:tc>
          <w:tcPr>
            <w:tcW w:w="2260" w:type="dxa"/>
            <w:tcBorders>
              <w:top w:val="nil"/>
              <w:bottom w:val="nil"/>
            </w:tcBorders>
            <w:shd w:val="clear" w:color="auto" w:fill="FFFFFF"/>
          </w:tcPr>
          <w:p w:rsidR="007F5632" w:rsidRPr="00CD3D64" w:rsidRDefault="007F5632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MS PGothic"/>
                <w:bCs/>
                <w:color w:val="000000"/>
                <w:kern w:val="0"/>
              </w:rPr>
            </w:pPr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>16.2 (4.6-38.9)</w:t>
            </w:r>
          </w:p>
        </w:tc>
      </w:tr>
      <w:tr w:rsidR="00812A7A" w:rsidRPr="00CD3D64" w:rsidTr="00812A7A">
        <w:trPr>
          <w:trHeight w:val="326"/>
        </w:trPr>
        <w:tc>
          <w:tcPr>
            <w:tcW w:w="6460" w:type="dxa"/>
            <w:tcBorders>
              <w:top w:val="nil"/>
              <w:bottom w:val="nil"/>
            </w:tcBorders>
            <w:shd w:val="clear" w:color="auto" w:fill="FFFFFF"/>
          </w:tcPr>
          <w:p w:rsidR="007F5632" w:rsidRPr="00CD3D64" w:rsidRDefault="007F5632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MS PGothic"/>
                <w:bCs/>
                <w:color w:val="000000"/>
                <w:kern w:val="0"/>
              </w:rPr>
            </w:pPr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 xml:space="preserve">AST </w:t>
            </w:r>
            <w:r w:rsidR="00E5329F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 xml:space="preserve">in </w:t>
            </w:r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>IU/L</w:t>
            </w:r>
          </w:p>
        </w:tc>
        <w:tc>
          <w:tcPr>
            <w:tcW w:w="2260" w:type="dxa"/>
            <w:tcBorders>
              <w:top w:val="nil"/>
              <w:bottom w:val="nil"/>
            </w:tcBorders>
            <w:shd w:val="clear" w:color="auto" w:fill="FFFFFF"/>
          </w:tcPr>
          <w:p w:rsidR="007F5632" w:rsidRPr="00CD3D64" w:rsidRDefault="007F5632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MS PGothic"/>
                <w:bCs/>
                <w:color w:val="000000"/>
                <w:kern w:val="0"/>
              </w:rPr>
            </w:pPr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>43 (12-257)</w:t>
            </w:r>
          </w:p>
        </w:tc>
      </w:tr>
      <w:tr w:rsidR="00812A7A" w:rsidRPr="00CD3D64" w:rsidTr="00812A7A">
        <w:trPr>
          <w:trHeight w:val="326"/>
        </w:trPr>
        <w:tc>
          <w:tcPr>
            <w:tcW w:w="6460" w:type="dxa"/>
            <w:tcBorders>
              <w:top w:val="nil"/>
              <w:bottom w:val="nil"/>
            </w:tcBorders>
            <w:shd w:val="clear" w:color="auto" w:fill="FFFFFF"/>
          </w:tcPr>
          <w:p w:rsidR="007F5632" w:rsidRPr="00CD3D64" w:rsidRDefault="007F5632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MS PGothic"/>
                <w:bCs/>
                <w:color w:val="000000"/>
                <w:kern w:val="0"/>
              </w:rPr>
            </w:pPr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 xml:space="preserve">ALT </w:t>
            </w:r>
            <w:r w:rsidR="00E5329F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 xml:space="preserve">in </w:t>
            </w:r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>IU/L</w:t>
            </w:r>
          </w:p>
        </w:tc>
        <w:tc>
          <w:tcPr>
            <w:tcW w:w="2260" w:type="dxa"/>
            <w:tcBorders>
              <w:top w:val="nil"/>
              <w:bottom w:val="nil"/>
            </w:tcBorders>
            <w:shd w:val="clear" w:color="auto" w:fill="FFFFFF"/>
          </w:tcPr>
          <w:p w:rsidR="007F5632" w:rsidRPr="00CD3D64" w:rsidRDefault="007F5632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MS PGothic"/>
                <w:bCs/>
                <w:color w:val="000000"/>
                <w:kern w:val="0"/>
              </w:rPr>
            </w:pPr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>39 (6-394)</w:t>
            </w:r>
          </w:p>
        </w:tc>
      </w:tr>
      <w:tr w:rsidR="00812A7A" w:rsidRPr="00CD3D64" w:rsidTr="00812A7A">
        <w:trPr>
          <w:trHeight w:val="326"/>
        </w:trPr>
        <w:tc>
          <w:tcPr>
            <w:tcW w:w="6460" w:type="dxa"/>
            <w:tcBorders>
              <w:top w:val="nil"/>
              <w:bottom w:val="nil"/>
            </w:tcBorders>
            <w:shd w:val="clear" w:color="auto" w:fill="FFFFFF"/>
          </w:tcPr>
          <w:p w:rsidR="007F5632" w:rsidRPr="00CD3D64" w:rsidRDefault="007F5632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MS PGothic"/>
                <w:bCs/>
                <w:color w:val="000000"/>
                <w:kern w:val="0"/>
              </w:rPr>
            </w:pPr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 xml:space="preserve">γ-GT </w:t>
            </w:r>
            <w:r w:rsidR="00E5329F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 xml:space="preserve">in </w:t>
            </w:r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>IU/L</w:t>
            </w:r>
          </w:p>
        </w:tc>
        <w:tc>
          <w:tcPr>
            <w:tcW w:w="2260" w:type="dxa"/>
            <w:tcBorders>
              <w:top w:val="nil"/>
              <w:bottom w:val="nil"/>
            </w:tcBorders>
            <w:shd w:val="clear" w:color="auto" w:fill="FFFFFF"/>
          </w:tcPr>
          <w:p w:rsidR="007F5632" w:rsidRPr="00CD3D64" w:rsidRDefault="007F5632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MS PGothic"/>
                <w:bCs/>
                <w:color w:val="000000"/>
                <w:kern w:val="0"/>
              </w:rPr>
            </w:pPr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>32 (5-898)</w:t>
            </w:r>
          </w:p>
        </w:tc>
      </w:tr>
      <w:tr w:rsidR="00812A7A" w:rsidRPr="00CD3D64" w:rsidTr="00812A7A">
        <w:trPr>
          <w:trHeight w:val="326"/>
        </w:trPr>
        <w:tc>
          <w:tcPr>
            <w:tcW w:w="6460" w:type="dxa"/>
            <w:tcBorders>
              <w:top w:val="nil"/>
              <w:bottom w:val="nil"/>
            </w:tcBorders>
            <w:shd w:val="clear" w:color="auto" w:fill="FFFFFF"/>
          </w:tcPr>
          <w:p w:rsidR="007F5632" w:rsidRPr="00CD3D64" w:rsidRDefault="00291AA9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MS PGothic"/>
                <w:bCs/>
                <w:color w:val="000000"/>
                <w:kern w:val="0"/>
              </w:rPr>
            </w:pPr>
            <w:proofErr w:type="spellStart"/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>eGFR</w:t>
            </w:r>
            <w:proofErr w:type="spellEnd"/>
          </w:p>
        </w:tc>
        <w:tc>
          <w:tcPr>
            <w:tcW w:w="2260" w:type="dxa"/>
            <w:tcBorders>
              <w:top w:val="nil"/>
              <w:bottom w:val="nil"/>
            </w:tcBorders>
            <w:shd w:val="clear" w:color="auto" w:fill="FFFFFF"/>
          </w:tcPr>
          <w:p w:rsidR="007F5632" w:rsidRPr="00CD3D64" w:rsidRDefault="007F5632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MS PGothic"/>
                <w:bCs/>
                <w:color w:val="000000"/>
                <w:kern w:val="0"/>
              </w:rPr>
            </w:pPr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>73 (31-156)</w:t>
            </w:r>
          </w:p>
        </w:tc>
      </w:tr>
      <w:tr w:rsidR="00812A7A" w:rsidRPr="00CD3D64" w:rsidTr="00812A7A">
        <w:trPr>
          <w:trHeight w:val="326"/>
        </w:trPr>
        <w:tc>
          <w:tcPr>
            <w:tcW w:w="6460" w:type="dxa"/>
            <w:tcBorders>
              <w:top w:val="nil"/>
              <w:bottom w:val="single" w:sz="8" w:space="0" w:color="auto"/>
            </w:tcBorders>
            <w:shd w:val="clear" w:color="auto" w:fill="FFFFFF"/>
          </w:tcPr>
          <w:p w:rsidR="007F5632" w:rsidRPr="00CD3D64" w:rsidRDefault="007F5632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MS PGothic"/>
                <w:bCs/>
                <w:color w:val="000000"/>
                <w:kern w:val="0"/>
              </w:rPr>
            </w:pPr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 xml:space="preserve">AFP </w:t>
            </w:r>
            <w:r w:rsidR="00E5329F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 xml:space="preserve">in </w:t>
            </w:r>
            <w:proofErr w:type="spellStart"/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>ng</w:t>
            </w:r>
            <w:proofErr w:type="spellEnd"/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>/mL</w:t>
            </w:r>
          </w:p>
        </w:tc>
        <w:tc>
          <w:tcPr>
            <w:tcW w:w="2260" w:type="dxa"/>
            <w:tcBorders>
              <w:top w:val="nil"/>
              <w:bottom w:val="single" w:sz="8" w:space="0" w:color="auto"/>
            </w:tcBorders>
            <w:shd w:val="clear" w:color="auto" w:fill="FFFFFF"/>
          </w:tcPr>
          <w:p w:rsidR="007F5632" w:rsidRPr="00CD3D64" w:rsidRDefault="007F5632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Gothic" w:hAnsi="Book Antiqua" w:cs="MS PGothic"/>
                <w:bCs/>
                <w:color w:val="000000"/>
                <w:kern w:val="0"/>
              </w:rPr>
            </w:pPr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>4.3 (1.0-88.3)</w:t>
            </w:r>
          </w:p>
        </w:tc>
      </w:tr>
    </w:tbl>
    <w:p w:rsidR="007F5632" w:rsidRPr="00CD3D64" w:rsidRDefault="00291AA9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CD3D64">
        <w:rPr>
          <w:rFonts w:ascii="Book Antiqua" w:hAnsi="Book Antiqua"/>
          <w:color w:val="000000"/>
        </w:rPr>
        <w:t xml:space="preserve">Values </w:t>
      </w:r>
      <w:proofErr w:type="gramStart"/>
      <w:r w:rsidRPr="00CD3D64">
        <w:rPr>
          <w:rFonts w:ascii="Book Antiqua" w:hAnsi="Book Antiqua"/>
          <w:color w:val="000000"/>
        </w:rPr>
        <w:t xml:space="preserve">are </w:t>
      </w:r>
      <w:r w:rsidR="007F5632" w:rsidRPr="00CD3D64">
        <w:rPr>
          <w:rFonts w:ascii="Book Antiqua" w:hAnsi="Book Antiqua"/>
          <w:color w:val="000000"/>
        </w:rPr>
        <w:t>expressed</w:t>
      </w:r>
      <w:proofErr w:type="gramEnd"/>
      <w:r w:rsidR="007F5632" w:rsidRPr="00CD3D64">
        <w:rPr>
          <w:rFonts w:ascii="Book Antiqua" w:hAnsi="Book Antiqua"/>
          <w:color w:val="000000"/>
        </w:rPr>
        <w:t xml:space="preserve"> as median (rang</w:t>
      </w:r>
      <w:r w:rsidRPr="00CD3D64">
        <w:rPr>
          <w:rFonts w:ascii="Book Antiqua" w:hAnsi="Book Antiqua"/>
          <w:color w:val="000000"/>
        </w:rPr>
        <w:t xml:space="preserve">e) or numbers (percentage). </w:t>
      </w:r>
      <w:proofErr w:type="gramStart"/>
      <w:r w:rsidR="00E5329F" w:rsidRPr="00CD3D64">
        <w:rPr>
          <w:rFonts w:ascii="Book Antiqua" w:hAnsi="Book Antiqua"/>
          <w:color w:val="000000"/>
        </w:rPr>
        <w:t>γ-GT</w:t>
      </w:r>
      <w:proofErr w:type="gramEnd"/>
      <w:r w:rsidR="00E5329F" w:rsidRPr="00CD3D64">
        <w:rPr>
          <w:rFonts w:ascii="Book Antiqua" w:hAnsi="Book Antiqua"/>
          <w:color w:val="000000"/>
        </w:rPr>
        <w:t>: γ-</w:t>
      </w:r>
      <w:proofErr w:type="spellStart"/>
      <w:r w:rsidR="00E5329F" w:rsidRPr="00CD3D64">
        <w:rPr>
          <w:rFonts w:ascii="Book Antiqua" w:hAnsi="Book Antiqua"/>
          <w:color w:val="000000"/>
        </w:rPr>
        <w:t>glutamyl</w:t>
      </w:r>
      <w:proofErr w:type="spellEnd"/>
      <w:r w:rsidR="00E5329F" w:rsidRPr="00CD3D64">
        <w:rPr>
          <w:rFonts w:ascii="Book Antiqua" w:hAnsi="Book Antiqua"/>
          <w:color w:val="000000"/>
        </w:rPr>
        <w:t xml:space="preserve"> </w:t>
      </w:r>
      <w:proofErr w:type="spellStart"/>
      <w:r w:rsidR="00E5329F" w:rsidRPr="00CD3D64">
        <w:rPr>
          <w:rFonts w:ascii="Book Antiqua" w:hAnsi="Book Antiqua"/>
          <w:color w:val="000000"/>
        </w:rPr>
        <w:t>transferase</w:t>
      </w:r>
      <w:proofErr w:type="spellEnd"/>
      <w:r w:rsidR="00E5329F" w:rsidRPr="00CD3D64">
        <w:rPr>
          <w:rFonts w:ascii="Book Antiqua" w:hAnsi="Book Antiqua"/>
          <w:color w:val="000000"/>
        </w:rPr>
        <w:t>; AFP: Alpha-fetoprotein; ALT: Alanine aminotransferase</w:t>
      </w:r>
      <w:r w:rsidR="00E5329F">
        <w:rPr>
          <w:rFonts w:ascii="Book Antiqua" w:hAnsi="Book Antiqua"/>
          <w:color w:val="000000"/>
        </w:rPr>
        <w:t>;</w:t>
      </w:r>
      <w:r w:rsidR="00E5329F" w:rsidRPr="00E5329F">
        <w:rPr>
          <w:rFonts w:ascii="Book Antiqua" w:hAnsi="Book Antiqua"/>
          <w:color w:val="000000"/>
        </w:rPr>
        <w:t xml:space="preserve"> </w:t>
      </w:r>
      <w:r w:rsidR="00E5329F" w:rsidRPr="00CD3D64">
        <w:rPr>
          <w:rFonts w:ascii="Book Antiqua" w:hAnsi="Book Antiqua"/>
          <w:color w:val="000000"/>
        </w:rPr>
        <w:t xml:space="preserve">AST: Aspartate aminotransferase; BMI: Body mass index; </w:t>
      </w:r>
      <w:proofErr w:type="spellStart"/>
      <w:r w:rsidR="00E5329F" w:rsidRPr="00CD3D64">
        <w:rPr>
          <w:rFonts w:ascii="Book Antiqua" w:hAnsi="Book Antiqua"/>
          <w:color w:val="000000"/>
        </w:rPr>
        <w:t>eGFR</w:t>
      </w:r>
      <w:proofErr w:type="spellEnd"/>
      <w:r w:rsidR="00E5329F" w:rsidRPr="00CD3D64">
        <w:rPr>
          <w:rFonts w:ascii="Book Antiqua" w:hAnsi="Book Antiqua"/>
          <w:color w:val="000000"/>
        </w:rPr>
        <w:t xml:space="preserve">: Estimated glomerular filtration rate; </w:t>
      </w:r>
      <w:proofErr w:type="spellStart"/>
      <w:r w:rsidR="00E5329F" w:rsidRPr="00CD3D64">
        <w:rPr>
          <w:rFonts w:ascii="Book Antiqua" w:hAnsi="Book Antiqua"/>
          <w:color w:val="000000"/>
        </w:rPr>
        <w:t>Hb</w:t>
      </w:r>
      <w:proofErr w:type="spellEnd"/>
      <w:r w:rsidR="00E5329F" w:rsidRPr="00CD3D64">
        <w:rPr>
          <w:rFonts w:ascii="Book Antiqua" w:hAnsi="Book Antiqua"/>
          <w:color w:val="000000"/>
        </w:rPr>
        <w:t xml:space="preserve">: Hemoglobin; HCC: Hepatocellular carcinoma; HCV: Hepatitis C virus; </w:t>
      </w:r>
      <w:r w:rsidR="00E5329F" w:rsidRPr="00CD3D64">
        <w:rPr>
          <w:rFonts w:ascii="Book Antiqua" w:eastAsia="MS PGothic" w:hAnsi="Book Antiqua" w:cs="MS PGothic"/>
          <w:bCs/>
          <w:color w:val="000000"/>
          <w:kern w:val="0"/>
        </w:rPr>
        <w:t>HCV-RNA</w:t>
      </w:r>
      <w:r w:rsidR="00E5329F" w:rsidRPr="00CD3D64">
        <w:rPr>
          <w:rFonts w:ascii="Book Antiqua" w:hAnsi="Book Antiqua"/>
          <w:color w:val="000000"/>
        </w:rPr>
        <w:t xml:space="preserve">: </w:t>
      </w:r>
      <w:r w:rsidR="003A3524" w:rsidRPr="00CD3D64">
        <w:rPr>
          <w:rFonts w:ascii="Book Antiqua" w:hAnsi="Book Antiqua"/>
          <w:color w:val="000000"/>
        </w:rPr>
        <w:t>H</w:t>
      </w:r>
      <w:r w:rsidR="003A3524">
        <w:rPr>
          <w:rFonts w:ascii="Book Antiqua" w:hAnsi="Book Antiqua"/>
          <w:color w:val="000000"/>
        </w:rPr>
        <w:t>epatitis</w:t>
      </w:r>
      <w:r w:rsidR="00E5329F">
        <w:rPr>
          <w:rFonts w:ascii="Book Antiqua" w:hAnsi="Book Antiqua"/>
          <w:color w:val="000000"/>
        </w:rPr>
        <w:t xml:space="preserve"> C virus</w:t>
      </w:r>
      <w:r w:rsidR="00E5329F" w:rsidRPr="00CD3D64">
        <w:rPr>
          <w:rFonts w:ascii="Book Antiqua" w:hAnsi="Book Antiqua"/>
          <w:color w:val="000000"/>
        </w:rPr>
        <w:t>-ribonucleic acid</w:t>
      </w:r>
      <w:r w:rsidR="00E5329F">
        <w:rPr>
          <w:rFonts w:ascii="Book Antiqua" w:hAnsi="Book Antiqua"/>
          <w:color w:val="000000"/>
        </w:rPr>
        <w:t>;</w:t>
      </w:r>
      <w:r w:rsidR="00E5329F" w:rsidRPr="00CD3D64">
        <w:rPr>
          <w:rFonts w:ascii="Book Antiqua" w:hAnsi="Book Antiqua"/>
          <w:color w:val="000000"/>
        </w:rPr>
        <w:t xml:space="preserve"> </w:t>
      </w:r>
      <w:r w:rsidRPr="00CD3D64">
        <w:rPr>
          <w:rFonts w:ascii="Book Antiqua" w:hAnsi="Book Antiqua"/>
          <w:color w:val="000000"/>
        </w:rPr>
        <w:t>IFN:</w:t>
      </w:r>
      <w:r w:rsidR="007F5632" w:rsidRPr="00CD3D64">
        <w:rPr>
          <w:rFonts w:ascii="Book Antiqua" w:hAnsi="Book Antiqua"/>
          <w:color w:val="000000"/>
        </w:rPr>
        <w:t xml:space="preserve"> </w:t>
      </w:r>
      <w:r w:rsidRPr="00CD3D64">
        <w:rPr>
          <w:rFonts w:ascii="Book Antiqua" w:hAnsi="Book Antiqua"/>
          <w:color w:val="000000"/>
        </w:rPr>
        <w:t>Interferon</w:t>
      </w:r>
      <w:r w:rsidR="007F5632" w:rsidRPr="00CD3D64">
        <w:rPr>
          <w:rFonts w:ascii="Book Antiqua" w:hAnsi="Book Antiqua"/>
          <w:color w:val="000000"/>
        </w:rPr>
        <w:t>; WBC</w:t>
      </w:r>
      <w:r w:rsidRPr="00CD3D64">
        <w:rPr>
          <w:rFonts w:ascii="Book Antiqua" w:hAnsi="Book Antiqua"/>
          <w:color w:val="000000"/>
        </w:rPr>
        <w:t xml:space="preserve">: White </w:t>
      </w:r>
      <w:r w:rsidR="007F5632" w:rsidRPr="00CD3D64">
        <w:rPr>
          <w:rFonts w:ascii="Book Antiqua" w:hAnsi="Book Antiqua"/>
          <w:color w:val="000000"/>
        </w:rPr>
        <w:t>blood cells</w:t>
      </w:r>
      <w:r w:rsidR="00631761" w:rsidRPr="00CD3D64">
        <w:rPr>
          <w:rFonts w:ascii="Book Antiqua" w:hAnsi="Book Antiqua"/>
          <w:color w:val="000000"/>
        </w:rPr>
        <w:t>.</w:t>
      </w:r>
    </w:p>
    <w:p w:rsidR="007F5632" w:rsidRPr="00CD3D64" w:rsidRDefault="007F5632" w:rsidP="00CD3D64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color w:val="000000"/>
        </w:rPr>
      </w:pPr>
      <w:r w:rsidRPr="00CD3D64">
        <w:rPr>
          <w:rFonts w:ascii="Book Antiqua" w:hAnsi="Book Antiqua"/>
          <w:color w:val="000000"/>
        </w:rPr>
        <w:br w:type="page"/>
      </w:r>
      <w:r w:rsidRPr="00CD3D64">
        <w:rPr>
          <w:rFonts w:ascii="Book Antiqua" w:hAnsi="Book Antiqua"/>
          <w:b/>
          <w:color w:val="000000"/>
        </w:rPr>
        <w:lastRenderedPageBreak/>
        <w:t xml:space="preserve">Table 2 Comparison of pre-treatment factors between </w:t>
      </w:r>
      <w:proofErr w:type="gramStart"/>
      <w:r w:rsidRPr="00CD3D64">
        <w:rPr>
          <w:rFonts w:ascii="Book Antiqua" w:hAnsi="Book Antiqua"/>
          <w:b/>
          <w:color w:val="000000"/>
        </w:rPr>
        <w:t>patients</w:t>
      </w:r>
      <w:proofErr w:type="gramEnd"/>
      <w:r w:rsidRPr="00CD3D64">
        <w:rPr>
          <w:rFonts w:ascii="Book Antiqua" w:hAnsi="Book Antiqua"/>
          <w:b/>
          <w:color w:val="000000"/>
        </w:rPr>
        <w:t xml:space="preserve"> ≥</w:t>
      </w:r>
      <w:r w:rsidR="00812A7A" w:rsidRPr="00CD3D64">
        <w:rPr>
          <w:rFonts w:ascii="Book Antiqua" w:hAnsi="Book Antiqua"/>
          <w:b/>
          <w:color w:val="000000"/>
        </w:rPr>
        <w:t xml:space="preserve"> </w:t>
      </w:r>
      <w:r w:rsidRPr="00CD3D64">
        <w:rPr>
          <w:rFonts w:ascii="Book Antiqua" w:hAnsi="Book Antiqua"/>
          <w:b/>
          <w:color w:val="000000"/>
        </w:rPr>
        <w:t>75</w:t>
      </w:r>
      <w:r w:rsidR="00E5329F">
        <w:rPr>
          <w:rFonts w:ascii="Book Antiqua" w:hAnsi="Book Antiqua"/>
          <w:b/>
          <w:color w:val="000000"/>
        </w:rPr>
        <w:t>-years-old</w:t>
      </w:r>
      <w:r w:rsidRPr="00CD3D64">
        <w:rPr>
          <w:rFonts w:ascii="Book Antiqua" w:hAnsi="Book Antiqua"/>
          <w:b/>
          <w:color w:val="000000"/>
        </w:rPr>
        <w:t xml:space="preserve"> and &lt;</w:t>
      </w:r>
      <w:r w:rsidR="00812A7A" w:rsidRPr="00CD3D64">
        <w:rPr>
          <w:rFonts w:ascii="Book Antiqua" w:hAnsi="Book Antiqua"/>
          <w:b/>
          <w:color w:val="000000"/>
        </w:rPr>
        <w:t xml:space="preserve"> </w:t>
      </w:r>
      <w:r w:rsidRPr="00CD3D64">
        <w:rPr>
          <w:rFonts w:ascii="Book Antiqua" w:hAnsi="Book Antiqua"/>
          <w:b/>
          <w:color w:val="000000"/>
        </w:rPr>
        <w:t>75</w:t>
      </w:r>
      <w:r w:rsidR="00D242AF">
        <w:rPr>
          <w:rFonts w:ascii="Book Antiqua" w:hAnsi="Book Antiqua"/>
          <w:b/>
          <w:color w:val="000000"/>
        </w:rPr>
        <w:t>-years-old</w:t>
      </w:r>
    </w:p>
    <w:tbl>
      <w:tblPr>
        <w:tblW w:w="8897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12"/>
        <w:gridCol w:w="2357"/>
        <w:gridCol w:w="2427"/>
        <w:gridCol w:w="1101"/>
      </w:tblGrid>
      <w:tr w:rsidR="00812A7A" w:rsidRPr="00CD3D64" w:rsidTr="00291AA9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CD3D64">
              <w:rPr>
                <w:rFonts w:ascii="Book Antiqua" w:hAnsi="Book Antiqua"/>
                <w:b/>
                <w:bCs/>
                <w:color w:val="000000"/>
              </w:rPr>
              <w:t>Factors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CD3D64">
              <w:rPr>
                <w:rFonts w:ascii="Book Antiqua" w:hAnsi="Book Antiqua"/>
                <w:b/>
                <w:bCs/>
                <w:color w:val="000000"/>
              </w:rPr>
              <w:t>Patients ≥</w:t>
            </w:r>
            <w:r w:rsidR="00812A7A" w:rsidRPr="00CD3D64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CD3D64">
              <w:rPr>
                <w:rFonts w:ascii="Book Antiqua" w:hAnsi="Book Antiqua"/>
                <w:b/>
                <w:bCs/>
                <w:color w:val="000000"/>
              </w:rPr>
              <w:t>75</w:t>
            </w:r>
            <w:r w:rsidR="00D242AF">
              <w:rPr>
                <w:rFonts w:ascii="Book Antiqua" w:hAnsi="Book Antiqua"/>
                <w:b/>
                <w:bCs/>
                <w:color w:val="000000"/>
              </w:rPr>
              <w:t>-</w:t>
            </w:r>
            <w:r w:rsidR="00812A7A" w:rsidRPr="00CD3D64">
              <w:rPr>
                <w:rFonts w:ascii="Book Antiqua" w:hAnsi="Book Antiqua"/>
                <w:b/>
                <w:bCs/>
                <w:color w:val="000000"/>
              </w:rPr>
              <w:t>yr</w:t>
            </w:r>
            <w:r w:rsidR="00D242AF">
              <w:rPr>
                <w:rFonts w:ascii="Book Antiqua" w:hAnsi="Book Antiqua"/>
                <w:b/>
                <w:bCs/>
                <w:color w:val="000000"/>
              </w:rPr>
              <w:t>-</w:t>
            </w:r>
            <w:r w:rsidRPr="00CD3D64">
              <w:rPr>
                <w:rFonts w:ascii="Book Antiqua" w:hAnsi="Book Antiqua"/>
                <w:b/>
                <w:bCs/>
                <w:color w:val="000000"/>
              </w:rPr>
              <w:t>old</w:t>
            </w:r>
            <w:r w:rsidR="00812A7A" w:rsidRPr="00CD3D64">
              <w:rPr>
                <w:rFonts w:ascii="Book Antiqua" w:eastAsia="等线" w:hAnsi="Book Antiqua"/>
                <w:b/>
                <w:bCs/>
                <w:color w:val="000000"/>
                <w:lang w:eastAsia="zh-CN"/>
              </w:rPr>
              <w:t xml:space="preserve">, </w:t>
            </w:r>
            <w:r w:rsidRPr="00CD3D64">
              <w:rPr>
                <w:rFonts w:ascii="Book Antiqua" w:hAnsi="Book Antiqua"/>
                <w:b/>
                <w:bCs/>
                <w:i/>
                <w:iCs/>
                <w:color w:val="000000"/>
              </w:rPr>
              <w:t>n</w:t>
            </w:r>
            <w:r w:rsidR="00812A7A" w:rsidRPr="00CD3D64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CD3D64">
              <w:rPr>
                <w:rFonts w:ascii="Book Antiqua" w:hAnsi="Book Antiqua"/>
                <w:b/>
                <w:bCs/>
                <w:color w:val="000000"/>
              </w:rPr>
              <w:t>=</w:t>
            </w:r>
            <w:r w:rsidR="00812A7A" w:rsidRPr="00CD3D64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CD3D64">
              <w:rPr>
                <w:rFonts w:ascii="Book Antiqua" w:hAnsi="Book Antiqua"/>
                <w:b/>
                <w:bCs/>
                <w:color w:val="000000"/>
              </w:rPr>
              <w:t>83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CD3D64">
              <w:rPr>
                <w:rFonts w:ascii="Book Antiqua" w:hAnsi="Book Antiqua"/>
                <w:b/>
                <w:bCs/>
                <w:color w:val="000000"/>
              </w:rPr>
              <w:t>Patients &lt;</w:t>
            </w:r>
            <w:r w:rsidR="00812A7A" w:rsidRPr="00CD3D64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CD3D64">
              <w:rPr>
                <w:rFonts w:ascii="Book Antiqua" w:hAnsi="Book Antiqua"/>
                <w:b/>
                <w:bCs/>
                <w:color w:val="000000"/>
              </w:rPr>
              <w:t>75</w:t>
            </w:r>
            <w:r w:rsidR="00D242AF">
              <w:rPr>
                <w:rFonts w:ascii="Book Antiqua" w:hAnsi="Book Antiqua"/>
                <w:b/>
                <w:bCs/>
                <w:color w:val="000000"/>
              </w:rPr>
              <w:t>-</w:t>
            </w:r>
            <w:r w:rsidR="00812A7A" w:rsidRPr="00CD3D64">
              <w:rPr>
                <w:rFonts w:ascii="Book Antiqua" w:hAnsi="Book Antiqua"/>
                <w:b/>
                <w:bCs/>
                <w:color w:val="000000"/>
              </w:rPr>
              <w:t>yr</w:t>
            </w:r>
            <w:r w:rsidR="00D242AF">
              <w:rPr>
                <w:rFonts w:ascii="Book Antiqua" w:hAnsi="Book Antiqua"/>
                <w:b/>
                <w:bCs/>
                <w:color w:val="000000"/>
              </w:rPr>
              <w:t>-</w:t>
            </w:r>
            <w:r w:rsidRPr="00CD3D64">
              <w:rPr>
                <w:rFonts w:ascii="Book Antiqua" w:hAnsi="Book Antiqua"/>
                <w:b/>
                <w:bCs/>
                <w:color w:val="000000"/>
              </w:rPr>
              <w:t>old</w:t>
            </w:r>
            <w:r w:rsidR="00812A7A" w:rsidRPr="00CD3D64">
              <w:rPr>
                <w:rFonts w:ascii="Book Antiqua" w:eastAsia="等线" w:hAnsi="Book Antiqua"/>
                <w:b/>
                <w:bCs/>
                <w:color w:val="000000"/>
                <w:lang w:eastAsia="zh-CN"/>
              </w:rPr>
              <w:t xml:space="preserve">, </w:t>
            </w:r>
            <w:r w:rsidRPr="00CD3D64">
              <w:rPr>
                <w:rFonts w:ascii="Book Antiqua" w:hAnsi="Book Antiqua"/>
                <w:b/>
                <w:bCs/>
                <w:i/>
                <w:iCs/>
                <w:color w:val="000000"/>
              </w:rPr>
              <w:t>n</w:t>
            </w:r>
            <w:r w:rsidR="00812A7A" w:rsidRPr="00CD3D64">
              <w:rPr>
                <w:rFonts w:ascii="Book Antiqua" w:hAnsi="Book Antiqua"/>
                <w:b/>
                <w:bCs/>
                <w:i/>
                <w:iCs/>
                <w:color w:val="000000"/>
              </w:rPr>
              <w:t xml:space="preserve"> </w:t>
            </w:r>
            <w:r w:rsidRPr="00CD3D64">
              <w:rPr>
                <w:rFonts w:ascii="Book Antiqua" w:hAnsi="Book Antiqua"/>
                <w:b/>
                <w:bCs/>
                <w:color w:val="000000"/>
              </w:rPr>
              <w:t>=</w:t>
            </w:r>
            <w:r w:rsidR="00812A7A" w:rsidRPr="00CD3D64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CD3D64">
              <w:rPr>
                <w:rFonts w:ascii="Book Antiqua" w:hAnsi="Book Antiqua"/>
                <w:b/>
                <w:bCs/>
                <w:color w:val="000000"/>
              </w:rPr>
              <w:t>182</w:t>
            </w:r>
          </w:p>
        </w:tc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b/>
                <w:bCs/>
                <w:i/>
                <w:color w:val="000000"/>
              </w:rPr>
            </w:pPr>
            <w:r w:rsidRPr="00CD3D64">
              <w:rPr>
                <w:rFonts w:ascii="Book Antiqua" w:hAnsi="Book Antiqua"/>
                <w:b/>
                <w:bCs/>
                <w:i/>
                <w:color w:val="000000"/>
              </w:rPr>
              <w:t>P</w:t>
            </w:r>
            <w:r w:rsidR="00291AA9" w:rsidRPr="00CD3D64">
              <w:rPr>
                <w:rFonts w:ascii="Book Antiqua" w:hAnsi="Book Antiqua"/>
                <w:b/>
                <w:bCs/>
                <w:i/>
                <w:color w:val="000000"/>
              </w:rPr>
              <w:t xml:space="preserve"> </w:t>
            </w:r>
            <w:r w:rsidR="00291AA9" w:rsidRPr="00CD3D64">
              <w:rPr>
                <w:rFonts w:ascii="Book Antiqua" w:hAnsi="Book Antiqua"/>
                <w:b/>
                <w:bCs/>
                <w:color w:val="000000"/>
              </w:rPr>
              <w:t>value</w:t>
            </w:r>
          </w:p>
        </w:tc>
      </w:tr>
      <w:tr w:rsidR="00812A7A" w:rsidRPr="00CD3D64" w:rsidTr="00291AA9"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b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 xml:space="preserve">Age </w:t>
            </w:r>
            <w:r w:rsidR="00E5329F">
              <w:rPr>
                <w:rFonts w:ascii="Book Antiqua" w:hAnsi="Book Antiqua"/>
                <w:color w:val="000000"/>
              </w:rPr>
              <w:t xml:space="preserve">in </w:t>
            </w:r>
            <w:proofErr w:type="spellStart"/>
            <w:r w:rsidR="00812A7A" w:rsidRPr="00CD3D64">
              <w:rPr>
                <w:rFonts w:ascii="Book Antiqua" w:hAnsi="Book Antiqua"/>
                <w:color w:val="000000"/>
              </w:rPr>
              <w:t>yr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79 (75-86)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64 (17-74)</w:t>
            </w:r>
          </w:p>
        </w:tc>
        <w:tc>
          <w:tcPr>
            <w:tcW w:w="1101" w:type="dxa"/>
            <w:tcBorders>
              <w:top w:val="single" w:sz="12" w:space="0" w:color="auto"/>
            </w:tcBorders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&lt;</w:t>
            </w:r>
            <w:r w:rsidR="00812A7A" w:rsidRPr="00CD3D64">
              <w:rPr>
                <w:rFonts w:ascii="Book Antiqua" w:hAnsi="Book Antiqua"/>
                <w:color w:val="000000"/>
              </w:rPr>
              <w:t xml:space="preserve"> </w:t>
            </w:r>
            <w:r w:rsidRPr="00CD3D64">
              <w:rPr>
                <w:rFonts w:ascii="Book Antiqua" w:hAnsi="Book Antiqua"/>
                <w:color w:val="000000"/>
              </w:rPr>
              <w:t>0.001</w:t>
            </w:r>
          </w:p>
        </w:tc>
      </w:tr>
      <w:tr w:rsidR="00812A7A" w:rsidRPr="00CD3D64" w:rsidTr="00291AA9">
        <w:tc>
          <w:tcPr>
            <w:tcW w:w="0" w:type="auto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b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 xml:space="preserve">Sex </w:t>
            </w:r>
            <w:r w:rsidR="00E5329F">
              <w:rPr>
                <w:rFonts w:ascii="Book Antiqua" w:hAnsi="Book Antiqua"/>
                <w:color w:val="000000"/>
              </w:rPr>
              <w:t xml:space="preserve">as </w:t>
            </w:r>
            <w:r w:rsidRPr="00CD3D64">
              <w:rPr>
                <w:rFonts w:ascii="Book Antiqua" w:hAnsi="Book Antiqua"/>
                <w:color w:val="000000"/>
              </w:rPr>
              <w:t>male/female</w:t>
            </w:r>
          </w:p>
        </w:tc>
        <w:tc>
          <w:tcPr>
            <w:tcW w:w="0" w:type="auto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42/41 (51%/49%)</w:t>
            </w:r>
          </w:p>
        </w:tc>
        <w:tc>
          <w:tcPr>
            <w:tcW w:w="0" w:type="auto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108/74 (59%/41%)</w:t>
            </w:r>
          </w:p>
        </w:tc>
        <w:tc>
          <w:tcPr>
            <w:tcW w:w="1101" w:type="dxa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0.183</w:t>
            </w:r>
          </w:p>
        </w:tc>
      </w:tr>
      <w:tr w:rsidR="00812A7A" w:rsidRPr="00CD3D64" w:rsidTr="00291AA9">
        <w:tc>
          <w:tcPr>
            <w:tcW w:w="0" w:type="auto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b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 xml:space="preserve">Height </w:t>
            </w:r>
            <w:r w:rsidR="00E5329F">
              <w:rPr>
                <w:rFonts w:ascii="Book Antiqua" w:hAnsi="Book Antiqua"/>
                <w:color w:val="000000"/>
              </w:rPr>
              <w:t xml:space="preserve">in </w:t>
            </w:r>
            <w:r w:rsidRPr="00CD3D64">
              <w:rPr>
                <w:rFonts w:ascii="Book Antiqua" w:hAnsi="Book Antiqua"/>
                <w:color w:val="000000"/>
              </w:rPr>
              <w:t>cm</w:t>
            </w:r>
          </w:p>
        </w:tc>
        <w:tc>
          <w:tcPr>
            <w:tcW w:w="0" w:type="auto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156.7 (134.0-170.0)</w:t>
            </w:r>
          </w:p>
        </w:tc>
        <w:tc>
          <w:tcPr>
            <w:tcW w:w="0" w:type="auto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162.0 (140.0-182.0)</w:t>
            </w:r>
          </w:p>
        </w:tc>
        <w:tc>
          <w:tcPr>
            <w:tcW w:w="1101" w:type="dxa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&lt;</w:t>
            </w:r>
            <w:r w:rsidR="00812A7A" w:rsidRPr="00CD3D64">
              <w:rPr>
                <w:rFonts w:ascii="Book Antiqua" w:hAnsi="Book Antiqua"/>
                <w:color w:val="000000"/>
              </w:rPr>
              <w:t xml:space="preserve"> </w:t>
            </w:r>
            <w:r w:rsidRPr="00CD3D64">
              <w:rPr>
                <w:rFonts w:ascii="Book Antiqua" w:hAnsi="Book Antiqua"/>
                <w:color w:val="000000"/>
              </w:rPr>
              <w:t>0.001</w:t>
            </w:r>
          </w:p>
        </w:tc>
      </w:tr>
      <w:tr w:rsidR="00812A7A" w:rsidRPr="00CD3D64" w:rsidTr="00291AA9">
        <w:tc>
          <w:tcPr>
            <w:tcW w:w="0" w:type="auto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b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 xml:space="preserve">Weight </w:t>
            </w:r>
            <w:r w:rsidR="00E5329F">
              <w:rPr>
                <w:rFonts w:ascii="Book Antiqua" w:hAnsi="Book Antiqua"/>
                <w:color w:val="000000"/>
              </w:rPr>
              <w:t xml:space="preserve">in </w:t>
            </w:r>
            <w:r w:rsidRPr="00CD3D64">
              <w:rPr>
                <w:rFonts w:ascii="Book Antiqua" w:hAnsi="Book Antiqua"/>
                <w:color w:val="000000"/>
              </w:rPr>
              <w:t>kg</w:t>
            </w:r>
          </w:p>
        </w:tc>
        <w:tc>
          <w:tcPr>
            <w:tcW w:w="0" w:type="auto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53.5 (32.3-81.4)</w:t>
            </w:r>
          </w:p>
        </w:tc>
        <w:tc>
          <w:tcPr>
            <w:tcW w:w="0" w:type="auto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60.0 (37.6-99.3)</w:t>
            </w:r>
          </w:p>
        </w:tc>
        <w:tc>
          <w:tcPr>
            <w:tcW w:w="1101" w:type="dxa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&lt;</w:t>
            </w:r>
            <w:r w:rsidR="00812A7A" w:rsidRPr="00CD3D64">
              <w:rPr>
                <w:rFonts w:ascii="Book Antiqua" w:hAnsi="Book Antiqua"/>
                <w:color w:val="000000"/>
              </w:rPr>
              <w:t xml:space="preserve"> </w:t>
            </w:r>
            <w:r w:rsidRPr="00CD3D64">
              <w:rPr>
                <w:rFonts w:ascii="Book Antiqua" w:hAnsi="Book Antiqua"/>
                <w:color w:val="000000"/>
              </w:rPr>
              <w:t>0.001</w:t>
            </w:r>
          </w:p>
        </w:tc>
      </w:tr>
      <w:tr w:rsidR="00812A7A" w:rsidRPr="00CD3D64" w:rsidTr="00291AA9">
        <w:tc>
          <w:tcPr>
            <w:tcW w:w="0" w:type="auto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b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 xml:space="preserve">BMI </w:t>
            </w:r>
            <w:r w:rsidR="00E5329F">
              <w:rPr>
                <w:rFonts w:ascii="Book Antiqua" w:hAnsi="Book Antiqua"/>
                <w:color w:val="000000"/>
              </w:rPr>
              <w:t xml:space="preserve">in </w:t>
            </w:r>
            <w:r w:rsidRPr="00CD3D64">
              <w:rPr>
                <w:rFonts w:ascii="Book Antiqua" w:hAnsi="Book Antiqua"/>
                <w:color w:val="000000"/>
              </w:rPr>
              <w:t>kg/m</w:t>
            </w:r>
            <w:r w:rsidRPr="00CD3D64">
              <w:rPr>
                <w:rFonts w:ascii="Book Antiqua" w:hAnsi="Book Antiqua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22.2 (15.5-29.5)</w:t>
            </w:r>
          </w:p>
        </w:tc>
        <w:tc>
          <w:tcPr>
            <w:tcW w:w="0" w:type="auto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23.1 (16.5-35.0)</w:t>
            </w:r>
          </w:p>
        </w:tc>
        <w:tc>
          <w:tcPr>
            <w:tcW w:w="1101" w:type="dxa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0.009</w:t>
            </w:r>
          </w:p>
        </w:tc>
      </w:tr>
      <w:tr w:rsidR="00812A7A" w:rsidRPr="00CD3D64" w:rsidTr="00291AA9">
        <w:tc>
          <w:tcPr>
            <w:tcW w:w="0" w:type="auto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Cirrhosis</w:t>
            </w:r>
          </w:p>
        </w:tc>
        <w:tc>
          <w:tcPr>
            <w:tcW w:w="0" w:type="auto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41 (49%)</w:t>
            </w:r>
          </w:p>
        </w:tc>
        <w:tc>
          <w:tcPr>
            <w:tcW w:w="0" w:type="auto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50 (28%)</w:t>
            </w:r>
          </w:p>
        </w:tc>
        <w:tc>
          <w:tcPr>
            <w:tcW w:w="1101" w:type="dxa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&lt;</w:t>
            </w:r>
            <w:r w:rsidR="00812A7A" w:rsidRPr="00CD3D64">
              <w:rPr>
                <w:rFonts w:ascii="Book Antiqua" w:hAnsi="Book Antiqua"/>
                <w:color w:val="000000"/>
              </w:rPr>
              <w:t xml:space="preserve"> </w:t>
            </w:r>
            <w:r w:rsidRPr="00CD3D64">
              <w:rPr>
                <w:rFonts w:ascii="Book Antiqua" w:hAnsi="Book Antiqua"/>
                <w:color w:val="000000"/>
              </w:rPr>
              <w:t>0.001</w:t>
            </w:r>
          </w:p>
        </w:tc>
      </w:tr>
      <w:tr w:rsidR="00812A7A" w:rsidRPr="00CD3D64" w:rsidTr="00291AA9">
        <w:tc>
          <w:tcPr>
            <w:tcW w:w="0" w:type="auto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CKD</w:t>
            </w:r>
            <w:r w:rsidR="00E5329F">
              <w:rPr>
                <w:rFonts w:ascii="Book Antiqua" w:hAnsi="Book Antiqua"/>
                <w:color w:val="000000"/>
              </w:rPr>
              <w:t xml:space="preserve">, </w:t>
            </w:r>
            <w:proofErr w:type="spellStart"/>
            <w:r w:rsidRPr="00CD3D64">
              <w:rPr>
                <w:rFonts w:ascii="Book Antiqua" w:hAnsi="Book Antiqua"/>
                <w:color w:val="000000"/>
              </w:rPr>
              <w:t>eGFR</w:t>
            </w:r>
            <w:proofErr w:type="spellEnd"/>
            <w:r w:rsidRPr="00CD3D64">
              <w:rPr>
                <w:rFonts w:ascii="Book Antiqua" w:hAnsi="Book Antiqua"/>
                <w:color w:val="000000"/>
              </w:rPr>
              <w:t xml:space="preserve"> &lt;</w:t>
            </w:r>
            <w:r w:rsidR="00812A7A" w:rsidRPr="00CD3D64">
              <w:rPr>
                <w:rFonts w:ascii="Book Antiqua" w:hAnsi="Book Antiqua"/>
                <w:color w:val="000000"/>
              </w:rPr>
              <w:t xml:space="preserve"> </w:t>
            </w:r>
            <w:r w:rsidRPr="00CD3D64">
              <w:rPr>
                <w:rFonts w:ascii="Book Antiqua" w:hAnsi="Book Antiqua"/>
                <w:color w:val="000000"/>
              </w:rPr>
              <w:t>60</w:t>
            </w:r>
            <w:r w:rsidR="00C12E5F" w:rsidRPr="00CD3D64">
              <w:rPr>
                <w:rFonts w:ascii="Book Antiqua" w:hAnsi="Book Antiqua"/>
                <w:color w:val="000000"/>
              </w:rPr>
              <w:t xml:space="preserve"> mL/min/1.73 m</w:t>
            </w:r>
            <w:r w:rsidR="00C12E5F" w:rsidRPr="00CD3D64">
              <w:rPr>
                <w:rFonts w:ascii="Book Antiqua" w:hAnsi="Book Antiqua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28 (34%)</w:t>
            </w:r>
          </w:p>
        </w:tc>
        <w:tc>
          <w:tcPr>
            <w:tcW w:w="0" w:type="auto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25 (14%)</w:t>
            </w:r>
          </w:p>
        </w:tc>
        <w:tc>
          <w:tcPr>
            <w:tcW w:w="1101" w:type="dxa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&lt;</w:t>
            </w:r>
            <w:r w:rsidR="00812A7A" w:rsidRPr="00CD3D64">
              <w:rPr>
                <w:rFonts w:ascii="Book Antiqua" w:hAnsi="Book Antiqua"/>
                <w:color w:val="000000"/>
              </w:rPr>
              <w:t xml:space="preserve"> </w:t>
            </w:r>
            <w:r w:rsidRPr="00CD3D64">
              <w:rPr>
                <w:rFonts w:ascii="Book Antiqua" w:hAnsi="Book Antiqua"/>
                <w:color w:val="000000"/>
              </w:rPr>
              <w:t>0.001</w:t>
            </w:r>
          </w:p>
        </w:tc>
      </w:tr>
      <w:tr w:rsidR="00812A7A" w:rsidRPr="00CD3D64" w:rsidTr="00291AA9">
        <w:tc>
          <w:tcPr>
            <w:tcW w:w="0" w:type="auto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b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History of HCC treatment</w:t>
            </w:r>
          </w:p>
        </w:tc>
        <w:tc>
          <w:tcPr>
            <w:tcW w:w="0" w:type="auto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18 (22%)</w:t>
            </w:r>
          </w:p>
        </w:tc>
        <w:tc>
          <w:tcPr>
            <w:tcW w:w="0" w:type="auto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15 (8%)</w:t>
            </w:r>
          </w:p>
        </w:tc>
        <w:tc>
          <w:tcPr>
            <w:tcW w:w="1101" w:type="dxa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0.002</w:t>
            </w:r>
          </w:p>
        </w:tc>
      </w:tr>
      <w:tr w:rsidR="00812A7A" w:rsidRPr="00CD3D64" w:rsidTr="00291AA9">
        <w:tc>
          <w:tcPr>
            <w:tcW w:w="0" w:type="auto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b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History of IFN-based therapy</w:t>
            </w:r>
          </w:p>
        </w:tc>
        <w:tc>
          <w:tcPr>
            <w:tcW w:w="0" w:type="auto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21 (25%)</w:t>
            </w:r>
          </w:p>
        </w:tc>
        <w:tc>
          <w:tcPr>
            <w:tcW w:w="0" w:type="auto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42 (23%)</w:t>
            </w:r>
          </w:p>
        </w:tc>
        <w:tc>
          <w:tcPr>
            <w:tcW w:w="1101" w:type="dxa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0.693</w:t>
            </w:r>
          </w:p>
        </w:tc>
      </w:tr>
      <w:tr w:rsidR="00812A7A" w:rsidRPr="00CD3D64" w:rsidTr="00291AA9">
        <w:trPr>
          <w:trHeight w:val="339"/>
        </w:trPr>
        <w:tc>
          <w:tcPr>
            <w:tcW w:w="0" w:type="auto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 xml:space="preserve">HCV-RNA </w:t>
            </w:r>
            <w:r w:rsidR="00E5329F">
              <w:rPr>
                <w:rFonts w:ascii="Book Antiqua" w:hAnsi="Book Antiqua"/>
                <w:color w:val="000000"/>
              </w:rPr>
              <w:t xml:space="preserve">as </w:t>
            </w:r>
            <w:proofErr w:type="spellStart"/>
            <w:r w:rsidRPr="00CD3D64">
              <w:rPr>
                <w:rFonts w:ascii="Book Antiqua" w:hAnsi="Book Antiqua"/>
                <w:color w:val="000000"/>
              </w:rPr>
              <w:t>logIU</w:t>
            </w:r>
            <w:proofErr w:type="spellEnd"/>
            <w:r w:rsidRPr="00CD3D64">
              <w:rPr>
                <w:rFonts w:ascii="Book Antiqua" w:hAnsi="Book Antiqua"/>
                <w:color w:val="000000"/>
              </w:rPr>
              <w:t>/mL</w:t>
            </w:r>
          </w:p>
        </w:tc>
        <w:tc>
          <w:tcPr>
            <w:tcW w:w="0" w:type="auto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6.1 (2.3-7.3)</w:t>
            </w:r>
          </w:p>
        </w:tc>
        <w:tc>
          <w:tcPr>
            <w:tcW w:w="0" w:type="auto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5.9 (1.4-7.4)</w:t>
            </w:r>
          </w:p>
        </w:tc>
        <w:tc>
          <w:tcPr>
            <w:tcW w:w="1101" w:type="dxa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0.894</w:t>
            </w:r>
          </w:p>
        </w:tc>
      </w:tr>
      <w:tr w:rsidR="00812A7A" w:rsidRPr="00CD3D64" w:rsidTr="00291AA9">
        <w:tc>
          <w:tcPr>
            <w:tcW w:w="0" w:type="auto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b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 xml:space="preserve">WBC </w:t>
            </w:r>
            <w:r w:rsidR="00E5329F">
              <w:rPr>
                <w:rFonts w:ascii="Book Antiqua" w:hAnsi="Book Antiqua"/>
                <w:color w:val="000000"/>
              </w:rPr>
              <w:t xml:space="preserve">in </w:t>
            </w:r>
            <w:r w:rsidRPr="00CD3D64">
              <w:rPr>
                <w:rFonts w:ascii="Book Antiqua" w:hAnsi="Book Antiqua"/>
                <w:color w:val="000000"/>
              </w:rPr>
              <w:t>mm</w:t>
            </w:r>
            <w:r w:rsidRPr="00CD3D64">
              <w:rPr>
                <w:rFonts w:ascii="Book Antiqua" w:hAnsi="Book Antiqua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4540 (1810-13260)</w:t>
            </w:r>
          </w:p>
        </w:tc>
        <w:tc>
          <w:tcPr>
            <w:tcW w:w="0" w:type="auto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5200 (2200-11400)</w:t>
            </w:r>
          </w:p>
        </w:tc>
        <w:tc>
          <w:tcPr>
            <w:tcW w:w="1101" w:type="dxa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0.004</w:t>
            </w:r>
          </w:p>
        </w:tc>
      </w:tr>
      <w:tr w:rsidR="00812A7A" w:rsidRPr="00CD3D64" w:rsidTr="00291AA9">
        <w:tc>
          <w:tcPr>
            <w:tcW w:w="0" w:type="auto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b/>
                <w:color w:val="000000"/>
              </w:rPr>
            </w:pPr>
            <w:proofErr w:type="spellStart"/>
            <w:r w:rsidRPr="00CD3D64">
              <w:rPr>
                <w:rFonts w:ascii="Book Antiqua" w:hAnsi="Book Antiqua"/>
                <w:color w:val="000000"/>
              </w:rPr>
              <w:t>Hb</w:t>
            </w:r>
            <w:proofErr w:type="spellEnd"/>
            <w:r w:rsidRPr="00CD3D64">
              <w:rPr>
                <w:rFonts w:ascii="Book Antiqua" w:hAnsi="Book Antiqua"/>
                <w:color w:val="000000"/>
              </w:rPr>
              <w:t xml:space="preserve"> </w:t>
            </w:r>
            <w:r w:rsidR="00E5329F">
              <w:rPr>
                <w:rFonts w:ascii="Book Antiqua" w:hAnsi="Book Antiqua"/>
                <w:color w:val="000000"/>
              </w:rPr>
              <w:t xml:space="preserve">in </w:t>
            </w:r>
            <w:r w:rsidRPr="00CD3D64">
              <w:rPr>
                <w:rFonts w:ascii="Book Antiqua" w:hAnsi="Book Antiqua"/>
                <w:color w:val="000000"/>
              </w:rPr>
              <w:t>g/</w:t>
            </w:r>
            <w:proofErr w:type="spellStart"/>
            <w:r w:rsidRPr="00CD3D64">
              <w:rPr>
                <w:rFonts w:ascii="Book Antiqua" w:hAnsi="Book Antiqua"/>
                <w:color w:val="000000"/>
              </w:rPr>
              <w:t>dL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12.9 (10.2-20.1)</w:t>
            </w:r>
          </w:p>
        </w:tc>
        <w:tc>
          <w:tcPr>
            <w:tcW w:w="0" w:type="auto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14.1 (10.6-17.6)</w:t>
            </w:r>
          </w:p>
        </w:tc>
        <w:tc>
          <w:tcPr>
            <w:tcW w:w="1101" w:type="dxa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&lt;</w:t>
            </w:r>
            <w:r w:rsidR="00812A7A" w:rsidRPr="00CD3D64">
              <w:rPr>
                <w:rFonts w:ascii="Book Antiqua" w:hAnsi="Book Antiqua"/>
                <w:color w:val="000000"/>
              </w:rPr>
              <w:t xml:space="preserve"> </w:t>
            </w:r>
            <w:r w:rsidRPr="00CD3D64">
              <w:rPr>
                <w:rFonts w:ascii="Book Antiqua" w:hAnsi="Book Antiqua"/>
                <w:color w:val="000000"/>
              </w:rPr>
              <w:t>0.001</w:t>
            </w:r>
          </w:p>
        </w:tc>
      </w:tr>
      <w:tr w:rsidR="00812A7A" w:rsidRPr="00CD3D64" w:rsidTr="00291AA9">
        <w:tc>
          <w:tcPr>
            <w:tcW w:w="0" w:type="auto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b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 xml:space="preserve">Platelets </w:t>
            </w:r>
            <w:r w:rsidR="00E5329F">
              <w:rPr>
                <w:rFonts w:ascii="Book Antiqua" w:hAnsi="Book Antiqua"/>
                <w:color w:val="000000"/>
              </w:rPr>
              <w:t xml:space="preserve">as </w:t>
            </w:r>
            <w:r w:rsidR="00326F84" w:rsidRPr="00CD3D64">
              <w:rPr>
                <w:rFonts w:ascii="Book Antiqua" w:hAnsi="Book Antiqua"/>
                <w:color w:val="000000"/>
              </w:rPr>
              <w:sym w:font="Symbol" w:char="F0B4"/>
            </w:r>
            <w:r w:rsidR="00092519" w:rsidRPr="00CD3D64">
              <w:rPr>
                <w:rFonts w:ascii="Book Antiqua" w:hAnsi="Book Antiqua"/>
                <w:color w:val="000000"/>
              </w:rPr>
              <w:t xml:space="preserve"> </w:t>
            </w:r>
            <w:r w:rsidRPr="00CD3D64">
              <w:rPr>
                <w:rFonts w:ascii="Book Antiqua" w:hAnsi="Book Antiqua"/>
                <w:color w:val="000000"/>
              </w:rPr>
              <w:t>10</w:t>
            </w:r>
            <w:r w:rsidRPr="00CD3D64">
              <w:rPr>
                <w:rFonts w:ascii="Book Antiqua" w:hAnsi="Book Antiqua"/>
                <w:color w:val="000000"/>
                <w:vertAlign w:val="superscript"/>
              </w:rPr>
              <w:t>4</w:t>
            </w:r>
            <w:r w:rsidRPr="00CD3D64">
              <w:rPr>
                <w:rFonts w:ascii="Book Antiqua" w:hAnsi="Book Antiqua"/>
                <w:color w:val="000000"/>
              </w:rPr>
              <w:t>/mm</w:t>
            </w:r>
            <w:r w:rsidRPr="00CD3D64">
              <w:rPr>
                <w:rFonts w:ascii="Book Antiqua" w:hAnsi="Book Antiqua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14.2 (4.9-32.8)</w:t>
            </w:r>
          </w:p>
        </w:tc>
        <w:tc>
          <w:tcPr>
            <w:tcW w:w="0" w:type="auto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17.4 (4.6-38.9)</w:t>
            </w:r>
          </w:p>
        </w:tc>
        <w:tc>
          <w:tcPr>
            <w:tcW w:w="1101" w:type="dxa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&lt;</w:t>
            </w:r>
            <w:r w:rsidR="00812A7A" w:rsidRPr="00CD3D64">
              <w:rPr>
                <w:rFonts w:ascii="Book Antiqua" w:hAnsi="Book Antiqua"/>
                <w:color w:val="000000"/>
              </w:rPr>
              <w:t xml:space="preserve"> </w:t>
            </w:r>
            <w:r w:rsidRPr="00CD3D64">
              <w:rPr>
                <w:rFonts w:ascii="Book Antiqua" w:hAnsi="Book Antiqua"/>
                <w:color w:val="000000"/>
              </w:rPr>
              <w:t>0.001</w:t>
            </w:r>
          </w:p>
        </w:tc>
      </w:tr>
      <w:tr w:rsidR="00812A7A" w:rsidRPr="00CD3D64" w:rsidTr="00291AA9">
        <w:tc>
          <w:tcPr>
            <w:tcW w:w="0" w:type="auto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 xml:space="preserve">AST </w:t>
            </w:r>
            <w:r w:rsidR="00E5329F">
              <w:rPr>
                <w:rFonts w:ascii="Book Antiqua" w:hAnsi="Book Antiqua"/>
                <w:color w:val="000000"/>
              </w:rPr>
              <w:t xml:space="preserve">in </w:t>
            </w:r>
            <w:r w:rsidRPr="00CD3D64">
              <w:rPr>
                <w:rFonts w:ascii="Book Antiqua" w:hAnsi="Book Antiqua"/>
                <w:color w:val="000000"/>
              </w:rPr>
              <w:t>IU/L</w:t>
            </w:r>
          </w:p>
        </w:tc>
        <w:tc>
          <w:tcPr>
            <w:tcW w:w="0" w:type="auto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40 (14-183)</w:t>
            </w:r>
          </w:p>
        </w:tc>
        <w:tc>
          <w:tcPr>
            <w:tcW w:w="0" w:type="auto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42 (12-252)</w:t>
            </w:r>
          </w:p>
        </w:tc>
        <w:tc>
          <w:tcPr>
            <w:tcW w:w="1101" w:type="dxa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0.589</w:t>
            </w:r>
          </w:p>
        </w:tc>
      </w:tr>
      <w:tr w:rsidR="00812A7A" w:rsidRPr="00CD3D64" w:rsidTr="00291AA9">
        <w:tc>
          <w:tcPr>
            <w:tcW w:w="0" w:type="auto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b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 xml:space="preserve">ALT </w:t>
            </w:r>
            <w:r w:rsidR="00E5329F">
              <w:rPr>
                <w:rFonts w:ascii="Book Antiqua" w:hAnsi="Book Antiqua"/>
                <w:color w:val="000000"/>
              </w:rPr>
              <w:t xml:space="preserve">in </w:t>
            </w:r>
            <w:r w:rsidRPr="00CD3D64">
              <w:rPr>
                <w:rFonts w:ascii="Book Antiqua" w:hAnsi="Book Antiqua"/>
                <w:color w:val="000000"/>
              </w:rPr>
              <w:t>IU/L</w:t>
            </w:r>
          </w:p>
        </w:tc>
        <w:tc>
          <w:tcPr>
            <w:tcW w:w="0" w:type="auto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30 (6-139)</w:t>
            </w:r>
          </w:p>
        </w:tc>
        <w:tc>
          <w:tcPr>
            <w:tcW w:w="0" w:type="auto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44 (6-394)</w:t>
            </w:r>
          </w:p>
        </w:tc>
        <w:tc>
          <w:tcPr>
            <w:tcW w:w="1101" w:type="dxa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&lt;</w:t>
            </w:r>
            <w:r w:rsidR="00812A7A" w:rsidRPr="00CD3D64">
              <w:rPr>
                <w:rFonts w:ascii="Book Antiqua" w:hAnsi="Book Antiqua"/>
                <w:color w:val="000000"/>
              </w:rPr>
              <w:t xml:space="preserve"> </w:t>
            </w:r>
            <w:r w:rsidRPr="00CD3D64">
              <w:rPr>
                <w:rFonts w:ascii="Book Antiqua" w:hAnsi="Book Antiqua"/>
                <w:color w:val="000000"/>
              </w:rPr>
              <w:t>0.001</w:t>
            </w:r>
          </w:p>
        </w:tc>
      </w:tr>
      <w:tr w:rsidR="00812A7A" w:rsidRPr="00CD3D64" w:rsidTr="00291AA9">
        <w:tc>
          <w:tcPr>
            <w:tcW w:w="0" w:type="auto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b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γ-GT</w:t>
            </w:r>
            <w:r w:rsidR="00812A7A" w:rsidRPr="00CD3D64">
              <w:rPr>
                <w:rFonts w:ascii="Book Antiqua" w:hAnsi="Book Antiqua"/>
                <w:color w:val="000000"/>
              </w:rPr>
              <w:t xml:space="preserve"> </w:t>
            </w:r>
            <w:r w:rsidR="00E5329F">
              <w:rPr>
                <w:rFonts w:ascii="Book Antiqua" w:hAnsi="Book Antiqua"/>
                <w:color w:val="000000"/>
              </w:rPr>
              <w:t xml:space="preserve">in </w:t>
            </w:r>
            <w:r w:rsidRPr="00CD3D64">
              <w:rPr>
                <w:rFonts w:ascii="Book Antiqua" w:hAnsi="Book Antiqua"/>
                <w:color w:val="000000"/>
              </w:rPr>
              <w:t>IU/L</w:t>
            </w:r>
          </w:p>
        </w:tc>
        <w:tc>
          <w:tcPr>
            <w:tcW w:w="0" w:type="auto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25 (7-361)</w:t>
            </w:r>
          </w:p>
        </w:tc>
        <w:tc>
          <w:tcPr>
            <w:tcW w:w="0" w:type="auto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37 (5-888)</w:t>
            </w:r>
          </w:p>
        </w:tc>
        <w:tc>
          <w:tcPr>
            <w:tcW w:w="1101" w:type="dxa"/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0.001</w:t>
            </w:r>
          </w:p>
        </w:tc>
      </w:tr>
      <w:tr w:rsidR="00812A7A" w:rsidRPr="00CD3D64" w:rsidTr="00291AA9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b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 xml:space="preserve">AFP </w:t>
            </w:r>
            <w:r w:rsidR="00E5329F">
              <w:rPr>
                <w:rFonts w:ascii="Book Antiqua" w:hAnsi="Book Antiqua"/>
                <w:color w:val="000000"/>
              </w:rPr>
              <w:t xml:space="preserve">in </w:t>
            </w:r>
            <w:proofErr w:type="spellStart"/>
            <w:r w:rsidRPr="00CD3D64">
              <w:rPr>
                <w:rFonts w:ascii="Book Antiqua" w:hAnsi="Book Antiqua"/>
                <w:color w:val="000000"/>
              </w:rPr>
              <w:t>ng</w:t>
            </w:r>
            <w:proofErr w:type="spellEnd"/>
            <w:r w:rsidRPr="00CD3D64">
              <w:rPr>
                <w:rFonts w:ascii="Book Antiqua" w:hAnsi="Book Antiqua"/>
                <w:color w:val="000000"/>
              </w:rPr>
              <w:t>/mL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3.9 (1-32.9)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4.8 (1.1-88.3)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0.014</w:t>
            </w:r>
          </w:p>
        </w:tc>
      </w:tr>
      <w:tr w:rsidR="00812A7A" w:rsidRPr="00CD3D64" w:rsidTr="00291AA9"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proofErr w:type="spellStart"/>
            <w:r w:rsidRPr="00CD3D64">
              <w:rPr>
                <w:rFonts w:ascii="Book Antiqua" w:hAnsi="Book Antiqua"/>
                <w:color w:val="000000"/>
              </w:rPr>
              <w:t>eGFR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66.0 (33.0-106.9)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</w:tcBorders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77.6 (30.9-156.0)</w:t>
            </w:r>
          </w:p>
        </w:tc>
        <w:tc>
          <w:tcPr>
            <w:tcW w:w="1101" w:type="dxa"/>
            <w:tcBorders>
              <w:top w:val="nil"/>
              <w:bottom w:val="single" w:sz="12" w:space="0" w:color="auto"/>
            </w:tcBorders>
            <w:shd w:val="clear" w:color="auto" w:fill="FFFFFF"/>
          </w:tcPr>
          <w:p w:rsidR="007F5632" w:rsidRPr="00CD3D64" w:rsidRDefault="007F5632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&lt;</w:t>
            </w:r>
            <w:r w:rsidR="00812A7A" w:rsidRPr="00CD3D64">
              <w:rPr>
                <w:rFonts w:ascii="Book Antiqua" w:hAnsi="Book Antiqua"/>
                <w:color w:val="000000"/>
              </w:rPr>
              <w:t xml:space="preserve"> </w:t>
            </w:r>
            <w:r w:rsidRPr="00CD3D64">
              <w:rPr>
                <w:rFonts w:ascii="Book Antiqua" w:hAnsi="Book Antiqua"/>
                <w:color w:val="000000"/>
              </w:rPr>
              <w:t>0.001</w:t>
            </w:r>
          </w:p>
        </w:tc>
      </w:tr>
    </w:tbl>
    <w:p w:rsidR="007F5632" w:rsidRPr="00CD3D64" w:rsidRDefault="007F5632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CD3D64">
        <w:rPr>
          <w:rFonts w:ascii="Book Antiqua" w:hAnsi="Book Antiqua"/>
          <w:color w:val="000000"/>
        </w:rPr>
        <w:t xml:space="preserve">Values </w:t>
      </w:r>
      <w:proofErr w:type="gramStart"/>
      <w:r w:rsidRPr="00CD3D64">
        <w:rPr>
          <w:rFonts w:ascii="Book Antiqua" w:hAnsi="Book Antiqua"/>
          <w:color w:val="000000"/>
        </w:rPr>
        <w:t>are expressed</w:t>
      </w:r>
      <w:proofErr w:type="gramEnd"/>
      <w:r w:rsidRPr="00CD3D64">
        <w:rPr>
          <w:rFonts w:ascii="Book Antiqua" w:hAnsi="Book Antiqua"/>
          <w:color w:val="000000"/>
        </w:rPr>
        <w:t xml:space="preserve"> as median (range) or number (percentage). </w:t>
      </w:r>
      <w:proofErr w:type="gramStart"/>
      <w:r w:rsidR="000146FF" w:rsidRPr="00CD3D64">
        <w:rPr>
          <w:rFonts w:ascii="Book Antiqua" w:hAnsi="Book Antiqua"/>
          <w:color w:val="000000"/>
        </w:rPr>
        <w:t>γ-GT</w:t>
      </w:r>
      <w:proofErr w:type="gramEnd"/>
      <w:r w:rsidR="000146FF" w:rsidRPr="00CD3D64">
        <w:rPr>
          <w:rFonts w:ascii="Book Antiqua" w:hAnsi="Book Antiqua"/>
          <w:color w:val="000000"/>
        </w:rPr>
        <w:t>: γ-</w:t>
      </w:r>
      <w:proofErr w:type="spellStart"/>
      <w:r w:rsidR="000146FF" w:rsidRPr="00CD3D64">
        <w:rPr>
          <w:rFonts w:ascii="Book Antiqua" w:hAnsi="Book Antiqua"/>
          <w:color w:val="000000"/>
        </w:rPr>
        <w:t>glutamyl</w:t>
      </w:r>
      <w:proofErr w:type="spellEnd"/>
      <w:r w:rsidR="000146FF" w:rsidRPr="00CD3D64">
        <w:rPr>
          <w:rFonts w:ascii="Book Antiqua" w:hAnsi="Book Antiqua"/>
          <w:color w:val="000000"/>
        </w:rPr>
        <w:t xml:space="preserve"> </w:t>
      </w:r>
      <w:proofErr w:type="spellStart"/>
      <w:r w:rsidR="000146FF" w:rsidRPr="00CD3D64">
        <w:rPr>
          <w:rFonts w:ascii="Book Antiqua" w:hAnsi="Book Antiqua"/>
          <w:color w:val="000000"/>
        </w:rPr>
        <w:t>transferase</w:t>
      </w:r>
      <w:proofErr w:type="spellEnd"/>
      <w:r w:rsidR="000146FF" w:rsidRPr="00CD3D64">
        <w:rPr>
          <w:rFonts w:ascii="Book Antiqua" w:hAnsi="Book Antiqua"/>
          <w:color w:val="000000"/>
        </w:rPr>
        <w:t xml:space="preserve">; AFP: Alpha-fetoprotein; ALT: Alanine aminotransferase; AST: Aspartate aminotransferase; </w:t>
      </w:r>
      <w:r w:rsidRPr="00CD3D64">
        <w:rPr>
          <w:rFonts w:ascii="Book Antiqua" w:hAnsi="Book Antiqua"/>
          <w:color w:val="000000"/>
        </w:rPr>
        <w:t>BMI</w:t>
      </w:r>
      <w:r w:rsidR="00291AA9" w:rsidRPr="00CD3D64">
        <w:rPr>
          <w:rFonts w:ascii="Book Antiqua" w:hAnsi="Book Antiqua"/>
          <w:color w:val="000000"/>
        </w:rPr>
        <w:t>:</w:t>
      </w:r>
      <w:r w:rsidRPr="00CD3D64">
        <w:rPr>
          <w:rFonts w:ascii="Book Antiqua" w:hAnsi="Book Antiqua"/>
          <w:color w:val="000000"/>
        </w:rPr>
        <w:t xml:space="preserve"> </w:t>
      </w:r>
      <w:r w:rsidR="00291AA9" w:rsidRPr="00CD3D64">
        <w:rPr>
          <w:rFonts w:ascii="Book Antiqua" w:hAnsi="Book Antiqua"/>
          <w:color w:val="000000"/>
        </w:rPr>
        <w:t xml:space="preserve">Body </w:t>
      </w:r>
      <w:r w:rsidRPr="00CD3D64">
        <w:rPr>
          <w:rFonts w:ascii="Book Antiqua" w:hAnsi="Book Antiqua"/>
          <w:color w:val="000000"/>
        </w:rPr>
        <w:t>mass index; CKD</w:t>
      </w:r>
      <w:r w:rsidR="00291AA9" w:rsidRPr="00CD3D64">
        <w:rPr>
          <w:rFonts w:ascii="Book Antiqua" w:hAnsi="Book Antiqua"/>
          <w:color w:val="000000"/>
        </w:rPr>
        <w:t>:</w:t>
      </w:r>
      <w:r w:rsidRPr="00CD3D64">
        <w:rPr>
          <w:rFonts w:ascii="Book Antiqua" w:hAnsi="Book Antiqua"/>
          <w:color w:val="000000"/>
        </w:rPr>
        <w:t xml:space="preserve"> </w:t>
      </w:r>
      <w:r w:rsidR="00291AA9" w:rsidRPr="00CD3D64">
        <w:rPr>
          <w:rFonts w:ascii="Book Antiqua" w:hAnsi="Book Antiqua"/>
          <w:color w:val="000000"/>
        </w:rPr>
        <w:t xml:space="preserve">Chronic </w:t>
      </w:r>
      <w:r w:rsidRPr="00CD3D64">
        <w:rPr>
          <w:rFonts w:ascii="Book Antiqua" w:hAnsi="Book Antiqua"/>
          <w:color w:val="000000"/>
        </w:rPr>
        <w:t xml:space="preserve">kidney disease; </w:t>
      </w:r>
      <w:proofErr w:type="spellStart"/>
      <w:r w:rsidRPr="00CD3D64">
        <w:rPr>
          <w:rFonts w:ascii="Book Antiqua" w:hAnsi="Book Antiqua"/>
          <w:color w:val="000000"/>
        </w:rPr>
        <w:t>eGFR</w:t>
      </w:r>
      <w:proofErr w:type="spellEnd"/>
      <w:r w:rsidR="00291AA9" w:rsidRPr="00CD3D64">
        <w:rPr>
          <w:rFonts w:ascii="Book Antiqua" w:hAnsi="Book Antiqua"/>
          <w:color w:val="000000"/>
        </w:rPr>
        <w:t>:</w:t>
      </w:r>
      <w:r w:rsidRPr="00CD3D64">
        <w:rPr>
          <w:rFonts w:ascii="Book Antiqua" w:hAnsi="Book Antiqua"/>
          <w:color w:val="000000"/>
        </w:rPr>
        <w:t xml:space="preserve"> </w:t>
      </w:r>
      <w:r w:rsidR="00291AA9" w:rsidRPr="00CD3D64">
        <w:rPr>
          <w:rFonts w:ascii="Book Antiqua" w:hAnsi="Book Antiqua"/>
          <w:color w:val="000000"/>
        </w:rPr>
        <w:t xml:space="preserve">Estimated </w:t>
      </w:r>
      <w:r w:rsidRPr="00CD3D64">
        <w:rPr>
          <w:rFonts w:ascii="Book Antiqua" w:hAnsi="Book Antiqua"/>
          <w:color w:val="000000"/>
        </w:rPr>
        <w:t xml:space="preserve">glomerular filtration rate; </w:t>
      </w:r>
      <w:proofErr w:type="spellStart"/>
      <w:r w:rsidR="000146FF" w:rsidRPr="00CD3D64">
        <w:rPr>
          <w:rFonts w:ascii="Book Antiqua" w:hAnsi="Book Antiqua"/>
          <w:color w:val="000000"/>
        </w:rPr>
        <w:t>Hb</w:t>
      </w:r>
      <w:proofErr w:type="spellEnd"/>
      <w:r w:rsidR="000146FF" w:rsidRPr="00CD3D64">
        <w:rPr>
          <w:rFonts w:ascii="Book Antiqua" w:hAnsi="Book Antiqua"/>
          <w:color w:val="000000"/>
        </w:rPr>
        <w:t xml:space="preserve">: Hemoglobin; </w:t>
      </w:r>
      <w:r w:rsidRPr="00CD3D64">
        <w:rPr>
          <w:rFonts w:ascii="Book Antiqua" w:hAnsi="Book Antiqua"/>
          <w:color w:val="000000"/>
        </w:rPr>
        <w:t>HCC</w:t>
      </w:r>
      <w:r w:rsidR="00291AA9" w:rsidRPr="00CD3D64">
        <w:rPr>
          <w:rFonts w:ascii="Book Antiqua" w:hAnsi="Book Antiqua"/>
          <w:color w:val="000000"/>
        </w:rPr>
        <w:t>:</w:t>
      </w:r>
      <w:r w:rsidRPr="00CD3D64">
        <w:rPr>
          <w:rFonts w:ascii="Book Antiqua" w:hAnsi="Book Antiqua"/>
          <w:color w:val="000000"/>
        </w:rPr>
        <w:t xml:space="preserve"> </w:t>
      </w:r>
      <w:r w:rsidR="00291AA9" w:rsidRPr="00CD3D64">
        <w:rPr>
          <w:rFonts w:ascii="Book Antiqua" w:hAnsi="Book Antiqua"/>
          <w:color w:val="000000"/>
        </w:rPr>
        <w:t xml:space="preserve">Hepatocellular </w:t>
      </w:r>
      <w:r w:rsidRPr="00CD3D64">
        <w:rPr>
          <w:rFonts w:ascii="Book Antiqua" w:hAnsi="Book Antiqua"/>
          <w:color w:val="000000"/>
        </w:rPr>
        <w:t xml:space="preserve">carcinoma; </w:t>
      </w:r>
      <w:r w:rsidR="000146FF" w:rsidRPr="00CD3D64">
        <w:rPr>
          <w:rFonts w:ascii="Book Antiqua" w:hAnsi="Book Antiqua"/>
          <w:color w:val="000000"/>
        </w:rPr>
        <w:t xml:space="preserve">HCV: Hepatitis C virus; </w:t>
      </w:r>
      <w:r w:rsidR="000146FF" w:rsidRPr="00CD3D64">
        <w:rPr>
          <w:rFonts w:ascii="Book Antiqua" w:eastAsia="MS PGothic" w:hAnsi="Book Antiqua" w:cs="MS PGothic"/>
          <w:bCs/>
          <w:color w:val="000000"/>
          <w:kern w:val="0"/>
        </w:rPr>
        <w:t>HCV-RNA</w:t>
      </w:r>
      <w:r w:rsidR="000146FF" w:rsidRPr="00CD3D64">
        <w:rPr>
          <w:rFonts w:ascii="Book Antiqua" w:hAnsi="Book Antiqua"/>
          <w:color w:val="000000"/>
        </w:rPr>
        <w:t>: H</w:t>
      </w:r>
      <w:r w:rsidR="000146FF">
        <w:rPr>
          <w:rFonts w:ascii="Book Antiqua" w:hAnsi="Book Antiqua"/>
          <w:color w:val="000000"/>
        </w:rPr>
        <w:t>epatitis C virus</w:t>
      </w:r>
      <w:r w:rsidR="000146FF" w:rsidRPr="00CD3D64">
        <w:rPr>
          <w:rFonts w:ascii="Book Antiqua" w:hAnsi="Book Antiqua"/>
          <w:color w:val="000000"/>
        </w:rPr>
        <w:t>-ribonucleic acid</w:t>
      </w:r>
      <w:r w:rsidR="000146FF">
        <w:rPr>
          <w:rFonts w:ascii="Book Antiqua" w:hAnsi="Book Antiqua"/>
          <w:color w:val="000000"/>
        </w:rPr>
        <w:t>;</w:t>
      </w:r>
      <w:r w:rsidR="000146FF" w:rsidRPr="00CD3D64">
        <w:rPr>
          <w:rFonts w:ascii="Book Antiqua" w:hAnsi="Book Antiqua"/>
          <w:color w:val="000000"/>
        </w:rPr>
        <w:t xml:space="preserve"> </w:t>
      </w:r>
      <w:r w:rsidRPr="00CD3D64">
        <w:rPr>
          <w:rFonts w:ascii="Book Antiqua" w:hAnsi="Book Antiqua"/>
          <w:color w:val="000000"/>
        </w:rPr>
        <w:t>IFN</w:t>
      </w:r>
      <w:r w:rsidR="00291AA9" w:rsidRPr="00CD3D64">
        <w:rPr>
          <w:rFonts w:ascii="Book Antiqua" w:hAnsi="Book Antiqua"/>
          <w:color w:val="000000"/>
        </w:rPr>
        <w:t>: Interferon</w:t>
      </w:r>
      <w:r w:rsidRPr="00CD3D64">
        <w:rPr>
          <w:rFonts w:ascii="Book Antiqua" w:hAnsi="Book Antiqua"/>
          <w:color w:val="000000"/>
        </w:rPr>
        <w:t>; WBC</w:t>
      </w:r>
      <w:r w:rsidR="00291AA9" w:rsidRPr="00CD3D64">
        <w:rPr>
          <w:rFonts w:ascii="Book Antiqua" w:hAnsi="Book Antiqua"/>
          <w:color w:val="000000"/>
        </w:rPr>
        <w:t>:</w:t>
      </w:r>
      <w:r w:rsidRPr="00CD3D64">
        <w:rPr>
          <w:rFonts w:ascii="Book Antiqua" w:hAnsi="Book Antiqua"/>
          <w:color w:val="000000"/>
        </w:rPr>
        <w:t xml:space="preserve"> </w:t>
      </w:r>
      <w:r w:rsidR="00291AA9" w:rsidRPr="00CD3D64">
        <w:rPr>
          <w:rFonts w:ascii="Book Antiqua" w:hAnsi="Book Antiqua"/>
          <w:color w:val="000000"/>
        </w:rPr>
        <w:t xml:space="preserve">White </w:t>
      </w:r>
      <w:r w:rsidRPr="00CD3D64">
        <w:rPr>
          <w:rFonts w:ascii="Book Antiqua" w:hAnsi="Book Antiqua"/>
          <w:color w:val="000000"/>
        </w:rPr>
        <w:t>blood cells</w:t>
      </w:r>
      <w:r w:rsidR="00092519" w:rsidRPr="00CD3D64">
        <w:rPr>
          <w:rFonts w:ascii="Book Antiqua" w:hAnsi="Book Antiqua"/>
          <w:color w:val="000000"/>
        </w:rPr>
        <w:t>.</w:t>
      </w:r>
    </w:p>
    <w:p w:rsidR="00805D2E" w:rsidRPr="00CD3D64" w:rsidRDefault="00805D2E" w:rsidP="00CD3D64">
      <w:pPr>
        <w:adjustRightInd w:val="0"/>
        <w:snapToGrid w:val="0"/>
        <w:spacing w:line="360" w:lineRule="auto"/>
        <w:rPr>
          <w:rFonts w:ascii="Book Antiqua" w:hAnsi="Book Antiqua"/>
          <w:b/>
          <w:bCs/>
          <w:color w:val="000000"/>
        </w:rPr>
      </w:pPr>
      <w:r w:rsidRPr="00CD3D64">
        <w:rPr>
          <w:rFonts w:ascii="Book Antiqua" w:hAnsi="Book Antiqua"/>
          <w:color w:val="000000"/>
        </w:rPr>
        <w:br w:type="page"/>
      </w:r>
      <w:r w:rsidRPr="00CD3D64">
        <w:rPr>
          <w:rFonts w:ascii="Book Antiqua" w:hAnsi="Book Antiqua"/>
          <w:b/>
          <w:bCs/>
          <w:color w:val="000000"/>
        </w:rPr>
        <w:lastRenderedPageBreak/>
        <w:t xml:space="preserve">Table </w:t>
      </w:r>
      <w:proofErr w:type="gramStart"/>
      <w:r w:rsidR="0034019F" w:rsidRPr="00CD3D64">
        <w:rPr>
          <w:rFonts w:ascii="Book Antiqua" w:hAnsi="Book Antiqua"/>
          <w:b/>
          <w:bCs/>
          <w:color w:val="000000"/>
        </w:rPr>
        <w:t>3</w:t>
      </w:r>
      <w:proofErr w:type="gramEnd"/>
      <w:r w:rsidR="002878B6" w:rsidRPr="00CD3D64">
        <w:rPr>
          <w:rFonts w:ascii="Book Antiqua" w:hAnsi="Book Antiqua"/>
          <w:b/>
          <w:bCs/>
          <w:color w:val="000000"/>
        </w:rPr>
        <w:t xml:space="preserve"> </w:t>
      </w:r>
      <w:proofErr w:type="spellStart"/>
      <w:r w:rsidR="00C12E5F" w:rsidRPr="00CD3D64">
        <w:rPr>
          <w:rFonts w:ascii="Book Antiqua" w:hAnsi="Book Antiqua"/>
          <w:b/>
          <w:bCs/>
          <w:color w:val="000000"/>
        </w:rPr>
        <w:t>Uni</w:t>
      </w:r>
      <w:proofErr w:type="spellEnd"/>
      <w:r w:rsidR="00C12E5F" w:rsidRPr="00CD3D64">
        <w:rPr>
          <w:rFonts w:ascii="Book Antiqua" w:hAnsi="Book Antiqua"/>
          <w:b/>
          <w:bCs/>
          <w:color w:val="000000"/>
        </w:rPr>
        <w:t xml:space="preserve">- </w:t>
      </w:r>
      <w:r w:rsidR="002878B6" w:rsidRPr="00CD3D64">
        <w:rPr>
          <w:rFonts w:ascii="Book Antiqua" w:hAnsi="Book Antiqua"/>
          <w:b/>
          <w:bCs/>
          <w:color w:val="000000"/>
        </w:rPr>
        <w:t xml:space="preserve">and multivariate analyses of </w:t>
      </w:r>
      <w:r w:rsidR="00BC3427" w:rsidRPr="00CD3D64">
        <w:rPr>
          <w:rFonts w:ascii="Book Antiqua" w:hAnsi="Book Antiqua"/>
          <w:b/>
          <w:bCs/>
          <w:color w:val="000000"/>
        </w:rPr>
        <w:t xml:space="preserve">pre-treatment </w:t>
      </w:r>
      <w:r w:rsidR="002878B6" w:rsidRPr="00CD3D64">
        <w:rPr>
          <w:rFonts w:ascii="Book Antiqua" w:hAnsi="Book Antiqua"/>
          <w:b/>
          <w:bCs/>
          <w:color w:val="000000"/>
        </w:rPr>
        <w:t xml:space="preserve">factors contributing to sustained </w:t>
      </w:r>
      <w:proofErr w:type="spellStart"/>
      <w:r w:rsidR="002878B6" w:rsidRPr="00CD3D64">
        <w:rPr>
          <w:rFonts w:ascii="Book Antiqua" w:hAnsi="Book Antiqua"/>
          <w:b/>
          <w:bCs/>
          <w:color w:val="000000"/>
        </w:rPr>
        <w:t>virological</w:t>
      </w:r>
      <w:proofErr w:type="spellEnd"/>
      <w:r w:rsidR="002878B6" w:rsidRPr="00CD3D64">
        <w:rPr>
          <w:rFonts w:ascii="Book Antiqua" w:hAnsi="Book Antiqua"/>
          <w:b/>
          <w:bCs/>
          <w:color w:val="000000"/>
        </w:rPr>
        <w:t xml:space="preserve"> response</w:t>
      </w:r>
    </w:p>
    <w:tbl>
      <w:tblPr>
        <w:tblW w:w="9147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635"/>
        <w:gridCol w:w="816"/>
        <w:gridCol w:w="1154"/>
        <w:gridCol w:w="1473"/>
        <w:gridCol w:w="816"/>
        <w:gridCol w:w="877"/>
        <w:gridCol w:w="1376"/>
      </w:tblGrid>
      <w:tr w:rsidR="004E417F" w:rsidRPr="00CD3D64" w:rsidTr="002878B6">
        <w:tc>
          <w:tcPr>
            <w:tcW w:w="2818" w:type="dxa"/>
            <w:tcBorders>
              <w:top w:val="single" w:sz="12" w:space="0" w:color="auto"/>
              <w:bottom w:val="nil"/>
            </w:tcBorders>
            <w:shd w:val="clear" w:color="auto" w:fill="FFFFFF"/>
          </w:tcPr>
          <w:p w:rsidR="00A61B40" w:rsidRPr="00CD3D64" w:rsidRDefault="00A61B40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348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A61B40" w:rsidRPr="00CD3D64" w:rsidRDefault="00A61B40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b/>
                <w:color w:val="000000"/>
              </w:rPr>
            </w:pPr>
            <w:proofErr w:type="spellStart"/>
            <w:r w:rsidRPr="00CD3D64">
              <w:rPr>
                <w:rFonts w:ascii="Book Antiqua" w:hAnsi="Book Antiqua"/>
                <w:b/>
                <w:color w:val="000000"/>
              </w:rPr>
              <w:t>Univariate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A61B40" w:rsidRPr="00CD3D64" w:rsidRDefault="00A61B40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b/>
                <w:color w:val="000000"/>
              </w:rPr>
            </w:pPr>
            <w:r w:rsidRPr="00CD3D64">
              <w:rPr>
                <w:rFonts w:ascii="Book Antiqua" w:hAnsi="Book Antiqua"/>
                <w:b/>
                <w:color w:val="000000"/>
              </w:rPr>
              <w:t>Multivariate</w:t>
            </w:r>
          </w:p>
        </w:tc>
      </w:tr>
      <w:tr w:rsidR="00C910DB" w:rsidRPr="00CD3D64" w:rsidTr="002878B6">
        <w:tc>
          <w:tcPr>
            <w:tcW w:w="2818" w:type="dxa"/>
            <w:tcBorders>
              <w:top w:val="nil"/>
              <w:bottom w:val="single" w:sz="12" w:space="0" w:color="auto"/>
            </w:tcBorders>
            <w:shd w:val="clear" w:color="auto" w:fill="FFFFFF"/>
          </w:tcPr>
          <w:p w:rsidR="00805D2E" w:rsidRPr="00CD3D64" w:rsidRDefault="00805D2E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CD3D64">
              <w:rPr>
                <w:rFonts w:ascii="Book Antiqua" w:hAnsi="Book Antiqua"/>
                <w:b/>
                <w:bCs/>
                <w:color w:val="000000"/>
              </w:rPr>
              <w:t>Factors</w:t>
            </w:r>
          </w:p>
        </w:tc>
        <w:tc>
          <w:tcPr>
            <w:tcW w:w="6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805D2E" w:rsidRPr="00CD3D64" w:rsidRDefault="00805D2E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b/>
                <w:bCs/>
                <w:iCs/>
                <w:color w:val="000000"/>
              </w:rPr>
            </w:pPr>
            <w:r w:rsidRPr="00CD3D64">
              <w:rPr>
                <w:rFonts w:ascii="Book Antiqua" w:hAnsi="Book Antiqua"/>
                <w:b/>
                <w:bCs/>
                <w:i/>
                <w:iCs/>
                <w:color w:val="000000"/>
              </w:rPr>
              <w:t>P</w:t>
            </w:r>
            <w:r w:rsidR="00291AA9" w:rsidRPr="00CD3D64">
              <w:rPr>
                <w:rFonts w:ascii="Book Antiqua" w:hAnsi="Book Antiqua"/>
                <w:b/>
                <w:bCs/>
                <w:i/>
                <w:iCs/>
                <w:color w:val="000000"/>
              </w:rPr>
              <w:t xml:space="preserve"> </w:t>
            </w:r>
            <w:r w:rsidR="00291AA9" w:rsidRPr="00CD3D64">
              <w:rPr>
                <w:rFonts w:ascii="Book Antiqua" w:hAnsi="Book Antiqua"/>
                <w:b/>
                <w:bCs/>
                <w:iCs/>
                <w:color w:val="000000"/>
              </w:rPr>
              <w:t>value</w:t>
            </w:r>
          </w:p>
        </w:tc>
        <w:tc>
          <w:tcPr>
            <w:tcW w:w="13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805D2E" w:rsidRPr="00CD3D64" w:rsidRDefault="00805D2E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CD3D64">
              <w:rPr>
                <w:rFonts w:ascii="Book Antiqua" w:hAnsi="Book Antiqua"/>
                <w:b/>
                <w:bCs/>
                <w:color w:val="000000"/>
              </w:rPr>
              <w:t>OR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805D2E" w:rsidRPr="00CD3D64" w:rsidRDefault="00805D2E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b/>
                <w:bCs/>
                <w:color w:val="000000"/>
              </w:rPr>
            </w:pPr>
            <w:r w:rsidRPr="00CD3D64">
              <w:rPr>
                <w:rFonts w:ascii="Book Antiqua" w:hAnsi="Book Antiqua"/>
                <w:b/>
                <w:bCs/>
                <w:color w:val="000000"/>
              </w:rPr>
              <w:t>95%CI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805D2E" w:rsidRPr="00CD3D64" w:rsidRDefault="00805D2E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b/>
                <w:bCs/>
                <w:i/>
                <w:color w:val="000000"/>
              </w:rPr>
            </w:pPr>
            <w:r w:rsidRPr="00CD3D64">
              <w:rPr>
                <w:rFonts w:ascii="Book Antiqua" w:hAnsi="Book Antiqua"/>
                <w:b/>
                <w:bCs/>
                <w:i/>
                <w:iCs/>
                <w:color w:val="000000"/>
              </w:rPr>
              <w:t>P</w:t>
            </w:r>
            <w:r w:rsidR="00291AA9" w:rsidRPr="00CD3D64">
              <w:rPr>
                <w:rFonts w:ascii="Book Antiqua" w:hAnsi="Book Antiqua"/>
                <w:b/>
                <w:bCs/>
                <w:i/>
                <w:iCs/>
                <w:color w:val="000000"/>
              </w:rPr>
              <w:t xml:space="preserve"> </w:t>
            </w:r>
            <w:r w:rsidR="00291AA9" w:rsidRPr="00CD3D64">
              <w:rPr>
                <w:rFonts w:ascii="Book Antiqua" w:hAnsi="Book Antiqua"/>
                <w:b/>
                <w:bCs/>
                <w:iCs/>
                <w:color w:val="000000"/>
              </w:rPr>
              <w:t>value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805D2E" w:rsidRPr="00CD3D64" w:rsidRDefault="00805D2E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b/>
                <w:bCs/>
                <w:i/>
                <w:color w:val="000000"/>
              </w:rPr>
            </w:pPr>
            <w:r w:rsidRPr="00CD3D64">
              <w:rPr>
                <w:rFonts w:ascii="Book Antiqua" w:hAnsi="Book Antiqua"/>
                <w:b/>
                <w:bCs/>
                <w:color w:val="000000"/>
              </w:rPr>
              <w:t>OR</w:t>
            </w:r>
          </w:p>
        </w:tc>
        <w:tc>
          <w:tcPr>
            <w:tcW w:w="12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805D2E" w:rsidRPr="00CD3D64" w:rsidRDefault="00805D2E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b/>
                <w:bCs/>
                <w:i/>
                <w:color w:val="000000"/>
              </w:rPr>
            </w:pPr>
            <w:r w:rsidRPr="00CD3D64">
              <w:rPr>
                <w:rFonts w:ascii="Book Antiqua" w:hAnsi="Book Antiqua"/>
                <w:b/>
                <w:bCs/>
                <w:color w:val="000000"/>
              </w:rPr>
              <w:t>95%CI</w:t>
            </w:r>
          </w:p>
        </w:tc>
      </w:tr>
      <w:tr w:rsidR="00C910DB" w:rsidRPr="00CD3D64" w:rsidTr="002878B6">
        <w:tc>
          <w:tcPr>
            <w:tcW w:w="2818" w:type="dxa"/>
            <w:tcBorders>
              <w:top w:val="single" w:sz="12" w:space="0" w:color="auto"/>
            </w:tcBorders>
            <w:shd w:val="clear" w:color="auto" w:fill="FFFFFF"/>
          </w:tcPr>
          <w:p w:rsidR="00805D2E" w:rsidRPr="00CD3D64" w:rsidRDefault="00805D2E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b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Age</w:t>
            </w:r>
            <w:r w:rsidR="007171F0">
              <w:rPr>
                <w:rFonts w:ascii="Book Antiqua" w:hAnsi="Book Antiqua"/>
                <w:color w:val="000000"/>
              </w:rPr>
              <w:t>,</w:t>
            </w:r>
            <w:r w:rsidRPr="00CD3D64">
              <w:rPr>
                <w:rFonts w:ascii="Book Antiqua" w:hAnsi="Book Antiqua"/>
                <w:color w:val="000000"/>
              </w:rPr>
              <w:t xml:space="preserve"> </w:t>
            </w:r>
            <w:r w:rsidR="00C12E5F" w:rsidRPr="00CD3D64">
              <w:rPr>
                <w:rFonts w:ascii="Book Antiqua" w:hAnsi="Book Antiqua"/>
                <w:color w:val="000000"/>
              </w:rPr>
              <w:t xml:space="preserve">per </w:t>
            </w:r>
            <w:r w:rsidR="004E417F" w:rsidRPr="00CD3D64">
              <w:rPr>
                <w:rFonts w:ascii="Book Antiqua" w:hAnsi="Book Antiqua"/>
                <w:color w:val="000000"/>
              </w:rPr>
              <w:t>1</w:t>
            </w:r>
            <w:r w:rsidR="00C12E5F" w:rsidRPr="00CD3D64">
              <w:rPr>
                <w:rFonts w:ascii="Book Antiqua" w:hAnsi="Book Antiqua"/>
                <w:color w:val="000000"/>
              </w:rPr>
              <w:t>-</w:t>
            </w:r>
            <w:r w:rsidR="00291AA9" w:rsidRPr="00CD3D64">
              <w:rPr>
                <w:rFonts w:ascii="Book Antiqua" w:hAnsi="Book Antiqua"/>
                <w:color w:val="000000"/>
              </w:rPr>
              <w:t>y</w:t>
            </w:r>
            <w:r w:rsidRPr="00CD3D64">
              <w:rPr>
                <w:rFonts w:ascii="Book Antiqua" w:hAnsi="Book Antiqua"/>
                <w:color w:val="000000"/>
              </w:rPr>
              <w:t>r</w:t>
            </w:r>
            <w:r w:rsidR="004E417F" w:rsidRPr="00CD3D64">
              <w:rPr>
                <w:rFonts w:ascii="Book Antiqua" w:hAnsi="Book Antiqua"/>
                <w:color w:val="000000"/>
              </w:rPr>
              <w:t xml:space="preserve"> </w:t>
            </w:r>
            <w:r w:rsidR="00BD0125" w:rsidRPr="00CD3D64">
              <w:rPr>
                <w:rFonts w:ascii="Book Antiqua" w:hAnsi="Book Antiqua"/>
                <w:color w:val="000000"/>
              </w:rPr>
              <w:t>increase</w:t>
            </w:r>
          </w:p>
        </w:tc>
        <w:tc>
          <w:tcPr>
            <w:tcW w:w="621" w:type="dxa"/>
            <w:tcBorders>
              <w:top w:val="single" w:sz="12" w:space="0" w:color="auto"/>
            </w:tcBorders>
            <w:shd w:val="clear" w:color="auto" w:fill="FFFFFF"/>
          </w:tcPr>
          <w:p w:rsidR="00805D2E" w:rsidRPr="00CD3D64" w:rsidRDefault="00D40654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0.782</w:t>
            </w:r>
          </w:p>
        </w:tc>
        <w:tc>
          <w:tcPr>
            <w:tcW w:w="1348" w:type="dxa"/>
            <w:tcBorders>
              <w:top w:val="single" w:sz="12" w:space="0" w:color="auto"/>
            </w:tcBorders>
            <w:shd w:val="clear" w:color="auto" w:fill="FFFFFF"/>
          </w:tcPr>
          <w:p w:rsidR="00805D2E" w:rsidRPr="00CD3D64" w:rsidRDefault="00D40654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0.991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FFFFFF"/>
          </w:tcPr>
          <w:p w:rsidR="00805D2E" w:rsidRPr="00CD3D64" w:rsidRDefault="00D40654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0.931-1.055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FFFFFF"/>
          </w:tcPr>
          <w:p w:rsidR="00805D2E" w:rsidRPr="00CD3D64" w:rsidRDefault="00805D2E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FFFFFF"/>
          </w:tcPr>
          <w:p w:rsidR="00805D2E" w:rsidRPr="00CD3D64" w:rsidRDefault="00805D2E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</w:p>
        </w:tc>
        <w:tc>
          <w:tcPr>
            <w:tcW w:w="1224" w:type="dxa"/>
            <w:tcBorders>
              <w:top w:val="single" w:sz="12" w:space="0" w:color="auto"/>
            </w:tcBorders>
            <w:shd w:val="clear" w:color="auto" w:fill="FFFFFF"/>
          </w:tcPr>
          <w:p w:rsidR="00805D2E" w:rsidRPr="00CD3D64" w:rsidRDefault="00805D2E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</w:p>
        </w:tc>
      </w:tr>
      <w:tr w:rsidR="00D40654" w:rsidRPr="00CD3D64" w:rsidTr="002878B6">
        <w:tc>
          <w:tcPr>
            <w:tcW w:w="2818" w:type="dxa"/>
            <w:shd w:val="clear" w:color="auto" w:fill="FFFFFF"/>
          </w:tcPr>
          <w:p w:rsidR="004E417F" w:rsidRPr="00CD3D64" w:rsidRDefault="00BD0125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sym w:font="Symbol" w:char="F0B3"/>
            </w:r>
            <w:r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 xml:space="preserve"> </w:t>
            </w:r>
            <w:r w:rsidR="004E417F"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 xml:space="preserve">75 </w:t>
            </w:r>
            <w:proofErr w:type="spellStart"/>
            <w:r w:rsidR="00812A7A" w:rsidRPr="00CD3D64">
              <w:rPr>
                <w:rFonts w:ascii="Book Antiqua" w:hAnsi="Book Antiqua"/>
                <w:color w:val="000000"/>
              </w:rPr>
              <w:t>yr</w:t>
            </w:r>
            <w:proofErr w:type="spellEnd"/>
          </w:p>
        </w:tc>
        <w:tc>
          <w:tcPr>
            <w:tcW w:w="621" w:type="dxa"/>
            <w:shd w:val="clear" w:color="auto" w:fill="FFFFFF"/>
          </w:tcPr>
          <w:p w:rsidR="004E417F" w:rsidRPr="00CD3D64" w:rsidRDefault="00534E55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0.874</w:t>
            </w:r>
          </w:p>
        </w:tc>
        <w:tc>
          <w:tcPr>
            <w:tcW w:w="1348" w:type="dxa"/>
            <w:shd w:val="clear" w:color="auto" w:fill="FFFFFF"/>
          </w:tcPr>
          <w:p w:rsidR="004E417F" w:rsidRPr="00CD3D64" w:rsidRDefault="00534E55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1.144</w:t>
            </w:r>
          </w:p>
        </w:tc>
        <w:tc>
          <w:tcPr>
            <w:tcW w:w="1520" w:type="dxa"/>
            <w:shd w:val="clear" w:color="auto" w:fill="FFFFFF"/>
          </w:tcPr>
          <w:p w:rsidR="004E417F" w:rsidRPr="00CD3D64" w:rsidRDefault="00534E55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0.217-6.022</w:t>
            </w:r>
          </w:p>
        </w:tc>
        <w:tc>
          <w:tcPr>
            <w:tcW w:w="680" w:type="dxa"/>
            <w:shd w:val="clear" w:color="auto" w:fill="FFFFFF"/>
          </w:tcPr>
          <w:p w:rsidR="004E417F" w:rsidRPr="00CD3D64" w:rsidRDefault="004E417F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</w:p>
        </w:tc>
        <w:tc>
          <w:tcPr>
            <w:tcW w:w="936" w:type="dxa"/>
            <w:shd w:val="clear" w:color="auto" w:fill="FFFFFF"/>
          </w:tcPr>
          <w:p w:rsidR="004E417F" w:rsidRPr="00CD3D64" w:rsidRDefault="004E417F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</w:p>
        </w:tc>
        <w:tc>
          <w:tcPr>
            <w:tcW w:w="1224" w:type="dxa"/>
            <w:shd w:val="clear" w:color="auto" w:fill="FFFFFF"/>
          </w:tcPr>
          <w:p w:rsidR="004E417F" w:rsidRPr="00CD3D64" w:rsidRDefault="004E417F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</w:p>
        </w:tc>
      </w:tr>
      <w:tr w:rsidR="00C910DB" w:rsidRPr="00CD3D64" w:rsidTr="002878B6">
        <w:tc>
          <w:tcPr>
            <w:tcW w:w="2818" w:type="dxa"/>
            <w:shd w:val="clear" w:color="auto" w:fill="FFFFFF"/>
          </w:tcPr>
          <w:p w:rsidR="00805D2E" w:rsidRPr="00CD3D64" w:rsidRDefault="00805D2E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b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Sex</w:t>
            </w:r>
            <w:r w:rsidR="007171F0">
              <w:rPr>
                <w:rFonts w:ascii="Book Antiqua" w:hAnsi="Book Antiqua"/>
                <w:color w:val="000000"/>
              </w:rPr>
              <w:t xml:space="preserve">, </w:t>
            </w:r>
            <w:r w:rsidR="00A61B40" w:rsidRPr="00CD3D64">
              <w:rPr>
                <w:rFonts w:ascii="Book Antiqua" w:hAnsi="Book Antiqua"/>
                <w:color w:val="000000"/>
              </w:rPr>
              <w:t>f</w:t>
            </w:r>
            <w:r w:rsidRPr="00CD3D64">
              <w:rPr>
                <w:rFonts w:ascii="Book Antiqua" w:hAnsi="Book Antiqua"/>
                <w:color w:val="000000"/>
              </w:rPr>
              <w:t>emale</w:t>
            </w:r>
          </w:p>
        </w:tc>
        <w:tc>
          <w:tcPr>
            <w:tcW w:w="621" w:type="dxa"/>
            <w:shd w:val="clear" w:color="auto" w:fill="FFFFFF"/>
          </w:tcPr>
          <w:p w:rsidR="00805D2E" w:rsidRPr="00CD3D64" w:rsidRDefault="00805D2E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</w:t>
            </w:r>
            <w:r w:rsidR="00534E55" w:rsidRPr="00CD3D64">
              <w:rPr>
                <w:rFonts w:ascii="Book Antiqua" w:hAnsi="Book Antiqua"/>
                <w:color w:val="000000"/>
              </w:rPr>
              <w:t>977</w:t>
            </w:r>
          </w:p>
        </w:tc>
        <w:tc>
          <w:tcPr>
            <w:tcW w:w="1348" w:type="dxa"/>
            <w:shd w:val="clear" w:color="auto" w:fill="FFFFFF"/>
          </w:tcPr>
          <w:p w:rsidR="00805D2E" w:rsidRPr="00CD3D64" w:rsidRDefault="00534E55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1.023</w:t>
            </w:r>
            <w:r w:rsidR="00805D2E" w:rsidRPr="00CD3D64"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1520" w:type="dxa"/>
            <w:shd w:val="clear" w:color="auto" w:fill="FFFFFF"/>
          </w:tcPr>
          <w:p w:rsidR="00805D2E" w:rsidRPr="00CD3D64" w:rsidRDefault="00534E55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0.224-4.663</w:t>
            </w:r>
            <w:r w:rsidR="00805D2E" w:rsidRPr="00CD3D64"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680" w:type="dxa"/>
            <w:shd w:val="clear" w:color="auto" w:fill="FFFFFF"/>
          </w:tcPr>
          <w:p w:rsidR="00805D2E" w:rsidRPr="00CD3D64" w:rsidRDefault="00805D2E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</w:p>
        </w:tc>
        <w:tc>
          <w:tcPr>
            <w:tcW w:w="936" w:type="dxa"/>
            <w:shd w:val="clear" w:color="auto" w:fill="FFFFFF"/>
          </w:tcPr>
          <w:p w:rsidR="00805D2E" w:rsidRPr="00CD3D64" w:rsidRDefault="00805D2E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</w:p>
        </w:tc>
        <w:tc>
          <w:tcPr>
            <w:tcW w:w="1224" w:type="dxa"/>
            <w:shd w:val="clear" w:color="auto" w:fill="FFFFFF"/>
          </w:tcPr>
          <w:p w:rsidR="00805D2E" w:rsidRPr="00CD3D64" w:rsidRDefault="00805D2E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</w:p>
        </w:tc>
      </w:tr>
      <w:tr w:rsidR="0034019F" w:rsidRPr="00CD3D64" w:rsidTr="002878B6">
        <w:tc>
          <w:tcPr>
            <w:tcW w:w="2818" w:type="dxa"/>
            <w:shd w:val="clear" w:color="auto" w:fill="FFFFFF"/>
          </w:tcPr>
          <w:p w:rsidR="0034019F" w:rsidRPr="00CD3D64" w:rsidRDefault="006549DA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Height</w:t>
            </w:r>
            <w:r w:rsidR="007171F0">
              <w:rPr>
                <w:rFonts w:ascii="Book Antiqua" w:hAnsi="Book Antiqua"/>
                <w:color w:val="000000"/>
              </w:rPr>
              <w:t xml:space="preserve">, </w:t>
            </w:r>
            <w:r w:rsidR="00C12E5F" w:rsidRPr="00CD3D64">
              <w:rPr>
                <w:rFonts w:ascii="Book Antiqua" w:hAnsi="Book Antiqua"/>
                <w:color w:val="000000"/>
              </w:rPr>
              <w:t xml:space="preserve">per </w:t>
            </w:r>
            <w:r w:rsidRPr="00CD3D64">
              <w:rPr>
                <w:rFonts w:ascii="Book Antiqua" w:hAnsi="Book Antiqua"/>
                <w:color w:val="000000"/>
              </w:rPr>
              <w:t>1</w:t>
            </w:r>
            <w:r w:rsidR="00C12E5F" w:rsidRPr="00CD3D64">
              <w:rPr>
                <w:rFonts w:ascii="Book Antiqua" w:hAnsi="Book Antiqua"/>
                <w:color w:val="000000"/>
              </w:rPr>
              <w:t>-</w:t>
            </w:r>
            <w:r w:rsidRPr="00CD3D64">
              <w:rPr>
                <w:rFonts w:ascii="Book Antiqua" w:hAnsi="Book Antiqua"/>
                <w:color w:val="000000"/>
              </w:rPr>
              <w:t xml:space="preserve">cm </w:t>
            </w:r>
            <w:r w:rsidR="00BD0125" w:rsidRPr="00CD3D64">
              <w:rPr>
                <w:rFonts w:ascii="Book Antiqua" w:hAnsi="Book Antiqua"/>
                <w:color w:val="000000"/>
              </w:rPr>
              <w:t>increase</w:t>
            </w:r>
          </w:p>
        </w:tc>
        <w:tc>
          <w:tcPr>
            <w:tcW w:w="621" w:type="dxa"/>
            <w:shd w:val="clear" w:color="auto" w:fill="FFFFFF"/>
          </w:tcPr>
          <w:p w:rsidR="0034019F" w:rsidRPr="00CD3D64" w:rsidRDefault="006549DA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0.316</w:t>
            </w:r>
          </w:p>
        </w:tc>
        <w:tc>
          <w:tcPr>
            <w:tcW w:w="1348" w:type="dxa"/>
            <w:shd w:val="clear" w:color="auto" w:fill="FFFFFF"/>
          </w:tcPr>
          <w:p w:rsidR="0034019F" w:rsidRPr="00CD3D64" w:rsidRDefault="006549DA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0.957</w:t>
            </w:r>
          </w:p>
        </w:tc>
        <w:tc>
          <w:tcPr>
            <w:tcW w:w="1520" w:type="dxa"/>
            <w:shd w:val="clear" w:color="auto" w:fill="FFFFFF"/>
          </w:tcPr>
          <w:p w:rsidR="0034019F" w:rsidRPr="00CD3D64" w:rsidRDefault="006549DA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0.879-1.043</w:t>
            </w:r>
          </w:p>
        </w:tc>
        <w:tc>
          <w:tcPr>
            <w:tcW w:w="680" w:type="dxa"/>
            <w:shd w:val="clear" w:color="auto" w:fill="FFFFFF"/>
          </w:tcPr>
          <w:p w:rsidR="0034019F" w:rsidRPr="00CD3D64" w:rsidRDefault="0034019F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</w:p>
        </w:tc>
        <w:tc>
          <w:tcPr>
            <w:tcW w:w="936" w:type="dxa"/>
            <w:shd w:val="clear" w:color="auto" w:fill="FFFFFF"/>
          </w:tcPr>
          <w:p w:rsidR="0034019F" w:rsidRPr="00CD3D64" w:rsidRDefault="0034019F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</w:p>
        </w:tc>
        <w:tc>
          <w:tcPr>
            <w:tcW w:w="1224" w:type="dxa"/>
            <w:shd w:val="clear" w:color="auto" w:fill="FFFFFF"/>
          </w:tcPr>
          <w:p w:rsidR="0034019F" w:rsidRPr="00CD3D64" w:rsidRDefault="0034019F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</w:p>
        </w:tc>
      </w:tr>
      <w:tr w:rsidR="00C910DB" w:rsidRPr="00CD3D64" w:rsidTr="002878B6">
        <w:tc>
          <w:tcPr>
            <w:tcW w:w="2818" w:type="dxa"/>
            <w:shd w:val="clear" w:color="auto" w:fill="FFFFFF"/>
          </w:tcPr>
          <w:p w:rsidR="00805D2E" w:rsidRPr="00CD3D64" w:rsidRDefault="00805D2E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b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Weight</w:t>
            </w:r>
            <w:r w:rsidR="007171F0">
              <w:rPr>
                <w:rFonts w:ascii="Book Antiqua" w:hAnsi="Book Antiqua"/>
                <w:color w:val="000000"/>
              </w:rPr>
              <w:t>,</w:t>
            </w:r>
            <w:r w:rsidRPr="00CD3D64">
              <w:rPr>
                <w:rFonts w:ascii="Book Antiqua" w:hAnsi="Book Antiqua"/>
                <w:color w:val="000000"/>
              </w:rPr>
              <w:t xml:space="preserve"> </w:t>
            </w:r>
            <w:r w:rsidR="00C12E5F" w:rsidRPr="00CD3D64">
              <w:rPr>
                <w:rFonts w:ascii="Book Antiqua" w:hAnsi="Book Antiqua"/>
                <w:color w:val="000000"/>
              </w:rPr>
              <w:t xml:space="preserve">per </w:t>
            </w:r>
            <w:r w:rsidR="004E417F" w:rsidRPr="00CD3D64">
              <w:rPr>
                <w:rFonts w:ascii="Book Antiqua" w:hAnsi="Book Antiqua"/>
                <w:color w:val="000000"/>
              </w:rPr>
              <w:t>1</w:t>
            </w:r>
            <w:r w:rsidR="00C12E5F" w:rsidRPr="00CD3D64">
              <w:rPr>
                <w:rFonts w:ascii="Book Antiqua" w:hAnsi="Book Antiqua"/>
                <w:color w:val="000000"/>
              </w:rPr>
              <w:t>-</w:t>
            </w:r>
            <w:r w:rsidRPr="00CD3D64">
              <w:rPr>
                <w:rFonts w:ascii="Book Antiqua" w:hAnsi="Book Antiqua"/>
                <w:color w:val="000000"/>
              </w:rPr>
              <w:t>kg</w:t>
            </w:r>
            <w:r w:rsidR="004E417F" w:rsidRPr="00CD3D64">
              <w:rPr>
                <w:rFonts w:ascii="Book Antiqua" w:hAnsi="Book Antiqua"/>
                <w:color w:val="000000"/>
              </w:rPr>
              <w:t xml:space="preserve"> </w:t>
            </w:r>
            <w:r w:rsidR="00BD0125" w:rsidRPr="00CD3D64">
              <w:rPr>
                <w:rFonts w:ascii="Book Antiqua" w:hAnsi="Book Antiqua"/>
                <w:color w:val="000000"/>
              </w:rPr>
              <w:t>increase</w:t>
            </w:r>
          </w:p>
        </w:tc>
        <w:tc>
          <w:tcPr>
            <w:tcW w:w="621" w:type="dxa"/>
            <w:shd w:val="clear" w:color="auto" w:fill="FFFFFF"/>
          </w:tcPr>
          <w:p w:rsidR="00805D2E" w:rsidRPr="00CD3D64" w:rsidRDefault="00D40654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0.568</w:t>
            </w:r>
          </w:p>
        </w:tc>
        <w:tc>
          <w:tcPr>
            <w:tcW w:w="1348" w:type="dxa"/>
            <w:shd w:val="clear" w:color="auto" w:fill="FFFFFF"/>
          </w:tcPr>
          <w:p w:rsidR="00805D2E" w:rsidRPr="00CD3D64" w:rsidRDefault="00D40654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0.982</w:t>
            </w:r>
          </w:p>
        </w:tc>
        <w:tc>
          <w:tcPr>
            <w:tcW w:w="1520" w:type="dxa"/>
            <w:shd w:val="clear" w:color="auto" w:fill="FFFFFF"/>
          </w:tcPr>
          <w:p w:rsidR="00805D2E" w:rsidRPr="00CD3D64" w:rsidRDefault="00D40654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0.924-1.044</w:t>
            </w:r>
          </w:p>
        </w:tc>
        <w:tc>
          <w:tcPr>
            <w:tcW w:w="680" w:type="dxa"/>
            <w:shd w:val="clear" w:color="auto" w:fill="FFFFFF"/>
          </w:tcPr>
          <w:p w:rsidR="00805D2E" w:rsidRPr="00CD3D64" w:rsidRDefault="00805D2E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</w:p>
        </w:tc>
        <w:tc>
          <w:tcPr>
            <w:tcW w:w="936" w:type="dxa"/>
            <w:shd w:val="clear" w:color="auto" w:fill="FFFFFF"/>
          </w:tcPr>
          <w:p w:rsidR="00805D2E" w:rsidRPr="00CD3D64" w:rsidRDefault="00805D2E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</w:p>
        </w:tc>
        <w:tc>
          <w:tcPr>
            <w:tcW w:w="1224" w:type="dxa"/>
            <w:shd w:val="clear" w:color="auto" w:fill="FFFFFF"/>
          </w:tcPr>
          <w:p w:rsidR="00805D2E" w:rsidRPr="00CD3D64" w:rsidRDefault="00805D2E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</w:p>
        </w:tc>
      </w:tr>
      <w:tr w:rsidR="00C910DB" w:rsidRPr="00CD3D64" w:rsidTr="002878B6">
        <w:tc>
          <w:tcPr>
            <w:tcW w:w="2818" w:type="dxa"/>
            <w:shd w:val="clear" w:color="auto" w:fill="FFFFFF"/>
          </w:tcPr>
          <w:p w:rsidR="00805D2E" w:rsidRPr="00CD3D64" w:rsidRDefault="00805D2E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b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BMI</w:t>
            </w:r>
            <w:r w:rsidR="007171F0">
              <w:rPr>
                <w:rFonts w:ascii="Book Antiqua" w:hAnsi="Book Antiqua"/>
                <w:color w:val="000000"/>
              </w:rPr>
              <w:t>,</w:t>
            </w:r>
            <w:r w:rsidRPr="00CD3D64">
              <w:rPr>
                <w:rFonts w:ascii="Book Antiqua" w:hAnsi="Book Antiqua"/>
                <w:color w:val="000000"/>
              </w:rPr>
              <w:t xml:space="preserve"> </w:t>
            </w:r>
            <w:r w:rsidR="00C12E5F" w:rsidRPr="00CD3D64">
              <w:rPr>
                <w:rFonts w:ascii="Book Antiqua" w:hAnsi="Book Antiqua"/>
                <w:color w:val="000000"/>
              </w:rPr>
              <w:t xml:space="preserve">per </w:t>
            </w:r>
            <w:r w:rsidR="004E417F" w:rsidRPr="00CD3D64">
              <w:rPr>
                <w:rFonts w:ascii="Book Antiqua" w:hAnsi="Book Antiqua"/>
                <w:color w:val="000000"/>
              </w:rPr>
              <w:t>1</w:t>
            </w:r>
            <w:r w:rsidR="00C12E5F" w:rsidRPr="00CD3D64">
              <w:rPr>
                <w:rFonts w:ascii="Book Antiqua" w:hAnsi="Book Antiqua"/>
                <w:color w:val="000000"/>
              </w:rPr>
              <w:t>-</w:t>
            </w:r>
            <w:r w:rsidRPr="00CD3D64">
              <w:rPr>
                <w:rFonts w:ascii="Book Antiqua" w:hAnsi="Book Antiqua"/>
                <w:color w:val="000000"/>
              </w:rPr>
              <w:t>kg/m</w:t>
            </w:r>
            <w:r w:rsidRPr="00CD3D64">
              <w:rPr>
                <w:rFonts w:ascii="Book Antiqua" w:hAnsi="Book Antiqua"/>
                <w:color w:val="000000"/>
                <w:vertAlign w:val="superscript"/>
              </w:rPr>
              <w:t>2</w:t>
            </w:r>
            <w:r w:rsidR="00C12E5F" w:rsidRPr="00CD3D64">
              <w:rPr>
                <w:rFonts w:ascii="Book Antiqua" w:hAnsi="Book Antiqua"/>
                <w:color w:val="000000"/>
              </w:rPr>
              <w:t xml:space="preserve"> </w:t>
            </w:r>
            <w:r w:rsidR="00BD0125" w:rsidRPr="00CD3D64">
              <w:rPr>
                <w:rFonts w:ascii="Book Antiqua" w:hAnsi="Book Antiqua"/>
                <w:color w:val="000000"/>
              </w:rPr>
              <w:t>increase</w:t>
            </w:r>
          </w:p>
        </w:tc>
        <w:tc>
          <w:tcPr>
            <w:tcW w:w="621" w:type="dxa"/>
            <w:shd w:val="clear" w:color="auto" w:fill="FFFFFF"/>
          </w:tcPr>
          <w:p w:rsidR="00805D2E" w:rsidRPr="00CD3D64" w:rsidRDefault="00805D2E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</w:t>
            </w:r>
            <w:r w:rsidR="00D40654" w:rsidRPr="00CD3D64">
              <w:rPr>
                <w:rFonts w:ascii="Book Antiqua" w:hAnsi="Book Antiqua"/>
                <w:color w:val="000000"/>
              </w:rPr>
              <w:t>929</w:t>
            </w:r>
          </w:p>
        </w:tc>
        <w:tc>
          <w:tcPr>
            <w:tcW w:w="1348" w:type="dxa"/>
            <w:shd w:val="clear" w:color="auto" w:fill="FFFFFF"/>
          </w:tcPr>
          <w:p w:rsidR="00805D2E" w:rsidRPr="00CD3D64" w:rsidRDefault="00D40654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0.990</w:t>
            </w:r>
          </w:p>
        </w:tc>
        <w:tc>
          <w:tcPr>
            <w:tcW w:w="1520" w:type="dxa"/>
            <w:shd w:val="clear" w:color="auto" w:fill="FFFFFF"/>
          </w:tcPr>
          <w:p w:rsidR="00805D2E" w:rsidRPr="00CD3D64" w:rsidRDefault="00D40654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0.792-1.238</w:t>
            </w:r>
          </w:p>
        </w:tc>
        <w:tc>
          <w:tcPr>
            <w:tcW w:w="680" w:type="dxa"/>
            <w:shd w:val="clear" w:color="auto" w:fill="FFFFFF"/>
          </w:tcPr>
          <w:p w:rsidR="00805D2E" w:rsidRPr="00CD3D64" w:rsidRDefault="00805D2E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</w:p>
        </w:tc>
        <w:tc>
          <w:tcPr>
            <w:tcW w:w="936" w:type="dxa"/>
            <w:shd w:val="clear" w:color="auto" w:fill="FFFFFF"/>
          </w:tcPr>
          <w:p w:rsidR="00805D2E" w:rsidRPr="00CD3D64" w:rsidRDefault="00805D2E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</w:p>
        </w:tc>
        <w:tc>
          <w:tcPr>
            <w:tcW w:w="1224" w:type="dxa"/>
            <w:shd w:val="clear" w:color="auto" w:fill="FFFFFF"/>
          </w:tcPr>
          <w:p w:rsidR="00805D2E" w:rsidRPr="00CD3D64" w:rsidRDefault="00805D2E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</w:p>
        </w:tc>
      </w:tr>
      <w:tr w:rsidR="00C910DB" w:rsidRPr="00CD3D64" w:rsidTr="002878B6">
        <w:tc>
          <w:tcPr>
            <w:tcW w:w="2818" w:type="dxa"/>
            <w:shd w:val="clear" w:color="auto" w:fill="FFFFFF"/>
          </w:tcPr>
          <w:p w:rsidR="00805D2E" w:rsidRPr="00CD3D64" w:rsidRDefault="00BD0125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C</w:t>
            </w:r>
            <w:r w:rsidR="00805D2E" w:rsidRPr="00CD3D64">
              <w:rPr>
                <w:rFonts w:ascii="Book Antiqua" w:hAnsi="Book Antiqua"/>
                <w:color w:val="000000"/>
              </w:rPr>
              <w:t>irrhosis</w:t>
            </w:r>
          </w:p>
        </w:tc>
        <w:tc>
          <w:tcPr>
            <w:tcW w:w="621" w:type="dxa"/>
            <w:shd w:val="clear" w:color="auto" w:fill="FFFFFF"/>
          </w:tcPr>
          <w:p w:rsidR="00805D2E" w:rsidRPr="00CD3D64" w:rsidRDefault="00534E55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0.214</w:t>
            </w:r>
          </w:p>
        </w:tc>
        <w:tc>
          <w:tcPr>
            <w:tcW w:w="1348" w:type="dxa"/>
            <w:shd w:val="clear" w:color="auto" w:fill="FFFFFF"/>
          </w:tcPr>
          <w:p w:rsidR="00805D2E" w:rsidRPr="00CD3D64" w:rsidRDefault="00534E55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0.382</w:t>
            </w:r>
          </w:p>
        </w:tc>
        <w:tc>
          <w:tcPr>
            <w:tcW w:w="1520" w:type="dxa"/>
            <w:shd w:val="clear" w:color="auto" w:fill="FFFFFF"/>
          </w:tcPr>
          <w:p w:rsidR="00805D2E" w:rsidRPr="00CD3D64" w:rsidRDefault="00534E55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0.084-1.743</w:t>
            </w:r>
          </w:p>
        </w:tc>
        <w:tc>
          <w:tcPr>
            <w:tcW w:w="680" w:type="dxa"/>
            <w:shd w:val="clear" w:color="auto" w:fill="FFFFFF"/>
          </w:tcPr>
          <w:p w:rsidR="00805D2E" w:rsidRPr="00CD3D64" w:rsidRDefault="00805D2E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</w:p>
        </w:tc>
        <w:tc>
          <w:tcPr>
            <w:tcW w:w="936" w:type="dxa"/>
            <w:shd w:val="clear" w:color="auto" w:fill="FFFFFF"/>
          </w:tcPr>
          <w:p w:rsidR="00805D2E" w:rsidRPr="00CD3D64" w:rsidRDefault="00805D2E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</w:p>
        </w:tc>
        <w:tc>
          <w:tcPr>
            <w:tcW w:w="1224" w:type="dxa"/>
            <w:shd w:val="clear" w:color="auto" w:fill="FFFFFF"/>
          </w:tcPr>
          <w:p w:rsidR="00805D2E" w:rsidRPr="00CD3D64" w:rsidRDefault="00805D2E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</w:p>
        </w:tc>
      </w:tr>
      <w:tr w:rsidR="00C910DB" w:rsidRPr="00CD3D64" w:rsidTr="002878B6">
        <w:tc>
          <w:tcPr>
            <w:tcW w:w="2818" w:type="dxa"/>
            <w:shd w:val="clear" w:color="auto" w:fill="FFFFFF"/>
          </w:tcPr>
          <w:p w:rsidR="00805D2E" w:rsidRPr="00CD3D64" w:rsidRDefault="0034019F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CKD</w:t>
            </w:r>
            <w:r w:rsidR="007171F0">
              <w:rPr>
                <w:rFonts w:ascii="Book Antiqua" w:hAnsi="Book Antiqua"/>
                <w:color w:val="000000"/>
              </w:rPr>
              <w:t>,</w:t>
            </w:r>
            <w:r w:rsidRPr="00CD3D64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CD3D64">
              <w:rPr>
                <w:rFonts w:ascii="Book Antiqua" w:hAnsi="Book Antiqua"/>
                <w:color w:val="000000"/>
              </w:rPr>
              <w:t>eGFR</w:t>
            </w:r>
            <w:proofErr w:type="spellEnd"/>
            <w:r w:rsidRPr="00CD3D64">
              <w:rPr>
                <w:rFonts w:ascii="Book Antiqua" w:hAnsi="Book Antiqua"/>
                <w:color w:val="000000"/>
              </w:rPr>
              <w:t xml:space="preserve"> </w:t>
            </w:r>
            <w:r w:rsidR="00BD0125" w:rsidRPr="00CD3D64">
              <w:rPr>
                <w:rFonts w:ascii="Book Antiqua" w:hAnsi="Book Antiqua"/>
                <w:color w:val="000000"/>
              </w:rPr>
              <w:t xml:space="preserve">&gt; </w:t>
            </w:r>
            <w:r w:rsidRPr="00CD3D64">
              <w:rPr>
                <w:rFonts w:ascii="Book Antiqua" w:hAnsi="Book Antiqua"/>
                <w:color w:val="000000"/>
              </w:rPr>
              <w:t>60</w:t>
            </w:r>
            <w:r w:rsidR="00C12E5F" w:rsidRPr="00CD3D64">
              <w:rPr>
                <w:rFonts w:ascii="Book Antiqua" w:hAnsi="Book Antiqua"/>
                <w:color w:val="000000"/>
              </w:rPr>
              <w:t xml:space="preserve"> mL/min/1.73 m</w:t>
            </w:r>
            <w:r w:rsidR="00C12E5F" w:rsidRPr="00CD3D64">
              <w:rPr>
                <w:rFonts w:ascii="Book Antiqua" w:hAnsi="Book Antiqua"/>
                <w:color w:val="000000"/>
                <w:vertAlign w:val="superscript"/>
              </w:rPr>
              <w:t>2</w:t>
            </w:r>
          </w:p>
        </w:tc>
        <w:tc>
          <w:tcPr>
            <w:tcW w:w="621" w:type="dxa"/>
            <w:shd w:val="clear" w:color="auto" w:fill="FFFFFF"/>
          </w:tcPr>
          <w:p w:rsidR="00805D2E" w:rsidRPr="00CD3D64" w:rsidRDefault="00534E55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0.569</w:t>
            </w:r>
          </w:p>
        </w:tc>
        <w:tc>
          <w:tcPr>
            <w:tcW w:w="1348" w:type="dxa"/>
            <w:shd w:val="clear" w:color="auto" w:fill="FFFFFF"/>
          </w:tcPr>
          <w:p w:rsidR="00805D2E" w:rsidRPr="00CD3D64" w:rsidRDefault="00534E55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0.616</w:t>
            </w:r>
          </w:p>
        </w:tc>
        <w:tc>
          <w:tcPr>
            <w:tcW w:w="1520" w:type="dxa"/>
            <w:shd w:val="clear" w:color="auto" w:fill="FFFFFF"/>
          </w:tcPr>
          <w:p w:rsidR="00805D2E" w:rsidRPr="00CD3D64" w:rsidRDefault="00534E55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0.116-3.266</w:t>
            </w:r>
          </w:p>
        </w:tc>
        <w:tc>
          <w:tcPr>
            <w:tcW w:w="680" w:type="dxa"/>
            <w:shd w:val="clear" w:color="auto" w:fill="FFFFFF"/>
          </w:tcPr>
          <w:p w:rsidR="00805D2E" w:rsidRPr="00CD3D64" w:rsidRDefault="00805D2E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</w:p>
        </w:tc>
        <w:tc>
          <w:tcPr>
            <w:tcW w:w="936" w:type="dxa"/>
            <w:shd w:val="clear" w:color="auto" w:fill="FFFFFF"/>
          </w:tcPr>
          <w:p w:rsidR="00805D2E" w:rsidRPr="00CD3D64" w:rsidRDefault="00805D2E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</w:p>
        </w:tc>
        <w:tc>
          <w:tcPr>
            <w:tcW w:w="1224" w:type="dxa"/>
            <w:shd w:val="clear" w:color="auto" w:fill="FFFFFF"/>
          </w:tcPr>
          <w:p w:rsidR="00805D2E" w:rsidRPr="00CD3D64" w:rsidRDefault="00805D2E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</w:p>
        </w:tc>
      </w:tr>
      <w:tr w:rsidR="00C910DB" w:rsidRPr="00CD3D64" w:rsidTr="002878B6">
        <w:tc>
          <w:tcPr>
            <w:tcW w:w="2818" w:type="dxa"/>
            <w:shd w:val="clear" w:color="auto" w:fill="FFFFFF"/>
          </w:tcPr>
          <w:p w:rsidR="00805D2E" w:rsidRPr="00CD3D64" w:rsidRDefault="00BD0125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b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H</w:t>
            </w:r>
            <w:r w:rsidR="00805D2E" w:rsidRPr="00CD3D64">
              <w:rPr>
                <w:rFonts w:ascii="Book Antiqua" w:hAnsi="Book Antiqua"/>
                <w:color w:val="000000"/>
              </w:rPr>
              <w:t>istory of HCC treatment</w:t>
            </w:r>
          </w:p>
        </w:tc>
        <w:tc>
          <w:tcPr>
            <w:tcW w:w="621" w:type="dxa"/>
            <w:shd w:val="clear" w:color="auto" w:fill="FFFFFF"/>
          </w:tcPr>
          <w:p w:rsidR="00805D2E" w:rsidRPr="00CD3D64" w:rsidRDefault="00805D2E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0.0</w:t>
            </w:r>
            <w:r w:rsidR="00534E55" w:rsidRPr="00CD3D64">
              <w:rPr>
                <w:rFonts w:ascii="Book Antiqua" w:hAnsi="Book Antiqua"/>
                <w:color w:val="000000"/>
              </w:rPr>
              <w:t>27</w:t>
            </w:r>
          </w:p>
        </w:tc>
        <w:tc>
          <w:tcPr>
            <w:tcW w:w="1348" w:type="dxa"/>
            <w:shd w:val="clear" w:color="auto" w:fill="FFFFFF"/>
          </w:tcPr>
          <w:p w:rsidR="00805D2E" w:rsidRPr="00CD3D64" w:rsidRDefault="00534E55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0.175</w:t>
            </w:r>
          </w:p>
        </w:tc>
        <w:tc>
          <w:tcPr>
            <w:tcW w:w="1520" w:type="dxa"/>
            <w:shd w:val="clear" w:color="auto" w:fill="FFFFFF"/>
          </w:tcPr>
          <w:p w:rsidR="00805D2E" w:rsidRPr="00CD3D64" w:rsidRDefault="00534E55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0.037-0.822</w:t>
            </w:r>
          </w:p>
        </w:tc>
        <w:tc>
          <w:tcPr>
            <w:tcW w:w="680" w:type="dxa"/>
            <w:shd w:val="clear" w:color="auto" w:fill="FFFFFF"/>
          </w:tcPr>
          <w:p w:rsidR="00805D2E" w:rsidRPr="00CD3D64" w:rsidRDefault="002878B6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0.072</w:t>
            </w:r>
          </w:p>
        </w:tc>
        <w:tc>
          <w:tcPr>
            <w:tcW w:w="936" w:type="dxa"/>
            <w:shd w:val="clear" w:color="auto" w:fill="FFFFFF"/>
          </w:tcPr>
          <w:p w:rsidR="00805D2E" w:rsidRPr="00CD3D64" w:rsidRDefault="002878B6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0.225</w:t>
            </w:r>
          </w:p>
        </w:tc>
        <w:tc>
          <w:tcPr>
            <w:tcW w:w="1224" w:type="dxa"/>
            <w:shd w:val="clear" w:color="auto" w:fill="FFFFFF"/>
          </w:tcPr>
          <w:p w:rsidR="00805D2E" w:rsidRPr="00CD3D64" w:rsidRDefault="002878B6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0.044-1.145</w:t>
            </w:r>
          </w:p>
        </w:tc>
      </w:tr>
      <w:tr w:rsidR="00D40654" w:rsidRPr="00CD3D64" w:rsidTr="002878B6">
        <w:tc>
          <w:tcPr>
            <w:tcW w:w="2818" w:type="dxa"/>
            <w:shd w:val="clear" w:color="auto" w:fill="FFFFFF"/>
          </w:tcPr>
          <w:p w:rsidR="00A61B40" w:rsidRPr="00CD3D64" w:rsidRDefault="00BD0125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H</w:t>
            </w:r>
            <w:r w:rsidR="00A61B40" w:rsidRPr="00CD3D64">
              <w:rPr>
                <w:rFonts w:ascii="Book Antiqua" w:hAnsi="Book Antiqua"/>
                <w:color w:val="000000"/>
              </w:rPr>
              <w:t>istory of IFN</w:t>
            </w:r>
            <w:r w:rsidR="00C12E5F" w:rsidRPr="00CD3D64">
              <w:rPr>
                <w:rFonts w:ascii="Book Antiqua" w:hAnsi="Book Antiqua"/>
                <w:color w:val="000000"/>
              </w:rPr>
              <w:t>-</w:t>
            </w:r>
            <w:r w:rsidR="00A61B40" w:rsidRPr="00CD3D64">
              <w:rPr>
                <w:rFonts w:ascii="Book Antiqua" w:hAnsi="Book Antiqua"/>
                <w:color w:val="000000"/>
              </w:rPr>
              <w:t xml:space="preserve">based </w:t>
            </w:r>
            <w:r w:rsidR="00A61B40" w:rsidRPr="00CD3D64">
              <w:rPr>
                <w:rFonts w:ascii="Book Antiqua" w:eastAsia="MS PGothic" w:hAnsi="Book Antiqua" w:cs="MS PGothic"/>
                <w:bCs/>
                <w:color w:val="000000"/>
                <w:kern w:val="0"/>
              </w:rPr>
              <w:t>therapy</w:t>
            </w:r>
          </w:p>
        </w:tc>
        <w:tc>
          <w:tcPr>
            <w:tcW w:w="621" w:type="dxa"/>
            <w:shd w:val="clear" w:color="auto" w:fill="FFFFFF"/>
          </w:tcPr>
          <w:p w:rsidR="00A61B40" w:rsidRPr="00CD3D64" w:rsidRDefault="00534E55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0.763</w:t>
            </w:r>
          </w:p>
        </w:tc>
        <w:tc>
          <w:tcPr>
            <w:tcW w:w="1348" w:type="dxa"/>
            <w:shd w:val="clear" w:color="auto" w:fill="FFFFFF"/>
          </w:tcPr>
          <w:p w:rsidR="00A61B40" w:rsidRPr="00CD3D64" w:rsidRDefault="00534E55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0.774</w:t>
            </w:r>
          </w:p>
        </w:tc>
        <w:tc>
          <w:tcPr>
            <w:tcW w:w="1520" w:type="dxa"/>
            <w:shd w:val="clear" w:color="auto" w:fill="FFFFFF"/>
          </w:tcPr>
          <w:p w:rsidR="00A61B40" w:rsidRPr="00CD3D64" w:rsidRDefault="00534E55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0.146-4.091</w:t>
            </w:r>
          </w:p>
        </w:tc>
        <w:tc>
          <w:tcPr>
            <w:tcW w:w="680" w:type="dxa"/>
            <w:shd w:val="clear" w:color="auto" w:fill="FFFFFF"/>
          </w:tcPr>
          <w:p w:rsidR="00A61B40" w:rsidRPr="00CD3D64" w:rsidRDefault="00A61B40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</w:p>
        </w:tc>
        <w:tc>
          <w:tcPr>
            <w:tcW w:w="936" w:type="dxa"/>
            <w:shd w:val="clear" w:color="auto" w:fill="FFFFFF"/>
          </w:tcPr>
          <w:p w:rsidR="00A61B40" w:rsidRPr="00CD3D64" w:rsidRDefault="00A61B40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</w:p>
        </w:tc>
        <w:tc>
          <w:tcPr>
            <w:tcW w:w="1224" w:type="dxa"/>
            <w:shd w:val="clear" w:color="auto" w:fill="FFFFFF"/>
          </w:tcPr>
          <w:p w:rsidR="00A61B40" w:rsidRPr="00CD3D64" w:rsidRDefault="00A61B40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</w:p>
        </w:tc>
      </w:tr>
      <w:tr w:rsidR="00C910DB" w:rsidRPr="00CD3D64" w:rsidTr="002878B6">
        <w:trPr>
          <w:trHeight w:val="339"/>
        </w:trPr>
        <w:tc>
          <w:tcPr>
            <w:tcW w:w="2818" w:type="dxa"/>
            <w:shd w:val="clear" w:color="auto" w:fill="FFFFFF"/>
          </w:tcPr>
          <w:p w:rsidR="00805D2E" w:rsidRPr="00CD3D64" w:rsidRDefault="00805D2E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HCV-RNA</w:t>
            </w:r>
            <w:r w:rsidR="007171F0">
              <w:rPr>
                <w:rFonts w:ascii="Book Antiqua" w:hAnsi="Book Antiqua"/>
                <w:color w:val="000000"/>
              </w:rPr>
              <w:t>,</w:t>
            </w:r>
            <w:r w:rsidRPr="00CD3D64">
              <w:rPr>
                <w:rFonts w:ascii="Book Antiqua" w:hAnsi="Book Antiqua"/>
                <w:color w:val="000000"/>
              </w:rPr>
              <w:t xml:space="preserve"> </w:t>
            </w:r>
            <w:r w:rsidR="00C12E5F" w:rsidRPr="00CD3D64">
              <w:rPr>
                <w:rFonts w:ascii="Book Antiqua" w:hAnsi="Book Antiqua"/>
                <w:color w:val="000000"/>
              </w:rPr>
              <w:t xml:space="preserve">per </w:t>
            </w:r>
            <w:r w:rsidR="004E417F" w:rsidRPr="00CD3D64">
              <w:rPr>
                <w:rFonts w:ascii="Book Antiqua" w:hAnsi="Book Antiqua"/>
                <w:color w:val="000000"/>
              </w:rPr>
              <w:t>1</w:t>
            </w:r>
            <w:r w:rsidR="00C12E5F" w:rsidRPr="00CD3D64">
              <w:rPr>
                <w:rFonts w:ascii="Book Antiqua" w:hAnsi="Book Antiqua"/>
                <w:color w:val="000000"/>
              </w:rPr>
              <w:t>-</w:t>
            </w:r>
            <w:r w:rsidRPr="00CD3D64">
              <w:rPr>
                <w:rFonts w:ascii="Book Antiqua" w:hAnsi="Book Antiqua"/>
                <w:color w:val="000000"/>
              </w:rPr>
              <w:t>logIU/mL</w:t>
            </w:r>
            <w:r w:rsidR="004E417F" w:rsidRPr="00CD3D64">
              <w:rPr>
                <w:rFonts w:ascii="Book Antiqua" w:hAnsi="Book Antiqua"/>
                <w:color w:val="000000"/>
              </w:rPr>
              <w:t xml:space="preserve"> </w:t>
            </w:r>
            <w:r w:rsidR="00BD0125" w:rsidRPr="00CD3D64">
              <w:rPr>
                <w:rFonts w:ascii="Book Antiqua" w:hAnsi="Book Antiqua"/>
                <w:color w:val="000000"/>
              </w:rPr>
              <w:t>increase</w:t>
            </w:r>
          </w:p>
        </w:tc>
        <w:tc>
          <w:tcPr>
            <w:tcW w:w="621" w:type="dxa"/>
            <w:shd w:val="clear" w:color="auto" w:fill="FFFFFF"/>
          </w:tcPr>
          <w:p w:rsidR="00805D2E" w:rsidRPr="00CD3D64" w:rsidRDefault="00805D2E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</w:t>
            </w:r>
            <w:r w:rsidR="00D40654" w:rsidRPr="00CD3D64">
              <w:rPr>
                <w:rFonts w:ascii="Book Antiqua" w:hAnsi="Book Antiqua"/>
                <w:color w:val="000000"/>
              </w:rPr>
              <w:t>644</w:t>
            </w:r>
          </w:p>
        </w:tc>
        <w:tc>
          <w:tcPr>
            <w:tcW w:w="1348" w:type="dxa"/>
            <w:shd w:val="clear" w:color="auto" w:fill="FFFFFF"/>
          </w:tcPr>
          <w:p w:rsidR="00805D2E" w:rsidRPr="00CD3D64" w:rsidRDefault="00D40654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0.831</w:t>
            </w:r>
          </w:p>
        </w:tc>
        <w:tc>
          <w:tcPr>
            <w:tcW w:w="1520" w:type="dxa"/>
            <w:shd w:val="clear" w:color="auto" w:fill="FFFFFF"/>
          </w:tcPr>
          <w:p w:rsidR="00805D2E" w:rsidRPr="00CD3D64" w:rsidRDefault="00D40654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0.380-1.821</w:t>
            </w:r>
          </w:p>
        </w:tc>
        <w:tc>
          <w:tcPr>
            <w:tcW w:w="680" w:type="dxa"/>
            <w:shd w:val="clear" w:color="auto" w:fill="FFFFFF"/>
          </w:tcPr>
          <w:p w:rsidR="00805D2E" w:rsidRPr="00CD3D64" w:rsidRDefault="00805D2E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</w:p>
        </w:tc>
        <w:tc>
          <w:tcPr>
            <w:tcW w:w="936" w:type="dxa"/>
            <w:shd w:val="clear" w:color="auto" w:fill="FFFFFF"/>
          </w:tcPr>
          <w:p w:rsidR="00805D2E" w:rsidRPr="00CD3D64" w:rsidRDefault="00805D2E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</w:p>
        </w:tc>
        <w:tc>
          <w:tcPr>
            <w:tcW w:w="1224" w:type="dxa"/>
            <w:shd w:val="clear" w:color="auto" w:fill="FFFFFF"/>
          </w:tcPr>
          <w:p w:rsidR="00805D2E" w:rsidRPr="00CD3D64" w:rsidRDefault="00805D2E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</w:p>
        </w:tc>
      </w:tr>
      <w:tr w:rsidR="0034019F" w:rsidRPr="00CD3D64" w:rsidTr="002878B6">
        <w:trPr>
          <w:trHeight w:val="339"/>
        </w:trPr>
        <w:tc>
          <w:tcPr>
            <w:tcW w:w="2818" w:type="dxa"/>
            <w:shd w:val="clear" w:color="auto" w:fill="FFFFFF"/>
          </w:tcPr>
          <w:p w:rsidR="0034019F" w:rsidRPr="00CD3D64" w:rsidRDefault="00291AA9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WBC</w:t>
            </w:r>
            <w:r w:rsidR="007171F0">
              <w:rPr>
                <w:rFonts w:ascii="Book Antiqua" w:hAnsi="Book Antiqua"/>
                <w:color w:val="000000"/>
              </w:rPr>
              <w:t xml:space="preserve"> in</w:t>
            </w:r>
            <w:r w:rsidRPr="00CD3D64">
              <w:rPr>
                <w:rFonts w:ascii="Book Antiqua" w:hAnsi="Book Antiqua"/>
                <w:color w:val="000000"/>
              </w:rPr>
              <w:t xml:space="preserve"> </w:t>
            </w:r>
            <w:r w:rsidR="0034019F" w:rsidRPr="00CD3D64">
              <w:rPr>
                <w:rFonts w:ascii="Book Antiqua" w:hAnsi="Book Antiqua"/>
                <w:color w:val="000000"/>
              </w:rPr>
              <w:t>mm</w:t>
            </w:r>
            <w:r w:rsidR="0034019F" w:rsidRPr="00CD3D64">
              <w:rPr>
                <w:rFonts w:ascii="Book Antiqua" w:hAnsi="Book Antiqua"/>
                <w:color w:val="000000"/>
                <w:vertAlign w:val="superscript"/>
              </w:rPr>
              <w:t>3</w:t>
            </w:r>
          </w:p>
        </w:tc>
        <w:tc>
          <w:tcPr>
            <w:tcW w:w="621" w:type="dxa"/>
            <w:shd w:val="clear" w:color="auto" w:fill="FFFFFF"/>
          </w:tcPr>
          <w:p w:rsidR="0034019F" w:rsidRPr="00CD3D64" w:rsidRDefault="006549DA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0.703</w:t>
            </w:r>
          </w:p>
        </w:tc>
        <w:tc>
          <w:tcPr>
            <w:tcW w:w="1348" w:type="dxa"/>
            <w:shd w:val="clear" w:color="auto" w:fill="FFFFFF"/>
          </w:tcPr>
          <w:p w:rsidR="0034019F" w:rsidRPr="00CD3D64" w:rsidRDefault="006549DA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1.009</w:t>
            </w:r>
          </w:p>
        </w:tc>
        <w:tc>
          <w:tcPr>
            <w:tcW w:w="1520" w:type="dxa"/>
            <w:shd w:val="clear" w:color="auto" w:fill="FFFFFF"/>
          </w:tcPr>
          <w:p w:rsidR="0034019F" w:rsidRPr="00CD3D64" w:rsidRDefault="006549DA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0.963-1.057</w:t>
            </w:r>
          </w:p>
        </w:tc>
        <w:tc>
          <w:tcPr>
            <w:tcW w:w="680" w:type="dxa"/>
            <w:shd w:val="clear" w:color="auto" w:fill="FFFFFF"/>
          </w:tcPr>
          <w:p w:rsidR="0034019F" w:rsidRPr="00CD3D64" w:rsidRDefault="0034019F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</w:p>
        </w:tc>
        <w:tc>
          <w:tcPr>
            <w:tcW w:w="936" w:type="dxa"/>
            <w:shd w:val="clear" w:color="auto" w:fill="FFFFFF"/>
          </w:tcPr>
          <w:p w:rsidR="0034019F" w:rsidRPr="00CD3D64" w:rsidRDefault="0034019F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</w:p>
        </w:tc>
        <w:tc>
          <w:tcPr>
            <w:tcW w:w="1224" w:type="dxa"/>
            <w:shd w:val="clear" w:color="auto" w:fill="FFFFFF"/>
          </w:tcPr>
          <w:p w:rsidR="0034019F" w:rsidRPr="00CD3D64" w:rsidRDefault="0034019F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</w:p>
        </w:tc>
      </w:tr>
      <w:tr w:rsidR="00C910DB" w:rsidRPr="00CD3D64" w:rsidTr="002878B6">
        <w:tc>
          <w:tcPr>
            <w:tcW w:w="2818" w:type="dxa"/>
            <w:shd w:val="clear" w:color="auto" w:fill="FFFFFF"/>
          </w:tcPr>
          <w:p w:rsidR="00805D2E" w:rsidRPr="00CD3D64" w:rsidRDefault="00805D2E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b/>
                <w:color w:val="000000"/>
              </w:rPr>
            </w:pPr>
            <w:proofErr w:type="spellStart"/>
            <w:r w:rsidRPr="00CD3D64">
              <w:rPr>
                <w:rFonts w:ascii="Book Antiqua" w:hAnsi="Book Antiqua"/>
                <w:color w:val="000000"/>
              </w:rPr>
              <w:t>H</w:t>
            </w:r>
            <w:r w:rsidR="006549DA" w:rsidRPr="00CD3D64">
              <w:rPr>
                <w:rFonts w:ascii="Book Antiqua" w:hAnsi="Book Antiqua"/>
                <w:color w:val="000000"/>
              </w:rPr>
              <w:t>b</w:t>
            </w:r>
            <w:proofErr w:type="spellEnd"/>
            <w:r w:rsidR="007171F0">
              <w:rPr>
                <w:rFonts w:ascii="Book Antiqua" w:hAnsi="Book Antiqua"/>
                <w:color w:val="000000"/>
              </w:rPr>
              <w:t xml:space="preserve">, </w:t>
            </w:r>
            <w:r w:rsidR="00C12E5F" w:rsidRPr="00CD3D64">
              <w:rPr>
                <w:rFonts w:ascii="Book Antiqua" w:hAnsi="Book Antiqua"/>
                <w:color w:val="000000"/>
              </w:rPr>
              <w:t>per</w:t>
            </w:r>
            <w:r w:rsidR="004E417F" w:rsidRPr="00CD3D64">
              <w:rPr>
                <w:rFonts w:ascii="Book Antiqua" w:hAnsi="Book Antiqua"/>
                <w:color w:val="000000"/>
              </w:rPr>
              <w:t xml:space="preserve"> 1</w:t>
            </w:r>
            <w:r w:rsidR="00C12E5F" w:rsidRPr="00CD3D64">
              <w:rPr>
                <w:rFonts w:ascii="Book Antiqua" w:hAnsi="Book Antiqua"/>
                <w:color w:val="000000"/>
              </w:rPr>
              <w:t>-</w:t>
            </w:r>
            <w:r w:rsidRPr="00CD3D64">
              <w:rPr>
                <w:rFonts w:ascii="Book Antiqua" w:hAnsi="Book Antiqua"/>
                <w:color w:val="000000"/>
              </w:rPr>
              <w:t>g/</w:t>
            </w:r>
            <w:proofErr w:type="spellStart"/>
            <w:r w:rsidRPr="00CD3D64">
              <w:rPr>
                <w:rFonts w:ascii="Book Antiqua" w:hAnsi="Book Antiqua"/>
                <w:color w:val="000000"/>
              </w:rPr>
              <w:t>dL</w:t>
            </w:r>
            <w:proofErr w:type="spellEnd"/>
            <w:r w:rsidR="004E417F" w:rsidRPr="00CD3D64">
              <w:rPr>
                <w:rFonts w:ascii="Book Antiqua" w:hAnsi="Book Antiqua"/>
                <w:color w:val="000000"/>
              </w:rPr>
              <w:t xml:space="preserve"> </w:t>
            </w:r>
            <w:r w:rsidR="00BD0125" w:rsidRPr="00CD3D64">
              <w:rPr>
                <w:rFonts w:ascii="Book Antiqua" w:hAnsi="Book Antiqua"/>
                <w:color w:val="000000"/>
              </w:rPr>
              <w:t>increase</w:t>
            </w:r>
          </w:p>
        </w:tc>
        <w:tc>
          <w:tcPr>
            <w:tcW w:w="621" w:type="dxa"/>
            <w:shd w:val="clear" w:color="auto" w:fill="FFFFFF"/>
          </w:tcPr>
          <w:p w:rsidR="00805D2E" w:rsidRPr="00CD3D64" w:rsidRDefault="00D40654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0.196</w:t>
            </w:r>
          </w:p>
        </w:tc>
        <w:tc>
          <w:tcPr>
            <w:tcW w:w="1348" w:type="dxa"/>
            <w:shd w:val="clear" w:color="auto" w:fill="FFFFFF"/>
          </w:tcPr>
          <w:p w:rsidR="00805D2E" w:rsidRPr="00CD3D64" w:rsidRDefault="00D40654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1.411</w:t>
            </w:r>
          </w:p>
        </w:tc>
        <w:tc>
          <w:tcPr>
            <w:tcW w:w="1520" w:type="dxa"/>
            <w:shd w:val="clear" w:color="auto" w:fill="FFFFFF"/>
          </w:tcPr>
          <w:p w:rsidR="00805D2E" w:rsidRPr="00CD3D64" w:rsidRDefault="00D40654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0.837-2.380</w:t>
            </w:r>
          </w:p>
        </w:tc>
        <w:tc>
          <w:tcPr>
            <w:tcW w:w="680" w:type="dxa"/>
            <w:shd w:val="clear" w:color="auto" w:fill="FFFFFF"/>
          </w:tcPr>
          <w:p w:rsidR="00805D2E" w:rsidRPr="00CD3D64" w:rsidRDefault="00805D2E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</w:p>
        </w:tc>
        <w:tc>
          <w:tcPr>
            <w:tcW w:w="936" w:type="dxa"/>
            <w:shd w:val="clear" w:color="auto" w:fill="FFFFFF"/>
          </w:tcPr>
          <w:p w:rsidR="00805D2E" w:rsidRPr="00CD3D64" w:rsidRDefault="00805D2E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</w:p>
        </w:tc>
        <w:tc>
          <w:tcPr>
            <w:tcW w:w="1224" w:type="dxa"/>
            <w:shd w:val="clear" w:color="auto" w:fill="FFFFFF"/>
          </w:tcPr>
          <w:p w:rsidR="00805D2E" w:rsidRPr="00CD3D64" w:rsidRDefault="00805D2E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</w:p>
        </w:tc>
      </w:tr>
      <w:tr w:rsidR="00C910DB" w:rsidRPr="00CD3D64" w:rsidTr="002878B6">
        <w:tc>
          <w:tcPr>
            <w:tcW w:w="2818" w:type="dxa"/>
            <w:shd w:val="clear" w:color="auto" w:fill="FFFFFF"/>
          </w:tcPr>
          <w:p w:rsidR="00805D2E" w:rsidRPr="00CD3D64" w:rsidRDefault="00805D2E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b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Platelets</w:t>
            </w:r>
            <w:r w:rsidR="007171F0">
              <w:rPr>
                <w:rFonts w:ascii="Book Antiqua" w:hAnsi="Book Antiqua"/>
                <w:color w:val="000000"/>
              </w:rPr>
              <w:t xml:space="preserve">, </w:t>
            </w:r>
            <w:r w:rsidR="00C12E5F" w:rsidRPr="00CD3D64">
              <w:rPr>
                <w:rFonts w:ascii="Book Antiqua" w:hAnsi="Book Antiqua"/>
                <w:color w:val="000000"/>
              </w:rPr>
              <w:t xml:space="preserve">per </w:t>
            </w:r>
            <w:r w:rsidR="004E417F" w:rsidRPr="00CD3D64">
              <w:rPr>
                <w:rFonts w:ascii="Book Antiqua" w:hAnsi="Book Antiqua"/>
                <w:color w:val="000000"/>
              </w:rPr>
              <w:t>1</w:t>
            </w:r>
            <w:r w:rsidR="00C12E5F" w:rsidRPr="00CD3D64">
              <w:rPr>
                <w:rFonts w:ascii="Book Antiqua" w:hAnsi="Book Antiqua"/>
                <w:color w:val="000000"/>
              </w:rPr>
              <w:t xml:space="preserve"> </w:t>
            </w:r>
            <w:r w:rsidRPr="00CD3D64">
              <w:rPr>
                <w:rFonts w:ascii="Book Antiqua" w:hAnsi="Book Antiqua"/>
                <w:color w:val="000000"/>
              </w:rPr>
              <w:sym w:font="Symbol" w:char="F0B4"/>
            </w:r>
            <w:r w:rsidR="00812A7A" w:rsidRPr="00CD3D64">
              <w:rPr>
                <w:rFonts w:ascii="Book Antiqua" w:hAnsi="Book Antiqua"/>
                <w:color w:val="000000"/>
              </w:rPr>
              <w:t xml:space="preserve"> </w:t>
            </w:r>
            <w:r w:rsidRPr="00CD3D64">
              <w:rPr>
                <w:rFonts w:ascii="Book Antiqua" w:hAnsi="Book Antiqua"/>
                <w:color w:val="000000"/>
              </w:rPr>
              <w:t>10</w:t>
            </w:r>
            <w:r w:rsidRPr="00CD3D64">
              <w:rPr>
                <w:rFonts w:ascii="Book Antiqua" w:hAnsi="Book Antiqua"/>
                <w:color w:val="000000"/>
                <w:vertAlign w:val="superscript"/>
              </w:rPr>
              <w:t>4</w:t>
            </w:r>
            <w:r w:rsidRPr="00CD3D64">
              <w:rPr>
                <w:rFonts w:ascii="Book Antiqua" w:hAnsi="Book Antiqua"/>
                <w:color w:val="000000"/>
              </w:rPr>
              <w:t>/mm</w:t>
            </w:r>
            <w:r w:rsidRPr="00CD3D64">
              <w:rPr>
                <w:rFonts w:ascii="Book Antiqua" w:hAnsi="Book Antiqua"/>
                <w:color w:val="000000"/>
                <w:vertAlign w:val="superscript"/>
              </w:rPr>
              <w:t>3</w:t>
            </w:r>
            <w:r w:rsidR="004E417F" w:rsidRPr="00CD3D64">
              <w:rPr>
                <w:rFonts w:ascii="Book Antiqua" w:hAnsi="Book Antiqua"/>
                <w:color w:val="000000"/>
              </w:rPr>
              <w:t xml:space="preserve"> </w:t>
            </w:r>
            <w:r w:rsidR="00BD0125" w:rsidRPr="00CD3D64">
              <w:rPr>
                <w:rFonts w:ascii="Book Antiqua" w:hAnsi="Book Antiqua"/>
                <w:color w:val="000000"/>
              </w:rPr>
              <w:t>increase</w:t>
            </w:r>
          </w:p>
        </w:tc>
        <w:tc>
          <w:tcPr>
            <w:tcW w:w="621" w:type="dxa"/>
            <w:shd w:val="clear" w:color="auto" w:fill="FFFFFF"/>
          </w:tcPr>
          <w:p w:rsidR="00805D2E" w:rsidRPr="00CD3D64" w:rsidRDefault="00D40654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0.790</w:t>
            </w:r>
          </w:p>
        </w:tc>
        <w:tc>
          <w:tcPr>
            <w:tcW w:w="1348" w:type="dxa"/>
            <w:shd w:val="clear" w:color="auto" w:fill="FFFFFF"/>
          </w:tcPr>
          <w:p w:rsidR="00805D2E" w:rsidRPr="00CD3D64" w:rsidRDefault="00D40654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0.984</w:t>
            </w:r>
          </w:p>
        </w:tc>
        <w:tc>
          <w:tcPr>
            <w:tcW w:w="1520" w:type="dxa"/>
            <w:shd w:val="clear" w:color="auto" w:fill="FFFFFF"/>
          </w:tcPr>
          <w:p w:rsidR="00805D2E" w:rsidRPr="00CD3D64" w:rsidRDefault="00D40654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0.873-1.109</w:t>
            </w:r>
          </w:p>
        </w:tc>
        <w:tc>
          <w:tcPr>
            <w:tcW w:w="680" w:type="dxa"/>
            <w:shd w:val="clear" w:color="auto" w:fill="FFFFFF"/>
          </w:tcPr>
          <w:p w:rsidR="00805D2E" w:rsidRPr="00CD3D64" w:rsidRDefault="00805D2E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</w:p>
        </w:tc>
        <w:tc>
          <w:tcPr>
            <w:tcW w:w="936" w:type="dxa"/>
            <w:shd w:val="clear" w:color="auto" w:fill="FFFFFF"/>
          </w:tcPr>
          <w:p w:rsidR="00805D2E" w:rsidRPr="00CD3D64" w:rsidRDefault="00805D2E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</w:p>
        </w:tc>
        <w:tc>
          <w:tcPr>
            <w:tcW w:w="1224" w:type="dxa"/>
            <w:shd w:val="clear" w:color="auto" w:fill="FFFFFF"/>
          </w:tcPr>
          <w:p w:rsidR="00805D2E" w:rsidRPr="00CD3D64" w:rsidRDefault="00805D2E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</w:p>
        </w:tc>
      </w:tr>
      <w:tr w:rsidR="0034019F" w:rsidRPr="00CD3D64" w:rsidTr="002878B6">
        <w:tc>
          <w:tcPr>
            <w:tcW w:w="2818" w:type="dxa"/>
            <w:shd w:val="clear" w:color="auto" w:fill="FFFFFF"/>
          </w:tcPr>
          <w:p w:rsidR="0034019F" w:rsidRPr="00CD3D64" w:rsidRDefault="0034019F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AST</w:t>
            </w:r>
            <w:r w:rsidR="007171F0">
              <w:rPr>
                <w:rFonts w:ascii="Book Antiqua" w:hAnsi="Book Antiqua"/>
                <w:color w:val="000000"/>
              </w:rPr>
              <w:t>,</w:t>
            </w:r>
            <w:r w:rsidRPr="00CD3D64">
              <w:rPr>
                <w:rFonts w:ascii="Book Antiqua" w:hAnsi="Book Antiqua"/>
                <w:color w:val="000000"/>
              </w:rPr>
              <w:t xml:space="preserve"> </w:t>
            </w:r>
            <w:r w:rsidR="00C12E5F" w:rsidRPr="00CD3D64">
              <w:rPr>
                <w:rFonts w:ascii="Book Antiqua" w:hAnsi="Book Antiqua"/>
                <w:color w:val="000000"/>
              </w:rPr>
              <w:t xml:space="preserve">per </w:t>
            </w:r>
            <w:r w:rsidRPr="00CD3D64">
              <w:rPr>
                <w:rFonts w:ascii="Book Antiqua" w:hAnsi="Book Antiqua"/>
                <w:color w:val="000000"/>
              </w:rPr>
              <w:t>1</w:t>
            </w:r>
            <w:r w:rsidR="00C12E5F" w:rsidRPr="00CD3D64">
              <w:rPr>
                <w:rFonts w:ascii="Book Antiqua" w:hAnsi="Book Antiqua"/>
                <w:color w:val="000000"/>
              </w:rPr>
              <w:t>-</w:t>
            </w:r>
            <w:r w:rsidRPr="00CD3D64">
              <w:rPr>
                <w:rFonts w:ascii="Book Antiqua" w:hAnsi="Book Antiqua"/>
                <w:color w:val="000000"/>
              </w:rPr>
              <w:t xml:space="preserve">IU/L </w:t>
            </w:r>
            <w:r w:rsidR="00BD0125" w:rsidRPr="00CD3D64">
              <w:rPr>
                <w:rFonts w:ascii="Book Antiqua" w:hAnsi="Book Antiqua"/>
                <w:color w:val="000000"/>
              </w:rPr>
              <w:t>increase</w:t>
            </w:r>
          </w:p>
        </w:tc>
        <w:tc>
          <w:tcPr>
            <w:tcW w:w="621" w:type="dxa"/>
            <w:shd w:val="clear" w:color="auto" w:fill="FFFFFF"/>
          </w:tcPr>
          <w:p w:rsidR="0034019F" w:rsidRPr="00CD3D64" w:rsidRDefault="006549DA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0.552</w:t>
            </w:r>
          </w:p>
        </w:tc>
        <w:tc>
          <w:tcPr>
            <w:tcW w:w="1348" w:type="dxa"/>
            <w:shd w:val="clear" w:color="auto" w:fill="FFFFFF"/>
          </w:tcPr>
          <w:p w:rsidR="0034019F" w:rsidRPr="00CD3D64" w:rsidRDefault="006549DA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1.007</w:t>
            </w:r>
          </w:p>
        </w:tc>
        <w:tc>
          <w:tcPr>
            <w:tcW w:w="1520" w:type="dxa"/>
            <w:shd w:val="clear" w:color="auto" w:fill="FFFFFF"/>
          </w:tcPr>
          <w:p w:rsidR="0034019F" w:rsidRPr="00CD3D64" w:rsidRDefault="006549DA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0.983-1.033</w:t>
            </w:r>
          </w:p>
        </w:tc>
        <w:tc>
          <w:tcPr>
            <w:tcW w:w="680" w:type="dxa"/>
            <w:shd w:val="clear" w:color="auto" w:fill="FFFFFF"/>
          </w:tcPr>
          <w:p w:rsidR="0034019F" w:rsidRPr="00CD3D64" w:rsidRDefault="0034019F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</w:p>
        </w:tc>
        <w:tc>
          <w:tcPr>
            <w:tcW w:w="936" w:type="dxa"/>
            <w:shd w:val="clear" w:color="auto" w:fill="FFFFFF"/>
          </w:tcPr>
          <w:p w:rsidR="0034019F" w:rsidRPr="00CD3D64" w:rsidRDefault="0034019F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</w:p>
        </w:tc>
        <w:tc>
          <w:tcPr>
            <w:tcW w:w="1224" w:type="dxa"/>
            <w:shd w:val="clear" w:color="auto" w:fill="FFFFFF"/>
          </w:tcPr>
          <w:p w:rsidR="0034019F" w:rsidRPr="00CD3D64" w:rsidRDefault="0034019F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</w:p>
        </w:tc>
      </w:tr>
      <w:tr w:rsidR="00C910DB" w:rsidRPr="00CD3D64" w:rsidTr="002878B6">
        <w:tc>
          <w:tcPr>
            <w:tcW w:w="2818" w:type="dxa"/>
            <w:tcBorders>
              <w:bottom w:val="nil"/>
            </w:tcBorders>
            <w:shd w:val="clear" w:color="auto" w:fill="FFFFFF"/>
          </w:tcPr>
          <w:p w:rsidR="00805D2E" w:rsidRPr="00CD3D64" w:rsidRDefault="00805D2E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b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lastRenderedPageBreak/>
              <w:t>ALT</w:t>
            </w:r>
            <w:r w:rsidR="007171F0">
              <w:rPr>
                <w:rFonts w:ascii="Book Antiqua" w:hAnsi="Book Antiqua"/>
                <w:color w:val="000000"/>
              </w:rPr>
              <w:t>,</w:t>
            </w:r>
            <w:r w:rsidRPr="00CD3D64">
              <w:rPr>
                <w:rFonts w:ascii="Book Antiqua" w:hAnsi="Book Antiqua"/>
                <w:color w:val="000000"/>
              </w:rPr>
              <w:t xml:space="preserve"> </w:t>
            </w:r>
            <w:r w:rsidR="00C12E5F" w:rsidRPr="00CD3D64">
              <w:rPr>
                <w:rFonts w:ascii="Book Antiqua" w:hAnsi="Book Antiqua"/>
                <w:color w:val="000000"/>
              </w:rPr>
              <w:t xml:space="preserve">per </w:t>
            </w:r>
            <w:r w:rsidR="004E417F" w:rsidRPr="00CD3D64">
              <w:rPr>
                <w:rFonts w:ascii="Book Antiqua" w:hAnsi="Book Antiqua"/>
                <w:color w:val="000000"/>
              </w:rPr>
              <w:t>1</w:t>
            </w:r>
            <w:r w:rsidR="00C12E5F" w:rsidRPr="00CD3D64">
              <w:rPr>
                <w:rFonts w:ascii="Book Antiqua" w:hAnsi="Book Antiqua"/>
                <w:color w:val="000000"/>
              </w:rPr>
              <w:t>-</w:t>
            </w:r>
            <w:r w:rsidRPr="00CD3D64">
              <w:rPr>
                <w:rFonts w:ascii="Book Antiqua" w:hAnsi="Book Antiqua"/>
                <w:color w:val="000000"/>
              </w:rPr>
              <w:t>IU/L</w:t>
            </w:r>
            <w:r w:rsidR="004E417F" w:rsidRPr="00CD3D64">
              <w:rPr>
                <w:rFonts w:ascii="Book Antiqua" w:hAnsi="Book Antiqua"/>
                <w:color w:val="000000"/>
              </w:rPr>
              <w:t xml:space="preserve"> </w:t>
            </w:r>
            <w:r w:rsidR="00BD0125" w:rsidRPr="00CD3D64">
              <w:rPr>
                <w:rFonts w:ascii="Book Antiqua" w:hAnsi="Book Antiqua"/>
                <w:color w:val="000000"/>
              </w:rPr>
              <w:t>increase</w:t>
            </w:r>
          </w:p>
        </w:tc>
        <w:tc>
          <w:tcPr>
            <w:tcW w:w="621" w:type="dxa"/>
            <w:tcBorders>
              <w:bottom w:val="nil"/>
            </w:tcBorders>
            <w:shd w:val="clear" w:color="auto" w:fill="FFFFFF"/>
          </w:tcPr>
          <w:p w:rsidR="00805D2E" w:rsidRPr="00CD3D64" w:rsidRDefault="00D40654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0.608</w:t>
            </w:r>
          </w:p>
        </w:tc>
        <w:tc>
          <w:tcPr>
            <w:tcW w:w="1348" w:type="dxa"/>
            <w:tcBorders>
              <w:bottom w:val="nil"/>
            </w:tcBorders>
            <w:shd w:val="clear" w:color="auto" w:fill="FFFFFF"/>
          </w:tcPr>
          <w:p w:rsidR="00805D2E" w:rsidRPr="00CD3D64" w:rsidRDefault="00D40654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1.005</w:t>
            </w:r>
          </w:p>
        </w:tc>
        <w:tc>
          <w:tcPr>
            <w:tcW w:w="1520" w:type="dxa"/>
            <w:tcBorders>
              <w:bottom w:val="nil"/>
            </w:tcBorders>
            <w:shd w:val="clear" w:color="auto" w:fill="FFFFFF"/>
          </w:tcPr>
          <w:p w:rsidR="00805D2E" w:rsidRPr="00CD3D64" w:rsidRDefault="00D40654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0.987-1.023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FFFFFF"/>
          </w:tcPr>
          <w:p w:rsidR="00805D2E" w:rsidRPr="00CD3D64" w:rsidRDefault="00805D2E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</w:p>
        </w:tc>
        <w:tc>
          <w:tcPr>
            <w:tcW w:w="936" w:type="dxa"/>
            <w:tcBorders>
              <w:bottom w:val="nil"/>
            </w:tcBorders>
            <w:shd w:val="clear" w:color="auto" w:fill="FFFFFF"/>
          </w:tcPr>
          <w:p w:rsidR="00805D2E" w:rsidRPr="00CD3D64" w:rsidRDefault="00805D2E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</w:p>
        </w:tc>
        <w:tc>
          <w:tcPr>
            <w:tcW w:w="1224" w:type="dxa"/>
            <w:tcBorders>
              <w:bottom w:val="nil"/>
            </w:tcBorders>
            <w:shd w:val="clear" w:color="auto" w:fill="FFFFFF"/>
          </w:tcPr>
          <w:p w:rsidR="00805D2E" w:rsidRPr="00CD3D64" w:rsidRDefault="00805D2E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</w:p>
        </w:tc>
      </w:tr>
      <w:tr w:rsidR="0034019F" w:rsidRPr="00CD3D64" w:rsidTr="002878B6">
        <w:tc>
          <w:tcPr>
            <w:tcW w:w="2818" w:type="dxa"/>
            <w:tcBorders>
              <w:bottom w:val="nil"/>
            </w:tcBorders>
            <w:shd w:val="clear" w:color="auto" w:fill="FFFFFF"/>
          </w:tcPr>
          <w:p w:rsidR="0034019F" w:rsidRPr="00CD3D64" w:rsidRDefault="0034019F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γ-GT</w:t>
            </w:r>
            <w:r w:rsidR="007171F0">
              <w:rPr>
                <w:rFonts w:ascii="Book Antiqua" w:hAnsi="Book Antiqua"/>
                <w:color w:val="000000"/>
              </w:rPr>
              <w:t>,</w:t>
            </w:r>
            <w:r w:rsidR="00C12E5F" w:rsidRPr="00CD3D64">
              <w:rPr>
                <w:rFonts w:ascii="Book Antiqua" w:hAnsi="Book Antiqua"/>
                <w:color w:val="000000"/>
              </w:rPr>
              <w:t xml:space="preserve"> </w:t>
            </w:r>
            <w:r w:rsidR="002C7F60" w:rsidRPr="00CD3D64">
              <w:rPr>
                <w:rFonts w:ascii="Book Antiqua" w:hAnsi="Book Antiqua"/>
                <w:color w:val="000000"/>
              </w:rPr>
              <w:t xml:space="preserve">per 1-IU/L </w:t>
            </w:r>
            <w:r w:rsidR="00BD0125" w:rsidRPr="00CD3D64">
              <w:rPr>
                <w:rFonts w:ascii="Book Antiqua" w:hAnsi="Book Antiqua"/>
                <w:color w:val="000000"/>
              </w:rPr>
              <w:t>increase</w:t>
            </w:r>
          </w:p>
        </w:tc>
        <w:tc>
          <w:tcPr>
            <w:tcW w:w="621" w:type="dxa"/>
            <w:tcBorders>
              <w:bottom w:val="nil"/>
            </w:tcBorders>
            <w:shd w:val="clear" w:color="auto" w:fill="FFFFFF"/>
          </w:tcPr>
          <w:p w:rsidR="0034019F" w:rsidRPr="00CD3D64" w:rsidRDefault="006549DA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0.490</w:t>
            </w:r>
          </w:p>
        </w:tc>
        <w:tc>
          <w:tcPr>
            <w:tcW w:w="1348" w:type="dxa"/>
            <w:tcBorders>
              <w:bottom w:val="nil"/>
            </w:tcBorders>
            <w:shd w:val="clear" w:color="auto" w:fill="FFFFFF"/>
          </w:tcPr>
          <w:p w:rsidR="0034019F" w:rsidRPr="00CD3D64" w:rsidRDefault="006549DA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1.007</w:t>
            </w:r>
          </w:p>
        </w:tc>
        <w:tc>
          <w:tcPr>
            <w:tcW w:w="1520" w:type="dxa"/>
            <w:tcBorders>
              <w:bottom w:val="nil"/>
            </w:tcBorders>
            <w:shd w:val="clear" w:color="auto" w:fill="FFFFFF"/>
          </w:tcPr>
          <w:p w:rsidR="0034019F" w:rsidRPr="00CD3D64" w:rsidRDefault="006549DA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0.987-1.027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FFFFFF"/>
          </w:tcPr>
          <w:p w:rsidR="0034019F" w:rsidRPr="00CD3D64" w:rsidRDefault="0034019F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</w:p>
        </w:tc>
        <w:tc>
          <w:tcPr>
            <w:tcW w:w="936" w:type="dxa"/>
            <w:tcBorders>
              <w:bottom w:val="nil"/>
            </w:tcBorders>
            <w:shd w:val="clear" w:color="auto" w:fill="FFFFFF"/>
          </w:tcPr>
          <w:p w:rsidR="0034019F" w:rsidRPr="00CD3D64" w:rsidRDefault="0034019F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</w:p>
        </w:tc>
        <w:tc>
          <w:tcPr>
            <w:tcW w:w="1224" w:type="dxa"/>
            <w:tcBorders>
              <w:bottom w:val="nil"/>
            </w:tcBorders>
            <w:shd w:val="clear" w:color="auto" w:fill="FFFFFF"/>
          </w:tcPr>
          <w:p w:rsidR="0034019F" w:rsidRPr="00CD3D64" w:rsidRDefault="0034019F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</w:p>
        </w:tc>
      </w:tr>
      <w:tr w:rsidR="00C910DB" w:rsidRPr="00CD3D64" w:rsidTr="0034019F">
        <w:tc>
          <w:tcPr>
            <w:tcW w:w="2818" w:type="dxa"/>
            <w:tcBorders>
              <w:top w:val="nil"/>
              <w:bottom w:val="nil"/>
            </w:tcBorders>
            <w:shd w:val="clear" w:color="auto" w:fill="FFFFFF"/>
          </w:tcPr>
          <w:p w:rsidR="00805D2E" w:rsidRPr="00CD3D64" w:rsidRDefault="00805D2E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b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AFP</w:t>
            </w:r>
            <w:r w:rsidR="007171F0">
              <w:rPr>
                <w:rFonts w:ascii="Book Antiqua" w:hAnsi="Book Antiqua"/>
                <w:color w:val="000000"/>
              </w:rPr>
              <w:t>,</w:t>
            </w:r>
            <w:r w:rsidRPr="00CD3D64">
              <w:rPr>
                <w:rFonts w:ascii="Book Antiqua" w:hAnsi="Book Antiqua"/>
                <w:color w:val="000000"/>
              </w:rPr>
              <w:t xml:space="preserve"> </w:t>
            </w:r>
            <w:r w:rsidR="00C12E5F" w:rsidRPr="00CD3D64">
              <w:rPr>
                <w:rFonts w:ascii="Book Antiqua" w:hAnsi="Book Antiqua"/>
                <w:color w:val="000000"/>
              </w:rPr>
              <w:t xml:space="preserve">per </w:t>
            </w:r>
            <w:r w:rsidR="004E417F" w:rsidRPr="00CD3D64">
              <w:rPr>
                <w:rFonts w:ascii="Book Antiqua" w:hAnsi="Book Antiqua"/>
                <w:color w:val="000000"/>
              </w:rPr>
              <w:t>1</w:t>
            </w:r>
            <w:r w:rsidR="00C12E5F" w:rsidRPr="00CD3D64">
              <w:rPr>
                <w:rFonts w:ascii="Book Antiqua" w:hAnsi="Book Antiqua"/>
                <w:color w:val="000000"/>
              </w:rPr>
              <w:t>-</w:t>
            </w:r>
            <w:r w:rsidRPr="00CD3D64">
              <w:rPr>
                <w:rFonts w:ascii="Book Antiqua" w:hAnsi="Book Antiqua"/>
                <w:color w:val="000000"/>
              </w:rPr>
              <w:t>ng/mL</w:t>
            </w:r>
            <w:r w:rsidR="004E417F" w:rsidRPr="00CD3D64">
              <w:rPr>
                <w:rFonts w:ascii="Book Antiqua" w:hAnsi="Book Antiqua"/>
                <w:color w:val="000000"/>
              </w:rPr>
              <w:t xml:space="preserve"> </w:t>
            </w:r>
            <w:r w:rsidR="00BD0125" w:rsidRPr="00CD3D64">
              <w:rPr>
                <w:rFonts w:ascii="Book Antiqua" w:hAnsi="Book Antiqua"/>
                <w:color w:val="000000"/>
              </w:rPr>
              <w:t>increase</w:t>
            </w:r>
          </w:p>
        </w:tc>
        <w:tc>
          <w:tcPr>
            <w:tcW w:w="621" w:type="dxa"/>
            <w:tcBorders>
              <w:top w:val="nil"/>
              <w:bottom w:val="nil"/>
            </w:tcBorders>
            <w:shd w:val="clear" w:color="auto" w:fill="FFFFFF"/>
          </w:tcPr>
          <w:p w:rsidR="00805D2E" w:rsidRPr="00CD3D64" w:rsidRDefault="00805D2E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0.0</w:t>
            </w:r>
            <w:r w:rsidR="00D40654" w:rsidRPr="00CD3D64">
              <w:rPr>
                <w:rFonts w:ascii="Book Antiqua" w:hAnsi="Book Antiqua"/>
                <w:color w:val="000000"/>
              </w:rPr>
              <w:t>04</w:t>
            </w:r>
          </w:p>
        </w:tc>
        <w:tc>
          <w:tcPr>
            <w:tcW w:w="1348" w:type="dxa"/>
            <w:tcBorders>
              <w:top w:val="nil"/>
              <w:bottom w:val="nil"/>
            </w:tcBorders>
            <w:shd w:val="clear" w:color="auto" w:fill="FFFFFF"/>
          </w:tcPr>
          <w:p w:rsidR="00805D2E" w:rsidRPr="00CD3D64" w:rsidRDefault="00D40654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0.955</w:t>
            </w:r>
          </w:p>
        </w:tc>
        <w:tc>
          <w:tcPr>
            <w:tcW w:w="1520" w:type="dxa"/>
            <w:tcBorders>
              <w:top w:val="nil"/>
              <w:bottom w:val="nil"/>
            </w:tcBorders>
            <w:shd w:val="clear" w:color="auto" w:fill="FFFFFF"/>
          </w:tcPr>
          <w:p w:rsidR="00805D2E" w:rsidRPr="00CD3D64" w:rsidRDefault="00D40654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0.926-0.985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</w:tcPr>
          <w:p w:rsidR="00805D2E" w:rsidRPr="00CD3D64" w:rsidRDefault="002878B6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0.015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FFFFFF"/>
          </w:tcPr>
          <w:p w:rsidR="00805D2E" w:rsidRPr="00CD3D64" w:rsidRDefault="002878B6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0.959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FFFFFF"/>
          </w:tcPr>
          <w:p w:rsidR="00805D2E" w:rsidRPr="00CD3D64" w:rsidRDefault="002878B6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0.926-0.992</w:t>
            </w:r>
          </w:p>
        </w:tc>
      </w:tr>
      <w:tr w:rsidR="0034019F" w:rsidRPr="00CD3D64" w:rsidTr="002878B6">
        <w:tc>
          <w:tcPr>
            <w:tcW w:w="2818" w:type="dxa"/>
            <w:tcBorders>
              <w:top w:val="nil"/>
              <w:bottom w:val="single" w:sz="12" w:space="0" w:color="auto"/>
            </w:tcBorders>
            <w:shd w:val="clear" w:color="auto" w:fill="FFFFFF"/>
          </w:tcPr>
          <w:p w:rsidR="0034019F" w:rsidRPr="00CD3D64" w:rsidRDefault="0034019F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proofErr w:type="spellStart"/>
            <w:r w:rsidRPr="00CD3D64">
              <w:rPr>
                <w:rFonts w:ascii="Book Antiqua" w:hAnsi="Book Antiqua"/>
                <w:color w:val="000000"/>
              </w:rPr>
              <w:t>eGFR</w:t>
            </w:r>
            <w:proofErr w:type="spellEnd"/>
            <w:r w:rsidR="007171F0">
              <w:rPr>
                <w:rFonts w:ascii="Book Antiqua" w:hAnsi="Book Antiqua"/>
                <w:color w:val="000000"/>
              </w:rPr>
              <w:t>,</w:t>
            </w:r>
            <w:r w:rsidR="006549DA" w:rsidRPr="00CD3D64">
              <w:rPr>
                <w:rFonts w:ascii="Book Antiqua" w:hAnsi="Book Antiqua"/>
                <w:color w:val="000000"/>
              </w:rPr>
              <w:t xml:space="preserve"> </w:t>
            </w:r>
            <w:r w:rsidR="00C12E5F" w:rsidRPr="00CD3D64">
              <w:rPr>
                <w:rFonts w:ascii="Book Antiqua" w:hAnsi="Book Antiqua"/>
                <w:color w:val="000000"/>
              </w:rPr>
              <w:t xml:space="preserve">per </w:t>
            </w:r>
            <w:r w:rsidR="006549DA" w:rsidRPr="00CD3D64">
              <w:rPr>
                <w:rFonts w:ascii="Book Antiqua" w:hAnsi="Book Antiqua"/>
                <w:color w:val="000000"/>
              </w:rPr>
              <w:t>1</w:t>
            </w:r>
            <w:r w:rsidR="00C12E5F" w:rsidRPr="00CD3D64">
              <w:rPr>
                <w:rFonts w:ascii="Book Antiqua" w:hAnsi="Book Antiqua"/>
                <w:color w:val="000000"/>
              </w:rPr>
              <w:t>-mL/min/1.73 m</w:t>
            </w:r>
            <w:r w:rsidR="00C12E5F" w:rsidRPr="00CD3D64">
              <w:rPr>
                <w:rFonts w:ascii="Book Antiqua" w:hAnsi="Book Antiqua"/>
                <w:color w:val="000000"/>
                <w:vertAlign w:val="superscript"/>
              </w:rPr>
              <w:t>2</w:t>
            </w:r>
            <w:r w:rsidR="006549DA" w:rsidRPr="00CD3D64">
              <w:rPr>
                <w:rFonts w:ascii="Book Antiqua" w:hAnsi="Book Antiqua"/>
                <w:color w:val="000000"/>
              </w:rPr>
              <w:t xml:space="preserve"> </w:t>
            </w:r>
            <w:r w:rsidR="00BD0125" w:rsidRPr="00CD3D64">
              <w:rPr>
                <w:rFonts w:ascii="Book Antiqua" w:hAnsi="Book Antiqua"/>
                <w:color w:val="000000"/>
              </w:rPr>
              <w:t>increase</w:t>
            </w:r>
          </w:p>
        </w:tc>
        <w:tc>
          <w:tcPr>
            <w:tcW w:w="621" w:type="dxa"/>
            <w:tcBorders>
              <w:top w:val="nil"/>
              <w:bottom w:val="single" w:sz="12" w:space="0" w:color="auto"/>
            </w:tcBorders>
            <w:shd w:val="clear" w:color="auto" w:fill="FFFFFF"/>
          </w:tcPr>
          <w:p w:rsidR="0034019F" w:rsidRPr="00CD3D64" w:rsidRDefault="006549DA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0.124</w:t>
            </w:r>
          </w:p>
        </w:tc>
        <w:tc>
          <w:tcPr>
            <w:tcW w:w="1348" w:type="dxa"/>
            <w:tcBorders>
              <w:top w:val="nil"/>
              <w:bottom w:val="single" w:sz="12" w:space="0" w:color="auto"/>
            </w:tcBorders>
            <w:shd w:val="clear" w:color="auto" w:fill="FFFFFF"/>
          </w:tcPr>
          <w:p w:rsidR="0034019F" w:rsidRPr="00CD3D64" w:rsidRDefault="006549DA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1.036</w:t>
            </w:r>
          </w:p>
        </w:tc>
        <w:tc>
          <w:tcPr>
            <w:tcW w:w="1520" w:type="dxa"/>
            <w:tcBorders>
              <w:top w:val="nil"/>
              <w:bottom w:val="single" w:sz="12" w:space="0" w:color="auto"/>
            </w:tcBorders>
            <w:shd w:val="clear" w:color="auto" w:fill="FFFFFF"/>
          </w:tcPr>
          <w:p w:rsidR="0034019F" w:rsidRPr="00CD3D64" w:rsidRDefault="006549DA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  <w:r w:rsidRPr="00CD3D64">
              <w:rPr>
                <w:rFonts w:ascii="Book Antiqua" w:hAnsi="Book Antiqua"/>
                <w:color w:val="000000"/>
              </w:rPr>
              <w:t>0.990-1.083</w:t>
            </w: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  <w:shd w:val="clear" w:color="auto" w:fill="FFFFFF"/>
          </w:tcPr>
          <w:p w:rsidR="0034019F" w:rsidRPr="00CD3D64" w:rsidRDefault="0034019F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</w:p>
        </w:tc>
        <w:tc>
          <w:tcPr>
            <w:tcW w:w="936" w:type="dxa"/>
            <w:tcBorders>
              <w:top w:val="nil"/>
              <w:bottom w:val="single" w:sz="12" w:space="0" w:color="auto"/>
            </w:tcBorders>
            <w:shd w:val="clear" w:color="auto" w:fill="FFFFFF"/>
          </w:tcPr>
          <w:p w:rsidR="0034019F" w:rsidRPr="00CD3D64" w:rsidRDefault="0034019F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bottom w:val="single" w:sz="12" w:space="0" w:color="auto"/>
            </w:tcBorders>
            <w:shd w:val="clear" w:color="auto" w:fill="FFFFFF"/>
          </w:tcPr>
          <w:p w:rsidR="0034019F" w:rsidRPr="00CD3D64" w:rsidRDefault="0034019F" w:rsidP="00CD3D64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360" w:lineRule="auto"/>
              <w:jc w:val="left"/>
              <w:rPr>
                <w:rFonts w:ascii="Book Antiqua" w:hAnsi="Book Antiqua"/>
                <w:color w:val="000000"/>
              </w:rPr>
            </w:pPr>
          </w:p>
        </w:tc>
      </w:tr>
    </w:tbl>
    <w:p w:rsidR="006549DA" w:rsidRPr="00CD3D64" w:rsidRDefault="007171F0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proofErr w:type="gramStart"/>
      <w:r w:rsidRPr="00CD3D64">
        <w:rPr>
          <w:rFonts w:ascii="Book Antiqua" w:hAnsi="Book Antiqua"/>
          <w:color w:val="000000"/>
        </w:rPr>
        <w:t>γ-GT</w:t>
      </w:r>
      <w:proofErr w:type="gramEnd"/>
      <w:r w:rsidRPr="00CD3D64">
        <w:rPr>
          <w:rFonts w:ascii="Book Antiqua" w:hAnsi="Book Antiqua"/>
          <w:color w:val="000000"/>
        </w:rPr>
        <w:t>: γ-</w:t>
      </w:r>
      <w:proofErr w:type="spellStart"/>
      <w:r w:rsidRPr="00CD3D64">
        <w:rPr>
          <w:rFonts w:ascii="Book Antiqua" w:hAnsi="Book Antiqua"/>
          <w:color w:val="000000"/>
        </w:rPr>
        <w:t>glutamyl</w:t>
      </w:r>
      <w:proofErr w:type="spellEnd"/>
      <w:r w:rsidRPr="00CD3D64">
        <w:rPr>
          <w:rFonts w:ascii="Book Antiqua" w:hAnsi="Book Antiqua"/>
          <w:color w:val="000000"/>
        </w:rPr>
        <w:t xml:space="preserve"> </w:t>
      </w:r>
      <w:proofErr w:type="spellStart"/>
      <w:r w:rsidRPr="00CD3D64">
        <w:rPr>
          <w:rFonts w:ascii="Book Antiqua" w:hAnsi="Book Antiqua"/>
          <w:color w:val="000000"/>
        </w:rPr>
        <w:t>transferase</w:t>
      </w:r>
      <w:proofErr w:type="spellEnd"/>
      <w:r w:rsidRPr="00CD3D64">
        <w:rPr>
          <w:rFonts w:ascii="Book Antiqua" w:hAnsi="Book Antiqua"/>
          <w:color w:val="000000"/>
        </w:rPr>
        <w:t>;</w:t>
      </w:r>
      <w:r w:rsidRPr="007171F0">
        <w:rPr>
          <w:rFonts w:ascii="Book Antiqua" w:hAnsi="Book Antiqua"/>
          <w:color w:val="000000"/>
        </w:rPr>
        <w:t xml:space="preserve"> </w:t>
      </w:r>
      <w:r w:rsidRPr="00CD3D64">
        <w:rPr>
          <w:rFonts w:ascii="Book Antiqua" w:hAnsi="Book Antiqua"/>
          <w:color w:val="000000"/>
        </w:rPr>
        <w:t xml:space="preserve">AFP: Alpha-fetoprotein; ALT: Alanine aminotransferase; AST: Aspartate aminotransferase; </w:t>
      </w:r>
      <w:r w:rsidR="006549DA" w:rsidRPr="00CD3D64">
        <w:rPr>
          <w:rFonts w:ascii="Book Antiqua" w:hAnsi="Book Antiqua"/>
          <w:color w:val="000000"/>
        </w:rPr>
        <w:t>BMI</w:t>
      </w:r>
      <w:r w:rsidR="00291AA9" w:rsidRPr="00CD3D64">
        <w:rPr>
          <w:rFonts w:ascii="Book Antiqua" w:hAnsi="Book Antiqua"/>
          <w:color w:val="000000"/>
        </w:rPr>
        <w:t>:</w:t>
      </w:r>
      <w:r w:rsidR="006549DA" w:rsidRPr="00CD3D64">
        <w:rPr>
          <w:rFonts w:ascii="Book Antiqua" w:hAnsi="Book Antiqua"/>
          <w:color w:val="000000"/>
        </w:rPr>
        <w:t xml:space="preserve"> </w:t>
      </w:r>
      <w:r w:rsidR="00291AA9" w:rsidRPr="00CD3D64">
        <w:rPr>
          <w:rFonts w:ascii="Book Antiqua" w:hAnsi="Book Antiqua"/>
          <w:color w:val="000000"/>
        </w:rPr>
        <w:t xml:space="preserve">Body </w:t>
      </w:r>
      <w:r w:rsidR="006549DA" w:rsidRPr="00CD3D64">
        <w:rPr>
          <w:rFonts w:ascii="Book Antiqua" w:hAnsi="Book Antiqua"/>
          <w:color w:val="000000"/>
        </w:rPr>
        <w:t xml:space="preserve">mass index; </w:t>
      </w:r>
      <w:r w:rsidRPr="00CD3D64">
        <w:rPr>
          <w:rFonts w:ascii="Book Antiqua" w:hAnsi="Book Antiqua"/>
          <w:color w:val="000000"/>
        </w:rPr>
        <w:t>CI: Confidence interval</w:t>
      </w:r>
      <w:r>
        <w:rPr>
          <w:rFonts w:ascii="Book Antiqua" w:hAnsi="Book Antiqua"/>
          <w:color w:val="000000"/>
        </w:rPr>
        <w:t>;</w:t>
      </w:r>
      <w:r w:rsidRPr="00CD3D64">
        <w:rPr>
          <w:rFonts w:ascii="Book Antiqua" w:hAnsi="Book Antiqua"/>
          <w:color w:val="000000"/>
        </w:rPr>
        <w:t xml:space="preserve"> </w:t>
      </w:r>
      <w:r w:rsidR="006549DA" w:rsidRPr="00CD3D64">
        <w:rPr>
          <w:rFonts w:ascii="Book Antiqua" w:hAnsi="Book Antiqua"/>
          <w:color w:val="000000"/>
        </w:rPr>
        <w:t>CKD</w:t>
      </w:r>
      <w:r w:rsidR="00291AA9" w:rsidRPr="00CD3D64">
        <w:rPr>
          <w:rFonts w:ascii="Book Antiqua" w:hAnsi="Book Antiqua"/>
          <w:color w:val="000000"/>
        </w:rPr>
        <w:t>:</w:t>
      </w:r>
      <w:r w:rsidR="006549DA" w:rsidRPr="00CD3D64">
        <w:rPr>
          <w:rFonts w:ascii="Book Antiqua" w:hAnsi="Book Antiqua"/>
          <w:color w:val="000000"/>
        </w:rPr>
        <w:t xml:space="preserve"> </w:t>
      </w:r>
      <w:r w:rsidR="00291AA9" w:rsidRPr="00CD3D64">
        <w:rPr>
          <w:rFonts w:ascii="Book Antiqua" w:hAnsi="Book Antiqua"/>
          <w:color w:val="000000"/>
        </w:rPr>
        <w:t xml:space="preserve">Chronic </w:t>
      </w:r>
      <w:r w:rsidR="006549DA" w:rsidRPr="00CD3D64">
        <w:rPr>
          <w:rFonts w:ascii="Book Antiqua" w:hAnsi="Book Antiqua"/>
          <w:color w:val="000000"/>
        </w:rPr>
        <w:t xml:space="preserve">kidney disease; </w:t>
      </w:r>
      <w:proofErr w:type="spellStart"/>
      <w:r w:rsidR="006549DA" w:rsidRPr="00CD3D64">
        <w:rPr>
          <w:rFonts w:ascii="Book Antiqua" w:hAnsi="Book Antiqua"/>
          <w:color w:val="000000"/>
        </w:rPr>
        <w:t>eGFR</w:t>
      </w:r>
      <w:proofErr w:type="spellEnd"/>
      <w:r w:rsidR="00291AA9" w:rsidRPr="00CD3D64">
        <w:rPr>
          <w:rFonts w:ascii="Book Antiqua" w:hAnsi="Book Antiqua"/>
          <w:color w:val="000000"/>
        </w:rPr>
        <w:t xml:space="preserve">: Estimated </w:t>
      </w:r>
      <w:r w:rsidR="006549DA" w:rsidRPr="00CD3D64">
        <w:rPr>
          <w:rFonts w:ascii="Book Antiqua" w:hAnsi="Book Antiqua"/>
          <w:color w:val="000000"/>
        </w:rPr>
        <w:t>glomerular filtration rate;</w:t>
      </w:r>
      <w:r w:rsidRPr="007171F0">
        <w:rPr>
          <w:rFonts w:ascii="Book Antiqua" w:hAnsi="Book Antiqua"/>
          <w:color w:val="000000"/>
        </w:rPr>
        <w:t xml:space="preserve"> </w:t>
      </w:r>
      <w:proofErr w:type="spellStart"/>
      <w:r w:rsidRPr="00CD3D64">
        <w:rPr>
          <w:rFonts w:ascii="Book Antiqua" w:hAnsi="Book Antiqua"/>
          <w:color w:val="000000"/>
        </w:rPr>
        <w:t>Hb</w:t>
      </w:r>
      <w:proofErr w:type="spellEnd"/>
      <w:r w:rsidRPr="00CD3D64">
        <w:rPr>
          <w:rFonts w:ascii="Book Antiqua" w:hAnsi="Book Antiqua"/>
          <w:color w:val="000000"/>
        </w:rPr>
        <w:t>: Hemoglobin;</w:t>
      </w:r>
      <w:r w:rsidR="006549DA" w:rsidRPr="00CD3D64">
        <w:rPr>
          <w:rFonts w:ascii="Book Antiqua" w:hAnsi="Book Antiqua"/>
          <w:color w:val="000000"/>
        </w:rPr>
        <w:t xml:space="preserve"> HCC</w:t>
      </w:r>
      <w:r w:rsidR="00291AA9" w:rsidRPr="00CD3D64">
        <w:rPr>
          <w:rFonts w:ascii="Book Antiqua" w:hAnsi="Book Antiqua"/>
          <w:color w:val="000000"/>
        </w:rPr>
        <w:t>:</w:t>
      </w:r>
      <w:r w:rsidR="006549DA" w:rsidRPr="00CD3D64">
        <w:rPr>
          <w:rFonts w:ascii="Book Antiqua" w:hAnsi="Book Antiqua"/>
          <w:color w:val="000000"/>
        </w:rPr>
        <w:t xml:space="preserve"> </w:t>
      </w:r>
      <w:r w:rsidR="00291AA9" w:rsidRPr="00CD3D64">
        <w:rPr>
          <w:rFonts w:ascii="Book Antiqua" w:hAnsi="Book Antiqua"/>
          <w:color w:val="000000"/>
        </w:rPr>
        <w:t xml:space="preserve">Hepatocellular </w:t>
      </w:r>
      <w:r w:rsidR="006549DA" w:rsidRPr="00CD3D64">
        <w:rPr>
          <w:rFonts w:ascii="Book Antiqua" w:hAnsi="Book Antiqua"/>
          <w:color w:val="000000"/>
        </w:rPr>
        <w:t>carcinoma; HCV</w:t>
      </w:r>
      <w:r w:rsidR="00291AA9" w:rsidRPr="00CD3D64">
        <w:rPr>
          <w:rFonts w:ascii="Book Antiqua" w:hAnsi="Book Antiqua"/>
          <w:color w:val="000000"/>
        </w:rPr>
        <w:t>:</w:t>
      </w:r>
      <w:r w:rsidR="006549DA" w:rsidRPr="00CD3D64">
        <w:rPr>
          <w:rFonts w:ascii="Book Antiqua" w:hAnsi="Book Antiqua"/>
          <w:color w:val="000000"/>
        </w:rPr>
        <w:t xml:space="preserve"> </w:t>
      </w:r>
      <w:r w:rsidR="00291AA9" w:rsidRPr="00CD3D64">
        <w:rPr>
          <w:rFonts w:ascii="Book Antiqua" w:hAnsi="Book Antiqua"/>
          <w:color w:val="000000"/>
        </w:rPr>
        <w:t xml:space="preserve">Hepatitis </w:t>
      </w:r>
      <w:r w:rsidR="006549DA" w:rsidRPr="00CD3D64">
        <w:rPr>
          <w:rFonts w:ascii="Book Antiqua" w:hAnsi="Book Antiqua"/>
          <w:color w:val="000000"/>
        </w:rPr>
        <w:t xml:space="preserve">C virus; </w:t>
      </w:r>
      <w:r w:rsidRPr="00CD3D64">
        <w:rPr>
          <w:rFonts w:ascii="Book Antiqua" w:eastAsia="MS PGothic" w:hAnsi="Book Antiqua" w:cs="MS PGothic"/>
          <w:bCs/>
          <w:color w:val="000000"/>
          <w:kern w:val="0"/>
        </w:rPr>
        <w:t>HCV-RNA</w:t>
      </w:r>
      <w:r w:rsidRPr="00CD3D64">
        <w:rPr>
          <w:rFonts w:ascii="Book Antiqua" w:hAnsi="Book Antiqua"/>
          <w:color w:val="000000"/>
        </w:rPr>
        <w:t>: H</w:t>
      </w:r>
      <w:r>
        <w:rPr>
          <w:rFonts w:ascii="Book Antiqua" w:hAnsi="Book Antiqua"/>
          <w:color w:val="000000"/>
        </w:rPr>
        <w:t>epatitis C virus</w:t>
      </w:r>
      <w:r w:rsidRPr="00CD3D64">
        <w:rPr>
          <w:rFonts w:ascii="Book Antiqua" w:hAnsi="Book Antiqua"/>
          <w:color w:val="000000"/>
        </w:rPr>
        <w:t>-ribonucleic acid</w:t>
      </w:r>
      <w:r>
        <w:rPr>
          <w:rFonts w:ascii="Book Antiqua" w:hAnsi="Book Antiqua"/>
          <w:color w:val="000000"/>
        </w:rPr>
        <w:t>;</w:t>
      </w:r>
      <w:r w:rsidRPr="00CD3D64">
        <w:rPr>
          <w:rFonts w:ascii="Book Antiqua" w:hAnsi="Book Antiqua"/>
          <w:color w:val="000000"/>
        </w:rPr>
        <w:t xml:space="preserve"> IFN: Interferon;</w:t>
      </w:r>
      <w:r>
        <w:rPr>
          <w:rFonts w:ascii="Book Antiqua" w:hAnsi="Book Antiqua"/>
          <w:color w:val="000000"/>
        </w:rPr>
        <w:t xml:space="preserve"> </w:t>
      </w:r>
      <w:r w:rsidRPr="00CD3D64">
        <w:rPr>
          <w:rFonts w:ascii="Book Antiqua" w:hAnsi="Book Antiqua"/>
          <w:color w:val="000000"/>
        </w:rPr>
        <w:t xml:space="preserve">OR: Odds ratio; </w:t>
      </w:r>
      <w:r w:rsidR="006549DA" w:rsidRPr="00CD3D64">
        <w:rPr>
          <w:rFonts w:ascii="Book Antiqua" w:hAnsi="Book Antiqua"/>
          <w:color w:val="000000"/>
        </w:rPr>
        <w:t>WBC</w:t>
      </w:r>
      <w:r w:rsidR="00291AA9" w:rsidRPr="00CD3D64">
        <w:rPr>
          <w:rFonts w:ascii="Book Antiqua" w:hAnsi="Book Antiqua"/>
          <w:color w:val="000000"/>
        </w:rPr>
        <w:t>:</w:t>
      </w:r>
      <w:r w:rsidR="006549DA" w:rsidRPr="00CD3D64">
        <w:rPr>
          <w:rFonts w:ascii="Book Antiqua" w:hAnsi="Book Antiqua"/>
          <w:color w:val="000000"/>
        </w:rPr>
        <w:t xml:space="preserve"> </w:t>
      </w:r>
      <w:r w:rsidR="00291AA9" w:rsidRPr="00CD3D64">
        <w:rPr>
          <w:rFonts w:ascii="Book Antiqua" w:hAnsi="Book Antiqua"/>
          <w:color w:val="000000"/>
        </w:rPr>
        <w:t xml:space="preserve">White </w:t>
      </w:r>
      <w:r w:rsidR="006549DA" w:rsidRPr="00CD3D64">
        <w:rPr>
          <w:rFonts w:ascii="Book Antiqua" w:hAnsi="Book Antiqua"/>
          <w:color w:val="000000"/>
        </w:rPr>
        <w:t>blood cells.</w:t>
      </w:r>
    </w:p>
    <w:p w:rsidR="004F010D" w:rsidRPr="00CD3D64" w:rsidRDefault="004F010D" w:rsidP="00CD3D64">
      <w:pPr>
        <w:widowControl/>
        <w:adjustRightInd w:val="0"/>
        <w:snapToGrid w:val="0"/>
        <w:spacing w:line="360" w:lineRule="auto"/>
        <w:rPr>
          <w:rFonts w:ascii="Book Antiqua" w:eastAsia="MS PMincho" w:hAnsi="Book Antiqua"/>
          <w:b/>
          <w:color w:val="000000"/>
        </w:rPr>
      </w:pPr>
      <w:r w:rsidRPr="00CD3D64">
        <w:rPr>
          <w:rFonts w:ascii="Book Antiqua" w:hAnsi="Book Antiqua"/>
          <w:color w:val="000000"/>
        </w:rPr>
        <w:br w:type="page"/>
      </w:r>
      <w:r w:rsidRPr="00CD3D64">
        <w:rPr>
          <w:rFonts w:ascii="Book Antiqua" w:eastAsia="MS PMincho" w:hAnsi="Book Antiqua"/>
          <w:b/>
          <w:color w:val="000000"/>
        </w:rPr>
        <w:lastRenderedPageBreak/>
        <w:t xml:space="preserve">Table 4 </w:t>
      </w:r>
      <w:bookmarkStart w:id="31" w:name="_Hlk23676131"/>
      <w:r w:rsidRPr="00CD3D64">
        <w:rPr>
          <w:rFonts w:ascii="Book Antiqua" w:eastAsia="MS PMincho" w:hAnsi="Book Antiqua"/>
          <w:b/>
          <w:color w:val="000000"/>
        </w:rPr>
        <w:t xml:space="preserve">Comparison of factors between patients with and without sustained </w:t>
      </w:r>
      <w:proofErr w:type="spellStart"/>
      <w:r w:rsidRPr="00CD3D64">
        <w:rPr>
          <w:rFonts w:ascii="Book Antiqua" w:eastAsia="MS PMincho" w:hAnsi="Book Antiqua"/>
          <w:b/>
          <w:color w:val="000000"/>
        </w:rPr>
        <w:t>virological</w:t>
      </w:r>
      <w:proofErr w:type="spellEnd"/>
      <w:r w:rsidRPr="00CD3D64">
        <w:rPr>
          <w:rFonts w:ascii="Book Antiqua" w:eastAsia="MS PMincho" w:hAnsi="Book Antiqua"/>
          <w:b/>
          <w:color w:val="000000"/>
        </w:rPr>
        <w:t xml:space="preserve"> response</w:t>
      </w:r>
      <w:bookmarkEnd w:id="31"/>
    </w:p>
    <w:tbl>
      <w:tblPr>
        <w:tblW w:w="0" w:type="auto"/>
        <w:tblLook w:val="04A0" w:firstRow="1" w:lastRow="0" w:firstColumn="1" w:lastColumn="0" w:noHBand="0" w:noVBand="1"/>
      </w:tblPr>
      <w:tblGrid>
        <w:gridCol w:w="3573"/>
        <w:gridCol w:w="2072"/>
        <w:gridCol w:w="1661"/>
        <w:gridCol w:w="1198"/>
      </w:tblGrid>
      <w:tr w:rsidR="004F010D" w:rsidRPr="00CD3D64" w:rsidTr="001653D1">
        <w:tc>
          <w:tcPr>
            <w:tcW w:w="35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/>
                <w:bCs/>
                <w:color w:val="000000"/>
              </w:rPr>
              <w:t>Factors</w:t>
            </w:r>
          </w:p>
        </w:tc>
        <w:tc>
          <w:tcPr>
            <w:tcW w:w="20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/>
                <w:bCs/>
                <w:color w:val="000000"/>
              </w:rPr>
              <w:t>SVR</w:t>
            </w:r>
            <w:r w:rsidR="007171F0">
              <w:rPr>
                <w:rFonts w:ascii="Book Antiqua" w:eastAsia="MS PMincho" w:hAnsi="Book Antiqua"/>
                <w:b/>
                <w:bCs/>
                <w:color w:val="000000"/>
              </w:rPr>
              <w:t>,</w:t>
            </w:r>
            <w:r w:rsidRPr="00CD3D64">
              <w:rPr>
                <w:rFonts w:ascii="Book Antiqua" w:eastAsia="MS PMincho" w:hAnsi="Book Antiqua"/>
                <w:b/>
                <w:bCs/>
                <w:color w:val="000000"/>
              </w:rPr>
              <w:t xml:space="preserve"> </w:t>
            </w:r>
            <w:r w:rsidRPr="00CD3D64">
              <w:rPr>
                <w:rFonts w:ascii="Book Antiqua" w:eastAsia="MS PMincho" w:hAnsi="Book Antiqua"/>
                <w:b/>
                <w:bCs/>
                <w:i/>
                <w:iCs/>
                <w:color w:val="000000"/>
              </w:rPr>
              <w:t>n</w:t>
            </w:r>
            <w:r w:rsidR="00812A7A" w:rsidRPr="00CD3D64">
              <w:rPr>
                <w:rFonts w:ascii="Book Antiqua" w:eastAsia="MS PMincho" w:hAnsi="Book Antiqua"/>
                <w:b/>
                <w:bCs/>
                <w:color w:val="000000"/>
              </w:rPr>
              <w:t xml:space="preserve"> </w:t>
            </w:r>
            <w:r w:rsidRPr="00CD3D64">
              <w:rPr>
                <w:rFonts w:ascii="Book Antiqua" w:eastAsia="MS PMincho" w:hAnsi="Book Antiqua"/>
                <w:b/>
                <w:bCs/>
                <w:color w:val="000000"/>
              </w:rPr>
              <w:t>=</w:t>
            </w:r>
            <w:r w:rsidR="00812A7A" w:rsidRPr="00CD3D64">
              <w:rPr>
                <w:rFonts w:ascii="Book Antiqua" w:eastAsia="MS PMincho" w:hAnsi="Book Antiqua"/>
                <w:b/>
                <w:bCs/>
                <w:color w:val="000000"/>
              </w:rPr>
              <w:t xml:space="preserve"> </w:t>
            </w:r>
            <w:r w:rsidRPr="00CD3D64">
              <w:rPr>
                <w:rFonts w:ascii="Book Antiqua" w:eastAsia="MS PMincho" w:hAnsi="Book Antiqua"/>
                <w:b/>
                <w:bCs/>
                <w:color w:val="000000"/>
              </w:rPr>
              <w:t>258</w:t>
            </w:r>
          </w:p>
        </w:tc>
        <w:tc>
          <w:tcPr>
            <w:tcW w:w="16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/>
                <w:bCs/>
                <w:color w:val="000000"/>
              </w:rPr>
              <w:t>Non-SVR</w:t>
            </w:r>
            <w:r w:rsidR="007171F0">
              <w:rPr>
                <w:rFonts w:ascii="Book Antiqua" w:eastAsia="MS PMincho" w:hAnsi="Book Antiqua"/>
                <w:b/>
                <w:bCs/>
                <w:color w:val="000000"/>
              </w:rPr>
              <w:t>,</w:t>
            </w:r>
            <w:r w:rsidRPr="00CD3D64">
              <w:rPr>
                <w:rFonts w:ascii="Book Antiqua" w:eastAsia="MS PMincho" w:hAnsi="Book Antiqua"/>
                <w:b/>
                <w:bCs/>
                <w:color w:val="000000"/>
              </w:rPr>
              <w:t xml:space="preserve"> </w:t>
            </w:r>
            <w:r w:rsidRPr="00CD3D64">
              <w:rPr>
                <w:rFonts w:ascii="Book Antiqua" w:eastAsia="MS PMincho" w:hAnsi="Book Antiqua"/>
                <w:b/>
                <w:bCs/>
                <w:i/>
                <w:iCs/>
                <w:color w:val="000000"/>
              </w:rPr>
              <w:t>n</w:t>
            </w:r>
            <w:r w:rsidR="00812A7A" w:rsidRPr="00CD3D64">
              <w:rPr>
                <w:rFonts w:ascii="Book Antiqua" w:eastAsia="MS PMincho" w:hAnsi="Book Antiqua"/>
                <w:b/>
                <w:bCs/>
                <w:i/>
                <w:iCs/>
                <w:color w:val="000000"/>
              </w:rPr>
              <w:t xml:space="preserve"> </w:t>
            </w:r>
            <w:r w:rsidRPr="00CD3D64">
              <w:rPr>
                <w:rFonts w:ascii="Book Antiqua" w:eastAsia="MS PMincho" w:hAnsi="Book Antiqua"/>
                <w:b/>
                <w:bCs/>
                <w:color w:val="000000"/>
              </w:rPr>
              <w:t>=</w:t>
            </w:r>
            <w:r w:rsidR="00812A7A" w:rsidRPr="00CD3D64">
              <w:rPr>
                <w:rFonts w:ascii="Book Antiqua" w:eastAsia="MS PMincho" w:hAnsi="Book Antiqua"/>
                <w:b/>
                <w:bCs/>
                <w:color w:val="000000"/>
              </w:rPr>
              <w:t xml:space="preserve"> </w:t>
            </w:r>
            <w:r w:rsidRPr="00CD3D64">
              <w:rPr>
                <w:rFonts w:ascii="Book Antiqua" w:eastAsia="MS PMincho" w:hAnsi="Book Antiqua"/>
                <w:b/>
                <w:bCs/>
                <w:color w:val="000000"/>
              </w:rPr>
              <w:t>7</w:t>
            </w:r>
          </w:p>
        </w:tc>
        <w:tc>
          <w:tcPr>
            <w:tcW w:w="11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/>
                <w:bCs/>
                <w:iCs/>
                <w:color w:val="000000"/>
              </w:rPr>
            </w:pPr>
            <w:r w:rsidRPr="00CD3D64">
              <w:rPr>
                <w:rFonts w:ascii="Book Antiqua" w:eastAsia="MS PMincho" w:hAnsi="Book Antiqua"/>
                <w:b/>
                <w:bCs/>
                <w:i/>
                <w:iCs/>
                <w:color w:val="000000"/>
              </w:rPr>
              <w:t>P</w:t>
            </w:r>
            <w:r w:rsidR="00291AA9" w:rsidRPr="00CD3D64">
              <w:rPr>
                <w:rFonts w:ascii="Book Antiqua" w:eastAsia="MS PMincho" w:hAnsi="Book Antiqua"/>
                <w:b/>
                <w:bCs/>
                <w:iCs/>
                <w:color w:val="000000"/>
              </w:rPr>
              <w:t xml:space="preserve"> value</w:t>
            </w:r>
          </w:p>
        </w:tc>
      </w:tr>
      <w:tr w:rsidR="004F010D" w:rsidRPr="00CD3D64" w:rsidTr="001653D1">
        <w:tc>
          <w:tcPr>
            <w:tcW w:w="3573" w:type="dxa"/>
            <w:tcBorders>
              <w:top w:val="single" w:sz="8" w:space="0" w:color="auto"/>
            </w:tcBorders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 xml:space="preserve">Age </w:t>
            </w:r>
            <w:r w:rsidR="007171F0">
              <w:rPr>
                <w:rFonts w:ascii="Book Antiqua" w:eastAsia="MS PMincho" w:hAnsi="Book Antiqua"/>
                <w:bCs/>
                <w:color w:val="000000"/>
              </w:rPr>
              <w:t xml:space="preserve">in </w:t>
            </w:r>
            <w:proofErr w:type="spellStart"/>
            <w:r w:rsidR="00812A7A" w:rsidRPr="00CD3D64">
              <w:rPr>
                <w:rFonts w:ascii="Book Antiqua" w:hAnsi="Book Antiqua"/>
                <w:color w:val="000000"/>
              </w:rPr>
              <w:t>yr</w:t>
            </w:r>
            <w:proofErr w:type="spellEnd"/>
            <w:r w:rsidR="007171F0">
              <w:rPr>
                <w:rFonts w:ascii="Book Antiqua" w:eastAsia="MS PMincho" w:hAnsi="Book Antiqua"/>
                <w:bCs/>
                <w:color w:val="000000"/>
              </w:rPr>
              <w:t xml:space="preserve">, </w:t>
            </w:r>
            <w:r w:rsidR="007171F0" w:rsidRPr="00F36AFC">
              <w:rPr>
                <w:rFonts w:ascii="Book Antiqua" w:eastAsia="MS PMincho" w:hAnsi="Book Antiqua"/>
                <w:bCs/>
                <w:i/>
                <w:iCs/>
                <w:color w:val="000000"/>
              </w:rPr>
              <w:t>n</w:t>
            </w:r>
            <w:r w:rsidRPr="00CD3D64">
              <w:rPr>
                <w:rFonts w:ascii="Book Antiqua" w:eastAsia="MS PMincho" w:hAnsi="Book Antiqua"/>
                <w:bCs/>
                <w:color w:val="000000"/>
              </w:rPr>
              <w:t xml:space="preserve"> (range)</w:t>
            </w:r>
          </w:p>
        </w:tc>
        <w:tc>
          <w:tcPr>
            <w:tcW w:w="2072" w:type="dxa"/>
            <w:tcBorders>
              <w:top w:val="single" w:sz="8" w:space="0" w:color="auto"/>
            </w:tcBorders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68 (17-86)</w:t>
            </w:r>
          </w:p>
        </w:tc>
        <w:tc>
          <w:tcPr>
            <w:tcW w:w="1661" w:type="dxa"/>
            <w:tcBorders>
              <w:top w:val="single" w:sz="8" w:space="0" w:color="auto"/>
            </w:tcBorders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74 (39-79)</w:t>
            </w:r>
          </w:p>
        </w:tc>
        <w:tc>
          <w:tcPr>
            <w:tcW w:w="1198" w:type="dxa"/>
            <w:tcBorders>
              <w:top w:val="single" w:sz="8" w:space="0" w:color="auto"/>
            </w:tcBorders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0.682</w:t>
            </w:r>
          </w:p>
        </w:tc>
      </w:tr>
      <w:tr w:rsidR="004F010D" w:rsidRPr="00CD3D64" w:rsidTr="001653D1">
        <w:tc>
          <w:tcPr>
            <w:tcW w:w="3573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 xml:space="preserve">Sex </w:t>
            </w:r>
            <w:r w:rsidR="007171F0">
              <w:rPr>
                <w:rFonts w:ascii="Book Antiqua" w:eastAsia="MS PMincho" w:hAnsi="Book Antiqua"/>
                <w:color w:val="000000"/>
              </w:rPr>
              <w:t xml:space="preserve">as </w:t>
            </w:r>
            <w:r w:rsidRPr="00CD3D64">
              <w:rPr>
                <w:rFonts w:ascii="Book Antiqua" w:eastAsia="MS PMincho" w:hAnsi="Book Antiqua"/>
                <w:color w:val="000000"/>
              </w:rPr>
              <w:t>male/female</w:t>
            </w:r>
          </w:p>
        </w:tc>
        <w:tc>
          <w:tcPr>
            <w:tcW w:w="2072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>146/112</w:t>
            </w:r>
          </w:p>
        </w:tc>
        <w:tc>
          <w:tcPr>
            <w:tcW w:w="1661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>4/3</w:t>
            </w:r>
          </w:p>
        </w:tc>
        <w:tc>
          <w:tcPr>
            <w:tcW w:w="1198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>1.000</w:t>
            </w:r>
          </w:p>
        </w:tc>
      </w:tr>
      <w:tr w:rsidR="004F010D" w:rsidRPr="00CD3D64" w:rsidTr="001653D1">
        <w:tc>
          <w:tcPr>
            <w:tcW w:w="3573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 xml:space="preserve">Height </w:t>
            </w:r>
            <w:r w:rsidR="007171F0">
              <w:rPr>
                <w:rFonts w:ascii="Book Antiqua" w:eastAsia="MS PMincho" w:hAnsi="Book Antiqua"/>
                <w:color w:val="000000"/>
              </w:rPr>
              <w:t xml:space="preserve">in </w:t>
            </w:r>
            <w:r w:rsidRPr="00CD3D64">
              <w:rPr>
                <w:rFonts w:ascii="Book Antiqua" w:eastAsia="MS PMincho" w:hAnsi="Book Antiqua"/>
                <w:color w:val="000000"/>
              </w:rPr>
              <w:t>cm</w:t>
            </w:r>
          </w:p>
        </w:tc>
        <w:tc>
          <w:tcPr>
            <w:tcW w:w="2072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>160.1 (134.0-182.0)</w:t>
            </w:r>
          </w:p>
        </w:tc>
        <w:tc>
          <w:tcPr>
            <w:tcW w:w="1661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>161.5 (155.0-177.0)</w:t>
            </w:r>
          </w:p>
        </w:tc>
        <w:tc>
          <w:tcPr>
            <w:tcW w:w="1198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>0.350</w:t>
            </w:r>
          </w:p>
        </w:tc>
      </w:tr>
      <w:tr w:rsidR="004F010D" w:rsidRPr="00CD3D64" w:rsidTr="001653D1">
        <w:tc>
          <w:tcPr>
            <w:tcW w:w="3573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 xml:space="preserve">Body weight </w:t>
            </w:r>
            <w:r w:rsidR="007171F0">
              <w:rPr>
                <w:rFonts w:ascii="Book Antiqua" w:eastAsia="MS PMincho" w:hAnsi="Book Antiqua"/>
                <w:color w:val="000000"/>
              </w:rPr>
              <w:t xml:space="preserve">in </w:t>
            </w:r>
            <w:r w:rsidRPr="00CD3D64">
              <w:rPr>
                <w:rFonts w:ascii="Book Antiqua" w:eastAsia="MS PMincho" w:hAnsi="Book Antiqua"/>
                <w:color w:val="000000"/>
              </w:rPr>
              <w:t>kg</w:t>
            </w:r>
          </w:p>
        </w:tc>
        <w:tc>
          <w:tcPr>
            <w:tcW w:w="2072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>58.0 (32.3-99.3)</w:t>
            </w:r>
          </w:p>
        </w:tc>
        <w:tc>
          <w:tcPr>
            <w:tcW w:w="1661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>63.2 (54.0-66.2)</w:t>
            </w:r>
          </w:p>
        </w:tc>
        <w:tc>
          <w:tcPr>
            <w:tcW w:w="1198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>0.267</w:t>
            </w:r>
          </w:p>
        </w:tc>
      </w:tr>
      <w:tr w:rsidR="004F010D" w:rsidRPr="00CD3D64" w:rsidTr="001653D1">
        <w:tc>
          <w:tcPr>
            <w:tcW w:w="3573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 xml:space="preserve">BMI </w:t>
            </w:r>
            <w:r w:rsidR="007171F0">
              <w:rPr>
                <w:rFonts w:ascii="Book Antiqua" w:eastAsia="MS PMincho" w:hAnsi="Book Antiqua"/>
                <w:color w:val="000000"/>
              </w:rPr>
              <w:t xml:space="preserve">in </w:t>
            </w:r>
            <w:r w:rsidRPr="00CD3D64">
              <w:rPr>
                <w:rFonts w:ascii="Book Antiqua" w:eastAsia="MS PMincho" w:hAnsi="Book Antiqua"/>
                <w:color w:val="000000"/>
              </w:rPr>
              <w:t>kg/m</w:t>
            </w:r>
            <w:r w:rsidRPr="00CD3D64">
              <w:rPr>
                <w:rFonts w:ascii="Book Antiqua" w:eastAsia="MS PMincho" w:hAnsi="Book Antiqua"/>
                <w:color w:val="000000"/>
                <w:vertAlign w:val="superscript"/>
              </w:rPr>
              <w:t>2</w:t>
            </w:r>
          </w:p>
        </w:tc>
        <w:tc>
          <w:tcPr>
            <w:tcW w:w="2072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>22.6 (15.5-38.0)</w:t>
            </w:r>
          </w:p>
        </w:tc>
        <w:tc>
          <w:tcPr>
            <w:tcW w:w="1661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>22.6 (20.2-25.9)</w:t>
            </w:r>
          </w:p>
        </w:tc>
        <w:tc>
          <w:tcPr>
            <w:tcW w:w="1198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>0.778</w:t>
            </w:r>
          </w:p>
        </w:tc>
      </w:tr>
      <w:tr w:rsidR="004F010D" w:rsidRPr="00CD3D64" w:rsidTr="001653D1">
        <w:tc>
          <w:tcPr>
            <w:tcW w:w="3573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>Cirrhosis</w:t>
            </w:r>
          </w:p>
        </w:tc>
        <w:tc>
          <w:tcPr>
            <w:tcW w:w="2072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>87</w:t>
            </w:r>
          </w:p>
        </w:tc>
        <w:tc>
          <w:tcPr>
            <w:tcW w:w="1661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>4</w:t>
            </w:r>
          </w:p>
        </w:tc>
        <w:tc>
          <w:tcPr>
            <w:tcW w:w="1198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>0.237</w:t>
            </w:r>
          </w:p>
        </w:tc>
      </w:tr>
      <w:tr w:rsidR="004F010D" w:rsidRPr="00CD3D64" w:rsidTr="001653D1">
        <w:tc>
          <w:tcPr>
            <w:tcW w:w="3573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>CKD</w:t>
            </w:r>
          </w:p>
        </w:tc>
        <w:tc>
          <w:tcPr>
            <w:tcW w:w="2072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>51</w:t>
            </w:r>
          </w:p>
        </w:tc>
        <w:tc>
          <w:tcPr>
            <w:tcW w:w="1661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>2</w:t>
            </w:r>
          </w:p>
        </w:tc>
        <w:tc>
          <w:tcPr>
            <w:tcW w:w="1198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>0.630</w:t>
            </w:r>
          </w:p>
        </w:tc>
      </w:tr>
      <w:tr w:rsidR="004F010D" w:rsidRPr="00CD3D64" w:rsidTr="001653D1">
        <w:tc>
          <w:tcPr>
            <w:tcW w:w="3573" w:type="dxa"/>
            <w:shd w:val="clear" w:color="auto" w:fill="auto"/>
          </w:tcPr>
          <w:p w:rsidR="004F010D" w:rsidRPr="00CD3D64" w:rsidRDefault="00291AA9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>History of HCC treatment</w:t>
            </w:r>
          </w:p>
        </w:tc>
        <w:tc>
          <w:tcPr>
            <w:tcW w:w="2072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>30</w:t>
            </w:r>
          </w:p>
        </w:tc>
        <w:tc>
          <w:tcPr>
            <w:tcW w:w="1661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>3</w:t>
            </w:r>
          </w:p>
        </w:tc>
        <w:tc>
          <w:tcPr>
            <w:tcW w:w="1198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>0.044</w:t>
            </w:r>
          </w:p>
        </w:tc>
      </w:tr>
      <w:tr w:rsidR="004F010D" w:rsidRPr="00CD3D64" w:rsidTr="001653D1">
        <w:tc>
          <w:tcPr>
            <w:tcW w:w="3573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>History of IFN-based therapy</w:t>
            </w:r>
          </w:p>
        </w:tc>
        <w:tc>
          <w:tcPr>
            <w:tcW w:w="2072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>61</w:t>
            </w:r>
          </w:p>
        </w:tc>
        <w:tc>
          <w:tcPr>
            <w:tcW w:w="1661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>2</w:t>
            </w:r>
          </w:p>
        </w:tc>
        <w:tc>
          <w:tcPr>
            <w:tcW w:w="1198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>0.672</w:t>
            </w:r>
          </w:p>
        </w:tc>
      </w:tr>
      <w:tr w:rsidR="004F010D" w:rsidRPr="00CD3D64" w:rsidTr="001653D1">
        <w:tc>
          <w:tcPr>
            <w:tcW w:w="3573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 xml:space="preserve">HCV-RNA </w:t>
            </w:r>
            <w:r w:rsidR="007171F0">
              <w:rPr>
                <w:rFonts w:ascii="Book Antiqua" w:eastAsia="MS PMincho" w:hAnsi="Book Antiqua"/>
                <w:color w:val="000000"/>
              </w:rPr>
              <w:t xml:space="preserve">as </w:t>
            </w:r>
            <w:proofErr w:type="spellStart"/>
            <w:r w:rsidRPr="00CD3D64">
              <w:rPr>
                <w:rFonts w:ascii="Book Antiqua" w:eastAsia="MS PMincho" w:hAnsi="Book Antiqua"/>
                <w:color w:val="000000"/>
              </w:rPr>
              <w:t>logIU</w:t>
            </w:r>
            <w:proofErr w:type="spellEnd"/>
            <w:r w:rsidRPr="00CD3D64">
              <w:rPr>
                <w:rFonts w:ascii="Book Antiqua" w:eastAsia="MS PMincho" w:hAnsi="Book Antiqua"/>
                <w:color w:val="000000"/>
              </w:rPr>
              <w:t>/mL</w:t>
            </w:r>
          </w:p>
        </w:tc>
        <w:tc>
          <w:tcPr>
            <w:tcW w:w="2072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>6.1 (2.7-7.6)</w:t>
            </w:r>
          </w:p>
        </w:tc>
        <w:tc>
          <w:tcPr>
            <w:tcW w:w="1661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>6.3 (3.3-7.0)</w:t>
            </w:r>
          </w:p>
        </w:tc>
        <w:tc>
          <w:tcPr>
            <w:tcW w:w="1198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>0.713</w:t>
            </w:r>
          </w:p>
        </w:tc>
      </w:tr>
      <w:tr w:rsidR="004F010D" w:rsidRPr="00CD3D64" w:rsidTr="001653D1">
        <w:tc>
          <w:tcPr>
            <w:tcW w:w="3573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 xml:space="preserve">White blood cells </w:t>
            </w:r>
            <w:r w:rsidR="007171F0">
              <w:rPr>
                <w:rFonts w:ascii="Book Antiqua" w:eastAsia="MS PMincho" w:hAnsi="Book Antiqua"/>
                <w:bCs/>
                <w:color w:val="000000"/>
              </w:rPr>
              <w:t xml:space="preserve">as </w:t>
            </w:r>
            <w:r w:rsidRPr="00CD3D64">
              <w:rPr>
                <w:rFonts w:ascii="Book Antiqua" w:eastAsia="MS PMincho" w:hAnsi="Book Antiqua"/>
                <w:bCs/>
                <w:color w:val="000000"/>
              </w:rPr>
              <w:t>/</w:t>
            </w:r>
            <w:r w:rsidRPr="00CD3D64">
              <w:rPr>
                <w:rFonts w:ascii="Book Antiqua" w:eastAsia="MS PMincho" w:hAnsi="Book Antiqua"/>
                <w:color w:val="000000"/>
              </w:rPr>
              <w:t>mm</w:t>
            </w:r>
            <w:r w:rsidRPr="00CD3D64">
              <w:rPr>
                <w:rFonts w:ascii="Book Antiqua" w:eastAsia="MS PMincho" w:hAnsi="Book Antiqua"/>
                <w:color w:val="000000"/>
                <w:vertAlign w:val="superscript"/>
              </w:rPr>
              <w:t>3</w:t>
            </w:r>
          </w:p>
        </w:tc>
        <w:tc>
          <w:tcPr>
            <w:tcW w:w="2072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5005 (1810-13260)</w:t>
            </w:r>
          </w:p>
        </w:tc>
        <w:tc>
          <w:tcPr>
            <w:tcW w:w="1661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4100 (2260-8700)</w:t>
            </w:r>
          </w:p>
        </w:tc>
        <w:tc>
          <w:tcPr>
            <w:tcW w:w="1198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0.581</w:t>
            </w:r>
          </w:p>
        </w:tc>
      </w:tr>
      <w:tr w:rsidR="004F010D" w:rsidRPr="00CD3D64" w:rsidTr="001653D1">
        <w:tc>
          <w:tcPr>
            <w:tcW w:w="3573" w:type="dxa"/>
            <w:shd w:val="clear" w:color="auto" w:fill="auto"/>
          </w:tcPr>
          <w:p w:rsidR="004F010D" w:rsidRPr="00CD3D64" w:rsidRDefault="00291AA9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 xml:space="preserve">Hemoglobin </w:t>
            </w:r>
            <w:r w:rsidR="007171F0">
              <w:rPr>
                <w:rFonts w:ascii="Book Antiqua" w:eastAsia="MS PMincho" w:hAnsi="Book Antiqua"/>
                <w:color w:val="000000"/>
              </w:rPr>
              <w:t xml:space="preserve">in </w:t>
            </w:r>
            <w:r w:rsidRPr="00CD3D64">
              <w:rPr>
                <w:rFonts w:ascii="Book Antiqua" w:eastAsia="MS PMincho" w:hAnsi="Book Antiqua"/>
                <w:color w:val="000000"/>
              </w:rPr>
              <w:t>g/</w:t>
            </w:r>
            <w:proofErr w:type="spellStart"/>
            <w:r w:rsidRPr="00CD3D64">
              <w:rPr>
                <w:rFonts w:ascii="Book Antiqua" w:eastAsia="MS PMincho" w:hAnsi="Book Antiqua"/>
                <w:color w:val="000000"/>
              </w:rPr>
              <w:t>dL</w:t>
            </w:r>
            <w:proofErr w:type="spellEnd"/>
          </w:p>
        </w:tc>
        <w:tc>
          <w:tcPr>
            <w:tcW w:w="2072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>13.6 (10.2-20.1)</w:t>
            </w:r>
          </w:p>
        </w:tc>
        <w:tc>
          <w:tcPr>
            <w:tcW w:w="1661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>12.5 (11.6-14.7)</w:t>
            </w:r>
          </w:p>
        </w:tc>
        <w:tc>
          <w:tcPr>
            <w:tcW w:w="1198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>0.793</w:t>
            </w:r>
          </w:p>
        </w:tc>
      </w:tr>
      <w:tr w:rsidR="004F010D" w:rsidRPr="00CD3D64" w:rsidTr="001653D1">
        <w:tc>
          <w:tcPr>
            <w:tcW w:w="3573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 xml:space="preserve">Platelets </w:t>
            </w:r>
            <w:r w:rsidR="007171F0">
              <w:rPr>
                <w:rFonts w:ascii="Book Antiqua" w:eastAsia="MS PMincho" w:hAnsi="Book Antiqua"/>
                <w:color w:val="000000"/>
              </w:rPr>
              <w:t xml:space="preserve">as </w:t>
            </w:r>
            <w:r w:rsidRPr="00CD3D64">
              <w:rPr>
                <w:rFonts w:ascii="Book Antiqua" w:eastAsia="MS PMincho" w:hAnsi="Book Antiqua"/>
                <w:color w:val="000000"/>
              </w:rPr>
              <w:t>×</w:t>
            </w:r>
            <w:r w:rsidR="00812A7A" w:rsidRPr="00CD3D64">
              <w:rPr>
                <w:rFonts w:ascii="Book Antiqua" w:eastAsia="MS PMincho" w:hAnsi="Book Antiqua"/>
                <w:color w:val="000000"/>
              </w:rPr>
              <w:t xml:space="preserve"> </w:t>
            </w:r>
            <w:r w:rsidRPr="00CD3D64">
              <w:rPr>
                <w:rFonts w:ascii="Book Antiqua" w:eastAsia="MS PMincho" w:hAnsi="Book Antiqua"/>
                <w:color w:val="000000"/>
              </w:rPr>
              <w:t>10</w:t>
            </w:r>
            <w:r w:rsidRPr="00CD3D64">
              <w:rPr>
                <w:rFonts w:ascii="Book Antiqua" w:eastAsia="MS PMincho" w:hAnsi="Book Antiqua"/>
                <w:color w:val="000000"/>
                <w:vertAlign w:val="superscript"/>
              </w:rPr>
              <w:t>4</w:t>
            </w:r>
            <w:r w:rsidRPr="00CD3D64">
              <w:rPr>
                <w:rFonts w:ascii="Book Antiqua" w:eastAsia="MS PMincho" w:hAnsi="Book Antiqua"/>
                <w:color w:val="000000"/>
              </w:rPr>
              <w:t>/mm</w:t>
            </w:r>
            <w:r w:rsidRPr="00CD3D64">
              <w:rPr>
                <w:rFonts w:ascii="Book Antiqua" w:eastAsia="MS PMincho" w:hAnsi="Book Antiqua"/>
                <w:color w:val="000000"/>
                <w:vertAlign w:val="superscript"/>
              </w:rPr>
              <w:t>3</w:t>
            </w:r>
          </w:p>
        </w:tc>
        <w:tc>
          <w:tcPr>
            <w:tcW w:w="2072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>16.2 (4.6-38.9)</w:t>
            </w:r>
          </w:p>
        </w:tc>
        <w:tc>
          <w:tcPr>
            <w:tcW w:w="1661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>14.9 (9.9-30.3)</w:t>
            </w:r>
          </w:p>
        </w:tc>
        <w:tc>
          <w:tcPr>
            <w:tcW w:w="1198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>0.930</w:t>
            </w:r>
          </w:p>
        </w:tc>
      </w:tr>
      <w:tr w:rsidR="004F010D" w:rsidRPr="00CD3D64" w:rsidTr="001653D1">
        <w:tc>
          <w:tcPr>
            <w:tcW w:w="3573" w:type="dxa"/>
            <w:shd w:val="clear" w:color="auto" w:fill="auto"/>
          </w:tcPr>
          <w:p w:rsidR="004F010D" w:rsidRPr="00CD3D64" w:rsidRDefault="00291AA9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 xml:space="preserve">AST </w:t>
            </w:r>
            <w:r w:rsidR="007171F0">
              <w:rPr>
                <w:rFonts w:ascii="Book Antiqua" w:eastAsia="MS PMincho" w:hAnsi="Book Antiqua"/>
                <w:color w:val="000000"/>
              </w:rPr>
              <w:t xml:space="preserve">in </w:t>
            </w:r>
            <w:r w:rsidRPr="00CD3D64">
              <w:rPr>
                <w:rFonts w:ascii="Book Antiqua" w:eastAsia="MS PMincho" w:hAnsi="Book Antiqua"/>
                <w:color w:val="000000"/>
              </w:rPr>
              <w:t>IU/L</w:t>
            </w:r>
          </w:p>
        </w:tc>
        <w:tc>
          <w:tcPr>
            <w:tcW w:w="2072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>42 (12-252)</w:t>
            </w:r>
          </w:p>
        </w:tc>
        <w:tc>
          <w:tcPr>
            <w:tcW w:w="1661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>37 (19-90)</w:t>
            </w:r>
          </w:p>
        </w:tc>
        <w:tc>
          <w:tcPr>
            <w:tcW w:w="1198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>0.789</w:t>
            </w:r>
          </w:p>
        </w:tc>
      </w:tr>
      <w:tr w:rsidR="004F010D" w:rsidRPr="00CD3D64" w:rsidTr="001653D1">
        <w:tc>
          <w:tcPr>
            <w:tcW w:w="3573" w:type="dxa"/>
            <w:shd w:val="clear" w:color="auto" w:fill="auto"/>
          </w:tcPr>
          <w:p w:rsidR="004F010D" w:rsidRPr="00CD3D64" w:rsidRDefault="00291AA9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 xml:space="preserve">ALT </w:t>
            </w:r>
            <w:r w:rsidR="007171F0">
              <w:rPr>
                <w:rFonts w:ascii="Book Antiqua" w:eastAsia="MS PMincho" w:hAnsi="Book Antiqua"/>
                <w:color w:val="000000"/>
              </w:rPr>
              <w:t xml:space="preserve">in </w:t>
            </w:r>
            <w:r w:rsidRPr="00CD3D64">
              <w:rPr>
                <w:rFonts w:ascii="Book Antiqua" w:eastAsia="MS PMincho" w:hAnsi="Book Antiqua"/>
                <w:color w:val="000000"/>
              </w:rPr>
              <w:t>IU/L</w:t>
            </w:r>
          </w:p>
        </w:tc>
        <w:tc>
          <w:tcPr>
            <w:tcW w:w="2072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>39 (6-394)</w:t>
            </w:r>
          </w:p>
        </w:tc>
        <w:tc>
          <w:tcPr>
            <w:tcW w:w="1661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>57 (19-79)</w:t>
            </w:r>
          </w:p>
        </w:tc>
        <w:tc>
          <w:tcPr>
            <w:tcW w:w="1198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>0.843</w:t>
            </w:r>
          </w:p>
        </w:tc>
      </w:tr>
      <w:tr w:rsidR="004F010D" w:rsidRPr="00CD3D64" w:rsidTr="001653D1">
        <w:tc>
          <w:tcPr>
            <w:tcW w:w="3573" w:type="dxa"/>
            <w:shd w:val="clear" w:color="auto" w:fill="auto"/>
          </w:tcPr>
          <w:p w:rsidR="004F010D" w:rsidRPr="00CD3D64" w:rsidRDefault="00291AA9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 xml:space="preserve">γ-GTP </w:t>
            </w:r>
            <w:r w:rsidR="007171F0">
              <w:rPr>
                <w:rFonts w:ascii="Book Antiqua" w:eastAsia="MS PMincho" w:hAnsi="Book Antiqua"/>
                <w:color w:val="000000"/>
              </w:rPr>
              <w:t xml:space="preserve">in </w:t>
            </w:r>
            <w:r w:rsidRPr="00CD3D64">
              <w:rPr>
                <w:rFonts w:ascii="Book Antiqua" w:eastAsia="MS PMincho" w:hAnsi="Book Antiqua"/>
                <w:color w:val="000000"/>
              </w:rPr>
              <w:t>IU/L</w:t>
            </w:r>
          </w:p>
        </w:tc>
        <w:tc>
          <w:tcPr>
            <w:tcW w:w="2072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>32 (5-888)</w:t>
            </w:r>
          </w:p>
        </w:tc>
        <w:tc>
          <w:tcPr>
            <w:tcW w:w="1661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>36 (13-461)</w:t>
            </w:r>
          </w:p>
        </w:tc>
        <w:tc>
          <w:tcPr>
            <w:tcW w:w="1198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>0.942</w:t>
            </w:r>
          </w:p>
        </w:tc>
      </w:tr>
      <w:tr w:rsidR="004F010D" w:rsidRPr="00CD3D64" w:rsidTr="001653D1">
        <w:tc>
          <w:tcPr>
            <w:tcW w:w="3573" w:type="dxa"/>
            <w:shd w:val="clear" w:color="auto" w:fill="auto"/>
          </w:tcPr>
          <w:p w:rsidR="004F010D" w:rsidRPr="00CD3D64" w:rsidRDefault="00291AA9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 xml:space="preserve">AFP </w:t>
            </w:r>
            <w:r w:rsidR="007171F0">
              <w:rPr>
                <w:rFonts w:ascii="Book Antiqua" w:eastAsia="MS PMincho" w:hAnsi="Book Antiqua"/>
                <w:color w:val="000000"/>
              </w:rPr>
              <w:t xml:space="preserve">in </w:t>
            </w:r>
            <w:proofErr w:type="spellStart"/>
            <w:r w:rsidRPr="00CD3D64">
              <w:rPr>
                <w:rFonts w:ascii="Book Antiqua" w:eastAsia="MS PMincho" w:hAnsi="Book Antiqua"/>
                <w:color w:val="000000"/>
              </w:rPr>
              <w:t>ng</w:t>
            </w:r>
            <w:proofErr w:type="spellEnd"/>
            <w:r w:rsidRPr="00CD3D64">
              <w:rPr>
                <w:rFonts w:ascii="Book Antiqua" w:eastAsia="MS PMincho" w:hAnsi="Book Antiqua"/>
                <w:color w:val="000000"/>
              </w:rPr>
              <w:t>/mL</w:t>
            </w:r>
          </w:p>
        </w:tc>
        <w:tc>
          <w:tcPr>
            <w:tcW w:w="2072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>5.2 (1.0-445.0)</w:t>
            </w:r>
          </w:p>
        </w:tc>
        <w:tc>
          <w:tcPr>
            <w:tcW w:w="1661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>10.6 (1.3-29.7)</w:t>
            </w:r>
          </w:p>
        </w:tc>
        <w:tc>
          <w:tcPr>
            <w:tcW w:w="1198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>0.521</w:t>
            </w:r>
          </w:p>
        </w:tc>
      </w:tr>
      <w:tr w:rsidR="004F010D" w:rsidRPr="00CD3D64" w:rsidTr="001653D1">
        <w:tc>
          <w:tcPr>
            <w:tcW w:w="3573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proofErr w:type="spellStart"/>
            <w:r w:rsidRPr="00CD3D64">
              <w:rPr>
                <w:rFonts w:ascii="Book Antiqua" w:eastAsia="MS PMincho" w:hAnsi="Book Antiqua"/>
                <w:color w:val="000000"/>
              </w:rPr>
              <w:t>eGFR</w:t>
            </w:r>
            <w:proofErr w:type="spellEnd"/>
            <w:r w:rsidR="00877288" w:rsidRPr="00CD3D64">
              <w:rPr>
                <w:rFonts w:ascii="Book Antiqua" w:eastAsia="MS PMincho" w:hAnsi="Book Antiqua"/>
                <w:color w:val="000000"/>
              </w:rPr>
              <w:t xml:space="preserve"> </w:t>
            </w:r>
            <w:r w:rsidR="007171F0">
              <w:rPr>
                <w:rFonts w:ascii="Book Antiqua" w:eastAsia="MS PMincho" w:hAnsi="Book Antiqua"/>
                <w:color w:val="000000"/>
              </w:rPr>
              <w:t xml:space="preserve">in </w:t>
            </w:r>
            <w:r w:rsidR="00877288" w:rsidRPr="00CD3D64">
              <w:rPr>
                <w:rFonts w:ascii="Book Antiqua" w:hAnsi="Book Antiqua"/>
                <w:color w:val="000000"/>
              </w:rPr>
              <w:t>mL/min/1.73 m</w:t>
            </w:r>
            <w:r w:rsidR="00877288" w:rsidRPr="00CD3D64">
              <w:rPr>
                <w:rFonts w:ascii="Book Antiqua" w:hAnsi="Book Antiqua"/>
                <w:color w:val="000000"/>
                <w:vertAlign w:val="superscript"/>
              </w:rPr>
              <w:t>2</w:t>
            </w:r>
          </w:p>
        </w:tc>
        <w:tc>
          <w:tcPr>
            <w:tcW w:w="2072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>73.1 (30-240.2)</w:t>
            </w:r>
          </w:p>
        </w:tc>
        <w:tc>
          <w:tcPr>
            <w:tcW w:w="1661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>72.2 (50.5-105.8)</w:t>
            </w:r>
          </w:p>
        </w:tc>
        <w:tc>
          <w:tcPr>
            <w:tcW w:w="1198" w:type="dxa"/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>0.166</w:t>
            </w:r>
          </w:p>
        </w:tc>
      </w:tr>
      <w:tr w:rsidR="004F010D" w:rsidRPr="00CD3D64" w:rsidTr="001653D1">
        <w:tc>
          <w:tcPr>
            <w:tcW w:w="3573" w:type="dxa"/>
            <w:tcBorders>
              <w:bottom w:val="single" w:sz="8" w:space="0" w:color="auto"/>
            </w:tcBorders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>Ribavirin adherence</w:t>
            </w:r>
            <w:r w:rsidR="007171F0">
              <w:rPr>
                <w:rFonts w:ascii="Book Antiqua" w:eastAsia="MS PMincho" w:hAnsi="Book Antiqua"/>
                <w:color w:val="000000"/>
              </w:rPr>
              <w:t xml:space="preserve"> in </w:t>
            </w:r>
            <w:r w:rsidRPr="00CD3D64">
              <w:rPr>
                <w:rFonts w:ascii="Book Antiqua" w:eastAsia="MS PMincho" w:hAnsi="Book Antiqua"/>
                <w:color w:val="000000"/>
              </w:rPr>
              <w:t>%</w:t>
            </w:r>
          </w:p>
        </w:tc>
        <w:tc>
          <w:tcPr>
            <w:tcW w:w="2072" w:type="dxa"/>
            <w:tcBorders>
              <w:bottom w:val="single" w:sz="8" w:space="0" w:color="auto"/>
            </w:tcBorders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>100 (28-100)</w:t>
            </w:r>
          </w:p>
        </w:tc>
        <w:tc>
          <w:tcPr>
            <w:tcW w:w="1661" w:type="dxa"/>
            <w:tcBorders>
              <w:bottom w:val="single" w:sz="8" w:space="0" w:color="auto"/>
            </w:tcBorders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>100 (100-100)</w:t>
            </w:r>
          </w:p>
        </w:tc>
        <w:tc>
          <w:tcPr>
            <w:tcW w:w="1198" w:type="dxa"/>
            <w:tcBorders>
              <w:bottom w:val="single" w:sz="8" w:space="0" w:color="auto"/>
            </w:tcBorders>
            <w:shd w:val="clear" w:color="auto" w:fill="auto"/>
          </w:tcPr>
          <w:p w:rsidR="004F010D" w:rsidRPr="00CD3D64" w:rsidRDefault="004F010D" w:rsidP="00CD3D6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color w:val="000000"/>
              </w:rPr>
            </w:pPr>
            <w:r w:rsidRPr="00CD3D64">
              <w:rPr>
                <w:rFonts w:ascii="Book Antiqua" w:eastAsia="MS PMincho" w:hAnsi="Book Antiqua"/>
                <w:color w:val="000000"/>
              </w:rPr>
              <w:t>0.323</w:t>
            </w:r>
          </w:p>
        </w:tc>
      </w:tr>
    </w:tbl>
    <w:p w:rsidR="004F010D" w:rsidRPr="00CD3D64" w:rsidRDefault="004F010D" w:rsidP="00CD3D64">
      <w:pPr>
        <w:widowControl/>
        <w:adjustRightInd w:val="0"/>
        <w:snapToGrid w:val="0"/>
        <w:spacing w:line="360" w:lineRule="auto"/>
        <w:rPr>
          <w:rFonts w:ascii="Book Antiqua" w:eastAsia="MS PMincho" w:hAnsi="Book Antiqua"/>
          <w:color w:val="000000"/>
        </w:rPr>
      </w:pPr>
      <w:r w:rsidRPr="00CD3D64">
        <w:rPr>
          <w:rFonts w:ascii="Book Antiqua" w:eastAsia="MS PMincho" w:hAnsi="Book Antiqua"/>
          <w:color w:val="000000"/>
        </w:rPr>
        <w:t xml:space="preserve">Values </w:t>
      </w:r>
      <w:proofErr w:type="gramStart"/>
      <w:r w:rsidRPr="00CD3D64">
        <w:rPr>
          <w:rFonts w:ascii="Book Antiqua" w:eastAsia="MS PMincho" w:hAnsi="Book Antiqua"/>
          <w:color w:val="000000"/>
        </w:rPr>
        <w:t>are expressed</w:t>
      </w:r>
      <w:proofErr w:type="gramEnd"/>
      <w:r w:rsidRPr="00CD3D64">
        <w:rPr>
          <w:rFonts w:ascii="Book Antiqua" w:eastAsia="MS PMincho" w:hAnsi="Book Antiqua"/>
          <w:color w:val="000000"/>
        </w:rPr>
        <w:t xml:space="preserve"> as median (range) or number of patients. </w:t>
      </w:r>
      <w:proofErr w:type="gramStart"/>
      <w:r w:rsidR="00707B10" w:rsidRPr="00CD3D64">
        <w:rPr>
          <w:rFonts w:ascii="Book Antiqua" w:eastAsia="MS PMincho" w:hAnsi="Book Antiqua"/>
          <w:color w:val="000000"/>
        </w:rPr>
        <w:t>γ-GTP</w:t>
      </w:r>
      <w:proofErr w:type="gramEnd"/>
      <w:r w:rsidR="00707B10" w:rsidRPr="00CD3D64">
        <w:rPr>
          <w:rFonts w:ascii="Book Antiqua" w:eastAsia="MS PMincho" w:hAnsi="Book Antiqua"/>
          <w:color w:val="000000"/>
        </w:rPr>
        <w:t xml:space="preserve">: </w:t>
      </w:r>
      <w:r w:rsidR="00707B10" w:rsidRPr="00CD3D64">
        <w:rPr>
          <w:rFonts w:ascii="Cambria Math" w:eastAsia="MS PMincho" w:hAnsi="Cambria Math" w:cs="Cambria Math"/>
          <w:color w:val="000000"/>
        </w:rPr>
        <w:t>𝛾</w:t>
      </w:r>
      <w:r w:rsidR="00707B10" w:rsidRPr="00CD3D64">
        <w:rPr>
          <w:rFonts w:ascii="Book Antiqua" w:eastAsia="MS PMincho" w:hAnsi="Book Antiqua"/>
          <w:color w:val="000000"/>
        </w:rPr>
        <w:t>-</w:t>
      </w:r>
      <w:proofErr w:type="spellStart"/>
      <w:r w:rsidR="00707B10" w:rsidRPr="00CD3D64">
        <w:rPr>
          <w:rFonts w:ascii="Book Antiqua" w:eastAsia="MS PMincho" w:hAnsi="Book Antiqua"/>
          <w:color w:val="000000"/>
        </w:rPr>
        <w:t>glutamyl</w:t>
      </w:r>
      <w:proofErr w:type="spellEnd"/>
      <w:r w:rsidR="00707B10" w:rsidRPr="00CD3D64">
        <w:rPr>
          <w:rFonts w:ascii="Book Antiqua" w:eastAsia="MS PMincho" w:hAnsi="Book Antiqua"/>
          <w:color w:val="000000"/>
        </w:rPr>
        <w:t xml:space="preserve"> </w:t>
      </w:r>
      <w:proofErr w:type="spellStart"/>
      <w:r w:rsidR="00707B10" w:rsidRPr="00CD3D64">
        <w:rPr>
          <w:rFonts w:ascii="Book Antiqua" w:eastAsia="MS PMincho" w:hAnsi="Book Antiqua"/>
          <w:color w:val="000000"/>
        </w:rPr>
        <w:t>transferase</w:t>
      </w:r>
      <w:proofErr w:type="spellEnd"/>
      <w:r w:rsidR="00707B10" w:rsidRPr="00CD3D64">
        <w:rPr>
          <w:rFonts w:ascii="Book Antiqua" w:eastAsia="MS PMincho" w:hAnsi="Book Antiqua"/>
          <w:color w:val="000000"/>
        </w:rPr>
        <w:t>;</w:t>
      </w:r>
      <w:r w:rsidR="00707B10">
        <w:rPr>
          <w:rFonts w:ascii="Book Antiqua" w:eastAsia="MS PMincho" w:hAnsi="Book Antiqua"/>
          <w:color w:val="000000"/>
        </w:rPr>
        <w:t xml:space="preserve"> </w:t>
      </w:r>
      <w:r w:rsidR="00707B10" w:rsidRPr="00CD3D64">
        <w:rPr>
          <w:rFonts w:ascii="Book Antiqua" w:eastAsia="MS PMincho" w:hAnsi="Book Antiqua"/>
          <w:color w:val="000000"/>
        </w:rPr>
        <w:t xml:space="preserve">AFP: Alpha-fetoprotein; ALT: Alanine aminotransferase; AST: Aspartate </w:t>
      </w:r>
      <w:r w:rsidR="00707B10" w:rsidRPr="00CD3D64">
        <w:rPr>
          <w:rFonts w:ascii="Book Antiqua" w:eastAsia="MS PMincho" w:hAnsi="Book Antiqua"/>
          <w:color w:val="000000"/>
        </w:rPr>
        <w:lastRenderedPageBreak/>
        <w:t xml:space="preserve">aminotransferase; </w:t>
      </w:r>
      <w:r w:rsidRPr="00CD3D64">
        <w:rPr>
          <w:rFonts w:ascii="Book Antiqua" w:eastAsia="MS PMincho" w:hAnsi="Book Antiqua"/>
          <w:color w:val="000000"/>
        </w:rPr>
        <w:t>BMI</w:t>
      </w:r>
      <w:r w:rsidR="00291AA9" w:rsidRPr="00CD3D64">
        <w:rPr>
          <w:rFonts w:ascii="Book Antiqua" w:eastAsia="MS PMincho" w:hAnsi="Book Antiqua"/>
          <w:color w:val="000000"/>
        </w:rPr>
        <w:t>:</w:t>
      </w:r>
      <w:r w:rsidRPr="00CD3D64">
        <w:rPr>
          <w:rFonts w:ascii="Book Antiqua" w:eastAsia="MS PMincho" w:hAnsi="Book Antiqua"/>
          <w:color w:val="000000"/>
        </w:rPr>
        <w:t xml:space="preserve"> </w:t>
      </w:r>
      <w:r w:rsidR="00291AA9" w:rsidRPr="00CD3D64">
        <w:rPr>
          <w:rFonts w:ascii="Book Antiqua" w:eastAsia="MS PMincho" w:hAnsi="Book Antiqua"/>
          <w:color w:val="000000"/>
        </w:rPr>
        <w:t xml:space="preserve">Body </w:t>
      </w:r>
      <w:r w:rsidRPr="00CD3D64">
        <w:rPr>
          <w:rFonts w:ascii="Book Antiqua" w:eastAsia="MS PMincho" w:hAnsi="Book Antiqua"/>
          <w:color w:val="000000"/>
        </w:rPr>
        <w:t xml:space="preserve">mass index; </w:t>
      </w:r>
      <w:r w:rsidR="00707B10" w:rsidRPr="00CD3D64">
        <w:rPr>
          <w:rFonts w:ascii="Book Antiqua" w:eastAsia="MS PMincho" w:hAnsi="Book Antiqua"/>
          <w:color w:val="000000"/>
        </w:rPr>
        <w:t xml:space="preserve">CKD: Chronic renal disease; </w:t>
      </w:r>
      <w:proofErr w:type="spellStart"/>
      <w:r w:rsidR="00707B10" w:rsidRPr="00CD3D64">
        <w:rPr>
          <w:rFonts w:ascii="Book Antiqua" w:eastAsia="MS PMincho" w:hAnsi="Book Antiqua"/>
          <w:color w:val="000000"/>
        </w:rPr>
        <w:t>eGFR</w:t>
      </w:r>
      <w:proofErr w:type="spellEnd"/>
      <w:r w:rsidR="00707B10" w:rsidRPr="00CD3D64">
        <w:rPr>
          <w:rFonts w:ascii="Book Antiqua" w:eastAsia="MS PMincho" w:hAnsi="Book Antiqua"/>
          <w:color w:val="000000"/>
        </w:rPr>
        <w:t xml:space="preserve">: Estimated glomerular filtration rate; </w:t>
      </w:r>
      <w:r w:rsidRPr="00CD3D64">
        <w:rPr>
          <w:rFonts w:ascii="Book Antiqua" w:eastAsia="MS PMincho" w:hAnsi="Book Antiqua"/>
          <w:color w:val="000000"/>
        </w:rPr>
        <w:t>HCC</w:t>
      </w:r>
      <w:r w:rsidR="00291AA9" w:rsidRPr="00CD3D64">
        <w:rPr>
          <w:rFonts w:ascii="Book Antiqua" w:eastAsia="MS PMincho" w:hAnsi="Book Antiqua"/>
          <w:color w:val="000000"/>
        </w:rPr>
        <w:t>:</w:t>
      </w:r>
      <w:r w:rsidRPr="00CD3D64">
        <w:rPr>
          <w:rFonts w:ascii="Book Antiqua" w:eastAsia="MS PMincho" w:hAnsi="Book Antiqua"/>
          <w:color w:val="000000"/>
        </w:rPr>
        <w:t xml:space="preserve"> hepatocellular carcinoma; </w:t>
      </w:r>
      <w:r w:rsidR="00707B10" w:rsidRPr="00CD3D64">
        <w:rPr>
          <w:rFonts w:ascii="Book Antiqua" w:eastAsia="MS PMincho" w:hAnsi="Book Antiqua"/>
          <w:color w:val="000000"/>
        </w:rPr>
        <w:t>HCV: H</w:t>
      </w:r>
      <w:r w:rsidR="00707B10">
        <w:rPr>
          <w:rFonts w:ascii="Book Antiqua" w:eastAsia="MS PMincho" w:hAnsi="Book Antiqua"/>
          <w:color w:val="000000"/>
        </w:rPr>
        <w:t>epatitis</w:t>
      </w:r>
      <w:r w:rsidR="00707B10" w:rsidRPr="00CD3D64">
        <w:rPr>
          <w:rFonts w:ascii="Book Antiqua" w:eastAsia="MS PMincho" w:hAnsi="Book Antiqua"/>
          <w:color w:val="000000"/>
        </w:rPr>
        <w:t xml:space="preserve"> C virus; </w:t>
      </w:r>
      <w:r w:rsidR="00707B10" w:rsidRPr="00CD3D64">
        <w:rPr>
          <w:rFonts w:ascii="Book Antiqua" w:eastAsia="MS PGothic" w:hAnsi="Book Antiqua" w:cs="MS PGothic"/>
          <w:bCs/>
          <w:color w:val="000000"/>
          <w:kern w:val="0"/>
        </w:rPr>
        <w:t>HCV-RNA</w:t>
      </w:r>
      <w:r w:rsidR="00707B10" w:rsidRPr="00CD3D64">
        <w:rPr>
          <w:rFonts w:ascii="Book Antiqua" w:hAnsi="Book Antiqua"/>
          <w:color w:val="000000"/>
        </w:rPr>
        <w:t>: H</w:t>
      </w:r>
      <w:r w:rsidR="00707B10">
        <w:rPr>
          <w:rFonts w:ascii="Book Antiqua" w:hAnsi="Book Antiqua"/>
          <w:color w:val="000000"/>
        </w:rPr>
        <w:t>epatitis C virus</w:t>
      </w:r>
      <w:r w:rsidR="00707B10" w:rsidRPr="00CD3D64">
        <w:rPr>
          <w:rFonts w:ascii="Book Antiqua" w:hAnsi="Book Antiqua"/>
          <w:color w:val="000000"/>
        </w:rPr>
        <w:t>-ribonucleic acid</w:t>
      </w:r>
      <w:r w:rsidR="00707B10">
        <w:rPr>
          <w:rFonts w:ascii="Book Antiqua" w:eastAsia="MS PMincho" w:hAnsi="Book Antiqua"/>
          <w:color w:val="000000"/>
        </w:rPr>
        <w:t>;</w:t>
      </w:r>
      <w:r w:rsidR="00707B10" w:rsidRPr="00707B10">
        <w:rPr>
          <w:rFonts w:ascii="Book Antiqua" w:eastAsia="MS PMincho" w:hAnsi="Book Antiqua"/>
          <w:color w:val="000000"/>
        </w:rPr>
        <w:t xml:space="preserve"> </w:t>
      </w:r>
      <w:r w:rsidRPr="00CD3D64">
        <w:rPr>
          <w:rFonts w:ascii="Book Antiqua" w:eastAsia="MS PMincho" w:hAnsi="Book Antiqua"/>
          <w:color w:val="000000"/>
        </w:rPr>
        <w:t>IFN</w:t>
      </w:r>
      <w:r w:rsidR="00291AA9" w:rsidRPr="00CD3D64">
        <w:rPr>
          <w:rFonts w:ascii="Book Antiqua" w:eastAsia="MS PMincho" w:hAnsi="Book Antiqua"/>
          <w:color w:val="000000"/>
        </w:rPr>
        <w:t>:</w:t>
      </w:r>
      <w:r w:rsidRPr="00CD3D64">
        <w:rPr>
          <w:rFonts w:ascii="Book Antiqua" w:eastAsia="MS PMincho" w:hAnsi="Book Antiqua"/>
          <w:color w:val="000000"/>
        </w:rPr>
        <w:t xml:space="preserve"> </w:t>
      </w:r>
      <w:r w:rsidR="00291AA9" w:rsidRPr="00CD3D64">
        <w:rPr>
          <w:rFonts w:ascii="Book Antiqua" w:eastAsia="MS PMincho" w:hAnsi="Book Antiqua"/>
          <w:color w:val="000000"/>
        </w:rPr>
        <w:t>Interferon</w:t>
      </w:r>
      <w:r w:rsidRPr="00CD3D64">
        <w:rPr>
          <w:rFonts w:ascii="Book Antiqua" w:eastAsia="MS PMincho" w:hAnsi="Book Antiqua"/>
          <w:color w:val="000000"/>
        </w:rPr>
        <w:t xml:space="preserve">; </w:t>
      </w:r>
      <w:r w:rsidR="00707B10" w:rsidRPr="00CD3D64">
        <w:rPr>
          <w:rFonts w:ascii="Book Antiqua" w:eastAsia="MS PMincho" w:hAnsi="Book Antiqua"/>
          <w:color w:val="000000"/>
        </w:rPr>
        <w:t xml:space="preserve">SVR: Sustained </w:t>
      </w:r>
      <w:proofErr w:type="spellStart"/>
      <w:r w:rsidR="00707B10" w:rsidRPr="00CD3D64">
        <w:rPr>
          <w:rFonts w:ascii="Book Antiqua" w:eastAsia="MS PMincho" w:hAnsi="Book Antiqua"/>
          <w:color w:val="000000"/>
        </w:rPr>
        <w:t>virological</w:t>
      </w:r>
      <w:proofErr w:type="spellEnd"/>
      <w:r w:rsidR="00707B10" w:rsidRPr="00CD3D64">
        <w:rPr>
          <w:rFonts w:ascii="Book Antiqua" w:eastAsia="MS PMincho" w:hAnsi="Book Antiqua"/>
          <w:color w:val="000000"/>
        </w:rPr>
        <w:t xml:space="preserve"> response</w:t>
      </w:r>
      <w:r w:rsidR="00707B10">
        <w:rPr>
          <w:rFonts w:ascii="Book Antiqua" w:eastAsia="MS PMincho" w:hAnsi="Book Antiqua"/>
          <w:color w:val="000000"/>
        </w:rPr>
        <w:t>.</w:t>
      </w:r>
    </w:p>
    <w:p w:rsidR="00805D2E" w:rsidRPr="00CD3D64" w:rsidRDefault="00805D2E" w:rsidP="00CD3D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</w:p>
    <w:p w:rsidR="007F5632" w:rsidRPr="00CD3D64" w:rsidRDefault="007F5632" w:rsidP="00CD3D64">
      <w:pPr>
        <w:adjustRightInd w:val="0"/>
        <w:snapToGrid w:val="0"/>
        <w:spacing w:line="360" w:lineRule="auto"/>
        <w:rPr>
          <w:rFonts w:ascii="Book Antiqua" w:eastAsia="MS PMincho" w:hAnsi="Book Antiqua"/>
          <w:b/>
          <w:color w:val="000000"/>
        </w:rPr>
      </w:pPr>
      <w:r w:rsidRPr="00CD3D64">
        <w:rPr>
          <w:rFonts w:ascii="Book Antiqua" w:hAnsi="Book Antiqua"/>
          <w:color w:val="000000"/>
        </w:rPr>
        <w:br w:type="page"/>
      </w:r>
      <w:r w:rsidRPr="00CD3D64">
        <w:rPr>
          <w:rFonts w:ascii="Book Antiqua" w:eastAsia="MS PMincho" w:hAnsi="Book Antiqua"/>
          <w:b/>
          <w:color w:val="000000"/>
        </w:rPr>
        <w:lastRenderedPageBreak/>
        <w:t xml:space="preserve">Table </w:t>
      </w:r>
      <w:proofErr w:type="gramStart"/>
      <w:r w:rsidR="004F010D" w:rsidRPr="00CD3D64">
        <w:rPr>
          <w:rFonts w:ascii="Book Antiqua" w:eastAsia="MS PMincho" w:hAnsi="Book Antiqua"/>
          <w:b/>
          <w:color w:val="000000"/>
        </w:rPr>
        <w:t>5</w:t>
      </w:r>
      <w:proofErr w:type="gramEnd"/>
      <w:r w:rsidRPr="00CD3D64">
        <w:rPr>
          <w:rFonts w:ascii="Book Antiqua" w:eastAsia="MS PMincho" w:hAnsi="Book Antiqua"/>
          <w:b/>
          <w:color w:val="000000"/>
        </w:rPr>
        <w:t xml:space="preserve"> Adverse events during treatment</w:t>
      </w:r>
    </w:p>
    <w:tbl>
      <w:tblPr>
        <w:tblW w:w="8505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054"/>
        <w:gridCol w:w="1109"/>
        <w:gridCol w:w="1263"/>
        <w:gridCol w:w="1263"/>
        <w:gridCol w:w="816"/>
      </w:tblGrid>
      <w:tr w:rsidR="00812A7A" w:rsidRPr="00CD3D64" w:rsidTr="007F5632"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/>
                <w:color w:val="000000"/>
              </w:rPr>
            </w:pPr>
            <w:r w:rsidRPr="00CD3D64">
              <w:rPr>
                <w:rFonts w:ascii="Book Antiqua" w:eastAsia="MS PMincho" w:hAnsi="Book Antiqua"/>
                <w:b/>
                <w:color w:val="000000"/>
              </w:rPr>
              <w:t>Total</w:t>
            </w:r>
            <w:r w:rsidR="00707B10">
              <w:rPr>
                <w:rFonts w:ascii="Book Antiqua" w:eastAsia="MS PMincho" w:hAnsi="Book Antiqua"/>
                <w:b/>
                <w:color w:val="000000"/>
              </w:rPr>
              <w:t>,</w:t>
            </w:r>
          </w:p>
          <w:p w:rsidR="007F5632" w:rsidRPr="00CD3D64" w:rsidRDefault="00812A7A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/>
                <w:color w:val="000000"/>
              </w:rPr>
            </w:pPr>
            <w:r w:rsidRPr="00CD3D64">
              <w:rPr>
                <w:rFonts w:ascii="Book Antiqua" w:eastAsia="MS PMincho" w:hAnsi="Book Antiqua"/>
                <w:b/>
                <w:i/>
                <w:iCs/>
                <w:color w:val="000000"/>
              </w:rPr>
              <w:t xml:space="preserve">n </w:t>
            </w:r>
            <w:r w:rsidR="007F5632" w:rsidRPr="00CD3D64">
              <w:rPr>
                <w:rFonts w:ascii="Book Antiqua" w:eastAsia="MS PMincho" w:hAnsi="Book Antiqua"/>
                <w:b/>
                <w:color w:val="000000"/>
              </w:rPr>
              <w:t>=</w:t>
            </w:r>
            <w:r w:rsidRPr="00CD3D64">
              <w:rPr>
                <w:rFonts w:ascii="Book Antiqua" w:eastAsia="MS PMincho" w:hAnsi="Book Antiqua"/>
                <w:b/>
                <w:color w:val="000000"/>
              </w:rPr>
              <w:t xml:space="preserve"> </w:t>
            </w:r>
            <w:r w:rsidR="007F5632" w:rsidRPr="00CD3D64">
              <w:rPr>
                <w:rFonts w:ascii="Book Antiqua" w:eastAsia="MS PMincho" w:hAnsi="Book Antiqua"/>
                <w:b/>
                <w:color w:val="000000"/>
              </w:rPr>
              <w:t>265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/>
                <w:color w:val="000000"/>
              </w:rPr>
            </w:pPr>
            <w:r w:rsidRPr="00CD3D64">
              <w:rPr>
                <w:rFonts w:ascii="Book Antiqua" w:eastAsia="MS PMincho" w:hAnsi="Book Antiqua"/>
                <w:b/>
                <w:color w:val="000000"/>
              </w:rPr>
              <w:t>Patients ≥</w:t>
            </w:r>
            <w:r w:rsidR="00812A7A" w:rsidRPr="00CD3D64">
              <w:rPr>
                <w:rFonts w:ascii="Book Antiqua" w:eastAsia="MS PMincho" w:hAnsi="Book Antiqua"/>
                <w:b/>
                <w:color w:val="000000"/>
              </w:rPr>
              <w:t xml:space="preserve"> </w:t>
            </w:r>
            <w:r w:rsidRPr="00CD3D64">
              <w:rPr>
                <w:rFonts w:ascii="Book Antiqua" w:eastAsia="MS PMincho" w:hAnsi="Book Antiqua"/>
                <w:b/>
                <w:color w:val="000000"/>
              </w:rPr>
              <w:t>75</w:t>
            </w:r>
            <w:r w:rsidR="00707B10">
              <w:rPr>
                <w:rFonts w:ascii="Book Antiqua" w:eastAsia="MS PMincho" w:hAnsi="Book Antiqua"/>
                <w:b/>
                <w:color w:val="000000"/>
              </w:rPr>
              <w:t>-</w:t>
            </w:r>
            <w:r w:rsidR="00812A7A" w:rsidRPr="00CD3D64">
              <w:rPr>
                <w:rFonts w:ascii="Book Antiqua" w:hAnsi="Book Antiqua"/>
                <w:b/>
                <w:color w:val="000000"/>
              </w:rPr>
              <w:t>yr</w:t>
            </w:r>
            <w:r w:rsidR="00707B10">
              <w:rPr>
                <w:rFonts w:ascii="Book Antiqua" w:eastAsia="MS PMincho" w:hAnsi="Book Antiqua"/>
                <w:b/>
                <w:color w:val="000000"/>
              </w:rPr>
              <w:t>-</w:t>
            </w:r>
            <w:r w:rsidRPr="00CD3D64">
              <w:rPr>
                <w:rFonts w:ascii="Book Antiqua" w:eastAsia="MS PMincho" w:hAnsi="Book Antiqua"/>
                <w:b/>
                <w:color w:val="000000"/>
              </w:rPr>
              <w:t>old</w:t>
            </w:r>
            <w:r w:rsidR="00092519" w:rsidRPr="00CD3D64">
              <w:rPr>
                <w:rFonts w:ascii="Book Antiqua" w:eastAsia="等线" w:hAnsi="Book Antiqua"/>
                <w:b/>
                <w:color w:val="000000"/>
                <w:lang w:eastAsia="zh-CN"/>
              </w:rPr>
              <w:t xml:space="preserve">, </w:t>
            </w:r>
            <w:r w:rsidRPr="00CD3D64">
              <w:rPr>
                <w:rFonts w:ascii="Book Antiqua" w:eastAsia="MS PMincho" w:hAnsi="Book Antiqua"/>
                <w:b/>
                <w:i/>
                <w:iCs/>
                <w:color w:val="000000"/>
              </w:rPr>
              <w:t>n</w:t>
            </w:r>
            <w:r w:rsidR="00812A7A" w:rsidRPr="00CD3D64">
              <w:rPr>
                <w:rFonts w:ascii="Book Antiqua" w:eastAsia="MS PMincho" w:hAnsi="Book Antiqua"/>
                <w:b/>
                <w:color w:val="000000"/>
              </w:rPr>
              <w:t xml:space="preserve"> </w:t>
            </w:r>
            <w:r w:rsidRPr="00CD3D64">
              <w:rPr>
                <w:rFonts w:ascii="Book Antiqua" w:eastAsia="MS PMincho" w:hAnsi="Book Antiqua"/>
                <w:b/>
                <w:color w:val="000000"/>
              </w:rPr>
              <w:t>=</w:t>
            </w:r>
            <w:r w:rsidR="00812A7A" w:rsidRPr="00CD3D64">
              <w:rPr>
                <w:rFonts w:ascii="Book Antiqua" w:eastAsia="MS PMincho" w:hAnsi="Book Antiqua"/>
                <w:b/>
                <w:color w:val="000000"/>
              </w:rPr>
              <w:t xml:space="preserve"> </w:t>
            </w:r>
            <w:r w:rsidRPr="00CD3D64">
              <w:rPr>
                <w:rFonts w:ascii="Book Antiqua" w:eastAsia="MS PMincho" w:hAnsi="Book Antiqua"/>
                <w:b/>
                <w:color w:val="000000"/>
              </w:rPr>
              <w:t>83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/>
                <w:color w:val="000000"/>
              </w:rPr>
            </w:pPr>
            <w:r w:rsidRPr="00CD3D64">
              <w:rPr>
                <w:rFonts w:ascii="Book Antiqua" w:eastAsia="MS PMincho" w:hAnsi="Book Antiqua"/>
                <w:b/>
                <w:color w:val="000000"/>
              </w:rPr>
              <w:t>Patients &lt;</w:t>
            </w:r>
            <w:r w:rsidR="00812A7A" w:rsidRPr="00CD3D64">
              <w:rPr>
                <w:rFonts w:ascii="Book Antiqua" w:eastAsia="MS PMincho" w:hAnsi="Book Antiqua"/>
                <w:b/>
                <w:color w:val="000000"/>
              </w:rPr>
              <w:t xml:space="preserve"> </w:t>
            </w:r>
            <w:r w:rsidRPr="00CD3D64">
              <w:rPr>
                <w:rFonts w:ascii="Book Antiqua" w:eastAsia="MS PMincho" w:hAnsi="Book Antiqua"/>
                <w:b/>
                <w:color w:val="000000"/>
              </w:rPr>
              <w:t>75</w:t>
            </w:r>
            <w:r w:rsidR="00707B10">
              <w:rPr>
                <w:rFonts w:ascii="Book Antiqua" w:eastAsia="MS PMincho" w:hAnsi="Book Antiqua"/>
                <w:b/>
                <w:color w:val="000000"/>
              </w:rPr>
              <w:t>-</w:t>
            </w:r>
            <w:r w:rsidR="00812A7A" w:rsidRPr="00CD3D64">
              <w:rPr>
                <w:rFonts w:ascii="Book Antiqua" w:hAnsi="Book Antiqua"/>
                <w:b/>
                <w:color w:val="000000"/>
              </w:rPr>
              <w:t>yr</w:t>
            </w:r>
            <w:r w:rsidR="00707B10">
              <w:rPr>
                <w:rFonts w:ascii="Book Antiqua" w:eastAsia="MS PMincho" w:hAnsi="Book Antiqua"/>
                <w:b/>
                <w:color w:val="000000"/>
              </w:rPr>
              <w:t>-</w:t>
            </w:r>
            <w:r w:rsidRPr="00CD3D64">
              <w:rPr>
                <w:rFonts w:ascii="Book Antiqua" w:eastAsia="MS PMincho" w:hAnsi="Book Antiqua"/>
                <w:b/>
                <w:color w:val="000000"/>
              </w:rPr>
              <w:t>old</w:t>
            </w:r>
            <w:r w:rsidR="00092519" w:rsidRPr="00CD3D64">
              <w:rPr>
                <w:rFonts w:ascii="Book Antiqua" w:eastAsia="等线" w:hAnsi="Book Antiqua"/>
                <w:b/>
                <w:color w:val="000000"/>
                <w:lang w:eastAsia="zh-CN"/>
              </w:rPr>
              <w:t xml:space="preserve">, </w:t>
            </w:r>
            <w:r w:rsidRPr="00CD3D64">
              <w:rPr>
                <w:rFonts w:ascii="Book Antiqua" w:eastAsia="MS PMincho" w:hAnsi="Book Antiqua"/>
                <w:b/>
                <w:i/>
                <w:iCs/>
                <w:color w:val="000000"/>
              </w:rPr>
              <w:t>n</w:t>
            </w:r>
            <w:r w:rsidR="00812A7A" w:rsidRPr="00CD3D64">
              <w:rPr>
                <w:rFonts w:ascii="Book Antiqua" w:eastAsia="MS PMincho" w:hAnsi="Book Antiqua"/>
                <w:b/>
                <w:color w:val="000000"/>
              </w:rPr>
              <w:t xml:space="preserve"> </w:t>
            </w:r>
            <w:r w:rsidRPr="00CD3D64">
              <w:rPr>
                <w:rFonts w:ascii="Book Antiqua" w:eastAsia="MS PMincho" w:hAnsi="Book Antiqua"/>
                <w:b/>
                <w:color w:val="000000"/>
              </w:rPr>
              <w:t>=</w:t>
            </w:r>
            <w:r w:rsidR="00812A7A" w:rsidRPr="00CD3D64">
              <w:rPr>
                <w:rFonts w:ascii="Book Antiqua" w:eastAsia="MS PMincho" w:hAnsi="Book Antiqua"/>
                <w:b/>
                <w:color w:val="000000"/>
              </w:rPr>
              <w:t xml:space="preserve"> </w:t>
            </w:r>
            <w:r w:rsidRPr="00CD3D64">
              <w:rPr>
                <w:rFonts w:ascii="Book Antiqua" w:eastAsia="MS PMincho" w:hAnsi="Book Antiqua"/>
                <w:b/>
                <w:color w:val="000000"/>
              </w:rPr>
              <w:t>182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/>
                <w:iCs/>
                <w:color w:val="000000"/>
              </w:rPr>
            </w:pPr>
            <w:r w:rsidRPr="00CD3D64">
              <w:rPr>
                <w:rFonts w:ascii="Book Antiqua" w:eastAsia="MS PMincho" w:hAnsi="Book Antiqua"/>
                <w:b/>
                <w:i/>
                <w:iCs/>
                <w:color w:val="000000"/>
              </w:rPr>
              <w:t>P</w:t>
            </w:r>
            <w:r w:rsidR="00291AA9" w:rsidRPr="00CD3D64">
              <w:rPr>
                <w:rFonts w:ascii="Book Antiqua" w:eastAsia="MS PMincho" w:hAnsi="Book Antiqua"/>
                <w:b/>
                <w:iCs/>
                <w:color w:val="000000"/>
              </w:rPr>
              <w:t xml:space="preserve"> value</w:t>
            </w:r>
          </w:p>
        </w:tc>
      </w:tr>
      <w:tr w:rsidR="00812A7A" w:rsidRPr="00CD3D64" w:rsidTr="007F5632"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Treatment discontinuation due to ad</w:t>
            </w:r>
            <w:r w:rsidR="00291AA9" w:rsidRPr="00CD3D64">
              <w:rPr>
                <w:rFonts w:ascii="Book Antiqua" w:eastAsia="MS PMincho" w:hAnsi="Book Antiqua"/>
                <w:bCs/>
                <w:color w:val="000000"/>
              </w:rPr>
              <w:t>verse events</w:t>
            </w:r>
            <w:r w:rsidR="00291AA9" w:rsidRPr="00CD3D64">
              <w:rPr>
                <w:rFonts w:ascii="Book Antiqua" w:eastAsia="MS PMincho" w:hAnsi="Book Antiqua"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1 (0.4%)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1 (1.2%)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0.313</w:t>
            </w:r>
          </w:p>
        </w:tc>
      </w:tr>
      <w:tr w:rsidR="00812A7A" w:rsidRPr="00CD3D64" w:rsidTr="007F563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Dose reduction or interruption of ribavirin due to anemia</w:t>
            </w:r>
            <w:r w:rsidR="00291AA9" w:rsidRPr="00CD3D64">
              <w:rPr>
                <w:rFonts w:ascii="Book Antiqua" w:eastAsia="MS PMincho" w:hAnsi="Book Antiqua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32 (13.2%)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18 (21.7%)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14 (7.7%)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0.002</w:t>
            </w:r>
          </w:p>
        </w:tc>
      </w:tr>
      <w:tr w:rsidR="00812A7A" w:rsidRPr="00CD3D64" w:rsidTr="007F563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Dermatitis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9 (3.4%)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1 (1.2%)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8 (4.4%)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0.281</w:t>
            </w:r>
          </w:p>
        </w:tc>
      </w:tr>
      <w:tr w:rsidR="00812A7A" w:rsidRPr="00CD3D64" w:rsidTr="007F563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Depression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3 (1.1%)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1 (1.2%)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2 (0.5%)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1.000</w:t>
            </w:r>
          </w:p>
        </w:tc>
      </w:tr>
      <w:tr w:rsidR="00812A7A" w:rsidRPr="00CD3D64" w:rsidTr="007F563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Headache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4 (1.5%)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4 (2.2%)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0.313</w:t>
            </w:r>
          </w:p>
        </w:tc>
      </w:tr>
      <w:tr w:rsidR="00812A7A" w:rsidRPr="00CD3D64" w:rsidTr="007F563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Infection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4 (1.5%)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1 (1.2%)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3 (1.6%)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1.000</w:t>
            </w:r>
          </w:p>
        </w:tc>
      </w:tr>
      <w:tr w:rsidR="00812A7A" w:rsidRPr="00CD3D64" w:rsidTr="007F563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Other adverse events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11 (4.2%)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5 (6.0%)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6 (3.3%)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0.328</w:t>
            </w:r>
          </w:p>
        </w:tc>
      </w:tr>
      <w:tr w:rsidR="00812A7A" w:rsidRPr="00CD3D64" w:rsidTr="007F563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Elevated bilirubin level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2 (0.8%)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1 (1.2%)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1 (0.5%)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0.529</w:t>
            </w:r>
          </w:p>
        </w:tc>
      </w:tr>
      <w:tr w:rsidR="00812A7A" w:rsidRPr="00CD3D64" w:rsidTr="007F563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Elevated transaminase level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4 (1.5%)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2 (2.4%)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2 (1.1%)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0.592</w:t>
            </w:r>
          </w:p>
        </w:tc>
      </w:tr>
      <w:tr w:rsidR="00812A7A" w:rsidRPr="00CD3D64" w:rsidTr="007F563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 xml:space="preserve">Elevated serum ammonia level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5 (1.9%)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2 (2.4%)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3 (1.6%)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0.650</w:t>
            </w:r>
          </w:p>
        </w:tc>
      </w:tr>
      <w:tr w:rsidR="00812A7A" w:rsidRPr="00CD3D64" w:rsidTr="007F5632"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Elevated uric acid level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26 (9.8%)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10 (12.0%)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16 (8.8%)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7F5632" w:rsidRPr="00CD3D64" w:rsidRDefault="007F5632" w:rsidP="00CD3D64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MS PMincho" w:hAnsi="Book Antiqua"/>
                <w:bCs/>
                <w:color w:val="000000"/>
              </w:rPr>
            </w:pPr>
            <w:r w:rsidRPr="00CD3D64">
              <w:rPr>
                <w:rFonts w:ascii="Book Antiqua" w:eastAsia="MS PMincho" w:hAnsi="Book Antiqua"/>
                <w:bCs/>
                <w:color w:val="000000"/>
              </w:rPr>
              <w:t>0.504</w:t>
            </w:r>
          </w:p>
        </w:tc>
      </w:tr>
    </w:tbl>
    <w:p w:rsidR="007F5632" w:rsidRPr="00CD3D64" w:rsidRDefault="00291AA9" w:rsidP="00CD3D64">
      <w:pPr>
        <w:adjustRightInd w:val="0"/>
        <w:snapToGrid w:val="0"/>
        <w:spacing w:line="360" w:lineRule="auto"/>
        <w:rPr>
          <w:rFonts w:ascii="Book Antiqua" w:eastAsia="MS PMincho" w:hAnsi="Book Antiqua"/>
          <w:color w:val="000000"/>
        </w:rPr>
      </w:pPr>
      <w:proofErr w:type="gramStart"/>
      <w:r w:rsidRPr="00CD3D64">
        <w:rPr>
          <w:rFonts w:ascii="Book Antiqua" w:eastAsia="MS PMincho" w:hAnsi="Book Antiqua"/>
          <w:color w:val="000000"/>
          <w:vertAlign w:val="superscript"/>
        </w:rPr>
        <w:t>1</w:t>
      </w:r>
      <w:r w:rsidR="007F5632" w:rsidRPr="00CD3D64">
        <w:rPr>
          <w:rFonts w:ascii="Book Antiqua" w:eastAsia="MS PMincho" w:hAnsi="Book Antiqua"/>
          <w:color w:val="000000"/>
        </w:rPr>
        <w:t xml:space="preserve">Drug-induced pneumonitis with positivity to </w:t>
      </w:r>
      <w:proofErr w:type="spellStart"/>
      <w:r w:rsidR="007F5632" w:rsidRPr="00CD3D64">
        <w:rPr>
          <w:rFonts w:ascii="Book Antiqua" w:eastAsia="MS PMincho" w:hAnsi="Book Antiqua"/>
          <w:color w:val="000000"/>
        </w:rPr>
        <w:t>sofosbuvir</w:t>
      </w:r>
      <w:proofErr w:type="spellEnd"/>
      <w:r w:rsidR="007F5632" w:rsidRPr="00CD3D64">
        <w:rPr>
          <w:rFonts w:ascii="Book Antiqua" w:eastAsia="MS PMincho" w:hAnsi="Book Antiqua"/>
          <w:color w:val="000000"/>
        </w:rPr>
        <w:t xml:space="preserve"> on drug-induc</w:t>
      </w:r>
      <w:r w:rsidRPr="00CD3D64">
        <w:rPr>
          <w:rFonts w:ascii="Book Antiqua" w:eastAsia="MS PMincho" w:hAnsi="Book Antiqua"/>
          <w:color w:val="000000"/>
        </w:rPr>
        <w:t>ed lymphocyte stimulation test.</w:t>
      </w:r>
      <w:proofErr w:type="gramEnd"/>
      <w:r w:rsidRPr="00CD3D64">
        <w:rPr>
          <w:rFonts w:ascii="Book Antiqua" w:eastAsia="宋体" w:hAnsi="Book Antiqua"/>
          <w:color w:val="000000"/>
          <w:lang w:eastAsia="zh-CN"/>
        </w:rPr>
        <w:t xml:space="preserve"> </w:t>
      </w:r>
      <w:r w:rsidRPr="00CD3D64">
        <w:rPr>
          <w:rFonts w:ascii="Book Antiqua" w:eastAsia="MS PMincho" w:hAnsi="Book Antiqua"/>
          <w:color w:val="000000"/>
          <w:vertAlign w:val="superscript"/>
        </w:rPr>
        <w:t>2</w:t>
      </w:r>
      <w:r w:rsidR="007F5632" w:rsidRPr="00CD3D64">
        <w:rPr>
          <w:rFonts w:ascii="Book Antiqua" w:eastAsia="MS PMincho" w:hAnsi="Book Antiqua"/>
          <w:color w:val="000000"/>
        </w:rPr>
        <w:t xml:space="preserve">Significant difference between </w:t>
      </w:r>
      <w:proofErr w:type="gramStart"/>
      <w:r w:rsidR="007F5632" w:rsidRPr="00CD3D64">
        <w:rPr>
          <w:rFonts w:ascii="Book Antiqua" w:eastAsia="MS PMincho" w:hAnsi="Book Antiqua"/>
          <w:color w:val="000000"/>
        </w:rPr>
        <w:t>patients</w:t>
      </w:r>
      <w:proofErr w:type="gramEnd"/>
      <w:r w:rsidR="007F5632" w:rsidRPr="00CD3D64">
        <w:rPr>
          <w:rFonts w:ascii="Book Antiqua" w:eastAsia="MS PMincho" w:hAnsi="Book Antiqua"/>
          <w:color w:val="000000"/>
        </w:rPr>
        <w:t xml:space="preserve"> ≥</w:t>
      </w:r>
      <w:r w:rsidR="00812A7A" w:rsidRPr="00CD3D64">
        <w:rPr>
          <w:rFonts w:ascii="Book Antiqua" w:eastAsia="MS PMincho" w:hAnsi="Book Antiqua"/>
          <w:color w:val="000000"/>
        </w:rPr>
        <w:t xml:space="preserve"> </w:t>
      </w:r>
      <w:r w:rsidR="007F5632" w:rsidRPr="00CD3D64">
        <w:rPr>
          <w:rFonts w:ascii="Book Antiqua" w:eastAsia="MS PMincho" w:hAnsi="Book Antiqua"/>
          <w:color w:val="000000"/>
        </w:rPr>
        <w:t>75</w:t>
      </w:r>
      <w:r w:rsidR="00707B10">
        <w:rPr>
          <w:rFonts w:ascii="Book Antiqua" w:eastAsia="MS PMincho" w:hAnsi="Book Antiqua"/>
          <w:color w:val="000000"/>
        </w:rPr>
        <w:t>-</w:t>
      </w:r>
      <w:r w:rsidR="007F5632" w:rsidRPr="00CD3D64">
        <w:rPr>
          <w:rFonts w:ascii="Book Antiqua" w:eastAsia="MS PMincho" w:hAnsi="Book Antiqua"/>
          <w:color w:val="000000"/>
        </w:rPr>
        <w:t>years</w:t>
      </w:r>
      <w:r w:rsidR="00707B10">
        <w:rPr>
          <w:rFonts w:ascii="Book Antiqua" w:eastAsia="MS PMincho" w:hAnsi="Book Antiqua"/>
          <w:color w:val="000000"/>
        </w:rPr>
        <w:t>-</w:t>
      </w:r>
      <w:r w:rsidR="007F5632" w:rsidRPr="00CD3D64">
        <w:rPr>
          <w:rFonts w:ascii="Book Antiqua" w:eastAsia="MS PMincho" w:hAnsi="Book Antiqua"/>
          <w:color w:val="000000"/>
        </w:rPr>
        <w:t>old and &lt;</w:t>
      </w:r>
      <w:r w:rsidR="00812A7A" w:rsidRPr="00CD3D64">
        <w:rPr>
          <w:rFonts w:ascii="Book Antiqua" w:eastAsia="MS PMincho" w:hAnsi="Book Antiqua"/>
          <w:color w:val="000000"/>
        </w:rPr>
        <w:t xml:space="preserve"> </w:t>
      </w:r>
      <w:r w:rsidR="007F5632" w:rsidRPr="00CD3D64">
        <w:rPr>
          <w:rFonts w:ascii="Book Antiqua" w:eastAsia="MS PMincho" w:hAnsi="Book Antiqua"/>
          <w:color w:val="000000"/>
        </w:rPr>
        <w:t>75</w:t>
      </w:r>
      <w:r w:rsidR="00D242AF">
        <w:rPr>
          <w:rFonts w:ascii="Book Antiqua" w:eastAsia="MS PMincho" w:hAnsi="Book Antiqua"/>
          <w:color w:val="000000"/>
        </w:rPr>
        <w:t>-years-old</w:t>
      </w:r>
      <w:r w:rsidR="007F5632" w:rsidRPr="00CD3D64">
        <w:rPr>
          <w:rFonts w:ascii="Book Antiqua" w:eastAsia="MS PMincho" w:hAnsi="Book Antiqua"/>
          <w:color w:val="000000"/>
        </w:rPr>
        <w:t xml:space="preserve"> (</w:t>
      </w:r>
      <w:r w:rsidR="00812A7A" w:rsidRPr="00CD3D64">
        <w:rPr>
          <w:rFonts w:ascii="Book Antiqua" w:eastAsia="MS PMincho" w:hAnsi="Book Antiqua"/>
          <w:i/>
          <w:iCs/>
          <w:color w:val="000000"/>
        </w:rPr>
        <w:t xml:space="preserve">P </w:t>
      </w:r>
      <w:r w:rsidR="007F5632" w:rsidRPr="00CD3D64">
        <w:rPr>
          <w:rFonts w:ascii="Book Antiqua" w:eastAsia="MS PMincho" w:hAnsi="Book Antiqua"/>
          <w:color w:val="000000"/>
        </w:rPr>
        <w:t>&lt;</w:t>
      </w:r>
      <w:r w:rsidR="00812A7A" w:rsidRPr="00CD3D64">
        <w:rPr>
          <w:rFonts w:ascii="Book Antiqua" w:eastAsia="MS PMincho" w:hAnsi="Book Antiqua"/>
          <w:color w:val="000000"/>
        </w:rPr>
        <w:t xml:space="preserve"> </w:t>
      </w:r>
      <w:r w:rsidR="007F5632" w:rsidRPr="00CD3D64">
        <w:rPr>
          <w:rFonts w:ascii="Book Antiqua" w:eastAsia="MS PMincho" w:hAnsi="Book Antiqua"/>
          <w:color w:val="000000"/>
        </w:rPr>
        <w:t>0.01).</w:t>
      </w:r>
    </w:p>
    <w:p w:rsidR="00687F30" w:rsidRPr="00CD3D64" w:rsidRDefault="00687F30" w:rsidP="00CD3D64">
      <w:pPr>
        <w:widowControl/>
        <w:adjustRightInd w:val="0"/>
        <w:snapToGrid w:val="0"/>
        <w:spacing w:line="360" w:lineRule="auto"/>
        <w:rPr>
          <w:rFonts w:ascii="Book Antiqua" w:eastAsia="MS PMincho" w:hAnsi="Book Antiqua"/>
          <w:color w:val="000000"/>
        </w:rPr>
      </w:pPr>
    </w:p>
    <w:sectPr w:rsidR="00687F30" w:rsidRPr="00CD3D64" w:rsidSect="00AC2B22">
      <w:headerReference w:type="default" r:id="rId13"/>
      <w:footerReference w:type="default" r:id="rId14"/>
      <w:pgSz w:w="11906" w:h="16838" w:code="9"/>
      <w:pgMar w:top="1440" w:right="1440" w:bottom="1440" w:left="1440" w:header="850" w:footer="994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522" w:rsidRDefault="000F5522" w:rsidP="00DE5DE4">
      <w:r>
        <w:separator/>
      </w:r>
    </w:p>
  </w:endnote>
  <w:endnote w:type="continuationSeparator" w:id="0">
    <w:p w:rsidR="000F5522" w:rsidRDefault="000F5522" w:rsidP="00DE5DE4">
      <w:r>
        <w:continuationSeparator/>
      </w:r>
    </w:p>
  </w:endnote>
  <w:endnote w:type="continuationNotice" w:id="1">
    <w:p w:rsidR="000F5522" w:rsidRDefault="000F55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IIK G+ Gulliver RM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21" w:rsidRPr="00F36AFC" w:rsidRDefault="00E52F21">
    <w:pPr>
      <w:pStyle w:val="a4"/>
      <w:jc w:val="right"/>
      <w:rPr>
        <w:rFonts w:ascii="Book Antiqua" w:hAnsi="Book Antiqua"/>
      </w:rPr>
    </w:pPr>
    <w:r w:rsidRPr="00F36AFC">
      <w:rPr>
        <w:rFonts w:ascii="Book Antiqua" w:hAnsi="Book Antiqua"/>
        <w:lang w:val="zh-CN" w:eastAsia="zh-CN"/>
      </w:rPr>
      <w:t xml:space="preserve"> </w:t>
    </w:r>
    <w:r w:rsidRPr="00F36AFC">
      <w:rPr>
        <w:rFonts w:ascii="Book Antiqua" w:hAnsi="Book Antiqua"/>
      </w:rPr>
      <w:fldChar w:fldCharType="begin"/>
    </w:r>
    <w:r w:rsidRPr="00F36AFC">
      <w:rPr>
        <w:rFonts w:ascii="Book Antiqua" w:hAnsi="Book Antiqua"/>
      </w:rPr>
      <w:instrText>PAGE</w:instrText>
    </w:r>
    <w:r w:rsidRPr="00F36AFC">
      <w:rPr>
        <w:rFonts w:ascii="Book Antiqua" w:hAnsi="Book Antiqua"/>
      </w:rPr>
      <w:fldChar w:fldCharType="separate"/>
    </w:r>
    <w:r w:rsidR="004C4D81">
      <w:rPr>
        <w:rFonts w:ascii="Book Antiqua" w:hAnsi="Book Antiqua"/>
        <w:noProof/>
      </w:rPr>
      <w:t>20</w:t>
    </w:r>
    <w:r w:rsidRPr="00F36AFC">
      <w:rPr>
        <w:rFonts w:ascii="Book Antiqua" w:hAnsi="Book Antiqua"/>
      </w:rPr>
      <w:fldChar w:fldCharType="end"/>
    </w:r>
    <w:r>
      <w:rPr>
        <w:rFonts w:ascii="Book Antiqua" w:hAnsi="Book Antiqua"/>
        <w:lang w:val="en-US"/>
      </w:rPr>
      <w:t xml:space="preserve"> </w:t>
    </w:r>
    <w:r w:rsidRPr="00F36AFC">
      <w:rPr>
        <w:rFonts w:ascii="Book Antiqua" w:hAnsi="Book Antiqua"/>
        <w:lang w:val="zh-CN" w:eastAsia="zh-CN"/>
      </w:rPr>
      <w:t>/</w:t>
    </w:r>
    <w:r>
      <w:rPr>
        <w:rFonts w:ascii="Book Antiqua" w:hAnsi="Book Antiqua"/>
        <w:lang w:val="en-US" w:eastAsia="zh-CN"/>
      </w:rPr>
      <w:t xml:space="preserve"> </w:t>
    </w:r>
    <w:r w:rsidRPr="00F36AFC">
      <w:rPr>
        <w:rFonts w:ascii="Book Antiqua" w:hAnsi="Book Antiqua"/>
      </w:rPr>
      <w:fldChar w:fldCharType="begin"/>
    </w:r>
    <w:r w:rsidRPr="00F36AFC">
      <w:rPr>
        <w:rFonts w:ascii="Book Antiqua" w:hAnsi="Book Antiqua"/>
      </w:rPr>
      <w:instrText>NUMPAGES</w:instrText>
    </w:r>
    <w:r w:rsidRPr="00F36AFC">
      <w:rPr>
        <w:rFonts w:ascii="Book Antiqua" w:hAnsi="Book Antiqua"/>
      </w:rPr>
      <w:fldChar w:fldCharType="separate"/>
    </w:r>
    <w:r w:rsidR="004C4D81">
      <w:rPr>
        <w:rFonts w:ascii="Book Antiqua" w:hAnsi="Book Antiqua"/>
        <w:noProof/>
      </w:rPr>
      <w:t>32</w:t>
    </w:r>
    <w:r w:rsidRPr="00F36AFC">
      <w:rPr>
        <w:rFonts w:ascii="Book Antiqua" w:hAnsi="Book Antiqua"/>
      </w:rPr>
      <w:fldChar w:fldCharType="end"/>
    </w:r>
  </w:p>
  <w:p w:rsidR="00E52F21" w:rsidRDefault="00E52F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522" w:rsidRDefault="000F5522" w:rsidP="00DE5DE4">
      <w:r>
        <w:separator/>
      </w:r>
    </w:p>
  </w:footnote>
  <w:footnote w:type="continuationSeparator" w:id="0">
    <w:p w:rsidR="000F5522" w:rsidRDefault="000F5522" w:rsidP="00DE5DE4">
      <w:r>
        <w:continuationSeparator/>
      </w:r>
    </w:p>
  </w:footnote>
  <w:footnote w:type="continuationNotice" w:id="1">
    <w:p w:rsidR="000F5522" w:rsidRDefault="000F55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21" w:rsidRPr="00C85329" w:rsidRDefault="000F5522" w:rsidP="00C85329">
    <w:pPr>
      <w:pStyle w:val="a3"/>
      <w:jc w:val="right"/>
      <w:rPr>
        <w:rFonts w:ascii="Times New Roman" w:hAnsi="Times New Roman"/>
      </w:rPr>
    </w:pPr>
    <w:r>
      <w:rPr>
        <w:rFonts w:ascii="Times New Roman" w:hAnsi="Times New Roman"/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2049" type="#_x0000_t136" style="position:absolute;left:0;text-align:left;margin-left:0;margin-top:0;width:527.85pt;height:131.95pt;rotation:315;z-index:-251658752;visibility:hidden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A5DD4"/>
    <w:multiLevelType w:val="multilevel"/>
    <w:tmpl w:val="900A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0"/>
  <w:activeWritingStyle w:appName="MSWord" w:lang="zh-CN" w:vendorID="64" w:dllVersion="0" w:nlCheck="1" w:checkStyle="1"/>
  <w:activeWritingStyle w:appName="MSWord" w:lang="zh-CN" w:vendorID="64" w:dllVersion="131077" w:nlCheck="1" w:checkStyle="1"/>
  <w:proofState w:spelling="clean" w:grammar="clean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Hepatology&lt;/Style&gt;&lt;LeftDelim&gt;{&lt;/LeftDelim&gt;&lt;RightDelim&gt;}&lt;/RightDelim&gt;&lt;FontName&gt;Courier New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dz5p55e6xz256e0awevtrvcddf5zwavp25a&quot;&gt;SOF RIBA&lt;record-ids&gt;&lt;item&gt;1&lt;/item&gt;&lt;item&gt;3&lt;/item&gt;&lt;item&gt;5&lt;/item&gt;&lt;item&gt;6&lt;/item&gt;&lt;item&gt;10&lt;/item&gt;&lt;item&gt;13&lt;/item&gt;&lt;item&gt;17&lt;/item&gt;&lt;item&gt;22&lt;/item&gt;&lt;item&gt;37&lt;/item&gt;&lt;item&gt;53&lt;/item&gt;&lt;item&gt;56&lt;/item&gt;&lt;item&gt;63&lt;/item&gt;&lt;item&gt;65&lt;/item&gt;&lt;item&gt;72&lt;/item&gt;&lt;item&gt;85&lt;/item&gt;&lt;item&gt;100&lt;/item&gt;&lt;item&gt;101&lt;/item&gt;&lt;item&gt;108&lt;/item&gt;&lt;item&gt;110&lt;/item&gt;&lt;item&gt;113&lt;/item&gt;&lt;item&gt;114&lt;/item&gt;&lt;item&gt;115&lt;/item&gt;&lt;item&gt;117&lt;/item&gt;&lt;item&gt;118&lt;/item&gt;&lt;item&gt;119&lt;/item&gt;&lt;item&gt;120&lt;/item&gt;&lt;/record-ids&gt;&lt;/item&gt;&lt;/Libraries&gt;"/>
  </w:docVars>
  <w:rsids>
    <w:rsidRoot w:val="00C03CF1"/>
    <w:rsid w:val="000016D4"/>
    <w:rsid w:val="00003997"/>
    <w:rsid w:val="00005FFF"/>
    <w:rsid w:val="00006546"/>
    <w:rsid w:val="000077F3"/>
    <w:rsid w:val="0001003B"/>
    <w:rsid w:val="00010A84"/>
    <w:rsid w:val="000113AE"/>
    <w:rsid w:val="00011922"/>
    <w:rsid w:val="00011B05"/>
    <w:rsid w:val="00012083"/>
    <w:rsid w:val="00012CEB"/>
    <w:rsid w:val="0001304F"/>
    <w:rsid w:val="00013C98"/>
    <w:rsid w:val="000146FF"/>
    <w:rsid w:val="000157D2"/>
    <w:rsid w:val="0001761E"/>
    <w:rsid w:val="0002240D"/>
    <w:rsid w:val="00022643"/>
    <w:rsid w:val="00025588"/>
    <w:rsid w:val="00025E08"/>
    <w:rsid w:val="00027D03"/>
    <w:rsid w:val="00027D41"/>
    <w:rsid w:val="0003587A"/>
    <w:rsid w:val="0003671E"/>
    <w:rsid w:val="000374C4"/>
    <w:rsid w:val="00037857"/>
    <w:rsid w:val="00040CB2"/>
    <w:rsid w:val="000435E6"/>
    <w:rsid w:val="000438E9"/>
    <w:rsid w:val="00044FB9"/>
    <w:rsid w:val="00045E36"/>
    <w:rsid w:val="00047D13"/>
    <w:rsid w:val="000506B1"/>
    <w:rsid w:val="00052331"/>
    <w:rsid w:val="000528AA"/>
    <w:rsid w:val="00052957"/>
    <w:rsid w:val="00052F1D"/>
    <w:rsid w:val="00053E88"/>
    <w:rsid w:val="000555D4"/>
    <w:rsid w:val="00056FA8"/>
    <w:rsid w:val="000571F4"/>
    <w:rsid w:val="00060EE8"/>
    <w:rsid w:val="00061C69"/>
    <w:rsid w:val="00061C9B"/>
    <w:rsid w:val="00062DE4"/>
    <w:rsid w:val="0006323E"/>
    <w:rsid w:val="00063960"/>
    <w:rsid w:val="00064E74"/>
    <w:rsid w:val="00065209"/>
    <w:rsid w:val="00065F79"/>
    <w:rsid w:val="00066502"/>
    <w:rsid w:val="00070190"/>
    <w:rsid w:val="000704A3"/>
    <w:rsid w:val="00071799"/>
    <w:rsid w:val="000717C9"/>
    <w:rsid w:val="00071E81"/>
    <w:rsid w:val="00072D00"/>
    <w:rsid w:val="00072D6E"/>
    <w:rsid w:val="00073800"/>
    <w:rsid w:val="00073D2D"/>
    <w:rsid w:val="000763FF"/>
    <w:rsid w:val="00077A82"/>
    <w:rsid w:val="00077C96"/>
    <w:rsid w:val="00080264"/>
    <w:rsid w:val="00080D75"/>
    <w:rsid w:val="00081DDD"/>
    <w:rsid w:val="0008274A"/>
    <w:rsid w:val="0008319F"/>
    <w:rsid w:val="00083ACE"/>
    <w:rsid w:val="00083B0A"/>
    <w:rsid w:val="0008420B"/>
    <w:rsid w:val="00086582"/>
    <w:rsid w:val="00086920"/>
    <w:rsid w:val="000869D4"/>
    <w:rsid w:val="00090D44"/>
    <w:rsid w:val="00091171"/>
    <w:rsid w:val="000919B8"/>
    <w:rsid w:val="00091EB5"/>
    <w:rsid w:val="00092162"/>
    <w:rsid w:val="00092519"/>
    <w:rsid w:val="000930DB"/>
    <w:rsid w:val="00094D5A"/>
    <w:rsid w:val="0009603B"/>
    <w:rsid w:val="00096A7D"/>
    <w:rsid w:val="000A04A1"/>
    <w:rsid w:val="000A3C69"/>
    <w:rsid w:val="000A45DC"/>
    <w:rsid w:val="000A50E3"/>
    <w:rsid w:val="000A6A08"/>
    <w:rsid w:val="000A6CB5"/>
    <w:rsid w:val="000A6D0E"/>
    <w:rsid w:val="000B13A2"/>
    <w:rsid w:val="000B214F"/>
    <w:rsid w:val="000B2854"/>
    <w:rsid w:val="000B480F"/>
    <w:rsid w:val="000B5BAA"/>
    <w:rsid w:val="000B6542"/>
    <w:rsid w:val="000B666C"/>
    <w:rsid w:val="000B6BAF"/>
    <w:rsid w:val="000C09A1"/>
    <w:rsid w:val="000C0BE5"/>
    <w:rsid w:val="000C2DBC"/>
    <w:rsid w:val="000C3264"/>
    <w:rsid w:val="000C3537"/>
    <w:rsid w:val="000C3B9B"/>
    <w:rsid w:val="000C43D0"/>
    <w:rsid w:val="000C4423"/>
    <w:rsid w:val="000C4C41"/>
    <w:rsid w:val="000C4EC9"/>
    <w:rsid w:val="000C6F74"/>
    <w:rsid w:val="000C77A6"/>
    <w:rsid w:val="000C7D93"/>
    <w:rsid w:val="000D0973"/>
    <w:rsid w:val="000D0DAB"/>
    <w:rsid w:val="000D35FF"/>
    <w:rsid w:val="000D361F"/>
    <w:rsid w:val="000D3660"/>
    <w:rsid w:val="000D4D3A"/>
    <w:rsid w:val="000D6FC7"/>
    <w:rsid w:val="000D732D"/>
    <w:rsid w:val="000D73F5"/>
    <w:rsid w:val="000E0021"/>
    <w:rsid w:val="000E1BA1"/>
    <w:rsid w:val="000E2B7E"/>
    <w:rsid w:val="000E3A31"/>
    <w:rsid w:val="000E3B64"/>
    <w:rsid w:val="000E53F3"/>
    <w:rsid w:val="000E56D3"/>
    <w:rsid w:val="000E7837"/>
    <w:rsid w:val="000F1546"/>
    <w:rsid w:val="000F18FC"/>
    <w:rsid w:val="000F1EDA"/>
    <w:rsid w:val="000F2220"/>
    <w:rsid w:val="000F2222"/>
    <w:rsid w:val="000F4174"/>
    <w:rsid w:val="000F4C44"/>
    <w:rsid w:val="000F510E"/>
    <w:rsid w:val="000F5522"/>
    <w:rsid w:val="000F5AF1"/>
    <w:rsid w:val="001006D5"/>
    <w:rsid w:val="001016F5"/>
    <w:rsid w:val="00101840"/>
    <w:rsid w:val="0010244A"/>
    <w:rsid w:val="00102E61"/>
    <w:rsid w:val="001050AD"/>
    <w:rsid w:val="00105C23"/>
    <w:rsid w:val="00107968"/>
    <w:rsid w:val="001111F6"/>
    <w:rsid w:val="001118EE"/>
    <w:rsid w:val="001121CE"/>
    <w:rsid w:val="0011281A"/>
    <w:rsid w:val="001141FD"/>
    <w:rsid w:val="00115A6A"/>
    <w:rsid w:val="0011675D"/>
    <w:rsid w:val="0011733E"/>
    <w:rsid w:val="00117C65"/>
    <w:rsid w:val="001203F8"/>
    <w:rsid w:val="0012112A"/>
    <w:rsid w:val="001238AB"/>
    <w:rsid w:val="001257E2"/>
    <w:rsid w:val="00125D00"/>
    <w:rsid w:val="00126378"/>
    <w:rsid w:val="00130822"/>
    <w:rsid w:val="00130AFA"/>
    <w:rsid w:val="00130DBB"/>
    <w:rsid w:val="00132CF4"/>
    <w:rsid w:val="0013382A"/>
    <w:rsid w:val="0013492D"/>
    <w:rsid w:val="00135156"/>
    <w:rsid w:val="00136816"/>
    <w:rsid w:val="001371AB"/>
    <w:rsid w:val="001403E8"/>
    <w:rsid w:val="00140AFE"/>
    <w:rsid w:val="00142B99"/>
    <w:rsid w:val="001447E8"/>
    <w:rsid w:val="00144CC6"/>
    <w:rsid w:val="00145BCA"/>
    <w:rsid w:val="00147D6E"/>
    <w:rsid w:val="00151D86"/>
    <w:rsid w:val="00153500"/>
    <w:rsid w:val="001556FF"/>
    <w:rsid w:val="00155FD0"/>
    <w:rsid w:val="00156A00"/>
    <w:rsid w:val="001571FB"/>
    <w:rsid w:val="00157C33"/>
    <w:rsid w:val="00160E95"/>
    <w:rsid w:val="00160EFE"/>
    <w:rsid w:val="00162695"/>
    <w:rsid w:val="00162A31"/>
    <w:rsid w:val="0016378E"/>
    <w:rsid w:val="00163C25"/>
    <w:rsid w:val="00163D48"/>
    <w:rsid w:val="001653D1"/>
    <w:rsid w:val="001663CD"/>
    <w:rsid w:val="00166769"/>
    <w:rsid w:val="00167E6C"/>
    <w:rsid w:val="001718D0"/>
    <w:rsid w:val="001720CD"/>
    <w:rsid w:val="00172B20"/>
    <w:rsid w:val="00173629"/>
    <w:rsid w:val="00174B99"/>
    <w:rsid w:val="00174CA0"/>
    <w:rsid w:val="00175B77"/>
    <w:rsid w:val="0017614D"/>
    <w:rsid w:val="00176B79"/>
    <w:rsid w:val="001801CC"/>
    <w:rsid w:val="00182E97"/>
    <w:rsid w:val="00183552"/>
    <w:rsid w:val="00183AA6"/>
    <w:rsid w:val="00184099"/>
    <w:rsid w:val="00190DBA"/>
    <w:rsid w:val="00190ED1"/>
    <w:rsid w:val="00191E93"/>
    <w:rsid w:val="00193C87"/>
    <w:rsid w:val="001945CE"/>
    <w:rsid w:val="0019594D"/>
    <w:rsid w:val="00195ABA"/>
    <w:rsid w:val="001969DE"/>
    <w:rsid w:val="00197746"/>
    <w:rsid w:val="001A0B9C"/>
    <w:rsid w:val="001A110D"/>
    <w:rsid w:val="001A3733"/>
    <w:rsid w:val="001A38E3"/>
    <w:rsid w:val="001A4DB0"/>
    <w:rsid w:val="001A5291"/>
    <w:rsid w:val="001A533F"/>
    <w:rsid w:val="001A6478"/>
    <w:rsid w:val="001A64E1"/>
    <w:rsid w:val="001A6BAC"/>
    <w:rsid w:val="001A747B"/>
    <w:rsid w:val="001A7C5B"/>
    <w:rsid w:val="001B2DAC"/>
    <w:rsid w:val="001B2DCE"/>
    <w:rsid w:val="001B2EDF"/>
    <w:rsid w:val="001B3A05"/>
    <w:rsid w:val="001B4B27"/>
    <w:rsid w:val="001B5CCF"/>
    <w:rsid w:val="001B6E24"/>
    <w:rsid w:val="001B76EA"/>
    <w:rsid w:val="001C05AF"/>
    <w:rsid w:val="001C3032"/>
    <w:rsid w:val="001C4352"/>
    <w:rsid w:val="001C57FC"/>
    <w:rsid w:val="001C7C8A"/>
    <w:rsid w:val="001D262B"/>
    <w:rsid w:val="001D3F19"/>
    <w:rsid w:val="001D3F97"/>
    <w:rsid w:val="001D50A9"/>
    <w:rsid w:val="001D520A"/>
    <w:rsid w:val="001D792B"/>
    <w:rsid w:val="001D7ECE"/>
    <w:rsid w:val="001E15E3"/>
    <w:rsid w:val="001E1772"/>
    <w:rsid w:val="001E2D8B"/>
    <w:rsid w:val="001E4E5B"/>
    <w:rsid w:val="001E5A99"/>
    <w:rsid w:val="001E64AE"/>
    <w:rsid w:val="001E6DA6"/>
    <w:rsid w:val="001E71FA"/>
    <w:rsid w:val="001E7322"/>
    <w:rsid w:val="001F14A2"/>
    <w:rsid w:val="001F21C1"/>
    <w:rsid w:val="001F2782"/>
    <w:rsid w:val="001F2C33"/>
    <w:rsid w:val="001F2DF0"/>
    <w:rsid w:val="001F32FD"/>
    <w:rsid w:val="001F43C9"/>
    <w:rsid w:val="001F492A"/>
    <w:rsid w:val="001F5AC4"/>
    <w:rsid w:val="001F5B8A"/>
    <w:rsid w:val="001F5D9A"/>
    <w:rsid w:val="001F62F5"/>
    <w:rsid w:val="001F65A9"/>
    <w:rsid w:val="001F7277"/>
    <w:rsid w:val="001F728B"/>
    <w:rsid w:val="001F7667"/>
    <w:rsid w:val="00200546"/>
    <w:rsid w:val="00200F64"/>
    <w:rsid w:val="00201060"/>
    <w:rsid w:val="002024A8"/>
    <w:rsid w:val="00202550"/>
    <w:rsid w:val="00202CF2"/>
    <w:rsid w:val="00202D7F"/>
    <w:rsid w:val="00204499"/>
    <w:rsid w:val="0020494C"/>
    <w:rsid w:val="00204F2E"/>
    <w:rsid w:val="00210B8A"/>
    <w:rsid w:val="00212211"/>
    <w:rsid w:val="002127E6"/>
    <w:rsid w:val="00212DB9"/>
    <w:rsid w:val="00213D3D"/>
    <w:rsid w:val="0021530F"/>
    <w:rsid w:val="00215B10"/>
    <w:rsid w:val="002162B0"/>
    <w:rsid w:val="00217DCA"/>
    <w:rsid w:val="00221D20"/>
    <w:rsid w:val="00222B62"/>
    <w:rsid w:val="00223D0C"/>
    <w:rsid w:val="00224892"/>
    <w:rsid w:val="00225359"/>
    <w:rsid w:val="00226959"/>
    <w:rsid w:val="002311D4"/>
    <w:rsid w:val="00231B05"/>
    <w:rsid w:val="002330B9"/>
    <w:rsid w:val="00234C22"/>
    <w:rsid w:val="00235CA8"/>
    <w:rsid w:val="002365E0"/>
    <w:rsid w:val="002403F7"/>
    <w:rsid w:val="00240FF7"/>
    <w:rsid w:val="0024330D"/>
    <w:rsid w:val="00247D4E"/>
    <w:rsid w:val="002508AD"/>
    <w:rsid w:val="002530E3"/>
    <w:rsid w:val="0025332F"/>
    <w:rsid w:val="00253934"/>
    <w:rsid w:val="00253DC8"/>
    <w:rsid w:val="00253F1D"/>
    <w:rsid w:val="002543AC"/>
    <w:rsid w:val="00260B6E"/>
    <w:rsid w:val="00260F2B"/>
    <w:rsid w:val="00262335"/>
    <w:rsid w:val="00262EA9"/>
    <w:rsid w:val="00264557"/>
    <w:rsid w:val="0026576B"/>
    <w:rsid w:val="00265846"/>
    <w:rsid w:val="0026694D"/>
    <w:rsid w:val="00267EF6"/>
    <w:rsid w:val="002713DA"/>
    <w:rsid w:val="00271FB6"/>
    <w:rsid w:val="00273A29"/>
    <w:rsid w:val="00273EFE"/>
    <w:rsid w:val="0027478B"/>
    <w:rsid w:val="00274B1D"/>
    <w:rsid w:val="00275804"/>
    <w:rsid w:val="00275867"/>
    <w:rsid w:val="00275CF7"/>
    <w:rsid w:val="00277769"/>
    <w:rsid w:val="00277FB6"/>
    <w:rsid w:val="002806ED"/>
    <w:rsid w:val="00282336"/>
    <w:rsid w:val="00282DE5"/>
    <w:rsid w:val="00284CE4"/>
    <w:rsid w:val="00284EE2"/>
    <w:rsid w:val="002878B6"/>
    <w:rsid w:val="00290161"/>
    <w:rsid w:val="002907CE"/>
    <w:rsid w:val="00290F5E"/>
    <w:rsid w:val="00290FB3"/>
    <w:rsid w:val="00291AA9"/>
    <w:rsid w:val="00292567"/>
    <w:rsid w:val="002926E1"/>
    <w:rsid w:val="00293D3D"/>
    <w:rsid w:val="00294EFA"/>
    <w:rsid w:val="002953EA"/>
    <w:rsid w:val="002959D0"/>
    <w:rsid w:val="00296FF2"/>
    <w:rsid w:val="0029727A"/>
    <w:rsid w:val="00297BC6"/>
    <w:rsid w:val="00297FBD"/>
    <w:rsid w:val="002A03EC"/>
    <w:rsid w:val="002A2B9F"/>
    <w:rsid w:val="002A4123"/>
    <w:rsid w:val="002A4D74"/>
    <w:rsid w:val="002A4F17"/>
    <w:rsid w:val="002A544A"/>
    <w:rsid w:val="002B0A45"/>
    <w:rsid w:val="002B1FE5"/>
    <w:rsid w:val="002B3A8E"/>
    <w:rsid w:val="002B3C01"/>
    <w:rsid w:val="002B45BA"/>
    <w:rsid w:val="002B5488"/>
    <w:rsid w:val="002B67D5"/>
    <w:rsid w:val="002B68EB"/>
    <w:rsid w:val="002B6A14"/>
    <w:rsid w:val="002B7EF8"/>
    <w:rsid w:val="002C04F0"/>
    <w:rsid w:val="002C13C1"/>
    <w:rsid w:val="002C17DC"/>
    <w:rsid w:val="002C3A68"/>
    <w:rsid w:val="002C3BDE"/>
    <w:rsid w:val="002C41DC"/>
    <w:rsid w:val="002C493D"/>
    <w:rsid w:val="002C657C"/>
    <w:rsid w:val="002C65E4"/>
    <w:rsid w:val="002C6C0C"/>
    <w:rsid w:val="002C6D4F"/>
    <w:rsid w:val="002C7F60"/>
    <w:rsid w:val="002D04B0"/>
    <w:rsid w:val="002D1964"/>
    <w:rsid w:val="002D3325"/>
    <w:rsid w:val="002D3A57"/>
    <w:rsid w:val="002D54B7"/>
    <w:rsid w:val="002D7489"/>
    <w:rsid w:val="002D7AD7"/>
    <w:rsid w:val="002D7D10"/>
    <w:rsid w:val="002E1217"/>
    <w:rsid w:val="002E1A1F"/>
    <w:rsid w:val="002E258C"/>
    <w:rsid w:val="002E25E9"/>
    <w:rsid w:val="002E3DE6"/>
    <w:rsid w:val="002E6515"/>
    <w:rsid w:val="002E721E"/>
    <w:rsid w:val="002E7314"/>
    <w:rsid w:val="002E79FE"/>
    <w:rsid w:val="002F0A10"/>
    <w:rsid w:val="002F0A7A"/>
    <w:rsid w:val="002F1180"/>
    <w:rsid w:val="002F1887"/>
    <w:rsid w:val="002F3316"/>
    <w:rsid w:val="002F3B70"/>
    <w:rsid w:val="002F43A7"/>
    <w:rsid w:val="002F4F5B"/>
    <w:rsid w:val="002F7291"/>
    <w:rsid w:val="002F7451"/>
    <w:rsid w:val="002F7E30"/>
    <w:rsid w:val="00300313"/>
    <w:rsid w:val="00300DC9"/>
    <w:rsid w:val="00301B4A"/>
    <w:rsid w:val="00301CF1"/>
    <w:rsid w:val="0030327C"/>
    <w:rsid w:val="0030336B"/>
    <w:rsid w:val="003057E7"/>
    <w:rsid w:val="003057FA"/>
    <w:rsid w:val="0030612B"/>
    <w:rsid w:val="00306A76"/>
    <w:rsid w:val="0030701F"/>
    <w:rsid w:val="003075C8"/>
    <w:rsid w:val="0030776E"/>
    <w:rsid w:val="0030787B"/>
    <w:rsid w:val="00307B31"/>
    <w:rsid w:val="00310C0D"/>
    <w:rsid w:val="00310D17"/>
    <w:rsid w:val="0031105C"/>
    <w:rsid w:val="0031245C"/>
    <w:rsid w:val="00312D01"/>
    <w:rsid w:val="003132E2"/>
    <w:rsid w:val="0031412F"/>
    <w:rsid w:val="003153DD"/>
    <w:rsid w:val="00316378"/>
    <w:rsid w:val="00321AB8"/>
    <w:rsid w:val="0032373B"/>
    <w:rsid w:val="0032391D"/>
    <w:rsid w:val="00323F59"/>
    <w:rsid w:val="00326F84"/>
    <w:rsid w:val="00327020"/>
    <w:rsid w:val="00330734"/>
    <w:rsid w:val="00330DE7"/>
    <w:rsid w:val="003319F5"/>
    <w:rsid w:val="0033367A"/>
    <w:rsid w:val="00333D9B"/>
    <w:rsid w:val="0033439A"/>
    <w:rsid w:val="00334B97"/>
    <w:rsid w:val="0033638A"/>
    <w:rsid w:val="00337EEA"/>
    <w:rsid w:val="0034019F"/>
    <w:rsid w:val="0034059F"/>
    <w:rsid w:val="00340DDB"/>
    <w:rsid w:val="003417AC"/>
    <w:rsid w:val="00341B45"/>
    <w:rsid w:val="00342DEF"/>
    <w:rsid w:val="00344DF8"/>
    <w:rsid w:val="00346CEB"/>
    <w:rsid w:val="00352198"/>
    <w:rsid w:val="0035296B"/>
    <w:rsid w:val="00353012"/>
    <w:rsid w:val="00353E57"/>
    <w:rsid w:val="00355DCD"/>
    <w:rsid w:val="00356596"/>
    <w:rsid w:val="00356C10"/>
    <w:rsid w:val="00356E84"/>
    <w:rsid w:val="00360711"/>
    <w:rsid w:val="00362F52"/>
    <w:rsid w:val="0036340C"/>
    <w:rsid w:val="00363466"/>
    <w:rsid w:val="00363C8A"/>
    <w:rsid w:val="00364BDA"/>
    <w:rsid w:val="00364D74"/>
    <w:rsid w:val="00365B61"/>
    <w:rsid w:val="0037141C"/>
    <w:rsid w:val="0037155E"/>
    <w:rsid w:val="00371991"/>
    <w:rsid w:val="00371A43"/>
    <w:rsid w:val="003725D7"/>
    <w:rsid w:val="00373404"/>
    <w:rsid w:val="00373A82"/>
    <w:rsid w:val="00375726"/>
    <w:rsid w:val="00377E6F"/>
    <w:rsid w:val="00380081"/>
    <w:rsid w:val="0038025A"/>
    <w:rsid w:val="00380B63"/>
    <w:rsid w:val="00380C07"/>
    <w:rsid w:val="00380F08"/>
    <w:rsid w:val="0038369A"/>
    <w:rsid w:val="003869E2"/>
    <w:rsid w:val="003913FE"/>
    <w:rsid w:val="00393707"/>
    <w:rsid w:val="00397628"/>
    <w:rsid w:val="00397769"/>
    <w:rsid w:val="003A126B"/>
    <w:rsid w:val="003A189A"/>
    <w:rsid w:val="003A1AFF"/>
    <w:rsid w:val="003A1C91"/>
    <w:rsid w:val="003A2A61"/>
    <w:rsid w:val="003A2F1C"/>
    <w:rsid w:val="003A31F1"/>
    <w:rsid w:val="003A3524"/>
    <w:rsid w:val="003A40E3"/>
    <w:rsid w:val="003A679E"/>
    <w:rsid w:val="003A7BA0"/>
    <w:rsid w:val="003B01E0"/>
    <w:rsid w:val="003B0237"/>
    <w:rsid w:val="003B1599"/>
    <w:rsid w:val="003B3525"/>
    <w:rsid w:val="003B3572"/>
    <w:rsid w:val="003B4023"/>
    <w:rsid w:val="003B75AA"/>
    <w:rsid w:val="003B7809"/>
    <w:rsid w:val="003B7939"/>
    <w:rsid w:val="003C3022"/>
    <w:rsid w:val="003C3178"/>
    <w:rsid w:val="003C4270"/>
    <w:rsid w:val="003C5230"/>
    <w:rsid w:val="003C7EC3"/>
    <w:rsid w:val="003D11C8"/>
    <w:rsid w:val="003D208B"/>
    <w:rsid w:val="003D2FE0"/>
    <w:rsid w:val="003D46B7"/>
    <w:rsid w:val="003D52D9"/>
    <w:rsid w:val="003D564B"/>
    <w:rsid w:val="003D6555"/>
    <w:rsid w:val="003D771D"/>
    <w:rsid w:val="003D7C4B"/>
    <w:rsid w:val="003E1211"/>
    <w:rsid w:val="003E3174"/>
    <w:rsid w:val="003E51CD"/>
    <w:rsid w:val="003E5840"/>
    <w:rsid w:val="003E7076"/>
    <w:rsid w:val="003F086E"/>
    <w:rsid w:val="003F0AAA"/>
    <w:rsid w:val="003F0B69"/>
    <w:rsid w:val="003F1B5C"/>
    <w:rsid w:val="003F228E"/>
    <w:rsid w:val="003F25E6"/>
    <w:rsid w:val="003F2D01"/>
    <w:rsid w:val="003F384C"/>
    <w:rsid w:val="003F4CF1"/>
    <w:rsid w:val="003F52D9"/>
    <w:rsid w:val="003F577D"/>
    <w:rsid w:val="004005C6"/>
    <w:rsid w:val="004014B0"/>
    <w:rsid w:val="00401B19"/>
    <w:rsid w:val="00401D4F"/>
    <w:rsid w:val="004021C7"/>
    <w:rsid w:val="00402EDF"/>
    <w:rsid w:val="00403510"/>
    <w:rsid w:val="0040569B"/>
    <w:rsid w:val="00410E98"/>
    <w:rsid w:val="004126C0"/>
    <w:rsid w:val="0041383B"/>
    <w:rsid w:val="00413F29"/>
    <w:rsid w:val="0041543C"/>
    <w:rsid w:val="00416E37"/>
    <w:rsid w:val="00421764"/>
    <w:rsid w:val="0042323C"/>
    <w:rsid w:val="004246FA"/>
    <w:rsid w:val="00424CDE"/>
    <w:rsid w:val="00424EEA"/>
    <w:rsid w:val="00426427"/>
    <w:rsid w:val="00427094"/>
    <w:rsid w:val="0042750D"/>
    <w:rsid w:val="00427547"/>
    <w:rsid w:val="00430545"/>
    <w:rsid w:val="00431897"/>
    <w:rsid w:val="00436960"/>
    <w:rsid w:val="00437771"/>
    <w:rsid w:val="004410AC"/>
    <w:rsid w:val="004417D9"/>
    <w:rsid w:val="00443579"/>
    <w:rsid w:val="004437B9"/>
    <w:rsid w:val="00444DE0"/>
    <w:rsid w:val="00450714"/>
    <w:rsid w:val="00451533"/>
    <w:rsid w:val="004522E8"/>
    <w:rsid w:val="00453828"/>
    <w:rsid w:val="00453B7F"/>
    <w:rsid w:val="00454291"/>
    <w:rsid w:val="00454434"/>
    <w:rsid w:val="0045453D"/>
    <w:rsid w:val="004546E9"/>
    <w:rsid w:val="00457102"/>
    <w:rsid w:val="00457876"/>
    <w:rsid w:val="00457E66"/>
    <w:rsid w:val="00460EA7"/>
    <w:rsid w:val="0046343B"/>
    <w:rsid w:val="004639E3"/>
    <w:rsid w:val="004641C4"/>
    <w:rsid w:val="00464232"/>
    <w:rsid w:val="00464D35"/>
    <w:rsid w:val="00465683"/>
    <w:rsid w:val="004664C2"/>
    <w:rsid w:val="00467E87"/>
    <w:rsid w:val="00470DFD"/>
    <w:rsid w:val="00476461"/>
    <w:rsid w:val="004773E3"/>
    <w:rsid w:val="00477AB3"/>
    <w:rsid w:val="0048017C"/>
    <w:rsid w:val="004818A4"/>
    <w:rsid w:val="0048206F"/>
    <w:rsid w:val="00484985"/>
    <w:rsid w:val="0048560F"/>
    <w:rsid w:val="00485DDD"/>
    <w:rsid w:val="00490035"/>
    <w:rsid w:val="00491ADB"/>
    <w:rsid w:val="00492AB1"/>
    <w:rsid w:val="00493B6C"/>
    <w:rsid w:val="00493F39"/>
    <w:rsid w:val="00494A1C"/>
    <w:rsid w:val="00495AF1"/>
    <w:rsid w:val="004963E0"/>
    <w:rsid w:val="00496AB5"/>
    <w:rsid w:val="004979E8"/>
    <w:rsid w:val="004A0B12"/>
    <w:rsid w:val="004A0EF4"/>
    <w:rsid w:val="004A1973"/>
    <w:rsid w:val="004A2A51"/>
    <w:rsid w:val="004A4BD2"/>
    <w:rsid w:val="004A4C07"/>
    <w:rsid w:val="004A56C1"/>
    <w:rsid w:val="004A5C12"/>
    <w:rsid w:val="004A688D"/>
    <w:rsid w:val="004A6B3C"/>
    <w:rsid w:val="004B1418"/>
    <w:rsid w:val="004B23BC"/>
    <w:rsid w:val="004B29CA"/>
    <w:rsid w:val="004B5320"/>
    <w:rsid w:val="004B5BE8"/>
    <w:rsid w:val="004B715B"/>
    <w:rsid w:val="004B785E"/>
    <w:rsid w:val="004C01FA"/>
    <w:rsid w:val="004C0533"/>
    <w:rsid w:val="004C0BAC"/>
    <w:rsid w:val="004C1E43"/>
    <w:rsid w:val="004C3C40"/>
    <w:rsid w:val="004C42AB"/>
    <w:rsid w:val="004C42ED"/>
    <w:rsid w:val="004C4D81"/>
    <w:rsid w:val="004C626E"/>
    <w:rsid w:val="004D065A"/>
    <w:rsid w:val="004D095A"/>
    <w:rsid w:val="004D1EF3"/>
    <w:rsid w:val="004D28C2"/>
    <w:rsid w:val="004D2C15"/>
    <w:rsid w:val="004D602C"/>
    <w:rsid w:val="004E04F0"/>
    <w:rsid w:val="004E082C"/>
    <w:rsid w:val="004E0AE1"/>
    <w:rsid w:val="004E0C23"/>
    <w:rsid w:val="004E26D1"/>
    <w:rsid w:val="004E3D0A"/>
    <w:rsid w:val="004E417F"/>
    <w:rsid w:val="004E51D5"/>
    <w:rsid w:val="004E6195"/>
    <w:rsid w:val="004E65B5"/>
    <w:rsid w:val="004E7BFA"/>
    <w:rsid w:val="004E7DED"/>
    <w:rsid w:val="004F010D"/>
    <w:rsid w:val="004F14BA"/>
    <w:rsid w:val="004F24FE"/>
    <w:rsid w:val="004F567D"/>
    <w:rsid w:val="004F5C96"/>
    <w:rsid w:val="004F5F2B"/>
    <w:rsid w:val="004F759A"/>
    <w:rsid w:val="004F7758"/>
    <w:rsid w:val="00500965"/>
    <w:rsid w:val="00501162"/>
    <w:rsid w:val="005026F5"/>
    <w:rsid w:val="005029BD"/>
    <w:rsid w:val="00502A96"/>
    <w:rsid w:val="00503453"/>
    <w:rsid w:val="00503611"/>
    <w:rsid w:val="0050488F"/>
    <w:rsid w:val="00504F15"/>
    <w:rsid w:val="005064CD"/>
    <w:rsid w:val="005072AC"/>
    <w:rsid w:val="0050730F"/>
    <w:rsid w:val="005076C1"/>
    <w:rsid w:val="0050775A"/>
    <w:rsid w:val="00507B05"/>
    <w:rsid w:val="00507BFF"/>
    <w:rsid w:val="00507C68"/>
    <w:rsid w:val="0051025D"/>
    <w:rsid w:val="00510F4E"/>
    <w:rsid w:val="0051361B"/>
    <w:rsid w:val="00514CA3"/>
    <w:rsid w:val="00514CB5"/>
    <w:rsid w:val="00515E0D"/>
    <w:rsid w:val="00516563"/>
    <w:rsid w:val="00520034"/>
    <w:rsid w:val="00520B4A"/>
    <w:rsid w:val="00521247"/>
    <w:rsid w:val="00521BA6"/>
    <w:rsid w:val="00521CFF"/>
    <w:rsid w:val="00521ED6"/>
    <w:rsid w:val="00522245"/>
    <w:rsid w:val="00522AF8"/>
    <w:rsid w:val="00524FDD"/>
    <w:rsid w:val="00525B95"/>
    <w:rsid w:val="005276A5"/>
    <w:rsid w:val="005276D6"/>
    <w:rsid w:val="00527B89"/>
    <w:rsid w:val="00527BF1"/>
    <w:rsid w:val="00527FE1"/>
    <w:rsid w:val="00531A2C"/>
    <w:rsid w:val="00534E55"/>
    <w:rsid w:val="00537949"/>
    <w:rsid w:val="00537E7C"/>
    <w:rsid w:val="005405FD"/>
    <w:rsid w:val="00541FFF"/>
    <w:rsid w:val="005425C7"/>
    <w:rsid w:val="00542654"/>
    <w:rsid w:val="005431AE"/>
    <w:rsid w:val="00543328"/>
    <w:rsid w:val="0054394C"/>
    <w:rsid w:val="0054564D"/>
    <w:rsid w:val="00547087"/>
    <w:rsid w:val="00547BED"/>
    <w:rsid w:val="00550756"/>
    <w:rsid w:val="0055230E"/>
    <w:rsid w:val="005523F7"/>
    <w:rsid w:val="00553224"/>
    <w:rsid w:val="00554375"/>
    <w:rsid w:val="00554B76"/>
    <w:rsid w:val="00557A62"/>
    <w:rsid w:val="0056028D"/>
    <w:rsid w:val="005613BB"/>
    <w:rsid w:val="005616A6"/>
    <w:rsid w:val="00566C77"/>
    <w:rsid w:val="00566EAD"/>
    <w:rsid w:val="00571C34"/>
    <w:rsid w:val="00572312"/>
    <w:rsid w:val="00574177"/>
    <w:rsid w:val="00574471"/>
    <w:rsid w:val="00574488"/>
    <w:rsid w:val="005749E8"/>
    <w:rsid w:val="00575545"/>
    <w:rsid w:val="0057592D"/>
    <w:rsid w:val="00577738"/>
    <w:rsid w:val="005809A0"/>
    <w:rsid w:val="005811F7"/>
    <w:rsid w:val="00581FD3"/>
    <w:rsid w:val="00583697"/>
    <w:rsid w:val="00583C42"/>
    <w:rsid w:val="0058589E"/>
    <w:rsid w:val="00586047"/>
    <w:rsid w:val="005864B9"/>
    <w:rsid w:val="0058662F"/>
    <w:rsid w:val="00587593"/>
    <w:rsid w:val="005906CF"/>
    <w:rsid w:val="00590A57"/>
    <w:rsid w:val="00590BE5"/>
    <w:rsid w:val="00590F51"/>
    <w:rsid w:val="00591C0F"/>
    <w:rsid w:val="00591C13"/>
    <w:rsid w:val="00592412"/>
    <w:rsid w:val="00593079"/>
    <w:rsid w:val="0059355D"/>
    <w:rsid w:val="00593C1B"/>
    <w:rsid w:val="00594C7C"/>
    <w:rsid w:val="00595208"/>
    <w:rsid w:val="00595A35"/>
    <w:rsid w:val="005A0DA0"/>
    <w:rsid w:val="005A2AF6"/>
    <w:rsid w:val="005A4089"/>
    <w:rsid w:val="005A51D7"/>
    <w:rsid w:val="005A6757"/>
    <w:rsid w:val="005A7047"/>
    <w:rsid w:val="005A78E0"/>
    <w:rsid w:val="005A7F63"/>
    <w:rsid w:val="005B0417"/>
    <w:rsid w:val="005B3FA9"/>
    <w:rsid w:val="005B415E"/>
    <w:rsid w:val="005B4E12"/>
    <w:rsid w:val="005B5388"/>
    <w:rsid w:val="005B5AB0"/>
    <w:rsid w:val="005B5B89"/>
    <w:rsid w:val="005B62D5"/>
    <w:rsid w:val="005B7A53"/>
    <w:rsid w:val="005C015C"/>
    <w:rsid w:val="005C511E"/>
    <w:rsid w:val="005C5315"/>
    <w:rsid w:val="005C580A"/>
    <w:rsid w:val="005C6556"/>
    <w:rsid w:val="005C74C4"/>
    <w:rsid w:val="005C7723"/>
    <w:rsid w:val="005D0F46"/>
    <w:rsid w:val="005D0FA0"/>
    <w:rsid w:val="005D3DE4"/>
    <w:rsid w:val="005D4893"/>
    <w:rsid w:val="005D4FED"/>
    <w:rsid w:val="005D5BDF"/>
    <w:rsid w:val="005D607B"/>
    <w:rsid w:val="005D65C9"/>
    <w:rsid w:val="005D7861"/>
    <w:rsid w:val="005E00A4"/>
    <w:rsid w:val="005E0FF1"/>
    <w:rsid w:val="005E11D8"/>
    <w:rsid w:val="005E1A5D"/>
    <w:rsid w:val="005E24A6"/>
    <w:rsid w:val="005E4718"/>
    <w:rsid w:val="005E4757"/>
    <w:rsid w:val="005E6464"/>
    <w:rsid w:val="005E672F"/>
    <w:rsid w:val="005E6A88"/>
    <w:rsid w:val="005E6B1C"/>
    <w:rsid w:val="005F0205"/>
    <w:rsid w:val="005F0BD4"/>
    <w:rsid w:val="005F27CB"/>
    <w:rsid w:val="005F4F6E"/>
    <w:rsid w:val="005F50B6"/>
    <w:rsid w:val="005F5629"/>
    <w:rsid w:val="005F582E"/>
    <w:rsid w:val="005F672B"/>
    <w:rsid w:val="00601619"/>
    <w:rsid w:val="00603974"/>
    <w:rsid w:val="006039C5"/>
    <w:rsid w:val="00604FED"/>
    <w:rsid w:val="00606636"/>
    <w:rsid w:val="00606835"/>
    <w:rsid w:val="00610B15"/>
    <w:rsid w:val="00612411"/>
    <w:rsid w:val="006132CA"/>
    <w:rsid w:val="0061386C"/>
    <w:rsid w:val="006139B9"/>
    <w:rsid w:val="00614B4F"/>
    <w:rsid w:val="00615401"/>
    <w:rsid w:val="00616397"/>
    <w:rsid w:val="0062120B"/>
    <w:rsid w:val="00621FDA"/>
    <w:rsid w:val="00622811"/>
    <w:rsid w:val="00622A63"/>
    <w:rsid w:val="00623E23"/>
    <w:rsid w:val="00623EFD"/>
    <w:rsid w:val="00625EB9"/>
    <w:rsid w:val="006272E2"/>
    <w:rsid w:val="00630E04"/>
    <w:rsid w:val="006316DD"/>
    <w:rsid w:val="00631761"/>
    <w:rsid w:val="006327B0"/>
    <w:rsid w:val="00633486"/>
    <w:rsid w:val="0063350C"/>
    <w:rsid w:val="00634ECE"/>
    <w:rsid w:val="00635A4D"/>
    <w:rsid w:val="006365BD"/>
    <w:rsid w:val="00636778"/>
    <w:rsid w:val="00637EAF"/>
    <w:rsid w:val="00641FD9"/>
    <w:rsid w:val="00643FFA"/>
    <w:rsid w:val="0064441E"/>
    <w:rsid w:val="00645702"/>
    <w:rsid w:val="00645A78"/>
    <w:rsid w:val="00646EF9"/>
    <w:rsid w:val="00650CCF"/>
    <w:rsid w:val="006523C8"/>
    <w:rsid w:val="006527C0"/>
    <w:rsid w:val="00652DC1"/>
    <w:rsid w:val="006549DA"/>
    <w:rsid w:val="00654F05"/>
    <w:rsid w:val="00655787"/>
    <w:rsid w:val="00655F5F"/>
    <w:rsid w:val="00656759"/>
    <w:rsid w:val="00657BE2"/>
    <w:rsid w:val="00661162"/>
    <w:rsid w:val="00663912"/>
    <w:rsid w:val="00664921"/>
    <w:rsid w:val="0066517A"/>
    <w:rsid w:val="00665238"/>
    <w:rsid w:val="006676A2"/>
    <w:rsid w:val="00667BD7"/>
    <w:rsid w:val="00670092"/>
    <w:rsid w:val="00670F16"/>
    <w:rsid w:val="00672446"/>
    <w:rsid w:val="00672C15"/>
    <w:rsid w:val="0067307A"/>
    <w:rsid w:val="00674ECA"/>
    <w:rsid w:val="006757ED"/>
    <w:rsid w:val="00675B55"/>
    <w:rsid w:val="00675BD5"/>
    <w:rsid w:val="006765DC"/>
    <w:rsid w:val="006778DC"/>
    <w:rsid w:val="006806A9"/>
    <w:rsid w:val="0068101C"/>
    <w:rsid w:val="00681944"/>
    <w:rsid w:val="0068237C"/>
    <w:rsid w:val="00682921"/>
    <w:rsid w:val="00683573"/>
    <w:rsid w:val="0068596C"/>
    <w:rsid w:val="00686B54"/>
    <w:rsid w:val="00686C87"/>
    <w:rsid w:val="00687847"/>
    <w:rsid w:val="00687C12"/>
    <w:rsid w:val="00687F30"/>
    <w:rsid w:val="006904A5"/>
    <w:rsid w:val="00690B84"/>
    <w:rsid w:val="00690C34"/>
    <w:rsid w:val="006910F5"/>
    <w:rsid w:val="006912E9"/>
    <w:rsid w:val="00691300"/>
    <w:rsid w:val="006917AA"/>
    <w:rsid w:val="006919FC"/>
    <w:rsid w:val="00692360"/>
    <w:rsid w:val="006924F4"/>
    <w:rsid w:val="0069449A"/>
    <w:rsid w:val="0069677F"/>
    <w:rsid w:val="006970E2"/>
    <w:rsid w:val="006976F4"/>
    <w:rsid w:val="00697C5F"/>
    <w:rsid w:val="006A050E"/>
    <w:rsid w:val="006A1D54"/>
    <w:rsid w:val="006A2470"/>
    <w:rsid w:val="006A38F6"/>
    <w:rsid w:val="006A4940"/>
    <w:rsid w:val="006A4B00"/>
    <w:rsid w:val="006A6E0B"/>
    <w:rsid w:val="006B077F"/>
    <w:rsid w:val="006B1B21"/>
    <w:rsid w:val="006B209E"/>
    <w:rsid w:val="006B22E1"/>
    <w:rsid w:val="006B3514"/>
    <w:rsid w:val="006B4CF6"/>
    <w:rsid w:val="006B4D9A"/>
    <w:rsid w:val="006B4E55"/>
    <w:rsid w:val="006B56BF"/>
    <w:rsid w:val="006B69F7"/>
    <w:rsid w:val="006B76CA"/>
    <w:rsid w:val="006C0187"/>
    <w:rsid w:val="006C2566"/>
    <w:rsid w:val="006C32FC"/>
    <w:rsid w:val="006C407A"/>
    <w:rsid w:val="006C414D"/>
    <w:rsid w:val="006C4236"/>
    <w:rsid w:val="006C4CE5"/>
    <w:rsid w:val="006C7F5B"/>
    <w:rsid w:val="006D2760"/>
    <w:rsid w:val="006D32F6"/>
    <w:rsid w:val="006D54C3"/>
    <w:rsid w:val="006D5917"/>
    <w:rsid w:val="006D5B2F"/>
    <w:rsid w:val="006D6615"/>
    <w:rsid w:val="006D7729"/>
    <w:rsid w:val="006E098C"/>
    <w:rsid w:val="006E2886"/>
    <w:rsid w:val="006E2D64"/>
    <w:rsid w:val="006E3488"/>
    <w:rsid w:val="006E524A"/>
    <w:rsid w:val="006E5E94"/>
    <w:rsid w:val="006E70D7"/>
    <w:rsid w:val="006F0459"/>
    <w:rsid w:val="006F11FF"/>
    <w:rsid w:val="006F12B3"/>
    <w:rsid w:val="006F2500"/>
    <w:rsid w:val="006F349F"/>
    <w:rsid w:val="006F37F6"/>
    <w:rsid w:val="006F3931"/>
    <w:rsid w:val="006F40C2"/>
    <w:rsid w:val="006F4AA3"/>
    <w:rsid w:val="006F4E00"/>
    <w:rsid w:val="006F5072"/>
    <w:rsid w:val="006F5128"/>
    <w:rsid w:val="006F5D06"/>
    <w:rsid w:val="006F76FD"/>
    <w:rsid w:val="006F7A50"/>
    <w:rsid w:val="006F7BA8"/>
    <w:rsid w:val="00703881"/>
    <w:rsid w:val="00703BF9"/>
    <w:rsid w:val="00703DB4"/>
    <w:rsid w:val="00703F9C"/>
    <w:rsid w:val="007042EC"/>
    <w:rsid w:val="007054D1"/>
    <w:rsid w:val="00705ABE"/>
    <w:rsid w:val="00706E74"/>
    <w:rsid w:val="007071C7"/>
    <w:rsid w:val="00707B10"/>
    <w:rsid w:val="007105F6"/>
    <w:rsid w:val="0071093E"/>
    <w:rsid w:val="00710DB7"/>
    <w:rsid w:val="0071169A"/>
    <w:rsid w:val="007118A3"/>
    <w:rsid w:val="00711FEB"/>
    <w:rsid w:val="007125B1"/>
    <w:rsid w:val="007138BE"/>
    <w:rsid w:val="007171F0"/>
    <w:rsid w:val="00720E71"/>
    <w:rsid w:val="00722770"/>
    <w:rsid w:val="00722976"/>
    <w:rsid w:val="00722AC8"/>
    <w:rsid w:val="00722B03"/>
    <w:rsid w:val="00724AD6"/>
    <w:rsid w:val="00725773"/>
    <w:rsid w:val="007273F4"/>
    <w:rsid w:val="00730166"/>
    <w:rsid w:val="0073132C"/>
    <w:rsid w:val="00731A96"/>
    <w:rsid w:val="00731F09"/>
    <w:rsid w:val="00733023"/>
    <w:rsid w:val="00734606"/>
    <w:rsid w:val="00734637"/>
    <w:rsid w:val="00735CFA"/>
    <w:rsid w:val="007375B2"/>
    <w:rsid w:val="00737982"/>
    <w:rsid w:val="00740853"/>
    <w:rsid w:val="007409F2"/>
    <w:rsid w:val="00740C7B"/>
    <w:rsid w:val="0074139E"/>
    <w:rsid w:val="0074142F"/>
    <w:rsid w:val="00741783"/>
    <w:rsid w:val="0074499A"/>
    <w:rsid w:val="00744EEC"/>
    <w:rsid w:val="00746240"/>
    <w:rsid w:val="00747E35"/>
    <w:rsid w:val="00750B4D"/>
    <w:rsid w:val="00750F90"/>
    <w:rsid w:val="00750FF4"/>
    <w:rsid w:val="007510F8"/>
    <w:rsid w:val="007526AC"/>
    <w:rsid w:val="0075413D"/>
    <w:rsid w:val="007542C8"/>
    <w:rsid w:val="0075492A"/>
    <w:rsid w:val="00755FD3"/>
    <w:rsid w:val="00756FC2"/>
    <w:rsid w:val="007608ED"/>
    <w:rsid w:val="0076576A"/>
    <w:rsid w:val="00765A57"/>
    <w:rsid w:val="00766089"/>
    <w:rsid w:val="007668F7"/>
    <w:rsid w:val="007669B8"/>
    <w:rsid w:val="00767D2C"/>
    <w:rsid w:val="00770FD6"/>
    <w:rsid w:val="007715CE"/>
    <w:rsid w:val="00771FBA"/>
    <w:rsid w:val="007720B0"/>
    <w:rsid w:val="0077302A"/>
    <w:rsid w:val="0077375E"/>
    <w:rsid w:val="00775E94"/>
    <w:rsid w:val="00776260"/>
    <w:rsid w:val="00776DB0"/>
    <w:rsid w:val="00780045"/>
    <w:rsid w:val="0078080B"/>
    <w:rsid w:val="00780B85"/>
    <w:rsid w:val="0078113E"/>
    <w:rsid w:val="0078225E"/>
    <w:rsid w:val="007824E1"/>
    <w:rsid w:val="007836D6"/>
    <w:rsid w:val="0078393B"/>
    <w:rsid w:val="0078479B"/>
    <w:rsid w:val="00784A2A"/>
    <w:rsid w:val="00786EEB"/>
    <w:rsid w:val="007872FC"/>
    <w:rsid w:val="00787D3D"/>
    <w:rsid w:val="00787D63"/>
    <w:rsid w:val="00790ED1"/>
    <w:rsid w:val="007910E3"/>
    <w:rsid w:val="00793733"/>
    <w:rsid w:val="00793A19"/>
    <w:rsid w:val="0079445D"/>
    <w:rsid w:val="00794982"/>
    <w:rsid w:val="00794E6A"/>
    <w:rsid w:val="00795176"/>
    <w:rsid w:val="0079517F"/>
    <w:rsid w:val="0079606F"/>
    <w:rsid w:val="007A0A4B"/>
    <w:rsid w:val="007A1B5B"/>
    <w:rsid w:val="007A3928"/>
    <w:rsid w:val="007A4BD1"/>
    <w:rsid w:val="007A5457"/>
    <w:rsid w:val="007A632A"/>
    <w:rsid w:val="007A7B4D"/>
    <w:rsid w:val="007B0EC6"/>
    <w:rsid w:val="007B101E"/>
    <w:rsid w:val="007B1C39"/>
    <w:rsid w:val="007B2637"/>
    <w:rsid w:val="007B4E09"/>
    <w:rsid w:val="007B5C6D"/>
    <w:rsid w:val="007B6E86"/>
    <w:rsid w:val="007B70D4"/>
    <w:rsid w:val="007B7ADE"/>
    <w:rsid w:val="007C1112"/>
    <w:rsid w:val="007C122A"/>
    <w:rsid w:val="007C28C0"/>
    <w:rsid w:val="007C2B35"/>
    <w:rsid w:val="007C7CB2"/>
    <w:rsid w:val="007D28B1"/>
    <w:rsid w:val="007D2BE8"/>
    <w:rsid w:val="007D2FAF"/>
    <w:rsid w:val="007D39BC"/>
    <w:rsid w:val="007D3ABE"/>
    <w:rsid w:val="007D41B4"/>
    <w:rsid w:val="007D4D34"/>
    <w:rsid w:val="007D756A"/>
    <w:rsid w:val="007D76AD"/>
    <w:rsid w:val="007D7A41"/>
    <w:rsid w:val="007D7F03"/>
    <w:rsid w:val="007E003A"/>
    <w:rsid w:val="007E0FE9"/>
    <w:rsid w:val="007E1336"/>
    <w:rsid w:val="007E1AB4"/>
    <w:rsid w:val="007E3728"/>
    <w:rsid w:val="007E57E0"/>
    <w:rsid w:val="007E59B9"/>
    <w:rsid w:val="007E5A1A"/>
    <w:rsid w:val="007E5D2F"/>
    <w:rsid w:val="007E5F6D"/>
    <w:rsid w:val="007E7D75"/>
    <w:rsid w:val="007F10FB"/>
    <w:rsid w:val="007F3837"/>
    <w:rsid w:val="007F38E3"/>
    <w:rsid w:val="007F40A4"/>
    <w:rsid w:val="007F5632"/>
    <w:rsid w:val="007F68D3"/>
    <w:rsid w:val="008004F7"/>
    <w:rsid w:val="00802310"/>
    <w:rsid w:val="00802AF0"/>
    <w:rsid w:val="00802D45"/>
    <w:rsid w:val="008039D5"/>
    <w:rsid w:val="008040D1"/>
    <w:rsid w:val="00805D2E"/>
    <w:rsid w:val="0080683C"/>
    <w:rsid w:val="0080737D"/>
    <w:rsid w:val="008101EF"/>
    <w:rsid w:val="0081031C"/>
    <w:rsid w:val="0081053D"/>
    <w:rsid w:val="00810978"/>
    <w:rsid w:val="008110A1"/>
    <w:rsid w:val="00811A5E"/>
    <w:rsid w:val="008123A1"/>
    <w:rsid w:val="00812A7A"/>
    <w:rsid w:val="00813CBA"/>
    <w:rsid w:val="0081570B"/>
    <w:rsid w:val="008159C9"/>
    <w:rsid w:val="00815E2D"/>
    <w:rsid w:val="00816768"/>
    <w:rsid w:val="008168A7"/>
    <w:rsid w:val="00820320"/>
    <w:rsid w:val="008204E6"/>
    <w:rsid w:val="00822422"/>
    <w:rsid w:val="0082326A"/>
    <w:rsid w:val="00823D34"/>
    <w:rsid w:val="00823DBE"/>
    <w:rsid w:val="00824340"/>
    <w:rsid w:val="00825C3C"/>
    <w:rsid w:val="008267A1"/>
    <w:rsid w:val="00830095"/>
    <w:rsid w:val="00830DC4"/>
    <w:rsid w:val="0083221D"/>
    <w:rsid w:val="00833159"/>
    <w:rsid w:val="008345F1"/>
    <w:rsid w:val="00834E4A"/>
    <w:rsid w:val="00843644"/>
    <w:rsid w:val="00844945"/>
    <w:rsid w:val="00846387"/>
    <w:rsid w:val="00847756"/>
    <w:rsid w:val="0085140C"/>
    <w:rsid w:val="00851949"/>
    <w:rsid w:val="00853182"/>
    <w:rsid w:val="00853F72"/>
    <w:rsid w:val="0085603F"/>
    <w:rsid w:val="008566EE"/>
    <w:rsid w:val="00856A6F"/>
    <w:rsid w:val="008573BA"/>
    <w:rsid w:val="0085768F"/>
    <w:rsid w:val="00857B98"/>
    <w:rsid w:val="00857E74"/>
    <w:rsid w:val="00857EFE"/>
    <w:rsid w:val="00857F9A"/>
    <w:rsid w:val="0086006B"/>
    <w:rsid w:val="008600E0"/>
    <w:rsid w:val="0086291D"/>
    <w:rsid w:val="00862992"/>
    <w:rsid w:val="008632B0"/>
    <w:rsid w:val="00863343"/>
    <w:rsid w:val="00864848"/>
    <w:rsid w:val="00865547"/>
    <w:rsid w:val="00866B11"/>
    <w:rsid w:val="00867F30"/>
    <w:rsid w:val="0087000B"/>
    <w:rsid w:val="0087033A"/>
    <w:rsid w:val="00871704"/>
    <w:rsid w:val="00871C3C"/>
    <w:rsid w:val="00872805"/>
    <w:rsid w:val="00872B1F"/>
    <w:rsid w:val="00872D35"/>
    <w:rsid w:val="00872D6B"/>
    <w:rsid w:val="00874C75"/>
    <w:rsid w:val="008770AE"/>
    <w:rsid w:val="00877288"/>
    <w:rsid w:val="0087770C"/>
    <w:rsid w:val="0088027D"/>
    <w:rsid w:val="00881016"/>
    <w:rsid w:val="00882075"/>
    <w:rsid w:val="00882C82"/>
    <w:rsid w:val="00882CD6"/>
    <w:rsid w:val="00882F7D"/>
    <w:rsid w:val="008834CD"/>
    <w:rsid w:val="008837DE"/>
    <w:rsid w:val="0088766C"/>
    <w:rsid w:val="00890203"/>
    <w:rsid w:val="008932EE"/>
    <w:rsid w:val="00893BF3"/>
    <w:rsid w:val="00893FF8"/>
    <w:rsid w:val="00895155"/>
    <w:rsid w:val="00895DFD"/>
    <w:rsid w:val="008961F2"/>
    <w:rsid w:val="008977B0"/>
    <w:rsid w:val="00897A92"/>
    <w:rsid w:val="008A09EE"/>
    <w:rsid w:val="008A1FE8"/>
    <w:rsid w:val="008A23F4"/>
    <w:rsid w:val="008A48DE"/>
    <w:rsid w:val="008A5285"/>
    <w:rsid w:val="008A6913"/>
    <w:rsid w:val="008A6BDB"/>
    <w:rsid w:val="008A74A9"/>
    <w:rsid w:val="008B0E73"/>
    <w:rsid w:val="008B106A"/>
    <w:rsid w:val="008B12E6"/>
    <w:rsid w:val="008B131B"/>
    <w:rsid w:val="008B3460"/>
    <w:rsid w:val="008B6CBC"/>
    <w:rsid w:val="008B7B17"/>
    <w:rsid w:val="008C0DBE"/>
    <w:rsid w:val="008C29E4"/>
    <w:rsid w:val="008C2C7F"/>
    <w:rsid w:val="008C2E3A"/>
    <w:rsid w:val="008C3B02"/>
    <w:rsid w:val="008C5DDC"/>
    <w:rsid w:val="008C6543"/>
    <w:rsid w:val="008C75C7"/>
    <w:rsid w:val="008D317D"/>
    <w:rsid w:val="008D6E9D"/>
    <w:rsid w:val="008E1D7D"/>
    <w:rsid w:val="008E5E98"/>
    <w:rsid w:val="008E6828"/>
    <w:rsid w:val="008E729B"/>
    <w:rsid w:val="008F0462"/>
    <w:rsid w:val="008F0843"/>
    <w:rsid w:val="008F2FEB"/>
    <w:rsid w:val="008F3A80"/>
    <w:rsid w:val="008F3E95"/>
    <w:rsid w:val="008F46FE"/>
    <w:rsid w:val="008F6FA7"/>
    <w:rsid w:val="008F74DB"/>
    <w:rsid w:val="008F7CD7"/>
    <w:rsid w:val="00901A2B"/>
    <w:rsid w:val="00902346"/>
    <w:rsid w:val="00903226"/>
    <w:rsid w:val="00903723"/>
    <w:rsid w:val="009049B3"/>
    <w:rsid w:val="00904D67"/>
    <w:rsid w:val="0090514C"/>
    <w:rsid w:val="00906201"/>
    <w:rsid w:val="00910B7D"/>
    <w:rsid w:val="00911E03"/>
    <w:rsid w:val="00912D66"/>
    <w:rsid w:val="009130E5"/>
    <w:rsid w:val="00914EA7"/>
    <w:rsid w:val="00915862"/>
    <w:rsid w:val="00915939"/>
    <w:rsid w:val="009170AC"/>
    <w:rsid w:val="00917F8A"/>
    <w:rsid w:val="009200A3"/>
    <w:rsid w:val="009227DC"/>
    <w:rsid w:val="0092334B"/>
    <w:rsid w:val="00923AE0"/>
    <w:rsid w:val="00923B3D"/>
    <w:rsid w:val="00925671"/>
    <w:rsid w:val="00925A18"/>
    <w:rsid w:val="00925FC6"/>
    <w:rsid w:val="0092684A"/>
    <w:rsid w:val="009307DE"/>
    <w:rsid w:val="009326B0"/>
    <w:rsid w:val="009328E5"/>
    <w:rsid w:val="00933C96"/>
    <w:rsid w:val="0093553E"/>
    <w:rsid w:val="00935F21"/>
    <w:rsid w:val="00937DE5"/>
    <w:rsid w:val="0094002A"/>
    <w:rsid w:val="0094069D"/>
    <w:rsid w:val="009410F3"/>
    <w:rsid w:val="009411EA"/>
    <w:rsid w:val="00941537"/>
    <w:rsid w:val="009458F3"/>
    <w:rsid w:val="009503B4"/>
    <w:rsid w:val="0095187D"/>
    <w:rsid w:val="009529B2"/>
    <w:rsid w:val="0095391A"/>
    <w:rsid w:val="00954A6F"/>
    <w:rsid w:val="00955250"/>
    <w:rsid w:val="00955541"/>
    <w:rsid w:val="00955E71"/>
    <w:rsid w:val="009570E5"/>
    <w:rsid w:val="009574AE"/>
    <w:rsid w:val="0096078B"/>
    <w:rsid w:val="00960922"/>
    <w:rsid w:val="00960B5F"/>
    <w:rsid w:val="00961206"/>
    <w:rsid w:val="00961E3D"/>
    <w:rsid w:val="00961E5F"/>
    <w:rsid w:val="00961F4B"/>
    <w:rsid w:val="009652EB"/>
    <w:rsid w:val="00972701"/>
    <w:rsid w:val="0097420A"/>
    <w:rsid w:val="009752E9"/>
    <w:rsid w:val="00976AD4"/>
    <w:rsid w:val="00976CD6"/>
    <w:rsid w:val="009809EB"/>
    <w:rsid w:val="00981691"/>
    <w:rsid w:val="009822F8"/>
    <w:rsid w:val="0098258F"/>
    <w:rsid w:val="0098288E"/>
    <w:rsid w:val="009833E7"/>
    <w:rsid w:val="009858D3"/>
    <w:rsid w:val="00986448"/>
    <w:rsid w:val="00986A81"/>
    <w:rsid w:val="00987793"/>
    <w:rsid w:val="00987CA7"/>
    <w:rsid w:val="00990255"/>
    <w:rsid w:val="00990C06"/>
    <w:rsid w:val="0099250D"/>
    <w:rsid w:val="00994B05"/>
    <w:rsid w:val="00994E82"/>
    <w:rsid w:val="009A0645"/>
    <w:rsid w:val="009A100E"/>
    <w:rsid w:val="009A176C"/>
    <w:rsid w:val="009A25D9"/>
    <w:rsid w:val="009A38D4"/>
    <w:rsid w:val="009A621E"/>
    <w:rsid w:val="009A7315"/>
    <w:rsid w:val="009B0E02"/>
    <w:rsid w:val="009B0E82"/>
    <w:rsid w:val="009B11E5"/>
    <w:rsid w:val="009B1230"/>
    <w:rsid w:val="009B3D9F"/>
    <w:rsid w:val="009B5808"/>
    <w:rsid w:val="009B6F71"/>
    <w:rsid w:val="009B7C2E"/>
    <w:rsid w:val="009C08E0"/>
    <w:rsid w:val="009C0FA6"/>
    <w:rsid w:val="009C134E"/>
    <w:rsid w:val="009C138A"/>
    <w:rsid w:val="009C193A"/>
    <w:rsid w:val="009C238A"/>
    <w:rsid w:val="009C2A3D"/>
    <w:rsid w:val="009C4BEA"/>
    <w:rsid w:val="009C52B6"/>
    <w:rsid w:val="009C7493"/>
    <w:rsid w:val="009C7FD7"/>
    <w:rsid w:val="009D2BFD"/>
    <w:rsid w:val="009D520B"/>
    <w:rsid w:val="009D56ED"/>
    <w:rsid w:val="009D6A1F"/>
    <w:rsid w:val="009D7EBF"/>
    <w:rsid w:val="009E0558"/>
    <w:rsid w:val="009E16B0"/>
    <w:rsid w:val="009E1865"/>
    <w:rsid w:val="009E1B77"/>
    <w:rsid w:val="009E1F08"/>
    <w:rsid w:val="009E2F91"/>
    <w:rsid w:val="009E348C"/>
    <w:rsid w:val="009E3629"/>
    <w:rsid w:val="009E50E4"/>
    <w:rsid w:val="009E52C0"/>
    <w:rsid w:val="009F01C6"/>
    <w:rsid w:val="009F021D"/>
    <w:rsid w:val="009F0478"/>
    <w:rsid w:val="009F0631"/>
    <w:rsid w:val="009F1313"/>
    <w:rsid w:val="009F5666"/>
    <w:rsid w:val="009F5692"/>
    <w:rsid w:val="009F5907"/>
    <w:rsid w:val="009F773D"/>
    <w:rsid w:val="00A00AB5"/>
    <w:rsid w:val="00A0148D"/>
    <w:rsid w:val="00A01958"/>
    <w:rsid w:val="00A02720"/>
    <w:rsid w:val="00A053CD"/>
    <w:rsid w:val="00A05644"/>
    <w:rsid w:val="00A05F91"/>
    <w:rsid w:val="00A0622C"/>
    <w:rsid w:val="00A06BF6"/>
    <w:rsid w:val="00A06F96"/>
    <w:rsid w:val="00A10305"/>
    <w:rsid w:val="00A11070"/>
    <w:rsid w:val="00A14A3A"/>
    <w:rsid w:val="00A14E9C"/>
    <w:rsid w:val="00A15300"/>
    <w:rsid w:val="00A16F01"/>
    <w:rsid w:val="00A1733F"/>
    <w:rsid w:val="00A236E2"/>
    <w:rsid w:val="00A25BFD"/>
    <w:rsid w:val="00A25C3D"/>
    <w:rsid w:val="00A3005B"/>
    <w:rsid w:val="00A30553"/>
    <w:rsid w:val="00A33D85"/>
    <w:rsid w:val="00A34DCE"/>
    <w:rsid w:val="00A3537E"/>
    <w:rsid w:val="00A353D0"/>
    <w:rsid w:val="00A361F8"/>
    <w:rsid w:val="00A3677C"/>
    <w:rsid w:val="00A4072F"/>
    <w:rsid w:val="00A42121"/>
    <w:rsid w:val="00A4381A"/>
    <w:rsid w:val="00A45982"/>
    <w:rsid w:val="00A45FC5"/>
    <w:rsid w:val="00A477BB"/>
    <w:rsid w:val="00A506F4"/>
    <w:rsid w:val="00A51708"/>
    <w:rsid w:val="00A5221D"/>
    <w:rsid w:val="00A52363"/>
    <w:rsid w:val="00A52B00"/>
    <w:rsid w:val="00A534C2"/>
    <w:rsid w:val="00A5391B"/>
    <w:rsid w:val="00A55708"/>
    <w:rsid w:val="00A562C1"/>
    <w:rsid w:val="00A563D8"/>
    <w:rsid w:val="00A56835"/>
    <w:rsid w:val="00A578FB"/>
    <w:rsid w:val="00A57C03"/>
    <w:rsid w:val="00A600B5"/>
    <w:rsid w:val="00A61485"/>
    <w:rsid w:val="00A61B40"/>
    <w:rsid w:val="00A625EE"/>
    <w:rsid w:val="00A62859"/>
    <w:rsid w:val="00A62CD0"/>
    <w:rsid w:val="00A63000"/>
    <w:rsid w:val="00A6322B"/>
    <w:rsid w:val="00A6679D"/>
    <w:rsid w:val="00A66EDC"/>
    <w:rsid w:val="00A677BD"/>
    <w:rsid w:val="00A67EF1"/>
    <w:rsid w:val="00A715D6"/>
    <w:rsid w:val="00A72C28"/>
    <w:rsid w:val="00A72F70"/>
    <w:rsid w:val="00A73955"/>
    <w:rsid w:val="00A74772"/>
    <w:rsid w:val="00A75417"/>
    <w:rsid w:val="00A76062"/>
    <w:rsid w:val="00A776FD"/>
    <w:rsid w:val="00A779DD"/>
    <w:rsid w:val="00A77E6C"/>
    <w:rsid w:val="00A80E6B"/>
    <w:rsid w:val="00A815AC"/>
    <w:rsid w:val="00A82899"/>
    <w:rsid w:val="00A838D7"/>
    <w:rsid w:val="00A83CF3"/>
    <w:rsid w:val="00A85BB9"/>
    <w:rsid w:val="00A85FDD"/>
    <w:rsid w:val="00A91B97"/>
    <w:rsid w:val="00A92E4B"/>
    <w:rsid w:val="00A9367F"/>
    <w:rsid w:val="00A9573C"/>
    <w:rsid w:val="00A95995"/>
    <w:rsid w:val="00A968E3"/>
    <w:rsid w:val="00A96BE0"/>
    <w:rsid w:val="00A96FB5"/>
    <w:rsid w:val="00A97007"/>
    <w:rsid w:val="00A97E1E"/>
    <w:rsid w:val="00AA09BE"/>
    <w:rsid w:val="00AA0C17"/>
    <w:rsid w:val="00AA0C32"/>
    <w:rsid w:val="00AA15AA"/>
    <w:rsid w:val="00AA309A"/>
    <w:rsid w:val="00AA40AA"/>
    <w:rsid w:val="00AA4619"/>
    <w:rsid w:val="00AA5087"/>
    <w:rsid w:val="00AA575E"/>
    <w:rsid w:val="00AA5CDF"/>
    <w:rsid w:val="00AA791B"/>
    <w:rsid w:val="00AB03CF"/>
    <w:rsid w:val="00AB0F8E"/>
    <w:rsid w:val="00AB161D"/>
    <w:rsid w:val="00AB1701"/>
    <w:rsid w:val="00AB2463"/>
    <w:rsid w:val="00AB57FB"/>
    <w:rsid w:val="00AB584D"/>
    <w:rsid w:val="00AB5BF5"/>
    <w:rsid w:val="00AB7CC2"/>
    <w:rsid w:val="00AC012D"/>
    <w:rsid w:val="00AC0242"/>
    <w:rsid w:val="00AC0306"/>
    <w:rsid w:val="00AC082B"/>
    <w:rsid w:val="00AC14DD"/>
    <w:rsid w:val="00AC17DE"/>
    <w:rsid w:val="00AC1D79"/>
    <w:rsid w:val="00AC253A"/>
    <w:rsid w:val="00AC2B22"/>
    <w:rsid w:val="00AC3F2E"/>
    <w:rsid w:val="00AC4D87"/>
    <w:rsid w:val="00AC6D30"/>
    <w:rsid w:val="00AD1272"/>
    <w:rsid w:val="00AD15BD"/>
    <w:rsid w:val="00AD33DA"/>
    <w:rsid w:val="00AD59BF"/>
    <w:rsid w:val="00AD5F4C"/>
    <w:rsid w:val="00AD6CEA"/>
    <w:rsid w:val="00AD7ADC"/>
    <w:rsid w:val="00AE3564"/>
    <w:rsid w:val="00AE3958"/>
    <w:rsid w:val="00AE3EBA"/>
    <w:rsid w:val="00AE4863"/>
    <w:rsid w:val="00AE4AB4"/>
    <w:rsid w:val="00AE4ECB"/>
    <w:rsid w:val="00AE6756"/>
    <w:rsid w:val="00AE6BD2"/>
    <w:rsid w:val="00AE7CC8"/>
    <w:rsid w:val="00AF108D"/>
    <w:rsid w:val="00AF15E7"/>
    <w:rsid w:val="00AF17A1"/>
    <w:rsid w:val="00AF214C"/>
    <w:rsid w:val="00AF2B8A"/>
    <w:rsid w:val="00AF2D1D"/>
    <w:rsid w:val="00AF3E27"/>
    <w:rsid w:val="00AF4359"/>
    <w:rsid w:val="00AF6194"/>
    <w:rsid w:val="00B001F3"/>
    <w:rsid w:val="00B00368"/>
    <w:rsid w:val="00B00A44"/>
    <w:rsid w:val="00B05092"/>
    <w:rsid w:val="00B05690"/>
    <w:rsid w:val="00B05F55"/>
    <w:rsid w:val="00B06227"/>
    <w:rsid w:val="00B06398"/>
    <w:rsid w:val="00B06A18"/>
    <w:rsid w:val="00B10AF9"/>
    <w:rsid w:val="00B11184"/>
    <w:rsid w:val="00B1167F"/>
    <w:rsid w:val="00B12487"/>
    <w:rsid w:val="00B1248E"/>
    <w:rsid w:val="00B1539E"/>
    <w:rsid w:val="00B16251"/>
    <w:rsid w:val="00B209B2"/>
    <w:rsid w:val="00B21BB6"/>
    <w:rsid w:val="00B22F2E"/>
    <w:rsid w:val="00B2427A"/>
    <w:rsid w:val="00B24A4C"/>
    <w:rsid w:val="00B25E2C"/>
    <w:rsid w:val="00B279D8"/>
    <w:rsid w:val="00B31319"/>
    <w:rsid w:val="00B31EB3"/>
    <w:rsid w:val="00B31EDE"/>
    <w:rsid w:val="00B33D92"/>
    <w:rsid w:val="00B3617B"/>
    <w:rsid w:val="00B37194"/>
    <w:rsid w:val="00B40524"/>
    <w:rsid w:val="00B410BF"/>
    <w:rsid w:val="00B41D1E"/>
    <w:rsid w:val="00B42044"/>
    <w:rsid w:val="00B45D56"/>
    <w:rsid w:val="00B45DDE"/>
    <w:rsid w:val="00B46A63"/>
    <w:rsid w:val="00B46E46"/>
    <w:rsid w:val="00B4719A"/>
    <w:rsid w:val="00B47355"/>
    <w:rsid w:val="00B52AB2"/>
    <w:rsid w:val="00B53948"/>
    <w:rsid w:val="00B54AF6"/>
    <w:rsid w:val="00B56FEE"/>
    <w:rsid w:val="00B57297"/>
    <w:rsid w:val="00B606D9"/>
    <w:rsid w:val="00B614C6"/>
    <w:rsid w:val="00B61544"/>
    <w:rsid w:val="00B61B61"/>
    <w:rsid w:val="00B61BAA"/>
    <w:rsid w:val="00B61CF8"/>
    <w:rsid w:val="00B61FC5"/>
    <w:rsid w:val="00B630EB"/>
    <w:rsid w:val="00B63297"/>
    <w:rsid w:val="00B63299"/>
    <w:rsid w:val="00B636F4"/>
    <w:rsid w:val="00B65881"/>
    <w:rsid w:val="00B67182"/>
    <w:rsid w:val="00B67D25"/>
    <w:rsid w:val="00B727D9"/>
    <w:rsid w:val="00B72B60"/>
    <w:rsid w:val="00B74FFB"/>
    <w:rsid w:val="00B76973"/>
    <w:rsid w:val="00B76E46"/>
    <w:rsid w:val="00B7734E"/>
    <w:rsid w:val="00B77EA5"/>
    <w:rsid w:val="00B81977"/>
    <w:rsid w:val="00B81C1E"/>
    <w:rsid w:val="00B81FC7"/>
    <w:rsid w:val="00B821D5"/>
    <w:rsid w:val="00B863CA"/>
    <w:rsid w:val="00B865A8"/>
    <w:rsid w:val="00B87C8B"/>
    <w:rsid w:val="00B90A56"/>
    <w:rsid w:val="00B91492"/>
    <w:rsid w:val="00B91777"/>
    <w:rsid w:val="00B9266D"/>
    <w:rsid w:val="00B93400"/>
    <w:rsid w:val="00B93CF6"/>
    <w:rsid w:val="00B93F8F"/>
    <w:rsid w:val="00B9476E"/>
    <w:rsid w:val="00B94CEC"/>
    <w:rsid w:val="00B95592"/>
    <w:rsid w:val="00B95F8E"/>
    <w:rsid w:val="00B965BF"/>
    <w:rsid w:val="00BA03D9"/>
    <w:rsid w:val="00BA1450"/>
    <w:rsid w:val="00BA4109"/>
    <w:rsid w:val="00BA4427"/>
    <w:rsid w:val="00BA65AD"/>
    <w:rsid w:val="00BB1F5A"/>
    <w:rsid w:val="00BB39FB"/>
    <w:rsid w:val="00BB4627"/>
    <w:rsid w:val="00BB4CD0"/>
    <w:rsid w:val="00BB5362"/>
    <w:rsid w:val="00BB59B7"/>
    <w:rsid w:val="00BB6558"/>
    <w:rsid w:val="00BB6567"/>
    <w:rsid w:val="00BB6C9D"/>
    <w:rsid w:val="00BB7B51"/>
    <w:rsid w:val="00BB7DB8"/>
    <w:rsid w:val="00BB7F2B"/>
    <w:rsid w:val="00BC083A"/>
    <w:rsid w:val="00BC2F3D"/>
    <w:rsid w:val="00BC3427"/>
    <w:rsid w:val="00BC3E69"/>
    <w:rsid w:val="00BC5848"/>
    <w:rsid w:val="00BC73D1"/>
    <w:rsid w:val="00BD0125"/>
    <w:rsid w:val="00BD0A75"/>
    <w:rsid w:val="00BD0F96"/>
    <w:rsid w:val="00BD1DD0"/>
    <w:rsid w:val="00BD1EAA"/>
    <w:rsid w:val="00BD3059"/>
    <w:rsid w:val="00BD42D7"/>
    <w:rsid w:val="00BD562A"/>
    <w:rsid w:val="00BE08E9"/>
    <w:rsid w:val="00BE0D6F"/>
    <w:rsid w:val="00BE0DBD"/>
    <w:rsid w:val="00BE3AA5"/>
    <w:rsid w:val="00BE49E8"/>
    <w:rsid w:val="00BE57E7"/>
    <w:rsid w:val="00BE7BD4"/>
    <w:rsid w:val="00BF07CB"/>
    <w:rsid w:val="00BF24A5"/>
    <w:rsid w:val="00BF2907"/>
    <w:rsid w:val="00BF4E32"/>
    <w:rsid w:val="00BF5652"/>
    <w:rsid w:val="00BF66EA"/>
    <w:rsid w:val="00BF6B26"/>
    <w:rsid w:val="00BF7CBD"/>
    <w:rsid w:val="00C01545"/>
    <w:rsid w:val="00C01F81"/>
    <w:rsid w:val="00C03732"/>
    <w:rsid w:val="00C03CF1"/>
    <w:rsid w:val="00C03D7E"/>
    <w:rsid w:val="00C0410A"/>
    <w:rsid w:val="00C04842"/>
    <w:rsid w:val="00C05C26"/>
    <w:rsid w:val="00C05D6B"/>
    <w:rsid w:val="00C07BA3"/>
    <w:rsid w:val="00C107CE"/>
    <w:rsid w:val="00C10946"/>
    <w:rsid w:val="00C11174"/>
    <w:rsid w:val="00C129D7"/>
    <w:rsid w:val="00C12E5F"/>
    <w:rsid w:val="00C145B2"/>
    <w:rsid w:val="00C157F6"/>
    <w:rsid w:val="00C17329"/>
    <w:rsid w:val="00C17771"/>
    <w:rsid w:val="00C17DFF"/>
    <w:rsid w:val="00C2035E"/>
    <w:rsid w:val="00C2086E"/>
    <w:rsid w:val="00C20AA1"/>
    <w:rsid w:val="00C222B1"/>
    <w:rsid w:val="00C22834"/>
    <w:rsid w:val="00C22D31"/>
    <w:rsid w:val="00C2438B"/>
    <w:rsid w:val="00C25114"/>
    <w:rsid w:val="00C26035"/>
    <w:rsid w:val="00C26527"/>
    <w:rsid w:val="00C268F0"/>
    <w:rsid w:val="00C27263"/>
    <w:rsid w:val="00C33060"/>
    <w:rsid w:val="00C34BDC"/>
    <w:rsid w:val="00C35144"/>
    <w:rsid w:val="00C352BD"/>
    <w:rsid w:val="00C369E6"/>
    <w:rsid w:val="00C36CD3"/>
    <w:rsid w:val="00C42FEB"/>
    <w:rsid w:val="00C447E8"/>
    <w:rsid w:val="00C45C4C"/>
    <w:rsid w:val="00C475FD"/>
    <w:rsid w:val="00C51B53"/>
    <w:rsid w:val="00C5202E"/>
    <w:rsid w:val="00C5295E"/>
    <w:rsid w:val="00C53FE2"/>
    <w:rsid w:val="00C5573A"/>
    <w:rsid w:val="00C557EB"/>
    <w:rsid w:val="00C56CBB"/>
    <w:rsid w:val="00C57235"/>
    <w:rsid w:val="00C57312"/>
    <w:rsid w:val="00C57852"/>
    <w:rsid w:val="00C57860"/>
    <w:rsid w:val="00C60CF8"/>
    <w:rsid w:val="00C6175A"/>
    <w:rsid w:val="00C619BA"/>
    <w:rsid w:val="00C61EC4"/>
    <w:rsid w:val="00C61F66"/>
    <w:rsid w:val="00C62433"/>
    <w:rsid w:val="00C62DDE"/>
    <w:rsid w:val="00C63B10"/>
    <w:rsid w:val="00C642FE"/>
    <w:rsid w:val="00C64D8A"/>
    <w:rsid w:val="00C64EE1"/>
    <w:rsid w:val="00C65ABE"/>
    <w:rsid w:val="00C65BAC"/>
    <w:rsid w:val="00C66C6E"/>
    <w:rsid w:val="00C675A4"/>
    <w:rsid w:val="00C7064B"/>
    <w:rsid w:val="00C7158D"/>
    <w:rsid w:val="00C72965"/>
    <w:rsid w:val="00C72A8E"/>
    <w:rsid w:val="00C7322F"/>
    <w:rsid w:val="00C73535"/>
    <w:rsid w:val="00C735DF"/>
    <w:rsid w:val="00C73923"/>
    <w:rsid w:val="00C74DAB"/>
    <w:rsid w:val="00C757D0"/>
    <w:rsid w:val="00C75924"/>
    <w:rsid w:val="00C80D05"/>
    <w:rsid w:val="00C81133"/>
    <w:rsid w:val="00C81401"/>
    <w:rsid w:val="00C82C4C"/>
    <w:rsid w:val="00C82C55"/>
    <w:rsid w:val="00C82F93"/>
    <w:rsid w:val="00C85329"/>
    <w:rsid w:val="00C867D4"/>
    <w:rsid w:val="00C90267"/>
    <w:rsid w:val="00C9056E"/>
    <w:rsid w:val="00C905DE"/>
    <w:rsid w:val="00C90945"/>
    <w:rsid w:val="00C90E7E"/>
    <w:rsid w:val="00C910DB"/>
    <w:rsid w:val="00C9180F"/>
    <w:rsid w:val="00C93FE2"/>
    <w:rsid w:val="00C94CC4"/>
    <w:rsid w:val="00C94E8B"/>
    <w:rsid w:val="00C9570E"/>
    <w:rsid w:val="00C96163"/>
    <w:rsid w:val="00C970B8"/>
    <w:rsid w:val="00C97967"/>
    <w:rsid w:val="00CA0E53"/>
    <w:rsid w:val="00CA14F5"/>
    <w:rsid w:val="00CA1AC5"/>
    <w:rsid w:val="00CA23FA"/>
    <w:rsid w:val="00CA3093"/>
    <w:rsid w:val="00CA4088"/>
    <w:rsid w:val="00CA4FF6"/>
    <w:rsid w:val="00CA570C"/>
    <w:rsid w:val="00CA662D"/>
    <w:rsid w:val="00CA6855"/>
    <w:rsid w:val="00CA7404"/>
    <w:rsid w:val="00CB09F1"/>
    <w:rsid w:val="00CB0A4D"/>
    <w:rsid w:val="00CB18B3"/>
    <w:rsid w:val="00CB370B"/>
    <w:rsid w:val="00CB428F"/>
    <w:rsid w:val="00CB43F9"/>
    <w:rsid w:val="00CB52A7"/>
    <w:rsid w:val="00CB5AB0"/>
    <w:rsid w:val="00CB70ED"/>
    <w:rsid w:val="00CB72A5"/>
    <w:rsid w:val="00CC06C5"/>
    <w:rsid w:val="00CC07EB"/>
    <w:rsid w:val="00CC1A40"/>
    <w:rsid w:val="00CC2264"/>
    <w:rsid w:val="00CC43AC"/>
    <w:rsid w:val="00CC5FDD"/>
    <w:rsid w:val="00CC626D"/>
    <w:rsid w:val="00CD029A"/>
    <w:rsid w:val="00CD1588"/>
    <w:rsid w:val="00CD264F"/>
    <w:rsid w:val="00CD2C5E"/>
    <w:rsid w:val="00CD3D64"/>
    <w:rsid w:val="00CD4B5D"/>
    <w:rsid w:val="00CD5837"/>
    <w:rsid w:val="00CD5966"/>
    <w:rsid w:val="00CD725E"/>
    <w:rsid w:val="00CD773D"/>
    <w:rsid w:val="00CD7E5F"/>
    <w:rsid w:val="00CE3100"/>
    <w:rsid w:val="00CE4759"/>
    <w:rsid w:val="00CE5667"/>
    <w:rsid w:val="00CF0A8B"/>
    <w:rsid w:val="00CF1D24"/>
    <w:rsid w:val="00CF235A"/>
    <w:rsid w:val="00CF272E"/>
    <w:rsid w:val="00CF2F02"/>
    <w:rsid w:val="00CF2F39"/>
    <w:rsid w:val="00CF3E78"/>
    <w:rsid w:val="00CF3F96"/>
    <w:rsid w:val="00CF407F"/>
    <w:rsid w:val="00CF4351"/>
    <w:rsid w:val="00CF49FC"/>
    <w:rsid w:val="00CF5986"/>
    <w:rsid w:val="00CF6684"/>
    <w:rsid w:val="00CF6EE0"/>
    <w:rsid w:val="00D00978"/>
    <w:rsid w:val="00D0165E"/>
    <w:rsid w:val="00D036D5"/>
    <w:rsid w:val="00D0487D"/>
    <w:rsid w:val="00D04D42"/>
    <w:rsid w:val="00D04E4B"/>
    <w:rsid w:val="00D057D4"/>
    <w:rsid w:val="00D070E9"/>
    <w:rsid w:val="00D12930"/>
    <w:rsid w:val="00D12A17"/>
    <w:rsid w:val="00D13154"/>
    <w:rsid w:val="00D136A0"/>
    <w:rsid w:val="00D14A04"/>
    <w:rsid w:val="00D14F91"/>
    <w:rsid w:val="00D150E8"/>
    <w:rsid w:val="00D154B2"/>
    <w:rsid w:val="00D159D9"/>
    <w:rsid w:val="00D15A68"/>
    <w:rsid w:val="00D17600"/>
    <w:rsid w:val="00D205D0"/>
    <w:rsid w:val="00D2089D"/>
    <w:rsid w:val="00D226FA"/>
    <w:rsid w:val="00D22869"/>
    <w:rsid w:val="00D22B6F"/>
    <w:rsid w:val="00D22BCC"/>
    <w:rsid w:val="00D242AF"/>
    <w:rsid w:val="00D24F8C"/>
    <w:rsid w:val="00D250EF"/>
    <w:rsid w:val="00D2537A"/>
    <w:rsid w:val="00D30424"/>
    <w:rsid w:val="00D306E4"/>
    <w:rsid w:val="00D3086E"/>
    <w:rsid w:val="00D308FD"/>
    <w:rsid w:val="00D30C34"/>
    <w:rsid w:val="00D30D94"/>
    <w:rsid w:val="00D31160"/>
    <w:rsid w:val="00D313E1"/>
    <w:rsid w:val="00D32C0C"/>
    <w:rsid w:val="00D32EA4"/>
    <w:rsid w:val="00D33C1A"/>
    <w:rsid w:val="00D36332"/>
    <w:rsid w:val="00D36B75"/>
    <w:rsid w:val="00D3728F"/>
    <w:rsid w:val="00D3733A"/>
    <w:rsid w:val="00D40654"/>
    <w:rsid w:val="00D411DE"/>
    <w:rsid w:val="00D4299C"/>
    <w:rsid w:val="00D43C4A"/>
    <w:rsid w:val="00D43CF7"/>
    <w:rsid w:val="00D45922"/>
    <w:rsid w:val="00D46B45"/>
    <w:rsid w:val="00D470D1"/>
    <w:rsid w:val="00D47236"/>
    <w:rsid w:val="00D47F3F"/>
    <w:rsid w:val="00D505F4"/>
    <w:rsid w:val="00D508DA"/>
    <w:rsid w:val="00D50B92"/>
    <w:rsid w:val="00D53F10"/>
    <w:rsid w:val="00D554A3"/>
    <w:rsid w:val="00D5588B"/>
    <w:rsid w:val="00D569C6"/>
    <w:rsid w:val="00D56D11"/>
    <w:rsid w:val="00D60751"/>
    <w:rsid w:val="00D60877"/>
    <w:rsid w:val="00D61560"/>
    <w:rsid w:val="00D6383E"/>
    <w:rsid w:val="00D66DF9"/>
    <w:rsid w:val="00D67B1A"/>
    <w:rsid w:val="00D70D4A"/>
    <w:rsid w:val="00D7118A"/>
    <w:rsid w:val="00D71D3F"/>
    <w:rsid w:val="00D72EBF"/>
    <w:rsid w:val="00D73762"/>
    <w:rsid w:val="00D74796"/>
    <w:rsid w:val="00D74C02"/>
    <w:rsid w:val="00D7550A"/>
    <w:rsid w:val="00D75DF3"/>
    <w:rsid w:val="00D7626B"/>
    <w:rsid w:val="00D7737D"/>
    <w:rsid w:val="00D77731"/>
    <w:rsid w:val="00D7777A"/>
    <w:rsid w:val="00D80E74"/>
    <w:rsid w:val="00D80EF6"/>
    <w:rsid w:val="00D813B8"/>
    <w:rsid w:val="00D82906"/>
    <w:rsid w:val="00D84102"/>
    <w:rsid w:val="00D85C0C"/>
    <w:rsid w:val="00D86472"/>
    <w:rsid w:val="00D8774E"/>
    <w:rsid w:val="00D90098"/>
    <w:rsid w:val="00D914A0"/>
    <w:rsid w:val="00D9216E"/>
    <w:rsid w:val="00D92ABD"/>
    <w:rsid w:val="00D93241"/>
    <w:rsid w:val="00D933E2"/>
    <w:rsid w:val="00D93F3B"/>
    <w:rsid w:val="00D941E5"/>
    <w:rsid w:val="00D95B78"/>
    <w:rsid w:val="00D962D8"/>
    <w:rsid w:val="00D97292"/>
    <w:rsid w:val="00DA093F"/>
    <w:rsid w:val="00DA1442"/>
    <w:rsid w:val="00DA3428"/>
    <w:rsid w:val="00DA4923"/>
    <w:rsid w:val="00DA60C6"/>
    <w:rsid w:val="00DA6A2B"/>
    <w:rsid w:val="00DA6B8B"/>
    <w:rsid w:val="00DA7009"/>
    <w:rsid w:val="00DA70B4"/>
    <w:rsid w:val="00DA7220"/>
    <w:rsid w:val="00DA7691"/>
    <w:rsid w:val="00DB0C4E"/>
    <w:rsid w:val="00DB12C9"/>
    <w:rsid w:val="00DB303B"/>
    <w:rsid w:val="00DB3977"/>
    <w:rsid w:val="00DB3B54"/>
    <w:rsid w:val="00DB4BFD"/>
    <w:rsid w:val="00DB5034"/>
    <w:rsid w:val="00DB7D28"/>
    <w:rsid w:val="00DC0225"/>
    <w:rsid w:val="00DC022E"/>
    <w:rsid w:val="00DC171F"/>
    <w:rsid w:val="00DC18C7"/>
    <w:rsid w:val="00DC20B3"/>
    <w:rsid w:val="00DC4DCE"/>
    <w:rsid w:val="00DC5122"/>
    <w:rsid w:val="00DC513D"/>
    <w:rsid w:val="00DC5E42"/>
    <w:rsid w:val="00DC646A"/>
    <w:rsid w:val="00DC7E9A"/>
    <w:rsid w:val="00DD25C6"/>
    <w:rsid w:val="00DD2E2E"/>
    <w:rsid w:val="00DD3FBF"/>
    <w:rsid w:val="00DE078B"/>
    <w:rsid w:val="00DE1437"/>
    <w:rsid w:val="00DE1718"/>
    <w:rsid w:val="00DE1788"/>
    <w:rsid w:val="00DE34AD"/>
    <w:rsid w:val="00DE3766"/>
    <w:rsid w:val="00DE3B7E"/>
    <w:rsid w:val="00DE5DE4"/>
    <w:rsid w:val="00DE7057"/>
    <w:rsid w:val="00DE7955"/>
    <w:rsid w:val="00DF0949"/>
    <w:rsid w:val="00DF1708"/>
    <w:rsid w:val="00DF221A"/>
    <w:rsid w:val="00DF25A3"/>
    <w:rsid w:val="00DF2613"/>
    <w:rsid w:val="00DF2E67"/>
    <w:rsid w:val="00DF3497"/>
    <w:rsid w:val="00DF4D90"/>
    <w:rsid w:val="00DF74CB"/>
    <w:rsid w:val="00E07CE6"/>
    <w:rsid w:val="00E127D6"/>
    <w:rsid w:val="00E12B46"/>
    <w:rsid w:val="00E149AC"/>
    <w:rsid w:val="00E16C0C"/>
    <w:rsid w:val="00E21AA3"/>
    <w:rsid w:val="00E23EEB"/>
    <w:rsid w:val="00E24615"/>
    <w:rsid w:val="00E24DB9"/>
    <w:rsid w:val="00E2731F"/>
    <w:rsid w:val="00E303CC"/>
    <w:rsid w:val="00E30647"/>
    <w:rsid w:val="00E32159"/>
    <w:rsid w:val="00E33139"/>
    <w:rsid w:val="00E33506"/>
    <w:rsid w:val="00E351C2"/>
    <w:rsid w:val="00E35C5E"/>
    <w:rsid w:val="00E36335"/>
    <w:rsid w:val="00E364D4"/>
    <w:rsid w:val="00E4121A"/>
    <w:rsid w:val="00E41742"/>
    <w:rsid w:val="00E41E64"/>
    <w:rsid w:val="00E42568"/>
    <w:rsid w:val="00E428BB"/>
    <w:rsid w:val="00E42990"/>
    <w:rsid w:val="00E42C7A"/>
    <w:rsid w:val="00E42ED0"/>
    <w:rsid w:val="00E4342C"/>
    <w:rsid w:val="00E43B56"/>
    <w:rsid w:val="00E44CA7"/>
    <w:rsid w:val="00E46243"/>
    <w:rsid w:val="00E4687D"/>
    <w:rsid w:val="00E47182"/>
    <w:rsid w:val="00E476C9"/>
    <w:rsid w:val="00E51B41"/>
    <w:rsid w:val="00E52BF8"/>
    <w:rsid w:val="00E52E67"/>
    <w:rsid w:val="00E52F13"/>
    <w:rsid w:val="00E52F21"/>
    <w:rsid w:val="00E5329F"/>
    <w:rsid w:val="00E5339B"/>
    <w:rsid w:val="00E533D3"/>
    <w:rsid w:val="00E53730"/>
    <w:rsid w:val="00E53980"/>
    <w:rsid w:val="00E544A2"/>
    <w:rsid w:val="00E56D35"/>
    <w:rsid w:val="00E57253"/>
    <w:rsid w:val="00E57685"/>
    <w:rsid w:val="00E57E7A"/>
    <w:rsid w:val="00E6097B"/>
    <w:rsid w:val="00E60D30"/>
    <w:rsid w:val="00E6144E"/>
    <w:rsid w:val="00E61FF3"/>
    <w:rsid w:val="00E64C74"/>
    <w:rsid w:val="00E659D5"/>
    <w:rsid w:val="00E66034"/>
    <w:rsid w:val="00E66503"/>
    <w:rsid w:val="00E671FB"/>
    <w:rsid w:val="00E7005B"/>
    <w:rsid w:val="00E73DE9"/>
    <w:rsid w:val="00E75BA0"/>
    <w:rsid w:val="00E764EC"/>
    <w:rsid w:val="00E76D90"/>
    <w:rsid w:val="00E7714E"/>
    <w:rsid w:val="00E8232E"/>
    <w:rsid w:val="00E8235D"/>
    <w:rsid w:val="00E83543"/>
    <w:rsid w:val="00E838FE"/>
    <w:rsid w:val="00E83A01"/>
    <w:rsid w:val="00E83CC5"/>
    <w:rsid w:val="00E8590C"/>
    <w:rsid w:val="00E867C7"/>
    <w:rsid w:val="00E86B47"/>
    <w:rsid w:val="00E86D93"/>
    <w:rsid w:val="00E874B0"/>
    <w:rsid w:val="00E90271"/>
    <w:rsid w:val="00E92436"/>
    <w:rsid w:val="00E92CBC"/>
    <w:rsid w:val="00E933A9"/>
    <w:rsid w:val="00E93B1C"/>
    <w:rsid w:val="00E93BC3"/>
    <w:rsid w:val="00E953A6"/>
    <w:rsid w:val="00E953F4"/>
    <w:rsid w:val="00E97C1C"/>
    <w:rsid w:val="00EA0E59"/>
    <w:rsid w:val="00EA0F1F"/>
    <w:rsid w:val="00EA115A"/>
    <w:rsid w:val="00EA28F4"/>
    <w:rsid w:val="00EA2BD0"/>
    <w:rsid w:val="00EA30FE"/>
    <w:rsid w:val="00EA3461"/>
    <w:rsid w:val="00EA3B83"/>
    <w:rsid w:val="00EA40AD"/>
    <w:rsid w:val="00EA4E99"/>
    <w:rsid w:val="00EA51FD"/>
    <w:rsid w:val="00EA5658"/>
    <w:rsid w:val="00EA5C0C"/>
    <w:rsid w:val="00EA6A9C"/>
    <w:rsid w:val="00EB0756"/>
    <w:rsid w:val="00EB0BCB"/>
    <w:rsid w:val="00EB2051"/>
    <w:rsid w:val="00EB25FB"/>
    <w:rsid w:val="00EB4A90"/>
    <w:rsid w:val="00EB6587"/>
    <w:rsid w:val="00EB7F42"/>
    <w:rsid w:val="00EC09DB"/>
    <w:rsid w:val="00EC123B"/>
    <w:rsid w:val="00EC144E"/>
    <w:rsid w:val="00EC3B10"/>
    <w:rsid w:val="00EC7DF8"/>
    <w:rsid w:val="00ED194F"/>
    <w:rsid w:val="00ED1A14"/>
    <w:rsid w:val="00ED1EFF"/>
    <w:rsid w:val="00ED1FD4"/>
    <w:rsid w:val="00ED40F3"/>
    <w:rsid w:val="00ED4535"/>
    <w:rsid w:val="00ED48A5"/>
    <w:rsid w:val="00ED5332"/>
    <w:rsid w:val="00ED53EA"/>
    <w:rsid w:val="00ED5DDB"/>
    <w:rsid w:val="00ED6B18"/>
    <w:rsid w:val="00ED7836"/>
    <w:rsid w:val="00EE0313"/>
    <w:rsid w:val="00EE0DAB"/>
    <w:rsid w:val="00EE1686"/>
    <w:rsid w:val="00EE18D3"/>
    <w:rsid w:val="00EE23D5"/>
    <w:rsid w:val="00EE342A"/>
    <w:rsid w:val="00EE3ECF"/>
    <w:rsid w:val="00EE4264"/>
    <w:rsid w:val="00EE486D"/>
    <w:rsid w:val="00EE5F8C"/>
    <w:rsid w:val="00EE6637"/>
    <w:rsid w:val="00EE664D"/>
    <w:rsid w:val="00EE6EFF"/>
    <w:rsid w:val="00EE7ED1"/>
    <w:rsid w:val="00EF0220"/>
    <w:rsid w:val="00EF129A"/>
    <w:rsid w:val="00EF1717"/>
    <w:rsid w:val="00EF1E99"/>
    <w:rsid w:val="00EF23E0"/>
    <w:rsid w:val="00EF27E6"/>
    <w:rsid w:val="00EF2873"/>
    <w:rsid w:val="00EF2FE7"/>
    <w:rsid w:val="00EF4F98"/>
    <w:rsid w:val="00EF5123"/>
    <w:rsid w:val="00EF5F49"/>
    <w:rsid w:val="00EF78EB"/>
    <w:rsid w:val="00F03B72"/>
    <w:rsid w:val="00F04E4C"/>
    <w:rsid w:val="00F053D3"/>
    <w:rsid w:val="00F055DD"/>
    <w:rsid w:val="00F05BA8"/>
    <w:rsid w:val="00F07322"/>
    <w:rsid w:val="00F078C0"/>
    <w:rsid w:val="00F101AC"/>
    <w:rsid w:val="00F10F0A"/>
    <w:rsid w:val="00F11308"/>
    <w:rsid w:val="00F11EB0"/>
    <w:rsid w:val="00F13B00"/>
    <w:rsid w:val="00F13C8D"/>
    <w:rsid w:val="00F13F86"/>
    <w:rsid w:val="00F14047"/>
    <w:rsid w:val="00F1528E"/>
    <w:rsid w:val="00F16D9D"/>
    <w:rsid w:val="00F17FBF"/>
    <w:rsid w:val="00F20D6F"/>
    <w:rsid w:val="00F20D72"/>
    <w:rsid w:val="00F21CF1"/>
    <w:rsid w:val="00F258C2"/>
    <w:rsid w:val="00F25D94"/>
    <w:rsid w:val="00F26A3B"/>
    <w:rsid w:val="00F26D02"/>
    <w:rsid w:val="00F26E6E"/>
    <w:rsid w:val="00F30822"/>
    <w:rsid w:val="00F3122E"/>
    <w:rsid w:val="00F3137F"/>
    <w:rsid w:val="00F32150"/>
    <w:rsid w:val="00F32F3F"/>
    <w:rsid w:val="00F35042"/>
    <w:rsid w:val="00F36A69"/>
    <w:rsid w:val="00F36AFC"/>
    <w:rsid w:val="00F37BA9"/>
    <w:rsid w:val="00F37E47"/>
    <w:rsid w:val="00F40549"/>
    <w:rsid w:val="00F4087A"/>
    <w:rsid w:val="00F40DEF"/>
    <w:rsid w:val="00F4100A"/>
    <w:rsid w:val="00F41395"/>
    <w:rsid w:val="00F451CE"/>
    <w:rsid w:val="00F464AC"/>
    <w:rsid w:val="00F46A20"/>
    <w:rsid w:val="00F47773"/>
    <w:rsid w:val="00F479F7"/>
    <w:rsid w:val="00F503BC"/>
    <w:rsid w:val="00F51D2A"/>
    <w:rsid w:val="00F51D95"/>
    <w:rsid w:val="00F51F2C"/>
    <w:rsid w:val="00F52412"/>
    <w:rsid w:val="00F54116"/>
    <w:rsid w:val="00F54C35"/>
    <w:rsid w:val="00F5618F"/>
    <w:rsid w:val="00F60348"/>
    <w:rsid w:val="00F63D87"/>
    <w:rsid w:val="00F6726F"/>
    <w:rsid w:val="00F672C0"/>
    <w:rsid w:val="00F67561"/>
    <w:rsid w:val="00F6773C"/>
    <w:rsid w:val="00F7079D"/>
    <w:rsid w:val="00F70F7E"/>
    <w:rsid w:val="00F714E1"/>
    <w:rsid w:val="00F718C4"/>
    <w:rsid w:val="00F7257B"/>
    <w:rsid w:val="00F74319"/>
    <w:rsid w:val="00F74CB1"/>
    <w:rsid w:val="00F759B1"/>
    <w:rsid w:val="00F75B4C"/>
    <w:rsid w:val="00F75B5A"/>
    <w:rsid w:val="00F76BCC"/>
    <w:rsid w:val="00F77A92"/>
    <w:rsid w:val="00F80441"/>
    <w:rsid w:val="00F8118B"/>
    <w:rsid w:val="00F828AA"/>
    <w:rsid w:val="00F85027"/>
    <w:rsid w:val="00F85ED5"/>
    <w:rsid w:val="00F87809"/>
    <w:rsid w:val="00F907B5"/>
    <w:rsid w:val="00F92008"/>
    <w:rsid w:val="00F923FF"/>
    <w:rsid w:val="00F93BB6"/>
    <w:rsid w:val="00F93D1F"/>
    <w:rsid w:val="00F94349"/>
    <w:rsid w:val="00F95E35"/>
    <w:rsid w:val="00F95F17"/>
    <w:rsid w:val="00F9666A"/>
    <w:rsid w:val="00F9695D"/>
    <w:rsid w:val="00FA072C"/>
    <w:rsid w:val="00FA10E8"/>
    <w:rsid w:val="00FA3491"/>
    <w:rsid w:val="00FA43D2"/>
    <w:rsid w:val="00FA4EF3"/>
    <w:rsid w:val="00FA4F47"/>
    <w:rsid w:val="00FB05A5"/>
    <w:rsid w:val="00FB0FD2"/>
    <w:rsid w:val="00FB1B38"/>
    <w:rsid w:val="00FB21CB"/>
    <w:rsid w:val="00FB4935"/>
    <w:rsid w:val="00FB4CFB"/>
    <w:rsid w:val="00FB6064"/>
    <w:rsid w:val="00FB7190"/>
    <w:rsid w:val="00FB7331"/>
    <w:rsid w:val="00FB7AB8"/>
    <w:rsid w:val="00FB7FDD"/>
    <w:rsid w:val="00FC04D5"/>
    <w:rsid w:val="00FC0BF9"/>
    <w:rsid w:val="00FC0C50"/>
    <w:rsid w:val="00FC2463"/>
    <w:rsid w:val="00FC3D4D"/>
    <w:rsid w:val="00FC5069"/>
    <w:rsid w:val="00FC62B8"/>
    <w:rsid w:val="00FC6589"/>
    <w:rsid w:val="00FC6F02"/>
    <w:rsid w:val="00FC7174"/>
    <w:rsid w:val="00FD06D7"/>
    <w:rsid w:val="00FD3D9D"/>
    <w:rsid w:val="00FD3ECA"/>
    <w:rsid w:val="00FD4ED8"/>
    <w:rsid w:val="00FD5F28"/>
    <w:rsid w:val="00FD6E0D"/>
    <w:rsid w:val="00FE0741"/>
    <w:rsid w:val="00FE0930"/>
    <w:rsid w:val="00FE2008"/>
    <w:rsid w:val="00FE3463"/>
    <w:rsid w:val="00FE439B"/>
    <w:rsid w:val="00FE5255"/>
    <w:rsid w:val="00FE5D53"/>
    <w:rsid w:val="00FE6DB7"/>
    <w:rsid w:val="00FF2371"/>
    <w:rsid w:val="00FF2B48"/>
    <w:rsid w:val="00FF2E78"/>
    <w:rsid w:val="00FF30B3"/>
    <w:rsid w:val="00FF426A"/>
    <w:rsid w:val="00FF4DAF"/>
    <w:rsid w:val="00FF51D9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iPriority="9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/>
    <w:lsdException w:name="footer" w:semiHidden="0" w:uiPriority="99" w:unhideWhenUsed="0"/>
    <w:lsdException w:name="index heading" w:semiHidden="0" w:unhideWhenUsed="0"/>
    <w:lsdException w:name="caption" w:locked="1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nhideWhenUsed="0" w:qFormat="1"/>
    <w:lsdException w:name="Closing" w:semiHidden="0" w:unhideWhenUsed="0"/>
    <w:lsdException w:name="Signature" w:semiHidden="0" w:unhideWhenUsed="0"/>
    <w:lsdException w:name="Default Paragraph Font" w:locked="1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locked="1" w:semiHidden="0" w:unhideWhenUsed="0" w:qFormat="1"/>
    <w:lsdException w:name="Emphasis" w:locked="1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F1"/>
    <w:pPr>
      <w:widowControl w:val="0"/>
      <w:jc w:val="both"/>
    </w:pPr>
    <w:rPr>
      <w:rFonts w:ascii="Courier New" w:hAnsi="Courier New"/>
      <w:kern w:val="2"/>
      <w:sz w:val="24"/>
      <w:szCs w:val="24"/>
      <w:lang w:eastAsia="ja-JP"/>
    </w:rPr>
  </w:style>
  <w:style w:type="paragraph" w:styleId="4">
    <w:name w:val="heading 4"/>
    <w:basedOn w:val="a"/>
    <w:link w:val="4Char"/>
    <w:uiPriority w:val="9"/>
    <w:qFormat/>
    <w:locked/>
    <w:rsid w:val="00780045"/>
    <w:pPr>
      <w:widowControl/>
      <w:spacing w:before="100" w:beforeAutospacing="1" w:after="100" w:afterAutospacing="1"/>
      <w:jc w:val="left"/>
      <w:outlineLvl w:val="3"/>
    </w:pPr>
    <w:rPr>
      <w:rFonts w:ascii="Times New Roman" w:eastAsia="Times New Roman" w:hAnsi="Times New Roman"/>
      <w:b/>
      <w:bCs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E5DE4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Char">
    <w:name w:val="页眉 Char"/>
    <w:link w:val="a3"/>
    <w:uiPriority w:val="99"/>
    <w:locked/>
    <w:rsid w:val="00DE5DE4"/>
    <w:rPr>
      <w:rFonts w:ascii="Courier New" w:eastAsia="MS Mincho" w:hAnsi="Courier New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DE5DE4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Char0">
    <w:name w:val="页脚 Char"/>
    <w:link w:val="a4"/>
    <w:uiPriority w:val="99"/>
    <w:locked/>
    <w:rsid w:val="00DE5DE4"/>
    <w:rPr>
      <w:rFonts w:ascii="Courier New" w:eastAsia="MS Mincho" w:hAnsi="Courier New" w:cs="Times New Roman"/>
      <w:sz w:val="24"/>
      <w:szCs w:val="24"/>
    </w:rPr>
  </w:style>
  <w:style w:type="character" w:styleId="a5">
    <w:name w:val="Hyperlink"/>
    <w:rsid w:val="00DE1788"/>
    <w:rPr>
      <w:rFonts w:cs="Times New Roman"/>
      <w:color w:val="0000FF"/>
      <w:u w:val="single"/>
    </w:rPr>
  </w:style>
  <w:style w:type="character" w:styleId="a6">
    <w:name w:val="line number"/>
    <w:basedOn w:val="a0"/>
    <w:rsid w:val="00393707"/>
  </w:style>
  <w:style w:type="character" w:customStyle="1" w:styleId="4Char">
    <w:name w:val="标题 4 Char"/>
    <w:link w:val="4"/>
    <w:uiPriority w:val="9"/>
    <w:rsid w:val="00780045"/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Balloon Text"/>
    <w:basedOn w:val="a"/>
    <w:link w:val="Char1"/>
    <w:rsid w:val="005D5BDF"/>
    <w:rPr>
      <w:rFonts w:ascii="Segoe UI" w:hAnsi="Segoe UI"/>
      <w:sz w:val="18"/>
      <w:szCs w:val="18"/>
      <w:lang w:val="x-none"/>
    </w:rPr>
  </w:style>
  <w:style w:type="character" w:customStyle="1" w:styleId="Char1">
    <w:name w:val="批注框文本 Char"/>
    <w:link w:val="a7"/>
    <w:rsid w:val="005D5BDF"/>
    <w:rPr>
      <w:rFonts w:ascii="Segoe UI" w:hAnsi="Segoe UI" w:cs="Segoe UI"/>
      <w:kern w:val="2"/>
      <w:sz w:val="18"/>
      <w:szCs w:val="18"/>
      <w:lang w:eastAsia="ja-JP"/>
    </w:rPr>
  </w:style>
  <w:style w:type="table" w:styleId="a8">
    <w:name w:val="Table Grid"/>
    <w:basedOn w:val="a1"/>
    <w:locked/>
    <w:rsid w:val="00101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List 3"/>
    <w:basedOn w:val="a1"/>
    <w:rsid w:val="00101840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表 (モノトーン)  11"/>
    <w:basedOn w:val="a1"/>
    <w:uiPriority w:val="60"/>
    <w:rsid w:val="00260B6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EndNoteBibliographyTitle">
    <w:name w:val="EndNote Bibliography Title"/>
    <w:basedOn w:val="a"/>
    <w:link w:val="EndNoteBibliographyTitle0"/>
    <w:rsid w:val="005B0417"/>
    <w:pPr>
      <w:jc w:val="center"/>
    </w:pPr>
    <w:rPr>
      <w:rFonts w:cs="Courier New"/>
      <w:noProof/>
    </w:rPr>
  </w:style>
  <w:style w:type="character" w:customStyle="1" w:styleId="EndNoteBibliographyTitle0">
    <w:name w:val="EndNote Bibliography Title (文字)"/>
    <w:link w:val="EndNoteBibliographyTitle"/>
    <w:rsid w:val="005B0417"/>
    <w:rPr>
      <w:rFonts w:ascii="Courier New" w:hAnsi="Courier New" w:cs="Courier New"/>
      <w:noProof/>
      <w:kern w:val="2"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5B0417"/>
    <w:pPr>
      <w:jc w:val="left"/>
    </w:pPr>
    <w:rPr>
      <w:rFonts w:cs="Courier New"/>
      <w:noProof/>
    </w:rPr>
  </w:style>
  <w:style w:type="character" w:customStyle="1" w:styleId="EndNoteBibliography0">
    <w:name w:val="EndNote Bibliography (文字)"/>
    <w:link w:val="EndNoteBibliography"/>
    <w:rsid w:val="005B0417"/>
    <w:rPr>
      <w:rFonts w:ascii="Courier New" w:hAnsi="Courier New" w:cs="Courier New"/>
      <w:noProof/>
      <w:kern w:val="2"/>
      <w:sz w:val="24"/>
      <w:szCs w:val="24"/>
    </w:rPr>
  </w:style>
  <w:style w:type="table" w:customStyle="1" w:styleId="61">
    <w:name w:val="一覧 (表) 6 カラフル1"/>
    <w:basedOn w:val="a1"/>
    <w:uiPriority w:val="51"/>
    <w:rsid w:val="00A361F8"/>
    <w:rPr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a9">
    <w:name w:val="annotation reference"/>
    <w:rsid w:val="00D36332"/>
    <w:rPr>
      <w:sz w:val="18"/>
      <w:szCs w:val="18"/>
    </w:rPr>
  </w:style>
  <w:style w:type="paragraph" w:styleId="aa">
    <w:name w:val="annotation text"/>
    <w:basedOn w:val="a"/>
    <w:link w:val="Char2"/>
    <w:rsid w:val="00D36332"/>
    <w:pPr>
      <w:jc w:val="left"/>
    </w:pPr>
  </w:style>
  <w:style w:type="character" w:customStyle="1" w:styleId="Char2">
    <w:name w:val="批注文字 Char"/>
    <w:link w:val="aa"/>
    <w:rsid w:val="00D36332"/>
    <w:rPr>
      <w:rFonts w:ascii="Courier New" w:hAnsi="Courier New"/>
      <w:kern w:val="2"/>
      <w:sz w:val="24"/>
      <w:szCs w:val="24"/>
    </w:rPr>
  </w:style>
  <w:style w:type="paragraph" w:styleId="ab">
    <w:name w:val="annotation subject"/>
    <w:basedOn w:val="aa"/>
    <w:next w:val="aa"/>
    <w:link w:val="Char3"/>
    <w:rsid w:val="00D36332"/>
    <w:rPr>
      <w:b/>
      <w:bCs/>
    </w:rPr>
  </w:style>
  <w:style w:type="character" w:customStyle="1" w:styleId="Char3">
    <w:name w:val="批注主题 Char"/>
    <w:link w:val="ab"/>
    <w:rsid w:val="00D36332"/>
    <w:rPr>
      <w:rFonts w:ascii="Courier New" w:hAnsi="Courier New"/>
      <w:b/>
      <w:bCs/>
      <w:kern w:val="2"/>
      <w:sz w:val="24"/>
      <w:szCs w:val="24"/>
    </w:rPr>
  </w:style>
  <w:style w:type="paragraph" w:styleId="ac">
    <w:name w:val="Revision"/>
    <w:hidden/>
    <w:uiPriority w:val="99"/>
    <w:semiHidden/>
    <w:rsid w:val="001F7667"/>
    <w:rPr>
      <w:rFonts w:ascii="Courier New" w:hAnsi="Courier New"/>
      <w:kern w:val="2"/>
      <w:sz w:val="24"/>
      <w:szCs w:val="24"/>
      <w:lang w:eastAsia="ja-JP"/>
    </w:rPr>
  </w:style>
  <w:style w:type="character" w:customStyle="1" w:styleId="ad">
    <w:name w:val="メンション"/>
    <w:uiPriority w:val="99"/>
    <w:semiHidden/>
    <w:unhideWhenUsed/>
    <w:rsid w:val="00B31EB3"/>
    <w:rPr>
      <w:color w:val="2B579A"/>
      <w:shd w:val="clear" w:color="auto" w:fill="E6E6E6"/>
    </w:rPr>
  </w:style>
  <w:style w:type="paragraph" w:styleId="ae">
    <w:name w:val="Normal (Web)"/>
    <w:basedOn w:val="a"/>
    <w:uiPriority w:val="99"/>
    <w:unhideWhenUsed/>
    <w:rsid w:val="008E5E98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</w:rPr>
  </w:style>
  <w:style w:type="character" w:customStyle="1" w:styleId="af">
    <w:name w:val="未解決のメンション"/>
    <w:uiPriority w:val="99"/>
    <w:semiHidden/>
    <w:unhideWhenUsed/>
    <w:rsid w:val="005B415E"/>
    <w:rPr>
      <w:color w:val="605E5C"/>
      <w:shd w:val="clear" w:color="auto" w:fill="E1DFDD"/>
    </w:rPr>
  </w:style>
  <w:style w:type="character" w:customStyle="1" w:styleId="af0">
    <w:name w:val="未处理的提及"/>
    <w:uiPriority w:val="99"/>
    <w:semiHidden/>
    <w:unhideWhenUsed/>
    <w:rsid w:val="00F5241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iPriority="9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/>
    <w:lsdException w:name="footer" w:semiHidden="0" w:uiPriority="99" w:unhideWhenUsed="0"/>
    <w:lsdException w:name="index heading" w:semiHidden="0" w:unhideWhenUsed="0"/>
    <w:lsdException w:name="caption" w:locked="1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nhideWhenUsed="0" w:qFormat="1"/>
    <w:lsdException w:name="Closing" w:semiHidden="0" w:unhideWhenUsed="0"/>
    <w:lsdException w:name="Signature" w:semiHidden="0" w:unhideWhenUsed="0"/>
    <w:lsdException w:name="Default Paragraph Font" w:locked="1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locked="1" w:semiHidden="0" w:unhideWhenUsed="0" w:qFormat="1"/>
    <w:lsdException w:name="Emphasis" w:locked="1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F1"/>
    <w:pPr>
      <w:widowControl w:val="0"/>
      <w:jc w:val="both"/>
    </w:pPr>
    <w:rPr>
      <w:rFonts w:ascii="Courier New" w:hAnsi="Courier New"/>
      <w:kern w:val="2"/>
      <w:sz w:val="24"/>
      <w:szCs w:val="24"/>
      <w:lang w:eastAsia="ja-JP"/>
    </w:rPr>
  </w:style>
  <w:style w:type="paragraph" w:styleId="4">
    <w:name w:val="heading 4"/>
    <w:basedOn w:val="a"/>
    <w:link w:val="4Char"/>
    <w:uiPriority w:val="9"/>
    <w:qFormat/>
    <w:locked/>
    <w:rsid w:val="00780045"/>
    <w:pPr>
      <w:widowControl/>
      <w:spacing w:before="100" w:beforeAutospacing="1" w:after="100" w:afterAutospacing="1"/>
      <w:jc w:val="left"/>
      <w:outlineLvl w:val="3"/>
    </w:pPr>
    <w:rPr>
      <w:rFonts w:ascii="Times New Roman" w:eastAsia="Times New Roman" w:hAnsi="Times New Roman"/>
      <w:b/>
      <w:bCs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E5DE4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Char">
    <w:name w:val="页眉 Char"/>
    <w:link w:val="a3"/>
    <w:uiPriority w:val="99"/>
    <w:locked/>
    <w:rsid w:val="00DE5DE4"/>
    <w:rPr>
      <w:rFonts w:ascii="Courier New" w:eastAsia="MS Mincho" w:hAnsi="Courier New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DE5DE4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Char0">
    <w:name w:val="页脚 Char"/>
    <w:link w:val="a4"/>
    <w:uiPriority w:val="99"/>
    <w:locked/>
    <w:rsid w:val="00DE5DE4"/>
    <w:rPr>
      <w:rFonts w:ascii="Courier New" w:eastAsia="MS Mincho" w:hAnsi="Courier New" w:cs="Times New Roman"/>
      <w:sz w:val="24"/>
      <w:szCs w:val="24"/>
    </w:rPr>
  </w:style>
  <w:style w:type="character" w:styleId="a5">
    <w:name w:val="Hyperlink"/>
    <w:rsid w:val="00DE1788"/>
    <w:rPr>
      <w:rFonts w:cs="Times New Roman"/>
      <w:color w:val="0000FF"/>
      <w:u w:val="single"/>
    </w:rPr>
  </w:style>
  <w:style w:type="character" w:styleId="a6">
    <w:name w:val="line number"/>
    <w:basedOn w:val="a0"/>
    <w:rsid w:val="00393707"/>
  </w:style>
  <w:style w:type="character" w:customStyle="1" w:styleId="4Char">
    <w:name w:val="标题 4 Char"/>
    <w:link w:val="4"/>
    <w:uiPriority w:val="9"/>
    <w:rsid w:val="00780045"/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Balloon Text"/>
    <w:basedOn w:val="a"/>
    <w:link w:val="Char1"/>
    <w:rsid w:val="005D5BDF"/>
    <w:rPr>
      <w:rFonts w:ascii="Segoe UI" w:hAnsi="Segoe UI"/>
      <w:sz w:val="18"/>
      <w:szCs w:val="18"/>
      <w:lang w:val="x-none"/>
    </w:rPr>
  </w:style>
  <w:style w:type="character" w:customStyle="1" w:styleId="Char1">
    <w:name w:val="批注框文本 Char"/>
    <w:link w:val="a7"/>
    <w:rsid w:val="005D5BDF"/>
    <w:rPr>
      <w:rFonts w:ascii="Segoe UI" w:hAnsi="Segoe UI" w:cs="Segoe UI"/>
      <w:kern w:val="2"/>
      <w:sz w:val="18"/>
      <w:szCs w:val="18"/>
      <w:lang w:eastAsia="ja-JP"/>
    </w:rPr>
  </w:style>
  <w:style w:type="table" w:styleId="a8">
    <w:name w:val="Table Grid"/>
    <w:basedOn w:val="a1"/>
    <w:locked/>
    <w:rsid w:val="00101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List 3"/>
    <w:basedOn w:val="a1"/>
    <w:rsid w:val="00101840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表 (モノトーン)  11"/>
    <w:basedOn w:val="a1"/>
    <w:uiPriority w:val="60"/>
    <w:rsid w:val="00260B6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EndNoteBibliographyTitle">
    <w:name w:val="EndNote Bibliography Title"/>
    <w:basedOn w:val="a"/>
    <w:link w:val="EndNoteBibliographyTitle0"/>
    <w:rsid w:val="005B0417"/>
    <w:pPr>
      <w:jc w:val="center"/>
    </w:pPr>
    <w:rPr>
      <w:rFonts w:cs="Courier New"/>
      <w:noProof/>
    </w:rPr>
  </w:style>
  <w:style w:type="character" w:customStyle="1" w:styleId="EndNoteBibliographyTitle0">
    <w:name w:val="EndNote Bibliography Title (文字)"/>
    <w:link w:val="EndNoteBibliographyTitle"/>
    <w:rsid w:val="005B0417"/>
    <w:rPr>
      <w:rFonts w:ascii="Courier New" w:hAnsi="Courier New" w:cs="Courier New"/>
      <w:noProof/>
      <w:kern w:val="2"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5B0417"/>
    <w:pPr>
      <w:jc w:val="left"/>
    </w:pPr>
    <w:rPr>
      <w:rFonts w:cs="Courier New"/>
      <w:noProof/>
    </w:rPr>
  </w:style>
  <w:style w:type="character" w:customStyle="1" w:styleId="EndNoteBibliography0">
    <w:name w:val="EndNote Bibliography (文字)"/>
    <w:link w:val="EndNoteBibliography"/>
    <w:rsid w:val="005B0417"/>
    <w:rPr>
      <w:rFonts w:ascii="Courier New" w:hAnsi="Courier New" w:cs="Courier New"/>
      <w:noProof/>
      <w:kern w:val="2"/>
      <w:sz w:val="24"/>
      <w:szCs w:val="24"/>
    </w:rPr>
  </w:style>
  <w:style w:type="table" w:customStyle="1" w:styleId="61">
    <w:name w:val="一覧 (表) 6 カラフル1"/>
    <w:basedOn w:val="a1"/>
    <w:uiPriority w:val="51"/>
    <w:rsid w:val="00A361F8"/>
    <w:rPr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a9">
    <w:name w:val="annotation reference"/>
    <w:rsid w:val="00D36332"/>
    <w:rPr>
      <w:sz w:val="18"/>
      <w:szCs w:val="18"/>
    </w:rPr>
  </w:style>
  <w:style w:type="paragraph" w:styleId="aa">
    <w:name w:val="annotation text"/>
    <w:basedOn w:val="a"/>
    <w:link w:val="Char2"/>
    <w:rsid w:val="00D36332"/>
    <w:pPr>
      <w:jc w:val="left"/>
    </w:pPr>
  </w:style>
  <w:style w:type="character" w:customStyle="1" w:styleId="Char2">
    <w:name w:val="批注文字 Char"/>
    <w:link w:val="aa"/>
    <w:rsid w:val="00D36332"/>
    <w:rPr>
      <w:rFonts w:ascii="Courier New" w:hAnsi="Courier New"/>
      <w:kern w:val="2"/>
      <w:sz w:val="24"/>
      <w:szCs w:val="24"/>
    </w:rPr>
  </w:style>
  <w:style w:type="paragraph" w:styleId="ab">
    <w:name w:val="annotation subject"/>
    <w:basedOn w:val="aa"/>
    <w:next w:val="aa"/>
    <w:link w:val="Char3"/>
    <w:rsid w:val="00D36332"/>
    <w:rPr>
      <w:b/>
      <w:bCs/>
    </w:rPr>
  </w:style>
  <w:style w:type="character" w:customStyle="1" w:styleId="Char3">
    <w:name w:val="批注主题 Char"/>
    <w:link w:val="ab"/>
    <w:rsid w:val="00D36332"/>
    <w:rPr>
      <w:rFonts w:ascii="Courier New" w:hAnsi="Courier New"/>
      <w:b/>
      <w:bCs/>
      <w:kern w:val="2"/>
      <w:sz w:val="24"/>
      <w:szCs w:val="24"/>
    </w:rPr>
  </w:style>
  <w:style w:type="paragraph" w:styleId="ac">
    <w:name w:val="Revision"/>
    <w:hidden/>
    <w:uiPriority w:val="99"/>
    <w:semiHidden/>
    <w:rsid w:val="001F7667"/>
    <w:rPr>
      <w:rFonts w:ascii="Courier New" w:hAnsi="Courier New"/>
      <w:kern w:val="2"/>
      <w:sz w:val="24"/>
      <w:szCs w:val="24"/>
      <w:lang w:eastAsia="ja-JP"/>
    </w:rPr>
  </w:style>
  <w:style w:type="character" w:customStyle="1" w:styleId="ad">
    <w:name w:val="メンション"/>
    <w:uiPriority w:val="99"/>
    <w:semiHidden/>
    <w:unhideWhenUsed/>
    <w:rsid w:val="00B31EB3"/>
    <w:rPr>
      <w:color w:val="2B579A"/>
      <w:shd w:val="clear" w:color="auto" w:fill="E6E6E6"/>
    </w:rPr>
  </w:style>
  <w:style w:type="paragraph" w:styleId="ae">
    <w:name w:val="Normal (Web)"/>
    <w:basedOn w:val="a"/>
    <w:uiPriority w:val="99"/>
    <w:unhideWhenUsed/>
    <w:rsid w:val="008E5E98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</w:rPr>
  </w:style>
  <w:style w:type="character" w:customStyle="1" w:styleId="af">
    <w:name w:val="未解決のメンション"/>
    <w:uiPriority w:val="99"/>
    <w:semiHidden/>
    <w:unhideWhenUsed/>
    <w:rsid w:val="005B415E"/>
    <w:rPr>
      <w:color w:val="605E5C"/>
      <w:shd w:val="clear" w:color="auto" w:fill="E1DFDD"/>
    </w:rPr>
  </w:style>
  <w:style w:type="character" w:customStyle="1" w:styleId="af0">
    <w:name w:val="未处理的提及"/>
    <w:uiPriority w:val="99"/>
    <w:semiHidden/>
    <w:unhideWhenUsed/>
    <w:rsid w:val="00F52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976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2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8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1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1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77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y-tamai@wakayamah.johas.go.jp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nc/4.0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6890</Words>
  <Characters>39276</Characters>
  <Application>Microsoft Office Word</Application>
  <DocSecurity>0</DocSecurity>
  <PresentationFormat/>
  <Lines>327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46074</CharactersWithSpaces>
  <SharedDoc>false</SharedDoc>
  <HyperlinkBase/>
  <HLinks>
    <vt:vector size="12" baseType="variant">
      <vt:variant>
        <vt:i4>2555949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http://creativecommons.org/licenses/by-nc/4.0/</vt:lpwstr>
      </vt:variant>
      <vt:variant>
        <vt:lpwstr/>
      </vt:variant>
      <vt:variant>
        <vt:i4>2818120</vt:i4>
      </vt:variant>
      <vt:variant>
        <vt:i4>0</vt:i4>
      </vt:variant>
      <vt:variant>
        <vt:i4>0</vt:i4>
      </vt:variant>
      <vt:variant>
        <vt:i4>5</vt:i4>
      </vt:variant>
      <vt:variant>
        <vt:lpwstr>mailto:hdy-tamai@wakayamah.johas.go.jp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2020-09-19T08:08:00Z</dcterms:created>
  <dcterms:modified xsi:type="dcterms:W3CDTF">2020-09-19T09:04:00Z</dcterms:modified>
  <dc:language/>
  <cp:version/>
</cp:coreProperties>
</file>