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6CB4E"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 xml:space="preserve">Name of Journal: </w:t>
      </w:r>
      <w:r w:rsidRPr="0003196B">
        <w:rPr>
          <w:rFonts w:ascii="Book Antiqua" w:eastAsia="Book Antiqua" w:hAnsi="Book Antiqua" w:cs="Book Antiqua"/>
          <w:i/>
          <w:color w:val="000000"/>
        </w:rPr>
        <w:t>World Journal of Orthopedics</w:t>
      </w:r>
    </w:p>
    <w:p w14:paraId="0F625DDC"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 xml:space="preserve">Manuscript NO: </w:t>
      </w:r>
      <w:r w:rsidRPr="0003196B">
        <w:rPr>
          <w:rFonts w:ascii="Book Antiqua" w:eastAsia="Book Antiqua" w:hAnsi="Book Antiqua" w:cs="Book Antiqua"/>
          <w:color w:val="000000"/>
        </w:rPr>
        <w:t>56634</w:t>
      </w:r>
    </w:p>
    <w:p w14:paraId="4BB77153"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 xml:space="preserve">Manuscript Type: </w:t>
      </w:r>
      <w:r w:rsidRPr="0003196B">
        <w:rPr>
          <w:rFonts w:ascii="Book Antiqua" w:eastAsia="Book Antiqua" w:hAnsi="Book Antiqua" w:cs="Book Antiqua"/>
          <w:color w:val="000000"/>
        </w:rPr>
        <w:t>ORIGINAL ARTICLE</w:t>
      </w:r>
    </w:p>
    <w:p w14:paraId="57836407" w14:textId="77777777" w:rsidR="00A77B3E" w:rsidRPr="0003196B" w:rsidRDefault="00A77B3E" w:rsidP="0003196B">
      <w:pPr>
        <w:adjustRightInd w:val="0"/>
        <w:snapToGrid w:val="0"/>
        <w:spacing w:line="360" w:lineRule="auto"/>
        <w:jc w:val="both"/>
        <w:rPr>
          <w:rFonts w:ascii="Book Antiqua" w:hAnsi="Book Antiqua"/>
        </w:rPr>
      </w:pPr>
    </w:p>
    <w:p w14:paraId="66A14971"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i/>
          <w:color w:val="000000"/>
        </w:rPr>
        <w:t>Retrospective Cohort Study</w:t>
      </w:r>
    </w:p>
    <w:p w14:paraId="548B5947" w14:textId="78B4C176"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 xml:space="preserve">Length </w:t>
      </w:r>
      <w:r w:rsidR="00730948" w:rsidRPr="0003196B">
        <w:rPr>
          <w:rFonts w:ascii="Book Antiqua" w:eastAsia="Book Antiqua" w:hAnsi="Book Antiqua" w:cs="Book Antiqua"/>
          <w:b/>
          <w:color w:val="000000"/>
        </w:rPr>
        <w:t>unstable femoral fractures</w:t>
      </w:r>
      <w:r w:rsidRPr="0003196B">
        <w:rPr>
          <w:rFonts w:ascii="Book Antiqua" w:eastAsia="Book Antiqua" w:hAnsi="Book Antiqua" w:cs="Book Antiqua"/>
          <w:b/>
          <w:color w:val="000000"/>
        </w:rPr>
        <w:t xml:space="preserve">: A </w:t>
      </w:r>
      <w:r w:rsidR="00730948" w:rsidRPr="0003196B">
        <w:rPr>
          <w:rFonts w:ascii="Book Antiqua" w:eastAsia="Book Antiqua" w:hAnsi="Book Antiqua" w:cs="Book Antiqua"/>
          <w:b/>
          <w:color w:val="000000"/>
        </w:rPr>
        <w:t>misnomer</w:t>
      </w:r>
      <w:r w:rsidRPr="0003196B">
        <w:rPr>
          <w:rFonts w:ascii="Book Antiqua" w:eastAsia="Book Antiqua" w:hAnsi="Book Antiqua" w:cs="Book Antiqua"/>
          <w:b/>
          <w:color w:val="000000"/>
        </w:rPr>
        <w:t>?</w:t>
      </w:r>
    </w:p>
    <w:p w14:paraId="00ECE1D9" w14:textId="77777777" w:rsidR="00A77B3E" w:rsidRPr="0003196B" w:rsidRDefault="00A77B3E" w:rsidP="0003196B">
      <w:pPr>
        <w:adjustRightInd w:val="0"/>
        <w:snapToGrid w:val="0"/>
        <w:spacing w:line="360" w:lineRule="auto"/>
        <w:jc w:val="both"/>
        <w:rPr>
          <w:rFonts w:ascii="Book Antiqua" w:hAnsi="Book Antiqua"/>
        </w:rPr>
      </w:pPr>
    </w:p>
    <w:p w14:paraId="1AA0E846" w14:textId="579CC41A" w:rsidR="00A77B3E" w:rsidRPr="0003196B" w:rsidRDefault="007F3D90" w:rsidP="0003196B">
      <w:pPr>
        <w:adjustRightInd w:val="0"/>
        <w:snapToGrid w:val="0"/>
        <w:spacing w:line="360" w:lineRule="auto"/>
        <w:jc w:val="both"/>
        <w:rPr>
          <w:rFonts w:ascii="Book Antiqua" w:hAnsi="Book Antiqua"/>
        </w:rPr>
      </w:pPr>
      <w:proofErr w:type="spellStart"/>
      <w:r w:rsidRPr="0003196B">
        <w:rPr>
          <w:rFonts w:ascii="Book Antiqua" w:eastAsia="Book Antiqua" w:hAnsi="Book Antiqua" w:cs="Book Antiqua"/>
          <w:color w:val="000000"/>
        </w:rPr>
        <w:t>Mussell</w:t>
      </w:r>
      <w:proofErr w:type="spellEnd"/>
      <w:r w:rsidRPr="0003196B">
        <w:rPr>
          <w:rFonts w:ascii="Book Antiqua" w:eastAsia="Book Antiqua" w:hAnsi="Book Antiqua" w:cs="Book Antiqua"/>
          <w:color w:val="000000"/>
        </w:rPr>
        <w:t xml:space="preserve"> EA </w:t>
      </w:r>
      <w:r w:rsidRPr="0003196B">
        <w:rPr>
          <w:rFonts w:ascii="Book Antiqua" w:eastAsia="Book Antiqua" w:hAnsi="Book Antiqua" w:cs="Book Antiqua"/>
          <w:i/>
          <w:iCs/>
          <w:color w:val="000000"/>
        </w:rPr>
        <w:t>et al</w:t>
      </w:r>
      <w:r w:rsidRPr="0003196B">
        <w:rPr>
          <w:rFonts w:ascii="Book Antiqua" w:eastAsia="Book Antiqua" w:hAnsi="Book Antiqua" w:cs="Book Antiqua"/>
          <w:color w:val="000000"/>
        </w:rPr>
        <w:t xml:space="preserve">. </w:t>
      </w:r>
      <w:r w:rsidR="000D4CF3" w:rsidRPr="0003196B">
        <w:rPr>
          <w:rFonts w:ascii="Book Antiqua" w:eastAsia="Book Antiqua" w:hAnsi="Book Antiqua" w:cs="Book Antiqua"/>
          <w:color w:val="000000"/>
        </w:rPr>
        <w:t xml:space="preserve">Femoral </w:t>
      </w:r>
      <w:r w:rsidR="00730948" w:rsidRPr="0003196B">
        <w:rPr>
          <w:rFonts w:ascii="Book Antiqua" w:eastAsia="Book Antiqua" w:hAnsi="Book Antiqua" w:cs="Book Antiqua"/>
          <w:color w:val="000000"/>
        </w:rPr>
        <w:t>fractures</w:t>
      </w:r>
    </w:p>
    <w:p w14:paraId="29FB7FE0" w14:textId="77777777" w:rsidR="00A77B3E" w:rsidRPr="0003196B" w:rsidRDefault="00A77B3E" w:rsidP="0003196B">
      <w:pPr>
        <w:adjustRightInd w:val="0"/>
        <w:snapToGrid w:val="0"/>
        <w:spacing w:line="360" w:lineRule="auto"/>
        <w:jc w:val="both"/>
        <w:rPr>
          <w:rFonts w:ascii="Book Antiqua" w:hAnsi="Book Antiqua"/>
        </w:rPr>
      </w:pPr>
    </w:p>
    <w:p w14:paraId="30658D6E"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Eric Andrew </w:t>
      </w:r>
      <w:proofErr w:type="spellStart"/>
      <w:r w:rsidRPr="0003196B">
        <w:rPr>
          <w:rFonts w:ascii="Book Antiqua" w:eastAsia="Book Antiqua" w:hAnsi="Book Antiqua" w:cs="Book Antiqua"/>
          <w:color w:val="000000"/>
        </w:rPr>
        <w:t>Mussell</w:t>
      </w:r>
      <w:proofErr w:type="spellEnd"/>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Achraf</w:t>
      </w:r>
      <w:proofErr w:type="spellEnd"/>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Jardaly</w:t>
      </w:r>
      <w:proofErr w:type="spellEnd"/>
      <w:r w:rsidRPr="0003196B">
        <w:rPr>
          <w:rFonts w:ascii="Book Antiqua" w:eastAsia="Book Antiqua" w:hAnsi="Book Antiqua" w:cs="Book Antiqua"/>
          <w:color w:val="000000"/>
        </w:rPr>
        <w:t>, Shawn R Gilbert</w:t>
      </w:r>
    </w:p>
    <w:p w14:paraId="42EF7703" w14:textId="77777777" w:rsidR="00A77B3E" w:rsidRPr="0003196B" w:rsidRDefault="00A77B3E" w:rsidP="0003196B">
      <w:pPr>
        <w:adjustRightInd w:val="0"/>
        <w:snapToGrid w:val="0"/>
        <w:spacing w:line="360" w:lineRule="auto"/>
        <w:jc w:val="both"/>
        <w:rPr>
          <w:rFonts w:ascii="Book Antiqua" w:hAnsi="Book Antiqua"/>
        </w:rPr>
      </w:pPr>
    </w:p>
    <w:p w14:paraId="77B57934" w14:textId="747E0D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Eric Andrew </w:t>
      </w:r>
      <w:proofErr w:type="spellStart"/>
      <w:r w:rsidRPr="0003196B">
        <w:rPr>
          <w:rFonts w:ascii="Book Antiqua" w:eastAsia="Book Antiqua" w:hAnsi="Book Antiqua" w:cs="Book Antiqua"/>
          <w:b/>
          <w:bCs/>
          <w:color w:val="000000"/>
        </w:rPr>
        <w:t>Mussell</w:t>
      </w:r>
      <w:proofErr w:type="spellEnd"/>
      <w:r w:rsidRPr="0003196B">
        <w:rPr>
          <w:rFonts w:ascii="Book Antiqua" w:eastAsia="Book Antiqua" w:hAnsi="Book Antiqua" w:cs="Book Antiqua"/>
          <w:b/>
          <w:bCs/>
          <w:color w:val="000000"/>
        </w:rPr>
        <w:t>,</w:t>
      </w:r>
      <w:r w:rsidR="001B5D95" w:rsidRPr="0003196B">
        <w:rPr>
          <w:rFonts w:ascii="Book Antiqua" w:hAnsi="Book Antiqua" w:cs="Arial"/>
          <w:color w:val="999999"/>
          <w:shd w:val="clear" w:color="auto" w:fill="FFFFFF"/>
        </w:rPr>
        <w:t xml:space="preserve"> </w:t>
      </w:r>
      <w:r w:rsidR="001B5D95" w:rsidRPr="0003196B">
        <w:rPr>
          <w:rFonts w:ascii="Book Antiqua" w:eastAsia="Book Antiqua" w:hAnsi="Book Antiqua" w:cs="Book Antiqua"/>
          <w:color w:val="000000"/>
        </w:rPr>
        <w:t> </w:t>
      </w:r>
      <w:hyperlink r:id="rId6" w:history="1">
        <w:r w:rsidR="001B5D95" w:rsidRPr="0003196B">
          <w:rPr>
            <w:rFonts w:ascii="Book Antiqua" w:eastAsia="Book Antiqua" w:hAnsi="Book Antiqua" w:cs="Book Antiqua"/>
            <w:color w:val="000000"/>
          </w:rPr>
          <w:t>Department</w:t>
        </w:r>
      </w:hyperlink>
      <w:r w:rsidR="001B5D95" w:rsidRPr="0003196B">
        <w:rPr>
          <w:rFonts w:ascii="Book Antiqua" w:eastAsia="Book Antiqua" w:hAnsi="Book Antiqua" w:cs="Book Antiqua"/>
          <w:color w:val="000000"/>
        </w:rPr>
        <w:t xml:space="preserve"> </w:t>
      </w:r>
      <w:r w:rsidR="001B5D95" w:rsidRPr="0003196B">
        <w:rPr>
          <w:rFonts w:ascii="Book Antiqua" w:hAnsi="Book Antiqua" w:cs="Book Antiqua"/>
          <w:color w:val="000000"/>
          <w:lang w:eastAsia="zh-CN"/>
        </w:rPr>
        <w:t>o</w:t>
      </w:r>
      <w:r w:rsidR="001B5D95" w:rsidRPr="0003196B">
        <w:rPr>
          <w:rFonts w:ascii="Book Antiqua" w:eastAsia="Book Antiqua" w:hAnsi="Book Antiqua" w:cs="Book Antiqua"/>
          <w:color w:val="000000"/>
        </w:rPr>
        <w:t>f</w:t>
      </w:r>
      <w:r w:rsidR="001B5D95" w:rsidRPr="0003196B">
        <w:rPr>
          <w:rStyle w:val="apple-converted-space"/>
          <w:rFonts w:ascii="Book Antiqua" w:hAnsi="Book Antiqua" w:cs="Arial"/>
          <w:color w:val="999999"/>
          <w:shd w:val="clear" w:color="auto" w:fill="FFFFFF"/>
        </w:rPr>
        <w:t> </w:t>
      </w:r>
      <w:proofErr w:type="spellStart"/>
      <w:r w:rsidRPr="0003196B">
        <w:rPr>
          <w:rFonts w:ascii="Book Antiqua" w:eastAsia="Book Antiqua" w:hAnsi="Book Antiqua" w:cs="Book Antiqua"/>
          <w:color w:val="000000"/>
        </w:rPr>
        <w:t>Orthopaedic</w:t>
      </w:r>
      <w:proofErr w:type="spellEnd"/>
      <w:r w:rsidRPr="0003196B">
        <w:rPr>
          <w:rFonts w:ascii="Book Antiqua" w:eastAsia="Book Antiqua" w:hAnsi="Book Antiqua" w:cs="Book Antiqua"/>
          <w:color w:val="000000"/>
        </w:rPr>
        <w:t xml:space="preserve"> Surgery, University of Alabama at Birmingham, and Andrews Sports Medicine and Orthopaedic Center, Birmingham, AL 35205, United States</w:t>
      </w:r>
    </w:p>
    <w:p w14:paraId="07F7B096" w14:textId="77777777" w:rsidR="00A77B3E" w:rsidRPr="0003196B" w:rsidRDefault="00A77B3E" w:rsidP="0003196B">
      <w:pPr>
        <w:adjustRightInd w:val="0"/>
        <w:snapToGrid w:val="0"/>
        <w:spacing w:line="360" w:lineRule="auto"/>
        <w:jc w:val="both"/>
        <w:rPr>
          <w:rFonts w:ascii="Book Antiqua" w:hAnsi="Book Antiqua"/>
        </w:rPr>
      </w:pPr>
    </w:p>
    <w:p w14:paraId="443E2529" w14:textId="4C61696A" w:rsidR="00A77B3E" w:rsidRPr="0003196B" w:rsidRDefault="000D4CF3" w:rsidP="0003196B">
      <w:pPr>
        <w:adjustRightInd w:val="0"/>
        <w:snapToGrid w:val="0"/>
        <w:spacing w:line="360" w:lineRule="auto"/>
        <w:jc w:val="both"/>
        <w:rPr>
          <w:rFonts w:ascii="Book Antiqua" w:hAnsi="Book Antiqua"/>
        </w:rPr>
      </w:pPr>
      <w:proofErr w:type="spellStart"/>
      <w:r w:rsidRPr="0003196B">
        <w:rPr>
          <w:rFonts w:ascii="Book Antiqua" w:eastAsia="Book Antiqua" w:hAnsi="Book Antiqua" w:cs="Book Antiqua"/>
          <w:b/>
          <w:bCs/>
          <w:color w:val="000000"/>
        </w:rPr>
        <w:t>Achraf</w:t>
      </w:r>
      <w:proofErr w:type="spellEnd"/>
      <w:r w:rsidRPr="0003196B">
        <w:rPr>
          <w:rFonts w:ascii="Book Antiqua" w:eastAsia="Book Antiqua" w:hAnsi="Book Antiqua" w:cs="Book Antiqua"/>
          <w:b/>
          <w:bCs/>
          <w:color w:val="000000"/>
        </w:rPr>
        <w:t xml:space="preserve"> </w:t>
      </w:r>
      <w:proofErr w:type="spellStart"/>
      <w:r w:rsidRPr="0003196B">
        <w:rPr>
          <w:rFonts w:ascii="Book Antiqua" w:eastAsia="Book Antiqua" w:hAnsi="Book Antiqua" w:cs="Book Antiqua"/>
          <w:b/>
          <w:bCs/>
          <w:color w:val="000000"/>
        </w:rPr>
        <w:t>Jardaly</w:t>
      </w:r>
      <w:proofErr w:type="spellEnd"/>
      <w:r w:rsidRPr="0003196B">
        <w:rPr>
          <w:rFonts w:ascii="Book Antiqua" w:eastAsia="Book Antiqua" w:hAnsi="Book Antiqua" w:cs="Book Antiqua"/>
          <w:b/>
          <w:bCs/>
          <w:color w:val="000000"/>
        </w:rPr>
        <w:t xml:space="preserve">, </w:t>
      </w:r>
      <w:hyperlink r:id="rId7" w:history="1">
        <w:r w:rsidR="001B5D95" w:rsidRPr="0003196B">
          <w:rPr>
            <w:rFonts w:ascii="Book Antiqua" w:eastAsia="Book Antiqua" w:hAnsi="Book Antiqua" w:cs="Book Antiqua"/>
            <w:color w:val="000000"/>
          </w:rPr>
          <w:t>Department</w:t>
        </w:r>
      </w:hyperlink>
      <w:r w:rsidR="001B5D95" w:rsidRPr="0003196B">
        <w:rPr>
          <w:rFonts w:ascii="Book Antiqua" w:eastAsia="Book Antiqua" w:hAnsi="Book Antiqua" w:cs="Book Antiqua"/>
          <w:color w:val="000000"/>
        </w:rPr>
        <w:t xml:space="preserve"> </w:t>
      </w:r>
      <w:r w:rsidR="001B5D95" w:rsidRPr="0003196B">
        <w:rPr>
          <w:rFonts w:ascii="Book Antiqua" w:hAnsi="Book Antiqua" w:cs="Book Antiqua"/>
          <w:color w:val="000000"/>
          <w:lang w:eastAsia="zh-CN"/>
        </w:rPr>
        <w:t>o</w:t>
      </w:r>
      <w:r w:rsidR="001B5D95" w:rsidRPr="0003196B">
        <w:rPr>
          <w:rFonts w:ascii="Book Antiqua" w:eastAsia="Book Antiqua" w:hAnsi="Book Antiqua" w:cs="Book Antiqua"/>
          <w:color w:val="000000"/>
        </w:rPr>
        <w:t xml:space="preserve">f </w:t>
      </w:r>
      <w:r w:rsidRPr="0003196B">
        <w:rPr>
          <w:rFonts w:ascii="Book Antiqua" w:eastAsia="Book Antiqua" w:hAnsi="Book Antiqua" w:cs="Book Antiqua"/>
          <w:color w:val="000000"/>
        </w:rPr>
        <w:t>Orthopedic Surgery, University of Alabama at Birmingham and Lebanese American University, Gilbert and Rose-Marie Chagoury School of Medicine, Byblos 00000, Lebanon</w:t>
      </w:r>
    </w:p>
    <w:p w14:paraId="1F24785A" w14:textId="77777777" w:rsidR="00A77B3E" w:rsidRPr="0003196B" w:rsidRDefault="00A77B3E" w:rsidP="0003196B">
      <w:pPr>
        <w:adjustRightInd w:val="0"/>
        <w:snapToGrid w:val="0"/>
        <w:spacing w:line="360" w:lineRule="auto"/>
        <w:jc w:val="both"/>
        <w:rPr>
          <w:rFonts w:ascii="Book Antiqua" w:hAnsi="Book Antiqua"/>
        </w:rPr>
      </w:pPr>
    </w:p>
    <w:p w14:paraId="5529E218" w14:textId="7ED776C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Shawn R Gilbert, </w:t>
      </w:r>
      <w:hyperlink r:id="rId8" w:history="1">
        <w:r w:rsidR="001B5D95" w:rsidRPr="0003196B">
          <w:rPr>
            <w:rFonts w:ascii="Book Antiqua" w:eastAsia="Book Antiqua" w:hAnsi="Book Antiqua" w:cs="Book Antiqua"/>
            <w:color w:val="000000"/>
          </w:rPr>
          <w:t>Department</w:t>
        </w:r>
      </w:hyperlink>
      <w:r w:rsidR="001B5D95" w:rsidRPr="0003196B">
        <w:rPr>
          <w:rFonts w:ascii="Book Antiqua" w:eastAsia="Book Antiqua" w:hAnsi="Book Antiqua" w:cs="Book Antiqua"/>
          <w:color w:val="000000"/>
        </w:rPr>
        <w:t xml:space="preserve"> </w:t>
      </w:r>
      <w:r w:rsidR="001B5D95" w:rsidRPr="0003196B">
        <w:rPr>
          <w:rFonts w:ascii="Book Antiqua" w:hAnsi="Book Antiqua" w:cs="Book Antiqua"/>
          <w:color w:val="000000"/>
          <w:lang w:eastAsia="zh-CN"/>
        </w:rPr>
        <w:t>o</w:t>
      </w:r>
      <w:r w:rsidR="001B5D95" w:rsidRPr="0003196B">
        <w:rPr>
          <w:rFonts w:ascii="Book Antiqua" w:eastAsia="Book Antiqua" w:hAnsi="Book Antiqua" w:cs="Book Antiqua"/>
          <w:color w:val="000000"/>
        </w:rPr>
        <w:t xml:space="preserve">f </w:t>
      </w:r>
      <w:r w:rsidRPr="0003196B">
        <w:rPr>
          <w:rFonts w:ascii="Book Antiqua" w:eastAsia="Book Antiqua" w:hAnsi="Book Antiqua" w:cs="Book Antiqua"/>
          <w:color w:val="000000"/>
        </w:rPr>
        <w:t xml:space="preserve">Pediatric </w:t>
      </w:r>
      <w:proofErr w:type="spellStart"/>
      <w:r w:rsidRPr="0003196B">
        <w:rPr>
          <w:rFonts w:ascii="Book Antiqua" w:eastAsia="Book Antiqua" w:hAnsi="Book Antiqua" w:cs="Book Antiqua"/>
          <w:color w:val="000000"/>
        </w:rPr>
        <w:t>Orthopaedics</w:t>
      </w:r>
      <w:proofErr w:type="spellEnd"/>
      <w:r w:rsidRPr="0003196B">
        <w:rPr>
          <w:rFonts w:ascii="Book Antiqua" w:eastAsia="Book Antiqua" w:hAnsi="Book Antiqua" w:cs="Book Antiqua"/>
          <w:color w:val="000000"/>
        </w:rPr>
        <w:t>, University of Alabama at Birmingham, Birmingham, AL 35233, United States</w:t>
      </w:r>
    </w:p>
    <w:p w14:paraId="42D3A4E9" w14:textId="77777777" w:rsidR="00A77B3E" w:rsidRPr="0003196B" w:rsidRDefault="00A77B3E" w:rsidP="0003196B">
      <w:pPr>
        <w:adjustRightInd w:val="0"/>
        <w:snapToGrid w:val="0"/>
        <w:spacing w:line="360" w:lineRule="auto"/>
        <w:jc w:val="both"/>
        <w:rPr>
          <w:rFonts w:ascii="Book Antiqua" w:hAnsi="Book Antiqua"/>
        </w:rPr>
      </w:pPr>
    </w:p>
    <w:p w14:paraId="4C6A5197" w14:textId="45A3BCDE"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Author contributions: </w:t>
      </w:r>
      <w:proofErr w:type="spellStart"/>
      <w:r w:rsidRPr="0003196B">
        <w:rPr>
          <w:rFonts w:ascii="Book Antiqua" w:eastAsia="Book Antiqua" w:hAnsi="Book Antiqua" w:cs="Book Antiqua"/>
          <w:color w:val="000000"/>
        </w:rPr>
        <w:t>Mussell</w:t>
      </w:r>
      <w:proofErr w:type="spellEnd"/>
      <w:r w:rsidRPr="0003196B">
        <w:rPr>
          <w:rFonts w:ascii="Book Antiqua" w:eastAsia="Book Antiqua" w:hAnsi="Book Antiqua" w:cs="Book Antiqua"/>
          <w:color w:val="000000"/>
        </w:rPr>
        <w:t xml:space="preserve"> EA significant contribution and willingness to take public responsibility for the study design, data acquisition, and analysis and interpretation of data</w:t>
      </w:r>
      <w:r w:rsidR="007F3D90" w:rsidRPr="0003196B">
        <w:rPr>
          <w:rFonts w:ascii="Book Antiqua" w:eastAsia="Book Antiqua" w:hAnsi="Book Antiqua" w:cs="Book Antiqua"/>
          <w:color w:val="000000"/>
        </w:rPr>
        <w:t>,</w:t>
      </w:r>
      <w:r w:rsidRPr="0003196B">
        <w:rPr>
          <w:rFonts w:ascii="Book Antiqua" w:eastAsia="Book Antiqua" w:hAnsi="Book Antiqua" w:cs="Book Antiqua"/>
          <w:color w:val="000000"/>
        </w:rPr>
        <w:t xml:space="preserve"> actively involved in the drafting and critical revision of the manuscript, approval of the final version of the submitted manuscript; </w:t>
      </w:r>
      <w:proofErr w:type="spellStart"/>
      <w:r w:rsidRPr="0003196B">
        <w:rPr>
          <w:rFonts w:ascii="Book Antiqua" w:eastAsia="Book Antiqua" w:hAnsi="Book Antiqua" w:cs="Book Antiqua"/>
          <w:color w:val="000000"/>
        </w:rPr>
        <w:t>Jardaly</w:t>
      </w:r>
      <w:proofErr w:type="spellEnd"/>
      <w:r w:rsidRPr="0003196B">
        <w:rPr>
          <w:rFonts w:ascii="Book Antiqua" w:eastAsia="Book Antiqua" w:hAnsi="Book Antiqua" w:cs="Book Antiqua"/>
          <w:color w:val="000000"/>
        </w:rPr>
        <w:t xml:space="preserve"> A significant contribution and willingness to take public responsibility for the study design, data acquisition, and analysis and interpretation of data, actively involved in the drafting and critical revision of the manuscript</w:t>
      </w:r>
      <w:r w:rsidR="007F3D90" w:rsidRPr="0003196B">
        <w:rPr>
          <w:rFonts w:ascii="Book Antiqua" w:eastAsia="Book Antiqua" w:hAnsi="Book Antiqua" w:cs="Book Antiqua"/>
          <w:color w:val="000000"/>
        </w:rPr>
        <w:t>,</w:t>
      </w:r>
      <w:r w:rsidRPr="0003196B">
        <w:rPr>
          <w:rFonts w:ascii="Book Antiqua" w:eastAsia="Book Antiqua" w:hAnsi="Book Antiqua" w:cs="Book Antiqua"/>
          <w:color w:val="000000"/>
        </w:rPr>
        <w:t xml:space="preserve"> approval of the final version of the submitted manuscript; Gilbert SR significant contribution and willingness </w:t>
      </w:r>
      <w:r w:rsidRPr="0003196B">
        <w:rPr>
          <w:rFonts w:ascii="Book Antiqua" w:eastAsia="Book Antiqua" w:hAnsi="Book Antiqua" w:cs="Book Antiqua"/>
          <w:color w:val="000000"/>
        </w:rPr>
        <w:lastRenderedPageBreak/>
        <w:t>to take public responsibility for the study design, data acquisition, and analysis and interpretation of data; actively involved in the drafting and critical revision of the manuscript</w:t>
      </w:r>
      <w:r w:rsidR="007F3D90" w:rsidRPr="0003196B">
        <w:rPr>
          <w:rFonts w:ascii="Book Antiqua" w:eastAsia="Book Antiqua" w:hAnsi="Book Antiqua" w:cs="Book Antiqua"/>
          <w:color w:val="000000"/>
        </w:rPr>
        <w:t>,</w:t>
      </w:r>
      <w:r w:rsidRPr="0003196B">
        <w:rPr>
          <w:rFonts w:ascii="Book Antiqua" w:eastAsia="Book Antiqua" w:hAnsi="Book Antiqua" w:cs="Book Antiqua"/>
          <w:color w:val="000000"/>
        </w:rPr>
        <w:t xml:space="preserve"> approval of the final version of the submitted manuscript</w:t>
      </w:r>
      <w:r w:rsidR="007F3D90" w:rsidRPr="0003196B">
        <w:rPr>
          <w:rFonts w:ascii="Book Antiqua" w:eastAsia="Book Antiqua" w:hAnsi="Book Antiqua" w:cs="Book Antiqua"/>
          <w:color w:val="000000"/>
        </w:rPr>
        <w:t>.</w:t>
      </w:r>
    </w:p>
    <w:p w14:paraId="7829035D" w14:textId="77777777" w:rsidR="00A77B3E" w:rsidRPr="0003196B" w:rsidRDefault="00A77B3E" w:rsidP="0003196B">
      <w:pPr>
        <w:adjustRightInd w:val="0"/>
        <w:snapToGrid w:val="0"/>
        <w:spacing w:line="360" w:lineRule="auto"/>
        <w:jc w:val="both"/>
        <w:rPr>
          <w:rFonts w:ascii="Book Antiqua" w:hAnsi="Book Antiqua"/>
        </w:rPr>
      </w:pPr>
    </w:p>
    <w:p w14:paraId="587309FC" w14:textId="07BF2E5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Corresponding author: Shawn R Gilbert, MD, Surgeon, </w:t>
      </w:r>
      <w:bookmarkStart w:id="0" w:name="OLE_LINK1"/>
      <w:bookmarkStart w:id="1" w:name="OLE_LINK2"/>
      <w:r w:rsidR="009F0CB6" w:rsidRPr="0003196B">
        <w:rPr>
          <w:rFonts w:ascii="Book Antiqua" w:eastAsia="Book Antiqua" w:hAnsi="Book Antiqua" w:cs="Book Antiqua"/>
          <w:color w:val="000000"/>
        </w:rPr>
        <w:fldChar w:fldCharType="begin"/>
      </w:r>
      <w:r w:rsidR="009F0CB6" w:rsidRPr="0003196B">
        <w:rPr>
          <w:rFonts w:ascii="Book Antiqua" w:eastAsia="Book Antiqua" w:hAnsi="Book Antiqua" w:cs="Book Antiqua"/>
          <w:color w:val="000000"/>
        </w:rPr>
        <w:instrText xml:space="preserve"> HYPERLINK "javascript:;" </w:instrText>
      </w:r>
      <w:r w:rsidR="009F0CB6" w:rsidRPr="0003196B">
        <w:rPr>
          <w:rFonts w:ascii="Book Antiqua" w:eastAsia="Book Antiqua" w:hAnsi="Book Antiqua" w:cs="Book Antiqua"/>
          <w:color w:val="000000"/>
        </w:rPr>
        <w:fldChar w:fldCharType="separate"/>
      </w:r>
      <w:r w:rsidR="001B5D95" w:rsidRPr="0003196B">
        <w:rPr>
          <w:rFonts w:ascii="Book Antiqua" w:eastAsia="Book Antiqua" w:hAnsi="Book Antiqua" w:cs="Book Antiqua"/>
          <w:color w:val="000000"/>
        </w:rPr>
        <w:t>Department</w:t>
      </w:r>
      <w:r w:rsidR="009F0CB6" w:rsidRPr="0003196B">
        <w:rPr>
          <w:rFonts w:ascii="Book Antiqua" w:eastAsia="Book Antiqua" w:hAnsi="Book Antiqua" w:cs="Book Antiqua"/>
          <w:color w:val="000000"/>
        </w:rPr>
        <w:fldChar w:fldCharType="end"/>
      </w:r>
      <w:r w:rsidR="001B5D95" w:rsidRPr="0003196B">
        <w:rPr>
          <w:rFonts w:ascii="Book Antiqua" w:eastAsia="Book Antiqua" w:hAnsi="Book Antiqua" w:cs="Book Antiqua"/>
          <w:color w:val="000000"/>
        </w:rPr>
        <w:t xml:space="preserve"> </w:t>
      </w:r>
      <w:r w:rsidR="001B5D95" w:rsidRPr="0003196B">
        <w:rPr>
          <w:rFonts w:ascii="Book Antiqua" w:hAnsi="Book Antiqua" w:cs="Book Antiqua"/>
          <w:color w:val="000000"/>
          <w:lang w:eastAsia="zh-CN"/>
        </w:rPr>
        <w:t>o</w:t>
      </w:r>
      <w:r w:rsidR="001B5D95" w:rsidRPr="0003196B">
        <w:rPr>
          <w:rFonts w:ascii="Book Antiqua" w:eastAsia="Book Antiqua" w:hAnsi="Book Antiqua" w:cs="Book Antiqua"/>
          <w:color w:val="000000"/>
        </w:rPr>
        <w:t xml:space="preserve">f </w:t>
      </w:r>
      <w:r w:rsidRPr="0003196B">
        <w:rPr>
          <w:rFonts w:ascii="Book Antiqua" w:eastAsia="Book Antiqua" w:hAnsi="Book Antiqua" w:cs="Book Antiqua"/>
          <w:color w:val="000000"/>
        </w:rPr>
        <w:t xml:space="preserve">Pediatric </w:t>
      </w:r>
      <w:proofErr w:type="spellStart"/>
      <w:r w:rsidRPr="0003196B">
        <w:rPr>
          <w:rFonts w:ascii="Book Antiqua" w:eastAsia="Book Antiqua" w:hAnsi="Book Antiqua" w:cs="Book Antiqua"/>
          <w:color w:val="000000"/>
        </w:rPr>
        <w:t>Orthopaedics</w:t>
      </w:r>
      <w:bookmarkEnd w:id="0"/>
      <w:bookmarkEnd w:id="1"/>
      <w:proofErr w:type="spellEnd"/>
      <w:r w:rsidRPr="0003196B">
        <w:rPr>
          <w:rFonts w:ascii="Book Antiqua" w:eastAsia="Book Antiqua" w:hAnsi="Book Antiqua" w:cs="Book Antiqua"/>
          <w:color w:val="000000"/>
        </w:rPr>
        <w:t xml:space="preserve">, University of Alabama at Birmingham, ACC Suite 316, Children’s Hospital, 1600 7th Avenue South, Birmingham, AL 35233, United States. </w:t>
      </w:r>
      <w:r w:rsidRPr="0003196B">
        <w:rPr>
          <w:rFonts w:ascii="Book Antiqua" w:eastAsia="Book Antiqua" w:hAnsi="Book Antiqua" w:cs="Book Antiqua"/>
          <w:color w:val="000000"/>
          <w:u w:val="single"/>
        </w:rPr>
        <w:t>srgilbert@uabmc.edu</w:t>
      </w:r>
    </w:p>
    <w:p w14:paraId="5052E47C" w14:textId="77777777" w:rsidR="00A77B3E" w:rsidRPr="0003196B" w:rsidRDefault="00A77B3E" w:rsidP="0003196B">
      <w:pPr>
        <w:adjustRightInd w:val="0"/>
        <w:snapToGrid w:val="0"/>
        <w:spacing w:line="360" w:lineRule="auto"/>
        <w:jc w:val="both"/>
        <w:rPr>
          <w:rFonts w:ascii="Book Antiqua" w:hAnsi="Book Antiqua"/>
        </w:rPr>
      </w:pPr>
    </w:p>
    <w:p w14:paraId="17143E05"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Received: </w:t>
      </w:r>
      <w:r w:rsidRPr="0003196B">
        <w:rPr>
          <w:rFonts w:ascii="Book Antiqua" w:eastAsia="Book Antiqua" w:hAnsi="Book Antiqua" w:cs="Book Antiqua"/>
          <w:color w:val="000000"/>
        </w:rPr>
        <w:t>May 7, 2020</w:t>
      </w:r>
    </w:p>
    <w:p w14:paraId="7E9BF88A"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Revised: </w:t>
      </w:r>
      <w:r w:rsidRPr="0003196B">
        <w:rPr>
          <w:rFonts w:ascii="Book Antiqua" w:eastAsia="Book Antiqua" w:hAnsi="Book Antiqua" w:cs="Book Antiqua"/>
          <w:color w:val="000000"/>
        </w:rPr>
        <w:t>May 28, 2020</w:t>
      </w:r>
    </w:p>
    <w:p w14:paraId="409AC536" w14:textId="1197ADC1"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Accepted: </w:t>
      </w:r>
      <w:bookmarkStart w:id="2" w:name="_GoBack"/>
      <w:r w:rsidR="00B64C1F" w:rsidRPr="00B64C1F">
        <w:rPr>
          <w:rFonts w:ascii="Book Antiqua" w:eastAsia="Book Antiqua" w:hAnsi="Book Antiqua" w:cs="Book Antiqua"/>
          <w:bCs/>
          <w:color w:val="000000"/>
        </w:rPr>
        <w:t>August 15, 2020</w:t>
      </w:r>
      <w:bookmarkEnd w:id="2"/>
    </w:p>
    <w:p w14:paraId="0C8C84DB"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Published online: </w:t>
      </w:r>
    </w:p>
    <w:p w14:paraId="05D1900B" w14:textId="77777777" w:rsidR="00A77B3E" w:rsidRPr="0003196B" w:rsidRDefault="00A77B3E" w:rsidP="0003196B">
      <w:pPr>
        <w:adjustRightInd w:val="0"/>
        <w:snapToGrid w:val="0"/>
        <w:spacing w:line="360" w:lineRule="auto"/>
        <w:jc w:val="both"/>
        <w:rPr>
          <w:rFonts w:ascii="Book Antiqua" w:hAnsi="Book Antiqua"/>
        </w:rPr>
        <w:sectPr w:rsidR="00A77B3E" w:rsidRPr="0003196B" w:rsidSect="00F22FD9">
          <w:headerReference w:type="default" r:id="rId9"/>
          <w:footerReference w:type="default" r:id="rId10"/>
          <w:type w:val="continuous"/>
          <w:pgSz w:w="12240" w:h="15840"/>
          <w:pgMar w:top="1440" w:right="1800" w:bottom="1440" w:left="1800" w:header="720" w:footer="720" w:gutter="0"/>
          <w:cols w:space="720"/>
          <w:docGrid w:linePitch="360"/>
        </w:sectPr>
      </w:pPr>
    </w:p>
    <w:p w14:paraId="0BCCC4C1" w14:textId="77777777" w:rsidR="00F22FD9" w:rsidRPr="0003196B" w:rsidRDefault="00F22FD9" w:rsidP="0003196B">
      <w:pPr>
        <w:snapToGrid w:val="0"/>
        <w:spacing w:line="360" w:lineRule="auto"/>
        <w:jc w:val="both"/>
        <w:rPr>
          <w:rFonts w:ascii="Book Antiqua" w:eastAsia="Book Antiqua" w:hAnsi="Book Antiqua" w:cs="Book Antiqua"/>
          <w:b/>
          <w:color w:val="000000"/>
        </w:rPr>
      </w:pPr>
      <w:r w:rsidRPr="0003196B">
        <w:rPr>
          <w:rFonts w:ascii="Book Antiqua" w:eastAsia="Book Antiqua" w:hAnsi="Book Antiqua" w:cs="Book Antiqua"/>
          <w:b/>
          <w:color w:val="000000"/>
        </w:rPr>
        <w:br w:type="page"/>
      </w:r>
    </w:p>
    <w:p w14:paraId="538F983D" w14:textId="13179C1D"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lastRenderedPageBreak/>
        <w:t>Abstract</w:t>
      </w:r>
    </w:p>
    <w:p w14:paraId="46D03660"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BACKGROUND</w:t>
      </w:r>
    </w:p>
    <w:p w14:paraId="3CC2CF07"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Flexible intramedullary nailing (FIMN) is a relative contraindication for pediatric</w:t>
      </w:r>
      <w:r w:rsidRPr="0003196B">
        <w:rPr>
          <w:rFonts w:ascii="Book Antiqua" w:eastAsia="Book Antiqua" w:hAnsi="Book Antiqua" w:cs="Book Antiqua"/>
          <w:b/>
          <w:bCs/>
          <w:color w:val="000000"/>
        </w:rPr>
        <w:t xml:space="preserve"> </w:t>
      </w:r>
      <w:r w:rsidRPr="0003196B">
        <w:rPr>
          <w:rFonts w:ascii="Book Antiqua" w:eastAsia="Book Antiqua" w:hAnsi="Book Antiqua" w:cs="Book Antiqua"/>
          <w:color w:val="000000"/>
        </w:rPr>
        <w:t>length unstable femoral fractures.</w:t>
      </w:r>
    </w:p>
    <w:p w14:paraId="188D0454" w14:textId="77777777" w:rsidR="00A77B3E" w:rsidRPr="0003196B" w:rsidRDefault="00A77B3E" w:rsidP="0003196B">
      <w:pPr>
        <w:adjustRightInd w:val="0"/>
        <w:snapToGrid w:val="0"/>
        <w:spacing w:line="360" w:lineRule="auto"/>
        <w:jc w:val="both"/>
        <w:rPr>
          <w:rFonts w:ascii="Book Antiqua" w:hAnsi="Book Antiqua"/>
        </w:rPr>
      </w:pPr>
    </w:p>
    <w:p w14:paraId="74EBDA9C"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AIM</w:t>
      </w:r>
    </w:p>
    <w:p w14:paraId="172E998C" w14:textId="40373B0E" w:rsidR="00A77B3E" w:rsidRPr="0003196B" w:rsidRDefault="00730948"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To evaluate </w:t>
      </w:r>
      <w:r w:rsidR="000D4CF3" w:rsidRPr="0003196B">
        <w:rPr>
          <w:rFonts w:ascii="Book Antiqua" w:eastAsia="Book Antiqua" w:hAnsi="Book Antiqua" w:cs="Book Antiqua"/>
          <w:color w:val="000000"/>
        </w:rPr>
        <w:t>FIMN treatment outcomes for pediatric diaphyseal length unstable femoral fractures in patients aged 5 to 13 years.</w:t>
      </w:r>
    </w:p>
    <w:p w14:paraId="71C54189" w14:textId="77777777" w:rsidR="00A77B3E" w:rsidRPr="0003196B" w:rsidRDefault="00A77B3E" w:rsidP="0003196B">
      <w:pPr>
        <w:adjustRightInd w:val="0"/>
        <w:snapToGrid w:val="0"/>
        <w:spacing w:line="360" w:lineRule="auto"/>
        <w:jc w:val="both"/>
        <w:rPr>
          <w:rFonts w:ascii="Book Antiqua" w:hAnsi="Book Antiqua"/>
        </w:rPr>
      </w:pPr>
    </w:p>
    <w:p w14:paraId="37700F05"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METHODS</w:t>
      </w:r>
    </w:p>
    <w:p w14:paraId="60FCFC2B" w14:textId="4BEC5E5B"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This retrospective study includes pe</w:t>
      </w:r>
      <w:r w:rsidR="00730948" w:rsidRPr="0003196B">
        <w:rPr>
          <w:rFonts w:ascii="Book Antiqua" w:eastAsia="Book Antiqua" w:hAnsi="Book Antiqua" w:cs="Book Antiqua"/>
          <w:color w:val="000000"/>
        </w:rPr>
        <w:t>diatric patients (age range 5</w:t>
      </w:r>
      <w:r w:rsidR="00623687">
        <w:rPr>
          <w:rFonts w:ascii="Book Antiqua" w:eastAsia="Book Antiqua" w:hAnsi="Book Antiqua" w:cs="Book Antiqua"/>
          <w:color w:val="000000"/>
        </w:rPr>
        <w:t>-</w:t>
      </w:r>
      <w:r w:rsidRPr="0003196B">
        <w:rPr>
          <w:rFonts w:ascii="Book Antiqua" w:eastAsia="Book Antiqua" w:hAnsi="Book Antiqua" w:cs="Book Antiqua"/>
          <w:color w:val="000000"/>
        </w:rPr>
        <w:t>13 years) who received operative treatment for a diaphyseal femoral fracture at a single institution between 2013 and 2019. Length unstable femur fractures treated with FIMN were compared to treatme</w:t>
      </w:r>
      <w:r w:rsidR="00730948" w:rsidRPr="0003196B">
        <w:rPr>
          <w:rFonts w:ascii="Book Antiqua" w:eastAsia="Book Antiqua" w:hAnsi="Book Antiqua" w:cs="Book Antiqua"/>
          <w:color w:val="000000"/>
        </w:rPr>
        <w:t>nt with other fixation methods [</w:t>
      </w:r>
      <w:r w:rsidRPr="0003196B">
        <w:rPr>
          <w:rFonts w:ascii="Book Antiqua" w:eastAsia="Book Antiqua" w:hAnsi="Book Antiqua" w:cs="Book Antiqua"/>
          <w:color w:val="000000"/>
        </w:rPr>
        <w:t>locked intramedullary nailing (IMN), submuscular plati</w:t>
      </w:r>
      <w:r w:rsidR="00730948" w:rsidRPr="0003196B">
        <w:rPr>
          <w:rFonts w:ascii="Book Antiqua" w:eastAsia="Book Antiqua" w:hAnsi="Book Antiqua" w:cs="Book Antiqua"/>
          <w:color w:val="000000"/>
        </w:rPr>
        <w:t>ng (SMP), and external fixation]</w:t>
      </w:r>
      <w:r w:rsidRPr="0003196B">
        <w:rPr>
          <w:rFonts w:ascii="Book Antiqua" w:eastAsia="Book Antiqua" w:hAnsi="Book Antiqua" w:cs="Book Antiqua"/>
          <w:color w:val="000000"/>
        </w:rPr>
        <w:t xml:space="preserve"> and to length stable fractures treated with FIMN. Exclusion criteria included patients who had an underlying predisposition for fractures (</w:t>
      </w:r>
      <w:r w:rsidRPr="0003196B">
        <w:rPr>
          <w:rFonts w:ascii="Book Antiqua" w:eastAsia="Book Antiqua" w:hAnsi="Book Antiqua" w:cs="Book Antiqua"/>
          <w:i/>
          <w:iCs/>
          <w:color w:val="000000"/>
        </w:rPr>
        <w:t>e.g.</w:t>
      </w:r>
      <w:r w:rsidR="00623687" w:rsidRPr="00623687">
        <w:rPr>
          <w:rFonts w:ascii="Book Antiqua" w:eastAsia="Book Antiqua" w:hAnsi="Book Antiqua" w:cs="Book Antiqua"/>
          <w:iCs/>
          <w:color w:val="000000"/>
        </w:rPr>
        <w:t>,</w:t>
      </w:r>
      <w:r w:rsidRPr="0003196B">
        <w:rPr>
          <w:rFonts w:ascii="Book Antiqua" w:eastAsia="Book Antiqua" w:hAnsi="Book Antiqua" w:cs="Book Antiqua"/>
          <w:color w:val="000000"/>
        </w:rPr>
        <w:t xml:space="preserve"> pathologic fractures or osteogenesis imperfecta), polytrauma necessitating intensive care unit care and/or extensive management of other injuries, incomplete records, or no follow-up visits. Patients who had a length stable femoral fracture treated with modalities other than FIMN were excluded as well.</w:t>
      </w:r>
    </w:p>
    <w:p w14:paraId="6462F727" w14:textId="77777777" w:rsidR="00A77B3E" w:rsidRPr="0003196B" w:rsidRDefault="00A77B3E" w:rsidP="0003196B">
      <w:pPr>
        <w:adjustRightInd w:val="0"/>
        <w:snapToGrid w:val="0"/>
        <w:spacing w:line="360" w:lineRule="auto"/>
        <w:jc w:val="both"/>
        <w:rPr>
          <w:rFonts w:ascii="Book Antiqua" w:hAnsi="Book Antiqua"/>
        </w:rPr>
      </w:pPr>
    </w:p>
    <w:p w14:paraId="43B084D6"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RESULTS</w:t>
      </w:r>
    </w:p>
    <w:p w14:paraId="65E4CE45" w14:textId="3085D3AA"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Ninety-five fractures from ninety-two patients were included in the study and consists of three groups. These three groups are length unstable fractures treated with FIMN (</w:t>
      </w:r>
      <w:r w:rsidRPr="0003196B">
        <w:rPr>
          <w:rFonts w:ascii="Book Antiqua" w:eastAsia="Book Antiqua" w:hAnsi="Book Antiqua" w:cs="Book Antiqua"/>
          <w:i/>
          <w:iCs/>
          <w:color w:val="000000"/>
        </w:rPr>
        <w:t>n</w:t>
      </w:r>
      <w:r w:rsidRPr="0003196B">
        <w:rPr>
          <w:rFonts w:ascii="Book Antiqua" w:eastAsia="Book Antiqua" w:hAnsi="Book Antiqua" w:cs="Book Antiqua"/>
          <w:color w:val="000000"/>
        </w:rPr>
        <w:t xml:space="preserve"> = 21), length stable fractures treated with FIMN (</w:t>
      </w:r>
      <w:r w:rsidRPr="0003196B">
        <w:rPr>
          <w:rFonts w:ascii="Book Antiqua" w:eastAsia="Book Antiqua" w:hAnsi="Book Antiqua" w:cs="Book Antiqua"/>
          <w:i/>
          <w:iCs/>
          <w:color w:val="000000"/>
        </w:rPr>
        <w:t>n</w:t>
      </w:r>
      <w:r w:rsidRPr="0003196B">
        <w:rPr>
          <w:rFonts w:ascii="Book Antiqua" w:eastAsia="Book Antiqua" w:hAnsi="Book Antiqua" w:cs="Book Antiqua"/>
          <w:color w:val="000000"/>
        </w:rPr>
        <w:t xml:space="preserve"> = 45), and length unstable fractures treated with either locked IMN, SMP, or external fixator (</w:t>
      </w:r>
      <w:r w:rsidRPr="0003196B">
        <w:rPr>
          <w:rFonts w:ascii="Book Antiqua" w:eastAsia="Book Antiqua" w:hAnsi="Book Antiqua" w:cs="Book Antiqua"/>
          <w:i/>
          <w:iCs/>
          <w:color w:val="000000"/>
        </w:rPr>
        <w:t>n</w:t>
      </w:r>
      <w:r w:rsidRPr="0003196B">
        <w:rPr>
          <w:rFonts w:ascii="Book Antiqua" w:eastAsia="Book Antiqua" w:hAnsi="Book Antiqua" w:cs="Book Antiqua"/>
          <w:color w:val="000000"/>
        </w:rPr>
        <w:t xml:space="preserve"> = 29). </w:t>
      </w:r>
      <w:r w:rsidRPr="0003196B">
        <w:rPr>
          <w:rFonts w:ascii="Book Antiqua" w:eastAsia="Book Antiqua" w:hAnsi="Book Antiqua" w:cs="Book Antiqua"/>
          <w:i/>
          <w:iCs/>
          <w:color w:val="000000"/>
        </w:rPr>
        <w:t>P</w:t>
      </w:r>
      <w:r w:rsidR="00730948" w:rsidRPr="0003196B">
        <w:rPr>
          <w:rFonts w:ascii="Book Antiqua" w:eastAsia="Book Antiqua" w:hAnsi="Book Antiqua" w:cs="Book Antiqua"/>
          <w:color w:val="000000"/>
        </w:rPr>
        <w:t xml:space="preserve"> </w:t>
      </w:r>
      <w:r w:rsidRPr="0003196B">
        <w:rPr>
          <w:rFonts w:ascii="Book Antiqua" w:eastAsia="Book Antiqua" w:hAnsi="Book Antiqua" w:cs="Book Antiqua"/>
          <w:color w:val="000000"/>
        </w:rPr>
        <w:t>values &lt; 0.05 were considered statistically significant.</w:t>
      </w:r>
    </w:p>
    <w:p w14:paraId="15CA26AE" w14:textId="77777777"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 xml:space="preserve">Patient characteristic differences that were statistically significant between the groups, length unstable with FIMN and length unstable with locked IMN, SMP, </w:t>
      </w:r>
      <w:r w:rsidRPr="0003196B">
        <w:rPr>
          <w:rFonts w:ascii="Book Antiqua" w:eastAsia="Book Antiqua" w:hAnsi="Book Antiqua" w:cs="Book Antiqua"/>
          <w:color w:val="000000"/>
        </w:rPr>
        <w:lastRenderedPageBreak/>
        <w:t xml:space="preserve">or external fixator, were average age (7.4 years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9.3 years, respectively), estimated blood loss (29.2 mL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98 mL, respectively) and body mass (27.8 kg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35.1 kg, respectively). All other patient characteristic differences were statistically insignificant. Regarding complications, length unstable with FIMN had 9 total complications while length unstable with locked IMN, SMP, or external fixator had 10. Grouping these complications into minor or major, length unstable with locked IMN, SMP, or external fixator had 6 major complication while length unstable with FIMN had 0 major complications. This difference in major complications was statistically significant. </w:t>
      </w:r>
    </w:p>
    <w:p w14:paraId="073A8D1F" w14:textId="232A2666"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 xml:space="preserve">Lastly, when comparing patient characteristics between the groups, length unstable with FIMN and length stable with FIMN, all characteristics were statistically similar except time to weight bearing (39 d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29 d respectively). When analyzing complication differences between these two groups (9 total complications, 0 major </w:t>
      </w:r>
      <w:r w:rsidRPr="0003196B">
        <w:rPr>
          <w:rFonts w:ascii="Book Antiqua" w:eastAsia="Book Antiqua" w:hAnsi="Book Antiqua" w:cs="Book Antiqua"/>
          <w:i/>
          <w:iCs/>
          <w:color w:val="000000"/>
        </w:rPr>
        <w:t xml:space="preserve">vs </w:t>
      </w:r>
      <w:r w:rsidRPr="0003196B">
        <w:rPr>
          <w:rFonts w:ascii="Book Antiqua" w:eastAsia="Book Antiqua" w:hAnsi="Book Antiqua" w:cs="Book Antiqua"/>
          <w:color w:val="000000"/>
        </w:rPr>
        <w:t>20 total complications, 4 major), the complication rates were considered statistically similar.</w:t>
      </w:r>
    </w:p>
    <w:p w14:paraId="6C44A2AB" w14:textId="77777777" w:rsidR="00A77B3E" w:rsidRPr="0003196B" w:rsidRDefault="00A77B3E" w:rsidP="0003196B">
      <w:pPr>
        <w:adjustRightInd w:val="0"/>
        <w:snapToGrid w:val="0"/>
        <w:spacing w:line="360" w:lineRule="auto"/>
        <w:ind w:firstLine="240"/>
        <w:jc w:val="both"/>
        <w:rPr>
          <w:rFonts w:ascii="Book Antiqua" w:hAnsi="Book Antiqua"/>
        </w:rPr>
      </w:pPr>
    </w:p>
    <w:p w14:paraId="2021741B"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CONCLUSION</w:t>
      </w:r>
    </w:p>
    <w:p w14:paraId="3E6FFE8F"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FIMN is effective for length unstable fractures, having a low rate of complications. FIMN is a suitable option for length stable and length unstable femur fractures alike. </w:t>
      </w:r>
    </w:p>
    <w:p w14:paraId="69858A1D" w14:textId="77777777" w:rsidR="00A77B3E" w:rsidRPr="0003196B" w:rsidRDefault="00A77B3E" w:rsidP="0003196B">
      <w:pPr>
        <w:adjustRightInd w:val="0"/>
        <w:snapToGrid w:val="0"/>
        <w:spacing w:line="360" w:lineRule="auto"/>
        <w:jc w:val="both"/>
        <w:rPr>
          <w:rFonts w:ascii="Book Antiqua" w:hAnsi="Book Antiqua"/>
        </w:rPr>
      </w:pPr>
    </w:p>
    <w:p w14:paraId="43107664"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Key words: </w:t>
      </w:r>
      <w:r w:rsidRPr="0003196B">
        <w:rPr>
          <w:rFonts w:ascii="Book Antiqua" w:eastAsia="Book Antiqua" w:hAnsi="Book Antiqua" w:cs="Book Antiqua"/>
          <w:color w:val="000000"/>
        </w:rPr>
        <w:t>Flexible intramedullary nail; Titanium elastic mail; Elastic stable intramedullary nail; Pediatrics; Length unstable; Femoral fractures; Bone fracture; Orthopedics</w:t>
      </w:r>
    </w:p>
    <w:p w14:paraId="699ABDD5" w14:textId="77777777" w:rsidR="00A77B3E" w:rsidRPr="0003196B" w:rsidRDefault="00A77B3E" w:rsidP="0003196B">
      <w:pPr>
        <w:adjustRightInd w:val="0"/>
        <w:snapToGrid w:val="0"/>
        <w:spacing w:line="360" w:lineRule="auto"/>
        <w:jc w:val="both"/>
        <w:rPr>
          <w:rFonts w:ascii="Book Antiqua" w:hAnsi="Book Antiqua"/>
        </w:rPr>
      </w:pPr>
    </w:p>
    <w:p w14:paraId="7071769B" w14:textId="6F290315" w:rsidR="00A77B3E" w:rsidRPr="0003196B" w:rsidRDefault="000D4CF3" w:rsidP="0003196B">
      <w:pPr>
        <w:adjustRightInd w:val="0"/>
        <w:snapToGrid w:val="0"/>
        <w:spacing w:line="360" w:lineRule="auto"/>
        <w:jc w:val="both"/>
        <w:rPr>
          <w:rFonts w:ascii="Book Antiqua" w:hAnsi="Book Antiqua"/>
        </w:rPr>
      </w:pPr>
      <w:proofErr w:type="spellStart"/>
      <w:r w:rsidRPr="0003196B">
        <w:rPr>
          <w:rFonts w:ascii="Book Antiqua" w:eastAsia="Book Antiqua" w:hAnsi="Book Antiqua" w:cs="Book Antiqua"/>
          <w:color w:val="000000"/>
        </w:rPr>
        <w:t>Mussell</w:t>
      </w:r>
      <w:proofErr w:type="spellEnd"/>
      <w:r w:rsidRPr="0003196B">
        <w:rPr>
          <w:rFonts w:ascii="Book Antiqua" w:eastAsia="Book Antiqua" w:hAnsi="Book Antiqua" w:cs="Book Antiqua"/>
          <w:color w:val="000000"/>
        </w:rPr>
        <w:t xml:space="preserve"> EA, </w:t>
      </w:r>
      <w:proofErr w:type="spellStart"/>
      <w:r w:rsidRPr="0003196B">
        <w:rPr>
          <w:rFonts w:ascii="Book Antiqua" w:eastAsia="Book Antiqua" w:hAnsi="Book Antiqua" w:cs="Book Antiqua"/>
          <w:color w:val="000000"/>
        </w:rPr>
        <w:t>Jardaly</w:t>
      </w:r>
      <w:proofErr w:type="spellEnd"/>
      <w:r w:rsidRPr="0003196B">
        <w:rPr>
          <w:rFonts w:ascii="Book Antiqua" w:eastAsia="Book Antiqua" w:hAnsi="Book Antiqua" w:cs="Book Antiqua"/>
          <w:color w:val="000000"/>
        </w:rPr>
        <w:t xml:space="preserve"> A, Gilbert SR. Length </w:t>
      </w:r>
      <w:r w:rsidR="00730948" w:rsidRPr="0003196B">
        <w:rPr>
          <w:rFonts w:ascii="Book Antiqua" w:eastAsia="Book Antiqua" w:hAnsi="Book Antiqua" w:cs="Book Antiqua"/>
          <w:color w:val="000000"/>
        </w:rPr>
        <w:t>unstable femoral fractures</w:t>
      </w:r>
      <w:r w:rsidRPr="0003196B">
        <w:rPr>
          <w:rFonts w:ascii="Book Antiqua" w:eastAsia="Book Antiqua" w:hAnsi="Book Antiqua" w:cs="Book Antiqua"/>
          <w:color w:val="000000"/>
        </w:rPr>
        <w:t xml:space="preserve">: A </w:t>
      </w:r>
      <w:r w:rsidR="00730948" w:rsidRPr="0003196B">
        <w:rPr>
          <w:rFonts w:ascii="Book Antiqua" w:eastAsia="Book Antiqua" w:hAnsi="Book Antiqua" w:cs="Book Antiqua"/>
          <w:color w:val="000000"/>
        </w:rPr>
        <w:t>misnomer</w:t>
      </w:r>
      <w:r w:rsidRPr="0003196B">
        <w:rPr>
          <w:rFonts w:ascii="Book Antiqua" w:eastAsia="Book Antiqua" w:hAnsi="Book Antiqua" w:cs="Book Antiqua"/>
          <w:color w:val="000000"/>
        </w:rPr>
        <w:t xml:space="preserve">? </w:t>
      </w:r>
      <w:r w:rsidRPr="0003196B">
        <w:rPr>
          <w:rFonts w:ascii="Book Antiqua" w:eastAsia="Book Antiqua" w:hAnsi="Book Antiqua" w:cs="Book Antiqua"/>
          <w:i/>
          <w:iCs/>
          <w:color w:val="000000"/>
        </w:rPr>
        <w:t xml:space="preserve">World J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2020; In press</w:t>
      </w:r>
    </w:p>
    <w:p w14:paraId="4BE01D88" w14:textId="77777777" w:rsidR="00A77B3E" w:rsidRPr="0003196B" w:rsidRDefault="00A77B3E" w:rsidP="0003196B">
      <w:pPr>
        <w:adjustRightInd w:val="0"/>
        <w:snapToGrid w:val="0"/>
        <w:spacing w:line="360" w:lineRule="auto"/>
        <w:jc w:val="both"/>
        <w:rPr>
          <w:rFonts w:ascii="Book Antiqua" w:hAnsi="Book Antiqua"/>
        </w:rPr>
      </w:pPr>
    </w:p>
    <w:p w14:paraId="36F31632" w14:textId="72F5D6EA" w:rsidR="001C60D2" w:rsidRPr="0003196B" w:rsidRDefault="000D4CF3" w:rsidP="0003196B">
      <w:pPr>
        <w:adjustRightInd w:val="0"/>
        <w:snapToGrid w:val="0"/>
        <w:spacing w:line="360" w:lineRule="auto"/>
        <w:jc w:val="both"/>
        <w:rPr>
          <w:rFonts w:ascii="Book Antiqua" w:eastAsia="Book Antiqua" w:hAnsi="Book Antiqua" w:cs="Book Antiqua"/>
          <w:color w:val="000000"/>
        </w:rPr>
      </w:pPr>
      <w:r w:rsidRPr="0003196B">
        <w:rPr>
          <w:rFonts w:ascii="Book Antiqua" w:eastAsia="Book Antiqua" w:hAnsi="Book Antiqua" w:cs="Book Antiqua"/>
          <w:b/>
          <w:bCs/>
          <w:color w:val="000000"/>
        </w:rPr>
        <w:t xml:space="preserve">Core tip: </w:t>
      </w:r>
      <w:r w:rsidRPr="0003196B">
        <w:rPr>
          <w:rFonts w:ascii="Book Antiqua" w:eastAsia="Book Antiqua" w:hAnsi="Book Antiqua" w:cs="Book Antiqua"/>
          <w:color w:val="000000"/>
        </w:rPr>
        <w:t xml:space="preserve">There is debate between orthopaedic surgeons regarding proper treatment for length unstable femoral fractures in patients between the ages of 5 </w:t>
      </w:r>
      <w:r w:rsidRPr="0003196B">
        <w:rPr>
          <w:rFonts w:ascii="Book Antiqua" w:eastAsia="Book Antiqua" w:hAnsi="Book Antiqua" w:cs="Book Antiqua"/>
          <w:color w:val="000000"/>
        </w:rPr>
        <w:lastRenderedPageBreak/>
        <w:t>and 11. In our manuscript we present results demonstrating that flexible intramedullary nailing in this subset of patients is an effective form of treatment and compares well to other forms of treatment for this subset of patients. Our results also compare favorably to those from recently published literature pieces on this same subject.</w:t>
      </w:r>
    </w:p>
    <w:p w14:paraId="7632DFAC" w14:textId="5C42D6A0" w:rsidR="00A77B3E" w:rsidRPr="0003196B" w:rsidRDefault="001C60D2" w:rsidP="0003196B">
      <w:pPr>
        <w:adjustRightInd w:val="0"/>
        <w:snapToGrid w:val="0"/>
        <w:spacing w:line="360" w:lineRule="auto"/>
        <w:jc w:val="both"/>
        <w:rPr>
          <w:rFonts w:ascii="Book Antiqua" w:eastAsia="Book Antiqua" w:hAnsi="Book Antiqua" w:cs="Book Antiqua"/>
          <w:color w:val="000000"/>
        </w:rPr>
      </w:pPr>
      <w:r w:rsidRPr="0003196B">
        <w:rPr>
          <w:rFonts w:ascii="Book Antiqua" w:eastAsia="Book Antiqua" w:hAnsi="Book Antiqua" w:cs="Book Antiqua"/>
          <w:color w:val="000000"/>
        </w:rPr>
        <w:br w:type="page"/>
      </w:r>
      <w:r w:rsidR="000D4CF3" w:rsidRPr="0003196B">
        <w:rPr>
          <w:rFonts w:ascii="Book Antiqua" w:eastAsia="Book Antiqua" w:hAnsi="Book Antiqua" w:cs="Book Antiqua"/>
          <w:b/>
          <w:color w:val="000000"/>
          <w:u w:val="single"/>
        </w:rPr>
        <w:lastRenderedPageBreak/>
        <w:t>INTRODUCTION</w:t>
      </w:r>
    </w:p>
    <w:p w14:paraId="18BBC485" w14:textId="6CE419E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Diaphyseal femoral fractures account for roughly 1.6% of fractures in p</w:t>
      </w:r>
      <w:r w:rsidR="00730948" w:rsidRPr="0003196B">
        <w:rPr>
          <w:rFonts w:ascii="Book Antiqua" w:eastAsia="Book Antiqua" w:hAnsi="Book Antiqua" w:cs="Book Antiqua"/>
          <w:color w:val="000000"/>
        </w:rPr>
        <w:t>ediatric patients 5</w:t>
      </w:r>
      <w:r w:rsidR="0003196B" w:rsidRPr="0003196B">
        <w:rPr>
          <w:rFonts w:ascii="Book Antiqua" w:eastAsia="Book Antiqua" w:hAnsi="Book Antiqua" w:cs="Book Antiqua"/>
          <w:color w:val="000000"/>
        </w:rPr>
        <w:t>-</w:t>
      </w:r>
      <w:r w:rsidRPr="0003196B">
        <w:rPr>
          <w:rFonts w:ascii="Book Antiqua" w:eastAsia="Book Antiqua" w:hAnsi="Book Antiqua" w:cs="Book Antiqua"/>
          <w:color w:val="000000"/>
        </w:rPr>
        <w:t>18 years of age with an incidence of 19 per 100000 children</w:t>
      </w:r>
      <w:r w:rsidRPr="0003196B">
        <w:rPr>
          <w:rFonts w:ascii="Book Antiqua" w:eastAsia="Book Antiqua" w:hAnsi="Book Antiqua" w:cs="Book Antiqua"/>
          <w:color w:val="000000"/>
          <w:vertAlign w:val="superscript"/>
        </w:rPr>
        <w:t>[1,2]</w:t>
      </w:r>
      <w:r w:rsidRPr="0003196B">
        <w:rPr>
          <w:rFonts w:ascii="Book Antiqua" w:eastAsia="Book Antiqua" w:hAnsi="Book Antiqua" w:cs="Book Antiqua"/>
          <w:color w:val="000000"/>
        </w:rPr>
        <w:t xml:space="preserve"> and are more common in males</w:t>
      </w:r>
      <w:r w:rsidRPr="0003196B">
        <w:rPr>
          <w:rFonts w:ascii="Book Antiqua" w:eastAsia="Book Antiqua" w:hAnsi="Book Antiqua" w:cs="Book Antiqua"/>
          <w:color w:val="000000"/>
          <w:vertAlign w:val="superscript"/>
        </w:rPr>
        <w:t>[3]</w:t>
      </w:r>
      <w:r w:rsidRPr="0003196B">
        <w:rPr>
          <w:rFonts w:ascii="Book Antiqua" w:eastAsia="Book Antiqua" w:hAnsi="Book Antiqua" w:cs="Book Antiqua"/>
          <w:color w:val="000000"/>
        </w:rPr>
        <w:t>. These fractures place a substantial burden on the patient and their family due to hospitalizations, complex treatment options, and lengthy recovery times</w:t>
      </w:r>
      <w:r w:rsidRPr="0003196B">
        <w:rPr>
          <w:rFonts w:ascii="Book Antiqua" w:eastAsia="Book Antiqua" w:hAnsi="Book Antiqua" w:cs="Book Antiqua"/>
          <w:color w:val="000000"/>
          <w:vertAlign w:val="superscript"/>
        </w:rPr>
        <w:t>[2,4]</w:t>
      </w:r>
      <w:r w:rsidRPr="0003196B">
        <w:rPr>
          <w:rFonts w:ascii="Book Antiqua" w:eastAsia="Book Antiqua" w:hAnsi="Book Antiqua" w:cs="Book Antiqua"/>
          <w:color w:val="000000"/>
        </w:rPr>
        <w:t>. Fracture pattern, length stability, patient weight/age, geographic location, and surgeon preference all play a role in the choice of treatment</w:t>
      </w:r>
      <w:r w:rsidRPr="0003196B">
        <w:rPr>
          <w:rFonts w:ascii="Book Antiqua" w:eastAsia="Book Antiqua" w:hAnsi="Book Antiqua" w:cs="Book Antiqua"/>
          <w:color w:val="000000"/>
          <w:vertAlign w:val="superscript"/>
        </w:rPr>
        <w:t>[1]</w:t>
      </w:r>
      <w:r w:rsidRPr="0003196B">
        <w:rPr>
          <w:rFonts w:ascii="Book Antiqua" w:eastAsia="Book Antiqua" w:hAnsi="Book Antiqua" w:cs="Book Antiqua"/>
          <w:color w:val="000000"/>
        </w:rPr>
        <w:t>. Surgical intervention is nearly always recommended for pediatric femoral fracture patients above the age of 5</w:t>
      </w:r>
      <w:r w:rsidRPr="0003196B">
        <w:rPr>
          <w:rFonts w:ascii="Book Antiqua" w:eastAsia="Book Antiqua" w:hAnsi="Book Antiqua" w:cs="Book Antiqua"/>
          <w:color w:val="000000"/>
          <w:vertAlign w:val="superscript"/>
        </w:rPr>
        <w:t>[5]</w:t>
      </w:r>
      <w:r w:rsidRPr="0003196B">
        <w:rPr>
          <w:rFonts w:ascii="Book Antiqua" w:eastAsia="Book Antiqua" w:hAnsi="Book Antiqua" w:cs="Book Antiqua"/>
          <w:color w:val="000000"/>
        </w:rPr>
        <w:t>.</w:t>
      </w:r>
    </w:p>
    <w:p w14:paraId="766EDFAE" w14:textId="07CB1B81"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Length unstable fractures have been defined as spiral/long oblique or comminuted, with a fracture line length ≥ twice the diameter of the femoral shaft at the level of the fracture</w:t>
      </w:r>
      <w:r w:rsidRPr="0003196B">
        <w:rPr>
          <w:rFonts w:ascii="Book Antiqua" w:eastAsia="Book Antiqua" w:hAnsi="Book Antiqua" w:cs="Book Antiqua"/>
          <w:color w:val="000000"/>
          <w:vertAlign w:val="superscript"/>
        </w:rPr>
        <w:t>[5-11]</w:t>
      </w:r>
      <w:r w:rsidRPr="0003196B">
        <w:rPr>
          <w:rFonts w:ascii="Book Antiqua" w:eastAsia="Book Antiqua" w:hAnsi="Book Antiqua" w:cs="Book Antiqua"/>
          <w:color w:val="000000"/>
        </w:rPr>
        <w:t>. This fracture is often associated with &gt; 2 cm of shortening</w:t>
      </w:r>
      <w:r w:rsidRPr="0003196B">
        <w:rPr>
          <w:rFonts w:ascii="Book Antiqua" w:eastAsia="Book Antiqua" w:hAnsi="Book Antiqua" w:cs="Book Antiqua"/>
          <w:color w:val="000000"/>
          <w:vertAlign w:val="superscript"/>
        </w:rPr>
        <w:t>[5,12]</w:t>
      </w:r>
      <w:r w:rsidRPr="0003196B">
        <w:rPr>
          <w:rFonts w:ascii="Book Antiqua" w:eastAsia="Book Antiqua" w:hAnsi="Book Antiqua" w:cs="Book Antiqua"/>
          <w:color w:val="000000"/>
        </w:rPr>
        <w:t>. The length unstable diaphyseal femoral fracture is problematic in children ages 5</w:t>
      </w:r>
      <w:r w:rsidR="009E0407" w:rsidRPr="0003196B">
        <w:rPr>
          <w:rFonts w:ascii="Book Antiqua" w:eastAsia="Book Antiqua" w:hAnsi="Book Antiqua" w:cs="Book Antiqua"/>
          <w:color w:val="000000"/>
        </w:rPr>
        <w:t>–</w:t>
      </w:r>
      <w:r w:rsidRPr="0003196B">
        <w:rPr>
          <w:rFonts w:ascii="Book Antiqua" w:eastAsia="Book Antiqua" w:hAnsi="Book Antiqua" w:cs="Book Antiqua"/>
          <w:color w:val="000000"/>
        </w:rPr>
        <w:t>11 due to the long recovery time, skeletal immaturity, heightened risk of post-operative complications, and a lack of consensus as to the proper fixation modality</w:t>
      </w:r>
      <w:r w:rsidRPr="0003196B">
        <w:rPr>
          <w:rFonts w:ascii="Book Antiqua" w:eastAsia="Book Antiqua" w:hAnsi="Book Antiqua" w:cs="Book Antiqua"/>
          <w:color w:val="000000"/>
          <w:vertAlign w:val="superscript"/>
        </w:rPr>
        <w:t>[5,6,13]</w:t>
      </w:r>
      <w:r w:rsidRPr="0003196B">
        <w:rPr>
          <w:rFonts w:ascii="Book Antiqua" w:eastAsia="Book Antiqua" w:hAnsi="Book Antiqua" w:cs="Book Antiqua"/>
          <w:color w:val="000000"/>
        </w:rPr>
        <w:t>. Options include external fixation</w:t>
      </w:r>
      <w:r w:rsidR="00730948" w:rsidRPr="0003196B">
        <w:rPr>
          <w:rFonts w:ascii="Book Antiqua" w:eastAsia="Book Antiqua" w:hAnsi="Book Antiqua" w:cs="Book Antiqua"/>
          <w:color w:val="000000"/>
        </w:rPr>
        <w:t xml:space="preserve"> (Ex fix)</w:t>
      </w:r>
      <w:r w:rsidRPr="0003196B">
        <w:rPr>
          <w:rFonts w:ascii="Book Antiqua" w:eastAsia="Book Antiqua" w:hAnsi="Book Antiqua" w:cs="Book Antiqua"/>
          <w:color w:val="000000"/>
        </w:rPr>
        <w:t xml:space="preserve">, submuscular plating (SMP), open/compression plating, flexible intramedullary nailing (FIMN) (titanium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stainless steel) (locked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non-locked), rigid intramedullary nailing, ex fix in combination with elastic nailing, semi-rigid pediatric locking nail, and others</w:t>
      </w:r>
      <w:r w:rsidRPr="0003196B">
        <w:rPr>
          <w:rFonts w:ascii="Book Antiqua" w:eastAsia="Book Antiqua" w:hAnsi="Book Antiqua" w:cs="Book Antiqua"/>
          <w:color w:val="000000"/>
          <w:vertAlign w:val="superscript"/>
        </w:rPr>
        <w:t>[14-16]</w:t>
      </w:r>
      <w:r w:rsidRPr="0003196B">
        <w:rPr>
          <w:rFonts w:ascii="Book Antiqua" w:eastAsia="Book Antiqua" w:hAnsi="Book Antiqua" w:cs="Book Antiqua"/>
          <w:color w:val="000000"/>
        </w:rPr>
        <w:t>. FIMN of the pediatric femur, which is synonymous with both titanium elastic nailing and elastic stable intramedullary nailing, provides immediate-to-early stability to the involved bone segment, permitting early mobilization and allows for return to normal activities with a relatively low complication rate</w:t>
      </w:r>
      <w:r w:rsidRPr="0003196B">
        <w:rPr>
          <w:rFonts w:ascii="Book Antiqua" w:eastAsia="Book Antiqua" w:hAnsi="Book Antiqua" w:cs="Book Antiqua"/>
          <w:color w:val="000000"/>
          <w:vertAlign w:val="superscript"/>
        </w:rPr>
        <w:t>[17]</w:t>
      </w:r>
      <w:r w:rsidRPr="0003196B">
        <w:rPr>
          <w:rFonts w:ascii="Book Antiqua" w:eastAsia="Book Antiqua" w:hAnsi="Book Antiqua" w:cs="Book Antiqua"/>
          <w:color w:val="000000"/>
        </w:rPr>
        <w:t>. Although FIMN is an effective procedure for length stable diaphyseal pediatric femoral fractures, there is concern regarding its use for length unstable fractures</w:t>
      </w:r>
      <w:r w:rsidRPr="0003196B">
        <w:rPr>
          <w:rFonts w:ascii="Book Antiqua" w:eastAsia="Book Antiqua" w:hAnsi="Book Antiqua" w:cs="Book Antiqua"/>
          <w:color w:val="000000"/>
          <w:vertAlign w:val="superscript"/>
        </w:rPr>
        <w:t>[8,9,14,18-21]</w:t>
      </w:r>
      <w:r w:rsidRPr="0003196B">
        <w:rPr>
          <w:rFonts w:ascii="Book Antiqua" w:eastAsia="Book Antiqua" w:hAnsi="Book Antiqua" w:cs="Book Antiqua"/>
          <w:color w:val="000000"/>
        </w:rPr>
        <w:t>. Potential complications with FIMN treatment for length unstable fractures include suboptimal stability leading to angulation, shortening, rotation</w:t>
      </w:r>
      <w:r w:rsidRPr="0003196B">
        <w:rPr>
          <w:rFonts w:ascii="Book Antiqua" w:eastAsia="Book Antiqua" w:hAnsi="Book Antiqua" w:cs="Book Antiqua"/>
          <w:color w:val="000000"/>
          <w:vertAlign w:val="superscript"/>
        </w:rPr>
        <w:t>[8,22-24]</w:t>
      </w:r>
      <w:r w:rsidRPr="0003196B">
        <w:rPr>
          <w:rFonts w:ascii="Book Antiqua" w:eastAsia="Book Antiqua" w:hAnsi="Book Antiqua" w:cs="Book Antiqua"/>
          <w:color w:val="000000"/>
        </w:rPr>
        <w:t>, and nail protrusion resulting in symptomatic hardware with skin irritation being the primary patient complaint</w:t>
      </w:r>
      <w:r w:rsidRPr="0003196B">
        <w:rPr>
          <w:rFonts w:ascii="Book Antiqua" w:eastAsia="Book Antiqua" w:hAnsi="Book Antiqua" w:cs="Book Antiqua"/>
          <w:color w:val="000000"/>
          <w:vertAlign w:val="superscript"/>
        </w:rPr>
        <w:t>[6,16,25]</w:t>
      </w:r>
      <w:r w:rsidRPr="0003196B">
        <w:rPr>
          <w:rFonts w:ascii="Book Antiqua" w:eastAsia="Book Antiqua" w:hAnsi="Book Antiqua" w:cs="Book Antiqua"/>
          <w:color w:val="000000"/>
        </w:rPr>
        <w:t>.</w:t>
      </w:r>
    </w:p>
    <w:p w14:paraId="16880D5A" w14:textId="77777777"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lastRenderedPageBreak/>
        <w:t>Despite the above concerns, FIMN is still often used for length unstable femur fractures. We hypothesized that FIMN is a viable option for length unstable femur fractures with a rate of complications that does not differ unfavorably from other treatment options. We performed a retrospective chart review at a single institution to compare FIMN with other treatment options for length unstable femur fractures with a primary outcome of complications. Also, because the treatment group, length unstable other than FIMN, was slightly older and heavier, we utilized a second comparison group, length stable fractures treated with FIMN.</w:t>
      </w:r>
    </w:p>
    <w:p w14:paraId="7C74E1F9" w14:textId="77777777" w:rsidR="00A77B3E" w:rsidRPr="0003196B" w:rsidRDefault="00A77B3E" w:rsidP="000424BB">
      <w:pPr>
        <w:adjustRightInd w:val="0"/>
        <w:snapToGrid w:val="0"/>
        <w:spacing w:line="360" w:lineRule="auto"/>
        <w:jc w:val="both"/>
        <w:rPr>
          <w:rFonts w:ascii="Book Antiqua" w:hAnsi="Book Antiqua"/>
        </w:rPr>
      </w:pPr>
    </w:p>
    <w:p w14:paraId="2B0E1B13"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u w:val="single"/>
        </w:rPr>
        <w:t>MATERIALS AND METHODS</w:t>
      </w:r>
    </w:p>
    <w:p w14:paraId="57316711" w14:textId="463C5D2E" w:rsidR="00A77B3E" w:rsidRPr="0003196B" w:rsidRDefault="001C60D2"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In</w:t>
      </w:r>
      <w:r w:rsidR="00EE34BF" w:rsidRPr="0003196B">
        <w:rPr>
          <w:rFonts w:ascii="Book Antiqua" w:eastAsia="Book Antiqua" w:hAnsi="Book Antiqua" w:cs="Book Antiqua"/>
          <w:color w:val="000000"/>
        </w:rPr>
        <w:t>stitutional Review Board</w:t>
      </w:r>
      <w:r w:rsidR="000D4CF3" w:rsidRPr="0003196B">
        <w:rPr>
          <w:rFonts w:ascii="Book Antiqua" w:eastAsia="Book Antiqua" w:hAnsi="Book Antiqua" w:cs="Book Antiqua"/>
          <w:color w:val="000000"/>
        </w:rPr>
        <w:t xml:space="preserve"> approval was obtained. Billing databases at a single institution were used to i</w:t>
      </w:r>
      <w:r w:rsidR="00730948" w:rsidRPr="0003196B">
        <w:rPr>
          <w:rFonts w:ascii="Book Antiqua" w:eastAsia="Book Antiqua" w:hAnsi="Book Antiqua" w:cs="Book Antiqua"/>
          <w:color w:val="000000"/>
        </w:rPr>
        <w:t>dentify patients (age range 5</w:t>
      </w:r>
      <w:r w:rsidR="009E0407" w:rsidRPr="0003196B">
        <w:rPr>
          <w:rFonts w:ascii="Book Antiqua" w:eastAsia="Book Antiqua" w:hAnsi="Book Antiqua" w:cs="Book Antiqua"/>
          <w:color w:val="000000"/>
        </w:rPr>
        <w:t>–</w:t>
      </w:r>
      <w:r w:rsidR="000D4CF3" w:rsidRPr="0003196B">
        <w:rPr>
          <w:rFonts w:ascii="Book Antiqua" w:eastAsia="Book Antiqua" w:hAnsi="Book Antiqua" w:cs="Book Antiqua"/>
          <w:color w:val="000000"/>
        </w:rPr>
        <w:t>13) who had received surgical management of a diaphyse</w:t>
      </w:r>
      <w:r w:rsidR="00730948" w:rsidRPr="0003196B">
        <w:rPr>
          <w:rFonts w:ascii="Book Antiqua" w:eastAsia="Book Antiqua" w:hAnsi="Book Antiqua" w:cs="Book Antiqua"/>
          <w:color w:val="000000"/>
        </w:rPr>
        <w:t>al femoral fracture from 2013</w:t>
      </w:r>
      <w:r w:rsidR="009E0407" w:rsidRPr="0003196B">
        <w:rPr>
          <w:rFonts w:ascii="Book Antiqua" w:eastAsia="Book Antiqua" w:hAnsi="Book Antiqua" w:cs="Book Antiqua"/>
          <w:color w:val="000000"/>
        </w:rPr>
        <w:t>–</w:t>
      </w:r>
      <w:r w:rsidR="000D4CF3" w:rsidRPr="0003196B">
        <w:rPr>
          <w:rFonts w:ascii="Book Antiqua" w:eastAsia="Book Antiqua" w:hAnsi="Book Antiqua" w:cs="Book Antiqua"/>
          <w:color w:val="000000"/>
        </w:rPr>
        <w:t>2019. Charts and radiographs were reviewed. Recorded data included patient characteristics (sex, age, weight, fracture type, blood loss from surgery, follow-up duration and time to weight bearing) and complications (rotational deformity, shortening, arthrofibrosis, symptomatic hardware, treatment change, wound complications, and decreased</w:t>
      </w:r>
      <w:r w:rsidR="00EE34BF" w:rsidRPr="0003196B">
        <w:rPr>
          <w:rFonts w:ascii="Book Antiqua" w:eastAsia="Book Antiqua" w:hAnsi="Book Antiqua" w:cs="Book Antiqua"/>
          <w:color w:val="000000"/>
        </w:rPr>
        <w:t xml:space="preserve"> range of motion</w:t>
      </w:r>
      <w:r w:rsidR="000D4CF3" w:rsidRPr="0003196B">
        <w:rPr>
          <w:rFonts w:ascii="Book Antiqua" w:eastAsia="Book Antiqua" w:hAnsi="Book Antiqua" w:cs="Book Antiqua"/>
          <w:color w:val="000000"/>
        </w:rPr>
        <w:t>). Complications were stratified into minor and major in accordance with previous studies</w:t>
      </w:r>
      <w:r w:rsidR="000D4CF3" w:rsidRPr="0003196B">
        <w:rPr>
          <w:rFonts w:ascii="Book Antiqua" w:eastAsia="Book Antiqua" w:hAnsi="Book Antiqua" w:cs="Book Antiqua"/>
          <w:color w:val="000000"/>
          <w:vertAlign w:val="superscript"/>
        </w:rPr>
        <w:t>[26]</w:t>
      </w:r>
      <w:r w:rsidR="000D4CF3" w:rsidRPr="0003196B">
        <w:rPr>
          <w:rFonts w:ascii="Book Antiqua" w:eastAsia="Book Antiqua" w:hAnsi="Book Antiqua" w:cs="Book Antiqua"/>
          <w:color w:val="000000"/>
        </w:rPr>
        <w:t>. Minor complications constitute pain at the nail insertion site (</w:t>
      </w:r>
      <w:r w:rsidR="000D4CF3" w:rsidRPr="0003196B">
        <w:rPr>
          <w:rFonts w:ascii="Book Antiqua" w:eastAsia="Book Antiqua" w:hAnsi="Book Antiqua" w:cs="Book Antiqua"/>
          <w:i/>
          <w:iCs/>
          <w:color w:val="000000"/>
        </w:rPr>
        <w:t>i.e.</w:t>
      </w:r>
      <w:r w:rsidR="000424BB" w:rsidRPr="000424BB">
        <w:rPr>
          <w:rFonts w:ascii="Book Antiqua" w:eastAsia="Book Antiqua" w:hAnsi="Book Antiqua" w:cs="Book Antiqua"/>
          <w:iCs/>
          <w:color w:val="000000"/>
        </w:rPr>
        <w:t>,</w:t>
      </w:r>
      <w:r w:rsidR="000D4CF3" w:rsidRPr="0003196B">
        <w:rPr>
          <w:rFonts w:ascii="Book Antiqua" w:eastAsia="Book Antiqua" w:hAnsi="Book Antiqua" w:cs="Book Antiqua"/>
          <w:color w:val="000000"/>
        </w:rPr>
        <w:t xml:space="preserve"> symptomatic hardware) and temporary complications that are self-resolving or that are completely resolved without surgery (</w:t>
      </w:r>
      <w:r w:rsidR="000D4CF3" w:rsidRPr="0003196B">
        <w:rPr>
          <w:rFonts w:ascii="Book Antiqua" w:eastAsia="Book Antiqua" w:hAnsi="Book Antiqua" w:cs="Book Antiqua"/>
          <w:i/>
          <w:iCs/>
          <w:color w:val="000000"/>
        </w:rPr>
        <w:t>e.g.</w:t>
      </w:r>
      <w:r w:rsidR="000D4CF3" w:rsidRPr="0003196B">
        <w:rPr>
          <w:rFonts w:ascii="Book Antiqua" w:eastAsia="Book Antiqua" w:hAnsi="Book Antiqua" w:cs="Book Antiqua"/>
          <w:color w:val="000000"/>
        </w:rPr>
        <w:t xml:space="preserve"> superficial surgical site infection and superficial wound complications). Major complications are those persisting at final follow-up or those requiring additional procedures and include instrument failure requiring revision, rotational deformities requiring surgical correction, and arthrofibrosis requiring knee manipulation under anesthesia. The only exception to an additional procedure considered as a minor complication is hardware removal due to symptoms. Patients who had an elective hardware removal in the absence of symptoms were not included as complications. Rotational deformity and leg-length discrepancy were assessed clinically by the treating orthopaedist. If a clinical concern of either </w:t>
      </w:r>
      <w:r w:rsidR="000D4CF3" w:rsidRPr="0003196B">
        <w:rPr>
          <w:rFonts w:ascii="Book Antiqua" w:eastAsia="Book Antiqua" w:hAnsi="Book Antiqua" w:cs="Book Antiqua"/>
          <w:color w:val="000000"/>
        </w:rPr>
        <w:lastRenderedPageBreak/>
        <w:t xml:space="preserve">deformity was raised, then long-leg </w:t>
      </w:r>
      <w:r w:rsidR="000D4CF3" w:rsidRPr="0087441B">
        <w:rPr>
          <w:rFonts w:ascii="Book Antiqua" w:eastAsia="Book Antiqua" w:hAnsi="Book Antiqua" w:cs="Book Antiqua"/>
          <w:caps/>
          <w:color w:val="000000"/>
        </w:rPr>
        <w:t>x</w:t>
      </w:r>
      <w:r w:rsidR="000D4CF3" w:rsidRPr="0003196B">
        <w:rPr>
          <w:rFonts w:ascii="Book Antiqua" w:eastAsia="Book Antiqua" w:hAnsi="Book Antiqua" w:cs="Book Antiqua"/>
          <w:color w:val="000000"/>
        </w:rPr>
        <w:t xml:space="preserve">-rays with the contralateral leg were obtained. Shortening was measured on lateral </w:t>
      </w:r>
      <w:r w:rsidR="000D4CF3" w:rsidRPr="0087441B">
        <w:rPr>
          <w:rFonts w:ascii="Book Antiqua" w:eastAsia="Book Antiqua" w:hAnsi="Book Antiqua" w:cs="Book Antiqua"/>
          <w:caps/>
          <w:color w:val="000000"/>
        </w:rPr>
        <w:t>x</w:t>
      </w:r>
      <w:r w:rsidR="000D4CF3" w:rsidRPr="0003196B">
        <w:rPr>
          <w:rFonts w:ascii="Book Antiqua" w:eastAsia="Book Antiqua" w:hAnsi="Book Antiqua" w:cs="Book Antiqua"/>
          <w:color w:val="000000"/>
        </w:rPr>
        <w:t>-rays and was defined as shortening greater than 14 mm, which is the upper acceptable limit in the literature</w:t>
      </w:r>
      <w:r w:rsidR="000D4CF3" w:rsidRPr="0003196B">
        <w:rPr>
          <w:rFonts w:ascii="Book Antiqua" w:eastAsia="Book Antiqua" w:hAnsi="Book Antiqua" w:cs="Book Antiqua"/>
          <w:color w:val="000000"/>
          <w:vertAlign w:val="superscript"/>
        </w:rPr>
        <w:t>[27]</w:t>
      </w:r>
      <w:r w:rsidR="000D4CF3" w:rsidRPr="0003196B">
        <w:rPr>
          <w:rFonts w:ascii="Book Antiqua" w:eastAsia="Book Antiqua" w:hAnsi="Book Antiqua" w:cs="Book Antiqua"/>
          <w:color w:val="000000"/>
        </w:rPr>
        <w:t>.</w:t>
      </w:r>
    </w:p>
    <w:p w14:paraId="1D4BD5BD" w14:textId="20A7BDB9"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Inclusion criteria is a femur</w:t>
      </w:r>
      <w:r w:rsidR="00730948" w:rsidRPr="0003196B">
        <w:rPr>
          <w:rFonts w:ascii="Book Antiqua" w:eastAsia="Book Antiqua" w:hAnsi="Book Antiqua" w:cs="Book Antiqua"/>
          <w:color w:val="000000"/>
        </w:rPr>
        <w:t xml:space="preserve"> fracture in a patient aged 5-</w:t>
      </w:r>
      <w:r w:rsidRPr="0003196B">
        <w:rPr>
          <w:rFonts w:ascii="Book Antiqua" w:eastAsia="Book Antiqua" w:hAnsi="Book Antiqua" w:cs="Book Antiqua"/>
          <w:color w:val="000000"/>
        </w:rPr>
        <w:t>13 years. One hundred and sixty-three such patients were identified. Cases were excluded if they had an underlying predisposition for fractures (</w:t>
      </w:r>
      <w:r w:rsidRPr="0003196B">
        <w:rPr>
          <w:rFonts w:ascii="Book Antiqua" w:eastAsia="Book Antiqua" w:hAnsi="Book Antiqua" w:cs="Book Antiqua"/>
          <w:i/>
          <w:iCs/>
          <w:color w:val="000000"/>
        </w:rPr>
        <w:t>e.g.</w:t>
      </w:r>
      <w:r w:rsidR="00374B35" w:rsidRPr="0003196B">
        <w:rPr>
          <w:rFonts w:ascii="Book Antiqua" w:eastAsia="Book Antiqua" w:hAnsi="Book Antiqua" w:cs="Book Antiqua"/>
          <w:color w:val="000000"/>
        </w:rPr>
        <w:t>,</w:t>
      </w:r>
      <w:r w:rsidRPr="0003196B">
        <w:rPr>
          <w:rFonts w:ascii="Book Antiqua" w:eastAsia="Book Antiqua" w:hAnsi="Book Antiqua" w:cs="Book Antiqua"/>
          <w:color w:val="000000"/>
        </w:rPr>
        <w:t xml:space="preserve"> pathologic fractures or osteogenesis imperfecta) (9 patients), polytrauma necessitating intensive care unit care and/or extensiv</w:t>
      </w:r>
      <w:r w:rsidR="00730948" w:rsidRPr="0003196B">
        <w:rPr>
          <w:rFonts w:ascii="Book Antiqua" w:eastAsia="Book Antiqua" w:hAnsi="Book Antiqua" w:cs="Book Antiqua"/>
          <w:color w:val="000000"/>
        </w:rPr>
        <w:t>e management of other injuries [</w:t>
      </w:r>
      <w:r w:rsidRPr="0003196B">
        <w:rPr>
          <w:rFonts w:ascii="Book Antiqua" w:eastAsia="Book Antiqua" w:hAnsi="Book Antiqua" w:cs="Book Antiqua"/>
          <w:color w:val="000000"/>
        </w:rPr>
        <w:t xml:space="preserve">may skew data on variables </w:t>
      </w:r>
      <w:r w:rsidR="00730948" w:rsidRPr="0003196B">
        <w:rPr>
          <w:rFonts w:ascii="Book Antiqua" w:eastAsia="Book Antiqua" w:hAnsi="Book Antiqua" w:cs="Book Antiqua"/>
          <w:color w:val="000000"/>
        </w:rPr>
        <w:t>including estimated blood loss (</w:t>
      </w:r>
      <w:r w:rsidRPr="0003196B">
        <w:rPr>
          <w:rFonts w:ascii="Book Antiqua" w:eastAsia="Book Antiqua" w:hAnsi="Book Antiqua" w:cs="Book Antiqua"/>
          <w:color w:val="000000"/>
        </w:rPr>
        <w:t>EBL), operative time, and time to weight bearing due to the associated injuries</w:t>
      </w:r>
      <w:r w:rsidR="00730948" w:rsidRPr="0003196B">
        <w:rPr>
          <w:rFonts w:ascii="Book Antiqua" w:eastAsia="Book Antiqua" w:hAnsi="Book Antiqua" w:cs="Book Antiqua"/>
          <w:color w:val="000000"/>
        </w:rPr>
        <w:t>]</w:t>
      </w:r>
      <w:r w:rsidRPr="0003196B">
        <w:rPr>
          <w:rFonts w:ascii="Book Antiqua" w:eastAsia="Book Antiqua" w:hAnsi="Book Antiqua" w:cs="Book Antiqua"/>
          <w:color w:val="000000"/>
        </w:rPr>
        <w:t xml:space="preserve"> (12 patients), incomplete records (8 patients), or no follow-up visits (12 patients). Thirty patients were also excluded as they had a length stable fracture treated with modalities other than FIMN. Ninety-two patients with 95 fractures were included. They constituted three groups: length unstable femoral fractures treated with FIMN, length unstable femoral fractures treated with a modality other than FIMN (locked IMN, SMP, and external fixators), and length stable femoral fractures treated with FIMN. Primary outcomes for the study were the number and percentage of complications per each group and the secondary outcomes included the types of complications per each group (</w:t>
      </w:r>
      <w:r w:rsidRPr="0003196B">
        <w:rPr>
          <w:rFonts w:ascii="Book Antiqua" w:eastAsia="Book Antiqua" w:hAnsi="Book Antiqua" w:cs="Book Antiqua"/>
          <w:i/>
          <w:iCs/>
          <w:color w:val="000000"/>
        </w:rPr>
        <w:t>e.g.</w:t>
      </w:r>
      <w:r w:rsidRPr="0003196B">
        <w:rPr>
          <w:rFonts w:ascii="Book Antiqua" w:eastAsia="Book Antiqua" w:hAnsi="Book Antiqua" w:cs="Book Antiqua"/>
          <w:color w:val="000000"/>
        </w:rPr>
        <w:t xml:space="preserve"> symptomatic hardware, rotational deformity, </w:t>
      </w:r>
      <w:r w:rsidRPr="0003196B">
        <w:rPr>
          <w:rFonts w:ascii="Book Antiqua" w:eastAsia="Book Antiqua" w:hAnsi="Book Antiqua" w:cs="Book Antiqua"/>
          <w:i/>
          <w:color w:val="000000"/>
        </w:rPr>
        <w:t>etc.</w:t>
      </w:r>
      <w:r w:rsidRPr="0003196B">
        <w:rPr>
          <w:rFonts w:ascii="Book Antiqua" w:eastAsia="Book Antiqua" w:hAnsi="Book Antiqua" w:cs="Book Antiqua"/>
          <w:color w:val="000000"/>
        </w:rPr>
        <w:t>) and their severity (major or minor).</w:t>
      </w:r>
    </w:p>
    <w:p w14:paraId="01536FFB" w14:textId="48349DC9"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 xml:space="preserve">A two-tailed t-test and a chi-square test were performed for continuous and categorical data, respectively. </w:t>
      </w:r>
      <w:r w:rsidRPr="0003196B">
        <w:rPr>
          <w:rFonts w:ascii="Book Antiqua" w:eastAsia="Book Antiqua" w:hAnsi="Book Antiqua" w:cs="Book Antiqua"/>
          <w:i/>
          <w:iCs/>
          <w:color w:val="000000"/>
        </w:rPr>
        <w:t>P</w:t>
      </w:r>
      <w:r w:rsidR="00730948" w:rsidRPr="0003196B">
        <w:rPr>
          <w:rFonts w:ascii="Book Antiqua" w:eastAsia="Book Antiqua" w:hAnsi="Book Antiqua" w:cs="Book Antiqua"/>
          <w:color w:val="000000"/>
        </w:rPr>
        <w:t xml:space="preserve"> </w:t>
      </w:r>
      <w:r w:rsidRPr="0003196B">
        <w:rPr>
          <w:rFonts w:ascii="Book Antiqua" w:eastAsia="Book Antiqua" w:hAnsi="Book Antiqua" w:cs="Book Antiqua"/>
          <w:color w:val="000000"/>
        </w:rPr>
        <w:t>values &lt; 0.05 were considered statistically significant. </w:t>
      </w:r>
    </w:p>
    <w:p w14:paraId="78FBAC20" w14:textId="77777777"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 xml:space="preserve">Regarding the primary surgical treatment of interest in this study, FIMN, the procedure described in depth by Busch </w:t>
      </w:r>
      <w:r w:rsidRPr="0003196B">
        <w:rPr>
          <w:rFonts w:ascii="Book Antiqua" w:eastAsia="Book Antiqua" w:hAnsi="Book Antiqua" w:cs="Book Antiqua"/>
          <w:i/>
          <w:iCs/>
          <w:color w:val="000000"/>
        </w:rPr>
        <w:t>et al</w:t>
      </w:r>
      <w:r w:rsidRPr="0003196B">
        <w:rPr>
          <w:rFonts w:ascii="Book Antiqua" w:eastAsia="Book Antiqua" w:hAnsi="Book Antiqua" w:cs="Book Antiqua"/>
          <w:color w:val="000000"/>
          <w:vertAlign w:val="superscript"/>
        </w:rPr>
        <w:t>[26]</w:t>
      </w:r>
      <w:r w:rsidRPr="0003196B">
        <w:rPr>
          <w:rFonts w:ascii="Book Antiqua" w:eastAsia="Book Antiqua" w:hAnsi="Book Antiqua" w:cs="Book Antiqua"/>
          <w:color w:val="000000"/>
        </w:rPr>
        <w:t xml:space="preserve"> is the one predominantly carried out at our institution. Also, patient follow-up was achieved in clinic at our institution from the first presentation of the involved femoral fracture(s) to the patient’s last clinic visit. Our institution also does not typically cast fractures in conjunction with FIMN, and patients included in this study were not casted after surgical correction. The treating orthopaedist considered the fracture(s) </w:t>
      </w:r>
      <w:r w:rsidRPr="0003196B">
        <w:rPr>
          <w:rFonts w:ascii="Book Antiqua" w:eastAsia="Book Antiqua" w:hAnsi="Book Antiqua" w:cs="Book Antiqua"/>
          <w:color w:val="000000"/>
        </w:rPr>
        <w:lastRenderedPageBreak/>
        <w:t>completely resolved when union was evident on x-ray and when the patient’s symptoms, specific to the prior femoral fracture(s) of concern, were resolved. All patients were given the option of additional follow-up in clinic if symptoms reemerged and/or if a physical deformity appeared.</w:t>
      </w:r>
    </w:p>
    <w:p w14:paraId="6A072D74" w14:textId="77777777" w:rsidR="00A77B3E" w:rsidRPr="0003196B" w:rsidRDefault="00A77B3E" w:rsidP="0003196B">
      <w:pPr>
        <w:adjustRightInd w:val="0"/>
        <w:snapToGrid w:val="0"/>
        <w:spacing w:line="360" w:lineRule="auto"/>
        <w:ind w:firstLine="240"/>
        <w:jc w:val="both"/>
        <w:rPr>
          <w:rFonts w:ascii="Book Antiqua" w:hAnsi="Book Antiqua"/>
        </w:rPr>
      </w:pPr>
    </w:p>
    <w:p w14:paraId="30679AD3"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u w:val="single"/>
        </w:rPr>
        <w:t>RESULTS</w:t>
      </w:r>
    </w:p>
    <w:p w14:paraId="11AB68C5" w14:textId="0A330308"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Ninety-five fractures from ninety-two patients were included in this study. There were 50 length unstable fractures (Table </w:t>
      </w:r>
      <w:r w:rsidR="001B5D95" w:rsidRPr="0003196B">
        <w:rPr>
          <w:rFonts w:ascii="Book Antiqua" w:eastAsia="Book Antiqua" w:hAnsi="Book Antiqua" w:cs="Book Antiqua"/>
          <w:color w:val="000000"/>
        </w:rPr>
        <w:t>1</w:t>
      </w:r>
      <w:r w:rsidRPr="0003196B">
        <w:rPr>
          <w:rFonts w:ascii="Book Antiqua" w:eastAsia="Book Antiqua" w:hAnsi="Book Antiqua" w:cs="Book Antiqua"/>
          <w:color w:val="000000"/>
        </w:rPr>
        <w:t>). Twenty-one were treated with titanium FIMN, and included 17 males and 4 females, with an average age of 7.4 years (range: 5.2–11.9 years) and weight of 27.8 kg (range: 10.6–56.7 kg). Sixteen fractures were long spiral or oblique, and the remaining 5 were comminuted. Patients were followed up for an</w:t>
      </w:r>
      <w:r w:rsidR="00730948" w:rsidRPr="0003196B">
        <w:rPr>
          <w:rFonts w:ascii="Book Antiqua" w:eastAsia="Book Antiqua" w:hAnsi="Book Antiqua" w:cs="Book Antiqua"/>
          <w:color w:val="000000"/>
        </w:rPr>
        <w:t xml:space="preserve"> average of 10.6 </w:t>
      </w:r>
      <w:proofErr w:type="spellStart"/>
      <w:r w:rsidR="00730948" w:rsidRPr="0003196B">
        <w:rPr>
          <w:rFonts w:ascii="Book Antiqua" w:eastAsia="Book Antiqua" w:hAnsi="Book Antiqua" w:cs="Book Antiqua"/>
          <w:color w:val="000000"/>
        </w:rPr>
        <w:t>mo</w:t>
      </w:r>
      <w:proofErr w:type="spellEnd"/>
      <w:r w:rsidR="00730948" w:rsidRPr="0003196B">
        <w:rPr>
          <w:rFonts w:ascii="Book Antiqua" w:eastAsia="Book Antiqua" w:hAnsi="Book Antiqua" w:cs="Book Antiqua"/>
          <w:color w:val="000000"/>
        </w:rPr>
        <w:t xml:space="preserve"> (range: 2</w:t>
      </w:r>
      <w:r w:rsidR="009E0407" w:rsidRPr="0003196B">
        <w:rPr>
          <w:rFonts w:ascii="Book Antiqua" w:eastAsia="Book Antiqua" w:hAnsi="Book Antiqua" w:cs="Book Antiqua"/>
          <w:color w:val="000000"/>
        </w:rPr>
        <w:t>–</w:t>
      </w:r>
      <w:r w:rsidRPr="0003196B">
        <w:rPr>
          <w:rFonts w:ascii="Book Antiqua" w:eastAsia="Book Antiqua" w:hAnsi="Book Antiqua" w:cs="Book Antiqua"/>
          <w:color w:val="000000"/>
        </w:rPr>
        <w:t xml:space="preserve">51.5 </w:t>
      </w:r>
      <w:proofErr w:type="spellStart"/>
      <w:r w:rsidRPr="0003196B">
        <w:rPr>
          <w:rFonts w:ascii="Book Antiqua" w:eastAsia="Book Antiqua" w:hAnsi="Book Antiqua" w:cs="Book Antiqua"/>
          <w:color w:val="000000"/>
        </w:rPr>
        <w:t>mo</w:t>
      </w:r>
      <w:proofErr w:type="spellEnd"/>
      <w:r w:rsidRPr="0003196B">
        <w:rPr>
          <w:rFonts w:ascii="Book Antiqua" w:eastAsia="Book Antiqua" w:hAnsi="Book Antiqua" w:cs="Book Antiqua"/>
          <w:color w:val="000000"/>
        </w:rPr>
        <w:t xml:space="preserve">), and time from surgery to weightbearing as </w:t>
      </w:r>
      <w:r w:rsidR="00730948" w:rsidRPr="0003196B">
        <w:rPr>
          <w:rFonts w:ascii="Book Antiqua" w:eastAsia="Book Antiqua" w:hAnsi="Book Antiqua" w:cs="Book Antiqua"/>
          <w:color w:val="000000"/>
        </w:rPr>
        <w:t>tolerated was 39 d (range: 23</w:t>
      </w:r>
      <w:r w:rsidR="009E0407" w:rsidRPr="0003196B">
        <w:rPr>
          <w:rFonts w:ascii="Book Antiqua" w:eastAsia="Book Antiqua" w:hAnsi="Book Antiqua" w:cs="Book Antiqua"/>
          <w:color w:val="000000"/>
        </w:rPr>
        <w:t>–</w:t>
      </w:r>
      <w:r w:rsidRPr="0003196B">
        <w:rPr>
          <w:rFonts w:ascii="Book Antiqua" w:eastAsia="Book Antiqua" w:hAnsi="Book Antiqua" w:cs="Book Antiqua"/>
          <w:color w:val="000000"/>
        </w:rPr>
        <w:t>60 d). 9 patients (42.8%) experienced a complication, with 8 being symptomatic hardware. One patient had superficial wound dehiscence. All complications, therefore, were minor, and no major complications were encountered. An example of a length unstable femur fracture treated with FIMN is included in Figure 1.</w:t>
      </w:r>
    </w:p>
    <w:p w14:paraId="77DF186B" w14:textId="62081090"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Twenty</w:t>
      </w:r>
      <w:r w:rsidR="009E0407" w:rsidRPr="0003196B">
        <w:rPr>
          <w:rFonts w:ascii="Book Antiqua" w:eastAsia="Book Antiqua" w:hAnsi="Book Antiqua" w:cs="Book Antiqua"/>
          <w:color w:val="000000"/>
        </w:rPr>
        <w:t>–</w:t>
      </w:r>
      <w:r w:rsidRPr="0003196B">
        <w:rPr>
          <w:rFonts w:ascii="Book Antiqua" w:eastAsia="Book Antiqua" w:hAnsi="Book Antiqua" w:cs="Book Antiqua"/>
          <w:color w:val="000000"/>
        </w:rPr>
        <w:t xml:space="preserve">nine length unstable fractures were treated with a technique other than FIMN. These were older patients (9.3 years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7.4 years, </w:t>
      </w:r>
      <w:r w:rsidRPr="0003196B">
        <w:rPr>
          <w:rFonts w:ascii="Book Antiqua" w:eastAsia="Book Antiqua" w:hAnsi="Book Antiqua" w:cs="Book Antiqua"/>
          <w:i/>
          <w:iCs/>
          <w:color w:val="000000"/>
        </w:rPr>
        <w:t>P</w:t>
      </w:r>
      <w:r w:rsidRPr="0003196B">
        <w:rPr>
          <w:rFonts w:ascii="Book Antiqua" w:eastAsia="Book Antiqua" w:hAnsi="Book Antiqua" w:cs="Book Antiqua"/>
          <w:color w:val="000000"/>
        </w:rPr>
        <w:t xml:space="preserve"> = 0.004) with a greater weight (35.1 kg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27.8 kg, </w:t>
      </w:r>
      <w:r w:rsidRPr="0003196B">
        <w:rPr>
          <w:rFonts w:ascii="Book Antiqua" w:eastAsia="Book Antiqua" w:hAnsi="Book Antiqua" w:cs="Book Antiqua"/>
          <w:i/>
          <w:iCs/>
          <w:color w:val="000000"/>
        </w:rPr>
        <w:t>P</w:t>
      </w:r>
      <w:r w:rsidRPr="0003196B">
        <w:rPr>
          <w:rFonts w:ascii="Book Antiqua" w:eastAsia="Book Antiqua" w:hAnsi="Book Antiqua" w:cs="Book Antiqua"/>
          <w:color w:val="000000"/>
        </w:rPr>
        <w:t xml:space="preserve"> = 0.033), but both groups were similar in their sex distribution, fracture pattern, time to weightbearing, and follow-up duration (</w:t>
      </w:r>
      <w:r w:rsidRPr="0003196B">
        <w:rPr>
          <w:rFonts w:ascii="Book Antiqua" w:eastAsia="Book Antiqua" w:hAnsi="Book Antiqua" w:cs="Book Antiqua"/>
          <w:i/>
          <w:iCs/>
          <w:color w:val="000000"/>
        </w:rPr>
        <w:t xml:space="preserve">P </w:t>
      </w:r>
      <w:r w:rsidRPr="0003196B">
        <w:rPr>
          <w:rFonts w:ascii="Book Antiqua" w:eastAsia="Book Antiqua" w:hAnsi="Book Antiqua" w:cs="Book Antiqua"/>
          <w:color w:val="000000"/>
        </w:rPr>
        <w:t xml:space="preserve">&gt; 0.05, Table </w:t>
      </w:r>
      <w:r w:rsidR="001B5D95" w:rsidRPr="0003196B">
        <w:rPr>
          <w:rFonts w:ascii="Book Antiqua" w:eastAsia="Book Antiqua" w:hAnsi="Book Antiqua" w:cs="Book Antiqua"/>
          <w:color w:val="000000"/>
        </w:rPr>
        <w:t>1</w:t>
      </w:r>
      <w:r w:rsidRPr="0003196B">
        <w:rPr>
          <w:rFonts w:ascii="Book Antiqua" w:eastAsia="Book Antiqua" w:hAnsi="Book Antiqua" w:cs="Book Antiqua"/>
          <w:color w:val="000000"/>
        </w:rPr>
        <w:t xml:space="preserve">). Blood loss during surgery was greater in this group as compared to FIMN (98 mL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29.2 mL, </w:t>
      </w:r>
      <w:r w:rsidRPr="0003196B">
        <w:rPr>
          <w:rFonts w:ascii="Book Antiqua" w:eastAsia="Book Antiqua" w:hAnsi="Book Antiqua" w:cs="Book Antiqua"/>
          <w:i/>
          <w:iCs/>
          <w:color w:val="000000"/>
        </w:rPr>
        <w:t xml:space="preserve">P </w:t>
      </w:r>
      <w:r w:rsidRPr="0003196B">
        <w:rPr>
          <w:rFonts w:ascii="Book Antiqua" w:eastAsia="Book Antiqua" w:hAnsi="Book Antiqua" w:cs="Book Antiqua"/>
          <w:color w:val="000000"/>
        </w:rPr>
        <w:t>= 0.0036). 10 total complications (34.5%) were encountered, with 4 being minor complications (13.8%) and 6 being major ones (20.7%). The minor complications included 3 patients with symptomatic hardware and 1 keloid formation. Major complications were pin infection or fixator disturbance requiring hardware removal (</w:t>
      </w:r>
      <w:r w:rsidRPr="0003196B">
        <w:rPr>
          <w:rFonts w:ascii="Book Antiqua" w:eastAsia="Book Antiqua" w:hAnsi="Book Antiqua" w:cs="Book Antiqua"/>
          <w:i/>
          <w:iCs/>
          <w:color w:val="000000"/>
        </w:rPr>
        <w:t>n</w:t>
      </w:r>
      <w:r w:rsidRPr="0003196B">
        <w:rPr>
          <w:rFonts w:ascii="Book Antiqua" w:eastAsia="Book Antiqua" w:hAnsi="Book Antiqua" w:cs="Book Antiqua"/>
          <w:color w:val="000000"/>
        </w:rPr>
        <w:t xml:space="preserve"> = 3), genu valgum requiring hemiepiphysiodesis (</w:t>
      </w:r>
      <w:r w:rsidRPr="0003196B">
        <w:rPr>
          <w:rFonts w:ascii="Book Antiqua" w:eastAsia="Book Antiqua" w:hAnsi="Book Antiqua" w:cs="Book Antiqua"/>
          <w:i/>
          <w:iCs/>
          <w:color w:val="000000"/>
        </w:rPr>
        <w:t>n</w:t>
      </w:r>
      <w:r w:rsidRPr="0003196B">
        <w:rPr>
          <w:rFonts w:ascii="Book Antiqua" w:eastAsia="Book Antiqua" w:hAnsi="Book Antiqua" w:cs="Book Antiqua"/>
          <w:color w:val="000000"/>
        </w:rPr>
        <w:t xml:space="preserve"> = 1), and arthrofibrosis requiring knee manipulation under anesthesia (</w:t>
      </w:r>
      <w:r w:rsidRPr="0003196B">
        <w:rPr>
          <w:rFonts w:ascii="Book Antiqua" w:eastAsia="Book Antiqua" w:hAnsi="Book Antiqua" w:cs="Book Antiqua"/>
          <w:i/>
          <w:iCs/>
          <w:color w:val="000000"/>
        </w:rPr>
        <w:t>n</w:t>
      </w:r>
      <w:r w:rsidRPr="0003196B">
        <w:rPr>
          <w:rFonts w:ascii="Book Antiqua" w:eastAsia="Book Antiqua" w:hAnsi="Book Antiqua" w:cs="Book Antiqua"/>
          <w:color w:val="000000"/>
        </w:rPr>
        <w:t xml:space="preserve"> = 2). Figure 2 consists of radiographs representing the treatment of a pediatric diaphyseal femoral fracture, with a large comminution, originally </w:t>
      </w:r>
      <w:r w:rsidRPr="0003196B">
        <w:rPr>
          <w:rFonts w:ascii="Book Antiqua" w:eastAsia="Book Antiqua" w:hAnsi="Book Antiqua" w:cs="Book Antiqua"/>
          <w:color w:val="000000"/>
        </w:rPr>
        <w:lastRenderedPageBreak/>
        <w:t xml:space="preserve">treated with external fixation. Pin site infections occurred in the patient, requiring changing the treatment to a spica cast. The overall complication rate for length unstable fractures was similar regardless of the treatment employed (42.8% for FIMN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34.5% for other methods of fixation, </w:t>
      </w:r>
      <w:r w:rsidRPr="0003196B">
        <w:rPr>
          <w:rFonts w:ascii="Book Antiqua" w:eastAsia="Book Antiqua" w:hAnsi="Book Antiqua" w:cs="Book Antiqua"/>
          <w:i/>
          <w:iCs/>
          <w:color w:val="000000"/>
        </w:rPr>
        <w:t xml:space="preserve">P </w:t>
      </w:r>
      <w:r w:rsidRPr="0003196B">
        <w:rPr>
          <w:rFonts w:ascii="Book Antiqua" w:eastAsia="Book Antiqua" w:hAnsi="Book Antiqua" w:cs="Book Antiqua"/>
          <w:color w:val="000000"/>
        </w:rPr>
        <w:t>= 0.55). FIMN had less major and more minor complications compared to the other methods of fixation for length unstable femur fractures (</w:t>
      </w:r>
      <w:r w:rsidRPr="0003196B">
        <w:rPr>
          <w:rFonts w:ascii="Book Antiqua" w:eastAsia="Book Antiqua" w:hAnsi="Book Antiqua" w:cs="Book Antiqua"/>
          <w:i/>
          <w:iCs/>
          <w:color w:val="000000"/>
        </w:rPr>
        <w:t>P</w:t>
      </w:r>
      <w:r w:rsidRPr="0003196B">
        <w:rPr>
          <w:rFonts w:ascii="Book Antiqua" w:eastAsia="Book Antiqua" w:hAnsi="Book Antiqua" w:cs="Book Antiqua"/>
          <w:color w:val="000000"/>
        </w:rPr>
        <w:t xml:space="preserve"> of 0.026 and 0.021, respectively).</w:t>
      </w:r>
    </w:p>
    <w:p w14:paraId="44B8AC51" w14:textId="749C5967"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 xml:space="preserve">We also evaluated whether FIMN was associated with more complications when used for length unstable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length stable fractures. FIMN was used for 45 length stable femur fractures (Table </w:t>
      </w:r>
      <w:r w:rsidR="001B5D95" w:rsidRPr="0003196B">
        <w:rPr>
          <w:rFonts w:ascii="Book Antiqua" w:eastAsia="Book Antiqua" w:hAnsi="Book Antiqua" w:cs="Book Antiqua"/>
          <w:color w:val="000000"/>
        </w:rPr>
        <w:t>2</w:t>
      </w:r>
      <w:r w:rsidRPr="0003196B">
        <w:rPr>
          <w:rFonts w:ascii="Book Antiqua" w:eastAsia="Book Antiqua" w:hAnsi="Book Antiqua" w:cs="Book Antiqua"/>
          <w:color w:val="000000"/>
        </w:rPr>
        <w:t>). Both groups had similar sex distribution, age, weight, follow-up duration, and estimated operative blood loss (</w:t>
      </w:r>
      <w:r w:rsidRPr="0003196B">
        <w:rPr>
          <w:rFonts w:ascii="Book Antiqua" w:eastAsia="Book Antiqua" w:hAnsi="Book Antiqua" w:cs="Book Antiqua"/>
          <w:i/>
          <w:iCs/>
          <w:color w:val="000000"/>
        </w:rPr>
        <w:t xml:space="preserve">P </w:t>
      </w:r>
      <w:r w:rsidRPr="0003196B">
        <w:rPr>
          <w:rFonts w:ascii="Book Antiqua" w:eastAsia="Book Antiqua" w:hAnsi="Book Antiqua" w:cs="Book Antiqua"/>
          <w:color w:val="000000"/>
        </w:rPr>
        <w:t xml:space="preserve">&gt; 0.05, Table </w:t>
      </w:r>
      <w:r w:rsidR="001B5D95" w:rsidRPr="0003196B">
        <w:rPr>
          <w:rFonts w:ascii="Book Antiqua" w:eastAsia="Book Antiqua" w:hAnsi="Book Antiqua" w:cs="Book Antiqua"/>
          <w:color w:val="000000"/>
        </w:rPr>
        <w:t>2</w:t>
      </w:r>
      <w:r w:rsidRPr="0003196B">
        <w:rPr>
          <w:rFonts w:ascii="Book Antiqua" w:eastAsia="Book Antiqua" w:hAnsi="Book Antiqua" w:cs="Book Antiqua"/>
          <w:color w:val="000000"/>
        </w:rPr>
        <w:t>). The length stable group was allowed to bear weight, as tolerated, 10 d sooner (</w:t>
      </w:r>
      <w:r w:rsidRPr="0003196B">
        <w:rPr>
          <w:rFonts w:ascii="Book Antiqua" w:eastAsia="Book Antiqua" w:hAnsi="Book Antiqua" w:cs="Book Antiqua"/>
          <w:i/>
          <w:iCs/>
          <w:color w:val="000000"/>
        </w:rPr>
        <w:t xml:space="preserve">P </w:t>
      </w:r>
      <w:r w:rsidRPr="0003196B">
        <w:rPr>
          <w:rFonts w:ascii="Book Antiqua" w:eastAsia="Book Antiqua" w:hAnsi="Book Antiqua" w:cs="Book Antiqua"/>
          <w:color w:val="000000"/>
        </w:rPr>
        <w:t>= 0.001). 20 overall complications (44.4%) were observed in this group. Sixteen were minor complications due to either symptomatic hardware (</w:t>
      </w:r>
      <w:r w:rsidRPr="0003196B">
        <w:rPr>
          <w:rFonts w:ascii="Book Antiqua" w:eastAsia="Book Antiqua" w:hAnsi="Book Antiqua" w:cs="Book Antiqua"/>
          <w:i/>
          <w:iCs/>
          <w:color w:val="000000"/>
        </w:rPr>
        <w:t>n</w:t>
      </w:r>
      <w:r w:rsidRPr="0003196B">
        <w:rPr>
          <w:rFonts w:ascii="Book Antiqua" w:eastAsia="Book Antiqua" w:hAnsi="Book Antiqua" w:cs="Book Antiqua"/>
          <w:color w:val="000000"/>
        </w:rPr>
        <w:t xml:space="preserve"> = 15) or superficial wound dehiscence (</w:t>
      </w:r>
      <w:r w:rsidRPr="0003196B">
        <w:rPr>
          <w:rFonts w:ascii="Book Antiqua" w:eastAsia="Book Antiqua" w:hAnsi="Book Antiqua" w:cs="Book Antiqua"/>
          <w:i/>
          <w:iCs/>
          <w:color w:val="000000"/>
        </w:rPr>
        <w:t>n</w:t>
      </w:r>
      <w:r w:rsidRPr="0003196B">
        <w:rPr>
          <w:rFonts w:ascii="Book Antiqua" w:eastAsia="Book Antiqua" w:hAnsi="Book Antiqua" w:cs="Book Antiqua"/>
          <w:color w:val="000000"/>
        </w:rPr>
        <w:t xml:space="preserve"> = 1). Major complications were bilateral fixation failure in a patient weighing 47.4 kg as well as 2 fractures with persistent arthrofibrosis. The rates of total minor and major complications were similar in fractures treated with FIMN regardless of fracture stability (</w:t>
      </w:r>
      <w:r w:rsidRPr="0003196B">
        <w:rPr>
          <w:rFonts w:ascii="Book Antiqua" w:eastAsia="Book Antiqua" w:hAnsi="Book Antiqua" w:cs="Book Antiqua"/>
          <w:i/>
          <w:iCs/>
          <w:color w:val="000000"/>
        </w:rPr>
        <w:t xml:space="preserve">P </w:t>
      </w:r>
      <w:r w:rsidRPr="0003196B">
        <w:rPr>
          <w:rFonts w:ascii="Book Antiqua" w:eastAsia="Book Antiqua" w:hAnsi="Book Antiqua" w:cs="Book Antiqua"/>
          <w:color w:val="000000"/>
        </w:rPr>
        <w:t>&gt; 0.15</w:t>
      </w:r>
      <w:r w:rsidRPr="0003196B">
        <w:rPr>
          <w:rFonts w:ascii="Book Antiqua" w:eastAsia="Book Antiqua" w:hAnsi="Book Antiqua" w:cs="Book Antiqua"/>
          <w:i/>
          <w:iCs/>
          <w:color w:val="000000"/>
        </w:rPr>
        <w:t xml:space="preserve"> </w:t>
      </w:r>
      <w:r w:rsidRPr="0003196B">
        <w:rPr>
          <w:rFonts w:ascii="Book Antiqua" w:eastAsia="Book Antiqua" w:hAnsi="Book Antiqua" w:cs="Book Antiqua"/>
          <w:color w:val="000000"/>
        </w:rPr>
        <w:t>for each).</w:t>
      </w:r>
    </w:p>
    <w:p w14:paraId="7BB78B8B" w14:textId="6A70492A"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Lastly, Figure 3 depicts the treatment of another pediatric length unstable spiral fracture, but instead of FIMN, it was treated with SMP. The patient went on to have significant keloid scars at the 2 incisions sites. With FIMN as a t</w:t>
      </w:r>
      <w:r w:rsidR="00730948" w:rsidRPr="0003196B">
        <w:rPr>
          <w:rFonts w:ascii="Book Antiqua" w:eastAsia="Book Antiqua" w:hAnsi="Book Antiqua" w:cs="Book Antiqua"/>
          <w:color w:val="000000"/>
        </w:rPr>
        <w:t>reatment modality, only two 2</w:t>
      </w:r>
      <w:r w:rsidR="009E0407" w:rsidRPr="0003196B">
        <w:rPr>
          <w:rFonts w:ascii="Book Antiqua" w:eastAsia="Book Antiqua" w:hAnsi="Book Antiqua" w:cs="Book Antiqua"/>
          <w:color w:val="000000"/>
        </w:rPr>
        <w:t>–</w:t>
      </w:r>
      <w:r w:rsidRPr="0003196B">
        <w:rPr>
          <w:rFonts w:ascii="Book Antiqua" w:eastAsia="Book Antiqua" w:hAnsi="Book Antiqua" w:cs="Book Antiqua"/>
          <w:color w:val="000000"/>
        </w:rPr>
        <w:t xml:space="preserve">3 cm incisions are needed, one each at the lateral and medial borders of the distal femoral metaphysis, while SMP for this </w:t>
      </w:r>
      <w:r w:rsidR="00730948" w:rsidRPr="0003196B">
        <w:rPr>
          <w:rFonts w:ascii="Book Antiqua" w:eastAsia="Book Antiqua" w:hAnsi="Book Antiqua" w:cs="Book Antiqua"/>
          <w:color w:val="000000"/>
        </w:rPr>
        <w:t>patient required at least two 5-</w:t>
      </w:r>
      <w:r w:rsidRPr="0003196B">
        <w:rPr>
          <w:rFonts w:ascii="Book Antiqua" w:eastAsia="Book Antiqua" w:hAnsi="Book Antiqua" w:cs="Book Antiqua"/>
          <w:color w:val="000000"/>
        </w:rPr>
        <w:t>6 cm incisions total for the submuscular plate and 6 screws.</w:t>
      </w:r>
    </w:p>
    <w:p w14:paraId="4B7157D2" w14:textId="77777777" w:rsidR="00A77B3E" w:rsidRPr="0003196B" w:rsidRDefault="00A77B3E" w:rsidP="0003196B">
      <w:pPr>
        <w:adjustRightInd w:val="0"/>
        <w:snapToGrid w:val="0"/>
        <w:spacing w:line="360" w:lineRule="auto"/>
        <w:ind w:firstLine="240"/>
        <w:jc w:val="both"/>
        <w:rPr>
          <w:rFonts w:ascii="Book Antiqua" w:hAnsi="Book Antiqua"/>
        </w:rPr>
      </w:pPr>
    </w:p>
    <w:p w14:paraId="5642E4BC"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u w:val="single"/>
        </w:rPr>
        <w:t>DISCUSSION</w:t>
      </w:r>
    </w:p>
    <w:p w14:paraId="5F4DEB25"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This single institution, retrospective comparative/cohort study found that length unstable, pediatric femur fractures treated with FIMN had similar complication rates to other fixation methods for length unstable fractures and to length stable fractures treated with FIMN. Thus, FIMN remains a viable option for certain length unstable femur fractures.</w:t>
      </w:r>
    </w:p>
    <w:p w14:paraId="4B42C508" w14:textId="77777777"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lastRenderedPageBreak/>
        <w:t>Multiple treatment modalities for length unstable, pediatric femoral fractures remain. External fixation is an option, particularly when extensive soft tissue damage and or contamination is present, but is associated with complications such as refracture, delayed union, malunion, unappealing scars, and pin tract infections</w:t>
      </w:r>
      <w:r w:rsidRPr="0003196B">
        <w:rPr>
          <w:rFonts w:ascii="Book Antiqua" w:eastAsia="Book Antiqua" w:hAnsi="Book Antiqua" w:cs="Book Antiqua"/>
          <w:color w:val="000000"/>
          <w:vertAlign w:val="superscript"/>
        </w:rPr>
        <w:t>[28-33]</w:t>
      </w:r>
      <w:r w:rsidRPr="0003196B">
        <w:rPr>
          <w:rFonts w:ascii="Book Antiqua" w:eastAsia="Book Antiqua" w:hAnsi="Book Antiqua" w:cs="Book Antiqua"/>
          <w:color w:val="000000"/>
        </w:rPr>
        <w:t>. Rigid intramedullary nailing may not be feasible in some cases due to implant size relative to the pediatric canal and is relatively contraindicated for pediatric patients due to the risk of avascular necrosis of the femoral head</w:t>
      </w:r>
      <w:r w:rsidRPr="0003196B">
        <w:rPr>
          <w:rFonts w:ascii="Book Antiqua" w:eastAsia="Book Antiqua" w:hAnsi="Book Antiqua" w:cs="Book Antiqua"/>
          <w:color w:val="000000"/>
          <w:vertAlign w:val="superscript"/>
        </w:rPr>
        <w:t>[34-37]</w:t>
      </w:r>
      <w:r w:rsidRPr="0003196B">
        <w:rPr>
          <w:rFonts w:ascii="Book Antiqua" w:eastAsia="Book Antiqua" w:hAnsi="Book Antiqua" w:cs="Book Antiqua"/>
          <w:color w:val="000000"/>
        </w:rPr>
        <w:t>. SMP is a modern, viable treatment option for length unstable diaphyseal femur fractures</w:t>
      </w:r>
      <w:r w:rsidRPr="0003196B">
        <w:rPr>
          <w:rFonts w:ascii="Book Antiqua" w:eastAsia="Book Antiqua" w:hAnsi="Book Antiqua" w:cs="Book Antiqua"/>
          <w:color w:val="000000"/>
          <w:vertAlign w:val="superscript"/>
        </w:rPr>
        <w:t>[1,7,9,29,31,32,38-40]</w:t>
      </w:r>
      <w:r w:rsidRPr="0003196B">
        <w:rPr>
          <w:rFonts w:ascii="Book Antiqua" w:eastAsia="Book Antiqua" w:hAnsi="Book Antiqua" w:cs="Book Antiqua"/>
          <w:color w:val="000000"/>
        </w:rPr>
        <w:t>. Open/compression plating offers a rigid construct with good operative exposure but involves a large incision, soft tissue disruption, increased blood loss, and leads to incomplete primary bone healing with limited callus and therefore is contraindicated in exchange for non-invasive treatments</w:t>
      </w:r>
      <w:r w:rsidRPr="0003196B">
        <w:rPr>
          <w:rFonts w:ascii="Book Antiqua" w:eastAsia="Book Antiqua" w:hAnsi="Book Antiqua" w:cs="Book Antiqua"/>
          <w:color w:val="000000"/>
          <w:vertAlign w:val="superscript"/>
        </w:rPr>
        <w:t>[12,41]</w:t>
      </w:r>
      <w:r w:rsidRPr="0003196B">
        <w:rPr>
          <w:rFonts w:ascii="Book Antiqua" w:eastAsia="Book Antiqua" w:hAnsi="Book Antiqua" w:cs="Book Antiqua"/>
          <w:color w:val="000000"/>
        </w:rPr>
        <w:t>.</w:t>
      </w:r>
    </w:p>
    <w:p w14:paraId="5B8D8E89" w14:textId="3A5FF26C"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FIMN fracture fixation is minimally invasive with no preselection needed for proper implant length and power instruments are not needed. FIMN treatment also has lower EBL, shorter operative times comparatively, and a low risk of avascular necrosis compared to other treatment options</w:t>
      </w:r>
      <w:r w:rsidRPr="0003196B">
        <w:rPr>
          <w:rFonts w:ascii="Book Antiqua" w:eastAsia="Book Antiqua" w:hAnsi="Book Antiqua" w:cs="Book Antiqua"/>
          <w:color w:val="000000"/>
          <w:vertAlign w:val="superscript"/>
        </w:rPr>
        <w:t>[21,42]</w:t>
      </w:r>
      <w:r w:rsidRPr="0003196B">
        <w:rPr>
          <w:rFonts w:ascii="Book Antiqua" w:eastAsia="Book Antiqua" w:hAnsi="Book Antiqua" w:cs="Book Antiqua"/>
          <w:color w:val="000000"/>
        </w:rPr>
        <w:t xml:space="preserve">. The use of FIMN for pediatric femoral fractures has its limits, however. Reports on its success in length unstable fractures are variable. Sink </w:t>
      </w:r>
      <w:r w:rsidRPr="0003196B">
        <w:rPr>
          <w:rFonts w:ascii="Book Antiqua" w:eastAsia="Book Antiqua" w:hAnsi="Book Antiqua" w:cs="Book Antiqua"/>
          <w:i/>
          <w:iCs/>
          <w:color w:val="000000"/>
        </w:rPr>
        <w:t>et al</w:t>
      </w:r>
      <w:r w:rsidRPr="0003196B">
        <w:rPr>
          <w:rFonts w:ascii="Book Antiqua" w:eastAsia="Book Antiqua" w:hAnsi="Book Antiqua" w:cs="Book Antiqua"/>
          <w:color w:val="000000"/>
          <w:vertAlign w:val="superscript"/>
        </w:rPr>
        <w:t>[8]</w:t>
      </w:r>
      <w:r w:rsidRPr="0003196B">
        <w:rPr>
          <w:rFonts w:ascii="Book Antiqua" w:eastAsia="Book Antiqua" w:hAnsi="Book Antiqua" w:cs="Book Antiqua"/>
          <w:color w:val="000000"/>
        </w:rPr>
        <w:t xml:space="preserve"> reported on the outcomes of 39 pediatric femur fractures treated with FIMN, 24 of which were length stable and 15 were length unstable. For the length stable fractures, 12 had complications (12/24 or 50%), 2 of which needed a second surgery for correction. As for the length unstable group, 12 also had complications (12/15 or 80%), 6 of which needed a second surgery for correction. While their complication rate between unstable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stable fractures treated with FIMN was not statistically significant, the difference in the number of patients requiring a second surgery in each group was statistically significant. Allen </w:t>
      </w:r>
      <w:r w:rsidRPr="0003196B">
        <w:rPr>
          <w:rFonts w:ascii="Book Antiqua" w:eastAsia="Book Antiqua" w:hAnsi="Book Antiqua" w:cs="Book Antiqua"/>
          <w:i/>
          <w:iCs/>
          <w:color w:val="000000"/>
        </w:rPr>
        <w:t>et al</w:t>
      </w:r>
      <w:r w:rsidRPr="0003196B">
        <w:rPr>
          <w:rFonts w:ascii="Book Antiqua" w:eastAsia="Book Antiqua" w:hAnsi="Book Antiqua" w:cs="Book Antiqua"/>
          <w:color w:val="000000"/>
          <w:vertAlign w:val="superscript"/>
        </w:rPr>
        <w:t>[21]</w:t>
      </w:r>
      <w:r w:rsidRPr="0003196B">
        <w:rPr>
          <w:rFonts w:ascii="Book Antiqua" w:eastAsia="Book Antiqua" w:hAnsi="Book Antiqua" w:cs="Book Antiqua"/>
          <w:color w:val="000000"/>
        </w:rPr>
        <w:t xml:space="preserve"> did a retrospective study on all pediatric femur fracture patients withi</w:t>
      </w:r>
      <w:r w:rsidR="000D4A83" w:rsidRPr="0003196B">
        <w:rPr>
          <w:rFonts w:ascii="Book Antiqua" w:eastAsia="Book Antiqua" w:hAnsi="Book Antiqua" w:cs="Book Antiqua"/>
          <w:color w:val="000000"/>
        </w:rPr>
        <w:t>n their institution from 2004</w:t>
      </w:r>
      <w:r w:rsidR="0051170B" w:rsidRPr="0003196B">
        <w:rPr>
          <w:rFonts w:ascii="Book Antiqua" w:eastAsia="Book Antiqua" w:hAnsi="Book Antiqua" w:cs="Book Antiqua"/>
          <w:color w:val="000000"/>
        </w:rPr>
        <w:t>–</w:t>
      </w:r>
      <w:r w:rsidRPr="0003196B">
        <w:rPr>
          <w:rFonts w:ascii="Book Antiqua" w:eastAsia="Book Antiqua" w:hAnsi="Book Antiqua" w:cs="Book Antiqua"/>
          <w:color w:val="000000"/>
        </w:rPr>
        <w:t xml:space="preserve">2014 and found that patients had similar outcomes between the SMP and FIMN groups regardless of length stability. Further, they favored FIMN compared to plating due to decreased </w:t>
      </w:r>
      <w:r w:rsidRPr="0003196B">
        <w:rPr>
          <w:rFonts w:ascii="Book Antiqua" w:eastAsia="Book Antiqua" w:hAnsi="Book Antiqua" w:cs="Book Antiqua"/>
          <w:color w:val="000000"/>
        </w:rPr>
        <w:lastRenderedPageBreak/>
        <w:t xml:space="preserve">operative time, EBL, and cost. Both procedures had equivalent pain measures. Lastly, Siddiqui </w:t>
      </w:r>
      <w:r w:rsidRPr="0003196B">
        <w:rPr>
          <w:rFonts w:ascii="Book Antiqua" w:eastAsia="Book Antiqua" w:hAnsi="Book Antiqua" w:cs="Book Antiqua"/>
          <w:i/>
          <w:iCs/>
          <w:color w:val="000000"/>
        </w:rPr>
        <w:t>et al</w:t>
      </w:r>
      <w:r w:rsidRPr="0003196B">
        <w:rPr>
          <w:rFonts w:ascii="Book Antiqua" w:eastAsia="Book Antiqua" w:hAnsi="Book Antiqua" w:cs="Book Antiqua"/>
          <w:color w:val="000000"/>
          <w:vertAlign w:val="superscript"/>
        </w:rPr>
        <w:t>[43]</w:t>
      </w:r>
      <w:r w:rsidRPr="0003196B">
        <w:rPr>
          <w:rFonts w:ascii="Book Antiqua" w:eastAsia="Book Antiqua" w:hAnsi="Book Antiqua" w:cs="Book Antiqua"/>
          <w:color w:val="000000"/>
        </w:rPr>
        <w:t xml:space="preserve"> did a retrospective study of f</w:t>
      </w:r>
      <w:r w:rsidR="000D4A83" w:rsidRPr="0003196B">
        <w:rPr>
          <w:rFonts w:ascii="Book Antiqua" w:eastAsia="Book Antiqua" w:hAnsi="Book Antiqua" w:cs="Book Antiqua"/>
          <w:color w:val="000000"/>
        </w:rPr>
        <w:t>emur fracture patients, age 1</w:t>
      </w:r>
      <w:r w:rsidR="0051170B" w:rsidRPr="0003196B">
        <w:rPr>
          <w:rFonts w:ascii="Book Antiqua" w:eastAsia="Book Antiqua" w:hAnsi="Book Antiqua" w:cs="Book Antiqua"/>
          <w:color w:val="000000"/>
        </w:rPr>
        <w:t>–</w:t>
      </w:r>
      <w:r w:rsidRPr="0003196B">
        <w:rPr>
          <w:rFonts w:ascii="Book Antiqua" w:eastAsia="Book Antiqua" w:hAnsi="Book Antiqua" w:cs="Book Antiqua"/>
          <w:color w:val="000000"/>
        </w:rPr>
        <w:t>11 (mean age 5 ± 2). Fifty-eight femoral shaft fractures were included; 32/58 fractures were classified as length unstable and 26/58 fractures were stable. They found no difference in the complication rate between length unstable and length stable fractures treated with FIMN.</w:t>
      </w:r>
    </w:p>
    <w:p w14:paraId="60A1F44F" w14:textId="0DE3F82C"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The results from this study regarding the use of FIMN for length unstable femoral fractures compares well to the use of other treatment modalities for length unstable femoral fractures as well as to length stable, transverse fractures treated with FIMN. The total complication rates of FIMN use for length unstable femur fractures versus other treatments was similar. However, stratifying the complications into minor and major yields a difference. FIMN did not have any major complications, while the other treatment modalities had clinically significant complications like rotational deformity and valgus (</w:t>
      </w:r>
      <w:r w:rsidRPr="0003196B">
        <w:rPr>
          <w:rFonts w:ascii="Book Antiqua" w:eastAsia="Book Antiqua" w:hAnsi="Book Antiqua" w:cs="Book Antiqua"/>
          <w:i/>
          <w:iCs/>
          <w:color w:val="000000"/>
        </w:rPr>
        <w:t xml:space="preserve">P = </w:t>
      </w:r>
      <w:r w:rsidRPr="0003196B">
        <w:rPr>
          <w:rFonts w:ascii="Book Antiqua" w:eastAsia="Book Antiqua" w:hAnsi="Book Antiqua" w:cs="Book Antiqua"/>
          <w:color w:val="000000"/>
        </w:rPr>
        <w:t xml:space="preserve">0.026). When comparing the complication rate of unstable fractures treated with FIMN </w:t>
      </w:r>
      <w:r w:rsidRPr="0003196B">
        <w:rPr>
          <w:rFonts w:ascii="Book Antiqua" w:eastAsia="Book Antiqua" w:hAnsi="Book Antiqua" w:cs="Book Antiqua"/>
          <w:i/>
          <w:iCs/>
          <w:color w:val="000000"/>
        </w:rPr>
        <w:t>vs</w:t>
      </w:r>
      <w:r w:rsidRPr="0003196B">
        <w:rPr>
          <w:rFonts w:ascii="Book Antiqua" w:eastAsia="Book Antiqua" w:hAnsi="Book Antiqua" w:cs="Book Antiqua"/>
          <w:color w:val="000000"/>
        </w:rPr>
        <w:t xml:space="preserve"> stable transverse fractures treated with FIMN, the results were similar. When considering these results and the other factors for supporting FIMN use over other treatment methods as reported by Allen </w:t>
      </w:r>
      <w:r w:rsidRPr="0003196B">
        <w:rPr>
          <w:rFonts w:ascii="Book Antiqua" w:eastAsia="Book Antiqua" w:hAnsi="Book Antiqua" w:cs="Book Antiqua"/>
          <w:i/>
          <w:iCs/>
          <w:color w:val="000000"/>
        </w:rPr>
        <w:t>et al</w:t>
      </w:r>
      <w:r w:rsidRPr="0003196B">
        <w:rPr>
          <w:rFonts w:ascii="Book Antiqua" w:eastAsia="Book Antiqua" w:hAnsi="Book Antiqua" w:cs="Book Antiqua"/>
          <w:color w:val="000000"/>
          <w:vertAlign w:val="superscript"/>
        </w:rPr>
        <w:t>[21]</w:t>
      </w:r>
      <w:r w:rsidRPr="0003196B">
        <w:rPr>
          <w:rFonts w:ascii="Book Antiqua" w:eastAsia="Book Antiqua" w:hAnsi="Book Antiqua" w:cs="Book Antiqua"/>
          <w:color w:val="000000"/>
        </w:rPr>
        <w:t>, FIMN is a favorable treatment option for pediatric femur fractur</w:t>
      </w:r>
      <w:r w:rsidR="000D4A83" w:rsidRPr="0003196B">
        <w:rPr>
          <w:rFonts w:ascii="Book Antiqua" w:eastAsia="Book Antiqua" w:hAnsi="Book Antiqua" w:cs="Book Antiqua"/>
          <w:color w:val="000000"/>
        </w:rPr>
        <w:t>e patients within the ideal 5</w:t>
      </w:r>
      <w:r w:rsidR="0051170B" w:rsidRPr="0003196B">
        <w:rPr>
          <w:rFonts w:ascii="Book Antiqua" w:eastAsia="Book Antiqua" w:hAnsi="Book Antiqua" w:cs="Book Antiqua"/>
          <w:color w:val="000000"/>
        </w:rPr>
        <w:t>–</w:t>
      </w:r>
      <w:r w:rsidRPr="0003196B">
        <w:rPr>
          <w:rFonts w:ascii="Book Antiqua" w:eastAsia="Book Antiqua" w:hAnsi="Book Antiqua" w:cs="Book Antiqua"/>
          <w:color w:val="000000"/>
        </w:rPr>
        <w:t>11 age range, regardless of length stability.</w:t>
      </w:r>
    </w:p>
    <w:p w14:paraId="40267309" w14:textId="77777777"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This study has limitations. First, due to this study’s retrospective nature, the value of data we collected was dependent on the adequacy of chart documentation. There was no standardized system for treatment selection at our institution and therefore treatment was largely based on surgeon preference. There were cases where surgeons specifically documented a decision against the use of FIMN due to a fracture’s degree of length instability and/or extent of other concomitant injuries, indicating some selection bias. Long-term follow up and patient-reported outcome measures were not performed for this study and are needed to further support these findings.</w:t>
      </w:r>
    </w:p>
    <w:p w14:paraId="1E17EF2C" w14:textId="77777777"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lastRenderedPageBreak/>
        <w:t>This study supports the concept that FIMN can still be used in many length unstable pediatric femur fractures treated with FIMN. Further work is necessary to define the appropriate parameters and/or algorithm(s) necessary for deciding if a pediatric length unstable femur fracture may still benefit from a more rigid treatment.</w:t>
      </w:r>
    </w:p>
    <w:p w14:paraId="173F28BA" w14:textId="77777777" w:rsidR="00A77B3E" w:rsidRPr="0003196B" w:rsidRDefault="00A77B3E" w:rsidP="0003196B">
      <w:pPr>
        <w:adjustRightInd w:val="0"/>
        <w:snapToGrid w:val="0"/>
        <w:spacing w:line="360" w:lineRule="auto"/>
        <w:jc w:val="both"/>
        <w:rPr>
          <w:rFonts w:ascii="Book Antiqua" w:hAnsi="Book Antiqua"/>
        </w:rPr>
      </w:pPr>
    </w:p>
    <w:p w14:paraId="6D0A34D2"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u w:val="single"/>
        </w:rPr>
        <w:t>ARTICLE HIGHLIGHTS</w:t>
      </w:r>
    </w:p>
    <w:p w14:paraId="3B99408B"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i/>
          <w:color w:val="000000"/>
        </w:rPr>
        <w:t>Research background</w:t>
      </w:r>
    </w:p>
    <w:p w14:paraId="014DEFD6" w14:textId="28BE4569"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While flexible intramedullary nailing (FIMN) is routinely recommended for length stable transverse diaphyseal femoral fractur</w:t>
      </w:r>
      <w:r w:rsidR="000D4A83" w:rsidRPr="0003196B">
        <w:rPr>
          <w:rFonts w:ascii="Book Antiqua" w:eastAsia="Book Antiqua" w:hAnsi="Book Antiqua" w:cs="Book Antiqua"/>
          <w:color w:val="000000"/>
        </w:rPr>
        <w:t>es in patients aged roughly 5-</w:t>
      </w:r>
      <w:r w:rsidRPr="0003196B">
        <w:rPr>
          <w:rFonts w:ascii="Book Antiqua" w:eastAsia="Book Antiqua" w:hAnsi="Book Antiqua" w:cs="Book Antiqua"/>
          <w:color w:val="000000"/>
        </w:rPr>
        <w:t>11 years old, there is lacking consensus amongst orthopaedists as to the recommended fixation method for length unstable femoral fractures for patients in this age range.</w:t>
      </w:r>
    </w:p>
    <w:p w14:paraId="25F6A854" w14:textId="77777777" w:rsidR="00A77B3E" w:rsidRPr="0003196B" w:rsidRDefault="00A77B3E" w:rsidP="0003196B">
      <w:pPr>
        <w:adjustRightInd w:val="0"/>
        <w:snapToGrid w:val="0"/>
        <w:spacing w:line="360" w:lineRule="auto"/>
        <w:jc w:val="both"/>
        <w:rPr>
          <w:rFonts w:ascii="Book Antiqua" w:hAnsi="Book Antiqua"/>
        </w:rPr>
      </w:pPr>
    </w:p>
    <w:p w14:paraId="02A47237"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i/>
          <w:color w:val="000000"/>
        </w:rPr>
        <w:t>Research motivation</w:t>
      </w:r>
    </w:p>
    <w:p w14:paraId="79BE62D5"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The motivation for this study is to</w:t>
      </w:r>
      <w:r w:rsidRPr="0003196B">
        <w:rPr>
          <w:rFonts w:ascii="Book Antiqua" w:eastAsia="Book Antiqua" w:hAnsi="Book Antiqua" w:cs="Book Antiqua"/>
          <w:i/>
          <w:iCs/>
          <w:color w:val="000000"/>
        </w:rPr>
        <w:t xml:space="preserve"> </w:t>
      </w:r>
      <w:r w:rsidRPr="0003196B">
        <w:rPr>
          <w:rFonts w:ascii="Book Antiqua" w:eastAsia="Book Antiqua" w:hAnsi="Book Antiqua" w:cs="Book Antiqua"/>
          <w:color w:val="000000"/>
        </w:rPr>
        <w:t>identify the proper treatment modality for the subset of pediatric patients where there is lacking consensus amongst orthopaedists as to what the proper treatment method should be. We hope that our conclusions will streamline the decision-making process further for the patient’s designated physician and their family.</w:t>
      </w:r>
    </w:p>
    <w:p w14:paraId="17E28C71" w14:textId="77777777" w:rsidR="00A77B3E" w:rsidRPr="0003196B" w:rsidRDefault="00A77B3E" w:rsidP="0003196B">
      <w:pPr>
        <w:adjustRightInd w:val="0"/>
        <w:snapToGrid w:val="0"/>
        <w:spacing w:line="360" w:lineRule="auto"/>
        <w:jc w:val="both"/>
        <w:rPr>
          <w:rFonts w:ascii="Book Antiqua" w:hAnsi="Book Antiqua"/>
        </w:rPr>
      </w:pPr>
    </w:p>
    <w:p w14:paraId="70EF9E80" w14:textId="77777777" w:rsidR="00E8784C"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i/>
          <w:color w:val="000000"/>
        </w:rPr>
        <w:t>Research objectives</w:t>
      </w:r>
    </w:p>
    <w:p w14:paraId="54183117" w14:textId="1E926313"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The objective of this study is to analyze the effectiveness of FIMN for pediatric diaphyseal length unstable femoral fractures in patients between the ages of 5 and 13. The effectiveness of FIMN for this subset of patients, named length unstable with FIMN, is then compared against 2 separate groups, one identified as length unstable with locked intramedullary nailing (IMN), submuscular plating (SMP), and external fixator, and the other being length stable with FIMN.</w:t>
      </w:r>
    </w:p>
    <w:p w14:paraId="3F201B71" w14:textId="77777777" w:rsidR="00A77B3E" w:rsidRPr="0003196B" w:rsidRDefault="00A77B3E" w:rsidP="0003196B">
      <w:pPr>
        <w:adjustRightInd w:val="0"/>
        <w:snapToGrid w:val="0"/>
        <w:spacing w:line="360" w:lineRule="auto"/>
        <w:jc w:val="both"/>
        <w:rPr>
          <w:rFonts w:ascii="Book Antiqua" w:hAnsi="Book Antiqua"/>
        </w:rPr>
      </w:pPr>
    </w:p>
    <w:p w14:paraId="4DC9A0F5"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i/>
          <w:color w:val="000000"/>
        </w:rPr>
        <w:t>Research methods</w:t>
      </w:r>
    </w:p>
    <w:p w14:paraId="4B30A7DA"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lastRenderedPageBreak/>
        <w:t>This is a retrospective study of patients belonging to one of the three groups mentioned above.</w:t>
      </w:r>
    </w:p>
    <w:p w14:paraId="24A42FA9" w14:textId="77777777" w:rsidR="00A77B3E" w:rsidRPr="0003196B" w:rsidRDefault="00A77B3E" w:rsidP="0003196B">
      <w:pPr>
        <w:adjustRightInd w:val="0"/>
        <w:snapToGrid w:val="0"/>
        <w:spacing w:line="360" w:lineRule="auto"/>
        <w:jc w:val="both"/>
        <w:rPr>
          <w:rFonts w:ascii="Book Antiqua" w:hAnsi="Book Antiqua"/>
        </w:rPr>
      </w:pPr>
    </w:p>
    <w:p w14:paraId="49C53B96"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i/>
          <w:color w:val="000000"/>
        </w:rPr>
        <w:t>Research results</w:t>
      </w:r>
    </w:p>
    <w:p w14:paraId="2E8BD77D" w14:textId="3DB7A1BD"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The study included 95 fractures from 92 patients, the group of interest, length unstable with FIMN, had 21 fractures, while 45 fractures were of the length stable with FIMN group, and 29 were in the length unstable with locked IMN, SMP, and external fixator group. </w:t>
      </w:r>
    </w:p>
    <w:p w14:paraId="45D6A2C3" w14:textId="77777777"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When examining patient details of the groups, length unstable with FIMN and length unstable with locked IMN, SMP, and external fixator, the first group had less blood loss (</w:t>
      </w:r>
      <w:r w:rsidRPr="0003196B">
        <w:rPr>
          <w:rFonts w:ascii="Book Antiqua" w:eastAsia="Book Antiqua" w:hAnsi="Book Antiqua" w:cs="Book Antiqua"/>
          <w:i/>
          <w:iCs/>
          <w:color w:val="000000"/>
        </w:rPr>
        <w:t xml:space="preserve">P </w:t>
      </w:r>
      <w:r w:rsidRPr="0003196B">
        <w:rPr>
          <w:rFonts w:ascii="Book Antiqua" w:eastAsia="Book Antiqua" w:hAnsi="Book Antiqua" w:cs="Book Antiqua"/>
          <w:color w:val="000000"/>
        </w:rPr>
        <w:t>&lt; 0.05)</w:t>
      </w:r>
      <w:r w:rsidRPr="0003196B">
        <w:rPr>
          <w:rFonts w:ascii="Book Antiqua" w:eastAsia="Book Antiqua" w:hAnsi="Book Antiqua" w:cs="Book Antiqua"/>
          <w:i/>
          <w:iCs/>
          <w:color w:val="000000"/>
        </w:rPr>
        <w:t>.</w:t>
      </w:r>
      <w:r w:rsidRPr="0003196B">
        <w:rPr>
          <w:rFonts w:ascii="Book Antiqua" w:eastAsia="Book Antiqua" w:hAnsi="Book Antiqua" w:cs="Book Antiqua"/>
          <w:color w:val="000000"/>
        </w:rPr>
        <w:t xml:space="preserve"> In terms of complications, length unstable with FIMN had 9 total complications while length unstable with locked IMN, SMP, and external fixator had 10. When stratifying these complications as minor or major, length unstable with locked IMN, SMP, and external fixator had 6 major complication while length unstable with FIMN had 0 major complications (</w:t>
      </w:r>
      <w:r w:rsidRPr="0003196B">
        <w:rPr>
          <w:rFonts w:ascii="Book Antiqua" w:eastAsia="Book Antiqua" w:hAnsi="Book Antiqua" w:cs="Book Antiqua"/>
          <w:i/>
          <w:iCs/>
          <w:color w:val="000000"/>
        </w:rPr>
        <w:t xml:space="preserve">P </w:t>
      </w:r>
      <w:r w:rsidRPr="0003196B">
        <w:rPr>
          <w:rFonts w:ascii="Book Antiqua" w:eastAsia="Book Antiqua" w:hAnsi="Book Antiqua" w:cs="Book Antiqua"/>
          <w:color w:val="000000"/>
        </w:rPr>
        <w:t>&lt; 0.05).</w:t>
      </w:r>
    </w:p>
    <w:p w14:paraId="562EF033" w14:textId="77777777" w:rsidR="00A77B3E" w:rsidRPr="0003196B" w:rsidRDefault="000D4CF3" w:rsidP="0003196B">
      <w:pPr>
        <w:adjustRightInd w:val="0"/>
        <w:snapToGrid w:val="0"/>
        <w:spacing w:line="360" w:lineRule="auto"/>
        <w:ind w:firstLine="240"/>
        <w:jc w:val="both"/>
        <w:rPr>
          <w:rFonts w:ascii="Book Antiqua" w:hAnsi="Book Antiqua"/>
        </w:rPr>
      </w:pPr>
      <w:r w:rsidRPr="0003196B">
        <w:rPr>
          <w:rFonts w:ascii="Book Antiqua" w:eastAsia="Book Antiqua" w:hAnsi="Book Antiqua" w:cs="Book Antiqua"/>
          <w:color w:val="000000"/>
        </w:rPr>
        <w:t>Comparing length unstable with FIMN (</w:t>
      </w:r>
      <w:r w:rsidRPr="0003196B">
        <w:rPr>
          <w:rFonts w:ascii="Book Antiqua" w:eastAsia="Book Antiqua" w:hAnsi="Book Antiqua" w:cs="Book Antiqua"/>
          <w:i/>
          <w:iCs/>
          <w:color w:val="000000"/>
        </w:rPr>
        <w:t>n</w:t>
      </w:r>
      <w:r w:rsidRPr="0003196B">
        <w:rPr>
          <w:rFonts w:ascii="Book Antiqua" w:eastAsia="Book Antiqua" w:hAnsi="Book Antiqua" w:cs="Book Antiqua"/>
          <w:color w:val="000000"/>
        </w:rPr>
        <w:t xml:space="preserve"> = 21) and length stable with FIMN (</w:t>
      </w:r>
      <w:r w:rsidRPr="0003196B">
        <w:rPr>
          <w:rFonts w:ascii="Book Antiqua" w:eastAsia="Book Antiqua" w:hAnsi="Book Antiqua" w:cs="Book Antiqua"/>
          <w:i/>
          <w:iCs/>
          <w:color w:val="000000"/>
        </w:rPr>
        <w:t>n</w:t>
      </w:r>
      <w:r w:rsidRPr="0003196B">
        <w:rPr>
          <w:rFonts w:ascii="Book Antiqua" w:eastAsia="Book Antiqua" w:hAnsi="Book Antiqua" w:cs="Book Antiqua"/>
          <w:color w:val="000000"/>
        </w:rPr>
        <w:t xml:space="preserve"> = 45), the complication rates were similar. As mentioned, length unstable with FIMN had 9 total complications, with 0 being major, while length stable with FIMN had 20 total complications, with 4 being major.</w:t>
      </w:r>
    </w:p>
    <w:p w14:paraId="61C1BACD" w14:textId="77777777" w:rsidR="00A77B3E" w:rsidRPr="0003196B" w:rsidRDefault="00A77B3E" w:rsidP="0003196B">
      <w:pPr>
        <w:adjustRightInd w:val="0"/>
        <w:snapToGrid w:val="0"/>
        <w:spacing w:line="360" w:lineRule="auto"/>
        <w:ind w:firstLine="240"/>
        <w:jc w:val="both"/>
        <w:rPr>
          <w:rFonts w:ascii="Book Antiqua" w:hAnsi="Book Antiqua"/>
        </w:rPr>
      </w:pPr>
    </w:p>
    <w:p w14:paraId="6028485A"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i/>
          <w:color w:val="000000"/>
        </w:rPr>
        <w:t>Research conclusions</w:t>
      </w:r>
    </w:p>
    <w:p w14:paraId="046C8488"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After analyzing the results from this single institution, retrospective comparative/cohort study, we believe FIMN can be used for certain length unstable diaphyseal femoral fractures in patients between the ages of 5 and 13.</w:t>
      </w:r>
    </w:p>
    <w:p w14:paraId="52251518" w14:textId="77777777" w:rsidR="00A77B3E" w:rsidRPr="0003196B" w:rsidRDefault="00A77B3E" w:rsidP="0003196B">
      <w:pPr>
        <w:adjustRightInd w:val="0"/>
        <w:snapToGrid w:val="0"/>
        <w:spacing w:line="360" w:lineRule="auto"/>
        <w:jc w:val="both"/>
        <w:rPr>
          <w:rFonts w:ascii="Book Antiqua" w:hAnsi="Book Antiqua"/>
        </w:rPr>
      </w:pPr>
    </w:p>
    <w:p w14:paraId="73A722B1"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i/>
          <w:color w:val="000000"/>
        </w:rPr>
        <w:t>Research perspectives</w:t>
      </w:r>
    </w:p>
    <w:p w14:paraId="6DEACC7F"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Future studies pertaining to this topic should collect patient reported outcomes for greater follow-up while also achieving a greater sample size of patients. Lastly, future studies should work to define the appropriate parameters and/or </w:t>
      </w:r>
      <w:r w:rsidRPr="0003196B">
        <w:rPr>
          <w:rFonts w:ascii="Book Antiqua" w:eastAsia="Book Antiqua" w:hAnsi="Book Antiqua" w:cs="Book Antiqua"/>
          <w:color w:val="000000"/>
        </w:rPr>
        <w:lastRenderedPageBreak/>
        <w:t>algorithm(s) necessary for deciding if a pediatric length unstable femur fracture may still benefit from a more rigid fixation method than FIMN.</w:t>
      </w:r>
    </w:p>
    <w:p w14:paraId="63B40910" w14:textId="77777777" w:rsidR="00A77B3E" w:rsidRPr="0003196B" w:rsidRDefault="00A77B3E" w:rsidP="0003196B">
      <w:pPr>
        <w:adjustRightInd w:val="0"/>
        <w:snapToGrid w:val="0"/>
        <w:spacing w:line="360" w:lineRule="auto"/>
        <w:jc w:val="both"/>
        <w:rPr>
          <w:rFonts w:ascii="Book Antiqua" w:hAnsi="Book Antiqua"/>
        </w:rPr>
      </w:pPr>
    </w:p>
    <w:p w14:paraId="0CCC9E6E"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REFERENCES</w:t>
      </w:r>
    </w:p>
    <w:p w14:paraId="20E69FDB"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1 </w:t>
      </w:r>
      <w:proofErr w:type="spellStart"/>
      <w:r w:rsidRPr="0003196B">
        <w:rPr>
          <w:rFonts w:ascii="Book Antiqua" w:eastAsia="Book Antiqua" w:hAnsi="Book Antiqua" w:cs="Book Antiqua"/>
          <w:b/>
          <w:bCs/>
          <w:color w:val="000000"/>
        </w:rPr>
        <w:t>Stoneback</w:t>
      </w:r>
      <w:proofErr w:type="spellEnd"/>
      <w:r w:rsidRPr="0003196B">
        <w:rPr>
          <w:rFonts w:ascii="Book Antiqua" w:eastAsia="Book Antiqua" w:hAnsi="Book Antiqua" w:cs="Book Antiqua"/>
          <w:b/>
          <w:bCs/>
          <w:color w:val="000000"/>
        </w:rPr>
        <w:t xml:space="preserve"> JW</w:t>
      </w:r>
      <w:r w:rsidRPr="0003196B">
        <w:rPr>
          <w:rFonts w:ascii="Book Antiqua" w:eastAsia="Book Antiqua" w:hAnsi="Book Antiqua" w:cs="Book Antiqua"/>
          <w:color w:val="000000"/>
        </w:rPr>
        <w:t xml:space="preserve">, Carry PM, Flynn K, Pan Z, Sink EL, Miller NH. Clinical and Radiographic Outcomes After Submuscular Plating (SMP) of Pediatric Femoral Shaft Fractures.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2018; </w:t>
      </w:r>
      <w:r w:rsidRPr="0003196B">
        <w:rPr>
          <w:rFonts w:ascii="Book Antiqua" w:eastAsia="Book Antiqua" w:hAnsi="Book Antiqua" w:cs="Book Antiqua"/>
          <w:b/>
          <w:bCs/>
          <w:color w:val="000000"/>
        </w:rPr>
        <w:t>38</w:t>
      </w:r>
      <w:r w:rsidRPr="0003196B">
        <w:rPr>
          <w:rFonts w:ascii="Book Antiqua" w:eastAsia="Book Antiqua" w:hAnsi="Book Antiqua" w:cs="Book Antiqua"/>
          <w:color w:val="000000"/>
        </w:rPr>
        <w:t>: 138-143 [PMID: 27261971 DOI: 10.1097/BPO.0000000000000780]</w:t>
      </w:r>
    </w:p>
    <w:p w14:paraId="4A8F4962"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2 </w:t>
      </w:r>
      <w:r w:rsidRPr="0003196B">
        <w:rPr>
          <w:rFonts w:ascii="Book Antiqua" w:eastAsia="Book Antiqua" w:hAnsi="Book Antiqua" w:cs="Book Antiqua"/>
          <w:b/>
          <w:bCs/>
          <w:color w:val="000000"/>
        </w:rPr>
        <w:t>Kocher MS</w:t>
      </w:r>
      <w:r w:rsidRPr="0003196B">
        <w:rPr>
          <w:rFonts w:ascii="Book Antiqua" w:eastAsia="Book Antiqua" w:hAnsi="Book Antiqua" w:cs="Book Antiqua"/>
          <w:color w:val="000000"/>
        </w:rPr>
        <w:t xml:space="preserve">, Sink EL, </w:t>
      </w:r>
      <w:proofErr w:type="spellStart"/>
      <w:r w:rsidRPr="0003196B">
        <w:rPr>
          <w:rFonts w:ascii="Book Antiqua" w:eastAsia="Book Antiqua" w:hAnsi="Book Antiqua" w:cs="Book Antiqua"/>
          <w:color w:val="000000"/>
        </w:rPr>
        <w:t>Blasier</w:t>
      </w:r>
      <w:proofErr w:type="spellEnd"/>
      <w:r w:rsidRPr="0003196B">
        <w:rPr>
          <w:rFonts w:ascii="Book Antiqua" w:eastAsia="Book Antiqua" w:hAnsi="Book Antiqua" w:cs="Book Antiqua"/>
          <w:color w:val="000000"/>
        </w:rPr>
        <w:t xml:space="preserve"> RD, </w:t>
      </w:r>
      <w:proofErr w:type="spellStart"/>
      <w:r w:rsidRPr="0003196B">
        <w:rPr>
          <w:rFonts w:ascii="Book Antiqua" w:eastAsia="Book Antiqua" w:hAnsi="Book Antiqua" w:cs="Book Antiqua"/>
          <w:color w:val="000000"/>
        </w:rPr>
        <w:t>Luhmann</w:t>
      </w:r>
      <w:proofErr w:type="spellEnd"/>
      <w:r w:rsidRPr="0003196B">
        <w:rPr>
          <w:rFonts w:ascii="Book Antiqua" w:eastAsia="Book Antiqua" w:hAnsi="Book Antiqua" w:cs="Book Antiqua"/>
          <w:color w:val="000000"/>
        </w:rPr>
        <w:t xml:space="preserve"> SJ, Mehlman CT, </w:t>
      </w:r>
      <w:proofErr w:type="spellStart"/>
      <w:r w:rsidRPr="0003196B">
        <w:rPr>
          <w:rFonts w:ascii="Book Antiqua" w:eastAsia="Book Antiqua" w:hAnsi="Book Antiqua" w:cs="Book Antiqua"/>
          <w:color w:val="000000"/>
        </w:rPr>
        <w:t>Scher</w:t>
      </w:r>
      <w:proofErr w:type="spellEnd"/>
      <w:r w:rsidRPr="0003196B">
        <w:rPr>
          <w:rFonts w:ascii="Book Antiqua" w:eastAsia="Book Antiqua" w:hAnsi="Book Antiqua" w:cs="Book Antiqua"/>
          <w:color w:val="000000"/>
        </w:rPr>
        <w:t xml:space="preserve"> DM, </w:t>
      </w:r>
      <w:proofErr w:type="spellStart"/>
      <w:r w:rsidRPr="0003196B">
        <w:rPr>
          <w:rFonts w:ascii="Book Antiqua" w:eastAsia="Book Antiqua" w:hAnsi="Book Antiqua" w:cs="Book Antiqua"/>
          <w:color w:val="000000"/>
        </w:rPr>
        <w:t>Matheney</w:t>
      </w:r>
      <w:proofErr w:type="spellEnd"/>
      <w:r w:rsidRPr="0003196B">
        <w:rPr>
          <w:rFonts w:ascii="Book Antiqua" w:eastAsia="Book Antiqua" w:hAnsi="Book Antiqua" w:cs="Book Antiqua"/>
          <w:color w:val="000000"/>
        </w:rPr>
        <w:t xml:space="preserve"> T, Sanders JO, Watters WC 3rd, Goldberg MJ, Keith MW, Haralson RH 3rd, </w:t>
      </w:r>
      <w:proofErr w:type="spellStart"/>
      <w:r w:rsidRPr="0003196B">
        <w:rPr>
          <w:rFonts w:ascii="Book Antiqua" w:eastAsia="Book Antiqua" w:hAnsi="Book Antiqua" w:cs="Book Antiqua"/>
          <w:color w:val="000000"/>
        </w:rPr>
        <w:t>Turkelson</w:t>
      </w:r>
      <w:proofErr w:type="spellEnd"/>
      <w:r w:rsidRPr="0003196B">
        <w:rPr>
          <w:rFonts w:ascii="Book Antiqua" w:eastAsia="Book Antiqua" w:hAnsi="Book Antiqua" w:cs="Book Antiqua"/>
          <w:color w:val="000000"/>
        </w:rPr>
        <w:t xml:space="preserve"> CM, </w:t>
      </w:r>
      <w:proofErr w:type="spellStart"/>
      <w:r w:rsidRPr="0003196B">
        <w:rPr>
          <w:rFonts w:ascii="Book Antiqua" w:eastAsia="Book Antiqua" w:hAnsi="Book Antiqua" w:cs="Book Antiqua"/>
          <w:color w:val="000000"/>
        </w:rPr>
        <w:t>Wies</w:t>
      </w:r>
      <w:proofErr w:type="spellEnd"/>
      <w:r w:rsidRPr="0003196B">
        <w:rPr>
          <w:rFonts w:ascii="Book Antiqua" w:eastAsia="Book Antiqua" w:hAnsi="Book Antiqua" w:cs="Book Antiqua"/>
          <w:color w:val="000000"/>
        </w:rPr>
        <w:t xml:space="preserve"> JL, </w:t>
      </w:r>
      <w:proofErr w:type="spellStart"/>
      <w:r w:rsidRPr="0003196B">
        <w:rPr>
          <w:rFonts w:ascii="Book Antiqua" w:eastAsia="Book Antiqua" w:hAnsi="Book Antiqua" w:cs="Book Antiqua"/>
          <w:color w:val="000000"/>
        </w:rPr>
        <w:t>Sluka</w:t>
      </w:r>
      <w:proofErr w:type="spellEnd"/>
      <w:r w:rsidRPr="0003196B">
        <w:rPr>
          <w:rFonts w:ascii="Book Antiqua" w:eastAsia="Book Antiqua" w:hAnsi="Book Antiqua" w:cs="Book Antiqua"/>
          <w:color w:val="000000"/>
        </w:rPr>
        <w:t xml:space="preserve"> P, Hitchcock K. Treatment of pediatric diaphyseal femur fractures. </w:t>
      </w:r>
      <w:r w:rsidRPr="0003196B">
        <w:rPr>
          <w:rFonts w:ascii="Book Antiqua" w:eastAsia="Book Antiqua" w:hAnsi="Book Antiqua" w:cs="Book Antiqua"/>
          <w:i/>
          <w:iCs/>
          <w:color w:val="000000"/>
        </w:rPr>
        <w:t xml:space="preserve">J Am </w:t>
      </w:r>
      <w:proofErr w:type="spellStart"/>
      <w:r w:rsidRPr="0003196B">
        <w:rPr>
          <w:rFonts w:ascii="Book Antiqua" w:eastAsia="Book Antiqua" w:hAnsi="Book Antiqua" w:cs="Book Antiqua"/>
          <w:i/>
          <w:iCs/>
          <w:color w:val="000000"/>
        </w:rPr>
        <w:t>Acad</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Surg</w:t>
      </w:r>
      <w:proofErr w:type="spellEnd"/>
      <w:r w:rsidRPr="0003196B">
        <w:rPr>
          <w:rFonts w:ascii="Book Antiqua" w:eastAsia="Book Antiqua" w:hAnsi="Book Antiqua" w:cs="Book Antiqua"/>
          <w:color w:val="000000"/>
        </w:rPr>
        <w:t xml:space="preserve"> 2009; </w:t>
      </w:r>
      <w:r w:rsidRPr="0003196B">
        <w:rPr>
          <w:rFonts w:ascii="Book Antiqua" w:eastAsia="Book Antiqua" w:hAnsi="Book Antiqua" w:cs="Book Antiqua"/>
          <w:b/>
          <w:bCs/>
          <w:color w:val="000000"/>
        </w:rPr>
        <w:t>17</w:t>
      </w:r>
      <w:r w:rsidRPr="0003196B">
        <w:rPr>
          <w:rFonts w:ascii="Book Antiqua" w:eastAsia="Book Antiqua" w:hAnsi="Book Antiqua" w:cs="Book Antiqua"/>
          <w:color w:val="000000"/>
        </w:rPr>
        <w:t>: 718-725 [PMID: 19880682 DOI: 10.5435/00124635-200911000-00006]</w:t>
      </w:r>
    </w:p>
    <w:p w14:paraId="75FF109C"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3 </w:t>
      </w:r>
      <w:proofErr w:type="spellStart"/>
      <w:r w:rsidRPr="0003196B">
        <w:rPr>
          <w:rFonts w:ascii="Book Antiqua" w:eastAsia="Book Antiqua" w:hAnsi="Book Antiqua" w:cs="Book Antiqua"/>
          <w:b/>
          <w:bCs/>
          <w:color w:val="000000"/>
        </w:rPr>
        <w:t>Rewers</w:t>
      </w:r>
      <w:proofErr w:type="spellEnd"/>
      <w:r w:rsidRPr="0003196B">
        <w:rPr>
          <w:rFonts w:ascii="Book Antiqua" w:eastAsia="Book Antiqua" w:hAnsi="Book Antiqua" w:cs="Book Antiqua"/>
          <w:b/>
          <w:bCs/>
          <w:color w:val="000000"/>
        </w:rPr>
        <w:t xml:space="preserve"> A</w:t>
      </w:r>
      <w:r w:rsidRPr="0003196B">
        <w:rPr>
          <w:rFonts w:ascii="Book Antiqua" w:eastAsia="Book Antiqua" w:hAnsi="Book Antiqua" w:cs="Book Antiqua"/>
          <w:color w:val="000000"/>
        </w:rPr>
        <w:t xml:space="preserve">, Hedegaard H, </w:t>
      </w:r>
      <w:proofErr w:type="spellStart"/>
      <w:r w:rsidRPr="0003196B">
        <w:rPr>
          <w:rFonts w:ascii="Book Antiqua" w:eastAsia="Book Antiqua" w:hAnsi="Book Antiqua" w:cs="Book Antiqua"/>
          <w:color w:val="000000"/>
        </w:rPr>
        <w:t>Lezotte</w:t>
      </w:r>
      <w:proofErr w:type="spellEnd"/>
      <w:r w:rsidRPr="0003196B">
        <w:rPr>
          <w:rFonts w:ascii="Book Antiqua" w:eastAsia="Book Antiqua" w:hAnsi="Book Antiqua" w:cs="Book Antiqua"/>
          <w:color w:val="000000"/>
        </w:rPr>
        <w:t xml:space="preserve"> D, Meng K, </w:t>
      </w:r>
      <w:proofErr w:type="spellStart"/>
      <w:r w:rsidRPr="0003196B">
        <w:rPr>
          <w:rFonts w:ascii="Book Antiqua" w:eastAsia="Book Antiqua" w:hAnsi="Book Antiqua" w:cs="Book Antiqua"/>
          <w:color w:val="000000"/>
        </w:rPr>
        <w:t>Battan</w:t>
      </w:r>
      <w:proofErr w:type="spellEnd"/>
      <w:r w:rsidRPr="0003196B">
        <w:rPr>
          <w:rFonts w:ascii="Book Antiqua" w:eastAsia="Book Antiqua" w:hAnsi="Book Antiqua" w:cs="Book Antiqua"/>
          <w:color w:val="000000"/>
        </w:rPr>
        <w:t xml:space="preserve"> FK, Emery K, Hamman RF. Childhood femur fractures, associated injuries, and sociodemographic risk factors: a population-based study. </w:t>
      </w:r>
      <w:r w:rsidRPr="0003196B">
        <w:rPr>
          <w:rFonts w:ascii="Book Antiqua" w:eastAsia="Book Antiqua" w:hAnsi="Book Antiqua" w:cs="Book Antiqua"/>
          <w:i/>
          <w:iCs/>
          <w:color w:val="000000"/>
        </w:rPr>
        <w:t>Pediatrics</w:t>
      </w:r>
      <w:r w:rsidRPr="0003196B">
        <w:rPr>
          <w:rFonts w:ascii="Book Antiqua" w:eastAsia="Book Antiqua" w:hAnsi="Book Antiqua" w:cs="Book Antiqua"/>
          <w:color w:val="000000"/>
        </w:rPr>
        <w:t xml:space="preserve"> 2005; </w:t>
      </w:r>
      <w:r w:rsidRPr="0003196B">
        <w:rPr>
          <w:rFonts w:ascii="Book Antiqua" w:eastAsia="Book Antiqua" w:hAnsi="Book Antiqua" w:cs="Book Antiqua"/>
          <w:b/>
          <w:bCs/>
          <w:color w:val="000000"/>
        </w:rPr>
        <w:t>115</w:t>
      </w:r>
      <w:r w:rsidRPr="0003196B">
        <w:rPr>
          <w:rFonts w:ascii="Book Antiqua" w:eastAsia="Book Antiqua" w:hAnsi="Book Antiqua" w:cs="Book Antiqua"/>
          <w:color w:val="000000"/>
        </w:rPr>
        <w:t>: e543-e552 [PMID: 15867019 DOI: 10.1542/peds.2004-1064]</w:t>
      </w:r>
    </w:p>
    <w:p w14:paraId="552D32F9"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4 </w:t>
      </w:r>
      <w:r w:rsidRPr="0003196B">
        <w:rPr>
          <w:rFonts w:ascii="Book Antiqua" w:eastAsia="Book Antiqua" w:hAnsi="Book Antiqua" w:cs="Book Antiqua"/>
          <w:b/>
          <w:bCs/>
          <w:color w:val="000000"/>
        </w:rPr>
        <w:t>Kocher MS</w:t>
      </w:r>
      <w:r w:rsidRPr="0003196B">
        <w:rPr>
          <w:rFonts w:ascii="Book Antiqua" w:eastAsia="Book Antiqua" w:hAnsi="Book Antiqua" w:cs="Book Antiqua"/>
          <w:color w:val="000000"/>
        </w:rPr>
        <w:t xml:space="preserve">, Sink EL, </w:t>
      </w:r>
      <w:proofErr w:type="spellStart"/>
      <w:r w:rsidRPr="0003196B">
        <w:rPr>
          <w:rFonts w:ascii="Book Antiqua" w:eastAsia="Book Antiqua" w:hAnsi="Book Antiqua" w:cs="Book Antiqua"/>
          <w:color w:val="000000"/>
        </w:rPr>
        <w:t>Blasier</w:t>
      </w:r>
      <w:proofErr w:type="spellEnd"/>
      <w:r w:rsidRPr="0003196B">
        <w:rPr>
          <w:rFonts w:ascii="Book Antiqua" w:eastAsia="Book Antiqua" w:hAnsi="Book Antiqua" w:cs="Book Antiqua"/>
          <w:color w:val="000000"/>
        </w:rPr>
        <w:t xml:space="preserve"> RD, </w:t>
      </w:r>
      <w:proofErr w:type="spellStart"/>
      <w:r w:rsidRPr="0003196B">
        <w:rPr>
          <w:rFonts w:ascii="Book Antiqua" w:eastAsia="Book Antiqua" w:hAnsi="Book Antiqua" w:cs="Book Antiqua"/>
          <w:color w:val="000000"/>
        </w:rPr>
        <w:t>Luhmann</w:t>
      </w:r>
      <w:proofErr w:type="spellEnd"/>
      <w:r w:rsidRPr="0003196B">
        <w:rPr>
          <w:rFonts w:ascii="Book Antiqua" w:eastAsia="Book Antiqua" w:hAnsi="Book Antiqua" w:cs="Book Antiqua"/>
          <w:color w:val="000000"/>
        </w:rPr>
        <w:t xml:space="preserve"> SJ, Mehlman CT, </w:t>
      </w:r>
      <w:proofErr w:type="spellStart"/>
      <w:r w:rsidRPr="0003196B">
        <w:rPr>
          <w:rFonts w:ascii="Book Antiqua" w:eastAsia="Book Antiqua" w:hAnsi="Book Antiqua" w:cs="Book Antiqua"/>
          <w:color w:val="000000"/>
        </w:rPr>
        <w:t>Scher</w:t>
      </w:r>
      <w:proofErr w:type="spellEnd"/>
      <w:r w:rsidRPr="0003196B">
        <w:rPr>
          <w:rFonts w:ascii="Book Antiqua" w:eastAsia="Book Antiqua" w:hAnsi="Book Antiqua" w:cs="Book Antiqua"/>
          <w:color w:val="000000"/>
        </w:rPr>
        <w:t xml:space="preserve"> DM, </w:t>
      </w:r>
      <w:proofErr w:type="spellStart"/>
      <w:r w:rsidRPr="0003196B">
        <w:rPr>
          <w:rFonts w:ascii="Book Antiqua" w:eastAsia="Book Antiqua" w:hAnsi="Book Antiqua" w:cs="Book Antiqua"/>
          <w:color w:val="000000"/>
        </w:rPr>
        <w:t>Matheney</w:t>
      </w:r>
      <w:proofErr w:type="spellEnd"/>
      <w:r w:rsidRPr="0003196B">
        <w:rPr>
          <w:rFonts w:ascii="Book Antiqua" w:eastAsia="Book Antiqua" w:hAnsi="Book Antiqua" w:cs="Book Antiqua"/>
          <w:color w:val="000000"/>
        </w:rPr>
        <w:t xml:space="preserve"> T, Sanders JO, Watters WC 3rd, Goldberg MJ, Keith MW, Haralson RH 3rd, </w:t>
      </w:r>
      <w:proofErr w:type="spellStart"/>
      <w:r w:rsidRPr="0003196B">
        <w:rPr>
          <w:rFonts w:ascii="Book Antiqua" w:eastAsia="Book Antiqua" w:hAnsi="Book Antiqua" w:cs="Book Antiqua"/>
          <w:color w:val="000000"/>
        </w:rPr>
        <w:t>Turkelson</w:t>
      </w:r>
      <w:proofErr w:type="spellEnd"/>
      <w:r w:rsidRPr="0003196B">
        <w:rPr>
          <w:rFonts w:ascii="Book Antiqua" w:eastAsia="Book Antiqua" w:hAnsi="Book Antiqua" w:cs="Book Antiqua"/>
          <w:color w:val="000000"/>
        </w:rPr>
        <w:t xml:space="preserve"> CM, </w:t>
      </w:r>
      <w:proofErr w:type="spellStart"/>
      <w:r w:rsidRPr="0003196B">
        <w:rPr>
          <w:rFonts w:ascii="Book Antiqua" w:eastAsia="Book Antiqua" w:hAnsi="Book Antiqua" w:cs="Book Antiqua"/>
          <w:color w:val="000000"/>
        </w:rPr>
        <w:t>Wies</w:t>
      </w:r>
      <w:proofErr w:type="spellEnd"/>
      <w:r w:rsidRPr="0003196B">
        <w:rPr>
          <w:rFonts w:ascii="Book Antiqua" w:eastAsia="Book Antiqua" w:hAnsi="Book Antiqua" w:cs="Book Antiqua"/>
          <w:color w:val="000000"/>
        </w:rPr>
        <w:t xml:space="preserve"> JL, </w:t>
      </w:r>
      <w:proofErr w:type="spellStart"/>
      <w:r w:rsidRPr="0003196B">
        <w:rPr>
          <w:rFonts w:ascii="Book Antiqua" w:eastAsia="Book Antiqua" w:hAnsi="Book Antiqua" w:cs="Book Antiqua"/>
          <w:color w:val="000000"/>
        </w:rPr>
        <w:t>Sluka</w:t>
      </w:r>
      <w:proofErr w:type="spellEnd"/>
      <w:r w:rsidRPr="0003196B">
        <w:rPr>
          <w:rFonts w:ascii="Book Antiqua" w:eastAsia="Book Antiqua" w:hAnsi="Book Antiqua" w:cs="Book Antiqua"/>
          <w:color w:val="000000"/>
        </w:rPr>
        <w:t xml:space="preserve"> P, McGowan R; American Academy of Orthopaedic Surgeons. American Academy of Orthopaedic Surgeons clinical practice guideline on treatment of pediatric diaphyseal femur fracture. </w:t>
      </w:r>
      <w:r w:rsidRPr="0003196B">
        <w:rPr>
          <w:rFonts w:ascii="Book Antiqua" w:eastAsia="Book Antiqua" w:hAnsi="Book Antiqua" w:cs="Book Antiqua"/>
          <w:i/>
          <w:iCs/>
          <w:color w:val="000000"/>
        </w:rPr>
        <w:t>J Bone Joint Surg Am</w:t>
      </w:r>
      <w:r w:rsidRPr="0003196B">
        <w:rPr>
          <w:rFonts w:ascii="Book Antiqua" w:eastAsia="Book Antiqua" w:hAnsi="Book Antiqua" w:cs="Book Antiqua"/>
          <w:color w:val="000000"/>
        </w:rPr>
        <w:t xml:space="preserve"> 2010; </w:t>
      </w:r>
      <w:r w:rsidRPr="0003196B">
        <w:rPr>
          <w:rFonts w:ascii="Book Antiqua" w:eastAsia="Book Antiqua" w:hAnsi="Book Antiqua" w:cs="Book Antiqua"/>
          <w:b/>
          <w:bCs/>
          <w:color w:val="000000"/>
        </w:rPr>
        <w:t>92</w:t>
      </w:r>
      <w:r w:rsidRPr="0003196B">
        <w:rPr>
          <w:rFonts w:ascii="Book Antiqua" w:eastAsia="Book Antiqua" w:hAnsi="Book Antiqua" w:cs="Book Antiqua"/>
          <w:color w:val="000000"/>
        </w:rPr>
        <w:t>: 1790-1792 [PMID: 20660244 DOI: 10.2106/JBJS.J.00137]</w:t>
      </w:r>
    </w:p>
    <w:p w14:paraId="42094F80"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5 </w:t>
      </w:r>
      <w:proofErr w:type="spellStart"/>
      <w:r w:rsidRPr="0003196B">
        <w:rPr>
          <w:rFonts w:ascii="Book Antiqua" w:eastAsia="Book Antiqua" w:hAnsi="Book Antiqua" w:cs="Book Antiqua"/>
          <w:b/>
          <w:bCs/>
          <w:color w:val="000000"/>
        </w:rPr>
        <w:t>Sutphen</w:t>
      </w:r>
      <w:proofErr w:type="spellEnd"/>
      <w:r w:rsidRPr="0003196B">
        <w:rPr>
          <w:rFonts w:ascii="Book Antiqua" w:eastAsia="Book Antiqua" w:hAnsi="Book Antiqua" w:cs="Book Antiqua"/>
          <w:b/>
          <w:bCs/>
          <w:color w:val="000000"/>
        </w:rPr>
        <w:t xml:space="preserve"> SA</w:t>
      </w:r>
      <w:r w:rsidRPr="0003196B">
        <w:rPr>
          <w:rFonts w:ascii="Book Antiqua" w:eastAsia="Book Antiqua" w:hAnsi="Book Antiqua" w:cs="Book Antiqua"/>
          <w:color w:val="000000"/>
        </w:rPr>
        <w:t xml:space="preserve">, Beebe AC, </w:t>
      </w:r>
      <w:proofErr w:type="spellStart"/>
      <w:r w:rsidRPr="0003196B">
        <w:rPr>
          <w:rFonts w:ascii="Book Antiqua" w:eastAsia="Book Antiqua" w:hAnsi="Book Antiqua" w:cs="Book Antiqua"/>
          <w:color w:val="000000"/>
        </w:rPr>
        <w:t>Klingele</w:t>
      </w:r>
      <w:proofErr w:type="spellEnd"/>
      <w:r w:rsidRPr="0003196B">
        <w:rPr>
          <w:rFonts w:ascii="Book Antiqua" w:eastAsia="Book Antiqua" w:hAnsi="Book Antiqua" w:cs="Book Antiqua"/>
          <w:color w:val="000000"/>
        </w:rPr>
        <w:t xml:space="preserve"> KE. Bridge Plating Length-Unstable Pediatric Femoral Shaft Fractures.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2016; </w:t>
      </w:r>
      <w:r w:rsidRPr="0003196B">
        <w:rPr>
          <w:rFonts w:ascii="Book Antiqua" w:eastAsia="Book Antiqua" w:hAnsi="Book Antiqua" w:cs="Book Antiqua"/>
          <w:b/>
          <w:bCs/>
          <w:color w:val="000000"/>
        </w:rPr>
        <w:t>36 Suppl 1</w:t>
      </w:r>
      <w:r w:rsidRPr="0003196B">
        <w:rPr>
          <w:rFonts w:ascii="Book Antiqua" w:eastAsia="Book Antiqua" w:hAnsi="Book Antiqua" w:cs="Book Antiqua"/>
          <w:color w:val="000000"/>
        </w:rPr>
        <w:t>: S29-S34 [PMID: 27078229 DOI: 10.1097/BPO.0000000000000761]</w:t>
      </w:r>
    </w:p>
    <w:p w14:paraId="7A3BC18E"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6 </w:t>
      </w:r>
      <w:proofErr w:type="spellStart"/>
      <w:r w:rsidRPr="0003196B">
        <w:rPr>
          <w:rFonts w:ascii="Book Antiqua" w:eastAsia="Book Antiqua" w:hAnsi="Book Antiqua" w:cs="Book Antiqua"/>
          <w:b/>
          <w:bCs/>
          <w:color w:val="000000"/>
        </w:rPr>
        <w:t>Soni</w:t>
      </w:r>
      <w:proofErr w:type="spellEnd"/>
      <w:r w:rsidRPr="0003196B">
        <w:rPr>
          <w:rFonts w:ascii="Book Antiqua" w:eastAsia="Book Antiqua" w:hAnsi="Book Antiqua" w:cs="Book Antiqua"/>
          <w:b/>
          <w:bCs/>
          <w:color w:val="000000"/>
        </w:rPr>
        <w:t xml:space="preserve"> JF</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Schelle</w:t>
      </w:r>
      <w:proofErr w:type="spellEnd"/>
      <w:r w:rsidRPr="0003196B">
        <w:rPr>
          <w:rFonts w:ascii="Book Antiqua" w:eastAsia="Book Antiqua" w:hAnsi="Book Antiqua" w:cs="Book Antiqua"/>
          <w:color w:val="000000"/>
        </w:rPr>
        <w:t xml:space="preserve"> G, </w:t>
      </w:r>
      <w:proofErr w:type="spellStart"/>
      <w:r w:rsidRPr="0003196B">
        <w:rPr>
          <w:rFonts w:ascii="Book Antiqua" w:eastAsia="Book Antiqua" w:hAnsi="Book Antiqua" w:cs="Book Antiqua"/>
          <w:color w:val="000000"/>
        </w:rPr>
        <w:t>Valenza</w:t>
      </w:r>
      <w:proofErr w:type="spellEnd"/>
      <w:r w:rsidRPr="0003196B">
        <w:rPr>
          <w:rFonts w:ascii="Book Antiqua" w:eastAsia="Book Antiqua" w:hAnsi="Book Antiqua" w:cs="Book Antiqua"/>
          <w:color w:val="000000"/>
        </w:rPr>
        <w:t xml:space="preserve"> W, </w:t>
      </w:r>
      <w:proofErr w:type="spellStart"/>
      <w:r w:rsidRPr="0003196B">
        <w:rPr>
          <w:rFonts w:ascii="Book Antiqua" w:eastAsia="Book Antiqua" w:hAnsi="Book Antiqua" w:cs="Book Antiqua"/>
          <w:color w:val="000000"/>
        </w:rPr>
        <w:t>Pavelec</w:t>
      </w:r>
      <w:proofErr w:type="spellEnd"/>
      <w:r w:rsidRPr="0003196B">
        <w:rPr>
          <w:rFonts w:ascii="Book Antiqua" w:eastAsia="Book Antiqua" w:hAnsi="Book Antiqua" w:cs="Book Antiqua"/>
          <w:color w:val="000000"/>
        </w:rPr>
        <w:t xml:space="preserve"> AC, Souza CD. UNSTABLE FEMORAL FRACTURES TREATED WITH TITANIUM ELASTIC INTRAMEDULLARY NAILS, IN CHILDREN. </w:t>
      </w:r>
      <w:r w:rsidRPr="0003196B">
        <w:rPr>
          <w:rFonts w:ascii="Book Antiqua" w:eastAsia="Book Antiqua" w:hAnsi="Book Antiqua" w:cs="Book Antiqua"/>
          <w:i/>
          <w:iCs/>
          <w:color w:val="000000"/>
        </w:rPr>
        <w:t xml:space="preserve">Rev Bras </w:t>
      </w:r>
      <w:proofErr w:type="spellStart"/>
      <w:r w:rsidRPr="0003196B">
        <w:rPr>
          <w:rFonts w:ascii="Book Antiqua" w:eastAsia="Book Antiqua" w:hAnsi="Book Antiqua" w:cs="Book Antiqua"/>
          <w:i/>
          <w:iCs/>
          <w:color w:val="000000"/>
        </w:rPr>
        <w:t>Ortop</w:t>
      </w:r>
      <w:proofErr w:type="spellEnd"/>
      <w:r w:rsidRPr="0003196B">
        <w:rPr>
          <w:rFonts w:ascii="Book Antiqua" w:eastAsia="Book Antiqua" w:hAnsi="Book Antiqua" w:cs="Book Antiqua"/>
          <w:color w:val="000000"/>
        </w:rPr>
        <w:t xml:space="preserve"> 2012; </w:t>
      </w:r>
      <w:r w:rsidRPr="0003196B">
        <w:rPr>
          <w:rFonts w:ascii="Book Antiqua" w:eastAsia="Book Antiqua" w:hAnsi="Book Antiqua" w:cs="Book Antiqua"/>
          <w:b/>
          <w:bCs/>
          <w:color w:val="000000"/>
        </w:rPr>
        <w:t>47</w:t>
      </w:r>
      <w:r w:rsidRPr="0003196B">
        <w:rPr>
          <w:rFonts w:ascii="Book Antiqua" w:eastAsia="Book Antiqua" w:hAnsi="Book Antiqua" w:cs="Book Antiqua"/>
          <w:color w:val="000000"/>
        </w:rPr>
        <w:t>: 575-580 [PMID: 27047868 DOI: 10.1016/S2255-4971(15)30006-9]</w:t>
      </w:r>
    </w:p>
    <w:p w14:paraId="617D5F8B"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lastRenderedPageBreak/>
        <w:t xml:space="preserve">7 </w:t>
      </w:r>
      <w:r w:rsidRPr="0003196B">
        <w:rPr>
          <w:rFonts w:ascii="Book Antiqua" w:eastAsia="Book Antiqua" w:hAnsi="Book Antiqua" w:cs="Book Antiqua"/>
          <w:b/>
          <w:bCs/>
          <w:color w:val="000000"/>
        </w:rPr>
        <w:t>Sink EL</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Hedequist</w:t>
      </w:r>
      <w:proofErr w:type="spellEnd"/>
      <w:r w:rsidRPr="0003196B">
        <w:rPr>
          <w:rFonts w:ascii="Book Antiqua" w:eastAsia="Book Antiqua" w:hAnsi="Book Antiqua" w:cs="Book Antiqua"/>
          <w:color w:val="000000"/>
        </w:rPr>
        <w:t xml:space="preserve"> D, Morgan SJ, </w:t>
      </w:r>
      <w:proofErr w:type="spellStart"/>
      <w:r w:rsidRPr="0003196B">
        <w:rPr>
          <w:rFonts w:ascii="Book Antiqua" w:eastAsia="Book Antiqua" w:hAnsi="Book Antiqua" w:cs="Book Antiqua"/>
          <w:color w:val="000000"/>
        </w:rPr>
        <w:t>Hresko</w:t>
      </w:r>
      <w:proofErr w:type="spellEnd"/>
      <w:r w:rsidRPr="0003196B">
        <w:rPr>
          <w:rFonts w:ascii="Book Antiqua" w:eastAsia="Book Antiqua" w:hAnsi="Book Antiqua" w:cs="Book Antiqua"/>
          <w:color w:val="000000"/>
        </w:rPr>
        <w:t xml:space="preserve"> T. Results and technique of unstable pediatric femoral fractures treated with submuscular bridge plating.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2006; </w:t>
      </w:r>
      <w:r w:rsidRPr="0003196B">
        <w:rPr>
          <w:rFonts w:ascii="Book Antiqua" w:eastAsia="Book Antiqua" w:hAnsi="Book Antiqua" w:cs="Book Antiqua"/>
          <w:b/>
          <w:bCs/>
          <w:color w:val="000000"/>
        </w:rPr>
        <w:t>26</w:t>
      </w:r>
      <w:r w:rsidRPr="0003196B">
        <w:rPr>
          <w:rFonts w:ascii="Book Antiqua" w:eastAsia="Book Antiqua" w:hAnsi="Book Antiqua" w:cs="Book Antiqua"/>
          <w:color w:val="000000"/>
        </w:rPr>
        <w:t>: 177-181 [PMID: 16557130 DOI: 10.1097/01.bpo.0000218524.90620.34]</w:t>
      </w:r>
    </w:p>
    <w:p w14:paraId="21C7342F"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8 </w:t>
      </w:r>
      <w:r w:rsidRPr="0003196B">
        <w:rPr>
          <w:rFonts w:ascii="Book Antiqua" w:eastAsia="Book Antiqua" w:hAnsi="Book Antiqua" w:cs="Book Antiqua"/>
          <w:b/>
          <w:bCs/>
          <w:color w:val="000000"/>
        </w:rPr>
        <w:t>Sink EL</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Gralla</w:t>
      </w:r>
      <w:proofErr w:type="spellEnd"/>
      <w:r w:rsidRPr="0003196B">
        <w:rPr>
          <w:rFonts w:ascii="Book Antiqua" w:eastAsia="Book Antiqua" w:hAnsi="Book Antiqua" w:cs="Book Antiqua"/>
          <w:color w:val="000000"/>
        </w:rPr>
        <w:t xml:space="preserve"> J, Repine M. Complications of pediatric femur fractures treated with titanium elastic nails: a comparison of fracture types.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2005; </w:t>
      </w:r>
      <w:r w:rsidRPr="0003196B">
        <w:rPr>
          <w:rFonts w:ascii="Book Antiqua" w:eastAsia="Book Antiqua" w:hAnsi="Book Antiqua" w:cs="Book Antiqua"/>
          <w:b/>
          <w:bCs/>
          <w:color w:val="000000"/>
        </w:rPr>
        <w:t>25</w:t>
      </w:r>
      <w:r w:rsidRPr="0003196B">
        <w:rPr>
          <w:rFonts w:ascii="Book Antiqua" w:eastAsia="Book Antiqua" w:hAnsi="Book Antiqua" w:cs="Book Antiqua"/>
          <w:color w:val="000000"/>
        </w:rPr>
        <w:t>: 577-580 [PMID: 16199934 DOI: 10.1097/01.bpo.0000164872.44195.4f]</w:t>
      </w:r>
    </w:p>
    <w:p w14:paraId="7229BCFF"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9 </w:t>
      </w:r>
      <w:r w:rsidRPr="0003196B">
        <w:rPr>
          <w:rFonts w:ascii="Book Antiqua" w:eastAsia="Book Antiqua" w:hAnsi="Book Antiqua" w:cs="Book Antiqua"/>
          <w:b/>
          <w:bCs/>
          <w:color w:val="000000"/>
        </w:rPr>
        <w:t>Sink EL</w:t>
      </w:r>
      <w:r w:rsidRPr="0003196B">
        <w:rPr>
          <w:rFonts w:ascii="Book Antiqua" w:eastAsia="Book Antiqua" w:hAnsi="Book Antiqua" w:cs="Book Antiqua"/>
          <w:color w:val="000000"/>
        </w:rPr>
        <w:t xml:space="preserve">, Faro F, </w:t>
      </w:r>
      <w:proofErr w:type="spellStart"/>
      <w:r w:rsidRPr="0003196B">
        <w:rPr>
          <w:rFonts w:ascii="Book Antiqua" w:eastAsia="Book Antiqua" w:hAnsi="Book Antiqua" w:cs="Book Antiqua"/>
          <w:color w:val="000000"/>
        </w:rPr>
        <w:t>Polousky</w:t>
      </w:r>
      <w:proofErr w:type="spellEnd"/>
      <w:r w:rsidRPr="0003196B">
        <w:rPr>
          <w:rFonts w:ascii="Book Antiqua" w:eastAsia="Book Antiqua" w:hAnsi="Book Antiqua" w:cs="Book Antiqua"/>
          <w:color w:val="000000"/>
        </w:rPr>
        <w:t xml:space="preserve"> J, Flynn K, </w:t>
      </w:r>
      <w:proofErr w:type="spellStart"/>
      <w:r w:rsidRPr="0003196B">
        <w:rPr>
          <w:rFonts w:ascii="Book Antiqua" w:eastAsia="Book Antiqua" w:hAnsi="Book Antiqua" w:cs="Book Antiqua"/>
          <w:color w:val="000000"/>
        </w:rPr>
        <w:t>Gralla</w:t>
      </w:r>
      <w:proofErr w:type="spellEnd"/>
      <w:r w:rsidRPr="0003196B">
        <w:rPr>
          <w:rFonts w:ascii="Book Antiqua" w:eastAsia="Book Antiqua" w:hAnsi="Book Antiqua" w:cs="Book Antiqua"/>
          <w:color w:val="000000"/>
        </w:rPr>
        <w:t xml:space="preserve"> J. Decreased complications of pediatric femur fractures with a change in management.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2010; </w:t>
      </w:r>
      <w:r w:rsidRPr="0003196B">
        <w:rPr>
          <w:rFonts w:ascii="Book Antiqua" w:eastAsia="Book Antiqua" w:hAnsi="Book Antiqua" w:cs="Book Antiqua"/>
          <w:b/>
          <w:bCs/>
          <w:color w:val="000000"/>
        </w:rPr>
        <w:t>30</w:t>
      </w:r>
      <w:r w:rsidRPr="0003196B">
        <w:rPr>
          <w:rFonts w:ascii="Book Antiqua" w:eastAsia="Book Antiqua" w:hAnsi="Book Antiqua" w:cs="Book Antiqua"/>
          <w:color w:val="000000"/>
        </w:rPr>
        <w:t>: 633-637 [PMID: 20864844 DOI: 10.1097/BPO.0b013e3181efb89d]</w:t>
      </w:r>
    </w:p>
    <w:p w14:paraId="46447F3E"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10 </w:t>
      </w:r>
      <w:r w:rsidRPr="0003196B">
        <w:rPr>
          <w:rFonts w:ascii="Book Antiqua" w:eastAsia="Book Antiqua" w:hAnsi="Book Antiqua" w:cs="Book Antiqua"/>
          <w:b/>
          <w:bCs/>
          <w:color w:val="000000"/>
        </w:rPr>
        <w:t>Li Y</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Hedequist</w:t>
      </w:r>
      <w:proofErr w:type="spellEnd"/>
      <w:r w:rsidRPr="0003196B">
        <w:rPr>
          <w:rFonts w:ascii="Book Antiqua" w:eastAsia="Book Antiqua" w:hAnsi="Book Antiqua" w:cs="Book Antiqua"/>
          <w:color w:val="000000"/>
        </w:rPr>
        <w:t xml:space="preserve"> DJ. Submuscular plating of pediatric femur fracture. </w:t>
      </w:r>
      <w:r w:rsidRPr="0003196B">
        <w:rPr>
          <w:rFonts w:ascii="Book Antiqua" w:eastAsia="Book Antiqua" w:hAnsi="Book Antiqua" w:cs="Book Antiqua"/>
          <w:i/>
          <w:iCs/>
          <w:color w:val="000000"/>
        </w:rPr>
        <w:t xml:space="preserve">J Am </w:t>
      </w:r>
      <w:proofErr w:type="spellStart"/>
      <w:r w:rsidRPr="0003196B">
        <w:rPr>
          <w:rFonts w:ascii="Book Antiqua" w:eastAsia="Book Antiqua" w:hAnsi="Book Antiqua" w:cs="Book Antiqua"/>
          <w:i/>
          <w:iCs/>
          <w:color w:val="000000"/>
        </w:rPr>
        <w:t>Acad</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Surg</w:t>
      </w:r>
      <w:proofErr w:type="spellEnd"/>
      <w:r w:rsidRPr="0003196B">
        <w:rPr>
          <w:rFonts w:ascii="Book Antiqua" w:eastAsia="Book Antiqua" w:hAnsi="Book Antiqua" w:cs="Book Antiqua"/>
          <w:color w:val="000000"/>
        </w:rPr>
        <w:t xml:space="preserve"> 2012; </w:t>
      </w:r>
      <w:r w:rsidRPr="0003196B">
        <w:rPr>
          <w:rFonts w:ascii="Book Antiqua" w:eastAsia="Book Antiqua" w:hAnsi="Book Antiqua" w:cs="Book Antiqua"/>
          <w:b/>
          <w:bCs/>
          <w:color w:val="000000"/>
        </w:rPr>
        <w:t>20</w:t>
      </w:r>
      <w:r w:rsidRPr="0003196B">
        <w:rPr>
          <w:rFonts w:ascii="Book Antiqua" w:eastAsia="Book Antiqua" w:hAnsi="Book Antiqua" w:cs="Book Antiqua"/>
          <w:color w:val="000000"/>
        </w:rPr>
        <w:t>: 596-603 [PMID: 22941802 DOI: 10.5435/JAAOS-20-09-596]</w:t>
      </w:r>
    </w:p>
    <w:p w14:paraId="4CD24A0F"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11 </w:t>
      </w:r>
      <w:proofErr w:type="spellStart"/>
      <w:r w:rsidRPr="0003196B">
        <w:rPr>
          <w:rFonts w:ascii="Book Antiqua" w:eastAsia="Book Antiqua" w:hAnsi="Book Antiqua" w:cs="Book Antiqua"/>
          <w:b/>
          <w:bCs/>
          <w:color w:val="000000"/>
        </w:rPr>
        <w:t>Kuremsky</w:t>
      </w:r>
      <w:proofErr w:type="spellEnd"/>
      <w:r w:rsidRPr="0003196B">
        <w:rPr>
          <w:rFonts w:ascii="Book Antiqua" w:eastAsia="Book Antiqua" w:hAnsi="Book Antiqua" w:cs="Book Antiqua"/>
          <w:b/>
          <w:bCs/>
          <w:color w:val="000000"/>
        </w:rPr>
        <w:t xml:space="preserve"> MA</w:t>
      </w:r>
      <w:r w:rsidRPr="0003196B">
        <w:rPr>
          <w:rFonts w:ascii="Book Antiqua" w:eastAsia="Book Antiqua" w:hAnsi="Book Antiqua" w:cs="Book Antiqua"/>
          <w:color w:val="000000"/>
        </w:rPr>
        <w:t xml:space="preserve">, Frick SL. Advances in the surgical management of pediatric femoral shaft fractures. </w:t>
      </w:r>
      <w:proofErr w:type="spellStart"/>
      <w:r w:rsidRPr="0003196B">
        <w:rPr>
          <w:rFonts w:ascii="Book Antiqua" w:eastAsia="Book Antiqua" w:hAnsi="Book Antiqua" w:cs="Book Antiqua"/>
          <w:i/>
          <w:iCs/>
          <w:color w:val="000000"/>
        </w:rPr>
        <w:t>Curr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Opin</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color w:val="000000"/>
        </w:rPr>
        <w:t xml:space="preserve"> 2007; </w:t>
      </w:r>
      <w:r w:rsidRPr="0003196B">
        <w:rPr>
          <w:rFonts w:ascii="Book Antiqua" w:eastAsia="Book Antiqua" w:hAnsi="Book Antiqua" w:cs="Book Antiqua"/>
          <w:b/>
          <w:bCs/>
          <w:color w:val="000000"/>
        </w:rPr>
        <w:t>19</w:t>
      </w:r>
      <w:r w:rsidRPr="0003196B">
        <w:rPr>
          <w:rFonts w:ascii="Book Antiqua" w:eastAsia="Book Antiqua" w:hAnsi="Book Antiqua" w:cs="Book Antiqua"/>
          <w:color w:val="000000"/>
        </w:rPr>
        <w:t>: 51-57 [PMID: 17224662 DOI: 10.1097/MOP.0b013e3280123142]</w:t>
      </w:r>
    </w:p>
    <w:p w14:paraId="3A7007CD"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12 </w:t>
      </w:r>
      <w:proofErr w:type="spellStart"/>
      <w:r w:rsidRPr="0003196B">
        <w:rPr>
          <w:rFonts w:ascii="Book Antiqua" w:eastAsia="Book Antiqua" w:hAnsi="Book Antiqua" w:cs="Book Antiqua"/>
          <w:b/>
          <w:bCs/>
          <w:color w:val="000000"/>
        </w:rPr>
        <w:t>Samora</w:t>
      </w:r>
      <w:proofErr w:type="spellEnd"/>
      <w:r w:rsidRPr="0003196B">
        <w:rPr>
          <w:rFonts w:ascii="Book Antiqua" w:eastAsia="Book Antiqua" w:hAnsi="Book Antiqua" w:cs="Book Antiqua"/>
          <w:b/>
          <w:bCs/>
          <w:color w:val="000000"/>
        </w:rPr>
        <w:t xml:space="preserve"> WP</w:t>
      </w:r>
      <w:r w:rsidRPr="0003196B">
        <w:rPr>
          <w:rFonts w:ascii="Book Antiqua" w:eastAsia="Book Antiqua" w:hAnsi="Book Antiqua" w:cs="Book Antiqua"/>
          <w:color w:val="000000"/>
        </w:rPr>
        <w:t xml:space="preserve">, Guerriero M, Willis L, </w:t>
      </w:r>
      <w:proofErr w:type="spellStart"/>
      <w:r w:rsidRPr="0003196B">
        <w:rPr>
          <w:rFonts w:ascii="Book Antiqua" w:eastAsia="Book Antiqua" w:hAnsi="Book Antiqua" w:cs="Book Antiqua"/>
          <w:color w:val="000000"/>
        </w:rPr>
        <w:t>Klingele</w:t>
      </w:r>
      <w:proofErr w:type="spellEnd"/>
      <w:r w:rsidRPr="0003196B">
        <w:rPr>
          <w:rFonts w:ascii="Book Antiqua" w:eastAsia="Book Antiqua" w:hAnsi="Book Antiqua" w:cs="Book Antiqua"/>
          <w:color w:val="000000"/>
        </w:rPr>
        <w:t xml:space="preserve"> KE. Submuscular bridge plating for length-unstable, pediatric femur fractures.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2013; </w:t>
      </w:r>
      <w:r w:rsidRPr="0003196B">
        <w:rPr>
          <w:rFonts w:ascii="Book Antiqua" w:eastAsia="Book Antiqua" w:hAnsi="Book Antiqua" w:cs="Book Antiqua"/>
          <w:b/>
          <w:bCs/>
          <w:color w:val="000000"/>
        </w:rPr>
        <w:t>33</w:t>
      </w:r>
      <w:r w:rsidRPr="0003196B">
        <w:rPr>
          <w:rFonts w:ascii="Book Antiqua" w:eastAsia="Book Antiqua" w:hAnsi="Book Antiqua" w:cs="Book Antiqua"/>
          <w:color w:val="000000"/>
        </w:rPr>
        <w:t>: 797-802 [PMID: 24018634 DOI: 10.1097/BPO.0000000000000092]</w:t>
      </w:r>
    </w:p>
    <w:p w14:paraId="76E821F4"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13 </w:t>
      </w:r>
      <w:r w:rsidRPr="0003196B">
        <w:rPr>
          <w:rFonts w:ascii="Book Antiqua" w:eastAsia="Book Antiqua" w:hAnsi="Book Antiqua" w:cs="Book Antiqua"/>
          <w:b/>
          <w:bCs/>
          <w:color w:val="000000"/>
        </w:rPr>
        <w:t>Ellis HB</w:t>
      </w:r>
      <w:r w:rsidRPr="0003196B">
        <w:rPr>
          <w:rFonts w:ascii="Book Antiqua" w:eastAsia="Book Antiqua" w:hAnsi="Book Antiqua" w:cs="Book Antiqua"/>
          <w:color w:val="000000"/>
        </w:rPr>
        <w:t xml:space="preserve">, Ho CA, </w:t>
      </w:r>
      <w:proofErr w:type="spellStart"/>
      <w:r w:rsidRPr="0003196B">
        <w:rPr>
          <w:rFonts w:ascii="Book Antiqua" w:eastAsia="Book Antiqua" w:hAnsi="Book Antiqua" w:cs="Book Antiqua"/>
          <w:color w:val="000000"/>
        </w:rPr>
        <w:t>Podeszwa</w:t>
      </w:r>
      <w:proofErr w:type="spellEnd"/>
      <w:r w:rsidRPr="0003196B">
        <w:rPr>
          <w:rFonts w:ascii="Book Antiqua" w:eastAsia="Book Antiqua" w:hAnsi="Book Antiqua" w:cs="Book Antiqua"/>
          <w:color w:val="000000"/>
        </w:rPr>
        <w:t xml:space="preserve"> DA, Wilson PL. A comparison of locked versus nonlocked Enders rods for length unstable pediatric femoral shaft fractures.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2011; </w:t>
      </w:r>
      <w:r w:rsidRPr="0003196B">
        <w:rPr>
          <w:rFonts w:ascii="Book Antiqua" w:eastAsia="Book Antiqua" w:hAnsi="Book Antiqua" w:cs="Book Antiqua"/>
          <w:b/>
          <w:bCs/>
          <w:color w:val="000000"/>
        </w:rPr>
        <w:t>31</w:t>
      </w:r>
      <w:r w:rsidRPr="0003196B">
        <w:rPr>
          <w:rFonts w:ascii="Book Antiqua" w:eastAsia="Book Antiqua" w:hAnsi="Book Antiqua" w:cs="Book Antiqua"/>
          <w:color w:val="000000"/>
        </w:rPr>
        <w:t>: 825-833 [PMID: 22101659 DOI: 10.1097/BPO.0b013e31822ed34d]</w:t>
      </w:r>
    </w:p>
    <w:p w14:paraId="426B8FB7"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14 </w:t>
      </w:r>
      <w:r w:rsidRPr="0003196B">
        <w:rPr>
          <w:rFonts w:ascii="Book Antiqua" w:eastAsia="Book Antiqua" w:hAnsi="Book Antiqua" w:cs="Book Antiqua"/>
          <w:b/>
          <w:bCs/>
          <w:color w:val="000000"/>
        </w:rPr>
        <w:t>Roaten JD</w:t>
      </w:r>
      <w:r w:rsidRPr="0003196B">
        <w:rPr>
          <w:rFonts w:ascii="Book Antiqua" w:eastAsia="Book Antiqua" w:hAnsi="Book Antiqua" w:cs="Book Antiqua"/>
          <w:color w:val="000000"/>
        </w:rPr>
        <w:t xml:space="preserve">, Kelly DM, Yellin JL, Flynn JM, Cyr M, Garg S, Broom A, Andras LM, Sawyer JR. Pediatric Femoral Shaft Fractures: A Multicenter Review of the AAOS Clinical Practice Guidelines Before and After 2009.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2019; </w:t>
      </w:r>
      <w:r w:rsidRPr="0003196B">
        <w:rPr>
          <w:rFonts w:ascii="Book Antiqua" w:eastAsia="Book Antiqua" w:hAnsi="Book Antiqua" w:cs="Book Antiqua"/>
          <w:b/>
          <w:bCs/>
          <w:color w:val="000000"/>
        </w:rPr>
        <w:t>39</w:t>
      </w:r>
      <w:r w:rsidRPr="0003196B">
        <w:rPr>
          <w:rFonts w:ascii="Book Antiqua" w:eastAsia="Book Antiqua" w:hAnsi="Book Antiqua" w:cs="Book Antiqua"/>
          <w:color w:val="000000"/>
        </w:rPr>
        <w:t>: 394-399 [PMID: 31393292 DOI: 10.1097/BPO.0000000000000982]</w:t>
      </w:r>
    </w:p>
    <w:p w14:paraId="337545E9"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15 </w:t>
      </w:r>
      <w:r w:rsidRPr="0003196B">
        <w:rPr>
          <w:rFonts w:ascii="Book Antiqua" w:eastAsia="Book Antiqua" w:hAnsi="Book Antiqua" w:cs="Book Antiqua"/>
          <w:b/>
          <w:bCs/>
          <w:color w:val="000000"/>
        </w:rPr>
        <w:t>Anderson SR</w:t>
      </w:r>
      <w:r w:rsidRPr="0003196B">
        <w:rPr>
          <w:rFonts w:ascii="Book Antiqua" w:eastAsia="Book Antiqua" w:hAnsi="Book Antiqua" w:cs="Book Antiqua"/>
          <w:color w:val="000000"/>
        </w:rPr>
        <w:t xml:space="preserve">, Nelson SC, Morrison MJ. Unstable Pediatric Femur Fractures: Combined Intramedullary Flexible Nails and External Fixation.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Case Rep</w:t>
      </w:r>
      <w:r w:rsidRPr="0003196B">
        <w:rPr>
          <w:rFonts w:ascii="Book Antiqua" w:eastAsia="Book Antiqua" w:hAnsi="Book Antiqua" w:cs="Book Antiqua"/>
          <w:color w:val="000000"/>
        </w:rPr>
        <w:t xml:space="preserve"> 2017; </w:t>
      </w:r>
      <w:r w:rsidRPr="0003196B">
        <w:rPr>
          <w:rFonts w:ascii="Book Antiqua" w:eastAsia="Book Antiqua" w:hAnsi="Book Antiqua" w:cs="Book Antiqua"/>
          <w:b/>
          <w:bCs/>
          <w:color w:val="000000"/>
        </w:rPr>
        <w:t>7</w:t>
      </w:r>
      <w:r w:rsidRPr="0003196B">
        <w:rPr>
          <w:rFonts w:ascii="Book Antiqua" w:eastAsia="Book Antiqua" w:hAnsi="Book Antiqua" w:cs="Book Antiqua"/>
          <w:color w:val="000000"/>
        </w:rPr>
        <w:t>: 32-35 [PMID: 29181349 DOI: 10.13107/jocr.2250-0685.838]</w:t>
      </w:r>
    </w:p>
    <w:p w14:paraId="3507BABC"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lastRenderedPageBreak/>
        <w:t xml:space="preserve">16 </w:t>
      </w:r>
      <w:proofErr w:type="spellStart"/>
      <w:r w:rsidRPr="0003196B">
        <w:rPr>
          <w:rFonts w:ascii="Book Antiqua" w:eastAsia="Book Antiqua" w:hAnsi="Book Antiqua" w:cs="Book Antiqua"/>
          <w:b/>
          <w:bCs/>
          <w:color w:val="000000"/>
        </w:rPr>
        <w:t>Flinck</w:t>
      </w:r>
      <w:proofErr w:type="spellEnd"/>
      <w:r w:rsidRPr="0003196B">
        <w:rPr>
          <w:rFonts w:ascii="Book Antiqua" w:eastAsia="Book Antiqua" w:hAnsi="Book Antiqua" w:cs="Book Antiqua"/>
          <w:b/>
          <w:bCs/>
          <w:color w:val="000000"/>
        </w:rPr>
        <w:t xml:space="preserve"> M</w:t>
      </w:r>
      <w:r w:rsidRPr="0003196B">
        <w:rPr>
          <w:rFonts w:ascii="Book Antiqua" w:eastAsia="Book Antiqua" w:hAnsi="Book Antiqua" w:cs="Book Antiqua"/>
          <w:color w:val="000000"/>
        </w:rPr>
        <w:t xml:space="preserve">, von </w:t>
      </w:r>
      <w:proofErr w:type="spellStart"/>
      <w:r w:rsidRPr="0003196B">
        <w:rPr>
          <w:rFonts w:ascii="Book Antiqua" w:eastAsia="Book Antiqua" w:hAnsi="Book Antiqua" w:cs="Book Antiqua"/>
          <w:color w:val="000000"/>
        </w:rPr>
        <w:t>Heideken</w:t>
      </w:r>
      <w:proofErr w:type="spellEnd"/>
      <w:r w:rsidRPr="0003196B">
        <w:rPr>
          <w:rFonts w:ascii="Book Antiqua" w:eastAsia="Book Antiqua" w:hAnsi="Book Antiqua" w:cs="Book Antiqua"/>
          <w:color w:val="000000"/>
        </w:rPr>
        <w:t xml:space="preserve"> J, </w:t>
      </w:r>
      <w:proofErr w:type="spellStart"/>
      <w:r w:rsidRPr="0003196B">
        <w:rPr>
          <w:rFonts w:ascii="Book Antiqua" w:eastAsia="Book Antiqua" w:hAnsi="Book Antiqua" w:cs="Book Antiqua"/>
          <w:color w:val="000000"/>
        </w:rPr>
        <w:t>Janarv</w:t>
      </w:r>
      <w:proofErr w:type="spellEnd"/>
      <w:r w:rsidRPr="0003196B">
        <w:rPr>
          <w:rFonts w:ascii="Book Antiqua" w:eastAsia="Book Antiqua" w:hAnsi="Book Antiqua" w:cs="Book Antiqua"/>
          <w:color w:val="000000"/>
        </w:rPr>
        <w:t xml:space="preserve"> PM, </w:t>
      </w:r>
      <w:proofErr w:type="spellStart"/>
      <w:r w:rsidRPr="0003196B">
        <w:rPr>
          <w:rFonts w:ascii="Book Antiqua" w:eastAsia="Book Antiqua" w:hAnsi="Book Antiqua" w:cs="Book Antiqua"/>
          <w:color w:val="000000"/>
        </w:rPr>
        <w:t>Wåtz</w:t>
      </w:r>
      <w:proofErr w:type="spellEnd"/>
      <w:r w:rsidRPr="0003196B">
        <w:rPr>
          <w:rFonts w:ascii="Book Antiqua" w:eastAsia="Book Antiqua" w:hAnsi="Book Antiqua" w:cs="Book Antiqua"/>
          <w:color w:val="000000"/>
        </w:rPr>
        <w:t xml:space="preserve"> V, </w:t>
      </w:r>
      <w:proofErr w:type="spellStart"/>
      <w:r w:rsidRPr="0003196B">
        <w:rPr>
          <w:rFonts w:ascii="Book Antiqua" w:eastAsia="Book Antiqua" w:hAnsi="Book Antiqua" w:cs="Book Antiqua"/>
          <w:color w:val="000000"/>
        </w:rPr>
        <w:t>Riad</w:t>
      </w:r>
      <w:proofErr w:type="spellEnd"/>
      <w:r w:rsidRPr="0003196B">
        <w:rPr>
          <w:rFonts w:ascii="Book Antiqua" w:eastAsia="Book Antiqua" w:hAnsi="Book Antiqua" w:cs="Book Antiqua"/>
          <w:color w:val="000000"/>
        </w:rPr>
        <w:t xml:space="preserve"> J. Biomechanical comparison of semi-rigid pediatric locking nail versus titanium elastic nails in a femur fracture model. </w:t>
      </w:r>
      <w:r w:rsidRPr="0003196B">
        <w:rPr>
          <w:rFonts w:ascii="Book Antiqua" w:eastAsia="Book Antiqua" w:hAnsi="Book Antiqua" w:cs="Book Antiqua"/>
          <w:i/>
          <w:iCs/>
          <w:color w:val="000000"/>
        </w:rPr>
        <w:t xml:space="preserve">J Child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2015; </w:t>
      </w:r>
      <w:r w:rsidRPr="0003196B">
        <w:rPr>
          <w:rFonts w:ascii="Book Antiqua" w:eastAsia="Book Antiqua" w:hAnsi="Book Antiqua" w:cs="Book Antiqua"/>
          <w:b/>
          <w:bCs/>
          <w:color w:val="000000"/>
        </w:rPr>
        <w:t>9</w:t>
      </w:r>
      <w:r w:rsidRPr="0003196B">
        <w:rPr>
          <w:rFonts w:ascii="Book Antiqua" w:eastAsia="Book Antiqua" w:hAnsi="Book Antiqua" w:cs="Book Antiqua"/>
          <w:color w:val="000000"/>
        </w:rPr>
        <w:t>: 77-84 [PMID: 25512158 DOI: 10.1007/s11832-014-0629-5]</w:t>
      </w:r>
    </w:p>
    <w:p w14:paraId="049395E4"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17 </w:t>
      </w:r>
      <w:proofErr w:type="spellStart"/>
      <w:r w:rsidRPr="0003196B">
        <w:rPr>
          <w:rFonts w:ascii="Book Antiqua" w:eastAsia="Book Antiqua" w:hAnsi="Book Antiqua" w:cs="Book Antiqua"/>
          <w:b/>
          <w:bCs/>
          <w:color w:val="000000"/>
        </w:rPr>
        <w:t>Furlan</w:t>
      </w:r>
      <w:proofErr w:type="spellEnd"/>
      <w:r w:rsidRPr="0003196B">
        <w:rPr>
          <w:rFonts w:ascii="Book Antiqua" w:eastAsia="Book Antiqua" w:hAnsi="Book Antiqua" w:cs="Book Antiqua"/>
          <w:b/>
          <w:bCs/>
          <w:color w:val="000000"/>
        </w:rPr>
        <w:t xml:space="preserve"> D</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PogoreliÄ</w:t>
      </w:r>
      <w:proofErr w:type="spellEnd"/>
      <w:r w:rsidRPr="0003196B">
        <w:rPr>
          <w:rFonts w:ascii="Book Antiqua" w:eastAsia="Book Antiqua" w:hAnsi="Book Antiqua" w:cs="Book Antiqua"/>
          <w:color w:val="000000"/>
        </w:rPr>
        <w:t xml:space="preserve">‡ Z, </w:t>
      </w:r>
      <w:proofErr w:type="spellStart"/>
      <w:r w:rsidRPr="0003196B">
        <w:rPr>
          <w:rFonts w:ascii="Book Antiqua" w:eastAsia="Book Antiqua" w:hAnsi="Book Antiqua" w:cs="Book Antiqua"/>
          <w:color w:val="000000"/>
        </w:rPr>
        <w:t>BioÄiÄ</w:t>
      </w:r>
      <w:proofErr w:type="spellEnd"/>
      <w:r w:rsidRPr="0003196B">
        <w:rPr>
          <w:rFonts w:ascii="Book Antiqua" w:eastAsia="Book Antiqua" w:hAnsi="Book Antiqua" w:cs="Book Antiqua"/>
          <w:color w:val="000000"/>
        </w:rPr>
        <w:t xml:space="preserve">‡ M, </w:t>
      </w:r>
      <w:proofErr w:type="spellStart"/>
      <w:r w:rsidRPr="0003196B">
        <w:rPr>
          <w:rFonts w:ascii="Book Antiqua" w:eastAsia="Book Antiqua" w:hAnsi="Book Antiqua" w:cs="Book Antiqua"/>
          <w:color w:val="000000"/>
        </w:rPr>
        <w:t>JuriÄ</w:t>
      </w:r>
      <w:proofErr w:type="spellEnd"/>
      <w:r w:rsidRPr="0003196B">
        <w:rPr>
          <w:rFonts w:ascii="Book Antiqua" w:eastAsia="Book Antiqua" w:hAnsi="Book Antiqua" w:cs="Book Antiqua"/>
          <w:color w:val="000000"/>
        </w:rPr>
        <w:t xml:space="preserve">‡ I, Budimir D, </w:t>
      </w:r>
      <w:proofErr w:type="spellStart"/>
      <w:r w:rsidRPr="0003196B">
        <w:rPr>
          <w:rFonts w:ascii="Book Antiqua" w:eastAsia="Book Antiqua" w:hAnsi="Book Antiqua" w:cs="Book Antiqua"/>
          <w:color w:val="000000"/>
        </w:rPr>
        <w:t>TodoriÄ</w:t>
      </w:r>
      <w:proofErr w:type="spellEnd"/>
      <w:r w:rsidRPr="0003196B">
        <w:rPr>
          <w:rFonts w:ascii="Book Antiqua" w:eastAsia="Book Antiqua" w:hAnsi="Book Antiqua" w:cs="Book Antiqua"/>
          <w:color w:val="000000"/>
        </w:rPr>
        <w:t xml:space="preserve">‡ J, </w:t>
      </w:r>
      <w:proofErr w:type="spellStart"/>
      <w:r w:rsidRPr="0003196B">
        <w:rPr>
          <w:rFonts w:ascii="Book Antiqua" w:eastAsia="Book Antiqua" w:hAnsi="Book Antiqua" w:cs="Book Antiqua"/>
          <w:color w:val="000000"/>
        </w:rPr>
        <w:t>Šušnjar</w:t>
      </w:r>
      <w:proofErr w:type="spellEnd"/>
      <w:r w:rsidRPr="0003196B">
        <w:rPr>
          <w:rFonts w:ascii="Book Antiqua" w:eastAsia="Book Antiqua" w:hAnsi="Book Antiqua" w:cs="Book Antiqua"/>
          <w:color w:val="000000"/>
        </w:rPr>
        <w:t xml:space="preserve"> T, </w:t>
      </w:r>
      <w:proofErr w:type="spellStart"/>
      <w:r w:rsidRPr="0003196B">
        <w:rPr>
          <w:rFonts w:ascii="Book Antiqua" w:eastAsia="Book Antiqua" w:hAnsi="Book Antiqua" w:cs="Book Antiqua"/>
          <w:color w:val="000000"/>
        </w:rPr>
        <w:t>TodoriÄ</w:t>
      </w:r>
      <w:proofErr w:type="spellEnd"/>
      <w:r w:rsidRPr="0003196B">
        <w:rPr>
          <w:rFonts w:ascii="Book Antiqua" w:eastAsia="Book Antiqua" w:hAnsi="Book Antiqua" w:cs="Book Antiqua"/>
          <w:color w:val="000000"/>
        </w:rPr>
        <w:t xml:space="preserve">‡ D, </w:t>
      </w:r>
      <w:proofErr w:type="spellStart"/>
      <w:r w:rsidRPr="0003196B">
        <w:rPr>
          <w:rFonts w:ascii="Book Antiqua" w:eastAsia="Book Antiqua" w:hAnsi="Book Antiqua" w:cs="Book Antiqua"/>
          <w:color w:val="000000"/>
        </w:rPr>
        <w:t>MeštroviÄ</w:t>
      </w:r>
      <w:proofErr w:type="spellEnd"/>
      <w:r w:rsidRPr="0003196B">
        <w:rPr>
          <w:rFonts w:ascii="Book Antiqua" w:eastAsia="Book Antiqua" w:hAnsi="Book Antiqua" w:cs="Book Antiqua"/>
          <w:color w:val="000000"/>
        </w:rPr>
        <w:t xml:space="preserve">‡ J, </w:t>
      </w:r>
      <w:proofErr w:type="spellStart"/>
      <w:r w:rsidRPr="0003196B">
        <w:rPr>
          <w:rFonts w:ascii="Book Antiqua" w:eastAsia="Book Antiqua" w:hAnsi="Book Antiqua" w:cs="Book Antiqua"/>
          <w:color w:val="000000"/>
        </w:rPr>
        <w:t>MilunoviÄ</w:t>
      </w:r>
      <w:proofErr w:type="spellEnd"/>
      <w:r w:rsidRPr="0003196B">
        <w:rPr>
          <w:rFonts w:ascii="Book Antiqua" w:eastAsia="Book Antiqua" w:hAnsi="Book Antiqua" w:cs="Book Antiqua"/>
          <w:color w:val="000000"/>
        </w:rPr>
        <w:t xml:space="preserve">‡ KP. Elastic stable intramedullary nailing for pediatric long bone fractures: experience with 175 fractures. </w:t>
      </w:r>
      <w:proofErr w:type="spellStart"/>
      <w:r w:rsidRPr="0003196B">
        <w:rPr>
          <w:rFonts w:ascii="Book Antiqua" w:eastAsia="Book Antiqua" w:hAnsi="Book Antiqua" w:cs="Book Antiqua"/>
          <w:i/>
          <w:iCs/>
          <w:color w:val="000000"/>
        </w:rPr>
        <w:t>Scand</w:t>
      </w:r>
      <w:proofErr w:type="spellEnd"/>
      <w:r w:rsidRPr="0003196B">
        <w:rPr>
          <w:rFonts w:ascii="Book Antiqua" w:eastAsia="Book Antiqua" w:hAnsi="Book Antiqua" w:cs="Book Antiqua"/>
          <w:i/>
          <w:iCs/>
          <w:color w:val="000000"/>
        </w:rPr>
        <w:t xml:space="preserve"> J </w:t>
      </w:r>
      <w:proofErr w:type="spellStart"/>
      <w:r w:rsidRPr="0003196B">
        <w:rPr>
          <w:rFonts w:ascii="Book Antiqua" w:eastAsia="Book Antiqua" w:hAnsi="Book Antiqua" w:cs="Book Antiqua"/>
          <w:i/>
          <w:iCs/>
          <w:color w:val="000000"/>
        </w:rPr>
        <w:t>Surg</w:t>
      </w:r>
      <w:proofErr w:type="spellEnd"/>
      <w:r w:rsidRPr="0003196B">
        <w:rPr>
          <w:rFonts w:ascii="Book Antiqua" w:eastAsia="Book Antiqua" w:hAnsi="Book Antiqua" w:cs="Book Antiqua"/>
          <w:color w:val="000000"/>
        </w:rPr>
        <w:t xml:space="preserve"> 2011; </w:t>
      </w:r>
      <w:r w:rsidRPr="0003196B">
        <w:rPr>
          <w:rFonts w:ascii="Book Antiqua" w:eastAsia="Book Antiqua" w:hAnsi="Book Antiqua" w:cs="Book Antiqua"/>
          <w:b/>
          <w:bCs/>
          <w:color w:val="000000"/>
        </w:rPr>
        <w:t>100</w:t>
      </w:r>
      <w:r w:rsidRPr="0003196B">
        <w:rPr>
          <w:rFonts w:ascii="Book Antiqua" w:eastAsia="Book Antiqua" w:hAnsi="Book Antiqua" w:cs="Book Antiqua"/>
          <w:color w:val="000000"/>
        </w:rPr>
        <w:t>: 208-215 [PMID: 22108751 DOI: 10.1177/145749691110000313]</w:t>
      </w:r>
    </w:p>
    <w:p w14:paraId="2CEA0C45"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18 </w:t>
      </w:r>
      <w:r w:rsidRPr="0003196B">
        <w:rPr>
          <w:rFonts w:ascii="Book Antiqua" w:eastAsia="Book Antiqua" w:hAnsi="Book Antiqua" w:cs="Book Antiqua"/>
          <w:b/>
          <w:bCs/>
          <w:color w:val="000000"/>
        </w:rPr>
        <w:t>John R</w:t>
      </w:r>
      <w:r w:rsidRPr="0003196B">
        <w:rPr>
          <w:rFonts w:ascii="Book Antiqua" w:eastAsia="Book Antiqua" w:hAnsi="Book Antiqua" w:cs="Book Antiqua"/>
          <w:color w:val="000000"/>
        </w:rPr>
        <w:t xml:space="preserve">, Sharma S, Raj GN, Singh J, C V, </w:t>
      </w:r>
      <w:proofErr w:type="spellStart"/>
      <w:r w:rsidRPr="0003196B">
        <w:rPr>
          <w:rFonts w:ascii="Book Antiqua" w:eastAsia="Book Antiqua" w:hAnsi="Book Antiqua" w:cs="Book Antiqua"/>
          <w:color w:val="000000"/>
        </w:rPr>
        <w:t>Rhh</w:t>
      </w:r>
      <w:proofErr w:type="spellEnd"/>
      <w:r w:rsidRPr="0003196B">
        <w:rPr>
          <w:rFonts w:ascii="Book Antiqua" w:eastAsia="Book Antiqua" w:hAnsi="Book Antiqua" w:cs="Book Antiqua"/>
          <w:color w:val="000000"/>
        </w:rPr>
        <w:t xml:space="preserve"> A, Khurana A. Current Concepts in </w:t>
      </w:r>
      <w:proofErr w:type="spellStart"/>
      <w:r w:rsidRPr="0003196B">
        <w:rPr>
          <w:rFonts w:ascii="Book Antiqua" w:eastAsia="Book Antiqua" w:hAnsi="Book Antiqua" w:cs="Book Antiqua"/>
          <w:color w:val="000000"/>
        </w:rPr>
        <w:t>Paediatric</w:t>
      </w:r>
      <w:proofErr w:type="spellEnd"/>
      <w:r w:rsidRPr="0003196B">
        <w:rPr>
          <w:rFonts w:ascii="Book Antiqua" w:eastAsia="Book Antiqua" w:hAnsi="Book Antiqua" w:cs="Book Antiqua"/>
          <w:color w:val="000000"/>
        </w:rPr>
        <w:t xml:space="preserve"> Femoral Shaft Fractures. </w:t>
      </w:r>
      <w:r w:rsidRPr="0003196B">
        <w:rPr>
          <w:rFonts w:ascii="Book Antiqua" w:eastAsia="Book Antiqua" w:hAnsi="Book Antiqua" w:cs="Book Antiqua"/>
          <w:i/>
          <w:iCs/>
          <w:color w:val="000000"/>
        </w:rPr>
        <w:t xml:space="preserve">Open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J</w:t>
      </w:r>
      <w:r w:rsidRPr="0003196B">
        <w:rPr>
          <w:rFonts w:ascii="Book Antiqua" w:eastAsia="Book Antiqua" w:hAnsi="Book Antiqua" w:cs="Book Antiqua"/>
          <w:color w:val="000000"/>
        </w:rPr>
        <w:t xml:space="preserve"> 2017; </w:t>
      </w:r>
      <w:r w:rsidRPr="0003196B">
        <w:rPr>
          <w:rFonts w:ascii="Book Antiqua" w:eastAsia="Book Antiqua" w:hAnsi="Book Antiqua" w:cs="Book Antiqua"/>
          <w:b/>
          <w:bCs/>
          <w:color w:val="000000"/>
        </w:rPr>
        <w:t>11</w:t>
      </w:r>
      <w:r w:rsidRPr="0003196B">
        <w:rPr>
          <w:rFonts w:ascii="Book Antiqua" w:eastAsia="Book Antiqua" w:hAnsi="Book Antiqua" w:cs="Book Antiqua"/>
          <w:color w:val="000000"/>
        </w:rPr>
        <w:t>: 353-368 [PMID: 28603567 DOI: 10.2174/1874325001711010353]</w:t>
      </w:r>
    </w:p>
    <w:p w14:paraId="29E56EA3"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19 </w:t>
      </w:r>
      <w:proofErr w:type="spellStart"/>
      <w:r w:rsidRPr="0003196B">
        <w:rPr>
          <w:rFonts w:ascii="Book Antiqua" w:eastAsia="Book Antiqua" w:hAnsi="Book Antiqua" w:cs="Book Antiqua"/>
          <w:b/>
          <w:bCs/>
          <w:color w:val="000000"/>
        </w:rPr>
        <w:t>Shaha</w:t>
      </w:r>
      <w:proofErr w:type="spellEnd"/>
      <w:r w:rsidRPr="0003196B">
        <w:rPr>
          <w:rFonts w:ascii="Book Antiqua" w:eastAsia="Book Antiqua" w:hAnsi="Book Antiqua" w:cs="Book Antiqua"/>
          <w:b/>
          <w:bCs/>
          <w:color w:val="000000"/>
        </w:rPr>
        <w:t xml:space="preserve"> J</w:t>
      </w:r>
      <w:r w:rsidRPr="0003196B">
        <w:rPr>
          <w:rFonts w:ascii="Book Antiqua" w:eastAsia="Book Antiqua" w:hAnsi="Book Antiqua" w:cs="Book Antiqua"/>
          <w:color w:val="000000"/>
        </w:rPr>
        <w:t xml:space="preserve">, Cage JM, Black S, Wimberly RL, </w:t>
      </w:r>
      <w:proofErr w:type="spellStart"/>
      <w:r w:rsidRPr="0003196B">
        <w:rPr>
          <w:rFonts w:ascii="Book Antiqua" w:eastAsia="Book Antiqua" w:hAnsi="Book Antiqua" w:cs="Book Antiqua"/>
          <w:color w:val="000000"/>
        </w:rPr>
        <w:t>Shaha</w:t>
      </w:r>
      <w:proofErr w:type="spellEnd"/>
      <w:r w:rsidRPr="0003196B">
        <w:rPr>
          <w:rFonts w:ascii="Book Antiqua" w:eastAsia="Book Antiqua" w:hAnsi="Book Antiqua" w:cs="Book Antiqua"/>
          <w:color w:val="000000"/>
        </w:rPr>
        <w:t xml:space="preserve"> SH, Riccio AI. Flexible Intramedullary Nails for Femur Fractures in Pediatric Patients Heavier Than 100 Pounds.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2018; </w:t>
      </w:r>
      <w:r w:rsidRPr="0003196B">
        <w:rPr>
          <w:rFonts w:ascii="Book Antiqua" w:eastAsia="Book Antiqua" w:hAnsi="Book Antiqua" w:cs="Book Antiqua"/>
          <w:b/>
          <w:bCs/>
          <w:color w:val="000000"/>
        </w:rPr>
        <w:t>38</w:t>
      </w:r>
      <w:r w:rsidRPr="0003196B">
        <w:rPr>
          <w:rFonts w:ascii="Book Antiqua" w:eastAsia="Book Antiqua" w:hAnsi="Book Antiqua" w:cs="Book Antiqua"/>
          <w:color w:val="000000"/>
        </w:rPr>
        <w:t>: 88-93 [PMID: 27137905 DOI: 10.1097/BPO.0000000000000775]</w:t>
      </w:r>
    </w:p>
    <w:p w14:paraId="61D22633"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20 </w:t>
      </w:r>
      <w:proofErr w:type="spellStart"/>
      <w:r w:rsidRPr="0003196B">
        <w:rPr>
          <w:rFonts w:ascii="Book Antiqua" w:eastAsia="Book Antiqua" w:hAnsi="Book Antiqua" w:cs="Book Antiqua"/>
          <w:b/>
          <w:bCs/>
          <w:color w:val="000000"/>
        </w:rPr>
        <w:t>Cosma</w:t>
      </w:r>
      <w:proofErr w:type="spellEnd"/>
      <w:r w:rsidRPr="0003196B">
        <w:rPr>
          <w:rFonts w:ascii="Book Antiqua" w:eastAsia="Book Antiqua" w:hAnsi="Book Antiqua" w:cs="Book Antiqua"/>
          <w:b/>
          <w:bCs/>
          <w:color w:val="000000"/>
        </w:rPr>
        <w:t xml:space="preserve"> D</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Vasilescu</w:t>
      </w:r>
      <w:proofErr w:type="spellEnd"/>
      <w:r w:rsidRPr="0003196B">
        <w:rPr>
          <w:rFonts w:ascii="Book Antiqua" w:eastAsia="Book Antiqua" w:hAnsi="Book Antiqua" w:cs="Book Antiqua"/>
          <w:color w:val="000000"/>
        </w:rPr>
        <w:t xml:space="preserve"> DE. Elastic Stable Intramedullary Nailing for Fractures in Children - Specific Applications. </w:t>
      </w:r>
      <w:proofErr w:type="spellStart"/>
      <w:r w:rsidRPr="0003196B">
        <w:rPr>
          <w:rFonts w:ascii="Book Antiqua" w:eastAsia="Book Antiqua" w:hAnsi="Book Antiqua" w:cs="Book Antiqua"/>
          <w:i/>
          <w:iCs/>
          <w:color w:val="000000"/>
        </w:rPr>
        <w:t>Clujul</w:t>
      </w:r>
      <w:proofErr w:type="spellEnd"/>
      <w:r w:rsidRPr="0003196B">
        <w:rPr>
          <w:rFonts w:ascii="Book Antiqua" w:eastAsia="Book Antiqua" w:hAnsi="Book Antiqua" w:cs="Book Antiqua"/>
          <w:i/>
          <w:iCs/>
          <w:color w:val="000000"/>
        </w:rPr>
        <w:t xml:space="preserve"> Med</w:t>
      </w:r>
      <w:r w:rsidRPr="0003196B">
        <w:rPr>
          <w:rFonts w:ascii="Book Antiqua" w:eastAsia="Book Antiqua" w:hAnsi="Book Antiqua" w:cs="Book Antiqua"/>
          <w:color w:val="000000"/>
        </w:rPr>
        <w:t xml:space="preserve"> 2014; </w:t>
      </w:r>
      <w:r w:rsidRPr="0003196B">
        <w:rPr>
          <w:rFonts w:ascii="Book Antiqua" w:eastAsia="Book Antiqua" w:hAnsi="Book Antiqua" w:cs="Book Antiqua"/>
          <w:b/>
          <w:bCs/>
          <w:color w:val="000000"/>
        </w:rPr>
        <w:t>87</w:t>
      </w:r>
      <w:r w:rsidRPr="0003196B">
        <w:rPr>
          <w:rFonts w:ascii="Book Antiqua" w:eastAsia="Book Antiqua" w:hAnsi="Book Antiqua" w:cs="Book Antiqua"/>
          <w:color w:val="000000"/>
        </w:rPr>
        <w:t>: 147-151 [PMID: 26528014 DOI: 10.15386/cjmed-275]</w:t>
      </w:r>
    </w:p>
    <w:p w14:paraId="56105B33"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21 </w:t>
      </w:r>
      <w:r w:rsidRPr="0003196B">
        <w:rPr>
          <w:rFonts w:ascii="Book Antiqua" w:eastAsia="Book Antiqua" w:hAnsi="Book Antiqua" w:cs="Book Antiqua"/>
          <w:b/>
          <w:bCs/>
          <w:color w:val="000000"/>
        </w:rPr>
        <w:t>Allen JD</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Murr</w:t>
      </w:r>
      <w:proofErr w:type="spellEnd"/>
      <w:r w:rsidRPr="0003196B">
        <w:rPr>
          <w:rFonts w:ascii="Book Antiqua" w:eastAsia="Book Antiqua" w:hAnsi="Book Antiqua" w:cs="Book Antiqua"/>
          <w:color w:val="000000"/>
        </w:rPr>
        <w:t xml:space="preserve"> K, </w:t>
      </w:r>
      <w:proofErr w:type="spellStart"/>
      <w:r w:rsidRPr="0003196B">
        <w:rPr>
          <w:rFonts w:ascii="Book Antiqua" w:eastAsia="Book Antiqua" w:hAnsi="Book Antiqua" w:cs="Book Antiqua"/>
          <w:color w:val="000000"/>
        </w:rPr>
        <w:t>Albitar</w:t>
      </w:r>
      <w:proofErr w:type="spellEnd"/>
      <w:r w:rsidRPr="0003196B">
        <w:rPr>
          <w:rFonts w:ascii="Book Antiqua" w:eastAsia="Book Antiqua" w:hAnsi="Book Antiqua" w:cs="Book Antiqua"/>
          <w:color w:val="000000"/>
        </w:rPr>
        <w:t xml:space="preserve"> F, Jacobs C, </w:t>
      </w:r>
      <w:proofErr w:type="spellStart"/>
      <w:r w:rsidRPr="0003196B">
        <w:rPr>
          <w:rFonts w:ascii="Book Antiqua" w:eastAsia="Book Antiqua" w:hAnsi="Book Antiqua" w:cs="Book Antiqua"/>
          <w:color w:val="000000"/>
        </w:rPr>
        <w:t>Moghadamian</w:t>
      </w:r>
      <w:proofErr w:type="spellEnd"/>
      <w:r w:rsidRPr="0003196B">
        <w:rPr>
          <w:rFonts w:ascii="Book Antiqua" w:eastAsia="Book Antiqua" w:hAnsi="Book Antiqua" w:cs="Book Antiqua"/>
          <w:color w:val="000000"/>
        </w:rPr>
        <w:t xml:space="preserve"> ES, </w:t>
      </w:r>
      <w:proofErr w:type="spellStart"/>
      <w:r w:rsidRPr="0003196B">
        <w:rPr>
          <w:rFonts w:ascii="Book Antiqua" w:eastAsia="Book Antiqua" w:hAnsi="Book Antiqua" w:cs="Book Antiqua"/>
          <w:color w:val="000000"/>
        </w:rPr>
        <w:t>Muchow</w:t>
      </w:r>
      <w:proofErr w:type="spellEnd"/>
      <w:r w:rsidRPr="0003196B">
        <w:rPr>
          <w:rFonts w:ascii="Book Antiqua" w:eastAsia="Book Antiqua" w:hAnsi="Book Antiqua" w:cs="Book Antiqua"/>
          <w:color w:val="000000"/>
        </w:rPr>
        <w:t xml:space="preserve"> R. Titanium Elastic Nailing has Superior Value to Plate Fixation of Midshaft Femur Fractures in Children 5 to 11 Years.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2018; </w:t>
      </w:r>
      <w:r w:rsidRPr="0003196B">
        <w:rPr>
          <w:rFonts w:ascii="Book Antiqua" w:eastAsia="Book Antiqua" w:hAnsi="Book Antiqua" w:cs="Book Antiqua"/>
          <w:b/>
          <w:bCs/>
          <w:color w:val="000000"/>
        </w:rPr>
        <w:t>38</w:t>
      </w:r>
      <w:r w:rsidRPr="0003196B">
        <w:rPr>
          <w:rFonts w:ascii="Book Antiqua" w:eastAsia="Book Antiqua" w:hAnsi="Book Antiqua" w:cs="Book Antiqua"/>
          <w:color w:val="000000"/>
        </w:rPr>
        <w:t>: e111-e117 [PMID: 29324528 DOI: 10.1097/BPO.0000000000001129]</w:t>
      </w:r>
    </w:p>
    <w:p w14:paraId="4C87AA37"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22 </w:t>
      </w:r>
      <w:r w:rsidRPr="0003196B">
        <w:rPr>
          <w:rFonts w:ascii="Book Antiqua" w:eastAsia="Book Antiqua" w:hAnsi="Book Antiqua" w:cs="Book Antiqua"/>
          <w:b/>
          <w:bCs/>
          <w:color w:val="000000"/>
        </w:rPr>
        <w:t>Salem KH</w:t>
      </w:r>
      <w:r w:rsidRPr="0003196B">
        <w:rPr>
          <w:rFonts w:ascii="Book Antiqua" w:eastAsia="Book Antiqua" w:hAnsi="Book Antiqua" w:cs="Book Antiqua"/>
          <w:color w:val="000000"/>
        </w:rPr>
        <w:t xml:space="preserve">, Keppler P. Limb geometry after elastic stable nailing for pediatric femoral fractures. </w:t>
      </w:r>
      <w:r w:rsidRPr="0003196B">
        <w:rPr>
          <w:rFonts w:ascii="Book Antiqua" w:eastAsia="Book Antiqua" w:hAnsi="Book Antiqua" w:cs="Book Antiqua"/>
          <w:i/>
          <w:iCs/>
          <w:color w:val="000000"/>
        </w:rPr>
        <w:t>J Bone Joint Surg Am</w:t>
      </w:r>
      <w:r w:rsidRPr="0003196B">
        <w:rPr>
          <w:rFonts w:ascii="Book Antiqua" w:eastAsia="Book Antiqua" w:hAnsi="Book Antiqua" w:cs="Book Antiqua"/>
          <w:color w:val="000000"/>
        </w:rPr>
        <w:t xml:space="preserve"> 2010; </w:t>
      </w:r>
      <w:r w:rsidRPr="0003196B">
        <w:rPr>
          <w:rFonts w:ascii="Book Antiqua" w:eastAsia="Book Antiqua" w:hAnsi="Book Antiqua" w:cs="Book Antiqua"/>
          <w:b/>
          <w:bCs/>
          <w:color w:val="000000"/>
        </w:rPr>
        <w:t>92</w:t>
      </w:r>
      <w:r w:rsidRPr="0003196B">
        <w:rPr>
          <w:rFonts w:ascii="Book Antiqua" w:eastAsia="Book Antiqua" w:hAnsi="Book Antiqua" w:cs="Book Antiqua"/>
          <w:color w:val="000000"/>
        </w:rPr>
        <w:t>: 1409-1417 [PMID: 20516316 DOI: 10.2106/JBJS.I.00538]</w:t>
      </w:r>
    </w:p>
    <w:p w14:paraId="0B99CF09"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23 </w:t>
      </w:r>
      <w:r w:rsidRPr="0003196B">
        <w:rPr>
          <w:rFonts w:ascii="Book Antiqua" w:eastAsia="Book Antiqua" w:hAnsi="Book Antiqua" w:cs="Book Antiqua"/>
          <w:b/>
          <w:bCs/>
          <w:color w:val="000000"/>
        </w:rPr>
        <w:t>Flynn JM</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Hresko</w:t>
      </w:r>
      <w:proofErr w:type="spellEnd"/>
      <w:r w:rsidRPr="0003196B">
        <w:rPr>
          <w:rFonts w:ascii="Book Antiqua" w:eastAsia="Book Antiqua" w:hAnsi="Book Antiqua" w:cs="Book Antiqua"/>
          <w:color w:val="000000"/>
        </w:rPr>
        <w:t xml:space="preserve"> T, Reynolds RA, </w:t>
      </w:r>
      <w:proofErr w:type="spellStart"/>
      <w:r w:rsidRPr="0003196B">
        <w:rPr>
          <w:rFonts w:ascii="Book Antiqua" w:eastAsia="Book Antiqua" w:hAnsi="Book Antiqua" w:cs="Book Antiqua"/>
          <w:color w:val="000000"/>
        </w:rPr>
        <w:t>Blasier</w:t>
      </w:r>
      <w:proofErr w:type="spellEnd"/>
      <w:r w:rsidRPr="0003196B">
        <w:rPr>
          <w:rFonts w:ascii="Book Antiqua" w:eastAsia="Book Antiqua" w:hAnsi="Book Antiqua" w:cs="Book Antiqua"/>
          <w:color w:val="000000"/>
        </w:rPr>
        <w:t xml:space="preserve"> RD, Davidson R, </w:t>
      </w:r>
      <w:proofErr w:type="spellStart"/>
      <w:r w:rsidRPr="0003196B">
        <w:rPr>
          <w:rFonts w:ascii="Book Antiqua" w:eastAsia="Book Antiqua" w:hAnsi="Book Antiqua" w:cs="Book Antiqua"/>
          <w:color w:val="000000"/>
        </w:rPr>
        <w:t>Kasser</w:t>
      </w:r>
      <w:proofErr w:type="spellEnd"/>
      <w:r w:rsidRPr="0003196B">
        <w:rPr>
          <w:rFonts w:ascii="Book Antiqua" w:eastAsia="Book Antiqua" w:hAnsi="Book Antiqua" w:cs="Book Antiqua"/>
          <w:color w:val="000000"/>
        </w:rPr>
        <w:t xml:space="preserve"> J. Titanium elastic nails for pediatric femur fractures: a multicenter study of early results with analysis of complications.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2001; </w:t>
      </w:r>
      <w:r w:rsidRPr="0003196B">
        <w:rPr>
          <w:rFonts w:ascii="Book Antiqua" w:eastAsia="Book Antiqua" w:hAnsi="Book Antiqua" w:cs="Book Antiqua"/>
          <w:b/>
          <w:bCs/>
          <w:color w:val="000000"/>
        </w:rPr>
        <w:t>21</w:t>
      </w:r>
      <w:r w:rsidRPr="0003196B">
        <w:rPr>
          <w:rFonts w:ascii="Book Antiqua" w:eastAsia="Book Antiqua" w:hAnsi="Book Antiqua" w:cs="Book Antiqua"/>
          <w:color w:val="000000"/>
        </w:rPr>
        <w:t>: 4-8 [PMID: 11176345 DOI: 10.1097/00004694-200101000-00003]</w:t>
      </w:r>
    </w:p>
    <w:p w14:paraId="26A83196"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lastRenderedPageBreak/>
        <w:t xml:space="preserve">24 </w:t>
      </w:r>
      <w:r w:rsidRPr="0003196B">
        <w:rPr>
          <w:rFonts w:ascii="Book Antiqua" w:eastAsia="Book Antiqua" w:hAnsi="Book Antiqua" w:cs="Book Antiqua"/>
          <w:b/>
          <w:bCs/>
          <w:color w:val="000000"/>
        </w:rPr>
        <w:t>Narayanan UG</w:t>
      </w:r>
      <w:r w:rsidRPr="0003196B">
        <w:rPr>
          <w:rFonts w:ascii="Book Antiqua" w:eastAsia="Book Antiqua" w:hAnsi="Book Antiqua" w:cs="Book Antiqua"/>
          <w:color w:val="000000"/>
        </w:rPr>
        <w:t xml:space="preserve">, Hyman JE, Wainwright AM, Rang M, Alman BA. Complications of elastic stable intramedullary nail fixation of pediatric femoral fractures, and how to avoid them.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2004; </w:t>
      </w:r>
      <w:r w:rsidRPr="0003196B">
        <w:rPr>
          <w:rFonts w:ascii="Book Antiqua" w:eastAsia="Book Antiqua" w:hAnsi="Book Antiqua" w:cs="Book Antiqua"/>
          <w:b/>
          <w:bCs/>
          <w:color w:val="000000"/>
        </w:rPr>
        <w:t>24</w:t>
      </w:r>
      <w:r w:rsidRPr="0003196B">
        <w:rPr>
          <w:rFonts w:ascii="Book Antiqua" w:eastAsia="Book Antiqua" w:hAnsi="Book Antiqua" w:cs="Book Antiqua"/>
          <w:color w:val="000000"/>
        </w:rPr>
        <w:t>: 363-369 [PMID: 15205616 DOI: 10.1097/00004694-200407000-00004]</w:t>
      </w:r>
    </w:p>
    <w:p w14:paraId="1D830C81"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25 </w:t>
      </w:r>
      <w:proofErr w:type="spellStart"/>
      <w:r w:rsidRPr="0003196B">
        <w:rPr>
          <w:rFonts w:ascii="Book Antiqua" w:eastAsia="Book Antiqua" w:hAnsi="Book Antiqua" w:cs="Book Antiqua"/>
          <w:b/>
          <w:bCs/>
          <w:color w:val="000000"/>
        </w:rPr>
        <w:t>Windolf</w:t>
      </w:r>
      <w:proofErr w:type="spellEnd"/>
      <w:r w:rsidRPr="0003196B">
        <w:rPr>
          <w:rFonts w:ascii="Book Antiqua" w:eastAsia="Book Antiqua" w:hAnsi="Book Antiqua" w:cs="Book Antiqua"/>
          <w:b/>
          <w:bCs/>
          <w:color w:val="000000"/>
        </w:rPr>
        <w:t xml:space="preserve"> M</w:t>
      </w:r>
      <w:r w:rsidRPr="0003196B">
        <w:rPr>
          <w:rFonts w:ascii="Book Antiqua" w:eastAsia="Book Antiqua" w:hAnsi="Book Antiqua" w:cs="Book Antiqua"/>
          <w:color w:val="000000"/>
        </w:rPr>
        <w:t xml:space="preserve">, Fischer MF, Popp AW, Matthys R, </w:t>
      </w:r>
      <w:proofErr w:type="spellStart"/>
      <w:r w:rsidRPr="0003196B">
        <w:rPr>
          <w:rFonts w:ascii="Book Antiqua" w:eastAsia="Book Antiqua" w:hAnsi="Book Antiqua" w:cs="Book Antiqua"/>
          <w:color w:val="000000"/>
        </w:rPr>
        <w:t>Schwieger</w:t>
      </w:r>
      <w:proofErr w:type="spellEnd"/>
      <w:r w:rsidRPr="0003196B">
        <w:rPr>
          <w:rFonts w:ascii="Book Antiqua" w:eastAsia="Book Antiqua" w:hAnsi="Book Antiqua" w:cs="Book Antiqua"/>
          <w:color w:val="000000"/>
        </w:rPr>
        <w:t xml:space="preserve"> K, </w:t>
      </w:r>
      <w:proofErr w:type="spellStart"/>
      <w:r w:rsidRPr="0003196B">
        <w:rPr>
          <w:rFonts w:ascii="Book Antiqua" w:eastAsia="Book Antiqua" w:hAnsi="Book Antiqua" w:cs="Book Antiqua"/>
          <w:color w:val="000000"/>
        </w:rPr>
        <w:t>Gueorguiev</w:t>
      </w:r>
      <w:proofErr w:type="spellEnd"/>
      <w:r w:rsidRPr="0003196B">
        <w:rPr>
          <w:rFonts w:ascii="Book Antiqua" w:eastAsia="Book Antiqua" w:hAnsi="Book Antiqua" w:cs="Book Antiqua"/>
          <w:color w:val="000000"/>
        </w:rPr>
        <w:t xml:space="preserve"> B, Hunter JB, </w:t>
      </w:r>
      <w:proofErr w:type="spellStart"/>
      <w:r w:rsidRPr="0003196B">
        <w:rPr>
          <w:rFonts w:ascii="Book Antiqua" w:eastAsia="Book Antiqua" w:hAnsi="Book Antiqua" w:cs="Book Antiqua"/>
          <w:color w:val="000000"/>
        </w:rPr>
        <w:t>Slongo</w:t>
      </w:r>
      <w:proofErr w:type="spellEnd"/>
      <w:r w:rsidRPr="0003196B">
        <w:rPr>
          <w:rFonts w:ascii="Book Antiqua" w:eastAsia="Book Antiqua" w:hAnsi="Book Antiqua" w:cs="Book Antiqua"/>
          <w:color w:val="000000"/>
        </w:rPr>
        <w:t xml:space="preserve"> TF. End caps prevent nail migration in elastic stable intramedullary nailing in </w:t>
      </w:r>
      <w:proofErr w:type="spellStart"/>
      <w:r w:rsidRPr="0003196B">
        <w:rPr>
          <w:rFonts w:ascii="Book Antiqua" w:eastAsia="Book Antiqua" w:hAnsi="Book Antiqua" w:cs="Book Antiqua"/>
          <w:color w:val="000000"/>
        </w:rPr>
        <w:t>paediatric</w:t>
      </w:r>
      <w:proofErr w:type="spellEnd"/>
      <w:r w:rsidRPr="0003196B">
        <w:rPr>
          <w:rFonts w:ascii="Book Antiqua" w:eastAsia="Book Antiqua" w:hAnsi="Book Antiqua" w:cs="Book Antiqua"/>
          <w:color w:val="000000"/>
        </w:rPr>
        <w:t xml:space="preserve"> femoral fractures: a biomechanical study using synthetic and cadaveric bones. </w:t>
      </w:r>
      <w:r w:rsidRPr="0003196B">
        <w:rPr>
          <w:rFonts w:ascii="Book Antiqua" w:eastAsia="Book Antiqua" w:hAnsi="Book Antiqua" w:cs="Book Antiqua"/>
          <w:i/>
          <w:iCs/>
          <w:color w:val="000000"/>
        </w:rPr>
        <w:t>Bone Joint J</w:t>
      </w:r>
      <w:r w:rsidRPr="0003196B">
        <w:rPr>
          <w:rFonts w:ascii="Book Antiqua" w:eastAsia="Book Antiqua" w:hAnsi="Book Antiqua" w:cs="Book Antiqua"/>
          <w:color w:val="000000"/>
        </w:rPr>
        <w:t xml:space="preserve"> 2015; </w:t>
      </w:r>
      <w:r w:rsidRPr="0003196B">
        <w:rPr>
          <w:rFonts w:ascii="Book Antiqua" w:eastAsia="Book Antiqua" w:hAnsi="Book Antiqua" w:cs="Book Antiqua"/>
          <w:b/>
          <w:bCs/>
          <w:color w:val="000000"/>
        </w:rPr>
        <w:t>97-B</w:t>
      </w:r>
      <w:r w:rsidRPr="0003196B">
        <w:rPr>
          <w:rFonts w:ascii="Book Antiqua" w:eastAsia="Book Antiqua" w:hAnsi="Book Antiqua" w:cs="Book Antiqua"/>
          <w:color w:val="000000"/>
        </w:rPr>
        <w:t>: 558-563 [PMID: 25820898 DOI: 10.1302/0301-620X.97B4.34169]</w:t>
      </w:r>
    </w:p>
    <w:p w14:paraId="47836F81"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26 </w:t>
      </w:r>
      <w:r w:rsidRPr="0003196B">
        <w:rPr>
          <w:rFonts w:ascii="Book Antiqua" w:eastAsia="Book Antiqua" w:hAnsi="Book Antiqua" w:cs="Book Antiqua"/>
          <w:b/>
          <w:bCs/>
          <w:color w:val="000000"/>
        </w:rPr>
        <w:t>Busch MT</w:t>
      </w:r>
      <w:r w:rsidRPr="0003196B">
        <w:rPr>
          <w:rFonts w:ascii="Book Antiqua" w:eastAsia="Book Antiqua" w:hAnsi="Book Antiqua" w:cs="Book Antiqua"/>
          <w:color w:val="000000"/>
        </w:rPr>
        <w:t xml:space="preserve">, Perkins CA, Nickel BT, Blizzard DJ, </w:t>
      </w:r>
      <w:proofErr w:type="spellStart"/>
      <w:r w:rsidRPr="0003196B">
        <w:rPr>
          <w:rFonts w:ascii="Book Antiqua" w:eastAsia="Book Antiqua" w:hAnsi="Book Antiqua" w:cs="Book Antiqua"/>
          <w:color w:val="000000"/>
        </w:rPr>
        <w:t>Willimon</w:t>
      </w:r>
      <w:proofErr w:type="spellEnd"/>
      <w:r w:rsidRPr="0003196B">
        <w:rPr>
          <w:rFonts w:ascii="Book Antiqua" w:eastAsia="Book Antiqua" w:hAnsi="Book Antiqua" w:cs="Book Antiqua"/>
          <w:color w:val="000000"/>
        </w:rPr>
        <w:t xml:space="preserve"> SC. A Quartet of Elastic Stable Intramedullary Nails for More Challenging Pediatric Femur Fractures.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2019; </w:t>
      </w:r>
      <w:r w:rsidRPr="0003196B">
        <w:rPr>
          <w:rFonts w:ascii="Book Antiqua" w:eastAsia="Book Antiqua" w:hAnsi="Book Antiqua" w:cs="Book Antiqua"/>
          <w:b/>
          <w:bCs/>
          <w:color w:val="000000"/>
        </w:rPr>
        <w:t>39</w:t>
      </w:r>
      <w:r w:rsidRPr="0003196B">
        <w:rPr>
          <w:rFonts w:ascii="Book Antiqua" w:eastAsia="Book Antiqua" w:hAnsi="Book Antiqua" w:cs="Book Antiqua"/>
          <w:color w:val="000000"/>
        </w:rPr>
        <w:t>: e12-e17 [PMID: 30540656 DOI: 10.1097/BPO.0000000000001273]</w:t>
      </w:r>
    </w:p>
    <w:p w14:paraId="18597C03"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27 </w:t>
      </w:r>
      <w:proofErr w:type="spellStart"/>
      <w:r w:rsidRPr="0003196B">
        <w:rPr>
          <w:rFonts w:ascii="Book Antiqua" w:eastAsia="Book Antiqua" w:hAnsi="Book Antiqua" w:cs="Book Antiqua"/>
          <w:b/>
          <w:bCs/>
          <w:color w:val="000000"/>
        </w:rPr>
        <w:t>Tisherman</w:t>
      </w:r>
      <w:proofErr w:type="spellEnd"/>
      <w:r w:rsidRPr="0003196B">
        <w:rPr>
          <w:rFonts w:ascii="Book Antiqua" w:eastAsia="Book Antiqua" w:hAnsi="Book Antiqua" w:cs="Book Antiqua"/>
          <w:b/>
          <w:bCs/>
          <w:color w:val="000000"/>
        </w:rPr>
        <w:t xml:space="preserve"> RT</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Hoellwarth</w:t>
      </w:r>
      <w:proofErr w:type="spellEnd"/>
      <w:r w:rsidRPr="0003196B">
        <w:rPr>
          <w:rFonts w:ascii="Book Antiqua" w:eastAsia="Book Antiqua" w:hAnsi="Book Antiqua" w:cs="Book Antiqua"/>
          <w:color w:val="000000"/>
        </w:rPr>
        <w:t xml:space="preserve"> JS, Mendelson SA. Systematic review of spica casting for the treatment of </w:t>
      </w:r>
      <w:proofErr w:type="spellStart"/>
      <w:r w:rsidRPr="0003196B">
        <w:rPr>
          <w:rFonts w:ascii="Book Antiqua" w:eastAsia="Book Antiqua" w:hAnsi="Book Antiqua" w:cs="Book Antiqua"/>
          <w:color w:val="000000"/>
        </w:rPr>
        <w:t>paediatric</w:t>
      </w:r>
      <w:proofErr w:type="spellEnd"/>
      <w:r w:rsidRPr="0003196B">
        <w:rPr>
          <w:rFonts w:ascii="Book Antiqua" w:eastAsia="Book Antiqua" w:hAnsi="Book Antiqua" w:cs="Book Antiqua"/>
          <w:color w:val="000000"/>
        </w:rPr>
        <w:t xml:space="preserve"> diaphyseal femur fractures. </w:t>
      </w:r>
      <w:r w:rsidRPr="0003196B">
        <w:rPr>
          <w:rFonts w:ascii="Book Antiqua" w:eastAsia="Book Antiqua" w:hAnsi="Book Antiqua" w:cs="Book Antiqua"/>
          <w:i/>
          <w:iCs/>
          <w:color w:val="000000"/>
        </w:rPr>
        <w:t xml:space="preserve">J Child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2018; </w:t>
      </w:r>
      <w:r w:rsidRPr="0003196B">
        <w:rPr>
          <w:rFonts w:ascii="Book Antiqua" w:eastAsia="Book Antiqua" w:hAnsi="Book Antiqua" w:cs="Book Antiqua"/>
          <w:b/>
          <w:bCs/>
          <w:color w:val="000000"/>
        </w:rPr>
        <w:t>12</w:t>
      </w:r>
      <w:r w:rsidRPr="0003196B">
        <w:rPr>
          <w:rFonts w:ascii="Book Antiqua" w:eastAsia="Book Antiqua" w:hAnsi="Book Antiqua" w:cs="Book Antiqua"/>
          <w:color w:val="000000"/>
        </w:rPr>
        <w:t>: 136-144 [PMID: 29707052 DOI: 10.1302/1863-2548.12.170201]</w:t>
      </w:r>
    </w:p>
    <w:p w14:paraId="3BF731E4"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28 </w:t>
      </w:r>
      <w:r w:rsidRPr="0003196B">
        <w:rPr>
          <w:rFonts w:ascii="Book Antiqua" w:eastAsia="Book Antiqua" w:hAnsi="Book Antiqua" w:cs="Book Antiqua"/>
          <w:b/>
          <w:bCs/>
          <w:color w:val="000000"/>
        </w:rPr>
        <w:t>Oh CW</w:t>
      </w:r>
      <w:r w:rsidRPr="0003196B">
        <w:rPr>
          <w:rFonts w:ascii="Book Antiqua" w:eastAsia="Book Antiqua" w:hAnsi="Book Antiqua" w:cs="Book Antiqua"/>
          <w:color w:val="000000"/>
        </w:rPr>
        <w:t xml:space="preserve">, Song HR, Jeon IH, Min WK, Park BC. Nail-assisted percutaneous plating of pediatric femoral fractures. </w:t>
      </w:r>
      <w:proofErr w:type="spellStart"/>
      <w:r w:rsidRPr="0003196B">
        <w:rPr>
          <w:rFonts w:ascii="Book Antiqua" w:eastAsia="Book Antiqua" w:hAnsi="Book Antiqua" w:cs="Book Antiqua"/>
          <w:i/>
          <w:iCs/>
          <w:color w:val="000000"/>
        </w:rPr>
        <w:t>Clin</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Relat</w:t>
      </w:r>
      <w:proofErr w:type="spellEnd"/>
      <w:r w:rsidRPr="0003196B">
        <w:rPr>
          <w:rFonts w:ascii="Book Antiqua" w:eastAsia="Book Antiqua" w:hAnsi="Book Antiqua" w:cs="Book Antiqua"/>
          <w:i/>
          <w:iCs/>
          <w:color w:val="000000"/>
        </w:rPr>
        <w:t xml:space="preserve"> Res</w:t>
      </w:r>
      <w:r w:rsidRPr="0003196B">
        <w:rPr>
          <w:rFonts w:ascii="Book Antiqua" w:eastAsia="Book Antiqua" w:hAnsi="Book Antiqua" w:cs="Book Antiqua"/>
          <w:color w:val="000000"/>
        </w:rPr>
        <w:t xml:space="preserve"> 2007; </w:t>
      </w:r>
      <w:r w:rsidRPr="0003196B">
        <w:rPr>
          <w:rFonts w:ascii="Book Antiqua" w:eastAsia="Book Antiqua" w:hAnsi="Book Antiqua" w:cs="Book Antiqua"/>
          <w:b/>
          <w:bCs/>
          <w:color w:val="000000"/>
        </w:rPr>
        <w:t>456</w:t>
      </w:r>
      <w:r w:rsidRPr="0003196B">
        <w:rPr>
          <w:rFonts w:ascii="Book Antiqua" w:eastAsia="Book Antiqua" w:hAnsi="Book Antiqua" w:cs="Book Antiqua"/>
          <w:color w:val="000000"/>
        </w:rPr>
        <w:t>: 176-181 [PMID: 17159576 DOI: 10.1097/BLO.0b013e31802f583a]</w:t>
      </w:r>
    </w:p>
    <w:p w14:paraId="1541D784"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29 </w:t>
      </w:r>
      <w:proofErr w:type="spellStart"/>
      <w:r w:rsidRPr="0003196B">
        <w:rPr>
          <w:rFonts w:ascii="Book Antiqua" w:eastAsia="Book Antiqua" w:hAnsi="Book Antiqua" w:cs="Book Antiqua"/>
          <w:b/>
          <w:bCs/>
          <w:color w:val="000000"/>
        </w:rPr>
        <w:t>Hedequist</w:t>
      </w:r>
      <w:proofErr w:type="spellEnd"/>
      <w:r w:rsidRPr="0003196B">
        <w:rPr>
          <w:rFonts w:ascii="Book Antiqua" w:eastAsia="Book Antiqua" w:hAnsi="Book Antiqua" w:cs="Book Antiqua"/>
          <w:b/>
          <w:bCs/>
          <w:color w:val="000000"/>
        </w:rPr>
        <w:t xml:space="preserve"> DJ</w:t>
      </w:r>
      <w:r w:rsidRPr="0003196B">
        <w:rPr>
          <w:rFonts w:ascii="Book Antiqua" w:eastAsia="Book Antiqua" w:hAnsi="Book Antiqua" w:cs="Book Antiqua"/>
          <w:color w:val="000000"/>
        </w:rPr>
        <w:t xml:space="preserve">, Sink E. Technical aspects of bridge plating for pediatric femur fractures.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Trauma</w:t>
      </w:r>
      <w:r w:rsidRPr="0003196B">
        <w:rPr>
          <w:rFonts w:ascii="Book Antiqua" w:eastAsia="Book Antiqua" w:hAnsi="Book Antiqua" w:cs="Book Antiqua"/>
          <w:color w:val="000000"/>
        </w:rPr>
        <w:t xml:space="preserve"> 2005; </w:t>
      </w:r>
      <w:r w:rsidRPr="0003196B">
        <w:rPr>
          <w:rFonts w:ascii="Book Antiqua" w:eastAsia="Book Antiqua" w:hAnsi="Book Antiqua" w:cs="Book Antiqua"/>
          <w:b/>
          <w:bCs/>
          <w:color w:val="000000"/>
        </w:rPr>
        <w:t>19</w:t>
      </w:r>
      <w:r w:rsidRPr="0003196B">
        <w:rPr>
          <w:rFonts w:ascii="Book Antiqua" w:eastAsia="Book Antiqua" w:hAnsi="Book Antiqua" w:cs="Book Antiqua"/>
          <w:color w:val="000000"/>
        </w:rPr>
        <w:t>: 276-279 [PMID: 15795577 DOI: 10.1097/01.bot.0000142324.59313.50]</w:t>
      </w:r>
    </w:p>
    <w:p w14:paraId="19F594B5"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30 </w:t>
      </w:r>
      <w:proofErr w:type="spellStart"/>
      <w:r w:rsidRPr="0003196B">
        <w:rPr>
          <w:rFonts w:ascii="Book Antiqua" w:eastAsia="Book Antiqua" w:hAnsi="Book Antiqua" w:cs="Book Antiqua"/>
          <w:b/>
          <w:bCs/>
          <w:color w:val="000000"/>
        </w:rPr>
        <w:t>Hedequist</w:t>
      </w:r>
      <w:proofErr w:type="spellEnd"/>
      <w:r w:rsidRPr="0003196B">
        <w:rPr>
          <w:rFonts w:ascii="Book Antiqua" w:eastAsia="Book Antiqua" w:hAnsi="Book Antiqua" w:cs="Book Antiqua"/>
          <w:b/>
          <w:bCs/>
          <w:color w:val="000000"/>
        </w:rPr>
        <w:t xml:space="preserve"> D</w:t>
      </w:r>
      <w:r w:rsidRPr="0003196B">
        <w:rPr>
          <w:rFonts w:ascii="Book Antiqua" w:eastAsia="Book Antiqua" w:hAnsi="Book Antiqua" w:cs="Book Antiqua"/>
          <w:color w:val="000000"/>
        </w:rPr>
        <w:t xml:space="preserve">, Bishop J, </w:t>
      </w:r>
      <w:proofErr w:type="spellStart"/>
      <w:r w:rsidRPr="0003196B">
        <w:rPr>
          <w:rFonts w:ascii="Book Antiqua" w:eastAsia="Book Antiqua" w:hAnsi="Book Antiqua" w:cs="Book Antiqua"/>
          <w:color w:val="000000"/>
        </w:rPr>
        <w:t>Hresko</w:t>
      </w:r>
      <w:proofErr w:type="spellEnd"/>
      <w:r w:rsidRPr="0003196B">
        <w:rPr>
          <w:rFonts w:ascii="Book Antiqua" w:eastAsia="Book Antiqua" w:hAnsi="Book Antiqua" w:cs="Book Antiqua"/>
          <w:color w:val="000000"/>
        </w:rPr>
        <w:t xml:space="preserve"> T. Locking plate fixation for pediatric femur fractures.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2008; </w:t>
      </w:r>
      <w:r w:rsidRPr="0003196B">
        <w:rPr>
          <w:rFonts w:ascii="Book Antiqua" w:eastAsia="Book Antiqua" w:hAnsi="Book Antiqua" w:cs="Book Antiqua"/>
          <w:b/>
          <w:bCs/>
          <w:color w:val="000000"/>
        </w:rPr>
        <w:t>28</w:t>
      </w:r>
      <w:r w:rsidRPr="0003196B">
        <w:rPr>
          <w:rFonts w:ascii="Book Antiqua" w:eastAsia="Book Antiqua" w:hAnsi="Book Antiqua" w:cs="Book Antiqua"/>
          <w:color w:val="000000"/>
        </w:rPr>
        <w:t>: 6-9 [PMID: 18157038 DOI: 10.1097/bpo.0b013e31815ff301]</w:t>
      </w:r>
    </w:p>
    <w:p w14:paraId="7D56AE9B"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31 </w:t>
      </w:r>
      <w:r w:rsidRPr="0003196B">
        <w:rPr>
          <w:rFonts w:ascii="Book Antiqua" w:eastAsia="Book Antiqua" w:hAnsi="Book Antiqua" w:cs="Book Antiqua"/>
          <w:b/>
          <w:bCs/>
          <w:color w:val="000000"/>
        </w:rPr>
        <w:t>Eidelman M</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Ghrayeb</w:t>
      </w:r>
      <w:proofErr w:type="spellEnd"/>
      <w:r w:rsidRPr="0003196B">
        <w:rPr>
          <w:rFonts w:ascii="Book Antiqua" w:eastAsia="Book Antiqua" w:hAnsi="Book Antiqua" w:cs="Book Antiqua"/>
          <w:color w:val="000000"/>
        </w:rPr>
        <w:t xml:space="preserve"> N, Katzman A, Keren Y. Submuscular plating of femoral fractures in children: the importance of anatomic plate </w:t>
      </w:r>
      <w:proofErr w:type="spellStart"/>
      <w:r w:rsidRPr="0003196B">
        <w:rPr>
          <w:rFonts w:ascii="Book Antiqua" w:eastAsia="Book Antiqua" w:hAnsi="Book Antiqua" w:cs="Book Antiqua"/>
          <w:color w:val="000000"/>
        </w:rPr>
        <w:t>precontouring</w:t>
      </w:r>
      <w:proofErr w:type="spellEnd"/>
      <w:r w:rsidRPr="0003196B">
        <w:rPr>
          <w:rFonts w:ascii="Book Antiqua" w:eastAsia="Book Antiqua" w:hAnsi="Book Antiqua" w:cs="Book Antiqua"/>
          <w:color w:val="000000"/>
        </w:rPr>
        <w:t xml:space="preserve">.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B</w:t>
      </w:r>
      <w:r w:rsidRPr="0003196B">
        <w:rPr>
          <w:rFonts w:ascii="Book Antiqua" w:eastAsia="Book Antiqua" w:hAnsi="Book Antiqua" w:cs="Book Antiqua"/>
          <w:color w:val="000000"/>
        </w:rPr>
        <w:t xml:space="preserve"> 2010; </w:t>
      </w:r>
      <w:r w:rsidRPr="0003196B">
        <w:rPr>
          <w:rFonts w:ascii="Book Antiqua" w:eastAsia="Book Antiqua" w:hAnsi="Book Antiqua" w:cs="Book Antiqua"/>
          <w:b/>
          <w:bCs/>
          <w:color w:val="000000"/>
        </w:rPr>
        <w:t>19</w:t>
      </w:r>
      <w:r w:rsidRPr="0003196B">
        <w:rPr>
          <w:rFonts w:ascii="Book Antiqua" w:eastAsia="Book Antiqua" w:hAnsi="Book Antiqua" w:cs="Book Antiqua"/>
          <w:color w:val="000000"/>
        </w:rPr>
        <w:t>: 424-427 [PMID: 20562655 DOI: 10.1097/BPB.0b013e32833c665e]</w:t>
      </w:r>
    </w:p>
    <w:p w14:paraId="01755BC3" w14:textId="2B390863"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lastRenderedPageBreak/>
        <w:t xml:space="preserve">32 </w:t>
      </w:r>
      <w:proofErr w:type="spellStart"/>
      <w:r w:rsidRPr="0003196B">
        <w:rPr>
          <w:rFonts w:ascii="Book Antiqua" w:eastAsia="Book Antiqua" w:hAnsi="Book Antiqua" w:cs="Book Antiqua"/>
          <w:b/>
          <w:bCs/>
          <w:color w:val="000000"/>
        </w:rPr>
        <w:t>Kanlic</w:t>
      </w:r>
      <w:proofErr w:type="spellEnd"/>
      <w:r w:rsidRPr="0003196B">
        <w:rPr>
          <w:rFonts w:ascii="Book Antiqua" w:eastAsia="Book Antiqua" w:hAnsi="Book Antiqua" w:cs="Book Antiqua"/>
          <w:b/>
          <w:bCs/>
          <w:color w:val="000000"/>
        </w:rPr>
        <w:t xml:space="preserve"> EM</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Anglen</w:t>
      </w:r>
      <w:proofErr w:type="spellEnd"/>
      <w:r w:rsidRPr="0003196B">
        <w:rPr>
          <w:rFonts w:ascii="Book Antiqua" w:eastAsia="Book Antiqua" w:hAnsi="Book Antiqua" w:cs="Book Antiqua"/>
          <w:color w:val="000000"/>
        </w:rPr>
        <w:t xml:space="preserve"> JO, Smith DG, Morgan SJ, </w:t>
      </w:r>
      <w:proofErr w:type="spellStart"/>
      <w:r w:rsidRPr="0003196B">
        <w:rPr>
          <w:rFonts w:ascii="Book Antiqua" w:eastAsia="Book Antiqua" w:hAnsi="Book Antiqua" w:cs="Book Antiqua"/>
          <w:color w:val="000000"/>
        </w:rPr>
        <w:t>Pesántez</w:t>
      </w:r>
      <w:proofErr w:type="spellEnd"/>
      <w:r w:rsidRPr="0003196B">
        <w:rPr>
          <w:rFonts w:ascii="Book Antiqua" w:eastAsia="Book Antiqua" w:hAnsi="Book Antiqua" w:cs="Book Antiqua"/>
          <w:color w:val="000000"/>
        </w:rPr>
        <w:t xml:space="preserve"> RF. Advantages of submuscular bridge plating for complex pediatric femur fractures. </w:t>
      </w:r>
      <w:proofErr w:type="spellStart"/>
      <w:r w:rsidRPr="0003196B">
        <w:rPr>
          <w:rFonts w:ascii="Book Antiqua" w:eastAsia="Book Antiqua" w:hAnsi="Book Antiqua" w:cs="Book Antiqua"/>
          <w:i/>
          <w:iCs/>
          <w:color w:val="000000"/>
        </w:rPr>
        <w:t>Clin</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Relat</w:t>
      </w:r>
      <w:proofErr w:type="spellEnd"/>
      <w:r w:rsidRPr="0003196B">
        <w:rPr>
          <w:rFonts w:ascii="Book Antiqua" w:eastAsia="Book Antiqua" w:hAnsi="Book Antiqua" w:cs="Book Antiqua"/>
          <w:i/>
          <w:iCs/>
          <w:color w:val="000000"/>
        </w:rPr>
        <w:t xml:space="preserve"> Res</w:t>
      </w:r>
      <w:r w:rsidR="000D4A83" w:rsidRPr="0003196B">
        <w:rPr>
          <w:rFonts w:ascii="Book Antiqua" w:eastAsia="Book Antiqua" w:hAnsi="Book Antiqua" w:cs="Book Antiqua"/>
          <w:color w:val="000000"/>
        </w:rPr>
        <w:t xml:space="preserve"> 2004; </w:t>
      </w:r>
      <w:r w:rsidRPr="0003196B">
        <w:rPr>
          <w:rFonts w:ascii="Book Antiqua" w:eastAsia="Book Antiqua" w:hAnsi="Book Antiqua" w:cs="Book Antiqua"/>
          <w:color w:val="000000"/>
        </w:rPr>
        <w:t>244-251 [PMID: 15346081 DOI: 10.1097/01.blo.0000138961.34810.af]</w:t>
      </w:r>
    </w:p>
    <w:p w14:paraId="0E4DE73D"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33 </w:t>
      </w:r>
      <w:proofErr w:type="spellStart"/>
      <w:r w:rsidRPr="0003196B">
        <w:rPr>
          <w:rFonts w:ascii="Book Antiqua" w:eastAsia="Book Antiqua" w:hAnsi="Book Antiqua" w:cs="Book Antiqua"/>
          <w:b/>
          <w:bCs/>
          <w:color w:val="000000"/>
        </w:rPr>
        <w:t>Kanlic</w:t>
      </w:r>
      <w:proofErr w:type="spellEnd"/>
      <w:r w:rsidRPr="0003196B">
        <w:rPr>
          <w:rFonts w:ascii="Book Antiqua" w:eastAsia="Book Antiqua" w:hAnsi="Book Antiqua" w:cs="Book Antiqua"/>
          <w:b/>
          <w:bCs/>
          <w:color w:val="000000"/>
        </w:rPr>
        <w:t xml:space="preserve"> E</w:t>
      </w:r>
      <w:r w:rsidRPr="0003196B">
        <w:rPr>
          <w:rFonts w:ascii="Book Antiqua" w:eastAsia="Book Antiqua" w:hAnsi="Book Antiqua" w:cs="Book Antiqua"/>
          <w:color w:val="000000"/>
        </w:rPr>
        <w:t xml:space="preserve">, Cruz M. Current concepts in pediatric femur fracture treatment. </w:t>
      </w:r>
      <w:r w:rsidRPr="0003196B">
        <w:rPr>
          <w:rFonts w:ascii="Book Antiqua" w:eastAsia="Book Antiqua" w:hAnsi="Book Antiqua" w:cs="Book Antiqua"/>
          <w:i/>
          <w:iCs/>
          <w:color w:val="000000"/>
        </w:rPr>
        <w:t>Orthopedics</w:t>
      </w:r>
      <w:r w:rsidRPr="0003196B">
        <w:rPr>
          <w:rFonts w:ascii="Book Antiqua" w:eastAsia="Book Antiqua" w:hAnsi="Book Antiqua" w:cs="Book Antiqua"/>
          <w:color w:val="000000"/>
        </w:rPr>
        <w:t xml:space="preserve"> 2007; </w:t>
      </w:r>
      <w:r w:rsidRPr="0003196B">
        <w:rPr>
          <w:rFonts w:ascii="Book Antiqua" w:eastAsia="Book Antiqua" w:hAnsi="Book Antiqua" w:cs="Book Antiqua"/>
          <w:b/>
          <w:bCs/>
          <w:color w:val="000000"/>
        </w:rPr>
        <w:t>30</w:t>
      </w:r>
      <w:r w:rsidRPr="0003196B">
        <w:rPr>
          <w:rFonts w:ascii="Book Antiqua" w:eastAsia="Book Antiqua" w:hAnsi="Book Antiqua" w:cs="Book Antiqua"/>
          <w:color w:val="000000"/>
        </w:rPr>
        <w:t>: 1015-1019 [PMID: 18198772 DOI: 10.3928/01477447-20071201-03]</w:t>
      </w:r>
    </w:p>
    <w:p w14:paraId="5DACC6C2"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34 </w:t>
      </w:r>
      <w:proofErr w:type="spellStart"/>
      <w:r w:rsidRPr="0003196B">
        <w:rPr>
          <w:rFonts w:ascii="Book Antiqua" w:eastAsia="Book Antiqua" w:hAnsi="Book Antiqua" w:cs="Book Antiqua"/>
          <w:b/>
          <w:bCs/>
          <w:color w:val="000000"/>
        </w:rPr>
        <w:t>Mileski</w:t>
      </w:r>
      <w:proofErr w:type="spellEnd"/>
      <w:r w:rsidRPr="0003196B">
        <w:rPr>
          <w:rFonts w:ascii="Book Antiqua" w:eastAsia="Book Antiqua" w:hAnsi="Book Antiqua" w:cs="Book Antiqua"/>
          <w:b/>
          <w:bCs/>
          <w:color w:val="000000"/>
        </w:rPr>
        <w:t xml:space="preserve"> RA</w:t>
      </w:r>
      <w:r w:rsidRPr="0003196B">
        <w:rPr>
          <w:rFonts w:ascii="Book Antiqua" w:eastAsia="Book Antiqua" w:hAnsi="Book Antiqua" w:cs="Book Antiqua"/>
          <w:color w:val="000000"/>
        </w:rPr>
        <w:t xml:space="preserve">, Garvin KL, Crosby LA. Avascular necrosis of the femoral head in an adolescent following intramedullary nailing of the femur. A case report. </w:t>
      </w:r>
      <w:r w:rsidRPr="0003196B">
        <w:rPr>
          <w:rFonts w:ascii="Book Antiqua" w:eastAsia="Book Antiqua" w:hAnsi="Book Antiqua" w:cs="Book Antiqua"/>
          <w:i/>
          <w:iCs/>
          <w:color w:val="000000"/>
        </w:rPr>
        <w:t>J Bone Joint Surg Am</w:t>
      </w:r>
      <w:r w:rsidRPr="0003196B">
        <w:rPr>
          <w:rFonts w:ascii="Book Antiqua" w:eastAsia="Book Antiqua" w:hAnsi="Book Antiqua" w:cs="Book Antiqua"/>
          <w:color w:val="000000"/>
        </w:rPr>
        <w:t xml:space="preserve"> 1994; </w:t>
      </w:r>
      <w:r w:rsidRPr="0003196B">
        <w:rPr>
          <w:rFonts w:ascii="Book Antiqua" w:eastAsia="Book Antiqua" w:hAnsi="Book Antiqua" w:cs="Book Antiqua"/>
          <w:b/>
          <w:bCs/>
          <w:color w:val="000000"/>
        </w:rPr>
        <w:t>76</w:t>
      </w:r>
      <w:r w:rsidRPr="0003196B">
        <w:rPr>
          <w:rFonts w:ascii="Book Antiqua" w:eastAsia="Book Antiqua" w:hAnsi="Book Antiqua" w:cs="Book Antiqua"/>
          <w:color w:val="000000"/>
        </w:rPr>
        <w:t>: 1706-1708 [PMID: 7962031 DOI: 10.2106/00004623-199411000-00014]</w:t>
      </w:r>
    </w:p>
    <w:p w14:paraId="4851DD46"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35 </w:t>
      </w:r>
      <w:r w:rsidRPr="0003196B">
        <w:rPr>
          <w:rFonts w:ascii="Book Antiqua" w:eastAsia="Book Antiqua" w:hAnsi="Book Antiqua" w:cs="Book Antiqua"/>
          <w:b/>
          <w:bCs/>
          <w:color w:val="000000"/>
        </w:rPr>
        <w:t>O'Malley DE</w:t>
      </w:r>
      <w:r w:rsidRPr="0003196B">
        <w:rPr>
          <w:rFonts w:ascii="Book Antiqua" w:eastAsia="Book Antiqua" w:hAnsi="Book Antiqua" w:cs="Book Antiqua"/>
          <w:color w:val="000000"/>
        </w:rPr>
        <w:t xml:space="preserve">, Mazur JM, Cummings RJ. Femoral head avascular necrosis associated with intramedullary nailing in an adolescent.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1995; </w:t>
      </w:r>
      <w:r w:rsidRPr="0003196B">
        <w:rPr>
          <w:rFonts w:ascii="Book Antiqua" w:eastAsia="Book Antiqua" w:hAnsi="Book Antiqua" w:cs="Book Antiqua"/>
          <w:b/>
          <w:bCs/>
          <w:color w:val="000000"/>
        </w:rPr>
        <w:t>15</w:t>
      </w:r>
      <w:r w:rsidRPr="0003196B">
        <w:rPr>
          <w:rFonts w:ascii="Book Antiqua" w:eastAsia="Book Antiqua" w:hAnsi="Book Antiqua" w:cs="Book Antiqua"/>
          <w:color w:val="000000"/>
        </w:rPr>
        <w:t>: 21-23 [PMID: 7883920 DOI: 10.1097/01241398-199501000-00005]</w:t>
      </w:r>
    </w:p>
    <w:p w14:paraId="07A2B208"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36 </w:t>
      </w:r>
      <w:r w:rsidRPr="0003196B">
        <w:rPr>
          <w:rFonts w:ascii="Book Antiqua" w:eastAsia="Book Antiqua" w:hAnsi="Book Antiqua" w:cs="Book Antiqua"/>
          <w:b/>
          <w:bCs/>
          <w:color w:val="000000"/>
        </w:rPr>
        <w:t>Beaty JH</w:t>
      </w:r>
      <w:r w:rsidRPr="0003196B">
        <w:rPr>
          <w:rFonts w:ascii="Book Antiqua" w:eastAsia="Book Antiqua" w:hAnsi="Book Antiqua" w:cs="Book Antiqua"/>
          <w:color w:val="000000"/>
        </w:rPr>
        <w:t xml:space="preserve">, Austin SM, Warner WC, </w:t>
      </w:r>
      <w:proofErr w:type="spellStart"/>
      <w:r w:rsidRPr="0003196B">
        <w:rPr>
          <w:rFonts w:ascii="Book Antiqua" w:eastAsia="Book Antiqua" w:hAnsi="Book Antiqua" w:cs="Book Antiqua"/>
          <w:color w:val="000000"/>
        </w:rPr>
        <w:t>Canale</w:t>
      </w:r>
      <w:proofErr w:type="spellEnd"/>
      <w:r w:rsidRPr="0003196B">
        <w:rPr>
          <w:rFonts w:ascii="Book Antiqua" w:eastAsia="Book Antiqua" w:hAnsi="Book Antiqua" w:cs="Book Antiqua"/>
          <w:color w:val="000000"/>
        </w:rPr>
        <w:t xml:space="preserve"> ST, Nichols L. Interlocking intramedullary nailing of femoral-shaft fractures in adolescents: preliminary results and complications.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1994; </w:t>
      </w:r>
      <w:r w:rsidRPr="0003196B">
        <w:rPr>
          <w:rFonts w:ascii="Book Antiqua" w:eastAsia="Book Antiqua" w:hAnsi="Book Antiqua" w:cs="Book Antiqua"/>
          <w:b/>
          <w:bCs/>
          <w:color w:val="000000"/>
        </w:rPr>
        <w:t>14</w:t>
      </w:r>
      <w:r w:rsidRPr="0003196B">
        <w:rPr>
          <w:rFonts w:ascii="Book Antiqua" w:eastAsia="Book Antiqua" w:hAnsi="Book Antiqua" w:cs="Book Antiqua"/>
          <w:color w:val="000000"/>
        </w:rPr>
        <w:t>: 178-183 [PMID: 8188830 DOI: 10.1097/01241398-199403000-00009]</w:t>
      </w:r>
    </w:p>
    <w:p w14:paraId="07948A17"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37 </w:t>
      </w:r>
      <w:proofErr w:type="spellStart"/>
      <w:r w:rsidRPr="0003196B">
        <w:rPr>
          <w:rFonts w:ascii="Book Antiqua" w:eastAsia="Book Antiqua" w:hAnsi="Book Antiqua" w:cs="Book Antiqua"/>
          <w:b/>
          <w:bCs/>
          <w:color w:val="000000"/>
        </w:rPr>
        <w:t>Hosalkar</w:t>
      </w:r>
      <w:proofErr w:type="spellEnd"/>
      <w:r w:rsidRPr="0003196B">
        <w:rPr>
          <w:rFonts w:ascii="Book Antiqua" w:eastAsia="Book Antiqua" w:hAnsi="Book Antiqua" w:cs="Book Antiqua"/>
          <w:b/>
          <w:bCs/>
          <w:color w:val="000000"/>
        </w:rPr>
        <w:t xml:space="preserve"> HS</w:t>
      </w:r>
      <w:r w:rsidRPr="0003196B">
        <w:rPr>
          <w:rFonts w:ascii="Book Antiqua" w:eastAsia="Book Antiqua" w:hAnsi="Book Antiqua" w:cs="Book Antiqua"/>
          <w:color w:val="000000"/>
        </w:rPr>
        <w:t xml:space="preserve">, Pandya NK, Cho RH, Glaser DA, Moor MA, Herman MJ. Intramedullary nailing of pediatric femoral shaft fracture. </w:t>
      </w:r>
      <w:r w:rsidRPr="0003196B">
        <w:rPr>
          <w:rFonts w:ascii="Book Antiqua" w:eastAsia="Book Antiqua" w:hAnsi="Book Antiqua" w:cs="Book Antiqua"/>
          <w:i/>
          <w:iCs/>
          <w:color w:val="000000"/>
        </w:rPr>
        <w:t xml:space="preserve">J Am </w:t>
      </w:r>
      <w:proofErr w:type="spellStart"/>
      <w:r w:rsidRPr="0003196B">
        <w:rPr>
          <w:rFonts w:ascii="Book Antiqua" w:eastAsia="Book Antiqua" w:hAnsi="Book Antiqua" w:cs="Book Antiqua"/>
          <w:i/>
          <w:iCs/>
          <w:color w:val="000000"/>
        </w:rPr>
        <w:t>Acad</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Surg</w:t>
      </w:r>
      <w:proofErr w:type="spellEnd"/>
      <w:r w:rsidRPr="0003196B">
        <w:rPr>
          <w:rFonts w:ascii="Book Antiqua" w:eastAsia="Book Antiqua" w:hAnsi="Book Antiqua" w:cs="Book Antiqua"/>
          <w:color w:val="000000"/>
        </w:rPr>
        <w:t xml:space="preserve"> 2011; </w:t>
      </w:r>
      <w:r w:rsidRPr="0003196B">
        <w:rPr>
          <w:rFonts w:ascii="Book Antiqua" w:eastAsia="Book Antiqua" w:hAnsi="Book Antiqua" w:cs="Book Antiqua"/>
          <w:b/>
          <w:bCs/>
          <w:color w:val="000000"/>
        </w:rPr>
        <w:t>19</w:t>
      </w:r>
      <w:r w:rsidRPr="0003196B">
        <w:rPr>
          <w:rFonts w:ascii="Book Antiqua" w:eastAsia="Book Antiqua" w:hAnsi="Book Antiqua" w:cs="Book Antiqua"/>
          <w:color w:val="000000"/>
        </w:rPr>
        <w:t>: 472-481 [PMID: 21807915 DOI: 10.5435/00124635-201108000-00003]</w:t>
      </w:r>
    </w:p>
    <w:p w14:paraId="68825C22"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38 </w:t>
      </w:r>
      <w:r w:rsidRPr="0003196B">
        <w:rPr>
          <w:rFonts w:ascii="Book Antiqua" w:eastAsia="Book Antiqua" w:hAnsi="Book Antiqua" w:cs="Book Antiqua"/>
          <w:b/>
          <w:bCs/>
          <w:color w:val="000000"/>
        </w:rPr>
        <w:t>Abbott MD</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Loder</w:t>
      </w:r>
      <w:proofErr w:type="spellEnd"/>
      <w:r w:rsidRPr="0003196B">
        <w:rPr>
          <w:rFonts w:ascii="Book Antiqua" w:eastAsia="Book Antiqua" w:hAnsi="Book Antiqua" w:cs="Book Antiqua"/>
          <w:color w:val="000000"/>
        </w:rPr>
        <w:t xml:space="preserve"> RT, </w:t>
      </w:r>
      <w:proofErr w:type="spellStart"/>
      <w:r w:rsidRPr="0003196B">
        <w:rPr>
          <w:rFonts w:ascii="Book Antiqua" w:eastAsia="Book Antiqua" w:hAnsi="Book Antiqua" w:cs="Book Antiqua"/>
          <w:color w:val="000000"/>
        </w:rPr>
        <w:t>Anglen</w:t>
      </w:r>
      <w:proofErr w:type="spellEnd"/>
      <w:r w:rsidRPr="0003196B">
        <w:rPr>
          <w:rFonts w:ascii="Book Antiqua" w:eastAsia="Book Antiqua" w:hAnsi="Book Antiqua" w:cs="Book Antiqua"/>
          <w:color w:val="000000"/>
        </w:rPr>
        <w:t xml:space="preserve"> JO. Comparison of submuscular and open plating of pediatric femur fractures: a retrospective review.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2013; </w:t>
      </w:r>
      <w:r w:rsidRPr="0003196B">
        <w:rPr>
          <w:rFonts w:ascii="Book Antiqua" w:eastAsia="Book Antiqua" w:hAnsi="Book Antiqua" w:cs="Book Antiqua"/>
          <w:b/>
          <w:bCs/>
          <w:color w:val="000000"/>
        </w:rPr>
        <w:t>33</w:t>
      </w:r>
      <w:r w:rsidRPr="0003196B">
        <w:rPr>
          <w:rFonts w:ascii="Book Antiqua" w:eastAsia="Book Antiqua" w:hAnsi="Book Antiqua" w:cs="Book Antiqua"/>
          <w:color w:val="000000"/>
        </w:rPr>
        <w:t>: 519-523 [PMID: 23752149 DOI: 10.1097/BPO.0b013e318287056d]</w:t>
      </w:r>
    </w:p>
    <w:p w14:paraId="6C158500"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39 </w:t>
      </w:r>
      <w:proofErr w:type="spellStart"/>
      <w:r w:rsidRPr="0003196B">
        <w:rPr>
          <w:rFonts w:ascii="Book Antiqua" w:eastAsia="Book Antiqua" w:hAnsi="Book Antiqua" w:cs="Book Antiqua"/>
          <w:b/>
          <w:bCs/>
          <w:color w:val="000000"/>
        </w:rPr>
        <w:t>Abdelgawad</w:t>
      </w:r>
      <w:proofErr w:type="spellEnd"/>
      <w:r w:rsidRPr="0003196B">
        <w:rPr>
          <w:rFonts w:ascii="Book Antiqua" w:eastAsia="Book Antiqua" w:hAnsi="Book Antiqua" w:cs="Book Antiqua"/>
          <w:b/>
          <w:bCs/>
          <w:color w:val="000000"/>
        </w:rPr>
        <w:t xml:space="preserve"> AA</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Sieg</w:t>
      </w:r>
      <w:proofErr w:type="spellEnd"/>
      <w:r w:rsidRPr="0003196B">
        <w:rPr>
          <w:rFonts w:ascii="Book Antiqua" w:eastAsia="Book Antiqua" w:hAnsi="Book Antiqua" w:cs="Book Antiqua"/>
          <w:color w:val="000000"/>
        </w:rPr>
        <w:t xml:space="preserve"> RN, Laughlin MD, </w:t>
      </w:r>
      <w:proofErr w:type="spellStart"/>
      <w:r w:rsidRPr="0003196B">
        <w:rPr>
          <w:rFonts w:ascii="Book Antiqua" w:eastAsia="Book Antiqua" w:hAnsi="Book Antiqua" w:cs="Book Antiqua"/>
          <w:color w:val="000000"/>
        </w:rPr>
        <w:t>Shunia</w:t>
      </w:r>
      <w:proofErr w:type="spellEnd"/>
      <w:r w:rsidRPr="0003196B">
        <w:rPr>
          <w:rFonts w:ascii="Book Antiqua" w:eastAsia="Book Antiqua" w:hAnsi="Book Antiqua" w:cs="Book Antiqua"/>
          <w:color w:val="000000"/>
        </w:rPr>
        <w:t xml:space="preserve"> J, </w:t>
      </w:r>
      <w:proofErr w:type="spellStart"/>
      <w:r w:rsidRPr="0003196B">
        <w:rPr>
          <w:rFonts w:ascii="Book Antiqua" w:eastAsia="Book Antiqua" w:hAnsi="Book Antiqua" w:cs="Book Antiqua"/>
          <w:color w:val="000000"/>
        </w:rPr>
        <w:t>Kanlic</w:t>
      </w:r>
      <w:proofErr w:type="spellEnd"/>
      <w:r w:rsidRPr="0003196B">
        <w:rPr>
          <w:rFonts w:ascii="Book Antiqua" w:eastAsia="Book Antiqua" w:hAnsi="Book Antiqua" w:cs="Book Antiqua"/>
          <w:color w:val="000000"/>
        </w:rPr>
        <w:t xml:space="preserve"> EM. Submuscular bridge plating for complex pediatric femur fractures is reliable. </w:t>
      </w:r>
      <w:proofErr w:type="spellStart"/>
      <w:r w:rsidRPr="0003196B">
        <w:rPr>
          <w:rFonts w:ascii="Book Antiqua" w:eastAsia="Book Antiqua" w:hAnsi="Book Antiqua" w:cs="Book Antiqua"/>
          <w:i/>
          <w:iCs/>
          <w:color w:val="000000"/>
        </w:rPr>
        <w:t>Clin</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Relat</w:t>
      </w:r>
      <w:proofErr w:type="spellEnd"/>
      <w:r w:rsidRPr="0003196B">
        <w:rPr>
          <w:rFonts w:ascii="Book Antiqua" w:eastAsia="Book Antiqua" w:hAnsi="Book Antiqua" w:cs="Book Antiqua"/>
          <w:i/>
          <w:iCs/>
          <w:color w:val="000000"/>
        </w:rPr>
        <w:t xml:space="preserve"> Res</w:t>
      </w:r>
      <w:r w:rsidRPr="0003196B">
        <w:rPr>
          <w:rFonts w:ascii="Book Antiqua" w:eastAsia="Book Antiqua" w:hAnsi="Book Antiqua" w:cs="Book Antiqua"/>
          <w:color w:val="000000"/>
        </w:rPr>
        <w:t xml:space="preserve"> 2013; </w:t>
      </w:r>
      <w:r w:rsidRPr="0003196B">
        <w:rPr>
          <w:rFonts w:ascii="Book Antiqua" w:eastAsia="Book Antiqua" w:hAnsi="Book Antiqua" w:cs="Book Antiqua"/>
          <w:b/>
          <w:bCs/>
          <w:color w:val="000000"/>
        </w:rPr>
        <w:t>471</w:t>
      </w:r>
      <w:r w:rsidRPr="0003196B">
        <w:rPr>
          <w:rFonts w:ascii="Book Antiqua" w:eastAsia="Book Antiqua" w:hAnsi="Book Antiqua" w:cs="Book Antiqua"/>
          <w:color w:val="000000"/>
        </w:rPr>
        <w:t>: 2797-2807 [PMID: 23539122 DOI: 10.1007/s11999-013-2931-9]</w:t>
      </w:r>
    </w:p>
    <w:p w14:paraId="109C4C7C"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40 </w:t>
      </w:r>
      <w:proofErr w:type="spellStart"/>
      <w:r w:rsidRPr="0003196B">
        <w:rPr>
          <w:rFonts w:ascii="Book Antiqua" w:eastAsia="Book Antiqua" w:hAnsi="Book Antiqua" w:cs="Book Antiqua"/>
          <w:b/>
          <w:bCs/>
          <w:color w:val="000000"/>
        </w:rPr>
        <w:t>Abdelgawad</w:t>
      </w:r>
      <w:proofErr w:type="spellEnd"/>
      <w:r w:rsidRPr="0003196B">
        <w:rPr>
          <w:rFonts w:ascii="Book Antiqua" w:eastAsia="Book Antiqua" w:hAnsi="Book Antiqua" w:cs="Book Antiqua"/>
          <w:b/>
          <w:bCs/>
          <w:color w:val="000000"/>
        </w:rPr>
        <w:t xml:space="preserve"> AA</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Sieg</w:t>
      </w:r>
      <w:proofErr w:type="spellEnd"/>
      <w:r w:rsidRPr="0003196B">
        <w:rPr>
          <w:rFonts w:ascii="Book Antiqua" w:eastAsia="Book Antiqua" w:hAnsi="Book Antiqua" w:cs="Book Antiqua"/>
          <w:color w:val="000000"/>
        </w:rPr>
        <w:t xml:space="preserve"> RN, Laughlin MD, </w:t>
      </w:r>
      <w:proofErr w:type="spellStart"/>
      <w:r w:rsidRPr="0003196B">
        <w:rPr>
          <w:rFonts w:ascii="Book Antiqua" w:eastAsia="Book Antiqua" w:hAnsi="Book Antiqua" w:cs="Book Antiqua"/>
          <w:color w:val="000000"/>
        </w:rPr>
        <w:t>Shunia</w:t>
      </w:r>
      <w:proofErr w:type="spellEnd"/>
      <w:r w:rsidRPr="0003196B">
        <w:rPr>
          <w:rFonts w:ascii="Book Antiqua" w:eastAsia="Book Antiqua" w:hAnsi="Book Antiqua" w:cs="Book Antiqua"/>
          <w:color w:val="000000"/>
        </w:rPr>
        <w:t xml:space="preserve"> J, </w:t>
      </w:r>
      <w:proofErr w:type="spellStart"/>
      <w:r w:rsidRPr="0003196B">
        <w:rPr>
          <w:rFonts w:ascii="Book Antiqua" w:eastAsia="Book Antiqua" w:hAnsi="Book Antiqua" w:cs="Book Antiqua"/>
          <w:color w:val="000000"/>
        </w:rPr>
        <w:t>Kanlic</w:t>
      </w:r>
      <w:proofErr w:type="spellEnd"/>
      <w:r w:rsidRPr="0003196B">
        <w:rPr>
          <w:rFonts w:ascii="Book Antiqua" w:eastAsia="Book Antiqua" w:hAnsi="Book Antiqua" w:cs="Book Antiqua"/>
          <w:color w:val="000000"/>
        </w:rPr>
        <w:t xml:space="preserve"> EM. Submuscular bridge plating for complex pediatric femur fractures is reliable. </w:t>
      </w:r>
      <w:proofErr w:type="spellStart"/>
      <w:r w:rsidRPr="0003196B">
        <w:rPr>
          <w:rFonts w:ascii="Book Antiqua" w:eastAsia="Book Antiqua" w:hAnsi="Book Antiqua" w:cs="Book Antiqua"/>
          <w:i/>
          <w:iCs/>
          <w:color w:val="000000"/>
        </w:rPr>
        <w:t>Clin</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Relat</w:t>
      </w:r>
      <w:proofErr w:type="spellEnd"/>
      <w:r w:rsidRPr="0003196B">
        <w:rPr>
          <w:rFonts w:ascii="Book Antiqua" w:eastAsia="Book Antiqua" w:hAnsi="Book Antiqua" w:cs="Book Antiqua"/>
          <w:i/>
          <w:iCs/>
          <w:color w:val="000000"/>
        </w:rPr>
        <w:t xml:space="preserve"> Res</w:t>
      </w:r>
      <w:r w:rsidRPr="0003196B">
        <w:rPr>
          <w:rFonts w:ascii="Book Antiqua" w:eastAsia="Book Antiqua" w:hAnsi="Book Antiqua" w:cs="Book Antiqua"/>
          <w:color w:val="000000"/>
        </w:rPr>
        <w:t xml:space="preserve"> 2013; </w:t>
      </w:r>
      <w:r w:rsidRPr="0003196B">
        <w:rPr>
          <w:rFonts w:ascii="Book Antiqua" w:eastAsia="Book Antiqua" w:hAnsi="Book Antiqua" w:cs="Book Antiqua"/>
          <w:b/>
          <w:bCs/>
          <w:color w:val="000000"/>
        </w:rPr>
        <w:t>471</w:t>
      </w:r>
      <w:r w:rsidRPr="0003196B">
        <w:rPr>
          <w:rFonts w:ascii="Book Antiqua" w:eastAsia="Book Antiqua" w:hAnsi="Book Antiqua" w:cs="Book Antiqua"/>
          <w:color w:val="000000"/>
        </w:rPr>
        <w:t>: 2797-2807 [PMID: 23539122 DOI: 10.1007/s11999-013-2931-9]</w:t>
      </w:r>
    </w:p>
    <w:p w14:paraId="572EF1B5" w14:textId="6315FB50"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lastRenderedPageBreak/>
        <w:t xml:space="preserve">41 </w:t>
      </w:r>
      <w:proofErr w:type="spellStart"/>
      <w:r w:rsidRPr="0003196B">
        <w:rPr>
          <w:rFonts w:ascii="Book Antiqua" w:eastAsia="Book Antiqua" w:hAnsi="Book Antiqua" w:cs="Book Antiqua"/>
          <w:b/>
          <w:bCs/>
          <w:color w:val="000000"/>
        </w:rPr>
        <w:t>Rozbruch</w:t>
      </w:r>
      <w:proofErr w:type="spellEnd"/>
      <w:r w:rsidRPr="0003196B">
        <w:rPr>
          <w:rFonts w:ascii="Book Antiqua" w:eastAsia="Book Antiqua" w:hAnsi="Book Antiqua" w:cs="Book Antiqua"/>
          <w:b/>
          <w:bCs/>
          <w:color w:val="000000"/>
        </w:rPr>
        <w:t xml:space="preserve"> SR</w:t>
      </w:r>
      <w:r w:rsidRPr="0003196B">
        <w:rPr>
          <w:rFonts w:ascii="Book Antiqua" w:eastAsia="Book Antiqua" w:hAnsi="Book Antiqua" w:cs="Book Antiqua"/>
          <w:color w:val="000000"/>
        </w:rPr>
        <w:t xml:space="preserve">, Müller U, Gautier E, Ganz R. The evolution of femoral shaft plating technique. </w:t>
      </w:r>
      <w:proofErr w:type="spellStart"/>
      <w:r w:rsidRPr="0003196B">
        <w:rPr>
          <w:rFonts w:ascii="Book Antiqua" w:eastAsia="Book Antiqua" w:hAnsi="Book Antiqua" w:cs="Book Antiqua"/>
          <w:i/>
          <w:iCs/>
          <w:color w:val="000000"/>
        </w:rPr>
        <w:t>Clin</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Relat</w:t>
      </w:r>
      <w:proofErr w:type="spellEnd"/>
      <w:r w:rsidRPr="0003196B">
        <w:rPr>
          <w:rFonts w:ascii="Book Antiqua" w:eastAsia="Book Antiqua" w:hAnsi="Book Antiqua" w:cs="Book Antiqua"/>
          <w:i/>
          <w:iCs/>
          <w:color w:val="000000"/>
        </w:rPr>
        <w:t xml:space="preserve"> Res</w:t>
      </w:r>
      <w:r w:rsidR="000D4A83" w:rsidRPr="0003196B">
        <w:rPr>
          <w:rFonts w:ascii="Book Antiqua" w:eastAsia="Book Antiqua" w:hAnsi="Book Antiqua" w:cs="Book Antiqua"/>
          <w:color w:val="000000"/>
        </w:rPr>
        <w:t xml:space="preserve"> 1998; </w:t>
      </w:r>
      <w:r w:rsidRPr="0003196B">
        <w:rPr>
          <w:rFonts w:ascii="Book Antiqua" w:eastAsia="Book Antiqua" w:hAnsi="Book Antiqua" w:cs="Book Antiqua"/>
          <w:color w:val="000000"/>
        </w:rPr>
        <w:t>195-208 [PMID: 9755780 DOI: 10.1097/00003086-199809000-00024]</w:t>
      </w:r>
    </w:p>
    <w:p w14:paraId="3EFBA397"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42 </w:t>
      </w:r>
      <w:proofErr w:type="spellStart"/>
      <w:r w:rsidRPr="0003196B">
        <w:rPr>
          <w:rFonts w:ascii="Book Antiqua" w:eastAsia="Book Antiqua" w:hAnsi="Book Antiqua" w:cs="Book Antiqua"/>
          <w:b/>
          <w:bCs/>
          <w:color w:val="000000"/>
        </w:rPr>
        <w:t>Ligier</w:t>
      </w:r>
      <w:proofErr w:type="spellEnd"/>
      <w:r w:rsidRPr="0003196B">
        <w:rPr>
          <w:rFonts w:ascii="Book Antiqua" w:eastAsia="Book Antiqua" w:hAnsi="Book Antiqua" w:cs="Book Antiqua"/>
          <w:b/>
          <w:bCs/>
          <w:color w:val="000000"/>
        </w:rPr>
        <w:t xml:space="preserve"> JN</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Metaizeau</w:t>
      </w:r>
      <w:proofErr w:type="spellEnd"/>
      <w:r w:rsidRPr="0003196B">
        <w:rPr>
          <w:rFonts w:ascii="Book Antiqua" w:eastAsia="Book Antiqua" w:hAnsi="Book Antiqua" w:cs="Book Antiqua"/>
          <w:color w:val="000000"/>
        </w:rPr>
        <w:t xml:space="preserve"> JP, </w:t>
      </w:r>
      <w:proofErr w:type="spellStart"/>
      <w:r w:rsidRPr="0003196B">
        <w:rPr>
          <w:rFonts w:ascii="Book Antiqua" w:eastAsia="Book Antiqua" w:hAnsi="Book Antiqua" w:cs="Book Antiqua"/>
          <w:color w:val="000000"/>
        </w:rPr>
        <w:t>Prévot</w:t>
      </w:r>
      <w:proofErr w:type="spellEnd"/>
      <w:r w:rsidRPr="0003196B">
        <w:rPr>
          <w:rFonts w:ascii="Book Antiqua" w:eastAsia="Book Antiqua" w:hAnsi="Book Antiqua" w:cs="Book Antiqua"/>
          <w:color w:val="000000"/>
        </w:rPr>
        <w:t xml:space="preserve"> J, </w:t>
      </w:r>
      <w:proofErr w:type="spellStart"/>
      <w:r w:rsidRPr="0003196B">
        <w:rPr>
          <w:rFonts w:ascii="Book Antiqua" w:eastAsia="Book Antiqua" w:hAnsi="Book Antiqua" w:cs="Book Antiqua"/>
          <w:color w:val="000000"/>
        </w:rPr>
        <w:t>Lascombes</w:t>
      </w:r>
      <w:proofErr w:type="spellEnd"/>
      <w:r w:rsidRPr="0003196B">
        <w:rPr>
          <w:rFonts w:ascii="Book Antiqua" w:eastAsia="Book Antiqua" w:hAnsi="Book Antiqua" w:cs="Book Antiqua"/>
          <w:color w:val="000000"/>
        </w:rPr>
        <w:t xml:space="preserve"> P. Elastic stable intramedullary nailing of femoral shaft fractures in children. </w:t>
      </w:r>
      <w:r w:rsidRPr="0003196B">
        <w:rPr>
          <w:rFonts w:ascii="Book Antiqua" w:eastAsia="Book Antiqua" w:hAnsi="Book Antiqua" w:cs="Book Antiqua"/>
          <w:i/>
          <w:iCs/>
          <w:color w:val="000000"/>
        </w:rPr>
        <w:t>J Bone Joint Surg Br</w:t>
      </w:r>
      <w:r w:rsidRPr="0003196B">
        <w:rPr>
          <w:rFonts w:ascii="Book Antiqua" w:eastAsia="Book Antiqua" w:hAnsi="Book Antiqua" w:cs="Book Antiqua"/>
          <w:color w:val="000000"/>
        </w:rPr>
        <w:t xml:space="preserve"> 1988; </w:t>
      </w:r>
      <w:r w:rsidRPr="0003196B">
        <w:rPr>
          <w:rFonts w:ascii="Book Antiqua" w:eastAsia="Book Antiqua" w:hAnsi="Book Antiqua" w:cs="Book Antiqua"/>
          <w:b/>
          <w:bCs/>
          <w:color w:val="000000"/>
        </w:rPr>
        <w:t>70</w:t>
      </w:r>
      <w:r w:rsidRPr="0003196B">
        <w:rPr>
          <w:rFonts w:ascii="Book Antiqua" w:eastAsia="Book Antiqua" w:hAnsi="Book Antiqua" w:cs="Book Antiqua"/>
          <w:color w:val="000000"/>
        </w:rPr>
        <w:t>: 74-77 [PMID: 3339064]</w:t>
      </w:r>
    </w:p>
    <w:p w14:paraId="56BFB4D7"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 xml:space="preserve">43 </w:t>
      </w:r>
      <w:r w:rsidRPr="0003196B">
        <w:rPr>
          <w:rFonts w:ascii="Book Antiqua" w:eastAsia="Book Antiqua" w:hAnsi="Book Antiqua" w:cs="Book Antiqua"/>
          <w:b/>
          <w:bCs/>
          <w:color w:val="000000"/>
        </w:rPr>
        <w:t>Siddiqui AA</w:t>
      </w:r>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Abousamra</w:t>
      </w:r>
      <w:proofErr w:type="spellEnd"/>
      <w:r w:rsidRPr="0003196B">
        <w:rPr>
          <w:rFonts w:ascii="Book Antiqua" w:eastAsia="Book Antiqua" w:hAnsi="Book Antiqua" w:cs="Book Antiqua"/>
          <w:color w:val="000000"/>
        </w:rPr>
        <w:t xml:space="preserve"> O, Compton E, Meisel E, Illingworth KD. Titanium Elastic Nails Are a Safe and Effective Treatment for Length Unstable Pediatric Femur Fractures. </w:t>
      </w:r>
      <w:r w:rsidRPr="0003196B">
        <w:rPr>
          <w:rFonts w:ascii="Book Antiqua" w:eastAsia="Book Antiqua" w:hAnsi="Book Antiqua" w:cs="Book Antiqua"/>
          <w:i/>
          <w:iCs/>
          <w:color w:val="000000"/>
        </w:rPr>
        <w:t xml:space="preserve">J </w:t>
      </w:r>
      <w:proofErr w:type="spellStart"/>
      <w:r w:rsidRPr="0003196B">
        <w:rPr>
          <w:rFonts w:ascii="Book Antiqua" w:eastAsia="Book Antiqua" w:hAnsi="Book Antiqua" w:cs="Book Antiqua"/>
          <w:i/>
          <w:iCs/>
          <w:color w:val="000000"/>
        </w:rPr>
        <w:t>Pediatr</w:t>
      </w:r>
      <w:proofErr w:type="spellEnd"/>
      <w:r w:rsidRPr="0003196B">
        <w:rPr>
          <w:rFonts w:ascii="Book Antiqua" w:eastAsia="Book Antiqua" w:hAnsi="Book Antiqua" w:cs="Book Antiqua"/>
          <w:i/>
          <w:iCs/>
          <w:color w:val="000000"/>
        </w:rPr>
        <w:t xml:space="preserve"> </w:t>
      </w:r>
      <w:proofErr w:type="spellStart"/>
      <w:r w:rsidRPr="0003196B">
        <w:rPr>
          <w:rFonts w:ascii="Book Antiqua" w:eastAsia="Book Antiqua" w:hAnsi="Book Antiqua" w:cs="Book Antiqua"/>
          <w:i/>
          <w:iCs/>
          <w:color w:val="000000"/>
        </w:rPr>
        <w:t>Orthop</w:t>
      </w:r>
      <w:proofErr w:type="spellEnd"/>
      <w:r w:rsidRPr="0003196B">
        <w:rPr>
          <w:rFonts w:ascii="Book Antiqua" w:eastAsia="Book Antiqua" w:hAnsi="Book Antiqua" w:cs="Book Antiqua"/>
          <w:color w:val="000000"/>
        </w:rPr>
        <w:t xml:space="preserve"> 2020; </w:t>
      </w:r>
      <w:r w:rsidRPr="0003196B">
        <w:rPr>
          <w:rFonts w:ascii="Book Antiqua" w:eastAsia="Book Antiqua" w:hAnsi="Book Antiqua" w:cs="Book Antiqua"/>
          <w:b/>
          <w:bCs/>
          <w:color w:val="000000"/>
        </w:rPr>
        <w:t>40</w:t>
      </w:r>
      <w:r w:rsidRPr="0003196B">
        <w:rPr>
          <w:rFonts w:ascii="Book Antiqua" w:eastAsia="Book Antiqua" w:hAnsi="Book Antiqua" w:cs="Book Antiqua"/>
          <w:color w:val="000000"/>
        </w:rPr>
        <w:t>: e560-e565 [PMID: 31770170 DOI: 10.1097/BPO.0000000000001474]</w:t>
      </w:r>
    </w:p>
    <w:p w14:paraId="138985E8" w14:textId="77777777" w:rsidR="00A77B3E" w:rsidRPr="0003196B" w:rsidRDefault="00A77B3E" w:rsidP="0003196B">
      <w:pPr>
        <w:adjustRightInd w:val="0"/>
        <w:snapToGrid w:val="0"/>
        <w:spacing w:line="360" w:lineRule="auto"/>
        <w:jc w:val="both"/>
        <w:rPr>
          <w:rFonts w:ascii="Book Antiqua" w:hAnsi="Book Antiqua"/>
        </w:rPr>
        <w:sectPr w:rsidR="00A77B3E" w:rsidRPr="0003196B" w:rsidSect="00F22FD9">
          <w:type w:val="continuous"/>
          <w:pgSz w:w="12240" w:h="15840"/>
          <w:pgMar w:top="1440" w:right="1800" w:bottom="1440" w:left="1800" w:header="720" w:footer="720" w:gutter="0"/>
          <w:cols w:space="720"/>
          <w:docGrid w:linePitch="360"/>
        </w:sectPr>
      </w:pPr>
    </w:p>
    <w:p w14:paraId="4E7620D5" w14:textId="77777777" w:rsidR="0003196B" w:rsidRPr="0003196B" w:rsidRDefault="0003196B" w:rsidP="0003196B">
      <w:pPr>
        <w:snapToGrid w:val="0"/>
        <w:spacing w:line="360" w:lineRule="auto"/>
        <w:jc w:val="both"/>
        <w:rPr>
          <w:rFonts w:ascii="Book Antiqua" w:eastAsia="Book Antiqua" w:hAnsi="Book Antiqua" w:cs="Book Antiqua"/>
          <w:b/>
          <w:color w:val="000000"/>
        </w:rPr>
      </w:pPr>
      <w:r w:rsidRPr="0003196B">
        <w:rPr>
          <w:rFonts w:ascii="Book Antiqua" w:eastAsia="Book Antiqua" w:hAnsi="Book Antiqua" w:cs="Book Antiqua"/>
          <w:b/>
          <w:color w:val="000000"/>
        </w:rPr>
        <w:br w:type="page"/>
      </w:r>
    </w:p>
    <w:p w14:paraId="1DE2DB0B" w14:textId="0D248E5C"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lastRenderedPageBreak/>
        <w:t>Footnotes</w:t>
      </w:r>
    </w:p>
    <w:p w14:paraId="22F9EC98"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Institutional review board statement: </w:t>
      </w:r>
      <w:r w:rsidRPr="0003196B">
        <w:rPr>
          <w:rFonts w:ascii="Book Antiqua" w:eastAsia="Book Antiqua" w:hAnsi="Book Antiqua" w:cs="Book Antiqua"/>
          <w:color w:val="000000"/>
        </w:rPr>
        <w:t>The study was reviewed and approved by the University of Alabama at Birmingham School of Medicine Institutional Review Board.</w:t>
      </w:r>
    </w:p>
    <w:p w14:paraId="3FCD891E" w14:textId="77777777" w:rsidR="00A77B3E" w:rsidRPr="0003196B" w:rsidRDefault="00A77B3E" w:rsidP="0003196B">
      <w:pPr>
        <w:adjustRightInd w:val="0"/>
        <w:snapToGrid w:val="0"/>
        <w:spacing w:line="360" w:lineRule="auto"/>
        <w:jc w:val="both"/>
        <w:rPr>
          <w:rFonts w:ascii="Book Antiqua" w:hAnsi="Book Antiqua"/>
        </w:rPr>
      </w:pPr>
    </w:p>
    <w:p w14:paraId="4B120DC7" w14:textId="48C498B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Informed consent statement: </w:t>
      </w:r>
      <w:r w:rsidRPr="0003196B">
        <w:rPr>
          <w:rFonts w:ascii="Book Antiqua" w:eastAsia="Book Antiqua" w:hAnsi="Book Antiqua" w:cs="Book Antiqua"/>
          <w:color w:val="000000"/>
        </w:rPr>
        <w:t>Informed consent not required.</w:t>
      </w:r>
    </w:p>
    <w:p w14:paraId="0EA768E2" w14:textId="77777777" w:rsidR="00A77B3E" w:rsidRPr="0003196B" w:rsidRDefault="00A77B3E" w:rsidP="0003196B">
      <w:pPr>
        <w:adjustRightInd w:val="0"/>
        <w:snapToGrid w:val="0"/>
        <w:spacing w:line="360" w:lineRule="auto"/>
        <w:jc w:val="both"/>
        <w:rPr>
          <w:rFonts w:ascii="Book Antiqua" w:hAnsi="Book Antiqua"/>
        </w:rPr>
      </w:pPr>
    </w:p>
    <w:p w14:paraId="476F548F"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Conflict-of-interest statement: </w:t>
      </w:r>
      <w:r w:rsidRPr="0003196B">
        <w:rPr>
          <w:rFonts w:ascii="Book Antiqua" w:eastAsia="Book Antiqua" w:hAnsi="Book Antiqua" w:cs="Book Antiqua"/>
          <w:color w:val="000000"/>
        </w:rPr>
        <w:t xml:space="preserve">Eric </w:t>
      </w:r>
      <w:proofErr w:type="spellStart"/>
      <w:r w:rsidRPr="0003196B">
        <w:rPr>
          <w:rFonts w:ascii="Book Antiqua" w:eastAsia="Book Antiqua" w:hAnsi="Book Antiqua" w:cs="Book Antiqua"/>
          <w:color w:val="000000"/>
        </w:rPr>
        <w:t>Mussell</w:t>
      </w:r>
      <w:proofErr w:type="spellEnd"/>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Achraf</w:t>
      </w:r>
      <w:proofErr w:type="spellEnd"/>
      <w:r w:rsidRPr="0003196B">
        <w:rPr>
          <w:rFonts w:ascii="Book Antiqua" w:eastAsia="Book Antiqua" w:hAnsi="Book Antiqua" w:cs="Book Antiqua"/>
          <w:color w:val="000000"/>
        </w:rPr>
        <w:t xml:space="preserve"> </w:t>
      </w:r>
      <w:proofErr w:type="spellStart"/>
      <w:r w:rsidRPr="0003196B">
        <w:rPr>
          <w:rFonts w:ascii="Book Antiqua" w:eastAsia="Book Antiqua" w:hAnsi="Book Antiqua" w:cs="Book Antiqua"/>
          <w:color w:val="000000"/>
        </w:rPr>
        <w:t>Jardaly</w:t>
      </w:r>
      <w:proofErr w:type="spellEnd"/>
      <w:r w:rsidRPr="0003196B">
        <w:rPr>
          <w:rFonts w:ascii="Book Antiqua" w:eastAsia="Book Antiqua" w:hAnsi="Book Antiqua" w:cs="Book Antiqua"/>
          <w:color w:val="000000"/>
        </w:rPr>
        <w:t>, and Shawn Gilbert declare that they have no conflict of interest.</w:t>
      </w:r>
    </w:p>
    <w:p w14:paraId="150BBD1B" w14:textId="77777777" w:rsidR="00A77B3E" w:rsidRPr="0003196B" w:rsidRDefault="00A77B3E" w:rsidP="0003196B">
      <w:pPr>
        <w:adjustRightInd w:val="0"/>
        <w:snapToGrid w:val="0"/>
        <w:spacing w:line="360" w:lineRule="auto"/>
        <w:jc w:val="both"/>
        <w:rPr>
          <w:rFonts w:ascii="Book Antiqua" w:hAnsi="Book Antiqua"/>
        </w:rPr>
      </w:pPr>
    </w:p>
    <w:p w14:paraId="7E626F66"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Data sharing statement: </w:t>
      </w:r>
      <w:r w:rsidRPr="0003196B">
        <w:rPr>
          <w:rFonts w:ascii="Book Antiqua" w:eastAsia="Book Antiqua" w:hAnsi="Book Antiqua" w:cs="Book Antiqua"/>
          <w:color w:val="000000"/>
        </w:rPr>
        <w:t xml:space="preserve">Technical appendix, statistical code, and dataset available from the corresponding author at </w:t>
      </w:r>
      <w:hyperlink r:id="rId11" w:history="1">
        <w:r w:rsidRPr="0003196B">
          <w:rPr>
            <w:rFonts w:ascii="Book Antiqua" w:eastAsia="Book Antiqua" w:hAnsi="Book Antiqua" w:cs="Book Antiqua"/>
            <w:color w:val="000000"/>
            <w:u w:val="single" w:color="0000FF"/>
          </w:rPr>
          <w:t>srgilbert@uabmc.edu</w:t>
        </w:r>
      </w:hyperlink>
      <w:r w:rsidRPr="0003196B">
        <w:rPr>
          <w:rFonts w:ascii="Book Antiqua" w:eastAsia="Book Antiqua" w:hAnsi="Book Antiqua" w:cs="Book Antiqua"/>
          <w:color w:val="000000"/>
        </w:rPr>
        <w:t>. Consent was not obtained but the presented data are anonymized, and risk of identification is low</w:t>
      </w:r>
    </w:p>
    <w:p w14:paraId="21589DE8" w14:textId="77777777" w:rsidR="00A77B3E" w:rsidRPr="0003196B" w:rsidRDefault="00A77B3E" w:rsidP="0003196B">
      <w:pPr>
        <w:adjustRightInd w:val="0"/>
        <w:snapToGrid w:val="0"/>
        <w:spacing w:line="360" w:lineRule="auto"/>
        <w:jc w:val="both"/>
        <w:rPr>
          <w:rFonts w:ascii="Book Antiqua" w:hAnsi="Book Antiqua"/>
        </w:rPr>
      </w:pPr>
    </w:p>
    <w:p w14:paraId="4911F029" w14:textId="22447ADE"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STROBE statement: </w:t>
      </w:r>
      <w:r w:rsidRPr="0003196B">
        <w:rPr>
          <w:rFonts w:ascii="Book Antiqua" w:eastAsia="Book Antiqua" w:hAnsi="Book Antiqua" w:cs="Book Antiqua"/>
          <w:color w:val="000000"/>
        </w:rPr>
        <w:t>The STROBE Statement guidelines were adopted during this manuscript’s synthesis.</w:t>
      </w:r>
    </w:p>
    <w:p w14:paraId="5037273D" w14:textId="77777777" w:rsidR="00A77B3E" w:rsidRPr="0003196B" w:rsidRDefault="00A77B3E" w:rsidP="0003196B">
      <w:pPr>
        <w:adjustRightInd w:val="0"/>
        <w:snapToGrid w:val="0"/>
        <w:spacing w:line="360" w:lineRule="auto"/>
        <w:jc w:val="both"/>
        <w:rPr>
          <w:rFonts w:ascii="Book Antiqua" w:hAnsi="Book Antiqua"/>
        </w:rPr>
      </w:pPr>
    </w:p>
    <w:p w14:paraId="6EE940E6"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bCs/>
          <w:color w:val="000000"/>
        </w:rPr>
        <w:t xml:space="preserve">Open-Access: </w:t>
      </w:r>
      <w:bookmarkStart w:id="3" w:name="OLE_LINK7"/>
      <w:bookmarkStart w:id="4" w:name="OLE_LINK8"/>
      <w:r w:rsidRPr="0003196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3196B">
        <w:rPr>
          <w:rFonts w:ascii="Book Antiqua" w:eastAsia="Book Antiqua" w:hAnsi="Book Antiqua" w:cs="Book Antiqua"/>
          <w:color w:val="000000"/>
        </w:rPr>
        <w:t>NonCommercial</w:t>
      </w:r>
      <w:proofErr w:type="spellEnd"/>
      <w:r w:rsidRPr="0003196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
      <w:bookmarkEnd w:id="4"/>
    </w:p>
    <w:p w14:paraId="056BAD6C" w14:textId="77777777" w:rsidR="00A77B3E" w:rsidRPr="0003196B" w:rsidRDefault="00A77B3E" w:rsidP="0003196B">
      <w:pPr>
        <w:adjustRightInd w:val="0"/>
        <w:snapToGrid w:val="0"/>
        <w:spacing w:line="360" w:lineRule="auto"/>
        <w:jc w:val="both"/>
        <w:rPr>
          <w:rFonts w:ascii="Book Antiqua" w:hAnsi="Book Antiqua"/>
        </w:rPr>
      </w:pPr>
    </w:p>
    <w:p w14:paraId="0EE8B113" w14:textId="1C904FE1"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 xml:space="preserve">Manuscript source: </w:t>
      </w:r>
      <w:r w:rsidRPr="0003196B">
        <w:rPr>
          <w:rFonts w:ascii="Book Antiqua" w:eastAsia="Book Antiqua" w:hAnsi="Book Antiqua" w:cs="Book Antiqua"/>
          <w:color w:val="000000"/>
        </w:rPr>
        <w:t xml:space="preserve">Unsolicited </w:t>
      </w:r>
      <w:r w:rsidR="000D4A83" w:rsidRPr="0003196B">
        <w:rPr>
          <w:rFonts w:ascii="Book Antiqua" w:eastAsia="Book Antiqua" w:hAnsi="Book Antiqua" w:cs="Book Antiqua"/>
          <w:color w:val="000000"/>
        </w:rPr>
        <w:t>manuscript</w:t>
      </w:r>
    </w:p>
    <w:p w14:paraId="0FDDD928" w14:textId="77777777" w:rsidR="00A77B3E" w:rsidRPr="0003196B" w:rsidRDefault="00A77B3E" w:rsidP="0003196B">
      <w:pPr>
        <w:adjustRightInd w:val="0"/>
        <w:snapToGrid w:val="0"/>
        <w:spacing w:line="360" w:lineRule="auto"/>
        <w:jc w:val="both"/>
        <w:rPr>
          <w:rFonts w:ascii="Book Antiqua" w:hAnsi="Book Antiqua"/>
        </w:rPr>
      </w:pPr>
    </w:p>
    <w:p w14:paraId="4CE0904C"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 xml:space="preserve">Peer-review started: </w:t>
      </w:r>
      <w:r w:rsidRPr="0003196B">
        <w:rPr>
          <w:rFonts w:ascii="Book Antiqua" w:eastAsia="Book Antiqua" w:hAnsi="Book Antiqua" w:cs="Book Antiqua"/>
          <w:color w:val="000000"/>
        </w:rPr>
        <w:t>May 7, 2020</w:t>
      </w:r>
    </w:p>
    <w:p w14:paraId="5E0C995C"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 xml:space="preserve">First decision: </w:t>
      </w:r>
      <w:r w:rsidRPr="0003196B">
        <w:rPr>
          <w:rFonts w:ascii="Book Antiqua" w:eastAsia="Book Antiqua" w:hAnsi="Book Antiqua" w:cs="Book Antiqua"/>
          <w:color w:val="000000"/>
        </w:rPr>
        <w:t>May 15, 2020</w:t>
      </w:r>
    </w:p>
    <w:p w14:paraId="246451E3"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 xml:space="preserve">Article in press: </w:t>
      </w:r>
    </w:p>
    <w:p w14:paraId="37A647C8" w14:textId="77777777" w:rsidR="00A77B3E" w:rsidRPr="0003196B" w:rsidRDefault="00A77B3E" w:rsidP="0003196B">
      <w:pPr>
        <w:adjustRightInd w:val="0"/>
        <w:snapToGrid w:val="0"/>
        <w:spacing w:line="360" w:lineRule="auto"/>
        <w:jc w:val="both"/>
        <w:rPr>
          <w:rFonts w:ascii="Book Antiqua" w:hAnsi="Book Antiqua"/>
        </w:rPr>
      </w:pPr>
    </w:p>
    <w:p w14:paraId="011CA717"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 xml:space="preserve">Specialty type: </w:t>
      </w:r>
      <w:r w:rsidRPr="0003196B">
        <w:rPr>
          <w:rFonts w:ascii="Book Antiqua" w:eastAsia="Book Antiqua" w:hAnsi="Book Antiqua" w:cs="Book Antiqua"/>
          <w:color w:val="000000"/>
        </w:rPr>
        <w:t>Orthopedics</w:t>
      </w:r>
    </w:p>
    <w:p w14:paraId="4342D241"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 xml:space="preserve">Country/Territory of origin: </w:t>
      </w:r>
      <w:r w:rsidRPr="0003196B">
        <w:rPr>
          <w:rFonts w:ascii="Book Antiqua" w:eastAsia="Book Antiqua" w:hAnsi="Book Antiqua" w:cs="Book Antiqua"/>
          <w:color w:val="000000"/>
        </w:rPr>
        <w:t>United States</w:t>
      </w:r>
    </w:p>
    <w:p w14:paraId="7588EA97"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b/>
          <w:color w:val="000000"/>
        </w:rPr>
        <w:t>Peer-review report’s scientific quality classification</w:t>
      </w:r>
    </w:p>
    <w:p w14:paraId="209CAC80"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Grade A (Excellent): 0</w:t>
      </w:r>
    </w:p>
    <w:p w14:paraId="359277E7"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Grade B (Very good): B</w:t>
      </w:r>
    </w:p>
    <w:p w14:paraId="4F0EA4BF"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Grade C (Good): 0</w:t>
      </w:r>
    </w:p>
    <w:p w14:paraId="7FD30654"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Grade D (Fair): 0</w:t>
      </w:r>
    </w:p>
    <w:p w14:paraId="5DA6C7A3" w14:textId="77777777" w:rsidR="00A77B3E" w:rsidRPr="0003196B" w:rsidRDefault="000D4CF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t>Grade E (Poor): 0</w:t>
      </w:r>
    </w:p>
    <w:p w14:paraId="6245B39F" w14:textId="77777777" w:rsidR="00A77B3E" w:rsidRPr="0003196B" w:rsidRDefault="00A77B3E" w:rsidP="0003196B">
      <w:pPr>
        <w:adjustRightInd w:val="0"/>
        <w:snapToGrid w:val="0"/>
        <w:spacing w:line="360" w:lineRule="auto"/>
        <w:jc w:val="both"/>
        <w:rPr>
          <w:rFonts w:ascii="Book Antiqua" w:hAnsi="Book Antiqua"/>
        </w:rPr>
      </w:pPr>
    </w:p>
    <w:p w14:paraId="2708BAD2" w14:textId="382A5DAE" w:rsidR="00A77B3E" w:rsidRPr="0003196B" w:rsidRDefault="000D4CF3" w:rsidP="0003196B">
      <w:pPr>
        <w:adjustRightInd w:val="0"/>
        <w:snapToGrid w:val="0"/>
        <w:spacing w:line="360" w:lineRule="auto"/>
        <w:jc w:val="both"/>
        <w:rPr>
          <w:rFonts w:ascii="Book Antiqua" w:hAnsi="Book Antiqua"/>
        </w:rPr>
        <w:sectPr w:rsidR="00A77B3E" w:rsidRPr="0003196B" w:rsidSect="00F22FD9">
          <w:type w:val="continuous"/>
          <w:pgSz w:w="12240" w:h="15840"/>
          <w:pgMar w:top="1440" w:right="1800" w:bottom="1440" w:left="1800" w:header="720" w:footer="720" w:gutter="0"/>
          <w:cols w:space="720"/>
          <w:docGrid w:linePitch="360"/>
        </w:sectPr>
      </w:pPr>
      <w:r w:rsidRPr="0003196B">
        <w:rPr>
          <w:rFonts w:ascii="Book Antiqua" w:eastAsia="Book Antiqua" w:hAnsi="Book Antiqua" w:cs="Book Antiqua"/>
          <w:b/>
          <w:color w:val="000000"/>
        </w:rPr>
        <w:t xml:space="preserve">P-Reviewer: </w:t>
      </w:r>
      <w:proofErr w:type="spellStart"/>
      <w:r w:rsidRPr="0003196B">
        <w:rPr>
          <w:rFonts w:ascii="Book Antiqua" w:eastAsia="Book Antiqua" w:hAnsi="Book Antiqua" w:cs="Book Antiqua"/>
          <w:color w:val="000000"/>
        </w:rPr>
        <w:t>Pogorelic</w:t>
      </w:r>
      <w:proofErr w:type="spellEnd"/>
      <w:r w:rsidRPr="0003196B">
        <w:rPr>
          <w:rFonts w:ascii="Book Antiqua" w:eastAsia="Book Antiqua" w:hAnsi="Book Antiqua" w:cs="Book Antiqua"/>
          <w:color w:val="000000"/>
        </w:rPr>
        <w:t xml:space="preserve"> Z</w:t>
      </w:r>
      <w:r w:rsidRPr="0003196B">
        <w:rPr>
          <w:rFonts w:ascii="Book Antiqua" w:eastAsia="Book Antiqua" w:hAnsi="Book Antiqua" w:cs="Book Antiqua"/>
          <w:b/>
          <w:color w:val="000000"/>
        </w:rPr>
        <w:t xml:space="preserve"> S-Editor: </w:t>
      </w:r>
      <w:r w:rsidRPr="0003196B">
        <w:rPr>
          <w:rFonts w:ascii="Book Antiqua" w:eastAsia="Book Antiqua" w:hAnsi="Book Antiqua" w:cs="Book Antiqua"/>
          <w:color w:val="000000"/>
        </w:rPr>
        <w:t>Zhang L</w:t>
      </w:r>
      <w:r w:rsidRPr="0003196B">
        <w:rPr>
          <w:rFonts w:ascii="Book Antiqua" w:eastAsia="Book Antiqua" w:hAnsi="Book Antiqua" w:cs="Book Antiqua"/>
          <w:b/>
          <w:color w:val="000000"/>
        </w:rPr>
        <w:t xml:space="preserve"> L-Editor: E-Editor: </w:t>
      </w:r>
    </w:p>
    <w:p w14:paraId="49A4C6C7" w14:textId="77777777" w:rsidR="00F22FD9" w:rsidRPr="0003196B" w:rsidRDefault="00F22FD9" w:rsidP="0003196B">
      <w:pPr>
        <w:adjustRightInd w:val="0"/>
        <w:snapToGrid w:val="0"/>
        <w:spacing w:line="360" w:lineRule="auto"/>
        <w:jc w:val="both"/>
        <w:rPr>
          <w:rFonts w:ascii="Book Antiqua" w:eastAsia="Book Antiqua" w:hAnsi="Book Antiqua" w:cs="Book Antiqua"/>
          <w:b/>
          <w:color w:val="000000"/>
        </w:rPr>
      </w:pPr>
    </w:p>
    <w:p w14:paraId="7B1CB290" w14:textId="77777777" w:rsidR="00374B35" w:rsidRDefault="00374B35">
      <w:pPr>
        <w:rPr>
          <w:rFonts w:ascii="Book Antiqua" w:eastAsia="Book Antiqua" w:hAnsi="Book Antiqua" w:cs="Book Antiqua"/>
          <w:b/>
          <w:color w:val="000000"/>
        </w:rPr>
      </w:pPr>
      <w:r>
        <w:rPr>
          <w:rFonts w:ascii="Book Antiqua" w:eastAsia="Book Antiqua" w:hAnsi="Book Antiqua" w:cs="Book Antiqua"/>
          <w:b/>
          <w:color w:val="000000"/>
        </w:rPr>
        <w:br w:type="page"/>
      </w:r>
    </w:p>
    <w:p w14:paraId="14F3DEE3" w14:textId="5E263719" w:rsidR="00A77B3E" w:rsidRPr="0003196B" w:rsidRDefault="000D4CF3" w:rsidP="0003196B">
      <w:pPr>
        <w:adjustRightInd w:val="0"/>
        <w:snapToGrid w:val="0"/>
        <w:spacing w:line="360" w:lineRule="auto"/>
        <w:jc w:val="both"/>
        <w:rPr>
          <w:rFonts w:ascii="Book Antiqua" w:eastAsia="Book Antiqua" w:hAnsi="Book Antiqua" w:cs="Book Antiqua"/>
          <w:b/>
          <w:color w:val="000000"/>
        </w:rPr>
      </w:pPr>
      <w:r w:rsidRPr="0003196B">
        <w:rPr>
          <w:rFonts w:ascii="Book Antiqua" w:eastAsia="Book Antiqua" w:hAnsi="Book Antiqua" w:cs="Book Antiqua"/>
          <w:b/>
          <w:color w:val="000000"/>
        </w:rPr>
        <w:lastRenderedPageBreak/>
        <w:t>Figure Legends</w:t>
      </w:r>
    </w:p>
    <w:p w14:paraId="66B264A1" w14:textId="09F4A6AF" w:rsidR="00E8784C" w:rsidRPr="0003196B" w:rsidRDefault="007C34EF" w:rsidP="0003196B">
      <w:pPr>
        <w:adjustRightInd w:val="0"/>
        <w:snapToGrid w:val="0"/>
        <w:spacing w:line="360" w:lineRule="auto"/>
        <w:jc w:val="both"/>
        <w:rPr>
          <w:rFonts w:ascii="Book Antiqua" w:hAnsi="Book Antiqua"/>
        </w:rPr>
      </w:pPr>
      <w:r w:rsidRPr="0003196B">
        <w:rPr>
          <w:rFonts w:ascii="Book Antiqua" w:eastAsia="Times New Roman" w:hAnsi="Book Antiqua"/>
          <w:noProof/>
          <w:color w:val="000000"/>
          <w:lang w:eastAsia="zh-CN"/>
        </w:rPr>
        <w:drawing>
          <wp:inline distT="0" distB="0" distL="0" distR="0" wp14:anchorId="07770632" wp14:editId="5F223BC2">
            <wp:extent cx="5943600" cy="33432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275"/>
                    </a:xfrm>
                    <a:prstGeom prst="rect">
                      <a:avLst/>
                    </a:prstGeom>
                  </pic:spPr>
                </pic:pic>
              </a:graphicData>
            </a:graphic>
          </wp:inline>
        </w:drawing>
      </w:r>
    </w:p>
    <w:p w14:paraId="6ABA60B6" w14:textId="56056353" w:rsidR="005E1233" w:rsidRPr="0003196B" w:rsidRDefault="000D4CF3" w:rsidP="0003196B">
      <w:pPr>
        <w:adjustRightInd w:val="0"/>
        <w:snapToGrid w:val="0"/>
        <w:spacing w:line="360" w:lineRule="auto"/>
        <w:jc w:val="both"/>
        <w:rPr>
          <w:rFonts w:ascii="Book Antiqua" w:eastAsia="Book Antiqua" w:hAnsi="Book Antiqua" w:cs="Book Antiqua"/>
          <w:color w:val="000000"/>
        </w:rPr>
      </w:pPr>
      <w:r w:rsidRPr="0003196B">
        <w:rPr>
          <w:rFonts w:ascii="Book Antiqua" w:eastAsia="Book Antiqua" w:hAnsi="Book Antiqua" w:cs="Book Antiqua"/>
          <w:b/>
          <w:bCs/>
          <w:color w:val="000000"/>
        </w:rPr>
        <w:t>Figure 1</w:t>
      </w:r>
      <w:r w:rsidR="005E1233" w:rsidRPr="0003196B">
        <w:rPr>
          <w:rFonts w:ascii="Book Antiqua" w:eastAsia="Book Antiqua" w:hAnsi="Book Antiqua" w:cs="Book Antiqua"/>
          <w:b/>
          <w:bCs/>
          <w:color w:val="000000"/>
        </w:rPr>
        <w:t xml:space="preserve"> Length unstable femur fracture treated with </w:t>
      </w:r>
      <w:r w:rsidR="000D4A83" w:rsidRPr="0003196B">
        <w:rPr>
          <w:rFonts w:ascii="Book Antiqua" w:eastAsia="Times New Roman" w:hAnsi="Book Antiqua"/>
          <w:b/>
          <w:bCs/>
          <w:color w:val="000000"/>
        </w:rPr>
        <w:t>flexible intramedullary nailing.</w:t>
      </w:r>
      <w:r w:rsidR="000D4A83" w:rsidRPr="0003196B">
        <w:rPr>
          <w:rFonts w:ascii="Book Antiqua" w:eastAsia="Book Antiqua" w:hAnsi="Book Antiqua" w:cs="Book Antiqua"/>
          <w:b/>
          <w:bCs/>
          <w:color w:val="000000"/>
        </w:rPr>
        <w:t xml:space="preserve"> </w:t>
      </w:r>
      <w:r w:rsidRPr="0003196B">
        <w:rPr>
          <w:rFonts w:ascii="Book Antiqua" w:eastAsia="Book Antiqua" w:hAnsi="Book Antiqua" w:cs="Book Antiqua"/>
          <w:color w:val="000000"/>
        </w:rPr>
        <w:t>Seven-year-old male, spiral fracture, treatment: closed reduction and flexible intramedullary nailing of the right femur using two 4.0-mm titanium elastic nails, hardware removal (symptomatic)</w:t>
      </w:r>
      <w:r w:rsidR="005E1233" w:rsidRPr="0003196B">
        <w:rPr>
          <w:rFonts w:ascii="Book Antiqua" w:eastAsia="Book Antiqua" w:hAnsi="Book Antiqua" w:cs="Book Antiqua"/>
          <w:color w:val="000000"/>
        </w:rPr>
        <w:t>.</w:t>
      </w:r>
    </w:p>
    <w:p w14:paraId="5CD89D99" w14:textId="51DD8AE8" w:rsidR="00A77B3E" w:rsidRPr="0003196B" w:rsidRDefault="005E123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br w:type="page"/>
      </w:r>
      <w:r w:rsidR="007C34EF" w:rsidRPr="0003196B">
        <w:rPr>
          <w:rFonts w:ascii="Book Antiqua" w:eastAsia="Times New Roman" w:hAnsi="Book Antiqua"/>
          <w:noProof/>
          <w:color w:val="000000"/>
          <w:lang w:eastAsia="zh-CN"/>
        </w:rPr>
        <w:lastRenderedPageBreak/>
        <w:drawing>
          <wp:inline distT="0" distB="0" distL="0" distR="0" wp14:anchorId="3B26CA76" wp14:editId="1057B9EE">
            <wp:extent cx="5943600"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14:paraId="0B1D1371" w14:textId="0C1E7B92" w:rsidR="005E1233" w:rsidRPr="0003196B" w:rsidRDefault="000D4CF3" w:rsidP="0003196B">
      <w:pPr>
        <w:adjustRightInd w:val="0"/>
        <w:snapToGrid w:val="0"/>
        <w:spacing w:line="360" w:lineRule="auto"/>
        <w:jc w:val="both"/>
        <w:rPr>
          <w:rFonts w:ascii="Book Antiqua" w:eastAsia="Book Antiqua" w:hAnsi="Book Antiqua" w:cs="Book Antiqua"/>
          <w:color w:val="000000"/>
        </w:rPr>
      </w:pPr>
      <w:r w:rsidRPr="0003196B">
        <w:rPr>
          <w:rFonts w:ascii="Book Antiqua" w:eastAsia="Book Antiqua" w:hAnsi="Book Antiqua" w:cs="Book Antiqua"/>
          <w:b/>
          <w:bCs/>
          <w:color w:val="000000"/>
        </w:rPr>
        <w:t>Figure 2</w:t>
      </w:r>
      <w:r w:rsidR="005E1233" w:rsidRPr="0003196B">
        <w:rPr>
          <w:rFonts w:ascii="Book Antiqua" w:eastAsia="Book Antiqua" w:hAnsi="Book Antiqua" w:cs="Book Antiqua"/>
          <w:b/>
          <w:bCs/>
          <w:color w:val="000000"/>
        </w:rPr>
        <w:t xml:space="preserve"> The treatment of a pediatric diaphyseal femoral fracture.</w:t>
      </w:r>
      <w:r w:rsidRPr="0003196B">
        <w:rPr>
          <w:rFonts w:ascii="Book Antiqua" w:eastAsia="Book Antiqua" w:hAnsi="Book Antiqua" w:cs="Book Antiqua"/>
          <w:b/>
          <w:bCs/>
          <w:color w:val="000000"/>
        </w:rPr>
        <w:t xml:space="preserve"> </w:t>
      </w:r>
      <w:r w:rsidRPr="0003196B">
        <w:rPr>
          <w:rFonts w:ascii="Book Antiqua" w:eastAsia="Book Antiqua" w:hAnsi="Book Antiqua" w:cs="Book Antiqua"/>
          <w:color w:val="000000"/>
        </w:rPr>
        <w:t xml:space="preserve">Six-year-old male, large comminution, open reduction and external fixation, </w:t>
      </w:r>
      <w:proofErr w:type="spellStart"/>
      <w:r w:rsidRPr="0003196B">
        <w:rPr>
          <w:rFonts w:ascii="Book Antiqua" w:eastAsia="Book Antiqua" w:hAnsi="Book Antiqua" w:cs="Book Antiqua"/>
          <w:color w:val="000000"/>
        </w:rPr>
        <w:t>monolateral</w:t>
      </w:r>
      <w:proofErr w:type="spellEnd"/>
      <w:r w:rsidRPr="0003196B">
        <w:rPr>
          <w:rFonts w:ascii="Book Antiqua" w:eastAsia="Book Antiqua" w:hAnsi="Book Antiqua" w:cs="Book Antiqua"/>
          <w:color w:val="000000"/>
        </w:rPr>
        <w:t xml:space="preserve"> external fixation, transi</w:t>
      </w:r>
      <w:r w:rsidR="000D4A83" w:rsidRPr="0003196B">
        <w:rPr>
          <w:rFonts w:ascii="Book Antiqua" w:eastAsia="Book Antiqua" w:hAnsi="Book Antiqua" w:cs="Book Antiqua"/>
          <w:color w:val="000000"/>
        </w:rPr>
        <w:t xml:space="preserve">tioned to spica cast after 6 </w:t>
      </w:r>
      <w:proofErr w:type="spellStart"/>
      <w:r w:rsidR="000D4A83" w:rsidRPr="0003196B">
        <w:rPr>
          <w:rFonts w:ascii="Book Antiqua" w:eastAsia="Book Antiqua" w:hAnsi="Book Antiqua" w:cs="Book Antiqua"/>
          <w:color w:val="000000"/>
        </w:rPr>
        <w:t>wk</w:t>
      </w:r>
      <w:proofErr w:type="spellEnd"/>
      <w:r w:rsidRPr="0003196B">
        <w:rPr>
          <w:rFonts w:ascii="Book Antiqua" w:eastAsia="Book Antiqua" w:hAnsi="Book Antiqua" w:cs="Book Antiqua"/>
          <w:color w:val="000000"/>
        </w:rPr>
        <w:t xml:space="preserve"> due to pin site infection</w:t>
      </w:r>
      <w:r w:rsidR="005E1233" w:rsidRPr="0003196B">
        <w:rPr>
          <w:rFonts w:ascii="Book Antiqua" w:eastAsia="Book Antiqua" w:hAnsi="Book Antiqua" w:cs="Book Antiqua"/>
          <w:color w:val="000000"/>
        </w:rPr>
        <w:t>.</w:t>
      </w:r>
    </w:p>
    <w:p w14:paraId="49D0F36A" w14:textId="4298FF92" w:rsidR="00A77B3E" w:rsidRPr="0003196B" w:rsidRDefault="005E1233" w:rsidP="0003196B">
      <w:pPr>
        <w:adjustRightInd w:val="0"/>
        <w:snapToGrid w:val="0"/>
        <w:spacing w:line="360" w:lineRule="auto"/>
        <w:jc w:val="both"/>
        <w:rPr>
          <w:rFonts w:ascii="Book Antiqua" w:hAnsi="Book Antiqua"/>
        </w:rPr>
      </w:pPr>
      <w:r w:rsidRPr="0003196B">
        <w:rPr>
          <w:rFonts w:ascii="Book Antiqua" w:eastAsia="Book Antiqua" w:hAnsi="Book Antiqua" w:cs="Book Antiqua"/>
          <w:color w:val="000000"/>
        </w:rPr>
        <w:br w:type="page"/>
      </w:r>
      <w:r w:rsidR="007C34EF" w:rsidRPr="0003196B">
        <w:rPr>
          <w:rFonts w:ascii="Book Antiqua" w:eastAsia="Times New Roman" w:hAnsi="Book Antiqua"/>
          <w:noProof/>
          <w:color w:val="000000"/>
          <w:lang w:eastAsia="zh-CN"/>
        </w:rPr>
        <w:lastRenderedPageBreak/>
        <w:drawing>
          <wp:inline distT="0" distB="0" distL="0" distR="0" wp14:anchorId="02914B9A" wp14:editId="2C8CACA7">
            <wp:extent cx="5943600" cy="3343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3275"/>
                    </a:xfrm>
                    <a:prstGeom prst="rect">
                      <a:avLst/>
                    </a:prstGeom>
                  </pic:spPr>
                </pic:pic>
              </a:graphicData>
            </a:graphic>
          </wp:inline>
        </w:drawing>
      </w:r>
    </w:p>
    <w:p w14:paraId="3C89703E" w14:textId="77777777" w:rsidR="000D4A83" w:rsidRPr="0003196B" w:rsidRDefault="000D4CF3" w:rsidP="0003196B">
      <w:pPr>
        <w:adjustRightInd w:val="0"/>
        <w:snapToGrid w:val="0"/>
        <w:spacing w:line="360" w:lineRule="auto"/>
        <w:jc w:val="both"/>
        <w:rPr>
          <w:rFonts w:ascii="Book Antiqua" w:eastAsia="Book Antiqua" w:hAnsi="Book Antiqua" w:cs="Book Antiqua"/>
          <w:color w:val="000000"/>
        </w:rPr>
        <w:sectPr w:rsidR="000D4A83" w:rsidRPr="0003196B" w:rsidSect="00F22FD9">
          <w:type w:val="continuous"/>
          <w:pgSz w:w="12240" w:h="15840"/>
          <w:pgMar w:top="1440" w:right="1800" w:bottom="1440" w:left="1800" w:header="720" w:footer="720" w:gutter="0"/>
          <w:cols w:space="720"/>
          <w:docGrid w:linePitch="360"/>
        </w:sectPr>
      </w:pPr>
      <w:r w:rsidRPr="0003196B">
        <w:rPr>
          <w:rFonts w:ascii="Book Antiqua" w:eastAsia="Book Antiqua" w:hAnsi="Book Antiqua" w:cs="Book Antiqua"/>
          <w:b/>
          <w:bCs/>
          <w:color w:val="000000"/>
        </w:rPr>
        <w:t>Figure 3</w:t>
      </w:r>
      <w:r w:rsidR="005E1233" w:rsidRPr="0003196B">
        <w:rPr>
          <w:rFonts w:ascii="Book Antiqua" w:eastAsia="Book Antiqua" w:hAnsi="Book Antiqua" w:cs="Book Antiqua"/>
          <w:b/>
          <w:bCs/>
          <w:color w:val="000000"/>
        </w:rPr>
        <w:t xml:space="preserve"> Another pediatric length unstable spiral fracture, but instead of</w:t>
      </w:r>
      <w:r w:rsidR="008E0ADB" w:rsidRPr="0003196B">
        <w:rPr>
          <w:rFonts w:ascii="Book Antiqua" w:eastAsia="Times New Roman" w:hAnsi="Book Antiqua"/>
          <w:color w:val="000000"/>
        </w:rPr>
        <w:t xml:space="preserve"> </w:t>
      </w:r>
      <w:r w:rsidR="000D4A83" w:rsidRPr="0003196B">
        <w:rPr>
          <w:rFonts w:ascii="Book Antiqua" w:eastAsia="Times New Roman" w:hAnsi="Book Antiqua"/>
          <w:b/>
          <w:bCs/>
          <w:color w:val="000000"/>
        </w:rPr>
        <w:t>flexible intramedullary nailing</w:t>
      </w:r>
      <w:r w:rsidR="000D4A83" w:rsidRPr="0003196B">
        <w:rPr>
          <w:rFonts w:ascii="Book Antiqua" w:eastAsia="Book Antiqua" w:hAnsi="Book Antiqua" w:cs="Book Antiqua"/>
          <w:b/>
          <w:bCs/>
          <w:color w:val="000000"/>
        </w:rPr>
        <w:t>.</w:t>
      </w:r>
      <w:r w:rsidR="000D4A83" w:rsidRPr="0003196B">
        <w:rPr>
          <w:rFonts w:ascii="Book Antiqua" w:eastAsia="Book Antiqua" w:hAnsi="Book Antiqua" w:cs="Book Antiqua"/>
          <w:color w:val="000000"/>
        </w:rPr>
        <w:t xml:space="preserve"> </w:t>
      </w:r>
      <w:r w:rsidRPr="0003196B">
        <w:rPr>
          <w:rFonts w:ascii="Book Antiqua" w:eastAsia="Book Antiqua" w:hAnsi="Book Antiqua" w:cs="Book Antiqua"/>
          <w:color w:val="000000"/>
        </w:rPr>
        <w:t>Eight-year-old male, spiral fracture treated with submuscular plating, fairly significant keloid scars</w:t>
      </w:r>
      <w:r w:rsidR="005E1233" w:rsidRPr="0003196B">
        <w:rPr>
          <w:rFonts w:ascii="Book Antiqua" w:eastAsia="Book Antiqua" w:hAnsi="Book Antiqua" w:cs="Book Antiqua"/>
          <w:color w:val="000000"/>
        </w:rPr>
        <w:t>.</w:t>
      </w:r>
    </w:p>
    <w:p w14:paraId="2E0C2EA8" w14:textId="7FA3CFA4" w:rsidR="005E1233" w:rsidRPr="0003196B" w:rsidRDefault="000D4A83" w:rsidP="0003196B">
      <w:pPr>
        <w:adjustRightInd w:val="0"/>
        <w:snapToGrid w:val="0"/>
        <w:spacing w:line="360" w:lineRule="auto"/>
        <w:jc w:val="both"/>
        <w:rPr>
          <w:rFonts w:ascii="Book Antiqua" w:eastAsia="Times New Roman" w:hAnsi="Book Antiqua"/>
          <w:b/>
          <w:bCs/>
          <w:color w:val="000000"/>
        </w:rPr>
      </w:pPr>
      <w:r w:rsidRPr="0003196B">
        <w:rPr>
          <w:rFonts w:ascii="Book Antiqua" w:eastAsia="Times New Roman" w:hAnsi="Book Antiqua"/>
          <w:b/>
          <w:bCs/>
          <w:color w:val="000000"/>
        </w:rPr>
        <w:lastRenderedPageBreak/>
        <w:t xml:space="preserve">Table 1 </w:t>
      </w:r>
      <w:r w:rsidR="005E1233" w:rsidRPr="0003196B">
        <w:rPr>
          <w:rFonts w:ascii="Book Antiqua" w:eastAsia="Times New Roman" w:hAnsi="Book Antiqua"/>
          <w:b/>
          <w:bCs/>
          <w:color w:val="000000"/>
        </w:rPr>
        <w:t xml:space="preserve">Length </w:t>
      </w:r>
      <w:r w:rsidRPr="0003196B">
        <w:rPr>
          <w:rFonts w:ascii="Book Antiqua" w:eastAsia="Times New Roman" w:hAnsi="Book Antiqua"/>
          <w:b/>
          <w:bCs/>
          <w:color w:val="000000"/>
        </w:rPr>
        <w:t>unstable femur fractures</w:t>
      </w:r>
    </w:p>
    <w:tbl>
      <w:tblPr>
        <w:tblStyle w:val="1"/>
        <w:tblW w:w="1162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7"/>
        <w:gridCol w:w="1117"/>
        <w:gridCol w:w="1291"/>
        <w:gridCol w:w="1326"/>
        <w:gridCol w:w="1117"/>
        <w:gridCol w:w="1291"/>
        <w:gridCol w:w="1326"/>
        <w:gridCol w:w="1149"/>
      </w:tblGrid>
      <w:tr w:rsidR="005E1233" w:rsidRPr="0003196B" w14:paraId="55E99C2B" w14:textId="77777777" w:rsidTr="00F22FD9">
        <w:trPr>
          <w:trHeight w:val="347"/>
          <w:jc w:val="center"/>
        </w:trPr>
        <w:tc>
          <w:tcPr>
            <w:tcW w:w="3007" w:type="dxa"/>
            <w:tcBorders>
              <w:top w:val="single" w:sz="4" w:space="0" w:color="auto"/>
              <w:bottom w:val="single" w:sz="4" w:space="0" w:color="auto"/>
            </w:tcBorders>
          </w:tcPr>
          <w:p w14:paraId="2466A5A5"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p>
        </w:tc>
        <w:tc>
          <w:tcPr>
            <w:tcW w:w="3734" w:type="dxa"/>
            <w:gridSpan w:val="3"/>
            <w:tcBorders>
              <w:top w:val="single" w:sz="4" w:space="0" w:color="auto"/>
              <w:bottom w:val="single" w:sz="4" w:space="0" w:color="auto"/>
            </w:tcBorders>
            <w:vAlign w:val="center"/>
          </w:tcPr>
          <w:p w14:paraId="000C40DD" w14:textId="3229EC16" w:rsidR="005E1233" w:rsidRPr="0003196B" w:rsidRDefault="005E1233" w:rsidP="0003196B">
            <w:pPr>
              <w:adjustRightInd w:val="0"/>
              <w:snapToGrid w:val="0"/>
              <w:spacing w:line="360" w:lineRule="auto"/>
              <w:jc w:val="both"/>
              <w:rPr>
                <w:rFonts w:ascii="Book Antiqua" w:eastAsia="Times New Roman" w:hAnsi="Book Antiqua"/>
                <w:b/>
                <w:bCs/>
                <w:color w:val="000000"/>
              </w:rPr>
            </w:pPr>
            <w:r w:rsidRPr="0003196B">
              <w:rPr>
                <w:rFonts w:ascii="Book Antiqua" w:eastAsia="Times New Roman" w:hAnsi="Book Antiqua"/>
                <w:b/>
                <w:bCs/>
                <w:color w:val="000000"/>
              </w:rPr>
              <w:t xml:space="preserve">Length </w:t>
            </w:r>
            <w:r w:rsidR="000D4A83" w:rsidRPr="0003196B">
              <w:rPr>
                <w:rFonts w:ascii="Book Antiqua" w:eastAsia="Times New Roman" w:hAnsi="Book Antiqua"/>
                <w:b/>
                <w:bCs/>
                <w:color w:val="000000"/>
              </w:rPr>
              <w:t xml:space="preserve">unstable </w:t>
            </w:r>
            <w:r w:rsidRPr="0003196B">
              <w:rPr>
                <w:rFonts w:ascii="Book Antiqua" w:eastAsia="Times New Roman" w:hAnsi="Book Antiqua"/>
                <w:b/>
                <w:bCs/>
                <w:color w:val="000000"/>
              </w:rPr>
              <w:t>with FIMN</w:t>
            </w:r>
            <w:r w:rsidR="000D4A83" w:rsidRPr="0003196B">
              <w:rPr>
                <w:rFonts w:ascii="Book Antiqua" w:hAnsi="Book Antiqua"/>
                <w:b/>
                <w:bCs/>
                <w:color w:val="000000"/>
                <w:lang w:eastAsia="zh-CN"/>
              </w:rPr>
              <w:t xml:space="preserve"> </w:t>
            </w:r>
            <w:r w:rsidRPr="0003196B">
              <w:rPr>
                <w:rFonts w:ascii="Book Antiqua" w:eastAsia="Times New Roman" w:hAnsi="Book Antiqua"/>
                <w:b/>
                <w:bCs/>
                <w:color w:val="000000"/>
              </w:rPr>
              <w:t>(</w:t>
            </w:r>
            <w:r w:rsidRPr="0003196B">
              <w:rPr>
                <w:rFonts w:ascii="Book Antiqua" w:eastAsia="Times New Roman" w:hAnsi="Book Antiqua"/>
                <w:b/>
                <w:bCs/>
                <w:i/>
                <w:iCs/>
                <w:color w:val="000000"/>
              </w:rPr>
              <w:t>n</w:t>
            </w:r>
            <w:r w:rsidRPr="0003196B">
              <w:rPr>
                <w:rFonts w:ascii="Book Antiqua" w:eastAsia="Times New Roman" w:hAnsi="Book Antiqua"/>
                <w:b/>
                <w:bCs/>
                <w:color w:val="000000"/>
              </w:rPr>
              <w:t xml:space="preserve"> = 21)</w:t>
            </w:r>
          </w:p>
        </w:tc>
        <w:tc>
          <w:tcPr>
            <w:tcW w:w="0" w:type="auto"/>
            <w:gridSpan w:val="3"/>
            <w:tcBorders>
              <w:top w:val="single" w:sz="4" w:space="0" w:color="auto"/>
              <w:bottom w:val="single" w:sz="4" w:space="0" w:color="auto"/>
            </w:tcBorders>
            <w:vAlign w:val="center"/>
          </w:tcPr>
          <w:p w14:paraId="71210518" w14:textId="72C1550A" w:rsidR="005E1233" w:rsidRPr="0003196B" w:rsidRDefault="005E1233" w:rsidP="0003196B">
            <w:pPr>
              <w:adjustRightInd w:val="0"/>
              <w:snapToGrid w:val="0"/>
              <w:spacing w:line="360" w:lineRule="auto"/>
              <w:jc w:val="both"/>
              <w:rPr>
                <w:rFonts w:ascii="Book Antiqua" w:eastAsia="Times New Roman" w:hAnsi="Book Antiqua"/>
                <w:b/>
                <w:bCs/>
                <w:color w:val="000000"/>
              </w:rPr>
            </w:pPr>
            <w:r w:rsidRPr="0003196B">
              <w:rPr>
                <w:rFonts w:ascii="Book Antiqua" w:eastAsia="Times New Roman" w:hAnsi="Book Antiqua"/>
                <w:b/>
                <w:bCs/>
                <w:color w:val="000000"/>
              </w:rPr>
              <w:t xml:space="preserve">Length </w:t>
            </w:r>
            <w:r w:rsidR="000D4A83" w:rsidRPr="0003196B">
              <w:rPr>
                <w:rFonts w:ascii="Book Antiqua" w:eastAsia="Times New Roman" w:hAnsi="Book Antiqua"/>
                <w:b/>
                <w:bCs/>
                <w:color w:val="000000"/>
              </w:rPr>
              <w:t>unstable with locked</w:t>
            </w:r>
            <w:r w:rsidRPr="0003196B">
              <w:rPr>
                <w:rFonts w:ascii="Book Antiqua" w:eastAsia="Times New Roman" w:hAnsi="Book Antiqua"/>
                <w:b/>
                <w:bCs/>
                <w:color w:val="000000"/>
              </w:rPr>
              <w:t xml:space="preserve"> IMN, SMP, or </w:t>
            </w:r>
            <w:r w:rsidR="000D4A83" w:rsidRPr="0003196B">
              <w:rPr>
                <w:rFonts w:ascii="Book Antiqua" w:eastAsia="Times New Roman" w:hAnsi="Book Antiqua"/>
                <w:b/>
                <w:bCs/>
                <w:color w:val="000000"/>
              </w:rPr>
              <w:t xml:space="preserve">external fixator </w:t>
            </w:r>
            <w:r w:rsidRPr="0003196B">
              <w:rPr>
                <w:rFonts w:ascii="Book Antiqua" w:eastAsia="Times New Roman" w:hAnsi="Book Antiqua"/>
                <w:b/>
                <w:bCs/>
                <w:color w:val="000000"/>
              </w:rPr>
              <w:t>(</w:t>
            </w:r>
            <w:r w:rsidRPr="0003196B">
              <w:rPr>
                <w:rFonts w:ascii="Book Antiqua" w:eastAsia="Times New Roman" w:hAnsi="Book Antiqua"/>
                <w:b/>
                <w:bCs/>
                <w:i/>
                <w:iCs/>
                <w:color w:val="000000"/>
              </w:rPr>
              <w:t>n</w:t>
            </w:r>
            <w:r w:rsidRPr="0003196B">
              <w:rPr>
                <w:rFonts w:ascii="Book Antiqua" w:eastAsia="Times New Roman" w:hAnsi="Book Antiqua"/>
                <w:b/>
                <w:bCs/>
                <w:color w:val="000000"/>
              </w:rPr>
              <w:t xml:space="preserve"> = 29)</w:t>
            </w:r>
          </w:p>
        </w:tc>
        <w:tc>
          <w:tcPr>
            <w:tcW w:w="1149" w:type="dxa"/>
            <w:tcBorders>
              <w:top w:val="single" w:sz="4" w:space="0" w:color="auto"/>
              <w:bottom w:val="single" w:sz="4" w:space="0" w:color="auto"/>
            </w:tcBorders>
            <w:vAlign w:val="center"/>
          </w:tcPr>
          <w:p w14:paraId="1ACD6D5F" w14:textId="034793A0" w:rsidR="005E1233" w:rsidRPr="0003196B" w:rsidRDefault="005E1233" w:rsidP="0003196B">
            <w:pPr>
              <w:adjustRightInd w:val="0"/>
              <w:snapToGrid w:val="0"/>
              <w:spacing w:line="360" w:lineRule="auto"/>
              <w:jc w:val="both"/>
              <w:rPr>
                <w:rFonts w:ascii="Book Antiqua" w:eastAsia="Times New Roman" w:hAnsi="Book Antiqua"/>
                <w:b/>
                <w:bCs/>
                <w:color w:val="000000"/>
              </w:rPr>
            </w:pPr>
            <w:r w:rsidRPr="0003196B">
              <w:rPr>
                <w:rFonts w:ascii="Book Antiqua" w:eastAsia="Times New Roman" w:hAnsi="Book Antiqua"/>
                <w:b/>
                <w:bCs/>
                <w:i/>
                <w:iCs/>
                <w:color w:val="000000"/>
              </w:rPr>
              <w:t>P</w:t>
            </w:r>
            <w:r w:rsidR="000D4A83" w:rsidRPr="0003196B">
              <w:rPr>
                <w:rFonts w:ascii="Book Antiqua" w:eastAsia="Times New Roman" w:hAnsi="Book Antiqua"/>
                <w:b/>
                <w:bCs/>
                <w:color w:val="000000"/>
              </w:rPr>
              <w:t xml:space="preserve"> value</w:t>
            </w:r>
          </w:p>
        </w:tc>
      </w:tr>
      <w:tr w:rsidR="005E1233" w:rsidRPr="0003196B" w14:paraId="70664AB9" w14:textId="77777777" w:rsidTr="00F22FD9">
        <w:trPr>
          <w:trHeight w:val="401"/>
          <w:jc w:val="center"/>
        </w:trPr>
        <w:tc>
          <w:tcPr>
            <w:tcW w:w="3007" w:type="dxa"/>
            <w:tcBorders>
              <w:top w:val="single" w:sz="4" w:space="0" w:color="auto"/>
            </w:tcBorders>
          </w:tcPr>
          <w:p w14:paraId="14A8E52B" w14:textId="0687CAB2"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 xml:space="preserve">Patient </w:t>
            </w:r>
            <w:r w:rsidR="000D4A83" w:rsidRPr="0003196B">
              <w:rPr>
                <w:rFonts w:ascii="Book Antiqua" w:eastAsia="Times New Roman" w:hAnsi="Book Antiqua"/>
                <w:color w:val="000000"/>
              </w:rPr>
              <w:t>characteristics</w:t>
            </w:r>
          </w:p>
        </w:tc>
        <w:tc>
          <w:tcPr>
            <w:tcW w:w="1117" w:type="dxa"/>
            <w:tcBorders>
              <w:top w:val="single" w:sz="4" w:space="0" w:color="auto"/>
            </w:tcBorders>
          </w:tcPr>
          <w:p w14:paraId="76155019" w14:textId="2013C110"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Average</w:t>
            </w:r>
          </w:p>
        </w:tc>
        <w:tc>
          <w:tcPr>
            <w:tcW w:w="0" w:type="auto"/>
            <w:tcBorders>
              <w:top w:val="single" w:sz="4" w:space="0" w:color="auto"/>
            </w:tcBorders>
          </w:tcPr>
          <w:p w14:paraId="2AAECDF0"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Minimum</w:t>
            </w:r>
          </w:p>
        </w:tc>
        <w:tc>
          <w:tcPr>
            <w:tcW w:w="0" w:type="auto"/>
            <w:tcBorders>
              <w:top w:val="single" w:sz="4" w:space="0" w:color="auto"/>
            </w:tcBorders>
          </w:tcPr>
          <w:p w14:paraId="400F13DB" w14:textId="50AE2D99"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Maximum</w:t>
            </w:r>
          </w:p>
        </w:tc>
        <w:tc>
          <w:tcPr>
            <w:tcW w:w="0" w:type="auto"/>
            <w:tcBorders>
              <w:top w:val="single" w:sz="4" w:space="0" w:color="auto"/>
            </w:tcBorders>
          </w:tcPr>
          <w:p w14:paraId="03586891" w14:textId="021BEA12"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Average</w:t>
            </w:r>
          </w:p>
        </w:tc>
        <w:tc>
          <w:tcPr>
            <w:tcW w:w="0" w:type="auto"/>
            <w:tcBorders>
              <w:top w:val="single" w:sz="4" w:space="0" w:color="auto"/>
            </w:tcBorders>
          </w:tcPr>
          <w:p w14:paraId="71B02524"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Minimum</w:t>
            </w:r>
          </w:p>
        </w:tc>
        <w:tc>
          <w:tcPr>
            <w:tcW w:w="0" w:type="auto"/>
            <w:tcBorders>
              <w:top w:val="single" w:sz="4" w:space="0" w:color="auto"/>
            </w:tcBorders>
          </w:tcPr>
          <w:p w14:paraId="0B63B78E" w14:textId="4ABB5AB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Maximum</w:t>
            </w:r>
          </w:p>
        </w:tc>
        <w:tc>
          <w:tcPr>
            <w:tcW w:w="1149" w:type="dxa"/>
            <w:tcBorders>
              <w:top w:val="single" w:sz="4" w:space="0" w:color="auto"/>
            </w:tcBorders>
          </w:tcPr>
          <w:p w14:paraId="08D1B701" w14:textId="325DA9A5" w:rsidR="005E1233" w:rsidRPr="0003196B" w:rsidRDefault="005E1233" w:rsidP="0003196B">
            <w:pPr>
              <w:adjustRightInd w:val="0"/>
              <w:snapToGrid w:val="0"/>
              <w:spacing w:line="360" w:lineRule="auto"/>
              <w:jc w:val="both"/>
              <w:rPr>
                <w:rFonts w:ascii="Book Antiqua" w:eastAsia="Times New Roman" w:hAnsi="Book Antiqua"/>
                <w:color w:val="000000"/>
              </w:rPr>
            </w:pPr>
          </w:p>
        </w:tc>
      </w:tr>
      <w:tr w:rsidR="00F22FD9" w:rsidRPr="0003196B" w14:paraId="66C904F9" w14:textId="77777777" w:rsidTr="00F22FD9">
        <w:trPr>
          <w:trHeight w:val="333"/>
          <w:jc w:val="center"/>
        </w:trPr>
        <w:tc>
          <w:tcPr>
            <w:tcW w:w="3007" w:type="dxa"/>
          </w:tcPr>
          <w:p w14:paraId="5A7D5399" w14:textId="7B3D633D"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Sex</w:t>
            </w:r>
          </w:p>
        </w:tc>
        <w:tc>
          <w:tcPr>
            <w:tcW w:w="1117" w:type="dxa"/>
          </w:tcPr>
          <w:p w14:paraId="14FCEEE0" w14:textId="472CF6AB"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4664B621"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20ABF704"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003024EE" w14:textId="2DC0D5B9"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52057515"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3669906E"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1149" w:type="dxa"/>
          </w:tcPr>
          <w:p w14:paraId="0AD6A01C" w14:textId="06096B15"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0.19</w:t>
            </w:r>
          </w:p>
        </w:tc>
      </w:tr>
      <w:tr w:rsidR="00F22FD9" w:rsidRPr="0003196B" w14:paraId="5F4BF1B5" w14:textId="77777777" w:rsidTr="00F22FD9">
        <w:trPr>
          <w:trHeight w:val="396"/>
          <w:jc w:val="center"/>
        </w:trPr>
        <w:tc>
          <w:tcPr>
            <w:tcW w:w="3007" w:type="dxa"/>
          </w:tcPr>
          <w:p w14:paraId="0A2754BB" w14:textId="3E9A6254" w:rsidR="00F22FD9" w:rsidRPr="0003196B" w:rsidRDefault="00F22FD9" w:rsidP="0003196B">
            <w:pPr>
              <w:adjustRightInd w:val="0"/>
              <w:snapToGrid w:val="0"/>
              <w:spacing w:line="360" w:lineRule="auto"/>
              <w:ind w:firstLineChars="50" w:firstLine="120"/>
              <w:jc w:val="both"/>
              <w:rPr>
                <w:rFonts w:ascii="Book Antiqua" w:eastAsia="Times New Roman" w:hAnsi="Book Antiqua"/>
                <w:color w:val="000000"/>
              </w:rPr>
            </w:pPr>
            <w:r w:rsidRPr="0003196B">
              <w:rPr>
                <w:rFonts w:ascii="Book Antiqua" w:eastAsia="Times New Roman" w:hAnsi="Book Antiqua"/>
                <w:color w:val="000000"/>
              </w:rPr>
              <w:t>Male</w:t>
            </w:r>
          </w:p>
        </w:tc>
        <w:tc>
          <w:tcPr>
            <w:tcW w:w="1117" w:type="dxa"/>
          </w:tcPr>
          <w:p w14:paraId="21EA3206" w14:textId="3AADAC32"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17</w:t>
            </w:r>
          </w:p>
        </w:tc>
        <w:tc>
          <w:tcPr>
            <w:tcW w:w="0" w:type="auto"/>
          </w:tcPr>
          <w:p w14:paraId="308DCA7A"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4A9D69EF"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13F5D7D5" w14:textId="30B68B18"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27</w:t>
            </w:r>
          </w:p>
        </w:tc>
        <w:tc>
          <w:tcPr>
            <w:tcW w:w="0" w:type="auto"/>
          </w:tcPr>
          <w:p w14:paraId="5965D055"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31F6316F"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1149" w:type="dxa"/>
          </w:tcPr>
          <w:p w14:paraId="4CD34006"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F22FD9" w:rsidRPr="0003196B" w14:paraId="725C480D" w14:textId="77777777" w:rsidTr="00F22FD9">
        <w:trPr>
          <w:trHeight w:val="394"/>
          <w:jc w:val="center"/>
        </w:trPr>
        <w:tc>
          <w:tcPr>
            <w:tcW w:w="3007" w:type="dxa"/>
          </w:tcPr>
          <w:p w14:paraId="4ADFC413" w14:textId="40274BF9" w:rsidR="00F22FD9" w:rsidRPr="0003196B" w:rsidRDefault="00F22FD9" w:rsidP="0003196B">
            <w:pPr>
              <w:adjustRightInd w:val="0"/>
              <w:snapToGrid w:val="0"/>
              <w:spacing w:line="360" w:lineRule="auto"/>
              <w:ind w:firstLineChars="50" w:firstLine="120"/>
              <w:jc w:val="both"/>
              <w:rPr>
                <w:rFonts w:ascii="Book Antiqua" w:eastAsia="Times New Roman" w:hAnsi="Book Antiqua"/>
                <w:color w:val="000000"/>
              </w:rPr>
            </w:pPr>
            <w:r w:rsidRPr="0003196B">
              <w:rPr>
                <w:rFonts w:ascii="Book Antiqua" w:eastAsia="Times New Roman" w:hAnsi="Book Antiqua"/>
                <w:color w:val="000000"/>
              </w:rPr>
              <w:t>Female</w:t>
            </w:r>
          </w:p>
        </w:tc>
        <w:tc>
          <w:tcPr>
            <w:tcW w:w="1117" w:type="dxa"/>
          </w:tcPr>
          <w:p w14:paraId="0571E70C" w14:textId="4827D1EF"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4</w:t>
            </w:r>
          </w:p>
        </w:tc>
        <w:tc>
          <w:tcPr>
            <w:tcW w:w="0" w:type="auto"/>
          </w:tcPr>
          <w:p w14:paraId="7DB9582D"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4A78A59E"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11766E33" w14:textId="21C22949"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w:t>
            </w:r>
          </w:p>
        </w:tc>
        <w:tc>
          <w:tcPr>
            <w:tcW w:w="0" w:type="auto"/>
          </w:tcPr>
          <w:p w14:paraId="076E5F2A"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3045906C"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1149" w:type="dxa"/>
          </w:tcPr>
          <w:p w14:paraId="77C2419E"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5E1233" w:rsidRPr="0003196B" w14:paraId="6AE5C836" w14:textId="77777777" w:rsidTr="00F22FD9">
        <w:trPr>
          <w:trHeight w:val="365"/>
          <w:jc w:val="center"/>
        </w:trPr>
        <w:tc>
          <w:tcPr>
            <w:tcW w:w="3007" w:type="dxa"/>
          </w:tcPr>
          <w:p w14:paraId="1F4D7F3D" w14:textId="71E50F9F" w:rsidR="005E1233"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 xml:space="preserve">Age, </w:t>
            </w:r>
            <w:proofErr w:type="spellStart"/>
            <w:r w:rsidRPr="0003196B">
              <w:rPr>
                <w:rFonts w:ascii="Book Antiqua" w:eastAsia="Times New Roman" w:hAnsi="Book Antiqua"/>
                <w:color w:val="000000"/>
              </w:rPr>
              <w:t>y</w:t>
            </w:r>
            <w:r w:rsidR="005E1233" w:rsidRPr="0003196B">
              <w:rPr>
                <w:rFonts w:ascii="Book Antiqua" w:eastAsia="Times New Roman" w:hAnsi="Book Antiqua"/>
                <w:color w:val="000000"/>
              </w:rPr>
              <w:t>r</w:t>
            </w:r>
            <w:proofErr w:type="spellEnd"/>
          </w:p>
        </w:tc>
        <w:tc>
          <w:tcPr>
            <w:tcW w:w="1117" w:type="dxa"/>
          </w:tcPr>
          <w:p w14:paraId="7B170D84" w14:textId="2908F0A0"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7.4</w:t>
            </w:r>
            <w:r w:rsidR="00F22FD9" w:rsidRPr="0003196B">
              <w:rPr>
                <w:rFonts w:ascii="Book Antiqua" w:eastAsia="Times New Roman" w:hAnsi="Book Antiqua"/>
                <w:color w:val="000000"/>
                <w:vertAlign w:val="superscript"/>
              </w:rPr>
              <w:t>1</w:t>
            </w:r>
          </w:p>
        </w:tc>
        <w:tc>
          <w:tcPr>
            <w:tcW w:w="0" w:type="auto"/>
          </w:tcPr>
          <w:p w14:paraId="3E6E704C"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5.2</w:t>
            </w:r>
          </w:p>
        </w:tc>
        <w:tc>
          <w:tcPr>
            <w:tcW w:w="0" w:type="auto"/>
          </w:tcPr>
          <w:p w14:paraId="2DD6EA74"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11.9</w:t>
            </w:r>
          </w:p>
        </w:tc>
        <w:tc>
          <w:tcPr>
            <w:tcW w:w="0" w:type="auto"/>
          </w:tcPr>
          <w:p w14:paraId="28ED2BA0" w14:textId="13384120"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9.3</w:t>
            </w:r>
            <w:r w:rsidR="00F22FD9" w:rsidRPr="0003196B">
              <w:rPr>
                <w:rFonts w:ascii="Book Antiqua" w:eastAsia="Times New Roman" w:hAnsi="Book Antiqua"/>
                <w:color w:val="000000"/>
                <w:vertAlign w:val="superscript"/>
              </w:rPr>
              <w:t>1</w:t>
            </w:r>
          </w:p>
        </w:tc>
        <w:tc>
          <w:tcPr>
            <w:tcW w:w="0" w:type="auto"/>
          </w:tcPr>
          <w:p w14:paraId="2DAF578B"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5.8</w:t>
            </w:r>
          </w:p>
        </w:tc>
        <w:tc>
          <w:tcPr>
            <w:tcW w:w="0" w:type="auto"/>
          </w:tcPr>
          <w:p w14:paraId="3ABE2EBC"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12.4</w:t>
            </w:r>
          </w:p>
        </w:tc>
        <w:tc>
          <w:tcPr>
            <w:tcW w:w="1149" w:type="dxa"/>
          </w:tcPr>
          <w:p w14:paraId="2D13C7D4"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0.004</w:t>
            </w:r>
          </w:p>
        </w:tc>
      </w:tr>
      <w:tr w:rsidR="005E1233" w:rsidRPr="0003196B" w14:paraId="7D729812" w14:textId="77777777" w:rsidTr="00F22FD9">
        <w:trPr>
          <w:trHeight w:val="347"/>
          <w:jc w:val="center"/>
        </w:trPr>
        <w:tc>
          <w:tcPr>
            <w:tcW w:w="3007" w:type="dxa"/>
          </w:tcPr>
          <w:p w14:paraId="0C3EA24D"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Weight, kg</w:t>
            </w:r>
          </w:p>
        </w:tc>
        <w:tc>
          <w:tcPr>
            <w:tcW w:w="1117" w:type="dxa"/>
          </w:tcPr>
          <w:p w14:paraId="59E51FFD" w14:textId="7F34143D"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27.8</w:t>
            </w:r>
            <w:r w:rsidR="00F22FD9" w:rsidRPr="0003196B">
              <w:rPr>
                <w:rFonts w:ascii="Book Antiqua" w:eastAsia="Times New Roman" w:hAnsi="Book Antiqua"/>
                <w:color w:val="000000"/>
                <w:vertAlign w:val="superscript"/>
              </w:rPr>
              <w:t>1</w:t>
            </w:r>
          </w:p>
        </w:tc>
        <w:tc>
          <w:tcPr>
            <w:tcW w:w="0" w:type="auto"/>
          </w:tcPr>
          <w:p w14:paraId="460919B5"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10.6</w:t>
            </w:r>
          </w:p>
        </w:tc>
        <w:tc>
          <w:tcPr>
            <w:tcW w:w="0" w:type="auto"/>
          </w:tcPr>
          <w:p w14:paraId="662C04B3"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56.7</w:t>
            </w:r>
          </w:p>
        </w:tc>
        <w:tc>
          <w:tcPr>
            <w:tcW w:w="0" w:type="auto"/>
          </w:tcPr>
          <w:p w14:paraId="41BD3FF6" w14:textId="0EEF6D96" w:rsidR="005E1233"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35.1</w:t>
            </w:r>
            <w:r w:rsidRPr="0003196B">
              <w:rPr>
                <w:rFonts w:ascii="Book Antiqua" w:eastAsia="Times New Roman" w:hAnsi="Book Antiqua"/>
                <w:color w:val="000000"/>
                <w:vertAlign w:val="superscript"/>
              </w:rPr>
              <w:t>1</w:t>
            </w:r>
          </w:p>
        </w:tc>
        <w:tc>
          <w:tcPr>
            <w:tcW w:w="0" w:type="auto"/>
          </w:tcPr>
          <w:p w14:paraId="144BA0A7"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18</w:t>
            </w:r>
          </w:p>
        </w:tc>
        <w:tc>
          <w:tcPr>
            <w:tcW w:w="0" w:type="auto"/>
          </w:tcPr>
          <w:p w14:paraId="345EE9CE"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68</w:t>
            </w:r>
          </w:p>
        </w:tc>
        <w:tc>
          <w:tcPr>
            <w:tcW w:w="1149" w:type="dxa"/>
          </w:tcPr>
          <w:p w14:paraId="383C5416"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0.033</w:t>
            </w:r>
          </w:p>
        </w:tc>
      </w:tr>
      <w:tr w:rsidR="005E1233" w:rsidRPr="0003196B" w14:paraId="490ED143" w14:textId="77777777" w:rsidTr="00F22FD9">
        <w:trPr>
          <w:trHeight w:val="394"/>
          <w:jc w:val="center"/>
        </w:trPr>
        <w:tc>
          <w:tcPr>
            <w:tcW w:w="3007" w:type="dxa"/>
          </w:tcPr>
          <w:p w14:paraId="47049493" w14:textId="5FA48F9E"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 xml:space="preserve">Fracture </w:t>
            </w:r>
            <w:r w:rsidR="00F22FD9" w:rsidRPr="0003196B">
              <w:rPr>
                <w:rFonts w:ascii="Book Antiqua" w:eastAsia="Times New Roman" w:hAnsi="Book Antiqua"/>
                <w:color w:val="000000"/>
              </w:rPr>
              <w:t>type</w:t>
            </w:r>
          </w:p>
        </w:tc>
        <w:tc>
          <w:tcPr>
            <w:tcW w:w="1117" w:type="dxa"/>
          </w:tcPr>
          <w:p w14:paraId="2216A0D0" w14:textId="44762440" w:rsidR="005E1233" w:rsidRPr="0003196B" w:rsidRDefault="005E1233" w:rsidP="0003196B">
            <w:pPr>
              <w:adjustRightInd w:val="0"/>
              <w:snapToGrid w:val="0"/>
              <w:spacing w:line="360" w:lineRule="auto"/>
              <w:jc w:val="both"/>
              <w:rPr>
                <w:rFonts w:ascii="Book Antiqua" w:eastAsia="Times New Roman" w:hAnsi="Book Antiqua"/>
                <w:color w:val="000000"/>
              </w:rPr>
            </w:pPr>
          </w:p>
        </w:tc>
        <w:tc>
          <w:tcPr>
            <w:tcW w:w="0" w:type="auto"/>
          </w:tcPr>
          <w:p w14:paraId="59240302"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p>
        </w:tc>
        <w:tc>
          <w:tcPr>
            <w:tcW w:w="0" w:type="auto"/>
          </w:tcPr>
          <w:p w14:paraId="356C19EE"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p>
        </w:tc>
        <w:tc>
          <w:tcPr>
            <w:tcW w:w="0" w:type="auto"/>
          </w:tcPr>
          <w:p w14:paraId="32F2434E" w14:textId="1B71610F" w:rsidR="005E1233" w:rsidRPr="0003196B" w:rsidRDefault="005E1233" w:rsidP="0003196B">
            <w:pPr>
              <w:adjustRightInd w:val="0"/>
              <w:snapToGrid w:val="0"/>
              <w:spacing w:line="360" w:lineRule="auto"/>
              <w:jc w:val="both"/>
              <w:rPr>
                <w:rFonts w:ascii="Book Antiqua" w:eastAsia="Times New Roman" w:hAnsi="Book Antiqua"/>
                <w:color w:val="000000"/>
              </w:rPr>
            </w:pPr>
          </w:p>
        </w:tc>
        <w:tc>
          <w:tcPr>
            <w:tcW w:w="0" w:type="auto"/>
          </w:tcPr>
          <w:p w14:paraId="130CD869"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p>
        </w:tc>
        <w:tc>
          <w:tcPr>
            <w:tcW w:w="0" w:type="auto"/>
          </w:tcPr>
          <w:p w14:paraId="48942D00"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p>
        </w:tc>
        <w:tc>
          <w:tcPr>
            <w:tcW w:w="1149" w:type="dxa"/>
          </w:tcPr>
          <w:p w14:paraId="778F21C1"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0.29</w:t>
            </w:r>
          </w:p>
        </w:tc>
      </w:tr>
      <w:tr w:rsidR="00F22FD9" w:rsidRPr="0003196B" w14:paraId="0EE64A9A" w14:textId="77777777" w:rsidTr="00F22FD9">
        <w:trPr>
          <w:trHeight w:val="408"/>
          <w:jc w:val="center"/>
        </w:trPr>
        <w:tc>
          <w:tcPr>
            <w:tcW w:w="3007" w:type="dxa"/>
          </w:tcPr>
          <w:p w14:paraId="56878FC6" w14:textId="10D580E0" w:rsidR="00F22FD9" w:rsidRPr="0003196B" w:rsidRDefault="00F22FD9" w:rsidP="0003196B">
            <w:pPr>
              <w:adjustRightInd w:val="0"/>
              <w:snapToGrid w:val="0"/>
              <w:spacing w:line="360" w:lineRule="auto"/>
              <w:ind w:firstLineChars="50" w:firstLine="120"/>
              <w:jc w:val="both"/>
              <w:rPr>
                <w:rFonts w:ascii="Book Antiqua" w:eastAsia="Times New Roman" w:hAnsi="Book Antiqua"/>
                <w:color w:val="000000"/>
              </w:rPr>
            </w:pPr>
            <w:r w:rsidRPr="0003196B">
              <w:rPr>
                <w:rFonts w:ascii="Book Antiqua" w:eastAsia="Times New Roman" w:hAnsi="Book Antiqua"/>
                <w:color w:val="000000"/>
              </w:rPr>
              <w:t>Spiral or oblique</w:t>
            </w:r>
          </w:p>
        </w:tc>
        <w:tc>
          <w:tcPr>
            <w:tcW w:w="1117" w:type="dxa"/>
          </w:tcPr>
          <w:p w14:paraId="29A3727A" w14:textId="1672BFA0"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16</w:t>
            </w:r>
          </w:p>
        </w:tc>
        <w:tc>
          <w:tcPr>
            <w:tcW w:w="0" w:type="auto"/>
          </w:tcPr>
          <w:p w14:paraId="7E6B7A19"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7C3811BB"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0E0D2E7E" w14:textId="55678571"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18</w:t>
            </w:r>
          </w:p>
        </w:tc>
        <w:tc>
          <w:tcPr>
            <w:tcW w:w="0" w:type="auto"/>
          </w:tcPr>
          <w:p w14:paraId="2ABD5F7B"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3E04C501"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1149" w:type="dxa"/>
          </w:tcPr>
          <w:p w14:paraId="5806909A"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F22FD9" w:rsidRPr="0003196B" w14:paraId="517EDA9A" w14:textId="77777777" w:rsidTr="00F22FD9">
        <w:trPr>
          <w:trHeight w:val="516"/>
          <w:jc w:val="center"/>
        </w:trPr>
        <w:tc>
          <w:tcPr>
            <w:tcW w:w="3007" w:type="dxa"/>
          </w:tcPr>
          <w:p w14:paraId="7A6F61C8" w14:textId="221D9A66" w:rsidR="00F22FD9" w:rsidRPr="0003196B" w:rsidRDefault="00F22FD9" w:rsidP="0003196B">
            <w:pPr>
              <w:adjustRightInd w:val="0"/>
              <w:snapToGrid w:val="0"/>
              <w:spacing w:line="360" w:lineRule="auto"/>
              <w:ind w:firstLineChars="50" w:firstLine="120"/>
              <w:jc w:val="both"/>
              <w:rPr>
                <w:rFonts w:ascii="Book Antiqua" w:eastAsia="Times New Roman" w:hAnsi="Book Antiqua"/>
                <w:color w:val="000000"/>
              </w:rPr>
            </w:pPr>
            <w:r w:rsidRPr="0003196B">
              <w:rPr>
                <w:rFonts w:ascii="Book Antiqua" w:eastAsia="Times New Roman" w:hAnsi="Book Antiqua"/>
                <w:color w:val="000000"/>
              </w:rPr>
              <w:t>Comminuted</w:t>
            </w:r>
          </w:p>
        </w:tc>
        <w:tc>
          <w:tcPr>
            <w:tcW w:w="1117" w:type="dxa"/>
          </w:tcPr>
          <w:p w14:paraId="1E072527" w14:textId="2E05253F"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w:t>
            </w:r>
          </w:p>
        </w:tc>
        <w:tc>
          <w:tcPr>
            <w:tcW w:w="0" w:type="auto"/>
          </w:tcPr>
          <w:p w14:paraId="13290770"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280F04FE"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633F4BAE" w14:textId="6EA1EF55"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11</w:t>
            </w:r>
          </w:p>
        </w:tc>
        <w:tc>
          <w:tcPr>
            <w:tcW w:w="0" w:type="auto"/>
          </w:tcPr>
          <w:p w14:paraId="0E473006"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tcPr>
          <w:p w14:paraId="5C0A198A"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1149" w:type="dxa"/>
          </w:tcPr>
          <w:p w14:paraId="0A82A84A"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5E1233" w:rsidRPr="0003196B" w14:paraId="7B47C036" w14:textId="77777777" w:rsidTr="00F22FD9">
        <w:trPr>
          <w:trHeight w:val="365"/>
          <w:jc w:val="center"/>
        </w:trPr>
        <w:tc>
          <w:tcPr>
            <w:tcW w:w="3007" w:type="dxa"/>
          </w:tcPr>
          <w:p w14:paraId="587EE3C3"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Blood loss, mL</w:t>
            </w:r>
          </w:p>
        </w:tc>
        <w:tc>
          <w:tcPr>
            <w:tcW w:w="1117" w:type="dxa"/>
          </w:tcPr>
          <w:p w14:paraId="16F48350" w14:textId="2BF27366"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29.2</w:t>
            </w:r>
            <w:r w:rsidR="00F22FD9" w:rsidRPr="0003196B">
              <w:rPr>
                <w:rFonts w:ascii="Book Antiqua" w:eastAsia="Times New Roman" w:hAnsi="Book Antiqua"/>
                <w:color w:val="000000"/>
                <w:vertAlign w:val="superscript"/>
              </w:rPr>
              <w:t>1</w:t>
            </w:r>
          </w:p>
        </w:tc>
        <w:tc>
          <w:tcPr>
            <w:tcW w:w="0" w:type="auto"/>
          </w:tcPr>
          <w:p w14:paraId="3D5E54E0"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w:t>
            </w:r>
          </w:p>
        </w:tc>
        <w:tc>
          <w:tcPr>
            <w:tcW w:w="0" w:type="auto"/>
          </w:tcPr>
          <w:p w14:paraId="66EAF3C8"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100</w:t>
            </w:r>
          </w:p>
        </w:tc>
        <w:tc>
          <w:tcPr>
            <w:tcW w:w="0" w:type="auto"/>
          </w:tcPr>
          <w:p w14:paraId="5E973AC3" w14:textId="6ECDC6D3"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98</w:t>
            </w:r>
            <w:r w:rsidR="00F22FD9" w:rsidRPr="0003196B">
              <w:rPr>
                <w:rFonts w:ascii="Book Antiqua" w:eastAsia="Times New Roman" w:hAnsi="Book Antiqua"/>
                <w:color w:val="000000"/>
                <w:vertAlign w:val="superscript"/>
              </w:rPr>
              <w:t>1</w:t>
            </w:r>
          </w:p>
        </w:tc>
        <w:tc>
          <w:tcPr>
            <w:tcW w:w="0" w:type="auto"/>
          </w:tcPr>
          <w:p w14:paraId="6AB63563"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10</w:t>
            </w:r>
          </w:p>
        </w:tc>
        <w:tc>
          <w:tcPr>
            <w:tcW w:w="0" w:type="auto"/>
          </w:tcPr>
          <w:p w14:paraId="6B2AFC0A"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500</w:t>
            </w:r>
          </w:p>
        </w:tc>
        <w:tc>
          <w:tcPr>
            <w:tcW w:w="1149" w:type="dxa"/>
          </w:tcPr>
          <w:p w14:paraId="6B140D1B"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0.0036</w:t>
            </w:r>
          </w:p>
        </w:tc>
      </w:tr>
      <w:tr w:rsidR="005E1233" w:rsidRPr="0003196B" w14:paraId="549E9ACE" w14:textId="77777777" w:rsidTr="00F22FD9">
        <w:trPr>
          <w:trHeight w:val="347"/>
          <w:jc w:val="center"/>
        </w:trPr>
        <w:tc>
          <w:tcPr>
            <w:tcW w:w="3007" w:type="dxa"/>
          </w:tcPr>
          <w:p w14:paraId="0AA5DE1E" w14:textId="4FB4D18D"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Follow-up duration, mo</w:t>
            </w:r>
          </w:p>
        </w:tc>
        <w:tc>
          <w:tcPr>
            <w:tcW w:w="1117" w:type="dxa"/>
          </w:tcPr>
          <w:p w14:paraId="1846DA2D"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10.6</w:t>
            </w:r>
          </w:p>
        </w:tc>
        <w:tc>
          <w:tcPr>
            <w:tcW w:w="0" w:type="auto"/>
          </w:tcPr>
          <w:p w14:paraId="712CA971"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w:t>
            </w:r>
          </w:p>
        </w:tc>
        <w:tc>
          <w:tcPr>
            <w:tcW w:w="0" w:type="auto"/>
          </w:tcPr>
          <w:p w14:paraId="596D3DA0"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51.5</w:t>
            </w:r>
          </w:p>
        </w:tc>
        <w:tc>
          <w:tcPr>
            <w:tcW w:w="0" w:type="auto"/>
          </w:tcPr>
          <w:p w14:paraId="4EE1FA6A"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8</w:t>
            </w:r>
          </w:p>
        </w:tc>
        <w:tc>
          <w:tcPr>
            <w:tcW w:w="0" w:type="auto"/>
          </w:tcPr>
          <w:p w14:paraId="4E50A5CD"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w:t>
            </w:r>
          </w:p>
        </w:tc>
        <w:tc>
          <w:tcPr>
            <w:tcW w:w="0" w:type="auto"/>
          </w:tcPr>
          <w:p w14:paraId="06F57587"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16</w:t>
            </w:r>
          </w:p>
        </w:tc>
        <w:tc>
          <w:tcPr>
            <w:tcW w:w="1149" w:type="dxa"/>
          </w:tcPr>
          <w:p w14:paraId="11AA7D89"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0.37</w:t>
            </w:r>
          </w:p>
        </w:tc>
      </w:tr>
      <w:tr w:rsidR="005E1233" w:rsidRPr="0003196B" w14:paraId="4FE04B89" w14:textId="77777777" w:rsidTr="00F22FD9">
        <w:trPr>
          <w:trHeight w:val="365"/>
          <w:jc w:val="center"/>
        </w:trPr>
        <w:tc>
          <w:tcPr>
            <w:tcW w:w="3007" w:type="dxa"/>
          </w:tcPr>
          <w:p w14:paraId="63A5A6DA" w14:textId="7A78D6BF"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Time to weightbearing, d</w:t>
            </w:r>
          </w:p>
        </w:tc>
        <w:tc>
          <w:tcPr>
            <w:tcW w:w="1117" w:type="dxa"/>
          </w:tcPr>
          <w:p w14:paraId="64FEE71D"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39</w:t>
            </w:r>
          </w:p>
        </w:tc>
        <w:tc>
          <w:tcPr>
            <w:tcW w:w="0" w:type="auto"/>
          </w:tcPr>
          <w:p w14:paraId="21F52F49"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23</w:t>
            </w:r>
          </w:p>
        </w:tc>
        <w:tc>
          <w:tcPr>
            <w:tcW w:w="0" w:type="auto"/>
          </w:tcPr>
          <w:p w14:paraId="5623BEA3"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60</w:t>
            </w:r>
          </w:p>
        </w:tc>
        <w:tc>
          <w:tcPr>
            <w:tcW w:w="0" w:type="auto"/>
          </w:tcPr>
          <w:p w14:paraId="3455591E"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36</w:t>
            </w:r>
          </w:p>
        </w:tc>
        <w:tc>
          <w:tcPr>
            <w:tcW w:w="0" w:type="auto"/>
          </w:tcPr>
          <w:p w14:paraId="4948AEF0"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12</w:t>
            </w:r>
          </w:p>
        </w:tc>
        <w:tc>
          <w:tcPr>
            <w:tcW w:w="0" w:type="auto"/>
          </w:tcPr>
          <w:p w14:paraId="046BFB44"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63</w:t>
            </w:r>
          </w:p>
        </w:tc>
        <w:tc>
          <w:tcPr>
            <w:tcW w:w="1149" w:type="dxa"/>
          </w:tcPr>
          <w:p w14:paraId="3D931D85" w14:textId="77777777"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0.45</w:t>
            </w:r>
          </w:p>
        </w:tc>
      </w:tr>
      <w:tr w:rsidR="005E1233" w:rsidRPr="0003196B" w14:paraId="50A11051" w14:textId="77777777" w:rsidTr="00F22FD9">
        <w:trPr>
          <w:trHeight w:val="348"/>
          <w:jc w:val="center"/>
        </w:trPr>
        <w:tc>
          <w:tcPr>
            <w:tcW w:w="3007" w:type="dxa"/>
          </w:tcPr>
          <w:p w14:paraId="33BDBCB0" w14:textId="668CE418"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Complications</w:t>
            </w:r>
          </w:p>
        </w:tc>
        <w:tc>
          <w:tcPr>
            <w:tcW w:w="3734" w:type="dxa"/>
            <w:gridSpan w:val="3"/>
          </w:tcPr>
          <w:p w14:paraId="5749CEBF" w14:textId="35BD4575"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Number (%)</w:t>
            </w:r>
          </w:p>
        </w:tc>
        <w:tc>
          <w:tcPr>
            <w:tcW w:w="0" w:type="auto"/>
            <w:gridSpan w:val="3"/>
          </w:tcPr>
          <w:p w14:paraId="15A1308E" w14:textId="28774F09" w:rsidR="005E1233" w:rsidRPr="0003196B" w:rsidRDefault="005E123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Number (%)</w:t>
            </w:r>
          </w:p>
        </w:tc>
        <w:tc>
          <w:tcPr>
            <w:tcW w:w="1149" w:type="dxa"/>
          </w:tcPr>
          <w:p w14:paraId="492FFA45" w14:textId="0566951A" w:rsidR="005E1233" w:rsidRPr="0003196B" w:rsidRDefault="005E1233" w:rsidP="0003196B">
            <w:pPr>
              <w:adjustRightInd w:val="0"/>
              <w:snapToGrid w:val="0"/>
              <w:spacing w:line="360" w:lineRule="auto"/>
              <w:jc w:val="both"/>
              <w:rPr>
                <w:rFonts w:ascii="Book Antiqua" w:eastAsia="Times New Roman" w:hAnsi="Book Antiqua"/>
                <w:color w:val="000000"/>
              </w:rPr>
            </w:pPr>
          </w:p>
        </w:tc>
      </w:tr>
      <w:tr w:rsidR="00F22FD9" w:rsidRPr="0003196B" w14:paraId="26B9C021" w14:textId="77777777" w:rsidTr="00F22FD9">
        <w:trPr>
          <w:trHeight w:val="380"/>
          <w:jc w:val="center"/>
        </w:trPr>
        <w:tc>
          <w:tcPr>
            <w:tcW w:w="3007" w:type="dxa"/>
          </w:tcPr>
          <w:p w14:paraId="41CDD745" w14:textId="00D04E19"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Malunion</w:t>
            </w:r>
          </w:p>
        </w:tc>
        <w:tc>
          <w:tcPr>
            <w:tcW w:w="3734" w:type="dxa"/>
            <w:gridSpan w:val="3"/>
          </w:tcPr>
          <w:p w14:paraId="10C84F35" w14:textId="53037609"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0" w:type="auto"/>
            <w:gridSpan w:val="3"/>
          </w:tcPr>
          <w:p w14:paraId="6F934F43" w14:textId="2A9E5FAD"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 (3.4%)</w:t>
            </w:r>
          </w:p>
        </w:tc>
        <w:tc>
          <w:tcPr>
            <w:tcW w:w="1149" w:type="dxa"/>
          </w:tcPr>
          <w:p w14:paraId="0154A139" w14:textId="7D6D0E3F"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F22FD9" w:rsidRPr="0003196B" w14:paraId="632F3C80" w14:textId="77777777" w:rsidTr="00F22FD9">
        <w:trPr>
          <w:trHeight w:val="408"/>
          <w:jc w:val="center"/>
        </w:trPr>
        <w:tc>
          <w:tcPr>
            <w:tcW w:w="3007" w:type="dxa"/>
          </w:tcPr>
          <w:p w14:paraId="3906F29D" w14:textId="29A54D4C"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Shortening</w:t>
            </w:r>
          </w:p>
        </w:tc>
        <w:tc>
          <w:tcPr>
            <w:tcW w:w="3734" w:type="dxa"/>
            <w:gridSpan w:val="3"/>
          </w:tcPr>
          <w:p w14:paraId="5A9648DA" w14:textId="73CE80DB"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 xml:space="preserve">0 </w:t>
            </w:r>
          </w:p>
        </w:tc>
        <w:tc>
          <w:tcPr>
            <w:tcW w:w="0" w:type="auto"/>
            <w:gridSpan w:val="3"/>
          </w:tcPr>
          <w:p w14:paraId="5275A88A" w14:textId="12EC83F0"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1149" w:type="dxa"/>
          </w:tcPr>
          <w:p w14:paraId="06CF8BB4" w14:textId="39ECA7EF"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F22FD9" w:rsidRPr="0003196B" w14:paraId="01EC6D33" w14:textId="77777777" w:rsidTr="00F22FD9">
        <w:trPr>
          <w:trHeight w:val="408"/>
          <w:jc w:val="center"/>
        </w:trPr>
        <w:tc>
          <w:tcPr>
            <w:tcW w:w="3007" w:type="dxa"/>
          </w:tcPr>
          <w:p w14:paraId="1FBFA3F4" w14:textId="4772851C"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Arthrofibrosis</w:t>
            </w:r>
          </w:p>
        </w:tc>
        <w:tc>
          <w:tcPr>
            <w:tcW w:w="3734" w:type="dxa"/>
            <w:gridSpan w:val="3"/>
          </w:tcPr>
          <w:p w14:paraId="16019678" w14:textId="2098A25D"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0" w:type="auto"/>
            <w:gridSpan w:val="3"/>
          </w:tcPr>
          <w:p w14:paraId="55F6305E" w14:textId="72CF4E81"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 (6.9%)</w:t>
            </w:r>
          </w:p>
        </w:tc>
        <w:tc>
          <w:tcPr>
            <w:tcW w:w="1149" w:type="dxa"/>
          </w:tcPr>
          <w:p w14:paraId="60AA5785" w14:textId="621B1888"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F22FD9" w:rsidRPr="0003196B" w14:paraId="25067700" w14:textId="77777777" w:rsidTr="00F22FD9">
        <w:trPr>
          <w:trHeight w:val="396"/>
          <w:jc w:val="center"/>
        </w:trPr>
        <w:tc>
          <w:tcPr>
            <w:tcW w:w="3007" w:type="dxa"/>
          </w:tcPr>
          <w:p w14:paraId="30D75CB7" w14:textId="48206BC0"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 xml:space="preserve">Symptomatic </w:t>
            </w:r>
          </w:p>
        </w:tc>
        <w:tc>
          <w:tcPr>
            <w:tcW w:w="3734" w:type="dxa"/>
            <w:gridSpan w:val="3"/>
          </w:tcPr>
          <w:p w14:paraId="510CB23E" w14:textId="6C2F8BD9"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8 (38%)</w:t>
            </w:r>
          </w:p>
        </w:tc>
        <w:tc>
          <w:tcPr>
            <w:tcW w:w="0" w:type="auto"/>
            <w:gridSpan w:val="3"/>
          </w:tcPr>
          <w:p w14:paraId="6F1EE596" w14:textId="49B9E515"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3 (10.3%)</w:t>
            </w:r>
          </w:p>
        </w:tc>
        <w:tc>
          <w:tcPr>
            <w:tcW w:w="1149" w:type="dxa"/>
          </w:tcPr>
          <w:p w14:paraId="0F5AAF5F" w14:textId="43121473"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F22FD9" w:rsidRPr="0003196B" w14:paraId="62A049A2" w14:textId="77777777" w:rsidTr="00F22FD9">
        <w:trPr>
          <w:trHeight w:val="408"/>
          <w:jc w:val="center"/>
        </w:trPr>
        <w:tc>
          <w:tcPr>
            <w:tcW w:w="3007" w:type="dxa"/>
          </w:tcPr>
          <w:p w14:paraId="348126F5" w14:textId="7AC32DD4"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lastRenderedPageBreak/>
              <w:t>Hardware</w:t>
            </w:r>
          </w:p>
        </w:tc>
        <w:tc>
          <w:tcPr>
            <w:tcW w:w="3734" w:type="dxa"/>
            <w:gridSpan w:val="3"/>
          </w:tcPr>
          <w:p w14:paraId="59C0546D" w14:textId="04C4A64E"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0" w:type="auto"/>
            <w:gridSpan w:val="3"/>
          </w:tcPr>
          <w:p w14:paraId="4273C81E" w14:textId="3911C9CA"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 (3.4%)</w:t>
            </w:r>
          </w:p>
        </w:tc>
        <w:tc>
          <w:tcPr>
            <w:tcW w:w="1149" w:type="dxa"/>
          </w:tcPr>
          <w:p w14:paraId="6ED0FDAA" w14:textId="0D7C8F94"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F22FD9" w:rsidRPr="0003196B" w14:paraId="5C03ADF9" w14:textId="77777777" w:rsidTr="00F22FD9">
        <w:trPr>
          <w:trHeight w:val="427"/>
          <w:jc w:val="center"/>
        </w:trPr>
        <w:tc>
          <w:tcPr>
            <w:tcW w:w="3007" w:type="dxa"/>
          </w:tcPr>
          <w:p w14:paraId="7F062F2E" w14:textId="0FA5A6F1"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 xml:space="preserve">Changing treatment </w:t>
            </w:r>
          </w:p>
        </w:tc>
        <w:tc>
          <w:tcPr>
            <w:tcW w:w="3734" w:type="dxa"/>
            <w:gridSpan w:val="3"/>
          </w:tcPr>
          <w:p w14:paraId="2B4CE2DC" w14:textId="35A488A2"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 (4.8%)</w:t>
            </w:r>
          </w:p>
        </w:tc>
        <w:tc>
          <w:tcPr>
            <w:tcW w:w="0" w:type="auto"/>
            <w:gridSpan w:val="3"/>
          </w:tcPr>
          <w:p w14:paraId="3FA7E22C" w14:textId="106EC26D"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3 (10.3%)</w:t>
            </w:r>
          </w:p>
        </w:tc>
        <w:tc>
          <w:tcPr>
            <w:tcW w:w="1149" w:type="dxa"/>
          </w:tcPr>
          <w:p w14:paraId="269C7A11" w14:textId="3460E47B"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F22FD9" w:rsidRPr="0003196B" w14:paraId="42180ABF" w14:textId="77777777" w:rsidTr="00F22FD9">
        <w:trPr>
          <w:trHeight w:val="456"/>
          <w:jc w:val="center"/>
        </w:trPr>
        <w:tc>
          <w:tcPr>
            <w:tcW w:w="3007" w:type="dxa"/>
          </w:tcPr>
          <w:p w14:paraId="32B91A52" w14:textId="3BAFC55E"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Wound complications</w:t>
            </w:r>
          </w:p>
        </w:tc>
        <w:tc>
          <w:tcPr>
            <w:tcW w:w="3734" w:type="dxa"/>
            <w:gridSpan w:val="3"/>
          </w:tcPr>
          <w:p w14:paraId="0233855F" w14:textId="72800DF6"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0" w:type="auto"/>
            <w:gridSpan w:val="3"/>
          </w:tcPr>
          <w:p w14:paraId="0D904F3A" w14:textId="3ADECD17"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1149" w:type="dxa"/>
          </w:tcPr>
          <w:p w14:paraId="743C2302" w14:textId="77777777"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F22FD9" w:rsidRPr="0003196B" w14:paraId="4381F879" w14:textId="77777777" w:rsidTr="00F22FD9">
        <w:trPr>
          <w:trHeight w:val="408"/>
          <w:jc w:val="center"/>
        </w:trPr>
        <w:tc>
          <w:tcPr>
            <w:tcW w:w="3007" w:type="dxa"/>
          </w:tcPr>
          <w:p w14:paraId="61B6EFD2" w14:textId="25431768"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Decreased ROM</w:t>
            </w:r>
          </w:p>
        </w:tc>
        <w:tc>
          <w:tcPr>
            <w:tcW w:w="3734" w:type="dxa"/>
            <w:gridSpan w:val="3"/>
          </w:tcPr>
          <w:p w14:paraId="421B40ED" w14:textId="365322CA"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0" w:type="auto"/>
            <w:gridSpan w:val="3"/>
          </w:tcPr>
          <w:p w14:paraId="2A96A4AF" w14:textId="4E986469" w:rsidR="00F22FD9" w:rsidRPr="0003196B" w:rsidRDefault="00F22FD9" w:rsidP="0003196B">
            <w:pPr>
              <w:adjustRightInd w:val="0"/>
              <w:snapToGrid w:val="0"/>
              <w:spacing w:line="360" w:lineRule="auto"/>
              <w:jc w:val="both"/>
              <w:rPr>
                <w:rFonts w:ascii="Book Antiqua" w:eastAsia="Times New Roman" w:hAnsi="Book Antiqua"/>
                <w:color w:val="000000"/>
              </w:rPr>
            </w:pPr>
          </w:p>
        </w:tc>
        <w:tc>
          <w:tcPr>
            <w:tcW w:w="1149" w:type="dxa"/>
          </w:tcPr>
          <w:p w14:paraId="70388638" w14:textId="0F5D8D2D" w:rsidR="00F22FD9" w:rsidRPr="0003196B" w:rsidRDefault="00F22FD9" w:rsidP="0003196B">
            <w:pPr>
              <w:adjustRightInd w:val="0"/>
              <w:snapToGrid w:val="0"/>
              <w:spacing w:line="360" w:lineRule="auto"/>
              <w:jc w:val="both"/>
              <w:rPr>
                <w:rFonts w:ascii="Book Antiqua" w:eastAsia="Times New Roman" w:hAnsi="Book Antiqua"/>
                <w:color w:val="000000"/>
              </w:rPr>
            </w:pPr>
          </w:p>
        </w:tc>
      </w:tr>
      <w:tr w:rsidR="00F22FD9" w:rsidRPr="0003196B" w14:paraId="14134AE3" w14:textId="77777777" w:rsidTr="00F22FD9">
        <w:trPr>
          <w:trHeight w:val="372"/>
          <w:jc w:val="center"/>
        </w:trPr>
        <w:tc>
          <w:tcPr>
            <w:tcW w:w="3007" w:type="dxa"/>
          </w:tcPr>
          <w:p w14:paraId="510BC259" w14:textId="0E0BE8FC"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Total</w:t>
            </w:r>
          </w:p>
        </w:tc>
        <w:tc>
          <w:tcPr>
            <w:tcW w:w="3734" w:type="dxa"/>
            <w:gridSpan w:val="3"/>
          </w:tcPr>
          <w:p w14:paraId="4B2BC080" w14:textId="6B4D8408"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9 (42.8%)</w:t>
            </w:r>
          </w:p>
        </w:tc>
        <w:tc>
          <w:tcPr>
            <w:tcW w:w="0" w:type="auto"/>
            <w:gridSpan w:val="3"/>
          </w:tcPr>
          <w:p w14:paraId="6884C51D" w14:textId="04FA4494"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10 (34.5%)</w:t>
            </w:r>
          </w:p>
        </w:tc>
        <w:tc>
          <w:tcPr>
            <w:tcW w:w="1149" w:type="dxa"/>
          </w:tcPr>
          <w:p w14:paraId="488AE8D7" w14:textId="287699CC"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0.55</w:t>
            </w:r>
          </w:p>
        </w:tc>
      </w:tr>
      <w:tr w:rsidR="00F22FD9" w:rsidRPr="0003196B" w14:paraId="01BF1BE7" w14:textId="77777777" w:rsidTr="00F22FD9">
        <w:trPr>
          <w:trHeight w:val="384"/>
          <w:jc w:val="center"/>
        </w:trPr>
        <w:tc>
          <w:tcPr>
            <w:tcW w:w="3007" w:type="dxa"/>
          </w:tcPr>
          <w:p w14:paraId="61BFFA8E" w14:textId="4FAFD36E" w:rsidR="00F22FD9" w:rsidRPr="0003196B" w:rsidRDefault="00F22FD9" w:rsidP="0003196B">
            <w:pPr>
              <w:adjustRightInd w:val="0"/>
              <w:snapToGrid w:val="0"/>
              <w:spacing w:line="360" w:lineRule="auto"/>
              <w:ind w:firstLineChars="50" w:firstLine="120"/>
              <w:jc w:val="both"/>
              <w:rPr>
                <w:rFonts w:ascii="Book Antiqua" w:eastAsia="Times New Roman" w:hAnsi="Book Antiqua"/>
                <w:color w:val="000000"/>
              </w:rPr>
            </w:pPr>
            <w:r w:rsidRPr="0003196B">
              <w:rPr>
                <w:rFonts w:ascii="Book Antiqua" w:eastAsia="Times New Roman" w:hAnsi="Book Antiqua"/>
                <w:color w:val="000000"/>
              </w:rPr>
              <w:t>Minor</w:t>
            </w:r>
          </w:p>
        </w:tc>
        <w:tc>
          <w:tcPr>
            <w:tcW w:w="3734" w:type="dxa"/>
            <w:gridSpan w:val="3"/>
          </w:tcPr>
          <w:p w14:paraId="1CFC0DBA" w14:textId="1C5879B5"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9 (100%)</w:t>
            </w:r>
          </w:p>
        </w:tc>
        <w:tc>
          <w:tcPr>
            <w:tcW w:w="0" w:type="auto"/>
            <w:gridSpan w:val="3"/>
          </w:tcPr>
          <w:p w14:paraId="0CA760E1" w14:textId="5297AA79"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4 (40%)</w:t>
            </w:r>
          </w:p>
        </w:tc>
        <w:tc>
          <w:tcPr>
            <w:tcW w:w="1149" w:type="dxa"/>
          </w:tcPr>
          <w:p w14:paraId="0C3C5615" w14:textId="042E05AD"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0.021</w:t>
            </w:r>
          </w:p>
        </w:tc>
      </w:tr>
      <w:tr w:rsidR="00F22FD9" w:rsidRPr="0003196B" w14:paraId="68125236" w14:textId="77777777" w:rsidTr="00F22FD9">
        <w:trPr>
          <w:trHeight w:val="473"/>
          <w:jc w:val="center"/>
        </w:trPr>
        <w:tc>
          <w:tcPr>
            <w:tcW w:w="3007" w:type="dxa"/>
          </w:tcPr>
          <w:p w14:paraId="1882E157" w14:textId="6866ED70" w:rsidR="00F22FD9" w:rsidRPr="0003196B" w:rsidRDefault="00F22FD9" w:rsidP="0003196B">
            <w:pPr>
              <w:adjustRightInd w:val="0"/>
              <w:snapToGrid w:val="0"/>
              <w:spacing w:line="360" w:lineRule="auto"/>
              <w:ind w:firstLineChars="50" w:firstLine="120"/>
              <w:jc w:val="both"/>
              <w:rPr>
                <w:rFonts w:ascii="Book Antiqua" w:eastAsia="Times New Roman" w:hAnsi="Book Antiqua"/>
                <w:color w:val="000000"/>
              </w:rPr>
            </w:pPr>
            <w:r w:rsidRPr="0003196B">
              <w:rPr>
                <w:rFonts w:ascii="Book Antiqua" w:eastAsia="Times New Roman" w:hAnsi="Book Antiqua"/>
                <w:color w:val="000000"/>
              </w:rPr>
              <w:t>Major</w:t>
            </w:r>
          </w:p>
        </w:tc>
        <w:tc>
          <w:tcPr>
            <w:tcW w:w="3734" w:type="dxa"/>
            <w:gridSpan w:val="3"/>
          </w:tcPr>
          <w:p w14:paraId="700B8A6A" w14:textId="24F31424"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 (0%)</w:t>
            </w:r>
          </w:p>
        </w:tc>
        <w:tc>
          <w:tcPr>
            <w:tcW w:w="0" w:type="auto"/>
            <w:gridSpan w:val="3"/>
          </w:tcPr>
          <w:p w14:paraId="05C9ED1D" w14:textId="6BEBDD5A"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6 (60%)</w:t>
            </w:r>
          </w:p>
        </w:tc>
        <w:tc>
          <w:tcPr>
            <w:tcW w:w="1149" w:type="dxa"/>
          </w:tcPr>
          <w:p w14:paraId="2E9A1487" w14:textId="32B5D15F" w:rsidR="00F22FD9"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0.026</w:t>
            </w:r>
          </w:p>
        </w:tc>
      </w:tr>
    </w:tbl>
    <w:p w14:paraId="20BD2398" w14:textId="51E442A7" w:rsidR="005E1233" w:rsidRPr="0003196B" w:rsidRDefault="00F22FD9" w:rsidP="0003196B">
      <w:pPr>
        <w:adjustRightInd w:val="0"/>
        <w:snapToGrid w:val="0"/>
        <w:spacing w:line="360" w:lineRule="auto"/>
        <w:jc w:val="both"/>
        <w:rPr>
          <w:rFonts w:ascii="Book Antiqua" w:eastAsia="Times New Roman" w:hAnsi="Book Antiqua"/>
          <w:color w:val="000000"/>
        </w:rPr>
      </w:pPr>
      <w:r w:rsidRPr="0003196B">
        <w:rPr>
          <w:rFonts w:ascii="Book Antiqua" w:hAnsi="Book Antiqua"/>
          <w:color w:val="000000"/>
          <w:vertAlign w:val="superscript"/>
          <w:lang w:eastAsia="zh-CN"/>
        </w:rPr>
        <w:t>1</w:t>
      </w:r>
      <w:r w:rsidRPr="0003196B">
        <w:rPr>
          <w:rFonts w:ascii="Book Antiqua" w:eastAsia="Times New Roman" w:hAnsi="Book Antiqua"/>
          <w:color w:val="000000"/>
        </w:rPr>
        <w:t xml:space="preserve">Denotes </w:t>
      </w:r>
      <w:r w:rsidR="005E1233" w:rsidRPr="0003196B">
        <w:rPr>
          <w:rFonts w:ascii="Book Antiqua" w:eastAsia="Times New Roman" w:hAnsi="Book Antiqua"/>
          <w:color w:val="000000"/>
        </w:rPr>
        <w:t>statistical significance (</w:t>
      </w:r>
      <w:r w:rsidR="005E1233" w:rsidRPr="0003196B">
        <w:rPr>
          <w:rFonts w:ascii="Book Antiqua" w:eastAsia="Times New Roman" w:hAnsi="Book Antiqua"/>
          <w:i/>
          <w:iCs/>
          <w:color w:val="000000"/>
        </w:rPr>
        <w:t xml:space="preserve">P </w:t>
      </w:r>
      <w:r w:rsidR="005E1233" w:rsidRPr="0003196B">
        <w:rPr>
          <w:rFonts w:ascii="Book Antiqua" w:eastAsia="Times New Roman" w:hAnsi="Book Antiqua"/>
          <w:color w:val="000000"/>
        </w:rPr>
        <w:t>&lt; 0.05).</w:t>
      </w:r>
      <w:r w:rsidRPr="0003196B">
        <w:rPr>
          <w:rFonts w:ascii="Book Antiqua" w:hAnsi="Book Antiqua"/>
          <w:color w:val="000000"/>
          <w:lang w:eastAsia="zh-CN"/>
        </w:rPr>
        <w:t xml:space="preserve"> </w:t>
      </w:r>
      <w:r w:rsidR="005E1233" w:rsidRPr="0003196B">
        <w:rPr>
          <w:rFonts w:ascii="Book Antiqua" w:eastAsia="Times New Roman" w:hAnsi="Book Antiqua"/>
          <w:color w:val="000000"/>
        </w:rPr>
        <w:t xml:space="preserve">FIMN: Flexible </w:t>
      </w:r>
      <w:r w:rsidRPr="0003196B">
        <w:rPr>
          <w:rFonts w:ascii="Book Antiqua" w:eastAsia="Times New Roman" w:hAnsi="Book Antiqua"/>
          <w:color w:val="000000"/>
        </w:rPr>
        <w:t>intramedullary nailing</w:t>
      </w:r>
      <w:r w:rsidR="00BC5729" w:rsidRPr="0003196B">
        <w:rPr>
          <w:rFonts w:ascii="Book Antiqua" w:eastAsia="Times New Roman" w:hAnsi="Book Antiqua"/>
          <w:color w:val="000000"/>
        </w:rPr>
        <w:t>;</w:t>
      </w:r>
      <w:r w:rsidR="005E1233" w:rsidRPr="0003196B">
        <w:rPr>
          <w:rFonts w:ascii="Book Antiqua" w:eastAsia="Times New Roman" w:hAnsi="Book Antiqua"/>
          <w:color w:val="000000"/>
        </w:rPr>
        <w:t xml:space="preserve"> IMN: Intramedullary </w:t>
      </w:r>
      <w:r w:rsidRPr="0003196B">
        <w:rPr>
          <w:rFonts w:ascii="Book Antiqua" w:eastAsia="Times New Roman" w:hAnsi="Book Antiqua"/>
          <w:color w:val="000000"/>
        </w:rPr>
        <w:t>nailing</w:t>
      </w:r>
      <w:r w:rsidR="00BC5729" w:rsidRPr="0003196B">
        <w:rPr>
          <w:rFonts w:ascii="Book Antiqua" w:eastAsia="Times New Roman" w:hAnsi="Book Antiqua"/>
          <w:color w:val="000000"/>
        </w:rPr>
        <w:t>;</w:t>
      </w:r>
      <w:r w:rsidR="005E1233" w:rsidRPr="0003196B">
        <w:rPr>
          <w:rFonts w:ascii="Book Antiqua" w:eastAsia="Times New Roman" w:hAnsi="Book Antiqua"/>
          <w:color w:val="000000"/>
        </w:rPr>
        <w:t xml:space="preserve"> ROM: Range of </w:t>
      </w:r>
      <w:r w:rsidRPr="0003196B">
        <w:rPr>
          <w:rFonts w:ascii="Book Antiqua" w:eastAsia="Times New Roman" w:hAnsi="Book Antiqua"/>
          <w:color w:val="000000"/>
        </w:rPr>
        <w:t>motion</w:t>
      </w:r>
      <w:r w:rsidR="00BC5729" w:rsidRPr="0003196B">
        <w:rPr>
          <w:rFonts w:ascii="Book Antiqua" w:eastAsia="Times New Roman" w:hAnsi="Book Antiqua"/>
          <w:color w:val="000000"/>
        </w:rPr>
        <w:t>;</w:t>
      </w:r>
      <w:r w:rsidRPr="0003196B">
        <w:rPr>
          <w:rFonts w:ascii="Book Antiqua" w:eastAsia="Times New Roman" w:hAnsi="Book Antiqua"/>
          <w:color w:val="000000"/>
        </w:rPr>
        <w:t xml:space="preserve"> </w:t>
      </w:r>
      <w:r w:rsidR="005E1233" w:rsidRPr="0003196B">
        <w:rPr>
          <w:rFonts w:ascii="Book Antiqua" w:eastAsia="Times New Roman" w:hAnsi="Book Antiqua"/>
          <w:color w:val="000000"/>
        </w:rPr>
        <w:t xml:space="preserve">SMP: </w:t>
      </w:r>
      <w:r w:rsidRPr="0003196B">
        <w:rPr>
          <w:rFonts w:ascii="Book Antiqua" w:eastAsia="Times New Roman" w:hAnsi="Book Antiqua"/>
          <w:color w:val="000000"/>
        </w:rPr>
        <w:t xml:space="preserve">Submuscular </w:t>
      </w:r>
      <w:r w:rsidR="005E1233" w:rsidRPr="0003196B">
        <w:rPr>
          <w:rFonts w:ascii="Book Antiqua" w:eastAsia="Times New Roman" w:hAnsi="Book Antiqua"/>
          <w:color w:val="000000"/>
        </w:rPr>
        <w:t>plate</w:t>
      </w:r>
      <w:r w:rsidRPr="0003196B">
        <w:rPr>
          <w:rFonts w:ascii="Book Antiqua" w:eastAsia="Times New Roman" w:hAnsi="Book Antiqua"/>
          <w:color w:val="000000"/>
        </w:rPr>
        <w:t>.</w:t>
      </w:r>
    </w:p>
    <w:p w14:paraId="6EAB8F37" w14:textId="4BD9EC38" w:rsidR="005E1233" w:rsidRPr="0003196B" w:rsidRDefault="005E1233" w:rsidP="0003196B">
      <w:pPr>
        <w:adjustRightInd w:val="0"/>
        <w:snapToGrid w:val="0"/>
        <w:spacing w:line="360" w:lineRule="auto"/>
        <w:jc w:val="both"/>
        <w:rPr>
          <w:rFonts w:ascii="Book Antiqua" w:eastAsia="Times New Roman" w:hAnsi="Book Antiqua"/>
          <w:b/>
          <w:bCs/>
          <w:color w:val="000000"/>
        </w:rPr>
      </w:pPr>
      <w:r w:rsidRPr="0003196B">
        <w:rPr>
          <w:rFonts w:ascii="Book Antiqua" w:eastAsia="Times New Roman" w:hAnsi="Book Antiqua"/>
          <w:color w:val="000000"/>
        </w:rPr>
        <w:br w:type="page"/>
      </w:r>
      <w:r w:rsidR="00F22FD9" w:rsidRPr="0003196B">
        <w:rPr>
          <w:rFonts w:ascii="Book Antiqua" w:eastAsia="Times New Roman" w:hAnsi="Book Antiqua"/>
          <w:b/>
          <w:bCs/>
          <w:color w:val="000000"/>
        </w:rPr>
        <w:lastRenderedPageBreak/>
        <w:t xml:space="preserve">Table 2 </w:t>
      </w:r>
      <w:r w:rsidRPr="0003196B">
        <w:rPr>
          <w:rFonts w:ascii="Book Antiqua" w:eastAsia="Times New Roman" w:hAnsi="Book Antiqua"/>
          <w:b/>
          <w:bCs/>
          <w:color w:val="000000"/>
        </w:rPr>
        <w:t xml:space="preserve">Femur </w:t>
      </w:r>
      <w:r w:rsidR="00F22FD9" w:rsidRPr="0003196B">
        <w:rPr>
          <w:rFonts w:ascii="Book Antiqua" w:eastAsia="Times New Roman" w:hAnsi="Book Antiqua"/>
          <w:b/>
          <w:bCs/>
          <w:color w:val="000000"/>
        </w:rPr>
        <w:t>fractures treated with flexible intramedullary nailing</w:t>
      </w:r>
    </w:p>
    <w:tbl>
      <w:tblPr>
        <w:tblStyle w:val="2"/>
        <w:tblW w:w="12667" w:type="dxa"/>
        <w:tblInd w:w="-5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1311"/>
        <w:gridCol w:w="1515"/>
        <w:gridCol w:w="1557"/>
        <w:gridCol w:w="1264"/>
        <w:gridCol w:w="1461"/>
        <w:gridCol w:w="1500"/>
        <w:gridCol w:w="1182"/>
      </w:tblGrid>
      <w:tr w:rsidR="000D4A83" w:rsidRPr="0003196B" w14:paraId="5F9BE3B0" w14:textId="77777777" w:rsidTr="00C42E5A">
        <w:trPr>
          <w:trHeight w:val="354"/>
        </w:trPr>
        <w:tc>
          <w:tcPr>
            <w:tcW w:w="2877" w:type="dxa"/>
            <w:tcBorders>
              <w:top w:val="single" w:sz="4" w:space="0" w:color="auto"/>
              <w:bottom w:val="single" w:sz="4" w:space="0" w:color="auto"/>
            </w:tcBorders>
          </w:tcPr>
          <w:p w14:paraId="197AC558"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gridSpan w:val="3"/>
            <w:tcBorders>
              <w:top w:val="single" w:sz="4" w:space="0" w:color="auto"/>
              <w:bottom w:val="single" w:sz="4" w:space="0" w:color="auto"/>
            </w:tcBorders>
            <w:vAlign w:val="center"/>
          </w:tcPr>
          <w:p w14:paraId="15F180F6" w14:textId="77777777" w:rsidR="000D4A83" w:rsidRPr="0003196B" w:rsidRDefault="000D4A83" w:rsidP="0003196B">
            <w:pPr>
              <w:adjustRightInd w:val="0"/>
              <w:snapToGrid w:val="0"/>
              <w:spacing w:line="360" w:lineRule="auto"/>
              <w:jc w:val="both"/>
              <w:rPr>
                <w:rFonts w:ascii="Book Antiqua" w:eastAsia="Times New Roman" w:hAnsi="Book Antiqua"/>
                <w:b/>
                <w:bCs/>
                <w:color w:val="000000"/>
              </w:rPr>
            </w:pPr>
            <w:r w:rsidRPr="0003196B">
              <w:rPr>
                <w:rFonts w:ascii="Book Antiqua" w:eastAsia="Times New Roman" w:hAnsi="Book Antiqua"/>
                <w:b/>
                <w:bCs/>
                <w:color w:val="000000"/>
              </w:rPr>
              <w:t>Length unstable fractures</w:t>
            </w:r>
            <w:r w:rsidRPr="0003196B">
              <w:rPr>
                <w:rFonts w:ascii="Book Antiqua" w:hAnsi="Book Antiqua"/>
                <w:b/>
                <w:bCs/>
                <w:color w:val="000000"/>
                <w:lang w:eastAsia="zh-CN"/>
              </w:rPr>
              <w:t xml:space="preserve"> </w:t>
            </w:r>
            <w:r w:rsidRPr="0003196B">
              <w:rPr>
                <w:rFonts w:ascii="Book Antiqua" w:eastAsia="Times New Roman" w:hAnsi="Book Antiqua"/>
                <w:b/>
                <w:bCs/>
                <w:color w:val="000000"/>
              </w:rPr>
              <w:t>(</w:t>
            </w:r>
            <w:r w:rsidRPr="0003196B">
              <w:rPr>
                <w:rFonts w:ascii="Book Antiqua" w:eastAsia="Times New Roman" w:hAnsi="Book Antiqua"/>
                <w:b/>
                <w:bCs/>
                <w:i/>
                <w:iCs/>
                <w:color w:val="000000"/>
              </w:rPr>
              <w:t>n</w:t>
            </w:r>
            <w:r w:rsidRPr="0003196B">
              <w:rPr>
                <w:rFonts w:ascii="Book Antiqua" w:eastAsia="Times New Roman" w:hAnsi="Book Antiqua"/>
                <w:b/>
                <w:bCs/>
                <w:color w:val="000000"/>
              </w:rPr>
              <w:t xml:space="preserve"> = 21)</w:t>
            </w:r>
          </w:p>
        </w:tc>
        <w:tc>
          <w:tcPr>
            <w:tcW w:w="0" w:type="auto"/>
            <w:gridSpan w:val="3"/>
            <w:tcBorders>
              <w:top w:val="single" w:sz="4" w:space="0" w:color="auto"/>
              <w:bottom w:val="single" w:sz="4" w:space="0" w:color="auto"/>
            </w:tcBorders>
            <w:vAlign w:val="center"/>
          </w:tcPr>
          <w:p w14:paraId="6CED157C" w14:textId="77777777" w:rsidR="000D4A83" w:rsidRPr="0003196B" w:rsidRDefault="000D4A83" w:rsidP="0003196B">
            <w:pPr>
              <w:adjustRightInd w:val="0"/>
              <w:snapToGrid w:val="0"/>
              <w:spacing w:line="360" w:lineRule="auto"/>
              <w:jc w:val="both"/>
              <w:rPr>
                <w:rFonts w:ascii="Book Antiqua" w:eastAsia="Times New Roman" w:hAnsi="Book Antiqua"/>
                <w:b/>
                <w:bCs/>
                <w:color w:val="000000"/>
              </w:rPr>
            </w:pPr>
            <w:r w:rsidRPr="0003196B">
              <w:rPr>
                <w:rFonts w:ascii="Book Antiqua" w:eastAsia="Times New Roman" w:hAnsi="Book Antiqua"/>
                <w:b/>
                <w:bCs/>
                <w:color w:val="000000"/>
              </w:rPr>
              <w:t>Length stable fractures</w:t>
            </w:r>
            <w:r w:rsidRPr="0003196B">
              <w:rPr>
                <w:rFonts w:ascii="Book Antiqua" w:hAnsi="Book Antiqua"/>
                <w:b/>
                <w:bCs/>
                <w:color w:val="000000"/>
                <w:lang w:eastAsia="zh-CN"/>
              </w:rPr>
              <w:t xml:space="preserve"> </w:t>
            </w:r>
            <w:r w:rsidRPr="0003196B">
              <w:rPr>
                <w:rFonts w:ascii="Book Antiqua" w:eastAsia="Times New Roman" w:hAnsi="Book Antiqua"/>
                <w:b/>
                <w:bCs/>
                <w:color w:val="000000"/>
              </w:rPr>
              <w:t>(</w:t>
            </w:r>
            <w:r w:rsidRPr="0003196B">
              <w:rPr>
                <w:rFonts w:ascii="Book Antiqua" w:eastAsia="Times New Roman" w:hAnsi="Book Antiqua"/>
                <w:b/>
                <w:bCs/>
                <w:i/>
                <w:iCs/>
                <w:color w:val="000000"/>
              </w:rPr>
              <w:t>n</w:t>
            </w:r>
            <w:r w:rsidRPr="0003196B">
              <w:rPr>
                <w:rFonts w:ascii="Book Antiqua" w:eastAsia="Times New Roman" w:hAnsi="Book Antiqua"/>
                <w:b/>
                <w:bCs/>
                <w:color w:val="000000"/>
              </w:rPr>
              <w:t xml:space="preserve"> = 45)</w:t>
            </w:r>
          </w:p>
        </w:tc>
        <w:tc>
          <w:tcPr>
            <w:tcW w:w="1182" w:type="dxa"/>
            <w:tcBorders>
              <w:top w:val="single" w:sz="4" w:space="0" w:color="auto"/>
              <w:bottom w:val="single" w:sz="4" w:space="0" w:color="auto"/>
            </w:tcBorders>
            <w:vAlign w:val="center"/>
          </w:tcPr>
          <w:p w14:paraId="5E5E381F" w14:textId="77777777" w:rsidR="000D4A83" w:rsidRPr="0003196B" w:rsidRDefault="000D4A83" w:rsidP="0003196B">
            <w:pPr>
              <w:adjustRightInd w:val="0"/>
              <w:snapToGrid w:val="0"/>
              <w:spacing w:line="360" w:lineRule="auto"/>
              <w:jc w:val="both"/>
              <w:rPr>
                <w:rFonts w:ascii="Book Antiqua" w:eastAsia="Times New Roman" w:hAnsi="Book Antiqua"/>
                <w:b/>
                <w:bCs/>
                <w:color w:val="000000"/>
              </w:rPr>
            </w:pPr>
            <w:r w:rsidRPr="0003196B">
              <w:rPr>
                <w:rFonts w:ascii="Book Antiqua" w:eastAsia="Times New Roman" w:hAnsi="Book Antiqua"/>
                <w:b/>
                <w:bCs/>
                <w:i/>
                <w:iCs/>
                <w:color w:val="000000"/>
              </w:rPr>
              <w:t>P</w:t>
            </w:r>
            <w:r w:rsidRPr="0003196B">
              <w:rPr>
                <w:rFonts w:ascii="Book Antiqua" w:eastAsia="Times New Roman" w:hAnsi="Book Antiqua"/>
                <w:b/>
                <w:bCs/>
                <w:color w:val="000000"/>
              </w:rPr>
              <w:t xml:space="preserve"> value</w:t>
            </w:r>
          </w:p>
        </w:tc>
      </w:tr>
      <w:tr w:rsidR="000D4A83" w:rsidRPr="0003196B" w14:paraId="43DEBC65" w14:textId="77777777" w:rsidTr="00C42E5A">
        <w:trPr>
          <w:trHeight w:val="383"/>
        </w:trPr>
        <w:tc>
          <w:tcPr>
            <w:tcW w:w="2877" w:type="dxa"/>
            <w:tcBorders>
              <w:top w:val="single" w:sz="4" w:space="0" w:color="auto"/>
            </w:tcBorders>
          </w:tcPr>
          <w:p w14:paraId="7A7ABC63"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Patient characteristics</w:t>
            </w:r>
          </w:p>
        </w:tc>
        <w:tc>
          <w:tcPr>
            <w:tcW w:w="0" w:type="auto"/>
            <w:tcBorders>
              <w:top w:val="single" w:sz="4" w:space="0" w:color="auto"/>
            </w:tcBorders>
          </w:tcPr>
          <w:p w14:paraId="519A1FEB"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Average</w:t>
            </w:r>
          </w:p>
        </w:tc>
        <w:tc>
          <w:tcPr>
            <w:tcW w:w="0" w:type="auto"/>
            <w:tcBorders>
              <w:top w:val="single" w:sz="4" w:space="0" w:color="auto"/>
            </w:tcBorders>
          </w:tcPr>
          <w:p w14:paraId="20C76140"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Minimum</w:t>
            </w:r>
          </w:p>
        </w:tc>
        <w:tc>
          <w:tcPr>
            <w:tcW w:w="0" w:type="auto"/>
            <w:tcBorders>
              <w:top w:val="single" w:sz="4" w:space="0" w:color="auto"/>
            </w:tcBorders>
          </w:tcPr>
          <w:p w14:paraId="1BEA96CA"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Maximum</w:t>
            </w:r>
          </w:p>
        </w:tc>
        <w:tc>
          <w:tcPr>
            <w:tcW w:w="0" w:type="auto"/>
            <w:tcBorders>
              <w:top w:val="single" w:sz="4" w:space="0" w:color="auto"/>
            </w:tcBorders>
          </w:tcPr>
          <w:p w14:paraId="11A78240"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Average</w:t>
            </w:r>
          </w:p>
        </w:tc>
        <w:tc>
          <w:tcPr>
            <w:tcW w:w="0" w:type="auto"/>
            <w:tcBorders>
              <w:top w:val="single" w:sz="4" w:space="0" w:color="auto"/>
            </w:tcBorders>
          </w:tcPr>
          <w:p w14:paraId="623C93E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Minimum</w:t>
            </w:r>
          </w:p>
        </w:tc>
        <w:tc>
          <w:tcPr>
            <w:tcW w:w="0" w:type="auto"/>
            <w:tcBorders>
              <w:top w:val="single" w:sz="4" w:space="0" w:color="auto"/>
            </w:tcBorders>
          </w:tcPr>
          <w:p w14:paraId="49042AFD"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Maximum</w:t>
            </w:r>
          </w:p>
        </w:tc>
        <w:tc>
          <w:tcPr>
            <w:tcW w:w="1182" w:type="dxa"/>
            <w:tcBorders>
              <w:top w:val="single" w:sz="4" w:space="0" w:color="auto"/>
            </w:tcBorders>
          </w:tcPr>
          <w:p w14:paraId="3FF20CB8"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r>
      <w:tr w:rsidR="000D4A83" w:rsidRPr="0003196B" w14:paraId="3A043C3C" w14:textId="77777777" w:rsidTr="00C42E5A">
        <w:trPr>
          <w:trHeight w:val="354"/>
        </w:trPr>
        <w:tc>
          <w:tcPr>
            <w:tcW w:w="2877" w:type="dxa"/>
          </w:tcPr>
          <w:p w14:paraId="52EE4874"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Sex</w:t>
            </w:r>
          </w:p>
        </w:tc>
        <w:tc>
          <w:tcPr>
            <w:tcW w:w="0" w:type="auto"/>
          </w:tcPr>
          <w:p w14:paraId="1A5E7B36"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tcPr>
          <w:p w14:paraId="35A97DC4"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tcPr>
          <w:p w14:paraId="424A960E"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tcPr>
          <w:p w14:paraId="426B665C"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tcPr>
          <w:p w14:paraId="2D42B802"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tcPr>
          <w:p w14:paraId="7399DD5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1182" w:type="dxa"/>
          </w:tcPr>
          <w:p w14:paraId="70CE6BA3"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0.24</w:t>
            </w:r>
          </w:p>
        </w:tc>
      </w:tr>
      <w:tr w:rsidR="000D4A83" w:rsidRPr="0003196B" w14:paraId="55A4DC4F" w14:textId="77777777" w:rsidTr="00C42E5A">
        <w:trPr>
          <w:trHeight w:val="342"/>
        </w:trPr>
        <w:tc>
          <w:tcPr>
            <w:tcW w:w="2877" w:type="dxa"/>
          </w:tcPr>
          <w:p w14:paraId="4F87928D"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 xml:space="preserve"> Male</w:t>
            </w:r>
          </w:p>
        </w:tc>
        <w:tc>
          <w:tcPr>
            <w:tcW w:w="0" w:type="auto"/>
          </w:tcPr>
          <w:p w14:paraId="1F0E1360"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17</w:t>
            </w:r>
          </w:p>
        </w:tc>
        <w:tc>
          <w:tcPr>
            <w:tcW w:w="0" w:type="auto"/>
          </w:tcPr>
          <w:p w14:paraId="7A0A0FC8"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tcPr>
          <w:p w14:paraId="6F0C578D"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tcPr>
          <w:p w14:paraId="4787ABA4"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28</w:t>
            </w:r>
          </w:p>
        </w:tc>
        <w:tc>
          <w:tcPr>
            <w:tcW w:w="0" w:type="auto"/>
          </w:tcPr>
          <w:p w14:paraId="3AD09050"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tcPr>
          <w:p w14:paraId="6E3D2FD1"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1182" w:type="dxa"/>
          </w:tcPr>
          <w:p w14:paraId="3C604E33"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r>
      <w:tr w:rsidR="000D4A83" w:rsidRPr="0003196B" w14:paraId="0B3E80F9" w14:textId="77777777" w:rsidTr="00C42E5A">
        <w:trPr>
          <w:trHeight w:val="410"/>
        </w:trPr>
        <w:tc>
          <w:tcPr>
            <w:tcW w:w="2877" w:type="dxa"/>
          </w:tcPr>
          <w:p w14:paraId="30A49E1D"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 xml:space="preserve"> Female</w:t>
            </w:r>
          </w:p>
        </w:tc>
        <w:tc>
          <w:tcPr>
            <w:tcW w:w="0" w:type="auto"/>
          </w:tcPr>
          <w:p w14:paraId="36528917"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4</w:t>
            </w:r>
          </w:p>
        </w:tc>
        <w:tc>
          <w:tcPr>
            <w:tcW w:w="0" w:type="auto"/>
          </w:tcPr>
          <w:p w14:paraId="176206E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tcPr>
          <w:p w14:paraId="26B0AE8E"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tcPr>
          <w:p w14:paraId="63254C1C"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14</w:t>
            </w:r>
          </w:p>
        </w:tc>
        <w:tc>
          <w:tcPr>
            <w:tcW w:w="0" w:type="auto"/>
          </w:tcPr>
          <w:p w14:paraId="28E5B5CD"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0" w:type="auto"/>
          </w:tcPr>
          <w:p w14:paraId="0F7C34F8"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c>
          <w:tcPr>
            <w:tcW w:w="1182" w:type="dxa"/>
          </w:tcPr>
          <w:p w14:paraId="2B08CA1D"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r>
      <w:tr w:rsidR="000D4A83" w:rsidRPr="0003196B" w14:paraId="0AAF68BB" w14:textId="77777777" w:rsidTr="00C42E5A">
        <w:trPr>
          <w:trHeight w:val="372"/>
        </w:trPr>
        <w:tc>
          <w:tcPr>
            <w:tcW w:w="2877" w:type="dxa"/>
          </w:tcPr>
          <w:p w14:paraId="77E67A0A"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 xml:space="preserve">Age, </w:t>
            </w:r>
            <w:proofErr w:type="spellStart"/>
            <w:r w:rsidRPr="0003196B">
              <w:rPr>
                <w:rFonts w:ascii="Book Antiqua" w:eastAsia="Times New Roman" w:hAnsi="Book Antiqua"/>
                <w:color w:val="000000"/>
              </w:rPr>
              <w:t>yr</w:t>
            </w:r>
            <w:proofErr w:type="spellEnd"/>
          </w:p>
        </w:tc>
        <w:tc>
          <w:tcPr>
            <w:tcW w:w="0" w:type="auto"/>
          </w:tcPr>
          <w:p w14:paraId="5FE4CA91"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7.4</w:t>
            </w:r>
          </w:p>
        </w:tc>
        <w:tc>
          <w:tcPr>
            <w:tcW w:w="0" w:type="auto"/>
          </w:tcPr>
          <w:p w14:paraId="673BFD1B"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5.2</w:t>
            </w:r>
          </w:p>
        </w:tc>
        <w:tc>
          <w:tcPr>
            <w:tcW w:w="0" w:type="auto"/>
          </w:tcPr>
          <w:p w14:paraId="0369EC40"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11.9</w:t>
            </w:r>
          </w:p>
        </w:tc>
        <w:tc>
          <w:tcPr>
            <w:tcW w:w="0" w:type="auto"/>
          </w:tcPr>
          <w:p w14:paraId="1198F4E5"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8.5</w:t>
            </w:r>
          </w:p>
        </w:tc>
        <w:tc>
          <w:tcPr>
            <w:tcW w:w="0" w:type="auto"/>
          </w:tcPr>
          <w:p w14:paraId="33F7BE06"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4.6</w:t>
            </w:r>
          </w:p>
        </w:tc>
        <w:tc>
          <w:tcPr>
            <w:tcW w:w="0" w:type="auto"/>
          </w:tcPr>
          <w:p w14:paraId="4241B4E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12.8</w:t>
            </w:r>
          </w:p>
        </w:tc>
        <w:tc>
          <w:tcPr>
            <w:tcW w:w="1182" w:type="dxa"/>
          </w:tcPr>
          <w:p w14:paraId="6DC71CF9"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0.062</w:t>
            </w:r>
          </w:p>
        </w:tc>
      </w:tr>
      <w:tr w:rsidR="000D4A83" w:rsidRPr="0003196B" w14:paraId="5BB240D1" w14:textId="77777777" w:rsidTr="00C42E5A">
        <w:trPr>
          <w:trHeight w:val="354"/>
        </w:trPr>
        <w:tc>
          <w:tcPr>
            <w:tcW w:w="2877" w:type="dxa"/>
          </w:tcPr>
          <w:p w14:paraId="0651938C"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Weight, kg</w:t>
            </w:r>
          </w:p>
        </w:tc>
        <w:tc>
          <w:tcPr>
            <w:tcW w:w="0" w:type="auto"/>
          </w:tcPr>
          <w:p w14:paraId="02960B86"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27.8</w:t>
            </w:r>
          </w:p>
        </w:tc>
        <w:tc>
          <w:tcPr>
            <w:tcW w:w="0" w:type="auto"/>
          </w:tcPr>
          <w:p w14:paraId="5144C6DB"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10.6</w:t>
            </w:r>
          </w:p>
        </w:tc>
        <w:tc>
          <w:tcPr>
            <w:tcW w:w="0" w:type="auto"/>
          </w:tcPr>
          <w:p w14:paraId="568D9BB9"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56.7</w:t>
            </w:r>
          </w:p>
        </w:tc>
        <w:tc>
          <w:tcPr>
            <w:tcW w:w="0" w:type="auto"/>
          </w:tcPr>
          <w:p w14:paraId="119BE2B9"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32.1</w:t>
            </w:r>
          </w:p>
        </w:tc>
        <w:tc>
          <w:tcPr>
            <w:tcW w:w="0" w:type="auto"/>
          </w:tcPr>
          <w:p w14:paraId="245596D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16</w:t>
            </w:r>
          </w:p>
        </w:tc>
        <w:tc>
          <w:tcPr>
            <w:tcW w:w="0" w:type="auto"/>
          </w:tcPr>
          <w:p w14:paraId="02899D51"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58.5</w:t>
            </w:r>
          </w:p>
        </w:tc>
        <w:tc>
          <w:tcPr>
            <w:tcW w:w="1182" w:type="dxa"/>
          </w:tcPr>
          <w:p w14:paraId="7464D7A8"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0.144</w:t>
            </w:r>
          </w:p>
        </w:tc>
      </w:tr>
      <w:tr w:rsidR="000D4A83" w:rsidRPr="0003196B" w14:paraId="40F4746B" w14:textId="77777777" w:rsidTr="00C42E5A">
        <w:trPr>
          <w:trHeight w:val="372"/>
        </w:trPr>
        <w:tc>
          <w:tcPr>
            <w:tcW w:w="2877" w:type="dxa"/>
          </w:tcPr>
          <w:p w14:paraId="606D7B59"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Blood loss, mL</w:t>
            </w:r>
          </w:p>
        </w:tc>
        <w:tc>
          <w:tcPr>
            <w:tcW w:w="0" w:type="auto"/>
          </w:tcPr>
          <w:p w14:paraId="6321F4F9"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29.2</w:t>
            </w:r>
          </w:p>
        </w:tc>
        <w:tc>
          <w:tcPr>
            <w:tcW w:w="0" w:type="auto"/>
          </w:tcPr>
          <w:p w14:paraId="28BFE706"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w:t>
            </w:r>
          </w:p>
        </w:tc>
        <w:tc>
          <w:tcPr>
            <w:tcW w:w="0" w:type="auto"/>
          </w:tcPr>
          <w:p w14:paraId="650EA09A"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100</w:t>
            </w:r>
          </w:p>
        </w:tc>
        <w:tc>
          <w:tcPr>
            <w:tcW w:w="0" w:type="auto"/>
          </w:tcPr>
          <w:p w14:paraId="7D342276"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33.9</w:t>
            </w:r>
          </w:p>
        </w:tc>
        <w:tc>
          <w:tcPr>
            <w:tcW w:w="0" w:type="auto"/>
          </w:tcPr>
          <w:p w14:paraId="541B05F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w:t>
            </w:r>
          </w:p>
        </w:tc>
        <w:tc>
          <w:tcPr>
            <w:tcW w:w="0" w:type="auto"/>
          </w:tcPr>
          <w:p w14:paraId="2BC1EEAA"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200</w:t>
            </w:r>
          </w:p>
        </w:tc>
        <w:tc>
          <w:tcPr>
            <w:tcW w:w="1182" w:type="dxa"/>
          </w:tcPr>
          <w:p w14:paraId="49EDC03B"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0.57</w:t>
            </w:r>
          </w:p>
        </w:tc>
      </w:tr>
      <w:tr w:rsidR="000D4A83" w:rsidRPr="0003196B" w14:paraId="51ADD02E" w14:textId="77777777" w:rsidTr="00C42E5A">
        <w:trPr>
          <w:trHeight w:val="354"/>
        </w:trPr>
        <w:tc>
          <w:tcPr>
            <w:tcW w:w="2877" w:type="dxa"/>
          </w:tcPr>
          <w:p w14:paraId="7D2316AB"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Follow-up duration, mo</w:t>
            </w:r>
          </w:p>
        </w:tc>
        <w:tc>
          <w:tcPr>
            <w:tcW w:w="0" w:type="auto"/>
          </w:tcPr>
          <w:p w14:paraId="46298A3E"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10.6</w:t>
            </w:r>
          </w:p>
        </w:tc>
        <w:tc>
          <w:tcPr>
            <w:tcW w:w="0" w:type="auto"/>
          </w:tcPr>
          <w:p w14:paraId="42A94A8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w:t>
            </w:r>
          </w:p>
        </w:tc>
        <w:tc>
          <w:tcPr>
            <w:tcW w:w="0" w:type="auto"/>
          </w:tcPr>
          <w:p w14:paraId="739E2836"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51.5</w:t>
            </w:r>
          </w:p>
        </w:tc>
        <w:tc>
          <w:tcPr>
            <w:tcW w:w="0" w:type="auto"/>
          </w:tcPr>
          <w:p w14:paraId="15799EC6"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6.8</w:t>
            </w:r>
          </w:p>
        </w:tc>
        <w:tc>
          <w:tcPr>
            <w:tcW w:w="0" w:type="auto"/>
          </w:tcPr>
          <w:p w14:paraId="75CCCED8"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w:t>
            </w:r>
          </w:p>
        </w:tc>
        <w:tc>
          <w:tcPr>
            <w:tcW w:w="0" w:type="auto"/>
          </w:tcPr>
          <w:p w14:paraId="4D282828"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24</w:t>
            </w:r>
          </w:p>
        </w:tc>
        <w:tc>
          <w:tcPr>
            <w:tcW w:w="1182" w:type="dxa"/>
          </w:tcPr>
          <w:p w14:paraId="189971C2"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0.204</w:t>
            </w:r>
          </w:p>
        </w:tc>
      </w:tr>
      <w:tr w:rsidR="000D4A83" w:rsidRPr="0003196B" w14:paraId="67C977E1" w14:textId="77777777" w:rsidTr="00C42E5A">
        <w:trPr>
          <w:trHeight w:val="372"/>
        </w:trPr>
        <w:tc>
          <w:tcPr>
            <w:tcW w:w="2877" w:type="dxa"/>
          </w:tcPr>
          <w:p w14:paraId="1418511A"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Time to weightbearing, d</w:t>
            </w:r>
          </w:p>
        </w:tc>
        <w:tc>
          <w:tcPr>
            <w:tcW w:w="0" w:type="auto"/>
          </w:tcPr>
          <w:p w14:paraId="03EC0480"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39</w:t>
            </w:r>
            <w:r w:rsidRPr="0003196B">
              <w:rPr>
                <w:rFonts w:ascii="Book Antiqua" w:eastAsia="Times New Roman" w:hAnsi="Book Antiqua"/>
                <w:color w:val="000000"/>
                <w:vertAlign w:val="superscript"/>
              </w:rPr>
              <w:t>1</w:t>
            </w:r>
          </w:p>
        </w:tc>
        <w:tc>
          <w:tcPr>
            <w:tcW w:w="0" w:type="auto"/>
          </w:tcPr>
          <w:p w14:paraId="107562DE"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23</w:t>
            </w:r>
          </w:p>
        </w:tc>
        <w:tc>
          <w:tcPr>
            <w:tcW w:w="0" w:type="auto"/>
          </w:tcPr>
          <w:p w14:paraId="025E9341"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60</w:t>
            </w:r>
          </w:p>
        </w:tc>
        <w:tc>
          <w:tcPr>
            <w:tcW w:w="0" w:type="auto"/>
          </w:tcPr>
          <w:p w14:paraId="0143C55C"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29*</w:t>
            </w:r>
          </w:p>
        </w:tc>
        <w:tc>
          <w:tcPr>
            <w:tcW w:w="0" w:type="auto"/>
          </w:tcPr>
          <w:p w14:paraId="1FF71C5D"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12</w:t>
            </w:r>
          </w:p>
        </w:tc>
        <w:tc>
          <w:tcPr>
            <w:tcW w:w="0" w:type="auto"/>
          </w:tcPr>
          <w:p w14:paraId="6607E043"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47</w:t>
            </w:r>
          </w:p>
        </w:tc>
        <w:tc>
          <w:tcPr>
            <w:tcW w:w="1182" w:type="dxa"/>
          </w:tcPr>
          <w:p w14:paraId="57335825"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0.001</w:t>
            </w:r>
          </w:p>
        </w:tc>
      </w:tr>
      <w:tr w:rsidR="000D4A83" w:rsidRPr="0003196B" w14:paraId="6806F873" w14:textId="77777777" w:rsidTr="00C42E5A">
        <w:trPr>
          <w:trHeight w:val="366"/>
        </w:trPr>
        <w:tc>
          <w:tcPr>
            <w:tcW w:w="2877" w:type="dxa"/>
          </w:tcPr>
          <w:p w14:paraId="3708D6EB"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Complications</w:t>
            </w:r>
          </w:p>
        </w:tc>
        <w:tc>
          <w:tcPr>
            <w:tcW w:w="0" w:type="auto"/>
            <w:gridSpan w:val="3"/>
          </w:tcPr>
          <w:p w14:paraId="6929C997"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Number (%)</w:t>
            </w:r>
          </w:p>
        </w:tc>
        <w:tc>
          <w:tcPr>
            <w:tcW w:w="0" w:type="auto"/>
            <w:gridSpan w:val="3"/>
          </w:tcPr>
          <w:p w14:paraId="032785FE"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Number (%)</w:t>
            </w:r>
          </w:p>
        </w:tc>
        <w:tc>
          <w:tcPr>
            <w:tcW w:w="1182" w:type="dxa"/>
          </w:tcPr>
          <w:p w14:paraId="1E4C167A"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r>
      <w:tr w:rsidR="000D4A83" w:rsidRPr="0003196B" w14:paraId="18296C9D" w14:textId="77777777" w:rsidTr="00C42E5A">
        <w:trPr>
          <w:trHeight w:val="479"/>
        </w:trPr>
        <w:tc>
          <w:tcPr>
            <w:tcW w:w="2877" w:type="dxa"/>
          </w:tcPr>
          <w:p w14:paraId="6E76321C"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Malunion</w:t>
            </w:r>
          </w:p>
        </w:tc>
        <w:tc>
          <w:tcPr>
            <w:tcW w:w="0" w:type="auto"/>
            <w:gridSpan w:val="3"/>
          </w:tcPr>
          <w:p w14:paraId="476D5050"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0" w:type="auto"/>
            <w:gridSpan w:val="3"/>
          </w:tcPr>
          <w:p w14:paraId="47AED585"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1182" w:type="dxa"/>
          </w:tcPr>
          <w:p w14:paraId="19421B99"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r>
      <w:tr w:rsidR="000D4A83" w:rsidRPr="0003196B" w14:paraId="20DB70F0" w14:textId="77777777" w:rsidTr="00C42E5A">
        <w:trPr>
          <w:trHeight w:val="423"/>
        </w:trPr>
        <w:tc>
          <w:tcPr>
            <w:tcW w:w="2877" w:type="dxa"/>
          </w:tcPr>
          <w:p w14:paraId="08388713"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Shortening</w:t>
            </w:r>
          </w:p>
        </w:tc>
        <w:tc>
          <w:tcPr>
            <w:tcW w:w="0" w:type="auto"/>
            <w:gridSpan w:val="3"/>
          </w:tcPr>
          <w:p w14:paraId="7BA294AD"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0" w:type="auto"/>
            <w:gridSpan w:val="3"/>
          </w:tcPr>
          <w:p w14:paraId="272EBA91"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1182" w:type="dxa"/>
          </w:tcPr>
          <w:p w14:paraId="46B8211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r>
      <w:tr w:rsidR="000D4A83" w:rsidRPr="0003196B" w14:paraId="47D80004" w14:textId="77777777" w:rsidTr="00C42E5A">
        <w:trPr>
          <w:trHeight w:val="476"/>
        </w:trPr>
        <w:tc>
          <w:tcPr>
            <w:tcW w:w="2877" w:type="dxa"/>
          </w:tcPr>
          <w:p w14:paraId="1D887664"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Arthrofibrosis</w:t>
            </w:r>
          </w:p>
        </w:tc>
        <w:tc>
          <w:tcPr>
            <w:tcW w:w="0" w:type="auto"/>
            <w:gridSpan w:val="3"/>
          </w:tcPr>
          <w:p w14:paraId="17328D95"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0" w:type="auto"/>
            <w:gridSpan w:val="3"/>
          </w:tcPr>
          <w:p w14:paraId="096E49E6"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1182" w:type="dxa"/>
          </w:tcPr>
          <w:p w14:paraId="6715BBF1"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r>
      <w:tr w:rsidR="000D4A83" w:rsidRPr="0003196B" w14:paraId="22031196" w14:textId="77777777" w:rsidTr="00C42E5A">
        <w:trPr>
          <w:trHeight w:val="378"/>
        </w:trPr>
        <w:tc>
          <w:tcPr>
            <w:tcW w:w="2877" w:type="dxa"/>
          </w:tcPr>
          <w:p w14:paraId="44856FC5"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Symptomatic hardware</w:t>
            </w:r>
          </w:p>
        </w:tc>
        <w:tc>
          <w:tcPr>
            <w:tcW w:w="0" w:type="auto"/>
            <w:gridSpan w:val="3"/>
          </w:tcPr>
          <w:p w14:paraId="4E1DBBF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8 (38%)</w:t>
            </w:r>
          </w:p>
        </w:tc>
        <w:tc>
          <w:tcPr>
            <w:tcW w:w="0" w:type="auto"/>
            <w:gridSpan w:val="3"/>
          </w:tcPr>
          <w:p w14:paraId="65C200E6"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15 (33.3%)</w:t>
            </w:r>
          </w:p>
        </w:tc>
        <w:tc>
          <w:tcPr>
            <w:tcW w:w="1182" w:type="dxa"/>
          </w:tcPr>
          <w:p w14:paraId="5EA95A89"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r>
      <w:tr w:rsidR="000D4A83" w:rsidRPr="0003196B" w14:paraId="466771BC" w14:textId="77777777" w:rsidTr="00C42E5A">
        <w:trPr>
          <w:trHeight w:val="525"/>
        </w:trPr>
        <w:tc>
          <w:tcPr>
            <w:tcW w:w="2877" w:type="dxa"/>
          </w:tcPr>
          <w:p w14:paraId="6AC67CD5"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 xml:space="preserve">Changing treatment </w:t>
            </w:r>
          </w:p>
        </w:tc>
        <w:tc>
          <w:tcPr>
            <w:tcW w:w="0" w:type="auto"/>
            <w:gridSpan w:val="3"/>
          </w:tcPr>
          <w:p w14:paraId="5BAFF34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0" w:type="auto"/>
            <w:gridSpan w:val="3"/>
          </w:tcPr>
          <w:p w14:paraId="08160853"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 (4.4%)</w:t>
            </w:r>
          </w:p>
        </w:tc>
        <w:tc>
          <w:tcPr>
            <w:tcW w:w="1182" w:type="dxa"/>
          </w:tcPr>
          <w:p w14:paraId="504A1DD6"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r>
      <w:tr w:rsidR="000D4A83" w:rsidRPr="0003196B" w14:paraId="57D86080" w14:textId="77777777" w:rsidTr="00C42E5A">
        <w:trPr>
          <w:trHeight w:val="562"/>
        </w:trPr>
        <w:tc>
          <w:tcPr>
            <w:tcW w:w="2877" w:type="dxa"/>
          </w:tcPr>
          <w:p w14:paraId="09830EB8"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Wound complications</w:t>
            </w:r>
          </w:p>
        </w:tc>
        <w:tc>
          <w:tcPr>
            <w:tcW w:w="0" w:type="auto"/>
            <w:gridSpan w:val="3"/>
          </w:tcPr>
          <w:p w14:paraId="03D85F05"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 (4.8%)</w:t>
            </w:r>
          </w:p>
        </w:tc>
        <w:tc>
          <w:tcPr>
            <w:tcW w:w="0" w:type="auto"/>
            <w:gridSpan w:val="3"/>
          </w:tcPr>
          <w:p w14:paraId="1EC202C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 (2.2%)</w:t>
            </w:r>
          </w:p>
        </w:tc>
        <w:tc>
          <w:tcPr>
            <w:tcW w:w="1182" w:type="dxa"/>
          </w:tcPr>
          <w:p w14:paraId="13F27753"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r>
      <w:tr w:rsidR="000D4A83" w:rsidRPr="0003196B" w14:paraId="5A9454B7" w14:textId="77777777" w:rsidTr="00C42E5A">
        <w:trPr>
          <w:trHeight w:val="441"/>
        </w:trPr>
        <w:tc>
          <w:tcPr>
            <w:tcW w:w="2877" w:type="dxa"/>
          </w:tcPr>
          <w:p w14:paraId="22FAF4EE"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Decreased ROM</w:t>
            </w:r>
          </w:p>
        </w:tc>
        <w:tc>
          <w:tcPr>
            <w:tcW w:w="0" w:type="auto"/>
            <w:gridSpan w:val="3"/>
          </w:tcPr>
          <w:p w14:paraId="10930D8E"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w:t>
            </w:r>
          </w:p>
        </w:tc>
        <w:tc>
          <w:tcPr>
            <w:tcW w:w="0" w:type="auto"/>
            <w:gridSpan w:val="3"/>
          </w:tcPr>
          <w:p w14:paraId="747BB1D0"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 (4.4%)</w:t>
            </w:r>
          </w:p>
        </w:tc>
        <w:tc>
          <w:tcPr>
            <w:tcW w:w="1182" w:type="dxa"/>
          </w:tcPr>
          <w:p w14:paraId="48615F5D"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p>
        </w:tc>
      </w:tr>
      <w:tr w:rsidR="000D4A83" w:rsidRPr="0003196B" w14:paraId="60D09F07" w14:textId="77777777" w:rsidTr="00C42E5A">
        <w:trPr>
          <w:trHeight w:val="390"/>
        </w:trPr>
        <w:tc>
          <w:tcPr>
            <w:tcW w:w="2877" w:type="dxa"/>
          </w:tcPr>
          <w:p w14:paraId="0782D9D5"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Total</w:t>
            </w:r>
          </w:p>
        </w:tc>
        <w:tc>
          <w:tcPr>
            <w:tcW w:w="0" w:type="auto"/>
            <w:gridSpan w:val="3"/>
          </w:tcPr>
          <w:p w14:paraId="41EB82B1"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9 (42.8%)</w:t>
            </w:r>
          </w:p>
        </w:tc>
        <w:tc>
          <w:tcPr>
            <w:tcW w:w="0" w:type="auto"/>
            <w:gridSpan w:val="3"/>
          </w:tcPr>
          <w:p w14:paraId="030190A1"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20 (44.4%)</w:t>
            </w:r>
          </w:p>
        </w:tc>
        <w:tc>
          <w:tcPr>
            <w:tcW w:w="1182" w:type="dxa"/>
          </w:tcPr>
          <w:p w14:paraId="6E16192C"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0.805</w:t>
            </w:r>
          </w:p>
        </w:tc>
      </w:tr>
      <w:tr w:rsidR="000D4A83" w:rsidRPr="0003196B" w14:paraId="2A5F42ED" w14:textId="77777777" w:rsidTr="00C42E5A">
        <w:trPr>
          <w:trHeight w:val="428"/>
        </w:trPr>
        <w:tc>
          <w:tcPr>
            <w:tcW w:w="2877" w:type="dxa"/>
          </w:tcPr>
          <w:p w14:paraId="3E71ABA1" w14:textId="77777777" w:rsidR="000D4A83" w:rsidRPr="0003196B" w:rsidRDefault="000D4A83" w:rsidP="0003196B">
            <w:pPr>
              <w:adjustRightInd w:val="0"/>
              <w:snapToGrid w:val="0"/>
              <w:spacing w:line="360" w:lineRule="auto"/>
              <w:ind w:firstLineChars="50" w:firstLine="120"/>
              <w:jc w:val="both"/>
              <w:rPr>
                <w:rFonts w:ascii="Book Antiqua" w:eastAsia="Times New Roman" w:hAnsi="Book Antiqua"/>
                <w:color w:val="000000"/>
              </w:rPr>
            </w:pPr>
            <w:r w:rsidRPr="0003196B">
              <w:rPr>
                <w:rFonts w:ascii="Book Antiqua" w:eastAsia="Times New Roman" w:hAnsi="Book Antiqua"/>
                <w:color w:val="000000"/>
              </w:rPr>
              <w:lastRenderedPageBreak/>
              <w:t>Minor</w:t>
            </w:r>
          </w:p>
        </w:tc>
        <w:tc>
          <w:tcPr>
            <w:tcW w:w="0" w:type="auto"/>
            <w:gridSpan w:val="3"/>
          </w:tcPr>
          <w:p w14:paraId="29D22265"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9 (100%)</w:t>
            </w:r>
          </w:p>
        </w:tc>
        <w:tc>
          <w:tcPr>
            <w:tcW w:w="0" w:type="auto"/>
            <w:gridSpan w:val="3"/>
          </w:tcPr>
          <w:p w14:paraId="7D7E4D89"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16 (80%)</w:t>
            </w:r>
          </w:p>
        </w:tc>
        <w:tc>
          <w:tcPr>
            <w:tcW w:w="1182" w:type="dxa"/>
          </w:tcPr>
          <w:p w14:paraId="71718098"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&gt; 0.15</w:t>
            </w:r>
          </w:p>
        </w:tc>
      </w:tr>
      <w:tr w:rsidR="000D4A83" w:rsidRPr="0003196B" w14:paraId="16186CD8" w14:textId="77777777" w:rsidTr="00C42E5A">
        <w:trPr>
          <w:trHeight w:val="364"/>
        </w:trPr>
        <w:tc>
          <w:tcPr>
            <w:tcW w:w="2877" w:type="dxa"/>
          </w:tcPr>
          <w:p w14:paraId="239753BE" w14:textId="77777777" w:rsidR="000D4A83" w:rsidRPr="0003196B" w:rsidRDefault="000D4A83" w:rsidP="0003196B">
            <w:pPr>
              <w:adjustRightInd w:val="0"/>
              <w:snapToGrid w:val="0"/>
              <w:spacing w:line="360" w:lineRule="auto"/>
              <w:ind w:firstLineChars="50" w:firstLine="120"/>
              <w:jc w:val="both"/>
              <w:rPr>
                <w:rFonts w:ascii="Book Antiqua" w:eastAsia="Times New Roman" w:hAnsi="Book Antiqua"/>
                <w:color w:val="000000"/>
              </w:rPr>
            </w:pPr>
            <w:r w:rsidRPr="0003196B">
              <w:rPr>
                <w:rFonts w:ascii="Book Antiqua" w:eastAsia="Times New Roman" w:hAnsi="Book Antiqua"/>
                <w:color w:val="000000"/>
              </w:rPr>
              <w:t>Major</w:t>
            </w:r>
          </w:p>
        </w:tc>
        <w:tc>
          <w:tcPr>
            <w:tcW w:w="0" w:type="auto"/>
            <w:gridSpan w:val="3"/>
          </w:tcPr>
          <w:p w14:paraId="7F746B19"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0 (0%)</w:t>
            </w:r>
          </w:p>
        </w:tc>
        <w:tc>
          <w:tcPr>
            <w:tcW w:w="0" w:type="auto"/>
            <w:gridSpan w:val="3"/>
          </w:tcPr>
          <w:p w14:paraId="303D9E6F"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4 (20%)</w:t>
            </w:r>
          </w:p>
        </w:tc>
        <w:tc>
          <w:tcPr>
            <w:tcW w:w="1182" w:type="dxa"/>
          </w:tcPr>
          <w:p w14:paraId="46F3E802" w14:textId="77777777" w:rsidR="000D4A83"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eastAsia="Times New Roman" w:hAnsi="Book Antiqua"/>
                <w:color w:val="000000"/>
              </w:rPr>
              <w:t>&gt; 0.15</w:t>
            </w:r>
          </w:p>
        </w:tc>
      </w:tr>
    </w:tbl>
    <w:p w14:paraId="41BECE0A" w14:textId="490AC1FC" w:rsidR="00A77B3E" w:rsidRPr="0003196B" w:rsidRDefault="000D4A83" w:rsidP="0003196B">
      <w:pPr>
        <w:adjustRightInd w:val="0"/>
        <w:snapToGrid w:val="0"/>
        <w:spacing w:line="360" w:lineRule="auto"/>
        <w:jc w:val="both"/>
        <w:rPr>
          <w:rFonts w:ascii="Book Antiqua" w:eastAsia="Times New Roman" w:hAnsi="Book Antiqua"/>
          <w:color w:val="000000"/>
        </w:rPr>
      </w:pPr>
      <w:r w:rsidRPr="0003196B">
        <w:rPr>
          <w:rFonts w:ascii="Book Antiqua" w:hAnsi="Book Antiqua"/>
          <w:color w:val="000000"/>
          <w:vertAlign w:val="superscript"/>
          <w:lang w:eastAsia="zh-CN"/>
        </w:rPr>
        <w:t>1</w:t>
      </w:r>
      <w:r w:rsidR="005E1233" w:rsidRPr="0003196B">
        <w:rPr>
          <w:rFonts w:ascii="Book Antiqua" w:eastAsia="Times New Roman" w:hAnsi="Book Antiqua"/>
          <w:color w:val="000000"/>
        </w:rPr>
        <w:t>denotes statistical significance (</w:t>
      </w:r>
      <w:r w:rsidR="005E1233" w:rsidRPr="0003196B">
        <w:rPr>
          <w:rFonts w:ascii="Book Antiqua" w:eastAsia="Times New Roman" w:hAnsi="Book Antiqua"/>
          <w:i/>
          <w:iCs/>
          <w:color w:val="000000"/>
        </w:rPr>
        <w:t xml:space="preserve">P </w:t>
      </w:r>
      <w:r w:rsidR="005E1233" w:rsidRPr="0003196B">
        <w:rPr>
          <w:rFonts w:ascii="Book Antiqua" w:eastAsia="Times New Roman" w:hAnsi="Book Antiqua"/>
          <w:color w:val="000000"/>
        </w:rPr>
        <w:t>&lt; 0.05).</w:t>
      </w:r>
      <w:r w:rsidRPr="0003196B">
        <w:rPr>
          <w:rFonts w:ascii="Book Antiqua" w:hAnsi="Book Antiqua"/>
          <w:color w:val="000000"/>
          <w:lang w:eastAsia="zh-CN"/>
        </w:rPr>
        <w:t xml:space="preserve"> </w:t>
      </w:r>
      <w:r w:rsidR="005E1233" w:rsidRPr="0003196B">
        <w:rPr>
          <w:rFonts w:ascii="Book Antiqua" w:eastAsia="Times New Roman" w:hAnsi="Book Antiqua"/>
          <w:color w:val="000000"/>
        </w:rPr>
        <w:t>FIMN: Flexible</w:t>
      </w:r>
      <w:r w:rsidRPr="0003196B">
        <w:rPr>
          <w:rFonts w:ascii="Book Antiqua" w:eastAsia="Times New Roman" w:hAnsi="Book Antiqua"/>
          <w:color w:val="000000"/>
        </w:rPr>
        <w:t xml:space="preserve"> intramedullary nailing</w:t>
      </w:r>
      <w:r w:rsidR="00BC5729" w:rsidRPr="0003196B">
        <w:rPr>
          <w:rFonts w:ascii="Book Antiqua" w:eastAsia="Times New Roman" w:hAnsi="Book Antiqua"/>
          <w:color w:val="000000"/>
        </w:rPr>
        <w:t>;</w:t>
      </w:r>
      <w:r w:rsidR="005E1233" w:rsidRPr="0003196B">
        <w:rPr>
          <w:rFonts w:ascii="Book Antiqua" w:eastAsia="Times New Roman" w:hAnsi="Book Antiqua"/>
          <w:color w:val="000000"/>
        </w:rPr>
        <w:t xml:space="preserve"> IMN: Intramedullary </w:t>
      </w:r>
      <w:r w:rsidRPr="0003196B">
        <w:rPr>
          <w:rFonts w:ascii="Book Antiqua" w:eastAsia="Times New Roman" w:hAnsi="Book Antiqua"/>
          <w:color w:val="000000"/>
        </w:rPr>
        <w:t>nailing</w:t>
      </w:r>
      <w:r w:rsidR="00BC5729" w:rsidRPr="0003196B">
        <w:rPr>
          <w:rFonts w:ascii="Book Antiqua" w:eastAsia="Times New Roman" w:hAnsi="Book Antiqua"/>
          <w:color w:val="000000"/>
        </w:rPr>
        <w:t>;</w:t>
      </w:r>
      <w:r w:rsidRPr="0003196B">
        <w:rPr>
          <w:rFonts w:ascii="Book Antiqua" w:eastAsia="Times New Roman" w:hAnsi="Book Antiqua"/>
          <w:color w:val="000000"/>
        </w:rPr>
        <w:t xml:space="preserve"> ROM: Range of motion; </w:t>
      </w:r>
      <w:r w:rsidR="005E1233" w:rsidRPr="0003196B">
        <w:rPr>
          <w:rFonts w:ascii="Book Antiqua" w:eastAsia="Times New Roman" w:hAnsi="Book Antiqua"/>
          <w:color w:val="000000"/>
        </w:rPr>
        <w:t xml:space="preserve">SMP: </w:t>
      </w:r>
      <w:r w:rsidRPr="0003196B">
        <w:rPr>
          <w:rFonts w:ascii="Book Antiqua" w:eastAsia="Times New Roman" w:hAnsi="Book Antiqua"/>
          <w:color w:val="000000"/>
        </w:rPr>
        <w:t xml:space="preserve">Submuscular </w:t>
      </w:r>
      <w:r w:rsidR="005E1233" w:rsidRPr="0003196B">
        <w:rPr>
          <w:rFonts w:ascii="Book Antiqua" w:eastAsia="Times New Roman" w:hAnsi="Book Antiqua"/>
          <w:color w:val="000000"/>
        </w:rPr>
        <w:t>plate</w:t>
      </w:r>
      <w:r w:rsidRPr="0003196B">
        <w:rPr>
          <w:rFonts w:ascii="Book Antiqua" w:eastAsia="Times New Roman" w:hAnsi="Book Antiqua"/>
          <w:color w:val="000000"/>
        </w:rPr>
        <w:t>.</w:t>
      </w:r>
    </w:p>
    <w:sectPr w:rsidR="00A77B3E" w:rsidRPr="0003196B" w:rsidSect="00F22FD9">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0FB77D" w14:textId="77777777" w:rsidR="00CE69BF" w:rsidRDefault="00CE69BF" w:rsidP="0051045F">
      <w:r>
        <w:separator/>
      </w:r>
    </w:p>
  </w:endnote>
  <w:endnote w:type="continuationSeparator" w:id="0">
    <w:p w14:paraId="34F6A3CA" w14:textId="77777777" w:rsidR="00CE69BF" w:rsidRDefault="00CE69BF" w:rsidP="00510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7663878"/>
      <w:docPartObj>
        <w:docPartGallery w:val="Page Numbers (Bottom of Page)"/>
        <w:docPartUnique/>
      </w:docPartObj>
    </w:sdtPr>
    <w:sdtEndPr/>
    <w:sdtContent>
      <w:sdt>
        <w:sdtPr>
          <w:id w:val="-1769616900"/>
          <w:docPartObj>
            <w:docPartGallery w:val="Page Numbers (Top of Page)"/>
            <w:docPartUnique/>
          </w:docPartObj>
        </w:sdtPr>
        <w:sdtEndPr/>
        <w:sdtContent>
          <w:p w14:paraId="75E0847C" w14:textId="709FCB9D" w:rsidR="00174206" w:rsidRDefault="00174206">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42E5A">
              <w:rPr>
                <w:b/>
                <w:bCs/>
                <w:noProof/>
              </w:rPr>
              <w:t>29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42E5A">
              <w:rPr>
                <w:b/>
                <w:bCs/>
                <w:noProof/>
              </w:rPr>
              <w:t>29</w:t>
            </w:r>
            <w:r>
              <w:rPr>
                <w:b/>
                <w:bCs/>
                <w:sz w:val="24"/>
                <w:szCs w:val="24"/>
              </w:rPr>
              <w:fldChar w:fldCharType="end"/>
            </w:r>
          </w:p>
        </w:sdtContent>
      </w:sdt>
    </w:sdtContent>
  </w:sdt>
  <w:p w14:paraId="1245E64B" w14:textId="77777777" w:rsidR="00174206" w:rsidRDefault="00174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5BB82" w14:textId="77777777" w:rsidR="00CE69BF" w:rsidRDefault="00CE69BF" w:rsidP="0051045F">
      <w:r>
        <w:separator/>
      </w:r>
    </w:p>
  </w:footnote>
  <w:footnote w:type="continuationSeparator" w:id="0">
    <w:p w14:paraId="423F268A" w14:textId="77777777" w:rsidR="00CE69BF" w:rsidRDefault="00CE69BF" w:rsidP="00510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8E6BF" w14:textId="77777777" w:rsidR="0051045F" w:rsidRDefault="0051045F" w:rsidP="00174206">
    <w:pPr>
      <w:pStyle w:val="Header"/>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3196B"/>
    <w:rsid w:val="000424BB"/>
    <w:rsid w:val="000A232F"/>
    <w:rsid w:val="000D1E26"/>
    <w:rsid w:val="000D4A83"/>
    <w:rsid w:val="000D4CF3"/>
    <w:rsid w:val="00174206"/>
    <w:rsid w:val="001B5D95"/>
    <w:rsid w:val="001C60D2"/>
    <w:rsid w:val="00320CCB"/>
    <w:rsid w:val="00374B35"/>
    <w:rsid w:val="00490C89"/>
    <w:rsid w:val="0051045F"/>
    <w:rsid w:val="0051170B"/>
    <w:rsid w:val="00567DC3"/>
    <w:rsid w:val="005E1233"/>
    <w:rsid w:val="00623687"/>
    <w:rsid w:val="00730948"/>
    <w:rsid w:val="007C34EF"/>
    <w:rsid w:val="007F3D90"/>
    <w:rsid w:val="0087441B"/>
    <w:rsid w:val="008E0ADB"/>
    <w:rsid w:val="008E5D05"/>
    <w:rsid w:val="009E0407"/>
    <w:rsid w:val="009F0CB6"/>
    <w:rsid w:val="00A77B3E"/>
    <w:rsid w:val="00B64C1F"/>
    <w:rsid w:val="00BC5729"/>
    <w:rsid w:val="00C42E5A"/>
    <w:rsid w:val="00CA2A55"/>
    <w:rsid w:val="00CE69BF"/>
    <w:rsid w:val="00E8784C"/>
    <w:rsid w:val="00EE34BF"/>
    <w:rsid w:val="00F22F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26182F"/>
  <w15:docId w15:val="{6D3B8CFB-1B46-4351-AF0E-6D7DD832C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E1233"/>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TableNormal"/>
    <w:next w:val="TableGrid"/>
    <w:uiPriority w:val="59"/>
    <w:rsid w:val="005E1233"/>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59"/>
    <w:rsid w:val="005E1233"/>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045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51045F"/>
    <w:rPr>
      <w:sz w:val="18"/>
      <w:szCs w:val="18"/>
    </w:rPr>
  </w:style>
  <w:style w:type="paragraph" w:styleId="Footer">
    <w:name w:val="footer"/>
    <w:basedOn w:val="Normal"/>
    <w:link w:val="FooterChar"/>
    <w:uiPriority w:val="99"/>
    <w:unhideWhenUsed/>
    <w:rsid w:val="0051045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1045F"/>
    <w:rPr>
      <w:sz w:val="18"/>
      <w:szCs w:val="18"/>
    </w:rPr>
  </w:style>
  <w:style w:type="character" w:customStyle="1" w:styleId="skip">
    <w:name w:val="skip"/>
    <w:basedOn w:val="DefaultParagraphFont"/>
    <w:rsid w:val="001B5D95"/>
  </w:style>
  <w:style w:type="character" w:customStyle="1" w:styleId="apple-converted-space">
    <w:name w:val="apple-converted-space"/>
    <w:basedOn w:val="DefaultParagraphFont"/>
    <w:rsid w:val="001B5D95"/>
  </w:style>
  <w:style w:type="character" w:styleId="Hyperlink">
    <w:name w:val="Hyperlink"/>
    <w:basedOn w:val="DefaultParagraphFont"/>
    <w:uiPriority w:val="99"/>
    <w:semiHidden/>
    <w:unhideWhenUsed/>
    <w:rsid w:val="001B5D95"/>
    <w:rPr>
      <w:color w:val="0000FF"/>
      <w:u w:val="single"/>
    </w:rPr>
  </w:style>
  <w:style w:type="paragraph" w:styleId="BalloonText">
    <w:name w:val="Balloon Text"/>
    <w:basedOn w:val="Normal"/>
    <w:link w:val="BalloonTextChar"/>
    <w:semiHidden/>
    <w:unhideWhenUsed/>
    <w:rsid w:val="00EE34BF"/>
    <w:rPr>
      <w:sz w:val="18"/>
      <w:szCs w:val="18"/>
    </w:rPr>
  </w:style>
  <w:style w:type="character" w:customStyle="1" w:styleId="BalloonTextChar">
    <w:name w:val="Balloon Text Char"/>
    <w:basedOn w:val="DefaultParagraphFont"/>
    <w:link w:val="BalloonText"/>
    <w:semiHidden/>
    <w:rsid w:val="00EE34B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 TargetMode="External"/><Relationship Id="rId13"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hyperlink" Target="javascript:;" TargetMode="External"/><Relationship Id="rId12" Type="http://schemas.openxmlformats.org/officeDocument/2006/relationships/image" Target="media/image1.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javascript:;" TargetMode="External"/><Relationship Id="rId11" Type="http://schemas.openxmlformats.org/officeDocument/2006/relationships/hyperlink" Target="mailto:srgilbert@uabmc.edu"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5906</Words>
  <Characters>33668</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Na Ma</cp:lastModifiedBy>
  <cp:revision>2</cp:revision>
  <dcterms:created xsi:type="dcterms:W3CDTF">2020-08-15T21:35:00Z</dcterms:created>
  <dcterms:modified xsi:type="dcterms:W3CDTF">2020-08-15T21:35:00Z</dcterms:modified>
</cp:coreProperties>
</file>