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FCE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Name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Journal: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Journal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305A103A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NO: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56712</w:t>
      </w:r>
    </w:p>
    <w:p w14:paraId="0A2D4BC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Type: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OPINION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REVIEW</w:t>
      </w:r>
    </w:p>
    <w:p w14:paraId="06C0C872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2CD664E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bookmarkStart w:id="0" w:name="OLE_LINK1728"/>
      <w:bookmarkStart w:id="1" w:name="OLE_LINK1729"/>
      <w:r w:rsidRPr="00CD1E38">
        <w:rPr>
          <w:rFonts w:ascii="Book Antiqua" w:eastAsia="Book Antiqua" w:hAnsi="Book Antiqua" w:cs="Book Antiqua"/>
          <w:b/>
          <w:bCs/>
          <w:color w:val="000000"/>
        </w:rPr>
        <w:t>Practical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pandemic</w:t>
      </w:r>
    </w:p>
    <w:bookmarkEnd w:id="0"/>
    <w:bookmarkEnd w:id="1"/>
    <w:p w14:paraId="37E9C13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DA55563" w14:textId="77777777" w:rsidR="00A77B3E" w:rsidRPr="00CD1E38" w:rsidRDefault="00650A76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 xml:space="preserve">Imam A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CD1E38">
        <w:rPr>
          <w:rFonts w:ascii="Book Antiqua" w:eastAsia="Book Antiqua" w:hAnsi="Book Antiqua" w:cs="Book Antiqua"/>
          <w:color w:val="000000"/>
        </w:rPr>
        <w:t xml:space="preserve">. </w:t>
      </w:r>
      <w:r w:rsidR="00F13D0F" w:rsidRPr="00CD1E38">
        <w:rPr>
          <w:rFonts w:ascii="Book Antiqua" w:eastAsia="Book Antiqua" w:hAnsi="Book Antiqua" w:cs="Book Antiqua"/>
          <w:color w:val="000000"/>
        </w:rPr>
        <w:t>COVID-19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kidney</w:t>
      </w:r>
      <w:r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transplant</w:t>
      </w:r>
    </w:p>
    <w:p w14:paraId="6AC96F9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4CCB99CC" w14:textId="2D45E630" w:rsidR="00A77B3E" w:rsidRPr="00DD1B4E" w:rsidRDefault="00F13D0F" w:rsidP="00CD1E38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CD1E38">
        <w:rPr>
          <w:rFonts w:ascii="Book Antiqua" w:eastAsia="Book Antiqua" w:hAnsi="Book Antiqua" w:cs="Book Antiqua"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Keren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Tzukert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Hadar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Riham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Samir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 w:themeColor="text1"/>
        </w:rPr>
        <w:t>Abel,</w:t>
      </w:r>
      <w:r w:rsidR="00650A76" w:rsidRPr="00CD1E3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2159"/>
      <w:bookmarkStart w:id="3" w:name="OLE_LINK2160"/>
      <w:bookmarkStart w:id="4" w:name="OLE_LINK2161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Michal </w:t>
      </w:r>
      <w:proofErr w:type="spellStart"/>
      <w:r w:rsidR="00CD1E38" w:rsidRPr="00CD1E38">
        <w:rPr>
          <w:rFonts w:ascii="Book Antiqua" w:eastAsia="Book Antiqua" w:hAnsi="Book Antiqua" w:cs="Book Antiqua"/>
          <w:color w:val="000000" w:themeColor="text1"/>
        </w:rPr>
        <w:t>Dranitzki</w:t>
      </w:r>
      <w:proofErr w:type="spellEnd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CD1E38" w:rsidRPr="00CD1E38">
        <w:rPr>
          <w:rFonts w:ascii="Book Antiqua" w:eastAsia="Book Antiqua" w:hAnsi="Book Antiqua" w:cs="Book Antiqua"/>
          <w:color w:val="000000" w:themeColor="text1"/>
        </w:rPr>
        <w:t>Elhalel</w:t>
      </w:r>
      <w:proofErr w:type="spellEnd"/>
      <w:r w:rsidR="00CD1E38" w:rsidRPr="00CD1E38">
        <w:rPr>
          <w:rFonts w:ascii="Book Antiqua" w:eastAsia="Book Antiqua" w:hAnsi="Book Antiqua" w:cs="Book Antiqua"/>
          <w:color w:val="000000" w:themeColor="text1"/>
        </w:rPr>
        <w:t xml:space="preserve">, </w:t>
      </w:r>
      <w:bookmarkEnd w:id="2"/>
      <w:bookmarkEnd w:id="3"/>
      <w:bookmarkEnd w:id="4"/>
      <w:r w:rsidRPr="00CD1E38">
        <w:rPr>
          <w:rFonts w:ascii="Book Antiqua" w:eastAsia="Book Antiqua" w:hAnsi="Book Antiqua" w:cs="Book Antiqua"/>
          <w:color w:val="000000"/>
        </w:rPr>
        <w:t>Abed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Khalaileh</w:t>
      </w:r>
      <w:proofErr w:type="spellEnd"/>
    </w:p>
    <w:p w14:paraId="39D8172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1FC15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Hadar</w:t>
      </w:r>
      <w:proofErr w:type="spellEnd"/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Merhav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Riham</w:t>
      </w:r>
      <w:proofErr w:type="spellEnd"/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Samir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Abu-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Gazala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Khalaileh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Surgery,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2ED8224E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4A8D45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Keren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b/>
          <w:bCs/>
          <w:color w:val="000000"/>
        </w:rPr>
        <w:t>Tzukert</w:t>
      </w:r>
      <w:proofErr w:type="spellEnd"/>
      <w:r w:rsidRPr="00CD1E38">
        <w:rPr>
          <w:rFonts w:ascii="Book Antiqua" w:eastAsia="Book Antiqua" w:hAnsi="Book Antiqua" w:cs="Book Antiqua"/>
          <w:b/>
          <w:b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Abel,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Michal </w:t>
      </w:r>
      <w:bookmarkStart w:id="5" w:name="OLE_LINK2166"/>
      <w:bookmarkStart w:id="6" w:name="OLE_LINK2167"/>
      <w:proofErr w:type="spellStart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>Dranitzki</w:t>
      </w:r>
      <w:proofErr w:type="spellEnd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End w:id="5"/>
      <w:bookmarkEnd w:id="6"/>
      <w:proofErr w:type="spellStart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>Elhalel</w:t>
      </w:r>
      <w:proofErr w:type="spellEnd"/>
      <w:r w:rsidR="00CD1E38" w:rsidRPr="00CD1E38">
        <w:rPr>
          <w:rFonts w:ascii="Book Antiqua" w:eastAsia="Book Antiqua" w:hAnsi="Book Antiqua" w:cs="Book Antiqua"/>
          <w:b/>
          <w:bCs/>
          <w:color w:val="000000" w:themeColor="text1"/>
        </w:rPr>
        <w:t xml:space="preserve">,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Nephrology,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4BE7DF4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96EA647" w14:textId="4D66E4A5" w:rsidR="00650A76" w:rsidRPr="00DD1B4E" w:rsidRDefault="00F13D0F" w:rsidP="00DD1B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0A76" w:rsidRPr="00DD1B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Imam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A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and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Tzukert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K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>have contributed equally to the paper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and share the first authorship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;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Elhalel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MD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and </w:t>
      </w:r>
      <w:proofErr w:type="spellStart"/>
      <w:r w:rsidR="00DD1B4E" w:rsidRPr="00DD1B4E">
        <w:rPr>
          <w:rFonts w:ascii="Book Antiqua" w:eastAsia="Book Antiqua" w:hAnsi="Book Antiqua" w:cs="Book Antiqua"/>
          <w:bCs/>
          <w:color w:val="000000"/>
        </w:rPr>
        <w:t>Khalaileh</w:t>
      </w:r>
      <w:proofErr w:type="spellEnd"/>
      <w:r w:rsidR="00DD1B4E" w:rsidRPr="00DD1B4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D1B4E">
        <w:rPr>
          <w:rFonts w:ascii="Book Antiqua" w:hAnsi="Book Antiqua" w:cs="Book Antiqua" w:hint="eastAsia"/>
          <w:bCs/>
          <w:color w:val="000000"/>
          <w:lang w:eastAsia="zh-CN"/>
        </w:rPr>
        <w:t xml:space="preserve">A </w:t>
      </w:r>
      <w:r w:rsidR="00DD1B4E" w:rsidRPr="00DD1B4E">
        <w:rPr>
          <w:rFonts w:ascii="Book Antiqua" w:eastAsia="Book Antiqua" w:hAnsi="Book Antiqua" w:cs="Book Antiqua"/>
          <w:bCs/>
          <w:color w:val="000000"/>
        </w:rPr>
        <w:t>equal contribution</w:t>
      </w:r>
      <w:r w:rsidR="00DD1B4E" w:rsidRPr="00DD1B4E">
        <w:rPr>
          <w:rFonts w:ascii="Book Antiqua" w:hAnsi="Book Antiqua" w:cs="Book Antiqua"/>
          <w:bCs/>
          <w:color w:val="000000"/>
          <w:lang w:eastAsia="zh-CN"/>
        </w:rPr>
        <w:t xml:space="preserve">; </w:t>
      </w:r>
      <w:r w:rsidR="00650A76" w:rsidRPr="00DD1B4E">
        <w:rPr>
          <w:rFonts w:ascii="Book Antiqua" w:eastAsia="Book Antiqua" w:hAnsi="Book Antiqua" w:cs="Book Antiqua"/>
          <w:color w:val="000000"/>
        </w:rPr>
        <w:t xml:space="preserve">Imam A,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A and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contributed to the research idea and study design; Imam A, Imam R,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M</w:t>
      </w:r>
      <w:r w:rsidR="00275CA1" w:rsidRPr="00DD1B4E">
        <w:rPr>
          <w:rFonts w:ascii="Book Antiqua" w:eastAsia="Book Antiqua" w:hAnsi="Book Antiqua" w:cs="Book Antiqua"/>
          <w:color w:val="000000"/>
        </w:rPr>
        <w:t>D</w:t>
      </w:r>
      <w:r w:rsidR="00650A76" w:rsidRPr="00DD1B4E">
        <w:rPr>
          <w:rFonts w:ascii="Book Antiqua" w:eastAsia="Book Antiqua" w:hAnsi="Book Antiqua" w:cs="Book Antiqua"/>
          <w:color w:val="000000"/>
        </w:rPr>
        <w:t>, Abu-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and Abel R contributed to the data acquisition;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M</w:t>
      </w:r>
      <w:r w:rsidR="00275CA1" w:rsidRPr="00DD1B4E">
        <w:rPr>
          <w:rFonts w:ascii="Book Antiqua" w:eastAsia="Book Antiqua" w:hAnsi="Book Antiqua" w:cs="Book Antiqua"/>
          <w:color w:val="000000"/>
        </w:rPr>
        <w:t>D</w:t>
      </w:r>
      <w:r w:rsidR="00650A76" w:rsidRPr="00DD1B4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650A76" w:rsidRPr="00DD1B4E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DD1B4E">
        <w:rPr>
          <w:rFonts w:ascii="Book Antiqua" w:eastAsia="Book Antiqua" w:hAnsi="Book Antiqua" w:cs="Book Antiqua"/>
          <w:color w:val="000000"/>
        </w:rPr>
        <w:t xml:space="preserve"> H contributed to the supervision or mentorship; all the authors contributed to the manuscript writing and editing.</w:t>
      </w:r>
    </w:p>
    <w:p w14:paraId="44EDBDB2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932F93" w14:textId="77777777" w:rsidR="00A77B3E" w:rsidRPr="00DD1B4E" w:rsidRDefault="00F13D0F" w:rsidP="00CD1E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Imam,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Department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Surgery,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Hadassah-Hebrew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12000,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91120,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ash_imam04@hotmail.com</w:t>
      </w:r>
    </w:p>
    <w:p w14:paraId="37CC2145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11,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2D251F39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23,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042B884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3E5A" w:rsidRPr="00543E5A">
        <w:rPr>
          <w:rFonts w:ascii="Book Antiqua" w:eastAsia="Book Antiqua" w:hAnsi="Book Antiqua" w:cs="Book Antiqua"/>
          <w:bCs/>
          <w:color w:val="000000"/>
        </w:rPr>
        <w:t>August 24, 2020</w:t>
      </w:r>
    </w:p>
    <w:p w14:paraId="1518CD7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38EF96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  <w:sectPr w:rsidR="00A77B3E" w:rsidRPr="00CD1E38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023CC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E29B33" w14:textId="607D552A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global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become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aspects.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Firstly,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especially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communities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coronavirus disease 19 (COVID-19)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elective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decides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similar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hardship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selection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problematic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morbidity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COVID-19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comorbidities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such</w:t>
      </w:r>
      <w:r w:rsidR="00650A76" w:rsidRPr="00CD1E38">
        <w:rPr>
          <w:rFonts w:ascii="Book Antiqua" w:eastAsia="Book Antiqua" w:hAnsi="Book Antiqua" w:cs="Book Antiqua"/>
          <w:color w:val="000000"/>
          <w:rtl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hypertension,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diabetes,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obesity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Unfortunately,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mold.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policies,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conjecture.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</w:t>
      </w:r>
      <w:r w:rsidR="004131F8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re-engineered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exposure.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Reliance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paramount.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available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extremely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Modifying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changing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controversial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studies.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therapy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across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board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ordinary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liberal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m</w:t>
      </w:r>
      <w:r w:rsidR="004F5973" w:rsidRPr="00301B8D">
        <w:rPr>
          <w:rFonts w:ascii="Book Antiqua" w:hAnsi="Book Antiqua" w:cs="Segoe UI"/>
          <w:color w:val="444444"/>
          <w:shd w:val="clear" w:color="auto" w:fill="FFFFFF"/>
        </w:rPr>
        <w:t>ammalian target of rapamycin</w:t>
      </w:r>
      <w:r w:rsidR="0044407B" w:rsidRPr="00301B8D">
        <w:rPr>
          <w:rFonts w:ascii="Book Antiqua" w:hAnsi="Book Antiqua" w:cs="Segoe UI"/>
          <w:color w:val="444444"/>
          <w:shd w:val="clear" w:color="auto" w:fill="FFFFFF"/>
        </w:rPr>
        <w:t> </w:t>
      </w:r>
      <w:r w:rsidR="0044407B" w:rsidRPr="004F5973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infection.</w:t>
      </w:r>
    </w:p>
    <w:p w14:paraId="4768C580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96D8E67" w14:textId="43391FDF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COVID-19;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K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idney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transplantation;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donation;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7" w:name="OLE_LINK2162"/>
      <w:bookmarkStart w:id="8" w:name="OLE_LINK2163"/>
      <w:r w:rsidR="00342E00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bookmarkEnd w:id="7"/>
      <w:bookmarkEnd w:id="8"/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SARS-CoV2</w:t>
      </w:r>
    </w:p>
    <w:p w14:paraId="1AFCC329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6DD7C925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Imam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Tzukert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Merhav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Abu-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Gazala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Elhalel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</w:t>
      </w:r>
      <w:r w:rsidR="00275CA1" w:rsidRPr="00CD1E38">
        <w:rPr>
          <w:rFonts w:ascii="Book Antiqua" w:eastAsia="Book Antiqua" w:hAnsi="Book Antiqua" w:cs="Book Antiqua"/>
          <w:color w:val="000000"/>
        </w:rPr>
        <w:t>D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Khalaileh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press</w:t>
      </w:r>
    </w:p>
    <w:p w14:paraId="0A4C74B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225AC01" w14:textId="3EB82673" w:rsidR="00F13D0F" w:rsidRPr="00CD1E38" w:rsidRDefault="00F13D0F" w:rsidP="00CD1E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13D0F" w:rsidRPr="00CD1E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2164"/>
      <w:bookmarkStart w:id="10" w:name="OLE_LINK2165"/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 xml:space="preserve">areas with a high rate of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coronavirus disease 19 (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) </w:t>
      </w:r>
      <w:r w:rsidRPr="00CD1E38">
        <w:rPr>
          <w:rFonts w:ascii="Book Antiqua" w:eastAsia="Book Antiqua" w:hAnsi="Book Antiqua" w:cs="Book Antiqua"/>
          <w:color w:val="000000"/>
        </w:rPr>
        <w:t>infect</w:t>
      </w:r>
      <w:r w:rsidR="004131F8">
        <w:rPr>
          <w:rFonts w:ascii="Book Antiqua" w:eastAsia="Book Antiqua" w:hAnsi="Book Antiqua" w:cs="Book Antiqua"/>
          <w:color w:val="000000"/>
        </w:rPr>
        <w:t>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4131F8">
        <w:rPr>
          <w:rFonts w:ascii="Book Antiqua" w:eastAsia="Book Antiqua" w:hAnsi="Book Antiqua" w:cs="Book Antiqua"/>
          <w:color w:val="000000"/>
        </w:rPr>
        <w:t>, as t</w:t>
      </w:r>
      <w:r w:rsidRPr="00CD1E38">
        <w:rPr>
          <w:rFonts w:ascii="Book Antiqua" w:eastAsia="Book Antiqua" w:hAnsi="Book Antiqua" w:cs="Book Antiqua"/>
          <w:color w:val="000000"/>
        </w:rPr>
        <w:t>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transmission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preventive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>k</w:t>
      </w:r>
      <w:r w:rsidRPr="00CD1E38">
        <w:rPr>
          <w:rFonts w:ascii="Book Antiqua" w:eastAsia="Book Antiqua" w:hAnsi="Book Antiqua" w:cs="Book Antiqua"/>
          <w:color w:val="000000"/>
        </w:rPr>
        <w:t>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863518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bookmarkEnd w:id="9"/>
      <w:bookmarkEnd w:id="10"/>
    </w:p>
    <w:p w14:paraId="6A4465F2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  <w:lang w:eastAsia="zh-CN"/>
        </w:rPr>
      </w:pPr>
      <w:r w:rsidRPr="00CD1E38">
        <w:rPr>
          <w:rFonts w:ascii="Book Antiqua" w:eastAsia="Book Antiqua" w:hAnsi="Book Antiqua" w:cs="Book Antiqua"/>
          <w:b/>
          <w:color w:val="000000"/>
          <w:u w:val="single"/>
        </w:rPr>
        <w:lastRenderedPageBreak/>
        <w:t>INTRODUCTION</w:t>
      </w:r>
    </w:p>
    <w:p w14:paraId="5D07EEF9" w14:textId="4250DC01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bookmarkStart w:id="11" w:name="OLE_LINK1"/>
      <w:bookmarkStart w:id="12" w:name="OLE_LINK2"/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bookmarkEnd w:id="11"/>
      <w:bookmarkEnd w:id="12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(KT)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choice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end-stage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disease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progress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techniques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</w:t>
      </w:r>
      <w:r w:rsidR="005A1094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improvement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affect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appearance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(COVID-19),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carries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general,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specifically.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14679C2E" w14:textId="49F53A63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Fonts w:ascii="Book Antiqua" w:eastAsia="Book Antiqua" w:hAnsi="Book Antiqua" w:cs="Book Antiqua"/>
          <w:color w:val="000000"/>
        </w:rPr>
        <w:t>caused 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acute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syndrome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type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(SARS-CoV2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)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confirmed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following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several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severe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cases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pneumonia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city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Wuhan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China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December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2019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[3]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 xml:space="preserve">and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shortly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thereafter,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spread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worldwide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4]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affect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>ing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1.5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million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people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thousand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deaths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[5]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first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diagnosed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case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announced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February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21,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2020.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then,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11,000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="004131F8">
        <w:rPr>
          <w:rStyle w:val="mixed-citation"/>
          <w:rFonts w:ascii="Book Antiqua" w:eastAsia="Book Antiqua" w:hAnsi="Book Antiqua" w:cs="Book Antiqua"/>
          <w:color w:val="000000"/>
        </w:rPr>
        <w:t>cases have been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confirmed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110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died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6]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elsewhere,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COVID-19</w:t>
      </w:r>
      <w:r w:rsidR="002552A3">
        <w:rPr>
          <w:rStyle w:val="mixed-citation"/>
          <w:rFonts w:ascii="Book Antiqua" w:eastAsia="Book Antiqua" w:hAnsi="Book Antiqua" w:cs="Book Antiqua"/>
          <w:color w:val="000000"/>
        </w:rPr>
        <w:t>-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far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prevalent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those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Style w:val="mixed-citation"/>
          <w:rFonts w:ascii="Book Antiqua" w:eastAsia="Book Antiqua" w:hAnsi="Book Antiqua" w:cs="Book Antiqua"/>
          <w:color w:val="000000"/>
        </w:rPr>
        <w:t>comorbidities</w:t>
      </w:r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Style w:val="mixed-citation"/>
          <w:rFonts w:ascii="Book Antiqua" w:eastAsia="Book Antiqua" w:hAnsi="Book Antiqua" w:cs="Book Antiqua"/>
          <w:color w:val="000000"/>
          <w:vertAlign w:val="superscript"/>
        </w:rPr>
        <w:t>7]</w:t>
      </w:r>
      <w:r w:rsidRPr="00CD1E38">
        <w:rPr>
          <w:rStyle w:val="mixed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mixed-citation"/>
          <w:rFonts w:ascii="Book Antiqua" w:eastAsia="Book Antiqua" w:hAnsi="Book Antiqua" w:cs="Book Antiqua"/>
          <w:color w:val="000000"/>
        </w:rPr>
        <w:t xml:space="preserve"> </w:t>
      </w:r>
    </w:p>
    <w:p w14:paraId="65DF3C64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epidemic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2003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Middle East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syndrome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(MERS)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2018,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Conversely,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have </w:t>
      </w:r>
      <w:r w:rsidRPr="00CD1E38">
        <w:rPr>
          <w:rFonts w:ascii="Book Antiqua" w:eastAsia="Book Antiqua" w:hAnsi="Book Antiqua" w:cs="Book Antiqua"/>
          <w:color w:val="000000"/>
        </w:rPr>
        <w:t>demonstrated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among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immunocompromised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CD1E38">
        <w:rPr>
          <w:rFonts w:ascii="Book Antiqua" w:eastAsia="Book Antiqua" w:hAnsi="Book Antiqua" w:cs="Book Antiqua"/>
          <w:color w:val="000000"/>
        </w:rPr>
        <w:t>.</w:t>
      </w:r>
    </w:p>
    <w:p w14:paraId="401CC48F" w14:textId="75F7F1D4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Under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circumstances,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obstacles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encounter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management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setting.</w:t>
      </w:r>
      <w:r w:rsidRPr="00CD1E38">
        <w:rPr>
          <w:rFonts w:ascii="Book Antiqua" w:hAnsi="Book Antiqua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highlight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guidelines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Hadassah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–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Hebrew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Jerusalem,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2AAD81E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5D5E7B73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DECEASED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DONORS</w:t>
      </w:r>
    </w:p>
    <w:p w14:paraId="0CB2CB83" w14:textId="1B300018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extreme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intensive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diverted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D12464"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societal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tendency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lastly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distancing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accidents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injuries.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Surprisingly,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period.</w:t>
      </w:r>
    </w:p>
    <w:p w14:paraId="4236272C" w14:textId="24F2009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transmission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yet </w:t>
      </w:r>
      <w:r w:rsidRPr="00CD1E38">
        <w:rPr>
          <w:rFonts w:ascii="Book Antiqua" w:eastAsia="Book Antiqua" w:hAnsi="Book Antiqua" w:cs="Book Antiqua"/>
          <w:color w:val="000000"/>
        </w:rPr>
        <w:t>known,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possibility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transmission,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15%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blood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Moreover,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pathological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changes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patients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E26052" w:rsidRPr="00CD1E38">
        <w:rPr>
          <w:rFonts w:ascii="Book Antiqua" w:eastAsia="Book Antiqua" w:hAnsi="Book Antiqua" w:cs="Book Antiqua"/>
          <w:color w:val="000000"/>
        </w:rPr>
        <w:t>.</w:t>
      </w:r>
    </w:p>
    <w:p w14:paraId="3289A0DF" w14:textId="0AF7EE0E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previously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mentioned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hazards,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whether </w:t>
      </w:r>
      <w:r w:rsidR="002552A3">
        <w:rPr>
          <w:rFonts w:ascii="Book Antiqua" w:eastAsia="Book Antiqua" w:hAnsi="Book Antiqua" w:cs="Book Antiqua"/>
          <w:color w:val="000000"/>
        </w:rPr>
        <w:t>they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National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2552A3">
        <w:rPr>
          <w:rFonts w:ascii="Book Antiqua" w:eastAsia="Book Antiqua" w:hAnsi="Book Antiqua" w:cs="Book Antiqua"/>
          <w:color w:val="000000"/>
        </w:rPr>
        <w:t>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include: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1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nasopharyngeal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swab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history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abroad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D12464" w:rsidRPr="00CD1E38">
        <w:rPr>
          <w:rFonts w:ascii="Book Antiqua" w:eastAsia="Book Antiqua" w:hAnsi="Book Antiqua" w:cs="Book Antiqua"/>
          <w:color w:val="000000"/>
        </w:rPr>
        <w:t>ays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</w:t>
      </w:r>
      <w:r w:rsidR="002552A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3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diagnosed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pneumonia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i</w:t>
      </w:r>
      <w:r w:rsidRPr="00CD1E38">
        <w:rPr>
          <w:rFonts w:ascii="Book Antiqua" w:eastAsia="Book Antiqua" w:hAnsi="Book Antiqua" w:cs="Book Antiqua"/>
          <w:color w:val="000000"/>
        </w:rPr>
        <w:t>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took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</w:t>
      </w:r>
      <w:r w:rsidR="002552A3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and (</w:t>
      </w:r>
      <w:r w:rsidRPr="00CD1E38">
        <w:rPr>
          <w:rFonts w:ascii="Book Antiqua" w:eastAsia="Book Antiqua" w:hAnsi="Book Antiqua" w:cs="Book Antiqua"/>
          <w:color w:val="000000"/>
        </w:rPr>
        <w:t>5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cardiac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(DCD),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in</w:t>
      </w:r>
      <w:r w:rsidRPr="00CD1E38">
        <w:rPr>
          <w:rFonts w:ascii="Book Antiqua" w:eastAsia="Book Antiqua" w:hAnsi="Book Antiqua" w:cs="Book Antiqua"/>
          <w:color w:val="000000"/>
        </w:rPr>
        <w:t>sufficient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gather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B</w:t>
      </w:r>
      <w:r w:rsidR="00D12464" w:rsidRPr="00CD1E38">
        <w:rPr>
          <w:rFonts w:ascii="Book Antiqua" w:eastAsia="Book Antiqua" w:hAnsi="Book Antiqua" w:cs="Book Antiqua"/>
          <w:color w:val="000000"/>
        </w:rPr>
        <w:t xml:space="preserve">y </w:t>
      </w:r>
      <w:r w:rsidRPr="00CD1E38">
        <w:rPr>
          <w:rFonts w:ascii="Book Antiqua" w:eastAsia="Book Antiqua" w:hAnsi="Book Antiqua" w:cs="Book Antiqua"/>
          <w:color w:val="000000"/>
        </w:rPr>
        <w:t>accumulating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knowledge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the following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considered: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1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presence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upper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respiratory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fever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L</w:t>
      </w:r>
      <w:r w:rsidRPr="00CD1E38">
        <w:rPr>
          <w:rFonts w:ascii="Book Antiqua" w:eastAsia="Book Antiqua" w:hAnsi="Book Antiqua" w:cs="Book Antiqua"/>
          <w:color w:val="000000"/>
        </w:rPr>
        <w:t>ymphopenia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3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Chest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computed tomography (</w:t>
      </w:r>
      <w:r w:rsidRPr="00CD1E38">
        <w:rPr>
          <w:rFonts w:ascii="Book Antiqua" w:eastAsia="Book Antiqua" w:hAnsi="Book Antiqua" w:cs="Book Antiqua"/>
          <w:color w:val="000000"/>
        </w:rPr>
        <w:t>CT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finding</w:t>
      </w:r>
      <w:r w:rsidR="00ED3E07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attributed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E26052" w:rsidRPr="00CD1E38">
        <w:rPr>
          <w:rFonts w:ascii="Book Antiqua" w:eastAsia="Book Antiqua" w:hAnsi="Book Antiqua" w:cs="Book Antiqua"/>
          <w:color w:val="000000"/>
        </w:rPr>
        <w:t>;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7E2A50">
        <w:rPr>
          <w:rFonts w:ascii="Book Antiqua" w:eastAsia="Book Antiqua" w:hAnsi="Book Antiqua" w:cs="Book Antiqua"/>
          <w:color w:val="000000"/>
        </w:rPr>
        <w:t xml:space="preserve">and </w:t>
      </w:r>
      <w:r w:rsidR="00E26052" w:rsidRPr="00CD1E38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E26052"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suspicion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epidemiologic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>polymerase chain reaction (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2552A3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donors.</w:t>
      </w:r>
    </w:p>
    <w:p w14:paraId="64ED5557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lymphopenia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Guan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0A76" w:rsidRPr="00CD1E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26052" w:rsidRPr="00CD1E3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2552A3">
        <w:rPr>
          <w:rFonts w:ascii="Book Antiqua" w:eastAsia="Book Antiqua" w:hAnsi="Book Antiqua" w:cs="Book Antiqua"/>
          <w:color w:val="000000"/>
        </w:rPr>
        <w:t xml:space="preserve">who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demonstrated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large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cohort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1099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96%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patients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specific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abnormal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findings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lungs,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82.1%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lymphopenia.</w:t>
      </w:r>
    </w:p>
    <w:p w14:paraId="7FEFCBA2" w14:textId="64744602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5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DCD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technique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machine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perfusion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utilized.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relatively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environment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enhance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missing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acquired.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D3E07" w:rsidRPr="00CD1E38">
        <w:rPr>
          <w:rFonts w:ascii="Book Antiqua" w:eastAsia="Book Antiqua" w:hAnsi="Book Antiqua" w:cs="Book Antiqua"/>
          <w:color w:val="000000"/>
        </w:rPr>
        <w:t xml:space="preserve">of infection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recipients.</w:t>
      </w:r>
    </w:p>
    <w:p w14:paraId="2D640EA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293AA0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LIVING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DONORS</w:t>
      </w:r>
    </w:p>
    <w:p w14:paraId="25EEF509" w14:textId="5BAE9A09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brings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elective,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pre-scheduled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carefully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planned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transplantations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stringent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criteria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implemented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team.</w:t>
      </w:r>
    </w:p>
    <w:p w14:paraId="5B3B251F" w14:textId="34ED493C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undergo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period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0B163C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prior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unbearable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burden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explained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length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psychosocial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evaluation.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percentages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false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antibod</w:t>
      </w:r>
      <w:r w:rsidR="00E3559E">
        <w:rPr>
          <w:rFonts w:ascii="Book Antiqua" w:eastAsia="Book Antiqua" w:hAnsi="Book Antiqua" w:cs="Book Antiqua"/>
          <w:color w:val="000000"/>
        </w:rPr>
        <w:t>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detection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assays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yet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available.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070C01B6" w14:textId="39003EC2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outbreak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resulted 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M</w:t>
      </w:r>
      <w:r w:rsidRPr="00CD1E38">
        <w:rPr>
          <w:rFonts w:ascii="Book Antiqua" w:eastAsia="Book Antiqua" w:hAnsi="Book Antiqua" w:cs="Book Antiqua"/>
          <w:color w:val="000000"/>
        </w:rPr>
        <w:t>inistry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H</w:t>
      </w:r>
      <w:r w:rsidRPr="00CD1E38">
        <w:rPr>
          <w:rFonts w:ascii="Book Antiqua" w:eastAsia="Book Antiqua" w:hAnsi="Book Antiqua" w:cs="Book Antiqua"/>
          <w:color w:val="000000"/>
        </w:rPr>
        <w:t>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centers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temporarily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withhold</w:t>
      </w:r>
      <w:r w:rsidR="00E3559E">
        <w:rPr>
          <w:rFonts w:ascii="Book Antiqua" w:eastAsia="Book Antiqua" w:hAnsi="Book Antiqua" w:cs="Book Antiqua"/>
          <w:color w:val="000000"/>
        </w:rPr>
        <w:t>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living-related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activities.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eventually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prognostic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financial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implications.</w:t>
      </w:r>
    </w:p>
    <w:p w14:paraId="72AA68B9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0E807799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KIDNEY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TRANSPLANT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RECIPIENTS</w:t>
      </w:r>
    </w:p>
    <w:p w14:paraId="7178DBC1" w14:textId="59746F9E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857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waiting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list.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does</w:t>
      </w:r>
      <w:r w:rsidR="00E3559E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E3559E">
        <w:rPr>
          <w:rFonts w:ascii="Book Antiqua" w:eastAsia="Book Antiqua" w:hAnsi="Book Antiqua" w:cs="Book Antiqua"/>
          <w:color w:val="000000"/>
        </w:rPr>
        <w:t>o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preemptive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2019,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411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248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163</w:t>
      </w:r>
      <w:r w:rsidR="00632F9B" w:rsidRPr="00CD1E38">
        <w:rPr>
          <w:rFonts w:ascii="Book Antiqua" w:eastAsia="Book Antiqua" w:hAnsi="Book Antiqua" w:cs="Book Antiqua"/>
          <w:color w:val="000000"/>
        </w:rPr>
        <w:t xml:space="preserve"> 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donors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44937DA3" w14:textId="77777777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damage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donations,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stratify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era.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6947C03C" w14:textId="59C88CD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  <w:r w:rsidR="00632F9B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implemented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years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success.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However, i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comorbidities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D1E38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reconsider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approach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older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(&gt;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65</w:t>
      </w:r>
      <w:r w:rsidR="00E3559E">
        <w:rPr>
          <w:rFonts w:ascii="Book Antiqua" w:eastAsia="Book Antiqua" w:hAnsi="Book Antiqua" w:cs="Book Antiqua"/>
          <w:color w:val="000000"/>
        </w:rPr>
        <w:t xml:space="preserve"> years</w:t>
      </w:r>
      <w:r w:rsidRPr="00CD1E38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decline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offer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rerouted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younger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Although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firm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 xml:space="preserve">due to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reassessment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policies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maximize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safety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reduce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r w:rsidR="00E3559E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morbidity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graft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loss</w:t>
      </w:r>
      <w:r w:rsidR="00E3559E">
        <w:rPr>
          <w:rFonts w:ascii="Book Antiqua" w:eastAsia="Book Antiqua" w:hAnsi="Book Antiqua" w:cs="Book Antiqua"/>
          <w:color w:val="000000"/>
        </w:rPr>
        <w:t xml:space="preserve"> may be required</w:t>
      </w:r>
      <w:r w:rsidRPr="00CD1E38">
        <w:rPr>
          <w:rFonts w:ascii="Book Antiqua" w:eastAsia="Book Antiqua" w:hAnsi="Book Antiqua" w:cs="Book Antiqua"/>
          <w:color w:val="000000"/>
        </w:rPr>
        <w:t>.</w:t>
      </w:r>
    </w:p>
    <w:p w14:paraId="00A6BED4" w14:textId="60C67D3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Finally,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published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March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European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Group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ERA-EDTA,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instructed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away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crowd</w:t>
      </w:r>
      <w:r w:rsidR="00E3559E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whenever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individual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transportation,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measures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conserve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hygiene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personal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contact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family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members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26052" w:rsidRPr="00CD1E38">
        <w:rPr>
          <w:rFonts w:ascii="Book Antiqua" w:eastAsia="Book Antiqua" w:hAnsi="Book Antiqua" w:cs="Book Antiqua"/>
          <w:color w:val="000000"/>
        </w:rPr>
        <w:t>.</w:t>
      </w:r>
      <w:r w:rsidR="00E26052" w:rsidRPr="00CD1E38">
        <w:rPr>
          <w:rFonts w:ascii="Book Antiqua" w:hAnsi="Book Antiqua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recommendations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3559E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kidney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after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hospitalization.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17F37641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20C47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POST-OPERATIVE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FOLLOW-UP</w:t>
      </w:r>
    </w:p>
    <w:p w14:paraId="5C266F55" w14:textId="4296CD29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course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KT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fraught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cases.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order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advised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</w:t>
      </w:r>
      <w:r w:rsidR="00E1087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hazards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traveling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visiting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result,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tailoring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individual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follow-up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strategy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balances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intensity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visits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each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plethora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devices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applications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possible.</w:t>
      </w:r>
      <w:r w:rsidR="00C14712" w:rsidRPr="00CD1E38">
        <w:rPr>
          <w:rFonts w:ascii="Book Antiqua" w:eastAsia="Book Antiqua" w:hAnsi="Book Antiqua" w:cs="Book Antiqua"/>
          <w:color w:val="000000"/>
        </w:rPr>
        <w:t xml:space="preserve"> 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p</w:t>
      </w:r>
      <w:r w:rsidRPr="00CD1E38">
        <w:rPr>
          <w:rFonts w:ascii="Book Antiqua" w:eastAsia="Book Antiqua" w:hAnsi="Book Antiqua" w:cs="Book Antiqua"/>
          <w:color w:val="000000"/>
        </w:rPr>
        <w:t>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smart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phones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computers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internet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problem.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universally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religious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prohibition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manner.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economic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considerations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accessing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technology,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reach-out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insurers,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charitable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gap.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Telemedicine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assume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emphasis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placed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strict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adherence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government's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instructions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C14712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hygiene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habits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C14712" w:rsidRPr="00CD1E38">
        <w:rPr>
          <w:rFonts w:ascii="Book Antiqua" w:eastAsia="Book Antiqua" w:hAnsi="Book Antiqua" w:cs="Book Antiqua"/>
          <w:color w:val="000000"/>
        </w:rPr>
        <w:t>awareness</w:t>
      </w:r>
      <w:r w:rsidR="00E10873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means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arriving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>at</w:t>
      </w:r>
      <w:r w:rsidR="00C1471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</w:t>
      </w:r>
      <w:r w:rsidR="00C14712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N95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masks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wear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glove</w:t>
      </w:r>
      <w:r w:rsidR="00E10873">
        <w:rPr>
          <w:rFonts w:ascii="Book Antiqua" w:eastAsia="Book Antiqua" w:hAnsi="Book Antiqua" w:cs="Book Antiqua"/>
          <w:color w:val="000000"/>
        </w:rPr>
        <w:t>s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personal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protective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equipment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prescribed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delivered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</w:p>
    <w:p w14:paraId="4989EA04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4AE388F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IMMUNOSUPPRESSION</w:t>
      </w:r>
    </w:p>
    <w:p w14:paraId="160B8DE8" w14:textId="4370A06B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Intuitively,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information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>as to whether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consequences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graft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loss.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Thymoglobulin,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agent,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 w:rsidRPr="00CD1E38">
        <w:rPr>
          <w:rFonts w:ascii="Book Antiqua" w:eastAsia="Book Antiqua" w:hAnsi="Book Antiqua" w:cs="Book Antiqua"/>
          <w:color w:val="000000"/>
        </w:rPr>
        <w:t xml:space="preserve">used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linked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E10873">
        <w:rPr>
          <w:rFonts w:ascii="Book Antiqua" w:eastAsia="Book Antiqua" w:hAnsi="Book Antiqua" w:cs="Book Antiqua"/>
          <w:color w:val="000000"/>
        </w:rPr>
        <w:t xml:space="preserve">such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HSV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E1087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related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complications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26052" w:rsidRPr="00CD1E38">
        <w:rPr>
          <w:rFonts w:ascii="Book Antiqua" w:eastAsia="Book Antiqua" w:hAnsi="Book Antiqua" w:cs="Book Antiqua"/>
          <w:i/>
          <w:iCs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post-transplant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lymphoproliferative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disorder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sense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speculate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allows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levels.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thymoglobulin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rises.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Therefore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C14712" w:rsidRPr="00CD1E38">
        <w:rPr>
          <w:rFonts w:ascii="Book Antiqua" w:eastAsia="Book Antiqua" w:hAnsi="Book Antiqua" w:cs="Book Antiqua"/>
          <w:color w:val="000000"/>
        </w:rPr>
        <w:t>t</w:t>
      </w:r>
      <w:r w:rsidRPr="00CD1E38">
        <w:rPr>
          <w:rFonts w:ascii="Book Antiqua" w:eastAsia="Book Antiqua" w:hAnsi="Book Antiqua" w:cs="Book Antiqua"/>
          <w:color w:val="000000"/>
        </w:rPr>
        <w:t>hymoglobulin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regimens,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E26052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Basiliximab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(CD25R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antagonist)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acute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occur</w:t>
      </w:r>
      <w:r w:rsidR="00C14712" w:rsidRPr="00CD1E38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this c</w:t>
      </w:r>
      <w:r w:rsidRPr="00CD1E38">
        <w:rPr>
          <w:rFonts w:ascii="Book Antiqua" w:eastAsia="Book Antiqua" w:hAnsi="Book Antiqua" w:cs="Book Antiqua"/>
          <w:color w:val="000000"/>
        </w:rPr>
        <w:t>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result 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accumulating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larger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issue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therapy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needs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examined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perhaps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recipients.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Nevertheless,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lack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before.</w:t>
      </w:r>
    </w:p>
    <w:p w14:paraId="544FCD01" w14:textId="196CEFB8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lastRenderedPageBreak/>
        <w:t>Corticosteroids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major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anti-rejection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institution,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methylprednisolone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given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rapid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tapering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40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mg</w:t>
      </w:r>
      <w:r w:rsidR="006760C3">
        <w:rPr>
          <w:rFonts w:ascii="Book Antiqua" w:eastAsia="Book Antiqua" w:hAnsi="Book Antiqua" w:cs="Book Antiqua"/>
          <w:color w:val="000000"/>
        </w:rPr>
        <w:t>/</w:t>
      </w:r>
      <w:r w:rsidRPr="00CD1E38">
        <w:rPr>
          <w:rFonts w:ascii="Book Antiqua" w:eastAsia="Book Antiqua" w:hAnsi="Book Antiqua" w:cs="Book Antiqua"/>
          <w:color w:val="000000"/>
        </w:rPr>
        <w:t>day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6.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steroid-avoidance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withdrawal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steroid-avoidance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now?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found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withdrawal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compared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60C3">
        <w:rPr>
          <w:rFonts w:ascii="Book Antiqua" w:eastAsia="Book Antiqua" w:hAnsi="Book Antiqua" w:cs="Book Antiqua"/>
          <w:color w:val="000000"/>
        </w:rPr>
        <w:t>protocols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nephritis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conflicting.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investigating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previous,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SARS-COVID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experience,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Chinese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advantageous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combining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hydroxychloroquine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recently,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favorable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outcome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context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 </w:t>
      </w:r>
      <w:r w:rsidRPr="00CD1E38">
        <w:rPr>
          <w:rFonts w:ascii="Book Antiqua" w:eastAsia="Book Antiqua" w:hAnsi="Book Antiqua" w:cs="Book Antiqua"/>
          <w:color w:val="000000"/>
        </w:rPr>
        <w:t>cytokine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storm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studies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indicated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long</w:t>
      </w:r>
      <w:r w:rsidR="006760C3">
        <w:rPr>
          <w:rFonts w:ascii="Book Antiqua" w:eastAsia="Book Antiqua" w:hAnsi="Book Antiqua" w:cs="Book Antiqua"/>
          <w:color w:val="000000"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term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facilitates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existing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</w:t>
      </w:r>
      <w:r w:rsidRPr="00CD1E38">
        <w:rPr>
          <w:rFonts w:ascii="Book Antiqua" w:eastAsia="Book Antiqua" w:hAnsi="Book Antiqua" w:cs="Book Antiqua"/>
          <w:color w:val="000000"/>
          <w:rtl/>
        </w:rPr>
        <w:t>-</w:t>
      </w:r>
      <w:r w:rsidRPr="00CD1E38">
        <w:rPr>
          <w:rFonts w:ascii="Book Antiqua" w:eastAsia="Book Antiqua" w:hAnsi="Book Antiqua" w:cs="Book Antiqua"/>
          <w:color w:val="000000"/>
        </w:rPr>
        <w:t>existing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863518" w:rsidRPr="00CD1E38">
        <w:rPr>
          <w:rFonts w:ascii="Book Antiqua" w:eastAsia="Book Antiqua" w:hAnsi="Book Antiqua" w:cs="Book Antiqua"/>
          <w:color w:val="000000"/>
        </w:rPr>
        <w:t>evidence-based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data),</w:t>
      </w:r>
      <w:r w:rsidR="00E26052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believe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current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familiar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1D7326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evidence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proves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any </w:t>
      </w:r>
      <w:r w:rsidRPr="00CD1E38">
        <w:rPr>
          <w:rFonts w:ascii="Book Antiqua" w:eastAsia="Book Antiqua" w:hAnsi="Book Antiqua" w:cs="Book Antiqua"/>
          <w:color w:val="000000"/>
        </w:rPr>
        <w:t>benefit.</w:t>
      </w:r>
    </w:p>
    <w:p w14:paraId="14788365" w14:textId="6557491D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Anti-metabolites,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1D7326" w:rsidRPr="00CD1E38">
        <w:rPr>
          <w:rFonts w:ascii="Book Antiqua" w:eastAsia="Book Antiqua" w:hAnsi="Book Antiqua" w:cs="Book Antiqua"/>
          <w:color w:val="000000"/>
        </w:rPr>
        <w:t>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are </w:t>
      </w:r>
      <w:r w:rsidRPr="00CD1E38">
        <w:rPr>
          <w:rFonts w:ascii="Book Antiqua" w:eastAsia="Book Antiqua" w:hAnsi="Book Antiqua" w:cs="Book Antiqua"/>
          <w:color w:val="000000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depleting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interfering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lymphocytes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functions.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(not</w:t>
      </w:r>
      <w:r w:rsidR="005A1094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culture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Unfortunately,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indicated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 xml:space="preserve">that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worsened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both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marmosets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(significantly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higher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mortality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)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Balb</w:t>
      </w:r>
      <w:proofErr w:type="spellEnd"/>
      <w:r w:rsidRPr="00CD1E38">
        <w:rPr>
          <w:rFonts w:ascii="Book Antiqua" w:eastAsia="Book Antiqua" w:hAnsi="Book Antiqua" w:cs="Book Antiqua"/>
          <w:color w:val="000000"/>
        </w:rPr>
        <w:t>/c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mice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MPA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interferon-b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associated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survival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MER-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significant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univariate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analysis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greater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predictor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survival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presentation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agreement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such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CMV,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EBV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HSV,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>In the case 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presented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leukopenia,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stopped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plan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re-start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mycophenolate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consecutive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PCR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1D7326"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negative.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6E557FF9" w14:textId="755B26AD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cyclosporine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tacrolimus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mainstay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regimen</w:t>
      </w:r>
      <w:r w:rsidR="006760C3">
        <w:rPr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solid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organ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>affecting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activation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function.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Alt</w:t>
      </w:r>
      <w:r w:rsidRPr="00CD1E38">
        <w:rPr>
          <w:rFonts w:ascii="Book Antiqua" w:eastAsia="Book Antiqua" w:hAnsi="Book Antiqua" w:cs="Book Antiqua"/>
          <w:color w:val="000000"/>
        </w:rPr>
        <w:t>hough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there is </w:t>
      </w:r>
      <w:r w:rsidRPr="00CD1E38">
        <w:rPr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doubt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efficacy,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linked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>
        <w:rPr>
          <w:rFonts w:ascii="Book Antiqua" w:eastAsia="Book Antiqua" w:hAnsi="Book Antiqua" w:cs="Book Antiqua"/>
          <w:color w:val="000000"/>
        </w:rPr>
        <w:t xml:space="preserve">an </w:t>
      </w:r>
      <w:r w:rsidRPr="00CD1E38">
        <w:rPr>
          <w:rFonts w:ascii="Book Antiqua" w:eastAsia="Book Antiqua" w:hAnsi="Book Antiqua" w:cs="Book Antiqua"/>
          <w:color w:val="000000"/>
        </w:rPr>
        <w:t>increased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6760C3" w:rsidRPr="004F5973">
        <w:rPr>
          <w:rFonts w:ascii="Book Antiqua" w:eastAsia="Book Antiqua" w:hAnsi="Book Antiqua" w:cs="Book Antiqua"/>
          <w:color w:val="000000"/>
        </w:rPr>
        <w:t>M</w:t>
      </w:r>
      <w:r w:rsidR="006760C3" w:rsidRPr="00DD1B4E">
        <w:rPr>
          <w:rFonts w:ascii="Book Antiqua" w:hAnsi="Book Antiqua" w:cs="Segoe UI"/>
          <w:color w:val="444444"/>
          <w:shd w:val="clear" w:color="auto" w:fill="FFFFFF"/>
        </w:rPr>
        <w:t>ammalian target of rapamycin</w:t>
      </w:r>
      <w:proofErr w:type="gramStart"/>
      <w:r w:rsidR="006760C3" w:rsidRPr="00DD1B4E">
        <w:rPr>
          <w:rFonts w:ascii="Book Antiqua" w:hAnsi="Book Antiqua" w:cs="Segoe UI"/>
          <w:color w:val="444444"/>
          <w:shd w:val="clear" w:color="auto" w:fill="FFFFFF"/>
        </w:rPr>
        <w:t> </w:t>
      </w:r>
      <w:r w:rsidR="006760C3" w:rsidRPr="004F5973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proofErr w:type="gramEnd"/>
      <w:r w:rsidR="006760C3" w:rsidRPr="004F5973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6760C3" w:rsidRPr="004F5973">
        <w:rPr>
          <w:rFonts w:ascii="Book Antiqua" w:eastAsia="Book Antiqua" w:hAnsi="Book Antiqua" w:cs="Book Antiqua"/>
          <w:color w:val="000000"/>
        </w:rPr>
        <w:t>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beneficial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regarding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(refs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HPV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viral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verrucae).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convert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de-novo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4F5973">
        <w:rPr>
          <w:rFonts w:ascii="Book Antiqua" w:eastAsia="Book Antiqua" w:hAnsi="Book Antiqua" w:cs="Book Antiqua"/>
          <w:color w:val="000000"/>
        </w:rPr>
        <w:t xml:space="preserve"> inhibitors</w:t>
      </w:r>
      <w:r w:rsidRPr="00CD1E38">
        <w:rPr>
          <w:rFonts w:ascii="Book Antiqua" w:eastAsia="Book Antiqua" w:hAnsi="Book Antiqua" w:cs="Book Antiqua"/>
          <w:color w:val="000000"/>
        </w:rPr>
        <w:t>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together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4F5973">
        <w:rPr>
          <w:rFonts w:ascii="Book Antiqua" w:eastAsia="Book Antiqua" w:hAnsi="Book Antiqua" w:cs="Book Antiqua"/>
          <w:color w:val="000000"/>
        </w:rPr>
        <w:t xml:space="preserve"> inhibitor</w:t>
      </w:r>
      <w:r w:rsidRPr="00CD1E38">
        <w:rPr>
          <w:rFonts w:ascii="Book Antiqua" w:eastAsia="Book Antiqua" w:hAnsi="Book Antiqua" w:cs="Book Antiqua"/>
          <w:color w:val="000000"/>
        </w:rPr>
        <w:t>s?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  <w:r w:rsidRPr="00CD1E38">
        <w:rPr>
          <w:rFonts w:ascii="Book Antiqua" w:eastAsia="Book Antiqua" w:hAnsi="Book Antiqua" w:cs="Book Antiqua"/>
          <w:color w:val="000000"/>
        </w:rPr>
        <w:t>FK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binding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(FKBP)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binds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non-structural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protein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(</w:t>
      </w:r>
      <w:r w:rsidRPr="00CD1E38">
        <w:rPr>
          <w:rFonts w:ascii="Book Antiqua" w:eastAsia="Book Antiqua" w:hAnsi="Book Antiqua" w:cs="Book Antiqua"/>
          <w:color w:val="000000"/>
        </w:rPr>
        <w:t>NSP-1),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 xml:space="preserve">thus </w:t>
      </w:r>
      <w:r w:rsidRPr="00CD1E38">
        <w:rPr>
          <w:rFonts w:ascii="Book Antiqua" w:eastAsia="Book Antiqua" w:hAnsi="Book Antiqua" w:cs="Book Antiqua"/>
          <w:color w:val="000000"/>
        </w:rPr>
        <w:t>explaining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Tacrolimus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inhibition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human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culture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However,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no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data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Style w:val="element-citation"/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available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effectiveness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inhibiting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disease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progression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animal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model</w:t>
      </w:r>
      <w:r w:rsidR="004F5973">
        <w:rPr>
          <w:rStyle w:val="element-citation"/>
          <w:rFonts w:ascii="Book Antiqua" w:eastAsia="Book Antiqua" w:hAnsi="Book Antiqua" w:cs="Book Antiqua"/>
          <w:color w:val="000000"/>
        </w:rPr>
        <w:t>s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Style w:val="element-citation"/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Style w:val="element-citation"/>
          <w:rFonts w:ascii="Book Antiqua" w:eastAsia="Book Antiqua" w:hAnsi="Book Antiqua" w:cs="Book Antiqua"/>
          <w:color w:val="000000"/>
        </w:rPr>
        <w:t>humans.</w:t>
      </w:r>
    </w:p>
    <w:p w14:paraId="611B5BD5" w14:textId="154EC92B" w:rsidR="00A77B3E" w:rsidRPr="00CD1E38" w:rsidRDefault="00496E51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 xml:space="preserve">MTOR </w:t>
      </w:r>
      <w:r w:rsidR="00F13D0F" w:rsidRPr="00CD1E38">
        <w:rPr>
          <w:rFonts w:ascii="Book Antiqua" w:eastAsia="Book Antiqua" w:hAnsi="Book Antiqua" w:cs="Book Antiqua"/>
          <w:color w:val="000000"/>
        </w:rPr>
        <w:t>inhibitors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shown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inhibit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replication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F59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F13D0F" w:rsidRPr="00CD1E38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network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drug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repurposing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suggested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potential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c</w:t>
      </w:r>
      <w:r w:rsidR="00F13D0F" w:rsidRPr="00CD1E38">
        <w:rPr>
          <w:rFonts w:ascii="Book Antiqua" w:eastAsia="Book Antiqua" w:hAnsi="Book Antiqua" w:cs="Book Antiqua"/>
          <w:color w:val="000000"/>
        </w:rPr>
        <w:t>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infection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F13D0F"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13D0F"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Taken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together,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still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unclear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avoided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minimized,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immunological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risk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patients,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13D0F" w:rsidRPr="00CD1E38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inhibitors-based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 xml:space="preserve">along </w:t>
      </w:r>
      <w:r w:rsidR="00F13D0F"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low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dose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CNI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reasonable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possibility.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719ED544" w14:textId="179B733C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summary,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choosing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COVID-19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challenging.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induction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newly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maintenance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treatment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Literature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scarce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mostly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inconclusive.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probably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well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practiced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avoid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over-immunosuppression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much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minimize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should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probably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evaluated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symptoms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signs,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mild,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anti-metabolites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acceptable.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moderate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possible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CNIs,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continue,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increase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steroids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dose.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 </w:t>
      </w:r>
    </w:p>
    <w:p w14:paraId="75687834" w14:textId="580D1036" w:rsidR="00A77B3E" w:rsidRPr="00CD1E38" w:rsidRDefault="00F13D0F" w:rsidP="00CD1E3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Contrary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logic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decreasing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important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remember,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ambulatory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difficult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refrain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from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arriving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hospital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routine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tests,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outpatient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community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clinics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overloaded.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Downgrading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levels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immunosuppression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demand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follow-up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protocol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will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enable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detection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rejections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earliest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time.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43D84F50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5C67839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MEDICAL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STAFF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  <w:u w:val="single"/>
        </w:rPr>
        <w:t>SAFETY</w:t>
      </w:r>
    </w:p>
    <w:p w14:paraId="0A30BF75" w14:textId="7F21C992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novel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threatening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lives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professionals,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also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mental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T</w:t>
      </w:r>
      <w:r w:rsidRPr="00CD1E38">
        <w:rPr>
          <w:rFonts w:ascii="Book Antiqua" w:eastAsia="Book Antiqua" w:hAnsi="Book Antiqua" w:cs="Book Antiqua"/>
          <w:color w:val="000000"/>
        </w:rPr>
        <w:t>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outbreak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5A1094">
        <w:rPr>
          <w:rFonts w:ascii="Book Antiqua" w:eastAsia="Book Antiqua" w:hAnsi="Book Antiqua" w:cs="Book Antiqua"/>
          <w:color w:val="000000"/>
        </w:rPr>
        <w:t xml:space="preserve">has </w:t>
      </w:r>
      <w:r w:rsidR="004F5973">
        <w:rPr>
          <w:rFonts w:ascii="Book Antiqua" w:eastAsia="Book Antiqua" w:hAnsi="Book Antiqua" w:cs="Book Antiqua"/>
          <w:color w:val="000000"/>
        </w:rPr>
        <w:t>caused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enormous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many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particularly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coronavirus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mainly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explained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various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stressful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situations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overload,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isolation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relentless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fear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infecting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patients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family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shortage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equipment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cases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72DF9" w:rsidRPr="00CD1E38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CD1E3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D1E38">
        <w:rPr>
          <w:rFonts w:ascii="Book Antiqua" w:eastAsia="Book Antiqua" w:hAnsi="Book Antiqua" w:cs="Book Antiqua"/>
          <w:color w:val="000000"/>
        </w:rPr>
        <w:t>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addition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team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primarily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exposed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anxiety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stressful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and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makes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even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severe.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Moreover,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reported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number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medical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had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committed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suicide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during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pandemic.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facts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have </w:t>
      </w:r>
      <w:r w:rsidRPr="00CD1E38">
        <w:rPr>
          <w:rFonts w:ascii="Book Antiqua" w:eastAsia="Book Antiqua" w:hAnsi="Book Antiqua" w:cs="Book Antiqua"/>
          <w:color w:val="000000"/>
        </w:rPr>
        <w:t>caused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serious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>burden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systems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worldwide.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</w:p>
    <w:p w14:paraId="0B2D9F6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704A1414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64F12A4A" w14:textId="63C949DA" w:rsidR="00A77B3E" w:rsidRPr="00CD1E38" w:rsidRDefault="004F5973" w:rsidP="00CD1E3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F13D0F" w:rsidRPr="00CD1E38">
        <w:rPr>
          <w:rFonts w:ascii="Book Antiqua" w:eastAsia="Book Antiqua" w:hAnsi="Book Antiqua" w:cs="Book Antiqua"/>
          <w:color w:val="000000"/>
        </w:rPr>
        <w:t>easurements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 been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adopted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some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governments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including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creating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telephone </w:t>
      </w:r>
      <w:r w:rsidR="00F13D0F" w:rsidRPr="00CD1E38">
        <w:rPr>
          <w:rFonts w:ascii="Book Antiqua" w:eastAsia="Book Antiqua" w:hAnsi="Book Antiqua" w:cs="Book Antiqua"/>
          <w:color w:val="000000"/>
        </w:rPr>
        <w:t>line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psychiatric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consultations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mental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health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support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fight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depression,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suicidal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attempts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other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psychiatric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F13D0F" w:rsidRPr="00CD1E38">
        <w:rPr>
          <w:rFonts w:ascii="Book Antiqua" w:eastAsia="Book Antiqua" w:hAnsi="Book Antiqua" w:cs="Book Antiqua"/>
          <w:color w:val="000000"/>
        </w:rPr>
        <w:t>issues.</w:t>
      </w:r>
    </w:p>
    <w:p w14:paraId="12F04FC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  <w:bookmarkStart w:id="13" w:name="_GoBack"/>
      <w:bookmarkEnd w:id="13"/>
    </w:p>
    <w:p w14:paraId="283202B4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19E72B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 </w:t>
      </w:r>
      <w:r w:rsidRPr="00CD1E38">
        <w:rPr>
          <w:rFonts w:ascii="Book Antiqua" w:eastAsia="等线" w:hAnsi="Book Antiqua"/>
          <w:b/>
          <w:kern w:val="2"/>
          <w:lang w:eastAsia="zh-CN"/>
        </w:rPr>
        <w:t>Magee CC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Pascual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M. Update in renal transplantation.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Arch Intern Med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2004; </w:t>
      </w:r>
      <w:r w:rsidRPr="00CD1E38">
        <w:rPr>
          <w:rFonts w:ascii="Book Antiqua" w:eastAsia="等线" w:hAnsi="Book Antiqua"/>
          <w:b/>
          <w:kern w:val="2"/>
          <w:lang w:eastAsia="zh-CN"/>
        </w:rPr>
        <w:t>164</w:t>
      </w:r>
      <w:r w:rsidRPr="00CD1E38">
        <w:rPr>
          <w:rFonts w:ascii="Book Antiqua" w:eastAsia="等线" w:hAnsi="Book Antiqua"/>
          <w:kern w:val="2"/>
          <w:lang w:eastAsia="zh-CN"/>
        </w:rPr>
        <w:t>: 1373-1388 [PMID: 15249346 DOI: 10.1001/archinte.164.13.1373]</w:t>
      </w:r>
    </w:p>
    <w:p w14:paraId="56A34FE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2 </w:t>
      </w:r>
      <w:proofErr w:type="spellStart"/>
      <w:r w:rsidRPr="00CD1E38">
        <w:rPr>
          <w:rFonts w:ascii="Book Antiqua" w:eastAsia="等线" w:hAnsi="Book Antiqua"/>
          <w:b/>
          <w:kern w:val="2"/>
          <w:highlight w:val="yellow"/>
          <w:lang w:eastAsia="zh-CN"/>
        </w:rPr>
        <w:t>ProMED</w:t>
      </w:r>
      <w:proofErr w:type="spellEnd"/>
      <w:r w:rsidRPr="00CD1E38">
        <w:rPr>
          <w:rFonts w:ascii="Book Antiqua" w:eastAsia="等线" w:hAnsi="Book Antiqua"/>
          <w:bCs/>
          <w:kern w:val="2"/>
          <w:highlight w:val="yellow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b/>
          <w:kern w:val="2"/>
          <w:highlight w:val="yellow"/>
          <w:lang w:eastAsia="zh-CN"/>
        </w:rPr>
        <w:t xml:space="preserve"> </w:t>
      </w:r>
      <w:r w:rsidRPr="00CD1E38">
        <w:rPr>
          <w:rFonts w:ascii="Book Antiqua" w:eastAsia="等线" w:hAnsi="Book Antiqua"/>
          <w:bCs/>
          <w:kern w:val="2"/>
          <w:highlight w:val="yellow"/>
          <w:lang w:eastAsia="zh-CN"/>
        </w:rPr>
        <w:t>Undiagnosed pneumonia - China (Hubei): Request for information.</w:t>
      </w:r>
      <w:r w:rsidRPr="00CD1E38">
        <w:rPr>
          <w:rFonts w:ascii="Book Antiqua" w:eastAsia="等线" w:hAnsi="Book Antiqua"/>
          <w:b/>
          <w:kern w:val="2"/>
          <w:highlight w:val="yellow"/>
          <w:lang w:eastAsia="zh-CN"/>
        </w:rPr>
        <w:t xml:space="preserve"> </w:t>
      </w:r>
      <w:r w:rsidRPr="00CD1E38">
        <w:rPr>
          <w:rFonts w:ascii="Book Antiqua" w:eastAsia="等线" w:hAnsi="Book Antiqua"/>
          <w:bCs/>
          <w:kern w:val="2"/>
          <w:highlight w:val="yellow"/>
          <w:lang w:eastAsia="zh-CN"/>
        </w:rPr>
        <w:t>December 30,</w:t>
      </w:r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 2020. Available from: </w:t>
      </w:r>
      <w:bookmarkStart w:id="14" w:name="OLE_LINK1724"/>
      <w:bookmarkStart w:id="15" w:name="OLE_LINK1725"/>
      <w:r w:rsidR="000B163C">
        <w:rPr>
          <w:rFonts w:ascii="Book Antiqua" w:eastAsia="等线" w:hAnsi="Book Antiqua"/>
          <w:kern w:val="2"/>
          <w:highlight w:val="yellow"/>
          <w:lang w:eastAsia="zh-CN"/>
        </w:rPr>
        <w:fldChar w:fldCharType="begin"/>
      </w:r>
      <w:r w:rsidR="000B163C">
        <w:rPr>
          <w:rFonts w:ascii="Book Antiqua" w:eastAsia="等线" w:hAnsi="Book Antiqua"/>
          <w:kern w:val="2"/>
          <w:highlight w:val="yellow"/>
          <w:lang w:eastAsia="zh-CN"/>
        </w:rPr>
        <w:instrText xml:space="preserve"> HYPERLINK "</w:instrText>
      </w:r>
      <w:r w:rsidR="000B163C" w:rsidRPr="00CD1E38">
        <w:rPr>
          <w:rFonts w:ascii="Book Antiqua" w:eastAsia="等线" w:hAnsi="Book Antiqua"/>
          <w:kern w:val="2"/>
          <w:highlight w:val="yellow"/>
          <w:lang w:eastAsia="zh-CN"/>
        </w:rPr>
        <w:instrText>https://promedmail.org/promed-post/?id=20191230.6864153</w:instrText>
      </w:r>
      <w:r w:rsidR="000B163C">
        <w:rPr>
          <w:rFonts w:ascii="Book Antiqua" w:eastAsia="等线" w:hAnsi="Book Antiqua"/>
          <w:kern w:val="2"/>
          <w:highlight w:val="yellow"/>
          <w:lang w:eastAsia="zh-CN"/>
        </w:rPr>
        <w:instrText xml:space="preserve">" </w:instrText>
      </w:r>
      <w:r w:rsidR="000B163C">
        <w:rPr>
          <w:rFonts w:ascii="Book Antiqua" w:eastAsia="等线" w:hAnsi="Book Antiqua"/>
          <w:kern w:val="2"/>
          <w:highlight w:val="yellow"/>
          <w:lang w:eastAsia="zh-CN"/>
        </w:rPr>
        <w:fldChar w:fldCharType="separate"/>
      </w:r>
      <w:r w:rsidR="000B163C" w:rsidRPr="00635387">
        <w:rPr>
          <w:rStyle w:val="a6"/>
          <w:rFonts w:ascii="Book Antiqua" w:eastAsia="等线" w:hAnsi="Book Antiqua"/>
          <w:kern w:val="2"/>
          <w:highlight w:val="yellow"/>
          <w:lang w:eastAsia="zh-CN"/>
        </w:rPr>
        <w:t>https://</w:t>
      </w:r>
      <w:bookmarkEnd w:id="14"/>
      <w:bookmarkEnd w:id="15"/>
      <w:r w:rsidR="000B163C" w:rsidRPr="00635387">
        <w:rPr>
          <w:rStyle w:val="a6"/>
          <w:rFonts w:ascii="Book Antiqua" w:eastAsia="等线" w:hAnsi="Book Antiqua"/>
          <w:kern w:val="2"/>
          <w:highlight w:val="yellow"/>
          <w:lang w:eastAsia="zh-CN"/>
        </w:rPr>
        <w:t>promedmail.org/promed-post/?id=20191230.6864153</w:t>
      </w:r>
      <w:r w:rsidR="000B163C">
        <w:rPr>
          <w:rFonts w:ascii="Book Antiqua" w:eastAsia="等线" w:hAnsi="Book Antiqua"/>
          <w:kern w:val="2"/>
          <w:highlight w:val="yellow"/>
          <w:lang w:eastAsia="zh-CN"/>
        </w:rPr>
        <w:fldChar w:fldCharType="end"/>
      </w:r>
      <w:r w:rsidR="000B163C">
        <w:rPr>
          <w:rFonts w:ascii="Book Antiqua" w:eastAsia="等线" w:hAnsi="Book Antiqua"/>
          <w:kern w:val="2"/>
          <w:lang w:eastAsia="zh-CN"/>
        </w:rPr>
        <w:t xml:space="preserve"> </w:t>
      </w:r>
    </w:p>
    <w:p w14:paraId="523C91E7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Guo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YR</w:t>
      </w:r>
      <w:r w:rsidRPr="00CD1E38">
        <w:rPr>
          <w:rFonts w:ascii="Book Antiqua" w:eastAsia="等线" w:hAnsi="Book Antiqua"/>
          <w:kern w:val="2"/>
          <w:lang w:eastAsia="zh-CN"/>
        </w:rPr>
        <w:t xml:space="preserve">, Cao QD, Hong ZS, Tan YY, Chen SD,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Jin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HJ, Tan KS, Wang DY, Yan Y.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The origin, transmission and clinical therapies on coronavirus disease 2019 (COVID-19) outbreak - an update on the status.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Mil Med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7</w:t>
      </w:r>
      <w:r w:rsidRPr="00CD1E38">
        <w:rPr>
          <w:rFonts w:ascii="Book Antiqua" w:eastAsia="等线" w:hAnsi="Book Antiqua"/>
          <w:kern w:val="2"/>
          <w:lang w:eastAsia="zh-CN"/>
        </w:rPr>
        <w:t>: 11 [PMID: 32169119 DOI: 10.1186/s40779-020-00240-0]</w:t>
      </w:r>
    </w:p>
    <w:p w14:paraId="78B62DF8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4 </w:t>
      </w:r>
      <w:r w:rsidRPr="00CD1E38">
        <w:rPr>
          <w:rFonts w:ascii="Book Antiqua" w:eastAsia="等线" w:hAnsi="Book Antiqua"/>
          <w:b/>
          <w:kern w:val="2"/>
          <w:lang w:eastAsia="zh-CN"/>
        </w:rPr>
        <w:t>Yi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Lagniton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PNP, Ye S, Li E, Xu RH. COVID-19: what has been learned and to be learned about the novel coronavirus disease.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Int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Biol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Sci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16</w:t>
      </w:r>
      <w:r w:rsidRPr="00CD1E38">
        <w:rPr>
          <w:rFonts w:ascii="Book Antiqua" w:eastAsia="等线" w:hAnsi="Book Antiqua"/>
          <w:kern w:val="2"/>
          <w:lang w:eastAsia="zh-CN"/>
        </w:rPr>
        <w:t xml:space="preserve">: 1753-1766 [PMID: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32226295 DOI: 10.7150/ijbs.45134]</w:t>
      </w:r>
    </w:p>
    <w:p w14:paraId="000E883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5 </w:t>
      </w:r>
      <w:r w:rsidRPr="00CD1E38">
        <w:rPr>
          <w:rFonts w:ascii="Book Antiqua" w:eastAsia="等线" w:hAnsi="Book Antiqua"/>
          <w:b/>
          <w:bCs/>
          <w:kern w:val="2"/>
          <w:highlight w:val="yellow"/>
          <w:lang w:eastAsia="zh-CN"/>
        </w:rPr>
        <w:t xml:space="preserve">World Health </w:t>
      </w:r>
      <w:proofErr w:type="gramStart"/>
      <w:r w:rsidRPr="00CD1E38">
        <w:rPr>
          <w:rFonts w:ascii="Book Antiqua" w:eastAsia="等线" w:hAnsi="Book Antiqua"/>
          <w:b/>
          <w:bCs/>
          <w:kern w:val="2"/>
          <w:highlight w:val="yellow"/>
          <w:lang w:eastAsia="zh-CN"/>
        </w:rPr>
        <w:t>Organization</w:t>
      </w:r>
      <w:proofErr w:type="gramEnd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. </w:t>
      </w:r>
      <w:proofErr w:type="gramStart"/>
      <w:r w:rsidRPr="00CD1E38">
        <w:rPr>
          <w:rFonts w:ascii="Book Antiqua" w:eastAsia="等线" w:hAnsi="Book Antiqua"/>
          <w:kern w:val="2"/>
          <w:highlight w:val="yellow"/>
          <w:lang w:eastAsia="zh-CN"/>
        </w:rPr>
        <w:t>Coronavirus disease (COVID-2019) situation report.</w:t>
      </w:r>
      <w:proofErr w:type="gramEnd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 Available from: https://www.who.int/emergencies/diseases/novel-coronavirus-2019</w:t>
      </w:r>
    </w:p>
    <w:p w14:paraId="488D83D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6 </w:t>
      </w:r>
      <w:proofErr w:type="spellStart"/>
      <w:r w:rsidRPr="00CD1E38">
        <w:rPr>
          <w:rFonts w:ascii="Book Antiqua" w:eastAsia="等线" w:hAnsi="Book Antiqua"/>
          <w:b/>
          <w:bCs/>
          <w:kern w:val="2"/>
          <w:highlight w:val="yellow"/>
          <w:lang w:eastAsia="zh-CN"/>
        </w:rPr>
        <w:t>Worldometer</w:t>
      </w:r>
      <w:proofErr w:type="spellEnd"/>
      <w:r w:rsidRPr="00CD1E38">
        <w:rPr>
          <w:rFonts w:ascii="Book Antiqua" w:eastAsia="等线" w:hAnsi="Book Antiqua"/>
          <w:kern w:val="2"/>
          <w:highlight w:val="yellow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 Israel Coronavirus: 6808 Cases and 34 Deaths. Available from: https://www.worldometers.info</w:t>
      </w:r>
    </w:p>
    <w:p w14:paraId="7806EC3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7 </w:t>
      </w:r>
      <w:r w:rsidRPr="00CD1E38">
        <w:rPr>
          <w:rFonts w:ascii="Book Antiqua" w:eastAsia="等线" w:hAnsi="Book Antiqua"/>
          <w:b/>
          <w:kern w:val="2"/>
          <w:lang w:eastAsia="zh-CN"/>
        </w:rPr>
        <w:t>CDC COVID-19 Response Team</w:t>
      </w:r>
      <w:r w:rsidRPr="00CD1E38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Severe Outcomes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Among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Patients with Coronavirus Disease 2019 (COVID-19) - United States, February 12-March 16, 2020.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MMWR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Morb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Mortal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Wkly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Rep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69</w:t>
      </w:r>
      <w:r w:rsidRPr="00CD1E38">
        <w:rPr>
          <w:rFonts w:ascii="Book Antiqua" w:eastAsia="等线" w:hAnsi="Book Antiqua"/>
          <w:kern w:val="2"/>
          <w:lang w:eastAsia="zh-CN"/>
        </w:rPr>
        <w:t>: 343-346 [PMID: 32214079 DOI: 10.15585/mmwr.mm6912e2]</w:t>
      </w:r>
    </w:p>
    <w:p w14:paraId="3CA050F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8 </w:t>
      </w:r>
      <w:r w:rsidRPr="00CD1E38">
        <w:rPr>
          <w:rFonts w:ascii="Book Antiqua" w:eastAsia="等线" w:hAnsi="Book Antiqua"/>
          <w:b/>
          <w:kern w:val="2"/>
          <w:lang w:eastAsia="zh-CN"/>
        </w:rPr>
        <w:t>Hui DS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Azhar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EI, Kim YJ,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Memish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ZA, Oh MD,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Zumla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A. Middle East respiratory syndrome coronavirus: risk factors and determinants of primary, household, and nosocomial transmission.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2018; </w:t>
      </w:r>
      <w:r w:rsidRPr="00CD1E38">
        <w:rPr>
          <w:rFonts w:ascii="Book Antiqua" w:eastAsia="等线" w:hAnsi="Book Antiqua"/>
          <w:b/>
          <w:kern w:val="2"/>
          <w:lang w:eastAsia="zh-CN"/>
        </w:rPr>
        <w:t>18</w:t>
      </w:r>
      <w:r w:rsidRPr="00CD1E38">
        <w:rPr>
          <w:rFonts w:ascii="Book Antiqua" w:eastAsia="等线" w:hAnsi="Book Antiqua"/>
          <w:kern w:val="2"/>
          <w:lang w:eastAsia="zh-CN"/>
        </w:rPr>
        <w:t>: e217-e227 [PMID: 29680581 DOI: 10.1016/S1473-3099(18)30127-0]</w:t>
      </w:r>
    </w:p>
    <w:p w14:paraId="6D5012D6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D'Antiga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L</w:t>
      </w:r>
      <w:r w:rsidRPr="00CD1E38">
        <w:rPr>
          <w:rFonts w:ascii="Book Antiqua" w:eastAsia="等线" w:hAnsi="Book Antiqua"/>
          <w:kern w:val="2"/>
          <w:lang w:eastAsia="zh-CN"/>
        </w:rPr>
        <w:t xml:space="preserve">. Coronaviruses and Immunosuppressed Patients: The Facts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During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the Third Epidemic.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Liver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Transpl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26</w:t>
      </w:r>
      <w:r w:rsidRPr="00CD1E38">
        <w:rPr>
          <w:rFonts w:ascii="Book Antiqua" w:eastAsia="等线" w:hAnsi="Book Antiqua"/>
          <w:kern w:val="2"/>
          <w:lang w:eastAsia="zh-CN"/>
        </w:rPr>
        <w:t>: 832-834 [PMID: 32196933 DOI: 10.1002/lt.25756]</w:t>
      </w:r>
    </w:p>
    <w:p w14:paraId="33EF9188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10 </w:t>
      </w:r>
      <w:r w:rsidRPr="00CD1E38">
        <w:rPr>
          <w:rFonts w:ascii="Book Antiqua" w:eastAsia="等线" w:hAnsi="Book Antiqua"/>
          <w:b/>
          <w:kern w:val="2"/>
          <w:lang w:eastAsia="zh-CN"/>
        </w:rPr>
        <w:t>Huang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Lin H, Wu Y, Fang Y, Kumar R, Chen G, Lin S. COVID-19 in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posttransplant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patients-report of 2 cases. </w:t>
      </w:r>
      <w:r w:rsidRPr="00CD1E38">
        <w:rPr>
          <w:rFonts w:ascii="Book Antiqua" w:eastAsia="等线" w:hAnsi="Book Antiqua"/>
          <w:i/>
          <w:kern w:val="2"/>
          <w:lang w:eastAsia="zh-CN"/>
        </w:rPr>
        <w:t>Am J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20</w:t>
      </w:r>
      <w:r w:rsidRPr="00CD1E38">
        <w:rPr>
          <w:rFonts w:ascii="Book Antiqua" w:eastAsia="等线" w:hAnsi="Book Antiqua"/>
          <w:kern w:val="2"/>
          <w:lang w:eastAsia="zh-CN"/>
        </w:rPr>
        <w:t>: 1879-1881 [PMID: 32243697 DOI: 10.1111/ajt.15896]</w:t>
      </w:r>
    </w:p>
    <w:p w14:paraId="08AED691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11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Gandolfini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I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Delsante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Fiaccadori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E, Zaza G,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Manenti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Degli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Antoni A, Peruzzi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Riella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Cravedi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P, Maggiore U. COVID-19 in kidney transplant recipients. </w:t>
      </w:r>
      <w:r w:rsidRPr="00CD1E38">
        <w:rPr>
          <w:rFonts w:ascii="Book Antiqua" w:eastAsia="等线" w:hAnsi="Book Antiqua"/>
          <w:i/>
          <w:kern w:val="2"/>
          <w:lang w:eastAsia="zh-CN"/>
        </w:rPr>
        <w:t>Am J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20</w:t>
      </w:r>
      <w:r w:rsidRPr="00CD1E38">
        <w:rPr>
          <w:rFonts w:ascii="Book Antiqua" w:eastAsia="等线" w:hAnsi="Book Antiqua"/>
          <w:kern w:val="2"/>
          <w:lang w:eastAsia="zh-CN"/>
        </w:rPr>
        <w:t>: 1941-1943 [PMID: 32233067 DOI: 10.1111/ajt.15891]</w:t>
      </w:r>
    </w:p>
    <w:p w14:paraId="366A291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12 </w:t>
      </w:r>
      <w:r w:rsidRPr="00CD1E38">
        <w:rPr>
          <w:rFonts w:ascii="Book Antiqua" w:eastAsia="等线" w:hAnsi="Book Antiqua"/>
          <w:b/>
          <w:kern w:val="2"/>
          <w:lang w:eastAsia="zh-CN"/>
        </w:rPr>
        <w:t>Huang 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Wang Y, Li X, Ren L, Zhao J, Hu Y, Zhang L, Fan G, Xu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X, Cheng Z, Yu T, Xia J, Wei Y, Wu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X, Yin W, Li H, Liu M, Xiao Y, Gao H,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Guo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Wang G, Jiang R, Gao Z,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Jin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Q, Wang J, Cao B. Clinical features of patients infected with 2019 novel coronavirus in Wuhan,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395</w:t>
      </w:r>
      <w:r w:rsidRPr="00CD1E38">
        <w:rPr>
          <w:rFonts w:ascii="Book Antiqua" w:eastAsia="等线" w:hAnsi="Book Antiqua"/>
          <w:kern w:val="2"/>
          <w:lang w:eastAsia="zh-CN"/>
        </w:rPr>
        <w:t>: 497-506 [PMID: 31986264 DOI: 10.1016/S0140-6736(20)30183-5]</w:t>
      </w:r>
    </w:p>
    <w:p w14:paraId="21B6CB25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13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Dhama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K</w:t>
      </w:r>
      <w:r w:rsidRPr="00CD1E38">
        <w:rPr>
          <w:rFonts w:ascii="Book Antiqua" w:eastAsia="等线" w:hAnsi="Book Antiqua"/>
          <w:kern w:val="2"/>
          <w:lang w:eastAsia="zh-CN"/>
        </w:rPr>
        <w:t xml:space="preserve">, Patel SK, Pathak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Yatoo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MI, Tiwari R, Malik YS, Singh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Sah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Rabaan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AA, Bonilla-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Aldana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DK, Rodriguez-Morales AJ.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An update on SARS-CoV-2/COVID-19 with particular reference to its clinical pathology, pathogenesis, immunopathology and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mitigation strategies.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Travel Med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</w:t>
      </w:r>
      <w:r w:rsidR="00D37FE6">
        <w:t xml:space="preserve"> </w:t>
      </w:r>
      <w:r w:rsidR="00D37FE6" w:rsidRPr="00D37FE6">
        <w:rPr>
          <w:rFonts w:ascii="Book Antiqua" w:eastAsia="等线" w:hAnsi="Book Antiqua"/>
          <w:kern w:val="2"/>
          <w:lang w:eastAsia="zh-CN"/>
        </w:rPr>
        <w:t xml:space="preserve">Online ahead of print </w:t>
      </w:r>
      <w:r w:rsidRPr="00CD1E38">
        <w:rPr>
          <w:rFonts w:ascii="Book Antiqua" w:eastAsia="等线" w:hAnsi="Book Antiqua"/>
          <w:kern w:val="2"/>
          <w:lang w:eastAsia="zh-CN"/>
        </w:rPr>
        <w:t>[PMID: 32479816 DOI: 10.1016/j.tmaid.2020.101755]</w:t>
      </w:r>
    </w:p>
    <w:p w14:paraId="7C9C0CF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14 </w:t>
      </w:r>
      <w:r w:rsidRPr="00CD1E38">
        <w:rPr>
          <w:rFonts w:ascii="Book Antiqua" w:eastAsia="等线" w:hAnsi="Book Antiqua"/>
          <w:b/>
          <w:kern w:val="2"/>
          <w:lang w:eastAsia="zh-CN"/>
        </w:rPr>
        <w:t>Guan WJ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Liang WH, Zhao Y, Liang HR, Chen ZS, Li YM, Liu XQ, Chen RC, Tang CL, Wang T,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CQ, Li L, Chen PY, Sang L, Wang W, Li JF, Li CC,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LM, Cheng 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S, Ni ZY, Xiang J, Hu Y, Liu L, Shan H, Lei CL, Peng YX, Wei L, Liu Y, Hu YH, Peng P, Wang JM, Liu JY, Chen Z, Li G, Zheng ZJ,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Qiu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SQ, Luo J, Ye CJ, Zhu SY, Cheng LL, Ye F, Li SY, Zheng JP, Zhang NF,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Zhong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NS, He JX; China Medical Treatment Expert Group for COVID-19. Comorbidity and its impact on 1590 patients with COVID-19 in China: a nationwide analysis.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Eur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Respir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55</w:t>
      </w:r>
      <w:r w:rsidRPr="00CD1E38">
        <w:rPr>
          <w:rFonts w:ascii="Book Antiqua" w:eastAsia="等线" w:hAnsi="Book Antiqua"/>
          <w:kern w:val="2"/>
          <w:lang w:eastAsia="zh-CN"/>
        </w:rPr>
        <w:t>: 2000547 [PMID: 32217650 DOI: 10.1183/13993003.00547-2020]</w:t>
      </w:r>
    </w:p>
    <w:p w14:paraId="09AAB80D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15 </w:t>
      </w:r>
      <w:r w:rsidRPr="00CD1E38">
        <w:rPr>
          <w:rFonts w:ascii="Book Antiqua" w:eastAsia="等线" w:hAnsi="Book Antiqua"/>
          <w:b/>
          <w:kern w:val="2"/>
          <w:lang w:eastAsia="zh-CN"/>
        </w:rPr>
        <w:t>Reese PP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Boudville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N, Garg AX. Living kidney donation: outcomes, ethics, and uncertainty. </w:t>
      </w:r>
      <w:r w:rsidRPr="00CD1E38">
        <w:rPr>
          <w:rFonts w:ascii="Book Antiqua" w:eastAsia="等线" w:hAnsi="Book Antiqua"/>
          <w:i/>
          <w:kern w:val="2"/>
          <w:lang w:eastAsia="zh-CN"/>
        </w:rPr>
        <w:t>Lancet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385</w:t>
      </w:r>
      <w:r w:rsidRPr="00CD1E38">
        <w:rPr>
          <w:rFonts w:ascii="Book Antiqua" w:eastAsia="等线" w:hAnsi="Book Antiqua"/>
          <w:kern w:val="2"/>
          <w:lang w:eastAsia="zh-CN"/>
        </w:rPr>
        <w:t>: 2003-2013 [PMID: 26090646 DOI: 10.1016/S0140-6736(14)62484-3]</w:t>
      </w:r>
    </w:p>
    <w:p w14:paraId="75638D7B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16 </w:t>
      </w:r>
      <w:r w:rsidRPr="00CD1E38">
        <w:rPr>
          <w:rFonts w:ascii="Book Antiqua" w:eastAsia="等线" w:hAnsi="Book Antiqua"/>
          <w:b/>
          <w:bCs/>
          <w:kern w:val="2"/>
          <w:highlight w:val="yellow"/>
          <w:lang w:eastAsia="zh-CN"/>
        </w:rPr>
        <w:t>Organ Transplants from Live Donors</w:t>
      </w:r>
      <w:r w:rsidRPr="00CD1E38">
        <w:rPr>
          <w:rFonts w:ascii="Book Antiqua" w:eastAsia="等线" w:hAnsi="Book Antiqua"/>
          <w:kern w:val="2"/>
          <w:highlight w:val="yellow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highlight w:val="yellow"/>
          <w:lang w:eastAsia="zh-CN"/>
        </w:rPr>
        <w:t xml:space="preserve"> Available from: https://www.health.gov.il/English/Topics/organ_transplant/live_donors/Pages/default.aspx</w:t>
      </w:r>
    </w:p>
    <w:p w14:paraId="0737A1D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17 </w:t>
      </w:r>
      <w:r w:rsidRPr="00CD1E38">
        <w:rPr>
          <w:rFonts w:ascii="Book Antiqua" w:eastAsia="等线" w:hAnsi="Book Antiqua"/>
          <w:b/>
          <w:kern w:val="2"/>
          <w:lang w:eastAsia="zh-CN"/>
        </w:rPr>
        <w:t>Chang SC</w:t>
      </w:r>
      <w:r w:rsidRPr="00CD1E38">
        <w:rPr>
          <w:rFonts w:ascii="Book Antiqua" w:eastAsia="等线" w:hAnsi="Book Antiqua"/>
          <w:kern w:val="2"/>
          <w:lang w:eastAsia="zh-CN"/>
        </w:rPr>
        <w:t>. Clinical findings, treatment and prognosis in patients with severe acute respiratory syndrome (SARS).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Chin Med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Assoc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2005; </w:t>
      </w:r>
      <w:r w:rsidRPr="00CD1E38">
        <w:rPr>
          <w:rFonts w:ascii="Book Antiqua" w:eastAsia="等线" w:hAnsi="Book Antiqua"/>
          <w:b/>
          <w:kern w:val="2"/>
          <w:lang w:eastAsia="zh-CN"/>
        </w:rPr>
        <w:t>68</w:t>
      </w:r>
      <w:r w:rsidRPr="00CD1E38">
        <w:rPr>
          <w:rFonts w:ascii="Book Antiqua" w:eastAsia="等线" w:hAnsi="Book Antiqua"/>
          <w:kern w:val="2"/>
          <w:lang w:eastAsia="zh-CN"/>
        </w:rPr>
        <w:t>: 106-107 [PMID: 15813242 DOI: 10.1016/s1726-4901(09)70229-1]</w:t>
      </w:r>
    </w:p>
    <w:p w14:paraId="7C47ABC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18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Basile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Combe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Pizzarelli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Covic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Davenport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Kanbay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Kirmizis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Schneditz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van der Sande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Mitra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S. Recommendations for the prevention, mitigation and containment of the emerging SARS-CoV-2 (COVID-19) pandemic in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haemodialysis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centres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Nephrol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Dial Transplant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35</w:t>
      </w:r>
      <w:r w:rsidRPr="00CD1E38">
        <w:rPr>
          <w:rFonts w:ascii="Book Antiqua" w:eastAsia="等线" w:hAnsi="Book Antiqua"/>
          <w:kern w:val="2"/>
          <w:lang w:eastAsia="zh-CN"/>
        </w:rPr>
        <w:t>: 737-741 [PMID: 32196116 DOI: 10.1093/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ndt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/gfaa069]</w:t>
      </w:r>
    </w:p>
    <w:p w14:paraId="649533B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19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Cherikh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WS</w:t>
      </w:r>
      <w:r w:rsidRPr="00CD1E38">
        <w:rPr>
          <w:rFonts w:ascii="Book Antiqua" w:eastAsia="等线" w:hAnsi="Book Antiqua"/>
          <w:kern w:val="2"/>
          <w:lang w:eastAsia="zh-CN"/>
        </w:rPr>
        <w:t xml:space="preserve">, Kauffman HM, McBride MA,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Maghirang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Swinnen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Hanto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DW.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Association of the type of induction immunosuppression with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posttransplant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lymphoproliferative disorder, graft survival, and patient survival after primary kidney transplantation.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Transplantation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76</w:t>
      </w:r>
      <w:r w:rsidRPr="00CD1E38">
        <w:rPr>
          <w:rFonts w:ascii="Book Antiqua" w:eastAsia="等线" w:hAnsi="Book Antiqua"/>
          <w:kern w:val="2"/>
          <w:lang w:eastAsia="zh-CN"/>
        </w:rPr>
        <w:t>: 1289-1293 [PMID: 14627905 DOI: 10.1097/01.TP.0000100826.58738.2B]</w:t>
      </w:r>
    </w:p>
    <w:p w14:paraId="4AED4E8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lastRenderedPageBreak/>
        <w:t xml:space="preserve">20 </w:t>
      </w:r>
      <w:r w:rsidRPr="00CD1E38">
        <w:rPr>
          <w:rFonts w:ascii="Book Antiqua" w:eastAsia="等线" w:hAnsi="Book Antiqua"/>
          <w:b/>
          <w:kern w:val="2"/>
          <w:lang w:eastAsia="zh-CN"/>
        </w:rPr>
        <w:t>Haller MC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Royuela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Nagler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EV,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Pascual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Webster AC. Steroid avoidance or withdrawal for kidney transplant recipients.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Cochrane Database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Syst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Rev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2016; </w:t>
      </w:r>
      <w:r w:rsidR="000B163C" w:rsidRPr="000B163C">
        <w:rPr>
          <w:rFonts w:ascii="Book Antiqua" w:eastAsia="等线" w:hAnsi="Book Antiqua"/>
          <w:b/>
          <w:kern w:val="2"/>
          <w:lang w:eastAsia="zh-CN"/>
        </w:rPr>
        <w:t>(8)</w:t>
      </w:r>
      <w:r w:rsidRPr="00CD1E38">
        <w:rPr>
          <w:rFonts w:ascii="Book Antiqua" w:eastAsia="等线" w:hAnsi="Book Antiqua"/>
          <w:kern w:val="2"/>
          <w:lang w:eastAsia="zh-CN"/>
        </w:rPr>
        <w:t>: CD005632 [PMID: 27546100 DOI: 10.1002/14651858.CD005632.pub3]</w:t>
      </w:r>
    </w:p>
    <w:p w14:paraId="0CEAEF4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21 </w:t>
      </w:r>
      <w:r w:rsidRPr="00CD1E38">
        <w:rPr>
          <w:rFonts w:ascii="Book Antiqua" w:eastAsia="等线" w:hAnsi="Book Antiqua"/>
          <w:b/>
          <w:kern w:val="2"/>
          <w:lang w:eastAsia="zh-CN"/>
        </w:rPr>
        <w:t>Zhao Z</w:t>
      </w:r>
      <w:r w:rsidRPr="00CD1E38">
        <w:rPr>
          <w:rFonts w:ascii="Book Antiqua" w:eastAsia="等线" w:hAnsi="Book Antiqua"/>
          <w:kern w:val="2"/>
          <w:lang w:eastAsia="zh-CN"/>
        </w:rPr>
        <w:t xml:space="preserve">, Zhang F, Xu M, Huang K,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Zhong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W, Yin Z, Huang S, Deng Z, Wei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Xiong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Hawkey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PM. Description and clinical treatment of an early outbreak of severe acute respiratory syndrome (SARS) in Guangzhou, PR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Med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Microbiol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52</w:t>
      </w:r>
      <w:r w:rsidRPr="00CD1E38">
        <w:rPr>
          <w:rFonts w:ascii="Book Antiqua" w:eastAsia="等线" w:hAnsi="Book Antiqua"/>
          <w:kern w:val="2"/>
          <w:lang w:eastAsia="zh-CN"/>
        </w:rPr>
        <w:t>: 715-720 [PMID: 12867568 DOI: 10.1099/jmm.0.05320-0]</w:t>
      </w:r>
    </w:p>
    <w:p w14:paraId="2BEA6D42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22 </w:t>
      </w:r>
      <w:r w:rsidRPr="00CD1E38">
        <w:rPr>
          <w:rFonts w:ascii="Book Antiqua" w:eastAsia="等线" w:hAnsi="Book Antiqua"/>
          <w:b/>
          <w:kern w:val="2"/>
          <w:lang w:eastAsia="zh-CN"/>
        </w:rPr>
        <w:t>Booth CM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Matukas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LM, Tomlinson GA,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Rachlis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AR, Rose DB,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Dwosh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HA, Walmsley SL,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Mazzulli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T,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Avendano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Derkach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Ephtimios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Kitai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Mederski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BD,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Shadowitz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SB, Gold WL,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Hawryluck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LA, Rea 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Chenkin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JS,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Cescon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Poutanen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Detsky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AS.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Clinical features and short-term outcomes of 144 patients with SARS in the greater Toronto area.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JAMA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2003; </w:t>
      </w:r>
      <w:r w:rsidRPr="00CD1E38">
        <w:rPr>
          <w:rFonts w:ascii="Book Antiqua" w:eastAsia="等线" w:hAnsi="Book Antiqua"/>
          <w:b/>
          <w:kern w:val="2"/>
          <w:lang w:eastAsia="zh-CN"/>
        </w:rPr>
        <w:t>289</w:t>
      </w:r>
      <w:r w:rsidRPr="00CD1E38">
        <w:rPr>
          <w:rFonts w:ascii="Book Antiqua" w:eastAsia="等线" w:hAnsi="Book Antiqua"/>
          <w:kern w:val="2"/>
          <w:lang w:eastAsia="zh-CN"/>
        </w:rPr>
        <w:t>: 2801-2809 [PMID: 12734147 DOI: 10.1001/jama.289.21.JOC30885]</w:t>
      </w:r>
    </w:p>
    <w:p w14:paraId="5B6E371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23 </w:t>
      </w:r>
      <w:r w:rsidRPr="00CD1E38">
        <w:rPr>
          <w:rFonts w:ascii="Book Antiqua" w:eastAsia="等线" w:hAnsi="Book Antiqua"/>
          <w:b/>
          <w:kern w:val="2"/>
          <w:lang w:eastAsia="zh-CN"/>
        </w:rPr>
        <w:t>Zhang X</w:t>
      </w:r>
      <w:r w:rsidRPr="00CD1E38">
        <w:rPr>
          <w:rFonts w:ascii="Book Antiqua" w:eastAsia="等线" w:hAnsi="Book Antiqua"/>
          <w:kern w:val="2"/>
          <w:lang w:eastAsia="zh-CN"/>
        </w:rPr>
        <w:t xml:space="preserve">, Alekseev K, Jung K,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Vlasova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Hadya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N,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Saif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LJ. Cytokine responses in porcine respiratory coronavirus-infected pigs treated with corticosteroids as a model for severe acute respiratory syndrome.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Virol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2008; </w:t>
      </w:r>
      <w:r w:rsidRPr="00CD1E38">
        <w:rPr>
          <w:rFonts w:ascii="Book Antiqua" w:eastAsia="等线" w:hAnsi="Book Antiqua"/>
          <w:b/>
          <w:kern w:val="2"/>
          <w:lang w:eastAsia="zh-CN"/>
        </w:rPr>
        <w:t>82</w:t>
      </w:r>
      <w:r w:rsidRPr="00CD1E38">
        <w:rPr>
          <w:rFonts w:ascii="Book Antiqua" w:eastAsia="等线" w:hAnsi="Book Antiqua"/>
          <w:kern w:val="2"/>
          <w:lang w:eastAsia="zh-CN"/>
        </w:rPr>
        <w:t>: 4420-4428 [PMID: 18287230 DOI: 10.1128/JVI.02190-07]</w:t>
      </w:r>
    </w:p>
    <w:p w14:paraId="2E45784E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24 </w:t>
      </w:r>
      <w:r w:rsidRPr="00CD1E38">
        <w:rPr>
          <w:rFonts w:ascii="Book Antiqua" w:eastAsia="等线" w:hAnsi="Book Antiqua"/>
          <w:b/>
          <w:kern w:val="2"/>
          <w:lang w:eastAsia="zh-CN"/>
        </w:rPr>
        <w:t>Shen L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Niu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Wang C, Huang B, Wang W, Zhu N, Deng Y, Wang H, Ye F, Cen S, Tan W. High-Throughput Screening and Identification of Potent Broad-Spectrum Inhibitors of Coronaviruses.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J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Virol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2019; </w:t>
      </w:r>
      <w:r w:rsidRPr="00CD1E38">
        <w:rPr>
          <w:rFonts w:ascii="Book Antiqua" w:eastAsia="等线" w:hAnsi="Book Antiqua"/>
          <w:b/>
          <w:kern w:val="2"/>
          <w:lang w:eastAsia="zh-CN"/>
        </w:rPr>
        <w:t>93</w:t>
      </w:r>
      <w:r w:rsidRPr="00CD1E38">
        <w:rPr>
          <w:rFonts w:ascii="Book Antiqua" w:eastAsia="等线" w:hAnsi="Book Antiqua"/>
          <w:kern w:val="2"/>
          <w:lang w:eastAsia="zh-CN"/>
        </w:rPr>
        <w:t>: e00023-19 [PMID: 30918074 DOI: 10.1128/jvi.00023-19]</w:t>
      </w:r>
    </w:p>
    <w:p w14:paraId="3A250C3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25 </w:t>
      </w:r>
      <w:r w:rsidRPr="00CD1E38">
        <w:rPr>
          <w:rFonts w:ascii="Book Antiqua" w:eastAsia="等线" w:hAnsi="Book Antiqua"/>
          <w:b/>
          <w:kern w:val="2"/>
          <w:lang w:eastAsia="zh-CN"/>
        </w:rPr>
        <w:t>Chan JF</w:t>
      </w:r>
      <w:r w:rsidRPr="00CD1E38">
        <w:rPr>
          <w:rFonts w:ascii="Book Antiqua" w:eastAsia="等线" w:hAnsi="Book Antiqua"/>
          <w:kern w:val="2"/>
          <w:lang w:eastAsia="zh-CN"/>
        </w:rPr>
        <w:t xml:space="preserve">, Yao Y, Yeung ML, Deng W,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Bao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Jia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Li F, Xiao C, Gao H, Yu P,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Cai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JP, Chu H, Zhou J, Chen H, Qin C, Yuen KY. Treatment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With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Lopinavir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/Ritonavir or Interferon-β1b Improves Outcome of MERS-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Infection in a Nonhuman Primate Model of Common Marmoset. </w:t>
      </w:r>
      <w:r w:rsidRPr="00CD1E38">
        <w:rPr>
          <w:rFonts w:ascii="Book Antiqua" w:eastAsia="等线" w:hAnsi="Book Antiqua"/>
          <w:i/>
          <w:kern w:val="2"/>
          <w:lang w:eastAsia="zh-CN"/>
        </w:rPr>
        <w:t>J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212</w:t>
      </w:r>
      <w:r w:rsidRPr="00CD1E38">
        <w:rPr>
          <w:rFonts w:ascii="Book Antiqua" w:eastAsia="等线" w:hAnsi="Book Antiqua"/>
          <w:kern w:val="2"/>
          <w:lang w:eastAsia="zh-CN"/>
        </w:rPr>
        <w:t>: 1904-1913 [PMID: 26198719 DOI: 10.1093/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infdis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>/jiv392]</w:t>
      </w:r>
    </w:p>
    <w:p w14:paraId="3A52AFE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26 </w:t>
      </w:r>
      <w:r w:rsidRPr="00CD1E38">
        <w:rPr>
          <w:rFonts w:ascii="Book Antiqua" w:eastAsia="等线" w:hAnsi="Book Antiqua"/>
          <w:b/>
          <w:kern w:val="2"/>
          <w:lang w:eastAsia="zh-CN"/>
        </w:rPr>
        <w:t>Barnard DL</w:t>
      </w:r>
      <w:r w:rsidRPr="00CD1E38">
        <w:rPr>
          <w:rFonts w:ascii="Book Antiqua" w:eastAsia="等线" w:hAnsi="Book Antiqua"/>
          <w:kern w:val="2"/>
          <w:lang w:eastAsia="zh-CN"/>
        </w:rPr>
        <w:t xml:space="preserve">, Day CW, Bailey K, Heiner M, Montgomery 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Lauridsen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L, Winslow S,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Hoopes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Li JK, Lee J, Carson DA, Cottam HB,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Sidwell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RW. </w:t>
      </w:r>
      <w:proofErr w:type="gramStart"/>
      <w:r w:rsidRPr="00CD1E38">
        <w:rPr>
          <w:rFonts w:ascii="Book Antiqua" w:eastAsia="等线" w:hAnsi="Book Antiqua"/>
          <w:kern w:val="2"/>
          <w:lang w:eastAsia="zh-CN"/>
        </w:rPr>
        <w:t>Enhancement of the infectivity of SARS-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in BALB/c mice by IMP dehydrogenase inhibitors, including </w:t>
      </w:r>
      <w:r w:rsidRPr="00CD1E38">
        <w:rPr>
          <w:rFonts w:ascii="Book Antiqua" w:eastAsia="等线" w:hAnsi="Book Antiqua"/>
          <w:kern w:val="2"/>
          <w:lang w:eastAsia="zh-CN"/>
        </w:rPr>
        <w:lastRenderedPageBreak/>
        <w:t>ribavirin.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</w:t>
      </w:r>
      <w:r w:rsidRPr="00CD1E38">
        <w:rPr>
          <w:rFonts w:ascii="Book Antiqua" w:eastAsia="等线" w:hAnsi="Book Antiqua"/>
          <w:i/>
          <w:kern w:val="2"/>
          <w:lang w:eastAsia="zh-CN"/>
        </w:rPr>
        <w:t>Antiviral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2006; </w:t>
      </w:r>
      <w:r w:rsidRPr="00CD1E38">
        <w:rPr>
          <w:rFonts w:ascii="Book Antiqua" w:eastAsia="等线" w:hAnsi="Book Antiqua"/>
          <w:b/>
          <w:kern w:val="2"/>
          <w:lang w:eastAsia="zh-CN"/>
        </w:rPr>
        <w:t>71</w:t>
      </w:r>
      <w:r w:rsidRPr="00CD1E38">
        <w:rPr>
          <w:rFonts w:ascii="Book Antiqua" w:eastAsia="等线" w:hAnsi="Book Antiqua"/>
          <w:kern w:val="2"/>
          <w:lang w:eastAsia="zh-CN"/>
        </w:rPr>
        <w:t>: 53-63 [PMID: 16621037 DOI: 10.1016/j.antiviral.2006.03.001]</w:t>
      </w:r>
    </w:p>
    <w:p w14:paraId="1133693F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27 </w:t>
      </w:r>
      <w:r w:rsidRPr="00CD1E38">
        <w:rPr>
          <w:rFonts w:ascii="Book Antiqua" w:eastAsia="等线" w:hAnsi="Book Antiqua"/>
          <w:b/>
          <w:kern w:val="2"/>
          <w:lang w:eastAsia="zh-CN"/>
        </w:rPr>
        <w:t xml:space="preserve">Al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Ghamdi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M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Alghamdi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KM,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Ghandoora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Y,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Alzahrani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Salah 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Alsulami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Bawayan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MF, Vaidya D, Perl TM,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Sood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G. Treatment outcomes for patients with Middle Eastern Respiratory Syndrome Coronavirus (MERS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) infection at a coronavirus referral center in the Kingdom of Saudi Arabia. </w:t>
      </w:r>
      <w:r w:rsidRPr="00CD1E38">
        <w:rPr>
          <w:rFonts w:ascii="Book Antiqua" w:eastAsia="等线" w:hAnsi="Book Antiqua"/>
          <w:i/>
          <w:kern w:val="2"/>
          <w:lang w:eastAsia="zh-CN"/>
        </w:rPr>
        <w:t>BMC Infect Dis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2016; </w:t>
      </w:r>
      <w:r w:rsidRPr="00CD1E38">
        <w:rPr>
          <w:rFonts w:ascii="Book Antiqua" w:eastAsia="等线" w:hAnsi="Book Antiqua"/>
          <w:b/>
          <w:kern w:val="2"/>
          <w:lang w:eastAsia="zh-CN"/>
        </w:rPr>
        <w:t>16</w:t>
      </w:r>
      <w:r w:rsidRPr="00CD1E38">
        <w:rPr>
          <w:rFonts w:ascii="Book Antiqua" w:eastAsia="等线" w:hAnsi="Book Antiqua"/>
          <w:kern w:val="2"/>
          <w:lang w:eastAsia="zh-CN"/>
        </w:rPr>
        <w:t>: 174 [PMID: 27097824 DOI: 10.1186/s12879-016-1492-4]</w:t>
      </w:r>
    </w:p>
    <w:p w14:paraId="7C594311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28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Carbajo-Lozoya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Müller MA,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Kallies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S, Thiel V,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Drosten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C, von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Brunn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A. Replication of human coronaviruses SARS-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, HCoV-NL63 and HCoV-229E is inhibited by the drug FK506. </w:t>
      </w:r>
      <w:r w:rsidRPr="00CD1E38">
        <w:rPr>
          <w:rFonts w:ascii="Book Antiqua" w:eastAsia="等线" w:hAnsi="Book Antiqua"/>
          <w:i/>
          <w:kern w:val="2"/>
          <w:lang w:eastAsia="zh-CN"/>
        </w:rPr>
        <w:t>Virus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2012; </w:t>
      </w:r>
      <w:r w:rsidRPr="00CD1E38">
        <w:rPr>
          <w:rFonts w:ascii="Book Antiqua" w:eastAsia="等线" w:hAnsi="Book Antiqua"/>
          <w:b/>
          <w:kern w:val="2"/>
          <w:lang w:eastAsia="zh-CN"/>
        </w:rPr>
        <w:t>165</w:t>
      </w:r>
      <w:r w:rsidRPr="00CD1E38">
        <w:rPr>
          <w:rFonts w:ascii="Book Antiqua" w:eastAsia="等线" w:hAnsi="Book Antiqua"/>
          <w:kern w:val="2"/>
          <w:lang w:eastAsia="zh-CN"/>
        </w:rPr>
        <w:t>: 112-117 [PMID: 22349148 DOI: 10.1016/j.virusres.2012.02.002]</w:t>
      </w:r>
    </w:p>
    <w:p w14:paraId="076ED153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29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Kindrachuk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J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Ork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B, Hart BJ, Mazur S, Holbrook MR,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Frieman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MB,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Traynor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D, Johnson RF,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Dyall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J, Kuhn JH,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Olinger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GG, Hensley LE,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Jahrling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PB. Antiviral potential of ERK/MAPK and PI3K/AKT/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mTOR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signaling modulation for Middle East respiratory syndrome coronavirus infection as identified by temporal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kinome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analysis.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Antimicrob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Agents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Chemother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2015; </w:t>
      </w:r>
      <w:r w:rsidRPr="00CD1E38">
        <w:rPr>
          <w:rFonts w:ascii="Book Antiqua" w:eastAsia="等线" w:hAnsi="Book Antiqua"/>
          <w:b/>
          <w:kern w:val="2"/>
          <w:lang w:eastAsia="zh-CN"/>
        </w:rPr>
        <w:t>59</w:t>
      </w:r>
      <w:r w:rsidRPr="00CD1E38">
        <w:rPr>
          <w:rFonts w:ascii="Book Antiqua" w:eastAsia="等线" w:hAnsi="Book Antiqua"/>
          <w:kern w:val="2"/>
          <w:lang w:eastAsia="zh-CN"/>
        </w:rPr>
        <w:t>: 1088-1099 [PMID: 25487801 DOI: 10.1128/AAC.03659-14]</w:t>
      </w:r>
    </w:p>
    <w:p w14:paraId="4161113A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30 </w:t>
      </w:r>
      <w:r w:rsidRPr="00CD1E38">
        <w:rPr>
          <w:rFonts w:ascii="Book Antiqua" w:eastAsia="等线" w:hAnsi="Book Antiqua"/>
          <w:b/>
          <w:kern w:val="2"/>
          <w:lang w:eastAsia="zh-CN"/>
        </w:rPr>
        <w:t>Zhou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</w:t>
      </w:r>
      <w:proofErr w:type="spellStart"/>
      <w:r w:rsidRPr="00CD1E38">
        <w:rPr>
          <w:rFonts w:ascii="Book Antiqua" w:eastAsia="等线" w:hAnsi="Book Antiqua"/>
          <w:kern w:val="2"/>
          <w:lang w:eastAsia="zh-CN"/>
        </w:rPr>
        <w:t>Hou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Y, Shen J, Huang Y, Martin W, Cheng F. Network-based drug repurposing for novel coronavirus 2019-nCoV/SARS-CoV-2.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Cell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Discov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6</w:t>
      </w:r>
      <w:r w:rsidRPr="00CD1E38">
        <w:rPr>
          <w:rFonts w:ascii="Book Antiqua" w:eastAsia="等线" w:hAnsi="Book Antiqua"/>
          <w:kern w:val="2"/>
          <w:lang w:eastAsia="zh-CN"/>
        </w:rPr>
        <w:t>: 14 [PMID: 32194980 DOI: 10.1038/s41421-020-0153-3]</w:t>
      </w:r>
    </w:p>
    <w:p w14:paraId="43DEC120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proofErr w:type="gramStart"/>
      <w:r w:rsidRPr="00CD1E38">
        <w:rPr>
          <w:rFonts w:ascii="Book Antiqua" w:eastAsia="等线" w:hAnsi="Book Antiqua"/>
          <w:kern w:val="2"/>
          <w:lang w:eastAsia="zh-CN"/>
        </w:rPr>
        <w:t xml:space="preserve">31 </w:t>
      </w:r>
      <w:proofErr w:type="spellStart"/>
      <w:r w:rsidRPr="00CD1E38">
        <w:rPr>
          <w:rFonts w:ascii="Book Antiqua" w:eastAsia="等线" w:hAnsi="Book Antiqua"/>
          <w:b/>
          <w:kern w:val="2"/>
          <w:lang w:eastAsia="zh-CN"/>
        </w:rPr>
        <w:t>Montemurro</w:t>
      </w:r>
      <w:proofErr w:type="spellEnd"/>
      <w:r w:rsidRPr="00CD1E38">
        <w:rPr>
          <w:rFonts w:ascii="Book Antiqua" w:eastAsia="等线" w:hAnsi="Book Antiqua"/>
          <w:b/>
          <w:kern w:val="2"/>
          <w:lang w:eastAsia="zh-CN"/>
        </w:rPr>
        <w:t xml:space="preserve"> N</w:t>
      </w:r>
      <w:r w:rsidRPr="00CD1E38">
        <w:rPr>
          <w:rFonts w:ascii="Book Antiqua" w:eastAsia="等线" w:hAnsi="Book Antiqua"/>
          <w:kern w:val="2"/>
          <w:lang w:eastAsia="zh-CN"/>
        </w:rPr>
        <w:t>.</w:t>
      </w:r>
      <w:proofErr w:type="gramEnd"/>
      <w:r w:rsidRPr="00CD1E38">
        <w:rPr>
          <w:rFonts w:ascii="Book Antiqua" w:eastAsia="等线" w:hAnsi="Book Antiqua"/>
          <w:kern w:val="2"/>
          <w:lang w:eastAsia="zh-CN"/>
        </w:rPr>
        <w:t xml:space="preserve"> The emotional impact of COVID-19: From medical staff to common people. </w:t>
      </w:r>
      <w:r w:rsidRPr="00CD1E38">
        <w:rPr>
          <w:rFonts w:ascii="Book Antiqua" w:eastAsia="等线" w:hAnsi="Book Antiqua"/>
          <w:i/>
          <w:kern w:val="2"/>
          <w:lang w:eastAsia="zh-CN"/>
        </w:rPr>
        <w:t xml:space="preserve">Brain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Behav</w:t>
      </w:r>
      <w:proofErr w:type="spellEnd"/>
      <w:r w:rsidRPr="00CD1E38">
        <w:rPr>
          <w:rFonts w:ascii="Book Antiqua" w:eastAsia="等线" w:hAnsi="Book Antiqua"/>
          <w:i/>
          <w:kern w:val="2"/>
          <w:lang w:eastAsia="zh-CN"/>
        </w:rPr>
        <w:t xml:space="preserve"> </w:t>
      </w:r>
      <w:proofErr w:type="spellStart"/>
      <w:r w:rsidRPr="00CD1E38">
        <w:rPr>
          <w:rFonts w:ascii="Book Antiqua" w:eastAsia="等线" w:hAnsi="Book Antiqua"/>
          <w:i/>
          <w:kern w:val="2"/>
          <w:lang w:eastAsia="zh-CN"/>
        </w:rPr>
        <w:t>Immun</w:t>
      </w:r>
      <w:proofErr w:type="spellEnd"/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87</w:t>
      </w:r>
      <w:r w:rsidRPr="00CD1E38">
        <w:rPr>
          <w:rFonts w:ascii="Book Antiqua" w:eastAsia="等线" w:hAnsi="Book Antiqua"/>
          <w:kern w:val="2"/>
          <w:lang w:eastAsia="zh-CN"/>
        </w:rPr>
        <w:t>: 23-24 [PMID: 32240766 DOI: 10.1016/j.bbi.2020.03.032]</w:t>
      </w:r>
    </w:p>
    <w:p w14:paraId="53A3C769" w14:textId="77777777" w:rsidR="007554C0" w:rsidRPr="00CD1E38" w:rsidRDefault="007554C0" w:rsidP="00CD1E38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CD1E38">
        <w:rPr>
          <w:rFonts w:ascii="Book Antiqua" w:eastAsia="等线" w:hAnsi="Book Antiqua"/>
          <w:kern w:val="2"/>
          <w:lang w:eastAsia="zh-CN"/>
        </w:rPr>
        <w:t xml:space="preserve">32 </w:t>
      </w:r>
      <w:r w:rsidRPr="00CD1E38">
        <w:rPr>
          <w:rFonts w:ascii="Book Antiqua" w:eastAsia="等线" w:hAnsi="Book Antiqua"/>
          <w:b/>
          <w:kern w:val="2"/>
          <w:lang w:eastAsia="zh-CN"/>
        </w:rPr>
        <w:t>Chen Y</w:t>
      </w:r>
      <w:r w:rsidRPr="00CD1E38">
        <w:rPr>
          <w:rFonts w:ascii="Book Antiqua" w:eastAsia="等线" w:hAnsi="Book Antiqua"/>
          <w:kern w:val="2"/>
          <w:lang w:eastAsia="zh-CN"/>
        </w:rPr>
        <w:t xml:space="preserve">, Zhou H, Zhou Y, Zhou F. Prevalence of self-reported depression and anxiety among pediatric medical staff members during the COVID-19 outbreak in Guiyang, China. </w:t>
      </w:r>
      <w:r w:rsidRPr="00CD1E38">
        <w:rPr>
          <w:rFonts w:ascii="Book Antiqua" w:eastAsia="等线" w:hAnsi="Book Antiqua"/>
          <w:i/>
          <w:kern w:val="2"/>
          <w:lang w:eastAsia="zh-CN"/>
        </w:rPr>
        <w:t>Psychiatry Res</w:t>
      </w:r>
      <w:r w:rsidRPr="00CD1E38">
        <w:rPr>
          <w:rFonts w:ascii="Book Antiqua" w:eastAsia="等线" w:hAnsi="Book Antiqua"/>
          <w:kern w:val="2"/>
          <w:lang w:eastAsia="zh-CN"/>
        </w:rPr>
        <w:t xml:space="preserve"> 2020; </w:t>
      </w:r>
      <w:r w:rsidRPr="00CD1E38">
        <w:rPr>
          <w:rFonts w:ascii="Book Antiqua" w:eastAsia="等线" w:hAnsi="Book Antiqua"/>
          <w:b/>
          <w:kern w:val="2"/>
          <w:lang w:eastAsia="zh-CN"/>
        </w:rPr>
        <w:t>288</w:t>
      </w:r>
      <w:r w:rsidRPr="00CD1E38">
        <w:rPr>
          <w:rFonts w:ascii="Book Antiqua" w:eastAsia="等线" w:hAnsi="Book Antiqua"/>
          <w:kern w:val="2"/>
          <w:lang w:eastAsia="zh-CN"/>
        </w:rPr>
        <w:t>: 113005 [PMID: 32315886 DOI: 10.1016/j.psychres.2020.113005]</w:t>
      </w:r>
    </w:p>
    <w:p w14:paraId="4D25D85E" w14:textId="77777777" w:rsidR="00E26052" w:rsidRPr="00CD1E38" w:rsidRDefault="00E26052" w:rsidP="00CD1E38">
      <w:pPr>
        <w:spacing w:line="360" w:lineRule="auto"/>
        <w:jc w:val="both"/>
        <w:rPr>
          <w:rFonts w:ascii="Book Antiqua" w:hAnsi="Book Antiqua"/>
        </w:rPr>
        <w:sectPr w:rsidR="00E26052" w:rsidRPr="00CD1E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EA641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0EAD4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bias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sources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  <w:shd w:val="clear" w:color="auto" w:fill="FFFFFF"/>
        </w:rPr>
        <w:t>work.</w:t>
      </w:r>
    </w:p>
    <w:p w14:paraId="341B7934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D05A100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0A76" w:rsidRPr="00CD1E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open-access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that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was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selected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in-house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editor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fully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peer-reviewed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external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reviewers.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distributed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accordance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with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Creative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Commons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Attribution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D1E3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(CC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BY-NC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4.0)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license,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which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permits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others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to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distribute,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remix,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adapt,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build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upon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non-commercially,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license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their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derivative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different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terms,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provided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original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work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properly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cited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and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the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use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non-commercial.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See: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BFE400F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EC6F1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Manuscript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source: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Unsolicited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="007554C0" w:rsidRPr="00CD1E38">
        <w:rPr>
          <w:rFonts w:ascii="Book Antiqua" w:eastAsia="Book Antiqua" w:hAnsi="Book Antiqua" w:cs="Book Antiqua"/>
          <w:color w:val="000000"/>
        </w:rPr>
        <w:t>m</w:t>
      </w:r>
      <w:r w:rsidRPr="00CD1E38">
        <w:rPr>
          <w:rFonts w:ascii="Book Antiqua" w:eastAsia="Book Antiqua" w:hAnsi="Book Antiqua" w:cs="Book Antiqua"/>
          <w:color w:val="000000"/>
        </w:rPr>
        <w:t>anuscript</w:t>
      </w:r>
    </w:p>
    <w:p w14:paraId="006EB813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329867E7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Peer-review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started: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11,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1BD6C8D6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First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decision: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May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2020</w:t>
      </w:r>
    </w:p>
    <w:p w14:paraId="19E37666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Article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in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press: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41EF2C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6A815172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Specialty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type: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Transplantation</w:t>
      </w:r>
    </w:p>
    <w:p w14:paraId="7E1E7E7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Country/Territory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of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origin: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Israel</w:t>
      </w:r>
    </w:p>
    <w:p w14:paraId="72E7A02E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t>Peer-review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report’s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scientific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quality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F90105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D1E38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(Excellent):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0</w:t>
      </w:r>
    </w:p>
    <w:p w14:paraId="7DA8DD7A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(Very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good):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B</w:t>
      </w:r>
    </w:p>
    <w:p w14:paraId="52458828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(Good):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C</w:t>
      </w:r>
    </w:p>
    <w:p w14:paraId="508543AB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(Fair):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D</w:t>
      </w:r>
    </w:p>
    <w:p w14:paraId="2381C87F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color w:val="000000"/>
        </w:rPr>
        <w:t>Grade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E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(Poor):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0</w:t>
      </w:r>
    </w:p>
    <w:p w14:paraId="44F56DA7" w14:textId="77777777" w:rsidR="00A77B3E" w:rsidRPr="00CD1E38" w:rsidRDefault="00A77B3E" w:rsidP="00CD1E38">
      <w:pPr>
        <w:spacing w:line="360" w:lineRule="auto"/>
        <w:jc w:val="both"/>
        <w:rPr>
          <w:rFonts w:ascii="Book Antiqua" w:hAnsi="Book Antiqua"/>
        </w:rPr>
      </w:pPr>
    </w:p>
    <w:p w14:paraId="167C7E61" w14:textId="77777777" w:rsidR="00A77B3E" w:rsidRPr="00CD1E38" w:rsidRDefault="00F13D0F" w:rsidP="00CD1E38">
      <w:pPr>
        <w:spacing w:line="360" w:lineRule="auto"/>
        <w:jc w:val="both"/>
        <w:rPr>
          <w:rFonts w:ascii="Book Antiqua" w:hAnsi="Book Antiqua"/>
        </w:rPr>
      </w:pPr>
      <w:r w:rsidRPr="00CD1E38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5339F" w:rsidRPr="00CD1E38">
        <w:rPr>
          <w:rFonts w:ascii="Book Antiqua" w:eastAsia="Book Antiqua" w:hAnsi="Book Antiqua" w:cs="Book Antiqua"/>
          <w:color w:val="000000"/>
        </w:rPr>
        <w:t>Cantarovich</w:t>
      </w:r>
      <w:proofErr w:type="spellEnd"/>
      <w:r w:rsidR="00F5339F" w:rsidRPr="00CD1E38">
        <w:rPr>
          <w:rFonts w:ascii="Book Antiqua" w:eastAsia="Book Antiqua" w:hAnsi="Book Antiqua" w:cs="Book Antiqua"/>
          <w:color w:val="000000"/>
        </w:rPr>
        <w:t xml:space="preserve"> F, </w:t>
      </w:r>
      <w:r w:rsidRPr="00CD1E38">
        <w:rPr>
          <w:rFonts w:ascii="Book Antiqua" w:eastAsia="Book Antiqua" w:hAnsi="Book Antiqua" w:cs="Book Antiqua"/>
          <w:color w:val="000000"/>
        </w:rPr>
        <w:t>Fukushima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N,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D1E38">
        <w:rPr>
          <w:rFonts w:ascii="Book Antiqua" w:eastAsia="Book Antiqua" w:hAnsi="Book Antiqua" w:cs="Book Antiqua"/>
          <w:color w:val="000000"/>
        </w:rPr>
        <w:t>Montemurro</w:t>
      </w:r>
      <w:proofErr w:type="spellEnd"/>
      <w:proofErr w:type="gramEnd"/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N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S-Editor: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Yan</w:t>
      </w:r>
      <w:r w:rsidR="00650A76" w:rsidRPr="00CD1E38">
        <w:rPr>
          <w:rFonts w:ascii="Book Antiqua" w:eastAsia="Book Antiqua" w:hAnsi="Book Antiqua" w:cs="Book Antiqua"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color w:val="000000"/>
        </w:rPr>
        <w:t>JP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D1E38">
        <w:rPr>
          <w:rFonts w:ascii="Book Antiqua" w:eastAsia="Book Antiqua" w:hAnsi="Book Antiqua" w:cs="Book Antiqua"/>
          <w:b/>
          <w:color w:val="000000"/>
        </w:rPr>
        <w:t>L-Editor: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5973">
        <w:rPr>
          <w:rFonts w:ascii="Book Antiqua" w:eastAsia="Book Antiqua" w:hAnsi="Book Antiqua" w:cs="Book Antiqua"/>
          <w:color w:val="000000"/>
        </w:rPr>
        <w:t xml:space="preserve">Webster JR </w:t>
      </w:r>
      <w:r w:rsidR="00F5339F" w:rsidRPr="00CD1E38">
        <w:rPr>
          <w:rFonts w:ascii="Book Antiqua" w:eastAsia="Book Antiqua" w:hAnsi="Book Antiqua" w:cs="Book Antiqua"/>
          <w:b/>
          <w:color w:val="000000"/>
        </w:rPr>
        <w:t>P</w:t>
      </w:r>
      <w:r w:rsidRPr="00CD1E38">
        <w:rPr>
          <w:rFonts w:ascii="Book Antiqua" w:eastAsia="Book Antiqua" w:hAnsi="Book Antiqua" w:cs="Book Antiqua"/>
          <w:b/>
          <w:color w:val="000000"/>
        </w:rPr>
        <w:t>-Editor:</w:t>
      </w:r>
      <w:r w:rsidR="00650A76" w:rsidRPr="00CD1E38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 w:rsidRPr="00CD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8931CA" w15:done="0"/>
  <w15:commentEx w15:paraId="6747FF2D" w15:done="0"/>
  <w15:commentEx w15:paraId="501557A9" w15:done="0"/>
  <w15:commentEx w15:paraId="5DD0C0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AE1E" w14:textId="77777777" w:rsidR="007D080F" w:rsidRDefault="007D080F" w:rsidP="00650A76">
      <w:r>
        <w:separator/>
      </w:r>
    </w:p>
  </w:endnote>
  <w:endnote w:type="continuationSeparator" w:id="0">
    <w:p w14:paraId="782D5F3A" w14:textId="77777777" w:rsidR="007D080F" w:rsidRDefault="007D080F" w:rsidP="0065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omiSans EF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60681198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C6ECD6B" w14:textId="77777777" w:rsidR="00F13D0F" w:rsidRDefault="00F13D0F" w:rsidP="00F13D0F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1CB82AC" w14:textId="77777777" w:rsidR="00F13D0F" w:rsidRDefault="00F13D0F" w:rsidP="00650A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E3CA" w14:textId="5ABA4908" w:rsidR="00F13D0F" w:rsidRPr="00650A76" w:rsidRDefault="00F13D0F" w:rsidP="00650A76">
    <w:pPr>
      <w:pStyle w:val="a4"/>
      <w:jc w:val="right"/>
      <w:rPr>
        <w:rFonts w:ascii="Book Antiqua" w:hAnsi="Book Antiqua"/>
        <w:color w:val="000000" w:themeColor="text1"/>
      </w:rPr>
    </w:pP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</w:rPr>
      <w:fldChar w:fldCharType="begin"/>
    </w:r>
    <w:r w:rsidRPr="00650A76">
      <w:rPr>
        <w:rFonts w:ascii="Book Antiqua" w:hAnsi="Book Antiqua"/>
        <w:color w:val="000000" w:themeColor="text1"/>
      </w:rPr>
      <w:instrText>PAGE  \* Arabic  \* MERGEFORMAT</w:instrText>
    </w:r>
    <w:r w:rsidRPr="00650A76">
      <w:rPr>
        <w:rFonts w:ascii="Book Antiqua" w:hAnsi="Book Antiqua"/>
        <w:color w:val="000000" w:themeColor="text1"/>
      </w:rPr>
      <w:fldChar w:fldCharType="separate"/>
    </w:r>
    <w:r w:rsidR="00DD1B4E" w:rsidRPr="00DD1B4E">
      <w:rPr>
        <w:rFonts w:ascii="Book Antiqua" w:hAnsi="Book Antiqua"/>
        <w:noProof/>
        <w:color w:val="000000" w:themeColor="text1"/>
        <w:lang w:val="zh-CN"/>
      </w:rPr>
      <w:t>14</w:t>
    </w:r>
    <w:r w:rsidRPr="00650A76">
      <w:rPr>
        <w:rFonts w:ascii="Book Antiqua" w:hAnsi="Book Antiqua"/>
        <w:color w:val="000000" w:themeColor="text1"/>
      </w:rPr>
      <w:fldChar w:fldCharType="end"/>
    </w: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  <w:lang w:val="zh-CN"/>
      </w:rPr>
      <w:t>/</w:t>
    </w:r>
    <w:r>
      <w:rPr>
        <w:rFonts w:ascii="Book Antiqua" w:hAnsi="Book Antiqua"/>
        <w:color w:val="000000" w:themeColor="text1"/>
        <w:lang w:val="zh-CN"/>
      </w:rPr>
      <w:t xml:space="preserve"> </w:t>
    </w:r>
    <w:r w:rsidRPr="00650A76">
      <w:rPr>
        <w:rFonts w:ascii="Book Antiqua" w:hAnsi="Book Antiqua"/>
        <w:color w:val="000000" w:themeColor="text1"/>
      </w:rPr>
      <w:fldChar w:fldCharType="begin"/>
    </w:r>
    <w:r w:rsidRPr="00650A76">
      <w:rPr>
        <w:rFonts w:ascii="Book Antiqua" w:hAnsi="Book Antiqua"/>
        <w:color w:val="000000" w:themeColor="text1"/>
      </w:rPr>
      <w:instrText>NUMPAGES  \* Arabic  \* MERGEFORMAT</w:instrText>
    </w:r>
    <w:r w:rsidRPr="00650A76">
      <w:rPr>
        <w:rFonts w:ascii="Book Antiqua" w:hAnsi="Book Antiqua"/>
        <w:color w:val="000000" w:themeColor="text1"/>
      </w:rPr>
      <w:fldChar w:fldCharType="separate"/>
    </w:r>
    <w:r w:rsidR="00DD1B4E" w:rsidRPr="00DD1B4E">
      <w:rPr>
        <w:rFonts w:ascii="Book Antiqua" w:hAnsi="Book Antiqua"/>
        <w:noProof/>
        <w:color w:val="000000" w:themeColor="text1"/>
        <w:lang w:val="zh-CN"/>
      </w:rPr>
      <w:t>18</w:t>
    </w:r>
    <w:r w:rsidRPr="00650A76">
      <w:rPr>
        <w:rFonts w:ascii="Book Antiqua" w:hAnsi="Book Antiqua"/>
        <w:color w:val="000000" w:themeColor="text1"/>
      </w:rPr>
      <w:fldChar w:fldCharType="end"/>
    </w:r>
  </w:p>
  <w:p w14:paraId="3F17897C" w14:textId="77777777" w:rsidR="00F13D0F" w:rsidRDefault="00F13D0F" w:rsidP="00650A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4749" w14:textId="77777777" w:rsidR="007D080F" w:rsidRDefault="007D080F" w:rsidP="00650A76">
      <w:r>
        <w:separator/>
      </w:r>
    </w:p>
  </w:footnote>
  <w:footnote w:type="continuationSeparator" w:id="0">
    <w:p w14:paraId="2AA20CF7" w14:textId="77777777" w:rsidR="007D080F" w:rsidRDefault="007D080F" w:rsidP="00650A7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163C"/>
    <w:rsid w:val="00192A24"/>
    <w:rsid w:val="001D7326"/>
    <w:rsid w:val="002552A3"/>
    <w:rsid w:val="00275CA1"/>
    <w:rsid w:val="002B2B9F"/>
    <w:rsid w:val="00342E00"/>
    <w:rsid w:val="003E5698"/>
    <w:rsid w:val="004131F8"/>
    <w:rsid w:val="0044407B"/>
    <w:rsid w:val="00472DF9"/>
    <w:rsid w:val="00496E51"/>
    <w:rsid w:val="004C0810"/>
    <w:rsid w:val="004F5973"/>
    <w:rsid w:val="00543E5A"/>
    <w:rsid w:val="005A1094"/>
    <w:rsid w:val="00632F9B"/>
    <w:rsid w:val="0063318E"/>
    <w:rsid w:val="00650A76"/>
    <w:rsid w:val="00661CAB"/>
    <w:rsid w:val="006760C3"/>
    <w:rsid w:val="006B7ABD"/>
    <w:rsid w:val="0073726C"/>
    <w:rsid w:val="007554C0"/>
    <w:rsid w:val="00763F31"/>
    <w:rsid w:val="007D080F"/>
    <w:rsid w:val="007E2A50"/>
    <w:rsid w:val="007E424E"/>
    <w:rsid w:val="00863518"/>
    <w:rsid w:val="008F7C49"/>
    <w:rsid w:val="00906E5D"/>
    <w:rsid w:val="009860C0"/>
    <w:rsid w:val="00A77B3E"/>
    <w:rsid w:val="00AD6132"/>
    <w:rsid w:val="00B70615"/>
    <w:rsid w:val="00B86714"/>
    <w:rsid w:val="00B869FB"/>
    <w:rsid w:val="00C10C81"/>
    <w:rsid w:val="00C14712"/>
    <w:rsid w:val="00C87431"/>
    <w:rsid w:val="00CA2A55"/>
    <w:rsid w:val="00CD1E38"/>
    <w:rsid w:val="00D12464"/>
    <w:rsid w:val="00D37F16"/>
    <w:rsid w:val="00D37FE6"/>
    <w:rsid w:val="00DD1B4E"/>
    <w:rsid w:val="00DF6AA8"/>
    <w:rsid w:val="00E10873"/>
    <w:rsid w:val="00E26052"/>
    <w:rsid w:val="00E3559E"/>
    <w:rsid w:val="00ED3E07"/>
    <w:rsid w:val="00EF58B6"/>
    <w:rsid w:val="00F13BC2"/>
    <w:rsid w:val="00F13D0F"/>
    <w:rsid w:val="00F5339F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7D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</w:style>
  <w:style w:type="character" w:customStyle="1" w:styleId="element-citation">
    <w:name w:val="element-citation"/>
    <w:basedOn w:val="a0"/>
  </w:style>
  <w:style w:type="paragraph" w:styleId="a3">
    <w:name w:val="header"/>
    <w:basedOn w:val="a"/>
    <w:link w:val="Char"/>
    <w:unhideWhenUsed/>
    <w:rsid w:val="0065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76"/>
    <w:rPr>
      <w:sz w:val="18"/>
      <w:szCs w:val="18"/>
    </w:rPr>
  </w:style>
  <w:style w:type="character" w:styleId="a5">
    <w:name w:val="page number"/>
    <w:basedOn w:val="a0"/>
    <w:semiHidden/>
    <w:unhideWhenUsed/>
    <w:rsid w:val="00650A76"/>
  </w:style>
  <w:style w:type="character" w:styleId="a6">
    <w:name w:val="Hyperlink"/>
    <w:basedOn w:val="a0"/>
    <w:uiPriority w:val="99"/>
    <w:unhideWhenUsed/>
    <w:rsid w:val="00275CA1"/>
    <w:rPr>
      <w:color w:val="0000FF"/>
      <w:u w:val="single"/>
    </w:rPr>
  </w:style>
  <w:style w:type="paragraph" w:styleId="a7">
    <w:name w:val="Balloon Text"/>
    <w:basedOn w:val="a"/>
    <w:link w:val="Char1"/>
    <w:rsid w:val="00275CA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rsid w:val="00275CA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CD1E38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E10873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E10873"/>
    <w:rPr>
      <w:sz w:val="20"/>
      <w:szCs w:val="20"/>
    </w:rPr>
  </w:style>
  <w:style w:type="character" w:customStyle="1" w:styleId="Char2">
    <w:name w:val="批注文字 Char"/>
    <w:basedOn w:val="a0"/>
    <w:link w:val="aa"/>
    <w:semiHidden/>
    <w:rsid w:val="00E10873"/>
  </w:style>
  <w:style w:type="paragraph" w:styleId="ab">
    <w:name w:val="annotation subject"/>
    <w:basedOn w:val="aa"/>
    <w:next w:val="aa"/>
    <w:link w:val="Char3"/>
    <w:semiHidden/>
    <w:unhideWhenUsed/>
    <w:rsid w:val="00E10873"/>
    <w:rPr>
      <w:b/>
      <w:bCs/>
    </w:rPr>
  </w:style>
  <w:style w:type="character" w:customStyle="1" w:styleId="Char3">
    <w:name w:val="批注主题 Char"/>
    <w:basedOn w:val="Char2"/>
    <w:link w:val="ab"/>
    <w:semiHidden/>
    <w:rsid w:val="00E10873"/>
    <w:rPr>
      <w:b/>
      <w:bCs/>
    </w:rPr>
  </w:style>
  <w:style w:type="paragraph" w:customStyle="1" w:styleId="Default">
    <w:name w:val="Default"/>
    <w:rsid w:val="0044407B"/>
    <w:pPr>
      <w:autoSpaceDE w:val="0"/>
      <w:autoSpaceDN w:val="0"/>
      <w:adjustRightInd w:val="0"/>
    </w:pPr>
    <w:rPr>
      <w:rFonts w:ascii="NaomiSans EFN" w:hAnsi="NaomiSans EFN" w:cs="NaomiSans EFN"/>
      <w:color w:val="000000"/>
      <w:sz w:val="24"/>
      <w:szCs w:val="24"/>
      <w:lang w:bidi="he-IL"/>
    </w:rPr>
  </w:style>
  <w:style w:type="paragraph" w:customStyle="1" w:styleId="Pa3">
    <w:name w:val="Pa3"/>
    <w:basedOn w:val="Default"/>
    <w:next w:val="Default"/>
    <w:uiPriority w:val="99"/>
    <w:rsid w:val="0044407B"/>
    <w:pPr>
      <w:spacing w:line="151" w:lineRule="atLeast"/>
    </w:pPr>
    <w:rPr>
      <w:rFonts w:cs="Times New Roman"/>
      <w:color w:val="auto"/>
    </w:rPr>
  </w:style>
  <w:style w:type="paragraph" w:styleId="ac">
    <w:name w:val="Revision"/>
    <w:hidden/>
    <w:uiPriority w:val="99"/>
    <w:semiHidden/>
    <w:rsid w:val="00DD1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basedOn w:val="a0"/>
  </w:style>
  <w:style w:type="character" w:customStyle="1" w:styleId="element-citation">
    <w:name w:val="element-citation"/>
    <w:basedOn w:val="a0"/>
  </w:style>
  <w:style w:type="paragraph" w:styleId="a3">
    <w:name w:val="header"/>
    <w:basedOn w:val="a"/>
    <w:link w:val="Char"/>
    <w:unhideWhenUsed/>
    <w:rsid w:val="00650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A76"/>
    <w:rPr>
      <w:sz w:val="18"/>
      <w:szCs w:val="18"/>
    </w:rPr>
  </w:style>
  <w:style w:type="character" w:styleId="a5">
    <w:name w:val="page number"/>
    <w:basedOn w:val="a0"/>
    <w:semiHidden/>
    <w:unhideWhenUsed/>
    <w:rsid w:val="00650A76"/>
  </w:style>
  <w:style w:type="character" w:styleId="a6">
    <w:name w:val="Hyperlink"/>
    <w:basedOn w:val="a0"/>
    <w:uiPriority w:val="99"/>
    <w:unhideWhenUsed/>
    <w:rsid w:val="00275CA1"/>
    <w:rPr>
      <w:color w:val="0000FF"/>
      <w:u w:val="single"/>
    </w:rPr>
  </w:style>
  <w:style w:type="paragraph" w:styleId="a7">
    <w:name w:val="Balloon Text"/>
    <w:basedOn w:val="a"/>
    <w:link w:val="Char1"/>
    <w:rsid w:val="00275CA1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rsid w:val="00275CA1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CD1E38"/>
    <w:rPr>
      <w:color w:val="800080" w:themeColor="followedHyperlink"/>
      <w:u w:val="single"/>
    </w:rPr>
  </w:style>
  <w:style w:type="character" w:styleId="a9">
    <w:name w:val="annotation reference"/>
    <w:basedOn w:val="a0"/>
    <w:semiHidden/>
    <w:unhideWhenUsed/>
    <w:rsid w:val="00E10873"/>
    <w:rPr>
      <w:sz w:val="16"/>
      <w:szCs w:val="16"/>
    </w:rPr>
  </w:style>
  <w:style w:type="paragraph" w:styleId="aa">
    <w:name w:val="annotation text"/>
    <w:basedOn w:val="a"/>
    <w:link w:val="Char2"/>
    <w:semiHidden/>
    <w:unhideWhenUsed/>
    <w:rsid w:val="00E10873"/>
    <w:rPr>
      <w:sz w:val="20"/>
      <w:szCs w:val="20"/>
    </w:rPr>
  </w:style>
  <w:style w:type="character" w:customStyle="1" w:styleId="Char2">
    <w:name w:val="批注文字 Char"/>
    <w:basedOn w:val="a0"/>
    <w:link w:val="aa"/>
    <w:semiHidden/>
    <w:rsid w:val="00E10873"/>
  </w:style>
  <w:style w:type="paragraph" w:styleId="ab">
    <w:name w:val="annotation subject"/>
    <w:basedOn w:val="aa"/>
    <w:next w:val="aa"/>
    <w:link w:val="Char3"/>
    <w:semiHidden/>
    <w:unhideWhenUsed/>
    <w:rsid w:val="00E10873"/>
    <w:rPr>
      <w:b/>
      <w:bCs/>
    </w:rPr>
  </w:style>
  <w:style w:type="character" w:customStyle="1" w:styleId="Char3">
    <w:name w:val="批注主题 Char"/>
    <w:basedOn w:val="Char2"/>
    <w:link w:val="ab"/>
    <w:semiHidden/>
    <w:rsid w:val="00E10873"/>
    <w:rPr>
      <w:b/>
      <w:bCs/>
    </w:rPr>
  </w:style>
  <w:style w:type="paragraph" w:customStyle="1" w:styleId="Default">
    <w:name w:val="Default"/>
    <w:rsid w:val="0044407B"/>
    <w:pPr>
      <w:autoSpaceDE w:val="0"/>
      <w:autoSpaceDN w:val="0"/>
      <w:adjustRightInd w:val="0"/>
    </w:pPr>
    <w:rPr>
      <w:rFonts w:ascii="NaomiSans EFN" w:hAnsi="NaomiSans EFN" w:cs="NaomiSans EFN"/>
      <w:color w:val="000000"/>
      <w:sz w:val="24"/>
      <w:szCs w:val="24"/>
      <w:lang w:bidi="he-IL"/>
    </w:rPr>
  </w:style>
  <w:style w:type="paragraph" w:customStyle="1" w:styleId="Pa3">
    <w:name w:val="Pa3"/>
    <w:basedOn w:val="Default"/>
    <w:next w:val="Default"/>
    <w:uiPriority w:val="99"/>
    <w:rsid w:val="0044407B"/>
    <w:pPr>
      <w:spacing w:line="151" w:lineRule="atLeast"/>
    </w:pPr>
    <w:rPr>
      <w:rFonts w:cs="Times New Roman"/>
      <w:color w:val="auto"/>
    </w:rPr>
  </w:style>
  <w:style w:type="paragraph" w:styleId="ac">
    <w:name w:val="Revision"/>
    <w:hidden/>
    <w:uiPriority w:val="99"/>
    <w:semiHidden/>
    <w:rsid w:val="00DD1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FBB-5A4D-4601-B13C-6EAB56EC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</dc:creator>
  <cp:lastModifiedBy>Jin-Lei Wang</cp:lastModifiedBy>
  <cp:revision>3</cp:revision>
  <dcterms:created xsi:type="dcterms:W3CDTF">2020-08-31T09:01:00Z</dcterms:created>
  <dcterms:modified xsi:type="dcterms:W3CDTF">2020-09-02T09:52:00Z</dcterms:modified>
</cp:coreProperties>
</file>