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ind w:left="212" w:right="0" w:firstLine="0"/>
        <w:jc w:val="left"/>
        <w:rPr>
          <w:sz w:val="24"/>
        </w:rPr>
      </w:pPr>
      <w:r>
        <w:rPr>
          <w:sz w:val="24"/>
        </w:rPr>
        <w:t>STROBE Statement—checklist of items that should be included in reports of observational studies</w:t>
      </w:r>
    </w:p>
    <w:p>
      <w:pPr>
        <w:pStyle w:val="3"/>
      </w:pPr>
    </w:p>
    <w:p>
      <w:pPr>
        <w:pStyle w:val="3"/>
        <w:spacing w:before="10"/>
        <w:rPr>
          <w:sz w:val="17"/>
        </w:rPr>
      </w:pPr>
    </w:p>
    <w:tbl>
      <w:tblPr>
        <w:tblStyle w:val="4"/>
        <w:tblW w:w="0" w:type="auto"/>
        <w:tblInd w:w="1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35"/>
        <w:gridCol w:w="737"/>
        <w:gridCol w:w="6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2135" w:type="dxa"/>
            <w:tcBorders>
              <w:bottom w:val="single" w:color="000000" w:sz="4" w:space="0"/>
            </w:tcBorders>
          </w:tcPr>
          <w:p>
            <w:pPr>
              <w:pStyle w:val="9"/>
              <w:spacing w:before="0"/>
              <w:rPr>
                <w:sz w:val="20"/>
              </w:rPr>
            </w:pPr>
          </w:p>
        </w:tc>
        <w:tc>
          <w:tcPr>
            <w:tcW w:w="737" w:type="dxa"/>
            <w:tcBorders>
              <w:bottom w:val="single" w:color="000000" w:sz="4" w:space="0"/>
            </w:tcBorders>
          </w:tcPr>
          <w:p>
            <w:pPr>
              <w:pStyle w:val="9"/>
              <w:spacing w:before="0" w:line="221" w:lineRule="exact"/>
              <w:ind w:left="149" w:right="147"/>
              <w:jc w:val="center"/>
              <w:rPr>
                <w:b/>
                <w:sz w:val="20"/>
              </w:rPr>
            </w:pPr>
            <w:r>
              <w:rPr>
                <w:b/>
                <w:sz w:val="20"/>
              </w:rPr>
              <w:t>Item</w:t>
            </w:r>
          </w:p>
          <w:p>
            <w:pPr>
              <w:pStyle w:val="9"/>
              <w:spacing w:before="0" w:line="212" w:lineRule="exact"/>
              <w:ind w:left="147" w:right="147"/>
              <w:jc w:val="center"/>
              <w:rPr>
                <w:b/>
                <w:sz w:val="20"/>
              </w:rPr>
            </w:pPr>
            <w:r>
              <w:rPr>
                <w:b/>
                <w:sz w:val="20"/>
              </w:rPr>
              <w:t>No</w:t>
            </w:r>
          </w:p>
        </w:tc>
        <w:tc>
          <w:tcPr>
            <w:tcW w:w="6988" w:type="dxa"/>
            <w:tcBorders>
              <w:bottom w:val="single" w:color="000000" w:sz="4" w:space="0"/>
            </w:tcBorders>
          </w:tcPr>
          <w:p>
            <w:pPr>
              <w:pStyle w:val="9"/>
              <w:spacing w:before="2"/>
              <w:rPr>
                <w:sz w:val="19"/>
              </w:rPr>
            </w:pPr>
          </w:p>
          <w:p>
            <w:pPr>
              <w:pStyle w:val="9"/>
              <w:spacing w:before="0" w:line="212" w:lineRule="exact"/>
              <w:ind w:left="2724" w:right="2724"/>
              <w:jc w:val="center"/>
              <w:rPr>
                <w:b/>
                <w:sz w:val="20"/>
              </w:rPr>
            </w:pPr>
            <w:r>
              <w:rPr>
                <w:b/>
                <w:sz w:val="20"/>
              </w:rPr>
              <w:t>Recommendation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135" w:type="dxa"/>
            <w:tcBorders>
              <w:top w:val="single" w:color="000000" w:sz="4" w:space="0"/>
            </w:tcBorders>
          </w:tcPr>
          <w:p>
            <w:pPr>
              <w:pStyle w:val="9"/>
              <w:spacing w:line="240" w:lineRule="auto"/>
              <w:ind w:left="107"/>
              <w:rPr>
                <w:b/>
                <w:sz w:val="20"/>
              </w:rPr>
            </w:pPr>
            <w:r>
              <w:rPr>
                <w:b/>
                <w:sz w:val="20"/>
              </w:rPr>
              <w:t>Title and abstract</w:t>
            </w:r>
          </w:p>
        </w:tc>
        <w:tc>
          <w:tcPr>
            <w:tcW w:w="737" w:type="dxa"/>
            <w:tcBorders>
              <w:top w:val="single" w:color="000000" w:sz="4" w:space="0"/>
            </w:tcBorders>
          </w:tcPr>
          <w:p>
            <w:pPr>
              <w:pStyle w:val="9"/>
              <w:spacing w:line="240" w:lineRule="auto"/>
              <w:jc w:val="center"/>
              <w:rPr>
                <w:sz w:val="20"/>
              </w:rPr>
            </w:pPr>
            <w:r>
              <w:rPr>
                <w:w w:val="99"/>
                <w:sz w:val="20"/>
              </w:rPr>
              <w:t>1</w:t>
            </w:r>
          </w:p>
        </w:tc>
        <w:tc>
          <w:tcPr>
            <w:tcW w:w="6988" w:type="dxa"/>
            <w:tcBorders>
              <w:top w:val="single" w:color="000000" w:sz="4" w:space="0"/>
              <w:bottom w:val="single" w:color="000000" w:sz="4" w:space="0"/>
            </w:tcBorders>
          </w:tcPr>
          <w:p>
            <w:pPr>
              <w:spacing w:after="120" w:line="240" w:lineRule="auto"/>
              <w:jc w:val="left"/>
              <w:rPr>
                <w:sz w:val="20"/>
                <w:szCs w:val="20"/>
              </w:rPr>
            </w:pPr>
            <w:r>
              <w:rPr>
                <w:sz w:val="24"/>
                <w:szCs w:val="24"/>
              </w:rPr>
              <w:t>(</w:t>
            </w:r>
            <w:r>
              <w:rPr>
                <w:rFonts w:ascii="Calibri" w:hAnsi="Calibri" w:eastAsia="Times New Roman" w:cs="Calibri"/>
                <w:sz w:val="22"/>
                <w:szCs w:val="20"/>
                <w:lang w:val="en-US" w:eastAsia="en-US" w:bidi="en-US"/>
              </w:rPr>
              <w:t>a) The effect of the Borrmann type combined with vessel invasion status on the prognosis of advanced gastric cancer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2135" w:type="dxa"/>
            <w:tcBorders>
              <w:bottom w:val="single" w:color="000000" w:sz="4" w:space="0"/>
            </w:tcBorders>
          </w:tcPr>
          <w:p>
            <w:pPr>
              <w:pStyle w:val="9"/>
              <w:spacing w:before="0" w:line="240" w:lineRule="auto"/>
              <w:rPr>
                <w:sz w:val="20"/>
              </w:rPr>
            </w:pPr>
          </w:p>
        </w:tc>
        <w:tc>
          <w:tcPr>
            <w:tcW w:w="737" w:type="dxa"/>
            <w:tcBorders>
              <w:bottom w:val="single" w:color="000000" w:sz="4" w:space="0"/>
            </w:tcBorders>
          </w:tcPr>
          <w:p>
            <w:pPr>
              <w:pStyle w:val="9"/>
              <w:spacing w:before="0" w:line="240" w:lineRule="auto"/>
              <w:rPr>
                <w:sz w:val="20"/>
              </w:rPr>
            </w:pPr>
          </w:p>
        </w:tc>
        <w:tc>
          <w:tcPr>
            <w:tcW w:w="6988" w:type="dxa"/>
            <w:tcBorders>
              <w:top w:val="single" w:color="000000" w:sz="4" w:space="0"/>
              <w:bottom w:val="single" w:color="000000" w:sz="4" w:space="0"/>
            </w:tcBorders>
          </w:tcPr>
          <w:p>
            <w:pPr>
              <w:spacing w:after="120" w:line="240" w:lineRule="auto"/>
              <w:rPr>
                <w:rFonts w:ascii="Calibri" w:hAnsi="Calibri" w:eastAsia="Times New Roman" w:cs="Calibri"/>
                <w:sz w:val="22"/>
                <w:szCs w:val="20"/>
                <w:lang w:val="en-US" w:eastAsia="en-US" w:bidi="en-US"/>
              </w:rPr>
            </w:pPr>
            <w:r>
              <w:rPr>
                <w:rFonts w:ascii="Calibri" w:hAnsi="Calibri" w:eastAsia="Times New Roman" w:cs="Calibri"/>
                <w:sz w:val="22"/>
                <w:szCs w:val="20"/>
                <w:lang w:val="en-US" w:eastAsia="en-US" w:bidi="en-US"/>
              </w:rPr>
              <w:t xml:space="preserve">(b) </w:t>
            </w:r>
            <w:r>
              <w:rPr>
                <w:rFonts w:ascii="Calibri" w:hAnsi="Calibri" w:eastAsia="Times New Roman" w:cs="Calibri"/>
                <w:sz w:val="22"/>
                <w:szCs w:val="20"/>
                <w:lang w:val="en-US" w:eastAsia="en-US" w:bidi="en-US"/>
              </w:rPr>
              <w:t>To evaluate the significance of the Borrmann ty</w:t>
            </w:r>
            <w:bookmarkStart w:id="0" w:name="_GoBack"/>
            <w:bookmarkEnd w:id="0"/>
            <w:r>
              <w:rPr>
                <w:rFonts w:ascii="Calibri" w:hAnsi="Calibri" w:eastAsia="Times New Roman" w:cs="Calibri"/>
                <w:sz w:val="22"/>
                <w:szCs w:val="20"/>
                <w:lang w:val="en-US" w:eastAsia="en-US" w:bidi="en-US"/>
              </w:rPr>
              <w:t xml:space="preserve">pe combined with vessel invasion status on </w:t>
            </w:r>
            <w:r>
              <w:rPr>
                <w:rFonts w:hint="eastAsia" w:ascii="Calibri" w:hAnsi="Calibri" w:eastAsia="Times New Roman" w:cs="Calibri"/>
                <w:sz w:val="22"/>
                <w:szCs w:val="20"/>
                <w:lang w:val="en-US" w:eastAsia="en-US" w:bidi="en-US"/>
              </w:rPr>
              <w:t>the</w:t>
            </w:r>
            <w:r>
              <w:rPr>
                <w:rFonts w:ascii="Calibri" w:hAnsi="Calibri" w:eastAsia="Times New Roman" w:cs="Calibri"/>
                <w:sz w:val="22"/>
                <w:szCs w:val="20"/>
                <w:lang w:val="en-US" w:eastAsia="en-US" w:bidi="en-US"/>
              </w:rPr>
              <w:t xml:space="preserve"> prognosis of advanced gastric cancer.</w:t>
            </w:r>
          </w:p>
          <w:p>
            <w:pPr>
              <w:pStyle w:val="9"/>
              <w:spacing w:before="70" w:line="240" w:lineRule="auto"/>
              <w:ind w:left="109"/>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135" w:type="dxa"/>
            <w:tcBorders>
              <w:top w:val="single" w:color="000000" w:sz="4" w:space="0"/>
              <w:bottom w:val="single" w:color="000000" w:sz="4" w:space="0"/>
            </w:tcBorders>
          </w:tcPr>
          <w:p>
            <w:pPr>
              <w:pStyle w:val="9"/>
              <w:spacing w:before="120" w:line="240" w:lineRule="auto"/>
              <w:ind w:left="107"/>
              <w:rPr>
                <w:b/>
                <w:sz w:val="20"/>
              </w:rPr>
            </w:pPr>
            <w:r>
              <w:rPr>
                <w:b/>
                <w:sz w:val="20"/>
              </w:rPr>
              <w:t>Introduction</w:t>
            </w:r>
          </w:p>
        </w:tc>
        <w:tc>
          <w:tcPr>
            <w:tcW w:w="737" w:type="dxa"/>
            <w:tcBorders>
              <w:top w:val="single" w:color="000000" w:sz="4" w:space="0"/>
              <w:bottom w:val="single" w:color="000000" w:sz="4" w:space="0"/>
            </w:tcBorders>
          </w:tcPr>
          <w:p>
            <w:pPr>
              <w:pStyle w:val="9"/>
              <w:spacing w:before="0" w:line="240" w:lineRule="auto"/>
              <w:rPr>
                <w:sz w:val="20"/>
              </w:rPr>
            </w:pPr>
          </w:p>
        </w:tc>
        <w:tc>
          <w:tcPr>
            <w:tcW w:w="6988" w:type="dxa"/>
            <w:tcBorders>
              <w:top w:val="single" w:color="000000" w:sz="4" w:space="0"/>
              <w:bottom w:val="single" w:color="000000" w:sz="4" w:space="0"/>
            </w:tcBorders>
          </w:tcPr>
          <w:p>
            <w:pPr>
              <w:pStyle w:val="9"/>
              <w:spacing w:before="0" w:line="240" w:lineRule="auto"/>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135" w:type="dxa"/>
            <w:tcBorders>
              <w:top w:val="single" w:color="000000" w:sz="4" w:space="0"/>
              <w:bottom w:val="single" w:color="000000" w:sz="4" w:space="0"/>
            </w:tcBorders>
          </w:tcPr>
          <w:p>
            <w:pPr>
              <w:pStyle w:val="9"/>
              <w:spacing w:before="55" w:line="240" w:lineRule="auto"/>
              <w:ind w:left="107"/>
              <w:rPr>
                <w:sz w:val="20"/>
              </w:rPr>
            </w:pPr>
            <w:r>
              <w:rPr>
                <w:sz w:val="20"/>
              </w:rPr>
              <w:t>Background/rationale</w:t>
            </w:r>
          </w:p>
        </w:tc>
        <w:tc>
          <w:tcPr>
            <w:tcW w:w="737" w:type="dxa"/>
            <w:tcBorders>
              <w:top w:val="single" w:color="000000" w:sz="4" w:space="0"/>
              <w:bottom w:val="single" w:color="000000" w:sz="4" w:space="0"/>
            </w:tcBorders>
          </w:tcPr>
          <w:p>
            <w:pPr>
              <w:pStyle w:val="9"/>
              <w:spacing w:before="55" w:line="240" w:lineRule="auto"/>
              <w:jc w:val="center"/>
              <w:rPr>
                <w:sz w:val="20"/>
              </w:rPr>
            </w:pPr>
            <w:r>
              <w:rPr>
                <w:w w:val="99"/>
                <w:sz w:val="20"/>
              </w:rPr>
              <w:t>2</w:t>
            </w:r>
          </w:p>
        </w:tc>
        <w:tc>
          <w:tcPr>
            <w:tcW w:w="6988" w:type="dxa"/>
            <w:tcBorders>
              <w:top w:val="single" w:color="000000" w:sz="4" w:space="0"/>
              <w:bottom w:val="single" w:color="000000" w:sz="4" w:space="0"/>
            </w:tcBorders>
          </w:tcPr>
          <w:p>
            <w:pPr>
              <w:spacing w:after="120" w:line="240" w:lineRule="auto"/>
              <w:rPr>
                <w:rFonts w:ascii="Calibri" w:hAnsi="Calibri" w:eastAsia="Times New Roman" w:cs="Calibri"/>
                <w:sz w:val="22"/>
                <w:szCs w:val="20"/>
                <w:lang w:val="en-US" w:eastAsia="en-US" w:bidi="en-US"/>
              </w:rPr>
            </w:pPr>
            <w:r>
              <w:rPr>
                <w:rFonts w:ascii="Calibri" w:hAnsi="Calibri" w:eastAsia="Times New Roman" w:cs="Calibri"/>
                <w:sz w:val="22"/>
                <w:szCs w:val="20"/>
                <w:lang w:val="en-US" w:eastAsia="en-US" w:bidi="en-US"/>
              </w:rPr>
              <w:t xml:space="preserve">To evaluate the significance of the Borrmann type combined with vessel invasion status on </w:t>
            </w:r>
            <w:r>
              <w:rPr>
                <w:rFonts w:hint="eastAsia" w:ascii="Calibri" w:hAnsi="Calibri" w:eastAsia="Times New Roman" w:cs="Calibri"/>
                <w:sz w:val="22"/>
                <w:szCs w:val="20"/>
                <w:lang w:val="en-US" w:eastAsia="en-US" w:bidi="en-US"/>
              </w:rPr>
              <w:t>the</w:t>
            </w:r>
            <w:r>
              <w:rPr>
                <w:rFonts w:ascii="Calibri" w:hAnsi="Calibri" w:eastAsia="Times New Roman" w:cs="Calibri"/>
                <w:sz w:val="22"/>
                <w:szCs w:val="20"/>
                <w:lang w:val="en-US" w:eastAsia="en-US" w:bidi="en-US"/>
              </w:rPr>
              <w:t xml:space="preserve"> prognosis of advanced gastric cancer.</w:t>
            </w:r>
          </w:p>
          <w:p>
            <w:pPr>
              <w:pStyle w:val="9"/>
              <w:spacing w:before="55" w:line="240" w:lineRule="auto"/>
              <w:ind w:left="109"/>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135" w:type="dxa"/>
            <w:tcBorders>
              <w:top w:val="single" w:color="000000" w:sz="4" w:space="0"/>
              <w:bottom w:val="single" w:color="000000" w:sz="4" w:space="0"/>
            </w:tcBorders>
          </w:tcPr>
          <w:p>
            <w:pPr>
              <w:pStyle w:val="9"/>
              <w:spacing w:line="240" w:lineRule="auto"/>
              <w:ind w:left="107"/>
              <w:rPr>
                <w:sz w:val="20"/>
              </w:rPr>
            </w:pPr>
            <w:r>
              <w:rPr>
                <w:sz w:val="20"/>
              </w:rPr>
              <w:t>Objectives</w:t>
            </w:r>
          </w:p>
        </w:tc>
        <w:tc>
          <w:tcPr>
            <w:tcW w:w="737" w:type="dxa"/>
            <w:tcBorders>
              <w:top w:val="single" w:color="000000" w:sz="4" w:space="0"/>
              <w:bottom w:val="single" w:color="000000" w:sz="4" w:space="0"/>
            </w:tcBorders>
          </w:tcPr>
          <w:p>
            <w:pPr>
              <w:pStyle w:val="9"/>
              <w:spacing w:line="240" w:lineRule="auto"/>
              <w:jc w:val="center"/>
              <w:rPr>
                <w:sz w:val="20"/>
              </w:rPr>
            </w:pPr>
            <w:r>
              <w:rPr>
                <w:w w:val="99"/>
                <w:sz w:val="20"/>
              </w:rPr>
              <w:t>3</w:t>
            </w:r>
          </w:p>
        </w:tc>
        <w:tc>
          <w:tcPr>
            <w:tcW w:w="6988" w:type="dxa"/>
            <w:tcBorders>
              <w:top w:val="single" w:color="000000" w:sz="4" w:space="0"/>
              <w:bottom w:val="single" w:color="000000" w:sz="4" w:space="0"/>
            </w:tcBorders>
          </w:tcPr>
          <w:p>
            <w:pPr>
              <w:spacing w:after="120" w:line="240" w:lineRule="auto"/>
              <w:rPr>
                <w:rFonts w:ascii="Calibri" w:hAnsi="Calibri" w:cs="Calibri"/>
                <w:sz w:val="22"/>
                <w:szCs w:val="20"/>
              </w:rPr>
            </w:pPr>
            <w:r>
              <w:rPr>
                <w:rFonts w:ascii="Calibri" w:hAnsi="Calibri" w:cs="Calibri"/>
                <w:sz w:val="22"/>
                <w:szCs w:val="20"/>
              </w:rPr>
              <w:t xml:space="preserve">To evaluate the significance of the Borrmann type combined with vessel invasion status on </w:t>
            </w:r>
            <w:r>
              <w:rPr>
                <w:rFonts w:hint="eastAsia" w:ascii="Calibri" w:hAnsi="Calibri" w:cs="Calibri"/>
                <w:sz w:val="22"/>
                <w:szCs w:val="20"/>
              </w:rPr>
              <w:t>the</w:t>
            </w:r>
            <w:r>
              <w:rPr>
                <w:rFonts w:ascii="Calibri" w:hAnsi="Calibri" w:cs="Calibri"/>
                <w:sz w:val="22"/>
                <w:szCs w:val="20"/>
              </w:rPr>
              <w:t xml:space="preserve"> prognosis of advanced gastric cancer</w:t>
            </w:r>
            <w:r>
              <w:rPr>
                <w:rFonts w:ascii="Calibri" w:hAnsi="Calibri" w:eastAsia="宋体" w:cs="Calibri"/>
                <w:sz w:val="22"/>
                <w:szCs w:val="20"/>
              </w:rPr>
              <w:t>.</w:t>
            </w:r>
          </w:p>
          <w:p>
            <w:pPr>
              <w:pStyle w:val="9"/>
              <w:spacing w:line="240" w:lineRule="auto"/>
              <w:ind w:left="109"/>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135" w:type="dxa"/>
            <w:tcBorders>
              <w:top w:val="single" w:color="000000" w:sz="4" w:space="0"/>
              <w:bottom w:val="single" w:color="000000" w:sz="4" w:space="0"/>
            </w:tcBorders>
          </w:tcPr>
          <w:p>
            <w:pPr>
              <w:pStyle w:val="9"/>
              <w:spacing w:before="118" w:line="240" w:lineRule="auto"/>
              <w:ind w:left="107"/>
              <w:rPr>
                <w:b/>
                <w:sz w:val="20"/>
              </w:rPr>
            </w:pPr>
            <w:r>
              <w:rPr>
                <w:b/>
                <w:sz w:val="20"/>
              </w:rPr>
              <w:t>Methods</w:t>
            </w:r>
          </w:p>
        </w:tc>
        <w:tc>
          <w:tcPr>
            <w:tcW w:w="737" w:type="dxa"/>
            <w:tcBorders>
              <w:top w:val="single" w:color="000000" w:sz="4" w:space="0"/>
              <w:bottom w:val="single" w:color="000000" w:sz="4" w:space="0"/>
            </w:tcBorders>
          </w:tcPr>
          <w:p>
            <w:pPr>
              <w:pStyle w:val="9"/>
              <w:spacing w:before="0" w:line="240" w:lineRule="auto"/>
              <w:rPr>
                <w:sz w:val="20"/>
              </w:rPr>
            </w:pPr>
          </w:p>
        </w:tc>
        <w:tc>
          <w:tcPr>
            <w:tcW w:w="6988" w:type="dxa"/>
            <w:tcBorders>
              <w:top w:val="single" w:color="000000" w:sz="4" w:space="0"/>
              <w:bottom w:val="single" w:color="000000" w:sz="4" w:space="0"/>
            </w:tcBorders>
          </w:tcPr>
          <w:p>
            <w:pPr>
              <w:pStyle w:val="9"/>
              <w:spacing w:before="0" w:line="240" w:lineRule="auto"/>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135" w:type="dxa"/>
            <w:tcBorders>
              <w:top w:val="single" w:color="000000" w:sz="4" w:space="0"/>
              <w:bottom w:val="single" w:color="000000" w:sz="4" w:space="0"/>
            </w:tcBorders>
          </w:tcPr>
          <w:p>
            <w:pPr>
              <w:pStyle w:val="9"/>
              <w:spacing w:line="240" w:lineRule="auto"/>
              <w:ind w:left="107"/>
              <w:rPr>
                <w:sz w:val="20"/>
              </w:rPr>
            </w:pPr>
            <w:r>
              <w:rPr>
                <w:sz w:val="20"/>
              </w:rPr>
              <w:t>Study design</w:t>
            </w:r>
          </w:p>
        </w:tc>
        <w:tc>
          <w:tcPr>
            <w:tcW w:w="737" w:type="dxa"/>
            <w:tcBorders>
              <w:top w:val="single" w:color="000000" w:sz="4" w:space="0"/>
              <w:bottom w:val="single" w:color="000000" w:sz="4" w:space="0"/>
            </w:tcBorders>
          </w:tcPr>
          <w:p>
            <w:pPr>
              <w:pStyle w:val="9"/>
              <w:spacing w:line="240" w:lineRule="auto"/>
              <w:jc w:val="center"/>
              <w:rPr>
                <w:sz w:val="20"/>
              </w:rPr>
            </w:pPr>
            <w:r>
              <w:rPr>
                <w:w w:val="99"/>
                <w:sz w:val="20"/>
              </w:rPr>
              <w:t>4</w:t>
            </w:r>
          </w:p>
        </w:tc>
        <w:tc>
          <w:tcPr>
            <w:tcW w:w="6988" w:type="dxa"/>
            <w:tcBorders>
              <w:top w:val="single" w:color="000000" w:sz="4" w:space="0"/>
              <w:bottom w:val="single" w:color="000000" w:sz="4" w:space="0"/>
            </w:tcBorders>
          </w:tcPr>
          <w:p>
            <w:pPr>
              <w:pStyle w:val="9"/>
              <w:spacing w:line="240" w:lineRule="auto"/>
              <w:ind w:left="109"/>
              <w:rPr>
                <w:sz w:val="20"/>
                <w:szCs w:val="20"/>
              </w:rPr>
            </w:pPr>
            <w:r>
              <w:rPr>
                <w:rFonts w:ascii="Calibri" w:hAnsi="Calibri" w:cs="Calibri"/>
                <w:sz w:val="22"/>
                <w:szCs w:val="20"/>
              </w:rPr>
              <w:t xml:space="preserve">This retrospective study included 2604 patients with advanced gastric cancer who underwent gastric cancer resection at the Gastrointestinal Surgery Department in </w:t>
            </w:r>
            <w:r>
              <w:rPr>
                <w:rFonts w:ascii="Calibri" w:hAnsi="Calibri" w:cs="Calibri"/>
                <w:color w:val="231F20"/>
                <w:sz w:val="22"/>
                <w:szCs w:val="20"/>
              </w:rPr>
              <w:t>Harbin Medical University Cancer Hospital</w:t>
            </w:r>
            <w:r>
              <w:rPr>
                <w:rFonts w:ascii="Calibri" w:hAnsi="Calibri" w:cs="Calibri"/>
                <w:sz w:val="22"/>
                <w:szCs w:val="20"/>
              </w:rPr>
              <w:t xml:space="preserve"> from January 2009 to December 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2135" w:type="dxa"/>
            <w:tcBorders>
              <w:top w:val="single" w:color="000000" w:sz="4" w:space="0"/>
              <w:bottom w:val="single" w:color="000000" w:sz="4" w:space="0"/>
            </w:tcBorders>
          </w:tcPr>
          <w:p>
            <w:pPr>
              <w:pStyle w:val="9"/>
              <w:spacing w:line="240" w:lineRule="auto"/>
              <w:ind w:left="107"/>
              <w:rPr>
                <w:sz w:val="20"/>
              </w:rPr>
            </w:pPr>
            <w:r>
              <w:rPr>
                <w:sz w:val="20"/>
              </w:rPr>
              <w:t>Setting</w:t>
            </w:r>
          </w:p>
        </w:tc>
        <w:tc>
          <w:tcPr>
            <w:tcW w:w="737" w:type="dxa"/>
            <w:tcBorders>
              <w:top w:val="single" w:color="000000" w:sz="4" w:space="0"/>
              <w:bottom w:val="single" w:color="000000" w:sz="4" w:space="0"/>
            </w:tcBorders>
          </w:tcPr>
          <w:p>
            <w:pPr>
              <w:pStyle w:val="9"/>
              <w:spacing w:line="240" w:lineRule="auto"/>
              <w:jc w:val="center"/>
              <w:rPr>
                <w:sz w:val="20"/>
              </w:rPr>
            </w:pPr>
            <w:r>
              <w:rPr>
                <w:w w:val="99"/>
                <w:sz w:val="20"/>
              </w:rPr>
              <w:t>5</w:t>
            </w:r>
          </w:p>
        </w:tc>
        <w:tc>
          <w:tcPr>
            <w:tcW w:w="6988" w:type="dxa"/>
            <w:tcBorders>
              <w:top w:val="single" w:color="000000" w:sz="4" w:space="0"/>
              <w:bottom w:val="single" w:color="000000" w:sz="4" w:space="0"/>
            </w:tcBorders>
          </w:tcPr>
          <w:p>
            <w:pPr>
              <w:pStyle w:val="9"/>
              <w:spacing w:before="0" w:line="240" w:lineRule="auto"/>
              <w:ind w:left="109"/>
              <w:rPr>
                <w:sz w:val="20"/>
                <w:szCs w:val="20"/>
              </w:rPr>
            </w:pPr>
            <w:r>
              <w:rPr>
                <w:rFonts w:ascii="Calibri" w:hAnsi="Calibri" w:cs="Calibri"/>
                <w:sz w:val="22"/>
                <w:szCs w:val="20"/>
              </w:rPr>
              <w:t>This retrospective study included 2604 patients with advanced gastric cancer who underwent gastric cancer resection at the Gastrointestinal Surgery Department in Harbin Medical University Cancer Hospital</w:t>
            </w:r>
            <w:r>
              <w:rPr>
                <w:rFonts w:ascii="Calibri" w:hAnsi="Calibri" w:cs="Calibri"/>
                <w:sz w:val="22"/>
                <w:szCs w:val="20"/>
              </w:rPr>
              <w:t xml:space="preserve"> from January 2009 to December 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2135" w:type="dxa"/>
            <w:tcBorders>
              <w:top w:val="single" w:color="000000" w:sz="4" w:space="0"/>
            </w:tcBorders>
          </w:tcPr>
          <w:p>
            <w:pPr>
              <w:pStyle w:val="9"/>
              <w:spacing w:line="240" w:lineRule="auto"/>
              <w:ind w:left="107"/>
              <w:rPr>
                <w:sz w:val="20"/>
              </w:rPr>
            </w:pPr>
            <w:r>
              <w:rPr>
                <w:sz w:val="20"/>
              </w:rPr>
              <w:t>Participants</w:t>
            </w:r>
          </w:p>
        </w:tc>
        <w:tc>
          <w:tcPr>
            <w:tcW w:w="737" w:type="dxa"/>
            <w:tcBorders>
              <w:top w:val="single" w:color="000000" w:sz="4" w:space="0"/>
            </w:tcBorders>
          </w:tcPr>
          <w:p>
            <w:pPr>
              <w:pStyle w:val="9"/>
              <w:spacing w:line="240" w:lineRule="auto"/>
              <w:jc w:val="center"/>
              <w:rPr>
                <w:sz w:val="20"/>
              </w:rPr>
            </w:pPr>
            <w:r>
              <w:rPr>
                <w:w w:val="99"/>
                <w:sz w:val="20"/>
              </w:rPr>
              <w:t>6</w:t>
            </w:r>
          </w:p>
        </w:tc>
        <w:tc>
          <w:tcPr>
            <w:tcW w:w="6988" w:type="dxa"/>
            <w:tcBorders>
              <w:top w:val="single" w:color="000000" w:sz="4" w:space="0"/>
              <w:bottom w:val="single" w:color="000000" w:sz="4" w:space="0"/>
            </w:tcBorders>
          </w:tcPr>
          <w:p>
            <w:pPr>
              <w:spacing w:after="120" w:line="240" w:lineRule="auto"/>
              <w:rPr>
                <w:sz w:val="20"/>
                <w:szCs w:val="20"/>
              </w:rPr>
            </w:pPr>
            <w:r>
              <w:rPr>
                <w:sz w:val="20"/>
                <w:szCs w:val="20"/>
                <w:lang w:val="en-GB"/>
              </w:rPr>
              <w:t xml:space="preserve"> </w:t>
            </w:r>
            <w:r>
              <w:rPr>
                <w:rFonts w:ascii="Calibri" w:hAnsi="Calibri" w:cs="Calibri"/>
                <w:sz w:val="22"/>
                <w:szCs w:val="20"/>
              </w:rPr>
              <w:t xml:space="preserve">We </w:t>
            </w:r>
            <w:r>
              <w:rPr>
                <w:rFonts w:ascii="Calibri" w:hAnsi="Calibri" w:eastAsia="Times New Roman" w:cs="Calibri"/>
                <w:sz w:val="22"/>
                <w:szCs w:val="20"/>
                <w:lang w:val="en-US" w:eastAsia="en-US" w:bidi="en-US"/>
              </w:rPr>
              <w:t xml:space="preserve">excluded </w:t>
            </w:r>
            <w:r>
              <w:rPr>
                <w:rFonts w:ascii="Calibri" w:hAnsi="Calibri" w:cs="Calibri"/>
                <w:sz w:val="22"/>
                <w:szCs w:val="20"/>
              </w:rPr>
              <w:t>the following patients: (1) patients undergoing neoadjuvant chemotherapy or perioperative radiochemotherapy; (2) patients with other gastric tumors (lymphoma, stromal tumor, residual gastric cancer, etc.) and other malignant tumors (</w:t>
            </w:r>
            <w:r>
              <w:rPr>
                <w:rFonts w:ascii="Calibri" w:hAnsi="Calibri" w:eastAsia="宋体" w:cs="Calibri"/>
                <w:sz w:val="22"/>
                <w:szCs w:val="20"/>
              </w:rPr>
              <w:t>cancer</w:t>
            </w:r>
            <w:r>
              <w:rPr>
                <w:rFonts w:ascii="Calibri" w:hAnsi="Calibri" w:cs="Calibri"/>
                <w:sz w:val="22"/>
                <w:szCs w:val="20"/>
              </w:rPr>
              <w:t>, colorectal cancer, etc.</w:t>
            </w:r>
            <w:r>
              <w:rPr>
                <w:rFonts w:ascii="Calibri" w:hAnsi="Calibri" w:eastAsia="宋体" w:cs="Calibri"/>
                <w:sz w:val="22"/>
                <w:szCs w:val="20"/>
              </w:rPr>
              <w:t>)</w:t>
            </w:r>
            <w:r>
              <w:rPr>
                <w:rFonts w:ascii="Calibri" w:hAnsi="Calibri" w:cs="Calibri"/>
                <w:sz w:val="22"/>
                <w:szCs w:val="20"/>
              </w:rPr>
              <w:t xml:space="preserve">; (3) </w:t>
            </w:r>
            <w:r>
              <w:rPr>
                <w:rFonts w:ascii="Calibri" w:hAnsi="Calibri" w:eastAsia="宋体" w:cs="Calibri"/>
                <w:sz w:val="22"/>
                <w:szCs w:val="20"/>
              </w:rPr>
              <w:t>patients</w:t>
            </w:r>
            <w:r>
              <w:rPr>
                <w:rFonts w:ascii="Calibri" w:hAnsi="Calibri" w:cs="Calibri"/>
                <w:sz w:val="22"/>
                <w:szCs w:val="20"/>
              </w:rPr>
              <w:t xml:space="preserve"> undergoing palliative surgery; (4) patients with </w:t>
            </w:r>
            <w:r>
              <w:rPr>
                <w:rFonts w:ascii="Calibri" w:hAnsi="Calibri" w:eastAsia="宋体" w:cs="Calibri"/>
                <w:sz w:val="22"/>
                <w:szCs w:val="20"/>
              </w:rPr>
              <w:t>gastric</w:t>
            </w:r>
            <w:r>
              <w:rPr>
                <w:rFonts w:ascii="Calibri" w:hAnsi="Calibri" w:cs="Calibri"/>
                <w:sz w:val="22"/>
                <w:szCs w:val="20"/>
              </w:rPr>
              <w:t xml:space="preserve"> stump cancer; and (5) patients with Borrmann type V gastric cancer. After excluding these factors, a total of 2604 patients were included in the study.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2135" w:type="dxa"/>
            <w:tcBorders>
              <w:top w:val="single" w:color="000000" w:sz="4" w:space="0"/>
              <w:bottom w:val="single" w:color="000000" w:sz="4" w:space="0"/>
            </w:tcBorders>
          </w:tcPr>
          <w:p>
            <w:pPr>
              <w:pStyle w:val="9"/>
              <w:spacing w:before="55" w:line="240" w:lineRule="auto"/>
              <w:ind w:left="107"/>
              <w:rPr>
                <w:sz w:val="20"/>
              </w:rPr>
            </w:pPr>
            <w:r>
              <w:rPr>
                <w:sz w:val="20"/>
              </w:rPr>
              <w:t>Variables</w:t>
            </w:r>
          </w:p>
        </w:tc>
        <w:tc>
          <w:tcPr>
            <w:tcW w:w="737" w:type="dxa"/>
            <w:tcBorders>
              <w:top w:val="single" w:color="000000" w:sz="4" w:space="0"/>
              <w:bottom w:val="single" w:color="000000" w:sz="4" w:space="0"/>
            </w:tcBorders>
          </w:tcPr>
          <w:p>
            <w:pPr>
              <w:pStyle w:val="9"/>
              <w:spacing w:before="55" w:line="240" w:lineRule="auto"/>
              <w:jc w:val="center"/>
              <w:rPr>
                <w:sz w:val="20"/>
              </w:rPr>
            </w:pPr>
            <w:r>
              <w:rPr>
                <w:w w:val="99"/>
                <w:sz w:val="20"/>
              </w:rPr>
              <w:t>7</w:t>
            </w:r>
          </w:p>
        </w:tc>
        <w:tc>
          <w:tcPr>
            <w:tcW w:w="6988" w:type="dxa"/>
            <w:tcBorders>
              <w:top w:val="single" w:color="000000" w:sz="4" w:space="0"/>
              <w:bottom w:val="single" w:color="000000" w:sz="4" w:space="0"/>
            </w:tcBorders>
          </w:tcPr>
          <w:p>
            <w:pPr>
              <w:pStyle w:val="9"/>
              <w:spacing w:before="2" w:line="240" w:lineRule="auto"/>
              <w:rPr>
                <w:sz w:val="20"/>
                <w:szCs w:val="20"/>
              </w:rPr>
            </w:pPr>
            <w:r>
              <w:rPr>
                <w:rFonts w:hint="eastAsia"/>
                <w:sz w:val="20"/>
                <w:szCs w:val="20"/>
              </w:rPr>
              <w:t>Not applicable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9" w:hRule="atLeast"/>
        </w:trPr>
        <w:tc>
          <w:tcPr>
            <w:tcW w:w="2135" w:type="dxa"/>
            <w:tcBorders>
              <w:top w:val="single" w:color="000000" w:sz="4" w:space="0"/>
              <w:bottom w:val="single" w:color="000000" w:sz="4" w:space="0"/>
            </w:tcBorders>
          </w:tcPr>
          <w:p>
            <w:pPr>
              <w:pStyle w:val="9"/>
              <w:spacing w:line="240" w:lineRule="auto"/>
              <w:ind w:left="107" w:right="925"/>
              <w:rPr>
                <w:sz w:val="20"/>
              </w:rPr>
            </w:pPr>
            <w:r>
              <w:rPr>
                <w:sz w:val="20"/>
              </w:rPr>
              <w:t>Data sources/ measurement</w:t>
            </w:r>
          </w:p>
        </w:tc>
        <w:tc>
          <w:tcPr>
            <w:tcW w:w="737" w:type="dxa"/>
            <w:tcBorders>
              <w:top w:val="single" w:color="000000" w:sz="4" w:space="0"/>
              <w:bottom w:val="single" w:color="000000" w:sz="4" w:space="0"/>
            </w:tcBorders>
          </w:tcPr>
          <w:p>
            <w:pPr>
              <w:pStyle w:val="9"/>
              <w:spacing w:line="240" w:lineRule="auto"/>
              <w:ind w:left="147" w:right="147"/>
              <w:jc w:val="center"/>
              <w:rPr>
                <w:sz w:val="20"/>
              </w:rPr>
            </w:pPr>
            <w:r>
              <w:rPr>
                <w:sz w:val="20"/>
              </w:rPr>
              <w:t>8*</w:t>
            </w:r>
          </w:p>
        </w:tc>
        <w:tc>
          <w:tcPr>
            <w:tcW w:w="6988" w:type="dxa"/>
            <w:tcBorders>
              <w:top w:val="single" w:color="000000" w:sz="4" w:space="0"/>
              <w:bottom w:val="single" w:color="000000" w:sz="4" w:space="0"/>
            </w:tcBorders>
          </w:tcPr>
          <w:p>
            <w:pPr>
              <w:pStyle w:val="9"/>
              <w:spacing w:before="2" w:line="240" w:lineRule="auto"/>
              <w:ind w:left="109"/>
              <w:rPr>
                <w:sz w:val="20"/>
                <w:szCs w:val="20"/>
                <w:lang w:val="en-GB"/>
              </w:rPr>
            </w:pPr>
            <w:r>
              <w:rPr>
                <w:sz w:val="20"/>
                <w:szCs w:val="20"/>
                <w:lang w:val="en-GB"/>
              </w:rPr>
              <w:t>The data is this study is from the database of gastrointestinal surgery in Cancer Hospital.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135" w:type="dxa"/>
            <w:tcBorders>
              <w:top w:val="single" w:color="000000" w:sz="4" w:space="0"/>
              <w:bottom w:val="single" w:color="000000" w:sz="4" w:space="0"/>
            </w:tcBorders>
          </w:tcPr>
          <w:p>
            <w:pPr>
              <w:pStyle w:val="9"/>
              <w:spacing w:line="240" w:lineRule="auto"/>
              <w:ind w:left="107"/>
              <w:rPr>
                <w:sz w:val="20"/>
              </w:rPr>
            </w:pPr>
            <w:r>
              <w:rPr>
                <w:sz w:val="20"/>
              </w:rPr>
              <w:t>Bias</w:t>
            </w:r>
          </w:p>
        </w:tc>
        <w:tc>
          <w:tcPr>
            <w:tcW w:w="737" w:type="dxa"/>
            <w:tcBorders>
              <w:top w:val="single" w:color="000000" w:sz="4" w:space="0"/>
              <w:bottom w:val="single" w:color="000000" w:sz="4" w:space="0"/>
            </w:tcBorders>
          </w:tcPr>
          <w:p>
            <w:pPr>
              <w:pStyle w:val="9"/>
              <w:spacing w:line="240" w:lineRule="auto"/>
              <w:jc w:val="center"/>
              <w:rPr>
                <w:sz w:val="20"/>
              </w:rPr>
            </w:pPr>
            <w:r>
              <w:rPr>
                <w:w w:val="99"/>
                <w:sz w:val="20"/>
              </w:rPr>
              <w:t>9</w:t>
            </w:r>
          </w:p>
        </w:tc>
        <w:tc>
          <w:tcPr>
            <w:tcW w:w="6988" w:type="dxa"/>
            <w:tcBorders>
              <w:top w:val="single" w:color="000000" w:sz="4" w:space="0"/>
              <w:bottom w:val="single" w:color="000000" w:sz="4" w:space="0"/>
            </w:tcBorders>
          </w:tcPr>
          <w:p>
            <w:pPr>
              <w:pStyle w:val="9"/>
              <w:spacing w:line="240" w:lineRule="auto"/>
              <w:ind w:left="109"/>
              <w:rPr>
                <w:sz w:val="20"/>
                <w:szCs w:val="20"/>
              </w:rPr>
            </w:pPr>
            <w:r>
              <w:rPr>
                <w:sz w:val="20"/>
                <w:szCs w:val="20"/>
                <w:lang w:val="en-GB"/>
              </w:rPr>
              <w:t xml:space="preserve"> However, as previous report , adjuvant chemotherapy regimens have changed significantly in the past of decades, which has led to heterogeneity in chemotherapy, number of cycles, and treatment regimens. Therefore, the details of adjuvant chemotherapy were not considered for statistical analysis in this study.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135" w:type="dxa"/>
            <w:tcBorders>
              <w:top w:val="single" w:color="000000" w:sz="4" w:space="0"/>
              <w:bottom w:val="single" w:color="000000" w:sz="4" w:space="0"/>
            </w:tcBorders>
          </w:tcPr>
          <w:p>
            <w:pPr>
              <w:pStyle w:val="9"/>
              <w:spacing w:line="240" w:lineRule="auto"/>
              <w:ind w:left="107"/>
              <w:rPr>
                <w:sz w:val="20"/>
              </w:rPr>
            </w:pPr>
            <w:r>
              <w:rPr>
                <w:sz w:val="20"/>
              </w:rPr>
              <w:t>Study size</w:t>
            </w:r>
          </w:p>
        </w:tc>
        <w:tc>
          <w:tcPr>
            <w:tcW w:w="737" w:type="dxa"/>
            <w:tcBorders>
              <w:top w:val="single" w:color="000000" w:sz="4" w:space="0"/>
              <w:bottom w:val="single" w:color="000000" w:sz="4" w:space="0"/>
            </w:tcBorders>
          </w:tcPr>
          <w:p>
            <w:pPr>
              <w:pStyle w:val="9"/>
              <w:spacing w:line="240" w:lineRule="auto"/>
              <w:ind w:left="147" w:right="147"/>
              <w:jc w:val="center"/>
              <w:rPr>
                <w:sz w:val="20"/>
              </w:rPr>
            </w:pPr>
            <w:r>
              <w:rPr>
                <w:sz w:val="20"/>
              </w:rPr>
              <w:t>10</w:t>
            </w:r>
          </w:p>
        </w:tc>
        <w:tc>
          <w:tcPr>
            <w:tcW w:w="6988" w:type="dxa"/>
            <w:tcBorders>
              <w:top w:val="single" w:color="000000" w:sz="4" w:space="0"/>
              <w:bottom w:val="single" w:color="000000" w:sz="4" w:space="0"/>
            </w:tcBorders>
          </w:tcPr>
          <w:p>
            <w:pPr>
              <w:pStyle w:val="9"/>
              <w:spacing w:line="240" w:lineRule="auto"/>
              <w:ind w:left="109"/>
              <w:rPr>
                <w:sz w:val="20"/>
                <w:szCs w:val="20"/>
              </w:rPr>
            </w:pPr>
            <w:r>
              <w:rPr>
                <w:rFonts w:ascii="Calibri" w:hAnsi="Calibri" w:cs="Calibri"/>
                <w:sz w:val="22"/>
                <w:szCs w:val="20"/>
              </w:rPr>
              <w:t xml:space="preserve">This retrospective study included 2604 patients with advanced gastric cancer who underwent gastric cancer resection at the Gastrointestinal Surgery Department in </w:t>
            </w:r>
            <w:r>
              <w:rPr>
                <w:rFonts w:ascii="Calibri" w:hAnsi="Calibri" w:cs="Calibri"/>
                <w:color w:val="231F20"/>
                <w:sz w:val="22"/>
                <w:szCs w:val="20"/>
              </w:rPr>
              <w:t>Harbin Medical University Cancer Hospital</w:t>
            </w:r>
            <w:r>
              <w:rPr>
                <w:rFonts w:ascii="Calibri" w:hAnsi="Calibri" w:cs="Calibri"/>
                <w:sz w:val="22"/>
                <w:szCs w:val="20"/>
              </w:rPr>
              <w:t xml:space="preserve"> from January 2009 to December 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2135" w:type="dxa"/>
            <w:tcBorders>
              <w:top w:val="single" w:color="000000" w:sz="4" w:space="0"/>
              <w:bottom w:val="single" w:color="000000" w:sz="4" w:space="0"/>
            </w:tcBorders>
          </w:tcPr>
          <w:p>
            <w:pPr>
              <w:pStyle w:val="9"/>
              <w:spacing w:line="240" w:lineRule="auto"/>
              <w:ind w:left="107"/>
              <w:rPr>
                <w:sz w:val="20"/>
              </w:rPr>
            </w:pPr>
            <w:r>
              <w:rPr>
                <w:sz w:val="20"/>
              </w:rPr>
              <w:t>Quantitative variables</w:t>
            </w:r>
          </w:p>
        </w:tc>
        <w:tc>
          <w:tcPr>
            <w:tcW w:w="737" w:type="dxa"/>
            <w:tcBorders>
              <w:top w:val="single" w:color="000000" w:sz="4" w:space="0"/>
              <w:bottom w:val="single" w:color="000000" w:sz="4" w:space="0"/>
            </w:tcBorders>
          </w:tcPr>
          <w:p>
            <w:pPr>
              <w:pStyle w:val="9"/>
              <w:spacing w:line="240" w:lineRule="auto"/>
              <w:ind w:left="147" w:right="147"/>
              <w:jc w:val="center"/>
              <w:rPr>
                <w:sz w:val="20"/>
              </w:rPr>
            </w:pPr>
            <w:r>
              <w:rPr>
                <w:sz w:val="20"/>
              </w:rPr>
              <w:t>11</w:t>
            </w:r>
          </w:p>
        </w:tc>
        <w:tc>
          <w:tcPr>
            <w:tcW w:w="6988" w:type="dxa"/>
            <w:tcBorders>
              <w:top w:val="single" w:color="000000" w:sz="4" w:space="0"/>
              <w:bottom w:val="single" w:color="000000" w:sz="4" w:space="0"/>
            </w:tcBorders>
          </w:tcPr>
          <w:p>
            <w:pPr>
              <w:pStyle w:val="9"/>
              <w:spacing w:before="70" w:line="240" w:lineRule="auto"/>
              <w:ind w:left="109"/>
              <w:rPr>
                <w:sz w:val="20"/>
                <w:szCs w:val="20"/>
              </w:rPr>
            </w:pPr>
            <w:r>
              <w:rPr>
                <w:sz w:val="20"/>
                <w:szCs w:val="20"/>
                <w:lang w:val="en-GB"/>
              </w:rPr>
              <w:t>The data includes demographics, clinicopathological features, diagnosis, surgical records, postoperative results, and follow-up visit.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135" w:type="dxa"/>
            <w:tcBorders>
              <w:top w:val="single" w:color="000000" w:sz="4" w:space="0"/>
            </w:tcBorders>
          </w:tcPr>
          <w:p>
            <w:pPr>
              <w:pStyle w:val="9"/>
              <w:spacing w:line="240" w:lineRule="auto"/>
              <w:ind w:left="107"/>
              <w:rPr>
                <w:sz w:val="20"/>
              </w:rPr>
            </w:pPr>
            <w:r>
              <w:rPr>
                <w:sz w:val="20"/>
              </w:rPr>
              <w:t>Statistical methods</w:t>
            </w:r>
          </w:p>
        </w:tc>
        <w:tc>
          <w:tcPr>
            <w:tcW w:w="737" w:type="dxa"/>
            <w:tcBorders>
              <w:top w:val="single" w:color="000000" w:sz="4" w:space="0"/>
            </w:tcBorders>
          </w:tcPr>
          <w:p>
            <w:pPr>
              <w:pStyle w:val="9"/>
              <w:spacing w:line="240" w:lineRule="auto"/>
              <w:ind w:left="147" w:right="147"/>
              <w:jc w:val="center"/>
              <w:rPr>
                <w:sz w:val="20"/>
              </w:rPr>
            </w:pPr>
            <w:r>
              <w:rPr>
                <w:sz w:val="20"/>
              </w:rPr>
              <w:t>12</w:t>
            </w:r>
          </w:p>
        </w:tc>
        <w:tc>
          <w:tcPr>
            <w:tcW w:w="6988" w:type="dxa"/>
            <w:tcBorders>
              <w:top w:val="single" w:color="000000" w:sz="4" w:space="0"/>
              <w:bottom w:val="single" w:color="000000" w:sz="4" w:space="0"/>
            </w:tcBorders>
          </w:tcPr>
          <w:p>
            <w:pPr>
              <w:widowControl/>
              <w:spacing w:line="240" w:lineRule="auto"/>
              <w:rPr>
                <w:sz w:val="20"/>
                <w:szCs w:val="20"/>
              </w:rPr>
            </w:pPr>
            <w:r>
              <w:rPr>
                <w:rFonts w:ascii="Calibri" w:hAnsi="Calibri" w:cs="Calibri"/>
                <w:sz w:val="22"/>
                <w:szCs w:val="20"/>
              </w:rPr>
              <w:t xml:space="preserve"> The clinical data related to the patients were input into the commercially available software SPSS 22.0, which was used for statistical analysis. Categorical variables were evaluated by the Pearson X2 test; continuous data are expressed as average values, and the Student's t-test was used to evaluate </w:t>
            </w:r>
            <w:r>
              <w:rPr>
                <w:rFonts w:ascii="Calibri" w:hAnsi="Calibri" w:eastAsia="宋体" w:cs="Calibri"/>
                <w:sz w:val="22"/>
                <w:szCs w:val="20"/>
              </w:rPr>
              <w:t>significant</w:t>
            </w:r>
            <w:r>
              <w:rPr>
                <w:rFonts w:ascii="Calibri" w:hAnsi="Calibri" w:cs="Calibri"/>
                <w:sz w:val="22"/>
                <w:szCs w:val="20"/>
              </w:rPr>
              <w:t xml:space="preserve"> differences between average values.</w:t>
            </w:r>
            <w:r>
              <w:rPr>
                <w:rFonts w:ascii="Calibri" w:hAnsi="Calibri" w:eastAsia="宋体" w:cs="Calibri"/>
                <w:sz w:val="22"/>
                <w:szCs w:val="20"/>
              </w:rPr>
              <w:t xml:space="preserve"> </w:t>
            </w:r>
            <w:r>
              <w:rPr>
                <w:rFonts w:ascii="Calibri" w:hAnsi="Calibri" w:cs="Calibri"/>
                <w:sz w:val="22"/>
                <w:szCs w:val="20"/>
              </w:rPr>
              <w:t xml:space="preserve">The Kaplan-Meier method was used to identify differences in cumulative survival rates; multivariate prognostic analysis was performed using </w:t>
            </w:r>
            <w:r>
              <w:rPr>
                <w:rFonts w:ascii="Calibri" w:hAnsi="Calibri" w:eastAsia="宋体" w:cs="Calibri"/>
                <w:sz w:val="22"/>
                <w:szCs w:val="20"/>
              </w:rPr>
              <w:t xml:space="preserve">the </w:t>
            </w:r>
            <w:r>
              <w:rPr>
                <w:rFonts w:ascii="Calibri" w:hAnsi="Calibri" w:cs="Calibri"/>
                <w:sz w:val="22"/>
                <w:szCs w:val="20"/>
              </w:rPr>
              <w:t xml:space="preserve">Cox </w:t>
            </w:r>
            <w:r>
              <w:rPr>
                <w:rFonts w:ascii="Calibri" w:hAnsi="Calibri" w:eastAsia="宋体" w:cs="Calibri"/>
                <w:sz w:val="22"/>
                <w:szCs w:val="20"/>
              </w:rPr>
              <w:t>proportional</w:t>
            </w:r>
            <w:r>
              <w:rPr>
                <w:rFonts w:ascii="Calibri" w:hAnsi="Calibri" w:cs="Calibri"/>
                <w:sz w:val="22"/>
                <w:szCs w:val="20"/>
              </w:rPr>
              <w:t xml:space="preserve"> risk model, and </w:t>
            </w:r>
            <w:r>
              <w:rPr>
                <w:rFonts w:ascii="Calibri" w:hAnsi="Calibri" w:eastAsia="宋体" w:cs="Calibri"/>
                <w:sz w:val="22"/>
                <w:szCs w:val="20"/>
              </w:rPr>
              <w:t xml:space="preserve">a </w:t>
            </w:r>
            <w:r>
              <w:rPr>
                <w:rFonts w:ascii="Calibri" w:hAnsi="Calibri" w:cs="Calibri"/>
                <w:sz w:val="22"/>
                <w:szCs w:val="20"/>
              </w:rPr>
              <w:t xml:space="preserve">P value &lt;0.05 </w:t>
            </w:r>
            <w:r>
              <w:rPr>
                <w:rFonts w:ascii="Calibri" w:hAnsi="Calibri" w:eastAsia="宋体" w:cs="Calibri"/>
                <w:sz w:val="22"/>
                <w:szCs w:val="20"/>
              </w:rPr>
              <w:t>was</w:t>
            </w:r>
            <w:r>
              <w:rPr>
                <w:rFonts w:ascii="Calibri" w:hAnsi="Calibri" w:cs="Calibri"/>
                <w:sz w:val="22"/>
                <w:szCs w:val="20"/>
              </w:rPr>
              <w:t xml:space="preserve"> considered statistically significant.</w:t>
            </w:r>
          </w:p>
        </w:tc>
      </w:tr>
    </w:tbl>
    <w:p>
      <w:pPr>
        <w:spacing w:after="0" w:line="240" w:lineRule="auto"/>
        <w:jc w:val="left"/>
        <w:rPr>
          <w:sz w:val="16"/>
        </w:rPr>
        <w:sectPr>
          <w:footerReference r:id="rId3" w:type="default"/>
          <w:type w:val="continuous"/>
          <w:pgSz w:w="11910" w:h="16840"/>
          <w:pgMar w:top="1060" w:right="920" w:bottom="920" w:left="920" w:header="720" w:footer="734" w:gutter="0"/>
          <w:pgNumType w:start="1"/>
        </w:sectPr>
      </w:pPr>
    </w:p>
    <w:tbl>
      <w:tblPr>
        <w:tblStyle w:val="4"/>
        <w:tblW w:w="0" w:type="auto"/>
        <w:tblInd w:w="1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520"/>
        <w:gridCol w:w="7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500" w:type="dxa"/>
            <w:tcBorders>
              <w:bottom w:val="single" w:color="000000" w:sz="4" w:space="0"/>
            </w:tcBorders>
          </w:tcPr>
          <w:p>
            <w:pPr>
              <w:pStyle w:val="9"/>
              <w:spacing w:before="0" w:line="240" w:lineRule="auto"/>
              <w:rPr>
                <w:b/>
                <w:sz w:val="20"/>
              </w:rPr>
            </w:pPr>
            <w:r>
              <w:rPr>
                <w:b/>
                <w:sz w:val="20"/>
              </w:rPr>
              <w:t>Results</w:t>
            </w:r>
          </w:p>
        </w:tc>
        <w:tc>
          <w:tcPr>
            <w:tcW w:w="520" w:type="dxa"/>
            <w:tcBorders>
              <w:bottom w:val="single" w:color="000000" w:sz="4" w:space="0"/>
            </w:tcBorders>
          </w:tcPr>
          <w:p>
            <w:pPr>
              <w:pStyle w:val="9"/>
              <w:spacing w:before="0" w:line="240" w:lineRule="auto"/>
              <w:rPr>
                <w:sz w:val="14"/>
              </w:rPr>
            </w:pPr>
          </w:p>
        </w:tc>
        <w:tc>
          <w:tcPr>
            <w:tcW w:w="7837" w:type="dxa"/>
            <w:tcBorders>
              <w:bottom w:val="single" w:color="000000" w:sz="4" w:space="0"/>
            </w:tcBorders>
          </w:tcPr>
          <w:p>
            <w:pPr>
              <w:pStyle w:val="9"/>
              <w:spacing w:before="0" w:line="240" w:lineRule="auto"/>
              <w:rPr>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500" w:type="dxa"/>
            <w:tcBorders>
              <w:top w:val="single" w:color="000000" w:sz="4" w:space="0"/>
            </w:tcBorders>
          </w:tcPr>
          <w:p>
            <w:pPr>
              <w:pStyle w:val="9"/>
              <w:spacing w:line="240" w:lineRule="auto"/>
              <w:ind w:left="107"/>
              <w:rPr>
                <w:sz w:val="20"/>
              </w:rPr>
            </w:pPr>
            <w:r>
              <w:rPr>
                <w:sz w:val="20"/>
              </w:rPr>
              <w:t>Participants</w:t>
            </w:r>
          </w:p>
        </w:tc>
        <w:tc>
          <w:tcPr>
            <w:tcW w:w="520" w:type="dxa"/>
            <w:tcBorders>
              <w:top w:val="single" w:color="000000" w:sz="4" w:space="0"/>
            </w:tcBorders>
          </w:tcPr>
          <w:p>
            <w:pPr>
              <w:pStyle w:val="9"/>
              <w:spacing w:line="240" w:lineRule="auto"/>
              <w:ind w:left="115"/>
              <w:rPr>
                <w:sz w:val="20"/>
              </w:rPr>
            </w:pPr>
            <w:r>
              <w:rPr>
                <w:sz w:val="20"/>
              </w:rPr>
              <w:t>13*</w:t>
            </w:r>
          </w:p>
        </w:tc>
        <w:tc>
          <w:tcPr>
            <w:tcW w:w="7837" w:type="dxa"/>
            <w:tcBorders>
              <w:top w:val="single" w:color="000000" w:sz="4" w:space="0"/>
              <w:bottom w:val="single" w:color="000000" w:sz="4" w:space="0"/>
            </w:tcBorders>
          </w:tcPr>
          <w:p>
            <w:pPr>
              <w:pStyle w:val="9"/>
              <w:spacing w:before="0" w:line="240" w:lineRule="auto"/>
              <w:ind w:left="111" w:right="246"/>
              <w:rPr>
                <w:sz w:val="20"/>
                <w:szCs w:val="20"/>
                <w:lang w:val="en-GB"/>
              </w:rPr>
            </w:pPr>
            <w:r>
              <w:rPr>
                <w:rFonts w:ascii="Calibri" w:hAnsi="Calibri" w:eastAsia="宋体" w:cs="Calibri"/>
                <w:sz w:val="22"/>
                <w:szCs w:val="20"/>
              </w:rPr>
              <w:t>Of</w:t>
            </w:r>
            <w:r>
              <w:rPr>
                <w:rFonts w:ascii="Calibri" w:hAnsi="Calibri" w:cs="Calibri"/>
                <w:sz w:val="22"/>
                <w:szCs w:val="20"/>
              </w:rPr>
              <w:t xml:space="preserve"> the 2604 patients with advanced gastric cancer included in this study, 1939 were male (74.4%)</w:t>
            </w:r>
            <w:r>
              <w:rPr>
                <w:rFonts w:ascii="Calibri" w:hAnsi="Calibri" w:eastAsia="宋体" w:cs="Calibri"/>
                <w:sz w:val="22"/>
                <w:szCs w:val="20"/>
              </w:rPr>
              <w:t>,</w:t>
            </w:r>
            <w:r>
              <w:rPr>
                <w:rFonts w:ascii="Calibri" w:hAnsi="Calibri" w:cs="Calibri"/>
                <w:sz w:val="22"/>
                <w:szCs w:val="20"/>
              </w:rPr>
              <w:t xml:space="preserve"> and 665 were female (25.6%).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1500" w:type="dxa"/>
            <w:tcBorders>
              <w:top w:val="single" w:color="000000" w:sz="4" w:space="0"/>
            </w:tcBorders>
          </w:tcPr>
          <w:p>
            <w:pPr>
              <w:pStyle w:val="9"/>
              <w:spacing w:line="240" w:lineRule="auto"/>
              <w:ind w:left="107"/>
              <w:rPr>
                <w:sz w:val="20"/>
              </w:rPr>
            </w:pPr>
            <w:r>
              <w:rPr>
                <w:sz w:val="20"/>
              </w:rPr>
              <w:t>Descriptive</w:t>
            </w:r>
          </w:p>
          <w:p>
            <w:pPr>
              <w:pStyle w:val="9"/>
              <w:spacing w:before="70" w:line="240" w:lineRule="auto"/>
              <w:ind w:left="107"/>
              <w:rPr>
                <w:sz w:val="20"/>
              </w:rPr>
            </w:pPr>
            <w:r>
              <w:rPr>
                <w:sz w:val="20"/>
              </w:rPr>
              <w:t>data</w:t>
            </w:r>
          </w:p>
        </w:tc>
        <w:tc>
          <w:tcPr>
            <w:tcW w:w="520" w:type="dxa"/>
            <w:tcBorders>
              <w:top w:val="single" w:color="000000" w:sz="4" w:space="0"/>
            </w:tcBorders>
          </w:tcPr>
          <w:p>
            <w:pPr>
              <w:pStyle w:val="9"/>
              <w:spacing w:line="240" w:lineRule="auto"/>
              <w:ind w:left="115"/>
              <w:rPr>
                <w:sz w:val="20"/>
              </w:rPr>
            </w:pPr>
            <w:r>
              <w:rPr>
                <w:sz w:val="20"/>
              </w:rPr>
              <w:t>14*</w:t>
            </w:r>
          </w:p>
        </w:tc>
        <w:tc>
          <w:tcPr>
            <w:tcW w:w="7837" w:type="dxa"/>
            <w:tcBorders>
              <w:top w:val="single" w:color="000000" w:sz="4" w:space="0"/>
              <w:bottom w:val="single" w:color="000000" w:sz="4" w:space="0"/>
            </w:tcBorders>
          </w:tcPr>
          <w:p>
            <w:pPr>
              <w:pStyle w:val="9"/>
              <w:spacing w:before="70" w:line="240" w:lineRule="auto"/>
              <w:ind w:left="111"/>
              <w:rPr>
                <w:sz w:val="20"/>
                <w:szCs w:val="20"/>
              </w:rPr>
            </w:pPr>
            <w:r>
              <w:rPr>
                <w:rFonts w:ascii="Calibri" w:hAnsi="Calibri" w:cs="Calibri"/>
                <w:sz w:val="22"/>
                <w:szCs w:val="20"/>
              </w:rPr>
              <w:t xml:space="preserve">The median age </w:t>
            </w:r>
            <w:r>
              <w:rPr>
                <w:rFonts w:ascii="Calibri" w:hAnsi="Calibri" w:eastAsia="宋体" w:cs="Calibri"/>
                <w:sz w:val="22"/>
                <w:szCs w:val="20"/>
              </w:rPr>
              <w:t>was</w:t>
            </w:r>
            <w:r>
              <w:rPr>
                <w:rFonts w:ascii="Calibri" w:hAnsi="Calibri" w:cs="Calibri"/>
                <w:sz w:val="22"/>
                <w:szCs w:val="20"/>
              </w:rPr>
              <w:t xml:space="preserve"> 60 years old. Among these patients, 1586 (60.9%) underwent distal gastrectomy, and</w:t>
            </w:r>
            <w:r>
              <w:rPr>
                <w:rFonts w:ascii="Calibri" w:hAnsi="Calibri" w:eastAsia="宋体" w:cs="Calibri"/>
                <w:sz w:val="22"/>
                <w:szCs w:val="20"/>
              </w:rPr>
              <w:t xml:space="preserve"> </w:t>
            </w:r>
            <w:r>
              <w:rPr>
                <w:rFonts w:ascii="Calibri" w:hAnsi="Calibri" w:cs="Calibri"/>
                <w:sz w:val="22"/>
                <w:szCs w:val="20"/>
              </w:rPr>
              <w:t>234 (9.0%) and 784 (30.</w:t>
            </w:r>
            <w:r>
              <w:rPr>
                <w:rFonts w:ascii="Calibri" w:hAnsi="Calibri" w:eastAsia="宋体" w:cs="Calibri"/>
                <w:sz w:val="22"/>
                <w:szCs w:val="20"/>
              </w:rPr>
              <w:t>1%) underwent proximal gastrectomy and gastrectomy,</w:t>
            </w:r>
            <w:r>
              <w:rPr>
                <w:rFonts w:ascii="Calibri" w:hAnsi="Calibri" w:cs="Calibri"/>
                <w:sz w:val="22"/>
                <w:szCs w:val="20"/>
              </w:rPr>
              <w:t xml:space="preserve"> respectively. There were 123 patients classified as Borrmann type I (4.7%), 464 as Borrmann type II (17.8%), 1663 as Borrmann type III (63.8%), and 354 as Borrmann type IV (13.5%). The overall positive rate of LBVI was 16.9%, and the incidence of LBVI (+) in Borrmann types I, II, III, and IV was 13.8%, 20.4%, 15.0%, and 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00" w:type="dxa"/>
            <w:tcBorders>
              <w:top w:val="single" w:color="000000" w:sz="4" w:space="0"/>
            </w:tcBorders>
          </w:tcPr>
          <w:p>
            <w:pPr>
              <w:pStyle w:val="9"/>
              <w:spacing w:line="240" w:lineRule="auto"/>
              <w:ind w:left="107"/>
              <w:rPr>
                <w:sz w:val="20"/>
              </w:rPr>
            </w:pPr>
            <w:r>
              <w:rPr>
                <w:sz w:val="20"/>
              </w:rPr>
              <w:t>Outcome data</w:t>
            </w:r>
          </w:p>
        </w:tc>
        <w:tc>
          <w:tcPr>
            <w:tcW w:w="520" w:type="dxa"/>
            <w:tcBorders>
              <w:top w:val="single" w:color="000000" w:sz="4" w:space="0"/>
            </w:tcBorders>
          </w:tcPr>
          <w:p>
            <w:pPr>
              <w:pStyle w:val="9"/>
              <w:spacing w:line="240" w:lineRule="auto"/>
              <w:ind w:left="115"/>
              <w:rPr>
                <w:sz w:val="20"/>
              </w:rPr>
            </w:pPr>
            <w:r>
              <w:rPr>
                <w:sz w:val="20"/>
              </w:rPr>
              <w:t>15*</w:t>
            </w:r>
          </w:p>
        </w:tc>
        <w:tc>
          <w:tcPr>
            <w:tcW w:w="7837" w:type="dxa"/>
            <w:tcBorders>
              <w:top w:val="single" w:color="000000" w:sz="4" w:space="0"/>
              <w:bottom w:val="single" w:color="000000" w:sz="4" w:space="0"/>
            </w:tcBorders>
          </w:tcPr>
          <w:p>
            <w:pPr>
              <w:spacing w:after="120" w:line="240" w:lineRule="auto"/>
              <w:rPr>
                <w:rFonts w:ascii="Calibri" w:hAnsi="Calibri" w:cs="Calibri"/>
                <w:sz w:val="22"/>
                <w:szCs w:val="20"/>
              </w:rPr>
            </w:pPr>
            <w:r>
              <w:rPr>
                <w:rFonts w:ascii="Calibri" w:hAnsi="Calibri" w:cs="Calibri"/>
                <w:sz w:val="22"/>
                <w:szCs w:val="20"/>
              </w:rPr>
              <w:t>Regarding the prognostic survival of patients, through univariate survival analysis, we found that some clinicopathological variables were significantly related to the survival rate, including Borrmann classification (P = 0.000), vessel invasion (P = 0.000), tumor location (P = 0.000), tumor size (P = 0.000), histological type (P = 0.000), pT stage (P = 0.000), pN stage (P = 0.000), surgical method (P = 0.000), degree of radical surgery (P = 0.000),</w:t>
            </w:r>
            <w:r>
              <w:rPr>
                <w:rFonts w:ascii="Calibri" w:hAnsi="Calibri" w:eastAsia="宋体" w:cs="Calibri"/>
                <w:sz w:val="22"/>
                <w:szCs w:val="20"/>
              </w:rPr>
              <w:t xml:space="preserve"> and</w:t>
            </w:r>
            <w:r>
              <w:rPr>
                <w:rFonts w:ascii="Calibri" w:hAnsi="Calibri" w:cs="Calibri"/>
                <w:sz w:val="22"/>
                <w:szCs w:val="20"/>
              </w:rPr>
              <w:t xml:space="preserve"> treatment with combined resection (P = 0.000). In addition, multivariate Cox regression analysis showed Borrmann classification (P = 0.023), vascular invasion (P = 0.000), tumor size (P = 0.012), pT stage (P = 0.000), pN stage (P = 0.000), </w:t>
            </w:r>
            <w:r>
              <w:rPr>
                <w:rFonts w:ascii="Calibri" w:hAnsi="Calibri" w:eastAsia="宋体" w:cs="Calibri"/>
                <w:sz w:val="22"/>
                <w:szCs w:val="20"/>
              </w:rPr>
              <w:t xml:space="preserve">and </w:t>
            </w:r>
            <w:r>
              <w:rPr>
                <w:rFonts w:ascii="Calibri" w:hAnsi="Calibri" w:cs="Calibri"/>
                <w:sz w:val="22"/>
                <w:szCs w:val="20"/>
              </w:rPr>
              <w:t>degree of radical surgery (P = 0.000) were independent prognostic factors (see Table 3).</w:t>
            </w:r>
          </w:p>
          <w:p>
            <w:pPr>
              <w:pStyle w:val="9"/>
              <w:spacing w:line="240" w:lineRule="auto"/>
              <w:ind w:left="111"/>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9" w:hRule="atLeast"/>
        </w:trPr>
        <w:tc>
          <w:tcPr>
            <w:tcW w:w="1500" w:type="dxa"/>
            <w:tcBorders>
              <w:top w:val="single" w:color="000000" w:sz="4" w:space="0"/>
            </w:tcBorders>
          </w:tcPr>
          <w:p>
            <w:pPr>
              <w:pStyle w:val="9"/>
              <w:spacing w:line="240" w:lineRule="auto"/>
              <w:ind w:left="107"/>
              <w:rPr>
                <w:sz w:val="20"/>
              </w:rPr>
            </w:pPr>
            <w:r>
              <w:rPr>
                <w:sz w:val="20"/>
              </w:rPr>
              <w:t>Main results</w:t>
            </w:r>
          </w:p>
        </w:tc>
        <w:tc>
          <w:tcPr>
            <w:tcW w:w="520" w:type="dxa"/>
            <w:tcBorders>
              <w:top w:val="single" w:color="000000" w:sz="4" w:space="0"/>
            </w:tcBorders>
          </w:tcPr>
          <w:p>
            <w:pPr>
              <w:pStyle w:val="9"/>
              <w:spacing w:line="240" w:lineRule="auto"/>
              <w:ind w:left="165"/>
              <w:rPr>
                <w:sz w:val="20"/>
              </w:rPr>
            </w:pPr>
            <w:r>
              <w:rPr>
                <w:sz w:val="20"/>
              </w:rPr>
              <w:t>16</w:t>
            </w:r>
          </w:p>
        </w:tc>
        <w:tc>
          <w:tcPr>
            <w:tcW w:w="7837" w:type="dxa"/>
            <w:tcBorders>
              <w:top w:val="single" w:color="000000" w:sz="4" w:space="0"/>
              <w:bottom w:val="single" w:color="000000" w:sz="4" w:space="0"/>
            </w:tcBorders>
          </w:tcPr>
          <w:p>
            <w:pPr>
              <w:spacing w:after="120" w:line="240" w:lineRule="auto"/>
              <w:rPr>
                <w:rFonts w:ascii="Calibri" w:hAnsi="Calibri" w:cs="Calibri"/>
                <w:sz w:val="22"/>
                <w:szCs w:val="20"/>
              </w:rPr>
            </w:pPr>
            <w:r>
              <w:rPr>
                <w:rFonts w:ascii="Calibri" w:hAnsi="Calibri" w:cs="Calibri"/>
                <w:sz w:val="22"/>
                <w:szCs w:val="20"/>
              </w:rPr>
              <w:t xml:space="preserve">Figure 1a shows that the 5-year survival rate </w:t>
            </w:r>
            <w:r>
              <w:rPr>
                <w:rFonts w:ascii="Calibri" w:hAnsi="Calibri" w:eastAsia="宋体" w:cs="Calibri"/>
                <w:sz w:val="22"/>
                <w:szCs w:val="20"/>
              </w:rPr>
              <w:t>was significantly different</w:t>
            </w:r>
            <w:r>
              <w:rPr>
                <w:rFonts w:ascii="Calibri" w:hAnsi="Calibri" w:cs="Calibri"/>
                <w:sz w:val="22"/>
                <w:szCs w:val="20"/>
              </w:rPr>
              <w:t xml:space="preserve"> among Borrmann I-IV patients (P = 0.000), and Figure 1b shows that the 5-year survival rate of LBVI (+) patients </w:t>
            </w:r>
            <w:r>
              <w:rPr>
                <w:rFonts w:ascii="Calibri" w:hAnsi="Calibri" w:eastAsia="宋体" w:cs="Calibri"/>
                <w:sz w:val="22"/>
                <w:szCs w:val="20"/>
              </w:rPr>
              <w:t>was</w:t>
            </w:r>
            <w:r>
              <w:rPr>
                <w:rFonts w:ascii="Calibri" w:hAnsi="Calibri" w:cs="Calibri"/>
                <w:sz w:val="22"/>
                <w:szCs w:val="20"/>
              </w:rPr>
              <w:t xml:space="preserve"> significantly lower than that of LBVI (-) patients (P = 0.000). Then</w:t>
            </w:r>
            <w:r>
              <w:rPr>
                <w:rFonts w:ascii="Calibri" w:hAnsi="Calibri" w:eastAsia="宋体" w:cs="Calibri"/>
                <w:sz w:val="22"/>
                <w:szCs w:val="20"/>
              </w:rPr>
              <w:t>,</w:t>
            </w:r>
            <w:r>
              <w:rPr>
                <w:rFonts w:ascii="Calibri" w:hAnsi="Calibri" w:cs="Calibri"/>
                <w:sz w:val="22"/>
                <w:szCs w:val="20"/>
              </w:rPr>
              <w:t xml:space="preserve"> we analyzed the effect of the combination of the Borrmann type and LBVI on the 5-year survival of patients. The results showed that when the patient was classified as Borrmann III, the presence or absence of LBVI had a significant impact on survival (16.4% &lt;29.1%, P = 0.000, Figure 2c), and the presence or absence of LBVI did not make a significant difference in the 5-year survival rates of Borrmann I, II, and IV patients (P = 0.660, P = 0.281, P = 0.793, Figures 2a, 2b, and 2d). We also found a more interesting phenomenon. Patients with Borrmann III + LBVI (+)</w:t>
            </w:r>
            <w:r>
              <w:rPr>
                <w:rFonts w:ascii="Calibri" w:hAnsi="Calibri" w:eastAsia="宋体" w:cs="Calibri"/>
                <w:sz w:val="22"/>
                <w:szCs w:val="20"/>
              </w:rPr>
              <w:t xml:space="preserve"> and</w:t>
            </w:r>
            <w:r>
              <w:rPr>
                <w:rFonts w:ascii="Calibri" w:hAnsi="Calibri" w:cs="Calibri"/>
                <w:sz w:val="22"/>
                <w:szCs w:val="20"/>
              </w:rPr>
              <w:t xml:space="preserve"> Borrmann IV + LBVI (-) </w:t>
            </w:r>
            <w:r>
              <w:rPr>
                <w:rFonts w:ascii="Calibri" w:hAnsi="Calibri" w:eastAsia="宋体" w:cs="Calibri"/>
                <w:sz w:val="22"/>
                <w:szCs w:val="20"/>
              </w:rPr>
              <w:t>had</w:t>
            </w:r>
            <w:r>
              <w:rPr>
                <w:rFonts w:ascii="Calibri" w:hAnsi="Calibri" w:cs="Calibri"/>
                <w:sz w:val="22"/>
                <w:szCs w:val="20"/>
              </w:rPr>
              <w:t xml:space="preserve"> similar 5-year survival rates (16.4% vs 13.1%, P = 0.065, Figure 3a). Furthermore, patients with Borrmann IV + LBVI (+) </w:t>
            </w:r>
            <w:r>
              <w:rPr>
                <w:rFonts w:ascii="Calibri" w:hAnsi="Calibri" w:eastAsia="宋体" w:cs="Calibri"/>
                <w:sz w:val="22"/>
                <w:szCs w:val="20"/>
              </w:rPr>
              <w:t>had a</w:t>
            </w:r>
            <w:r>
              <w:rPr>
                <w:rFonts w:ascii="Calibri" w:hAnsi="Calibri" w:cs="Calibri"/>
                <w:sz w:val="22"/>
                <w:szCs w:val="20"/>
              </w:rPr>
              <w:t xml:space="preserve"> similar 5-</w:t>
            </w:r>
            <w:r>
              <w:rPr>
                <w:rFonts w:ascii="Calibri" w:hAnsi="Calibri" w:eastAsia="宋体" w:cs="Calibri"/>
                <w:sz w:val="22"/>
                <w:szCs w:val="20"/>
              </w:rPr>
              <w:t>year</w:t>
            </w:r>
            <w:r>
              <w:rPr>
                <w:rFonts w:ascii="Calibri" w:hAnsi="Calibri" w:cs="Calibri"/>
                <w:sz w:val="22"/>
                <w:szCs w:val="20"/>
              </w:rPr>
              <w:t xml:space="preserve"> survival rate </w:t>
            </w:r>
            <w:r>
              <w:rPr>
                <w:rFonts w:ascii="Calibri" w:hAnsi="Calibri" w:eastAsia="宋体" w:cs="Calibri"/>
                <w:sz w:val="22"/>
                <w:szCs w:val="20"/>
              </w:rPr>
              <w:t>to the</w:t>
            </w:r>
            <w:r>
              <w:rPr>
                <w:rFonts w:ascii="Calibri" w:hAnsi="Calibri" w:cs="Calibri"/>
                <w:sz w:val="22"/>
                <w:szCs w:val="20"/>
              </w:rPr>
              <w:t xml:space="preserve"> 2 groups above (16.4% vs 11.2%, P = 0.112, Figure 3b).</w:t>
            </w:r>
          </w:p>
          <w:p>
            <w:pPr>
              <w:spacing w:line="240" w:lineRule="auto"/>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1500" w:type="dxa"/>
            <w:tcBorders>
              <w:top w:val="single" w:color="000000" w:sz="4" w:space="0"/>
              <w:bottom w:val="single" w:color="000000" w:sz="4" w:space="0"/>
            </w:tcBorders>
          </w:tcPr>
          <w:p>
            <w:pPr>
              <w:pStyle w:val="9"/>
              <w:spacing w:before="52" w:line="240" w:lineRule="auto"/>
              <w:ind w:left="107"/>
              <w:rPr>
                <w:sz w:val="20"/>
              </w:rPr>
            </w:pPr>
            <w:r>
              <w:rPr>
                <w:sz w:val="20"/>
              </w:rPr>
              <w:t>Other analyses</w:t>
            </w:r>
          </w:p>
        </w:tc>
        <w:tc>
          <w:tcPr>
            <w:tcW w:w="520" w:type="dxa"/>
            <w:tcBorders>
              <w:top w:val="single" w:color="000000" w:sz="4" w:space="0"/>
              <w:bottom w:val="single" w:color="000000" w:sz="4" w:space="0"/>
            </w:tcBorders>
          </w:tcPr>
          <w:p>
            <w:pPr>
              <w:pStyle w:val="9"/>
              <w:spacing w:before="52" w:line="240" w:lineRule="auto"/>
              <w:ind w:left="165"/>
              <w:rPr>
                <w:sz w:val="20"/>
              </w:rPr>
            </w:pPr>
            <w:r>
              <w:rPr>
                <w:sz w:val="20"/>
              </w:rPr>
              <w:t>17</w:t>
            </w:r>
          </w:p>
        </w:tc>
        <w:tc>
          <w:tcPr>
            <w:tcW w:w="7837" w:type="dxa"/>
            <w:tcBorders>
              <w:top w:val="single" w:color="000000" w:sz="4" w:space="0"/>
              <w:bottom w:val="single" w:color="000000" w:sz="4" w:space="0"/>
            </w:tcBorders>
          </w:tcPr>
          <w:p>
            <w:pPr>
              <w:spacing w:after="120" w:line="240" w:lineRule="auto"/>
              <w:jc w:val="left"/>
              <w:rPr>
                <w:rFonts w:ascii="Calibri" w:hAnsi="Calibri" w:cs="Calibri"/>
                <w:bCs/>
                <w:sz w:val="22"/>
                <w:szCs w:val="20"/>
              </w:rPr>
            </w:pPr>
            <w:r>
              <w:rPr>
                <w:rFonts w:ascii="Calibri" w:hAnsi="Calibri" w:cs="Calibri"/>
                <w:bCs/>
                <w:sz w:val="22"/>
                <w:szCs w:val="20"/>
              </w:rPr>
              <w:t xml:space="preserve">We </w:t>
            </w:r>
            <w:r>
              <w:rPr>
                <w:rFonts w:hint="eastAsia" w:ascii="Calibri" w:hAnsi="Calibri" w:cs="Calibri"/>
                <w:bCs/>
                <w:sz w:val="22"/>
                <w:szCs w:val="20"/>
              </w:rPr>
              <w:t>also</w:t>
            </w:r>
            <w:r>
              <w:rPr>
                <w:rFonts w:ascii="Calibri" w:hAnsi="Calibri" w:cs="Calibri"/>
                <w:bCs/>
                <w:sz w:val="22"/>
                <w:szCs w:val="20"/>
              </w:rPr>
              <w:t xml:space="preserve"> conducted a subgroup analysis to determine whether the depth of tumor invasion and tumor location affected the above results. The results showed that regardless of whether the patients had pT2, pT3, pT4a or pT4b disease, the 5-year survival rates of patients with Borrmann III + LBVI (+)</w:t>
            </w:r>
            <w:r>
              <w:rPr>
                <w:rFonts w:ascii="Calibri" w:hAnsi="Calibri" w:eastAsia="宋体" w:cs="Calibri"/>
                <w:bCs/>
                <w:sz w:val="22"/>
                <w:szCs w:val="20"/>
              </w:rPr>
              <w:t xml:space="preserve"> </w:t>
            </w:r>
            <w:r>
              <w:rPr>
                <w:rFonts w:ascii="Calibri" w:hAnsi="Calibri" w:cs="Calibri"/>
                <w:bCs/>
                <w:sz w:val="22"/>
                <w:szCs w:val="20"/>
              </w:rPr>
              <w:t xml:space="preserve">and Borrmann IV + LBVI (-) were not significantly different (P = 0.368, P = 0.202 P = 0.058, P = 0.314, Figure 4). </w:t>
            </w:r>
            <w:r>
              <w:rPr>
                <w:rFonts w:ascii="Calibri" w:hAnsi="Calibri" w:eastAsia="宋体" w:cs="Calibri"/>
                <w:bCs/>
                <w:sz w:val="22"/>
                <w:szCs w:val="20"/>
              </w:rPr>
              <w:t xml:space="preserve">When </w:t>
            </w:r>
            <w:r>
              <w:rPr>
                <w:rFonts w:ascii="Calibri" w:hAnsi="Calibri" w:cs="Calibri"/>
                <w:bCs/>
                <w:sz w:val="22"/>
                <w:szCs w:val="20"/>
              </w:rPr>
              <w:t xml:space="preserve">the tumor position </w:t>
            </w:r>
            <w:r>
              <w:rPr>
                <w:rFonts w:ascii="Calibri" w:hAnsi="Calibri" w:eastAsia="宋体" w:cs="Calibri"/>
                <w:bCs/>
                <w:sz w:val="22"/>
                <w:szCs w:val="20"/>
              </w:rPr>
              <w:t>was</w:t>
            </w:r>
            <w:r>
              <w:rPr>
                <w:rFonts w:ascii="Calibri" w:hAnsi="Calibri" w:cs="Calibri"/>
                <w:bCs/>
                <w:sz w:val="22"/>
                <w:szCs w:val="20"/>
              </w:rPr>
              <w:t xml:space="preserve"> the upper 1/3, middle 1/3, or lower 1/3 of the stomach or when there were overlapping positions, there </w:t>
            </w:r>
            <w:r>
              <w:rPr>
                <w:rFonts w:ascii="Calibri" w:hAnsi="Calibri" w:eastAsia="宋体" w:cs="Calibri"/>
                <w:bCs/>
                <w:sz w:val="22"/>
                <w:szCs w:val="20"/>
              </w:rPr>
              <w:t>was a</w:t>
            </w:r>
            <w:r>
              <w:rPr>
                <w:rFonts w:ascii="Calibri" w:hAnsi="Calibri" w:cs="Calibri"/>
                <w:bCs/>
                <w:sz w:val="22"/>
                <w:szCs w:val="20"/>
              </w:rPr>
              <w:t xml:space="preserve"> significant difference </w:t>
            </w:r>
            <w:r>
              <w:rPr>
                <w:rFonts w:ascii="Calibri" w:hAnsi="Calibri" w:eastAsia="宋体" w:cs="Calibri"/>
                <w:bCs/>
                <w:sz w:val="22"/>
                <w:szCs w:val="20"/>
              </w:rPr>
              <w:t>in</w:t>
            </w:r>
            <w:r>
              <w:rPr>
                <w:rFonts w:ascii="Calibri" w:hAnsi="Calibri" w:cs="Calibri"/>
                <w:bCs/>
                <w:sz w:val="22"/>
                <w:szCs w:val="20"/>
              </w:rPr>
              <w:t xml:space="preserve"> the 5-year survival rate between patients with Borrmann III + LBVI (+) and those with Borrmann IV + LBVI (-) (P = 0.205, P = 0.928, P = 0.301, P = 0.532, Figure 5).</w:t>
            </w:r>
          </w:p>
          <w:p>
            <w:pPr>
              <w:pStyle w:val="9"/>
              <w:spacing w:before="70" w:line="240" w:lineRule="auto"/>
              <w:ind w:left="111"/>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500" w:type="dxa"/>
            <w:tcBorders>
              <w:top w:val="single" w:color="000000" w:sz="4" w:space="0"/>
              <w:bottom w:val="single" w:color="000000" w:sz="4" w:space="0"/>
            </w:tcBorders>
          </w:tcPr>
          <w:p>
            <w:pPr>
              <w:pStyle w:val="9"/>
              <w:spacing w:before="120" w:line="240" w:lineRule="auto"/>
              <w:ind w:left="107"/>
              <w:rPr>
                <w:b/>
                <w:sz w:val="20"/>
              </w:rPr>
            </w:pPr>
            <w:r>
              <w:rPr>
                <w:b/>
                <w:sz w:val="20"/>
              </w:rPr>
              <w:t>Discussion</w:t>
            </w:r>
          </w:p>
        </w:tc>
        <w:tc>
          <w:tcPr>
            <w:tcW w:w="520" w:type="dxa"/>
            <w:tcBorders>
              <w:top w:val="single" w:color="000000" w:sz="4" w:space="0"/>
              <w:bottom w:val="single" w:color="000000" w:sz="4" w:space="0"/>
            </w:tcBorders>
          </w:tcPr>
          <w:p>
            <w:pPr>
              <w:pStyle w:val="9"/>
              <w:spacing w:before="0" w:line="240" w:lineRule="auto"/>
              <w:rPr>
                <w:sz w:val="18"/>
              </w:rPr>
            </w:pPr>
          </w:p>
        </w:tc>
        <w:tc>
          <w:tcPr>
            <w:tcW w:w="7837" w:type="dxa"/>
            <w:tcBorders>
              <w:top w:val="single" w:color="000000" w:sz="4" w:space="0"/>
              <w:bottom w:val="single" w:color="000000" w:sz="4" w:space="0"/>
            </w:tcBorders>
          </w:tcPr>
          <w:p>
            <w:pPr>
              <w:pStyle w:val="9"/>
              <w:spacing w:before="0" w:line="240" w:lineRule="auto"/>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1500" w:type="dxa"/>
            <w:tcBorders>
              <w:top w:val="single" w:color="000000" w:sz="4" w:space="0"/>
              <w:bottom w:val="single" w:color="000000" w:sz="4" w:space="0"/>
            </w:tcBorders>
          </w:tcPr>
          <w:p>
            <w:pPr>
              <w:pStyle w:val="9"/>
              <w:spacing w:before="55" w:line="240" w:lineRule="auto"/>
              <w:ind w:left="107"/>
              <w:rPr>
                <w:sz w:val="20"/>
              </w:rPr>
            </w:pPr>
            <w:r>
              <w:rPr>
                <w:sz w:val="20"/>
              </w:rPr>
              <w:t>Key results</w:t>
            </w:r>
          </w:p>
        </w:tc>
        <w:tc>
          <w:tcPr>
            <w:tcW w:w="520" w:type="dxa"/>
            <w:tcBorders>
              <w:top w:val="single" w:color="000000" w:sz="4" w:space="0"/>
              <w:bottom w:val="single" w:color="000000" w:sz="4" w:space="0"/>
            </w:tcBorders>
          </w:tcPr>
          <w:p>
            <w:pPr>
              <w:pStyle w:val="9"/>
              <w:spacing w:before="55" w:line="240" w:lineRule="auto"/>
              <w:ind w:left="165"/>
              <w:rPr>
                <w:sz w:val="20"/>
              </w:rPr>
            </w:pPr>
            <w:r>
              <w:rPr>
                <w:sz w:val="20"/>
              </w:rPr>
              <w:t>18</w:t>
            </w:r>
          </w:p>
        </w:tc>
        <w:tc>
          <w:tcPr>
            <w:tcW w:w="7837" w:type="dxa"/>
            <w:tcBorders>
              <w:top w:val="single" w:color="000000" w:sz="4" w:space="0"/>
              <w:bottom w:val="single" w:color="000000" w:sz="4" w:space="0"/>
            </w:tcBorders>
          </w:tcPr>
          <w:p>
            <w:pPr>
              <w:spacing w:after="120" w:line="240" w:lineRule="auto"/>
              <w:rPr>
                <w:rFonts w:ascii="Calibri" w:hAnsi="Calibri" w:cs="Calibri"/>
                <w:sz w:val="22"/>
                <w:szCs w:val="20"/>
              </w:rPr>
            </w:pPr>
            <w:r>
              <w:rPr>
                <w:rFonts w:ascii="Calibri" w:hAnsi="Calibri" w:cs="Calibri"/>
                <w:sz w:val="22"/>
                <w:szCs w:val="20"/>
              </w:rPr>
              <w:t>Regarding the prognostic survival of patients, through univariate survival analysis, we found that some clinicopathological variables were significantly related to the survival rate, including Borrmann classification (P = 0.000), vessel invasion (P = 0.000), tumor location (P = 0.000), tumor size (P = 0.000), histological type (P = 0.000), pT stage (P = 0.000), pN stage (P = 0.000), surgical method (P = 0.000), degree of radical surgery (P = 0.000),</w:t>
            </w:r>
            <w:r>
              <w:rPr>
                <w:rFonts w:ascii="Calibri" w:hAnsi="Calibri" w:eastAsia="宋体" w:cs="Calibri"/>
                <w:sz w:val="22"/>
                <w:szCs w:val="20"/>
              </w:rPr>
              <w:t xml:space="preserve"> and</w:t>
            </w:r>
            <w:r>
              <w:rPr>
                <w:rFonts w:ascii="Calibri" w:hAnsi="Calibri" w:cs="Calibri"/>
                <w:sz w:val="22"/>
                <w:szCs w:val="20"/>
              </w:rPr>
              <w:t xml:space="preserve"> treatment with combined resection (P = 0.000). In addition, multivariate Cox regression analysis showed Borrmann classification (P = 0.023), vascular invasion (P = 0.000), tumor size (P = 0.012), pT stage (P = 0.000), pN stage (P = 0.000), </w:t>
            </w:r>
            <w:r>
              <w:rPr>
                <w:rFonts w:ascii="Calibri" w:hAnsi="Calibri" w:eastAsia="宋体" w:cs="Calibri"/>
                <w:sz w:val="22"/>
                <w:szCs w:val="20"/>
              </w:rPr>
              <w:t xml:space="preserve">and </w:t>
            </w:r>
            <w:r>
              <w:rPr>
                <w:rFonts w:ascii="Calibri" w:hAnsi="Calibri" w:cs="Calibri"/>
                <w:sz w:val="22"/>
                <w:szCs w:val="20"/>
              </w:rPr>
              <w:t>degree of radical surgery (P = 0.000) were independent prognostic factors (see Table 3).</w:t>
            </w:r>
          </w:p>
          <w:p>
            <w:pPr>
              <w:pStyle w:val="9"/>
              <w:spacing w:before="55" w:line="240" w:lineRule="auto"/>
              <w:ind w:left="111"/>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0" w:type="dxa"/>
            <w:tcBorders>
              <w:top w:val="single" w:color="000000" w:sz="4" w:space="0"/>
              <w:bottom w:val="single" w:color="000000" w:sz="4" w:space="0"/>
            </w:tcBorders>
          </w:tcPr>
          <w:p>
            <w:pPr>
              <w:pStyle w:val="9"/>
              <w:spacing w:line="240" w:lineRule="auto"/>
              <w:ind w:left="107"/>
              <w:rPr>
                <w:sz w:val="20"/>
              </w:rPr>
            </w:pPr>
            <w:r>
              <w:rPr>
                <w:sz w:val="20"/>
              </w:rPr>
              <w:t>Limitations</w:t>
            </w:r>
          </w:p>
        </w:tc>
        <w:tc>
          <w:tcPr>
            <w:tcW w:w="520" w:type="dxa"/>
            <w:tcBorders>
              <w:top w:val="single" w:color="000000" w:sz="4" w:space="0"/>
              <w:bottom w:val="single" w:color="000000" w:sz="4" w:space="0"/>
            </w:tcBorders>
          </w:tcPr>
          <w:p>
            <w:pPr>
              <w:pStyle w:val="9"/>
              <w:spacing w:line="240" w:lineRule="auto"/>
              <w:ind w:left="165"/>
              <w:rPr>
                <w:sz w:val="20"/>
              </w:rPr>
            </w:pPr>
            <w:r>
              <w:rPr>
                <w:sz w:val="20"/>
              </w:rPr>
              <w:t>19</w:t>
            </w:r>
          </w:p>
        </w:tc>
        <w:tc>
          <w:tcPr>
            <w:tcW w:w="7837" w:type="dxa"/>
            <w:tcBorders>
              <w:top w:val="single" w:color="000000" w:sz="4" w:space="0"/>
              <w:bottom w:val="single" w:color="000000" w:sz="4" w:space="0"/>
            </w:tcBorders>
          </w:tcPr>
          <w:p>
            <w:pPr>
              <w:spacing w:after="120" w:line="240" w:lineRule="auto"/>
              <w:jc w:val="left"/>
              <w:rPr>
                <w:rFonts w:ascii="Calibri" w:hAnsi="Calibri" w:cs="Calibri"/>
                <w:sz w:val="22"/>
                <w:szCs w:val="20"/>
              </w:rPr>
            </w:pPr>
            <w:r>
              <w:rPr>
                <w:rFonts w:ascii="Calibri" w:hAnsi="Calibri" w:cs="Calibri"/>
                <w:sz w:val="22"/>
                <w:szCs w:val="20"/>
              </w:rPr>
              <w:t>This study still has some limitations. First, our results only represent a retrospective study of our single center, which leads to the existence of heterogeneity and internal deviations. Second, due to the small number of patients undergoing neoadjuvant chemotherapy at the time, we did not routinely analyze this variable; in addition, although many patients underwent postoperative systemic adjuvant chemotherapy during the study period, there was a lack of standardized treatment options for patients with tumors. The differential feedback between patients may lead to changes in the treatment plan, so we have not provided sufficient evidence on postoperative adjuvant chemotherapy.</w:t>
            </w:r>
          </w:p>
          <w:p>
            <w:pPr>
              <w:pStyle w:val="9"/>
              <w:spacing w:before="70" w:line="240" w:lineRule="auto"/>
              <w:ind w:left="111"/>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1500" w:type="dxa"/>
            <w:tcBorders>
              <w:top w:val="single" w:color="000000" w:sz="4" w:space="0"/>
              <w:bottom w:val="single" w:color="000000" w:sz="4" w:space="0"/>
            </w:tcBorders>
          </w:tcPr>
          <w:p>
            <w:pPr>
              <w:pStyle w:val="9"/>
              <w:spacing w:line="240" w:lineRule="auto"/>
              <w:ind w:left="107"/>
              <w:rPr>
                <w:sz w:val="20"/>
              </w:rPr>
            </w:pPr>
            <w:r>
              <w:rPr>
                <w:sz w:val="20"/>
              </w:rPr>
              <w:t>Interpretation</w:t>
            </w:r>
          </w:p>
        </w:tc>
        <w:tc>
          <w:tcPr>
            <w:tcW w:w="520" w:type="dxa"/>
            <w:tcBorders>
              <w:top w:val="single" w:color="000000" w:sz="4" w:space="0"/>
              <w:bottom w:val="single" w:color="000000" w:sz="4" w:space="0"/>
            </w:tcBorders>
          </w:tcPr>
          <w:p>
            <w:pPr>
              <w:pStyle w:val="9"/>
              <w:spacing w:line="240" w:lineRule="auto"/>
              <w:ind w:left="165"/>
              <w:rPr>
                <w:sz w:val="20"/>
              </w:rPr>
            </w:pPr>
            <w:r>
              <w:rPr>
                <w:sz w:val="20"/>
              </w:rPr>
              <w:t>20</w:t>
            </w:r>
          </w:p>
        </w:tc>
        <w:tc>
          <w:tcPr>
            <w:tcW w:w="7837" w:type="dxa"/>
            <w:tcBorders>
              <w:top w:val="single" w:color="000000" w:sz="4" w:space="0"/>
              <w:bottom w:val="single" w:color="000000" w:sz="4" w:space="0"/>
            </w:tcBorders>
          </w:tcPr>
          <w:p>
            <w:pPr>
              <w:spacing w:after="120" w:line="240" w:lineRule="auto"/>
              <w:jc w:val="left"/>
              <w:rPr>
                <w:rFonts w:ascii="Calibri" w:hAnsi="Calibri" w:cs="Calibri"/>
                <w:sz w:val="22"/>
                <w:szCs w:val="20"/>
              </w:rPr>
            </w:pPr>
            <w:r>
              <w:rPr>
                <w:sz w:val="20"/>
                <w:szCs w:val="20"/>
                <w:lang w:val="en-GB"/>
              </w:rPr>
              <w:t xml:space="preserve"> </w:t>
            </w:r>
            <w:r>
              <w:rPr>
                <w:rFonts w:ascii="Calibri" w:hAnsi="Calibri" w:cs="Calibri"/>
                <w:sz w:val="22"/>
                <w:szCs w:val="20"/>
              </w:rPr>
              <w:t xml:space="preserve">At present, many researchers have published a large number of </w:t>
            </w:r>
            <w:r>
              <w:rPr>
                <w:rFonts w:hint="eastAsia" w:ascii="Calibri" w:hAnsi="Calibri" w:cs="Calibri"/>
                <w:sz w:val="22"/>
                <w:szCs w:val="20"/>
              </w:rPr>
              <w:t>reports</w:t>
            </w:r>
            <w:r>
              <w:rPr>
                <w:rFonts w:ascii="Calibri" w:hAnsi="Calibri" w:cs="Calibri"/>
                <w:sz w:val="22"/>
                <w:szCs w:val="20"/>
              </w:rPr>
              <w:t xml:space="preserve"> to explore the factors that affect the prognosis of gastric cancer. In general, some clinicopathological factors, such as tumor stage and grade, have been recognized as the most critical indicators that affect postoperative survival [13]. However, there are also a large number of articles showing that </w:t>
            </w:r>
            <w:r>
              <w:rPr>
                <w:rFonts w:hint="eastAsia" w:ascii="Calibri" w:hAnsi="Calibri" w:cs="Calibri"/>
                <w:sz w:val="22"/>
                <w:szCs w:val="20"/>
              </w:rPr>
              <w:t>the</w:t>
            </w:r>
            <w:r>
              <w:rPr>
                <w:rFonts w:ascii="Calibri" w:hAnsi="Calibri" w:cs="Calibri"/>
                <w:sz w:val="22"/>
                <w:szCs w:val="20"/>
              </w:rPr>
              <w:t xml:space="preserve"> </w:t>
            </w:r>
            <w:r>
              <w:rPr>
                <w:rFonts w:hint="eastAsia" w:ascii="Calibri" w:hAnsi="Calibri" w:cs="Calibri"/>
                <w:sz w:val="22"/>
                <w:szCs w:val="20"/>
              </w:rPr>
              <w:t>B</w:t>
            </w:r>
            <w:r>
              <w:rPr>
                <w:rFonts w:ascii="Calibri" w:hAnsi="Calibri" w:cs="Calibri"/>
                <w:sz w:val="22"/>
                <w:szCs w:val="20"/>
              </w:rPr>
              <w:t>orrmann classification (Type I-IV) has contributed to the macroscopic classification of advanced gastric cancer, and this classification has been accepted worldwide [14]. LBVI (+) status is associated with a poor postoperative prognosis of gastric cancer, for patients with either positive or negative lymph nodes [15]. Previous studies have shown that the effectiveness of therapy for patients with early gastric cancer is relatively good, and the 5-year survival rate after surgery is higher than 90%. However, patients with advanced gastric cancer usually have a poor prognosis</w:t>
            </w:r>
            <w:r>
              <w:rPr>
                <w:rFonts w:ascii="Calibri" w:hAnsi="Calibri" w:eastAsia="宋体" w:cs="Calibri"/>
                <w:sz w:val="22"/>
                <w:szCs w:val="20"/>
              </w:rPr>
              <w:t>,</w:t>
            </w:r>
            <w:r>
              <w:rPr>
                <w:rFonts w:ascii="Calibri" w:hAnsi="Calibri" w:cs="Calibri"/>
                <w:sz w:val="22"/>
                <w:szCs w:val="20"/>
              </w:rPr>
              <w:t xml:space="preserve"> and the 5-year survival rate is less than 30% [16]. Therefore, we hope to predict the prognosis of gastric cancer patients by jointly analyzing two simple and effective clinical indicators, the Borrmann classification and LBVI status, thereby helping clinicians formulate more accurate treatment plans.</w:t>
            </w:r>
          </w:p>
          <w:p>
            <w:pPr>
              <w:pStyle w:val="9"/>
              <w:spacing w:before="0" w:line="240" w:lineRule="auto"/>
              <w:ind w:left="111" w:right="107"/>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00" w:type="dxa"/>
            <w:tcBorders>
              <w:top w:val="single" w:color="000000" w:sz="4" w:space="0"/>
              <w:bottom w:val="single" w:color="000000" w:sz="4" w:space="0"/>
            </w:tcBorders>
          </w:tcPr>
          <w:p>
            <w:pPr>
              <w:pStyle w:val="9"/>
              <w:spacing w:before="52" w:line="240" w:lineRule="auto"/>
              <w:ind w:left="107"/>
              <w:rPr>
                <w:sz w:val="20"/>
              </w:rPr>
            </w:pPr>
            <w:r>
              <w:rPr>
                <w:sz w:val="20"/>
              </w:rPr>
              <w:t>Generalisability</w:t>
            </w:r>
          </w:p>
        </w:tc>
        <w:tc>
          <w:tcPr>
            <w:tcW w:w="520" w:type="dxa"/>
            <w:tcBorders>
              <w:top w:val="single" w:color="000000" w:sz="4" w:space="0"/>
              <w:bottom w:val="single" w:color="000000" w:sz="4" w:space="0"/>
            </w:tcBorders>
          </w:tcPr>
          <w:p>
            <w:pPr>
              <w:pStyle w:val="9"/>
              <w:spacing w:before="52" w:line="240" w:lineRule="auto"/>
              <w:ind w:left="165"/>
              <w:rPr>
                <w:sz w:val="20"/>
              </w:rPr>
            </w:pPr>
            <w:r>
              <w:rPr>
                <w:sz w:val="20"/>
              </w:rPr>
              <w:t>21</w:t>
            </w:r>
          </w:p>
        </w:tc>
        <w:tc>
          <w:tcPr>
            <w:tcW w:w="7837" w:type="dxa"/>
            <w:tcBorders>
              <w:top w:val="single" w:color="000000" w:sz="4" w:space="0"/>
              <w:bottom w:val="single" w:color="000000" w:sz="4" w:space="0"/>
            </w:tcBorders>
          </w:tcPr>
          <w:p>
            <w:pPr>
              <w:spacing w:after="120" w:line="240" w:lineRule="auto"/>
              <w:jc w:val="left"/>
              <w:rPr>
                <w:rFonts w:ascii="Calibri" w:hAnsi="Calibri" w:cs="Calibri"/>
                <w:sz w:val="22"/>
                <w:szCs w:val="20"/>
              </w:rPr>
            </w:pPr>
            <w:r>
              <w:rPr>
                <w:rFonts w:ascii="Calibri" w:hAnsi="Calibri" w:cs="Calibri"/>
                <w:sz w:val="22"/>
                <w:szCs w:val="20"/>
              </w:rPr>
              <w:t xml:space="preserve">In conclusion, the Borrmann classification, vascular invasion status, tumor size, pT stage, pN stage, and degree of radical surgery all independently </w:t>
            </w:r>
            <w:r>
              <w:rPr>
                <w:rFonts w:ascii="Calibri" w:hAnsi="Calibri" w:eastAsia="宋体" w:cs="Calibri"/>
                <w:sz w:val="22"/>
                <w:szCs w:val="20"/>
              </w:rPr>
              <w:t>affected</w:t>
            </w:r>
            <w:r>
              <w:rPr>
                <w:rFonts w:ascii="Calibri" w:hAnsi="Calibri" w:cs="Calibri"/>
                <w:sz w:val="22"/>
                <w:szCs w:val="20"/>
              </w:rPr>
              <w:t xml:space="preserve"> prognosis in this study. According to our results, patients with Borrmann III + LBVI (+) have similar 5-year survival rates to those with Borrmann IV + LBVI (-) and patients with Borrmann IV + LBVI (+). Therefore, we recommend that clinicians should carry out a comprehensive multidisciplinary, multimodal and individualized treatment plan when they encounter Borrmann III + LBVI (+) patients, regardless of the pT stage and tumor location, to obtain better survival results.</w:t>
            </w:r>
          </w:p>
          <w:p>
            <w:pPr>
              <w:pStyle w:val="9"/>
              <w:spacing w:before="52" w:line="240" w:lineRule="auto"/>
              <w:ind w:left="111"/>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9857" w:type="dxa"/>
            <w:gridSpan w:val="3"/>
            <w:tcBorders>
              <w:top w:val="single" w:color="000000" w:sz="4" w:space="0"/>
              <w:bottom w:val="single" w:color="000000" w:sz="4" w:space="0"/>
            </w:tcBorders>
          </w:tcPr>
          <w:p>
            <w:pPr>
              <w:pStyle w:val="9"/>
              <w:spacing w:before="118" w:line="212" w:lineRule="exact"/>
              <w:ind w:left="107"/>
              <w:rPr>
                <w:b/>
                <w:sz w:val="20"/>
              </w:rPr>
            </w:pPr>
            <w:r>
              <w:rPr>
                <w:b/>
                <w:sz w:val="20"/>
              </w:rPr>
              <w:t>Other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trPr>
        <w:tc>
          <w:tcPr>
            <w:tcW w:w="1500" w:type="dxa"/>
            <w:tcBorders>
              <w:top w:val="single" w:color="000000" w:sz="4" w:space="0"/>
            </w:tcBorders>
          </w:tcPr>
          <w:p>
            <w:pPr>
              <w:pStyle w:val="9"/>
              <w:ind w:left="107"/>
              <w:rPr>
                <w:sz w:val="20"/>
              </w:rPr>
            </w:pPr>
            <w:r>
              <w:rPr>
                <w:sz w:val="20"/>
              </w:rPr>
              <w:t>Funding</w:t>
            </w:r>
          </w:p>
        </w:tc>
        <w:tc>
          <w:tcPr>
            <w:tcW w:w="520" w:type="dxa"/>
            <w:tcBorders>
              <w:top w:val="single" w:color="000000" w:sz="4" w:space="0"/>
            </w:tcBorders>
          </w:tcPr>
          <w:p>
            <w:pPr>
              <w:pStyle w:val="9"/>
              <w:ind w:left="165"/>
              <w:rPr>
                <w:sz w:val="20"/>
              </w:rPr>
            </w:pPr>
            <w:r>
              <w:rPr>
                <w:sz w:val="20"/>
              </w:rPr>
              <w:t>22</w:t>
            </w:r>
          </w:p>
        </w:tc>
        <w:tc>
          <w:tcPr>
            <w:tcW w:w="7837" w:type="dxa"/>
            <w:tcBorders>
              <w:top w:val="single" w:color="000000" w:sz="4" w:space="0"/>
            </w:tcBorders>
          </w:tcPr>
          <w:p>
            <w:pPr>
              <w:pStyle w:val="9"/>
              <w:spacing w:before="70" w:line="210" w:lineRule="exact"/>
              <w:ind w:left="111"/>
              <w:rPr>
                <w:sz w:val="20"/>
              </w:rPr>
            </w:pPr>
            <w:r>
              <w:rPr>
                <w:rFonts w:hint="eastAsia"/>
                <w:sz w:val="20"/>
                <w:szCs w:val="20"/>
              </w:rPr>
              <w:t>Not applicable</w:t>
            </w:r>
          </w:p>
        </w:tc>
      </w:tr>
    </w:tbl>
    <w:p>
      <w:pPr>
        <w:pStyle w:val="3"/>
        <w:spacing w:before="9"/>
        <w:rPr>
          <w:sz w:val="24"/>
        </w:rPr>
      </w:pPr>
    </w:p>
    <w:p>
      <w:pPr>
        <w:pStyle w:val="3"/>
        <w:spacing w:before="91" w:line="312" w:lineRule="auto"/>
        <w:ind w:left="212" w:right="1057"/>
      </w:pPr>
      <w:r>
        <w:t>*Give information separately for cases and controls in case-control studies and, if applicable, for exposed and unexposed groups in cohort and cross-sectional studies.</w:t>
      </w:r>
    </w:p>
    <w:p>
      <w:pPr>
        <w:pStyle w:val="3"/>
        <w:spacing w:before="3"/>
        <w:rPr>
          <w:sz w:val="26"/>
        </w:rPr>
      </w:pPr>
    </w:p>
    <w:p>
      <w:pPr>
        <w:pStyle w:val="3"/>
        <w:spacing w:line="314" w:lineRule="auto"/>
        <w:ind w:left="212" w:right="279"/>
      </w:pPr>
      <w:r>
        <w:rPr>
          <w:b/>
        </w:rPr>
        <w:t xml:space="preserve">Note: </w:t>
      </w:r>
      <w:r>
        <w:t xml:space="preserve">An Explanation and Elaboration article discusses each checklist item and gives methodological background and published examples of transparent reporting. The STROBE checklist is best used in conjunction with this article (freely available on the Web sites of PLoS Medicine at </w:t>
      </w:r>
      <w:r>
        <w:fldChar w:fldCharType="begin"/>
      </w:r>
      <w:r>
        <w:instrText xml:space="preserve"> HYPERLINK "http://www.plosmedicine.org/" \h </w:instrText>
      </w:r>
      <w:r>
        <w:fldChar w:fldCharType="separate"/>
      </w:r>
      <w:r>
        <w:t xml:space="preserve">http://www.plosmedicine.org/, </w:t>
      </w:r>
      <w:r>
        <w:fldChar w:fldCharType="end"/>
      </w:r>
      <w:r>
        <w:t xml:space="preserve">Annals of Internal Medicine at </w:t>
      </w:r>
      <w:r>
        <w:fldChar w:fldCharType="begin"/>
      </w:r>
      <w:r>
        <w:instrText xml:space="preserve"> HYPERLINK "http://www.annals.org/" \h </w:instrText>
      </w:r>
      <w:r>
        <w:fldChar w:fldCharType="separate"/>
      </w:r>
      <w:r>
        <w:t xml:space="preserve">http://www.annals.org/, </w:t>
      </w:r>
      <w:r>
        <w:fldChar w:fldCharType="end"/>
      </w:r>
      <w:r>
        <w:t xml:space="preserve">and Epidemiology at </w:t>
      </w:r>
      <w:r>
        <w:fldChar w:fldCharType="begin"/>
      </w:r>
      <w:r>
        <w:instrText xml:space="preserve"> HYPERLINK "http://www.epidem.com/)" \h </w:instrText>
      </w:r>
      <w:r>
        <w:fldChar w:fldCharType="separate"/>
      </w:r>
      <w:r>
        <w:t xml:space="preserve">http://www.epidem.com/). </w:t>
      </w:r>
      <w:r>
        <w:fldChar w:fldCharType="end"/>
      </w:r>
      <w:r>
        <w:t xml:space="preserve">Information on the STROBE Initiative is available at </w:t>
      </w:r>
      <w:r>
        <w:fldChar w:fldCharType="begin"/>
      </w:r>
      <w:r>
        <w:instrText xml:space="preserve"> HYPERLINK "http://www.strobe-statement.org/" \h </w:instrText>
      </w:r>
      <w:r>
        <w:fldChar w:fldCharType="separate"/>
      </w:r>
      <w:r>
        <w:t>www.strobe-statement.org.</w:t>
      </w:r>
      <w:r>
        <w:fldChar w:fldCharType="end"/>
      </w:r>
    </w:p>
    <w:sectPr>
      <w:pgSz w:w="11910" w:h="16840"/>
      <w:pgMar w:top="1540" w:right="920" w:bottom="920" w:left="920" w:header="0" w:footer="73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w:pict>
        <v:shape id="_x0000_s4097" o:spid="_x0000_s4097" o:spt="202" type="#_x0000_t202" style="position:absolute;left:0pt;margin-left:293pt;margin-top:793.95pt;height:13.15pt;width:9.55pt;mso-position-horizontal-relative:page;mso-position-vertical-relative:page;z-index:-252109824;mso-width-relative:page;mso-height-relative:page;" filled="f" stroked="f" coordsize="21600,21600">
          <v:path/>
          <v:fill on="f" focussize="0,0"/>
          <v:stroke on="f" joinstyle="miter"/>
          <v:imagedata o:title=""/>
          <o:lock v:ext="edit"/>
          <v:textbox inset="0mm,0mm,0mm,0mm">
            <w:txbxContent>
              <w:p>
                <w:pPr>
                  <w:pStyle w:val="3"/>
                  <w:spacing w:before="12"/>
                  <w:ind w:left="40"/>
                  <w:rPr>
                    <w:rFonts w:ascii="Arial"/>
                  </w:rPr>
                </w:pPr>
                <w:r>
                  <w:fldChar w:fldCharType="begin"/>
                </w:r>
                <w:r>
                  <w:rPr>
                    <w:rFonts w:ascii="Arial"/>
                    <w:w w:val="99"/>
                  </w:rPr>
                  <w:instrText xml:space="preserve"> PAGE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docVars>
    <w:docVar w:name="KY_MEDREF_DOCUID" w:val="{74B7159D-1DBF-4DCB-81AE-4C77F1976B65}"/>
    <w:docVar w:name="KY_MEDREF_VERSION" w:val="3"/>
  </w:docVars>
  <w:rsids>
    <w:rsidRoot w:val="00000000"/>
    <w:rsid w:val="27CB54AA"/>
    <w:rsid w:val="34F23D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rPr>
      <w:sz w:val="20"/>
      <w:szCs w:val="20"/>
    </w:rPr>
  </w:style>
  <w:style w:type="paragraph" w:styleId="3">
    <w:name w:val="Body Text"/>
    <w:basedOn w:val="1"/>
    <w:qFormat/>
    <w:uiPriority w:val="1"/>
    <w:rPr>
      <w:rFonts w:ascii="Times New Roman" w:hAnsi="Times New Roman" w:eastAsia="Times New Roman" w:cs="Times New Roman"/>
      <w:sz w:val="20"/>
      <w:szCs w:val="20"/>
      <w:lang w:val="en-US" w:eastAsia="en-US" w:bidi="en-US"/>
    </w:rPr>
  </w:style>
  <w:style w:type="character" w:styleId="6">
    <w:name w:val="annotation reference"/>
    <w:basedOn w:val="5"/>
    <w:qFormat/>
    <w:uiPriority w:val="0"/>
    <w:rPr>
      <w:sz w:val="16"/>
      <w:szCs w:val="16"/>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en-US" w:bidi="en-US"/>
    </w:rPr>
  </w:style>
  <w:style w:type="paragraph" w:customStyle="1" w:styleId="9">
    <w:name w:val="Table Paragraph"/>
    <w:basedOn w:val="1"/>
    <w:qFormat/>
    <w:uiPriority w:val="1"/>
    <w:pPr>
      <w:spacing w:before="53"/>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2020-04-15T05:51:00Z</dcterms:created>
  <dc:creator>pplouffe</dc:creator>
  <cp:lastModifiedBy>Administrator</cp:lastModifiedBy>
  <dcterms:modified xsi:type="dcterms:W3CDTF">2020-05-23T14:55:38Z</dcterms:modified>
  <dc:title>The Impact of a Community-Oriented Problem-Based Learning Curriculum Reform on the Quality of Primary Care Delivered by Gradua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Microsoft® Word 2013</vt:lpwstr>
  </property>
  <property fmtid="{D5CDD505-2E9C-101B-9397-08002B2CF9AE}" pid="4" name="LastSaved">
    <vt:filetime>2020-04-15T00:00:00Z</vt:filetime>
  </property>
  <property fmtid="{D5CDD505-2E9C-101B-9397-08002B2CF9AE}" pid="5" name="KSOProductBuildVer">
    <vt:lpwstr>2052-11.1.0.9662</vt:lpwstr>
  </property>
</Properties>
</file>